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F0383" w:rsidRPr="008E0FCD" w:rsidTr="00CE0912">
        <w:trPr>
          <w:trHeight w:val="709"/>
        </w:trPr>
        <w:tc>
          <w:tcPr>
            <w:tcW w:w="976" w:type="dxa"/>
            <w:tcBorders>
              <w:bottom w:val="single" w:sz="12" w:space="0" w:color="auto"/>
            </w:tcBorders>
          </w:tcPr>
          <w:p w:rsidR="007F0383" w:rsidRPr="008E0FCD" w:rsidRDefault="007F0383" w:rsidP="008E0FCD">
            <w:pPr>
              <w:suppressLineNumbers/>
              <w:suppressAutoHyphens/>
              <w:kinsoku w:val="0"/>
              <w:overflowPunct w:val="0"/>
              <w:autoSpaceDE w:val="0"/>
              <w:autoSpaceDN w:val="0"/>
            </w:pPr>
            <w:bookmarkStart w:id="0" w:name="_Hlk505247837"/>
            <w:r w:rsidRPr="008E0FCD">
              <w:rPr>
                <w:noProof/>
                <w:lang w:eastAsia="en-CA"/>
              </w:rPr>
              <w:drawing>
                <wp:inline distT="0" distB="0" distL="0" distR="0" wp14:anchorId="55F5D224" wp14:editId="528B852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7F0383" w:rsidRPr="008E0FCD" w:rsidRDefault="007F0383" w:rsidP="008E0FCD">
            <w:pPr>
              <w:suppressLineNumbers/>
              <w:suppressAutoHyphens/>
              <w:kinsoku w:val="0"/>
              <w:overflowPunct w:val="0"/>
              <w:autoSpaceDE w:val="0"/>
              <w:autoSpaceDN w:val="0"/>
            </w:pPr>
            <w:r w:rsidRPr="008E0FCD">
              <w:rPr>
                <w:noProof/>
                <w:lang w:eastAsia="en-CA"/>
              </w:rPr>
              <w:drawing>
                <wp:inline distT="0" distB="0" distL="0" distR="0" wp14:anchorId="4D80B782" wp14:editId="5E0CDD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7F0383" w:rsidRPr="008E0FCD" w:rsidRDefault="007F0383" w:rsidP="008E0FCD">
            <w:pPr>
              <w:suppressLineNumbers/>
              <w:suppressAutoHyphens/>
              <w:kinsoku w:val="0"/>
              <w:overflowPunct w:val="0"/>
              <w:autoSpaceDE w:val="0"/>
              <w:autoSpaceDN w:val="0"/>
              <w:jc w:val="right"/>
              <w:rPr>
                <w:rFonts w:ascii="Arial" w:hAnsi="Arial" w:cs="Arial"/>
                <w:b/>
                <w:sz w:val="32"/>
                <w:szCs w:val="32"/>
              </w:rPr>
            </w:pPr>
            <w:r w:rsidRPr="008E0FCD">
              <w:rPr>
                <w:rFonts w:ascii="Arial" w:hAnsi="Arial" w:cs="Arial"/>
                <w:b/>
                <w:sz w:val="32"/>
                <w:szCs w:val="32"/>
              </w:rPr>
              <w:t>CBD</w:t>
            </w:r>
          </w:p>
        </w:tc>
      </w:tr>
      <w:bookmarkEnd w:id="0"/>
      <w:tr w:rsidR="007F0383" w:rsidRPr="008E0FCD" w:rsidTr="00CE0912">
        <w:tc>
          <w:tcPr>
            <w:tcW w:w="6117" w:type="dxa"/>
            <w:gridSpan w:val="2"/>
            <w:tcBorders>
              <w:top w:val="single" w:sz="12" w:space="0" w:color="auto"/>
              <w:bottom w:val="single" w:sz="36" w:space="0" w:color="auto"/>
            </w:tcBorders>
            <w:vAlign w:val="center"/>
          </w:tcPr>
          <w:p w:rsidR="007F0383" w:rsidRPr="008E0FCD" w:rsidRDefault="007F0383" w:rsidP="008E0FCD">
            <w:pPr>
              <w:suppressLineNumbers/>
              <w:suppressAutoHyphens/>
              <w:kinsoku w:val="0"/>
              <w:overflowPunct w:val="0"/>
              <w:autoSpaceDE w:val="0"/>
              <w:autoSpaceDN w:val="0"/>
            </w:pPr>
            <w:r w:rsidRPr="008E0FCD">
              <w:rPr>
                <w:noProof/>
                <w:lang w:eastAsia="en-CA"/>
              </w:rPr>
              <w:drawing>
                <wp:inline distT="0" distB="0" distL="0" distR="0" wp14:anchorId="2EA7D60E" wp14:editId="77CB931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7F0383" w:rsidRPr="008E0FCD" w:rsidRDefault="007F0383" w:rsidP="008E0FCD">
            <w:pPr>
              <w:suppressLineNumbers/>
              <w:suppressAutoHyphens/>
              <w:kinsoku w:val="0"/>
              <w:overflowPunct w:val="0"/>
              <w:autoSpaceDE w:val="0"/>
              <w:autoSpaceDN w:val="0"/>
              <w:ind w:left="1215"/>
              <w:rPr>
                <w:rFonts w:ascii="Times New Roman" w:hAnsi="Times New Roman" w:cs="Times New Roman"/>
                <w:szCs w:val="22"/>
              </w:rPr>
            </w:pPr>
            <w:r w:rsidRPr="008E0FCD">
              <w:rPr>
                <w:rFonts w:ascii="Times New Roman" w:hAnsi="Times New Roman" w:cs="Times New Roman"/>
                <w:szCs w:val="22"/>
              </w:rPr>
              <w:t>Distr.</w:t>
            </w:r>
          </w:p>
          <w:p w:rsidR="007F0383" w:rsidRPr="008E0FCD" w:rsidRDefault="007F0383" w:rsidP="008E0FCD">
            <w:pPr>
              <w:suppressLineNumbers/>
              <w:suppressAutoHyphens/>
              <w:kinsoku w:val="0"/>
              <w:overflowPunct w:val="0"/>
              <w:autoSpaceDE w:val="0"/>
              <w:autoSpaceDN w:val="0"/>
              <w:ind w:left="1215"/>
              <w:rPr>
                <w:rFonts w:ascii="Times New Roman" w:hAnsi="Times New Roman" w:cs="Times New Roman"/>
                <w:szCs w:val="22"/>
              </w:rPr>
            </w:pPr>
            <w:r w:rsidRPr="008E0FCD">
              <w:rPr>
                <w:rFonts w:ascii="Times New Roman" w:hAnsi="Times New Roman" w:cs="Times New Roman"/>
                <w:caps/>
                <w:szCs w:val="22"/>
              </w:rPr>
              <w:t>GENERAL</w:t>
            </w:r>
          </w:p>
          <w:p w:rsidR="007F0383" w:rsidRPr="008E0FCD" w:rsidRDefault="007F0383" w:rsidP="008E0FCD">
            <w:pPr>
              <w:suppressLineNumbers/>
              <w:suppressAutoHyphens/>
              <w:kinsoku w:val="0"/>
              <w:overflowPunct w:val="0"/>
              <w:autoSpaceDE w:val="0"/>
              <w:autoSpaceDN w:val="0"/>
              <w:ind w:left="1215"/>
              <w:rPr>
                <w:rFonts w:ascii="Times New Roman" w:hAnsi="Times New Roman" w:cs="Times New Roman"/>
                <w:szCs w:val="22"/>
              </w:rPr>
            </w:pPr>
          </w:p>
          <w:p w:rsidR="007F0383" w:rsidRPr="008E0FCD" w:rsidRDefault="007F0383" w:rsidP="008E0FCD">
            <w:pPr>
              <w:suppressLineNumbers/>
              <w:suppressAutoHyphens/>
              <w:kinsoku w:val="0"/>
              <w:overflowPunct w:val="0"/>
              <w:autoSpaceDE w:val="0"/>
              <w:autoSpaceDN w:val="0"/>
              <w:ind w:left="1215"/>
              <w:rPr>
                <w:rFonts w:ascii="Times New Roman" w:hAnsi="Times New Roman" w:cs="Times New Roman"/>
                <w:szCs w:val="22"/>
              </w:rPr>
            </w:pPr>
            <w:r w:rsidRPr="008E0FCD">
              <w:rPr>
                <w:rFonts w:ascii="Times New Roman" w:hAnsi="Times New Roman" w:cs="Times New Roman"/>
                <w:bCs/>
                <w:szCs w:val="22"/>
              </w:rPr>
              <w:t>CBD/</w:t>
            </w:r>
            <w:r w:rsidR="00BF11D8" w:rsidRPr="008E0FCD">
              <w:rPr>
                <w:rFonts w:ascii="Times New Roman" w:hAnsi="Times New Roman" w:cs="Times New Roman"/>
                <w:bCs/>
                <w:szCs w:val="22"/>
              </w:rPr>
              <w:t>COP/14/</w:t>
            </w:r>
            <w:r w:rsidR="00DA5CFB" w:rsidRPr="008E0FCD">
              <w:rPr>
                <w:rFonts w:ascii="Times New Roman" w:hAnsi="Times New Roman" w:cs="Times New Roman"/>
                <w:bCs/>
                <w:szCs w:val="22"/>
              </w:rPr>
              <w:t>5/</w:t>
            </w:r>
            <w:r w:rsidR="00D85D5B" w:rsidRPr="008E0FCD">
              <w:rPr>
                <w:rFonts w:ascii="Times New Roman" w:hAnsi="Times New Roman" w:cs="Times New Roman"/>
                <w:bCs/>
                <w:szCs w:val="22"/>
              </w:rPr>
              <w:t>Add.1</w:t>
            </w:r>
          </w:p>
          <w:p w:rsidR="007F0383" w:rsidRPr="008E0FCD" w:rsidRDefault="00FB1341" w:rsidP="008E0FCD">
            <w:pPr>
              <w:suppressLineNumbers/>
              <w:suppressAutoHyphens/>
              <w:kinsoku w:val="0"/>
              <w:overflowPunct w:val="0"/>
              <w:autoSpaceDE w:val="0"/>
              <w:autoSpaceDN w:val="0"/>
              <w:ind w:left="1215"/>
              <w:rPr>
                <w:rFonts w:ascii="Times New Roman" w:hAnsi="Times New Roman" w:cs="Times New Roman"/>
                <w:szCs w:val="22"/>
              </w:rPr>
            </w:pPr>
            <w:r w:rsidRPr="008E0FCD">
              <w:rPr>
                <w:rFonts w:ascii="Times New Roman" w:hAnsi="Times New Roman" w:cs="Times New Roman"/>
                <w:szCs w:val="22"/>
              </w:rPr>
              <w:t>25 September 2018</w:t>
            </w:r>
          </w:p>
          <w:p w:rsidR="00BF11D8" w:rsidRPr="008E0FCD" w:rsidRDefault="00BF11D8" w:rsidP="008E0FCD">
            <w:pPr>
              <w:suppressLineNumbers/>
              <w:suppressAutoHyphens/>
              <w:kinsoku w:val="0"/>
              <w:overflowPunct w:val="0"/>
              <w:autoSpaceDE w:val="0"/>
              <w:autoSpaceDN w:val="0"/>
              <w:ind w:left="1215"/>
              <w:rPr>
                <w:rFonts w:ascii="Times New Roman" w:hAnsi="Times New Roman" w:cs="Times New Roman"/>
                <w:szCs w:val="22"/>
              </w:rPr>
            </w:pPr>
          </w:p>
          <w:p w:rsidR="007F0383" w:rsidRPr="008E0FCD" w:rsidRDefault="007F0383" w:rsidP="008E0FCD">
            <w:pPr>
              <w:suppressLineNumbers/>
              <w:suppressAutoHyphens/>
              <w:kinsoku w:val="0"/>
              <w:overflowPunct w:val="0"/>
              <w:autoSpaceDE w:val="0"/>
              <w:autoSpaceDN w:val="0"/>
              <w:ind w:left="1215"/>
              <w:rPr>
                <w:rFonts w:ascii="Times New Roman" w:hAnsi="Times New Roman" w:cs="Times New Roman"/>
                <w:szCs w:val="22"/>
              </w:rPr>
            </w:pPr>
            <w:r w:rsidRPr="008E0FCD">
              <w:rPr>
                <w:rFonts w:ascii="Times New Roman" w:hAnsi="Times New Roman" w:cs="Times New Roman"/>
                <w:szCs w:val="22"/>
              </w:rPr>
              <w:t>ORIGINAL: ENGLISH</w:t>
            </w:r>
          </w:p>
          <w:p w:rsidR="007F0383" w:rsidRPr="008E0FCD" w:rsidRDefault="007F0383" w:rsidP="008E0FCD">
            <w:pPr>
              <w:suppressLineNumbers/>
              <w:suppressAutoHyphens/>
              <w:kinsoku w:val="0"/>
              <w:overflowPunct w:val="0"/>
              <w:autoSpaceDE w:val="0"/>
              <w:autoSpaceDN w:val="0"/>
            </w:pPr>
          </w:p>
        </w:tc>
      </w:tr>
    </w:tbl>
    <w:p w:rsidR="007F0383" w:rsidRPr="004F3BF9" w:rsidRDefault="007F0383" w:rsidP="008E0FCD">
      <w:pPr>
        <w:pStyle w:val="Cornernotation"/>
        <w:suppressLineNumbers/>
        <w:suppressAutoHyphens/>
        <w:kinsoku w:val="0"/>
        <w:overflowPunct w:val="0"/>
        <w:autoSpaceDE w:val="0"/>
        <w:autoSpaceDN w:val="0"/>
        <w:ind w:left="180" w:right="4422" w:hanging="180"/>
        <w:rPr>
          <w:szCs w:val="22"/>
        </w:rPr>
      </w:pPr>
      <w:r w:rsidRPr="004F3BF9">
        <w:rPr>
          <w:szCs w:val="22"/>
        </w:rPr>
        <w:t>CONFERENCE OF THE PARTIES TO THE CONVENTION ON BIOLOGICAL DIVERSITY</w:t>
      </w:r>
    </w:p>
    <w:p w:rsidR="007F0383" w:rsidRPr="004F3BF9" w:rsidRDefault="007F0383" w:rsidP="008E0FCD">
      <w:pPr>
        <w:pStyle w:val="Cornernotation"/>
        <w:suppressLineNumbers/>
        <w:suppressAutoHyphens/>
        <w:kinsoku w:val="0"/>
        <w:overflowPunct w:val="0"/>
        <w:autoSpaceDE w:val="0"/>
        <w:autoSpaceDN w:val="0"/>
        <w:ind w:left="180" w:right="4422" w:hanging="180"/>
        <w:rPr>
          <w:szCs w:val="22"/>
        </w:rPr>
      </w:pPr>
      <w:r w:rsidRPr="004F3BF9">
        <w:rPr>
          <w:szCs w:val="22"/>
        </w:rPr>
        <w:t>Fourteenth meeting</w:t>
      </w:r>
    </w:p>
    <w:p w:rsidR="007F0383" w:rsidRPr="004F3BF9" w:rsidRDefault="007F0383" w:rsidP="008E0FCD">
      <w:pPr>
        <w:pStyle w:val="Cornernotation"/>
        <w:suppressLineNumbers/>
        <w:suppressAutoHyphens/>
        <w:kinsoku w:val="0"/>
        <w:overflowPunct w:val="0"/>
        <w:autoSpaceDE w:val="0"/>
        <w:autoSpaceDN w:val="0"/>
        <w:ind w:left="180" w:right="4422" w:hanging="180"/>
        <w:rPr>
          <w:szCs w:val="22"/>
        </w:rPr>
      </w:pPr>
      <w:r w:rsidRPr="004F3BF9">
        <w:rPr>
          <w:szCs w:val="22"/>
        </w:rPr>
        <w:t>Sharm El-Sheikh, Egypt, 17-29 November 2018</w:t>
      </w:r>
    </w:p>
    <w:p w:rsidR="004E19A0" w:rsidRPr="004F3BF9" w:rsidRDefault="004E19A0" w:rsidP="008E0FCD">
      <w:pPr>
        <w:suppressLineNumbers/>
        <w:suppressAutoHyphens/>
        <w:kinsoku w:val="0"/>
        <w:overflowPunct w:val="0"/>
        <w:autoSpaceDE w:val="0"/>
        <w:autoSpaceDN w:val="0"/>
        <w:adjustRightInd w:val="0"/>
        <w:snapToGrid w:val="0"/>
        <w:rPr>
          <w:snapToGrid w:val="0"/>
          <w:kern w:val="22"/>
          <w:szCs w:val="22"/>
          <w:lang w:eastAsia="nb-NO"/>
        </w:rPr>
      </w:pPr>
      <w:r w:rsidRPr="004F3BF9">
        <w:rPr>
          <w:snapToGrid w:val="0"/>
          <w:kern w:val="22"/>
          <w:szCs w:val="22"/>
          <w:lang w:eastAsia="nb-NO"/>
        </w:rPr>
        <w:t>Item 8 of the provisional agenda</w:t>
      </w:r>
      <w:r w:rsidRPr="004F3BF9">
        <w:rPr>
          <w:rStyle w:val="FootnoteReference"/>
          <w:snapToGrid w:val="0"/>
          <w:kern w:val="22"/>
          <w:sz w:val="22"/>
          <w:szCs w:val="22"/>
          <w:u w:val="none"/>
          <w:lang w:eastAsia="nb-NO"/>
        </w:rPr>
        <w:footnoteReference w:customMarkFollows="1" w:id="1"/>
        <w:t>*</w:t>
      </w:r>
    </w:p>
    <w:p w:rsidR="00D56CCE" w:rsidRPr="004F3BF9" w:rsidRDefault="00292F67" w:rsidP="008E0FCD">
      <w:pPr>
        <w:pStyle w:val="Heading2"/>
        <w:suppressLineNumbers/>
        <w:tabs>
          <w:tab w:val="clear" w:pos="720"/>
        </w:tabs>
        <w:suppressAutoHyphens/>
        <w:kinsoku w:val="0"/>
        <w:overflowPunct w:val="0"/>
        <w:autoSpaceDE w:val="0"/>
        <w:autoSpaceDN w:val="0"/>
        <w:adjustRightInd w:val="0"/>
        <w:snapToGrid w:val="0"/>
        <w:spacing w:before="240"/>
        <w:rPr>
          <w:caps/>
          <w:snapToGrid w:val="0"/>
          <w:kern w:val="22"/>
          <w:szCs w:val="22"/>
        </w:rPr>
      </w:pPr>
      <w:r w:rsidRPr="004F3BF9">
        <w:rPr>
          <w:caps/>
          <w:snapToGrid w:val="0"/>
          <w:kern w:val="22"/>
          <w:szCs w:val="22"/>
        </w:rPr>
        <w:t>Update on progress in revising/updating and implementing national biodiversity strategies and action plans, including national targets</w:t>
      </w:r>
    </w:p>
    <w:p w:rsidR="00D56CCE" w:rsidRPr="004F3BF9" w:rsidRDefault="00292F67" w:rsidP="008E0FCD">
      <w:pPr>
        <w:pStyle w:val="Heading2"/>
        <w:suppressLineNumbers/>
        <w:tabs>
          <w:tab w:val="clear" w:pos="720"/>
        </w:tabs>
        <w:suppressAutoHyphens/>
        <w:kinsoku w:val="0"/>
        <w:overflowPunct w:val="0"/>
        <w:autoSpaceDE w:val="0"/>
        <w:autoSpaceDN w:val="0"/>
        <w:adjustRightInd w:val="0"/>
        <w:snapToGrid w:val="0"/>
        <w:rPr>
          <w:i/>
          <w:snapToGrid w:val="0"/>
          <w:kern w:val="22"/>
          <w:szCs w:val="22"/>
        </w:rPr>
      </w:pPr>
      <w:r w:rsidRPr="004F3BF9">
        <w:rPr>
          <w:b w:val="0"/>
          <w:i/>
          <w:snapToGrid w:val="0"/>
          <w:kern w:val="22"/>
          <w:szCs w:val="22"/>
        </w:rPr>
        <w:t>Note by the Executive Secretary</w:t>
      </w:r>
    </w:p>
    <w:p w:rsidR="00292F67" w:rsidRPr="004F3BF9" w:rsidRDefault="00292F67" w:rsidP="008E0FCD">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4F3BF9">
        <w:rPr>
          <w:snapToGrid w:val="0"/>
          <w:kern w:val="22"/>
          <w:szCs w:val="22"/>
        </w:rPr>
        <w:t>I.</w:t>
      </w:r>
      <w:r w:rsidRPr="004F3BF9">
        <w:rPr>
          <w:snapToGrid w:val="0"/>
          <w:kern w:val="22"/>
          <w:szCs w:val="22"/>
        </w:rPr>
        <w:tab/>
      </w:r>
      <w:r w:rsidRPr="004F3BF9">
        <w:rPr>
          <w:caps w:val="0"/>
          <w:snapToGrid w:val="0"/>
          <w:kern w:val="22"/>
          <w:szCs w:val="22"/>
        </w:rPr>
        <w:t>INTRODUCTION</w:t>
      </w:r>
    </w:p>
    <w:p w:rsidR="00292F67" w:rsidRPr="004F3BF9"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National biodiversity strategies and action plans (NBSAPs) are the principal planning tool for the implementation of the Convention at the national level. Article 6 of the Convention on Biological Diversity states that each Contracting Party “shall, in accordance with its particular conditions and capabilities, develop national strategies, plans or programmes for the conservation and sustainable use of biological diversity or adapt for this purpose existing strategies, plans or programmes which shall reflect, inter alia, the measures set out in the Convention relevant to the Contracting Party concerned”. </w:t>
      </w:r>
      <w:r w:rsidR="00CB65FD" w:rsidRPr="004F3BF9">
        <w:rPr>
          <w:snapToGrid w:val="0"/>
          <w:kern w:val="22"/>
          <w:szCs w:val="22"/>
        </w:rPr>
        <w:t>Almost all Parties (</w:t>
      </w:r>
      <w:r w:rsidRPr="004F3BF9">
        <w:rPr>
          <w:snapToGrid w:val="0"/>
          <w:kern w:val="22"/>
          <w:szCs w:val="22"/>
        </w:rPr>
        <w:t>9</w:t>
      </w:r>
      <w:r w:rsidR="00CB65FD" w:rsidRPr="004F3BF9">
        <w:rPr>
          <w:snapToGrid w:val="0"/>
          <w:kern w:val="22"/>
          <w:szCs w:val="22"/>
        </w:rPr>
        <w:t>7</w:t>
      </w:r>
      <w:r w:rsidRPr="004F3BF9">
        <w:rPr>
          <w:snapToGrid w:val="0"/>
          <w:kern w:val="22"/>
          <w:szCs w:val="22"/>
        </w:rPr>
        <w:t>%) have developed at least one NBSAP since they became a Party.</w:t>
      </w:r>
    </w:p>
    <w:p w:rsidR="00292F67" w:rsidRPr="004F3BF9"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In </w:t>
      </w:r>
      <w:hyperlink r:id="rId11" w:history="1">
        <w:r w:rsidR="001C7AED" w:rsidRPr="004F3BF9">
          <w:rPr>
            <w:rStyle w:val="Hyperlink"/>
            <w:snapToGrid w:val="0"/>
            <w:kern w:val="22"/>
            <w:szCs w:val="22"/>
          </w:rPr>
          <w:t>decision X/2</w:t>
        </w:r>
      </w:hyperlink>
      <w:r w:rsidRPr="004F3BF9">
        <w:rPr>
          <w:snapToGrid w:val="0"/>
          <w:kern w:val="22"/>
          <w:szCs w:val="22"/>
        </w:rPr>
        <w:t>, the Conference of the Parties urged Parties to review, revise and update, as appropriate, their NBSAPs in line with the Strategic Plan for Biodiversity 2011-2020. Aichi Biodiversity Target 17, which had a deadline of 2015, calls on Parties to develop</w:t>
      </w:r>
      <w:r w:rsidR="00010828" w:rsidRPr="004F3BF9">
        <w:rPr>
          <w:snapToGrid w:val="0"/>
          <w:kern w:val="22"/>
          <w:szCs w:val="22"/>
        </w:rPr>
        <w:t xml:space="preserve">, </w:t>
      </w:r>
      <w:r w:rsidRPr="004F3BF9">
        <w:rPr>
          <w:snapToGrid w:val="0"/>
          <w:kern w:val="22"/>
          <w:szCs w:val="22"/>
        </w:rPr>
        <w:t>adopt as a policy instrument and commence implementing an effective, participatory and updated NBSAP by 2015. Parties also committed to establishing national targets, using the Strategic Plan for Biodiversity 2011-2020 and its Aichi Biodiversity Targets as a flexible framework.</w:t>
      </w:r>
    </w:p>
    <w:p w:rsidR="00292F67" w:rsidRPr="004F3BF9"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In </w:t>
      </w:r>
      <w:hyperlink r:id="rId12" w:history="1">
        <w:r w:rsidR="001C7AED" w:rsidRPr="004F3BF9">
          <w:rPr>
            <w:rStyle w:val="Hyperlink"/>
            <w:snapToGrid w:val="0"/>
            <w:kern w:val="22"/>
            <w:szCs w:val="22"/>
          </w:rPr>
          <w:t>decision XI/2</w:t>
        </w:r>
      </w:hyperlink>
      <w:r w:rsidRPr="004F3BF9">
        <w:rPr>
          <w:snapToGrid w:val="0"/>
          <w:kern w:val="22"/>
          <w:szCs w:val="22"/>
        </w:rPr>
        <w:t>, the Conference of the Parties urged Parties and other Governments that had not yet done so to review and, as appropriate, update and revise their NBSAPs in line with the Strategic Plan for Biodiversity 2011-2020, including national plans related to biodiversity</w:t>
      </w:r>
      <w:r w:rsidR="00E4491B" w:rsidRPr="004F3BF9">
        <w:rPr>
          <w:snapToGrid w:val="0"/>
          <w:kern w:val="22"/>
          <w:szCs w:val="22"/>
        </w:rPr>
        <w:t>,</w:t>
      </w:r>
      <w:r w:rsidRPr="004F3BF9">
        <w:rPr>
          <w:snapToGrid w:val="0"/>
          <w:kern w:val="22"/>
          <w:szCs w:val="22"/>
        </w:rPr>
        <w:t xml:space="preserve"> and to report thereon to the Conference of the Parties at its twelfth m</w:t>
      </w:r>
      <w:r w:rsidR="00CB4B9A" w:rsidRPr="004F3BF9">
        <w:rPr>
          <w:snapToGrid w:val="0"/>
          <w:kern w:val="22"/>
          <w:szCs w:val="22"/>
        </w:rPr>
        <w:t>eeting.</w:t>
      </w:r>
    </w:p>
    <w:p w:rsidR="00292F67" w:rsidRPr="004F3BF9" w:rsidRDefault="00CB4B9A"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In </w:t>
      </w:r>
      <w:hyperlink r:id="rId13" w:history="1">
        <w:r w:rsidR="001C7AED" w:rsidRPr="004F3BF9">
          <w:rPr>
            <w:rStyle w:val="Hyperlink"/>
            <w:snapToGrid w:val="0"/>
            <w:kern w:val="22"/>
            <w:szCs w:val="22"/>
          </w:rPr>
          <w:t>decision XII/2</w:t>
        </w:r>
      </w:hyperlink>
      <w:r w:rsidRPr="004F3BF9">
        <w:rPr>
          <w:snapToGrid w:val="0"/>
          <w:kern w:val="22"/>
          <w:szCs w:val="22"/>
        </w:rPr>
        <w:t>, the Conference of the Parties commended those countries that had reviewed and, as appropriate, updated and revised their NBSAPs in line with the Strategic Plan for Biodiversity 2011-2020, adopted relevant indicators and submitted their fifth national reports. The Conference of the Parties also urged countries that had not yet fulfilled these commitments to do so no later than</w:t>
      </w:r>
      <w:r w:rsidR="00CB65FD" w:rsidRPr="004F3BF9">
        <w:rPr>
          <w:snapToGrid w:val="0"/>
          <w:kern w:val="22"/>
          <w:szCs w:val="22"/>
        </w:rPr>
        <w:br w:type="textWrapping" w:clear="all"/>
      </w:r>
      <w:r w:rsidRPr="004F3BF9">
        <w:rPr>
          <w:snapToGrid w:val="0"/>
          <w:kern w:val="22"/>
          <w:szCs w:val="22"/>
        </w:rPr>
        <w:t>October 2015.</w:t>
      </w:r>
    </w:p>
    <w:p w:rsidR="00F50542" w:rsidRPr="004F3BF9" w:rsidRDefault="00841DB0"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Furthermore, i</w:t>
      </w:r>
      <w:r w:rsidR="00324E55" w:rsidRPr="004F3BF9">
        <w:rPr>
          <w:snapToGrid w:val="0"/>
          <w:kern w:val="22"/>
          <w:szCs w:val="22"/>
        </w:rPr>
        <w:t xml:space="preserve">n </w:t>
      </w:r>
      <w:r w:rsidR="0060449C" w:rsidRPr="004F3BF9">
        <w:rPr>
          <w:snapToGrid w:val="0"/>
          <w:kern w:val="22"/>
          <w:szCs w:val="22"/>
        </w:rPr>
        <w:t xml:space="preserve">paragraph 10 of </w:t>
      </w:r>
      <w:hyperlink r:id="rId14" w:history="1">
        <w:r w:rsidR="003B53D4" w:rsidRPr="004F3BF9">
          <w:rPr>
            <w:rStyle w:val="Hyperlink"/>
            <w:snapToGrid w:val="0"/>
            <w:kern w:val="22"/>
            <w:szCs w:val="22"/>
          </w:rPr>
          <w:t>decision XIII/1</w:t>
        </w:r>
      </w:hyperlink>
      <w:r w:rsidR="009A3742" w:rsidRPr="004F3BF9">
        <w:rPr>
          <w:snapToGrid w:val="0"/>
          <w:kern w:val="22"/>
          <w:szCs w:val="22"/>
        </w:rPr>
        <w:t>, t</w:t>
      </w:r>
      <w:r w:rsidR="00CB4B9A" w:rsidRPr="004F3BF9">
        <w:rPr>
          <w:snapToGrid w:val="0"/>
          <w:kern w:val="22"/>
          <w:szCs w:val="22"/>
        </w:rPr>
        <w:t xml:space="preserve">he </w:t>
      </w:r>
      <w:r w:rsidR="00F50542" w:rsidRPr="004F3BF9">
        <w:rPr>
          <w:snapToGrid w:val="0"/>
          <w:kern w:val="22"/>
          <w:szCs w:val="22"/>
        </w:rPr>
        <w:t>Conference of the Parties</w:t>
      </w:r>
      <w:r w:rsidR="0060449C" w:rsidRPr="004F3BF9">
        <w:rPr>
          <w:snapToGrid w:val="0"/>
          <w:kern w:val="22"/>
          <w:szCs w:val="22"/>
        </w:rPr>
        <w:t xml:space="preserve"> </w:t>
      </w:r>
      <w:r w:rsidR="00F50542" w:rsidRPr="004F3BF9">
        <w:rPr>
          <w:snapToGrid w:val="0"/>
          <w:kern w:val="22"/>
          <w:szCs w:val="22"/>
        </w:rPr>
        <w:t xml:space="preserve">urged relevant Parties to update and implement their NBSAPs or regional </w:t>
      </w:r>
      <w:r w:rsidR="00DA41C8" w:rsidRPr="004F3BF9">
        <w:rPr>
          <w:snapToGrid w:val="0"/>
          <w:kern w:val="22"/>
          <w:szCs w:val="22"/>
        </w:rPr>
        <w:t xml:space="preserve">biodiversity strategies and action plans as soon as possible, in </w:t>
      </w:r>
      <w:r w:rsidR="00F50542" w:rsidRPr="004F3BF9">
        <w:rPr>
          <w:snapToGrid w:val="0"/>
          <w:kern w:val="22"/>
          <w:szCs w:val="22"/>
        </w:rPr>
        <w:t xml:space="preserve">accordance with </w:t>
      </w:r>
      <w:r w:rsidR="00DA41C8" w:rsidRPr="004F3BF9">
        <w:rPr>
          <w:snapToGrid w:val="0"/>
          <w:kern w:val="22"/>
          <w:szCs w:val="22"/>
        </w:rPr>
        <w:t>decision XI/2.</w:t>
      </w:r>
      <w:r w:rsidR="00F50542" w:rsidRPr="004F3BF9">
        <w:rPr>
          <w:snapToGrid w:val="0"/>
          <w:kern w:val="22"/>
          <w:szCs w:val="22"/>
        </w:rPr>
        <w:t xml:space="preserve"> Moreover, paragraph 17 of decision </w:t>
      </w:r>
      <w:r w:rsidR="003B53D4" w:rsidRPr="004F3BF9">
        <w:rPr>
          <w:snapToGrid w:val="0"/>
          <w:kern w:val="22"/>
          <w:szCs w:val="22"/>
        </w:rPr>
        <w:t xml:space="preserve">XIII/1 </w:t>
      </w:r>
      <w:r w:rsidR="00F50542" w:rsidRPr="004F3BF9">
        <w:rPr>
          <w:snapToGrid w:val="0"/>
          <w:kern w:val="22"/>
          <w:szCs w:val="22"/>
        </w:rPr>
        <w:t xml:space="preserve">encouraged Parties to </w:t>
      </w:r>
      <w:r w:rsidR="00DA41C8" w:rsidRPr="004F3BF9">
        <w:rPr>
          <w:snapToGrid w:val="0"/>
          <w:kern w:val="22"/>
          <w:szCs w:val="22"/>
        </w:rPr>
        <w:t xml:space="preserve">ensure that </w:t>
      </w:r>
      <w:r w:rsidR="00F50542" w:rsidRPr="004F3BF9">
        <w:rPr>
          <w:snapToGrid w:val="0"/>
          <w:kern w:val="22"/>
          <w:szCs w:val="22"/>
        </w:rPr>
        <w:t xml:space="preserve">their NBSAPs </w:t>
      </w:r>
      <w:r w:rsidR="001471D6" w:rsidRPr="004F3BF9">
        <w:rPr>
          <w:snapToGrid w:val="0"/>
          <w:kern w:val="22"/>
          <w:szCs w:val="22"/>
        </w:rPr>
        <w:t>were</w:t>
      </w:r>
      <w:r w:rsidR="00DA41C8" w:rsidRPr="004F3BF9">
        <w:rPr>
          <w:snapToGrid w:val="0"/>
          <w:kern w:val="22"/>
          <w:szCs w:val="22"/>
        </w:rPr>
        <w:t xml:space="preserve"> adopted as policy instruments, as appropria</w:t>
      </w:r>
      <w:r w:rsidR="00F50542" w:rsidRPr="004F3BF9">
        <w:rPr>
          <w:snapToGrid w:val="0"/>
          <w:kern w:val="22"/>
          <w:szCs w:val="22"/>
        </w:rPr>
        <w:t xml:space="preserve">te, to enable biodiversity </w:t>
      </w:r>
      <w:r w:rsidR="00DA41C8" w:rsidRPr="004F3BF9">
        <w:rPr>
          <w:snapToGrid w:val="0"/>
          <w:kern w:val="22"/>
          <w:szCs w:val="22"/>
        </w:rPr>
        <w:t xml:space="preserve">mainstreaming at all relevant levels </w:t>
      </w:r>
      <w:r w:rsidR="00F50542" w:rsidRPr="004F3BF9">
        <w:rPr>
          <w:snapToGrid w:val="0"/>
          <w:kern w:val="22"/>
          <w:szCs w:val="22"/>
        </w:rPr>
        <w:t xml:space="preserve">within </w:t>
      </w:r>
      <w:r w:rsidR="00DA41C8" w:rsidRPr="004F3BF9">
        <w:rPr>
          <w:snapToGrid w:val="0"/>
          <w:kern w:val="22"/>
          <w:szCs w:val="22"/>
        </w:rPr>
        <w:t>political, economic and social sectors.</w:t>
      </w:r>
    </w:p>
    <w:p w:rsidR="00292F67" w:rsidRPr="004F3BF9"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lastRenderedPageBreak/>
        <w:t>The present note is updated from a note</w:t>
      </w:r>
      <w:r w:rsidR="004A137E" w:rsidRPr="004F3BF9">
        <w:rPr>
          <w:snapToGrid w:val="0"/>
          <w:kern w:val="22"/>
          <w:szCs w:val="22"/>
        </w:rPr>
        <w:t>,</w:t>
      </w:r>
      <w:r w:rsidRPr="004F3BF9">
        <w:rPr>
          <w:snapToGrid w:val="0"/>
          <w:kern w:val="22"/>
          <w:szCs w:val="22"/>
        </w:rPr>
        <w:t xml:space="preserve"> submitted to </w:t>
      </w:r>
      <w:r w:rsidR="00841DB0" w:rsidRPr="004F3BF9">
        <w:rPr>
          <w:snapToGrid w:val="0"/>
          <w:kern w:val="22"/>
          <w:szCs w:val="22"/>
        </w:rPr>
        <w:t>the Subsidiary Body on Implementation</w:t>
      </w:r>
      <w:r w:rsidR="00DA41C8" w:rsidRPr="004F3BF9">
        <w:rPr>
          <w:snapToGrid w:val="0"/>
          <w:kern w:val="22"/>
          <w:szCs w:val="22"/>
        </w:rPr>
        <w:t xml:space="preserve"> </w:t>
      </w:r>
      <w:r w:rsidR="00EC5831" w:rsidRPr="004F3BF9">
        <w:rPr>
          <w:snapToGrid w:val="0"/>
          <w:kern w:val="22"/>
          <w:szCs w:val="22"/>
        </w:rPr>
        <w:t xml:space="preserve">at its second meeting </w:t>
      </w:r>
      <w:r w:rsidRPr="004F3BF9">
        <w:rPr>
          <w:snapToGrid w:val="0"/>
          <w:kern w:val="22"/>
          <w:szCs w:val="22"/>
        </w:rPr>
        <w:t>(</w:t>
      </w:r>
      <w:r w:rsidR="00DA5CFB" w:rsidRPr="004F3BF9">
        <w:rPr>
          <w:snapToGrid w:val="0"/>
          <w:kern w:val="22"/>
          <w:szCs w:val="22"/>
        </w:rPr>
        <w:t>CBD/SBI/2/2/Add.1</w:t>
      </w:r>
      <w:r w:rsidRPr="004F3BF9">
        <w:rPr>
          <w:snapToGrid w:val="0"/>
          <w:kern w:val="22"/>
          <w:szCs w:val="22"/>
        </w:rPr>
        <w:t>)</w:t>
      </w:r>
      <w:r w:rsidR="004A137E" w:rsidRPr="004F3BF9">
        <w:rPr>
          <w:snapToGrid w:val="0"/>
          <w:kern w:val="22"/>
          <w:szCs w:val="22"/>
        </w:rPr>
        <w:t>,</w:t>
      </w:r>
      <w:r w:rsidRPr="004F3BF9">
        <w:rPr>
          <w:snapToGrid w:val="0"/>
          <w:kern w:val="22"/>
          <w:szCs w:val="22"/>
        </w:rPr>
        <w:t xml:space="preserve"> to reflect further national-level activities carried out since the earlier document was prepared and/or that are currently under way, according to information provided by countries and using those NBSAPs that were received by the Secretariat in a</w:t>
      </w:r>
      <w:r w:rsidR="00CC41AC" w:rsidRPr="004F3BF9">
        <w:rPr>
          <w:snapToGrid w:val="0"/>
          <w:kern w:val="22"/>
          <w:szCs w:val="22"/>
        </w:rPr>
        <w:t>n official language of the</w:t>
      </w:r>
      <w:r w:rsidRPr="004F3BF9">
        <w:rPr>
          <w:snapToGrid w:val="0"/>
          <w:kern w:val="22"/>
          <w:szCs w:val="22"/>
        </w:rPr>
        <w:t xml:space="preserve"> United Nations by </w:t>
      </w:r>
      <w:r w:rsidR="00841DB0" w:rsidRPr="004F3BF9">
        <w:rPr>
          <w:snapToGrid w:val="0"/>
          <w:kern w:val="22"/>
          <w:szCs w:val="22"/>
        </w:rPr>
        <w:t>21 September</w:t>
      </w:r>
      <w:r w:rsidR="00F50542" w:rsidRPr="004F3BF9">
        <w:rPr>
          <w:snapToGrid w:val="0"/>
          <w:kern w:val="22"/>
          <w:szCs w:val="22"/>
        </w:rPr>
        <w:t xml:space="preserve"> </w:t>
      </w:r>
      <w:r w:rsidRPr="004F3BF9">
        <w:rPr>
          <w:snapToGrid w:val="0"/>
          <w:kern w:val="22"/>
          <w:szCs w:val="22"/>
        </w:rPr>
        <w:t>201</w:t>
      </w:r>
      <w:r w:rsidR="00F50542" w:rsidRPr="004F3BF9">
        <w:rPr>
          <w:snapToGrid w:val="0"/>
          <w:kern w:val="22"/>
          <w:szCs w:val="22"/>
        </w:rPr>
        <w:t>8</w:t>
      </w:r>
      <w:r w:rsidRPr="004F3BF9">
        <w:rPr>
          <w:snapToGrid w:val="0"/>
          <w:kern w:val="22"/>
          <w:szCs w:val="22"/>
        </w:rPr>
        <w:t>.</w:t>
      </w:r>
    </w:p>
    <w:p w:rsidR="00F50542" w:rsidRPr="004F3BF9"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Progress in the development or revision/updating of NBSAPs is summarized in section II.</w:t>
      </w:r>
      <w:r w:rsidR="00605B42" w:rsidRPr="004F3BF9">
        <w:rPr>
          <w:snapToGrid w:val="0"/>
          <w:kern w:val="22"/>
          <w:szCs w:val="22"/>
        </w:rPr>
        <w:t xml:space="preserve"> </w:t>
      </w:r>
      <w:r w:rsidRPr="004F3BF9">
        <w:rPr>
          <w:snapToGrid w:val="0"/>
          <w:kern w:val="22"/>
          <w:szCs w:val="22"/>
        </w:rPr>
        <w:t>A summary of progress in establishing national targets, including in relation to achieving the</w:t>
      </w:r>
      <w:r w:rsidR="00605B42" w:rsidRPr="004F3BF9">
        <w:rPr>
          <w:snapToGrid w:val="0"/>
          <w:kern w:val="22"/>
          <w:szCs w:val="22"/>
        </w:rPr>
        <w:t xml:space="preserve"> </w:t>
      </w:r>
      <w:r w:rsidRPr="004F3BF9">
        <w:rPr>
          <w:snapToGrid w:val="0"/>
          <w:kern w:val="22"/>
          <w:szCs w:val="22"/>
        </w:rPr>
        <w:t>Aichi Biodiversity Targets, is provided in section III. An analysis of the contents of the NBSAPs submitted since the adoption of the Strategic Plan for Biodiversity 2011-2020 is provided in section IV.</w:t>
      </w:r>
    </w:p>
    <w:p w:rsidR="00292F67" w:rsidRPr="004F3BF9" w:rsidRDefault="00292F67" w:rsidP="00232464">
      <w:pPr>
        <w:pStyle w:val="Heading1multiline"/>
        <w:suppressLineNumbers/>
        <w:tabs>
          <w:tab w:val="clear" w:pos="720"/>
        </w:tabs>
        <w:suppressAutoHyphens/>
        <w:kinsoku w:val="0"/>
        <w:overflowPunct w:val="0"/>
        <w:autoSpaceDE w:val="0"/>
        <w:autoSpaceDN w:val="0"/>
        <w:adjustRightInd w:val="0"/>
        <w:snapToGrid w:val="0"/>
        <w:spacing w:before="120"/>
        <w:ind w:left="1844" w:right="994" w:hanging="562"/>
        <w:rPr>
          <w:snapToGrid w:val="0"/>
          <w:kern w:val="22"/>
          <w:szCs w:val="22"/>
        </w:rPr>
      </w:pPr>
      <w:r w:rsidRPr="004F3BF9">
        <w:rPr>
          <w:snapToGrid w:val="0"/>
          <w:kern w:val="22"/>
          <w:szCs w:val="22"/>
        </w:rPr>
        <w:t>II.</w:t>
      </w:r>
      <w:r w:rsidRPr="004F3BF9">
        <w:rPr>
          <w:snapToGrid w:val="0"/>
          <w:kern w:val="22"/>
          <w:szCs w:val="22"/>
        </w:rPr>
        <w:tab/>
        <w:t>Progress in developing or revising and updating national biodiversity strategies and action plans</w:t>
      </w:r>
    </w:p>
    <w:p w:rsidR="00292F67" w:rsidRPr="004F3BF9"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Since 1993, 1</w:t>
      </w:r>
      <w:r w:rsidR="00CB65FD" w:rsidRPr="004F3BF9">
        <w:rPr>
          <w:snapToGrid w:val="0"/>
          <w:kern w:val="22"/>
          <w:szCs w:val="22"/>
        </w:rPr>
        <w:t>90</w:t>
      </w:r>
      <w:r w:rsidRPr="004F3BF9">
        <w:rPr>
          <w:snapToGrid w:val="0"/>
          <w:kern w:val="22"/>
          <w:szCs w:val="22"/>
        </w:rPr>
        <w:t xml:space="preserve"> Parties (9</w:t>
      </w:r>
      <w:r w:rsidR="00CB65FD" w:rsidRPr="004F3BF9">
        <w:rPr>
          <w:snapToGrid w:val="0"/>
          <w:kern w:val="22"/>
          <w:szCs w:val="22"/>
        </w:rPr>
        <w:t>7</w:t>
      </w:r>
      <w:r w:rsidRPr="004F3BF9">
        <w:rPr>
          <w:snapToGrid w:val="0"/>
          <w:kern w:val="22"/>
          <w:szCs w:val="22"/>
        </w:rPr>
        <w:t xml:space="preserve">%) have developed at least one NBSAP, while </w:t>
      </w:r>
      <w:r w:rsidR="00CB65FD" w:rsidRPr="004F3BF9">
        <w:rPr>
          <w:snapToGrid w:val="0"/>
          <w:kern w:val="22"/>
          <w:szCs w:val="22"/>
        </w:rPr>
        <w:t>6</w:t>
      </w:r>
      <w:r w:rsidRPr="004F3BF9">
        <w:rPr>
          <w:snapToGrid w:val="0"/>
          <w:kern w:val="22"/>
          <w:szCs w:val="22"/>
        </w:rPr>
        <w:t xml:space="preserve"> Parties have yet to submit their first</w:t>
      </w:r>
      <w:r w:rsidR="007808DA" w:rsidRPr="004F3BF9">
        <w:rPr>
          <w:snapToGrid w:val="0"/>
          <w:kern w:val="22"/>
          <w:szCs w:val="22"/>
        </w:rPr>
        <w:t xml:space="preserve"> NBSAP</w:t>
      </w:r>
      <w:r w:rsidRPr="004F3BF9">
        <w:rPr>
          <w:snapToGrid w:val="0"/>
          <w:kern w:val="22"/>
          <w:szCs w:val="22"/>
        </w:rPr>
        <w:t xml:space="preserve">. As of </w:t>
      </w:r>
      <w:r w:rsidR="009C7E98" w:rsidRPr="004F3BF9">
        <w:rPr>
          <w:snapToGrid w:val="0"/>
          <w:kern w:val="22"/>
          <w:szCs w:val="22"/>
        </w:rPr>
        <w:t xml:space="preserve">21 September </w:t>
      </w:r>
      <w:r w:rsidR="00F50542" w:rsidRPr="004F3BF9">
        <w:rPr>
          <w:snapToGrid w:val="0"/>
          <w:kern w:val="22"/>
          <w:szCs w:val="22"/>
        </w:rPr>
        <w:t xml:space="preserve">2018, </w:t>
      </w:r>
      <w:r w:rsidRPr="004F3BF9">
        <w:rPr>
          <w:snapToGrid w:val="0"/>
          <w:kern w:val="22"/>
          <w:szCs w:val="22"/>
        </w:rPr>
        <w:t>of the 1</w:t>
      </w:r>
      <w:r w:rsidR="00CB65FD" w:rsidRPr="004F3BF9">
        <w:rPr>
          <w:snapToGrid w:val="0"/>
          <w:kern w:val="22"/>
          <w:szCs w:val="22"/>
        </w:rPr>
        <w:t>90</w:t>
      </w:r>
      <w:r w:rsidRPr="004F3BF9">
        <w:rPr>
          <w:snapToGrid w:val="0"/>
          <w:kern w:val="22"/>
          <w:szCs w:val="22"/>
        </w:rPr>
        <w:t xml:space="preserve"> Parties that have prepared NBSAPs</w:t>
      </w:r>
      <w:r w:rsidR="00E66E46" w:rsidRPr="004F3BF9">
        <w:rPr>
          <w:snapToGrid w:val="0"/>
          <w:kern w:val="22"/>
          <w:szCs w:val="22"/>
        </w:rPr>
        <w:t>,</w:t>
      </w:r>
      <w:r w:rsidR="00977C14" w:rsidRPr="004F3BF9">
        <w:rPr>
          <w:snapToGrid w:val="0"/>
          <w:kern w:val="22"/>
          <w:szCs w:val="22"/>
        </w:rPr>
        <w:br w:type="textWrapping" w:clear="all"/>
      </w:r>
      <w:r w:rsidRPr="004F3BF9">
        <w:rPr>
          <w:snapToGrid w:val="0"/>
          <w:kern w:val="22"/>
          <w:szCs w:val="22"/>
        </w:rPr>
        <w:t>1</w:t>
      </w:r>
      <w:r w:rsidR="00EB34E9" w:rsidRPr="004F3BF9">
        <w:rPr>
          <w:snapToGrid w:val="0"/>
          <w:kern w:val="22"/>
          <w:szCs w:val="22"/>
        </w:rPr>
        <w:t>4</w:t>
      </w:r>
      <w:r w:rsidR="00977C14" w:rsidRPr="004F3BF9">
        <w:rPr>
          <w:snapToGrid w:val="0"/>
          <w:kern w:val="22"/>
          <w:szCs w:val="22"/>
        </w:rPr>
        <w:t>8</w:t>
      </w:r>
      <w:r w:rsidR="00C15A80" w:rsidRPr="004F3BF9">
        <w:rPr>
          <w:snapToGrid w:val="0"/>
          <w:kern w:val="22"/>
          <w:szCs w:val="22"/>
        </w:rPr>
        <w:t xml:space="preserve"> </w:t>
      </w:r>
      <w:r w:rsidRPr="004F3BF9">
        <w:rPr>
          <w:snapToGrid w:val="0"/>
          <w:kern w:val="22"/>
          <w:szCs w:val="22"/>
        </w:rPr>
        <w:t>have revised them at least once.</w:t>
      </w:r>
    </w:p>
    <w:p w:rsidR="00292F67" w:rsidRPr="004F3BF9" w:rsidRDefault="00F505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Since the tenth meeting of the Conference of the Parties, the majority of Parties have initiated further revisions of their NBSAPs in response to decision X/2. Of the 145 countries eligible for funding from the Global Environment Facility (GEF), 141 have now accessed funds set aside in GEF-5 and GEF</w:t>
      </w:r>
      <w:r w:rsidRPr="004F3BF9">
        <w:rPr>
          <w:snapToGrid w:val="0"/>
          <w:kern w:val="22"/>
          <w:szCs w:val="22"/>
        </w:rPr>
        <w:noBreakHyphen/>
        <w:t>6 for Biodiversity Enabling Activities (49 through UNDP, 84 through UNEP, 1 through FAO, 1 through the Inter-American Development Bank (IADB), and 6 via Direct Access). The total investment in these revision projects to date is US$ 31,231,908 of the GEF grant (US$ 30,263,908 in GEF-5 and US$ 968,000 in GEF-6) and US$ 53,049,355 in total cash and in-kind co-financing (US$ 52,219,355 in GEF-5 and US$ 830,000 in GEF-6). A number of Parties, notably the Government of Japan</w:t>
      </w:r>
      <w:r w:rsidR="009C7E98" w:rsidRPr="004F3BF9">
        <w:rPr>
          <w:snapToGrid w:val="0"/>
          <w:kern w:val="22"/>
          <w:szCs w:val="22"/>
        </w:rPr>
        <w:t>,</w:t>
      </w:r>
      <w:r w:rsidRPr="004F3BF9">
        <w:rPr>
          <w:snapToGrid w:val="0"/>
          <w:kern w:val="22"/>
          <w:szCs w:val="22"/>
        </w:rPr>
        <w:t xml:space="preserve"> through its Japan Biodiversity Fund, have provided additional support for the NBSAP revision process.</w:t>
      </w:r>
    </w:p>
    <w:p w:rsidR="00F50542" w:rsidRPr="004F3BF9" w:rsidRDefault="00766641"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B</w:t>
      </w:r>
      <w:r w:rsidR="00292F67" w:rsidRPr="004F3BF9">
        <w:rPr>
          <w:snapToGrid w:val="0"/>
          <w:kern w:val="22"/>
          <w:szCs w:val="22"/>
        </w:rPr>
        <w:t>y the December 2015 deadline established in Aichi Biodiversity Target 17, 69 Parties had submitted an NBSAP prepared or revised/updated after the adoption of the Strategic Plan for Biodiversity 2011-2020.</w:t>
      </w:r>
      <w:r w:rsidR="007808DA" w:rsidRPr="004F3BF9">
        <w:rPr>
          <w:snapToGrid w:val="0"/>
          <w:kern w:val="22"/>
          <w:szCs w:val="22"/>
        </w:rPr>
        <w:t xml:space="preserve"> As of </w:t>
      </w:r>
      <w:r w:rsidR="00977C14" w:rsidRPr="004F3BF9">
        <w:rPr>
          <w:snapToGrid w:val="0"/>
          <w:kern w:val="22"/>
          <w:szCs w:val="22"/>
        </w:rPr>
        <w:t>21 September 2018, 92</w:t>
      </w:r>
      <w:r w:rsidR="001770D3" w:rsidRPr="004F3BF9">
        <w:rPr>
          <w:snapToGrid w:val="0"/>
          <w:kern w:val="22"/>
          <w:szCs w:val="22"/>
        </w:rPr>
        <w:t xml:space="preserve"> additional countries ha</w:t>
      </w:r>
      <w:r w:rsidR="00816881" w:rsidRPr="004F3BF9">
        <w:rPr>
          <w:snapToGrid w:val="0"/>
          <w:kern w:val="22"/>
          <w:szCs w:val="22"/>
        </w:rPr>
        <w:t>ve</w:t>
      </w:r>
      <w:r w:rsidR="001770D3" w:rsidRPr="004F3BF9">
        <w:rPr>
          <w:snapToGrid w:val="0"/>
          <w:kern w:val="22"/>
          <w:szCs w:val="22"/>
        </w:rPr>
        <w:t xml:space="preserve"> submitted an NBSAP</w:t>
      </w:r>
      <w:r w:rsidR="001E4FE5" w:rsidRPr="004F3BF9">
        <w:rPr>
          <w:snapToGrid w:val="0"/>
          <w:kern w:val="22"/>
          <w:szCs w:val="22"/>
        </w:rPr>
        <w:t>,</w:t>
      </w:r>
      <w:r w:rsidR="001770D3" w:rsidRPr="004F3BF9">
        <w:rPr>
          <w:snapToGrid w:val="0"/>
          <w:kern w:val="22"/>
          <w:szCs w:val="22"/>
        </w:rPr>
        <w:t xml:space="preserve"> bringing the total to 1</w:t>
      </w:r>
      <w:r w:rsidR="00977C14" w:rsidRPr="004F3BF9">
        <w:rPr>
          <w:snapToGrid w:val="0"/>
          <w:kern w:val="22"/>
          <w:szCs w:val="22"/>
        </w:rPr>
        <w:t>61</w:t>
      </w:r>
      <w:r w:rsidR="00585ED7" w:rsidRPr="004F3BF9">
        <w:rPr>
          <w:snapToGrid w:val="0"/>
          <w:kern w:val="22"/>
          <w:szCs w:val="22"/>
        </w:rPr>
        <w:t>.</w:t>
      </w:r>
      <w:r w:rsidR="00292F67" w:rsidRPr="004F3BF9">
        <w:rPr>
          <w:snapToGrid w:val="0"/>
          <w:kern w:val="22"/>
          <w:szCs w:val="22"/>
          <w:vertAlign w:val="superscript"/>
        </w:rPr>
        <w:footnoteReference w:id="2"/>
      </w:r>
      <w:r w:rsidR="00C1268E" w:rsidRPr="004F3BF9">
        <w:rPr>
          <w:snapToGrid w:val="0"/>
          <w:kern w:val="22"/>
          <w:szCs w:val="22"/>
        </w:rPr>
        <w:t xml:space="preserve"> </w:t>
      </w:r>
      <w:r w:rsidR="00F50542" w:rsidRPr="004F3BF9">
        <w:rPr>
          <w:snapToGrid w:val="0"/>
          <w:kern w:val="22"/>
          <w:szCs w:val="22"/>
        </w:rPr>
        <w:t>Of this total,</w:t>
      </w:r>
      <w:r w:rsidR="00C1268E" w:rsidRPr="004F3BF9">
        <w:rPr>
          <w:snapToGrid w:val="0"/>
          <w:kern w:val="22"/>
          <w:szCs w:val="22"/>
        </w:rPr>
        <w:t xml:space="preserve"> </w:t>
      </w:r>
      <w:r w:rsidR="00F50542" w:rsidRPr="004F3BF9">
        <w:rPr>
          <w:bCs/>
          <w:snapToGrid w:val="0"/>
          <w:kern w:val="22"/>
          <w:szCs w:val="22"/>
        </w:rPr>
        <w:t>1</w:t>
      </w:r>
      <w:r w:rsidR="00E24C28" w:rsidRPr="004F3BF9">
        <w:rPr>
          <w:bCs/>
          <w:snapToGrid w:val="0"/>
          <w:kern w:val="22"/>
          <w:szCs w:val="22"/>
        </w:rPr>
        <w:t>40</w:t>
      </w:r>
      <w:r w:rsidR="00F50542" w:rsidRPr="004F3BF9">
        <w:rPr>
          <w:snapToGrid w:val="0"/>
          <w:kern w:val="22"/>
          <w:szCs w:val="22"/>
        </w:rPr>
        <w:t xml:space="preserve"> Parties submitted revised</w:t>
      </w:r>
      <w:r w:rsidR="00AF17E8" w:rsidRPr="004F3BF9">
        <w:rPr>
          <w:snapToGrid w:val="0"/>
          <w:kern w:val="22"/>
          <w:szCs w:val="22"/>
        </w:rPr>
        <w:t xml:space="preserve"> NBSAPs</w:t>
      </w:r>
      <w:r w:rsidR="00A2246F" w:rsidRPr="004F3BF9">
        <w:rPr>
          <w:snapToGrid w:val="0"/>
          <w:kern w:val="22"/>
          <w:szCs w:val="22"/>
        </w:rPr>
        <w:t>,</w:t>
      </w:r>
      <w:r w:rsidR="00EB4EC1" w:rsidRPr="004F3BF9">
        <w:rPr>
          <w:snapToGrid w:val="0"/>
          <w:kern w:val="22"/>
          <w:szCs w:val="22"/>
          <w:vertAlign w:val="superscript"/>
        </w:rPr>
        <w:footnoteReference w:id="3"/>
      </w:r>
      <w:r w:rsidR="00F50542" w:rsidRPr="004F3BF9">
        <w:rPr>
          <w:snapToGrid w:val="0"/>
          <w:kern w:val="22"/>
          <w:szCs w:val="22"/>
        </w:rPr>
        <w:t xml:space="preserve"> </w:t>
      </w:r>
      <w:r w:rsidR="00F50542" w:rsidRPr="004F3BF9">
        <w:rPr>
          <w:bCs/>
          <w:snapToGrid w:val="0"/>
          <w:kern w:val="22"/>
          <w:szCs w:val="22"/>
        </w:rPr>
        <w:t>1</w:t>
      </w:r>
      <w:r w:rsidR="00033843" w:rsidRPr="004F3BF9">
        <w:rPr>
          <w:bCs/>
          <w:snapToGrid w:val="0"/>
          <w:kern w:val="22"/>
          <w:szCs w:val="22"/>
        </w:rPr>
        <w:t>5</w:t>
      </w:r>
      <w:r w:rsidR="00F50542" w:rsidRPr="004F3BF9">
        <w:rPr>
          <w:snapToGrid w:val="0"/>
          <w:kern w:val="22"/>
          <w:szCs w:val="22"/>
        </w:rPr>
        <w:t xml:space="preserve"> Parties submitted their first NBSAPs</w:t>
      </w:r>
      <w:r w:rsidR="00A2246F" w:rsidRPr="004F3BF9">
        <w:rPr>
          <w:snapToGrid w:val="0"/>
          <w:kern w:val="22"/>
          <w:szCs w:val="22"/>
        </w:rPr>
        <w:t>,</w:t>
      </w:r>
      <w:r w:rsidR="00F50542" w:rsidRPr="004F3BF9">
        <w:rPr>
          <w:snapToGrid w:val="0"/>
          <w:kern w:val="22"/>
          <w:szCs w:val="22"/>
        </w:rPr>
        <w:t xml:space="preserve"> </w:t>
      </w:r>
      <w:r w:rsidR="00F50542" w:rsidRPr="004F3BF9">
        <w:rPr>
          <w:bCs/>
          <w:snapToGrid w:val="0"/>
          <w:kern w:val="22"/>
          <w:szCs w:val="22"/>
        </w:rPr>
        <w:t>2</w:t>
      </w:r>
      <w:r w:rsidR="00A30470" w:rsidRPr="004F3BF9">
        <w:rPr>
          <w:snapToGrid w:val="0"/>
          <w:kern w:val="22"/>
          <w:szCs w:val="22"/>
        </w:rPr>
        <w:t> </w:t>
      </w:r>
      <w:r w:rsidR="00F50542" w:rsidRPr="004F3BF9">
        <w:rPr>
          <w:snapToGrid w:val="0"/>
          <w:kern w:val="22"/>
          <w:szCs w:val="22"/>
        </w:rPr>
        <w:t>Parties submitted both their first NBSAP and a revised version</w:t>
      </w:r>
      <w:r w:rsidR="00A2246F" w:rsidRPr="004F3BF9">
        <w:rPr>
          <w:snapToGrid w:val="0"/>
          <w:kern w:val="22"/>
          <w:szCs w:val="22"/>
        </w:rPr>
        <w:t>,</w:t>
      </w:r>
      <w:r w:rsidR="00F50542" w:rsidRPr="004F3BF9">
        <w:rPr>
          <w:snapToGrid w:val="0"/>
          <w:kern w:val="22"/>
          <w:szCs w:val="22"/>
        </w:rPr>
        <w:t xml:space="preserve"> </w:t>
      </w:r>
      <w:r w:rsidR="00F50542" w:rsidRPr="004F3BF9">
        <w:rPr>
          <w:bCs/>
          <w:snapToGrid w:val="0"/>
          <w:kern w:val="22"/>
          <w:szCs w:val="22"/>
        </w:rPr>
        <w:t>2</w:t>
      </w:r>
      <w:r w:rsidR="00F50542" w:rsidRPr="004F3BF9">
        <w:rPr>
          <w:snapToGrid w:val="0"/>
          <w:kern w:val="22"/>
          <w:szCs w:val="22"/>
        </w:rPr>
        <w:t xml:space="preserve"> Parties submitted two revised versions</w:t>
      </w:r>
      <w:r w:rsidR="00A2246F" w:rsidRPr="004F3BF9">
        <w:rPr>
          <w:snapToGrid w:val="0"/>
          <w:kern w:val="22"/>
          <w:szCs w:val="22"/>
        </w:rPr>
        <w:t>,</w:t>
      </w:r>
      <w:r w:rsidR="00F50542" w:rsidRPr="004F3BF9">
        <w:rPr>
          <w:snapToGrid w:val="0"/>
          <w:kern w:val="22"/>
          <w:szCs w:val="22"/>
        </w:rPr>
        <w:t xml:space="preserve"> </w:t>
      </w:r>
      <w:r w:rsidR="00F50542" w:rsidRPr="004F3BF9">
        <w:rPr>
          <w:bCs/>
          <w:snapToGrid w:val="0"/>
          <w:kern w:val="22"/>
          <w:szCs w:val="22"/>
        </w:rPr>
        <w:t>1</w:t>
      </w:r>
      <w:r w:rsidR="00585ED7" w:rsidRPr="004F3BF9">
        <w:rPr>
          <w:snapToGrid w:val="0"/>
          <w:kern w:val="22"/>
          <w:szCs w:val="22"/>
        </w:rPr>
        <w:t> </w:t>
      </w:r>
      <w:r w:rsidR="00F50542" w:rsidRPr="004F3BF9">
        <w:rPr>
          <w:snapToGrid w:val="0"/>
          <w:kern w:val="22"/>
          <w:szCs w:val="22"/>
        </w:rPr>
        <w:t xml:space="preserve">Party submitted an Action Plan to 2020 for enhancing implementation of its Strategy adopted before </w:t>
      </w:r>
      <w:r w:rsidR="00585ED7" w:rsidRPr="004F3BF9">
        <w:rPr>
          <w:snapToGrid w:val="0"/>
          <w:kern w:val="22"/>
          <w:szCs w:val="22"/>
        </w:rPr>
        <w:t>the tenth meeting of the Conference of the Parties</w:t>
      </w:r>
      <w:r w:rsidR="00A2246F" w:rsidRPr="004F3BF9">
        <w:rPr>
          <w:snapToGrid w:val="0"/>
          <w:kern w:val="22"/>
          <w:szCs w:val="22"/>
        </w:rPr>
        <w:t>,</w:t>
      </w:r>
      <w:r w:rsidR="00F50542" w:rsidRPr="004F3BF9">
        <w:rPr>
          <w:snapToGrid w:val="0"/>
          <w:kern w:val="22"/>
          <w:szCs w:val="22"/>
        </w:rPr>
        <w:t xml:space="preserve"> and </w:t>
      </w:r>
      <w:r w:rsidR="00F50542" w:rsidRPr="004F3BF9">
        <w:rPr>
          <w:bCs/>
          <w:snapToGrid w:val="0"/>
          <w:kern w:val="22"/>
          <w:szCs w:val="22"/>
        </w:rPr>
        <w:t>1</w:t>
      </w:r>
      <w:r w:rsidR="00F50542" w:rsidRPr="004F3BF9">
        <w:rPr>
          <w:snapToGrid w:val="0"/>
          <w:kern w:val="22"/>
          <w:szCs w:val="22"/>
        </w:rPr>
        <w:t xml:space="preserve"> Party submitted a first NBSAP developed in 2010</w:t>
      </w:r>
      <w:r w:rsidR="001E4FE5" w:rsidRPr="004F3BF9">
        <w:rPr>
          <w:snapToGrid w:val="0"/>
          <w:kern w:val="22"/>
          <w:szCs w:val="22"/>
        </w:rPr>
        <w:t>,</w:t>
      </w:r>
      <w:r w:rsidR="00F50542" w:rsidRPr="004F3BF9">
        <w:rPr>
          <w:snapToGrid w:val="0"/>
          <w:kern w:val="22"/>
          <w:szCs w:val="22"/>
        </w:rPr>
        <w:t xml:space="preserve"> prior to </w:t>
      </w:r>
      <w:r w:rsidR="00585ED7" w:rsidRPr="004F3BF9">
        <w:rPr>
          <w:snapToGrid w:val="0"/>
          <w:kern w:val="22"/>
          <w:szCs w:val="22"/>
        </w:rPr>
        <w:t>the tenth meeting of the Conference of the Parties</w:t>
      </w:r>
      <w:r w:rsidR="00F50542" w:rsidRPr="004F3BF9">
        <w:rPr>
          <w:snapToGrid w:val="0"/>
          <w:kern w:val="22"/>
          <w:szCs w:val="22"/>
        </w:rPr>
        <w:t>. The current status of NBSAP preparation and revision/updating, as reported informally to the Secretariat, is as follows:</w:t>
      </w:r>
    </w:p>
    <w:p w:rsidR="00292F67" w:rsidRPr="004F3BF9" w:rsidRDefault="00F50542" w:rsidP="00232464">
      <w:pPr>
        <w:keepNext/>
        <w:suppressLineNumbers/>
        <w:suppressAutoHyphens/>
        <w:spacing w:before="120" w:after="120"/>
        <w:ind w:left="709"/>
        <w:jc w:val="left"/>
        <w:rPr>
          <w:snapToGrid w:val="0"/>
          <w:kern w:val="22"/>
          <w:szCs w:val="22"/>
        </w:rPr>
      </w:pPr>
      <w:r w:rsidRPr="004F3BF9">
        <w:rPr>
          <w:b/>
          <w:snapToGrid w:val="0"/>
          <w:color w:val="000000"/>
          <w:kern w:val="22"/>
          <w:szCs w:val="22"/>
        </w:rPr>
        <w:lastRenderedPageBreak/>
        <w:t xml:space="preserve">NBSAP preparation and revision/updating status as of </w:t>
      </w:r>
      <w:r w:rsidR="00871642" w:rsidRPr="004F3BF9">
        <w:rPr>
          <w:b/>
          <w:snapToGrid w:val="0"/>
          <w:color w:val="000000"/>
          <w:kern w:val="22"/>
          <w:szCs w:val="22"/>
        </w:rPr>
        <w:t xml:space="preserve">21 September </w:t>
      </w:r>
      <w:r w:rsidR="00292F67" w:rsidRPr="004F3BF9">
        <w:rPr>
          <w:b/>
          <w:snapToGrid w:val="0"/>
          <w:color w:val="000000"/>
          <w:kern w:val="22"/>
          <w:szCs w:val="22"/>
        </w:rPr>
        <w:t>201</w:t>
      </w:r>
      <w:r w:rsidRPr="004F3BF9">
        <w:rPr>
          <w:b/>
          <w:snapToGrid w:val="0"/>
          <w:color w:val="000000"/>
          <w:kern w:val="22"/>
          <w:szCs w:val="22"/>
        </w:rPr>
        <w:t>8</w:t>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0"/>
        <w:gridCol w:w="1890"/>
      </w:tblGrid>
      <w:tr w:rsidR="00292F67" w:rsidRPr="004F3BF9" w:rsidTr="00F208A6">
        <w:trPr>
          <w:cantSplit/>
          <w:jc w:val="center"/>
        </w:trPr>
        <w:tc>
          <w:tcPr>
            <w:tcW w:w="5920" w:type="dxa"/>
            <w:noWrap/>
            <w:tcMar>
              <w:top w:w="0" w:type="dxa"/>
              <w:left w:w="70" w:type="dxa"/>
              <w:bottom w:w="0" w:type="dxa"/>
              <w:right w:w="70" w:type="dxa"/>
            </w:tcMar>
            <w:hideMark/>
          </w:tcPr>
          <w:p w:rsidR="00292F67" w:rsidRPr="004F3BF9" w:rsidRDefault="00292F67" w:rsidP="00232464">
            <w:pPr>
              <w:suppressLineNumbers/>
              <w:suppressAutoHyphens/>
              <w:kinsoku w:val="0"/>
              <w:overflowPunct w:val="0"/>
              <w:autoSpaceDE w:val="0"/>
              <w:autoSpaceDN w:val="0"/>
              <w:adjustRightInd w:val="0"/>
              <w:snapToGrid w:val="0"/>
              <w:jc w:val="left"/>
              <w:rPr>
                <w:rFonts w:eastAsia="Calibri"/>
                <w:snapToGrid w:val="0"/>
                <w:color w:val="000000"/>
                <w:kern w:val="22"/>
                <w:szCs w:val="22"/>
              </w:rPr>
            </w:pPr>
            <w:r w:rsidRPr="004F3BF9">
              <w:rPr>
                <w:snapToGrid w:val="0"/>
                <w:color w:val="000000"/>
                <w:kern w:val="22"/>
                <w:szCs w:val="22"/>
              </w:rPr>
              <w:t>NBSAPs submitted to the Secretariat</w:t>
            </w:r>
          </w:p>
        </w:tc>
        <w:tc>
          <w:tcPr>
            <w:tcW w:w="1890" w:type="dxa"/>
            <w:shd w:val="clear" w:color="auto" w:fill="auto"/>
            <w:noWrap/>
            <w:tcMar>
              <w:top w:w="0" w:type="dxa"/>
              <w:left w:w="70" w:type="dxa"/>
              <w:bottom w:w="0" w:type="dxa"/>
              <w:right w:w="720" w:type="dxa"/>
            </w:tcMar>
            <w:hideMark/>
          </w:tcPr>
          <w:p w:rsidR="00292F67" w:rsidRPr="004F3BF9" w:rsidRDefault="00292F67" w:rsidP="00232464">
            <w:pPr>
              <w:suppressLineNumbers/>
              <w:suppressAutoHyphens/>
              <w:kinsoku w:val="0"/>
              <w:overflowPunct w:val="0"/>
              <w:autoSpaceDE w:val="0"/>
              <w:autoSpaceDN w:val="0"/>
              <w:adjustRightInd w:val="0"/>
              <w:snapToGrid w:val="0"/>
              <w:jc w:val="right"/>
              <w:rPr>
                <w:rFonts w:eastAsia="Calibri"/>
                <w:snapToGrid w:val="0"/>
                <w:kern w:val="22"/>
                <w:szCs w:val="22"/>
              </w:rPr>
            </w:pPr>
            <w:r w:rsidRPr="004F3BF9">
              <w:rPr>
                <w:snapToGrid w:val="0"/>
                <w:kern w:val="22"/>
                <w:szCs w:val="22"/>
              </w:rPr>
              <w:t>1</w:t>
            </w:r>
            <w:r w:rsidR="00871642" w:rsidRPr="004F3BF9">
              <w:rPr>
                <w:snapToGrid w:val="0"/>
                <w:kern w:val="22"/>
                <w:szCs w:val="22"/>
              </w:rPr>
              <w:t>61</w:t>
            </w:r>
          </w:p>
        </w:tc>
      </w:tr>
      <w:tr w:rsidR="00292F67" w:rsidRPr="004F3BF9" w:rsidTr="00F208A6">
        <w:trPr>
          <w:cantSplit/>
          <w:jc w:val="center"/>
        </w:trPr>
        <w:tc>
          <w:tcPr>
            <w:tcW w:w="5920" w:type="dxa"/>
            <w:tcBorders>
              <w:bottom w:val="single" w:sz="4" w:space="0" w:color="auto"/>
            </w:tcBorders>
            <w:tcMar>
              <w:top w:w="0" w:type="dxa"/>
              <w:left w:w="70" w:type="dxa"/>
              <w:bottom w:w="0" w:type="dxa"/>
              <w:right w:w="70" w:type="dxa"/>
            </w:tcMar>
            <w:hideMark/>
          </w:tcPr>
          <w:p w:rsidR="00292F67" w:rsidRPr="004F3BF9" w:rsidRDefault="00F50542" w:rsidP="00232464">
            <w:pPr>
              <w:suppressLineNumbers/>
              <w:suppressAutoHyphens/>
              <w:kinsoku w:val="0"/>
              <w:overflowPunct w:val="0"/>
              <w:autoSpaceDE w:val="0"/>
              <w:autoSpaceDN w:val="0"/>
              <w:adjustRightInd w:val="0"/>
              <w:snapToGrid w:val="0"/>
              <w:jc w:val="left"/>
              <w:rPr>
                <w:snapToGrid w:val="0"/>
                <w:color w:val="000000"/>
                <w:kern w:val="22"/>
                <w:szCs w:val="22"/>
              </w:rPr>
            </w:pPr>
            <w:r w:rsidRPr="004F3BF9">
              <w:rPr>
                <w:snapToGrid w:val="0"/>
                <w:color w:val="000000"/>
                <w:kern w:val="22"/>
                <w:szCs w:val="22"/>
              </w:rPr>
              <w:t>NBSAPs completed but not submitted (pending final approval)</w:t>
            </w:r>
          </w:p>
        </w:tc>
        <w:tc>
          <w:tcPr>
            <w:tcW w:w="1890" w:type="dxa"/>
            <w:tcBorders>
              <w:bottom w:val="single" w:sz="4" w:space="0" w:color="auto"/>
            </w:tcBorders>
            <w:shd w:val="clear" w:color="auto" w:fill="auto"/>
            <w:noWrap/>
            <w:tcMar>
              <w:top w:w="0" w:type="dxa"/>
              <w:left w:w="70" w:type="dxa"/>
              <w:bottom w:w="0" w:type="dxa"/>
              <w:right w:w="720" w:type="dxa"/>
            </w:tcMar>
            <w:hideMark/>
          </w:tcPr>
          <w:p w:rsidR="00292F67" w:rsidRPr="004F3BF9" w:rsidRDefault="00A24351" w:rsidP="00232464">
            <w:pPr>
              <w:suppressLineNumbers/>
              <w:suppressAutoHyphens/>
              <w:kinsoku w:val="0"/>
              <w:overflowPunct w:val="0"/>
              <w:autoSpaceDE w:val="0"/>
              <w:autoSpaceDN w:val="0"/>
              <w:adjustRightInd w:val="0"/>
              <w:snapToGrid w:val="0"/>
              <w:jc w:val="right"/>
              <w:rPr>
                <w:rFonts w:eastAsia="Calibri"/>
                <w:snapToGrid w:val="0"/>
                <w:kern w:val="22"/>
                <w:szCs w:val="22"/>
              </w:rPr>
            </w:pPr>
            <w:r w:rsidRPr="004F3BF9">
              <w:rPr>
                <w:snapToGrid w:val="0"/>
                <w:kern w:val="22"/>
                <w:szCs w:val="22"/>
              </w:rPr>
              <w:t>4</w:t>
            </w:r>
            <w:r w:rsidR="00F50542" w:rsidRPr="004F3BF9">
              <w:rPr>
                <w:snapToGrid w:val="0"/>
                <w:kern w:val="22"/>
                <w:szCs w:val="22"/>
              </w:rPr>
              <w:t xml:space="preserve"> </w:t>
            </w:r>
          </w:p>
        </w:tc>
      </w:tr>
      <w:tr w:rsidR="00292F67" w:rsidRPr="004F3BF9" w:rsidTr="00F208A6">
        <w:trPr>
          <w:cantSplit/>
          <w:jc w:val="center"/>
        </w:trPr>
        <w:tc>
          <w:tcPr>
            <w:tcW w:w="5920" w:type="dxa"/>
            <w:tcBorders>
              <w:bottom w:val="nil"/>
            </w:tcBorders>
            <w:shd w:val="clear" w:color="auto" w:fill="FFFFFF"/>
            <w:noWrap/>
            <w:tcMar>
              <w:top w:w="0" w:type="dxa"/>
              <w:left w:w="70" w:type="dxa"/>
              <w:bottom w:w="0" w:type="dxa"/>
              <w:right w:w="70" w:type="dxa"/>
            </w:tcMar>
            <w:hideMark/>
          </w:tcPr>
          <w:p w:rsidR="00292F67" w:rsidRPr="004F3BF9" w:rsidRDefault="00F50542" w:rsidP="00232464">
            <w:pPr>
              <w:suppressLineNumbers/>
              <w:suppressAutoHyphens/>
              <w:kinsoku w:val="0"/>
              <w:overflowPunct w:val="0"/>
              <w:autoSpaceDE w:val="0"/>
              <w:autoSpaceDN w:val="0"/>
              <w:adjustRightInd w:val="0"/>
              <w:snapToGrid w:val="0"/>
              <w:jc w:val="left"/>
              <w:rPr>
                <w:rFonts w:eastAsia="Calibri"/>
                <w:snapToGrid w:val="0"/>
                <w:color w:val="000000"/>
                <w:kern w:val="22"/>
                <w:szCs w:val="22"/>
              </w:rPr>
            </w:pPr>
            <w:r w:rsidRPr="004F3BF9">
              <w:rPr>
                <w:snapToGrid w:val="0"/>
                <w:color w:val="000000"/>
                <w:kern w:val="22"/>
                <w:szCs w:val="22"/>
              </w:rPr>
              <w:t>NBSAP under preparation</w:t>
            </w:r>
          </w:p>
        </w:tc>
        <w:tc>
          <w:tcPr>
            <w:tcW w:w="1890" w:type="dxa"/>
            <w:tcBorders>
              <w:bottom w:val="nil"/>
            </w:tcBorders>
            <w:shd w:val="clear" w:color="auto" w:fill="auto"/>
            <w:noWrap/>
            <w:tcMar>
              <w:top w:w="0" w:type="dxa"/>
              <w:left w:w="70" w:type="dxa"/>
              <w:bottom w:w="0" w:type="dxa"/>
              <w:right w:w="720" w:type="dxa"/>
            </w:tcMar>
            <w:hideMark/>
          </w:tcPr>
          <w:p w:rsidR="00292F67" w:rsidRPr="004F3BF9" w:rsidRDefault="00E21B7C" w:rsidP="00232464">
            <w:pPr>
              <w:suppressLineNumbers/>
              <w:suppressAutoHyphens/>
              <w:kinsoku w:val="0"/>
              <w:overflowPunct w:val="0"/>
              <w:autoSpaceDE w:val="0"/>
              <w:autoSpaceDN w:val="0"/>
              <w:adjustRightInd w:val="0"/>
              <w:snapToGrid w:val="0"/>
              <w:jc w:val="right"/>
              <w:rPr>
                <w:rFonts w:eastAsia="Calibri"/>
                <w:snapToGrid w:val="0"/>
                <w:kern w:val="22"/>
                <w:szCs w:val="22"/>
              </w:rPr>
            </w:pPr>
            <w:r w:rsidRPr="004F3BF9">
              <w:rPr>
                <w:snapToGrid w:val="0"/>
                <w:kern w:val="22"/>
                <w:szCs w:val="22"/>
              </w:rPr>
              <w:t>2</w:t>
            </w:r>
            <w:r w:rsidR="00A24351" w:rsidRPr="004F3BF9">
              <w:rPr>
                <w:snapToGrid w:val="0"/>
                <w:kern w:val="22"/>
                <w:szCs w:val="22"/>
              </w:rPr>
              <w:t>5</w:t>
            </w:r>
            <w:r w:rsidR="00F50542" w:rsidRPr="004F3BF9">
              <w:rPr>
                <w:snapToGrid w:val="0"/>
                <w:kern w:val="22"/>
                <w:szCs w:val="22"/>
              </w:rPr>
              <w:t xml:space="preserve"> </w:t>
            </w:r>
          </w:p>
        </w:tc>
      </w:tr>
      <w:tr w:rsidR="00292F67" w:rsidRPr="004F3BF9" w:rsidTr="00F208A6">
        <w:trPr>
          <w:cantSplit/>
          <w:jc w:val="center"/>
        </w:trPr>
        <w:tc>
          <w:tcPr>
            <w:tcW w:w="5920" w:type="dxa"/>
            <w:noWrap/>
            <w:tcMar>
              <w:top w:w="0" w:type="dxa"/>
              <w:left w:w="70" w:type="dxa"/>
              <w:bottom w:w="0" w:type="dxa"/>
              <w:right w:w="70" w:type="dxa"/>
            </w:tcMar>
            <w:hideMark/>
          </w:tcPr>
          <w:p w:rsidR="00292F67" w:rsidRPr="004F3BF9" w:rsidRDefault="00F50542" w:rsidP="00232464">
            <w:pPr>
              <w:suppressLineNumbers/>
              <w:suppressAutoHyphens/>
              <w:kinsoku w:val="0"/>
              <w:overflowPunct w:val="0"/>
              <w:autoSpaceDE w:val="0"/>
              <w:autoSpaceDN w:val="0"/>
              <w:adjustRightInd w:val="0"/>
              <w:snapToGrid w:val="0"/>
              <w:jc w:val="left"/>
              <w:rPr>
                <w:rFonts w:eastAsia="Calibri"/>
                <w:snapToGrid w:val="0"/>
                <w:color w:val="000000"/>
                <w:kern w:val="22"/>
                <w:szCs w:val="22"/>
              </w:rPr>
            </w:pPr>
            <w:r w:rsidRPr="004F3BF9">
              <w:rPr>
                <w:snapToGrid w:val="0"/>
                <w:color w:val="000000"/>
                <w:kern w:val="22"/>
                <w:szCs w:val="22"/>
              </w:rPr>
              <w:t>No plans to update NBSAP in the near future</w:t>
            </w:r>
          </w:p>
        </w:tc>
        <w:tc>
          <w:tcPr>
            <w:tcW w:w="1890" w:type="dxa"/>
            <w:shd w:val="clear" w:color="auto" w:fill="auto"/>
            <w:noWrap/>
            <w:tcMar>
              <w:top w:w="0" w:type="dxa"/>
              <w:left w:w="70" w:type="dxa"/>
              <w:bottom w:w="0" w:type="dxa"/>
              <w:right w:w="720" w:type="dxa"/>
            </w:tcMar>
            <w:hideMark/>
          </w:tcPr>
          <w:p w:rsidR="00F50542" w:rsidRPr="004F3BF9" w:rsidRDefault="00F50542" w:rsidP="00232464">
            <w:pPr>
              <w:pStyle w:val="ListParagraph"/>
              <w:suppressLineNumbers/>
              <w:suppressAutoHyphens/>
              <w:kinsoku w:val="0"/>
              <w:overflowPunct w:val="0"/>
              <w:autoSpaceDE w:val="0"/>
              <w:autoSpaceDN w:val="0"/>
              <w:adjustRightInd w:val="0"/>
              <w:snapToGrid w:val="0"/>
              <w:contextualSpacing w:val="0"/>
              <w:jc w:val="right"/>
              <w:rPr>
                <w:rFonts w:eastAsia="Calibri"/>
                <w:snapToGrid w:val="0"/>
                <w:color w:val="000000"/>
                <w:kern w:val="22"/>
                <w:szCs w:val="22"/>
              </w:rPr>
            </w:pPr>
            <w:r w:rsidRPr="004F3BF9">
              <w:rPr>
                <w:snapToGrid w:val="0"/>
                <w:color w:val="000000"/>
                <w:kern w:val="22"/>
                <w:szCs w:val="22"/>
              </w:rPr>
              <w:t>1</w:t>
            </w:r>
          </w:p>
        </w:tc>
      </w:tr>
      <w:tr w:rsidR="00292F67" w:rsidRPr="004F3BF9" w:rsidTr="00F208A6">
        <w:trPr>
          <w:cantSplit/>
          <w:jc w:val="center"/>
        </w:trPr>
        <w:tc>
          <w:tcPr>
            <w:tcW w:w="5920" w:type="dxa"/>
            <w:tcMar>
              <w:top w:w="0" w:type="dxa"/>
              <w:left w:w="70" w:type="dxa"/>
              <w:bottom w:w="0" w:type="dxa"/>
              <w:right w:w="70" w:type="dxa"/>
            </w:tcMar>
            <w:hideMark/>
          </w:tcPr>
          <w:p w:rsidR="00292F67" w:rsidRPr="004F3BF9" w:rsidRDefault="00F50542" w:rsidP="00232464">
            <w:pPr>
              <w:suppressLineNumbers/>
              <w:suppressAutoHyphens/>
              <w:kinsoku w:val="0"/>
              <w:overflowPunct w:val="0"/>
              <w:autoSpaceDE w:val="0"/>
              <w:autoSpaceDN w:val="0"/>
              <w:adjustRightInd w:val="0"/>
              <w:snapToGrid w:val="0"/>
              <w:jc w:val="left"/>
              <w:rPr>
                <w:rFonts w:eastAsia="Calibri"/>
                <w:snapToGrid w:val="0"/>
                <w:color w:val="000000"/>
                <w:kern w:val="22"/>
                <w:szCs w:val="22"/>
              </w:rPr>
            </w:pPr>
            <w:r w:rsidRPr="004F3BF9">
              <w:rPr>
                <w:snapToGrid w:val="0"/>
                <w:color w:val="000000"/>
                <w:kern w:val="22"/>
                <w:szCs w:val="22"/>
              </w:rPr>
              <w:t>No information</w:t>
            </w:r>
          </w:p>
        </w:tc>
        <w:tc>
          <w:tcPr>
            <w:tcW w:w="1890" w:type="dxa"/>
            <w:shd w:val="clear" w:color="auto" w:fill="auto"/>
            <w:noWrap/>
            <w:tcMar>
              <w:top w:w="0" w:type="dxa"/>
              <w:left w:w="70" w:type="dxa"/>
              <w:bottom w:w="0" w:type="dxa"/>
              <w:right w:w="720" w:type="dxa"/>
            </w:tcMar>
            <w:hideMark/>
          </w:tcPr>
          <w:p w:rsidR="00292F67" w:rsidRPr="004F3BF9" w:rsidRDefault="00F50542" w:rsidP="00232464">
            <w:pPr>
              <w:suppressLineNumbers/>
              <w:suppressAutoHyphens/>
              <w:kinsoku w:val="0"/>
              <w:overflowPunct w:val="0"/>
              <w:autoSpaceDE w:val="0"/>
              <w:autoSpaceDN w:val="0"/>
              <w:adjustRightInd w:val="0"/>
              <w:snapToGrid w:val="0"/>
              <w:jc w:val="right"/>
              <w:rPr>
                <w:rFonts w:eastAsia="Calibri"/>
                <w:snapToGrid w:val="0"/>
                <w:color w:val="000000"/>
                <w:kern w:val="22"/>
                <w:szCs w:val="22"/>
              </w:rPr>
            </w:pPr>
            <w:r w:rsidRPr="004F3BF9">
              <w:rPr>
                <w:snapToGrid w:val="0"/>
                <w:color w:val="000000"/>
                <w:kern w:val="22"/>
                <w:szCs w:val="22"/>
              </w:rPr>
              <w:t xml:space="preserve">5 </w:t>
            </w:r>
          </w:p>
        </w:tc>
      </w:tr>
      <w:tr w:rsidR="00292F67" w:rsidRPr="004F3BF9" w:rsidTr="00F208A6">
        <w:trPr>
          <w:cantSplit/>
          <w:jc w:val="center"/>
        </w:trPr>
        <w:tc>
          <w:tcPr>
            <w:tcW w:w="5920" w:type="dxa"/>
            <w:noWrap/>
            <w:tcMar>
              <w:top w:w="0" w:type="dxa"/>
              <w:left w:w="70" w:type="dxa"/>
              <w:bottom w:w="0" w:type="dxa"/>
              <w:right w:w="70" w:type="dxa"/>
            </w:tcMar>
            <w:hideMark/>
          </w:tcPr>
          <w:p w:rsidR="00292F67" w:rsidRPr="004F3BF9" w:rsidRDefault="00F50542" w:rsidP="00232464">
            <w:pPr>
              <w:suppressLineNumbers/>
              <w:suppressAutoHyphens/>
              <w:kinsoku w:val="0"/>
              <w:overflowPunct w:val="0"/>
              <w:autoSpaceDE w:val="0"/>
              <w:autoSpaceDN w:val="0"/>
              <w:adjustRightInd w:val="0"/>
              <w:snapToGrid w:val="0"/>
              <w:jc w:val="left"/>
              <w:rPr>
                <w:rFonts w:eastAsia="Calibri"/>
                <w:b/>
                <w:bCs/>
                <w:snapToGrid w:val="0"/>
                <w:color w:val="000000"/>
                <w:kern w:val="22"/>
                <w:szCs w:val="22"/>
              </w:rPr>
            </w:pPr>
            <w:r w:rsidRPr="004F3BF9">
              <w:rPr>
                <w:b/>
                <w:bCs/>
                <w:snapToGrid w:val="0"/>
                <w:color w:val="000000"/>
                <w:kern w:val="22"/>
                <w:szCs w:val="22"/>
              </w:rPr>
              <w:t>Total</w:t>
            </w:r>
          </w:p>
        </w:tc>
        <w:tc>
          <w:tcPr>
            <w:tcW w:w="1890" w:type="dxa"/>
            <w:noWrap/>
            <w:tcMar>
              <w:top w:w="0" w:type="dxa"/>
              <w:left w:w="70" w:type="dxa"/>
              <w:bottom w:w="0" w:type="dxa"/>
              <w:right w:w="720" w:type="dxa"/>
            </w:tcMar>
            <w:hideMark/>
          </w:tcPr>
          <w:p w:rsidR="00292F67" w:rsidRPr="004F3BF9" w:rsidRDefault="00F50542" w:rsidP="00232464">
            <w:pPr>
              <w:suppressLineNumbers/>
              <w:suppressAutoHyphens/>
              <w:kinsoku w:val="0"/>
              <w:overflowPunct w:val="0"/>
              <w:autoSpaceDE w:val="0"/>
              <w:autoSpaceDN w:val="0"/>
              <w:adjustRightInd w:val="0"/>
              <w:snapToGrid w:val="0"/>
              <w:jc w:val="right"/>
              <w:rPr>
                <w:rFonts w:eastAsia="Calibri"/>
                <w:b/>
                <w:bCs/>
                <w:snapToGrid w:val="0"/>
                <w:color w:val="000000"/>
                <w:kern w:val="22"/>
                <w:szCs w:val="22"/>
              </w:rPr>
            </w:pPr>
            <w:r w:rsidRPr="004F3BF9">
              <w:rPr>
                <w:b/>
                <w:bCs/>
                <w:snapToGrid w:val="0"/>
                <w:color w:val="000000"/>
                <w:kern w:val="22"/>
                <w:szCs w:val="22"/>
              </w:rPr>
              <w:t>196</w:t>
            </w:r>
          </w:p>
        </w:tc>
      </w:tr>
    </w:tbl>
    <w:p w:rsidR="00292F67" w:rsidRPr="004F3BF9" w:rsidRDefault="00292F67" w:rsidP="00232464">
      <w:pPr>
        <w:suppressLineNumbers/>
        <w:suppressAutoHyphens/>
        <w:kinsoku w:val="0"/>
        <w:overflowPunct w:val="0"/>
        <w:autoSpaceDE w:val="0"/>
        <w:autoSpaceDN w:val="0"/>
        <w:adjustRightInd w:val="0"/>
        <w:snapToGrid w:val="0"/>
        <w:rPr>
          <w:snapToGrid w:val="0"/>
          <w:kern w:val="22"/>
          <w:szCs w:val="22"/>
        </w:rPr>
      </w:pPr>
    </w:p>
    <w:p w:rsidR="00292F67" w:rsidRPr="004F3BF9"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It is important to recognize that many of the NBSAPs</w:t>
      </w:r>
      <w:r w:rsidR="00B05100" w:rsidRPr="004F3BF9">
        <w:rPr>
          <w:snapToGrid w:val="0"/>
          <w:kern w:val="22"/>
          <w:szCs w:val="22"/>
        </w:rPr>
        <w:t>,</w:t>
      </w:r>
      <w:r w:rsidRPr="004F3BF9">
        <w:rPr>
          <w:snapToGrid w:val="0"/>
          <w:kern w:val="22"/>
          <w:szCs w:val="22"/>
        </w:rPr>
        <w:t xml:space="preserve"> finalized prior to the adoption of the Strategic Plan for Biodiversity 2011-</w:t>
      </w:r>
      <w:r w:rsidR="00B05100" w:rsidRPr="004F3BF9">
        <w:rPr>
          <w:snapToGrid w:val="0"/>
          <w:kern w:val="22"/>
          <w:szCs w:val="22"/>
        </w:rPr>
        <w:t xml:space="preserve">2020, </w:t>
      </w:r>
      <w:r w:rsidRPr="004F3BF9">
        <w:rPr>
          <w:snapToGrid w:val="0"/>
          <w:kern w:val="22"/>
          <w:szCs w:val="22"/>
        </w:rPr>
        <w:t>contain elements which are nonetheless in line with the Plan and form the basis of the progress reported in the fifth national reports.</w:t>
      </w:r>
    </w:p>
    <w:p w:rsidR="00F50542" w:rsidRPr="004F3BF9" w:rsidRDefault="00292F67" w:rsidP="00232464">
      <w:pPr>
        <w:pStyle w:val="Heading1multiline"/>
        <w:suppressLineNumbers/>
        <w:tabs>
          <w:tab w:val="clear" w:pos="720"/>
        </w:tabs>
        <w:suppressAutoHyphens/>
        <w:kinsoku w:val="0"/>
        <w:overflowPunct w:val="0"/>
        <w:autoSpaceDE w:val="0"/>
        <w:autoSpaceDN w:val="0"/>
        <w:adjustRightInd w:val="0"/>
        <w:snapToGrid w:val="0"/>
        <w:spacing w:before="120"/>
        <w:ind w:left="1844" w:right="994" w:hanging="562"/>
        <w:rPr>
          <w:snapToGrid w:val="0"/>
          <w:kern w:val="22"/>
          <w:szCs w:val="22"/>
        </w:rPr>
      </w:pPr>
      <w:r w:rsidRPr="004F3BF9">
        <w:rPr>
          <w:snapToGrid w:val="0"/>
          <w:kern w:val="22"/>
          <w:szCs w:val="22"/>
        </w:rPr>
        <w:t>III.</w:t>
      </w:r>
      <w:r w:rsidRPr="004F3BF9">
        <w:rPr>
          <w:snapToGrid w:val="0"/>
          <w:kern w:val="22"/>
          <w:szCs w:val="22"/>
        </w:rPr>
        <w:tab/>
        <w:t>Progress in the establishment of national targets in relation to achieving the aichi biodiversity targets</w:t>
      </w:r>
    </w:p>
    <w:p w:rsidR="00F50542" w:rsidRPr="004F3BF9"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bookmarkStart w:id="1" w:name="_Ref320369045"/>
      <w:r w:rsidRPr="004F3BF9">
        <w:rPr>
          <w:snapToGrid w:val="0"/>
          <w:kern w:val="22"/>
          <w:szCs w:val="22"/>
        </w:rPr>
        <w:t>In decision X/2, the Conference of the Parties urged Parties and other Governments to develop national and regional targets, using the Strategic Plan for Biodiversity 2011-2020 and its</w:t>
      </w:r>
      <w:r w:rsidR="007808DA" w:rsidRPr="004F3BF9">
        <w:rPr>
          <w:snapToGrid w:val="0"/>
          <w:kern w:val="22"/>
          <w:szCs w:val="22"/>
        </w:rPr>
        <w:br w:type="textWrapping" w:clear="all"/>
      </w:r>
      <w:r w:rsidRPr="004F3BF9">
        <w:rPr>
          <w:snapToGrid w:val="0"/>
          <w:kern w:val="22"/>
          <w:szCs w:val="22"/>
        </w:rPr>
        <w:t>Aichi Biodiversity Targets as a flexible framework, in accordance with national priorities and capacities and the status and trends of biological diversity in the country, and</w:t>
      </w:r>
      <w:r w:rsidR="00F50542" w:rsidRPr="004F3BF9">
        <w:rPr>
          <w:snapToGrid w:val="0"/>
          <w:kern w:val="22"/>
          <w:szCs w:val="22"/>
        </w:rPr>
        <w:t xml:space="preserve"> resources provided through the strategy for resource mobilization,</w:t>
      </w:r>
      <w:r w:rsidRPr="004F3BF9">
        <w:rPr>
          <w:snapToGrid w:val="0"/>
          <w:kern w:val="22"/>
          <w:szCs w:val="22"/>
        </w:rPr>
        <w:t xml:space="preserve"> while also bearing in mind national contributions to the achievement of the global targets, and to report progress to the eleventh meeting of the Conference of the Parties.</w:t>
      </w:r>
      <w:r w:rsidR="007808DA" w:rsidRPr="004F3BF9">
        <w:rPr>
          <w:snapToGrid w:val="0"/>
          <w:kern w:val="22"/>
          <w:szCs w:val="22"/>
        </w:rPr>
        <w:br w:type="textWrapping" w:clear="all"/>
      </w:r>
      <w:r w:rsidRPr="004F3BF9">
        <w:rPr>
          <w:snapToGrid w:val="0"/>
          <w:kern w:val="22"/>
          <w:szCs w:val="22"/>
        </w:rPr>
        <w:t>Very few Parties were able to do so by that time, but the number has increased since then.</w:t>
      </w:r>
      <w:bookmarkEnd w:id="1"/>
    </w:p>
    <w:p w:rsidR="00F50542" w:rsidRPr="004312EA"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312EA">
        <w:rPr>
          <w:snapToGrid w:val="0"/>
          <w:kern w:val="22"/>
          <w:szCs w:val="22"/>
        </w:rPr>
        <w:t>The Secretariat has been compiling a database of all “targets”</w:t>
      </w:r>
      <w:r w:rsidR="00F50542" w:rsidRPr="004312EA">
        <w:rPr>
          <w:snapToGrid w:val="0"/>
          <w:kern w:val="22"/>
          <w:szCs w:val="22"/>
          <w:vertAlign w:val="superscript"/>
        </w:rPr>
        <w:footnoteReference w:id="4"/>
      </w:r>
      <w:r w:rsidRPr="004312EA">
        <w:rPr>
          <w:snapToGrid w:val="0"/>
          <w:kern w:val="22"/>
          <w:szCs w:val="22"/>
        </w:rPr>
        <w:t xml:space="preserve"> presented in NBSAPs, fifth national reports or separat</w:t>
      </w:r>
      <w:r w:rsidR="00F50542" w:rsidRPr="004312EA">
        <w:rPr>
          <w:snapToGrid w:val="0"/>
          <w:kern w:val="22"/>
          <w:szCs w:val="22"/>
        </w:rPr>
        <w:t xml:space="preserve">e documents submitted since the tenth meeting of the Conference of the Parties. As of </w:t>
      </w:r>
      <w:r w:rsidR="00CE0912" w:rsidRPr="004312EA">
        <w:rPr>
          <w:snapToGrid w:val="0"/>
          <w:kern w:val="22"/>
          <w:szCs w:val="22"/>
        </w:rPr>
        <w:t xml:space="preserve">21 September </w:t>
      </w:r>
      <w:r w:rsidR="00F50542" w:rsidRPr="004312EA">
        <w:rPr>
          <w:snapToGrid w:val="0"/>
          <w:kern w:val="22"/>
          <w:szCs w:val="22"/>
        </w:rPr>
        <w:t>2018, the database contains 3,</w:t>
      </w:r>
      <w:r w:rsidR="004A137E" w:rsidRPr="004312EA">
        <w:rPr>
          <w:snapToGrid w:val="0"/>
          <w:kern w:val="22"/>
          <w:szCs w:val="22"/>
        </w:rPr>
        <w:t>908</w:t>
      </w:r>
      <w:r w:rsidR="00F50542" w:rsidRPr="004312EA">
        <w:rPr>
          <w:snapToGrid w:val="0"/>
          <w:kern w:val="22"/>
          <w:szCs w:val="22"/>
        </w:rPr>
        <w:t xml:space="preserve"> separate “targets” and the number will continue to increase as more Parties submit NBSAPs. Wherever national targets have been mapped to the global targets by the </w:t>
      </w:r>
      <w:r w:rsidRPr="004312EA">
        <w:rPr>
          <w:snapToGrid w:val="0"/>
          <w:kern w:val="22"/>
          <w:szCs w:val="22"/>
        </w:rPr>
        <w:t xml:space="preserve">Party concerned, this is represented in the database. To date, </w:t>
      </w:r>
      <w:r w:rsidR="001073FE" w:rsidRPr="004312EA">
        <w:rPr>
          <w:snapToGrid w:val="0"/>
          <w:kern w:val="22"/>
          <w:szCs w:val="22"/>
        </w:rPr>
        <w:t>9</w:t>
      </w:r>
      <w:r w:rsidR="00BB3EFD" w:rsidRPr="004312EA">
        <w:rPr>
          <w:snapToGrid w:val="0"/>
          <w:kern w:val="22"/>
          <w:szCs w:val="22"/>
        </w:rPr>
        <w:t>3</w:t>
      </w:r>
      <w:r w:rsidR="00F50542" w:rsidRPr="004312EA">
        <w:rPr>
          <w:snapToGrid w:val="0"/>
          <w:kern w:val="22"/>
          <w:szCs w:val="22"/>
        </w:rPr>
        <w:t xml:space="preserve"> Parties</w:t>
      </w:r>
      <w:r w:rsidR="00F50542" w:rsidRPr="004312EA">
        <w:rPr>
          <w:snapToGrid w:val="0"/>
          <w:kern w:val="22"/>
          <w:szCs w:val="22"/>
          <w:vertAlign w:val="superscript"/>
        </w:rPr>
        <w:footnoteReference w:id="5"/>
      </w:r>
      <w:r w:rsidR="00F50542" w:rsidRPr="004312EA">
        <w:rPr>
          <w:snapToGrid w:val="0"/>
          <w:kern w:val="22"/>
          <w:szCs w:val="22"/>
        </w:rPr>
        <w:t xml:space="preserve"> </w:t>
      </w:r>
      <w:r w:rsidRPr="004312EA">
        <w:rPr>
          <w:snapToGrid w:val="0"/>
          <w:kern w:val="22"/>
          <w:szCs w:val="22"/>
        </w:rPr>
        <w:t>have done so. Further analysis of national targets is provided in the updated analysis of the contribution of targets establi</w:t>
      </w:r>
      <w:r w:rsidR="00F50542" w:rsidRPr="004312EA">
        <w:rPr>
          <w:snapToGrid w:val="0"/>
          <w:kern w:val="22"/>
          <w:szCs w:val="22"/>
        </w:rPr>
        <w:t>shed by Parties and progress towards the Aichi Biodiversity Targets (CBD/</w:t>
      </w:r>
      <w:r w:rsidR="00CE0912" w:rsidRPr="004312EA">
        <w:rPr>
          <w:snapToGrid w:val="0"/>
          <w:kern w:val="22"/>
          <w:szCs w:val="22"/>
        </w:rPr>
        <w:t>COP/14/</w:t>
      </w:r>
      <w:r w:rsidR="00FB1341" w:rsidRPr="004312EA">
        <w:rPr>
          <w:snapToGrid w:val="0"/>
          <w:kern w:val="22"/>
          <w:szCs w:val="22"/>
        </w:rPr>
        <w:t>5/Add.2</w:t>
      </w:r>
      <w:r w:rsidR="00F50542" w:rsidRPr="004312EA">
        <w:rPr>
          <w:snapToGrid w:val="0"/>
          <w:kern w:val="22"/>
          <w:szCs w:val="22"/>
        </w:rPr>
        <w:t>).</w:t>
      </w:r>
    </w:p>
    <w:p w:rsidR="007A3801" w:rsidRPr="004312EA" w:rsidRDefault="007A3801" w:rsidP="00232464">
      <w:pPr>
        <w:suppressLineNumbers/>
        <w:suppressAutoHyphens/>
        <w:spacing w:before="120" w:after="120"/>
        <w:jc w:val="left"/>
        <w:rPr>
          <w:b/>
          <w:bCs/>
          <w:caps/>
          <w:snapToGrid w:val="0"/>
          <w:kern w:val="22"/>
          <w:szCs w:val="22"/>
        </w:rPr>
      </w:pPr>
    </w:p>
    <w:p w:rsidR="00EC1942" w:rsidRPr="004312EA" w:rsidRDefault="00EC1942" w:rsidP="00232464">
      <w:pPr>
        <w:pStyle w:val="HEADING"/>
        <w:suppressLineNumbers/>
        <w:suppressAutoHyphens/>
        <w:kinsoku w:val="0"/>
        <w:overflowPunct w:val="0"/>
        <w:autoSpaceDE w:val="0"/>
        <w:autoSpaceDN w:val="0"/>
        <w:adjustRightInd w:val="0"/>
        <w:snapToGrid w:val="0"/>
        <w:spacing w:before="120"/>
        <w:ind w:left="1412" w:hanging="562"/>
        <w:jc w:val="left"/>
        <w:outlineLvl w:val="0"/>
        <w:rPr>
          <w:snapToGrid w:val="0"/>
          <w:kern w:val="22"/>
          <w:szCs w:val="22"/>
        </w:rPr>
      </w:pPr>
      <w:r w:rsidRPr="004312EA">
        <w:rPr>
          <w:snapToGrid w:val="0"/>
          <w:kern w:val="22"/>
          <w:szCs w:val="22"/>
        </w:rPr>
        <w:t>IV.</w:t>
      </w:r>
      <w:r w:rsidRPr="004312EA">
        <w:rPr>
          <w:snapToGrid w:val="0"/>
          <w:kern w:val="22"/>
          <w:szCs w:val="22"/>
        </w:rPr>
        <w:tab/>
        <w:t>analysis of contents of the NBSAPS RECEIVED AFTER ADOPTION OF THE STRATEGIC PLAN FOR BIODIVERSITY 2011-2020</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312EA">
        <w:rPr>
          <w:snapToGrid w:val="0"/>
          <w:kern w:val="22"/>
          <w:szCs w:val="22"/>
        </w:rPr>
        <w:t xml:space="preserve">This section presents </w:t>
      </w:r>
      <w:r w:rsidR="00C55EC6" w:rsidRPr="004312EA">
        <w:rPr>
          <w:snapToGrid w:val="0"/>
          <w:kern w:val="22"/>
          <w:szCs w:val="22"/>
        </w:rPr>
        <w:t xml:space="preserve">an update of </w:t>
      </w:r>
      <w:r w:rsidRPr="004312EA">
        <w:rPr>
          <w:snapToGrid w:val="0"/>
          <w:kern w:val="22"/>
          <w:szCs w:val="22"/>
        </w:rPr>
        <w:t xml:space="preserve">key findings from an internal analysis of </w:t>
      </w:r>
      <w:r w:rsidR="00C55EC6" w:rsidRPr="004312EA">
        <w:rPr>
          <w:snapToGrid w:val="0"/>
          <w:kern w:val="22"/>
          <w:szCs w:val="22"/>
        </w:rPr>
        <w:t xml:space="preserve">the </w:t>
      </w:r>
      <w:r w:rsidR="007A3801" w:rsidRPr="004312EA">
        <w:rPr>
          <w:snapToGrid w:val="0"/>
          <w:kern w:val="22"/>
          <w:szCs w:val="22"/>
        </w:rPr>
        <w:t xml:space="preserve">159 </w:t>
      </w:r>
      <w:r w:rsidR="004F201C" w:rsidRPr="004312EA">
        <w:rPr>
          <w:snapToGrid w:val="0"/>
          <w:kern w:val="22"/>
          <w:szCs w:val="22"/>
        </w:rPr>
        <w:t xml:space="preserve">NBSAPs received in </w:t>
      </w:r>
      <w:r w:rsidR="005E115D" w:rsidRPr="004312EA">
        <w:rPr>
          <w:snapToGrid w:val="0"/>
          <w:kern w:val="22"/>
          <w:szCs w:val="22"/>
        </w:rPr>
        <w:t>one of the official languages of the United Nations</w:t>
      </w:r>
      <w:r w:rsidR="00C55EC6" w:rsidRPr="004312EA">
        <w:rPr>
          <w:snapToGrid w:val="0"/>
          <w:kern w:val="22"/>
          <w:szCs w:val="22"/>
        </w:rPr>
        <w:t xml:space="preserve"> since the adoption of the Strategic Plan for Biodiversity</w:t>
      </w:r>
      <w:r w:rsidR="00C32C74" w:rsidRPr="004312EA">
        <w:rPr>
          <w:snapToGrid w:val="0"/>
          <w:kern w:val="22"/>
          <w:szCs w:val="22"/>
        </w:rPr>
        <w:t xml:space="preserve"> </w:t>
      </w:r>
      <w:r w:rsidR="00D37BBE" w:rsidRPr="004312EA">
        <w:rPr>
          <w:snapToGrid w:val="0"/>
          <w:kern w:val="22"/>
          <w:szCs w:val="22"/>
        </w:rPr>
        <w:t>through</w:t>
      </w:r>
      <w:r w:rsidR="00C32C74" w:rsidRPr="004312EA">
        <w:rPr>
          <w:snapToGrid w:val="0"/>
          <w:kern w:val="22"/>
          <w:szCs w:val="22"/>
        </w:rPr>
        <w:t xml:space="preserve"> </w:t>
      </w:r>
      <w:r w:rsidR="007A3801" w:rsidRPr="004312EA">
        <w:rPr>
          <w:snapToGrid w:val="0"/>
          <w:kern w:val="22"/>
          <w:szCs w:val="22"/>
        </w:rPr>
        <w:t>21 September</w:t>
      </w:r>
      <w:r w:rsidR="00C32C74" w:rsidRPr="004312EA">
        <w:rPr>
          <w:snapToGrid w:val="0"/>
          <w:kern w:val="22"/>
          <w:szCs w:val="22"/>
        </w:rPr>
        <w:t xml:space="preserve"> 2018.</w:t>
      </w:r>
      <w:r w:rsidR="00CD1799" w:rsidRPr="004312EA">
        <w:rPr>
          <w:rStyle w:val="FootnoteReference"/>
          <w:snapToGrid w:val="0"/>
          <w:kern w:val="22"/>
          <w:sz w:val="22"/>
          <w:szCs w:val="22"/>
          <w:u w:val="none"/>
          <w:vertAlign w:val="superscript"/>
        </w:rPr>
        <w:footnoteReference w:id="6"/>
      </w:r>
      <w:r w:rsidRPr="004312EA">
        <w:rPr>
          <w:snapToGrid w:val="0"/>
          <w:kern w:val="22"/>
          <w:szCs w:val="22"/>
        </w:rPr>
        <w:t xml:space="preserve"> This analysis is based on the NBSAP guidance adopted in</w:t>
      </w:r>
      <w:r w:rsidRPr="004F3BF9">
        <w:rPr>
          <w:snapToGrid w:val="0"/>
          <w:kern w:val="22"/>
          <w:szCs w:val="22"/>
        </w:rPr>
        <w:t xml:space="preserve"> </w:t>
      </w:r>
      <w:hyperlink r:id="rId15" w:history="1">
        <w:r w:rsidRPr="004F3BF9">
          <w:rPr>
            <w:rStyle w:val="Hyperlink"/>
            <w:snapToGrid w:val="0"/>
            <w:kern w:val="22"/>
            <w:szCs w:val="22"/>
          </w:rPr>
          <w:t>decision IX/8</w:t>
        </w:r>
      </w:hyperlink>
      <w:r w:rsidRPr="004F3BF9">
        <w:rPr>
          <w:snapToGrid w:val="0"/>
          <w:kern w:val="22"/>
          <w:szCs w:val="22"/>
        </w:rPr>
        <w:t xml:space="preserve"> and considers the following categories: (a) basic information; (b) revision process; (c)</w:t>
      </w:r>
      <w:r w:rsidR="003B2485" w:rsidRPr="004F3BF9">
        <w:rPr>
          <w:snapToGrid w:val="0"/>
          <w:kern w:val="22"/>
          <w:szCs w:val="22"/>
        </w:rPr>
        <w:t> </w:t>
      </w:r>
      <w:r w:rsidRPr="004F3BF9">
        <w:rPr>
          <w:snapToGrid w:val="0"/>
          <w:kern w:val="22"/>
          <w:szCs w:val="22"/>
        </w:rPr>
        <w:t>components of the NBSAP; and (d) mainstreaming. The information in the analysis is taken from the contents of the NBSAPs, unless otherwise indicated. A limited number of examples are provided to illustrate each category and subcategory of the analysis.</w:t>
      </w:r>
    </w:p>
    <w:p w:rsidR="00EC1942" w:rsidRPr="004F3BF9" w:rsidRDefault="00EC1942" w:rsidP="00232464">
      <w:pPr>
        <w:keepNext/>
        <w:suppressLineNumbers/>
        <w:suppressAutoHyphens/>
        <w:kinsoku w:val="0"/>
        <w:overflowPunct w:val="0"/>
        <w:autoSpaceDE w:val="0"/>
        <w:autoSpaceDN w:val="0"/>
        <w:adjustRightInd w:val="0"/>
        <w:snapToGrid w:val="0"/>
        <w:spacing w:before="120" w:after="120"/>
        <w:jc w:val="center"/>
        <w:outlineLvl w:val="1"/>
        <w:rPr>
          <w:b/>
          <w:i/>
          <w:snapToGrid w:val="0"/>
          <w:kern w:val="22"/>
          <w:szCs w:val="22"/>
        </w:rPr>
      </w:pPr>
      <w:r w:rsidRPr="004F3BF9">
        <w:rPr>
          <w:b/>
          <w:snapToGrid w:val="0"/>
          <w:kern w:val="22"/>
          <w:szCs w:val="22"/>
        </w:rPr>
        <w:t>A.</w:t>
      </w:r>
      <w:r w:rsidRPr="004F3BF9">
        <w:rPr>
          <w:b/>
          <w:snapToGrid w:val="0"/>
          <w:kern w:val="22"/>
          <w:szCs w:val="22"/>
        </w:rPr>
        <w:tab/>
        <w:t>Basic information</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NBSAPs have been submitted to the Secretariat in various forms. While </w:t>
      </w:r>
      <w:r w:rsidR="007A3801" w:rsidRPr="004F3BF9">
        <w:rPr>
          <w:snapToGrid w:val="0"/>
          <w:kern w:val="22"/>
          <w:szCs w:val="22"/>
        </w:rPr>
        <w:t xml:space="preserve">130 </w:t>
      </w:r>
      <w:r w:rsidRPr="004F3BF9">
        <w:rPr>
          <w:snapToGrid w:val="0"/>
          <w:kern w:val="22"/>
          <w:szCs w:val="22"/>
        </w:rPr>
        <w:t>of the documents</w:t>
      </w:r>
      <w:r w:rsidR="001C5594" w:rsidRPr="004F3BF9">
        <w:rPr>
          <w:snapToGrid w:val="0"/>
          <w:kern w:val="22"/>
          <w:szCs w:val="22"/>
        </w:rPr>
        <w:t xml:space="preserve"> reviewed</w:t>
      </w:r>
      <w:r w:rsidRPr="004F3BF9">
        <w:rPr>
          <w:rStyle w:val="FootnoteReference"/>
          <w:snapToGrid w:val="0"/>
          <w:kern w:val="22"/>
          <w:sz w:val="22"/>
          <w:szCs w:val="22"/>
          <w:u w:val="none"/>
          <w:vertAlign w:val="superscript"/>
        </w:rPr>
        <w:footnoteReference w:id="7"/>
      </w:r>
      <w:r w:rsidRPr="004F3BF9">
        <w:rPr>
          <w:snapToGrid w:val="0"/>
          <w:kern w:val="22"/>
          <w:szCs w:val="22"/>
        </w:rPr>
        <w:t xml:space="preserve"> are national biodiversity strategies </w:t>
      </w:r>
      <w:r w:rsidRPr="004F3BF9">
        <w:rPr>
          <w:iCs/>
          <w:snapToGrid w:val="0"/>
          <w:kern w:val="22"/>
          <w:szCs w:val="22"/>
        </w:rPr>
        <w:t>and</w:t>
      </w:r>
      <w:r w:rsidRPr="004F3BF9">
        <w:rPr>
          <w:snapToGrid w:val="0"/>
          <w:kern w:val="22"/>
          <w:szCs w:val="22"/>
        </w:rPr>
        <w:t xml:space="preserve"> action plans (NBSAPs), 22 are strategy or policy documents.</w:t>
      </w:r>
      <w:r w:rsidRPr="004F3BF9">
        <w:rPr>
          <w:rStyle w:val="FootnoteReference"/>
          <w:snapToGrid w:val="0"/>
          <w:kern w:val="22"/>
          <w:sz w:val="22"/>
          <w:szCs w:val="22"/>
          <w:u w:val="none"/>
          <w:vertAlign w:val="superscript"/>
        </w:rPr>
        <w:footnoteReference w:id="8"/>
      </w:r>
      <w:r w:rsidRPr="004F3BF9">
        <w:rPr>
          <w:snapToGrid w:val="0"/>
          <w:kern w:val="22"/>
          <w:szCs w:val="22"/>
        </w:rPr>
        <w:t xml:space="preserve"> Seven of the Parties</w:t>
      </w:r>
      <w:r w:rsidRPr="004F3BF9">
        <w:rPr>
          <w:rStyle w:val="FootnoteReference"/>
          <w:snapToGrid w:val="0"/>
          <w:kern w:val="22"/>
          <w:sz w:val="22"/>
          <w:szCs w:val="22"/>
          <w:u w:val="none"/>
          <w:vertAlign w:val="superscript"/>
        </w:rPr>
        <w:footnoteReference w:id="9"/>
      </w:r>
      <w:r w:rsidRPr="004F3BF9">
        <w:rPr>
          <w:snapToGrid w:val="0"/>
          <w:kern w:val="22"/>
          <w:szCs w:val="22"/>
        </w:rPr>
        <w:t xml:space="preserve"> that have submitted these strategy documents intend to develop action plans. For the purpose of this analysis, all of these documents are considered NBSAPs and the Secretariat refers to them as such.</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The timelines of the NBSAPs submitted to date also vary. While 8 NBSAPs</w:t>
      </w:r>
      <w:r w:rsidRPr="004F3BF9">
        <w:rPr>
          <w:snapToGrid w:val="0"/>
          <w:kern w:val="22"/>
          <w:szCs w:val="22"/>
          <w:vertAlign w:val="superscript"/>
        </w:rPr>
        <w:footnoteReference w:id="10"/>
      </w:r>
      <w:r w:rsidRPr="004F3BF9">
        <w:rPr>
          <w:snapToGrid w:val="0"/>
          <w:kern w:val="22"/>
          <w:szCs w:val="22"/>
        </w:rPr>
        <w:t xml:space="preserve"> cover periods between 2015 and 2018, </w:t>
      </w:r>
      <w:r w:rsidR="00920683" w:rsidRPr="004F3BF9">
        <w:rPr>
          <w:snapToGrid w:val="0"/>
          <w:kern w:val="22"/>
          <w:szCs w:val="22"/>
        </w:rPr>
        <w:t xml:space="preserve">80 </w:t>
      </w:r>
      <w:r w:rsidRPr="004F3BF9">
        <w:rPr>
          <w:snapToGrid w:val="0"/>
          <w:kern w:val="22"/>
          <w:szCs w:val="22"/>
        </w:rPr>
        <w:t>cover periods up to 2020</w:t>
      </w:r>
      <w:r w:rsidRPr="004F3BF9">
        <w:rPr>
          <w:snapToGrid w:val="0"/>
          <w:kern w:val="22"/>
          <w:szCs w:val="22"/>
          <w:vertAlign w:val="superscript"/>
        </w:rPr>
        <w:footnoteReference w:id="11"/>
      </w:r>
      <w:r w:rsidRPr="004F3BF9">
        <w:rPr>
          <w:snapToGrid w:val="0"/>
          <w:kern w:val="22"/>
          <w:szCs w:val="22"/>
        </w:rPr>
        <w:t xml:space="preserve"> and </w:t>
      </w:r>
      <w:r w:rsidR="00920683" w:rsidRPr="004F3BF9">
        <w:rPr>
          <w:snapToGrid w:val="0"/>
          <w:kern w:val="22"/>
          <w:szCs w:val="22"/>
        </w:rPr>
        <w:t xml:space="preserve">58 </w:t>
      </w:r>
      <w:r w:rsidRPr="004F3BF9">
        <w:rPr>
          <w:snapToGrid w:val="0"/>
          <w:kern w:val="22"/>
          <w:szCs w:val="22"/>
        </w:rPr>
        <w:t>others cover periods up to 2030.</w:t>
      </w:r>
      <w:r w:rsidRPr="004F3BF9">
        <w:rPr>
          <w:snapToGrid w:val="0"/>
          <w:kern w:val="22"/>
          <w:szCs w:val="22"/>
          <w:vertAlign w:val="superscript"/>
        </w:rPr>
        <w:footnoteReference w:id="12"/>
      </w:r>
    </w:p>
    <w:p w:rsidR="00EC1942" w:rsidRPr="004F3BF9"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rPr>
      </w:pPr>
      <w:r w:rsidRPr="004F3BF9">
        <w:rPr>
          <w:bCs/>
          <w:i/>
          <w:iCs/>
          <w:kern w:val="22"/>
          <w:szCs w:val="22"/>
        </w:rPr>
        <w:t>Adoption as policy instrument</w:t>
      </w:r>
    </w:p>
    <w:p w:rsidR="00EC1942" w:rsidRPr="006F7076"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spacing w:val="-2"/>
          <w:kern w:val="22"/>
          <w:szCs w:val="22"/>
        </w:rPr>
      </w:pPr>
      <w:r w:rsidRPr="006F7076">
        <w:rPr>
          <w:snapToGrid w:val="0"/>
          <w:spacing w:val="-2"/>
          <w:kern w:val="22"/>
          <w:szCs w:val="22"/>
        </w:rPr>
        <w:t>The text of Target 17 as well as the text of decision X/2 request that Parties adopt their revised NBSAPs as a policy instrument. The intent is to enable NBSAPs to become “whole-of-government” policies, thus facilitating the mainstreaming of biodiversity into all sectors of society and decision-making.</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The actual implications of adoption as a policy instrument will vary from country to country and by level of adoption, and it is still too early to assess if, and to what extent, adoption as a policy </w:t>
      </w:r>
      <w:r w:rsidRPr="004F3BF9">
        <w:rPr>
          <w:snapToGrid w:val="0"/>
          <w:kern w:val="22"/>
          <w:szCs w:val="22"/>
        </w:rPr>
        <w:lastRenderedPageBreak/>
        <w:t>instrument has indeed resulted in mainstreaming of biodiversity into sectoral and cross-sectoral policy and practice. In the meantime, the Secretariat observes that Parties have responded to this component of Aichi Biodiversity Target 17 by having their NBSAPs adopted by a variety of authorities, including royalty, cabinet</w:t>
      </w:r>
      <w:r w:rsidR="007C054B" w:rsidRPr="004F3BF9">
        <w:rPr>
          <w:snapToGrid w:val="0"/>
          <w:kern w:val="22"/>
          <w:szCs w:val="22"/>
        </w:rPr>
        <w:t>s</w:t>
      </w:r>
      <w:r w:rsidRPr="004F3BF9">
        <w:rPr>
          <w:snapToGrid w:val="0"/>
          <w:kern w:val="22"/>
          <w:szCs w:val="22"/>
        </w:rPr>
        <w:t xml:space="preserve"> and councils of ministers. Other Parties have kept this adoption strictly in the realm of the environmental sector.</w:t>
      </w:r>
      <w:r w:rsidR="006E2B04" w:rsidRPr="004F3BF9">
        <w:rPr>
          <w:snapToGrid w:val="0"/>
          <w:kern w:val="22"/>
          <w:szCs w:val="22"/>
        </w:rPr>
        <w:t xml:space="preserve"> </w:t>
      </w:r>
      <w:r w:rsidRPr="004F3BF9">
        <w:rPr>
          <w:snapToGrid w:val="0"/>
          <w:kern w:val="22"/>
          <w:szCs w:val="22"/>
        </w:rPr>
        <w:t>Some examples follow.</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A total of </w:t>
      </w:r>
      <w:r w:rsidR="00796E97" w:rsidRPr="004F3BF9">
        <w:rPr>
          <w:snapToGrid w:val="0"/>
          <w:kern w:val="22"/>
          <w:szCs w:val="22"/>
        </w:rPr>
        <w:t xml:space="preserve">52 </w:t>
      </w:r>
      <w:r w:rsidRPr="004F3BF9">
        <w:rPr>
          <w:snapToGrid w:val="0"/>
          <w:kern w:val="22"/>
          <w:szCs w:val="22"/>
        </w:rPr>
        <w:t>NBSAPs</w:t>
      </w:r>
      <w:r w:rsidRPr="004F3BF9">
        <w:rPr>
          <w:snapToGrid w:val="0"/>
          <w:kern w:val="22"/>
          <w:szCs w:val="22"/>
          <w:vertAlign w:val="superscript"/>
        </w:rPr>
        <w:footnoteReference w:id="13"/>
      </w:r>
      <w:r w:rsidRPr="004F3BF9">
        <w:rPr>
          <w:snapToGrid w:val="0"/>
          <w:kern w:val="22"/>
          <w:szCs w:val="22"/>
        </w:rPr>
        <w:t xml:space="preserve"> have been adopted as “whole-of-government” instruments. For example:</w:t>
      </w:r>
    </w:p>
    <w:p w:rsidR="00EC1942" w:rsidRPr="004F3BF9" w:rsidRDefault="00EC1942" w:rsidP="00232464">
      <w:pPr>
        <w:pStyle w:val="Para1"/>
        <w:numPr>
          <w:ilvl w:val="0"/>
          <w:numId w:val="7"/>
        </w:numPr>
        <w:suppressLineNumbers/>
        <w:tabs>
          <w:tab w:val="clear" w:pos="1080"/>
        </w:tabs>
        <w:suppressAutoHyphens/>
        <w:kinsoku w:val="0"/>
        <w:overflowPunct w:val="0"/>
        <w:autoSpaceDE w:val="0"/>
        <w:autoSpaceDN w:val="0"/>
        <w:adjustRightInd w:val="0"/>
        <w:snapToGrid w:val="0"/>
        <w:ind w:left="0" w:firstLine="763"/>
        <w:rPr>
          <w:kern w:val="22"/>
          <w:szCs w:val="22"/>
        </w:rPr>
      </w:pPr>
      <w:r w:rsidRPr="004F3BF9">
        <w:rPr>
          <w:kern w:val="22"/>
          <w:szCs w:val="22"/>
        </w:rPr>
        <w:t xml:space="preserve">The NBSAPs of </w:t>
      </w:r>
      <w:r w:rsidR="00D8426D" w:rsidRPr="004F3BF9">
        <w:rPr>
          <w:kern w:val="22"/>
          <w:szCs w:val="22"/>
        </w:rPr>
        <w:t xml:space="preserve">Cambodia, </w:t>
      </w:r>
      <w:r w:rsidRPr="004F3BF9">
        <w:rPr>
          <w:kern w:val="22"/>
          <w:szCs w:val="22"/>
        </w:rPr>
        <w:t xml:space="preserve">Croatia, India, Georgia, Germany, Guyana, Hungary, Japan, Myanmar, </w:t>
      </w:r>
      <w:r w:rsidR="00F47199" w:rsidRPr="004F3BF9">
        <w:rPr>
          <w:kern w:val="22"/>
          <w:szCs w:val="22"/>
        </w:rPr>
        <w:t xml:space="preserve">Namibia, </w:t>
      </w:r>
      <w:r w:rsidRPr="004F3BF9">
        <w:rPr>
          <w:kern w:val="22"/>
          <w:szCs w:val="22"/>
        </w:rPr>
        <w:t xml:space="preserve">Nepal, Norway, </w:t>
      </w:r>
      <w:r w:rsidR="00F47199" w:rsidRPr="004F3BF9">
        <w:rPr>
          <w:noProof/>
          <w:kern w:val="22"/>
          <w:szCs w:val="22"/>
        </w:rPr>
        <w:t xml:space="preserve">Republic of Korea, </w:t>
      </w:r>
      <w:r w:rsidRPr="004F3BF9">
        <w:rPr>
          <w:kern w:val="22"/>
          <w:szCs w:val="22"/>
        </w:rPr>
        <w:t xml:space="preserve">Seychelles, </w:t>
      </w:r>
      <w:r w:rsidR="00D8426D" w:rsidRPr="004F3BF9">
        <w:rPr>
          <w:kern w:val="22"/>
          <w:szCs w:val="22"/>
        </w:rPr>
        <w:t xml:space="preserve">Sri Lanka, </w:t>
      </w:r>
      <w:r w:rsidRPr="004F3BF9">
        <w:rPr>
          <w:kern w:val="22"/>
          <w:szCs w:val="22"/>
        </w:rPr>
        <w:t>Thailand, Tuvalu</w:t>
      </w:r>
      <w:r w:rsidR="00D8426D" w:rsidRPr="004F3BF9">
        <w:rPr>
          <w:kern w:val="22"/>
          <w:szCs w:val="22"/>
        </w:rPr>
        <w:t xml:space="preserve">, </w:t>
      </w:r>
      <w:r w:rsidRPr="004F3BF9">
        <w:rPr>
          <w:kern w:val="22"/>
          <w:szCs w:val="22"/>
        </w:rPr>
        <w:t>Ukraine</w:t>
      </w:r>
      <w:r w:rsidR="00D8426D" w:rsidRPr="004F3BF9">
        <w:rPr>
          <w:kern w:val="22"/>
          <w:szCs w:val="22"/>
        </w:rPr>
        <w:t xml:space="preserve"> and Zimbabwe</w:t>
      </w:r>
      <w:r w:rsidRPr="004F3BF9">
        <w:rPr>
          <w:kern w:val="22"/>
          <w:szCs w:val="22"/>
        </w:rPr>
        <w:t xml:space="preserve"> were adopted/endorsed by their Cabinets or </w:t>
      </w:r>
      <w:r w:rsidR="008F7D2A" w:rsidRPr="004F3BF9">
        <w:rPr>
          <w:kern w:val="22"/>
          <w:szCs w:val="22"/>
        </w:rPr>
        <w:t xml:space="preserve">an </w:t>
      </w:r>
      <w:r w:rsidRPr="004F3BF9">
        <w:rPr>
          <w:kern w:val="22"/>
          <w:szCs w:val="22"/>
        </w:rPr>
        <w:t>equivalent body;</w:t>
      </w:r>
    </w:p>
    <w:p w:rsidR="00EC1942" w:rsidRPr="004F3BF9" w:rsidRDefault="00EC1942" w:rsidP="00232464">
      <w:pPr>
        <w:pStyle w:val="Para1"/>
        <w:numPr>
          <w:ilvl w:val="0"/>
          <w:numId w:val="7"/>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F3BF9">
        <w:rPr>
          <w:kern w:val="22"/>
          <w:szCs w:val="22"/>
        </w:rPr>
        <w:t xml:space="preserve">The Councils of Ministers of Belarus, </w:t>
      </w:r>
      <w:r w:rsidR="00D8426D" w:rsidRPr="004F3BF9">
        <w:rPr>
          <w:kern w:val="22"/>
          <w:szCs w:val="22"/>
        </w:rPr>
        <w:t xml:space="preserve">Bosnia and Herzegovina, </w:t>
      </w:r>
      <w:r w:rsidRPr="004F3BF9">
        <w:rPr>
          <w:kern w:val="22"/>
          <w:szCs w:val="22"/>
        </w:rPr>
        <w:t xml:space="preserve">Benin, </w:t>
      </w:r>
      <w:r w:rsidR="00FE7920" w:rsidRPr="004F3BF9">
        <w:rPr>
          <w:kern w:val="22"/>
          <w:szCs w:val="22"/>
        </w:rPr>
        <w:t xml:space="preserve">Chile, </w:t>
      </w:r>
      <w:r w:rsidRPr="004F3BF9">
        <w:rPr>
          <w:kern w:val="22"/>
          <w:szCs w:val="22"/>
        </w:rPr>
        <w:t>Greece, Luxembourg, Mauritania, Poland and Sudan approved their NBSAP;</w:t>
      </w:r>
    </w:p>
    <w:p w:rsidR="00EC1942" w:rsidRPr="004F3BF9" w:rsidRDefault="00EC1942" w:rsidP="00232464">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4F3BF9">
        <w:rPr>
          <w:kern w:val="22"/>
          <w:szCs w:val="22"/>
        </w:rPr>
        <w:t>The NBSAPs of Azerbaijan</w:t>
      </w:r>
      <w:r w:rsidR="00D8426D" w:rsidRPr="004F3BF9">
        <w:rPr>
          <w:kern w:val="22"/>
          <w:szCs w:val="22"/>
        </w:rPr>
        <w:t xml:space="preserve">, Cambodia, </w:t>
      </w:r>
      <w:r w:rsidRPr="004F3BF9">
        <w:rPr>
          <w:kern w:val="22"/>
          <w:szCs w:val="22"/>
        </w:rPr>
        <w:t>France</w:t>
      </w:r>
      <w:r w:rsidR="009A1D25" w:rsidRPr="004F3BF9">
        <w:rPr>
          <w:kern w:val="22"/>
          <w:szCs w:val="22"/>
        </w:rPr>
        <w:t>, Palau</w:t>
      </w:r>
      <w:r w:rsidR="00D8426D" w:rsidRPr="004F3BF9">
        <w:rPr>
          <w:kern w:val="22"/>
          <w:szCs w:val="22"/>
        </w:rPr>
        <w:t xml:space="preserve"> and Spain</w:t>
      </w:r>
      <w:r w:rsidRPr="004F3BF9">
        <w:rPr>
          <w:kern w:val="22"/>
          <w:szCs w:val="22"/>
        </w:rPr>
        <w:t xml:space="preserve"> were approved by their Heads of Government;</w:t>
      </w:r>
    </w:p>
    <w:p w:rsidR="00EC1942" w:rsidRPr="004F3BF9" w:rsidRDefault="00585ED7" w:rsidP="00232464">
      <w:pPr>
        <w:pStyle w:val="Para1"/>
        <w:numPr>
          <w:ilvl w:val="0"/>
          <w:numId w:val="7"/>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F3BF9">
        <w:rPr>
          <w:kern w:val="22"/>
          <w:szCs w:val="22"/>
        </w:rPr>
        <w:t xml:space="preserve">The </w:t>
      </w:r>
      <w:r w:rsidR="00EC1942" w:rsidRPr="004F3BF9">
        <w:rPr>
          <w:kern w:val="22"/>
          <w:szCs w:val="22"/>
        </w:rPr>
        <w:t xml:space="preserve">NBSAP </w:t>
      </w:r>
      <w:r w:rsidRPr="004F3BF9">
        <w:rPr>
          <w:kern w:val="22"/>
          <w:szCs w:val="22"/>
        </w:rPr>
        <w:t xml:space="preserve">of Costa Rica </w:t>
      </w:r>
      <w:r w:rsidR="00EC1942" w:rsidRPr="004F3BF9">
        <w:rPr>
          <w:kern w:val="22"/>
          <w:szCs w:val="22"/>
        </w:rPr>
        <w:t>is part of the National Biodiversity Policy (2015-2030) (PNB) adopted by decree;</w:t>
      </w:r>
    </w:p>
    <w:p w:rsidR="00EC1942" w:rsidRPr="004F3BF9" w:rsidRDefault="00EC1942" w:rsidP="00232464">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4F3BF9">
        <w:rPr>
          <w:kern w:val="22"/>
          <w:szCs w:val="22"/>
        </w:rPr>
        <w:t>The NBSAP of the European Union was adopted by the Commission and was endorsed by the Council of Ministers and the European Parliament;</w:t>
      </w:r>
    </w:p>
    <w:p w:rsidR="00EC1942" w:rsidRPr="004F3BF9" w:rsidRDefault="00EC1942" w:rsidP="00232464">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4F3BF9">
        <w:rPr>
          <w:kern w:val="22"/>
          <w:szCs w:val="22"/>
        </w:rPr>
        <w:t>The NBSAP of Sweden was adopted by the Parliament.</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Another </w:t>
      </w:r>
      <w:r w:rsidR="00FE7920" w:rsidRPr="004F3BF9">
        <w:rPr>
          <w:snapToGrid w:val="0"/>
          <w:kern w:val="22"/>
          <w:szCs w:val="22"/>
        </w:rPr>
        <w:t>six</w:t>
      </w:r>
      <w:r w:rsidRPr="004F3BF9">
        <w:rPr>
          <w:snapToGrid w:val="0"/>
          <w:kern w:val="22"/>
          <w:szCs w:val="22"/>
        </w:rPr>
        <w:t xml:space="preserve"> NBSAPs</w:t>
      </w:r>
      <w:r w:rsidRPr="004F3BF9">
        <w:rPr>
          <w:snapToGrid w:val="0"/>
          <w:kern w:val="22"/>
          <w:szCs w:val="22"/>
          <w:vertAlign w:val="superscript"/>
        </w:rPr>
        <w:footnoteReference w:id="14"/>
      </w:r>
      <w:r w:rsidRPr="004F3BF9">
        <w:rPr>
          <w:snapToGrid w:val="0"/>
          <w:kern w:val="22"/>
          <w:szCs w:val="22"/>
        </w:rPr>
        <w:t xml:space="preserve"> have been adopted as instruments applying to the environmental sector. For example: the Biodiversity Conservation Strategy of Australia was adopted by the Government and functions as a policy “umbrella” over other more specific national environmental frameworks. It is also a guiding policy framework for the diverse mix of Australian, state, territory and local government and private sector approaches to biodiversity conservation</w:t>
      </w:r>
      <w:r w:rsidR="00612D1E" w:rsidRPr="004F3BF9">
        <w:rPr>
          <w:snapToGrid w:val="0"/>
          <w:kern w:val="22"/>
          <w:szCs w:val="22"/>
        </w:rPr>
        <w:t>.</w:t>
      </w:r>
    </w:p>
    <w:p w:rsidR="00F7372F"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A total of </w:t>
      </w:r>
      <w:r w:rsidR="002C2D3D" w:rsidRPr="004F3BF9">
        <w:rPr>
          <w:snapToGrid w:val="0"/>
          <w:kern w:val="22"/>
          <w:szCs w:val="22"/>
        </w:rPr>
        <w:t xml:space="preserve">17 </w:t>
      </w:r>
      <w:r w:rsidRPr="004F3BF9">
        <w:rPr>
          <w:snapToGrid w:val="0"/>
          <w:kern w:val="22"/>
          <w:szCs w:val="22"/>
        </w:rPr>
        <w:t>other countries</w:t>
      </w:r>
      <w:r w:rsidRPr="004F3BF9">
        <w:rPr>
          <w:rStyle w:val="FootnoteReference"/>
          <w:snapToGrid w:val="0"/>
          <w:kern w:val="22"/>
          <w:sz w:val="22"/>
          <w:szCs w:val="22"/>
          <w:u w:val="none"/>
          <w:vertAlign w:val="superscript"/>
        </w:rPr>
        <w:footnoteReference w:id="15"/>
      </w:r>
      <w:r w:rsidRPr="004F3BF9">
        <w:rPr>
          <w:snapToGrid w:val="0"/>
          <w:kern w:val="22"/>
          <w:szCs w:val="22"/>
        </w:rPr>
        <w:t xml:space="preserve"> have stated their intent to have their NBSAP adopted as a policy instrument. The remaining NBSAPs do not provide sufficient information to know if they have been adopted as a policy instrument, or, if they have been, what type of instruments they are.</w:t>
      </w:r>
    </w:p>
    <w:p w:rsidR="00293213" w:rsidRPr="004F3BF9" w:rsidRDefault="00293213"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The percentage of Parties that informed the Secretariat about the adoption of their NBSAPs as “whole-of-government” instruments varied with the source of funding. While over 50</w:t>
      </w:r>
      <w:r w:rsidR="00585ED7" w:rsidRPr="004F3BF9">
        <w:rPr>
          <w:snapToGrid w:val="0"/>
          <w:kern w:val="22"/>
          <w:szCs w:val="22"/>
        </w:rPr>
        <w:t xml:space="preserve"> per cent</w:t>
      </w:r>
      <w:r w:rsidRPr="004F3BF9">
        <w:rPr>
          <w:snapToGrid w:val="0"/>
          <w:kern w:val="22"/>
          <w:szCs w:val="22"/>
        </w:rPr>
        <w:t xml:space="preserve"> of Parties that are not eligible for financial support from the Global Environment Facility have adopted their NBSAP as </w:t>
      </w:r>
      <w:r w:rsidR="001A6F1F" w:rsidRPr="004F3BF9">
        <w:rPr>
          <w:snapToGrid w:val="0"/>
          <w:kern w:val="22"/>
          <w:szCs w:val="22"/>
        </w:rPr>
        <w:t xml:space="preserve">a </w:t>
      </w:r>
      <w:r w:rsidRPr="004F3BF9">
        <w:rPr>
          <w:snapToGrid w:val="0"/>
          <w:kern w:val="22"/>
          <w:szCs w:val="22"/>
        </w:rPr>
        <w:t>policy instrument</w:t>
      </w:r>
      <w:r w:rsidR="004155DA" w:rsidRPr="004F3BF9">
        <w:rPr>
          <w:snapToGrid w:val="0"/>
          <w:kern w:val="22"/>
          <w:szCs w:val="22"/>
        </w:rPr>
        <w:t xml:space="preserve"> applying to all of government</w:t>
      </w:r>
      <w:r w:rsidRPr="004F3BF9">
        <w:rPr>
          <w:snapToGrid w:val="0"/>
          <w:kern w:val="22"/>
          <w:szCs w:val="22"/>
        </w:rPr>
        <w:t xml:space="preserve">, only one out of three </w:t>
      </w:r>
      <w:r w:rsidR="00AD7C0C" w:rsidRPr="004F3BF9">
        <w:rPr>
          <w:snapToGrid w:val="0"/>
          <w:kern w:val="22"/>
          <w:szCs w:val="22"/>
        </w:rPr>
        <w:t>(</w:t>
      </w:r>
      <w:r w:rsidR="00502085" w:rsidRPr="004F3BF9">
        <w:rPr>
          <w:snapToGrid w:val="0"/>
          <w:kern w:val="22"/>
          <w:szCs w:val="22"/>
        </w:rPr>
        <w:t>3</w:t>
      </w:r>
      <w:r w:rsidR="0076476C" w:rsidRPr="004F3BF9">
        <w:rPr>
          <w:snapToGrid w:val="0"/>
          <w:kern w:val="22"/>
          <w:szCs w:val="22"/>
        </w:rPr>
        <w:t>2</w:t>
      </w:r>
      <w:r w:rsidR="00502085" w:rsidRPr="004F3BF9">
        <w:rPr>
          <w:snapToGrid w:val="0"/>
          <w:kern w:val="22"/>
          <w:szCs w:val="22"/>
        </w:rPr>
        <w:t xml:space="preserve"> </w:t>
      </w:r>
      <w:r w:rsidR="006477BC" w:rsidRPr="004F3BF9">
        <w:rPr>
          <w:snapToGrid w:val="0"/>
          <w:kern w:val="22"/>
          <w:szCs w:val="22"/>
        </w:rPr>
        <w:t> per cent</w:t>
      </w:r>
      <w:r w:rsidR="00AD7C0C" w:rsidRPr="004F3BF9">
        <w:rPr>
          <w:snapToGrid w:val="0"/>
          <w:kern w:val="22"/>
          <w:szCs w:val="22"/>
        </w:rPr>
        <w:t xml:space="preserve">) </w:t>
      </w:r>
      <w:r w:rsidRPr="004F3BF9">
        <w:rPr>
          <w:snapToGrid w:val="0"/>
          <w:kern w:val="22"/>
          <w:szCs w:val="22"/>
        </w:rPr>
        <w:t xml:space="preserve">of </w:t>
      </w:r>
      <w:r w:rsidR="00A31D73" w:rsidRPr="004F3BF9">
        <w:rPr>
          <w:snapToGrid w:val="0"/>
          <w:kern w:val="22"/>
          <w:szCs w:val="22"/>
        </w:rPr>
        <w:t xml:space="preserve">the </w:t>
      </w:r>
      <w:r w:rsidRPr="004F3BF9">
        <w:rPr>
          <w:snapToGrid w:val="0"/>
          <w:kern w:val="22"/>
          <w:szCs w:val="22"/>
        </w:rPr>
        <w:t xml:space="preserve">Parties that worked with </w:t>
      </w:r>
      <w:r w:rsidR="00585ED7" w:rsidRPr="004F3BF9">
        <w:rPr>
          <w:snapToGrid w:val="0"/>
          <w:kern w:val="22"/>
          <w:szCs w:val="22"/>
        </w:rPr>
        <w:t xml:space="preserve">the </w:t>
      </w:r>
      <w:r w:rsidRPr="004F3BF9">
        <w:rPr>
          <w:snapToGrid w:val="0"/>
          <w:kern w:val="22"/>
          <w:szCs w:val="22"/>
        </w:rPr>
        <w:t>U</w:t>
      </w:r>
      <w:r w:rsidR="00585ED7" w:rsidRPr="004F3BF9">
        <w:rPr>
          <w:snapToGrid w:val="0"/>
          <w:kern w:val="22"/>
          <w:szCs w:val="22"/>
        </w:rPr>
        <w:t xml:space="preserve">nited </w:t>
      </w:r>
      <w:r w:rsidRPr="004F3BF9">
        <w:rPr>
          <w:snapToGrid w:val="0"/>
          <w:kern w:val="22"/>
          <w:szCs w:val="22"/>
        </w:rPr>
        <w:t>N</w:t>
      </w:r>
      <w:r w:rsidR="00585ED7" w:rsidRPr="004F3BF9">
        <w:rPr>
          <w:snapToGrid w:val="0"/>
          <w:kern w:val="22"/>
          <w:szCs w:val="22"/>
        </w:rPr>
        <w:t xml:space="preserve">ations </w:t>
      </w:r>
      <w:r w:rsidRPr="004F3BF9">
        <w:rPr>
          <w:snapToGrid w:val="0"/>
          <w:kern w:val="22"/>
          <w:szCs w:val="22"/>
        </w:rPr>
        <w:t>D</w:t>
      </w:r>
      <w:r w:rsidR="00585ED7" w:rsidRPr="004F3BF9">
        <w:rPr>
          <w:snapToGrid w:val="0"/>
          <w:kern w:val="22"/>
          <w:szCs w:val="22"/>
        </w:rPr>
        <w:t xml:space="preserve">evelopment </w:t>
      </w:r>
      <w:r w:rsidRPr="004F3BF9">
        <w:rPr>
          <w:snapToGrid w:val="0"/>
          <w:kern w:val="22"/>
          <w:szCs w:val="22"/>
        </w:rPr>
        <w:t>P</w:t>
      </w:r>
      <w:r w:rsidR="00585ED7" w:rsidRPr="004F3BF9">
        <w:rPr>
          <w:snapToGrid w:val="0"/>
          <w:kern w:val="22"/>
          <w:szCs w:val="22"/>
        </w:rPr>
        <w:t>rogramme</w:t>
      </w:r>
      <w:r w:rsidRPr="004F3BF9">
        <w:rPr>
          <w:snapToGrid w:val="0"/>
          <w:kern w:val="22"/>
          <w:szCs w:val="22"/>
        </w:rPr>
        <w:t xml:space="preserve"> and one out of five </w:t>
      </w:r>
      <w:r w:rsidR="00466C1E" w:rsidRPr="004F3BF9">
        <w:rPr>
          <w:snapToGrid w:val="0"/>
          <w:kern w:val="22"/>
          <w:szCs w:val="22"/>
        </w:rPr>
        <w:t>(</w:t>
      </w:r>
      <w:r w:rsidR="0076476C" w:rsidRPr="004F3BF9">
        <w:rPr>
          <w:snapToGrid w:val="0"/>
          <w:kern w:val="22"/>
          <w:szCs w:val="22"/>
        </w:rPr>
        <w:t>21</w:t>
      </w:r>
      <w:r w:rsidR="00502085" w:rsidRPr="004F3BF9">
        <w:rPr>
          <w:snapToGrid w:val="0"/>
          <w:kern w:val="22"/>
          <w:szCs w:val="22"/>
        </w:rPr>
        <w:t> </w:t>
      </w:r>
      <w:r w:rsidR="006477BC" w:rsidRPr="004F3BF9">
        <w:rPr>
          <w:snapToGrid w:val="0"/>
          <w:kern w:val="22"/>
          <w:szCs w:val="22"/>
        </w:rPr>
        <w:t>per cent</w:t>
      </w:r>
      <w:r w:rsidR="00466C1E" w:rsidRPr="004F3BF9">
        <w:rPr>
          <w:snapToGrid w:val="0"/>
          <w:kern w:val="22"/>
          <w:szCs w:val="22"/>
        </w:rPr>
        <w:t xml:space="preserve">) </w:t>
      </w:r>
      <w:r w:rsidRPr="004F3BF9">
        <w:rPr>
          <w:snapToGrid w:val="0"/>
          <w:kern w:val="22"/>
          <w:szCs w:val="22"/>
        </w:rPr>
        <w:t xml:space="preserve">of </w:t>
      </w:r>
      <w:r w:rsidR="00A31D73" w:rsidRPr="004F3BF9">
        <w:rPr>
          <w:snapToGrid w:val="0"/>
          <w:kern w:val="22"/>
          <w:szCs w:val="22"/>
        </w:rPr>
        <w:t xml:space="preserve">the </w:t>
      </w:r>
      <w:r w:rsidRPr="004F3BF9">
        <w:rPr>
          <w:snapToGrid w:val="0"/>
          <w:kern w:val="22"/>
          <w:szCs w:val="22"/>
        </w:rPr>
        <w:t xml:space="preserve">Parties working with </w:t>
      </w:r>
      <w:r w:rsidR="00585ED7" w:rsidRPr="004F3BF9">
        <w:rPr>
          <w:snapToGrid w:val="0"/>
          <w:kern w:val="22"/>
          <w:szCs w:val="22"/>
        </w:rPr>
        <w:t xml:space="preserve">the </w:t>
      </w:r>
      <w:r w:rsidRPr="004F3BF9">
        <w:rPr>
          <w:snapToGrid w:val="0"/>
          <w:kern w:val="22"/>
          <w:szCs w:val="22"/>
        </w:rPr>
        <w:t>U</w:t>
      </w:r>
      <w:r w:rsidR="00585ED7" w:rsidRPr="004F3BF9">
        <w:rPr>
          <w:snapToGrid w:val="0"/>
          <w:kern w:val="22"/>
          <w:szCs w:val="22"/>
        </w:rPr>
        <w:t xml:space="preserve">nited </w:t>
      </w:r>
      <w:r w:rsidRPr="004F3BF9">
        <w:rPr>
          <w:snapToGrid w:val="0"/>
          <w:kern w:val="22"/>
          <w:szCs w:val="22"/>
        </w:rPr>
        <w:t>N</w:t>
      </w:r>
      <w:r w:rsidR="00585ED7" w:rsidRPr="004F3BF9">
        <w:rPr>
          <w:snapToGrid w:val="0"/>
          <w:kern w:val="22"/>
          <w:szCs w:val="22"/>
        </w:rPr>
        <w:t xml:space="preserve">ations </w:t>
      </w:r>
      <w:r w:rsidRPr="004F3BF9">
        <w:rPr>
          <w:snapToGrid w:val="0"/>
          <w:kern w:val="22"/>
          <w:szCs w:val="22"/>
        </w:rPr>
        <w:t>E</w:t>
      </w:r>
      <w:r w:rsidR="00585ED7" w:rsidRPr="004F3BF9">
        <w:rPr>
          <w:snapToGrid w:val="0"/>
          <w:kern w:val="22"/>
          <w:szCs w:val="22"/>
        </w:rPr>
        <w:t xml:space="preserve">nvironment </w:t>
      </w:r>
      <w:r w:rsidRPr="004F3BF9">
        <w:rPr>
          <w:snapToGrid w:val="0"/>
          <w:kern w:val="22"/>
          <w:szCs w:val="22"/>
        </w:rPr>
        <w:t>P</w:t>
      </w:r>
      <w:r w:rsidR="00585ED7" w:rsidRPr="004F3BF9">
        <w:rPr>
          <w:snapToGrid w:val="0"/>
          <w:kern w:val="22"/>
          <w:szCs w:val="22"/>
        </w:rPr>
        <w:t>rogramme</w:t>
      </w:r>
      <w:r w:rsidRPr="004F3BF9">
        <w:rPr>
          <w:snapToGrid w:val="0"/>
          <w:kern w:val="22"/>
          <w:szCs w:val="22"/>
        </w:rPr>
        <w:t xml:space="preserve"> as </w:t>
      </w:r>
      <w:r w:rsidR="00A42ADA" w:rsidRPr="004F3BF9">
        <w:rPr>
          <w:snapToGrid w:val="0"/>
          <w:kern w:val="22"/>
          <w:szCs w:val="22"/>
        </w:rPr>
        <w:t xml:space="preserve">an </w:t>
      </w:r>
      <w:r w:rsidRPr="004F3BF9">
        <w:rPr>
          <w:snapToGrid w:val="0"/>
          <w:kern w:val="22"/>
          <w:szCs w:val="22"/>
        </w:rPr>
        <w:t>implementing agency have been able to do so.</w:t>
      </w:r>
      <w:r w:rsidR="00AD7C0C" w:rsidRPr="004F3BF9">
        <w:rPr>
          <w:snapToGrid w:val="0"/>
          <w:kern w:val="22"/>
          <w:szCs w:val="22"/>
        </w:rPr>
        <w:t xml:space="preserve"> </w:t>
      </w:r>
      <w:r w:rsidR="00A42ADA" w:rsidRPr="004F3BF9">
        <w:rPr>
          <w:snapToGrid w:val="0"/>
          <w:kern w:val="22"/>
          <w:szCs w:val="22"/>
        </w:rPr>
        <w:t xml:space="preserve">A total of </w:t>
      </w:r>
      <w:r w:rsidR="00502085" w:rsidRPr="004F3BF9">
        <w:rPr>
          <w:snapToGrid w:val="0"/>
          <w:kern w:val="22"/>
          <w:szCs w:val="22"/>
        </w:rPr>
        <w:t>33 </w:t>
      </w:r>
      <w:r w:rsidR="00AD7C0C" w:rsidRPr="004F3BF9">
        <w:rPr>
          <w:snapToGrid w:val="0"/>
          <w:kern w:val="22"/>
          <w:szCs w:val="22"/>
        </w:rPr>
        <w:t>per</w:t>
      </w:r>
      <w:r w:rsidR="00A42ADA" w:rsidRPr="004F3BF9">
        <w:rPr>
          <w:snapToGrid w:val="0"/>
          <w:kern w:val="22"/>
          <w:szCs w:val="22"/>
        </w:rPr>
        <w:t> </w:t>
      </w:r>
      <w:r w:rsidR="00AD7C0C" w:rsidRPr="004F3BF9">
        <w:rPr>
          <w:snapToGrid w:val="0"/>
          <w:kern w:val="22"/>
          <w:szCs w:val="22"/>
        </w:rPr>
        <w:t>cent of Parties accessing GEF funds through the direct access modality have adopted their NBSAPs as whole of government instruments.</w:t>
      </w:r>
      <w:r w:rsidRPr="004F3BF9">
        <w:rPr>
          <w:snapToGrid w:val="0"/>
          <w:kern w:val="22"/>
          <w:szCs w:val="22"/>
        </w:rPr>
        <w:t xml:space="preserve"> </w:t>
      </w:r>
      <w:r w:rsidR="00443E38" w:rsidRPr="004F3BF9">
        <w:rPr>
          <w:snapToGrid w:val="0"/>
          <w:szCs w:val="22"/>
        </w:rPr>
        <w:t>Even if all Parties that indicated their intent to adopt their NBSAP as a policy instrument did so as an all-of-government policy instrument, those not receiving GEF funding would have a significantly higher rate of adoption.</w:t>
      </w:r>
      <w:r w:rsidR="00FC4FF5" w:rsidRPr="004F3BF9">
        <w:rPr>
          <w:snapToGrid w:val="0"/>
          <w:szCs w:val="22"/>
        </w:rPr>
        <w:t xml:space="preserve"> </w:t>
      </w:r>
      <w:r w:rsidRPr="004F3BF9">
        <w:rPr>
          <w:snapToGrid w:val="0"/>
          <w:kern w:val="22"/>
          <w:szCs w:val="22"/>
        </w:rPr>
        <w:t xml:space="preserve">Even if </w:t>
      </w:r>
      <w:r w:rsidR="000D2448" w:rsidRPr="004F3BF9">
        <w:rPr>
          <w:snapToGrid w:val="0"/>
          <w:kern w:val="22"/>
          <w:szCs w:val="22"/>
        </w:rPr>
        <w:t xml:space="preserve">all Parties that indicated </w:t>
      </w:r>
      <w:r w:rsidR="00062695" w:rsidRPr="004F3BF9">
        <w:rPr>
          <w:snapToGrid w:val="0"/>
          <w:kern w:val="22"/>
          <w:szCs w:val="22"/>
        </w:rPr>
        <w:t>their intent</w:t>
      </w:r>
      <w:r w:rsidR="000D2448" w:rsidRPr="004F3BF9">
        <w:rPr>
          <w:snapToGrid w:val="0"/>
          <w:kern w:val="22"/>
          <w:szCs w:val="22"/>
        </w:rPr>
        <w:t xml:space="preserve"> to adopt their NBSAP as a policy instrument did so</w:t>
      </w:r>
      <w:r w:rsidR="00443E38" w:rsidRPr="004F3BF9">
        <w:rPr>
          <w:snapToGrid w:val="0"/>
          <w:szCs w:val="22"/>
        </w:rPr>
        <w:t xml:space="preserve"> as an all-of-government policy instrument</w:t>
      </w:r>
      <w:r w:rsidR="000D2448" w:rsidRPr="004F3BF9">
        <w:rPr>
          <w:snapToGrid w:val="0"/>
          <w:kern w:val="22"/>
          <w:szCs w:val="22"/>
        </w:rPr>
        <w:t xml:space="preserve">, </w:t>
      </w:r>
      <w:r w:rsidR="00A31D73" w:rsidRPr="004F3BF9">
        <w:rPr>
          <w:snapToGrid w:val="0"/>
          <w:kern w:val="22"/>
          <w:szCs w:val="22"/>
        </w:rPr>
        <w:t xml:space="preserve">those not receiving </w:t>
      </w:r>
      <w:r w:rsidR="00443E38" w:rsidRPr="004F3BF9">
        <w:rPr>
          <w:snapToGrid w:val="0"/>
          <w:kern w:val="22"/>
          <w:szCs w:val="22"/>
        </w:rPr>
        <w:t xml:space="preserve">GEF </w:t>
      </w:r>
      <w:r w:rsidR="00A31D73" w:rsidRPr="004F3BF9">
        <w:rPr>
          <w:snapToGrid w:val="0"/>
          <w:kern w:val="22"/>
          <w:szCs w:val="22"/>
        </w:rPr>
        <w:t xml:space="preserve">funding would have a </w:t>
      </w:r>
      <w:r w:rsidR="00632B34" w:rsidRPr="004F3BF9">
        <w:rPr>
          <w:snapToGrid w:val="0"/>
          <w:kern w:val="22"/>
          <w:szCs w:val="22"/>
        </w:rPr>
        <w:t xml:space="preserve">significantly </w:t>
      </w:r>
      <w:r w:rsidR="00A31D73" w:rsidRPr="004F3BF9">
        <w:rPr>
          <w:snapToGrid w:val="0"/>
          <w:kern w:val="22"/>
          <w:szCs w:val="22"/>
        </w:rPr>
        <w:t xml:space="preserve">higher rate of adoption. </w:t>
      </w:r>
      <w:r w:rsidR="00632B34" w:rsidRPr="004F3BF9">
        <w:rPr>
          <w:snapToGrid w:val="0"/>
          <w:kern w:val="22"/>
          <w:szCs w:val="22"/>
        </w:rPr>
        <w:t xml:space="preserve">However, </w:t>
      </w:r>
      <w:r w:rsidR="00F64925" w:rsidRPr="004F3BF9">
        <w:rPr>
          <w:snapToGrid w:val="0"/>
          <w:kern w:val="22"/>
          <w:szCs w:val="22"/>
        </w:rPr>
        <w:t>more than half</w:t>
      </w:r>
      <w:r w:rsidR="00632B34" w:rsidRPr="004F3BF9">
        <w:rPr>
          <w:snapToGrid w:val="0"/>
          <w:kern w:val="22"/>
          <w:szCs w:val="22"/>
        </w:rPr>
        <w:t xml:space="preserve"> of </w:t>
      </w:r>
      <w:r w:rsidR="00F64925" w:rsidRPr="004F3BF9">
        <w:rPr>
          <w:snapToGrid w:val="0"/>
          <w:kern w:val="22"/>
          <w:szCs w:val="22"/>
        </w:rPr>
        <w:t xml:space="preserve">the </w:t>
      </w:r>
      <w:r w:rsidR="00632B34" w:rsidRPr="004F3BF9">
        <w:rPr>
          <w:snapToGrid w:val="0"/>
          <w:kern w:val="22"/>
          <w:szCs w:val="22"/>
        </w:rPr>
        <w:t>NBSAPs (5</w:t>
      </w:r>
      <w:r w:rsidR="00F64925" w:rsidRPr="004F3BF9">
        <w:rPr>
          <w:snapToGrid w:val="0"/>
          <w:kern w:val="22"/>
          <w:szCs w:val="22"/>
        </w:rPr>
        <w:t>3</w:t>
      </w:r>
      <w:r w:rsidR="00F079F3" w:rsidRPr="004F3BF9">
        <w:rPr>
          <w:snapToGrid w:val="0"/>
          <w:kern w:val="22"/>
          <w:szCs w:val="22"/>
        </w:rPr>
        <w:t> per cent</w:t>
      </w:r>
      <w:r w:rsidR="00632B34" w:rsidRPr="004F3BF9">
        <w:rPr>
          <w:snapToGrid w:val="0"/>
          <w:kern w:val="22"/>
          <w:szCs w:val="22"/>
        </w:rPr>
        <w:t>) did not allow conclusions regarding their status as a policy instrument.</w:t>
      </w:r>
      <w:r w:rsidR="001F4992" w:rsidRPr="004F3BF9">
        <w:rPr>
          <w:snapToGrid w:val="0"/>
          <w:kern w:val="22"/>
          <w:szCs w:val="22"/>
        </w:rPr>
        <w:t xml:space="preserve"> </w:t>
      </w:r>
      <w:r w:rsidR="000D2448" w:rsidRPr="004F3BF9">
        <w:rPr>
          <w:snapToGrid w:val="0"/>
          <w:kern w:val="22"/>
          <w:szCs w:val="22"/>
        </w:rPr>
        <w:t>Table 2 provides this information by funding source.</w:t>
      </w:r>
    </w:p>
    <w:p w:rsidR="005D11DB" w:rsidRPr="004F3BF9" w:rsidRDefault="006E2B04" w:rsidP="00232464">
      <w:pPr>
        <w:pStyle w:val="Para1"/>
        <w:keepNext/>
        <w:numPr>
          <w:ilvl w:val="0"/>
          <w:numId w:val="0"/>
        </w:numPr>
        <w:suppressLineNumbers/>
        <w:suppressAutoHyphens/>
        <w:kinsoku w:val="0"/>
        <w:overflowPunct w:val="0"/>
        <w:autoSpaceDE w:val="0"/>
        <w:autoSpaceDN w:val="0"/>
        <w:adjustRightInd w:val="0"/>
        <w:snapToGrid w:val="0"/>
        <w:ind w:left="720"/>
        <w:jc w:val="left"/>
        <w:rPr>
          <w:b/>
          <w:kern w:val="22"/>
          <w:szCs w:val="22"/>
        </w:rPr>
      </w:pPr>
      <w:r w:rsidRPr="004F3BF9">
        <w:rPr>
          <w:b/>
          <w:kern w:val="22"/>
          <w:szCs w:val="22"/>
        </w:rPr>
        <w:lastRenderedPageBreak/>
        <w:t xml:space="preserve">Table 2. </w:t>
      </w:r>
      <w:r w:rsidR="00A31D73" w:rsidRPr="004F3BF9">
        <w:rPr>
          <w:b/>
          <w:kern w:val="22"/>
          <w:szCs w:val="22"/>
        </w:rPr>
        <w:t>A</w:t>
      </w:r>
      <w:r w:rsidRPr="004F3BF9">
        <w:rPr>
          <w:b/>
          <w:kern w:val="22"/>
          <w:szCs w:val="22"/>
        </w:rPr>
        <w:t xml:space="preserve">doption </w:t>
      </w:r>
      <w:r w:rsidR="00A31D73" w:rsidRPr="004F3BF9">
        <w:rPr>
          <w:b/>
          <w:kern w:val="22"/>
          <w:szCs w:val="22"/>
        </w:rPr>
        <w:t xml:space="preserve">of NBSAPs as </w:t>
      </w:r>
      <w:r w:rsidR="00B3761B" w:rsidRPr="004F3BF9">
        <w:rPr>
          <w:b/>
          <w:kern w:val="22"/>
          <w:szCs w:val="22"/>
        </w:rPr>
        <w:t>p</w:t>
      </w:r>
      <w:r w:rsidR="00A31D73" w:rsidRPr="004F3BF9">
        <w:rPr>
          <w:b/>
          <w:kern w:val="22"/>
          <w:szCs w:val="22"/>
        </w:rPr>
        <w:t xml:space="preserve">olicy </w:t>
      </w:r>
      <w:r w:rsidR="00B3761B" w:rsidRPr="004F3BF9">
        <w:rPr>
          <w:b/>
          <w:kern w:val="22"/>
          <w:szCs w:val="22"/>
        </w:rPr>
        <w:t>i</w:t>
      </w:r>
      <w:r w:rsidR="00A31D73" w:rsidRPr="004F3BF9">
        <w:rPr>
          <w:b/>
          <w:kern w:val="22"/>
          <w:szCs w:val="22"/>
        </w:rPr>
        <w:t>nstruments</w:t>
      </w:r>
      <w:r w:rsidR="00B3761B" w:rsidRPr="004F3BF9">
        <w:rPr>
          <w:b/>
          <w:kern w:val="22"/>
          <w:szCs w:val="22"/>
        </w:rPr>
        <w:t>,</w:t>
      </w:r>
      <w:r w:rsidR="00A31D73" w:rsidRPr="004F3BF9">
        <w:rPr>
          <w:b/>
          <w:kern w:val="22"/>
          <w:szCs w:val="22"/>
        </w:rPr>
        <w:t xml:space="preserve"> by </w:t>
      </w:r>
      <w:r w:rsidR="00B3761B" w:rsidRPr="004F3BF9">
        <w:rPr>
          <w:b/>
          <w:kern w:val="22"/>
          <w:szCs w:val="22"/>
        </w:rPr>
        <w:t>f</w:t>
      </w:r>
      <w:r w:rsidR="00A31D73" w:rsidRPr="004F3BF9">
        <w:rPr>
          <w:b/>
          <w:kern w:val="22"/>
          <w:szCs w:val="22"/>
        </w:rPr>
        <w:t xml:space="preserve">unding </w:t>
      </w:r>
      <w:r w:rsidR="00B3761B" w:rsidRPr="004F3BF9">
        <w:rPr>
          <w:b/>
          <w:kern w:val="22"/>
          <w:szCs w:val="22"/>
        </w:rPr>
        <w:t>s</w:t>
      </w:r>
      <w:r w:rsidR="00A31D73" w:rsidRPr="004F3BF9">
        <w:rPr>
          <w:b/>
          <w:kern w:val="22"/>
          <w:szCs w:val="22"/>
        </w:rPr>
        <w:t>ource</w:t>
      </w:r>
    </w:p>
    <w:tbl>
      <w:tblPr>
        <w:tblW w:w="78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47"/>
        <w:gridCol w:w="1199"/>
        <w:gridCol w:w="1353"/>
        <w:gridCol w:w="1221"/>
        <w:gridCol w:w="1260"/>
      </w:tblGrid>
      <w:tr w:rsidR="0076476C" w:rsidRPr="004F3BF9" w:rsidTr="00FD7D3F">
        <w:trPr>
          <w:cantSplit/>
          <w:jc w:val="center"/>
        </w:trPr>
        <w:tc>
          <w:tcPr>
            <w:tcW w:w="2847" w:type="dxa"/>
            <w:shd w:val="clear" w:color="auto" w:fill="auto"/>
            <w:vAlign w:val="bottom"/>
            <w:hideMark/>
          </w:tcPr>
          <w:p w:rsidR="0076476C" w:rsidRPr="004F3BF9" w:rsidRDefault="0076476C" w:rsidP="00014202">
            <w:pPr>
              <w:suppressLineNumbers/>
              <w:suppressAutoHyphens/>
              <w:rPr>
                <w:color w:val="000000"/>
                <w:szCs w:val="22"/>
              </w:rPr>
            </w:pPr>
          </w:p>
        </w:tc>
        <w:tc>
          <w:tcPr>
            <w:tcW w:w="5033" w:type="dxa"/>
            <w:gridSpan w:val="4"/>
            <w:shd w:val="clear" w:color="auto" w:fill="auto"/>
            <w:vAlign w:val="center"/>
            <w:hideMark/>
          </w:tcPr>
          <w:p w:rsidR="0076476C" w:rsidRPr="004F3BF9" w:rsidRDefault="0076476C" w:rsidP="00014202">
            <w:pPr>
              <w:suppressLineNumbers/>
              <w:suppressAutoHyphens/>
              <w:jc w:val="center"/>
              <w:rPr>
                <w:i/>
                <w:iCs/>
                <w:color w:val="000000"/>
                <w:szCs w:val="22"/>
              </w:rPr>
            </w:pPr>
            <w:r w:rsidRPr="004F3BF9">
              <w:rPr>
                <w:i/>
                <w:iCs/>
                <w:color w:val="000000"/>
                <w:szCs w:val="22"/>
              </w:rPr>
              <w:t>Types of instruments</w:t>
            </w:r>
          </w:p>
        </w:tc>
      </w:tr>
      <w:tr w:rsidR="0076476C" w:rsidRPr="004F3BF9" w:rsidTr="00FD7D3F">
        <w:trPr>
          <w:cantSplit/>
          <w:jc w:val="center"/>
        </w:trPr>
        <w:tc>
          <w:tcPr>
            <w:tcW w:w="2847" w:type="dxa"/>
            <w:vMerge w:val="restart"/>
            <w:shd w:val="clear" w:color="auto" w:fill="auto"/>
            <w:vAlign w:val="center"/>
            <w:hideMark/>
          </w:tcPr>
          <w:p w:rsidR="0076476C" w:rsidRPr="004F3BF9" w:rsidRDefault="0076476C" w:rsidP="00014202">
            <w:pPr>
              <w:suppressLineNumbers/>
              <w:suppressAutoHyphens/>
              <w:jc w:val="center"/>
              <w:rPr>
                <w:i/>
                <w:iCs/>
                <w:color w:val="000000"/>
                <w:szCs w:val="22"/>
              </w:rPr>
            </w:pPr>
            <w:r w:rsidRPr="004F3BF9">
              <w:rPr>
                <w:i/>
                <w:iCs/>
                <w:color w:val="000000"/>
                <w:szCs w:val="22"/>
              </w:rPr>
              <w:t>Implementing agency</w:t>
            </w:r>
          </w:p>
        </w:tc>
        <w:tc>
          <w:tcPr>
            <w:tcW w:w="1199" w:type="dxa"/>
            <w:vMerge w:val="restart"/>
            <w:shd w:val="clear" w:color="auto" w:fill="auto"/>
            <w:vAlign w:val="center"/>
            <w:hideMark/>
          </w:tcPr>
          <w:p w:rsidR="0076476C" w:rsidRPr="004F3BF9" w:rsidRDefault="0076476C" w:rsidP="00014202">
            <w:pPr>
              <w:suppressLineNumbers/>
              <w:suppressAutoHyphens/>
              <w:jc w:val="center"/>
              <w:rPr>
                <w:i/>
                <w:iCs/>
                <w:color w:val="000000"/>
                <w:szCs w:val="22"/>
              </w:rPr>
            </w:pPr>
            <w:r w:rsidRPr="004F3BF9">
              <w:rPr>
                <w:i/>
                <w:iCs/>
                <w:color w:val="000000"/>
                <w:szCs w:val="22"/>
              </w:rPr>
              <w:t>Instrument applying to all Gvt.</w:t>
            </w:r>
          </w:p>
        </w:tc>
        <w:tc>
          <w:tcPr>
            <w:tcW w:w="1353" w:type="dxa"/>
            <w:vMerge w:val="restart"/>
            <w:shd w:val="clear" w:color="auto" w:fill="auto"/>
            <w:vAlign w:val="center"/>
            <w:hideMark/>
          </w:tcPr>
          <w:p w:rsidR="0076476C" w:rsidRPr="004F3BF9" w:rsidRDefault="0076476C" w:rsidP="00014202">
            <w:pPr>
              <w:suppressLineNumbers/>
              <w:suppressAutoHyphens/>
              <w:jc w:val="center"/>
              <w:rPr>
                <w:i/>
                <w:iCs/>
                <w:color w:val="000000"/>
                <w:szCs w:val="22"/>
              </w:rPr>
            </w:pPr>
            <w:r w:rsidRPr="004F3BF9">
              <w:rPr>
                <w:i/>
                <w:iCs/>
                <w:color w:val="000000"/>
                <w:szCs w:val="22"/>
              </w:rPr>
              <w:t>Instrument applying to Environment</w:t>
            </w:r>
          </w:p>
        </w:tc>
        <w:tc>
          <w:tcPr>
            <w:tcW w:w="1221" w:type="dxa"/>
            <w:vMerge w:val="restart"/>
            <w:shd w:val="clear" w:color="auto" w:fill="auto"/>
            <w:vAlign w:val="center"/>
            <w:hideMark/>
          </w:tcPr>
          <w:p w:rsidR="0076476C" w:rsidRPr="004F3BF9" w:rsidRDefault="0076476C" w:rsidP="00014202">
            <w:pPr>
              <w:suppressLineNumbers/>
              <w:suppressAutoHyphens/>
              <w:jc w:val="center"/>
              <w:rPr>
                <w:i/>
                <w:iCs/>
                <w:color w:val="000000"/>
                <w:szCs w:val="22"/>
              </w:rPr>
            </w:pPr>
            <w:r w:rsidRPr="004F3BF9">
              <w:rPr>
                <w:i/>
                <w:iCs/>
                <w:color w:val="000000"/>
                <w:szCs w:val="22"/>
              </w:rPr>
              <w:t>Plans to have NBSAP adopted</w:t>
            </w:r>
          </w:p>
        </w:tc>
        <w:tc>
          <w:tcPr>
            <w:tcW w:w="1260" w:type="dxa"/>
            <w:shd w:val="clear" w:color="auto" w:fill="auto"/>
            <w:vAlign w:val="center"/>
            <w:hideMark/>
          </w:tcPr>
          <w:p w:rsidR="0076476C" w:rsidRPr="004F3BF9" w:rsidRDefault="0076476C" w:rsidP="00014202">
            <w:pPr>
              <w:suppressLineNumbers/>
              <w:suppressAutoHyphens/>
              <w:jc w:val="center"/>
              <w:rPr>
                <w:i/>
                <w:iCs/>
                <w:color w:val="000000"/>
                <w:szCs w:val="22"/>
              </w:rPr>
            </w:pPr>
          </w:p>
          <w:p w:rsidR="0076476C" w:rsidRPr="004F3BF9" w:rsidRDefault="0076476C" w:rsidP="00014202">
            <w:pPr>
              <w:suppressLineNumbers/>
              <w:suppressAutoHyphens/>
              <w:jc w:val="center"/>
              <w:rPr>
                <w:i/>
                <w:iCs/>
                <w:color w:val="000000"/>
                <w:szCs w:val="22"/>
              </w:rPr>
            </w:pPr>
            <w:r w:rsidRPr="004F3BF9">
              <w:rPr>
                <w:i/>
                <w:iCs/>
                <w:color w:val="000000"/>
                <w:szCs w:val="22"/>
              </w:rPr>
              <w:t>Insufficient evidence </w:t>
            </w:r>
          </w:p>
        </w:tc>
      </w:tr>
      <w:tr w:rsidR="0076476C" w:rsidRPr="004F3BF9" w:rsidTr="00FD7D3F">
        <w:trPr>
          <w:cantSplit/>
          <w:jc w:val="center"/>
        </w:trPr>
        <w:tc>
          <w:tcPr>
            <w:tcW w:w="2847" w:type="dxa"/>
            <w:vMerge/>
            <w:shd w:val="clear" w:color="auto" w:fill="auto"/>
            <w:vAlign w:val="center"/>
            <w:hideMark/>
          </w:tcPr>
          <w:p w:rsidR="0076476C" w:rsidRPr="004F3BF9" w:rsidRDefault="0076476C" w:rsidP="00014202">
            <w:pPr>
              <w:suppressLineNumbers/>
              <w:suppressAutoHyphens/>
              <w:rPr>
                <w:i/>
                <w:iCs/>
                <w:color w:val="000000"/>
                <w:szCs w:val="22"/>
              </w:rPr>
            </w:pPr>
          </w:p>
        </w:tc>
        <w:tc>
          <w:tcPr>
            <w:tcW w:w="1199" w:type="dxa"/>
            <w:vMerge/>
            <w:shd w:val="clear" w:color="auto" w:fill="auto"/>
            <w:vAlign w:val="center"/>
            <w:hideMark/>
          </w:tcPr>
          <w:p w:rsidR="0076476C" w:rsidRPr="004F3BF9" w:rsidRDefault="0076476C" w:rsidP="00014202">
            <w:pPr>
              <w:suppressLineNumbers/>
              <w:suppressAutoHyphens/>
              <w:rPr>
                <w:i/>
                <w:iCs/>
                <w:color w:val="000000"/>
                <w:szCs w:val="22"/>
              </w:rPr>
            </w:pPr>
          </w:p>
        </w:tc>
        <w:tc>
          <w:tcPr>
            <w:tcW w:w="1353" w:type="dxa"/>
            <w:vMerge/>
            <w:shd w:val="clear" w:color="auto" w:fill="auto"/>
            <w:vAlign w:val="center"/>
            <w:hideMark/>
          </w:tcPr>
          <w:p w:rsidR="0076476C" w:rsidRPr="004F3BF9" w:rsidRDefault="0076476C" w:rsidP="00014202">
            <w:pPr>
              <w:suppressLineNumbers/>
              <w:suppressAutoHyphens/>
              <w:rPr>
                <w:i/>
                <w:iCs/>
                <w:color w:val="000000"/>
                <w:szCs w:val="22"/>
              </w:rPr>
            </w:pPr>
          </w:p>
        </w:tc>
        <w:tc>
          <w:tcPr>
            <w:tcW w:w="1221" w:type="dxa"/>
            <w:vMerge/>
            <w:shd w:val="clear" w:color="auto" w:fill="auto"/>
            <w:vAlign w:val="center"/>
            <w:hideMark/>
          </w:tcPr>
          <w:p w:rsidR="0076476C" w:rsidRPr="004F3BF9" w:rsidRDefault="0076476C" w:rsidP="00014202">
            <w:pPr>
              <w:suppressLineNumbers/>
              <w:suppressAutoHyphens/>
              <w:rPr>
                <w:i/>
                <w:iCs/>
                <w:color w:val="000000"/>
                <w:szCs w:val="22"/>
              </w:rPr>
            </w:pPr>
          </w:p>
        </w:tc>
        <w:tc>
          <w:tcPr>
            <w:tcW w:w="1260" w:type="dxa"/>
            <w:shd w:val="clear" w:color="auto" w:fill="auto"/>
            <w:vAlign w:val="center"/>
            <w:hideMark/>
          </w:tcPr>
          <w:p w:rsidR="0076476C" w:rsidRPr="004F3BF9" w:rsidRDefault="0076476C" w:rsidP="00014202">
            <w:pPr>
              <w:suppressLineNumbers/>
              <w:suppressAutoHyphens/>
              <w:jc w:val="center"/>
              <w:rPr>
                <w:i/>
                <w:iCs/>
                <w:color w:val="000000"/>
                <w:szCs w:val="22"/>
              </w:rPr>
            </w:pPr>
          </w:p>
        </w:tc>
      </w:tr>
      <w:tr w:rsidR="0076476C" w:rsidRPr="004F3BF9" w:rsidTr="00FD7D3F">
        <w:trPr>
          <w:cantSplit/>
          <w:jc w:val="center"/>
        </w:trPr>
        <w:tc>
          <w:tcPr>
            <w:tcW w:w="2847" w:type="dxa"/>
            <w:shd w:val="clear" w:color="auto" w:fill="auto"/>
            <w:vAlign w:val="center"/>
            <w:hideMark/>
          </w:tcPr>
          <w:p w:rsidR="0076476C" w:rsidRPr="004F3BF9" w:rsidRDefault="0076476C" w:rsidP="00014202">
            <w:pPr>
              <w:suppressLineNumbers/>
              <w:suppressAutoHyphens/>
              <w:rPr>
                <w:color w:val="000000"/>
                <w:szCs w:val="22"/>
              </w:rPr>
            </w:pPr>
            <w:r w:rsidRPr="004F3BF9">
              <w:rPr>
                <w:snapToGrid w:val="0"/>
                <w:color w:val="000000"/>
                <w:kern w:val="22"/>
                <w:szCs w:val="22"/>
              </w:rPr>
              <w:t>UNEP</w:t>
            </w:r>
          </w:p>
        </w:tc>
        <w:tc>
          <w:tcPr>
            <w:tcW w:w="1199"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14 (21%)</w:t>
            </w:r>
          </w:p>
        </w:tc>
        <w:tc>
          <w:tcPr>
            <w:tcW w:w="1353"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3 (4%)</w:t>
            </w:r>
          </w:p>
        </w:tc>
        <w:tc>
          <w:tcPr>
            <w:tcW w:w="1221"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11 (16%)</w:t>
            </w:r>
          </w:p>
        </w:tc>
        <w:tc>
          <w:tcPr>
            <w:tcW w:w="1260"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40 (59%)</w:t>
            </w:r>
          </w:p>
        </w:tc>
      </w:tr>
      <w:tr w:rsidR="0076476C" w:rsidRPr="004F3BF9" w:rsidTr="00FD7D3F">
        <w:trPr>
          <w:cantSplit/>
          <w:jc w:val="center"/>
        </w:trPr>
        <w:tc>
          <w:tcPr>
            <w:tcW w:w="2847" w:type="dxa"/>
            <w:shd w:val="clear" w:color="auto" w:fill="auto"/>
            <w:vAlign w:val="center"/>
            <w:hideMark/>
          </w:tcPr>
          <w:p w:rsidR="0076476C" w:rsidRPr="004F3BF9" w:rsidRDefault="0076476C" w:rsidP="00014202">
            <w:pPr>
              <w:suppressLineNumbers/>
              <w:suppressAutoHyphens/>
              <w:rPr>
                <w:color w:val="000000"/>
                <w:szCs w:val="22"/>
              </w:rPr>
            </w:pPr>
            <w:r w:rsidRPr="004F3BF9">
              <w:rPr>
                <w:snapToGrid w:val="0"/>
                <w:color w:val="000000"/>
                <w:kern w:val="22"/>
                <w:szCs w:val="22"/>
              </w:rPr>
              <w:t>UNDP</w:t>
            </w:r>
          </w:p>
        </w:tc>
        <w:tc>
          <w:tcPr>
            <w:tcW w:w="1199"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13 (32%)</w:t>
            </w:r>
          </w:p>
        </w:tc>
        <w:tc>
          <w:tcPr>
            <w:tcW w:w="1353"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color w:val="000000"/>
                <w:szCs w:val="22"/>
              </w:rPr>
              <w:t>1 (2%)</w:t>
            </w:r>
          </w:p>
        </w:tc>
        <w:tc>
          <w:tcPr>
            <w:tcW w:w="1221"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3 (7%)</w:t>
            </w:r>
          </w:p>
        </w:tc>
        <w:tc>
          <w:tcPr>
            <w:tcW w:w="1260"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24 (59%)</w:t>
            </w:r>
          </w:p>
        </w:tc>
      </w:tr>
      <w:tr w:rsidR="0076476C" w:rsidRPr="004F3BF9" w:rsidTr="00FD7D3F">
        <w:trPr>
          <w:cantSplit/>
          <w:jc w:val="center"/>
        </w:trPr>
        <w:tc>
          <w:tcPr>
            <w:tcW w:w="2847" w:type="dxa"/>
            <w:shd w:val="clear" w:color="auto" w:fill="auto"/>
            <w:vAlign w:val="center"/>
            <w:hideMark/>
          </w:tcPr>
          <w:p w:rsidR="0076476C" w:rsidRPr="004F3BF9" w:rsidRDefault="0076476C" w:rsidP="00014202">
            <w:pPr>
              <w:suppressLineNumbers/>
              <w:suppressAutoHyphens/>
              <w:rPr>
                <w:color w:val="000000"/>
                <w:szCs w:val="22"/>
              </w:rPr>
            </w:pPr>
            <w:r w:rsidRPr="004F3BF9">
              <w:rPr>
                <w:snapToGrid w:val="0"/>
                <w:color w:val="000000"/>
                <w:kern w:val="22"/>
                <w:szCs w:val="22"/>
              </w:rPr>
              <w:t>FAO</w:t>
            </w:r>
          </w:p>
        </w:tc>
        <w:tc>
          <w:tcPr>
            <w:tcW w:w="1199"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0</w:t>
            </w:r>
          </w:p>
        </w:tc>
        <w:tc>
          <w:tcPr>
            <w:tcW w:w="1353"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0</w:t>
            </w:r>
          </w:p>
        </w:tc>
        <w:tc>
          <w:tcPr>
            <w:tcW w:w="1221"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0</w:t>
            </w:r>
          </w:p>
        </w:tc>
        <w:tc>
          <w:tcPr>
            <w:tcW w:w="1260"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1 (100%)</w:t>
            </w:r>
          </w:p>
        </w:tc>
      </w:tr>
      <w:tr w:rsidR="0076476C" w:rsidRPr="004F3BF9" w:rsidTr="00FD7D3F">
        <w:trPr>
          <w:cantSplit/>
          <w:jc w:val="center"/>
        </w:trPr>
        <w:tc>
          <w:tcPr>
            <w:tcW w:w="2847" w:type="dxa"/>
            <w:shd w:val="clear" w:color="auto" w:fill="auto"/>
            <w:vAlign w:val="center"/>
            <w:hideMark/>
          </w:tcPr>
          <w:p w:rsidR="0076476C" w:rsidRPr="004F3BF9" w:rsidRDefault="0076476C" w:rsidP="00014202">
            <w:pPr>
              <w:suppressLineNumbers/>
              <w:suppressAutoHyphens/>
              <w:rPr>
                <w:color w:val="000000"/>
                <w:szCs w:val="22"/>
              </w:rPr>
            </w:pPr>
            <w:r w:rsidRPr="004F3BF9">
              <w:rPr>
                <w:snapToGrid w:val="0"/>
                <w:color w:val="000000"/>
                <w:kern w:val="22"/>
                <w:szCs w:val="22"/>
              </w:rPr>
              <w:t>Direct access</w:t>
            </w:r>
          </w:p>
        </w:tc>
        <w:tc>
          <w:tcPr>
            <w:tcW w:w="1199"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2 (33%)</w:t>
            </w:r>
          </w:p>
        </w:tc>
        <w:tc>
          <w:tcPr>
            <w:tcW w:w="1353"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0</w:t>
            </w:r>
          </w:p>
        </w:tc>
        <w:tc>
          <w:tcPr>
            <w:tcW w:w="1221"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1 (17%)</w:t>
            </w:r>
          </w:p>
        </w:tc>
        <w:tc>
          <w:tcPr>
            <w:tcW w:w="1260"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3 (50%)</w:t>
            </w:r>
          </w:p>
        </w:tc>
      </w:tr>
      <w:tr w:rsidR="0076476C" w:rsidRPr="004F3BF9" w:rsidTr="00FD7D3F">
        <w:trPr>
          <w:cantSplit/>
          <w:jc w:val="center"/>
        </w:trPr>
        <w:tc>
          <w:tcPr>
            <w:tcW w:w="2847" w:type="dxa"/>
            <w:shd w:val="clear" w:color="auto" w:fill="auto"/>
            <w:vAlign w:val="center"/>
            <w:hideMark/>
          </w:tcPr>
          <w:p w:rsidR="0076476C" w:rsidRPr="004F3BF9" w:rsidRDefault="0076476C" w:rsidP="00014202">
            <w:pPr>
              <w:suppressLineNumbers/>
              <w:suppressAutoHyphens/>
              <w:jc w:val="left"/>
              <w:rPr>
                <w:color w:val="000000"/>
                <w:szCs w:val="22"/>
              </w:rPr>
            </w:pPr>
            <w:r w:rsidRPr="004F3BF9">
              <w:rPr>
                <w:snapToGrid w:val="0"/>
                <w:color w:val="000000"/>
                <w:kern w:val="22"/>
                <w:szCs w:val="22"/>
              </w:rPr>
              <w:t>No info. on agency</w:t>
            </w:r>
            <w:r w:rsidR="00776C32">
              <w:rPr>
                <w:snapToGrid w:val="0"/>
                <w:color w:val="000000"/>
                <w:kern w:val="22"/>
                <w:szCs w:val="22"/>
              </w:rPr>
              <w:t>/</w:t>
            </w:r>
            <w:r w:rsidRPr="004F3BF9">
              <w:rPr>
                <w:snapToGrid w:val="0"/>
                <w:color w:val="000000"/>
                <w:kern w:val="22"/>
                <w:szCs w:val="22"/>
              </w:rPr>
              <w:t>Did not apply for GEF funds</w:t>
            </w:r>
          </w:p>
        </w:tc>
        <w:tc>
          <w:tcPr>
            <w:tcW w:w="1199"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1 (50%)</w:t>
            </w:r>
          </w:p>
        </w:tc>
        <w:tc>
          <w:tcPr>
            <w:tcW w:w="1353"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0</w:t>
            </w:r>
          </w:p>
        </w:tc>
        <w:tc>
          <w:tcPr>
            <w:tcW w:w="1221"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0</w:t>
            </w:r>
          </w:p>
        </w:tc>
        <w:tc>
          <w:tcPr>
            <w:tcW w:w="1260"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1 (50%)</w:t>
            </w:r>
          </w:p>
        </w:tc>
      </w:tr>
      <w:tr w:rsidR="0076476C" w:rsidRPr="004F3BF9" w:rsidTr="00FD7D3F">
        <w:trPr>
          <w:cantSplit/>
          <w:jc w:val="center"/>
        </w:trPr>
        <w:tc>
          <w:tcPr>
            <w:tcW w:w="2847" w:type="dxa"/>
            <w:shd w:val="clear" w:color="auto" w:fill="auto"/>
            <w:vAlign w:val="center"/>
            <w:hideMark/>
          </w:tcPr>
          <w:p w:rsidR="0076476C" w:rsidRPr="004F3BF9" w:rsidRDefault="0076476C" w:rsidP="00014202">
            <w:pPr>
              <w:suppressLineNumbers/>
              <w:suppressAutoHyphens/>
              <w:rPr>
                <w:color w:val="000000"/>
                <w:szCs w:val="22"/>
              </w:rPr>
            </w:pPr>
            <w:r w:rsidRPr="004F3BF9">
              <w:rPr>
                <w:snapToGrid w:val="0"/>
                <w:color w:val="000000"/>
                <w:kern w:val="22"/>
                <w:szCs w:val="22"/>
              </w:rPr>
              <w:t>Not GEF eligible</w:t>
            </w:r>
            <w:bookmarkStart w:id="2" w:name="_GoBack"/>
            <w:bookmarkEnd w:id="2"/>
          </w:p>
        </w:tc>
        <w:tc>
          <w:tcPr>
            <w:tcW w:w="1199"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22 (54%)</w:t>
            </w:r>
          </w:p>
        </w:tc>
        <w:tc>
          <w:tcPr>
            <w:tcW w:w="1353"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2 (5%)</w:t>
            </w:r>
          </w:p>
        </w:tc>
        <w:tc>
          <w:tcPr>
            <w:tcW w:w="1221"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1 (2%)</w:t>
            </w:r>
          </w:p>
        </w:tc>
        <w:tc>
          <w:tcPr>
            <w:tcW w:w="1260" w:type="dxa"/>
            <w:shd w:val="clear" w:color="auto" w:fill="auto"/>
            <w:vAlign w:val="center"/>
            <w:hideMark/>
          </w:tcPr>
          <w:p w:rsidR="0076476C" w:rsidRPr="004F3BF9" w:rsidRDefault="0076476C" w:rsidP="00014202">
            <w:pPr>
              <w:suppressLineNumbers/>
              <w:suppressAutoHyphens/>
              <w:jc w:val="center"/>
              <w:rPr>
                <w:color w:val="000000"/>
                <w:szCs w:val="22"/>
              </w:rPr>
            </w:pPr>
            <w:r w:rsidRPr="004F3BF9">
              <w:rPr>
                <w:snapToGrid w:val="0"/>
                <w:color w:val="000000"/>
                <w:kern w:val="22"/>
                <w:szCs w:val="22"/>
              </w:rPr>
              <w:t>16 (39%)</w:t>
            </w:r>
          </w:p>
        </w:tc>
      </w:tr>
      <w:tr w:rsidR="0076476C" w:rsidRPr="004F3BF9" w:rsidTr="00FD7D3F">
        <w:trPr>
          <w:cantSplit/>
          <w:jc w:val="center"/>
        </w:trPr>
        <w:tc>
          <w:tcPr>
            <w:tcW w:w="2847" w:type="dxa"/>
            <w:shd w:val="clear" w:color="auto" w:fill="auto"/>
            <w:vAlign w:val="center"/>
            <w:hideMark/>
          </w:tcPr>
          <w:p w:rsidR="0076476C" w:rsidRPr="004F3BF9" w:rsidRDefault="0076476C" w:rsidP="00014202">
            <w:pPr>
              <w:suppressLineNumbers/>
              <w:suppressAutoHyphens/>
              <w:rPr>
                <w:b/>
                <w:bCs/>
                <w:color w:val="000000"/>
                <w:szCs w:val="22"/>
              </w:rPr>
            </w:pPr>
            <w:r w:rsidRPr="004F3BF9">
              <w:rPr>
                <w:b/>
                <w:bCs/>
                <w:snapToGrid w:val="0"/>
                <w:color w:val="000000"/>
                <w:kern w:val="22"/>
                <w:szCs w:val="22"/>
              </w:rPr>
              <w:t>TOTAL</w:t>
            </w:r>
          </w:p>
        </w:tc>
        <w:tc>
          <w:tcPr>
            <w:tcW w:w="1199" w:type="dxa"/>
            <w:shd w:val="clear" w:color="auto" w:fill="auto"/>
            <w:vAlign w:val="center"/>
            <w:hideMark/>
          </w:tcPr>
          <w:p w:rsidR="0076476C" w:rsidRPr="004F3BF9" w:rsidRDefault="0076476C" w:rsidP="00014202">
            <w:pPr>
              <w:suppressLineNumbers/>
              <w:suppressAutoHyphens/>
              <w:jc w:val="center"/>
              <w:rPr>
                <w:b/>
                <w:bCs/>
                <w:color w:val="000000"/>
                <w:szCs w:val="22"/>
              </w:rPr>
            </w:pPr>
            <w:r w:rsidRPr="004F3BF9">
              <w:rPr>
                <w:b/>
                <w:bCs/>
                <w:snapToGrid w:val="0"/>
                <w:color w:val="000000"/>
                <w:kern w:val="22"/>
                <w:szCs w:val="22"/>
              </w:rPr>
              <w:t>52 (33%)</w:t>
            </w:r>
          </w:p>
        </w:tc>
        <w:tc>
          <w:tcPr>
            <w:tcW w:w="1353" w:type="dxa"/>
            <w:shd w:val="clear" w:color="auto" w:fill="auto"/>
            <w:vAlign w:val="center"/>
            <w:hideMark/>
          </w:tcPr>
          <w:p w:rsidR="0076476C" w:rsidRPr="004F3BF9" w:rsidRDefault="0076476C" w:rsidP="00014202">
            <w:pPr>
              <w:suppressLineNumbers/>
              <w:suppressAutoHyphens/>
              <w:jc w:val="center"/>
              <w:rPr>
                <w:b/>
                <w:bCs/>
                <w:color w:val="000000"/>
                <w:szCs w:val="22"/>
              </w:rPr>
            </w:pPr>
            <w:r w:rsidRPr="004F3BF9">
              <w:rPr>
                <w:b/>
                <w:bCs/>
                <w:snapToGrid w:val="0"/>
                <w:color w:val="000000"/>
                <w:kern w:val="22"/>
                <w:szCs w:val="22"/>
              </w:rPr>
              <w:t>6 (4%)</w:t>
            </w:r>
          </w:p>
        </w:tc>
        <w:tc>
          <w:tcPr>
            <w:tcW w:w="1221" w:type="dxa"/>
            <w:shd w:val="clear" w:color="auto" w:fill="auto"/>
            <w:vAlign w:val="center"/>
            <w:hideMark/>
          </w:tcPr>
          <w:p w:rsidR="0076476C" w:rsidRPr="004F3BF9" w:rsidRDefault="0076476C" w:rsidP="00014202">
            <w:pPr>
              <w:suppressLineNumbers/>
              <w:suppressAutoHyphens/>
              <w:jc w:val="center"/>
              <w:rPr>
                <w:b/>
                <w:bCs/>
                <w:color w:val="000000"/>
                <w:szCs w:val="22"/>
              </w:rPr>
            </w:pPr>
            <w:r w:rsidRPr="004F3BF9">
              <w:rPr>
                <w:b/>
                <w:bCs/>
                <w:snapToGrid w:val="0"/>
                <w:color w:val="000000"/>
                <w:kern w:val="22"/>
                <w:szCs w:val="22"/>
              </w:rPr>
              <w:t>16 (10%)</w:t>
            </w:r>
          </w:p>
        </w:tc>
        <w:tc>
          <w:tcPr>
            <w:tcW w:w="1260" w:type="dxa"/>
            <w:shd w:val="clear" w:color="auto" w:fill="auto"/>
            <w:vAlign w:val="center"/>
            <w:hideMark/>
          </w:tcPr>
          <w:p w:rsidR="0076476C" w:rsidRPr="004F3BF9" w:rsidRDefault="0076476C" w:rsidP="00014202">
            <w:pPr>
              <w:suppressLineNumbers/>
              <w:suppressAutoHyphens/>
              <w:jc w:val="center"/>
              <w:rPr>
                <w:b/>
                <w:bCs/>
                <w:color w:val="000000"/>
                <w:szCs w:val="22"/>
              </w:rPr>
            </w:pPr>
            <w:r w:rsidRPr="004F3BF9">
              <w:rPr>
                <w:b/>
                <w:bCs/>
                <w:snapToGrid w:val="0"/>
                <w:color w:val="000000"/>
                <w:kern w:val="22"/>
                <w:szCs w:val="22"/>
              </w:rPr>
              <w:t>85 (53%)</w:t>
            </w:r>
          </w:p>
        </w:tc>
      </w:tr>
    </w:tbl>
    <w:p w:rsidR="0076476C" w:rsidRPr="004F3BF9" w:rsidRDefault="0076476C" w:rsidP="00232464">
      <w:pPr>
        <w:pStyle w:val="Heading2"/>
        <w:suppressLineNumbers/>
        <w:tabs>
          <w:tab w:val="clear" w:pos="720"/>
        </w:tabs>
        <w:suppressAutoHyphens/>
        <w:kinsoku w:val="0"/>
        <w:overflowPunct w:val="0"/>
        <w:autoSpaceDE w:val="0"/>
        <w:autoSpaceDN w:val="0"/>
        <w:adjustRightInd w:val="0"/>
        <w:snapToGrid w:val="0"/>
        <w:jc w:val="both"/>
        <w:rPr>
          <w:snapToGrid w:val="0"/>
          <w:kern w:val="22"/>
          <w:szCs w:val="22"/>
        </w:rPr>
      </w:pPr>
    </w:p>
    <w:p w:rsidR="00EC1942" w:rsidRPr="004F3BF9" w:rsidRDefault="00EC1942" w:rsidP="00232464">
      <w:pPr>
        <w:pStyle w:val="Heading2"/>
        <w:suppressLineNumbers/>
        <w:tabs>
          <w:tab w:val="clear" w:pos="720"/>
        </w:tabs>
        <w:suppressAutoHyphens/>
        <w:kinsoku w:val="0"/>
        <w:overflowPunct w:val="0"/>
        <w:autoSpaceDE w:val="0"/>
        <w:autoSpaceDN w:val="0"/>
        <w:adjustRightInd w:val="0"/>
        <w:snapToGrid w:val="0"/>
        <w:rPr>
          <w:snapToGrid w:val="0"/>
          <w:kern w:val="22"/>
          <w:szCs w:val="22"/>
        </w:rPr>
      </w:pPr>
      <w:r w:rsidRPr="004F3BF9">
        <w:rPr>
          <w:snapToGrid w:val="0"/>
          <w:kern w:val="22"/>
          <w:szCs w:val="22"/>
        </w:rPr>
        <w:t>B.</w:t>
      </w:r>
      <w:r w:rsidRPr="004F3BF9">
        <w:rPr>
          <w:snapToGrid w:val="0"/>
          <w:kern w:val="22"/>
          <w:szCs w:val="22"/>
        </w:rPr>
        <w:tab/>
        <w:t>Revision process</w:t>
      </w:r>
    </w:p>
    <w:p w:rsidR="00EC1942" w:rsidRPr="004F3BF9"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rPr>
      </w:pPr>
      <w:r w:rsidRPr="004F3BF9">
        <w:rPr>
          <w:bCs/>
          <w:kern w:val="22"/>
          <w:szCs w:val="22"/>
        </w:rPr>
        <w:t>1.</w:t>
      </w:r>
      <w:r w:rsidRPr="004F3BF9">
        <w:rPr>
          <w:bCs/>
          <w:kern w:val="22"/>
          <w:szCs w:val="22"/>
        </w:rPr>
        <w:tab/>
      </w:r>
      <w:r w:rsidRPr="004F3BF9">
        <w:rPr>
          <w:bCs/>
          <w:i/>
          <w:iCs/>
          <w:kern w:val="22"/>
          <w:szCs w:val="22"/>
        </w:rPr>
        <w:t>Assessment of previous NBSAP</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Of the Parties that have submitted a post-2010 NBSAP, </w:t>
      </w:r>
      <w:r w:rsidR="006A651C" w:rsidRPr="004F3BF9">
        <w:rPr>
          <w:snapToGrid w:val="0"/>
          <w:kern w:val="22"/>
          <w:szCs w:val="22"/>
        </w:rPr>
        <w:t>108</w:t>
      </w:r>
      <w:r w:rsidRPr="004F3BF9">
        <w:rPr>
          <w:snapToGrid w:val="0"/>
          <w:kern w:val="22"/>
          <w:szCs w:val="22"/>
          <w:vertAlign w:val="superscript"/>
        </w:rPr>
        <w:footnoteReference w:id="16"/>
      </w:r>
      <w:r w:rsidRPr="004F3BF9">
        <w:rPr>
          <w:snapToGrid w:val="0"/>
          <w:kern w:val="22"/>
          <w:szCs w:val="22"/>
        </w:rPr>
        <w:t xml:space="preserve"> mention having done an assessment</w:t>
      </w:r>
      <w:r w:rsidRPr="004F3BF9">
        <w:rPr>
          <w:snapToGrid w:val="0"/>
          <w:kern w:val="22"/>
          <w:szCs w:val="22"/>
          <w:vertAlign w:val="superscript"/>
        </w:rPr>
        <w:footnoteReference w:id="17"/>
      </w:r>
      <w:r w:rsidRPr="004F3BF9">
        <w:rPr>
          <w:snapToGrid w:val="0"/>
          <w:kern w:val="22"/>
          <w:szCs w:val="22"/>
        </w:rPr>
        <w:t xml:space="preserve"> of their previous NBSAP as part of, or contributing to</w:t>
      </w:r>
      <w:r w:rsidR="0007764D" w:rsidRPr="004F3BF9">
        <w:rPr>
          <w:snapToGrid w:val="0"/>
          <w:kern w:val="22"/>
          <w:szCs w:val="22"/>
        </w:rPr>
        <w:t>,</w:t>
      </w:r>
      <w:r w:rsidRPr="004F3BF9">
        <w:rPr>
          <w:snapToGrid w:val="0"/>
          <w:kern w:val="22"/>
          <w:szCs w:val="22"/>
        </w:rPr>
        <w:t xml:space="preserve"> the revision process. These assessments have helped Parties to understand the strengths and shortcomings of their previous NBSAPs in order to build and improve on these in the latest revision. The specific subjects covered in these assessments vary. Generally, they have addressed the proportion of NBSAP activities that have been implemented, their achievements, and their implementation challenges. Some examples follow:</w:t>
      </w:r>
    </w:p>
    <w:p w:rsidR="00EC1942" w:rsidRPr="004F3BF9" w:rsidRDefault="00EC1942" w:rsidP="00232464">
      <w:pPr>
        <w:numPr>
          <w:ilvl w:val="1"/>
          <w:numId w:val="18"/>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3BF9">
        <w:rPr>
          <w:snapToGrid w:val="0"/>
          <w:kern w:val="22"/>
          <w:szCs w:val="22"/>
        </w:rPr>
        <w:t>The assessments of 1</w:t>
      </w:r>
      <w:r w:rsidR="00695607" w:rsidRPr="004F3BF9">
        <w:rPr>
          <w:snapToGrid w:val="0"/>
          <w:kern w:val="22"/>
          <w:szCs w:val="22"/>
        </w:rPr>
        <w:t>9</w:t>
      </w:r>
      <w:r w:rsidRPr="004F3BF9">
        <w:rPr>
          <w:snapToGrid w:val="0"/>
          <w:kern w:val="22"/>
          <w:szCs w:val="22"/>
        </w:rPr>
        <w:t xml:space="preserve"> Parties</w:t>
      </w:r>
      <w:r w:rsidRPr="004F3BF9">
        <w:rPr>
          <w:rStyle w:val="FootnoteReference"/>
          <w:snapToGrid w:val="0"/>
          <w:kern w:val="22"/>
          <w:sz w:val="22"/>
          <w:szCs w:val="22"/>
          <w:u w:val="none"/>
          <w:vertAlign w:val="superscript"/>
        </w:rPr>
        <w:footnoteReference w:id="18"/>
      </w:r>
      <w:r w:rsidRPr="004F3BF9">
        <w:rPr>
          <w:snapToGrid w:val="0"/>
          <w:kern w:val="22"/>
          <w:szCs w:val="22"/>
        </w:rPr>
        <w:t xml:space="preserve"> reported the percentage of accomplishment of the previous NBSAP</w:t>
      </w:r>
      <w:r w:rsidR="001340BA" w:rsidRPr="004F3BF9">
        <w:rPr>
          <w:snapToGrid w:val="0"/>
          <w:kern w:val="22"/>
          <w:szCs w:val="22"/>
        </w:rPr>
        <w:t>’</w:t>
      </w:r>
      <w:r w:rsidRPr="004F3BF9">
        <w:rPr>
          <w:snapToGrid w:val="0"/>
          <w:kern w:val="22"/>
          <w:szCs w:val="22"/>
        </w:rPr>
        <w:t xml:space="preserve">s objectives, projects or activities. The percentages and degrees of accomplishment </w:t>
      </w:r>
      <w:r w:rsidR="0040583C" w:rsidRPr="004F3BF9">
        <w:rPr>
          <w:snapToGrid w:val="0"/>
          <w:kern w:val="22"/>
          <w:szCs w:val="22"/>
        </w:rPr>
        <w:t>vary greatly</w:t>
      </w:r>
      <w:r w:rsidRPr="004F3BF9">
        <w:rPr>
          <w:snapToGrid w:val="0"/>
          <w:kern w:val="22"/>
          <w:szCs w:val="22"/>
        </w:rPr>
        <w:t xml:space="preserve"> from one country to another</w:t>
      </w:r>
      <w:r w:rsidR="00602AEB" w:rsidRPr="004F3BF9">
        <w:rPr>
          <w:snapToGrid w:val="0"/>
          <w:kern w:val="22"/>
          <w:szCs w:val="22"/>
        </w:rPr>
        <w:t>;</w:t>
      </w:r>
    </w:p>
    <w:p w:rsidR="00EC1942" w:rsidRPr="004F3BF9" w:rsidRDefault="00EC1942" w:rsidP="00232464">
      <w:pPr>
        <w:numPr>
          <w:ilvl w:val="1"/>
          <w:numId w:val="18"/>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4F3BF9">
        <w:rPr>
          <w:snapToGrid w:val="0"/>
          <w:kern w:val="22"/>
          <w:szCs w:val="22"/>
        </w:rPr>
        <w:t xml:space="preserve">The assessments of </w:t>
      </w:r>
      <w:r w:rsidR="003213DC" w:rsidRPr="004F3BF9">
        <w:rPr>
          <w:snapToGrid w:val="0"/>
          <w:kern w:val="22"/>
          <w:szCs w:val="22"/>
        </w:rPr>
        <w:t xml:space="preserve">43 </w:t>
      </w:r>
      <w:r w:rsidRPr="004F3BF9">
        <w:rPr>
          <w:snapToGrid w:val="0"/>
          <w:kern w:val="22"/>
          <w:szCs w:val="22"/>
        </w:rPr>
        <w:t>Parties</w:t>
      </w:r>
      <w:r w:rsidRPr="004F3BF9">
        <w:rPr>
          <w:rStyle w:val="FootnoteReference"/>
          <w:snapToGrid w:val="0"/>
          <w:kern w:val="22"/>
          <w:sz w:val="22"/>
          <w:szCs w:val="22"/>
          <w:u w:val="none"/>
          <w:vertAlign w:val="superscript"/>
        </w:rPr>
        <w:footnoteReference w:id="19"/>
      </w:r>
      <w:r w:rsidRPr="004F3BF9">
        <w:rPr>
          <w:snapToGrid w:val="0"/>
          <w:kern w:val="22"/>
          <w:szCs w:val="22"/>
        </w:rPr>
        <w:t xml:space="preserve"> reported on specific achievements during the period of their previous NBSAP. Of these, the most commonly cited were forest rehabilitation (25 Parties), </w:t>
      </w:r>
      <w:r w:rsidR="008F1B72" w:rsidRPr="004F3BF9">
        <w:rPr>
          <w:snapToGrid w:val="0"/>
          <w:kern w:val="22"/>
          <w:szCs w:val="22"/>
        </w:rPr>
        <w:t>the development of new policies, legislation, and/or the improvement of institutional frameworks (20 Parties), the establishment of new conservation program</w:t>
      </w:r>
      <w:r w:rsidR="00FB1341" w:rsidRPr="004F3BF9">
        <w:rPr>
          <w:snapToGrid w:val="0"/>
          <w:kern w:val="22"/>
          <w:szCs w:val="22"/>
        </w:rPr>
        <w:t>me</w:t>
      </w:r>
      <w:r w:rsidR="008F1B72" w:rsidRPr="004F3BF9">
        <w:rPr>
          <w:snapToGrid w:val="0"/>
          <w:kern w:val="22"/>
          <w:szCs w:val="22"/>
        </w:rPr>
        <w:t xml:space="preserve">s (19 Parties), and </w:t>
      </w:r>
      <w:r w:rsidRPr="004F3BF9">
        <w:rPr>
          <w:snapToGrid w:val="0"/>
          <w:kern w:val="22"/>
          <w:szCs w:val="22"/>
        </w:rPr>
        <w:t>increases in protected area coverage (</w:t>
      </w:r>
      <w:r w:rsidR="008F1B72" w:rsidRPr="004F3BF9">
        <w:rPr>
          <w:snapToGrid w:val="0"/>
          <w:kern w:val="22"/>
          <w:szCs w:val="22"/>
        </w:rPr>
        <w:t xml:space="preserve">15 </w:t>
      </w:r>
      <w:r w:rsidRPr="004F3BF9">
        <w:rPr>
          <w:snapToGrid w:val="0"/>
          <w:kern w:val="22"/>
          <w:szCs w:val="22"/>
        </w:rPr>
        <w:t>Parties) or improvements in their management (13 Parties)</w:t>
      </w:r>
      <w:r w:rsidR="00D66362" w:rsidRPr="004F3BF9">
        <w:rPr>
          <w:snapToGrid w:val="0"/>
          <w:kern w:val="22"/>
          <w:szCs w:val="22"/>
        </w:rPr>
        <w:t>;</w:t>
      </w:r>
    </w:p>
    <w:p w:rsidR="00EC1942" w:rsidRPr="004F3BF9" w:rsidRDefault="00EC1942" w:rsidP="00232464">
      <w:pPr>
        <w:numPr>
          <w:ilvl w:val="1"/>
          <w:numId w:val="18"/>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F3BF9">
        <w:rPr>
          <w:snapToGrid w:val="0"/>
          <w:kern w:val="22"/>
          <w:szCs w:val="22"/>
        </w:rPr>
        <w:lastRenderedPageBreak/>
        <w:t xml:space="preserve">The assessments of </w:t>
      </w:r>
      <w:r w:rsidR="000F1F1B" w:rsidRPr="004F3BF9">
        <w:rPr>
          <w:snapToGrid w:val="0"/>
          <w:kern w:val="22"/>
          <w:szCs w:val="22"/>
        </w:rPr>
        <w:t xml:space="preserve">58 </w:t>
      </w:r>
      <w:r w:rsidRPr="004F3BF9">
        <w:rPr>
          <w:snapToGrid w:val="0"/>
          <w:kern w:val="22"/>
          <w:szCs w:val="22"/>
        </w:rPr>
        <w:t>Parties</w:t>
      </w:r>
      <w:r w:rsidRPr="004F3BF9">
        <w:rPr>
          <w:rStyle w:val="FootnoteReference"/>
          <w:noProof/>
          <w:snapToGrid w:val="0"/>
          <w:kern w:val="22"/>
          <w:sz w:val="22"/>
          <w:szCs w:val="22"/>
          <w:u w:val="none"/>
          <w:vertAlign w:val="superscript"/>
        </w:rPr>
        <w:footnoteReference w:id="20"/>
      </w:r>
      <w:r w:rsidRPr="004F3BF9">
        <w:rPr>
          <w:snapToGrid w:val="0"/>
          <w:kern w:val="22"/>
          <w:szCs w:val="22"/>
        </w:rPr>
        <w:t xml:space="preserve"> reported on implementation challenges. The most commonly cited were insufficient financial resources (</w:t>
      </w:r>
      <w:r w:rsidR="00443843" w:rsidRPr="004F3BF9">
        <w:rPr>
          <w:snapToGrid w:val="0"/>
          <w:kern w:val="22"/>
          <w:szCs w:val="22"/>
        </w:rPr>
        <w:t xml:space="preserve">34 </w:t>
      </w:r>
      <w:r w:rsidRPr="004F3BF9">
        <w:rPr>
          <w:snapToGrid w:val="0"/>
          <w:kern w:val="22"/>
          <w:szCs w:val="22"/>
        </w:rPr>
        <w:t xml:space="preserve">Parties), </w:t>
      </w:r>
      <w:r w:rsidR="00443843" w:rsidRPr="004F3BF9">
        <w:rPr>
          <w:snapToGrid w:val="0"/>
          <w:kern w:val="22"/>
          <w:szCs w:val="22"/>
        </w:rPr>
        <w:t>lack of/weak mainstreaming in national and sectoral policies</w:t>
      </w:r>
      <w:r w:rsidR="00443843" w:rsidRPr="004F3BF9" w:rsidDel="00835F32">
        <w:rPr>
          <w:snapToGrid w:val="0"/>
          <w:kern w:val="22"/>
          <w:szCs w:val="22"/>
        </w:rPr>
        <w:t xml:space="preserve"> </w:t>
      </w:r>
      <w:r w:rsidR="00443843" w:rsidRPr="004F3BF9">
        <w:rPr>
          <w:snapToGrid w:val="0"/>
          <w:kern w:val="22"/>
          <w:szCs w:val="22"/>
        </w:rPr>
        <w:t xml:space="preserve">(24 Parties), </w:t>
      </w:r>
      <w:r w:rsidRPr="004F3BF9">
        <w:rPr>
          <w:snapToGrid w:val="0"/>
          <w:kern w:val="22"/>
          <w:szCs w:val="22"/>
        </w:rPr>
        <w:t>inadequate monitoring and evaluation frameworks (</w:t>
      </w:r>
      <w:r w:rsidR="00443843" w:rsidRPr="004F3BF9">
        <w:rPr>
          <w:snapToGrid w:val="0"/>
          <w:kern w:val="22"/>
          <w:szCs w:val="22"/>
        </w:rPr>
        <w:t xml:space="preserve">26 </w:t>
      </w:r>
      <w:r w:rsidRPr="004F3BF9">
        <w:rPr>
          <w:snapToGrid w:val="0"/>
          <w:kern w:val="22"/>
          <w:szCs w:val="22"/>
        </w:rPr>
        <w:t> Parties)</w:t>
      </w:r>
      <w:r w:rsidR="00443843" w:rsidRPr="004F3BF9">
        <w:rPr>
          <w:snapToGrid w:val="0"/>
          <w:kern w:val="22"/>
          <w:szCs w:val="22"/>
        </w:rPr>
        <w:t xml:space="preserve">; and </w:t>
      </w:r>
      <w:r w:rsidRPr="004F3BF9">
        <w:rPr>
          <w:snapToGrid w:val="0"/>
          <w:kern w:val="22"/>
          <w:szCs w:val="22"/>
        </w:rPr>
        <w:t>lack of/weak communication with other departments/agencies (</w:t>
      </w:r>
      <w:r w:rsidR="00443843" w:rsidRPr="004F3BF9">
        <w:rPr>
          <w:snapToGrid w:val="0"/>
          <w:kern w:val="22"/>
          <w:szCs w:val="22"/>
        </w:rPr>
        <w:t>24</w:t>
      </w:r>
      <w:r w:rsidR="00D66362" w:rsidRPr="004F3BF9">
        <w:rPr>
          <w:snapToGrid w:val="0"/>
          <w:kern w:val="22"/>
          <w:szCs w:val="22"/>
        </w:rPr>
        <w:t> </w:t>
      </w:r>
      <w:r w:rsidRPr="004F3BF9">
        <w:rPr>
          <w:snapToGrid w:val="0"/>
          <w:kern w:val="22"/>
          <w:szCs w:val="22"/>
        </w:rPr>
        <w:t>Parties)</w:t>
      </w:r>
      <w:r w:rsidR="00443843" w:rsidRPr="004F3BF9">
        <w:rPr>
          <w:snapToGrid w:val="0"/>
          <w:kern w:val="22"/>
          <w:szCs w:val="22"/>
        </w:rPr>
        <w:t>.</w:t>
      </w:r>
    </w:p>
    <w:p w:rsidR="00EC1942" w:rsidRPr="004F3BF9"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rPr>
          <w:bCs/>
          <w:i/>
          <w:iCs/>
          <w:color w:val="000000"/>
          <w:kern w:val="22"/>
          <w:szCs w:val="22"/>
        </w:rPr>
      </w:pPr>
      <w:r w:rsidRPr="004F3BF9">
        <w:rPr>
          <w:bCs/>
          <w:color w:val="000000"/>
          <w:kern w:val="22"/>
          <w:szCs w:val="22"/>
        </w:rPr>
        <w:t>2.</w:t>
      </w:r>
      <w:r w:rsidRPr="004F3BF9">
        <w:rPr>
          <w:bCs/>
          <w:color w:val="000000"/>
          <w:kern w:val="22"/>
          <w:szCs w:val="22"/>
        </w:rPr>
        <w:tab/>
      </w:r>
      <w:r w:rsidRPr="004F3BF9">
        <w:rPr>
          <w:bCs/>
          <w:i/>
          <w:iCs/>
          <w:color w:val="000000"/>
          <w:kern w:val="22"/>
          <w:szCs w:val="22"/>
        </w:rPr>
        <w:t>Stakeholder engagement</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Most Parties reported the involvement of a range of stakeholders in the NBSAP revision process. However, few insights are provided on the quality of this involvement or the implications for the implementation of the NSBAP. The government ministries that were most commonly involved were: Agriculture, </w:t>
      </w:r>
      <w:r w:rsidR="00BB5F37" w:rsidRPr="004F3BF9">
        <w:rPr>
          <w:snapToGrid w:val="0"/>
          <w:kern w:val="22"/>
          <w:szCs w:val="22"/>
        </w:rPr>
        <w:t xml:space="preserve">Fisheries, </w:t>
      </w:r>
      <w:r w:rsidRPr="004F3BF9">
        <w:rPr>
          <w:snapToGrid w:val="0"/>
          <w:kern w:val="22"/>
          <w:szCs w:val="22"/>
        </w:rPr>
        <w:t xml:space="preserve">Development/Planning, Forestry, Tourism, Education, </w:t>
      </w:r>
      <w:r w:rsidR="00BB5F37" w:rsidRPr="004F3BF9">
        <w:rPr>
          <w:snapToGrid w:val="0"/>
          <w:kern w:val="22"/>
          <w:szCs w:val="22"/>
        </w:rPr>
        <w:t xml:space="preserve">Finance, </w:t>
      </w:r>
      <w:r w:rsidRPr="004F3BF9">
        <w:rPr>
          <w:snapToGrid w:val="0"/>
          <w:kern w:val="22"/>
          <w:szCs w:val="22"/>
        </w:rPr>
        <w:t>Trade and Industry</w:t>
      </w:r>
      <w:r w:rsidR="00BB5F37" w:rsidRPr="004F3BF9">
        <w:rPr>
          <w:snapToGrid w:val="0"/>
          <w:kern w:val="22"/>
          <w:szCs w:val="22"/>
        </w:rPr>
        <w:t xml:space="preserve"> and Infrastructure/Transport</w:t>
      </w:r>
      <w:r w:rsidRPr="004F3BF9">
        <w:rPr>
          <w:snapToGrid w:val="0"/>
          <w:kern w:val="22"/>
          <w:szCs w:val="22"/>
        </w:rPr>
        <w:t xml:space="preserve">. Other ministries involved included: </w:t>
      </w:r>
      <w:r w:rsidR="00BB5F37" w:rsidRPr="004F3BF9">
        <w:rPr>
          <w:snapToGrid w:val="0"/>
          <w:kern w:val="22"/>
          <w:szCs w:val="22"/>
        </w:rPr>
        <w:t xml:space="preserve">Culture, </w:t>
      </w:r>
      <w:r w:rsidRPr="004F3BF9">
        <w:rPr>
          <w:snapToGrid w:val="0"/>
          <w:kern w:val="22"/>
          <w:szCs w:val="22"/>
        </w:rPr>
        <w:t xml:space="preserve">Science and Technology, Economy, </w:t>
      </w:r>
      <w:r w:rsidR="00BB5F37" w:rsidRPr="004F3BF9">
        <w:rPr>
          <w:snapToGrid w:val="0"/>
          <w:kern w:val="22"/>
          <w:szCs w:val="22"/>
        </w:rPr>
        <w:t xml:space="preserve">Health, </w:t>
      </w:r>
      <w:r w:rsidRPr="004F3BF9">
        <w:rPr>
          <w:snapToGrid w:val="0"/>
          <w:kern w:val="22"/>
          <w:szCs w:val="22"/>
        </w:rPr>
        <w:t>Sports, and Social Affairs (see table 1).</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b/>
          <w:snapToGrid w:val="0"/>
          <w:kern w:val="22"/>
          <w:szCs w:val="22"/>
        </w:rPr>
      </w:pPr>
      <w:r w:rsidRPr="004F3BF9">
        <w:rPr>
          <w:snapToGrid w:val="0"/>
          <w:kern w:val="22"/>
          <w:szCs w:val="22"/>
        </w:rPr>
        <w:t xml:space="preserve">Parties also reported the involvement of non-governmental stakeholders in the revision process. These include indigenous and local communities (reported in </w:t>
      </w:r>
      <w:r w:rsidR="008A5E58" w:rsidRPr="004F3BF9">
        <w:rPr>
          <w:snapToGrid w:val="0"/>
          <w:kern w:val="22"/>
          <w:szCs w:val="22"/>
        </w:rPr>
        <w:t xml:space="preserve">37 </w:t>
      </w:r>
      <w:r w:rsidRPr="004F3BF9">
        <w:rPr>
          <w:snapToGrid w:val="0"/>
          <w:kern w:val="22"/>
          <w:szCs w:val="22"/>
        </w:rPr>
        <w:t>NBSAPs</w:t>
      </w:r>
      <w:r w:rsidRPr="004F3BF9">
        <w:rPr>
          <w:snapToGrid w:val="0"/>
          <w:kern w:val="22"/>
          <w:szCs w:val="22"/>
          <w:vertAlign w:val="superscript"/>
        </w:rPr>
        <w:footnoteReference w:id="21"/>
      </w:r>
      <w:r w:rsidRPr="004F3BF9">
        <w:rPr>
          <w:snapToGrid w:val="0"/>
          <w:kern w:val="22"/>
          <w:szCs w:val="22"/>
        </w:rPr>
        <w:t>), NGOs/civil society (</w:t>
      </w:r>
      <w:r w:rsidR="008A5E58" w:rsidRPr="004F3BF9">
        <w:rPr>
          <w:snapToGrid w:val="0"/>
          <w:kern w:val="22"/>
          <w:szCs w:val="22"/>
        </w:rPr>
        <w:t xml:space="preserve">94 </w:t>
      </w:r>
      <w:r w:rsidRPr="004F3BF9">
        <w:rPr>
          <w:snapToGrid w:val="0"/>
          <w:kern w:val="22"/>
          <w:szCs w:val="22"/>
        </w:rPr>
        <w:t>NBSAPs</w:t>
      </w:r>
      <w:r w:rsidRPr="004F3BF9">
        <w:rPr>
          <w:snapToGrid w:val="0"/>
          <w:kern w:val="22"/>
          <w:szCs w:val="22"/>
          <w:vertAlign w:val="superscript"/>
        </w:rPr>
        <w:footnoteReference w:id="22"/>
      </w:r>
      <w:r w:rsidRPr="004F3BF9">
        <w:rPr>
          <w:snapToGrid w:val="0"/>
          <w:kern w:val="22"/>
          <w:szCs w:val="22"/>
        </w:rPr>
        <w:t>), private sector (</w:t>
      </w:r>
      <w:r w:rsidR="001C2CBA" w:rsidRPr="004F3BF9">
        <w:rPr>
          <w:snapToGrid w:val="0"/>
          <w:kern w:val="22"/>
          <w:szCs w:val="22"/>
        </w:rPr>
        <w:t>47</w:t>
      </w:r>
      <w:r w:rsidRPr="004F3BF9">
        <w:rPr>
          <w:snapToGrid w:val="0"/>
          <w:kern w:val="22"/>
          <w:szCs w:val="22"/>
        </w:rPr>
        <w:t xml:space="preserve"> NBSAPs</w:t>
      </w:r>
      <w:r w:rsidRPr="004F3BF9">
        <w:rPr>
          <w:snapToGrid w:val="0"/>
          <w:kern w:val="22"/>
          <w:szCs w:val="22"/>
          <w:vertAlign w:val="superscript"/>
        </w:rPr>
        <w:footnoteReference w:id="23"/>
      </w:r>
      <w:r w:rsidRPr="004F3BF9">
        <w:rPr>
          <w:snapToGrid w:val="0"/>
          <w:kern w:val="22"/>
          <w:szCs w:val="22"/>
        </w:rPr>
        <w:t>) and academia (</w:t>
      </w:r>
      <w:r w:rsidR="007F4464" w:rsidRPr="004F3BF9">
        <w:rPr>
          <w:snapToGrid w:val="0"/>
          <w:kern w:val="22"/>
          <w:szCs w:val="22"/>
        </w:rPr>
        <w:t>6</w:t>
      </w:r>
      <w:r w:rsidR="001C2CBA" w:rsidRPr="004F3BF9">
        <w:rPr>
          <w:snapToGrid w:val="0"/>
          <w:kern w:val="22"/>
          <w:szCs w:val="22"/>
        </w:rPr>
        <w:t>4</w:t>
      </w:r>
      <w:r w:rsidRPr="004F3BF9">
        <w:rPr>
          <w:snapToGrid w:val="0"/>
          <w:kern w:val="22"/>
          <w:szCs w:val="22"/>
        </w:rPr>
        <w:t xml:space="preserve"> NBSAPs</w:t>
      </w:r>
      <w:r w:rsidRPr="004F3BF9">
        <w:rPr>
          <w:snapToGrid w:val="0"/>
          <w:kern w:val="22"/>
          <w:szCs w:val="22"/>
          <w:vertAlign w:val="superscript"/>
        </w:rPr>
        <w:footnoteReference w:id="24"/>
      </w:r>
      <w:r w:rsidRPr="004F3BF9">
        <w:rPr>
          <w:snapToGrid w:val="0"/>
          <w:kern w:val="22"/>
          <w:szCs w:val="22"/>
        </w:rPr>
        <w:t>).</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Of the </w:t>
      </w:r>
      <w:r w:rsidR="00656C99" w:rsidRPr="004F3BF9">
        <w:rPr>
          <w:snapToGrid w:val="0"/>
          <w:kern w:val="22"/>
          <w:szCs w:val="22"/>
        </w:rPr>
        <w:t xml:space="preserve">159 </w:t>
      </w:r>
      <w:r w:rsidRPr="004F3BF9">
        <w:rPr>
          <w:snapToGrid w:val="0"/>
          <w:kern w:val="22"/>
          <w:szCs w:val="22"/>
        </w:rPr>
        <w:t xml:space="preserve">NBSAPs reviewed, </w:t>
      </w:r>
      <w:r w:rsidR="00656C99" w:rsidRPr="004F3BF9">
        <w:rPr>
          <w:snapToGrid w:val="0"/>
          <w:kern w:val="22"/>
          <w:szCs w:val="22"/>
        </w:rPr>
        <w:t xml:space="preserve">91 </w:t>
      </w:r>
      <w:r w:rsidRPr="004F3BF9">
        <w:rPr>
          <w:snapToGrid w:val="0"/>
          <w:kern w:val="22"/>
          <w:szCs w:val="22"/>
        </w:rPr>
        <w:t>record having a formal coordination structure, or a working group for NBSAP-related tasks, composed of different stakeholders.</w:t>
      </w:r>
      <w:r w:rsidRPr="004F3BF9">
        <w:rPr>
          <w:snapToGrid w:val="0"/>
          <w:kern w:val="22"/>
          <w:szCs w:val="22"/>
          <w:vertAlign w:val="superscript"/>
        </w:rPr>
        <w:footnoteReference w:id="25"/>
      </w:r>
      <w:r w:rsidRPr="004F3BF9">
        <w:rPr>
          <w:snapToGrid w:val="0"/>
          <w:kern w:val="22"/>
          <w:szCs w:val="22"/>
        </w:rPr>
        <w:t xml:space="preserve"> The mandates of these coordination mechanisms vary. While in some countries their mandate is limited to the revision of the NBSAP, in other </w:t>
      </w:r>
      <w:r w:rsidRPr="004F3BF9">
        <w:rPr>
          <w:snapToGrid w:val="0"/>
          <w:kern w:val="22"/>
          <w:szCs w:val="22"/>
        </w:rPr>
        <w:lastRenderedPageBreak/>
        <w:t xml:space="preserve">countries, coordination mechanisms are also mandated to monitor implementation. In some, they are also mandated to oversee the implementation process itself (Bangladesh, </w:t>
      </w:r>
      <w:r w:rsidR="00BE6FF2" w:rsidRPr="004F3BF9">
        <w:rPr>
          <w:snapToGrid w:val="0"/>
          <w:kern w:val="22"/>
          <w:szCs w:val="22"/>
        </w:rPr>
        <w:t xml:space="preserve">Costa Rica, </w:t>
      </w:r>
      <w:r w:rsidRPr="004F3BF9">
        <w:rPr>
          <w:snapToGrid w:val="0"/>
          <w:kern w:val="22"/>
          <w:szCs w:val="22"/>
        </w:rPr>
        <w:t xml:space="preserve">European Union, Finland, </w:t>
      </w:r>
      <w:r w:rsidR="00C272A7" w:rsidRPr="004F3BF9">
        <w:rPr>
          <w:snapToGrid w:val="0"/>
          <w:kern w:val="22"/>
          <w:szCs w:val="22"/>
        </w:rPr>
        <w:t xml:space="preserve">Indonesia, </w:t>
      </w:r>
      <w:r w:rsidRPr="004F3BF9">
        <w:rPr>
          <w:snapToGrid w:val="0"/>
          <w:kern w:val="22"/>
          <w:szCs w:val="22"/>
        </w:rPr>
        <w:t>Ireland, Japan, Nigeria, Senegal South Africa, Timor-Leste and Yemen).</w:t>
      </w:r>
    </w:p>
    <w:p w:rsidR="00EC1942" w:rsidRPr="00D01193" w:rsidRDefault="00EC1942" w:rsidP="00232464">
      <w:pPr>
        <w:pStyle w:val="Para1"/>
        <w:keepNext/>
        <w:numPr>
          <w:ilvl w:val="0"/>
          <w:numId w:val="0"/>
        </w:numPr>
        <w:suppressLineNumbers/>
        <w:suppressAutoHyphens/>
        <w:kinsoku w:val="0"/>
        <w:overflowPunct w:val="0"/>
        <w:autoSpaceDE w:val="0"/>
        <w:autoSpaceDN w:val="0"/>
        <w:adjustRightInd w:val="0"/>
        <w:snapToGrid w:val="0"/>
        <w:ind w:left="851" w:hanging="851"/>
        <w:jc w:val="left"/>
        <w:rPr>
          <w:b/>
          <w:spacing w:val="-2"/>
          <w:kern w:val="22"/>
          <w:szCs w:val="22"/>
        </w:rPr>
      </w:pPr>
      <w:r w:rsidRPr="00D01193">
        <w:rPr>
          <w:b/>
          <w:spacing w:val="-2"/>
          <w:kern w:val="22"/>
          <w:szCs w:val="22"/>
        </w:rPr>
        <w:t>Table 1.</w:t>
      </w:r>
      <w:r w:rsidR="00C16015" w:rsidRPr="00D01193">
        <w:rPr>
          <w:b/>
          <w:spacing w:val="-2"/>
          <w:kern w:val="22"/>
          <w:szCs w:val="22"/>
        </w:rPr>
        <w:tab/>
      </w:r>
      <w:r w:rsidRPr="00D01193">
        <w:rPr>
          <w:b/>
          <w:spacing w:val="-2"/>
          <w:kern w:val="22"/>
          <w:szCs w:val="22"/>
        </w:rPr>
        <w:t>Number of Parties reporting the involvement and roles of other ministries in NBSAP process</w:t>
      </w:r>
    </w:p>
    <w:tbl>
      <w:tblPr>
        <w:tblStyle w:val="TableGrid"/>
        <w:tblW w:w="0" w:type="auto"/>
        <w:tblInd w:w="113" w:type="dxa"/>
        <w:tblLook w:val="04A0" w:firstRow="1" w:lastRow="0" w:firstColumn="1" w:lastColumn="0" w:noHBand="0" w:noVBand="1"/>
      </w:tblPr>
      <w:tblGrid>
        <w:gridCol w:w="2337"/>
        <w:gridCol w:w="2337"/>
        <w:gridCol w:w="2338"/>
        <w:gridCol w:w="2338"/>
      </w:tblGrid>
      <w:tr w:rsidR="00D01193" w:rsidRPr="00D01193" w:rsidTr="00D01193">
        <w:tc>
          <w:tcPr>
            <w:tcW w:w="2337" w:type="dxa"/>
            <w:vMerge w:val="restart"/>
            <w:vAlign w:val="center"/>
          </w:tcPr>
          <w:p w:rsidR="00D01193" w:rsidRPr="00D01193" w:rsidRDefault="002C6891" w:rsidP="00C45EA1">
            <w:pPr>
              <w:jc w:val="center"/>
              <w:rPr>
                <w:rFonts w:ascii="Times New Roman" w:hAnsi="Times New Roman" w:cs="Times New Roman"/>
                <w:b/>
                <w:szCs w:val="22"/>
              </w:rPr>
            </w:pPr>
            <w:r>
              <w:rPr>
                <w:rFonts w:ascii="Times New Roman" w:hAnsi="Times New Roman" w:cs="Times New Roman"/>
                <w:b/>
                <w:szCs w:val="22"/>
              </w:rPr>
              <w:t>Ministry</w:t>
            </w:r>
          </w:p>
        </w:tc>
        <w:tc>
          <w:tcPr>
            <w:tcW w:w="7013" w:type="dxa"/>
            <w:gridSpan w:val="3"/>
          </w:tcPr>
          <w:p w:rsidR="00D01193" w:rsidRPr="00D01193" w:rsidRDefault="00D01193" w:rsidP="00C45EA1">
            <w:pPr>
              <w:jc w:val="center"/>
              <w:rPr>
                <w:rFonts w:ascii="Times New Roman" w:hAnsi="Times New Roman" w:cs="Times New Roman"/>
                <w:b/>
                <w:szCs w:val="22"/>
              </w:rPr>
            </w:pPr>
            <w:r w:rsidRPr="00D01193">
              <w:rPr>
                <w:rFonts w:ascii="Times New Roman" w:hAnsi="Times New Roman" w:cs="Times New Roman"/>
                <w:b/>
                <w:bCs/>
                <w:snapToGrid w:val="0"/>
                <w:color w:val="000000"/>
                <w:kern w:val="22"/>
                <w:szCs w:val="22"/>
                <w:lang w:eastAsia="es-ES"/>
              </w:rPr>
              <w:t>Involvement</w:t>
            </w:r>
          </w:p>
        </w:tc>
      </w:tr>
      <w:tr w:rsidR="00D01193" w:rsidRPr="00D01193" w:rsidTr="00D01193">
        <w:tc>
          <w:tcPr>
            <w:tcW w:w="2337" w:type="dxa"/>
            <w:vMerge/>
          </w:tcPr>
          <w:p w:rsidR="00D01193" w:rsidRPr="00D01193" w:rsidRDefault="00D01193" w:rsidP="00C45EA1">
            <w:pPr>
              <w:rPr>
                <w:rFonts w:ascii="Times New Roman" w:hAnsi="Times New Roman" w:cs="Times New Roman"/>
                <w:szCs w:val="22"/>
              </w:rPr>
            </w:pPr>
          </w:p>
        </w:tc>
        <w:tc>
          <w:tcPr>
            <w:tcW w:w="2337" w:type="dxa"/>
            <w:vAlign w:val="center"/>
          </w:tcPr>
          <w:p w:rsidR="00D01193" w:rsidRPr="00D01193" w:rsidRDefault="00D01193" w:rsidP="00C45EA1">
            <w:pPr>
              <w:suppressLineNumbers/>
              <w:suppressAutoHyphens/>
              <w:kinsoku w:val="0"/>
              <w:overflowPunct w:val="0"/>
              <w:autoSpaceDE w:val="0"/>
              <w:autoSpaceDN w:val="0"/>
              <w:adjustRightInd w:val="0"/>
              <w:snapToGrid w:val="0"/>
              <w:jc w:val="center"/>
              <w:rPr>
                <w:rFonts w:ascii="Times New Roman" w:hAnsi="Times New Roman" w:cs="Times New Roman"/>
                <w:bCs/>
                <w:i/>
                <w:snapToGrid w:val="0"/>
                <w:color w:val="000000"/>
                <w:kern w:val="22"/>
                <w:szCs w:val="22"/>
                <w:lang w:eastAsia="es-ES"/>
              </w:rPr>
            </w:pPr>
            <w:r w:rsidRPr="00D01193">
              <w:rPr>
                <w:rFonts w:ascii="Times New Roman" w:hAnsi="Times New Roman" w:cs="Times New Roman"/>
                <w:bCs/>
                <w:i/>
                <w:snapToGrid w:val="0"/>
                <w:color w:val="000000"/>
                <w:kern w:val="22"/>
                <w:szCs w:val="22"/>
                <w:lang w:eastAsia="es-ES"/>
              </w:rPr>
              <w:t>On committee</w:t>
            </w:r>
          </w:p>
        </w:tc>
        <w:tc>
          <w:tcPr>
            <w:tcW w:w="2338" w:type="dxa"/>
          </w:tcPr>
          <w:p w:rsidR="00D01193" w:rsidRPr="00D01193" w:rsidRDefault="00D01193" w:rsidP="00C45EA1">
            <w:pPr>
              <w:jc w:val="center"/>
              <w:rPr>
                <w:rFonts w:ascii="Times New Roman" w:hAnsi="Times New Roman" w:cs="Times New Roman"/>
                <w:i/>
                <w:szCs w:val="22"/>
              </w:rPr>
            </w:pPr>
            <w:r w:rsidRPr="00D01193">
              <w:rPr>
                <w:rFonts w:ascii="Times New Roman" w:hAnsi="Times New Roman" w:cs="Times New Roman"/>
                <w:bCs/>
                <w:i/>
                <w:snapToGrid w:val="0"/>
                <w:color w:val="000000"/>
                <w:kern w:val="22"/>
                <w:szCs w:val="22"/>
                <w:lang w:eastAsia="es-ES"/>
              </w:rPr>
              <w:t>Consulted</w:t>
            </w:r>
          </w:p>
        </w:tc>
        <w:tc>
          <w:tcPr>
            <w:tcW w:w="2338" w:type="dxa"/>
            <w:vAlign w:val="center"/>
          </w:tcPr>
          <w:p w:rsidR="00D01193" w:rsidRPr="00D01193" w:rsidRDefault="00D01193" w:rsidP="00C45EA1">
            <w:pPr>
              <w:suppressLineNumbers/>
              <w:suppressAutoHyphens/>
              <w:kinsoku w:val="0"/>
              <w:overflowPunct w:val="0"/>
              <w:autoSpaceDE w:val="0"/>
              <w:autoSpaceDN w:val="0"/>
              <w:adjustRightInd w:val="0"/>
              <w:snapToGrid w:val="0"/>
              <w:jc w:val="center"/>
              <w:rPr>
                <w:rFonts w:ascii="Times New Roman" w:hAnsi="Times New Roman" w:cs="Times New Roman"/>
                <w:bCs/>
                <w:i/>
                <w:snapToGrid w:val="0"/>
                <w:color w:val="000000"/>
                <w:kern w:val="22"/>
                <w:szCs w:val="22"/>
                <w:lang w:eastAsia="es-ES"/>
              </w:rPr>
            </w:pPr>
            <w:r w:rsidRPr="00D01193">
              <w:rPr>
                <w:rFonts w:ascii="Times New Roman" w:hAnsi="Times New Roman" w:cs="Times New Roman"/>
                <w:bCs/>
                <w:i/>
                <w:snapToGrid w:val="0"/>
                <w:color w:val="000000"/>
                <w:kern w:val="22"/>
                <w:szCs w:val="22"/>
                <w:lang w:eastAsia="es-ES"/>
              </w:rPr>
              <w:t>Will implement</w:t>
            </w:r>
          </w:p>
        </w:tc>
      </w:tr>
      <w:tr w:rsidR="00D01193" w:rsidRPr="00D01193" w:rsidTr="00D01193">
        <w:tc>
          <w:tcPr>
            <w:tcW w:w="2337" w:type="dxa"/>
          </w:tcPr>
          <w:p w:rsidR="00D01193" w:rsidRPr="00D01193" w:rsidRDefault="00D01193" w:rsidP="00C45EA1">
            <w:pPr>
              <w:rPr>
                <w:rFonts w:ascii="Times New Roman" w:hAnsi="Times New Roman" w:cs="Times New Roman"/>
                <w:szCs w:val="22"/>
              </w:rPr>
            </w:pPr>
            <w:r w:rsidRPr="00D01193">
              <w:rPr>
                <w:rFonts w:ascii="Times New Roman" w:hAnsi="Times New Roman" w:cs="Times New Roman"/>
                <w:bCs/>
                <w:snapToGrid w:val="0"/>
                <w:color w:val="000000"/>
                <w:kern w:val="22"/>
                <w:szCs w:val="22"/>
                <w:lang w:eastAsia="es-ES"/>
              </w:rPr>
              <w:t>Agriculture</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42</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30</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4</w:t>
            </w:r>
          </w:p>
        </w:tc>
      </w:tr>
      <w:tr w:rsidR="00D01193" w:rsidRPr="00D01193" w:rsidTr="00D01193">
        <w:tc>
          <w:tcPr>
            <w:tcW w:w="2337" w:type="dxa"/>
          </w:tcPr>
          <w:p w:rsidR="00D01193" w:rsidRPr="00D01193" w:rsidRDefault="00D01193" w:rsidP="00C45EA1">
            <w:pPr>
              <w:rPr>
                <w:rFonts w:ascii="Times New Roman" w:hAnsi="Times New Roman" w:cs="Times New Roman"/>
                <w:szCs w:val="22"/>
              </w:rPr>
            </w:pPr>
            <w:r w:rsidRPr="00D01193">
              <w:rPr>
                <w:rFonts w:ascii="Times New Roman" w:hAnsi="Times New Roman" w:cs="Times New Roman"/>
                <w:bCs/>
                <w:snapToGrid w:val="0"/>
                <w:color w:val="000000"/>
                <w:kern w:val="22"/>
                <w:szCs w:val="22"/>
                <w:lang w:eastAsia="es-ES"/>
              </w:rPr>
              <w:t>Fisheries</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26</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16</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15</w:t>
            </w:r>
          </w:p>
        </w:tc>
      </w:tr>
      <w:tr w:rsidR="00D01193" w:rsidRPr="00D01193" w:rsidTr="00D01193">
        <w:tc>
          <w:tcPr>
            <w:tcW w:w="2337" w:type="dxa"/>
          </w:tcPr>
          <w:p w:rsidR="00D01193" w:rsidRPr="00D01193" w:rsidRDefault="00D01193" w:rsidP="00C45EA1">
            <w:pPr>
              <w:rPr>
                <w:rFonts w:ascii="Times New Roman" w:hAnsi="Times New Roman" w:cs="Times New Roman"/>
                <w:szCs w:val="22"/>
              </w:rPr>
            </w:pPr>
            <w:r w:rsidRPr="00D01193">
              <w:rPr>
                <w:rFonts w:ascii="Times New Roman" w:hAnsi="Times New Roman" w:cs="Times New Roman"/>
                <w:bCs/>
                <w:snapToGrid w:val="0"/>
                <w:color w:val="000000"/>
                <w:kern w:val="22"/>
                <w:szCs w:val="22"/>
                <w:lang w:eastAsia="es-ES"/>
              </w:rPr>
              <w:t>Development planning</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26</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15</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3</w:t>
            </w:r>
          </w:p>
        </w:tc>
      </w:tr>
      <w:tr w:rsidR="00D01193" w:rsidRPr="00D01193" w:rsidTr="00D01193">
        <w:tc>
          <w:tcPr>
            <w:tcW w:w="2337" w:type="dxa"/>
          </w:tcPr>
          <w:p w:rsidR="00D01193" w:rsidRPr="00D01193" w:rsidRDefault="00D01193" w:rsidP="00C45EA1">
            <w:pPr>
              <w:rPr>
                <w:rFonts w:ascii="Times New Roman" w:hAnsi="Times New Roman" w:cs="Times New Roman"/>
                <w:szCs w:val="22"/>
              </w:rPr>
            </w:pPr>
            <w:r w:rsidRPr="00D01193">
              <w:rPr>
                <w:rFonts w:ascii="Times New Roman" w:hAnsi="Times New Roman" w:cs="Times New Roman"/>
                <w:szCs w:val="22"/>
              </w:rPr>
              <w:t>Forestry</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25</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24</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4</w:t>
            </w:r>
          </w:p>
        </w:tc>
      </w:tr>
      <w:tr w:rsidR="00D01193" w:rsidRPr="00D01193" w:rsidTr="00D01193">
        <w:tc>
          <w:tcPr>
            <w:tcW w:w="2337" w:type="dxa"/>
          </w:tcPr>
          <w:p w:rsidR="00D01193" w:rsidRPr="00D01193" w:rsidRDefault="00D01193" w:rsidP="00C45EA1">
            <w:pPr>
              <w:rPr>
                <w:rFonts w:ascii="Times New Roman" w:hAnsi="Times New Roman" w:cs="Times New Roman"/>
                <w:szCs w:val="22"/>
              </w:rPr>
            </w:pPr>
            <w:r w:rsidRPr="00D01193">
              <w:rPr>
                <w:rFonts w:ascii="Times New Roman" w:hAnsi="Times New Roman" w:cs="Times New Roman"/>
                <w:bCs/>
                <w:snapToGrid w:val="0"/>
                <w:color w:val="000000"/>
                <w:kern w:val="22"/>
                <w:szCs w:val="22"/>
                <w:lang w:eastAsia="es-ES"/>
              </w:rPr>
              <w:t>Tourism</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21</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16</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2</w:t>
            </w:r>
          </w:p>
        </w:tc>
      </w:tr>
      <w:tr w:rsidR="00D01193" w:rsidRPr="00D01193" w:rsidTr="00D01193">
        <w:tc>
          <w:tcPr>
            <w:tcW w:w="2337" w:type="dxa"/>
          </w:tcPr>
          <w:p w:rsidR="00D01193" w:rsidRPr="00D01193" w:rsidRDefault="00D01193" w:rsidP="00C45EA1">
            <w:pPr>
              <w:rPr>
                <w:rFonts w:ascii="Times New Roman" w:hAnsi="Times New Roman" w:cs="Times New Roman"/>
                <w:szCs w:val="22"/>
              </w:rPr>
            </w:pPr>
            <w:r w:rsidRPr="00D01193">
              <w:rPr>
                <w:rFonts w:ascii="Times New Roman" w:hAnsi="Times New Roman" w:cs="Times New Roman"/>
                <w:bCs/>
                <w:snapToGrid w:val="0"/>
                <w:color w:val="000000"/>
                <w:kern w:val="22"/>
                <w:szCs w:val="22"/>
                <w:lang w:eastAsia="es-ES"/>
              </w:rPr>
              <w:t>Education</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17</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14</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w:t>
            </w:r>
          </w:p>
        </w:tc>
      </w:tr>
      <w:tr w:rsidR="00D01193" w:rsidRPr="00D01193" w:rsidTr="00D01193">
        <w:tc>
          <w:tcPr>
            <w:tcW w:w="2337" w:type="dxa"/>
          </w:tcPr>
          <w:p w:rsidR="00D01193" w:rsidRPr="00D01193" w:rsidRDefault="00D01193" w:rsidP="00C45EA1">
            <w:pPr>
              <w:rPr>
                <w:rFonts w:ascii="Times New Roman" w:hAnsi="Times New Roman" w:cs="Times New Roman"/>
                <w:bCs/>
                <w:snapToGrid w:val="0"/>
                <w:color w:val="000000"/>
                <w:kern w:val="22"/>
                <w:szCs w:val="22"/>
                <w:lang w:eastAsia="es-ES"/>
              </w:rPr>
            </w:pPr>
            <w:r w:rsidRPr="00D01193">
              <w:rPr>
                <w:rFonts w:ascii="Times New Roman" w:hAnsi="Times New Roman" w:cs="Times New Roman"/>
                <w:bCs/>
                <w:snapToGrid w:val="0"/>
                <w:color w:val="000000"/>
                <w:kern w:val="22"/>
                <w:szCs w:val="22"/>
                <w:lang w:eastAsia="es-ES"/>
              </w:rPr>
              <w:t>Finance</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15</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18</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w:t>
            </w:r>
          </w:p>
        </w:tc>
      </w:tr>
      <w:tr w:rsidR="00D01193" w:rsidRPr="00D01193" w:rsidTr="00D01193">
        <w:tc>
          <w:tcPr>
            <w:tcW w:w="2337" w:type="dxa"/>
          </w:tcPr>
          <w:p w:rsidR="00D01193" w:rsidRPr="00D01193" w:rsidRDefault="00D01193" w:rsidP="00C45EA1">
            <w:pPr>
              <w:rPr>
                <w:rFonts w:ascii="Times New Roman" w:hAnsi="Times New Roman" w:cs="Times New Roman"/>
                <w:bCs/>
                <w:snapToGrid w:val="0"/>
                <w:color w:val="000000"/>
                <w:kern w:val="22"/>
                <w:szCs w:val="22"/>
                <w:lang w:eastAsia="es-ES"/>
              </w:rPr>
            </w:pPr>
            <w:r w:rsidRPr="00D01193">
              <w:rPr>
                <w:rFonts w:ascii="Times New Roman" w:hAnsi="Times New Roman" w:cs="Times New Roman"/>
                <w:bCs/>
                <w:snapToGrid w:val="0"/>
                <w:color w:val="000000"/>
                <w:kern w:val="22"/>
                <w:szCs w:val="22"/>
                <w:lang w:eastAsia="es-ES"/>
              </w:rPr>
              <w:t>Trade and industry</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14</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9</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4</w:t>
            </w:r>
          </w:p>
        </w:tc>
      </w:tr>
      <w:tr w:rsidR="00D01193" w:rsidRPr="00D01193" w:rsidTr="00D01193">
        <w:tc>
          <w:tcPr>
            <w:tcW w:w="2337" w:type="dxa"/>
          </w:tcPr>
          <w:p w:rsidR="00D01193" w:rsidRPr="00D01193" w:rsidRDefault="00D01193" w:rsidP="00C45EA1">
            <w:pPr>
              <w:rPr>
                <w:rFonts w:ascii="Times New Roman" w:hAnsi="Times New Roman" w:cs="Times New Roman"/>
                <w:bCs/>
                <w:snapToGrid w:val="0"/>
                <w:color w:val="000000"/>
                <w:kern w:val="22"/>
                <w:szCs w:val="22"/>
                <w:lang w:eastAsia="es-ES"/>
              </w:rPr>
            </w:pPr>
            <w:r w:rsidRPr="00D01193">
              <w:rPr>
                <w:rFonts w:ascii="Times New Roman" w:hAnsi="Times New Roman" w:cs="Times New Roman"/>
                <w:bCs/>
                <w:snapToGrid w:val="0"/>
                <w:color w:val="000000"/>
                <w:kern w:val="22"/>
                <w:szCs w:val="22"/>
                <w:lang w:eastAsia="es-ES"/>
              </w:rPr>
              <w:t>Infrastructure/transport</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12</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6</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2</w:t>
            </w:r>
          </w:p>
        </w:tc>
      </w:tr>
      <w:tr w:rsidR="00D01193" w:rsidRPr="00D01193" w:rsidTr="00D01193">
        <w:tc>
          <w:tcPr>
            <w:tcW w:w="2337" w:type="dxa"/>
          </w:tcPr>
          <w:p w:rsidR="00D01193" w:rsidRPr="00D01193" w:rsidRDefault="00D01193" w:rsidP="00C45EA1">
            <w:pPr>
              <w:rPr>
                <w:rFonts w:ascii="Times New Roman" w:hAnsi="Times New Roman" w:cs="Times New Roman"/>
                <w:bCs/>
                <w:snapToGrid w:val="0"/>
                <w:color w:val="000000"/>
                <w:kern w:val="22"/>
                <w:szCs w:val="22"/>
                <w:lang w:eastAsia="es-ES"/>
              </w:rPr>
            </w:pPr>
            <w:r w:rsidRPr="00D01193">
              <w:rPr>
                <w:rFonts w:ascii="Times New Roman" w:hAnsi="Times New Roman" w:cs="Times New Roman"/>
                <w:bCs/>
                <w:snapToGrid w:val="0"/>
                <w:color w:val="000000"/>
                <w:kern w:val="22"/>
                <w:szCs w:val="22"/>
                <w:lang w:eastAsia="es-ES"/>
              </w:rPr>
              <w:t>Culture</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11</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9</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0</w:t>
            </w:r>
          </w:p>
        </w:tc>
      </w:tr>
      <w:tr w:rsidR="00D01193" w:rsidRPr="00D01193" w:rsidTr="00D01193">
        <w:tc>
          <w:tcPr>
            <w:tcW w:w="2337" w:type="dxa"/>
          </w:tcPr>
          <w:p w:rsidR="00D01193" w:rsidRPr="00D01193" w:rsidRDefault="00D01193" w:rsidP="00C45EA1">
            <w:pPr>
              <w:rPr>
                <w:rFonts w:ascii="Times New Roman" w:hAnsi="Times New Roman" w:cs="Times New Roman"/>
                <w:bCs/>
                <w:snapToGrid w:val="0"/>
                <w:color w:val="000000"/>
                <w:kern w:val="22"/>
                <w:szCs w:val="22"/>
                <w:lang w:eastAsia="es-ES"/>
              </w:rPr>
            </w:pPr>
            <w:r w:rsidRPr="00D01193">
              <w:rPr>
                <w:rFonts w:ascii="Times New Roman" w:hAnsi="Times New Roman" w:cs="Times New Roman"/>
                <w:bCs/>
                <w:snapToGrid w:val="0"/>
                <w:color w:val="000000"/>
                <w:kern w:val="22"/>
                <w:szCs w:val="22"/>
                <w:lang w:eastAsia="es-ES"/>
              </w:rPr>
              <w:t>Science and technology</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10</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10</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2</w:t>
            </w:r>
          </w:p>
        </w:tc>
      </w:tr>
      <w:tr w:rsidR="00D01193" w:rsidRPr="00D01193" w:rsidTr="00D01193">
        <w:tc>
          <w:tcPr>
            <w:tcW w:w="2337" w:type="dxa"/>
          </w:tcPr>
          <w:p w:rsidR="00D01193" w:rsidRPr="00D01193" w:rsidRDefault="00D01193" w:rsidP="00C45EA1">
            <w:pPr>
              <w:rPr>
                <w:rFonts w:ascii="Times New Roman" w:hAnsi="Times New Roman" w:cs="Times New Roman"/>
                <w:bCs/>
                <w:snapToGrid w:val="0"/>
                <w:color w:val="000000"/>
                <w:kern w:val="22"/>
                <w:szCs w:val="22"/>
                <w:lang w:eastAsia="es-ES"/>
              </w:rPr>
            </w:pPr>
            <w:r w:rsidRPr="00D01193">
              <w:rPr>
                <w:rFonts w:ascii="Times New Roman" w:hAnsi="Times New Roman" w:cs="Times New Roman"/>
                <w:bCs/>
                <w:snapToGrid w:val="0"/>
                <w:color w:val="000000"/>
                <w:kern w:val="22"/>
                <w:szCs w:val="22"/>
                <w:lang w:eastAsia="es-ES"/>
              </w:rPr>
              <w:t>Economy</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9</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7</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0</w:t>
            </w:r>
          </w:p>
        </w:tc>
      </w:tr>
      <w:tr w:rsidR="00D01193" w:rsidRPr="00D01193" w:rsidTr="00D01193">
        <w:tc>
          <w:tcPr>
            <w:tcW w:w="2337" w:type="dxa"/>
          </w:tcPr>
          <w:p w:rsidR="00D01193" w:rsidRPr="00D01193" w:rsidRDefault="00D01193" w:rsidP="00C45EA1">
            <w:pPr>
              <w:rPr>
                <w:rFonts w:ascii="Times New Roman" w:hAnsi="Times New Roman" w:cs="Times New Roman"/>
                <w:bCs/>
                <w:snapToGrid w:val="0"/>
                <w:color w:val="000000"/>
                <w:kern w:val="22"/>
                <w:szCs w:val="22"/>
                <w:lang w:eastAsia="es-ES"/>
              </w:rPr>
            </w:pPr>
            <w:r w:rsidRPr="00D01193">
              <w:rPr>
                <w:rFonts w:ascii="Times New Roman" w:hAnsi="Times New Roman" w:cs="Times New Roman"/>
                <w:bCs/>
                <w:snapToGrid w:val="0"/>
                <w:color w:val="000000"/>
                <w:kern w:val="22"/>
                <w:szCs w:val="22"/>
                <w:lang w:eastAsia="es-ES"/>
              </w:rPr>
              <w:t>Health</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7</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10</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2</w:t>
            </w:r>
          </w:p>
        </w:tc>
      </w:tr>
      <w:tr w:rsidR="00D01193" w:rsidRPr="00D01193" w:rsidTr="00D01193">
        <w:tc>
          <w:tcPr>
            <w:tcW w:w="2337" w:type="dxa"/>
          </w:tcPr>
          <w:p w:rsidR="00D01193" w:rsidRPr="00D01193" w:rsidRDefault="00D01193" w:rsidP="00C45EA1">
            <w:pPr>
              <w:rPr>
                <w:rFonts w:ascii="Times New Roman" w:hAnsi="Times New Roman" w:cs="Times New Roman"/>
                <w:bCs/>
                <w:snapToGrid w:val="0"/>
                <w:color w:val="000000"/>
                <w:kern w:val="22"/>
                <w:szCs w:val="22"/>
                <w:lang w:eastAsia="es-ES"/>
              </w:rPr>
            </w:pPr>
            <w:r w:rsidRPr="00D01193">
              <w:rPr>
                <w:rFonts w:ascii="Times New Roman" w:hAnsi="Times New Roman" w:cs="Times New Roman"/>
                <w:bCs/>
                <w:snapToGrid w:val="0"/>
                <w:color w:val="000000"/>
                <w:kern w:val="22"/>
                <w:szCs w:val="22"/>
                <w:lang w:eastAsia="es-ES"/>
              </w:rPr>
              <w:t>Sports</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7</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2</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1</w:t>
            </w:r>
          </w:p>
        </w:tc>
      </w:tr>
      <w:tr w:rsidR="00D01193" w:rsidRPr="00D01193" w:rsidTr="00D01193">
        <w:tc>
          <w:tcPr>
            <w:tcW w:w="2337" w:type="dxa"/>
          </w:tcPr>
          <w:p w:rsidR="00D01193" w:rsidRPr="00D01193" w:rsidRDefault="00D01193" w:rsidP="00C45EA1">
            <w:pPr>
              <w:rPr>
                <w:rFonts w:ascii="Times New Roman" w:hAnsi="Times New Roman" w:cs="Times New Roman"/>
                <w:bCs/>
                <w:snapToGrid w:val="0"/>
                <w:color w:val="000000"/>
                <w:kern w:val="22"/>
                <w:szCs w:val="22"/>
                <w:lang w:eastAsia="es-ES"/>
              </w:rPr>
            </w:pPr>
            <w:r w:rsidRPr="00D01193">
              <w:rPr>
                <w:rFonts w:ascii="Times New Roman" w:hAnsi="Times New Roman" w:cs="Times New Roman"/>
                <w:bCs/>
                <w:snapToGrid w:val="0"/>
                <w:color w:val="000000"/>
                <w:kern w:val="22"/>
                <w:szCs w:val="22"/>
                <w:lang w:eastAsia="es-ES"/>
              </w:rPr>
              <w:t>Social affairs</w:t>
            </w:r>
          </w:p>
        </w:tc>
        <w:tc>
          <w:tcPr>
            <w:tcW w:w="2337"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6</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2</w:t>
            </w:r>
          </w:p>
        </w:tc>
        <w:tc>
          <w:tcPr>
            <w:tcW w:w="2338" w:type="dxa"/>
          </w:tcPr>
          <w:p w:rsidR="00D01193" w:rsidRPr="00D01193" w:rsidRDefault="00D01193" w:rsidP="00C45EA1">
            <w:pPr>
              <w:ind w:right="851"/>
              <w:jc w:val="right"/>
              <w:rPr>
                <w:rFonts w:ascii="Times New Roman" w:hAnsi="Times New Roman" w:cs="Times New Roman"/>
                <w:szCs w:val="22"/>
              </w:rPr>
            </w:pPr>
            <w:r w:rsidRPr="00D01193">
              <w:rPr>
                <w:rFonts w:ascii="Times New Roman" w:hAnsi="Times New Roman" w:cs="Times New Roman"/>
                <w:szCs w:val="22"/>
              </w:rPr>
              <w:t>2</w:t>
            </w:r>
          </w:p>
        </w:tc>
      </w:tr>
    </w:tbl>
    <w:p w:rsidR="00EC1942" w:rsidRPr="00D01193" w:rsidRDefault="00EC1942" w:rsidP="00232464">
      <w:pPr>
        <w:pStyle w:val="Para1"/>
        <w:numPr>
          <w:ilvl w:val="0"/>
          <w:numId w:val="0"/>
        </w:numPr>
        <w:suppressLineNumbers/>
        <w:suppressAutoHyphens/>
        <w:kinsoku w:val="0"/>
        <w:overflowPunct w:val="0"/>
        <w:autoSpaceDE w:val="0"/>
        <w:autoSpaceDN w:val="0"/>
        <w:adjustRightInd w:val="0"/>
        <w:snapToGrid w:val="0"/>
        <w:jc w:val="center"/>
        <w:rPr>
          <w:bCs/>
          <w:i/>
          <w:iCs/>
          <w:kern w:val="22"/>
          <w:szCs w:val="22"/>
        </w:rPr>
      </w:pPr>
      <w:r w:rsidRPr="00D01193">
        <w:rPr>
          <w:bCs/>
          <w:kern w:val="22"/>
          <w:szCs w:val="22"/>
        </w:rPr>
        <w:t>3.</w:t>
      </w:r>
      <w:r w:rsidRPr="00D01193">
        <w:rPr>
          <w:bCs/>
          <w:kern w:val="22"/>
          <w:szCs w:val="22"/>
        </w:rPr>
        <w:tab/>
      </w:r>
      <w:r w:rsidRPr="00D01193">
        <w:rPr>
          <w:bCs/>
          <w:i/>
          <w:iCs/>
          <w:kern w:val="22"/>
          <w:szCs w:val="22"/>
        </w:rPr>
        <w:t>Clearing-house mechanism</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Of the </w:t>
      </w:r>
      <w:r w:rsidR="00E23C11" w:rsidRPr="004F3BF9">
        <w:rPr>
          <w:snapToGrid w:val="0"/>
          <w:kern w:val="22"/>
          <w:szCs w:val="22"/>
        </w:rPr>
        <w:t xml:space="preserve">159 </w:t>
      </w:r>
      <w:r w:rsidRPr="004F3BF9">
        <w:rPr>
          <w:snapToGrid w:val="0"/>
          <w:kern w:val="22"/>
          <w:szCs w:val="22"/>
        </w:rPr>
        <w:t xml:space="preserve">Parties that have submitted a revised NBSAP only </w:t>
      </w:r>
      <w:r w:rsidR="00F732A2" w:rsidRPr="004F3BF9">
        <w:rPr>
          <w:snapToGrid w:val="0"/>
          <w:kern w:val="22"/>
          <w:szCs w:val="22"/>
        </w:rPr>
        <w:t>5</w:t>
      </w:r>
      <w:r w:rsidRPr="004F3BF9">
        <w:rPr>
          <w:snapToGrid w:val="0"/>
          <w:kern w:val="22"/>
          <w:szCs w:val="22"/>
          <w:vertAlign w:val="superscript"/>
        </w:rPr>
        <w:footnoteReference w:id="26"/>
      </w:r>
      <w:r w:rsidRPr="004F3BF9">
        <w:rPr>
          <w:snapToGrid w:val="0"/>
          <w:kern w:val="22"/>
          <w:szCs w:val="22"/>
        </w:rPr>
        <w:t xml:space="preserve"> reported having used their national clearing-house mechanism in the NBSAP revision process. </w:t>
      </w:r>
      <w:r w:rsidR="002E62B3" w:rsidRPr="004F3BF9">
        <w:rPr>
          <w:snapToGrid w:val="0"/>
          <w:kern w:val="22"/>
          <w:szCs w:val="22"/>
        </w:rPr>
        <w:t xml:space="preserve">A total of </w:t>
      </w:r>
      <w:r w:rsidR="00833ABF" w:rsidRPr="004F3BF9">
        <w:rPr>
          <w:snapToGrid w:val="0"/>
          <w:kern w:val="22"/>
          <w:szCs w:val="22"/>
        </w:rPr>
        <w:t xml:space="preserve">32 </w:t>
      </w:r>
      <w:r w:rsidR="002E62B3" w:rsidRPr="004F3BF9">
        <w:rPr>
          <w:snapToGrid w:val="0"/>
          <w:kern w:val="22"/>
          <w:szCs w:val="22"/>
        </w:rPr>
        <w:t>Parties</w:t>
      </w:r>
      <w:r w:rsidRPr="004F3BF9">
        <w:rPr>
          <w:snapToGrid w:val="0"/>
          <w:kern w:val="22"/>
          <w:szCs w:val="22"/>
          <w:vertAlign w:val="superscript"/>
        </w:rPr>
        <w:footnoteReference w:id="27"/>
      </w:r>
      <w:r w:rsidRPr="004F3BF9">
        <w:rPr>
          <w:snapToGrid w:val="0"/>
          <w:kern w:val="22"/>
          <w:szCs w:val="22"/>
        </w:rPr>
        <w:t xml:space="preserve"> have set actions and/or plans in their revised NBSAP to establish a national clearing-house mechanism.</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Of those Parties that do have a clearing-house mechanism, 44</w:t>
      </w:r>
      <w:r w:rsidR="00C50483" w:rsidRPr="004F3BF9">
        <w:rPr>
          <w:snapToGrid w:val="0"/>
          <w:kern w:val="22"/>
          <w:szCs w:val="22"/>
        </w:rPr>
        <w:t xml:space="preserve"> NBSAPs</w:t>
      </w:r>
      <w:r w:rsidRPr="004F3BF9">
        <w:rPr>
          <w:snapToGrid w:val="0"/>
          <w:kern w:val="22"/>
          <w:szCs w:val="22"/>
          <w:vertAlign w:val="superscript"/>
        </w:rPr>
        <w:footnoteReference w:id="28"/>
      </w:r>
      <w:r w:rsidRPr="004F3BF9">
        <w:rPr>
          <w:snapToGrid w:val="0"/>
          <w:kern w:val="22"/>
          <w:szCs w:val="22"/>
        </w:rPr>
        <w:t xml:space="preserve"> mention their intention to improve and enhance their current information management system.</w:t>
      </w:r>
    </w:p>
    <w:p w:rsidR="00EC1942" w:rsidRPr="004F3BF9"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outlineLvl w:val="1"/>
        <w:rPr>
          <w:b/>
          <w:kern w:val="22"/>
          <w:szCs w:val="22"/>
        </w:rPr>
      </w:pPr>
      <w:r w:rsidRPr="004F3BF9">
        <w:rPr>
          <w:b/>
          <w:kern w:val="22"/>
          <w:szCs w:val="22"/>
        </w:rPr>
        <w:t>C.</w:t>
      </w:r>
      <w:r w:rsidRPr="004F3BF9">
        <w:rPr>
          <w:b/>
          <w:kern w:val="22"/>
          <w:szCs w:val="22"/>
        </w:rPr>
        <w:tab/>
        <w:t>Components</w:t>
      </w:r>
      <w:r w:rsidR="00A31D73" w:rsidRPr="004F3BF9">
        <w:rPr>
          <w:b/>
          <w:kern w:val="22"/>
          <w:szCs w:val="22"/>
        </w:rPr>
        <w:t xml:space="preserve"> of the NBSAP</w:t>
      </w:r>
    </w:p>
    <w:p w:rsidR="00EC1942" w:rsidRPr="004F3BF9"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rPr>
      </w:pPr>
      <w:r w:rsidRPr="004F3BF9">
        <w:rPr>
          <w:bCs/>
          <w:kern w:val="22"/>
          <w:szCs w:val="22"/>
        </w:rPr>
        <w:t>1.</w:t>
      </w:r>
      <w:r w:rsidRPr="004F3BF9">
        <w:rPr>
          <w:bCs/>
          <w:kern w:val="22"/>
          <w:szCs w:val="22"/>
        </w:rPr>
        <w:tab/>
      </w:r>
      <w:r w:rsidRPr="004F3BF9">
        <w:rPr>
          <w:bCs/>
          <w:i/>
          <w:iCs/>
          <w:kern w:val="22"/>
          <w:szCs w:val="22"/>
        </w:rPr>
        <w:t>Resource mobilization strategies</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In decision XI/14 paragraph 25, the Conference of the Parties encouraged Parties to “develop, as appropriate, country-specific resource mobilization strategies, including assessment of resource needs, as part of their updated national biodiversity strategies and action plans”. In this regard, </w:t>
      </w:r>
      <w:r w:rsidR="00B24422" w:rsidRPr="004F3BF9">
        <w:rPr>
          <w:snapToGrid w:val="0"/>
          <w:kern w:val="22"/>
          <w:szCs w:val="22"/>
        </w:rPr>
        <w:t xml:space="preserve">24 </w:t>
      </w:r>
      <w:r w:rsidRPr="004F3BF9">
        <w:rPr>
          <w:snapToGrid w:val="0"/>
          <w:kern w:val="22"/>
          <w:szCs w:val="22"/>
        </w:rPr>
        <w:t>NBSAPs</w:t>
      </w:r>
      <w:r w:rsidRPr="004F3BF9">
        <w:rPr>
          <w:rStyle w:val="FootnoteReference"/>
          <w:noProof/>
          <w:snapToGrid w:val="0"/>
          <w:kern w:val="22"/>
          <w:sz w:val="22"/>
          <w:szCs w:val="22"/>
          <w:u w:val="none"/>
          <w:vertAlign w:val="superscript"/>
        </w:rPr>
        <w:footnoteReference w:id="29"/>
      </w:r>
      <w:r w:rsidRPr="004F3BF9">
        <w:rPr>
          <w:snapToGrid w:val="0"/>
          <w:kern w:val="22"/>
          <w:szCs w:val="22"/>
        </w:rPr>
        <w:t xml:space="preserve"> specifically contain a national resource mobilization strategy or equivalent.</w:t>
      </w:r>
      <w:r w:rsidRPr="004F3BF9">
        <w:rPr>
          <w:rStyle w:val="FootnoteReference"/>
          <w:noProof/>
          <w:snapToGrid w:val="0"/>
          <w:kern w:val="22"/>
          <w:sz w:val="22"/>
          <w:szCs w:val="22"/>
          <w:u w:val="none"/>
          <w:vertAlign w:val="superscript"/>
        </w:rPr>
        <w:footnoteReference w:id="30"/>
      </w:r>
      <w:r w:rsidRPr="004F3BF9">
        <w:rPr>
          <w:rStyle w:val="FootnoteReference"/>
          <w:noProof/>
          <w:snapToGrid w:val="0"/>
          <w:kern w:val="22"/>
          <w:sz w:val="22"/>
          <w:szCs w:val="22"/>
          <w:u w:val="none"/>
          <w:vertAlign w:val="superscript"/>
        </w:rPr>
        <w:t xml:space="preserve"> </w:t>
      </w:r>
      <w:r w:rsidRPr="004F3BF9">
        <w:rPr>
          <w:snapToGrid w:val="0"/>
          <w:kern w:val="22"/>
          <w:szCs w:val="22"/>
        </w:rPr>
        <w:t>Some examples are:</w:t>
      </w:r>
    </w:p>
    <w:p w:rsidR="00EC1942" w:rsidRPr="004F3BF9" w:rsidRDefault="00EC1942"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4F3BF9">
        <w:rPr>
          <w:snapToGrid w:val="0"/>
          <w:kern w:val="22"/>
          <w:szCs w:val="22"/>
        </w:rPr>
        <w:lastRenderedPageBreak/>
        <w:t>Bosnia and Herzegovina prepared a Resource Mobilization Plan, which includes: (i) the state in the domain of financing of protection of biodiversity; (ii) revenues and beneficiaries of the funds for environmental protection; (iii) potential international sources of funding for conservation and biodiversity; (iv) assessment of efficiency of the existing model for financing of biodiversity; (v) mobilization of resources for financing of biodiversity; (vi) monitoring of the implementation;</w:t>
      </w:r>
    </w:p>
    <w:p w:rsidR="00EC1942" w:rsidRPr="004F3BF9" w:rsidRDefault="00EC1942"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spacing w:val="-1"/>
          <w:kern w:val="22"/>
          <w:szCs w:val="22"/>
        </w:rPr>
      </w:pPr>
      <w:r w:rsidRPr="004F3BF9">
        <w:rPr>
          <w:snapToGrid w:val="0"/>
          <w:spacing w:val="-1"/>
          <w:kern w:val="22"/>
          <w:szCs w:val="22"/>
        </w:rPr>
        <w:t>Some of the activities planned in the Resource Mobilization Plan of Botswana include: (i) ensuring that the National Environment Fund is fully functional and includes a specific allocation for biodiversity conservation activities; and (ii) commissioning a study on disaggregated biodiversity-related expenditure and revenue for the public sector, private sector, NGOs, CBOs, ICPs and research institutions;</w:t>
      </w:r>
    </w:p>
    <w:p w:rsidR="00EC1942" w:rsidRPr="004F3BF9" w:rsidRDefault="001D4B85"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4F3BF9">
        <w:rPr>
          <w:snapToGrid w:val="0"/>
          <w:kern w:val="22"/>
          <w:szCs w:val="22"/>
        </w:rPr>
        <w:t xml:space="preserve">The </w:t>
      </w:r>
      <w:r w:rsidR="00EC1942" w:rsidRPr="004F3BF9">
        <w:rPr>
          <w:snapToGrid w:val="0"/>
          <w:kern w:val="22"/>
          <w:szCs w:val="22"/>
        </w:rPr>
        <w:t xml:space="preserve">Resource Mobilization Plan </w:t>
      </w:r>
      <w:r w:rsidRPr="004F3BF9">
        <w:rPr>
          <w:snapToGrid w:val="0"/>
          <w:kern w:val="22"/>
          <w:szCs w:val="22"/>
        </w:rPr>
        <w:t xml:space="preserve">of Costa Rica </w:t>
      </w:r>
      <w:r w:rsidR="00EC1942" w:rsidRPr="004F3BF9">
        <w:rPr>
          <w:snapToGrid w:val="0"/>
          <w:kern w:val="22"/>
          <w:szCs w:val="22"/>
        </w:rPr>
        <w:t xml:space="preserve">was created as a result of </w:t>
      </w:r>
      <w:r w:rsidR="00821B70" w:rsidRPr="004F3BF9">
        <w:rPr>
          <w:snapToGrid w:val="0"/>
          <w:kern w:val="22"/>
          <w:szCs w:val="22"/>
        </w:rPr>
        <w:t>that</w:t>
      </w:r>
      <w:r w:rsidR="00EC1942" w:rsidRPr="004F3BF9">
        <w:rPr>
          <w:snapToGrid w:val="0"/>
          <w:kern w:val="22"/>
          <w:szCs w:val="22"/>
        </w:rPr>
        <w:t xml:space="preserve"> country</w:t>
      </w:r>
      <w:r w:rsidR="001340BA" w:rsidRPr="004F3BF9">
        <w:rPr>
          <w:snapToGrid w:val="0"/>
          <w:kern w:val="22"/>
          <w:szCs w:val="22"/>
        </w:rPr>
        <w:t>’</w:t>
      </w:r>
      <w:r w:rsidR="00EC1942" w:rsidRPr="004F3BF9">
        <w:rPr>
          <w:snapToGrid w:val="0"/>
          <w:kern w:val="22"/>
          <w:szCs w:val="22"/>
        </w:rPr>
        <w:t xml:space="preserve">s engagement in the </w:t>
      </w:r>
      <w:hyperlink r:id="rId16" w:history="1">
        <w:r w:rsidR="00EC1942" w:rsidRPr="004F3BF9">
          <w:rPr>
            <w:rStyle w:val="Hyperlink"/>
            <w:snapToGrid w:val="0"/>
            <w:kern w:val="22"/>
            <w:szCs w:val="22"/>
          </w:rPr>
          <w:t>Biodiversity Finance Initiative (BIOFIN)</w:t>
        </w:r>
      </w:hyperlink>
      <w:r w:rsidR="00EC1942" w:rsidRPr="004F3BF9">
        <w:rPr>
          <w:snapToGrid w:val="0"/>
          <w:kern w:val="22"/>
          <w:szCs w:val="22"/>
        </w:rPr>
        <w:t>;</w:t>
      </w:r>
    </w:p>
    <w:p w:rsidR="00EC1942" w:rsidRPr="004F3BF9" w:rsidRDefault="00EC1942"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4F3BF9">
        <w:rPr>
          <w:snapToGrid w:val="0"/>
          <w:kern w:val="22"/>
          <w:szCs w:val="22"/>
        </w:rPr>
        <w:t>The NBSAP of the Maldives includes a Resource Mobilization Strategy which outlines the financial needs and describes several options for raising funds, such as: tourism revenues, fishing and forestry industry revenues, real estate and development rights, the Maldives Green Fund (recognized as a potential highly important source of funds), Green tax, rectifying perverse incentives, private sector;</w:t>
      </w:r>
    </w:p>
    <w:p w:rsidR="00EC1942" w:rsidRPr="004F3BF9" w:rsidRDefault="001D4B85"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4F3BF9">
        <w:rPr>
          <w:snapToGrid w:val="0"/>
          <w:kern w:val="22"/>
          <w:szCs w:val="22"/>
        </w:rPr>
        <w:t xml:space="preserve">The </w:t>
      </w:r>
      <w:r w:rsidR="00EC1942" w:rsidRPr="004F3BF9">
        <w:rPr>
          <w:snapToGrid w:val="0"/>
          <w:kern w:val="22"/>
          <w:szCs w:val="22"/>
        </w:rPr>
        <w:t xml:space="preserve">Financing Strategy </w:t>
      </w:r>
      <w:r w:rsidRPr="004F3BF9">
        <w:rPr>
          <w:snapToGrid w:val="0"/>
          <w:kern w:val="22"/>
          <w:szCs w:val="22"/>
        </w:rPr>
        <w:t xml:space="preserve">of Rwanda </w:t>
      </w:r>
      <w:r w:rsidR="00EC1942" w:rsidRPr="004F3BF9">
        <w:rPr>
          <w:snapToGrid w:val="0"/>
          <w:kern w:val="22"/>
          <w:szCs w:val="22"/>
        </w:rPr>
        <w:t>focuses on initiating innovative financial mechanisms in order to increase public and private budget contributions and development partners</w:t>
      </w:r>
      <w:r w:rsidR="001340BA" w:rsidRPr="004F3BF9">
        <w:rPr>
          <w:snapToGrid w:val="0"/>
          <w:kern w:val="22"/>
          <w:szCs w:val="22"/>
        </w:rPr>
        <w:t>’</w:t>
      </w:r>
      <w:r w:rsidR="00EC1942" w:rsidRPr="004F3BF9">
        <w:rPr>
          <w:snapToGrid w:val="0"/>
          <w:kern w:val="22"/>
          <w:szCs w:val="22"/>
        </w:rPr>
        <w:t xml:space="preserve"> support.</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A total of </w:t>
      </w:r>
      <w:r w:rsidR="00365BC5" w:rsidRPr="004F3BF9">
        <w:rPr>
          <w:snapToGrid w:val="0"/>
          <w:kern w:val="22"/>
          <w:szCs w:val="22"/>
        </w:rPr>
        <w:t xml:space="preserve">61 </w:t>
      </w:r>
      <w:r w:rsidRPr="004F3BF9">
        <w:rPr>
          <w:snapToGrid w:val="0"/>
          <w:kern w:val="22"/>
          <w:szCs w:val="22"/>
        </w:rPr>
        <w:t>revised NBSAPs</w:t>
      </w:r>
      <w:r w:rsidRPr="004F3BF9">
        <w:rPr>
          <w:rStyle w:val="FootnoteReference"/>
          <w:noProof/>
          <w:snapToGrid w:val="0"/>
          <w:kern w:val="22"/>
          <w:sz w:val="22"/>
          <w:szCs w:val="22"/>
          <w:u w:val="none"/>
          <w:vertAlign w:val="superscript"/>
        </w:rPr>
        <w:footnoteReference w:id="31"/>
      </w:r>
      <w:r w:rsidRPr="004F3BF9">
        <w:rPr>
          <w:snapToGrid w:val="0"/>
          <w:kern w:val="22"/>
          <w:szCs w:val="22"/>
        </w:rPr>
        <w:t xml:space="preserve"> include a costing for their action plans. Only </w:t>
      </w:r>
      <w:r w:rsidR="00365BC5" w:rsidRPr="004F3BF9">
        <w:rPr>
          <w:snapToGrid w:val="0"/>
          <w:kern w:val="22"/>
          <w:szCs w:val="22"/>
        </w:rPr>
        <w:t xml:space="preserve">12 </w:t>
      </w:r>
      <w:r w:rsidRPr="004F3BF9">
        <w:rPr>
          <w:snapToGrid w:val="0"/>
          <w:kern w:val="22"/>
          <w:szCs w:val="22"/>
        </w:rPr>
        <w:t>of these (already mentioned above) also contain a completed resource mobilization strategy.</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A total of </w:t>
      </w:r>
      <w:r w:rsidR="00365BC5" w:rsidRPr="004F3BF9">
        <w:rPr>
          <w:snapToGrid w:val="0"/>
          <w:kern w:val="22"/>
          <w:szCs w:val="22"/>
        </w:rPr>
        <w:t xml:space="preserve">94 </w:t>
      </w:r>
      <w:r w:rsidR="00AB4908" w:rsidRPr="004F3BF9">
        <w:rPr>
          <w:snapToGrid w:val="0"/>
          <w:kern w:val="22"/>
          <w:szCs w:val="22"/>
        </w:rPr>
        <w:t>Parties</w:t>
      </w:r>
      <w:r w:rsidRPr="004F3BF9">
        <w:rPr>
          <w:snapToGrid w:val="0"/>
          <w:kern w:val="22"/>
          <w:szCs w:val="22"/>
          <w:vertAlign w:val="superscript"/>
        </w:rPr>
        <w:footnoteReference w:id="32"/>
      </w:r>
      <w:r w:rsidRPr="004F3BF9">
        <w:rPr>
          <w:snapToGrid w:val="0"/>
          <w:kern w:val="22"/>
          <w:szCs w:val="22"/>
        </w:rPr>
        <w:t xml:space="preserve"> have set national targets in line with Aichi Biodiversity Target 20, and 79 explain, in their NBSAPs, efforts that have been put in place to increase financing for biodiversity in their countries and/or their intention to develop resource mobilization plans:</w:t>
      </w:r>
    </w:p>
    <w:p w:rsidR="00EC1942" w:rsidRPr="004F3BF9" w:rsidRDefault="00EC1942"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rPr>
      </w:pPr>
      <w:r w:rsidRPr="004F3BF9">
        <w:rPr>
          <w:kern w:val="22"/>
          <w:szCs w:val="22"/>
        </w:rPr>
        <w:t xml:space="preserve">Belize funds its </w:t>
      </w:r>
      <w:hyperlink r:id="rId17" w:history="1">
        <w:r w:rsidRPr="004F3BF9">
          <w:rPr>
            <w:rStyle w:val="Hyperlink"/>
            <w:kern w:val="22"/>
            <w:szCs w:val="22"/>
          </w:rPr>
          <w:t>National Protected Areas System</w:t>
        </w:r>
      </w:hyperlink>
      <w:r w:rsidRPr="004F3BF9">
        <w:rPr>
          <w:kern w:val="22"/>
          <w:szCs w:val="22"/>
        </w:rPr>
        <w:t xml:space="preserve"> through a variety of funding mechanisms including grants from the </w:t>
      </w:r>
      <w:hyperlink r:id="rId18" w:history="1">
        <w:r w:rsidRPr="004F3BF9">
          <w:rPr>
            <w:rStyle w:val="Hyperlink"/>
            <w:kern w:val="22"/>
            <w:szCs w:val="22"/>
          </w:rPr>
          <w:t>Protected Areas Conservation Trust (PACT)</w:t>
        </w:r>
      </w:hyperlink>
      <w:r w:rsidRPr="004F3BF9">
        <w:rPr>
          <w:kern w:val="22"/>
          <w:szCs w:val="22"/>
        </w:rPr>
        <w:t xml:space="preserve">, Debt-for-Nature agreements, revenue generated directly </w:t>
      </w:r>
      <w:r w:rsidR="005D2FE4" w:rsidRPr="004F3BF9">
        <w:rPr>
          <w:kern w:val="22"/>
          <w:szCs w:val="22"/>
        </w:rPr>
        <w:t>from</w:t>
      </w:r>
      <w:r w:rsidRPr="004F3BF9">
        <w:rPr>
          <w:kern w:val="22"/>
          <w:szCs w:val="22"/>
        </w:rPr>
        <w:t xml:space="preserve"> the protected areas themselves, and funds leveraged by protected area co-management agencies;</w:t>
      </w:r>
    </w:p>
    <w:p w:rsidR="00EC1942" w:rsidRPr="004F3BF9" w:rsidRDefault="00EC1942" w:rsidP="00232464">
      <w:pPr>
        <w:pStyle w:val="Para1"/>
        <w:numPr>
          <w:ilvl w:val="0"/>
          <w:numId w:val="20"/>
        </w:numPr>
        <w:suppressLineNumbers/>
        <w:tabs>
          <w:tab w:val="clear" w:pos="1440"/>
          <w:tab w:val="left" w:pos="180"/>
          <w:tab w:val="left" w:pos="1260"/>
        </w:tabs>
        <w:suppressAutoHyphens/>
        <w:kinsoku w:val="0"/>
        <w:overflowPunct w:val="0"/>
        <w:autoSpaceDE w:val="0"/>
        <w:autoSpaceDN w:val="0"/>
        <w:adjustRightInd w:val="0"/>
        <w:snapToGrid w:val="0"/>
        <w:ind w:left="0" w:firstLine="720"/>
        <w:rPr>
          <w:kern w:val="22"/>
          <w:szCs w:val="22"/>
        </w:rPr>
      </w:pPr>
      <w:r w:rsidRPr="004F3BF9">
        <w:rPr>
          <w:kern w:val="22"/>
          <w:szCs w:val="22"/>
        </w:rPr>
        <w:t>The “</w:t>
      </w:r>
      <w:hyperlink r:id="rId19" w:history="1">
        <w:r w:rsidRPr="004F3BF9">
          <w:rPr>
            <w:rStyle w:val="Hyperlink"/>
            <w:kern w:val="22"/>
            <w:szCs w:val="22"/>
          </w:rPr>
          <w:t>Okapi</w:t>
        </w:r>
      </w:hyperlink>
      <w:r w:rsidRPr="004F3BF9">
        <w:rPr>
          <w:kern w:val="22"/>
          <w:szCs w:val="22"/>
        </w:rPr>
        <w:t xml:space="preserve">” Trust Fund for the rehabilitation of protected areas in the Democratic Republic of </w:t>
      </w:r>
      <w:r w:rsidR="005230BE">
        <w:rPr>
          <w:kern w:val="22"/>
          <w:szCs w:val="22"/>
        </w:rPr>
        <w:t xml:space="preserve">the </w:t>
      </w:r>
      <w:r w:rsidRPr="004F3BF9">
        <w:rPr>
          <w:kern w:val="22"/>
          <w:szCs w:val="22"/>
        </w:rPr>
        <w:t>Congo was created in 2014 and endorsed under the Law for Nature Conservation;</w:t>
      </w:r>
    </w:p>
    <w:p w:rsidR="00EC1942" w:rsidRPr="004F3BF9" w:rsidRDefault="00EC1942"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rPr>
      </w:pPr>
      <w:r w:rsidRPr="004F3BF9">
        <w:rPr>
          <w:kern w:val="22"/>
          <w:szCs w:val="22"/>
        </w:rPr>
        <w:t>In Guinea-Bissau, the creation of the Bio Guin</w:t>
      </w:r>
      <w:r w:rsidR="00866C93" w:rsidRPr="004F3BF9">
        <w:rPr>
          <w:kern w:val="22"/>
          <w:szCs w:val="22"/>
        </w:rPr>
        <w:t>é</w:t>
      </w:r>
      <w:r w:rsidRPr="004F3BF9">
        <w:rPr>
          <w:kern w:val="22"/>
          <w:szCs w:val="22"/>
        </w:rPr>
        <w:t>e Foundation in 2011 has enabled implementation of activities related to sustainable protected areas management and the development of sustainable financing mechanisms for protected areas;</w:t>
      </w:r>
    </w:p>
    <w:p w:rsidR="00EC1942" w:rsidRPr="004F3BF9" w:rsidRDefault="00EC1942"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rPr>
      </w:pPr>
      <w:r w:rsidRPr="004F3BF9">
        <w:rPr>
          <w:kern w:val="22"/>
          <w:szCs w:val="22"/>
        </w:rPr>
        <w:t xml:space="preserve">In the last decade, Malaysia has seen some diversification of conservation funding. Various trust funds (e.g. Marine Parks Trust Fund, Taman Negara Trust Fund), and recently the </w:t>
      </w:r>
      <w:hyperlink r:id="rId20" w:history="1">
        <w:r w:rsidRPr="004F3BF9">
          <w:rPr>
            <w:rStyle w:val="Hyperlink"/>
            <w:kern w:val="22"/>
            <w:szCs w:val="22"/>
          </w:rPr>
          <w:t xml:space="preserve">National </w:t>
        </w:r>
        <w:r w:rsidRPr="004F3BF9">
          <w:rPr>
            <w:rStyle w:val="Hyperlink"/>
            <w:kern w:val="22"/>
            <w:szCs w:val="22"/>
          </w:rPr>
          <w:lastRenderedPageBreak/>
          <w:t>Conservation Trust Fund for Natural Resources</w:t>
        </w:r>
      </w:hyperlink>
      <w:r w:rsidRPr="004F3BF9">
        <w:rPr>
          <w:kern w:val="22"/>
          <w:szCs w:val="22"/>
        </w:rPr>
        <w:t>, have been set up as long-term sustainable financing mechanisms;</w:t>
      </w:r>
    </w:p>
    <w:p w:rsidR="006F3EA2" w:rsidRPr="004F3BF9" w:rsidRDefault="00EC1942"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rPr>
      </w:pPr>
      <w:r w:rsidRPr="004F3BF9">
        <w:rPr>
          <w:kern w:val="22"/>
          <w:szCs w:val="22"/>
        </w:rPr>
        <w:t xml:space="preserve">Mozambique has a </w:t>
      </w:r>
      <w:hyperlink r:id="rId21" w:history="1">
        <w:r w:rsidRPr="004F3BF9">
          <w:rPr>
            <w:rStyle w:val="Hyperlink"/>
            <w:kern w:val="22"/>
            <w:szCs w:val="22"/>
          </w:rPr>
          <w:t>Foundation for the Conservation of Biodiversity</w:t>
        </w:r>
      </w:hyperlink>
      <w:r w:rsidRPr="004F3BF9">
        <w:rPr>
          <w:kern w:val="22"/>
          <w:szCs w:val="22"/>
        </w:rPr>
        <w:t>, which is a private institution whose mission is to support the conservation and sustainable management of natural resources and aquatic and terrestrial biodiversity</w:t>
      </w:r>
      <w:r w:rsidR="006F3EA2" w:rsidRPr="004F3BF9">
        <w:rPr>
          <w:kern w:val="22"/>
          <w:szCs w:val="22"/>
        </w:rPr>
        <w:t>;</w:t>
      </w:r>
    </w:p>
    <w:p w:rsidR="00EC1942" w:rsidRPr="004F3BF9" w:rsidRDefault="006F3EA2"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rPr>
      </w:pPr>
      <w:r w:rsidRPr="004F3BF9">
        <w:rPr>
          <w:kern w:val="22"/>
          <w:szCs w:val="22"/>
        </w:rPr>
        <w:t>Trinidad and Tobago has the Green Fund which was established under the Finance Act in 2000 as the Green Fund Levy. The funds collected are meant to provide financial assistance to organi</w:t>
      </w:r>
      <w:r w:rsidR="00FB1341" w:rsidRPr="004F3BF9">
        <w:rPr>
          <w:kern w:val="22"/>
          <w:szCs w:val="22"/>
        </w:rPr>
        <w:t>z</w:t>
      </w:r>
      <w:r w:rsidRPr="004F3BF9">
        <w:rPr>
          <w:kern w:val="22"/>
          <w:szCs w:val="22"/>
        </w:rPr>
        <w:t>ations and community groups for implementing activities related to remediation, reforestation of the environment and conservation.</w:t>
      </w:r>
    </w:p>
    <w:p w:rsidR="00EC1942" w:rsidRPr="004F3BF9" w:rsidRDefault="00EC1942" w:rsidP="00232464">
      <w:pPr>
        <w:pStyle w:val="Para1"/>
        <w:numPr>
          <w:ilvl w:val="0"/>
          <w:numId w:val="0"/>
        </w:numPr>
        <w:suppressLineNumbers/>
        <w:tabs>
          <w:tab w:val="num" w:pos="540"/>
          <w:tab w:val="num" w:pos="1211"/>
        </w:tabs>
        <w:suppressAutoHyphens/>
        <w:kinsoku w:val="0"/>
        <w:overflowPunct w:val="0"/>
        <w:autoSpaceDE w:val="0"/>
        <w:autoSpaceDN w:val="0"/>
        <w:adjustRightInd w:val="0"/>
        <w:snapToGrid w:val="0"/>
        <w:ind w:left="720"/>
        <w:jc w:val="center"/>
        <w:rPr>
          <w:bCs/>
          <w:i/>
          <w:iCs/>
          <w:kern w:val="22"/>
          <w:szCs w:val="22"/>
        </w:rPr>
      </w:pPr>
      <w:r w:rsidRPr="004F3BF9">
        <w:rPr>
          <w:bCs/>
          <w:kern w:val="22"/>
          <w:szCs w:val="22"/>
        </w:rPr>
        <w:t>2.</w:t>
      </w:r>
      <w:r w:rsidRPr="004F3BF9">
        <w:rPr>
          <w:bCs/>
          <w:kern w:val="22"/>
          <w:szCs w:val="22"/>
        </w:rPr>
        <w:tab/>
      </w:r>
      <w:r w:rsidRPr="004F3BF9">
        <w:rPr>
          <w:bCs/>
          <w:i/>
          <w:iCs/>
          <w:kern w:val="22"/>
          <w:szCs w:val="22"/>
        </w:rPr>
        <w:t>Communication, education and public awareness</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Decisions </w:t>
      </w:r>
      <w:hyperlink r:id="rId22" w:history="1">
        <w:r w:rsidRPr="004F3BF9">
          <w:rPr>
            <w:rStyle w:val="Hyperlink"/>
            <w:snapToGrid w:val="0"/>
            <w:kern w:val="22"/>
            <w:szCs w:val="22"/>
          </w:rPr>
          <w:t>VIII/6</w:t>
        </w:r>
      </w:hyperlink>
      <w:r w:rsidRPr="004F3BF9">
        <w:rPr>
          <w:snapToGrid w:val="0"/>
          <w:kern w:val="22"/>
          <w:szCs w:val="22"/>
        </w:rPr>
        <w:t xml:space="preserve"> and </w:t>
      </w:r>
      <w:hyperlink r:id="rId23" w:history="1">
        <w:r w:rsidRPr="004F3BF9">
          <w:rPr>
            <w:rStyle w:val="Hyperlink"/>
            <w:snapToGrid w:val="0"/>
            <w:kern w:val="22"/>
            <w:szCs w:val="22"/>
          </w:rPr>
          <w:t>IX/8</w:t>
        </w:r>
      </w:hyperlink>
      <w:r w:rsidRPr="004F3BF9">
        <w:rPr>
          <w:snapToGrid w:val="0"/>
          <w:kern w:val="22"/>
          <w:szCs w:val="22"/>
        </w:rPr>
        <w:t xml:space="preserve"> state that communication, education and public awareness </w:t>
      </w:r>
      <w:r w:rsidRPr="004F3BF9">
        <w:rPr>
          <w:bCs/>
          <w:snapToGrid w:val="0"/>
          <w:kern w:val="22"/>
          <w:szCs w:val="22"/>
        </w:rPr>
        <w:t xml:space="preserve">(CEPA) </w:t>
      </w:r>
      <w:r w:rsidRPr="004F3BF9">
        <w:rPr>
          <w:snapToGrid w:val="0"/>
          <w:kern w:val="22"/>
          <w:szCs w:val="22"/>
        </w:rPr>
        <w:t xml:space="preserve">strategies and activities should be integral parts of NBSAPs. Of the </w:t>
      </w:r>
      <w:r w:rsidR="00C32C74" w:rsidRPr="004F3BF9">
        <w:rPr>
          <w:snapToGrid w:val="0"/>
          <w:kern w:val="22"/>
          <w:szCs w:val="22"/>
        </w:rPr>
        <w:t>153</w:t>
      </w:r>
      <w:r w:rsidRPr="004F3BF9">
        <w:rPr>
          <w:snapToGrid w:val="0"/>
          <w:kern w:val="22"/>
          <w:szCs w:val="22"/>
        </w:rPr>
        <w:t xml:space="preserve"> post-Nagoya NBSAPs, </w:t>
      </w:r>
      <w:r w:rsidR="0052489E" w:rsidRPr="004F3BF9">
        <w:rPr>
          <w:snapToGrid w:val="0"/>
          <w:kern w:val="22"/>
          <w:szCs w:val="22"/>
        </w:rPr>
        <w:t xml:space="preserve">35 </w:t>
      </w:r>
      <w:r w:rsidR="009C3281" w:rsidRPr="004F3BF9">
        <w:rPr>
          <w:snapToGrid w:val="0"/>
          <w:kern w:val="22"/>
          <w:szCs w:val="22"/>
        </w:rPr>
        <w:t>NBSAPs</w:t>
      </w:r>
      <w:r w:rsidRPr="004F3BF9">
        <w:rPr>
          <w:rStyle w:val="FootnoteReference"/>
          <w:noProof/>
          <w:snapToGrid w:val="0"/>
          <w:kern w:val="22"/>
          <w:sz w:val="22"/>
          <w:szCs w:val="22"/>
          <w:u w:val="none"/>
          <w:vertAlign w:val="superscript"/>
        </w:rPr>
        <w:footnoteReference w:id="33"/>
      </w:r>
      <w:r w:rsidRPr="004F3BF9">
        <w:rPr>
          <w:snapToGrid w:val="0"/>
          <w:kern w:val="22"/>
          <w:szCs w:val="22"/>
        </w:rPr>
        <w:t xml:space="preserve"> contain a CEPA strategy and action plan or equivalent and another </w:t>
      </w:r>
      <w:r w:rsidR="00860EA9" w:rsidRPr="004F3BF9">
        <w:rPr>
          <w:snapToGrid w:val="0"/>
          <w:kern w:val="22"/>
          <w:szCs w:val="22"/>
        </w:rPr>
        <w:t>100</w:t>
      </w:r>
      <w:r w:rsidR="009C3281" w:rsidRPr="004F3BF9">
        <w:rPr>
          <w:snapToGrid w:val="0"/>
          <w:kern w:val="22"/>
          <w:szCs w:val="22"/>
        </w:rPr>
        <w:t xml:space="preserve"> NBSAPs</w:t>
      </w:r>
      <w:r w:rsidRPr="004F3BF9">
        <w:rPr>
          <w:snapToGrid w:val="0"/>
          <w:kern w:val="22"/>
          <w:szCs w:val="22"/>
          <w:vertAlign w:val="superscript"/>
        </w:rPr>
        <w:footnoteReference w:id="34"/>
      </w:r>
      <w:r w:rsidRPr="004F3BF9">
        <w:rPr>
          <w:snapToGrid w:val="0"/>
          <w:kern w:val="22"/>
          <w:szCs w:val="22"/>
        </w:rPr>
        <w:t xml:space="preserve"> contain initiatives relating to communication, education and public awareness. Some examples follow:</w:t>
      </w:r>
    </w:p>
    <w:p w:rsidR="00EC1942" w:rsidRPr="004F3BF9" w:rsidRDefault="00EC1942"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F3BF9">
        <w:rPr>
          <w:kern w:val="22"/>
          <w:szCs w:val="22"/>
        </w:rPr>
        <w:t xml:space="preserve">Ecuador has a National Plan for Citizen Environmental Education which contains projects aimed </w:t>
      </w:r>
      <w:r w:rsidR="00C4595C" w:rsidRPr="004F3BF9">
        <w:rPr>
          <w:kern w:val="22"/>
          <w:szCs w:val="22"/>
        </w:rPr>
        <w:t>at</w:t>
      </w:r>
      <w:r w:rsidRPr="004F3BF9">
        <w:rPr>
          <w:kern w:val="22"/>
          <w:szCs w:val="22"/>
        </w:rPr>
        <w:t xml:space="preserve"> promot</w:t>
      </w:r>
      <w:r w:rsidR="00C4595C" w:rsidRPr="004F3BF9">
        <w:rPr>
          <w:kern w:val="22"/>
          <w:szCs w:val="22"/>
        </w:rPr>
        <w:t>ing</w:t>
      </w:r>
      <w:r w:rsidRPr="004F3BF9">
        <w:rPr>
          <w:kern w:val="22"/>
          <w:szCs w:val="22"/>
        </w:rPr>
        <w:t xml:space="preserve"> environmental practices. The Plan is also known as </w:t>
      </w:r>
      <w:hyperlink r:id="rId24" w:history="1">
        <w:r w:rsidRPr="004F3BF9">
          <w:rPr>
            <w:rStyle w:val="Hyperlink"/>
            <w:kern w:val="22"/>
            <w:szCs w:val="22"/>
          </w:rPr>
          <w:t>“We are part of the solution”</w:t>
        </w:r>
      </w:hyperlink>
      <w:r w:rsidRPr="004F3BF9">
        <w:rPr>
          <w:kern w:val="22"/>
          <w:szCs w:val="22"/>
        </w:rPr>
        <w:t>;</w:t>
      </w:r>
    </w:p>
    <w:p w:rsidR="00EC1942" w:rsidRPr="004F3BF9" w:rsidRDefault="00EC1942"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F3BF9">
        <w:rPr>
          <w:kern w:val="22"/>
          <w:szCs w:val="22"/>
        </w:rPr>
        <w:t>In Finland, continuing education for teachers (in species knowledge and pedagogy in biodiversity issues) will be developed, and, with the help of new information technology, species knowledge and sustainable development education will be promoted;</w:t>
      </w:r>
    </w:p>
    <w:p w:rsidR="00EC1942" w:rsidRPr="004F3BF9" w:rsidRDefault="00EC1942" w:rsidP="00232464">
      <w:pPr>
        <w:pStyle w:val="Para1"/>
        <w:numPr>
          <w:ilvl w:val="0"/>
          <w:numId w:val="8"/>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4F3BF9">
        <w:rPr>
          <w:kern w:val="22"/>
          <w:szCs w:val="22"/>
        </w:rPr>
        <w:t xml:space="preserve">One of </w:t>
      </w:r>
      <w:r w:rsidR="001D4B85" w:rsidRPr="004F3BF9">
        <w:rPr>
          <w:kern w:val="22"/>
          <w:szCs w:val="22"/>
        </w:rPr>
        <w:t xml:space="preserve">the </w:t>
      </w:r>
      <w:r w:rsidRPr="004F3BF9">
        <w:rPr>
          <w:kern w:val="22"/>
          <w:szCs w:val="22"/>
        </w:rPr>
        <w:t xml:space="preserve">short-term priorities </w:t>
      </w:r>
      <w:r w:rsidR="001D4B85" w:rsidRPr="004F3BF9">
        <w:rPr>
          <w:kern w:val="22"/>
          <w:szCs w:val="22"/>
        </w:rPr>
        <w:t xml:space="preserve">of Nauru </w:t>
      </w:r>
      <w:r w:rsidRPr="004F3BF9">
        <w:rPr>
          <w:kern w:val="22"/>
          <w:szCs w:val="22"/>
        </w:rPr>
        <w:t xml:space="preserve">is to: </w:t>
      </w:r>
      <w:r w:rsidR="001D4B85" w:rsidRPr="004F3BF9">
        <w:rPr>
          <w:kern w:val="22"/>
          <w:szCs w:val="22"/>
        </w:rPr>
        <w:t>“</w:t>
      </w:r>
      <w:hyperlink r:id="rId25" w:history="1">
        <w:r w:rsidRPr="004F3BF9">
          <w:rPr>
            <w:rStyle w:val="Hyperlink"/>
            <w:kern w:val="22"/>
            <w:szCs w:val="22"/>
          </w:rPr>
          <w:t>To systematically educate individuals through formal and informal courses on the knowledge of the country</w:t>
        </w:r>
        <w:r w:rsidR="001340BA" w:rsidRPr="004F3BF9">
          <w:rPr>
            <w:rStyle w:val="Hyperlink"/>
            <w:kern w:val="22"/>
            <w:szCs w:val="22"/>
          </w:rPr>
          <w:t>’</w:t>
        </w:r>
        <w:r w:rsidRPr="004F3BF9">
          <w:rPr>
            <w:rStyle w:val="Hyperlink"/>
            <w:kern w:val="22"/>
            <w:szCs w:val="22"/>
          </w:rPr>
          <w:t>s biodiversity and skills, both traditional and new, to sustainably manage these resources</w:t>
        </w:r>
      </w:hyperlink>
      <w:r w:rsidR="001D4B85" w:rsidRPr="004F3BF9">
        <w:rPr>
          <w:kern w:val="22"/>
          <w:szCs w:val="22"/>
        </w:rPr>
        <w:t>”</w:t>
      </w:r>
      <w:r w:rsidR="00CF2F38" w:rsidRPr="004F3BF9">
        <w:rPr>
          <w:kern w:val="22"/>
          <w:szCs w:val="22"/>
        </w:rPr>
        <w:t>;</w:t>
      </w:r>
    </w:p>
    <w:p w:rsidR="00EC1942" w:rsidRPr="004F3BF9" w:rsidRDefault="00EC1942" w:rsidP="00232464">
      <w:pPr>
        <w:pStyle w:val="Para1"/>
        <w:numPr>
          <w:ilvl w:val="0"/>
          <w:numId w:val="8"/>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4F3BF9">
        <w:rPr>
          <w:kern w:val="22"/>
          <w:szCs w:val="22"/>
        </w:rPr>
        <w:t>New Zealand has a conservation education programme led by local children to “bring biodiversity back to the town”. The country also has a program</w:t>
      </w:r>
      <w:r w:rsidR="000D0BBE" w:rsidRPr="004F3BF9">
        <w:rPr>
          <w:kern w:val="22"/>
          <w:szCs w:val="22"/>
        </w:rPr>
        <w:t>me</w:t>
      </w:r>
      <w:r w:rsidRPr="004F3BF9">
        <w:rPr>
          <w:kern w:val="22"/>
          <w:szCs w:val="22"/>
        </w:rPr>
        <w:t xml:space="preserve"> called “Healthy Nature Healthy People”, co-designed by Government agencies, NGOs and Maori to improve lives of New Zealanders through connection to nature</w:t>
      </w:r>
      <w:r w:rsidR="00CF2F38" w:rsidRPr="004F3BF9">
        <w:rPr>
          <w:kern w:val="22"/>
          <w:szCs w:val="22"/>
        </w:rPr>
        <w:t>;</w:t>
      </w:r>
    </w:p>
    <w:p w:rsidR="00EC1942" w:rsidRPr="004F3BF9" w:rsidRDefault="00EC1942"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F3BF9">
        <w:rPr>
          <w:kern w:val="22"/>
          <w:szCs w:val="22"/>
        </w:rPr>
        <w:t xml:space="preserve">Nicaragua is intending to integrate the themes of Mother Earth and </w:t>
      </w:r>
      <w:r w:rsidR="003C5785" w:rsidRPr="004F3BF9">
        <w:rPr>
          <w:kern w:val="22"/>
          <w:szCs w:val="22"/>
        </w:rPr>
        <w:t>b</w:t>
      </w:r>
      <w:r w:rsidRPr="004F3BF9">
        <w:rPr>
          <w:kern w:val="22"/>
          <w:szCs w:val="22"/>
        </w:rPr>
        <w:t>iodiversity into university curricula. The country will also introduce the best thesis based on the Route to the Common Good (</w:t>
      </w:r>
      <w:r w:rsidRPr="004F3BF9">
        <w:rPr>
          <w:kern w:val="22"/>
          <w:szCs w:val="22"/>
          <w:lang w:val="es-ES_tradnl"/>
        </w:rPr>
        <w:t>Ruta del Bien Común de la Madre Tierra</w:t>
      </w:r>
      <w:r w:rsidRPr="004F3BF9">
        <w:rPr>
          <w:kern w:val="22"/>
          <w:szCs w:val="22"/>
        </w:rPr>
        <w:t>) in youth forums</w:t>
      </w:r>
      <w:r w:rsidR="003C5785" w:rsidRPr="004F3BF9">
        <w:rPr>
          <w:kern w:val="22"/>
          <w:szCs w:val="22"/>
        </w:rPr>
        <w:t xml:space="preserve"> in order</w:t>
      </w:r>
      <w:r w:rsidRPr="004F3BF9">
        <w:rPr>
          <w:kern w:val="22"/>
          <w:szCs w:val="22"/>
        </w:rPr>
        <w:t xml:space="preserve"> to promote research on biodiversity;</w:t>
      </w:r>
    </w:p>
    <w:p w:rsidR="00EC1942" w:rsidRPr="004F3BF9" w:rsidRDefault="00EC1942"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F3BF9">
        <w:rPr>
          <w:kern w:val="22"/>
          <w:szCs w:val="22"/>
        </w:rPr>
        <w:t xml:space="preserve">Norway will continue its Sustainable Backpack programme, a nationwide initiative by the </w:t>
      </w:r>
      <w:hyperlink r:id="rId26" w:history="1">
        <w:r w:rsidRPr="004F3BF9">
          <w:rPr>
            <w:rStyle w:val="Hyperlink"/>
            <w:kern w:val="22"/>
            <w:szCs w:val="22"/>
          </w:rPr>
          <w:t>Ministry of Education and Research</w:t>
        </w:r>
      </w:hyperlink>
      <w:r w:rsidRPr="004F3BF9">
        <w:rPr>
          <w:kern w:val="22"/>
          <w:szCs w:val="22"/>
        </w:rPr>
        <w:t xml:space="preserve"> and the </w:t>
      </w:r>
      <w:hyperlink r:id="rId27" w:history="1">
        <w:r w:rsidRPr="004F3BF9">
          <w:rPr>
            <w:rStyle w:val="Hyperlink"/>
            <w:kern w:val="22"/>
            <w:szCs w:val="22"/>
          </w:rPr>
          <w:t>Ministry of Climate and Environment</w:t>
        </w:r>
      </w:hyperlink>
      <w:r w:rsidRPr="004F3BF9">
        <w:rPr>
          <w:kern w:val="22"/>
          <w:szCs w:val="22"/>
        </w:rPr>
        <w:t xml:space="preserve"> to support Norwegian schools in implementing Education for Sustainable Development;</w:t>
      </w:r>
    </w:p>
    <w:p w:rsidR="00EC1942" w:rsidRPr="004F3BF9" w:rsidRDefault="00EC1942"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F3BF9">
        <w:rPr>
          <w:kern w:val="22"/>
          <w:szCs w:val="22"/>
        </w:rPr>
        <w:lastRenderedPageBreak/>
        <w:t>Saint Kitts and Nevis is planning to establish a biodiversity knowledge network within secondary schools using Edu</w:t>
      </w:r>
      <w:r w:rsidR="001410F4" w:rsidRPr="004F3BF9">
        <w:rPr>
          <w:kern w:val="22"/>
          <w:szCs w:val="22"/>
        </w:rPr>
        <w:t> </w:t>
      </w:r>
      <w:r w:rsidRPr="004F3BF9">
        <w:rPr>
          <w:kern w:val="22"/>
          <w:szCs w:val="22"/>
        </w:rPr>
        <w:t xml:space="preserve">NET, which is a </w:t>
      </w:r>
      <w:r w:rsidRPr="004F3BF9">
        <w:rPr>
          <w:color w:val="202020"/>
          <w:kern w:val="22"/>
          <w:szCs w:val="22"/>
          <w:shd w:val="clear" w:color="auto" w:fill="FFFFFF"/>
        </w:rPr>
        <w:t>network for facilitating communication, collaboration, e</w:t>
      </w:r>
      <w:r w:rsidRPr="004F3BF9">
        <w:rPr>
          <w:color w:val="202020"/>
          <w:kern w:val="22"/>
          <w:szCs w:val="22"/>
          <w:shd w:val="clear" w:color="auto" w:fill="FFFFFF"/>
        </w:rPr>
        <w:noBreakHyphen/>
        <w:t>Learning and research for secondary school students</w:t>
      </w:r>
      <w:r w:rsidRPr="004F3BF9">
        <w:rPr>
          <w:kern w:val="22"/>
          <w:szCs w:val="22"/>
        </w:rPr>
        <w:t>;</w:t>
      </w:r>
    </w:p>
    <w:p w:rsidR="00EC1942" w:rsidRPr="004F3BF9" w:rsidRDefault="00EC1942"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F3BF9">
        <w:rPr>
          <w:kern w:val="22"/>
          <w:szCs w:val="22"/>
        </w:rPr>
        <w:t>In December 2010, the Government of Sweden adopted the outdoor recreation policy</w:t>
      </w:r>
      <w:r w:rsidR="001340BA" w:rsidRPr="004F3BF9">
        <w:rPr>
          <w:kern w:val="22"/>
          <w:szCs w:val="22"/>
        </w:rPr>
        <w:t>’</w:t>
      </w:r>
      <w:r w:rsidRPr="004F3BF9">
        <w:rPr>
          <w:kern w:val="22"/>
          <w:szCs w:val="22"/>
        </w:rPr>
        <w:t>s overarching goals, established to support opportunities for people to spend time in nature and enjoy outdoor recreational activities</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A total of </w:t>
      </w:r>
      <w:r w:rsidR="00985679" w:rsidRPr="004F3BF9">
        <w:rPr>
          <w:snapToGrid w:val="0"/>
          <w:kern w:val="22"/>
          <w:szCs w:val="22"/>
        </w:rPr>
        <w:t>124</w:t>
      </w:r>
      <w:r w:rsidRPr="004F3BF9">
        <w:rPr>
          <w:snapToGrid w:val="0"/>
          <w:kern w:val="22"/>
          <w:szCs w:val="22"/>
        </w:rPr>
        <w:t xml:space="preserve"> Parties</w:t>
      </w:r>
      <w:r w:rsidRPr="004F3BF9">
        <w:rPr>
          <w:rStyle w:val="FootnoteReference"/>
          <w:snapToGrid w:val="0"/>
          <w:kern w:val="22"/>
          <w:sz w:val="22"/>
          <w:szCs w:val="22"/>
          <w:u w:val="none"/>
          <w:vertAlign w:val="superscript"/>
        </w:rPr>
        <w:footnoteReference w:id="35"/>
      </w:r>
      <w:r w:rsidRPr="004F3BF9">
        <w:rPr>
          <w:snapToGrid w:val="0"/>
          <w:kern w:val="22"/>
          <w:szCs w:val="22"/>
        </w:rPr>
        <w:t xml:space="preserve"> have set national targets and/or objectives in relation to Aichi Biodiversity Target 1.</w:t>
      </w:r>
    </w:p>
    <w:p w:rsidR="00EC1942" w:rsidRPr="004F3BF9"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rPr>
          <w:bCs/>
          <w:kern w:val="22"/>
          <w:szCs w:val="22"/>
        </w:rPr>
      </w:pPr>
      <w:r w:rsidRPr="004F3BF9">
        <w:rPr>
          <w:bCs/>
          <w:kern w:val="22"/>
          <w:szCs w:val="22"/>
        </w:rPr>
        <w:t>3.</w:t>
      </w:r>
      <w:r w:rsidRPr="004F3BF9">
        <w:rPr>
          <w:bCs/>
          <w:kern w:val="22"/>
          <w:szCs w:val="22"/>
        </w:rPr>
        <w:tab/>
      </w:r>
      <w:r w:rsidRPr="004F3BF9">
        <w:rPr>
          <w:bCs/>
          <w:i/>
          <w:iCs/>
          <w:kern w:val="22"/>
          <w:szCs w:val="22"/>
        </w:rPr>
        <w:t>Capacity development</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A total of </w:t>
      </w:r>
      <w:r w:rsidR="008B3AA8" w:rsidRPr="004F3BF9">
        <w:rPr>
          <w:snapToGrid w:val="0"/>
          <w:kern w:val="22"/>
          <w:szCs w:val="22"/>
        </w:rPr>
        <w:t xml:space="preserve">19 </w:t>
      </w:r>
      <w:r w:rsidRPr="004F3BF9">
        <w:rPr>
          <w:snapToGrid w:val="0"/>
          <w:kern w:val="22"/>
          <w:szCs w:val="22"/>
        </w:rPr>
        <w:t>NBSAPs</w:t>
      </w:r>
      <w:r w:rsidRPr="004F3BF9">
        <w:rPr>
          <w:rStyle w:val="FootnoteReference"/>
          <w:snapToGrid w:val="0"/>
          <w:kern w:val="22"/>
          <w:sz w:val="22"/>
          <w:szCs w:val="22"/>
          <w:u w:val="none"/>
          <w:vertAlign w:val="superscript"/>
        </w:rPr>
        <w:footnoteReference w:id="36"/>
      </w:r>
      <w:r w:rsidRPr="004F3BF9">
        <w:rPr>
          <w:snapToGrid w:val="0"/>
          <w:kern w:val="22"/>
          <w:szCs w:val="22"/>
        </w:rPr>
        <w:t xml:space="preserve"> include a national capacity development plan; some examples of these plans are presented below. In addition, </w:t>
      </w:r>
      <w:r w:rsidR="008B3AA8" w:rsidRPr="004F3BF9">
        <w:rPr>
          <w:snapToGrid w:val="0"/>
          <w:kern w:val="22"/>
          <w:szCs w:val="22"/>
        </w:rPr>
        <w:t xml:space="preserve">91 </w:t>
      </w:r>
      <w:r w:rsidRPr="004F3BF9">
        <w:rPr>
          <w:snapToGrid w:val="0"/>
          <w:kern w:val="22"/>
          <w:szCs w:val="22"/>
        </w:rPr>
        <w:t>other countries</w:t>
      </w:r>
      <w:r w:rsidRPr="004F3BF9">
        <w:rPr>
          <w:snapToGrid w:val="0"/>
          <w:kern w:val="22"/>
          <w:szCs w:val="22"/>
          <w:vertAlign w:val="superscript"/>
        </w:rPr>
        <w:footnoteReference w:id="37"/>
      </w:r>
      <w:r w:rsidRPr="004F3BF9">
        <w:rPr>
          <w:snapToGrid w:val="0"/>
          <w:kern w:val="22"/>
          <w:szCs w:val="22"/>
        </w:rPr>
        <w:t xml:space="preserve"> list several capacity-building activities, some of which also indicate the budget allocated as well as the entity in charge of the activity</w:t>
      </w:r>
      <w:r w:rsidR="00492E7F" w:rsidRPr="004F3BF9">
        <w:rPr>
          <w:snapToGrid w:val="0"/>
          <w:kern w:val="22"/>
          <w:szCs w:val="22"/>
        </w:rPr>
        <w:t>.</w:t>
      </w:r>
      <w:r w:rsidRPr="004F3BF9">
        <w:rPr>
          <w:snapToGrid w:val="0"/>
          <w:kern w:val="22"/>
          <w:szCs w:val="22"/>
        </w:rPr>
        <w:t xml:space="preserve"> The NBSAPs of 18 Parties</w:t>
      </w:r>
      <w:r w:rsidRPr="004F3BF9">
        <w:rPr>
          <w:rStyle w:val="FootnoteReference"/>
          <w:snapToGrid w:val="0"/>
          <w:kern w:val="22"/>
          <w:sz w:val="22"/>
          <w:szCs w:val="22"/>
          <w:u w:val="none"/>
          <w:vertAlign w:val="superscript"/>
        </w:rPr>
        <w:footnoteReference w:id="38"/>
      </w:r>
      <w:r w:rsidRPr="004F3BF9">
        <w:rPr>
          <w:snapToGrid w:val="0"/>
          <w:kern w:val="22"/>
          <w:szCs w:val="22"/>
        </w:rPr>
        <w:t xml:space="preserve"> referred to the National Capacity Self-Assessment and/or other training/capacity needs assessments.</w:t>
      </w:r>
      <w:r w:rsidRPr="004F3BF9">
        <w:rPr>
          <w:rStyle w:val="FootnoteReference"/>
          <w:snapToGrid w:val="0"/>
          <w:kern w:val="22"/>
          <w:sz w:val="22"/>
          <w:szCs w:val="22"/>
          <w:u w:val="none"/>
          <w:vertAlign w:val="superscript"/>
        </w:rPr>
        <w:footnoteReference w:id="39"/>
      </w:r>
    </w:p>
    <w:p w:rsidR="00EC1942" w:rsidRPr="007964CF" w:rsidRDefault="00EC1942" w:rsidP="00232464">
      <w:pPr>
        <w:pStyle w:val="Para1"/>
        <w:numPr>
          <w:ilvl w:val="0"/>
          <w:numId w:val="16"/>
        </w:numPr>
        <w:suppressLineNumbers/>
        <w:tabs>
          <w:tab w:val="clear" w:pos="540"/>
          <w:tab w:val="num" w:pos="1211"/>
        </w:tabs>
        <w:suppressAutoHyphens/>
        <w:kinsoku w:val="0"/>
        <w:overflowPunct w:val="0"/>
        <w:autoSpaceDE w:val="0"/>
        <w:autoSpaceDN w:val="0"/>
        <w:adjustRightInd w:val="0"/>
        <w:snapToGrid w:val="0"/>
        <w:ind w:left="0" w:firstLine="720"/>
        <w:rPr>
          <w:spacing w:val="-4"/>
          <w:kern w:val="22"/>
          <w:szCs w:val="22"/>
        </w:rPr>
      </w:pPr>
      <w:r w:rsidRPr="007964CF">
        <w:rPr>
          <w:spacing w:val="-4"/>
          <w:kern w:val="22"/>
          <w:szCs w:val="22"/>
        </w:rPr>
        <w:t>Nigeria developed a plan for capacity development and technical capacity needs assessment. For each of the core capacity issues, the plan lists individual and institutional capacity needs and specific actions. In addition, the plan includes a section on technology needs, identified technologies and required actions;</w:t>
      </w:r>
    </w:p>
    <w:p w:rsidR="00EC1942" w:rsidRPr="004F3BF9" w:rsidRDefault="00EC1942" w:rsidP="00232464">
      <w:pPr>
        <w:pStyle w:val="Para1"/>
        <w:numPr>
          <w:ilvl w:val="0"/>
          <w:numId w:val="16"/>
        </w:numPr>
        <w:suppressLineNumbers/>
        <w:tabs>
          <w:tab w:val="clear" w:pos="540"/>
          <w:tab w:val="num" w:pos="0"/>
        </w:tabs>
        <w:suppressAutoHyphens/>
        <w:kinsoku w:val="0"/>
        <w:overflowPunct w:val="0"/>
        <w:autoSpaceDE w:val="0"/>
        <w:autoSpaceDN w:val="0"/>
        <w:adjustRightInd w:val="0"/>
        <w:snapToGrid w:val="0"/>
        <w:ind w:left="0" w:firstLine="720"/>
        <w:rPr>
          <w:kern w:val="22"/>
          <w:szCs w:val="22"/>
        </w:rPr>
      </w:pPr>
      <w:r w:rsidRPr="004F3BF9">
        <w:rPr>
          <w:kern w:val="22"/>
          <w:szCs w:val="22"/>
        </w:rPr>
        <w:t xml:space="preserve">One of the components of </w:t>
      </w:r>
      <w:r w:rsidR="00FB25B5" w:rsidRPr="004F3BF9">
        <w:rPr>
          <w:kern w:val="22"/>
          <w:szCs w:val="22"/>
        </w:rPr>
        <w:t xml:space="preserve">the </w:t>
      </w:r>
      <w:r w:rsidRPr="004F3BF9">
        <w:rPr>
          <w:kern w:val="22"/>
          <w:szCs w:val="22"/>
        </w:rPr>
        <w:t>implementation plan</w:t>
      </w:r>
      <w:r w:rsidR="00FB25B5" w:rsidRPr="004F3BF9">
        <w:rPr>
          <w:kern w:val="22"/>
          <w:szCs w:val="22"/>
        </w:rPr>
        <w:t xml:space="preserve"> of Liberia</w:t>
      </w:r>
      <w:r w:rsidRPr="004F3BF9">
        <w:rPr>
          <w:kern w:val="22"/>
          <w:szCs w:val="22"/>
        </w:rPr>
        <w:t xml:space="preserve">, is </w:t>
      </w:r>
      <w:r w:rsidR="00FB25B5" w:rsidRPr="004F3BF9">
        <w:rPr>
          <w:kern w:val="22"/>
          <w:szCs w:val="22"/>
        </w:rPr>
        <w:t>t</w:t>
      </w:r>
      <w:r w:rsidRPr="004F3BF9">
        <w:rPr>
          <w:kern w:val="22"/>
          <w:szCs w:val="22"/>
        </w:rPr>
        <w:t>he Capacity Development Plan, which includes an assessment of technical capacity needs at systemic, institutional, and individual levels;</w:t>
      </w:r>
    </w:p>
    <w:p w:rsidR="006F3EA2" w:rsidRPr="004F3BF9" w:rsidRDefault="006F3EA2" w:rsidP="00232464">
      <w:pPr>
        <w:pStyle w:val="Para1"/>
        <w:numPr>
          <w:ilvl w:val="0"/>
          <w:numId w:val="16"/>
        </w:numPr>
        <w:suppressLineNumbers/>
        <w:tabs>
          <w:tab w:val="clear" w:pos="540"/>
          <w:tab w:val="num" w:pos="1170"/>
        </w:tabs>
        <w:suppressAutoHyphens/>
        <w:kinsoku w:val="0"/>
        <w:overflowPunct w:val="0"/>
        <w:autoSpaceDE w:val="0"/>
        <w:autoSpaceDN w:val="0"/>
        <w:adjustRightInd w:val="0"/>
        <w:snapToGrid w:val="0"/>
        <w:ind w:left="0" w:firstLine="720"/>
        <w:rPr>
          <w:kern w:val="22"/>
          <w:szCs w:val="22"/>
        </w:rPr>
      </w:pPr>
      <w:r w:rsidRPr="004F3BF9">
        <w:rPr>
          <w:kern w:val="22"/>
          <w:szCs w:val="22"/>
        </w:rPr>
        <w:t>In addition to its Capacity Development Framework and Action Plan, Palau prepared a Technology Needs Assessment;</w:t>
      </w:r>
    </w:p>
    <w:p w:rsidR="00EC1942" w:rsidRPr="004F3BF9" w:rsidRDefault="00FB25B5" w:rsidP="00232464">
      <w:pPr>
        <w:pStyle w:val="Para1"/>
        <w:numPr>
          <w:ilvl w:val="0"/>
          <w:numId w:val="16"/>
        </w:numPr>
        <w:suppressLineNumbers/>
        <w:tabs>
          <w:tab w:val="clear" w:pos="540"/>
          <w:tab w:val="num" w:pos="1170"/>
        </w:tabs>
        <w:suppressAutoHyphens/>
        <w:kinsoku w:val="0"/>
        <w:overflowPunct w:val="0"/>
        <w:autoSpaceDE w:val="0"/>
        <w:autoSpaceDN w:val="0"/>
        <w:adjustRightInd w:val="0"/>
        <w:snapToGrid w:val="0"/>
        <w:ind w:left="0" w:firstLine="720"/>
        <w:rPr>
          <w:kern w:val="22"/>
          <w:szCs w:val="22"/>
        </w:rPr>
      </w:pPr>
      <w:r w:rsidRPr="004F3BF9">
        <w:rPr>
          <w:kern w:val="22"/>
          <w:szCs w:val="22"/>
        </w:rPr>
        <w:t xml:space="preserve">The </w:t>
      </w:r>
      <w:r w:rsidR="00EC1942" w:rsidRPr="004F3BF9">
        <w:rPr>
          <w:kern w:val="22"/>
          <w:szCs w:val="22"/>
        </w:rPr>
        <w:t>Capacity</w:t>
      </w:r>
      <w:r w:rsidRPr="004F3BF9">
        <w:rPr>
          <w:kern w:val="22"/>
          <w:szCs w:val="22"/>
        </w:rPr>
        <w:t>-</w:t>
      </w:r>
      <w:r w:rsidR="00EC1942" w:rsidRPr="004F3BF9">
        <w:rPr>
          <w:kern w:val="22"/>
          <w:szCs w:val="22"/>
        </w:rPr>
        <w:t>Building Plan</w:t>
      </w:r>
      <w:r w:rsidRPr="004F3BF9">
        <w:rPr>
          <w:kern w:val="22"/>
          <w:szCs w:val="22"/>
        </w:rPr>
        <w:t xml:space="preserve"> of Rwanda</w:t>
      </w:r>
      <w:r w:rsidR="00EC1942" w:rsidRPr="004F3BF9">
        <w:rPr>
          <w:kern w:val="22"/>
          <w:szCs w:val="22"/>
        </w:rPr>
        <w:t xml:space="preserve"> </w:t>
      </w:r>
      <w:r w:rsidR="00EC1942" w:rsidRPr="004F3BF9">
        <w:rPr>
          <w:kern w:val="22"/>
          <w:szCs w:val="22"/>
          <w:shd w:val="clear" w:color="auto" w:fill="FFFFFF"/>
        </w:rPr>
        <w:t>is targeted for entities involved in biodiversity conservation, agro-biodiversity, biotechnology and biosafety. Activities will be undertaken at various training institutions, and will promote gender as a cross-cutting issue in biodiversity planning</w:t>
      </w:r>
      <w:r w:rsidR="003822C0" w:rsidRPr="004F3BF9">
        <w:rPr>
          <w:kern w:val="22"/>
          <w:szCs w:val="22"/>
          <w:shd w:val="clear" w:color="auto" w:fill="FFFFFF"/>
        </w:rPr>
        <w:t>;</w:t>
      </w:r>
    </w:p>
    <w:p w:rsidR="00EC1942" w:rsidRPr="004F3BF9" w:rsidRDefault="00EC1942" w:rsidP="00232464">
      <w:pPr>
        <w:pStyle w:val="Para1"/>
        <w:numPr>
          <w:ilvl w:val="0"/>
          <w:numId w:val="16"/>
        </w:numPr>
        <w:suppressLineNumbers/>
        <w:tabs>
          <w:tab w:val="clear" w:pos="540"/>
          <w:tab w:val="num" w:pos="1211"/>
        </w:tabs>
        <w:suppressAutoHyphens/>
        <w:kinsoku w:val="0"/>
        <w:overflowPunct w:val="0"/>
        <w:autoSpaceDE w:val="0"/>
        <w:autoSpaceDN w:val="0"/>
        <w:adjustRightInd w:val="0"/>
        <w:snapToGrid w:val="0"/>
        <w:ind w:left="0" w:firstLine="720"/>
        <w:rPr>
          <w:kern w:val="22"/>
          <w:szCs w:val="22"/>
        </w:rPr>
      </w:pPr>
      <w:r w:rsidRPr="004F3BF9">
        <w:rPr>
          <w:kern w:val="22"/>
          <w:szCs w:val="22"/>
        </w:rPr>
        <w:lastRenderedPageBreak/>
        <w:t>The Capacity Development Plan of Suriname has four sub-objectives: (i) generic capacity developed; (ii) relevant ministries and associated institutes strengthened; (iii) socially responsible entrepreneurship by companies, with due observance of green/sustainability principles; (iv) local civil society organizations and communities capable of fulfilling their role in relation to biodiversity</w:t>
      </w:r>
      <w:r w:rsidR="0051231F" w:rsidRPr="004F3BF9">
        <w:rPr>
          <w:kern w:val="22"/>
          <w:szCs w:val="22"/>
        </w:rPr>
        <w:t>.</w:t>
      </w:r>
    </w:p>
    <w:p w:rsidR="00EC1942" w:rsidRPr="004F3BF9" w:rsidRDefault="00EC1942" w:rsidP="00232464">
      <w:pPr>
        <w:pStyle w:val="Heading2"/>
        <w:suppressLineNumbers/>
        <w:tabs>
          <w:tab w:val="clear" w:pos="720"/>
        </w:tabs>
        <w:suppressAutoHyphens/>
        <w:kinsoku w:val="0"/>
        <w:overflowPunct w:val="0"/>
        <w:autoSpaceDE w:val="0"/>
        <w:autoSpaceDN w:val="0"/>
        <w:adjustRightInd w:val="0"/>
        <w:snapToGrid w:val="0"/>
        <w:rPr>
          <w:snapToGrid w:val="0"/>
          <w:kern w:val="22"/>
          <w:szCs w:val="22"/>
        </w:rPr>
      </w:pPr>
      <w:r w:rsidRPr="004F3BF9">
        <w:rPr>
          <w:snapToGrid w:val="0"/>
          <w:kern w:val="22"/>
          <w:szCs w:val="22"/>
        </w:rPr>
        <w:t>D.</w:t>
      </w:r>
      <w:r w:rsidRPr="004F3BF9">
        <w:rPr>
          <w:snapToGrid w:val="0"/>
          <w:kern w:val="22"/>
          <w:szCs w:val="22"/>
        </w:rPr>
        <w:tab/>
        <w:t>Mainstreaming</w:t>
      </w:r>
    </w:p>
    <w:p w:rsidR="00EC1942" w:rsidRPr="004F3BF9" w:rsidRDefault="00EC1942" w:rsidP="00232464">
      <w:pPr>
        <w:keepNext/>
        <w:suppressLineNumbers/>
        <w:suppressAutoHyphens/>
        <w:kinsoku w:val="0"/>
        <w:overflowPunct w:val="0"/>
        <w:autoSpaceDE w:val="0"/>
        <w:autoSpaceDN w:val="0"/>
        <w:adjustRightInd w:val="0"/>
        <w:snapToGrid w:val="0"/>
        <w:spacing w:before="120" w:after="120"/>
        <w:jc w:val="center"/>
        <w:rPr>
          <w:bCs/>
          <w:i/>
          <w:iCs/>
          <w:snapToGrid w:val="0"/>
          <w:kern w:val="22"/>
          <w:szCs w:val="22"/>
        </w:rPr>
      </w:pPr>
      <w:r w:rsidRPr="004F3BF9">
        <w:rPr>
          <w:bCs/>
          <w:snapToGrid w:val="0"/>
          <w:kern w:val="22"/>
          <w:szCs w:val="22"/>
        </w:rPr>
        <w:t>1.</w:t>
      </w:r>
      <w:r w:rsidRPr="004F3BF9">
        <w:rPr>
          <w:bCs/>
          <w:snapToGrid w:val="0"/>
          <w:kern w:val="22"/>
          <w:szCs w:val="22"/>
        </w:rPr>
        <w:tab/>
      </w:r>
      <w:r w:rsidRPr="004F3BF9">
        <w:rPr>
          <w:bCs/>
          <w:i/>
          <w:iCs/>
          <w:snapToGrid w:val="0"/>
          <w:kern w:val="22"/>
          <w:szCs w:val="22"/>
        </w:rPr>
        <w:t>Valuation of biodiversity and ecosystem services</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A total of </w:t>
      </w:r>
      <w:r w:rsidR="00C11753" w:rsidRPr="004F3BF9">
        <w:rPr>
          <w:snapToGrid w:val="0"/>
          <w:kern w:val="22"/>
          <w:szCs w:val="22"/>
        </w:rPr>
        <w:t>45</w:t>
      </w:r>
      <w:r w:rsidRPr="004F3BF9">
        <w:rPr>
          <w:snapToGrid w:val="0"/>
          <w:kern w:val="22"/>
          <w:szCs w:val="22"/>
        </w:rPr>
        <w:t xml:space="preserve"> Parties</w:t>
      </w:r>
      <w:r w:rsidRPr="004F3BF9">
        <w:rPr>
          <w:snapToGrid w:val="0"/>
          <w:kern w:val="22"/>
          <w:szCs w:val="22"/>
          <w:vertAlign w:val="superscript"/>
        </w:rPr>
        <w:footnoteReference w:id="40"/>
      </w:r>
      <w:r w:rsidRPr="004F3BF9">
        <w:rPr>
          <w:snapToGrid w:val="0"/>
          <w:kern w:val="22"/>
          <w:szCs w:val="22"/>
        </w:rPr>
        <w:t xml:space="preserve"> report having conducted valuation studies of the biodiversity in their country, or parts thereof. There is not enough information, however, to determine if the results of these exercises have been significantly considered in setting priorities, mainstreaming and/or developing the revised NBSAP. Some examples of valuation studies conducted include:</w:t>
      </w:r>
    </w:p>
    <w:p w:rsidR="00EC1942" w:rsidRPr="004F3BF9"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F3BF9">
        <w:rPr>
          <w:kern w:val="22"/>
          <w:szCs w:val="22"/>
        </w:rPr>
        <w:t>As part of updating its NBSAP, Bangladesh conducted an economic valuation of the 50 services provided by three ecosystems (hill forest, wetland and mangrove);</w:t>
      </w:r>
    </w:p>
    <w:p w:rsidR="00EC1942" w:rsidRPr="004F3BF9"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F3BF9">
        <w:rPr>
          <w:kern w:val="22"/>
          <w:szCs w:val="22"/>
        </w:rPr>
        <w:t>Cabo Verde has done valuation studies for ecotourism, and forests;</w:t>
      </w:r>
    </w:p>
    <w:p w:rsidR="00EC1942" w:rsidRPr="004F3BF9"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F3BF9">
        <w:rPr>
          <w:kern w:val="22"/>
          <w:szCs w:val="22"/>
        </w:rPr>
        <w:t>Egypt — Wadi El R</w:t>
      </w:r>
      <w:r w:rsidR="00467A12" w:rsidRPr="004F3BF9">
        <w:rPr>
          <w:kern w:val="22"/>
          <w:szCs w:val="22"/>
        </w:rPr>
        <w:t>a</w:t>
      </w:r>
      <w:r w:rsidRPr="004F3BF9">
        <w:rPr>
          <w:kern w:val="22"/>
          <w:szCs w:val="22"/>
        </w:rPr>
        <w:t>yan and Ras Mohamed protected areas;</w:t>
      </w:r>
    </w:p>
    <w:p w:rsidR="00EC1942" w:rsidRPr="008C7E34"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spacing w:val="-4"/>
          <w:kern w:val="22"/>
          <w:szCs w:val="22"/>
        </w:rPr>
      </w:pPr>
      <w:r w:rsidRPr="008C7E34">
        <w:rPr>
          <w:spacing w:val="-4"/>
          <w:kern w:val="22"/>
          <w:szCs w:val="22"/>
        </w:rPr>
        <w:t xml:space="preserve">Jamaica conducted </w:t>
      </w:r>
      <w:r w:rsidR="00252624" w:rsidRPr="008C7E34">
        <w:rPr>
          <w:spacing w:val="-4"/>
          <w:kern w:val="22"/>
          <w:szCs w:val="22"/>
        </w:rPr>
        <w:t>t</w:t>
      </w:r>
      <w:r w:rsidRPr="008C7E34">
        <w:rPr>
          <w:spacing w:val="-4"/>
          <w:kern w:val="22"/>
          <w:szCs w:val="22"/>
        </w:rPr>
        <w:t xml:space="preserve">he </w:t>
      </w:r>
      <w:hyperlink r:id="rId28" w:history="1">
        <w:r w:rsidRPr="008C7E34">
          <w:rPr>
            <w:rStyle w:val="Hyperlink"/>
            <w:spacing w:val="-4"/>
            <w:kern w:val="22"/>
            <w:szCs w:val="22"/>
          </w:rPr>
          <w:t>Cockpit Country Ecosystem valuation study</w:t>
        </w:r>
      </w:hyperlink>
      <w:r w:rsidRPr="008C7E34">
        <w:rPr>
          <w:spacing w:val="-4"/>
          <w:kern w:val="22"/>
          <w:szCs w:val="22"/>
        </w:rPr>
        <w:t xml:space="preserve"> in 2011, where</w:t>
      </w:r>
      <w:r w:rsidR="004A6972" w:rsidRPr="008C7E34">
        <w:rPr>
          <w:spacing w:val="-4"/>
          <w:kern w:val="22"/>
          <w:szCs w:val="22"/>
        </w:rPr>
        <w:t>by</w:t>
      </w:r>
      <w:r w:rsidRPr="008C7E34">
        <w:rPr>
          <w:spacing w:val="-4"/>
          <w:kern w:val="22"/>
          <w:szCs w:val="22"/>
        </w:rPr>
        <w:t xml:space="preserve"> the feasibility of implementing a sustainable funding mechanism for ocean and coastal management was explored;</w:t>
      </w:r>
    </w:p>
    <w:p w:rsidR="00EC1942" w:rsidRPr="004F3BF9"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F3BF9">
        <w:rPr>
          <w:kern w:val="22"/>
          <w:szCs w:val="22"/>
        </w:rPr>
        <w:t>Lao People</w:t>
      </w:r>
      <w:r w:rsidR="001340BA" w:rsidRPr="004F3BF9">
        <w:rPr>
          <w:kern w:val="22"/>
          <w:szCs w:val="22"/>
        </w:rPr>
        <w:t>’</w:t>
      </w:r>
      <w:r w:rsidRPr="004F3BF9">
        <w:rPr>
          <w:kern w:val="22"/>
          <w:szCs w:val="22"/>
        </w:rPr>
        <w:t>s Democratic Republic</w:t>
      </w:r>
      <w:r w:rsidRPr="004F3BF9" w:rsidDel="00854D2F">
        <w:rPr>
          <w:kern w:val="22"/>
          <w:szCs w:val="22"/>
        </w:rPr>
        <w:t xml:space="preserve"> </w:t>
      </w:r>
      <w:r w:rsidRPr="004F3BF9">
        <w:rPr>
          <w:kern w:val="22"/>
          <w:szCs w:val="22"/>
        </w:rPr>
        <w:t>— Lung area wetlands;</w:t>
      </w:r>
    </w:p>
    <w:p w:rsidR="00EC1942" w:rsidRPr="004F3BF9" w:rsidRDefault="003822C0"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F3BF9">
        <w:rPr>
          <w:kern w:val="22"/>
          <w:szCs w:val="22"/>
        </w:rPr>
        <w:t xml:space="preserve">The </w:t>
      </w:r>
      <w:r w:rsidR="00EC1942" w:rsidRPr="004F3BF9">
        <w:rPr>
          <w:kern w:val="22"/>
          <w:szCs w:val="22"/>
        </w:rPr>
        <w:t>NBSAP</w:t>
      </w:r>
      <w:r w:rsidRPr="004F3BF9">
        <w:rPr>
          <w:kern w:val="22"/>
          <w:szCs w:val="22"/>
        </w:rPr>
        <w:t xml:space="preserve"> of Mexico</w:t>
      </w:r>
      <w:r w:rsidR="00EC1942" w:rsidRPr="004F3BF9">
        <w:rPr>
          <w:kern w:val="22"/>
          <w:szCs w:val="22"/>
        </w:rPr>
        <w:t xml:space="preserve"> is largely based on the provisions contained in the document </w:t>
      </w:r>
      <w:r w:rsidR="00EC1942" w:rsidRPr="004F3BF9">
        <w:rPr>
          <w:i/>
          <w:iCs/>
          <w:kern w:val="22"/>
          <w:szCs w:val="22"/>
        </w:rPr>
        <w:t xml:space="preserve">Natural Capital of Mexico: Strategic </w:t>
      </w:r>
      <w:r w:rsidR="004D4329" w:rsidRPr="004F3BF9">
        <w:rPr>
          <w:i/>
          <w:iCs/>
          <w:kern w:val="22"/>
          <w:szCs w:val="22"/>
        </w:rPr>
        <w:t xml:space="preserve">Actions </w:t>
      </w:r>
      <w:r w:rsidR="00EC1942" w:rsidRPr="004F3BF9">
        <w:rPr>
          <w:i/>
          <w:iCs/>
          <w:kern w:val="22"/>
          <w:szCs w:val="22"/>
        </w:rPr>
        <w:t xml:space="preserve">for </w:t>
      </w:r>
      <w:r w:rsidR="004D4329" w:rsidRPr="004F3BF9">
        <w:rPr>
          <w:i/>
          <w:iCs/>
          <w:kern w:val="22"/>
          <w:szCs w:val="22"/>
        </w:rPr>
        <w:t>Valuation</w:t>
      </w:r>
      <w:r w:rsidR="00EC1942" w:rsidRPr="004F3BF9">
        <w:rPr>
          <w:i/>
          <w:iCs/>
          <w:kern w:val="22"/>
          <w:szCs w:val="22"/>
        </w:rPr>
        <w:t xml:space="preserve">, </w:t>
      </w:r>
      <w:r w:rsidR="004D4329" w:rsidRPr="004F3BF9">
        <w:rPr>
          <w:i/>
          <w:iCs/>
          <w:kern w:val="22"/>
          <w:szCs w:val="22"/>
        </w:rPr>
        <w:t xml:space="preserve">Preservation </w:t>
      </w:r>
      <w:r w:rsidR="00EC1942" w:rsidRPr="004F3BF9">
        <w:rPr>
          <w:i/>
          <w:iCs/>
          <w:kern w:val="22"/>
          <w:szCs w:val="22"/>
        </w:rPr>
        <w:t xml:space="preserve">and </w:t>
      </w:r>
      <w:r w:rsidR="004D4329" w:rsidRPr="004F3BF9">
        <w:rPr>
          <w:i/>
          <w:iCs/>
          <w:kern w:val="22"/>
          <w:szCs w:val="22"/>
        </w:rPr>
        <w:t>Restoration</w:t>
      </w:r>
      <w:r w:rsidR="004D4329" w:rsidRPr="004F3BF9">
        <w:rPr>
          <w:kern w:val="22"/>
          <w:szCs w:val="22"/>
        </w:rPr>
        <w:t xml:space="preserve"> </w:t>
      </w:r>
      <w:r w:rsidR="00EC1942" w:rsidRPr="004F3BF9">
        <w:rPr>
          <w:kern w:val="22"/>
          <w:szCs w:val="22"/>
        </w:rPr>
        <w:t>(2012)</w:t>
      </w:r>
      <w:r w:rsidR="00EB2FEF" w:rsidRPr="004F3BF9">
        <w:rPr>
          <w:kern w:val="22"/>
          <w:szCs w:val="22"/>
        </w:rPr>
        <w:t>;</w:t>
      </w:r>
    </w:p>
    <w:p w:rsidR="00EC1942" w:rsidRPr="00B402C2"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B402C2">
        <w:rPr>
          <w:kern w:val="22"/>
          <w:szCs w:val="22"/>
        </w:rPr>
        <w:t>The Russian Federation performed an evaluation of the economic value of the wetland area in the Dubna region (“Craneland”), which demonstrated the benefit of the ecosystem from the direct use of bioresources;</w:t>
      </w:r>
    </w:p>
    <w:p w:rsidR="00EC1942" w:rsidRPr="00B402C2"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B402C2">
        <w:rPr>
          <w:kern w:val="22"/>
          <w:szCs w:val="22"/>
        </w:rPr>
        <w:t>Saint Kitts and Nevis has conducted a comprehensive land valuation exercise. The country is also planning to do more studies on the intrinsic socioeconomic and cultural value of biodiversity;</w:t>
      </w:r>
    </w:p>
    <w:p w:rsidR="00EC1942" w:rsidRPr="004F3BF9"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F3BF9">
        <w:rPr>
          <w:kern w:val="22"/>
          <w:szCs w:val="22"/>
        </w:rPr>
        <w:t>Zimbabwe conducted a valuation study on protected areas as part of its NBSAP revision process.</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Of the </w:t>
      </w:r>
      <w:r w:rsidR="00C11753" w:rsidRPr="004F3BF9">
        <w:rPr>
          <w:snapToGrid w:val="0"/>
          <w:kern w:val="22"/>
          <w:szCs w:val="22"/>
        </w:rPr>
        <w:t xml:space="preserve">159 </w:t>
      </w:r>
      <w:r w:rsidRPr="004F3BF9">
        <w:rPr>
          <w:snapToGrid w:val="0"/>
          <w:kern w:val="22"/>
          <w:szCs w:val="22"/>
        </w:rPr>
        <w:t xml:space="preserve">NBSAPs reviewed, </w:t>
      </w:r>
      <w:r w:rsidR="00C11753" w:rsidRPr="004F3BF9">
        <w:rPr>
          <w:snapToGrid w:val="0"/>
          <w:kern w:val="22"/>
          <w:szCs w:val="22"/>
        </w:rPr>
        <w:t xml:space="preserve">38 </w:t>
      </w:r>
      <w:r w:rsidRPr="004F3BF9">
        <w:rPr>
          <w:snapToGrid w:val="0"/>
          <w:kern w:val="22"/>
          <w:szCs w:val="22"/>
        </w:rPr>
        <w:t>countries</w:t>
      </w:r>
      <w:r w:rsidRPr="004F3BF9">
        <w:rPr>
          <w:rStyle w:val="FootnoteReference"/>
          <w:snapToGrid w:val="0"/>
          <w:kern w:val="22"/>
          <w:sz w:val="22"/>
          <w:szCs w:val="22"/>
          <w:u w:val="none"/>
          <w:vertAlign w:val="superscript"/>
        </w:rPr>
        <w:footnoteReference w:id="41"/>
      </w:r>
      <w:r w:rsidRPr="004F3BF9">
        <w:rPr>
          <w:snapToGrid w:val="0"/>
          <w:kern w:val="22"/>
          <w:szCs w:val="22"/>
        </w:rPr>
        <w:t xml:space="preserve"> have set national targets on valuation and </w:t>
      </w:r>
      <w:r w:rsidR="00C11753" w:rsidRPr="004F3BF9">
        <w:rPr>
          <w:snapToGrid w:val="0"/>
          <w:kern w:val="22"/>
          <w:szCs w:val="22"/>
        </w:rPr>
        <w:t>53</w:t>
      </w:r>
      <w:r w:rsidR="00630483" w:rsidRPr="004F3BF9">
        <w:rPr>
          <w:snapToGrid w:val="0"/>
          <w:kern w:val="22"/>
          <w:szCs w:val="22"/>
        </w:rPr>
        <w:t xml:space="preserve"> </w:t>
      </w:r>
      <w:r w:rsidRPr="004F3BF9">
        <w:rPr>
          <w:snapToGrid w:val="0"/>
          <w:kern w:val="22"/>
          <w:szCs w:val="22"/>
        </w:rPr>
        <w:t>state the intention of conducting valuation studies in the future.</w:t>
      </w:r>
      <w:r w:rsidRPr="004F3BF9">
        <w:rPr>
          <w:snapToGrid w:val="0"/>
          <w:kern w:val="22"/>
          <w:szCs w:val="22"/>
          <w:vertAlign w:val="superscript"/>
        </w:rPr>
        <w:footnoteReference w:id="42"/>
      </w:r>
      <w:r w:rsidRPr="004F3BF9">
        <w:rPr>
          <w:snapToGrid w:val="0"/>
          <w:kern w:val="22"/>
          <w:szCs w:val="22"/>
        </w:rPr>
        <w:t xml:space="preserve"> For example:</w:t>
      </w:r>
    </w:p>
    <w:p w:rsidR="00EC1942" w:rsidRPr="004F3BF9" w:rsidRDefault="00EC1942" w:rsidP="00232464">
      <w:pPr>
        <w:pStyle w:val="Para1"/>
        <w:numPr>
          <w:ilvl w:val="1"/>
          <w:numId w:val="11"/>
        </w:numPr>
        <w:suppressLineNumbers/>
        <w:suppressAutoHyphens/>
        <w:kinsoku w:val="0"/>
        <w:overflowPunct w:val="0"/>
        <w:autoSpaceDE w:val="0"/>
        <w:autoSpaceDN w:val="0"/>
        <w:adjustRightInd w:val="0"/>
        <w:snapToGrid w:val="0"/>
        <w:ind w:left="0" w:firstLine="720"/>
        <w:rPr>
          <w:kern w:val="22"/>
          <w:szCs w:val="22"/>
        </w:rPr>
      </w:pPr>
      <w:r w:rsidRPr="004F3BF9">
        <w:rPr>
          <w:kern w:val="22"/>
          <w:szCs w:val="22"/>
        </w:rPr>
        <w:t>Armenia, Mozambique and the United Republic of Tanzania have set actions to develop tools, methods or methodologies for the valuation of biodiversity and ecosystem services;</w:t>
      </w:r>
    </w:p>
    <w:p w:rsidR="00EC1942" w:rsidRPr="004F3BF9" w:rsidRDefault="00EC1942" w:rsidP="00232464">
      <w:pPr>
        <w:pStyle w:val="Para1"/>
        <w:numPr>
          <w:ilvl w:val="1"/>
          <w:numId w:val="11"/>
        </w:numPr>
        <w:suppressLineNumbers/>
        <w:suppressAutoHyphens/>
        <w:kinsoku w:val="0"/>
        <w:overflowPunct w:val="0"/>
        <w:autoSpaceDE w:val="0"/>
        <w:autoSpaceDN w:val="0"/>
        <w:adjustRightInd w:val="0"/>
        <w:snapToGrid w:val="0"/>
        <w:ind w:left="0" w:firstLine="720"/>
        <w:rPr>
          <w:bCs/>
          <w:kern w:val="22"/>
          <w:szCs w:val="22"/>
        </w:rPr>
      </w:pPr>
      <w:r w:rsidRPr="004F3BF9">
        <w:rPr>
          <w:kern w:val="22"/>
          <w:szCs w:val="22"/>
        </w:rPr>
        <w:t>Morocco has programmes that are currently being elaborated to value the camel breeding sector which constitutes a major source of prestige and income for the people of southern Morocco.</w:t>
      </w:r>
    </w:p>
    <w:p w:rsidR="00EC1942" w:rsidRPr="004F3BF9" w:rsidRDefault="00EC1942" w:rsidP="00232464">
      <w:pPr>
        <w:keepNext/>
        <w:suppressLineNumbers/>
        <w:suppressAutoHyphens/>
        <w:kinsoku w:val="0"/>
        <w:overflowPunct w:val="0"/>
        <w:autoSpaceDE w:val="0"/>
        <w:autoSpaceDN w:val="0"/>
        <w:adjustRightInd w:val="0"/>
        <w:snapToGrid w:val="0"/>
        <w:spacing w:before="120" w:after="120"/>
        <w:ind w:left="2160" w:firstLine="720"/>
        <w:rPr>
          <w:bCs/>
          <w:i/>
          <w:iCs/>
          <w:snapToGrid w:val="0"/>
          <w:kern w:val="22"/>
          <w:szCs w:val="22"/>
        </w:rPr>
      </w:pPr>
      <w:r w:rsidRPr="004F3BF9">
        <w:rPr>
          <w:bCs/>
          <w:snapToGrid w:val="0"/>
          <w:kern w:val="22"/>
          <w:szCs w:val="22"/>
        </w:rPr>
        <w:lastRenderedPageBreak/>
        <w:t>2.</w:t>
      </w:r>
      <w:r w:rsidRPr="004F3BF9">
        <w:rPr>
          <w:bCs/>
          <w:snapToGrid w:val="0"/>
          <w:kern w:val="22"/>
          <w:szCs w:val="22"/>
        </w:rPr>
        <w:tab/>
      </w:r>
      <w:r w:rsidRPr="004F3BF9">
        <w:rPr>
          <w:bCs/>
          <w:i/>
          <w:iCs/>
          <w:snapToGrid w:val="0"/>
          <w:kern w:val="22"/>
          <w:szCs w:val="22"/>
        </w:rPr>
        <w:t>National development plans</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A total of </w:t>
      </w:r>
      <w:r w:rsidR="00FD164D" w:rsidRPr="004F3BF9">
        <w:rPr>
          <w:snapToGrid w:val="0"/>
          <w:kern w:val="22"/>
          <w:szCs w:val="22"/>
        </w:rPr>
        <w:t xml:space="preserve">32 </w:t>
      </w:r>
      <w:r w:rsidRPr="004F3BF9">
        <w:rPr>
          <w:snapToGrid w:val="0"/>
          <w:kern w:val="22"/>
          <w:szCs w:val="22"/>
        </w:rPr>
        <w:t>Parties</w:t>
      </w:r>
      <w:r w:rsidRPr="004F3BF9">
        <w:rPr>
          <w:snapToGrid w:val="0"/>
          <w:kern w:val="22"/>
          <w:szCs w:val="22"/>
          <w:vertAlign w:val="superscript"/>
        </w:rPr>
        <w:footnoteReference w:id="43"/>
      </w:r>
      <w:r w:rsidRPr="004F3BF9">
        <w:rPr>
          <w:snapToGrid w:val="0"/>
          <w:kern w:val="22"/>
          <w:szCs w:val="22"/>
          <w:vertAlign w:val="superscript"/>
        </w:rPr>
        <w:t xml:space="preserve"> </w:t>
      </w:r>
      <w:r w:rsidRPr="004F3BF9">
        <w:rPr>
          <w:snapToGrid w:val="0"/>
          <w:kern w:val="22"/>
          <w:szCs w:val="22"/>
        </w:rPr>
        <w:t>state that biodiversity has been integrated into their national development plan or equivalent instrument:</w:t>
      </w:r>
    </w:p>
    <w:p w:rsidR="00EC1942" w:rsidRPr="004F3BF9" w:rsidRDefault="00782CCA" w:rsidP="00232464">
      <w:pPr>
        <w:pStyle w:val="Para1"/>
        <w:numPr>
          <w:ilvl w:val="1"/>
          <w:numId w:val="12"/>
        </w:numPr>
        <w:suppressLineNumbers/>
        <w:suppressAutoHyphens/>
        <w:kinsoku w:val="0"/>
        <w:overflowPunct w:val="0"/>
        <w:autoSpaceDE w:val="0"/>
        <w:autoSpaceDN w:val="0"/>
        <w:adjustRightInd w:val="0"/>
        <w:snapToGrid w:val="0"/>
        <w:ind w:left="0" w:firstLine="720"/>
        <w:rPr>
          <w:kern w:val="22"/>
          <w:szCs w:val="22"/>
        </w:rPr>
      </w:pPr>
      <w:r w:rsidRPr="004F3BF9">
        <w:rPr>
          <w:kern w:val="22"/>
          <w:szCs w:val="22"/>
        </w:rPr>
        <w:t>The</w:t>
      </w:r>
      <w:r w:rsidR="00EC1942" w:rsidRPr="004F3BF9">
        <w:rPr>
          <w:kern w:val="22"/>
          <w:szCs w:val="22"/>
        </w:rPr>
        <w:t xml:space="preserve"> NBSAP </w:t>
      </w:r>
      <w:r w:rsidRPr="004F3BF9">
        <w:rPr>
          <w:kern w:val="22"/>
          <w:szCs w:val="22"/>
        </w:rPr>
        <w:t xml:space="preserve">of Algeria is </w:t>
      </w:r>
      <w:r w:rsidR="00EC1942" w:rsidRPr="004F3BF9">
        <w:rPr>
          <w:kern w:val="22"/>
          <w:szCs w:val="22"/>
        </w:rPr>
        <w:t>integrated with the country</w:t>
      </w:r>
      <w:r w:rsidR="001340BA" w:rsidRPr="004F3BF9">
        <w:rPr>
          <w:kern w:val="22"/>
          <w:szCs w:val="22"/>
        </w:rPr>
        <w:t>’</w:t>
      </w:r>
      <w:r w:rsidR="00EC1942" w:rsidRPr="004F3BF9">
        <w:rPr>
          <w:kern w:val="22"/>
          <w:szCs w:val="22"/>
        </w:rPr>
        <w:t>s “</w:t>
      </w:r>
      <w:hyperlink r:id="rId29" w:history="1">
        <w:r w:rsidR="00EC1942" w:rsidRPr="004F3BF9">
          <w:rPr>
            <w:rStyle w:val="Hyperlink"/>
            <w:iCs/>
            <w:kern w:val="22"/>
            <w:szCs w:val="22"/>
            <w:lang w:val="fr-FR"/>
          </w:rPr>
          <w:t>Schéma National d</w:t>
        </w:r>
        <w:r w:rsidR="001340BA" w:rsidRPr="004F3BF9">
          <w:rPr>
            <w:rStyle w:val="Hyperlink"/>
            <w:iCs/>
            <w:kern w:val="22"/>
            <w:szCs w:val="22"/>
            <w:lang w:val="fr-FR"/>
          </w:rPr>
          <w:t>’</w:t>
        </w:r>
        <w:r w:rsidR="00EC1942" w:rsidRPr="004F3BF9">
          <w:rPr>
            <w:rStyle w:val="Hyperlink"/>
            <w:iCs/>
            <w:kern w:val="22"/>
            <w:szCs w:val="22"/>
            <w:lang w:val="fr-FR"/>
          </w:rPr>
          <w:t>Aménagement du Territoire</w:t>
        </w:r>
        <w:r w:rsidR="00F458E9" w:rsidRPr="004F3BF9">
          <w:rPr>
            <w:rStyle w:val="Hyperlink"/>
            <w:iCs/>
            <w:kern w:val="22"/>
            <w:szCs w:val="22"/>
            <w:lang w:val="fr-FR"/>
          </w:rPr>
          <w:t xml:space="preserve"> </w:t>
        </w:r>
        <w:r w:rsidR="00845E61" w:rsidRPr="004F3BF9">
          <w:rPr>
            <w:rStyle w:val="Hyperlink"/>
            <w:iCs/>
            <w:kern w:val="22"/>
            <w:szCs w:val="22"/>
            <w:lang w:val="fr-FR"/>
          </w:rPr>
          <w:t>Algérie</w:t>
        </w:r>
      </w:hyperlink>
      <w:r w:rsidR="00EC1942" w:rsidRPr="004F3BF9">
        <w:rPr>
          <w:kern w:val="22"/>
          <w:szCs w:val="22"/>
        </w:rPr>
        <w:t>” (</w:t>
      </w:r>
      <w:r w:rsidR="004B6E33" w:rsidRPr="004F3BF9">
        <w:rPr>
          <w:kern w:val="22"/>
          <w:szCs w:val="22"/>
        </w:rPr>
        <w:t>n</w:t>
      </w:r>
      <w:r w:rsidR="00EC1942" w:rsidRPr="004F3BF9">
        <w:rPr>
          <w:kern w:val="22"/>
          <w:szCs w:val="22"/>
        </w:rPr>
        <w:t xml:space="preserve">ational </w:t>
      </w:r>
      <w:r w:rsidR="004B6E33" w:rsidRPr="004F3BF9">
        <w:rPr>
          <w:kern w:val="22"/>
          <w:szCs w:val="22"/>
        </w:rPr>
        <w:t>s</w:t>
      </w:r>
      <w:r w:rsidR="00EC1942" w:rsidRPr="004F3BF9">
        <w:rPr>
          <w:kern w:val="22"/>
          <w:szCs w:val="22"/>
        </w:rPr>
        <w:t xml:space="preserve">patial </w:t>
      </w:r>
      <w:r w:rsidR="004B6E33" w:rsidRPr="004F3BF9">
        <w:rPr>
          <w:kern w:val="22"/>
          <w:szCs w:val="22"/>
        </w:rPr>
        <w:t>p</w:t>
      </w:r>
      <w:r w:rsidR="00EC1942" w:rsidRPr="004F3BF9">
        <w:rPr>
          <w:kern w:val="22"/>
          <w:szCs w:val="22"/>
        </w:rPr>
        <w:t xml:space="preserve">lanning </w:t>
      </w:r>
      <w:r w:rsidR="004B6E33" w:rsidRPr="004F3BF9">
        <w:rPr>
          <w:kern w:val="22"/>
          <w:szCs w:val="22"/>
        </w:rPr>
        <w:t>s</w:t>
      </w:r>
      <w:r w:rsidR="00EC1942" w:rsidRPr="004F3BF9">
        <w:rPr>
          <w:kern w:val="22"/>
          <w:szCs w:val="22"/>
        </w:rPr>
        <w:t xml:space="preserve">cheme), which is </w:t>
      </w:r>
      <w:r w:rsidR="003822C0" w:rsidRPr="004F3BF9">
        <w:rPr>
          <w:kern w:val="22"/>
          <w:szCs w:val="22"/>
        </w:rPr>
        <w:t>the</w:t>
      </w:r>
      <w:r w:rsidR="00F458E9" w:rsidRPr="004F3BF9">
        <w:rPr>
          <w:kern w:val="22"/>
          <w:szCs w:val="22"/>
        </w:rPr>
        <w:t xml:space="preserve"> Government’s</w:t>
      </w:r>
      <w:r w:rsidR="00EC1942" w:rsidRPr="004F3BF9">
        <w:rPr>
          <w:kern w:val="22"/>
          <w:szCs w:val="22"/>
        </w:rPr>
        <w:t xml:space="preserve"> strategic planning tool for land</w:t>
      </w:r>
      <w:r w:rsidR="00F458E9" w:rsidRPr="004F3BF9">
        <w:rPr>
          <w:kern w:val="22"/>
          <w:szCs w:val="22"/>
        </w:rPr>
        <w:t xml:space="preserve"> </w:t>
      </w:r>
      <w:r w:rsidR="00EC1942" w:rsidRPr="004F3BF9">
        <w:rPr>
          <w:kern w:val="22"/>
          <w:szCs w:val="22"/>
        </w:rPr>
        <w:t>use and sustainable development;</w:t>
      </w:r>
    </w:p>
    <w:p w:rsidR="00EC1942" w:rsidRPr="004F3BF9" w:rsidRDefault="00EC1942"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rPr>
      </w:pPr>
      <w:r w:rsidRPr="004F3BF9">
        <w:rPr>
          <w:kern w:val="22"/>
          <w:szCs w:val="22"/>
        </w:rPr>
        <w:t xml:space="preserve">Biodiversity figures prominently in the </w:t>
      </w:r>
      <w:hyperlink r:id="rId30" w:history="1">
        <w:r w:rsidRPr="004F3BF9">
          <w:rPr>
            <w:rStyle w:val="Hyperlink"/>
            <w:kern w:val="22"/>
            <w:szCs w:val="22"/>
          </w:rPr>
          <w:t>eleventh Five Year Plan of Bhutan (2013-2018)</w:t>
        </w:r>
      </w:hyperlink>
      <w:r w:rsidRPr="004F3BF9">
        <w:rPr>
          <w:kern w:val="22"/>
          <w:szCs w:val="22"/>
        </w:rPr>
        <w:t>;</w:t>
      </w:r>
    </w:p>
    <w:p w:rsidR="00EC1942" w:rsidRPr="004F3BF9" w:rsidRDefault="00EC1942"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rPr>
      </w:pPr>
      <w:r w:rsidRPr="004F3BF9">
        <w:rPr>
          <w:kern w:val="22"/>
          <w:szCs w:val="22"/>
        </w:rPr>
        <w:t xml:space="preserve">The NBSAP revision process of Ecuador </w:t>
      </w:r>
      <w:r w:rsidR="00250D5A" w:rsidRPr="004F3BF9">
        <w:rPr>
          <w:kern w:val="22"/>
          <w:szCs w:val="22"/>
        </w:rPr>
        <w:t>took place</w:t>
      </w:r>
      <w:r w:rsidRPr="004F3BF9">
        <w:rPr>
          <w:kern w:val="22"/>
          <w:szCs w:val="22"/>
        </w:rPr>
        <w:t xml:space="preserve"> concurrently with the preparation of the </w:t>
      </w:r>
      <w:hyperlink r:id="rId31" w:history="1">
        <w:r w:rsidRPr="004F3BF9">
          <w:rPr>
            <w:rStyle w:val="Hyperlink"/>
            <w:iCs/>
            <w:kern w:val="22"/>
            <w:szCs w:val="22"/>
          </w:rPr>
          <w:t>“</w:t>
        </w:r>
        <w:r w:rsidRPr="004F3BF9">
          <w:rPr>
            <w:rStyle w:val="Hyperlink"/>
            <w:iCs/>
            <w:kern w:val="22"/>
            <w:szCs w:val="22"/>
            <w:lang w:val="es-ES_tradnl"/>
          </w:rPr>
          <w:t>Plan Nacional para el Buen Vivir 2013-2017</w:t>
        </w:r>
        <w:r w:rsidRPr="004F3BF9">
          <w:rPr>
            <w:rStyle w:val="Hyperlink"/>
            <w:iCs/>
            <w:kern w:val="22"/>
            <w:szCs w:val="22"/>
          </w:rPr>
          <w:t>”</w:t>
        </w:r>
      </w:hyperlink>
      <w:r w:rsidRPr="004F3BF9">
        <w:rPr>
          <w:kern w:val="22"/>
          <w:szCs w:val="22"/>
        </w:rPr>
        <w:t xml:space="preserve"> (</w:t>
      </w:r>
      <w:r w:rsidR="00D20D8B" w:rsidRPr="004F3BF9">
        <w:rPr>
          <w:kern w:val="22"/>
          <w:szCs w:val="22"/>
        </w:rPr>
        <w:t>n</w:t>
      </w:r>
      <w:r w:rsidRPr="004F3BF9">
        <w:rPr>
          <w:kern w:val="22"/>
          <w:szCs w:val="22"/>
        </w:rPr>
        <w:t xml:space="preserve">ational </w:t>
      </w:r>
      <w:r w:rsidR="00D20D8B" w:rsidRPr="004F3BF9">
        <w:rPr>
          <w:kern w:val="22"/>
          <w:szCs w:val="22"/>
        </w:rPr>
        <w:t>d</w:t>
      </w:r>
      <w:r w:rsidRPr="004F3BF9">
        <w:rPr>
          <w:kern w:val="22"/>
          <w:szCs w:val="22"/>
        </w:rPr>
        <w:t xml:space="preserve">evelopment </w:t>
      </w:r>
      <w:r w:rsidR="00D20D8B" w:rsidRPr="004F3BF9">
        <w:rPr>
          <w:kern w:val="22"/>
          <w:szCs w:val="22"/>
        </w:rPr>
        <w:t>p</w:t>
      </w:r>
      <w:r w:rsidRPr="004F3BF9">
        <w:rPr>
          <w:kern w:val="22"/>
          <w:szCs w:val="22"/>
        </w:rPr>
        <w:t>lan). Several national policies that are part of Objective 7</w:t>
      </w:r>
      <w:r w:rsidRPr="004F3BF9">
        <w:rPr>
          <w:rStyle w:val="FootnoteReference"/>
          <w:kern w:val="22"/>
          <w:sz w:val="22"/>
          <w:szCs w:val="22"/>
          <w:u w:val="none"/>
          <w:vertAlign w:val="superscript"/>
        </w:rPr>
        <w:footnoteReference w:id="44"/>
      </w:r>
      <w:r w:rsidRPr="004F3BF9">
        <w:rPr>
          <w:kern w:val="22"/>
          <w:szCs w:val="22"/>
        </w:rPr>
        <w:t xml:space="preserve"> are directly related to biodiversity;</w:t>
      </w:r>
    </w:p>
    <w:p w:rsidR="00EC1942" w:rsidRPr="004F3BF9" w:rsidRDefault="00EC1942"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rPr>
      </w:pPr>
      <w:r w:rsidRPr="004F3BF9">
        <w:rPr>
          <w:kern w:val="22"/>
          <w:szCs w:val="22"/>
          <w:lang w:eastAsia="en-CA"/>
        </w:rPr>
        <w:t xml:space="preserve">Biodiversity is considered in </w:t>
      </w:r>
      <w:r w:rsidR="003822C0" w:rsidRPr="004F3BF9">
        <w:rPr>
          <w:kern w:val="22"/>
          <w:szCs w:val="22"/>
          <w:lang w:eastAsia="en-CA"/>
        </w:rPr>
        <w:t xml:space="preserve">the </w:t>
      </w:r>
      <w:hyperlink r:id="rId32" w:history="1">
        <w:r w:rsidRPr="004F3BF9">
          <w:rPr>
            <w:rStyle w:val="Hyperlink"/>
            <w:kern w:val="22"/>
            <w:szCs w:val="22"/>
            <w:lang w:eastAsia="en-CA"/>
          </w:rPr>
          <w:t xml:space="preserve">National Development Plan </w:t>
        </w:r>
        <w:r w:rsidR="003822C0" w:rsidRPr="004F3BF9">
          <w:rPr>
            <w:rStyle w:val="Hyperlink"/>
            <w:kern w:val="22"/>
            <w:szCs w:val="22"/>
            <w:lang w:eastAsia="en-CA"/>
          </w:rPr>
          <w:t>of Mexico</w:t>
        </w:r>
      </w:hyperlink>
      <w:r w:rsidRPr="004F3BF9">
        <w:rPr>
          <w:kern w:val="22"/>
          <w:szCs w:val="22"/>
          <w:lang w:eastAsia="en-CA"/>
        </w:rPr>
        <w:t xml:space="preserve">. Policies and tools on conservation and sustainable use of biodiversity in the NBSAP are directly related to the actions in the </w:t>
      </w:r>
      <w:r w:rsidR="00EA505C" w:rsidRPr="004F3BF9">
        <w:rPr>
          <w:kern w:val="22"/>
          <w:szCs w:val="22"/>
          <w:lang w:eastAsia="en-CA"/>
        </w:rPr>
        <w:t>National Development Plan</w:t>
      </w:r>
      <w:r w:rsidRPr="004F3BF9">
        <w:rPr>
          <w:kern w:val="22"/>
          <w:szCs w:val="22"/>
          <w:lang w:eastAsia="en-CA"/>
        </w:rPr>
        <w:t xml:space="preserve">. The </w:t>
      </w:r>
      <w:r w:rsidR="00EA505C" w:rsidRPr="004F3BF9">
        <w:rPr>
          <w:kern w:val="22"/>
          <w:szCs w:val="22"/>
          <w:lang w:eastAsia="en-CA"/>
        </w:rPr>
        <w:t>Plan</w:t>
      </w:r>
      <w:r w:rsidRPr="004F3BF9">
        <w:rPr>
          <w:kern w:val="22"/>
          <w:szCs w:val="22"/>
          <w:lang w:eastAsia="en-CA"/>
        </w:rPr>
        <w:t xml:space="preserve"> also considers mainstreaming biodiversity in </w:t>
      </w:r>
      <w:r w:rsidR="00EA505C" w:rsidRPr="004F3BF9">
        <w:rPr>
          <w:kern w:val="22"/>
          <w:szCs w:val="22"/>
          <w:lang w:eastAsia="en-CA"/>
        </w:rPr>
        <w:t xml:space="preserve">the </w:t>
      </w:r>
      <w:r w:rsidRPr="004F3BF9">
        <w:rPr>
          <w:kern w:val="22"/>
          <w:szCs w:val="22"/>
          <w:lang w:eastAsia="en-CA"/>
        </w:rPr>
        <w:t>agriculture, fisheries and tourism sectors</w:t>
      </w:r>
      <w:r w:rsidR="002629F8" w:rsidRPr="004F3BF9">
        <w:rPr>
          <w:kern w:val="22"/>
          <w:szCs w:val="22"/>
          <w:lang w:eastAsia="en-CA"/>
        </w:rPr>
        <w:t>;</w:t>
      </w:r>
    </w:p>
    <w:p w:rsidR="00EC1942" w:rsidRPr="004F3BF9" w:rsidRDefault="00EC1942"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rPr>
      </w:pPr>
      <w:r w:rsidRPr="004F3BF9">
        <w:rPr>
          <w:kern w:val="22"/>
          <w:szCs w:val="22"/>
        </w:rPr>
        <w:t>The “</w:t>
      </w:r>
      <w:hyperlink r:id="rId33" w:history="1">
        <w:r w:rsidRPr="004F3BF9">
          <w:rPr>
            <w:rStyle w:val="Hyperlink"/>
            <w:kern w:val="22"/>
            <w:szCs w:val="22"/>
            <w:lang w:val="fr-FR"/>
          </w:rPr>
          <w:t>Plan de développement économique et social</w:t>
        </w:r>
      </w:hyperlink>
      <w:r w:rsidR="00FB25B5" w:rsidRPr="004F3BF9">
        <w:rPr>
          <w:kern w:val="22"/>
          <w:szCs w:val="22"/>
        </w:rPr>
        <w:t>”</w:t>
      </w:r>
      <w:r w:rsidRPr="004F3BF9">
        <w:rPr>
          <w:kern w:val="22"/>
          <w:szCs w:val="22"/>
        </w:rPr>
        <w:t xml:space="preserve"> of Niger takes biodiversity into consideration in two of its axes: one on balanced and sustainable development and another on sustainable food security and agricultural development;</w:t>
      </w:r>
    </w:p>
    <w:p w:rsidR="00EC1942" w:rsidRPr="004F3BF9" w:rsidRDefault="00EC1942"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rPr>
      </w:pPr>
      <w:r w:rsidRPr="004F3BF9">
        <w:rPr>
          <w:kern w:val="22"/>
          <w:szCs w:val="22"/>
        </w:rPr>
        <w:t>The “</w:t>
      </w:r>
      <w:hyperlink r:id="rId34" w:history="1">
        <w:r w:rsidRPr="004F3BF9">
          <w:rPr>
            <w:rStyle w:val="Hyperlink"/>
            <w:kern w:val="22"/>
            <w:szCs w:val="22"/>
            <w:lang w:val="es-ES_tradnl"/>
          </w:rPr>
          <w:t>Plan Bicentenario</w:t>
        </w:r>
      </w:hyperlink>
      <w:r w:rsidRPr="004F3BF9">
        <w:rPr>
          <w:kern w:val="22"/>
          <w:szCs w:val="22"/>
        </w:rPr>
        <w:t>” of Peru</w:t>
      </w:r>
      <w:r w:rsidR="0085384F" w:rsidRPr="004F3BF9">
        <w:rPr>
          <w:kern w:val="22"/>
          <w:szCs w:val="22"/>
        </w:rPr>
        <w:t>, entitled</w:t>
      </w:r>
      <w:r w:rsidRPr="004F3BF9">
        <w:rPr>
          <w:kern w:val="22"/>
          <w:szCs w:val="22"/>
        </w:rPr>
        <w:t xml:space="preserve"> “</w:t>
      </w:r>
      <w:r w:rsidRPr="004F3BF9">
        <w:rPr>
          <w:kern w:val="22"/>
          <w:szCs w:val="22"/>
          <w:lang w:val="es-ES_tradnl"/>
        </w:rPr>
        <w:t>El Perú hacia el 2021</w:t>
      </w:r>
      <w:r w:rsidRPr="004F3BF9">
        <w:rPr>
          <w:kern w:val="22"/>
          <w:szCs w:val="22"/>
        </w:rPr>
        <w:t>”</w:t>
      </w:r>
      <w:r w:rsidR="0085384F" w:rsidRPr="004F3BF9">
        <w:rPr>
          <w:kern w:val="22"/>
          <w:szCs w:val="22"/>
        </w:rPr>
        <w:t>,</w:t>
      </w:r>
      <w:r w:rsidRPr="004F3BF9">
        <w:rPr>
          <w:kern w:val="22"/>
          <w:szCs w:val="22"/>
        </w:rPr>
        <w:t xml:space="preserve"> recognizes and positions biodiversity conservation as a national objective;</w:t>
      </w:r>
    </w:p>
    <w:p w:rsidR="00FD164D" w:rsidRPr="004F3BF9" w:rsidRDefault="00FD164D"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rPr>
      </w:pPr>
      <w:r w:rsidRPr="004F3BF9">
        <w:rPr>
          <w:noProof/>
          <w:kern w:val="22"/>
          <w:szCs w:val="22"/>
        </w:rPr>
        <w:t>Saint Vincent and the Grenadines</w:t>
      </w:r>
      <w:r w:rsidR="00FE560B" w:rsidRPr="004F3BF9">
        <w:rPr>
          <w:noProof/>
          <w:kern w:val="22"/>
          <w:szCs w:val="22"/>
        </w:rPr>
        <w:t xml:space="preserve">’ NBSAP </w:t>
      </w:r>
      <w:r w:rsidR="00882B53" w:rsidRPr="004F3BF9">
        <w:rPr>
          <w:szCs w:val="22"/>
        </w:rPr>
        <w:t>shows linkages between its National Targets and the National Economic and Social Development Plan (NESDP) (2013-2025) goals; it also includes specific actions that need to be taken to a</w:t>
      </w:r>
      <w:r w:rsidR="000C74D9" w:rsidRPr="004F3BF9">
        <w:rPr>
          <w:szCs w:val="22"/>
        </w:rPr>
        <w:t>c</w:t>
      </w:r>
      <w:r w:rsidR="00882B53" w:rsidRPr="004F3BF9">
        <w:rPr>
          <w:szCs w:val="22"/>
        </w:rPr>
        <w:t>hieve the NBSAP targets and the NESDP goals</w:t>
      </w:r>
      <w:r w:rsidR="00FE560B" w:rsidRPr="004F3BF9">
        <w:rPr>
          <w:noProof/>
          <w:kern w:val="22"/>
          <w:szCs w:val="22"/>
        </w:rPr>
        <w:t>;</w:t>
      </w:r>
    </w:p>
    <w:p w:rsidR="00EC1942" w:rsidRPr="004F3BF9" w:rsidRDefault="00EC1942"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rPr>
      </w:pPr>
      <w:r w:rsidRPr="004F3BF9">
        <w:rPr>
          <w:noProof/>
          <w:kern w:val="22"/>
          <w:szCs w:val="22"/>
        </w:rPr>
        <w:t xml:space="preserve">The </w:t>
      </w:r>
      <w:hyperlink r:id="rId35" w:history="1">
        <w:r w:rsidRPr="004F3BF9">
          <w:rPr>
            <w:rStyle w:val="Hyperlink"/>
            <w:noProof/>
            <w:kern w:val="22"/>
            <w:szCs w:val="22"/>
          </w:rPr>
          <w:t>Timor-Leste</w:t>
        </w:r>
        <w:r w:rsidR="00D9689B" w:rsidRPr="004F3BF9">
          <w:rPr>
            <w:rStyle w:val="Hyperlink"/>
            <w:kern w:val="22"/>
            <w:szCs w:val="22"/>
          </w:rPr>
          <w:t xml:space="preserve"> Strategic Development Plan</w:t>
        </w:r>
      </w:hyperlink>
      <w:r w:rsidRPr="004F3BF9">
        <w:rPr>
          <w:kern w:val="22"/>
          <w:szCs w:val="22"/>
        </w:rPr>
        <w:t xml:space="preserve"> commits to meeting several of the Aichi Biodiversity Targets</w:t>
      </w:r>
      <w:r w:rsidR="00240F94" w:rsidRPr="004F3BF9">
        <w:rPr>
          <w:kern w:val="22"/>
          <w:szCs w:val="22"/>
        </w:rPr>
        <w:t>.</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The NBSAPs of </w:t>
      </w:r>
      <w:r w:rsidR="00FD164D" w:rsidRPr="004F3BF9">
        <w:rPr>
          <w:snapToGrid w:val="0"/>
          <w:kern w:val="22"/>
          <w:szCs w:val="22"/>
        </w:rPr>
        <w:t xml:space="preserve">33 </w:t>
      </w:r>
      <w:r w:rsidRPr="004F3BF9">
        <w:rPr>
          <w:snapToGrid w:val="0"/>
          <w:kern w:val="22"/>
          <w:szCs w:val="22"/>
        </w:rPr>
        <w:t>other Parties</w:t>
      </w:r>
      <w:r w:rsidRPr="004F3BF9">
        <w:rPr>
          <w:snapToGrid w:val="0"/>
          <w:kern w:val="22"/>
          <w:szCs w:val="22"/>
          <w:vertAlign w:val="superscript"/>
        </w:rPr>
        <w:footnoteReference w:id="45"/>
      </w:r>
      <w:r w:rsidRPr="004F3BF9">
        <w:rPr>
          <w:snapToGrid w:val="0"/>
          <w:kern w:val="22"/>
          <w:szCs w:val="22"/>
        </w:rPr>
        <w:t xml:space="preserve"> contain elements and/or targets and actions which aim at mainstreaming with the national development plan or equivalent instrument. For example</w:t>
      </w:r>
      <w:r w:rsidR="00AD3B1D" w:rsidRPr="004F3BF9">
        <w:rPr>
          <w:snapToGrid w:val="0"/>
          <w:kern w:val="22"/>
          <w:szCs w:val="22"/>
        </w:rPr>
        <w:t xml:space="preserve">, </w:t>
      </w:r>
      <w:r w:rsidRPr="004F3BF9">
        <w:rPr>
          <w:snapToGrid w:val="0"/>
          <w:kern w:val="22"/>
          <w:szCs w:val="22"/>
        </w:rPr>
        <w:t>Mauritius completed a biodiversity mainstreaming assessment for key industries and themes during the preparation of the NBSAP and is planning an assessment of potential pathways, barriers and opportunities to mainstream biodiversity in public policy and decision</w:t>
      </w:r>
      <w:r w:rsidR="00FB25B5" w:rsidRPr="004F3BF9">
        <w:rPr>
          <w:snapToGrid w:val="0"/>
          <w:kern w:val="22"/>
          <w:szCs w:val="22"/>
        </w:rPr>
        <w:t>-</w:t>
      </w:r>
      <w:r w:rsidRPr="004F3BF9">
        <w:rPr>
          <w:snapToGrid w:val="0"/>
          <w:kern w:val="22"/>
          <w:szCs w:val="22"/>
        </w:rPr>
        <w:t>making.</w:t>
      </w:r>
    </w:p>
    <w:p w:rsidR="00EC1942" w:rsidRPr="004F3BF9" w:rsidRDefault="00EC1942" w:rsidP="00232464">
      <w:pPr>
        <w:pStyle w:val="Para1"/>
        <w:numPr>
          <w:ilvl w:val="0"/>
          <w:numId w:val="0"/>
        </w:numPr>
        <w:suppressLineNumbers/>
        <w:suppressAutoHyphens/>
        <w:kinsoku w:val="0"/>
        <w:overflowPunct w:val="0"/>
        <w:autoSpaceDE w:val="0"/>
        <w:autoSpaceDN w:val="0"/>
        <w:adjustRightInd w:val="0"/>
        <w:snapToGrid w:val="0"/>
        <w:jc w:val="center"/>
        <w:rPr>
          <w:bCs/>
          <w:i/>
          <w:iCs/>
          <w:kern w:val="22"/>
          <w:szCs w:val="22"/>
        </w:rPr>
      </w:pPr>
      <w:r w:rsidRPr="004F3BF9">
        <w:rPr>
          <w:bCs/>
          <w:kern w:val="22"/>
          <w:szCs w:val="22"/>
        </w:rPr>
        <w:t>3.</w:t>
      </w:r>
      <w:r w:rsidRPr="004F3BF9">
        <w:rPr>
          <w:bCs/>
          <w:kern w:val="22"/>
          <w:szCs w:val="22"/>
        </w:rPr>
        <w:tab/>
      </w:r>
      <w:r w:rsidRPr="004F3BF9">
        <w:rPr>
          <w:bCs/>
          <w:i/>
          <w:iCs/>
          <w:kern w:val="22"/>
          <w:szCs w:val="22"/>
        </w:rPr>
        <w:t>Sustainable development plans</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Of the </w:t>
      </w:r>
      <w:r w:rsidR="00FD164D" w:rsidRPr="004F3BF9">
        <w:rPr>
          <w:snapToGrid w:val="0"/>
          <w:kern w:val="22"/>
          <w:szCs w:val="22"/>
        </w:rPr>
        <w:t xml:space="preserve">159 </w:t>
      </w:r>
      <w:r w:rsidRPr="004F3BF9">
        <w:rPr>
          <w:snapToGrid w:val="0"/>
          <w:kern w:val="22"/>
          <w:szCs w:val="22"/>
        </w:rPr>
        <w:t xml:space="preserve">NBSAPs reviewed, </w:t>
      </w:r>
      <w:r w:rsidR="00FD164D" w:rsidRPr="004F3BF9">
        <w:rPr>
          <w:snapToGrid w:val="0"/>
          <w:kern w:val="22"/>
          <w:szCs w:val="22"/>
        </w:rPr>
        <w:t xml:space="preserve">21 </w:t>
      </w:r>
      <w:r w:rsidRPr="004F3BF9">
        <w:rPr>
          <w:snapToGrid w:val="0"/>
          <w:kern w:val="22"/>
          <w:szCs w:val="22"/>
        </w:rPr>
        <w:t>Parties</w:t>
      </w:r>
      <w:r w:rsidRPr="004F3BF9">
        <w:rPr>
          <w:snapToGrid w:val="0"/>
          <w:kern w:val="22"/>
          <w:szCs w:val="22"/>
          <w:vertAlign w:val="superscript"/>
        </w:rPr>
        <w:footnoteReference w:id="46"/>
      </w:r>
      <w:r w:rsidRPr="004F3BF9">
        <w:rPr>
          <w:snapToGrid w:val="0"/>
          <w:kern w:val="22"/>
          <w:szCs w:val="22"/>
        </w:rPr>
        <w:t xml:space="preserve"> mention an integration of their NBSAP with their sustainable development plans or equivalent instruments. For example:</w:t>
      </w:r>
    </w:p>
    <w:p w:rsidR="00E57A10" w:rsidRPr="004F3BF9" w:rsidRDefault="00EC1942" w:rsidP="00232464">
      <w:pPr>
        <w:pStyle w:val="TOC9"/>
        <w:numPr>
          <w:ilvl w:val="0"/>
          <w:numId w:val="17"/>
        </w:numPr>
        <w:suppressLineNumbers/>
        <w:tabs>
          <w:tab w:val="left" w:pos="1440"/>
        </w:tabs>
        <w:suppressAutoHyphens/>
        <w:kinsoku w:val="0"/>
        <w:overflowPunct w:val="0"/>
        <w:autoSpaceDE w:val="0"/>
        <w:autoSpaceDN w:val="0"/>
        <w:adjustRightInd w:val="0"/>
        <w:snapToGrid w:val="0"/>
        <w:ind w:left="0" w:firstLine="900"/>
        <w:jc w:val="both"/>
        <w:rPr>
          <w:snapToGrid w:val="0"/>
          <w:kern w:val="22"/>
          <w:szCs w:val="22"/>
        </w:rPr>
      </w:pPr>
      <w:r w:rsidRPr="004F3BF9">
        <w:rPr>
          <w:snapToGrid w:val="0"/>
          <w:kern w:val="22"/>
          <w:szCs w:val="22"/>
        </w:rPr>
        <w:t>The Second Federal Plan for Sustainable Development of Belgium contains actions devoted to biodiversity, forests and marine waters</w:t>
      </w:r>
      <w:r w:rsidR="00E57A10" w:rsidRPr="004F3BF9">
        <w:rPr>
          <w:snapToGrid w:val="0"/>
          <w:kern w:val="22"/>
          <w:szCs w:val="22"/>
        </w:rPr>
        <w:t>;</w:t>
      </w:r>
    </w:p>
    <w:p w:rsidR="00EC1942" w:rsidRPr="004F3BF9" w:rsidRDefault="006E7B3F" w:rsidP="00232464">
      <w:pPr>
        <w:pStyle w:val="TOC9"/>
        <w:numPr>
          <w:ilvl w:val="0"/>
          <w:numId w:val="17"/>
        </w:numPr>
        <w:suppressLineNumbers/>
        <w:tabs>
          <w:tab w:val="left" w:pos="1440"/>
        </w:tabs>
        <w:suppressAutoHyphens/>
        <w:kinsoku w:val="0"/>
        <w:overflowPunct w:val="0"/>
        <w:autoSpaceDE w:val="0"/>
        <w:autoSpaceDN w:val="0"/>
        <w:adjustRightInd w:val="0"/>
        <w:snapToGrid w:val="0"/>
        <w:ind w:left="0" w:firstLine="900"/>
        <w:jc w:val="both"/>
        <w:rPr>
          <w:snapToGrid w:val="0"/>
          <w:kern w:val="22"/>
          <w:szCs w:val="22"/>
        </w:rPr>
      </w:pPr>
      <w:r w:rsidRPr="004F3BF9">
        <w:rPr>
          <w:snapToGrid w:val="0"/>
          <w:szCs w:val="22"/>
        </w:rPr>
        <w:lastRenderedPageBreak/>
        <w:t>The National Strategy for Sustainable Development</w:t>
      </w:r>
      <w:r w:rsidR="00EC1942" w:rsidRPr="004F3BF9">
        <w:rPr>
          <w:snapToGrid w:val="0"/>
          <w:kern w:val="22"/>
          <w:szCs w:val="22"/>
        </w:rPr>
        <w:t xml:space="preserve"> of Montenegro</w:t>
      </w:r>
      <w:r w:rsidRPr="004F3BF9">
        <w:rPr>
          <w:snapToGrid w:val="0"/>
          <w:szCs w:val="22"/>
        </w:rPr>
        <w:t xml:space="preserve"> contains actions</w:t>
      </w:r>
      <w:r w:rsidR="00EC1942" w:rsidRPr="004F3BF9">
        <w:rPr>
          <w:snapToGrid w:val="0"/>
          <w:kern w:val="22"/>
          <w:szCs w:val="22"/>
        </w:rPr>
        <w:t xml:space="preserve"> on protected areas;</w:t>
      </w:r>
    </w:p>
    <w:p w:rsidR="00EC1942" w:rsidRPr="004F3BF9" w:rsidRDefault="00EC1942" w:rsidP="00232464">
      <w:pPr>
        <w:pStyle w:val="TOC9"/>
        <w:numPr>
          <w:ilvl w:val="0"/>
          <w:numId w:val="17"/>
        </w:numPr>
        <w:suppressLineNumbers/>
        <w:tabs>
          <w:tab w:val="left" w:pos="1440"/>
        </w:tabs>
        <w:suppressAutoHyphens/>
        <w:kinsoku w:val="0"/>
        <w:overflowPunct w:val="0"/>
        <w:autoSpaceDE w:val="0"/>
        <w:autoSpaceDN w:val="0"/>
        <w:adjustRightInd w:val="0"/>
        <w:snapToGrid w:val="0"/>
        <w:ind w:left="0" w:firstLine="900"/>
        <w:jc w:val="both"/>
        <w:rPr>
          <w:snapToGrid w:val="0"/>
          <w:kern w:val="22"/>
          <w:szCs w:val="22"/>
        </w:rPr>
      </w:pPr>
      <w:r w:rsidRPr="004F3BF9">
        <w:rPr>
          <w:snapToGrid w:val="0"/>
          <w:kern w:val="22"/>
          <w:szCs w:val="22"/>
        </w:rPr>
        <w:t>The European Union intends to use some of its sustainable development and agro</w:t>
      </w:r>
      <w:r w:rsidRPr="004F3BF9">
        <w:rPr>
          <w:snapToGrid w:val="0"/>
          <w:kern w:val="22"/>
          <w:szCs w:val="22"/>
        </w:rPr>
        <w:noBreakHyphen/>
        <w:t>environmental indicators to monitor and report on progress implementing its NBSAP;</w:t>
      </w:r>
    </w:p>
    <w:p w:rsidR="00E57A10" w:rsidRPr="004F3BF9" w:rsidRDefault="00EC1942" w:rsidP="00232464">
      <w:pPr>
        <w:pStyle w:val="TOC9"/>
        <w:numPr>
          <w:ilvl w:val="0"/>
          <w:numId w:val="17"/>
        </w:numPr>
        <w:suppressLineNumbers/>
        <w:tabs>
          <w:tab w:val="left" w:pos="1440"/>
        </w:tabs>
        <w:suppressAutoHyphens/>
        <w:kinsoku w:val="0"/>
        <w:overflowPunct w:val="0"/>
        <w:autoSpaceDE w:val="0"/>
        <w:autoSpaceDN w:val="0"/>
        <w:adjustRightInd w:val="0"/>
        <w:snapToGrid w:val="0"/>
        <w:ind w:left="0" w:firstLine="900"/>
        <w:jc w:val="both"/>
        <w:rPr>
          <w:snapToGrid w:val="0"/>
          <w:kern w:val="22"/>
          <w:szCs w:val="22"/>
        </w:rPr>
      </w:pPr>
      <w:r w:rsidRPr="004F3BF9">
        <w:rPr>
          <w:snapToGrid w:val="0"/>
          <w:kern w:val="22"/>
          <w:szCs w:val="22"/>
        </w:rPr>
        <w:t>The National Biodiversity Strategy of France is a major component of the National Sustainable Development Strategy (SNDD);</w:t>
      </w:r>
    </w:p>
    <w:p w:rsidR="00EC1942" w:rsidRPr="004F3BF9" w:rsidRDefault="00F41DC8" w:rsidP="00232464">
      <w:pPr>
        <w:pStyle w:val="TOC9"/>
        <w:numPr>
          <w:ilvl w:val="0"/>
          <w:numId w:val="17"/>
        </w:numPr>
        <w:suppressLineNumbers/>
        <w:tabs>
          <w:tab w:val="left" w:pos="1440"/>
        </w:tabs>
        <w:suppressAutoHyphens/>
        <w:kinsoku w:val="0"/>
        <w:overflowPunct w:val="0"/>
        <w:autoSpaceDE w:val="0"/>
        <w:autoSpaceDN w:val="0"/>
        <w:adjustRightInd w:val="0"/>
        <w:snapToGrid w:val="0"/>
        <w:ind w:left="0" w:firstLine="900"/>
        <w:jc w:val="both"/>
        <w:rPr>
          <w:snapToGrid w:val="0"/>
          <w:kern w:val="22"/>
          <w:szCs w:val="22"/>
        </w:rPr>
      </w:pPr>
      <w:r w:rsidRPr="004F3BF9">
        <w:rPr>
          <w:snapToGrid w:val="0"/>
          <w:kern w:val="22"/>
          <w:szCs w:val="22"/>
        </w:rPr>
        <w:t>For</w:t>
      </w:r>
      <w:r w:rsidR="00EC1942" w:rsidRPr="004F3BF9">
        <w:rPr>
          <w:snapToGrid w:val="0"/>
          <w:kern w:val="22"/>
          <w:szCs w:val="22"/>
        </w:rPr>
        <w:t xml:space="preserve"> Luxembourg, the NBSAP is a subcomponent of the National Sustainable Development Plan;</w:t>
      </w:r>
    </w:p>
    <w:p w:rsidR="00EC1942" w:rsidRPr="004F3BF9" w:rsidRDefault="00EC1942" w:rsidP="00232464">
      <w:pPr>
        <w:pStyle w:val="TOC9"/>
        <w:numPr>
          <w:ilvl w:val="0"/>
          <w:numId w:val="17"/>
        </w:numPr>
        <w:suppressLineNumbers/>
        <w:tabs>
          <w:tab w:val="left" w:pos="1440"/>
        </w:tabs>
        <w:suppressAutoHyphens/>
        <w:kinsoku w:val="0"/>
        <w:overflowPunct w:val="0"/>
        <w:autoSpaceDE w:val="0"/>
        <w:autoSpaceDN w:val="0"/>
        <w:adjustRightInd w:val="0"/>
        <w:snapToGrid w:val="0"/>
        <w:ind w:left="0" w:firstLine="900"/>
        <w:jc w:val="both"/>
        <w:rPr>
          <w:snapToGrid w:val="0"/>
          <w:kern w:val="22"/>
          <w:szCs w:val="22"/>
        </w:rPr>
      </w:pPr>
      <w:r w:rsidRPr="004F3BF9">
        <w:rPr>
          <w:snapToGrid w:val="0"/>
          <w:kern w:val="22"/>
          <w:szCs w:val="22"/>
        </w:rPr>
        <w:t>The NBSAP of Niger is part of one of six programmes comprising the National Plan for the Environment for Sustainable Development.</w:t>
      </w:r>
    </w:p>
    <w:p w:rsidR="00EC1942" w:rsidRPr="004F3BF9" w:rsidRDefault="00EC1942" w:rsidP="00232464">
      <w:pPr>
        <w:suppressLineNumbers/>
        <w:suppressAutoHyphens/>
        <w:kinsoku w:val="0"/>
        <w:overflowPunct w:val="0"/>
        <w:autoSpaceDE w:val="0"/>
        <w:autoSpaceDN w:val="0"/>
        <w:adjustRightInd w:val="0"/>
        <w:snapToGrid w:val="0"/>
        <w:spacing w:before="120" w:after="120"/>
        <w:jc w:val="center"/>
        <w:rPr>
          <w:bCs/>
          <w:i/>
          <w:iCs/>
          <w:snapToGrid w:val="0"/>
          <w:kern w:val="22"/>
          <w:szCs w:val="22"/>
        </w:rPr>
      </w:pPr>
      <w:r w:rsidRPr="004F3BF9">
        <w:rPr>
          <w:bCs/>
          <w:snapToGrid w:val="0"/>
          <w:kern w:val="22"/>
          <w:szCs w:val="22"/>
        </w:rPr>
        <w:t>4.</w:t>
      </w:r>
      <w:r w:rsidRPr="004F3BF9">
        <w:rPr>
          <w:bCs/>
          <w:snapToGrid w:val="0"/>
          <w:kern w:val="22"/>
          <w:szCs w:val="22"/>
        </w:rPr>
        <w:tab/>
      </w:r>
      <w:r w:rsidRPr="004F3BF9">
        <w:rPr>
          <w:bCs/>
          <w:i/>
          <w:iCs/>
          <w:snapToGrid w:val="0"/>
          <w:kern w:val="22"/>
          <w:szCs w:val="22"/>
        </w:rPr>
        <w:t>Poverty eradication</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A total of </w:t>
      </w:r>
      <w:r w:rsidR="00FD164D" w:rsidRPr="004F3BF9">
        <w:rPr>
          <w:snapToGrid w:val="0"/>
          <w:kern w:val="22"/>
          <w:szCs w:val="22"/>
        </w:rPr>
        <w:t xml:space="preserve">44 </w:t>
      </w:r>
      <w:r w:rsidRPr="004F3BF9">
        <w:rPr>
          <w:snapToGrid w:val="0"/>
          <w:kern w:val="22"/>
          <w:szCs w:val="22"/>
        </w:rPr>
        <w:t>Parties</w:t>
      </w:r>
      <w:r w:rsidR="001340BA" w:rsidRPr="004F3BF9">
        <w:rPr>
          <w:snapToGrid w:val="0"/>
          <w:kern w:val="22"/>
          <w:szCs w:val="22"/>
        </w:rPr>
        <w:t>’</w:t>
      </w:r>
      <w:r w:rsidRPr="004F3BF9">
        <w:rPr>
          <w:snapToGrid w:val="0"/>
          <w:kern w:val="22"/>
          <w:szCs w:val="22"/>
        </w:rPr>
        <w:t xml:space="preserve"> post-Nagoya NBSAPs</w:t>
      </w:r>
      <w:r w:rsidRPr="004F3BF9">
        <w:rPr>
          <w:rStyle w:val="FootnoteReference"/>
          <w:snapToGrid w:val="0"/>
          <w:kern w:val="22"/>
          <w:sz w:val="22"/>
          <w:szCs w:val="22"/>
          <w:u w:val="none"/>
          <w:vertAlign w:val="superscript"/>
        </w:rPr>
        <w:footnoteReference w:id="47"/>
      </w:r>
      <w:r w:rsidRPr="004F3BF9">
        <w:rPr>
          <w:snapToGrid w:val="0"/>
          <w:kern w:val="22"/>
          <w:szCs w:val="22"/>
        </w:rPr>
        <w:t xml:space="preserve"> mention links to poverty eradication and/or integrate this objective into their principles, targets and/or actions. For example:</w:t>
      </w:r>
    </w:p>
    <w:p w:rsidR="00EC1942" w:rsidRPr="004F3BF9" w:rsidRDefault="00EC1942"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F3BF9">
        <w:rPr>
          <w:snapToGrid w:val="0"/>
          <w:kern w:val="22"/>
          <w:szCs w:val="22"/>
        </w:rPr>
        <w:t>Antigua and Barbuda, India, Togo, and Yemen</w:t>
      </w:r>
      <w:r w:rsidR="00F621D8" w:rsidRPr="004F3BF9">
        <w:rPr>
          <w:snapToGrid w:val="0"/>
          <w:kern w:val="22"/>
          <w:szCs w:val="22"/>
        </w:rPr>
        <w:t>,</w:t>
      </w:r>
      <w:r w:rsidRPr="004F3BF9">
        <w:rPr>
          <w:snapToGrid w:val="0"/>
          <w:kern w:val="22"/>
          <w:szCs w:val="22"/>
        </w:rPr>
        <w:t xml:space="preserve"> among others, include poverty eradication strategies in their NBSAP or their national equivalent of Aichi Biodiversity Target 2;</w:t>
      </w:r>
    </w:p>
    <w:p w:rsidR="00EC1942" w:rsidRPr="004F3BF9" w:rsidRDefault="00EC1942"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F3BF9">
        <w:rPr>
          <w:snapToGrid w:val="0"/>
          <w:kern w:val="22"/>
          <w:szCs w:val="22"/>
        </w:rPr>
        <w:t>The poverty reduction strategies or equivalents of Burkina Faso, Burundi, Congo, Gambia, Niger, Equatorial Guinea and the United Republic of Tanzania integrate biodiversity considerations;</w:t>
      </w:r>
    </w:p>
    <w:p w:rsidR="00EC1942" w:rsidRPr="004F3BF9" w:rsidRDefault="00EC1942"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F3BF9">
        <w:rPr>
          <w:snapToGrid w:val="0"/>
          <w:kern w:val="22"/>
          <w:szCs w:val="22"/>
        </w:rPr>
        <w:t xml:space="preserve">The NBSAPs of Afghanistan, Moldova, Namibia, Niger and Peru aim to implement biodiversity actions in order to contribute to poverty alleviation. The NBSAP of Namibia, through its </w:t>
      </w:r>
      <w:hyperlink r:id="rId36" w:history="1">
        <w:r w:rsidR="007D724C" w:rsidRPr="004F3BF9">
          <w:rPr>
            <w:rStyle w:val="Hyperlink"/>
            <w:snapToGrid w:val="0"/>
            <w:kern w:val="22"/>
            <w:szCs w:val="22"/>
          </w:rPr>
          <w:t>Community Based Natural Resource Management</w:t>
        </w:r>
        <w:r w:rsidR="007D724C" w:rsidRPr="004F3BF9" w:rsidDel="007D724C">
          <w:rPr>
            <w:rStyle w:val="Hyperlink"/>
            <w:snapToGrid w:val="0"/>
            <w:kern w:val="22"/>
            <w:szCs w:val="22"/>
          </w:rPr>
          <w:t xml:space="preserve"> </w:t>
        </w:r>
        <w:r w:rsidRPr="004F3BF9">
          <w:rPr>
            <w:rStyle w:val="Hyperlink"/>
            <w:snapToGrid w:val="0"/>
            <w:kern w:val="22"/>
            <w:szCs w:val="22"/>
          </w:rPr>
          <w:t>Programme</w:t>
        </w:r>
      </w:hyperlink>
      <w:r w:rsidRPr="004F3BF9">
        <w:rPr>
          <w:snapToGrid w:val="0"/>
          <w:kern w:val="22"/>
          <w:szCs w:val="22"/>
        </w:rPr>
        <w:t xml:space="preserve">, monitors the role </w:t>
      </w:r>
      <w:r w:rsidR="00022961" w:rsidRPr="004F3BF9">
        <w:rPr>
          <w:snapToGrid w:val="0"/>
          <w:kern w:val="22"/>
          <w:szCs w:val="22"/>
        </w:rPr>
        <w:t xml:space="preserve">that </w:t>
      </w:r>
      <w:r w:rsidRPr="004F3BF9">
        <w:rPr>
          <w:snapToGrid w:val="0"/>
          <w:kern w:val="22"/>
          <w:szCs w:val="22"/>
        </w:rPr>
        <w:t>biodiversity plays in poverty alleviation in rural areas;</w:t>
      </w:r>
    </w:p>
    <w:p w:rsidR="00EC1942" w:rsidRPr="004F3BF9" w:rsidRDefault="00EC1942"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F3BF9">
        <w:rPr>
          <w:snapToGrid w:val="0"/>
          <w:kern w:val="22"/>
          <w:szCs w:val="22"/>
        </w:rPr>
        <w:t>As part of the implementation of its Development Policy, Finland seeks to support development cooperation projects aimed at reducing poverty in developing countries</w:t>
      </w:r>
      <w:r w:rsidRPr="004F3BF9">
        <w:rPr>
          <w:rFonts w:eastAsia="Arial Unicode MS"/>
          <w:snapToGrid w:val="0"/>
          <w:kern w:val="22"/>
          <w:szCs w:val="22"/>
        </w:rPr>
        <w:t>, through the conservation and sustainable use of biodiversity, and with the objective of safeguarding and strengthening ecosystem services;</w:t>
      </w:r>
    </w:p>
    <w:p w:rsidR="00EC1942" w:rsidRPr="004F3BF9" w:rsidRDefault="00EC1942"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F3BF9">
        <w:rPr>
          <w:snapToGrid w:val="0"/>
          <w:kern w:val="22"/>
          <w:szCs w:val="22"/>
        </w:rPr>
        <w:t>The NBSAP of Uganda highlights and seeks to maintain the contribution of biodiversity and ecosystem services to human well-being, poverty eradication and national development as one of its guiding principles.</w:t>
      </w:r>
    </w:p>
    <w:p w:rsidR="00EC1942" w:rsidRPr="004F3BF9" w:rsidRDefault="00EC1942" w:rsidP="00232464">
      <w:pPr>
        <w:pStyle w:val="Para1"/>
        <w:numPr>
          <w:ilvl w:val="0"/>
          <w:numId w:val="0"/>
        </w:numPr>
        <w:suppressLineNumbers/>
        <w:suppressAutoHyphens/>
        <w:kinsoku w:val="0"/>
        <w:overflowPunct w:val="0"/>
        <w:autoSpaceDE w:val="0"/>
        <w:autoSpaceDN w:val="0"/>
        <w:adjustRightInd w:val="0"/>
        <w:snapToGrid w:val="0"/>
        <w:jc w:val="center"/>
        <w:rPr>
          <w:bCs/>
          <w:i/>
          <w:iCs/>
          <w:kern w:val="22"/>
          <w:szCs w:val="22"/>
        </w:rPr>
      </w:pPr>
      <w:r w:rsidRPr="004F3BF9">
        <w:rPr>
          <w:bCs/>
          <w:kern w:val="22"/>
          <w:szCs w:val="22"/>
        </w:rPr>
        <w:t>5.</w:t>
      </w:r>
      <w:r w:rsidRPr="004F3BF9">
        <w:rPr>
          <w:bCs/>
          <w:kern w:val="22"/>
          <w:szCs w:val="22"/>
        </w:rPr>
        <w:tab/>
      </w:r>
      <w:r w:rsidRPr="004F3BF9">
        <w:rPr>
          <w:bCs/>
          <w:i/>
          <w:iCs/>
          <w:kern w:val="22"/>
          <w:szCs w:val="22"/>
        </w:rPr>
        <w:t>Subnational level plans</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The post-Nagoya NBSAPs of </w:t>
      </w:r>
      <w:r w:rsidR="004A1F23" w:rsidRPr="004F3BF9">
        <w:rPr>
          <w:snapToGrid w:val="0"/>
          <w:kern w:val="22"/>
          <w:szCs w:val="22"/>
        </w:rPr>
        <w:t>10</w:t>
      </w:r>
      <w:r w:rsidR="00FD164D" w:rsidRPr="004F3BF9">
        <w:rPr>
          <w:snapToGrid w:val="0"/>
          <w:kern w:val="22"/>
          <w:szCs w:val="22"/>
        </w:rPr>
        <w:t xml:space="preserve"> </w:t>
      </w:r>
      <w:r w:rsidRPr="004F3BF9">
        <w:rPr>
          <w:snapToGrid w:val="0"/>
          <w:kern w:val="22"/>
          <w:szCs w:val="22"/>
        </w:rPr>
        <w:t>Parties</w:t>
      </w:r>
      <w:r w:rsidRPr="004F3BF9">
        <w:rPr>
          <w:snapToGrid w:val="0"/>
          <w:kern w:val="22"/>
          <w:szCs w:val="22"/>
          <w:vertAlign w:val="superscript"/>
        </w:rPr>
        <w:footnoteReference w:id="48"/>
      </w:r>
      <w:r w:rsidRPr="004F3BF9">
        <w:rPr>
          <w:snapToGrid w:val="0"/>
          <w:kern w:val="22"/>
          <w:szCs w:val="22"/>
        </w:rPr>
        <w:t xml:space="preserve"> mention that their country either already has subnational biodiversity plans or has started developing them (examples appear below). The Secretariat is aware of 19 Parties (including the 6 mentioned above) that have at least one subnational biodiversity action plan</w:t>
      </w:r>
      <w:r w:rsidR="00F95C0A" w:rsidRPr="004F3BF9">
        <w:rPr>
          <w:snapToGrid w:val="0"/>
          <w:kern w:val="22"/>
          <w:szCs w:val="22"/>
        </w:rPr>
        <w:t>;</w:t>
      </w:r>
      <w:r w:rsidRPr="004F3BF9">
        <w:rPr>
          <w:snapToGrid w:val="0"/>
          <w:kern w:val="22"/>
          <w:szCs w:val="22"/>
          <w:vertAlign w:val="superscript"/>
        </w:rPr>
        <w:footnoteReference w:id="49"/>
      </w:r>
      <w:r w:rsidRPr="004F3BF9">
        <w:rPr>
          <w:snapToGrid w:val="0"/>
          <w:kern w:val="22"/>
          <w:szCs w:val="22"/>
        </w:rPr>
        <w:t xml:space="preserve"> however, not all of these are reflected in the revised NBSAPs. Information on these can be found at: </w:t>
      </w:r>
      <w:hyperlink r:id="rId37" w:history="1">
        <w:r w:rsidRPr="004F3BF9">
          <w:rPr>
            <w:rStyle w:val="Hyperlink"/>
            <w:szCs w:val="22"/>
          </w:rPr>
          <w:t>https://www.cbd.int/nbsap/related-info/sbsap/default.shtml</w:t>
        </w:r>
      </w:hyperlink>
      <w:r w:rsidRPr="004F3BF9">
        <w:rPr>
          <w:snapToGrid w:val="0"/>
          <w:kern w:val="22"/>
          <w:szCs w:val="22"/>
        </w:rPr>
        <w:t>. A total of 11 other Parties</w:t>
      </w:r>
      <w:r w:rsidRPr="004F3BF9">
        <w:rPr>
          <w:rStyle w:val="FootnoteReference"/>
          <w:snapToGrid w:val="0"/>
          <w:kern w:val="22"/>
          <w:sz w:val="22"/>
          <w:szCs w:val="22"/>
          <w:u w:val="none"/>
          <w:vertAlign w:val="superscript"/>
        </w:rPr>
        <w:footnoteReference w:id="50"/>
      </w:r>
      <w:r w:rsidRPr="004F3BF9">
        <w:rPr>
          <w:snapToGrid w:val="0"/>
          <w:kern w:val="22"/>
          <w:szCs w:val="22"/>
        </w:rPr>
        <w:t xml:space="preserve"> mention their intent to prepare subnational biodiversity strategies and actions plans</w:t>
      </w:r>
      <w:r w:rsidR="000A78C6" w:rsidRPr="004F3BF9">
        <w:rPr>
          <w:snapToGrid w:val="0"/>
          <w:kern w:val="22"/>
          <w:szCs w:val="22"/>
        </w:rPr>
        <w:t>:</w:t>
      </w:r>
    </w:p>
    <w:p w:rsidR="00EC1942" w:rsidRPr="004F3BF9" w:rsidRDefault="00EC1942" w:rsidP="00232464">
      <w:pPr>
        <w:pStyle w:val="Para1"/>
        <w:numPr>
          <w:ilvl w:val="1"/>
          <w:numId w:val="13"/>
        </w:numPr>
        <w:suppressLineNumbers/>
        <w:tabs>
          <w:tab w:val="left" w:pos="1440"/>
        </w:tabs>
        <w:suppressAutoHyphens/>
        <w:kinsoku w:val="0"/>
        <w:overflowPunct w:val="0"/>
        <w:autoSpaceDE w:val="0"/>
        <w:autoSpaceDN w:val="0"/>
        <w:adjustRightInd w:val="0"/>
        <w:snapToGrid w:val="0"/>
        <w:ind w:left="0" w:firstLine="720"/>
        <w:rPr>
          <w:kern w:val="22"/>
          <w:szCs w:val="22"/>
        </w:rPr>
      </w:pPr>
      <w:r w:rsidRPr="004F3BF9">
        <w:rPr>
          <w:kern w:val="22"/>
          <w:szCs w:val="22"/>
        </w:rPr>
        <w:lastRenderedPageBreak/>
        <w:t>Ireland has either finalized or drafted 26 Local Biodiversity Action Plans. Some of them are up for review and additional local plans will be prepared;</w:t>
      </w:r>
    </w:p>
    <w:p w:rsidR="00EC1942" w:rsidRPr="004F3BF9" w:rsidRDefault="00EC1942" w:rsidP="00232464">
      <w:pPr>
        <w:pStyle w:val="Para1"/>
        <w:numPr>
          <w:ilvl w:val="1"/>
          <w:numId w:val="13"/>
        </w:numPr>
        <w:suppressLineNumbers/>
        <w:suppressAutoHyphens/>
        <w:kinsoku w:val="0"/>
        <w:overflowPunct w:val="0"/>
        <w:autoSpaceDE w:val="0"/>
        <w:autoSpaceDN w:val="0"/>
        <w:adjustRightInd w:val="0"/>
        <w:snapToGrid w:val="0"/>
        <w:ind w:left="0" w:firstLine="720"/>
        <w:rPr>
          <w:kern w:val="22"/>
          <w:szCs w:val="22"/>
        </w:rPr>
      </w:pPr>
      <w:r w:rsidRPr="004F3BF9">
        <w:rPr>
          <w:kern w:val="22"/>
          <w:szCs w:val="22"/>
        </w:rPr>
        <w:t>Mexico has promoted decentralized biodiversity planning and management through the development and implementation of 12 State Strategies for Conservation and Sustainable Use of Biodiversity. Additional State Strategies are currently under preparation;</w:t>
      </w:r>
    </w:p>
    <w:p w:rsidR="00EC1942" w:rsidRPr="004F3BF9" w:rsidRDefault="00EC1942" w:rsidP="00232464">
      <w:pPr>
        <w:pStyle w:val="Para1"/>
        <w:numPr>
          <w:ilvl w:val="1"/>
          <w:numId w:val="13"/>
        </w:numPr>
        <w:suppressLineNumbers/>
        <w:suppressAutoHyphens/>
        <w:kinsoku w:val="0"/>
        <w:overflowPunct w:val="0"/>
        <w:autoSpaceDE w:val="0"/>
        <w:autoSpaceDN w:val="0"/>
        <w:adjustRightInd w:val="0"/>
        <w:snapToGrid w:val="0"/>
        <w:ind w:left="0" w:firstLine="720"/>
        <w:rPr>
          <w:kern w:val="22"/>
          <w:szCs w:val="22"/>
        </w:rPr>
      </w:pPr>
      <w:r w:rsidRPr="004F3BF9">
        <w:rPr>
          <w:kern w:val="22"/>
          <w:szCs w:val="22"/>
        </w:rPr>
        <w:t>In Malawi, the Lilongwe City Council is developing a Local Biodiversity Strategy and Action Plan (LBSAP) that highlights particular species and habitats to be protected in the city and how biodiversity and development can go together with the city</w:t>
      </w:r>
      <w:r w:rsidR="001340BA" w:rsidRPr="004F3BF9">
        <w:rPr>
          <w:kern w:val="22"/>
          <w:szCs w:val="22"/>
        </w:rPr>
        <w:t>’</w:t>
      </w:r>
      <w:r w:rsidRPr="004F3BF9">
        <w:rPr>
          <w:kern w:val="22"/>
          <w:szCs w:val="22"/>
        </w:rPr>
        <w:t>s development activities. Malawi also has a national target to develop LBSAPs</w:t>
      </w:r>
      <w:r w:rsidR="000A78C6" w:rsidRPr="004F3BF9">
        <w:rPr>
          <w:kern w:val="22"/>
          <w:szCs w:val="22"/>
        </w:rPr>
        <w:t>.</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Several national and/or subnational authorities have developed guidance for subnational authorities in preparing and/or implementing biodiversity plans.</w:t>
      </w:r>
    </w:p>
    <w:p w:rsidR="00EC1942"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A total of 2</w:t>
      </w:r>
      <w:r w:rsidR="001643E8" w:rsidRPr="004F3BF9">
        <w:rPr>
          <w:snapToGrid w:val="0"/>
          <w:kern w:val="22"/>
          <w:szCs w:val="22"/>
        </w:rPr>
        <w:t>2</w:t>
      </w:r>
      <w:r w:rsidRPr="004F3BF9">
        <w:rPr>
          <w:snapToGrid w:val="0"/>
          <w:kern w:val="22"/>
          <w:szCs w:val="22"/>
        </w:rPr>
        <w:t xml:space="preserve"> other NBSAPs</w:t>
      </w:r>
      <w:r w:rsidRPr="004F3BF9">
        <w:rPr>
          <w:snapToGrid w:val="0"/>
          <w:kern w:val="22"/>
          <w:szCs w:val="22"/>
          <w:vertAlign w:val="superscript"/>
        </w:rPr>
        <w:footnoteReference w:id="51"/>
      </w:r>
      <w:r w:rsidRPr="004F3BF9">
        <w:rPr>
          <w:snapToGrid w:val="0"/>
          <w:kern w:val="22"/>
          <w:szCs w:val="22"/>
        </w:rPr>
        <w:t xml:space="preserve"> contain elements, actions or targets that aim to integrate biodiversity into subnational level plans:</w:t>
      </w:r>
    </w:p>
    <w:p w:rsidR="00EC1942" w:rsidRPr="004F3BF9" w:rsidRDefault="00EC1942" w:rsidP="00232464">
      <w:pPr>
        <w:pStyle w:val="Para1"/>
        <w:numPr>
          <w:ilvl w:val="1"/>
          <w:numId w:val="14"/>
        </w:numPr>
        <w:suppressLineNumbers/>
        <w:suppressAutoHyphens/>
        <w:kinsoku w:val="0"/>
        <w:overflowPunct w:val="0"/>
        <w:autoSpaceDE w:val="0"/>
        <w:autoSpaceDN w:val="0"/>
        <w:adjustRightInd w:val="0"/>
        <w:snapToGrid w:val="0"/>
        <w:ind w:left="0" w:firstLine="720"/>
        <w:rPr>
          <w:kern w:val="22"/>
          <w:szCs w:val="22"/>
        </w:rPr>
      </w:pPr>
      <w:r w:rsidRPr="004F3BF9">
        <w:rPr>
          <w:kern w:val="22"/>
          <w:szCs w:val="22"/>
        </w:rPr>
        <w:t>In Australia and Belgium, the actions of the NBSAP are intended to be considered and taken on board in conjunction with regional, state and territorial plans/documents;</w:t>
      </w:r>
    </w:p>
    <w:p w:rsidR="00EC1942" w:rsidRPr="004F3BF9" w:rsidRDefault="00EC1942" w:rsidP="00232464">
      <w:pPr>
        <w:pStyle w:val="Para1"/>
        <w:numPr>
          <w:ilvl w:val="1"/>
          <w:numId w:val="14"/>
        </w:numPr>
        <w:suppressLineNumbers/>
        <w:suppressAutoHyphens/>
        <w:kinsoku w:val="0"/>
        <w:overflowPunct w:val="0"/>
        <w:autoSpaceDE w:val="0"/>
        <w:autoSpaceDN w:val="0"/>
        <w:adjustRightInd w:val="0"/>
        <w:snapToGrid w:val="0"/>
        <w:ind w:left="0" w:firstLine="720"/>
        <w:rPr>
          <w:kern w:val="22"/>
          <w:szCs w:val="22"/>
        </w:rPr>
      </w:pPr>
      <w:r w:rsidRPr="004F3BF9">
        <w:rPr>
          <w:kern w:val="22"/>
          <w:szCs w:val="22"/>
        </w:rPr>
        <w:t>Burundi – Target 18, action 2, – “Elaborate ecoregional (local) plans for the implementation of the National Biodiversity Strategy and Action Plan”. This action also proposed that these local implementation plans would be integrated into the community development plans;</w:t>
      </w:r>
    </w:p>
    <w:p w:rsidR="00EC1942" w:rsidRPr="004F3BF9" w:rsidRDefault="00EC1942" w:rsidP="00232464">
      <w:pPr>
        <w:pStyle w:val="Para1"/>
        <w:numPr>
          <w:ilvl w:val="1"/>
          <w:numId w:val="14"/>
        </w:numPr>
        <w:suppressLineNumbers/>
        <w:suppressAutoHyphens/>
        <w:kinsoku w:val="0"/>
        <w:overflowPunct w:val="0"/>
        <w:autoSpaceDE w:val="0"/>
        <w:autoSpaceDN w:val="0"/>
        <w:adjustRightInd w:val="0"/>
        <w:snapToGrid w:val="0"/>
        <w:ind w:left="0" w:firstLine="720"/>
        <w:rPr>
          <w:spacing w:val="-4"/>
          <w:kern w:val="22"/>
          <w:szCs w:val="22"/>
        </w:rPr>
      </w:pPr>
      <w:r w:rsidRPr="004F3BF9">
        <w:rPr>
          <w:spacing w:val="-4"/>
          <w:kern w:val="22"/>
          <w:szCs w:val="22"/>
        </w:rPr>
        <w:t>Cameroon – Target 18 –</w:t>
      </w:r>
      <w:r w:rsidR="00042EB6" w:rsidRPr="004F3BF9">
        <w:rPr>
          <w:spacing w:val="-4"/>
          <w:kern w:val="22"/>
          <w:szCs w:val="22"/>
        </w:rPr>
        <w:t xml:space="preserve"> </w:t>
      </w:r>
      <w:r w:rsidRPr="004F3BF9">
        <w:rPr>
          <w:spacing w:val="-4"/>
          <w:kern w:val="22"/>
          <w:szCs w:val="22"/>
        </w:rPr>
        <w:t>“By 2020, key production sectors and decentralized local authorities should have developed sector or region-specific biodiversity targets, linked to the national targets”;</w:t>
      </w:r>
    </w:p>
    <w:p w:rsidR="00EC1942" w:rsidRPr="004F3BF9" w:rsidRDefault="00EC1942" w:rsidP="00232464">
      <w:pPr>
        <w:pStyle w:val="Para1"/>
        <w:numPr>
          <w:ilvl w:val="1"/>
          <w:numId w:val="14"/>
        </w:numPr>
        <w:suppressLineNumbers/>
        <w:suppressAutoHyphens/>
        <w:kinsoku w:val="0"/>
        <w:overflowPunct w:val="0"/>
        <w:autoSpaceDE w:val="0"/>
        <w:autoSpaceDN w:val="0"/>
        <w:adjustRightInd w:val="0"/>
        <w:snapToGrid w:val="0"/>
        <w:ind w:left="0" w:firstLine="720"/>
        <w:rPr>
          <w:kern w:val="22"/>
          <w:szCs w:val="22"/>
        </w:rPr>
      </w:pPr>
      <w:r w:rsidRPr="004F3BF9">
        <w:rPr>
          <w:kern w:val="22"/>
          <w:szCs w:val="22"/>
        </w:rPr>
        <w:t xml:space="preserve">The Republic of Korea has developed guidelines for planning local biodiversity strategies and is establishing a legal basis for metropolitan cities/provinces to set up biodiversity strategies in the </w:t>
      </w:r>
      <w:hyperlink r:id="rId38" w:history="1">
        <w:r w:rsidR="00C7246E" w:rsidRPr="004F3BF9">
          <w:rPr>
            <w:rStyle w:val="Hyperlink"/>
            <w:kern w:val="22"/>
            <w:szCs w:val="22"/>
          </w:rPr>
          <w:t xml:space="preserve">Act on the Conservation and </w:t>
        </w:r>
        <w:r w:rsidRPr="004F3BF9">
          <w:rPr>
            <w:rStyle w:val="Hyperlink"/>
            <w:kern w:val="22"/>
            <w:szCs w:val="22"/>
          </w:rPr>
          <w:t>Use of Biodiversity</w:t>
        </w:r>
      </w:hyperlink>
      <w:r w:rsidRPr="004F3BF9">
        <w:rPr>
          <w:kern w:val="22"/>
          <w:szCs w:val="22"/>
        </w:rPr>
        <w:t>.</w:t>
      </w:r>
    </w:p>
    <w:p w:rsidR="00EC1942" w:rsidRPr="004F3BF9" w:rsidRDefault="00EC1942" w:rsidP="00232464">
      <w:pPr>
        <w:pStyle w:val="Para1"/>
        <w:numPr>
          <w:ilvl w:val="0"/>
          <w:numId w:val="0"/>
        </w:numPr>
        <w:suppressLineNumbers/>
        <w:suppressAutoHyphens/>
        <w:kinsoku w:val="0"/>
        <w:overflowPunct w:val="0"/>
        <w:autoSpaceDE w:val="0"/>
        <w:autoSpaceDN w:val="0"/>
        <w:adjustRightInd w:val="0"/>
        <w:snapToGrid w:val="0"/>
        <w:ind w:left="720"/>
        <w:jc w:val="center"/>
        <w:rPr>
          <w:bCs/>
          <w:i/>
          <w:iCs/>
          <w:kern w:val="22"/>
          <w:szCs w:val="22"/>
        </w:rPr>
      </w:pPr>
      <w:r w:rsidRPr="004F3BF9">
        <w:rPr>
          <w:bCs/>
          <w:kern w:val="22"/>
          <w:szCs w:val="22"/>
        </w:rPr>
        <w:t>6.</w:t>
      </w:r>
      <w:r w:rsidRPr="004F3BF9">
        <w:rPr>
          <w:bCs/>
          <w:kern w:val="22"/>
          <w:szCs w:val="22"/>
        </w:rPr>
        <w:tab/>
      </w:r>
      <w:r w:rsidRPr="004F3BF9">
        <w:rPr>
          <w:bCs/>
          <w:i/>
          <w:iCs/>
          <w:kern w:val="22"/>
          <w:szCs w:val="22"/>
        </w:rPr>
        <w:t>Gender</w:t>
      </w:r>
    </w:p>
    <w:p w:rsidR="005732ED" w:rsidRPr="004F3BF9"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F3BF9">
        <w:rPr>
          <w:snapToGrid w:val="0"/>
          <w:kern w:val="22"/>
          <w:szCs w:val="22"/>
        </w:rPr>
        <w:t xml:space="preserve">A total of </w:t>
      </w:r>
      <w:r w:rsidR="005732ED" w:rsidRPr="004F3BF9">
        <w:rPr>
          <w:snapToGrid w:val="0"/>
          <w:kern w:val="22"/>
          <w:szCs w:val="22"/>
        </w:rPr>
        <w:t>7</w:t>
      </w:r>
      <w:r w:rsidR="00F2786C" w:rsidRPr="004F3BF9">
        <w:rPr>
          <w:snapToGrid w:val="0"/>
          <w:kern w:val="22"/>
          <w:szCs w:val="22"/>
        </w:rPr>
        <w:t>2</w:t>
      </w:r>
      <w:r w:rsidRPr="004F3BF9">
        <w:rPr>
          <w:snapToGrid w:val="0"/>
          <w:kern w:val="22"/>
          <w:szCs w:val="22"/>
        </w:rPr>
        <w:t xml:space="preserve"> Parties</w:t>
      </w:r>
      <w:r w:rsidRPr="004F3BF9">
        <w:rPr>
          <w:snapToGrid w:val="0"/>
          <w:kern w:val="22"/>
          <w:szCs w:val="22"/>
          <w:vertAlign w:val="superscript"/>
        </w:rPr>
        <w:footnoteReference w:id="52"/>
      </w:r>
      <w:r w:rsidRPr="004F3BF9">
        <w:rPr>
          <w:snapToGrid w:val="0"/>
          <w:kern w:val="22"/>
          <w:szCs w:val="22"/>
        </w:rPr>
        <w:t xml:space="preserve"> make reference to </w:t>
      </w:r>
      <w:r w:rsidR="005732ED" w:rsidRPr="004F3BF9">
        <w:rPr>
          <w:snapToGrid w:val="0"/>
          <w:kern w:val="22"/>
          <w:szCs w:val="22"/>
        </w:rPr>
        <w:t>gender or women</w:t>
      </w:r>
      <w:r w:rsidR="001340BA" w:rsidRPr="004F3BF9">
        <w:rPr>
          <w:snapToGrid w:val="0"/>
          <w:kern w:val="22"/>
          <w:szCs w:val="22"/>
        </w:rPr>
        <w:t>’</w:t>
      </w:r>
      <w:r w:rsidR="005732ED" w:rsidRPr="004F3BF9">
        <w:rPr>
          <w:snapToGrid w:val="0"/>
          <w:kern w:val="22"/>
          <w:szCs w:val="22"/>
        </w:rPr>
        <w:t xml:space="preserve">s </w:t>
      </w:r>
      <w:r w:rsidRPr="004F3BF9">
        <w:rPr>
          <w:snapToGrid w:val="0"/>
          <w:kern w:val="22"/>
          <w:szCs w:val="22"/>
        </w:rPr>
        <w:t xml:space="preserve">issues </w:t>
      </w:r>
      <w:r w:rsidR="005732ED" w:rsidRPr="004F3BF9">
        <w:rPr>
          <w:snapToGrid w:val="0"/>
          <w:kern w:val="22"/>
          <w:szCs w:val="22"/>
        </w:rPr>
        <w:t>in their revised NBSAPs</w:t>
      </w:r>
      <w:r w:rsidRPr="004F3BF9">
        <w:rPr>
          <w:snapToGrid w:val="0"/>
          <w:kern w:val="22"/>
          <w:szCs w:val="22"/>
        </w:rPr>
        <w:t xml:space="preserve">. </w:t>
      </w:r>
      <w:r w:rsidR="006E4E17" w:rsidRPr="004F3BF9">
        <w:rPr>
          <w:snapToGrid w:val="0"/>
          <w:kern w:val="22"/>
          <w:szCs w:val="22"/>
        </w:rPr>
        <w:t>A separate and more extensive analysis of the inclusion of gender considerations in the revised NBSAPs is provided in document CBD/SBI/2/2/Add.3.</w:t>
      </w:r>
    </w:p>
    <w:p w:rsidR="005732ED" w:rsidRPr="004F3BF9" w:rsidRDefault="005732ED" w:rsidP="00232464">
      <w:pPr>
        <w:pStyle w:val="Para1"/>
        <w:numPr>
          <w:ilvl w:val="0"/>
          <w:numId w:val="0"/>
        </w:numPr>
        <w:suppressLineNumbers/>
        <w:suppressAutoHyphens/>
        <w:kinsoku w:val="0"/>
        <w:overflowPunct w:val="0"/>
        <w:autoSpaceDE w:val="0"/>
        <w:autoSpaceDN w:val="0"/>
        <w:adjustRightInd w:val="0"/>
        <w:snapToGrid w:val="0"/>
        <w:jc w:val="left"/>
        <w:rPr>
          <w:kern w:val="22"/>
          <w:szCs w:val="22"/>
        </w:rPr>
      </w:pPr>
    </w:p>
    <w:p w:rsidR="00EC1942" w:rsidRPr="004F3BF9" w:rsidRDefault="00EC1942" w:rsidP="00232464">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4F3BF9">
        <w:rPr>
          <w:kern w:val="22"/>
          <w:szCs w:val="22"/>
        </w:rPr>
        <w:t>__________</w:t>
      </w:r>
    </w:p>
    <w:sectPr w:rsidR="00EC1942" w:rsidRPr="004F3BF9" w:rsidSect="00CA1572">
      <w:headerReference w:type="even" r:id="rId39"/>
      <w:headerReference w:type="default" r:id="rId40"/>
      <w:footerReference w:type="even" r:id="rId41"/>
      <w:footerReference w:type="default" r:id="rId42"/>
      <w:headerReference w:type="first" r:id="rId43"/>
      <w:footerReference w:type="first" r:id="rId44"/>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193" w:rsidRDefault="00D01193">
      <w:r>
        <w:separator/>
      </w:r>
    </w:p>
  </w:endnote>
  <w:endnote w:type="continuationSeparator" w:id="0">
    <w:p w:rsidR="00D01193" w:rsidRDefault="00D0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93" w:rsidRDefault="00D01193"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93" w:rsidRDefault="00D01193" w:rsidP="00B012FB">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93" w:rsidRDefault="00D01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193" w:rsidRDefault="00D01193">
      <w:r>
        <w:separator/>
      </w:r>
    </w:p>
  </w:footnote>
  <w:footnote w:type="continuationSeparator" w:id="0">
    <w:p w:rsidR="00D01193" w:rsidRDefault="00D01193">
      <w:r>
        <w:continuationSeparator/>
      </w:r>
    </w:p>
  </w:footnote>
  <w:footnote w:id="1">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rPr>
        <w:t>*</w:t>
      </w:r>
      <w:r w:rsidRPr="00042EB6">
        <w:rPr>
          <w:snapToGrid w:val="0"/>
          <w:kern w:val="18"/>
          <w:szCs w:val="18"/>
        </w:rPr>
        <w:t xml:space="preserve"> CBD/COP/14/1.</w:t>
      </w:r>
    </w:p>
  </w:footnote>
  <w:footnote w:id="2">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vertAlign w:val="superscript"/>
        </w:rPr>
        <w:t xml:space="preserve"> </w:t>
      </w:r>
      <w:r w:rsidRPr="00042EB6">
        <w:rPr>
          <w:snapToGrid w:val="0"/>
          <w:kern w:val="18"/>
          <w:szCs w:val="18"/>
        </w:rPr>
        <w:t>Afghanistan, Albania, Algeria, Andorra, Antigua and Barbuda, Argentina, Armenia, Australia (revised its NBSAP in the light of the preliminary framework of the Strategic Plan but considers it to be in line with the final Strategy adopted at the tenth meeting of the Conference of the Parties), Austria, Azerbaijan, Bahrain, Bangladesh, Belarus, Belgium, Belize, Benin, Bhutan, Bosnia and Herzegovina, Botswana, Brazil, Brunei Darussalam, Burkina Faso, Burundi, Cabo Verde, Cambodia, Cameroon, Canada, Chad, Chile, China, Colombia, Comoros, Congo, Costa Rica, Côte d’Ivoire, Croatia, Cuba, Czechia, Democratic People’s Republic of Korea, Democratic Republic of the Congo, Denmark, Djibouti, Dominica, Dominican Republic, Ecuador, Egypt, El Salvador, Equatorial Guinea, Eritrea, Estonia, Eswatini, Ethiopia, European Union, Finland, France, Gambia, Georgia, Germany, Ghana, Greece, Grenada, Guatemala, Guinea, Guinea-Bissau, Guyana, Honduras, Hungary, India, Indonesia, Iran (Islamic Republic of), Iraq, Ireland, Italy, Jamaica, Japan, Jordan, Kiribati, Kyrgyzstan, Lao People’s Democratic Republic, Latvia, Lebanon, Liberia, Liechtenstein, Lithuania, Luxembourg, Madagascar, Malawi, Malaysia, Maldives, Mali, Malta, Mauritania, Mauritius, Mexico, Mongolia, Montenegro, Morocco, Mozambique, Myanmar, Namibia, Nauru, Nepal, Netherlands, New Zealand, Nicaragua, Niger, Nigeria, Niue, Norway, Pakistan, Palau, Paraguay, Peru, Philippines, Poland, Portugal, Qatar, Republic of Korea, Republic of Moldova, Romania, Russian Federation, Rwanda, Saint Kitts and Nevis, Samoa, Saint Vincent and the Grenadines, San Marino, Sao Tome and Principe, Senegal, Serbia, Seychelles, Sierra Leone, Slovakia, Solomon Islands, Somalia, South Africa, Spain, Sri Lanka, Sudan, Suriname, Sweden, Switzerland, Tajikistan, Thailand, Timor-Leste, Togo, Trinidad and Tobago, Tunisia, Turkmenistan, Tuvalu, Uganda, Ukraine, United Arab Emirates, United Kingdom of Great Britain and Northern Ireland, United Republic of Tanzania, Uruguay, Vanuatu, Venezuela (Bolivarian Republic of), Viet Nam, Yemen, Zambia and Zimbabwe.</w:t>
      </w:r>
    </w:p>
  </w:footnote>
  <w:footnote w:id="3">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Among these, two Parties completed their revisions prior to the tenth meeting of the Conference of the Parties, albeit with consideration given to the draft Strategic Plan for Biodiversity 2011-2020, and these are therefore included in this number.</w:t>
      </w:r>
    </w:p>
  </w:footnote>
  <w:footnote w:id="4">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rStyle w:val="FootnoteReference"/>
          <w:snapToGrid w:val="0"/>
          <w:kern w:val="18"/>
          <w:szCs w:val="18"/>
          <w:u w:val="none"/>
        </w:rPr>
        <w:t xml:space="preserve"> </w:t>
      </w:r>
      <w:r w:rsidRPr="00042EB6">
        <w:rPr>
          <w:snapToGrid w:val="0"/>
          <w:kern w:val="18"/>
          <w:szCs w:val="18"/>
        </w:rPr>
        <w:t xml:space="preserve">For the full set, see </w:t>
      </w:r>
      <w:hyperlink r:id="rId1" w:history="1">
        <w:r w:rsidRPr="00042EB6">
          <w:rPr>
            <w:rStyle w:val="Hyperlink"/>
            <w:snapToGrid w:val="0"/>
            <w:kern w:val="18"/>
            <w:szCs w:val="18"/>
          </w:rPr>
          <w:t>https://www.cbd.int/nbsap/targets/default.shtml</w:t>
        </w:r>
      </w:hyperlink>
      <w:r w:rsidRPr="00042EB6">
        <w:rPr>
          <w:snapToGrid w:val="0"/>
          <w:kern w:val="18"/>
          <w:szCs w:val="18"/>
        </w:rPr>
        <w:t>. Note that the definition and use of the term “target” is quite varied among Parties. In the database, all “achievable” measures in an NBSAP have been included as “targets”, even if the NBSAP itself uses a different term, such as “objective”, “action” or “work area”.</w:t>
      </w:r>
    </w:p>
  </w:footnote>
  <w:footnote w:id="5">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rStyle w:val="FootnoteReference"/>
          <w:snapToGrid w:val="0"/>
          <w:kern w:val="18"/>
          <w:szCs w:val="18"/>
          <w:u w:val="none"/>
          <w:vertAlign w:val="superscript"/>
        </w:rPr>
        <w:t xml:space="preserve"> </w:t>
      </w:r>
      <w:r w:rsidRPr="00042EB6">
        <w:rPr>
          <w:snapToGrid w:val="0"/>
          <w:kern w:val="18"/>
          <w:szCs w:val="18"/>
        </w:rPr>
        <w:t>Afghanistan, Albania, Algeria, Andorra, Antigua and Barbuda, Bahrain, Belarus, Belgium, Belize, Bhutan, Botswana, Brazil, Cabo Verde, Cambodia, Cameroon, Canada, Chile, China, Comoros, Côte d’Ivoire, Croatia, Cuba, Czechia, Denmark, Ecuador, Egypt, Eswatini, Ethiopia, France, Gambia, Georgia, Ghana, Greece, Grenada, Guatemala, Guinea, Guyana, Honduras, India, Indonesia, Iraq, Ireland, Jamaica, Japan, Kiribati, Lao People’s Democratic Republic, Lebanon, Liberia, Luxembourg, Malawi, Mauritius, Mexico, Mongolia, Morocco, Myanmar, Namibia, New Zealand, Niger, Nigeria, Norway, Oman, Pakistan, Peru, Portugal, Qatar, Republic of Korea, Russian Federation, Rwanda, Saint Kitts and Nevis, Saint Vincent and the Grenadines, Samoa, Seychelles, Sierra Leone, Slovakia, Slovenia, Solomon Islands, South Africa, Sri Lanka, Sudan, Sweden, Switzerland, the former Yugoslav Republic of Macedonia, Timor-Leste, Togo, Tunisia, Uganda, Ukraine, United Kingdom, United Republic of Tanzania, Uruguay, Viet Nam, Yemen and Zimbabwe.</w:t>
      </w:r>
    </w:p>
  </w:footnote>
  <w:footnote w:id="6">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The analysis is based on the information contained in the NBSAPs and comments received during and after the second meeting of the Subsidiary Body on Implementation. Of the 155 Parties listed in footnote 1 above which submitted an NBSAP by 14 March 2018, two Parties (Latvia and Portugal) did not provide a version in an official language of the United Nations and were therefore not included in the analysis.</w:t>
      </w:r>
    </w:p>
  </w:footnote>
  <w:footnote w:id="7">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Afghanistan, Albania, Algeria, Andorra, Antigua and Barbuda, Argentina, Armenia, Australia, Austria, Bahrain, Bangladesh, Belize, Benin, Bhutan, Bosnia and Herzegovina, Botswana, Brazil, Burkina Faso, Burundi, Cabo Verde, Cambodia, Cameroon, Chad, Chile, China, Comoros, Congo, Costa Rica, Côte d’Ivoire, Croatia, Democratic People’s Republic of Korea, Democratic Republic of the Congo,  Djibouti, Dominica, Dominican Republic, Ecuador, Egypt, Equatorial Guinea, Eritrea, Estonia, Eswatini, Ethiopia, European Union, Finland, Gambia, Guinea-Bissau, Georgia, Ghana, Greece, Grenada, Guatemala, Guyana, Honduras, Indonesia, Ireland, Iran (Islamic Republic of), Iraq, Italy, Jamaica, Japan, Jordan, Kiribati, Lao People’s Democratic Republic, Lebanon, Liberia, Liechtenstein, Luxembourg, Madagascar, Malawi, Malaysia, Maldives, Mali, Malta, Mauritius, Mexico, Montenegro, Morocco, Mozambique, Myanmar, Nicaragua, Namibia, Nauru, Nepal, New Zealand, Niger, Nigeria, Niue, Norway, Palau, Pakistan, Paraguay, Peru, Philippines, Poland, Republic of Korea, Republic of Moldova, Romania, Russian Federation, Rwanda, Qatar, Saint Kitts and Nevis, Saint Vincent and the Grenadines, Samoa, San Marino, Sao Tome and Principe, Senegal, Serbia, Seychelles, Solomon Islands, Somalia, South Africa, Spain, Sri Lanka, Sudan, Tajikistan, Thailand, Timor-Leste, Togo, Trinidad and Tobago, Tunisia, Turkmenistan, Tuvalu, Uganda, Ukraine, United Republic of Tanzania, Uruguay, Vanuatu, Yemen, Zambia and Zimbabwe.</w:t>
      </w:r>
    </w:p>
  </w:footnote>
  <w:footnote w:id="8">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Azerbaijan, Belarus, Belgium, Brunei Darussalam, Czechia, Colombia, Denmark, El Salvador, France, Guinea, Hungary, Kyrgyzstan, Mauritania, Netherlands, Sierra Leone, Slovakia, Sweden, Switzerland, United Arab Emirates, United Kingdom, Venezuela (Bolivarian Republic of) and Viet Nam.</w:t>
      </w:r>
    </w:p>
  </w:footnote>
  <w:footnote w:id="9">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Belarus, Colombia, El Salvador, Finland, Slovakia, Venezuela (Bolivarian Republic of) and Switzerland.</w:t>
      </w:r>
    </w:p>
  </w:footnote>
  <w:footnote w:id="10">
    <w:p w:rsidR="00D01193" w:rsidRPr="00042EB6" w:rsidRDefault="00D01193" w:rsidP="00D823A0">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042EB6">
        <w:rPr>
          <w:rStyle w:val="FootnoteReference"/>
          <w:snapToGrid w:val="0"/>
          <w:kern w:val="18"/>
          <w:szCs w:val="18"/>
          <w:u w:val="none"/>
          <w:vertAlign w:val="superscript"/>
        </w:rPr>
        <w:footnoteRef/>
      </w:r>
      <w:r w:rsidRPr="00042EB6">
        <w:rPr>
          <w:snapToGrid w:val="0"/>
          <w:kern w:val="18"/>
          <w:sz w:val="18"/>
          <w:szCs w:val="18"/>
        </w:rPr>
        <w:t xml:space="preserve"> Afghanistan (2014-2017), Burkina Faso (Action Plan 2015), Peru (2018), Republic of Korea (2018), Serbia (2018), Spain (2017), Suriname (2016), and Tuvalu (2016).</w:t>
      </w:r>
    </w:p>
  </w:footnote>
  <w:footnote w:id="11">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Antigua and Barbuda, Argentina, Austria, Azerbaijan, Belarus, Belize, Belgium, Benin, Bosnia and Herzegovina, Burundi, Cambodia, Cameroon, Canada, Chad, Comoros, Côte d’Ivoire, Cuba, Democratic Republic of the Congo,  Djibouti, Dominica, Dominican Republic, Eritrea, Estonia, Ethiopia, European Union, Finland, France, Gambia, Georgia, Germany, Grenada, Guyana, Guinea, Guinea-Bissau, Kyrgyzstan, India, Indonesia, Iraq, Italy, Japan, Jordan, Kiribati, Liechtenstein, Lithuania, Mali, Malta, Mauritania, Montenegro, Morocco, Nepal, Netherlands, New Zealand, Nicaragua, Niger, Nigeria, Paraguay,  Poland, Republic of Moldova, Romania, Russian Federation, Saint Kitts and Nevis, Saint Vincent and the Grenadines, Samoa, Sao Tome and Principe, Senegal, Seychelles, Slovakia, Solomon Islands, Sudan, Sweden, Switzerland, Tajikistan, Timor-Leste, Togo, United Kingdom, United Republic of Tanzania, Uruguay, Venezuela (Bolivarian Republic of), Viet Nam and Zimbabwe.</w:t>
      </w:r>
    </w:p>
  </w:footnote>
  <w:footnote w:id="12">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Algeria (2030), Andorra (2024), Australia (2030), Bahrain (2021), Bangladesh (2021), Botswana (2025), Brunei Darussalam (2035), Cabo Verde (2030), Chile (2030), China (2030), Congo (2030), Costa Rica (2025),  Croatia (2025), Czechia (2025), Honduras (2022), Ecuador (2030), Egypt (2030), Eswatini (2022), Ghana (2040), Greece (2029), Guatemala (2022), Guinea (2025), Iran (Islamic Republic of) (2030),  Ireland (2021), Jamaica (2021), Kyrgyzstan (2024), Lao People’s Democratic Republic (2025), Lebanon (2030), Liberia (2025), Luxembourg (2021), Madagascar (2025), Malawi (2025), Malaysia (2025), Maldives (2025), Mauritius (2025), Mexico (2030), Mongolia (2025), Mozambique (2035), Namibia (2022), Pakistan (2030), Palau (2025), Philippines (2028), Qatar (2025), San Marino (2025), Senegal (2030), Sierra Leone (2026), Somalia (2030), South Africa (2025), Sri Lanka (2022), Thailand (2021), Trinidad and Tobago (2022), Tunisia (2030), Turkmenistan (2023), Uganda (2025), United Arab Emirates (2021), Vanuatu (2030), Yemen (2025) and Zambia (2025).</w:t>
      </w:r>
    </w:p>
  </w:footnote>
  <w:footnote w:id="13">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Andorra, Argentina, Armenia, Azerbaijan, Belarus, Benin, Bosnia and Herzegovina, Cambodia, Chile, Colombia, Costa Rica, Croatia, Denmark, Estonia, European Union, Finland, France, Georgia, Germany, Greece, Grenada, Guyana, Hungary, India, Japan, Kyrgyzstan, Luxembourg, Madagascar, Malta, Mongolia, Myanmar, Namibia, Nauru, Nepal, Netherlands, Norway, Palau, Poland, Peru, Republic of Korea, Republic of Moldova, Serbia, Seychelles, Spain, Sri Lanka, Sudan, Sweden, Switzerland, Thailand, Tuvalu, Ukraine and Zimbabwe.</w:t>
      </w:r>
    </w:p>
  </w:footnote>
  <w:footnote w:id="14">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Australia, Bhutan, Dominican Republic Guatemala, Lithuania and Tajikistan.</w:t>
      </w:r>
    </w:p>
  </w:footnote>
  <w:footnote w:id="15">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Afghanistan, Antigua and Barbuda, Burundi, Eswatini, Guinea, Jordan, Kiribati (in process), Lebanon, Mauritania, Mauritius, Pakistan, Philippines, Romania, Samoa, Solomon Islands, Uganda and Vanuatu.</w:t>
      </w:r>
    </w:p>
  </w:footnote>
  <w:footnote w:id="16">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Albania, Algeria, Antigua and Barbuda, Argentina, Armenia, Australia, Azerbaijan, Bahrain, Bangladesh, Belgium, Belize, Benin, Bhutan, Bosnia and Herzegovina, Botswana, Brazil, Burundi, Cabo Verde, Cambodia, Cameroon, Chad, Chile, Costa Rica, Croatia, Cuba, Czechia, China, Colombia, Comoros, Congo, Dominica, Democratic People’s Republic of Korea, Democratic Republic of the Congo, Djibouti, Ecuador, Egypt, Equatorial Guinea, Eswatini, Ethiopia, European Union, Finland, France, Gambia, Georgia, Germany, Ghana, Grenada, Guinea, Honduras, India, Indonesia, Iran (Islamic Republic of), Ireland, Japan, Jordan, Kyrgyzstan, Lao People’s Democratic Republic, Lebanon, Liberia, Luxembourg, Madagascar, Malawi, Mauritania, Mauritius, Mexico, Mongolia, Montenegro, Morocco, Mozambique, Namibia, Nepal, Nigeria, Niue, Pakistan, Palau, Paraguay, Philippines, Poland, Qatar, Republic of Korea, Republic of Moldova, Russian Federation, Rwanda, Saint Kitts and Nevis, Saint Vincent and the Grenadines, Samoa, Sao Tome and Principe, Senegal, Seychelles, Sierra Leone, Slovakia, South Africa, Sri Lanka, Suriname, Tajikistan, Thailand, Togo, Trinidad and Tobago, Tunisia, Viet Nam, Uganda, United Kingdom, United Republic of Tanzania, Uruguay, Vanuatu, Yemen, Zambia and Zimbabwe.</w:t>
      </w:r>
    </w:p>
  </w:footnote>
  <w:footnote w:id="17">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This includes assessments of implementation of relevance to the Strategic Plan for Biodiversity 2011-2020, among others.</w:t>
      </w:r>
    </w:p>
  </w:footnote>
  <w:footnote w:id="18">
    <w:p w:rsidR="00D01193" w:rsidRPr="00CA643A" w:rsidRDefault="00D01193" w:rsidP="00D823A0">
      <w:pPr>
        <w:pStyle w:val="FootnoteText"/>
        <w:suppressLineNumbers/>
        <w:suppressAutoHyphens/>
        <w:kinsoku w:val="0"/>
        <w:overflowPunct w:val="0"/>
        <w:autoSpaceDE w:val="0"/>
        <w:autoSpaceDN w:val="0"/>
        <w:adjustRightInd w:val="0"/>
        <w:snapToGrid w:val="0"/>
        <w:ind w:firstLine="0"/>
        <w:jc w:val="left"/>
        <w:rPr>
          <w:snapToGrid w:val="0"/>
          <w:spacing w:val="-3"/>
          <w:kern w:val="18"/>
          <w:szCs w:val="18"/>
        </w:rPr>
      </w:pPr>
      <w:r w:rsidRPr="00CA643A">
        <w:rPr>
          <w:rStyle w:val="FootnoteReference"/>
          <w:snapToGrid w:val="0"/>
          <w:spacing w:val="-3"/>
          <w:kern w:val="18"/>
          <w:szCs w:val="18"/>
          <w:u w:val="none"/>
          <w:vertAlign w:val="superscript"/>
        </w:rPr>
        <w:footnoteRef/>
      </w:r>
      <w:r w:rsidRPr="00CA643A">
        <w:rPr>
          <w:snapToGrid w:val="0"/>
          <w:spacing w:val="-3"/>
          <w:kern w:val="18"/>
          <w:szCs w:val="18"/>
        </w:rPr>
        <w:t xml:space="preserve"> Croatia, Dominica, Honduras, Iran (Islamic Republic of), Ireland, Jordan, Mongolia, Montenegro, Namibia, Poland, Republic of Korea, Saint Kitts and Nevis, Sierra Leone, South Africa, Sri Lanka, Tajikistan, Thailand, United Republic of Tanzania and Viet Nam.</w:t>
      </w:r>
    </w:p>
  </w:footnote>
  <w:footnote w:id="19">
    <w:p w:rsidR="00D01193" w:rsidRPr="00743B91" w:rsidRDefault="00D01193" w:rsidP="00D823A0">
      <w:pPr>
        <w:pStyle w:val="FootnoteText"/>
        <w:suppressLineNumbers/>
        <w:suppressAutoHyphens/>
        <w:kinsoku w:val="0"/>
        <w:overflowPunct w:val="0"/>
        <w:autoSpaceDE w:val="0"/>
        <w:autoSpaceDN w:val="0"/>
        <w:adjustRightInd w:val="0"/>
        <w:snapToGrid w:val="0"/>
        <w:ind w:firstLine="0"/>
        <w:jc w:val="left"/>
        <w:rPr>
          <w:snapToGrid w:val="0"/>
          <w:spacing w:val="-1"/>
          <w:kern w:val="18"/>
          <w:szCs w:val="18"/>
        </w:rPr>
      </w:pPr>
      <w:r w:rsidRPr="00743B91">
        <w:rPr>
          <w:rStyle w:val="FootnoteReference"/>
          <w:snapToGrid w:val="0"/>
          <w:spacing w:val="-1"/>
          <w:kern w:val="18"/>
          <w:szCs w:val="18"/>
          <w:u w:val="none"/>
          <w:vertAlign w:val="superscript"/>
        </w:rPr>
        <w:footnoteRef/>
      </w:r>
      <w:r w:rsidRPr="00743B91">
        <w:rPr>
          <w:rStyle w:val="FootnoteReference"/>
          <w:snapToGrid w:val="0"/>
          <w:spacing w:val="-1"/>
          <w:kern w:val="18"/>
          <w:szCs w:val="18"/>
          <w:u w:val="none"/>
          <w:vertAlign w:val="superscript"/>
        </w:rPr>
        <w:t xml:space="preserve"> </w:t>
      </w:r>
      <w:r w:rsidRPr="00743B91">
        <w:rPr>
          <w:snapToGrid w:val="0"/>
          <w:spacing w:val="-1"/>
          <w:kern w:val="18"/>
          <w:szCs w:val="18"/>
        </w:rPr>
        <w:t>Albania, Algeria, Armenia, Australia, Bahrain, Bangladesh, Belize, Bhutan, Cabo Verde, Chad, Chile, China, Comoros, Ecuador, Egypt, Gambia, Georgia, Grenada, Guinea, Ireland, Kiribati, Kyrgyzstan, Lao People’s Democratic Republic, Luxembourg, Madagascar, Malawi, Mauritius, Namibia, Pakistan, Republic of Korea, Rwanda, Samoa, Sao Tome and Principe, Senegal, Seychelles, Sierra Leone, South Africa, Tajikistan, Trinidad and Tobago, Tunisia, Uganda, United Kingdom and Uruguay.</w:t>
      </w:r>
    </w:p>
  </w:footnote>
  <w:footnote w:id="20">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Algeria, Armenia, Australia, Bahrain, Bangladesh, Belize, Botswana, Cambodia, Cameroon, Czechia, Chile, China, Comoros, Croatia,  Democratic Republic of the Congo, Djibouti, Egypt, Equatorial Guinea, Eswatini, Ethiopia, France, Gambia, Grenada,  Guinea, Iran (Islamic Republic of), Indonesia, Jordan, Kiribati, Lao People’s Democratic Republic, Liberia, Luxembourg, Maldives, Mauritius, Mozambique, Namibia, Nigeria, Pakistan, Philippines, Poland, Russian Federation, Rwanda, Saint Kitts and Nevis, Samoa, Saint Vincent and the Grenadines, Senegal, Sierra Leone, Sri Lanka, Tajikistan, Thailand, Trinidad and Tobago, Tunisia, Uganda, United Kingdom, United Republic of Tanzania, Yemen, Zambia, Zimbabwe.</w:t>
      </w:r>
    </w:p>
  </w:footnote>
  <w:footnote w:id="21">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Algeria, Argentina, Brazil, Burundi, Cameroon, Colombia, Costa Rica, Democratic Republic of the Congo, Ethiopia, Finland, Gambia, Ghana, Grenada, Guatemala, Guyana, Honduras, Indonesia, Japan, Malawi, Mexico, Namibia, Paraguay, Peru, Philippines, Senegal, Sierra Leone, Solomon Islands, South Africa, Sri Lanka, Suriname, Thailand, Togo, Uganda, Vanuatu,  Venezuela (Bolivarian Republic of), Yemen and Zambia.</w:t>
      </w:r>
    </w:p>
  </w:footnote>
  <w:footnote w:id="22">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rStyle w:val="FootnoteReference"/>
          <w:snapToGrid w:val="0"/>
          <w:kern w:val="18"/>
          <w:szCs w:val="18"/>
          <w:u w:val="none"/>
        </w:rPr>
        <w:t xml:space="preserve"> </w:t>
      </w:r>
      <w:r w:rsidRPr="00042EB6">
        <w:rPr>
          <w:snapToGrid w:val="0"/>
          <w:kern w:val="18"/>
          <w:szCs w:val="18"/>
        </w:rPr>
        <w:t>Afghanistan, Algeria, Andorra, Antigua and Barbuda, Argentina, Bahrain, Bangladesh, Belarus, Belgium, Belize, Bhutan, Bosnia and Herzegovina, Brazil, Burundi, Cabo Verde, Cameroon, Chile, Colombia, Congo, Costa Rica, Côte d’Ivoire, Croatia, Democratic Republic of the Congo, Djibouti, Dominica, Dominican Republic, Equatorial Guinea, Eritrea, Estonia, Eswatini, Ethiopia, Finland, France, Gambia, Georgia, Ghana, Greece, Grenada, Guatemala, Guinea, Guyana, Honduras, Hungary, Indonesia, Iraq, Ireland,  Jamaica, Japan, Kiribati, Lao People’s Democratic Republic, Lebanon, Liberia, Liechtenstein, Lithuania, Malawi, Maldives, Mauritius, Mexico, Mongolia, Myanmar, Mozambique, Myanmar, Namibia, Nauru, Nigeria, Palau, Paraguay, Peru, Philippines, Rwanda, Saint Kitts and Nevis, Samoa, Senegal, Serbia, Seychelles, Sierra Leone, Solomon Islands, Somalia, South Africa, Spain, Sri Lanka, Sudan, Tajikistan, Thailand, Timor-Leste, Togo, Trinidad and Tobago, Uganda, United Republic of Tanzania, Uruguay, Vanuatu, Yemen,  Zambia and Zimbabwe.</w:t>
      </w:r>
    </w:p>
  </w:footnote>
  <w:footnote w:id="23">
    <w:p w:rsidR="00D01193" w:rsidRPr="007457D5" w:rsidRDefault="00D01193" w:rsidP="00D823A0">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rPr>
      </w:pPr>
      <w:r w:rsidRPr="007457D5">
        <w:rPr>
          <w:rStyle w:val="FootnoteReference"/>
          <w:snapToGrid w:val="0"/>
          <w:spacing w:val="-2"/>
          <w:kern w:val="18"/>
          <w:szCs w:val="18"/>
          <w:u w:val="none"/>
          <w:vertAlign w:val="superscript"/>
        </w:rPr>
        <w:footnoteRef/>
      </w:r>
      <w:r w:rsidRPr="007457D5">
        <w:rPr>
          <w:snapToGrid w:val="0"/>
          <w:spacing w:val="-2"/>
          <w:kern w:val="18"/>
          <w:szCs w:val="18"/>
        </w:rPr>
        <w:t xml:space="preserve"> Algeria, Bahrain, Belize, Brazil, Cabo Verde, Cameroon, Chile, Colombia, Congo, Croatia, Dominica, Dominican Republic, Estonia, Eswatini, Finland, France, Gambia, Georgia, Guatemala, Guinea, Guyana, Iraq, Jamaica, Japan, Kiribati, Lao People’s Democratic Republic, Malawi, Maldives, Mauritius, Mozambique, Namibia, Paraguay, Peru, Philippines, Rwanda, Solomon Islands, Somalia, Spain, Sri Lanka, Sudan, Switzerland, Thailand, Togo, Uganda, United Republic of Tanzania, Uruguay and Yemen.</w:t>
      </w:r>
    </w:p>
  </w:footnote>
  <w:footnote w:id="24">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Afghanistan, Algeria, Argentina, Bahrain, Bangladesh, Belize, Bosnia and Herzegovina, Brazil, Cabo Verde, Cambodia, Chile, Colombia, Côte d’Ivoire, Dominican Republic, Equatorial Guinea, Eritrea, Estonia, Eswatini, Ethiopia, Finland, France, Gambia, Georgia, Ghana, Guatemala, Honduras, Iran (Islamic Republic of), Iraq, Ireland, Jamaica, Japan, Jordan, Lao People’s Democratic Republic, Kyrgyzstan, Lebanon, Malawi, Mauritius, Mexico, Mongolia, Morocco, Mozambique, Myanmar, Namibia, Nigeria, Paraguay, Philippines, Samoa, Senegal, Serbia, Seychelles, Sierra Leone, Somalia, Spain, Sri Lanka, Tajikistan, Thailand, Timor-Leste, Togo, Uganda, United Republic of Tanzania, Uruguay, Yemen, Zambia and Zimbabwe.</w:t>
      </w:r>
    </w:p>
  </w:footnote>
  <w:footnote w:id="25">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Afghanistan, Algeria, Andorra, Antigua and Barbuda, Argentina, Australia, Austria, Bahrain, Bangladesh, Belarus, Belgium, Bhutan, Bosnia and Herzegovina, Botswana, Brazil, Burkina Faso (according to IUCN study), Cabo Verde, Cambodia, Cameroon, Chad, Czechia, Colombia (according to IUCN study), Congo, Costa Rica, Dominican Republic, Democratic People’s Republic of Korea, Egypt, Eritrea, Estonia, Eswatini, Ethiopia, European Union, France, Finland, Gambia, Georgia, Greece, Guatemala (according to IUCN study), Guinea, Guyana, Honduras, India, Indonesia, Iran (Islamic Republic of), Iraq, Ireland, Jamaica, Japan, Jordan, Lao People’s Democratic Republic, Lebanon, Liberia, Luxembourg, Madagascar, Maldives, Mali, Mexico, Morocco, Mozambique, Myanmar, Namibia, Nauru, Netherlands, Nepal, Nigeria, Niue, Pakistan, Palau, Paraguay, Peru, Philippines, Romania, Saint Vincent and the Grenadines, Samoa, Senegal, Serbia, Seychelles, Sierra Leone, Somalia, South Africa, Sudan, Tajikistan, Timor-Leste, Togo, Trinidad and Tobago, Uganda, United Republic of Tanzania, Viet Nam, Yemen, Zambia and Zimbabwe.</w:t>
      </w:r>
    </w:p>
  </w:footnote>
  <w:footnote w:id="26">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snapToGrid w:val="0"/>
          <w:kern w:val="18"/>
          <w:szCs w:val="18"/>
          <w:vertAlign w:val="superscript"/>
        </w:rPr>
        <w:footnoteRef/>
      </w:r>
      <w:r w:rsidRPr="00042EB6">
        <w:rPr>
          <w:snapToGrid w:val="0"/>
          <w:kern w:val="18"/>
          <w:szCs w:val="18"/>
        </w:rPr>
        <w:t xml:space="preserve"> Belgium, European Union, France, Japan and Niger.</w:t>
      </w:r>
    </w:p>
  </w:footnote>
  <w:footnote w:id="27">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Antigua and Barbuda, Argentina, Bangladesh, Belize, Costa Rica, Dominica, Democratic People’s Republic of Korea, Equatorial Guinea, Eswatini, Gambia, Guinea-Bissau, Guyana, Iraq, Jordan, Kiribati, Liberia, Malawi, Mongolia, Myanmar, Nepal, Niue, Peru, Saint Vincent and the Grenadines, San Marino, Sierra Leone, South Africa, Sri Lanka, Sudan, Timor-Leste, United Arab Emirates, United Republic of Tanzania.</w:t>
      </w:r>
    </w:p>
  </w:footnote>
  <w:footnote w:id="28">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Albania, Algeria, Australia, Belgium, Burundi, Cambodia, Cameroon, Chad, China, Colombia, </w:t>
      </w:r>
      <w:r>
        <w:rPr>
          <w:snapToGrid w:val="0"/>
          <w:kern w:val="18"/>
          <w:szCs w:val="18"/>
        </w:rPr>
        <w:t>Democratic Republic of the Congo</w:t>
      </w:r>
      <w:r w:rsidRPr="00042EB6">
        <w:rPr>
          <w:snapToGrid w:val="0"/>
          <w:kern w:val="18"/>
          <w:szCs w:val="18"/>
        </w:rPr>
        <w:t>, Egypt, Ethiopia, European Union, Finland, Georgia, Germany, Guatemala, Indonesia,  Iran (Islamic Republic of), Italy, Japan, Lao People’s Democratic Republic, Lebanon, Luxembourg, Madagascar, Malaysia, Maldives, Mali, Malta, Mexico, Morocco, Mozambique, Norway, Philippines, Qatar, Republic of Korea, Republic of Moldova, Romania, Samoa, Togo, United Kingdom, Yemen and Venezuela (Bolivarian Republic of).</w:t>
      </w:r>
    </w:p>
  </w:footnote>
  <w:footnote w:id="29">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Belgium, Benin, Bosnia and Herzegovina, Botswana, Burundi, Comoros, Costa Rica, Côte d’Ivoire, </w:t>
      </w:r>
      <w:r>
        <w:rPr>
          <w:snapToGrid w:val="0"/>
          <w:kern w:val="18"/>
          <w:szCs w:val="18"/>
        </w:rPr>
        <w:t>Democratic Republic of the Congo</w:t>
      </w:r>
      <w:r w:rsidRPr="00042EB6">
        <w:rPr>
          <w:snapToGrid w:val="0"/>
          <w:kern w:val="18"/>
          <w:szCs w:val="18"/>
        </w:rPr>
        <w:t>, Guinea, Guyana, Liberia, Malawi, Maldives, Mali, Mauritania, Morocco, Niger, Nigeria, Niue, Palau, Rwanda, Timor-Leste and Yemen.</w:t>
      </w:r>
    </w:p>
  </w:footnote>
  <w:footnote w:id="30">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Some Parties may have submitted resource mobilization strategies or components thereof, not in their NBSAP, but in their financial reports to the Convention and/or in their fifth national reports or other documents. These are not considered in the present document.</w:t>
      </w:r>
    </w:p>
  </w:footnote>
  <w:footnote w:id="31">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Albania, Algeria, Bahrain, Bangladesh, Benin, Bhutan, Botswana, Brunei Darussalam, Burkina Faso, Burundi, Chad, Costa Rica, Dominica, Egypt, Eritrea, Estonia, Eswatini, Finland, Ghana, Guatemala, Guinea-Bissau, Guinea, India, Jamaica, Kiribati, Kyrgyzstan, Lebanon, Liberia, Luxembourg, Madagascar, Malawi, Maldives, Mali, Mauritania, Mauritius, Mozambique, Namibia, Nepal, Nicaragua, Niger, Pakistan, Paraguay, Republic of Moldova, Romania, Rwanda (parts of), Philippines, Saint Kitts and Nevis, Saint Vincent and the Grenadines, Senegal, Sao Tome and Principe, Sierra Leone, Somalia, Sri Lanka, Sudan, Suriname, Spain, Togo, Tunisia, Uganda, Yemen and Zimbabwe.</w:t>
      </w:r>
    </w:p>
  </w:footnote>
  <w:footnote w:id="32">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Afghanistan, Albania, Algeria, Antigua and Barbuda, Argentina, Bangladesh, Cabo Verde, Belarus, Belgium, Benin, Bhutan, Bosnia and Herzegovina, Botswana, Brazil, Burundi, Cambodia, Cameroon, Chile, China, Comoros, Congo, Costa Rica, Cuba, </w:t>
      </w:r>
      <w:r>
        <w:rPr>
          <w:snapToGrid w:val="0"/>
          <w:kern w:val="18"/>
          <w:szCs w:val="18"/>
        </w:rPr>
        <w:t>Democratic Republic of the Congo</w:t>
      </w:r>
      <w:r w:rsidRPr="00042EB6">
        <w:rPr>
          <w:snapToGrid w:val="0"/>
          <w:kern w:val="18"/>
          <w:szCs w:val="18"/>
        </w:rPr>
        <w:t>, Dominican Republic, Djibouti, Equatorial Guinea, Ecuador, Egypt, Eritrea, Eswatini, Ethiopia, European Union, Finland, Gambia, Georgia, Germany, Ghana, Greece, Grenada, Guinea-Bissau, Guinea, Guyana, Hungary, India, Indonesia, Iran (Islamic Republic of), Iraq, Jordan, Jamaica, Japan, Luxembourg, Lao People’s Democratic Republic, Lebanon, Liberia, Madagascar, Malawi, Malaysia, Maldives, Mali, Mauritania, Mauritius, Mexico, Mongolia, Montenegro,  Morocco, Mozambique, Myanmar, Namibia, Nigeria, Niue, Palau, Pakistan, Republic of Korea, Rwanda, Saint Kitts and Nevis, Serbia, Samoa, Serbia, Sierra Leone, Solomon Islands, Somalia, Tajikistan, Thailand, Trinidad and Tobago, Tunisia, Turkmenistan, Uganda, United Arab Emirates, United Republic of Tanzania, Uruguay, Vanuatu, Zambia and Zimbabwe.</w:t>
      </w:r>
    </w:p>
  </w:footnote>
  <w:footnote w:id="33">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Bangladesh, Belize, Benin, Bosnia and Herzegovina, Botswana, Burundi, Comoros, Costa Rica, Côte d’Ivoire, </w:t>
      </w:r>
      <w:r>
        <w:rPr>
          <w:snapToGrid w:val="0"/>
          <w:kern w:val="18"/>
          <w:szCs w:val="18"/>
        </w:rPr>
        <w:t>Democratic Republic of the Congo</w:t>
      </w:r>
      <w:r w:rsidRPr="00042EB6">
        <w:rPr>
          <w:snapToGrid w:val="0"/>
          <w:kern w:val="18"/>
          <w:szCs w:val="18"/>
        </w:rPr>
        <w:t>, Eswatini, Finland, France, Ghana, Guatemala, Guyana, Lebanon, Liberia, Malawi, Maldives, Mauritania, Mexico, Namibia, Nepal, Niger, Nigeria, Niue, Palau, Philippines, Rwanda, Saint Vincent and the Grenadines, Senegal, Sudan, Trinidad and Tobago and Timor-Leste.</w:t>
      </w:r>
    </w:p>
  </w:footnote>
  <w:footnote w:id="34">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rStyle w:val="FootnoteReference"/>
          <w:snapToGrid w:val="0"/>
          <w:kern w:val="18"/>
          <w:szCs w:val="18"/>
          <w:u w:val="none"/>
          <w:vertAlign w:val="superscript"/>
        </w:rPr>
        <w:t xml:space="preserve"> </w:t>
      </w:r>
      <w:r w:rsidRPr="00042EB6">
        <w:rPr>
          <w:snapToGrid w:val="0"/>
          <w:kern w:val="18"/>
          <w:szCs w:val="18"/>
        </w:rPr>
        <w:t>Albania, Algeria, Andorra, Antigua and Barbuda, Argentina, Armenia, Austria, Azerbaijan, Bahrain, Belarus, Belgium, Bhutan, Brazil, Brunei Darussalam, Cabo Verde, Cambodia, Canada, Chad, Cuba, Czechia, Chile, China, Congo, Croatia, Denmark, Dominican Republic, Ecuador, Egypt, Equatorial Guinea, Eritrea, Estonia, Ethiopia, European Union, Finland, Gambia, Georgia, Germany, Ghana, Greece, Grenada, Guinea-Bissau, Guinea, Honduras, Hungary, India, Iran (Islamic Republic of), Iraq, Ireland, Italy, Japan, Jordan, Kiribati, Kyrgyzstan, Lao People’s Democratic Republic, Luxembourg, Madagascar, Malaysia, Mali, Malta, Montenegro,  Mozambique, Nauru, New Zealand, Nicaragua, Norway, Pakistan, Paraguay, Peru, Poland, Qatar, Republic of Korea, Republic of Moldova, Romania, Russian Federation, Saint Kitts and Nevis, Samoa, San Marino, Sao Tome and Principe, Serbia, Sierra Leone,  Slovakia, Solomon Islands, South Africa, Spain, Sweden, Switzerland, Tajikistan, Thailand, Togo, Turkmenistan, Uganda, Ukraine, United Arab Emirates, United Kingdom, United Republic of Tanzania, Uruguay, Venezuela (Bolivarian Republic of), Viet Nam, Vanuatu, Zambia and Zimbabwe.</w:t>
      </w:r>
    </w:p>
  </w:footnote>
  <w:footnote w:id="35">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Albania, Algeria, Andorra, Antigua and Barbuda, Azerbaijan, Armenia, Austria, Bahrain, Bangladesh, Belarus, Belgium, Belize, Benin, Bhutan, Bosnia and Herzegovina, Botswana, Brazil, Burundi, Cabo Verde, Cambodia, Canada, Cuba, Czechia, Chile, China, Comoros, Congo, Costa Rica, Côte d’Ivoire, Denmark, Dominican Republic, Djibouti, Ecuador, Egypt, Equatorial Guinea, Eritrea, Estonia, Eswatini, Ethiopia, Gambia, Georgia, Germany, Ghana, Greece, Grenada, Guinea-Bissau, Guinea, Guyana, Japan, India, Hungary, Indonesia, Iran (Islamic Republic of), Iraq, Ireland, Ireland, Italy, Jamaica, Jordan, Kyrgyzstan, Lao People’s Democratic Republic, Lebanon,  Liberia, Madagascar, Malawi, Malaysia, Maldives, Mali, Malta, Mauritania, Mexico, Mongolia, Montenegro, Morocco, Mozambique, Myanmar, Namibia, New Zealand, Nicaragua, Nigeria, Niue, Pakistan, Palau, Paraguay, Peru, Philippines, Republic of Korea, Qatar, Republic of Moldova, Romania, Russian Federation, Rwanda, Saint Kitts and Nevis, Saint Vincent and the Grenadines, Samoa, San Marino, Senegal, Serbia, Sierra Leone, Slovakia, Solomon Islands, Somalia, South Africa, Spain, Sri Lanka, Sudan, Sweden, Switzerland, Tajikistan, Thailand, Timor-Leste, Togo, Trinidad and Tobago,  Tunisia, Uganda, United Arab Emirates, United Kingdom, United Republic of Tanzania, Uruguay, Vanuatu, Venezuela (Bolivarian Republic of), Zambia and Zimbabwe.</w:t>
      </w:r>
    </w:p>
  </w:footnote>
  <w:footnote w:id="36">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Bosnia and Herzegovina, Botswana, Burundi, Comoros, Guyana, Indonesia, Lebanon, Liberia, Malawi, Maldives, Mali, Mauritius, Morocco, Nigeria, Niue, Palau, Rwanda, Suriname and Timor-Leste.</w:t>
      </w:r>
    </w:p>
  </w:footnote>
  <w:footnote w:id="37">
    <w:p w:rsidR="00D01193" w:rsidRPr="00D0448A" w:rsidRDefault="00D01193" w:rsidP="00D823A0">
      <w:pPr>
        <w:pStyle w:val="FootnoteText"/>
        <w:suppressLineNumbers/>
        <w:suppressAutoHyphens/>
        <w:kinsoku w:val="0"/>
        <w:overflowPunct w:val="0"/>
        <w:autoSpaceDE w:val="0"/>
        <w:autoSpaceDN w:val="0"/>
        <w:adjustRightInd w:val="0"/>
        <w:snapToGrid w:val="0"/>
        <w:ind w:firstLine="0"/>
        <w:jc w:val="left"/>
        <w:rPr>
          <w:snapToGrid w:val="0"/>
          <w:spacing w:val="-1"/>
          <w:kern w:val="18"/>
          <w:szCs w:val="18"/>
        </w:rPr>
      </w:pPr>
      <w:r w:rsidRPr="00D0448A">
        <w:rPr>
          <w:rStyle w:val="FootnoteReference"/>
          <w:snapToGrid w:val="0"/>
          <w:spacing w:val="-1"/>
          <w:kern w:val="18"/>
          <w:szCs w:val="18"/>
          <w:u w:val="none"/>
          <w:vertAlign w:val="superscript"/>
        </w:rPr>
        <w:footnoteRef/>
      </w:r>
      <w:r w:rsidRPr="00D0448A">
        <w:rPr>
          <w:snapToGrid w:val="0"/>
          <w:spacing w:val="-1"/>
          <w:kern w:val="18"/>
          <w:szCs w:val="18"/>
        </w:rPr>
        <w:t xml:space="preserve">Algeria, Andorra, Argentina, Armenia, Austria, Azerbaijan, Bangladesh, Burkina Faso, Bahrain, Belize, Botswana, Brazil, Cabo Verde, Cambodia, Cameroon, Chad, Czechia, Chile, China, Comoros, Congo, Croatia, Cuba, Democratic Republic of </w:t>
      </w:r>
      <w:r>
        <w:rPr>
          <w:snapToGrid w:val="0"/>
          <w:spacing w:val="-1"/>
          <w:kern w:val="18"/>
          <w:szCs w:val="18"/>
        </w:rPr>
        <w:t xml:space="preserve">the </w:t>
      </w:r>
      <w:r w:rsidRPr="00D0448A">
        <w:rPr>
          <w:snapToGrid w:val="0"/>
          <w:spacing w:val="-1"/>
          <w:kern w:val="18"/>
          <w:szCs w:val="18"/>
        </w:rPr>
        <w:t>Congo, Djibouti, Dominica, Egypt, Eritrea, Eswatini, Georgia, Greece, Grenada, Guatemala, Guinea-Bissau, Guinea, Guyana, Honduras, Hungary, India, Iran (Islamic Republic of), Iraq, Ireland, Japan, Jordan, Kiribati, Lao People’s Democratic Republic, Lebanon, Liechtenstein, Lithuania,  Luxembourg, Madagascar, Malawi, Malaysia, Maldives, Mali, Mauritania, Mexico, Mozambique, Myanmar, Namibia, Nauru, Nepal, Nicaragua, Niger, Pakistan, Paraguay, Peru, Philippines, Poland, Republic of Korea, Republic of Moldova ,Romania, Saint Kitts and Nevis, Senegal, Serbia, Seychelles, Sierra Leone, Slovakia, South Africa, Sri Lanka, Sudan, Tajikistam, Togo, Trinidad and Tobago, Turkmenistan, Tuvalu, Uganda, Uruguay, United Kingdom, Zambia and Zimbabwe.</w:t>
      </w:r>
    </w:p>
  </w:footnote>
  <w:footnote w:id="38">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Bosnia and Herzegovina, Botswana, Cambodia, Cameroon, Democratic People’s Republic of Korea, </w:t>
      </w:r>
      <w:r>
        <w:rPr>
          <w:snapToGrid w:val="0"/>
          <w:kern w:val="18"/>
          <w:szCs w:val="18"/>
        </w:rPr>
        <w:t>Democratic Republic of the Congo</w:t>
      </w:r>
      <w:r w:rsidRPr="00042EB6">
        <w:rPr>
          <w:snapToGrid w:val="0"/>
          <w:kern w:val="18"/>
          <w:szCs w:val="18"/>
        </w:rPr>
        <w:t>, Dominican Republic, Eritrea, Guyana, Lao People’s Democratic Republic, Mauritius, Mongolia, Niue, Romania, Samoa, Suriname, Timor-Leste and Tuvalu.</w:t>
      </w:r>
    </w:p>
  </w:footnote>
  <w:footnote w:id="39">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Afghanistan, Bangladesh, Belize, Congo, Jamaica, Nepal, Peru, Saint Kitts and Nevis, Seychelles and Somalia.</w:t>
      </w:r>
    </w:p>
  </w:footnote>
  <w:footnote w:id="40">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Bangladesh, Botswana, Bhutan, Brazil, Cabo Verde, Chile, Colombia, Denmark, Egypt, El Salvador, Ethiopia, European Union, Georgia, Germany, Grenada, Guyana, Indonesia, Ireland, Jamaica, Japan, Lao People’s Democratic Republic, Maldives, Malta, Mauritius, Mongolia, Myanmar, Mexico, Montenegro, Netherlands, Norway, Paraguay, Republic of Moldova, Russian Federation, Saint Kitts and Nevis, Saint Vincent and the Grenadines, Sao Tome and Principe, Seychelles, Sri Lanka, Sweden, Switzerland, Uganda, Uruguay, Viet Nam, Yemen and Zimbabwe.</w:t>
      </w:r>
    </w:p>
  </w:footnote>
  <w:footnote w:id="41">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Algeria, Argentina, Armenia, Antigua and Barbuda, Bangladesh, Belarus, Belgium, Bhutan, Burundi, Cameroon, Congo, Chile, Dominican Republic, Equatorial Guinea, Estonia, Gambia, Georgia, Greece, Guatemala, India, Japan, Jordan, Mali, Malawi, Mauritania, Mozambique, Namibia, Nigeria, Peru, Saint Kitts and Nevis, Senegal, Somalia, Switzerland, Trinidad and Tobago, Uganda, United Republic of Tanzania, Uruguay and Yemen.</w:t>
      </w:r>
    </w:p>
  </w:footnote>
  <w:footnote w:id="42">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rStyle w:val="FootnoteReference"/>
          <w:snapToGrid w:val="0"/>
          <w:kern w:val="18"/>
          <w:szCs w:val="18"/>
          <w:u w:val="none"/>
          <w:vertAlign w:val="superscript"/>
        </w:rPr>
        <w:t xml:space="preserve"> </w:t>
      </w:r>
      <w:r w:rsidRPr="00042EB6">
        <w:rPr>
          <w:snapToGrid w:val="0"/>
          <w:kern w:val="18"/>
          <w:szCs w:val="18"/>
        </w:rPr>
        <w:t>Andorra, Antigua and Barbuda, Armenia, Belarus, Belgium, Belize, Burundi, Cambodia, Cameroon, Comoros, Croatia, Cuba, Dominica, Dominican Republic, Ecuador, Equatorial Guinea, Estonia, Eswatini, Finland, France, Gambia, Guatemala, India, Japan, Jordan, Iran (Islamic Republic of), Ireland, Italy, Lithuania,  Luxembourg, Malta, Namibia, Nauru, Nepal, Niger, Nigeria, Pakistan, Peru, Republic of Korea, Republic of Moldova, Romania, Rwanda, Sao Tome and Principe, Slovakia, Somalia, Suriname, Timor-Leste, Togo, Turkmenistan, Tuvalu, Vanuatu and Zambia.</w:t>
      </w:r>
    </w:p>
  </w:footnote>
  <w:footnote w:id="43">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Algeria, Bangladesh, Belize, Burkina Faso, Burundi, Bhutan, Cuba, Dominican Republic, Ecuador, Equatorial Guinea, Estonia, Honduras, Iraq, Kiribati, Malawi, Mexico, Namibia, Netherlands, Niger, Niue, Peru, Philippines, Rwanda, Saint Vincent and the Grenadines, Slovakia, South Africa, Thailand, Timor-Leste, Uganda, United Kingdom, Venezuela (Bolivarian Republic of), Viet Nam and United Republic of Tanzania.</w:t>
      </w:r>
    </w:p>
  </w:footnote>
  <w:footnote w:id="44">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Objective 7 refers to guaranteeing the rights of nature and promoting environmental sustainability.</w:t>
      </w:r>
    </w:p>
  </w:footnote>
  <w:footnote w:id="45">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Andorra, Armenia, Bahrain, Belgium, Botswana, Cabo Verde, Cameroon, Chile, Colombia, Comoros, Democratic Republic of the Congo, Egypt, Finland, France, Ghana, Indonesia, Iran (Islamic Republic of), Ireland, Italy, Jamaica, Malawi, Mauritius, Montenegro, Nigeria, Pakistan, Qatar, Romania, San Marino, Solomon Islands, South Africa, United Kingdom, Zambia and Zimbabwe.</w:t>
      </w:r>
    </w:p>
  </w:footnote>
  <w:footnote w:id="46">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Belgium, Czech Republic, Estonia, European Union, Finland, France, Ireland, Kyrgyzstan, Lao People’s Democratic Republic, Luxembourg, Mauritania, Montenegro, Myanmar, Niger, Romania, Serbia, Seychelles, South Africa, Switzerland, Timor-Leste, and Vanuatu.</w:t>
      </w:r>
    </w:p>
  </w:footnote>
  <w:footnote w:id="47">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Afghanistan, Antigua and Barbuda, Belgium, Benin, Bhutan, Botswana, Burkina Faso, Burundi, Cabo Verde, Cambodia, China, Congo, Comoros, Cote d’Ivoire, Equatorial Guinea, Ethiopia, Finland, Gambia, Georgia, Guinea, Guyana, India, Italy, Lao People’s Democratic Republic, Madagascar, Mali, Morocco, Namibia, Nicaragua, Nigeria, Niger, Peru, Philippines, Republic of Moldova, Rwanda, Saint Kitts and Nevis, Solomon Islands, South Africa, Sudan, Togo, Trinidad and Tobago, Uganda, United Republic of Tanzania and Yemen.</w:t>
      </w:r>
    </w:p>
  </w:footnote>
  <w:footnote w:id="48">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Austria, Ireland, Japan, Mexico, Mauritius, Peru, Lao People’s Democratic Republic, Republic of Korea, United Kingdom and Vanuatu.</w:t>
      </w:r>
    </w:p>
  </w:footnote>
  <w:footnote w:id="49">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w:t>
      </w:r>
      <w:hyperlink r:id="rId2" w:history="1">
        <w:r w:rsidRPr="00042EB6">
          <w:rPr>
            <w:rStyle w:val="Hyperlink"/>
            <w:snapToGrid w:val="0"/>
            <w:kern w:val="18"/>
            <w:szCs w:val="18"/>
          </w:rPr>
          <w:t>https://www.cbd.int/nbsap/related-info/sbsap/default.shtml</w:t>
        </w:r>
      </w:hyperlink>
    </w:p>
  </w:footnote>
  <w:footnote w:id="50">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Bosnia and Herzegovina, China, Democratic People’s Republic of Korea, Ireland, Malawi, Myanmar, Nepal, Nigeria, Russian Federation, Ukraine and United Kingdom.</w:t>
      </w:r>
    </w:p>
  </w:footnote>
  <w:footnote w:id="51">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Australia, Belgium, Burundi, Cambodia, Cameroon, Canada, Democratic Republic of the Congo, France, India, Lao People’s Democratic Republic, Malta, Malawi, Malaysia, Nigeria, Norway, Russian Federation, Sudan, Switzerland, United Kingdom, Republic of Korea, Thailand and Zimbabwe.</w:t>
      </w:r>
    </w:p>
  </w:footnote>
  <w:footnote w:id="52">
    <w:p w:rsidR="00D01193" w:rsidRPr="00042EB6" w:rsidRDefault="00D01193" w:rsidP="00D823A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42EB6">
        <w:rPr>
          <w:rStyle w:val="FootnoteReference"/>
          <w:snapToGrid w:val="0"/>
          <w:kern w:val="18"/>
          <w:szCs w:val="18"/>
          <w:u w:val="none"/>
          <w:vertAlign w:val="superscript"/>
        </w:rPr>
        <w:footnoteRef/>
      </w:r>
      <w:r w:rsidRPr="00042EB6">
        <w:rPr>
          <w:snapToGrid w:val="0"/>
          <w:kern w:val="18"/>
          <w:szCs w:val="18"/>
        </w:rPr>
        <w:t xml:space="preserve"> Azerbaijan, Bahrain, Bangladesh, Bhutan, Brazil, Burkina Faso, Burundi, Cabo Verde, Cambodia, Cameroon, Chad, Comoros, Congo, Costa Rica, Cuba, Djibouti, Dominican Republic, Ecuador, Egypt, Equatorial Guinea, Eritrea, Ethiopia, Gambia, Georgia, Ghana, Guatemala, Guinea, Guinea-Bissau, Guyana, Honduras, India, Iraq, Jamaica, Japan, Kiribati, Lao People’s Democratic Republic, Liberia, Madagascar, Malawi, Mali, Mauritania, Mexico, Morocco, Mozambique, Myanmar, Namibia, Nauru, Nepal, Nicaragua, Niger, Nigeria, Pakistan, Paraguay, Peru, Philippines, Rwanda, Saint Kitts and Nevis, Senegal, Sierra Leone, Solomon Islands, Sudan, Thailand, Timor-Leste, Togo, Tunisia, Tuvalu, Uganda, United Republic of Tanzania, Uruguay, Vanuatu, Yemen and Zimbabwe.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93" w:rsidRPr="00B012FB" w:rsidRDefault="00D01193" w:rsidP="00B012FB">
    <w:pPr>
      <w:pStyle w:val="Header"/>
      <w:tabs>
        <w:tab w:val="clear" w:pos="4320"/>
        <w:tab w:val="clear" w:pos="8640"/>
      </w:tabs>
      <w:kinsoku w:val="0"/>
      <w:overflowPunct w:val="0"/>
      <w:autoSpaceDE w:val="0"/>
      <w:autoSpaceDN w:val="0"/>
      <w:jc w:val="left"/>
      <w:rPr>
        <w:noProof/>
        <w:kern w:val="22"/>
      </w:rPr>
    </w:pPr>
    <w:r w:rsidRPr="00B012FB">
      <w:rPr>
        <w:noProof/>
        <w:kern w:val="22"/>
      </w:rPr>
      <w:t>CBD/</w:t>
    </w:r>
    <w:r>
      <w:rPr>
        <w:noProof/>
        <w:kern w:val="22"/>
      </w:rPr>
      <w:t>COP/14/5/Add.1</w:t>
    </w:r>
  </w:p>
  <w:p w:rsidR="00D01193" w:rsidRPr="00B012FB" w:rsidRDefault="00D01193" w:rsidP="00B012FB">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6</w:t>
    </w:r>
    <w:r w:rsidRPr="00B012FB">
      <w:rPr>
        <w:noProof/>
        <w:kern w:val="22"/>
      </w:rPr>
      <w:fldChar w:fldCharType="end"/>
    </w:r>
  </w:p>
  <w:p w:rsidR="00D01193" w:rsidRPr="00B012FB" w:rsidRDefault="00D01193"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93" w:rsidRPr="00B012FB" w:rsidRDefault="00D01193" w:rsidP="00B012FB">
    <w:pPr>
      <w:pStyle w:val="Header"/>
      <w:tabs>
        <w:tab w:val="clear" w:pos="4320"/>
        <w:tab w:val="clear" w:pos="8640"/>
      </w:tabs>
      <w:kinsoku w:val="0"/>
      <w:overflowPunct w:val="0"/>
      <w:autoSpaceDE w:val="0"/>
      <w:autoSpaceDN w:val="0"/>
      <w:jc w:val="right"/>
      <w:rPr>
        <w:noProof/>
        <w:kern w:val="22"/>
      </w:rPr>
    </w:pPr>
    <w:r>
      <w:rPr>
        <w:noProof/>
        <w:kern w:val="22"/>
        <w:lang w:val="en-US"/>
      </w:rPr>
      <w:t>CBD/COP/14/5/Add.1</w:t>
    </w:r>
  </w:p>
  <w:p w:rsidR="00D01193" w:rsidRPr="00B012FB" w:rsidRDefault="00D01193" w:rsidP="00B012FB">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7</w:t>
    </w:r>
    <w:r w:rsidRPr="00B012FB">
      <w:rPr>
        <w:noProof/>
        <w:kern w:val="22"/>
      </w:rPr>
      <w:fldChar w:fldCharType="end"/>
    </w:r>
  </w:p>
  <w:p w:rsidR="00D01193" w:rsidRPr="00B012FB" w:rsidRDefault="00D01193" w:rsidP="00B012FB">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93" w:rsidRDefault="00D01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3EE"/>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17E3"/>
    <w:multiLevelType w:val="multilevel"/>
    <w:tmpl w:val="0602C7BC"/>
    <w:lvl w:ilvl="0">
      <w:start w:val="1"/>
      <w:numFmt w:val="lowerLetter"/>
      <w:lvlText w:val="(%1)"/>
      <w:lvlJc w:val="left"/>
      <w:pPr>
        <w:tabs>
          <w:tab w:val="num" w:pos="1080"/>
        </w:tabs>
        <w:ind w:left="720" w:firstLine="0"/>
      </w:pPr>
      <w:rPr>
        <w:rFonts w:ascii="Times New Roman" w:eastAsia="Times New Roman" w:hAnsi="Times New Roman" w:cs="Times New Roman"/>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6F57821"/>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9CA203F"/>
    <w:multiLevelType w:val="hybridMultilevel"/>
    <w:tmpl w:val="E49CBC76"/>
    <w:lvl w:ilvl="0" w:tplc="A7A855F2">
      <w:start w:val="1"/>
      <w:numFmt w:val="lowerLetter"/>
      <w:lvlText w:val="(%1)"/>
      <w:lvlJc w:val="left"/>
      <w:pPr>
        <w:ind w:left="1350"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4A3598"/>
    <w:multiLevelType w:val="hybridMultilevel"/>
    <w:tmpl w:val="8FC2ADF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A14CF"/>
    <w:multiLevelType w:val="hybridMultilevel"/>
    <w:tmpl w:val="0BD420FC"/>
    <w:lvl w:ilvl="0" w:tplc="3188AFB8">
      <w:start w:val="10"/>
      <w:numFmt w:val="decimal"/>
      <w:lvlText w:val="%1."/>
      <w:lvlJc w:val="left"/>
      <w:pPr>
        <w:ind w:left="720" w:hanging="360"/>
      </w:pPr>
      <w:rPr>
        <w:b w:val="0"/>
      </w:rPr>
    </w:lvl>
    <w:lvl w:ilvl="1" w:tplc="E6DAE756">
      <w:start w:val="1"/>
      <w:numFmt w:val="lowerLetter"/>
      <w:lvlText w:val="(%2)"/>
      <w:lvlJc w:val="left"/>
      <w:pPr>
        <w:ind w:left="144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97346CF"/>
    <w:multiLevelType w:val="hybridMultilevel"/>
    <w:tmpl w:val="6AB64D2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22AA6"/>
    <w:multiLevelType w:val="hybridMultilevel"/>
    <w:tmpl w:val="BDF4C4C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C1533"/>
    <w:multiLevelType w:val="hybridMultilevel"/>
    <w:tmpl w:val="FF66A0EA"/>
    <w:lvl w:ilvl="0" w:tplc="7B82C9EA">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9DD2293"/>
    <w:multiLevelType w:val="hybridMultilevel"/>
    <w:tmpl w:val="2062CDA0"/>
    <w:lvl w:ilvl="0" w:tplc="7B82C9EA">
      <w:start w:val="1"/>
      <w:numFmt w:val="lowerLetter"/>
      <w:lvlText w:val="(%1)"/>
      <w:lvlJc w:val="left"/>
      <w:pPr>
        <w:tabs>
          <w:tab w:val="num" w:pos="540"/>
        </w:tabs>
        <w:ind w:left="540" w:hanging="360"/>
      </w:pPr>
      <w:rPr>
        <w:rFonts w:ascii="Times New Roman" w:eastAsia="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DFB725F"/>
    <w:multiLevelType w:val="hybridMultilevel"/>
    <w:tmpl w:val="A1CA703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9365F83"/>
    <w:multiLevelType w:val="hybridMultilevel"/>
    <w:tmpl w:val="68FE6316"/>
    <w:lvl w:ilvl="0" w:tplc="3188AFB8">
      <w:start w:val="10"/>
      <w:numFmt w:val="decimal"/>
      <w:lvlText w:val="%1."/>
      <w:lvlJc w:val="left"/>
      <w:pPr>
        <w:ind w:left="720" w:hanging="360"/>
      </w:pPr>
      <w:rPr>
        <w:b w:val="0"/>
      </w:rPr>
    </w:lvl>
    <w:lvl w:ilvl="1" w:tplc="CADAA784">
      <w:start w:val="1"/>
      <w:numFmt w:val="lowerLetter"/>
      <w:lvlText w:val="(%2)"/>
      <w:lvlJc w:val="left"/>
      <w:pPr>
        <w:ind w:left="1440" w:hanging="360"/>
      </w:pPr>
      <w:rPr>
        <w:rFonts w:ascii="Times New Roman" w:eastAsia="Times New Roman" w:hAnsi="Times New Roman" w:cs="Times New Roman" w:hint="default"/>
        <w:i w:val="0"/>
        <w:iCs w:val="0"/>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E6162"/>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9"/>
  </w:num>
  <w:num w:numId="5">
    <w:abstractNumId w:val="6"/>
  </w:num>
  <w:num w:numId="6">
    <w:abstractNumId w:val="16"/>
  </w:num>
  <w:num w:numId="7">
    <w:abstractNumId w:val="2"/>
  </w:num>
  <w:num w:numId="8">
    <w:abstractNumId w:val="1"/>
  </w:num>
  <w:num w:numId="9">
    <w:abstractNumId w:val="15"/>
  </w:num>
  <w:num w:numId="10">
    <w:abstractNumId w:val="8"/>
  </w:num>
  <w:num w:numId="11">
    <w:abstractNumId w:val="17"/>
  </w:num>
  <w:num w:numId="12">
    <w:abstractNumId w:val="7"/>
  </w:num>
  <w:num w:numId="13">
    <w:abstractNumId w:val="10"/>
  </w:num>
  <w:num w:numId="14">
    <w:abstractNumId w:val="11"/>
  </w:num>
  <w:num w:numId="15">
    <w:abstractNumId w:val="12"/>
  </w:num>
  <w:num w:numId="16">
    <w:abstractNumId w:val="13"/>
  </w:num>
  <w:num w:numId="17">
    <w:abstractNumId w:val="3"/>
  </w:num>
  <w:num w:numId="18">
    <w:abstractNumId w:val="14"/>
  </w:num>
  <w:num w:numId="19">
    <w:abstractNumId w:val="18"/>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B3B"/>
    <w:rsid w:val="000030BF"/>
    <w:rsid w:val="000064E9"/>
    <w:rsid w:val="00010828"/>
    <w:rsid w:val="00014202"/>
    <w:rsid w:val="000219AC"/>
    <w:rsid w:val="00022961"/>
    <w:rsid w:val="0002340E"/>
    <w:rsid w:val="00025AC1"/>
    <w:rsid w:val="00025D8F"/>
    <w:rsid w:val="00031D24"/>
    <w:rsid w:val="00031F26"/>
    <w:rsid w:val="00032509"/>
    <w:rsid w:val="00033843"/>
    <w:rsid w:val="00037873"/>
    <w:rsid w:val="00041CDE"/>
    <w:rsid w:val="000428F5"/>
    <w:rsid w:val="00042EB6"/>
    <w:rsid w:val="00054381"/>
    <w:rsid w:val="00054C36"/>
    <w:rsid w:val="00062695"/>
    <w:rsid w:val="000649DC"/>
    <w:rsid w:val="00065E6A"/>
    <w:rsid w:val="000660D4"/>
    <w:rsid w:val="000711E1"/>
    <w:rsid w:val="000732E1"/>
    <w:rsid w:val="00073708"/>
    <w:rsid w:val="0007764D"/>
    <w:rsid w:val="00081664"/>
    <w:rsid w:val="000850AA"/>
    <w:rsid w:val="0008539E"/>
    <w:rsid w:val="00086D99"/>
    <w:rsid w:val="00091967"/>
    <w:rsid w:val="00094463"/>
    <w:rsid w:val="0009465E"/>
    <w:rsid w:val="000A78C6"/>
    <w:rsid w:val="000A7FD3"/>
    <w:rsid w:val="000B2BD3"/>
    <w:rsid w:val="000C4344"/>
    <w:rsid w:val="000C71E8"/>
    <w:rsid w:val="000C74D9"/>
    <w:rsid w:val="000D0BBE"/>
    <w:rsid w:val="000D2448"/>
    <w:rsid w:val="000D49B4"/>
    <w:rsid w:val="000D50A1"/>
    <w:rsid w:val="000D7455"/>
    <w:rsid w:val="000E27CF"/>
    <w:rsid w:val="000E637D"/>
    <w:rsid w:val="000E6B6E"/>
    <w:rsid w:val="000E7762"/>
    <w:rsid w:val="000E7E6A"/>
    <w:rsid w:val="000F0AEB"/>
    <w:rsid w:val="000F1F1B"/>
    <w:rsid w:val="000F31EA"/>
    <w:rsid w:val="000F3F42"/>
    <w:rsid w:val="000F46CB"/>
    <w:rsid w:val="000F6031"/>
    <w:rsid w:val="000F63AB"/>
    <w:rsid w:val="000F6492"/>
    <w:rsid w:val="000F6CDF"/>
    <w:rsid w:val="00102DD2"/>
    <w:rsid w:val="001073FE"/>
    <w:rsid w:val="00107743"/>
    <w:rsid w:val="00112647"/>
    <w:rsid w:val="0012214B"/>
    <w:rsid w:val="00124D75"/>
    <w:rsid w:val="001307A2"/>
    <w:rsid w:val="00131C85"/>
    <w:rsid w:val="001340BA"/>
    <w:rsid w:val="00140716"/>
    <w:rsid w:val="001410F4"/>
    <w:rsid w:val="001413E6"/>
    <w:rsid w:val="0014291F"/>
    <w:rsid w:val="001471D6"/>
    <w:rsid w:val="001522D0"/>
    <w:rsid w:val="00155DC1"/>
    <w:rsid w:val="00155EFD"/>
    <w:rsid w:val="00157BB6"/>
    <w:rsid w:val="001608FA"/>
    <w:rsid w:val="001643E8"/>
    <w:rsid w:val="00166367"/>
    <w:rsid w:val="00173A32"/>
    <w:rsid w:val="0017442E"/>
    <w:rsid w:val="001770D3"/>
    <w:rsid w:val="00185F08"/>
    <w:rsid w:val="001917E0"/>
    <w:rsid w:val="00192E06"/>
    <w:rsid w:val="001951F4"/>
    <w:rsid w:val="001A5072"/>
    <w:rsid w:val="001A6F1F"/>
    <w:rsid w:val="001A7941"/>
    <w:rsid w:val="001C2CBA"/>
    <w:rsid w:val="001C3007"/>
    <w:rsid w:val="001C354E"/>
    <w:rsid w:val="001C36B1"/>
    <w:rsid w:val="001C5594"/>
    <w:rsid w:val="001C7AED"/>
    <w:rsid w:val="001D4B85"/>
    <w:rsid w:val="001D7B50"/>
    <w:rsid w:val="001E1730"/>
    <w:rsid w:val="001E2453"/>
    <w:rsid w:val="001E3C2A"/>
    <w:rsid w:val="001E4FE5"/>
    <w:rsid w:val="001F4992"/>
    <w:rsid w:val="001F6379"/>
    <w:rsid w:val="00204415"/>
    <w:rsid w:val="00207A6E"/>
    <w:rsid w:val="00216091"/>
    <w:rsid w:val="00224B92"/>
    <w:rsid w:val="002315B3"/>
    <w:rsid w:val="002321F3"/>
    <w:rsid w:val="00232464"/>
    <w:rsid w:val="002357E1"/>
    <w:rsid w:val="00240F94"/>
    <w:rsid w:val="00243471"/>
    <w:rsid w:val="0024600F"/>
    <w:rsid w:val="00250D5A"/>
    <w:rsid w:val="00252624"/>
    <w:rsid w:val="00252897"/>
    <w:rsid w:val="002629F8"/>
    <w:rsid w:val="00263F0C"/>
    <w:rsid w:val="00263FCC"/>
    <w:rsid w:val="0026412A"/>
    <w:rsid w:val="0026538E"/>
    <w:rsid w:val="0027680D"/>
    <w:rsid w:val="00281F17"/>
    <w:rsid w:val="002851E0"/>
    <w:rsid w:val="00285ECF"/>
    <w:rsid w:val="0029039D"/>
    <w:rsid w:val="00292B66"/>
    <w:rsid w:val="00292F67"/>
    <w:rsid w:val="00293213"/>
    <w:rsid w:val="002A749E"/>
    <w:rsid w:val="002B0942"/>
    <w:rsid w:val="002C2D11"/>
    <w:rsid w:val="002C2D3D"/>
    <w:rsid w:val="002C48A7"/>
    <w:rsid w:val="002C4BDB"/>
    <w:rsid w:val="002C537E"/>
    <w:rsid w:val="002C6891"/>
    <w:rsid w:val="002D17FC"/>
    <w:rsid w:val="002D355B"/>
    <w:rsid w:val="002E0627"/>
    <w:rsid w:val="002E3198"/>
    <w:rsid w:val="002E62B3"/>
    <w:rsid w:val="002E7402"/>
    <w:rsid w:val="0030089E"/>
    <w:rsid w:val="00302889"/>
    <w:rsid w:val="00306DC5"/>
    <w:rsid w:val="00310FA1"/>
    <w:rsid w:val="00311F35"/>
    <w:rsid w:val="0031674C"/>
    <w:rsid w:val="003210FF"/>
    <w:rsid w:val="003213DC"/>
    <w:rsid w:val="00324E55"/>
    <w:rsid w:val="00325A4F"/>
    <w:rsid w:val="00325DE3"/>
    <w:rsid w:val="003275EB"/>
    <w:rsid w:val="00330D2D"/>
    <w:rsid w:val="00334530"/>
    <w:rsid w:val="0033518C"/>
    <w:rsid w:val="00336766"/>
    <w:rsid w:val="003400BF"/>
    <w:rsid w:val="00344D0C"/>
    <w:rsid w:val="00354F1B"/>
    <w:rsid w:val="0035527A"/>
    <w:rsid w:val="00365BC5"/>
    <w:rsid w:val="00372D81"/>
    <w:rsid w:val="0037784A"/>
    <w:rsid w:val="00381B6F"/>
    <w:rsid w:val="003822C0"/>
    <w:rsid w:val="00384170"/>
    <w:rsid w:val="003913CE"/>
    <w:rsid w:val="003A3225"/>
    <w:rsid w:val="003A6936"/>
    <w:rsid w:val="003B0946"/>
    <w:rsid w:val="003B10B9"/>
    <w:rsid w:val="003B2485"/>
    <w:rsid w:val="003B3970"/>
    <w:rsid w:val="003B4AD9"/>
    <w:rsid w:val="003B505D"/>
    <w:rsid w:val="003B53D4"/>
    <w:rsid w:val="003C113F"/>
    <w:rsid w:val="003C3919"/>
    <w:rsid w:val="003C5785"/>
    <w:rsid w:val="003C79D4"/>
    <w:rsid w:val="003D7A41"/>
    <w:rsid w:val="003E23DB"/>
    <w:rsid w:val="003E2DAE"/>
    <w:rsid w:val="003E45A9"/>
    <w:rsid w:val="003F4BD5"/>
    <w:rsid w:val="003F6E44"/>
    <w:rsid w:val="00400E62"/>
    <w:rsid w:val="004040CD"/>
    <w:rsid w:val="0040583C"/>
    <w:rsid w:val="0040653C"/>
    <w:rsid w:val="00406BC6"/>
    <w:rsid w:val="00412F15"/>
    <w:rsid w:val="004144CF"/>
    <w:rsid w:val="004155DA"/>
    <w:rsid w:val="004250D3"/>
    <w:rsid w:val="004266CC"/>
    <w:rsid w:val="004312EA"/>
    <w:rsid w:val="00436625"/>
    <w:rsid w:val="00437636"/>
    <w:rsid w:val="0044190C"/>
    <w:rsid w:val="004422F8"/>
    <w:rsid w:val="00443843"/>
    <w:rsid w:val="00443E38"/>
    <w:rsid w:val="0044424E"/>
    <w:rsid w:val="00455906"/>
    <w:rsid w:val="00466C1E"/>
    <w:rsid w:val="00467A12"/>
    <w:rsid w:val="0047567E"/>
    <w:rsid w:val="00477CD9"/>
    <w:rsid w:val="00480F82"/>
    <w:rsid w:val="00482CAA"/>
    <w:rsid w:val="00490CE3"/>
    <w:rsid w:val="00492E7F"/>
    <w:rsid w:val="00494094"/>
    <w:rsid w:val="004972EB"/>
    <w:rsid w:val="004A0D65"/>
    <w:rsid w:val="004A137E"/>
    <w:rsid w:val="004A1F23"/>
    <w:rsid w:val="004A686C"/>
    <w:rsid w:val="004A6972"/>
    <w:rsid w:val="004B2DB1"/>
    <w:rsid w:val="004B597A"/>
    <w:rsid w:val="004B6E33"/>
    <w:rsid w:val="004C0EE3"/>
    <w:rsid w:val="004C6760"/>
    <w:rsid w:val="004D02B8"/>
    <w:rsid w:val="004D4329"/>
    <w:rsid w:val="004D6F63"/>
    <w:rsid w:val="004E19A0"/>
    <w:rsid w:val="004E25DE"/>
    <w:rsid w:val="004F07E0"/>
    <w:rsid w:val="004F1116"/>
    <w:rsid w:val="004F1CC2"/>
    <w:rsid w:val="004F201C"/>
    <w:rsid w:val="004F3BF9"/>
    <w:rsid w:val="00500530"/>
    <w:rsid w:val="00502085"/>
    <w:rsid w:val="005032C9"/>
    <w:rsid w:val="0051231F"/>
    <w:rsid w:val="00512666"/>
    <w:rsid w:val="00516C26"/>
    <w:rsid w:val="00521EFF"/>
    <w:rsid w:val="00522E0C"/>
    <w:rsid w:val="005230BE"/>
    <w:rsid w:val="00524664"/>
    <w:rsid w:val="0052489E"/>
    <w:rsid w:val="00542250"/>
    <w:rsid w:val="005440A6"/>
    <w:rsid w:val="00546CDA"/>
    <w:rsid w:val="00551055"/>
    <w:rsid w:val="005513BF"/>
    <w:rsid w:val="00553105"/>
    <w:rsid w:val="00557BE0"/>
    <w:rsid w:val="00560288"/>
    <w:rsid w:val="00565F8D"/>
    <w:rsid w:val="005732ED"/>
    <w:rsid w:val="0057390C"/>
    <w:rsid w:val="00581449"/>
    <w:rsid w:val="0058223D"/>
    <w:rsid w:val="00583471"/>
    <w:rsid w:val="00585ED7"/>
    <w:rsid w:val="00586D3B"/>
    <w:rsid w:val="005870BE"/>
    <w:rsid w:val="00587375"/>
    <w:rsid w:val="00594D7D"/>
    <w:rsid w:val="005955D2"/>
    <w:rsid w:val="005A4284"/>
    <w:rsid w:val="005A53D5"/>
    <w:rsid w:val="005A5951"/>
    <w:rsid w:val="005B78E8"/>
    <w:rsid w:val="005C430F"/>
    <w:rsid w:val="005C55C7"/>
    <w:rsid w:val="005C7AA2"/>
    <w:rsid w:val="005C7AD3"/>
    <w:rsid w:val="005D11DB"/>
    <w:rsid w:val="005D139C"/>
    <w:rsid w:val="005D2FE4"/>
    <w:rsid w:val="005D55D0"/>
    <w:rsid w:val="005D7BB5"/>
    <w:rsid w:val="005E115D"/>
    <w:rsid w:val="005F4C74"/>
    <w:rsid w:val="00602AEB"/>
    <w:rsid w:val="0060449C"/>
    <w:rsid w:val="00605B42"/>
    <w:rsid w:val="00612D1E"/>
    <w:rsid w:val="00616E03"/>
    <w:rsid w:val="0062084E"/>
    <w:rsid w:val="00625B5C"/>
    <w:rsid w:val="006260D5"/>
    <w:rsid w:val="00630483"/>
    <w:rsid w:val="00632B34"/>
    <w:rsid w:val="00633492"/>
    <w:rsid w:val="00634FFD"/>
    <w:rsid w:val="00643DEC"/>
    <w:rsid w:val="00645A13"/>
    <w:rsid w:val="0064760B"/>
    <w:rsid w:val="006477BC"/>
    <w:rsid w:val="006507F2"/>
    <w:rsid w:val="006539F2"/>
    <w:rsid w:val="00656C99"/>
    <w:rsid w:val="006706AC"/>
    <w:rsid w:val="006762DF"/>
    <w:rsid w:val="00682306"/>
    <w:rsid w:val="00684040"/>
    <w:rsid w:val="00690847"/>
    <w:rsid w:val="00695607"/>
    <w:rsid w:val="006A651C"/>
    <w:rsid w:val="006B074E"/>
    <w:rsid w:val="006B242F"/>
    <w:rsid w:val="006B2BD5"/>
    <w:rsid w:val="006B55F8"/>
    <w:rsid w:val="006B6C47"/>
    <w:rsid w:val="006B7615"/>
    <w:rsid w:val="006D0E3D"/>
    <w:rsid w:val="006D5658"/>
    <w:rsid w:val="006E1741"/>
    <w:rsid w:val="006E2B04"/>
    <w:rsid w:val="006E4E17"/>
    <w:rsid w:val="006E7B3F"/>
    <w:rsid w:val="006F284C"/>
    <w:rsid w:val="006F3EA2"/>
    <w:rsid w:val="006F7076"/>
    <w:rsid w:val="006F7227"/>
    <w:rsid w:val="0070136C"/>
    <w:rsid w:val="00702366"/>
    <w:rsid w:val="00707E0F"/>
    <w:rsid w:val="00713ABA"/>
    <w:rsid w:val="007163BC"/>
    <w:rsid w:val="00716751"/>
    <w:rsid w:val="007215A1"/>
    <w:rsid w:val="00730AE3"/>
    <w:rsid w:val="00732620"/>
    <w:rsid w:val="00732EE6"/>
    <w:rsid w:val="00734E1E"/>
    <w:rsid w:val="00736BC2"/>
    <w:rsid w:val="00743B91"/>
    <w:rsid w:val="007457D5"/>
    <w:rsid w:val="00746010"/>
    <w:rsid w:val="007510B8"/>
    <w:rsid w:val="007552D1"/>
    <w:rsid w:val="00756901"/>
    <w:rsid w:val="0075740B"/>
    <w:rsid w:val="00762593"/>
    <w:rsid w:val="0076476C"/>
    <w:rsid w:val="00766641"/>
    <w:rsid w:val="00767B17"/>
    <w:rsid w:val="0077503A"/>
    <w:rsid w:val="00775238"/>
    <w:rsid w:val="00776C32"/>
    <w:rsid w:val="00777569"/>
    <w:rsid w:val="00777F35"/>
    <w:rsid w:val="007808DA"/>
    <w:rsid w:val="00782CCA"/>
    <w:rsid w:val="00783473"/>
    <w:rsid w:val="00786EA3"/>
    <w:rsid w:val="00792370"/>
    <w:rsid w:val="0079325E"/>
    <w:rsid w:val="007964CF"/>
    <w:rsid w:val="00796E97"/>
    <w:rsid w:val="007A3801"/>
    <w:rsid w:val="007B1587"/>
    <w:rsid w:val="007B39CD"/>
    <w:rsid w:val="007B45A8"/>
    <w:rsid w:val="007C054B"/>
    <w:rsid w:val="007C5285"/>
    <w:rsid w:val="007C633B"/>
    <w:rsid w:val="007D3182"/>
    <w:rsid w:val="007D6775"/>
    <w:rsid w:val="007D724C"/>
    <w:rsid w:val="007E2755"/>
    <w:rsid w:val="007E41A8"/>
    <w:rsid w:val="007F0383"/>
    <w:rsid w:val="007F4464"/>
    <w:rsid w:val="007F4D27"/>
    <w:rsid w:val="007F6045"/>
    <w:rsid w:val="00800553"/>
    <w:rsid w:val="008026F3"/>
    <w:rsid w:val="008118F0"/>
    <w:rsid w:val="00815A08"/>
    <w:rsid w:val="00816881"/>
    <w:rsid w:val="00821B70"/>
    <w:rsid w:val="00825524"/>
    <w:rsid w:val="00826607"/>
    <w:rsid w:val="0083211E"/>
    <w:rsid w:val="00833ABF"/>
    <w:rsid w:val="00835650"/>
    <w:rsid w:val="00841DB0"/>
    <w:rsid w:val="00843FF1"/>
    <w:rsid w:val="00845E61"/>
    <w:rsid w:val="0085384F"/>
    <w:rsid w:val="008538DC"/>
    <w:rsid w:val="00860EA9"/>
    <w:rsid w:val="008638EE"/>
    <w:rsid w:val="00866C93"/>
    <w:rsid w:val="00870D40"/>
    <w:rsid w:val="00871642"/>
    <w:rsid w:val="00874448"/>
    <w:rsid w:val="008748D3"/>
    <w:rsid w:val="008753DE"/>
    <w:rsid w:val="00875709"/>
    <w:rsid w:val="00880ACF"/>
    <w:rsid w:val="0088188A"/>
    <w:rsid w:val="00882B53"/>
    <w:rsid w:val="00886E20"/>
    <w:rsid w:val="00890B2A"/>
    <w:rsid w:val="008920A1"/>
    <w:rsid w:val="00894CD3"/>
    <w:rsid w:val="008A0782"/>
    <w:rsid w:val="008A5E58"/>
    <w:rsid w:val="008A7CB2"/>
    <w:rsid w:val="008B3AA8"/>
    <w:rsid w:val="008B4028"/>
    <w:rsid w:val="008C013C"/>
    <w:rsid w:val="008C1E35"/>
    <w:rsid w:val="008C5226"/>
    <w:rsid w:val="008C56CB"/>
    <w:rsid w:val="008C7E34"/>
    <w:rsid w:val="008D1F86"/>
    <w:rsid w:val="008D5AA2"/>
    <w:rsid w:val="008E0FCD"/>
    <w:rsid w:val="008E1946"/>
    <w:rsid w:val="008E2FD6"/>
    <w:rsid w:val="008E36F2"/>
    <w:rsid w:val="008E5F84"/>
    <w:rsid w:val="008E7500"/>
    <w:rsid w:val="008F1B72"/>
    <w:rsid w:val="008F7D2A"/>
    <w:rsid w:val="00903BFE"/>
    <w:rsid w:val="009067F8"/>
    <w:rsid w:val="00912FF5"/>
    <w:rsid w:val="00920683"/>
    <w:rsid w:val="00922EAD"/>
    <w:rsid w:val="0092794B"/>
    <w:rsid w:val="0093440C"/>
    <w:rsid w:val="009368B4"/>
    <w:rsid w:val="00936F3E"/>
    <w:rsid w:val="009439CA"/>
    <w:rsid w:val="00945241"/>
    <w:rsid w:val="00945384"/>
    <w:rsid w:val="00952C36"/>
    <w:rsid w:val="00953856"/>
    <w:rsid w:val="009554D5"/>
    <w:rsid w:val="00972A75"/>
    <w:rsid w:val="00977C14"/>
    <w:rsid w:val="009822CF"/>
    <w:rsid w:val="00985679"/>
    <w:rsid w:val="00986575"/>
    <w:rsid w:val="009913E0"/>
    <w:rsid w:val="009938AE"/>
    <w:rsid w:val="009A1D25"/>
    <w:rsid w:val="009A3742"/>
    <w:rsid w:val="009A5B4C"/>
    <w:rsid w:val="009B00E8"/>
    <w:rsid w:val="009B41D2"/>
    <w:rsid w:val="009B5E1D"/>
    <w:rsid w:val="009B73E3"/>
    <w:rsid w:val="009C3281"/>
    <w:rsid w:val="009C7E98"/>
    <w:rsid w:val="009D0A5A"/>
    <w:rsid w:val="009D2F92"/>
    <w:rsid w:val="009D5DD3"/>
    <w:rsid w:val="009D6172"/>
    <w:rsid w:val="009E00FA"/>
    <w:rsid w:val="009E2B79"/>
    <w:rsid w:val="009E4222"/>
    <w:rsid w:val="009F4C03"/>
    <w:rsid w:val="00A05589"/>
    <w:rsid w:val="00A10051"/>
    <w:rsid w:val="00A157F4"/>
    <w:rsid w:val="00A170D2"/>
    <w:rsid w:val="00A20F36"/>
    <w:rsid w:val="00A2246F"/>
    <w:rsid w:val="00A24351"/>
    <w:rsid w:val="00A255D3"/>
    <w:rsid w:val="00A27693"/>
    <w:rsid w:val="00A27834"/>
    <w:rsid w:val="00A30470"/>
    <w:rsid w:val="00A30DAD"/>
    <w:rsid w:val="00A31D73"/>
    <w:rsid w:val="00A4147C"/>
    <w:rsid w:val="00A41FED"/>
    <w:rsid w:val="00A42ADA"/>
    <w:rsid w:val="00A50B2D"/>
    <w:rsid w:val="00A541AA"/>
    <w:rsid w:val="00A61072"/>
    <w:rsid w:val="00A67A2F"/>
    <w:rsid w:val="00A7507E"/>
    <w:rsid w:val="00A76DFC"/>
    <w:rsid w:val="00A82D02"/>
    <w:rsid w:val="00A915F1"/>
    <w:rsid w:val="00A93F05"/>
    <w:rsid w:val="00A94E43"/>
    <w:rsid w:val="00AA014E"/>
    <w:rsid w:val="00AA0DB3"/>
    <w:rsid w:val="00AA31FD"/>
    <w:rsid w:val="00AB4908"/>
    <w:rsid w:val="00AC1A07"/>
    <w:rsid w:val="00AC1E69"/>
    <w:rsid w:val="00AC3379"/>
    <w:rsid w:val="00AC7334"/>
    <w:rsid w:val="00AD3B1D"/>
    <w:rsid w:val="00AD7C0C"/>
    <w:rsid w:val="00AE2424"/>
    <w:rsid w:val="00AE32A0"/>
    <w:rsid w:val="00AE51FF"/>
    <w:rsid w:val="00AE579A"/>
    <w:rsid w:val="00AE7E41"/>
    <w:rsid w:val="00AF17E8"/>
    <w:rsid w:val="00AF705A"/>
    <w:rsid w:val="00B012FB"/>
    <w:rsid w:val="00B04F43"/>
    <w:rsid w:val="00B05100"/>
    <w:rsid w:val="00B05125"/>
    <w:rsid w:val="00B15530"/>
    <w:rsid w:val="00B218DD"/>
    <w:rsid w:val="00B21C8F"/>
    <w:rsid w:val="00B23242"/>
    <w:rsid w:val="00B23B11"/>
    <w:rsid w:val="00B23FE8"/>
    <w:rsid w:val="00B24422"/>
    <w:rsid w:val="00B245B2"/>
    <w:rsid w:val="00B271A0"/>
    <w:rsid w:val="00B3299A"/>
    <w:rsid w:val="00B3761B"/>
    <w:rsid w:val="00B379FE"/>
    <w:rsid w:val="00B402C2"/>
    <w:rsid w:val="00B52192"/>
    <w:rsid w:val="00B56B11"/>
    <w:rsid w:val="00B65E84"/>
    <w:rsid w:val="00B665F8"/>
    <w:rsid w:val="00B667D0"/>
    <w:rsid w:val="00B675E8"/>
    <w:rsid w:val="00B70768"/>
    <w:rsid w:val="00B72A58"/>
    <w:rsid w:val="00B752BD"/>
    <w:rsid w:val="00B8380F"/>
    <w:rsid w:val="00B85F9B"/>
    <w:rsid w:val="00BA1498"/>
    <w:rsid w:val="00BA24B3"/>
    <w:rsid w:val="00BA3233"/>
    <w:rsid w:val="00BA486E"/>
    <w:rsid w:val="00BB03D2"/>
    <w:rsid w:val="00BB26DD"/>
    <w:rsid w:val="00BB3EFD"/>
    <w:rsid w:val="00BB5C19"/>
    <w:rsid w:val="00BB5F37"/>
    <w:rsid w:val="00BC579F"/>
    <w:rsid w:val="00BD1995"/>
    <w:rsid w:val="00BE2E99"/>
    <w:rsid w:val="00BE37A4"/>
    <w:rsid w:val="00BE45DE"/>
    <w:rsid w:val="00BE6FF2"/>
    <w:rsid w:val="00BF11D8"/>
    <w:rsid w:val="00C0174F"/>
    <w:rsid w:val="00C05456"/>
    <w:rsid w:val="00C076A9"/>
    <w:rsid w:val="00C0798E"/>
    <w:rsid w:val="00C11753"/>
    <w:rsid w:val="00C121DA"/>
    <w:rsid w:val="00C1268E"/>
    <w:rsid w:val="00C15A80"/>
    <w:rsid w:val="00C15BBB"/>
    <w:rsid w:val="00C16015"/>
    <w:rsid w:val="00C16311"/>
    <w:rsid w:val="00C209B5"/>
    <w:rsid w:val="00C23379"/>
    <w:rsid w:val="00C23782"/>
    <w:rsid w:val="00C272A7"/>
    <w:rsid w:val="00C31FC0"/>
    <w:rsid w:val="00C32C74"/>
    <w:rsid w:val="00C37FF1"/>
    <w:rsid w:val="00C40B44"/>
    <w:rsid w:val="00C42C01"/>
    <w:rsid w:val="00C4595C"/>
    <w:rsid w:val="00C45EA1"/>
    <w:rsid w:val="00C50483"/>
    <w:rsid w:val="00C507CD"/>
    <w:rsid w:val="00C51CC0"/>
    <w:rsid w:val="00C55EC6"/>
    <w:rsid w:val="00C5739B"/>
    <w:rsid w:val="00C64D92"/>
    <w:rsid w:val="00C7246E"/>
    <w:rsid w:val="00C73AD8"/>
    <w:rsid w:val="00C75700"/>
    <w:rsid w:val="00C85EA4"/>
    <w:rsid w:val="00C912FE"/>
    <w:rsid w:val="00C9162B"/>
    <w:rsid w:val="00C91B3B"/>
    <w:rsid w:val="00C9201F"/>
    <w:rsid w:val="00C96015"/>
    <w:rsid w:val="00CA1572"/>
    <w:rsid w:val="00CA57DD"/>
    <w:rsid w:val="00CA5E92"/>
    <w:rsid w:val="00CA643A"/>
    <w:rsid w:val="00CA6B87"/>
    <w:rsid w:val="00CB32D6"/>
    <w:rsid w:val="00CB4B9A"/>
    <w:rsid w:val="00CB65FD"/>
    <w:rsid w:val="00CB660D"/>
    <w:rsid w:val="00CC144E"/>
    <w:rsid w:val="00CC2031"/>
    <w:rsid w:val="00CC41AC"/>
    <w:rsid w:val="00CD1799"/>
    <w:rsid w:val="00CE0912"/>
    <w:rsid w:val="00CE51C3"/>
    <w:rsid w:val="00CF1AF1"/>
    <w:rsid w:val="00CF2F38"/>
    <w:rsid w:val="00CF3399"/>
    <w:rsid w:val="00CF3CE4"/>
    <w:rsid w:val="00CF4F69"/>
    <w:rsid w:val="00D007D1"/>
    <w:rsid w:val="00D01193"/>
    <w:rsid w:val="00D0448A"/>
    <w:rsid w:val="00D1467F"/>
    <w:rsid w:val="00D15589"/>
    <w:rsid w:val="00D20D8B"/>
    <w:rsid w:val="00D22383"/>
    <w:rsid w:val="00D22AE8"/>
    <w:rsid w:val="00D244AA"/>
    <w:rsid w:val="00D25B07"/>
    <w:rsid w:val="00D344BE"/>
    <w:rsid w:val="00D37BBE"/>
    <w:rsid w:val="00D432AD"/>
    <w:rsid w:val="00D442E0"/>
    <w:rsid w:val="00D51069"/>
    <w:rsid w:val="00D552A2"/>
    <w:rsid w:val="00D56456"/>
    <w:rsid w:val="00D56CCE"/>
    <w:rsid w:val="00D66362"/>
    <w:rsid w:val="00D73786"/>
    <w:rsid w:val="00D823A0"/>
    <w:rsid w:val="00D8426D"/>
    <w:rsid w:val="00D851B3"/>
    <w:rsid w:val="00D85D5B"/>
    <w:rsid w:val="00D9537D"/>
    <w:rsid w:val="00D9689B"/>
    <w:rsid w:val="00DA41C8"/>
    <w:rsid w:val="00DA5CFB"/>
    <w:rsid w:val="00DB0938"/>
    <w:rsid w:val="00DB1387"/>
    <w:rsid w:val="00DB1760"/>
    <w:rsid w:val="00DB6254"/>
    <w:rsid w:val="00DB6D3B"/>
    <w:rsid w:val="00DC0277"/>
    <w:rsid w:val="00DD52CC"/>
    <w:rsid w:val="00DD6D04"/>
    <w:rsid w:val="00DE308B"/>
    <w:rsid w:val="00DF0002"/>
    <w:rsid w:val="00E01939"/>
    <w:rsid w:val="00E065CA"/>
    <w:rsid w:val="00E13969"/>
    <w:rsid w:val="00E13D01"/>
    <w:rsid w:val="00E16B89"/>
    <w:rsid w:val="00E16C4E"/>
    <w:rsid w:val="00E16C5B"/>
    <w:rsid w:val="00E17339"/>
    <w:rsid w:val="00E21B7C"/>
    <w:rsid w:val="00E22131"/>
    <w:rsid w:val="00E23C11"/>
    <w:rsid w:val="00E24C28"/>
    <w:rsid w:val="00E34B58"/>
    <w:rsid w:val="00E37A7A"/>
    <w:rsid w:val="00E435A9"/>
    <w:rsid w:val="00E4491B"/>
    <w:rsid w:val="00E47630"/>
    <w:rsid w:val="00E55B3B"/>
    <w:rsid w:val="00E55E91"/>
    <w:rsid w:val="00E5618B"/>
    <w:rsid w:val="00E57A10"/>
    <w:rsid w:val="00E57E5D"/>
    <w:rsid w:val="00E60404"/>
    <w:rsid w:val="00E66E46"/>
    <w:rsid w:val="00E738EC"/>
    <w:rsid w:val="00E8567C"/>
    <w:rsid w:val="00E8577E"/>
    <w:rsid w:val="00E94157"/>
    <w:rsid w:val="00E950F5"/>
    <w:rsid w:val="00EA505C"/>
    <w:rsid w:val="00EA7525"/>
    <w:rsid w:val="00EB01B1"/>
    <w:rsid w:val="00EB2FEF"/>
    <w:rsid w:val="00EB34E9"/>
    <w:rsid w:val="00EB4A66"/>
    <w:rsid w:val="00EB4EC1"/>
    <w:rsid w:val="00EC0262"/>
    <w:rsid w:val="00EC0891"/>
    <w:rsid w:val="00EC0C89"/>
    <w:rsid w:val="00EC1942"/>
    <w:rsid w:val="00EC4697"/>
    <w:rsid w:val="00EC5831"/>
    <w:rsid w:val="00EC63A1"/>
    <w:rsid w:val="00EC7177"/>
    <w:rsid w:val="00ED51FE"/>
    <w:rsid w:val="00EE4C33"/>
    <w:rsid w:val="00EE51DB"/>
    <w:rsid w:val="00F050E9"/>
    <w:rsid w:val="00F06337"/>
    <w:rsid w:val="00F0655E"/>
    <w:rsid w:val="00F079F3"/>
    <w:rsid w:val="00F11DD7"/>
    <w:rsid w:val="00F13DC0"/>
    <w:rsid w:val="00F14485"/>
    <w:rsid w:val="00F16F02"/>
    <w:rsid w:val="00F208A6"/>
    <w:rsid w:val="00F21489"/>
    <w:rsid w:val="00F2233B"/>
    <w:rsid w:val="00F26A60"/>
    <w:rsid w:val="00F2786C"/>
    <w:rsid w:val="00F36803"/>
    <w:rsid w:val="00F37E2A"/>
    <w:rsid w:val="00F418A8"/>
    <w:rsid w:val="00F41DC8"/>
    <w:rsid w:val="00F458E9"/>
    <w:rsid w:val="00F465B6"/>
    <w:rsid w:val="00F47199"/>
    <w:rsid w:val="00F50542"/>
    <w:rsid w:val="00F621D8"/>
    <w:rsid w:val="00F64842"/>
    <w:rsid w:val="00F64925"/>
    <w:rsid w:val="00F64CB9"/>
    <w:rsid w:val="00F65B2C"/>
    <w:rsid w:val="00F66F09"/>
    <w:rsid w:val="00F67181"/>
    <w:rsid w:val="00F700C3"/>
    <w:rsid w:val="00F732A2"/>
    <w:rsid w:val="00F7372F"/>
    <w:rsid w:val="00F7500A"/>
    <w:rsid w:val="00F77628"/>
    <w:rsid w:val="00F838DD"/>
    <w:rsid w:val="00F87E69"/>
    <w:rsid w:val="00F93FE6"/>
    <w:rsid w:val="00F95C0A"/>
    <w:rsid w:val="00FA03C0"/>
    <w:rsid w:val="00FA201A"/>
    <w:rsid w:val="00FB06F3"/>
    <w:rsid w:val="00FB1341"/>
    <w:rsid w:val="00FB25B5"/>
    <w:rsid w:val="00FB3B70"/>
    <w:rsid w:val="00FC4FF5"/>
    <w:rsid w:val="00FC5B16"/>
    <w:rsid w:val="00FC6159"/>
    <w:rsid w:val="00FC7E57"/>
    <w:rsid w:val="00FC7E7F"/>
    <w:rsid w:val="00FD061C"/>
    <w:rsid w:val="00FD164D"/>
    <w:rsid w:val="00FD2325"/>
    <w:rsid w:val="00FD6188"/>
    <w:rsid w:val="00FD7207"/>
    <w:rsid w:val="00FD7D3F"/>
    <w:rsid w:val="00FE560B"/>
    <w:rsid w:val="00FE635C"/>
    <w:rsid w:val="00FE6A68"/>
    <w:rsid w:val="00FE760E"/>
    <w:rsid w:val="00FE7621"/>
    <w:rsid w:val="00FE774C"/>
    <w:rsid w:val="00FE7920"/>
    <w:rsid w:val="00FF4DB2"/>
    <w:rsid w:val="00FF6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C9D7C"/>
  <w15:docId w15:val="{3F876230-5517-47E3-8B5A-DC50EC9B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02-en.pdf" TargetMode="External"/><Relationship Id="rId18" Type="http://schemas.openxmlformats.org/officeDocument/2006/relationships/hyperlink" Target="https://www.pactbelize.org/" TargetMode="External"/><Relationship Id="rId26" Type="http://schemas.openxmlformats.org/officeDocument/2006/relationships/hyperlink" Target="https://www.regjeringen.no/en/dep/kd/id586/"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iofund.org.mz/en/" TargetMode="External"/><Relationship Id="rId34" Type="http://schemas.openxmlformats.org/officeDocument/2006/relationships/hyperlink" Target="https://www.mef.gob.pe/contenidos/acerc_mins/doc_gestion/PlanBicentenarioversionfinal.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bd.int/doc/decisions/cop-11/cop-11-dec-02-en.pdf" TargetMode="External"/><Relationship Id="rId17" Type="http://schemas.openxmlformats.org/officeDocument/2006/relationships/hyperlink" Target="http://protectedareas.gov.bz/" TargetMode="External"/><Relationship Id="rId25" Type="http://schemas.openxmlformats.org/officeDocument/2006/relationships/hyperlink" Target="https://www.cbd.int/doc/world/nr/nr-nbsap-01-en.pdf" TargetMode="External"/><Relationship Id="rId33" Type="http://schemas.openxmlformats.org/officeDocument/2006/relationships/hyperlink" Target="http://www.ne.undp.org/content/dam/niger/docs/UNDP-NE-PDES%202017-2021.pdf?..." TargetMode="External"/><Relationship Id="rId38" Type="http://schemas.openxmlformats.org/officeDocument/2006/relationships/hyperlink" Target="http://eng.me.go.kr/eng/web/index.do?menuId=41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odiversityfinance.net/" TargetMode="External"/><Relationship Id="rId20" Type="http://schemas.openxmlformats.org/officeDocument/2006/relationships/hyperlink" Target="http://www.nre.gov.my/sites/NCTF/Pages/default.aspx" TargetMode="External"/><Relationship Id="rId29" Type="http://schemas.openxmlformats.org/officeDocument/2006/relationships/hyperlink" Target="http://portail.cder.dz/IMG/article_PDF/article_a3679.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02-en.pdf" TargetMode="External"/><Relationship Id="rId24" Type="http://schemas.openxmlformats.org/officeDocument/2006/relationships/hyperlink" Target="http://www.ambiente.gob.ec/proyecto-de-educacion-ambiental-ciudadana-somos-parte-de-la-solucion/" TargetMode="External"/><Relationship Id="rId32" Type="http://schemas.openxmlformats.org/officeDocument/2006/relationships/hyperlink" Target="http://pnd.gob.mx/" TargetMode="External"/><Relationship Id="rId37" Type="http://schemas.openxmlformats.org/officeDocument/2006/relationships/hyperlink" Target="https://www.cbd.int/nbsap/related-info/sbsap/default.s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decisions/cop-09/cop-09-dec-08-en.pdf" TargetMode="External"/><Relationship Id="rId23" Type="http://schemas.openxmlformats.org/officeDocument/2006/relationships/hyperlink" Target="https://www.cbd.int/doc/decisions/cop-09/cop-09-dec-08-en.pdf" TargetMode="External"/><Relationship Id="rId28" Type="http://schemas.openxmlformats.org/officeDocument/2006/relationships/hyperlink" Target="http://www.cockpitcountry.com/LFMP/Cockpit_NRV.pdf" TargetMode="External"/><Relationship Id="rId36" Type="http://schemas.openxmlformats.org/officeDocument/2006/relationships/hyperlink" Target="https://sustainabledevelopment.un.org/partnership/?p=2027" TargetMode="External"/><Relationship Id="rId10" Type="http://schemas.openxmlformats.org/officeDocument/2006/relationships/image" Target="media/image3.emf"/><Relationship Id="rId19" Type="http://schemas.openxmlformats.org/officeDocument/2006/relationships/hyperlink" Target="https://www.okapiconservation.org/" TargetMode="External"/><Relationship Id="rId31" Type="http://schemas.openxmlformats.org/officeDocument/2006/relationships/hyperlink" Target="http://www.buenvivir.gob.ec/"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01-en.pdf" TargetMode="External"/><Relationship Id="rId22" Type="http://schemas.openxmlformats.org/officeDocument/2006/relationships/hyperlink" Target="https://www.cbd.int/doc/decisions/cop-08/cop-08-dec-06-en.pdf" TargetMode="External"/><Relationship Id="rId27" Type="http://schemas.openxmlformats.org/officeDocument/2006/relationships/hyperlink" Target="https://www.regjeringen.no/en/dep/kld/id668/" TargetMode="External"/><Relationship Id="rId30" Type="http://schemas.openxmlformats.org/officeDocument/2006/relationships/hyperlink" Target="http://www.gnhc.gov.bt/12rtm/wp-content/uploads/2013/10/Eleventh-Five-Year-Plan-Volume-I-Final.pdf" TargetMode="External"/><Relationship Id="rId35" Type="http://schemas.openxmlformats.org/officeDocument/2006/relationships/hyperlink" Target="http://timor-leste.gov.tl/wp-content/uploads/2011/07/Timor-Leste-Strategic-Plan-2011-20301.pdf"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bsap/related-info/sbsap/default.shtml" TargetMode="External"/><Relationship Id="rId1" Type="http://schemas.openxmlformats.org/officeDocument/2006/relationships/hyperlink" Target="https://www.cbd.int/nbsap/targets/defaul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E9D8-CA99-4512-A1B5-B89565AB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15</Pages>
  <Words>5655</Words>
  <Characters>32236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37816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D/COP/14/5/</dc:subject>
  <dc:creator>SCBD</dc:creator>
  <cp:lastModifiedBy>Orestes Plasencia</cp:lastModifiedBy>
  <cp:revision>2</cp:revision>
  <cp:lastPrinted>2018-03-06T16:45:00Z</cp:lastPrinted>
  <dcterms:created xsi:type="dcterms:W3CDTF">2018-10-01T19:31:00Z</dcterms:created>
  <dcterms:modified xsi:type="dcterms:W3CDTF">2018-10-01T19:31:00Z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