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6F1504" w14:paraId="5D638C0F" w14:textId="77777777" w:rsidTr="004F02A2">
        <w:trPr>
          <w:trHeight w:val="851"/>
        </w:trPr>
        <w:tc>
          <w:tcPr>
            <w:tcW w:w="465" w:type="pct"/>
            <w:tcBorders>
              <w:bottom w:val="single" w:sz="8" w:space="0" w:color="auto"/>
            </w:tcBorders>
            <w:vAlign w:val="bottom"/>
          </w:tcPr>
          <w:p w14:paraId="49FE8DA0" w14:textId="77777777" w:rsidR="00A96B21" w:rsidRPr="006F1504" w:rsidRDefault="00A96B21" w:rsidP="004F02A2">
            <w:pPr>
              <w:spacing w:after="120"/>
              <w:jc w:val="left"/>
            </w:pPr>
            <w:bookmarkStart w:id="0" w:name="_Hlk137651738"/>
            <w:r w:rsidRPr="006F1504">
              <w:rPr>
                <w:noProof/>
              </w:rPr>
              <w:drawing>
                <wp:inline distT="0" distB="0" distL="0" distR="0" wp14:anchorId="14695348" wp14:editId="27ACBEDC">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458C19EE" w14:textId="77777777" w:rsidR="00A96B21" w:rsidRPr="006F1504" w:rsidRDefault="00A96B21" w:rsidP="004F02A2">
            <w:pPr>
              <w:spacing w:after="120"/>
              <w:jc w:val="left"/>
            </w:pPr>
            <w:r w:rsidRPr="006F1504">
              <w:rPr>
                <w:noProof/>
              </w:rPr>
              <w:drawing>
                <wp:inline distT="0" distB="0" distL="0" distR="0" wp14:anchorId="2922BF43" wp14:editId="60A6A528">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2ACB896B" w14:textId="09DCD7B9" w:rsidR="00A96B21" w:rsidRPr="006F1504" w:rsidRDefault="00A96B21" w:rsidP="00184909">
            <w:pPr>
              <w:spacing w:after="120"/>
              <w:ind w:left="2021"/>
              <w:jc w:val="right"/>
              <w:rPr>
                <w:szCs w:val="22"/>
              </w:rPr>
            </w:pPr>
            <w:bookmarkStart w:id="1" w:name="_Hlk159927128"/>
            <w:r w:rsidRPr="00F228EA">
              <w:rPr>
                <w:sz w:val="40"/>
                <w:szCs w:val="40"/>
              </w:rPr>
              <w:t>CBD</w:t>
            </w:r>
            <w:r w:rsidRPr="006F1504">
              <w:rPr>
                <w:szCs w:val="22"/>
              </w:rPr>
              <w:t>/</w:t>
            </w:r>
            <w:r w:rsidR="003E0A26" w:rsidRPr="00F228EA">
              <w:rPr>
                <w:szCs w:val="22"/>
              </w:rPr>
              <w:t>SBI</w:t>
            </w:r>
            <w:r w:rsidR="003E0A26" w:rsidRPr="006F1504">
              <w:rPr>
                <w:szCs w:val="22"/>
              </w:rPr>
              <w:t>/4/</w:t>
            </w:r>
            <w:r w:rsidR="004258DF" w:rsidRPr="006F1504">
              <w:rPr>
                <w:szCs w:val="22"/>
              </w:rPr>
              <w:t>4/Add.</w:t>
            </w:r>
            <w:bookmarkEnd w:id="1"/>
            <w:r w:rsidR="00925D3A" w:rsidRPr="006F1504">
              <w:rPr>
                <w:szCs w:val="22"/>
              </w:rPr>
              <w:t>2</w:t>
            </w:r>
            <w:r w:rsidR="004E0442" w:rsidRPr="006F2A60">
              <w:rPr>
                <w:szCs w:val="22"/>
              </w:rPr>
              <w:t>/Rev</w:t>
            </w:r>
            <w:r w:rsidR="004E0442" w:rsidRPr="006F1504">
              <w:rPr>
                <w:szCs w:val="22"/>
              </w:rPr>
              <w:t>.1</w:t>
            </w:r>
          </w:p>
        </w:tc>
      </w:tr>
      <w:tr w:rsidR="00A96B21" w:rsidRPr="006F1504" w14:paraId="169228EA" w14:textId="77777777" w:rsidTr="004F02A2">
        <w:tc>
          <w:tcPr>
            <w:tcW w:w="2297" w:type="pct"/>
            <w:gridSpan w:val="2"/>
            <w:tcBorders>
              <w:top w:val="single" w:sz="8" w:space="0" w:color="auto"/>
              <w:bottom w:val="single" w:sz="12" w:space="0" w:color="auto"/>
            </w:tcBorders>
          </w:tcPr>
          <w:p w14:paraId="4F011282" w14:textId="77777777" w:rsidR="00A96B21" w:rsidRPr="006F1504" w:rsidRDefault="00A96B21" w:rsidP="004F02A2">
            <w:pPr>
              <w:pStyle w:val="Cornernotation"/>
              <w:suppressLineNumbers/>
              <w:suppressAutoHyphens/>
              <w:spacing w:before="120" w:after="120"/>
              <w:ind w:left="0" w:right="0" w:firstLine="0"/>
            </w:pPr>
            <w:r w:rsidRPr="006F1504">
              <w:rPr>
                <w:b w:val="0"/>
                <w:bCs/>
                <w:noProof/>
              </w:rPr>
              <w:drawing>
                <wp:inline distT="0" distB="0" distL="0" distR="0" wp14:anchorId="4906A9BB" wp14:editId="1FAA581B">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772FF71D" w14:textId="77777777" w:rsidR="00A96B21" w:rsidRPr="006F1504" w:rsidRDefault="00A96B21" w:rsidP="003C6F10">
            <w:pPr>
              <w:ind w:left="2584"/>
              <w:rPr>
                <w:sz w:val="22"/>
                <w:szCs w:val="22"/>
              </w:rPr>
            </w:pPr>
            <w:r w:rsidRPr="006F1504">
              <w:rPr>
                <w:sz w:val="22"/>
                <w:szCs w:val="22"/>
              </w:rPr>
              <w:t>Distr.: General</w:t>
            </w:r>
          </w:p>
          <w:p w14:paraId="06281756" w14:textId="20BFF122" w:rsidR="00A96B21" w:rsidRPr="006F1504" w:rsidRDefault="00BF31EE" w:rsidP="003C6F10">
            <w:pPr>
              <w:ind w:left="2584"/>
              <w:rPr>
                <w:sz w:val="22"/>
                <w:szCs w:val="22"/>
              </w:rPr>
            </w:pPr>
            <w:r>
              <w:rPr>
                <w:sz w:val="22"/>
                <w:szCs w:val="22"/>
              </w:rPr>
              <w:t>30</w:t>
            </w:r>
            <w:r w:rsidR="000F7A32" w:rsidRPr="006F1504">
              <w:rPr>
                <w:sz w:val="22"/>
                <w:szCs w:val="22"/>
              </w:rPr>
              <w:t xml:space="preserve"> April</w:t>
            </w:r>
            <w:r w:rsidR="00A96B21" w:rsidRPr="006F1504">
              <w:rPr>
                <w:sz w:val="22"/>
                <w:szCs w:val="22"/>
              </w:rPr>
              <w:t xml:space="preserve"> 202</w:t>
            </w:r>
            <w:r w:rsidR="0092346F" w:rsidRPr="006F1504">
              <w:rPr>
                <w:sz w:val="22"/>
                <w:szCs w:val="22"/>
              </w:rPr>
              <w:t>4</w:t>
            </w:r>
          </w:p>
          <w:p w14:paraId="4B140533" w14:textId="77777777" w:rsidR="00A96B21" w:rsidRPr="006F1504" w:rsidRDefault="00A96B21" w:rsidP="003C6F10">
            <w:pPr>
              <w:ind w:left="2584"/>
              <w:rPr>
                <w:sz w:val="22"/>
                <w:szCs w:val="22"/>
              </w:rPr>
            </w:pPr>
          </w:p>
          <w:p w14:paraId="5A184FE4" w14:textId="77777777" w:rsidR="00A96B21" w:rsidRPr="006F1504" w:rsidRDefault="00A96B21" w:rsidP="003C6F10">
            <w:pPr>
              <w:ind w:left="2584"/>
              <w:rPr>
                <w:sz w:val="22"/>
                <w:szCs w:val="22"/>
              </w:rPr>
            </w:pPr>
            <w:r w:rsidRPr="006F1504">
              <w:rPr>
                <w:sz w:val="22"/>
                <w:szCs w:val="22"/>
              </w:rPr>
              <w:t>Original: English</w:t>
            </w:r>
          </w:p>
          <w:p w14:paraId="71BDB9EA" w14:textId="77777777" w:rsidR="00A96B21" w:rsidRPr="006F1504" w:rsidRDefault="00A96B21" w:rsidP="004F02A2"/>
        </w:tc>
      </w:tr>
    </w:tbl>
    <w:p w14:paraId="003869DC" w14:textId="77777777" w:rsidR="00874541" w:rsidRPr="006F1504" w:rsidRDefault="003E0A26" w:rsidP="00A96B21">
      <w:pPr>
        <w:pStyle w:val="Cornernotation"/>
        <w:rPr>
          <w:bCs/>
        </w:rPr>
      </w:pPr>
      <w:r w:rsidRPr="006F1504">
        <w:rPr>
          <w:bCs/>
        </w:rPr>
        <w:t>Subsidiary Body on Implementation</w:t>
      </w:r>
    </w:p>
    <w:p w14:paraId="0F41D007" w14:textId="77777777" w:rsidR="00A96B21" w:rsidRPr="006F1504" w:rsidRDefault="003E0A26" w:rsidP="00A96B21">
      <w:pPr>
        <w:pStyle w:val="Cornernotation"/>
        <w:rPr>
          <w:bCs/>
          <w:sz w:val="22"/>
          <w:szCs w:val="22"/>
        </w:rPr>
      </w:pPr>
      <w:r w:rsidRPr="006F1504">
        <w:rPr>
          <w:bCs/>
          <w:sz w:val="22"/>
          <w:szCs w:val="22"/>
        </w:rPr>
        <w:t>Fourth</w:t>
      </w:r>
      <w:r w:rsidR="00A96B21" w:rsidRPr="006F1504">
        <w:rPr>
          <w:bCs/>
          <w:sz w:val="22"/>
          <w:szCs w:val="22"/>
        </w:rPr>
        <w:t xml:space="preserve"> meeting </w:t>
      </w:r>
    </w:p>
    <w:p w14:paraId="6AD64B5F" w14:textId="71826DB4" w:rsidR="00A96B21" w:rsidRPr="006F1504" w:rsidRDefault="003E0A26" w:rsidP="00A96B21">
      <w:pPr>
        <w:pStyle w:val="Venuedate"/>
        <w:rPr>
          <w:lang w:val="en-CA"/>
        </w:rPr>
      </w:pPr>
      <w:r w:rsidRPr="006F1504">
        <w:rPr>
          <w:lang w:val="en-CA"/>
        </w:rPr>
        <w:t>Nairobi</w:t>
      </w:r>
      <w:r w:rsidR="00A96B21" w:rsidRPr="006F1504">
        <w:rPr>
          <w:lang w:val="en-CA"/>
        </w:rPr>
        <w:t xml:space="preserve">, </w:t>
      </w:r>
      <w:r w:rsidRPr="006F1504">
        <w:rPr>
          <w:lang w:val="en-CA"/>
        </w:rPr>
        <w:t>21–29 May 202</w:t>
      </w:r>
      <w:r w:rsidR="004258DF" w:rsidRPr="006F1504">
        <w:rPr>
          <w:lang w:val="en-CA"/>
        </w:rPr>
        <w:t>4</w:t>
      </w:r>
    </w:p>
    <w:p w14:paraId="3A1677E0" w14:textId="12761430" w:rsidR="00A96B21" w:rsidRPr="006F1504" w:rsidRDefault="00A96B21" w:rsidP="00A96B21">
      <w:pPr>
        <w:pStyle w:val="Cornernotation-Item"/>
        <w:rPr>
          <w:b w:val="0"/>
          <w:bCs w:val="0"/>
        </w:rPr>
      </w:pPr>
      <w:r w:rsidRPr="006F1504">
        <w:rPr>
          <w:b w:val="0"/>
          <w:bCs w:val="0"/>
        </w:rPr>
        <w:t>Item</w:t>
      </w:r>
      <w:r w:rsidRPr="00F228EA">
        <w:rPr>
          <w:b w:val="0"/>
          <w:bCs w:val="0"/>
        </w:rPr>
        <w:t xml:space="preserve"> </w:t>
      </w:r>
      <w:r w:rsidR="004258DF" w:rsidRPr="00F228EA">
        <w:rPr>
          <w:b w:val="0"/>
          <w:bCs w:val="0"/>
        </w:rPr>
        <w:t>3</w:t>
      </w:r>
      <w:r w:rsidRPr="00F228EA">
        <w:rPr>
          <w:b w:val="0"/>
          <w:bCs w:val="0"/>
        </w:rPr>
        <w:t xml:space="preserve"> o</w:t>
      </w:r>
      <w:r w:rsidRPr="006F1504">
        <w:rPr>
          <w:b w:val="0"/>
          <w:bCs w:val="0"/>
        </w:rPr>
        <w:t>f the provisional agenda</w:t>
      </w:r>
      <w:r w:rsidRPr="00F228EA">
        <w:rPr>
          <w:rStyle w:val="FootnoteReference"/>
          <w:b w:val="0"/>
          <w:bCs w:val="0"/>
        </w:rPr>
        <w:footnoteReference w:customMarkFollows="1" w:id="2"/>
        <w:t>*</w:t>
      </w:r>
    </w:p>
    <w:p w14:paraId="0B019BE1" w14:textId="73CEFD2E" w:rsidR="00A96B21" w:rsidRPr="006F1504" w:rsidRDefault="004258DF" w:rsidP="003E78D5">
      <w:pPr>
        <w:pStyle w:val="Cornernotation-Item"/>
        <w:ind w:left="0" w:right="5532" w:firstLine="0"/>
      </w:pPr>
      <w:r w:rsidRPr="006F1504">
        <w:t>Mechanisms for planning, monitoring, reporting and review</w:t>
      </w:r>
    </w:p>
    <w:bookmarkEnd w:id="0"/>
    <w:p w14:paraId="57C5AF80" w14:textId="4F3E2B0E" w:rsidR="00A96B21" w:rsidRPr="006F1504" w:rsidRDefault="00AF69D8" w:rsidP="004258DF">
      <w:pPr>
        <w:pStyle w:val="Title"/>
        <w:jc w:val="left"/>
      </w:pPr>
      <w:sdt>
        <w:sdtPr>
          <w:alias w:val="Title"/>
          <w:tag w:val=""/>
          <w:id w:val="-1975355689"/>
          <w:placeholder>
            <w:docPart w:val="C397B25ED30349089A5FDD2A49786410"/>
          </w:placeholder>
          <w:dataBinding w:prefixMappings="xmlns:ns0='http://purl.org/dc/elements/1.1/' xmlns:ns1='http://schemas.openxmlformats.org/package/2006/metadata/core-properties' " w:xpath="/ns1:coreProperties[1]/ns0:title[1]" w:storeItemID="{6C3C8BC8-F283-45AE-878A-BAB7291924A1}"/>
          <w:text/>
        </w:sdtPr>
        <w:sdtEndPr/>
        <w:sdtContent>
          <w:r w:rsidR="000A7B80" w:rsidRPr="00F228EA">
            <w:t>Procedures for the global review of collective progress in the implementation of the Kunming-Montreal Global Biodiversity Framework</w:t>
          </w:r>
        </w:sdtContent>
      </w:sdt>
    </w:p>
    <w:p w14:paraId="55EA9425" w14:textId="77777777" w:rsidR="00A96B21" w:rsidRPr="006F1504" w:rsidRDefault="00A96B21" w:rsidP="00A96B21">
      <w:pPr>
        <w:pStyle w:val="Subtitle"/>
        <w:spacing w:before="120" w:after="120"/>
        <w:ind w:left="567"/>
        <w:jc w:val="left"/>
        <w:rPr>
          <w:rFonts w:ascii="Times New Roman" w:hAnsi="Times New Roman" w:cs="Times New Roman"/>
          <w:color w:val="auto"/>
        </w:rPr>
      </w:pPr>
      <w:r w:rsidRPr="006F1504">
        <w:rPr>
          <w:rFonts w:ascii="Times New Roman" w:hAnsi="Times New Roman" w:cs="Times New Roman"/>
          <w:color w:val="auto"/>
        </w:rPr>
        <w:t>Note by the Secretariat</w:t>
      </w:r>
    </w:p>
    <w:p w14:paraId="30064A40" w14:textId="4037186A" w:rsidR="004258DF" w:rsidRPr="006F1504" w:rsidRDefault="00C66F23" w:rsidP="005F57B7">
      <w:pPr>
        <w:pStyle w:val="Heading1"/>
        <w:ind w:left="540" w:right="1422" w:hanging="540"/>
      </w:pPr>
      <w:r w:rsidRPr="006F1504">
        <w:t>E</w:t>
      </w:r>
      <w:r w:rsidR="004258DF" w:rsidRPr="006F1504">
        <w:t xml:space="preserve">lements of the global review of collective progress in the implementation of the </w:t>
      </w:r>
      <w:r w:rsidR="004258DF" w:rsidRPr="00F228EA">
        <w:t>Kunming-Montreal Global Biodiversity Framework</w:t>
      </w:r>
    </w:p>
    <w:p w14:paraId="7C5B5243" w14:textId="59E6D251" w:rsidR="004258DF" w:rsidRPr="006F1504" w:rsidRDefault="004258DF" w:rsidP="003E78D5">
      <w:pPr>
        <w:pStyle w:val="Para1"/>
      </w:pPr>
      <w:bookmarkStart w:id="2" w:name="_Hlk142819823"/>
      <w:r w:rsidRPr="006F1504">
        <w:t xml:space="preserve">The global review of collective progress in the implementation of the </w:t>
      </w:r>
      <w:r w:rsidR="0075606B" w:rsidRPr="00F228EA">
        <w:t xml:space="preserve">Kunming-Montreal Global Biodiversity </w:t>
      </w:r>
      <w:r w:rsidR="00991502" w:rsidRPr="00F228EA">
        <w:t>Framework</w:t>
      </w:r>
      <w:r w:rsidR="00991502" w:rsidRPr="006F1504">
        <w:t xml:space="preserve"> </w:t>
      </w:r>
      <w:r w:rsidRPr="006F1504">
        <w:t xml:space="preserve">will be undertaken by the Conference of the Parties with support and inputs from the subsidiary bodies. </w:t>
      </w:r>
      <w:r w:rsidR="0045184B" w:rsidRPr="006F1504">
        <w:t>It</w:t>
      </w:r>
      <w:r w:rsidR="00991502" w:rsidRPr="006F1504">
        <w:t xml:space="preserve"> </w:t>
      </w:r>
      <w:r w:rsidR="007D70E3" w:rsidRPr="006F1504">
        <w:t>w</w:t>
      </w:r>
      <w:r w:rsidR="00524191" w:rsidRPr="006F1504">
        <w:t>ill</w:t>
      </w:r>
      <w:r w:rsidRPr="006F1504">
        <w:t xml:space="preserve"> be conducted </w:t>
      </w:r>
      <w:proofErr w:type="gramStart"/>
      <w:r w:rsidRPr="006F1504">
        <w:t>on the basis of</w:t>
      </w:r>
      <w:proofErr w:type="gramEnd"/>
      <w:r w:rsidRPr="006F1504">
        <w:t xml:space="preserve"> the elements</w:t>
      </w:r>
      <w:r w:rsidR="00C35F96" w:rsidRPr="006F1504">
        <w:t xml:space="preserve"> described below</w:t>
      </w:r>
      <w:r w:rsidR="00F8377D" w:rsidRPr="006F1504">
        <w:t>:</w:t>
      </w:r>
    </w:p>
    <w:p w14:paraId="19FBC0C0" w14:textId="071F49F7" w:rsidR="00C35F96" w:rsidRPr="006F1504" w:rsidRDefault="00E945BA" w:rsidP="00E13A61">
      <w:pPr>
        <w:pStyle w:val="Para2"/>
        <w:rPr>
          <w:rFonts w:eastAsia="Malgun Gothic"/>
          <w:b/>
          <w:bCs/>
        </w:rPr>
      </w:pPr>
      <w:r w:rsidRPr="006F1504">
        <w:rPr>
          <w:rFonts w:eastAsia="Malgun Gothic"/>
        </w:rPr>
        <w:t>(a)</w:t>
      </w:r>
      <w:r w:rsidR="00D93157" w:rsidRPr="006F1504">
        <w:rPr>
          <w:rFonts w:eastAsia="Malgun Gothic"/>
        </w:rPr>
        <w:tab/>
      </w:r>
      <w:r w:rsidR="00C35F96" w:rsidRPr="006F1504">
        <w:rPr>
          <w:rFonts w:eastAsia="Malgun Gothic"/>
          <w:i/>
          <w:iCs/>
        </w:rPr>
        <w:t>Global analysis of information in national biodiversity strategies and action plans, including national targets.</w:t>
      </w:r>
      <w:r w:rsidRPr="006F1504">
        <w:rPr>
          <w:rFonts w:eastAsia="Malgun Gothic"/>
          <w:i/>
          <w:iCs/>
        </w:rPr>
        <w:t xml:space="preserve"> </w:t>
      </w:r>
      <w:r w:rsidR="00C35F96" w:rsidRPr="006F1504">
        <w:rPr>
          <w:rFonts w:eastAsia="Malgun Gothic"/>
          <w:iCs/>
        </w:rPr>
        <w:t>T</w:t>
      </w:r>
      <w:r w:rsidR="00C35F96" w:rsidRPr="006F1504">
        <w:rPr>
          <w:rFonts w:eastAsia="Malgun Gothic"/>
        </w:rPr>
        <w:t>he global analysis of information in national biodiversity strategies and action plans to assess national contributions towards the implementation of the Framework</w:t>
      </w:r>
      <w:r w:rsidR="00A67D4A" w:rsidRPr="006F1504">
        <w:rPr>
          <w:rFonts w:eastAsia="Malgun Gothic"/>
        </w:rPr>
        <w:t>,</w:t>
      </w:r>
      <w:r w:rsidR="00C35F96" w:rsidRPr="006F1504">
        <w:rPr>
          <w:rFonts w:eastAsia="Malgun Gothic"/>
        </w:rPr>
        <w:t xml:space="preserve"> to be considered by the Conference of the Parties at its sixteenth meeting and at each of its subsequent meetings (decision </w:t>
      </w:r>
      <w:hyperlink r:id="rId14" w:history="1">
        <w:r w:rsidR="00C35F96" w:rsidRPr="00F228EA">
          <w:rPr>
            <w:rStyle w:val="Hyperlink"/>
            <w:rFonts w:eastAsia="Malgun Gothic"/>
            <w:sz w:val="22"/>
          </w:rPr>
          <w:t>15/6</w:t>
        </w:r>
      </w:hyperlink>
      <w:r w:rsidR="00C35F96" w:rsidRPr="006F1504">
        <w:rPr>
          <w:rFonts w:eastAsia="Malgun Gothic"/>
        </w:rPr>
        <w:t xml:space="preserve">, </w:t>
      </w:r>
      <w:r w:rsidR="00C35F96" w:rsidRPr="006F1504">
        <w:rPr>
          <w:rFonts w:eastAsia="Malgun Gothic"/>
          <w:lang w:val="en-GB"/>
        </w:rPr>
        <w:t>paras. 1 (c) and 15</w:t>
      </w:r>
      <w:r w:rsidR="00C35F96" w:rsidRPr="006F1504">
        <w:rPr>
          <w:rFonts w:eastAsia="Malgun Gothic"/>
        </w:rPr>
        <w:t>)</w:t>
      </w:r>
      <w:r w:rsidR="00507898" w:rsidRPr="006F1504">
        <w:rPr>
          <w:rFonts w:eastAsia="Malgun Gothic"/>
        </w:rPr>
        <w:t>,</w:t>
      </w:r>
      <w:r w:rsidR="00C35F96" w:rsidRPr="006F1504">
        <w:rPr>
          <w:rFonts w:eastAsia="Malgun Gothic"/>
          <w:lang w:val="en-GB"/>
        </w:rPr>
        <w:t xml:space="preserve"> would be a key element of the global review</w:t>
      </w:r>
      <w:r w:rsidR="00C35F96" w:rsidRPr="006F1504">
        <w:rPr>
          <w:rFonts w:eastAsia="Malgun Gothic"/>
        </w:rPr>
        <w:t xml:space="preserve">. An initial </w:t>
      </w:r>
      <w:r w:rsidR="00A975DA" w:rsidRPr="006F1504">
        <w:rPr>
          <w:rFonts w:eastAsia="Malgun Gothic"/>
        </w:rPr>
        <w:t>report on</w:t>
      </w:r>
      <w:r w:rsidR="00C35F96" w:rsidRPr="006F1504">
        <w:rPr>
          <w:rFonts w:eastAsia="Malgun Gothic"/>
        </w:rPr>
        <w:t xml:space="preserve"> the national biodiversity strategies and action plans is </w:t>
      </w:r>
      <w:r w:rsidR="00EE1162" w:rsidRPr="006F1504">
        <w:rPr>
          <w:rFonts w:eastAsia="Malgun Gothic"/>
        </w:rPr>
        <w:t>provided</w:t>
      </w:r>
      <w:r w:rsidR="00C35F96" w:rsidRPr="006F1504">
        <w:rPr>
          <w:rFonts w:eastAsia="Malgun Gothic"/>
        </w:rPr>
        <w:t xml:space="preserve"> in</w:t>
      </w:r>
      <w:r w:rsidR="00D546E9" w:rsidRPr="006F1504">
        <w:rPr>
          <w:rFonts w:eastAsia="Malgun Gothic"/>
        </w:rPr>
        <w:t xml:space="preserve"> </w:t>
      </w:r>
      <w:r w:rsidR="00EE1162" w:rsidRPr="006F1504">
        <w:rPr>
          <w:rFonts w:eastAsia="Malgun Gothic"/>
        </w:rPr>
        <w:t xml:space="preserve">document </w:t>
      </w:r>
      <w:r w:rsidR="00D546E9" w:rsidRPr="00F228EA">
        <w:rPr>
          <w:rFonts w:eastAsia="Malgun Gothic"/>
        </w:rPr>
        <w:t>CBD</w:t>
      </w:r>
      <w:r w:rsidR="00D546E9" w:rsidRPr="006F1504">
        <w:rPr>
          <w:rFonts w:eastAsia="Malgun Gothic"/>
        </w:rPr>
        <w:t>/</w:t>
      </w:r>
      <w:r w:rsidR="00D546E9" w:rsidRPr="00F228EA">
        <w:rPr>
          <w:rFonts w:eastAsia="Malgun Gothic"/>
        </w:rPr>
        <w:t>SBI</w:t>
      </w:r>
      <w:r w:rsidR="00D546E9" w:rsidRPr="006F1504">
        <w:rPr>
          <w:rFonts w:eastAsia="Malgun Gothic"/>
        </w:rPr>
        <w:t>/4/2</w:t>
      </w:r>
      <w:r w:rsidR="002A3332" w:rsidRPr="006F1504">
        <w:rPr>
          <w:rFonts w:eastAsia="Malgun Gothic"/>
        </w:rPr>
        <w:t xml:space="preserve">. </w:t>
      </w:r>
      <w:r w:rsidR="002A3332" w:rsidRPr="006F1504">
        <w:rPr>
          <w:lang w:eastAsia="en-CA"/>
        </w:rPr>
        <w:t>A global analysis of information in national biodiversity strategies and action plans, including national targets</w:t>
      </w:r>
      <w:r w:rsidR="00DA4C63" w:rsidRPr="006F1504">
        <w:rPr>
          <w:lang w:eastAsia="en-CA"/>
        </w:rPr>
        <w:t>,</w:t>
      </w:r>
      <w:r w:rsidR="002A3332" w:rsidRPr="006F1504">
        <w:rPr>
          <w:lang w:eastAsia="en-CA"/>
        </w:rPr>
        <w:t xml:space="preserve"> will be </w:t>
      </w:r>
      <w:r w:rsidR="00DA4C63" w:rsidRPr="006F1504">
        <w:rPr>
          <w:lang w:eastAsia="en-CA"/>
        </w:rPr>
        <w:t>prepared</w:t>
      </w:r>
      <w:r w:rsidR="002A3332" w:rsidRPr="006F1504">
        <w:rPr>
          <w:lang w:eastAsia="en-CA"/>
        </w:rPr>
        <w:t xml:space="preserve"> for future meetings of the Subsidiary Body and the Conference of the Parties</w:t>
      </w:r>
      <w:r w:rsidR="005B4840" w:rsidRPr="006F1504">
        <w:rPr>
          <w:lang w:eastAsia="en-CA"/>
        </w:rPr>
        <w:t>;</w:t>
      </w:r>
    </w:p>
    <w:p w14:paraId="089040B1" w14:textId="15A00251" w:rsidR="004258DF" w:rsidRPr="006F1504" w:rsidRDefault="00614006" w:rsidP="00614006">
      <w:pPr>
        <w:pStyle w:val="Para2"/>
        <w:rPr>
          <w:rFonts w:eastAsia="Malgun Gothic"/>
        </w:rPr>
      </w:pPr>
      <w:r w:rsidRPr="006F1504">
        <w:rPr>
          <w:rFonts w:eastAsia="Malgun Gothic"/>
          <w:iCs/>
        </w:rPr>
        <w:t>(</w:t>
      </w:r>
      <w:r w:rsidR="00A975DA" w:rsidRPr="006F1504">
        <w:rPr>
          <w:rFonts w:eastAsia="Malgun Gothic"/>
          <w:iCs/>
        </w:rPr>
        <w:t>b</w:t>
      </w:r>
      <w:r w:rsidRPr="006F1504">
        <w:rPr>
          <w:rFonts w:eastAsia="Malgun Gothic"/>
          <w:iCs/>
        </w:rPr>
        <w:t>)</w:t>
      </w:r>
      <w:r w:rsidRPr="006F1504">
        <w:rPr>
          <w:rFonts w:eastAsia="Malgun Gothic"/>
        </w:rPr>
        <w:tab/>
      </w:r>
      <w:r w:rsidR="004258DF" w:rsidRPr="006F1504">
        <w:rPr>
          <w:rFonts w:eastAsia="Malgun Gothic"/>
          <w:i/>
          <w:iCs/>
        </w:rPr>
        <w:t xml:space="preserve">Outputs of the </w:t>
      </w:r>
      <w:r w:rsidR="007126D9" w:rsidRPr="006F1504">
        <w:rPr>
          <w:rFonts w:eastAsia="Malgun Gothic"/>
          <w:i/>
          <w:iCs/>
        </w:rPr>
        <w:t>O</w:t>
      </w:r>
      <w:r w:rsidR="004258DF" w:rsidRPr="006F1504">
        <w:rPr>
          <w:rFonts w:eastAsia="Malgun Gothic"/>
          <w:i/>
          <w:iCs/>
        </w:rPr>
        <w:t xml:space="preserve">pen-ended </w:t>
      </w:r>
      <w:r w:rsidR="007126D9" w:rsidRPr="006F1504">
        <w:rPr>
          <w:rFonts w:eastAsia="Malgun Gothic"/>
          <w:i/>
          <w:iCs/>
        </w:rPr>
        <w:t>F</w:t>
      </w:r>
      <w:r w:rsidR="004258DF" w:rsidRPr="006F1504">
        <w:rPr>
          <w:rFonts w:eastAsia="Malgun Gothic"/>
          <w:i/>
          <w:iCs/>
        </w:rPr>
        <w:t xml:space="preserve">orum for </w:t>
      </w:r>
      <w:r w:rsidR="007126D9" w:rsidRPr="006F1504">
        <w:rPr>
          <w:rFonts w:eastAsia="Malgun Gothic"/>
          <w:i/>
          <w:iCs/>
        </w:rPr>
        <w:t>V</w:t>
      </w:r>
      <w:r w:rsidR="004258DF" w:rsidRPr="006F1504">
        <w:rPr>
          <w:rFonts w:eastAsia="Malgun Gothic"/>
          <w:i/>
          <w:iCs/>
        </w:rPr>
        <w:t xml:space="preserve">oluntary </w:t>
      </w:r>
      <w:r w:rsidR="007126D9" w:rsidRPr="006F1504">
        <w:rPr>
          <w:rFonts w:eastAsia="Malgun Gothic"/>
          <w:i/>
          <w:iCs/>
        </w:rPr>
        <w:t>C</w:t>
      </w:r>
      <w:r w:rsidR="004258DF" w:rsidRPr="006F1504">
        <w:rPr>
          <w:rFonts w:eastAsia="Malgun Gothic"/>
          <w:i/>
          <w:iCs/>
        </w:rPr>
        <w:t xml:space="preserve">ountry </w:t>
      </w:r>
      <w:r w:rsidR="007126D9" w:rsidRPr="006F1504">
        <w:rPr>
          <w:rFonts w:eastAsia="Malgun Gothic"/>
          <w:i/>
          <w:iCs/>
        </w:rPr>
        <w:t>R</w:t>
      </w:r>
      <w:r w:rsidR="004258DF" w:rsidRPr="006F1504">
        <w:rPr>
          <w:rFonts w:eastAsia="Malgun Gothic"/>
          <w:i/>
          <w:iCs/>
        </w:rPr>
        <w:t>eview conducted under the Subsidiary Body on Implementation</w:t>
      </w:r>
      <w:r w:rsidR="004258DF" w:rsidRPr="006F1504">
        <w:rPr>
          <w:rFonts w:eastAsia="Malgun Gothic"/>
        </w:rPr>
        <w:t xml:space="preserve">. In decision 15/6, the Conference of the Parties decided to further develop and </w:t>
      </w:r>
      <w:r w:rsidR="00D546E9" w:rsidRPr="006F1504">
        <w:rPr>
          <w:rFonts w:eastAsia="Malgun Gothic"/>
        </w:rPr>
        <w:t xml:space="preserve">pilot </w:t>
      </w:r>
      <w:r w:rsidR="004258DF" w:rsidRPr="006F1504">
        <w:rPr>
          <w:rFonts w:eastAsia="Malgun Gothic"/>
        </w:rPr>
        <w:t>an open-ended forum for voluntary country review under the Subsidiary Body on Implementation (paras. 1</w:t>
      </w:r>
      <w:r w:rsidR="00EE7A4A" w:rsidRPr="006F1504">
        <w:rPr>
          <w:rFonts w:eastAsia="Malgun Gothic"/>
        </w:rPr>
        <w:t xml:space="preserve"> </w:t>
      </w:r>
      <w:r w:rsidR="004258DF" w:rsidRPr="006F1504">
        <w:rPr>
          <w:rFonts w:eastAsia="Malgun Gothic"/>
        </w:rPr>
        <w:t>(f) and 29</w:t>
      </w:r>
      <w:r w:rsidR="00EE7A4A" w:rsidRPr="006F1504">
        <w:rPr>
          <w:rFonts w:eastAsia="Malgun Gothic"/>
        </w:rPr>
        <w:t xml:space="preserve"> </w:t>
      </w:r>
      <w:r w:rsidR="004258DF" w:rsidRPr="006F1504">
        <w:rPr>
          <w:rFonts w:eastAsia="Malgun Gothic"/>
        </w:rPr>
        <w:t xml:space="preserve">(c)). A </w:t>
      </w:r>
      <w:r w:rsidR="002A3332" w:rsidRPr="006F1504">
        <w:rPr>
          <w:rFonts w:eastAsia="Malgun Gothic"/>
        </w:rPr>
        <w:t>draft</w:t>
      </w:r>
      <w:r w:rsidR="004258DF" w:rsidRPr="006F1504">
        <w:rPr>
          <w:rFonts w:eastAsia="Malgun Gothic"/>
        </w:rPr>
        <w:t xml:space="preserve"> modus operandi</w:t>
      </w:r>
      <w:r w:rsidR="004258DF" w:rsidRPr="006F1504">
        <w:rPr>
          <w:rFonts w:eastAsia="Malgun Gothic"/>
          <w:iCs/>
        </w:rPr>
        <w:t xml:space="preserve"> for </w:t>
      </w:r>
      <w:r w:rsidR="004258DF" w:rsidRPr="006F1504">
        <w:rPr>
          <w:rFonts w:eastAsia="Malgun Gothic"/>
        </w:rPr>
        <w:t xml:space="preserve">the </w:t>
      </w:r>
      <w:r w:rsidR="00C017C4" w:rsidRPr="006F1504">
        <w:rPr>
          <w:rFonts w:eastAsia="Malgun Gothic"/>
        </w:rPr>
        <w:t>O</w:t>
      </w:r>
      <w:r w:rsidR="004258DF" w:rsidRPr="006F1504">
        <w:rPr>
          <w:rFonts w:eastAsia="Malgun Gothic"/>
        </w:rPr>
        <w:t xml:space="preserve">pen-ended </w:t>
      </w:r>
      <w:r w:rsidR="00484C25" w:rsidRPr="006F1504">
        <w:rPr>
          <w:rFonts w:eastAsia="Malgun Gothic"/>
        </w:rPr>
        <w:t>F</w:t>
      </w:r>
      <w:r w:rsidR="004258DF" w:rsidRPr="006F1504">
        <w:rPr>
          <w:rFonts w:eastAsia="Malgun Gothic"/>
        </w:rPr>
        <w:t xml:space="preserve">orum for </w:t>
      </w:r>
      <w:r w:rsidR="00484C25" w:rsidRPr="006F1504">
        <w:rPr>
          <w:rFonts w:eastAsia="Malgun Gothic"/>
        </w:rPr>
        <w:t>V</w:t>
      </w:r>
      <w:r w:rsidR="004258DF" w:rsidRPr="006F1504">
        <w:rPr>
          <w:rFonts w:eastAsia="Malgun Gothic"/>
        </w:rPr>
        <w:t xml:space="preserve">oluntary </w:t>
      </w:r>
      <w:r w:rsidR="00484C25" w:rsidRPr="006F1504">
        <w:rPr>
          <w:rFonts w:eastAsia="Malgun Gothic"/>
        </w:rPr>
        <w:t>C</w:t>
      </w:r>
      <w:r w:rsidR="004258DF" w:rsidRPr="006F1504">
        <w:rPr>
          <w:rFonts w:eastAsia="Malgun Gothic"/>
        </w:rPr>
        <w:t xml:space="preserve">ountry </w:t>
      </w:r>
      <w:r w:rsidR="00484C25" w:rsidRPr="006F1504">
        <w:rPr>
          <w:rFonts w:eastAsia="Malgun Gothic"/>
        </w:rPr>
        <w:t>R</w:t>
      </w:r>
      <w:r w:rsidR="004258DF" w:rsidRPr="006F1504">
        <w:rPr>
          <w:rFonts w:eastAsia="Malgun Gothic"/>
        </w:rPr>
        <w:t xml:space="preserve">eview is presented in </w:t>
      </w:r>
      <w:r w:rsidR="00DA4C63" w:rsidRPr="006F1504">
        <w:rPr>
          <w:rFonts w:eastAsia="Malgun Gothic"/>
        </w:rPr>
        <w:t xml:space="preserve">document </w:t>
      </w:r>
      <w:r w:rsidR="00715475" w:rsidRPr="00F228EA">
        <w:t>CBD</w:t>
      </w:r>
      <w:r w:rsidR="00715475" w:rsidRPr="006F1504">
        <w:t>/</w:t>
      </w:r>
      <w:r w:rsidR="00715475" w:rsidRPr="00F228EA">
        <w:t>SBI</w:t>
      </w:r>
      <w:r w:rsidR="00715475" w:rsidRPr="006F1504">
        <w:t>/4/4/</w:t>
      </w:r>
      <w:r w:rsidR="00715475" w:rsidRPr="006F1504">
        <w:rPr>
          <w:lang w:eastAsia="en-CA"/>
        </w:rPr>
        <w:t>Add</w:t>
      </w:r>
      <w:r w:rsidR="00991502" w:rsidRPr="006F1504">
        <w:rPr>
          <w:lang w:eastAsia="en-CA"/>
        </w:rPr>
        <w:t>.</w:t>
      </w:r>
      <w:r w:rsidR="00DA4C63" w:rsidRPr="006F1504">
        <w:rPr>
          <w:lang w:eastAsia="en-CA"/>
        </w:rPr>
        <w:t>1</w:t>
      </w:r>
      <w:r w:rsidR="00275801" w:rsidRPr="006F1504">
        <w:rPr>
          <w:rFonts w:eastAsia="Malgun Gothic"/>
        </w:rPr>
        <w:t xml:space="preserve">. The </w:t>
      </w:r>
      <w:r w:rsidR="00496C48" w:rsidRPr="006F1504">
        <w:rPr>
          <w:rFonts w:eastAsia="Malgun Gothic"/>
        </w:rPr>
        <w:t>O</w:t>
      </w:r>
      <w:r w:rsidR="00275801" w:rsidRPr="006F1504">
        <w:rPr>
          <w:rFonts w:eastAsia="Malgun Gothic"/>
        </w:rPr>
        <w:t xml:space="preserve">pen-ended </w:t>
      </w:r>
      <w:r w:rsidR="00496C48" w:rsidRPr="006F1504">
        <w:rPr>
          <w:rFonts w:eastAsia="Malgun Gothic"/>
        </w:rPr>
        <w:t>F</w:t>
      </w:r>
      <w:r w:rsidR="00275801" w:rsidRPr="006F1504">
        <w:rPr>
          <w:rFonts w:eastAsia="Malgun Gothic"/>
        </w:rPr>
        <w:t xml:space="preserve">orum for </w:t>
      </w:r>
      <w:r w:rsidR="004A4F2F" w:rsidRPr="006F1504">
        <w:rPr>
          <w:rFonts w:eastAsia="Malgun Gothic"/>
        </w:rPr>
        <w:t>V</w:t>
      </w:r>
      <w:r w:rsidR="00275801" w:rsidRPr="006F1504">
        <w:rPr>
          <w:rFonts w:eastAsia="Malgun Gothic"/>
        </w:rPr>
        <w:t xml:space="preserve">oluntary </w:t>
      </w:r>
      <w:r w:rsidR="00496C48" w:rsidRPr="006F1504">
        <w:rPr>
          <w:rFonts w:eastAsia="Malgun Gothic"/>
        </w:rPr>
        <w:t>C</w:t>
      </w:r>
      <w:r w:rsidR="00275801" w:rsidRPr="006F1504">
        <w:rPr>
          <w:rFonts w:eastAsia="Malgun Gothic"/>
        </w:rPr>
        <w:t xml:space="preserve">ountry </w:t>
      </w:r>
      <w:r w:rsidR="00496C48" w:rsidRPr="006F1504">
        <w:rPr>
          <w:rFonts w:eastAsia="Malgun Gothic"/>
        </w:rPr>
        <w:t>R</w:t>
      </w:r>
      <w:r w:rsidR="00275801" w:rsidRPr="006F1504">
        <w:rPr>
          <w:rFonts w:eastAsia="Malgun Gothic"/>
        </w:rPr>
        <w:t>eview will review implementation</w:t>
      </w:r>
      <w:r w:rsidR="00C017C4" w:rsidRPr="006F1504">
        <w:rPr>
          <w:rFonts w:eastAsia="Malgun Gothic"/>
        </w:rPr>
        <w:t>-related</w:t>
      </w:r>
      <w:r w:rsidR="00275801" w:rsidRPr="006F1504">
        <w:rPr>
          <w:rFonts w:eastAsia="Malgun Gothic"/>
        </w:rPr>
        <w:t xml:space="preserve"> successes and challenges, including </w:t>
      </w:r>
      <w:r w:rsidR="00DA4C63" w:rsidRPr="006F1504">
        <w:rPr>
          <w:rFonts w:eastAsia="Malgun Gothic"/>
        </w:rPr>
        <w:t xml:space="preserve">those </w:t>
      </w:r>
      <w:r w:rsidR="00275801" w:rsidRPr="006F1504">
        <w:rPr>
          <w:rFonts w:eastAsia="Malgun Gothic"/>
        </w:rPr>
        <w:t xml:space="preserve">related to </w:t>
      </w:r>
      <w:r w:rsidR="00DA4C63" w:rsidRPr="006F1504">
        <w:rPr>
          <w:rFonts w:eastAsia="Malgun Gothic"/>
        </w:rPr>
        <w:t xml:space="preserve">the </w:t>
      </w:r>
      <w:r w:rsidR="00275801" w:rsidRPr="006F1504">
        <w:rPr>
          <w:rFonts w:eastAsia="Malgun Gothic"/>
        </w:rPr>
        <w:t>means of implementation</w:t>
      </w:r>
      <w:r w:rsidR="005B4840" w:rsidRPr="006F1504">
        <w:rPr>
          <w:rFonts w:eastAsia="Malgun Gothic"/>
        </w:rPr>
        <w:t>;</w:t>
      </w:r>
    </w:p>
    <w:p w14:paraId="73E3CA08" w14:textId="6899A58F" w:rsidR="00A975DA" w:rsidRPr="006F1504" w:rsidRDefault="00A975DA" w:rsidP="00A975DA">
      <w:pPr>
        <w:pStyle w:val="Para2"/>
        <w:jc w:val="left"/>
      </w:pPr>
      <w:r w:rsidRPr="006F1504">
        <w:rPr>
          <w:rFonts w:eastAsia="Malgun Gothic"/>
          <w:kern w:val="22"/>
        </w:rPr>
        <w:t>(c)</w:t>
      </w:r>
      <w:r w:rsidR="00D93157" w:rsidRPr="006F1504">
        <w:rPr>
          <w:rFonts w:eastAsia="Malgun Gothic"/>
          <w:kern w:val="22"/>
        </w:rPr>
        <w:tab/>
      </w:r>
      <w:r w:rsidRPr="006F1504">
        <w:rPr>
          <w:rFonts w:eastAsia="Malgun Gothic"/>
          <w:i/>
          <w:iCs/>
          <w:kern w:val="22"/>
        </w:rPr>
        <w:t>Global report</w:t>
      </w:r>
      <w:r w:rsidRPr="006F1504">
        <w:rPr>
          <w:i/>
          <w:iCs/>
        </w:rPr>
        <w:t xml:space="preserve"> </w:t>
      </w:r>
      <w:r w:rsidRPr="006F1504">
        <w:rPr>
          <w:rFonts w:eastAsia="Malgun Gothic"/>
          <w:i/>
          <w:iCs/>
          <w:kern w:val="22"/>
        </w:rPr>
        <w:t xml:space="preserve">on collective progress in the implementation of the </w:t>
      </w:r>
      <w:r w:rsidRPr="00F228EA">
        <w:rPr>
          <w:rFonts w:eastAsia="Malgun Gothic"/>
          <w:i/>
          <w:iCs/>
          <w:kern w:val="22"/>
        </w:rPr>
        <w:t>Kunming-Montreal Global Biodiversity Framework</w:t>
      </w:r>
      <w:r w:rsidRPr="006F1504">
        <w:rPr>
          <w:rFonts w:eastAsia="Malgun Gothic"/>
          <w:i/>
          <w:iCs/>
          <w:kern w:val="22"/>
        </w:rPr>
        <w:t>.</w:t>
      </w:r>
      <w:r w:rsidRPr="006F1504">
        <w:rPr>
          <w:rFonts w:eastAsia="Malgun Gothic"/>
          <w:b/>
          <w:bCs/>
          <w:kern w:val="22"/>
        </w:rPr>
        <w:t xml:space="preserve"> </w:t>
      </w:r>
      <w:r w:rsidRPr="006F1504">
        <w:rPr>
          <w:rFonts w:eastAsia="Malgun Gothic"/>
        </w:rPr>
        <w:t xml:space="preserve">A global report on collective progress in the implementation of </w:t>
      </w:r>
      <w:r w:rsidRPr="006F1504">
        <w:rPr>
          <w:rFonts w:eastAsia="Malgun Gothic"/>
        </w:rPr>
        <w:lastRenderedPageBreak/>
        <w:t>the Framework could provide a summary of the status and trends of biodiversity based on scientific and technical assessments</w:t>
      </w:r>
      <w:r w:rsidRPr="00F228EA">
        <w:rPr>
          <w:rFonts w:eastAsia="Malgun Gothic"/>
        </w:rPr>
        <w:t>, and</w:t>
      </w:r>
      <w:r w:rsidRPr="006F1504">
        <w:rPr>
          <w:rFonts w:eastAsia="Malgun Gothic"/>
        </w:rPr>
        <w:t xml:space="preserve"> of collective progress based on actions and outcomes reported by Parties in their national reports</w:t>
      </w:r>
      <w:r w:rsidR="005B4840" w:rsidRPr="006F1504">
        <w:rPr>
          <w:rFonts w:eastAsia="Malgun Gothic"/>
        </w:rPr>
        <w:t>;</w:t>
      </w:r>
      <w:r w:rsidR="002A3332" w:rsidRPr="006F1504">
        <w:rPr>
          <w:rStyle w:val="FootnoteReference"/>
          <w:rFonts w:eastAsia="Malgun Gothic"/>
        </w:rPr>
        <w:footnoteReference w:id="3"/>
      </w:r>
      <w:r w:rsidRPr="006F1504">
        <w:rPr>
          <w:rFonts w:eastAsia="Malgun Gothic"/>
        </w:rPr>
        <w:t xml:space="preserve"> </w:t>
      </w:r>
    </w:p>
    <w:p w14:paraId="210E8E4F" w14:textId="3685983F" w:rsidR="004258DF" w:rsidRPr="006F1504" w:rsidRDefault="00D83F5E" w:rsidP="00D83F5E">
      <w:pPr>
        <w:pStyle w:val="Para2"/>
        <w:rPr>
          <w:rFonts w:eastAsia="Malgun Gothic"/>
        </w:rPr>
      </w:pPr>
      <w:r w:rsidRPr="006F1504">
        <w:rPr>
          <w:rFonts w:eastAsia="Malgun Gothic"/>
          <w:iCs/>
        </w:rPr>
        <w:t>(d)</w:t>
      </w:r>
      <w:r w:rsidRPr="006F1504">
        <w:rPr>
          <w:rFonts w:eastAsia="Malgun Gothic"/>
          <w:iCs/>
        </w:rPr>
        <w:tab/>
      </w:r>
      <w:r w:rsidR="004258DF" w:rsidRPr="006F1504">
        <w:rPr>
          <w:rFonts w:eastAsia="Malgun Gothic"/>
          <w:i/>
        </w:rPr>
        <w:t>Relevant recommendations prepared by the subsidiary bodies and working groups under the Convention.</w:t>
      </w:r>
      <w:r w:rsidR="004258DF" w:rsidRPr="006F1504">
        <w:rPr>
          <w:rFonts w:eastAsia="Malgun Gothic"/>
        </w:rPr>
        <w:t xml:space="preserve"> Recommendations of the Subsidiary Body on Implementation, the </w:t>
      </w:r>
      <w:r w:rsidR="004258DF" w:rsidRPr="00F228EA">
        <w:rPr>
          <w:rFonts w:eastAsia="Malgun Gothic"/>
        </w:rPr>
        <w:t>Subsidiary Body on Scientific, Technical and Technological Advice</w:t>
      </w:r>
      <w:r w:rsidR="004258DF" w:rsidRPr="006F1504">
        <w:rPr>
          <w:rFonts w:eastAsia="Malgun Gothic"/>
        </w:rPr>
        <w:t xml:space="preserve"> and the Ad Hoc Open-ended Intersessional Working Group o</w:t>
      </w:r>
      <w:r w:rsidR="004258DF" w:rsidRPr="00F228EA">
        <w:rPr>
          <w:rFonts w:eastAsia="Malgun Gothic"/>
        </w:rPr>
        <w:t>n Article</w:t>
      </w:r>
      <w:r w:rsidR="004258DF" w:rsidRPr="006F1504">
        <w:rPr>
          <w:rFonts w:eastAsia="Malgun Gothic"/>
        </w:rPr>
        <w:t xml:space="preserve"> 8(j) and Related Provisions of the </w:t>
      </w:r>
      <w:r w:rsidR="004258DF" w:rsidRPr="00F228EA">
        <w:rPr>
          <w:rFonts w:eastAsia="Malgun Gothic"/>
        </w:rPr>
        <w:t>Convention</w:t>
      </w:r>
      <w:r w:rsidR="00C004F5" w:rsidRPr="00F228EA">
        <w:rPr>
          <w:rFonts w:eastAsia="Malgun Gothic"/>
        </w:rPr>
        <w:t xml:space="preserve"> on Biological Diversity</w:t>
      </w:r>
      <w:r w:rsidR="000D7E02" w:rsidRPr="006F1504">
        <w:rPr>
          <w:rFonts w:eastAsia="Malgun Gothic"/>
        </w:rPr>
        <w:t>, or its successor,</w:t>
      </w:r>
      <w:r w:rsidR="004258DF" w:rsidRPr="006F1504">
        <w:rPr>
          <w:rFonts w:eastAsia="Malgun Gothic"/>
        </w:rPr>
        <w:t xml:space="preserve"> </w:t>
      </w:r>
      <w:r w:rsidR="00D04964" w:rsidRPr="006F1504">
        <w:rPr>
          <w:rFonts w:eastAsia="Malgun Gothic"/>
        </w:rPr>
        <w:t xml:space="preserve">including recommendations related to means of implementation, </w:t>
      </w:r>
      <w:r w:rsidR="004258DF" w:rsidRPr="006F1504">
        <w:rPr>
          <w:rFonts w:eastAsia="Malgun Gothic"/>
        </w:rPr>
        <w:t>would be inputs for the global review by the Conference of the Parties</w:t>
      </w:r>
      <w:r w:rsidR="00275801" w:rsidRPr="006F1504">
        <w:rPr>
          <w:rFonts w:eastAsia="Malgun Gothic"/>
        </w:rPr>
        <w:t>.</w:t>
      </w:r>
      <w:r w:rsidR="004258DF" w:rsidRPr="006F1504">
        <w:rPr>
          <w:rFonts w:eastAsia="Malgun Gothic"/>
        </w:rPr>
        <w:t xml:space="preserve"> In addition, the subsidiary bodies could integrate outcomes from elements </w:t>
      </w:r>
      <w:r w:rsidR="00970E33" w:rsidRPr="006F1504">
        <w:rPr>
          <w:rFonts w:eastAsia="Malgun Gothic"/>
        </w:rPr>
        <w:t xml:space="preserve">described in </w:t>
      </w:r>
      <w:r w:rsidR="00F524F2" w:rsidRPr="006F1504">
        <w:rPr>
          <w:rFonts w:eastAsia="Malgun Gothic"/>
        </w:rPr>
        <w:t xml:space="preserve">paragraphs </w:t>
      </w:r>
      <w:r w:rsidR="004258DF" w:rsidRPr="006F1504">
        <w:rPr>
          <w:rFonts w:eastAsia="Malgun Gothic"/>
        </w:rPr>
        <w:t>(a), (b) and (c)</w:t>
      </w:r>
      <w:r w:rsidR="00F524F2" w:rsidRPr="006F1504">
        <w:rPr>
          <w:rFonts w:eastAsia="Malgun Gothic"/>
        </w:rPr>
        <w:t xml:space="preserve"> directly</w:t>
      </w:r>
      <w:r w:rsidR="004258DF" w:rsidRPr="006F1504">
        <w:rPr>
          <w:rFonts w:eastAsia="Malgun Gothic"/>
        </w:rPr>
        <w:t xml:space="preserve"> above in various recommendations;</w:t>
      </w:r>
    </w:p>
    <w:p w14:paraId="46763588" w14:textId="0EC3B7F2" w:rsidR="004258DF" w:rsidRPr="006F1504" w:rsidRDefault="00F90B26" w:rsidP="00F90B26">
      <w:pPr>
        <w:pStyle w:val="Para2"/>
        <w:rPr>
          <w:rFonts w:eastAsia="Malgun Gothic"/>
        </w:rPr>
      </w:pPr>
      <w:r w:rsidRPr="006F1504">
        <w:rPr>
          <w:rFonts w:eastAsia="Malgun Gothic"/>
          <w:iCs/>
        </w:rPr>
        <w:t>(e)</w:t>
      </w:r>
      <w:r w:rsidRPr="006F1504">
        <w:rPr>
          <w:rFonts w:eastAsia="Malgun Gothic"/>
          <w:iCs/>
        </w:rPr>
        <w:tab/>
      </w:r>
      <w:r w:rsidR="004258DF" w:rsidRPr="006F1504">
        <w:rPr>
          <w:rFonts w:eastAsia="Malgun Gothic"/>
          <w:i/>
          <w:iCs/>
        </w:rPr>
        <w:t>High-level discussions among Parties under the auspices of the Presidencies of the seventeenth and nineteenth meetings of the Conference of the Parties</w:t>
      </w:r>
      <w:r w:rsidR="004258DF" w:rsidRPr="006F1504">
        <w:rPr>
          <w:rFonts w:eastAsia="Malgun Gothic"/>
        </w:rPr>
        <w:t>. The Conference of the Parties has invited Parties hosting its seventeenth and nineteenth meetings to consider organizing a high</w:t>
      </w:r>
      <w:r w:rsidR="004258DF" w:rsidRPr="006F1504">
        <w:rPr>
          <w:rFonts w:eastAsia="Malgun Gothic"/>
        </w:rPr>
        <w:noBreakHyphen/>
        <w:t xml:space="preserve">level discussion on the review of progress </w:t>
      </w:r>
      <w:r w:rsidR="00FC78B7" w:rsidRPr="006F1504">
        <w:rPr>
          <w:rFonts w:eastAsia="Malgun Gothic"/>
        </w:rPr>
        <w:t>towards</w:t>
      </w:r>
      <w:r w:rsidR="004258DF" w:rsidRPr="006F1504">
        <w:rPr>
          <w:rFonts w:eastAsia="Malgun Gothic"/>
        </w:rPr>
        <w:t xml:space="preserve"> the implementation of the </w:t>
      </w:r>
      <w:r w:rsidR="00991502" w:rsidRPr="006F1504">
        <w:rPr>
          <w:rFonts w:eastAsia="Malgun Gothic"/>
        </w:rPr>
        <w:t>Framework</w:t>
      </w:r>
      <w:r w:rsidR="00991502" w:rsidRPr="006F1504">
        <w:rPr>
          <w:rFonts w:eastAsia="Malgun Gothic"/>
          <w:lang w:val="en-GB"/>
        </w:rPr>
        <w:t xml:space="preserve"> </w:t>
      </w:r>
      <w:r w:rsidR="004258DF" w:rsidRPr="006F1504">
        <w:rPr>
          <w:rFonts w:eastAsia="Malgun Gothic"/>
          <w:lang w:val="en-GB"/>
        </w:rPr>
        <w:t>(decision 15/6, para. 21)</w:t>
      </w:r>
      <w:r w:rsidR="004258DF" w:rsidRPr="006F1504">
        <w:rPr>
          <w:rFonts w:eastAsia="Malgun Gothic"/>
        </w:rPr>
        <w:t xml:space="preserve">. These discussions </w:t>
      </w:r>
      <w:r w:rsidR="00F61A33" w:rsidRPr="006F1504">
        <w:rPr>
          <w:rFonts w:eastAsia="Malgun Gothic"/>
        </w:rPr>
        <w:t>w</w:t>
      </w:r>
      <w:r w:rsidR="004258DF" w:rsidRPr="006F1504">
        <w:rPr>
          <w:rFonts w:eastAsia="Malgun Gothic"/>
        </w:rPr>
        <w:t>ould be convened in the context of the high-level segment of the meetings and could be instrumental in building political support for decisions related to enhancing implementation of the Framework.</w:t>
      </w:r>
    </w:p>
    <w:p w14:paraId="4CAB4E44" w14:textId="5F46D8A5" w:rsidR="004258DF" w:rsidRPr="006F1504" w:rsidRDefault="004258DF" w:rsidP="003E78D5">
      <w:pPr>
        <w:pStyle w:val="Para1"/>
      </w:pPr>
      <w:r w:rsidRPr="006F1504">
        <w:t xml:space="preserve">The outcomes of the global review </w:t>
      </w:r>
      <w:r w:rsidR="00F61A33" w:rsidRPr="006F1504">
        <w:rPr>
          <w:lang w:val="en-GB"/>
        </w:rPr>
        <w:t>w</w:t>
      </w:r>
      <w:r w:rsidRPr="006F1504">
        <w:rPr>
          <w:lang w:val="en-GB"/>
        </w:rPr>
        <w:t xml:space="preserve">ould </w:t>
      </w:r>
      <w:r w:rsidR="00680380" w:rsidRPr="006F1504">
        <w:rPr>
          <w:lang w:val="en-GB"/>
        </w:rPr>
        <w:t>inform</w:t>
      </w:r>
      <w:r w:rsidRPr="006F1504">
        <w:rPr>
          <w:lang w:val="en-GB"/>
        </w:rPr>
        <w:t xml:space="preserve"> decisions</w:t>
      </w:r>
      <w:r w:rsidR="00680380" w:rsidRPr="006F1504">
        <w:rPr>
          <w:lang w:val="en-GB"/>
        </w:rPr>
        <w:t xml:space="preserve"> by the Conference of the Parties</w:t>
      </w:r>
      <w:r w:rsidRPr="006F1504">
        <w:rPr>
          <w:lang w:val="en-GB"/>
        </w:rPr>
        <w:t xml:space="preserve">. </w:t>
      </w:r>
      <w:r w:rsidRPr="006F1504">
        <w:t xml:space="preserve">This </w:t>
      </w:r>
      <w:r w:rsidR="00F61A33" w:rsidRPr="006F1504">
        <w:t>w</w:t>
      </w:r>
      <w:r w:rsidRPr="006F1504">
        <w:t xml:space="preserve">ould include guidance that </w:t>
      </w:r>
      <w:r w:rsidR="005A6DE6" w:rsidRPr="006F1504">
        <w:t>c</w:t>
      </w:r>
      <w:r w:rsidRPr="006F1504">
        <w:t xml:space="preserve">ould be used by Parties to take action in line with paragraph 20 of decision 15/6 and paragraphs 17 and 21 of </w:t>
      </w:r>
      <w:r w:rsidR="00482A1E" w:rsidRPr="006F1504">
        <w:t xml:space="preserve">the annex to </w:t>
      </w:r>
      <w:r w:rsidRPr="006F1504">
        <w:t xml:space="preserve">decision </w:t>
      </w:r>
      <w:hyperlink r:id="rId15" w:history="1">
        <w:r w:rsidRPr="00F228EA">
          <w:rPr>
            <w:rStyle w:val="Hyperlink"/>
            <w:sz w:val="22"/>
          </w:rPr>
          <w:t>15/4</w:t>
        </w:r>
      </w:hyperlink>
      <w:r w:rsidRPr="006F1504">
        <w:t>, regarding considerations on improving actions and efforts through future revisions and implementation of national biodiversity strategies and action plans, including the provision of means of implementation to developing</w:t>
      </w:r>
      <w:r w:rsidR="003A2D31" w:rsidRPr="006F1504">
        <w:t xml:space="preserve"> </w:t>
      </w:r>
      <w:r w:rsidRPr="006F1504">
        <w:t xml:space="preserve">country Parties, with a view to improving actions and efforts, as appropriate. </w:t>
      </w:r>
    </w:p>
    <w:p w14:paraId="7E8E72A7" w14:textId="32ABAE0F" w:rsidR="00E945BA" w:rsidRPr="006F1504" w:rsidRDefault="002D1F37" w:rsidP="00E945BA">
      <w:pPr>
        <w:pStyle w:val="Heading1"/>
        <w:ind w:left="540" w:hanging="540"/>
      </w:pPr>
      <w:r w:rsidRPr="006F1504">
        <w:t>Conduct and o</w:t>
      </w:r>
      <w:r w:rsidR="00E945BA" w:rsidRPr="006F1504">
        <w:t xml:space="preserve">versight of the global </w:t>
      </w:r>
      <w:proofErr w:type="gramStart"/>
      <w:r w:rsidR="00E945BA" w:rsidRPr="006F1504">
        <w:t>review</w:t>
      </w:r>
      <w:proofErr w:type="gramEnd"/>
    </w:p>
    <w:bookmarkEnd w:id="2"/>
    <w:p w14:paraId="11B4814F" w14:textId="3E2E72EB" w:rsidR="002D1F37" w:rsidRPr="006F1504" w:rsidRDefault="007729EC" w:rsidP="003E78D5">
      <w:pPr>
        <w:pStyle w:val="Para1"/>
      </w:pPr>
      <w:r w:rsidRPr="006F1504">
        <w:t>Initiated by a decision of the Conference of the Parties at its sixteenth meeting, the preparat</w:t>
      </w:r>
      <w:r w:rsidR="00E6672F" w:rsidRPr="006F1504">
        <w:t>ory process</w:t>
      </w:r>
      <w:r w:rsidRPr="006F1504">
        <w:t xml:space="preserve"> </w:t>
      </w:r>
      <w:r w:rsidR="00835365" w:rsidRPr="006F1504">
        <w:t>for</w:t>
      </w:r>
      <w:r w:rsidRPr="006F1504">
        <w:t xml:space="preserve"> the global review, to be conducted at its seventeenth and nineteenth meetings, would be placed under the authority of the Subsidiary Body on Implementation </w:t>
      </w:r>
      <w:r w:rsidR="00AF75B2" w:rsidRPr="006F1504">
        <w:t xml:space="preserve">and </w:t>
      </w:r>
      <w:r w:rsidRPr="006F1504">
        <w:t xml:space="preserve">the </w:t>
      </w:r>
      <w:r w:rsidRPr="00F228EA">
        <w:t>Subsidiary Body on Scientific, Technical and Technological Advice</w:t>
      </w:r>
      <w:r w:rsidRPr="006F1504">
        <w:t xml:space="preserve">. </w:t>
      </w:r>
      <w:r w:rsidR="00AF75B2" w:rsidRPr="006F1504">
        <w:t xml:space="preserve">The Subsidiary Body on Implementation would guide and provide </w:t>
      </w:r>
      <w:r w:rsidR="00E6672F" w:rsidRPr="006F1504">
        <w:t xml:space="preserve">overall </w:t>
      </w:r>
      <w:r w:rsidR="00AF75B2" w:rsidRPr="006F1504">
        <w:t>oversight across all elements of the global review</w:t>
      </w:r>
      <w:r w:rsidR="00A71489" w:rsidRPr="006F1504">
        <w:t xml:space="preserve">. It would </w:t>
      </w:r>
      <w:r w:rsidR="00835365" w:rsidRPr="006F1504">
        <w:t xml:space="preserve">facilitate the </w:t>
      </w:r>
      <w:r w:rsidR="00901658" w:rsidRPr="006F1504">
        <w:t>O</w:t>
      </w:r>
      <w:r w:rsidR="00835365" w:rsidRPr="006F1504">
        <w:t xml:space="preserve">pen-ended </w:t>
      </w:r>
      <w:r w:rsidR="00901658" w:rsidRPr="006F1504">
        <w:t>F</w:t>
      </w:r>
      <w:r w:rsidR="00835365" w:rsidRPr="006F1504">
        <w:t xml:space="preserve">orum for </w:t>
      </w:r>
      <w:r w:rsidR="00901658" w:rsidRPr="006F1504">
        <w:t>V</w:t>
      </w:r>
      <w:r w:rsidR="00835365" w:rsidRPr="006F1504">
        <w:t xml:space="preserve">oluntary </w:t>
      </w:r>
      <w:r w:rsidR="00901658" w:rsidRPr="006F1504">
        <w:t>C</w:t>
      </w:r>
      <w:r w:rsidR="00835365" w:rsidRPr="006F1504">
        <w:t xml:space="preserve">ountry </w:t>
      </w:r>
      <w:r w:rsidR="00901658" w:rsidRPr="006F1504">
        <w:t>R</w:t>
      </w:r>
      <w:r w:rsidR="00835365" w:rsidRPr="006F1504">
        <w:t>eview</w:t>
      </w:r>
      <w:r w:rsidR="00AF75B2" w:rsidRPr="006F1504">
        <w:t xml:space="preserve"> and </w:t>
      </w:r>
      <w:r w:rsidR="00835365" w:rsidRPr="006F1504">
        <w:t xml:space="preserve">would conduct a review of implementation as a standing item </w:t>
      </w:r>
      <w:r w:rsidR="007453D0" w:rsidRPr="006F1504">
        <w:t>in</w:t>
      </w:r>
      <w:r w:rsidR="00835365" w:rsidRPr="006F1504">
        <w:t xml:space="preserve"> its agenda. T</w:t>
      </w:r>
      <w:r w:rsidR="00AF75B2" w:rsidRPr="006F1504">
        <w:t xml:space="preserve">he </w:t>
      </w:r>
      <w:r w:rsidR="00AF75B2" w:rsidRPr="00F228EA">
        <w:rPr>
          <w:lang w:val="en-GB"/>
        </w:rPr>
        <w:t>Subsidiary Body on Scientific, Technical and Technological Advice</w:t>
      </w:r>
      <w:r w:rsidR="00AF75B2" w:rsidRPr="006F1504">
        <w:rPr>
          <w:lang w:val="en-GB"/>
        </w:rPr>
        <w:t xml:space="preserve"> would ensure scientific, </w:t>
      </w:r>
      <w:proofErr w:type="gramStart"/>
      <w:r w:rsidR="00AF75B2" w:rsidRPr="006F1504">
        <w:rPr>
          <w:lang w:val="en-GB"/>
        </w:rPr>
        <w:t>technical</w:t>
      </w:r>
      <w:proofErr w:type="gramEnd"/>
      <w:r w:rsidR="00AF75B2" w:rsidRPr="006F1504">
        <w:rPr>
          <w:lang w:val="en-GB"/>
        </w:rPr>
        <w:t xml:space="preserve"> and technological rigour, in particular </w:t>
      </w:r>
      <w:r w:rsidR="00E6672F" w:rsidRPr="006F1504">
        <w:rPr>
          <w:lang w:val="en-GB"/>
        </w:rPr>
        <w:t>of</w:t>
      </w:r>
      <w:r w:rsidR="00AF75B2" w:rsidRPr="006F1504">
        <w:rPr>
          <w:lang w:val="en-GB"/>
        </w:rPr>
        <w:t xml:space="preserve"> the global report </w:t>
      </w:r>
      <w:r w:rsidR="00E6672F" w:rsidRPr="006F1504">
        <w:rPr>
          <w:lang w:val="en-GB"/>
        </w:rPr>
        <w:t xml:space="preserve">on collective progress. The Ad </w:t>
      </w:r>
      <w:r w:rsidR="00B156F0" w:rsidRPr="006F1504">
        <w:rPr>
          <w:lang w:val="en-GB"/>
        </w:rPr>
        <w:t>H</w:t>
      </w:r>
      <w:r w:rsidR="00E6672F" w:rsidRPr="006F1504">
        <w:rPr>
          <w:lang w:val="en-GB"/>
        </w:rPr>
        <w:t xml:space="preserve">oc </w:t>
      </w:r>
      <w:r w:rsidR="00203D60" w:rsidRPr="006F1504">
        <w:rPr>
          <w:lang w:val="en-GB"/>
        </w:rPr>
        <w:t xml:space="preserve">Open-ended </w:t>
      </w:r>
      <w:r w:rsidR="00E6672F" w:rsidRPr="006F1504">
        <w:rPr>
          <w:lang w:val="en-GB"/>
        </w:rPr>
        <w:t>Intersessional Working Group o</w:t>
      </w:r>
      <w:r w:rsidR="00E6672F" w:rsidRPr="00F228EA">
        <w:rPr>
          <w:lang w:val="en-GB"/>
        </w:rPr>
        <w:t>n Article</w:t>
      </w:r>
      <w:r w:rsidR="00E6672F" w:rsidRPr="006F1504">
        <w:rPr>
          <w:lang w:val="en-GB"/>
        </w:rPr>
        <w:t xml:space="preserve"> 8(j) and Related Provisions of the </w:t>
      </w:r>
      <w:r w:rsidR="00E6672F" w:rsidRPr="00F228EA">
        <w:rPr>
          <w:lang w:val="en-GB"/>
        </w:rPr>
        <w:t>Convention on Biological Diversity</w:t>
      </w:r>
      <w:r w:rsidR="00E6672F" w:rsidRPr="006F1504">
        <w:rPr>
          <w:lang w:val="en-GB"/>
        </w:rPr>
        <w:t xml:space="preserve">, or its successor, would provide advice </w:t>
      </w:r>
      <w:r w:rsidR="00590BB3" w:rsidRPr="006F1504">
        <w:rPr>
          <w:lang w:val="en-GB"/>
        </w:rPr>
        <w:t>appropriate to</w:t>
      </w:r>
      <w:r w:rsidR="00E6672F" w:rsidRPr="006F1504">
        <w:rPr>
          <w:lang w:val="en-GB"/>
        </w:rPr>
        <w:t xml:space="preserve"> </w:t>
      </w:r>
      <w:r w:rsidR="00590BB3" w:rsidRPr="006F1504">
        <w:rPr>
          <w:lang w:val="en-GB"/>
        </w:rPr>
        <w:t xml:space="preserve">the scope of </w:t>
      </w:r>
      <w:r w:rsidR="00E6672F" w:rsidRPr="006F1504">
        <w:rPr>
          <w:lang w:val="en-GB"/>
        </w:rPr>
        <w:t xml:space="preserve">its mandate. </w:t>
      </w:r>
      <w:r w:rsidRPr="006F1504">
        <w:t>To ensure Party leadership throughout the process, the Subsidiary Bod</w:t>
      </w:r>
      <w:r w:rsidR="00EF09CE" w:rsidRPr="006F1504">
        <w:t>y</w:t>
      </w:r>
      <w:r w:rsidRPr="006F1504">
        <w:t xml:space="preserve"> </w:t>
      </w:r>
      <w:r w:rsidR="00EF09CE" w:rsidRPr="006F1504">
        <w:rPr>
          <w:lang w:val="en-GB"/>
        </w:rPr>
        <w:t xml:space="preserve">on Implementation and the </w:t>
      </w:r>
      <w:r w:rsidR="00EF09CE" w:rsidRPr="00F228EA">
        <w:rPr>
          <w:lang w:val="en-GB"/>
        </w:rPr>
        <w:t>Subsidiary Body on Scientific, Technical and Technological Advice</w:t>
      </w:r>
      <w:r w:rsidR="00EF09CE" w:rsidRPr="006F1504">
        <w:rPr>
          <w:lang w:val="en-GB"/>
        </w:rPr>
        <w:t xml:space="preserve"> </w:t>
      </w:r>
      <w:r w:rsidRPr="006F1504">
        <w:t xml:space="preserve">would </w:t>
      </w:r>
      <w:r w:rsidR="00AF75B2" w:rsidRPr="006F1504">
        <w:t>be supported</w:t>
      </w:r>
      <w:r w:rsidR="00D001CF" w:rsidRPr="006F1504">
        <w:t xml:space="preserve"> </w:t>
      </w:r>
      <w:r w:rsidR="00AF75B2" w:rsidRPr="006F1504">
        <w:t>by</w:t>
      </w:r>
      <w:r w:rsidR="00EF09CE" w:rsidRPr="006F1504">
        <w:t xml:space="preserve">, respectively, </w:t>
      </w:r>
      <w:r w:rsidR="00AF75B2" w:rsidRPr="006F1504">
        <w:t xml:space="preserve">an advisory committee and an </w:t>
      </w:r>
      <w:r w:rsidR="00AF75B2" w:rsidRPr="006F1504">
        <w:rPr>
          <w:lang w:val="en-GB"/>
        </w:rPr>
        <w:t>ad hoc scientific and technical advisory group.</w:t>
      </w:r>
      <w:r w:rsidRPr="006F1504">
        <w:t xml:space="preserve"> </w:t>
      </w:r>
    </w:p>
    <w:p w14:paraId="62E67299" w14:textId="298B1715" w:rsidR="004258DF" w:rsidRPr="006F1504" w:rsidRDefault="004258DF" w:rsidP="003E78D5">
      <w:pPr>
        <w:pStyle w:val="Para1"/>
      </w:pPr>
      <w:r w:rsidRPr="006F1504">
        <w:t xml:space="preserve">An </w:t>
      </w:r>
      <w:r w:rsidR="00A91A23" w:rsidRPr="006F1504">
        <w:t>a</w:t>
      </w:r>
      <w:r w:rsidRPr="006F1504">
        <w:t xml:space="preserve">dvisory </w:t>
      </w:r>
      <w:r w:rsidR="00A91A23" w:rsidRPr="006F1504">
        <w:t>c</w:t>
      </w:r>
      <w:r w:rsidR="00F61A33" w:rsidRPr="006F1504">
        <w:t xml:space="preserve">ommittee </w:t>
      </w:r>
      <w:r w:rsidR="00F404B7" w:rsidRPr="006F1504">
        <w:t>for</w:t>
      </w:r>
      <w:r w:rsidR="00AE1820" w:rsidRPr="006F1504">
        <w:t xml:space="preserve"> the</w:t>
      </w:r>
      <w:r w:rsidR="00F61A33" w:rsidRPr="006F1504">
        <w:t xml:space="preserve"> </w:t>
      </w:r>
      <w:r w:rsidR="0045389A" w:rsidRPr="006F1504">
        <w:t xml:space="preserve">global </w:t>
      </w:r>
      <w:r w:rsidR="00AE1820" w:rsidRPr="006F1504">
        <w:t>r</w:t>
      </w:r>
      <w:r w:rsidR="00F61A33" w:rsidRPr="006F1504">
        <w:t xml:space="preserve">eview </w:t>
      </w:r>
      <w:r w:rsidR="00F61A33" w:rsidRPr="006F1504">
        <w:rPr>
          <w:lang w:val="en-GB"/>
        </w:rPr>
        <w:t>of collective progress in the implementation of the Framework</w:t>
      </w:r>
      <w:r w:rsidRPr="006F1504">
        <w:t xml:space="preserve">, composed of a regionally representative </w:t>
      </w:r>
      <w:r w:rsidR="00BB30F5" w:rsidRPr="006F1504">
        <w:t>and gender</w:t>
      </w:r>
      <w:r w:rsidR="006B10D3" w:rsidRPr="006F1504">
        <w:t xml:space="preserve"> </w:t>
      </w:r>
      <w:r w:rsidR="00BB30F5" w:rsidRPr="006F1504">
        <w:t xml:space="preserve">balanced </w:t>
      </w:r>
      <w:r w:rsidRPr="006F1504">
        <w:t>group of experts nominated by Parties</w:t>
      </w:r>
      <w:r w:rsidR="00F61A33" w:rsidRPr="006F1504">
        <w:t xml:space="preserve">, </w:t>
      </w:r>
      <w:r w:rsidR="00F61A33" w:rsidRPr="00F228EA">
        <w:t>indigenous people</w:t>
      </w:r>
      <w:r w:rsidR="00F61A33" w:rsidRPr="006F1504">
        <w:t>s and local communities, major stakeholder groups and relevant organizations</w:t>
      </w:r>
      <w:r w:rsidRPr="006F1504">
        <w:t xml:space="preserve">, would be established </w:t>
      </w:r>
      <w:r w:rsidR="007729EC" w:rsidRPr="006F1504">
        <w:t xml:space="preserve">to work </w:t>
      </w:r>
      <w:r w:rsidRPr="006F1504">
        <w:t xml:space="preserve">under </w:t>
      </w:r>
      <w:r w:rsidR="007729EC" w:rsidRPr="006F1504">
        <w:t xml:space="preserve">the authority of </w:t>
      </w:r>
      <w:r w:rsidR="00A91A23" w:rsidRPr="006F1504">
        <w:t xml:space="preserve">the </w:t>
      </w:r>
      <w:r w:rsidR="0055688D" w:rsidRPr="006F1504">
        <w:rPr>
          <w:snapToGrid w:val="0"/>
          <w:kern w:val="22"/>
          <w:szCs w:val="22"/>
        </w:rPr>
        <w:t xml:space="preserve">Subsidiary Body on </w:t>
      </w:r>
      <w:r w:rsidR="0055688D" w:rsidRPr="006F1504">
        <w:rPr>
          <w:snapToGrid w:val="0"/>
          <w:kern w:val="22"/>
          <w:szCs w:val="22"/>
        </w:rPr>
        <w:lastRenderedPageBreak/>
        <w:t>Implementation</w:t>
      </w:r>
      <w:r w:rsidRPr="006F1504">
        <w:t xml:space="preserve"> </w:t>
      </w:r>
      <w:r w:rsidRPr="006F1504">
        <w:rPr>
          <w:kern w:val="22"/>
        </w:rPr>
        <w:t xml:space="preserve">to </w:t>
      </w:r>
      <w:r w:rsidR="00EB2A44" w:rsidRPr="006F1504">
        <w:rPr>
          <w:kern w:val="22"/>
        </w:rPr>
        <w:t>guide</w:t>
      </w:r>
      <w:r w:rsidRPr="006F1504">
        <w:rPr>
          <w:kern w:val="22"/>
        </w:rPr>
        <w:t xml:space="preserve"> the </w:t>
      </w:r>
      <w:r w:rsidR="00EB2A44" w:rsidRPr="006F1504">
        <w:rPr>
          <w:kern w:val="22"/>
        </w:rPr>
        <w:t xml:space="preserve">process of the </w:t>
      </w:r>
      <w:r w:rsidRPr="006F1504">
        <w:rPr>
          <w:kern w:val="22"/>
        </w:rPr>
        <w:t>global review.</w:t>
      </w:r>
      <w:r w:rsidRPr="006F1504">
        <w:t xml:space="preserve"> </w:t>
      </w:r>
      <w:r w:rsidR="00AE1820" w:rsidRPr="006F1504">
        <w:t xml:space="preserve">A </w:t>
      </w:r>
      <w:r w:rsidR="00BB30F5" w:rsidRPr="006F1504">
        <w:t xml:space="preserve">draft </w:t>
      </w:r>
      <w:r w:rsidR="009628D2" w:rsidRPr="006F1504">
        <w:t xml:space="preserve">for its </w:t>
      </w:r>
      <w:r w:rsidR="00AE1820" w:rsidRPr="006F1504">
        <w:t xml:space="preserve">terms of reference is included in </w:t>
      </w:r>
      <w:r w:rsidR="00AE1820" w:rsidRPr="00F228EA">
        <w:t>annex</w:t>
      </w:r>
      <w:r w:rsidR="00AE2B8F" w:rsidRPr="00F228EA">
        <w:t xml:space="preserve"> </w:t>
      </w:r>
      <w:r w:rsidR="00AE2B8F" w:rsidRPr="006F1504">
        <w:t>III</w:t>
      </w:r>
      <w:r w:rsidR="00AE2B8F" w:rsidRPr="00F228EA">
        <w:t xml:space="preserve"> </w:t>
      </w:r>
      <w:r w:rsidR="0030123C" w:rsidRPr="006F1504">
        <w:t>to</w:t>
      </w:r>
      <w:r w:rsidR="00E521F3" w:rsidRPr="006F1504">
        <w:t xml:space="preserve"> </w:t>
      </w:r>
      <w:r w:rsidR="00CA5D39" w:rsidRPr="006F1504">
        <w:t xml:space="preserve">the draft </w:t>
      </w:r>
      <w:r w:rsidR="00F404B7" w:rsidRPr="006F1504">
        <w:t>decision</w:t>
      </w:r>
      <w:r w:rsidR="00CA5D39" w:rsidRPr="006F1504">
        <w:t xml:space="preserve"> contained in section III of document </w:t>
      </w:r>
      <w:r w:rsidR="00CA5D39" w:rsidRPr="00F228EA">
        <w:t>CBD</w:t>
      </w:r>
      <w:r w:rsidR="00CA5D39" w:rsidRPr="006F1504">
        <w:t>/</w:t>
      </w:r>
      <w:r w:rsidR="00CA5D39" w:rsidRPr="00F228EA">
        <w:t>SBI</w:t>
      </w:r>
      <w:r w:rsidR="00CA5D39" w:rsidRPr="006F1504">
        <w:t>/4/4</w:t>
      </w:r>
      <w:r w:rsidR="00AE1820" w:rsidRPr="006F1504">
        <w:t xml:space="preserve">. </w:t>
      </w:r>
      <w:r w:rsidRPr="006F1504">
        <w:t>T</w:t>
      </w:r>
      <w:r w:rsidRPr="006F1504">
        <w:rPr>
          <w:lang w:val="en-GB"/>
        </w:rPr>
        <w:t xml:space="preserve">he </w:t>
      </w:r>
      <w:r w:rsidR="00BB30F5" w:rsidRPr="006F1504">
        <w:rPr>
          <w:lang w:val="en-GB"/>
        </w:rPr>
        <w:t>a</w:t>
      </w:r>
      <w:r w:rsidR="007B15B0" w:rsidRPr="006F1504">
        <w:rPr>
          <w:lang w:val="en-GB"/>
        </w:rPr>
        <w:t xml:space="preserve">dvisory </w:t>
      </w:r>
      <w:r w:rsidR="00BB30F5" w:rsidRPr="006F1504">
        <w:rPr>
          <w:lang w:val="en-GB"/>
        </w:rPr>
        <w:t>c</w:t>
      </w:r>
      <w:r w:rsidR="00EB2A44" w:rsidRPr="006F1504">
        <w:rPr>
          <w:lang w:val="en-GB"/>
        </w:rPr>
        <w:t>ommittee</w:t>
      </w:r>
      <w:r w:rsidRPr="006F1504">
        <w:rPr>
          <w:kern w:val="22"/>
        </w:rPr>
        <w:t xml:space="preserve"> </w:t>
      </w:r>
      <w:r w:rsidR="007729EC" w:rsidRPr="006F1504">
        <w:rPr>
          <w:kern w:val="22"/>
        </w:rPr>
        <w:t>w</w:t>
      </w:r>
      <w:r w:rsidRPr="006F1504">
        <w:rPr>
          <w:kern w:val="22"/>
        </w:rPr>
        <w:t>ould:</w:t>
      </w:r>
    </w:p>
    <w:p w14:paraId="3DC74700" w14:textId="0F7A2340" w:rsidR="004258DF" w:rsidRPr="006F1504" w:rsidRDefault="00F04F7C" w:rsidP="00F04F7C">
      <w:pPr>
        <w:pStyle w:val="Para2"/>
        <w:rPr>
          <w:rFonts w:eastAsia="Malgun Gothic"/>
        </w:rPr>
      </w:pPr>
      <w:r w:rsidRPr="006F1504">
        <w:rPr>
          <w:rFonts w:eastAsia="Malgun Gothic"/>
        </w:rPr>
        <w:t>(a)</w:t>
      </w:r>
      <w:r w:rsidRPr="006F1504">
        <w:rPr>
          <w:rFonts w:eastAsia="Malgun Gothic"/>
        </w:rPr>
        <w:tab/>
      </w:r>
      <w:r w:rsidR="004258DF" w:rsidRPr="006F1504">
        <w:rPr>
          <w:rFonts w:eastAsia="Malgun Gothic"/>
        </w:rPr>
        <w:t>Provide guidance across all elements of the global review in the lead</w:t>
      </w:r>
      <w:r w:rsidR="00C55F8F" w:rsidRPr="006F1504">
        <w:rPr>
          <w:rFonts w:eastAsia="Malgun Gothic"/>
        </w:rPr>
        <w:t>-</w:t>
      </w:r>
      <w:r w:rsidR="004258DF" w:rsidRPr="006F1504">
        <w:rPr>
          <w:rFonts w:eastAsia="Malgun Gothic"/>
        </w:rPr>
        <w:t xml:space="preserve">up to </w:t>
      </w:r>
      <w:r w:rsidR="00EB2A44" w:rsidRPr="006F1504">
        <w:rPr>
          <w:rFonts w:eastAsia="Malgun Gothic"/>
        </w:rPr>
        <w:t>the seventeenth meeting of the Conference of the Parties</w:t>
      </w:r>
      <w:r w:rsidR="004258DF" w:rsidRPr="006F1504">
        <w:rPr>
          <w:rFonts w:eastAsia="Malgun Gothic"/>
        </w:rPr>
        <w:t xml:space="preserve">; </w:t>
      </w:r>
    </w:p>
    <w:p w14:paraId="20FBA8AA" w14:textId="15CB126C" w:rsidR="004258DF" w:rsidRPr="006F1504" w:rsidRDefault="00381499" w:rsidP="005645B3">
      <w:pPr>
        <w:pStyle w:val="Para2"/>
        <w:rPr>
          <w:rFonts w:eastAsia="Malgun Gothic"/>
        </w:rPr>
      </w:pPr>
      <w:r w:rsidRPr="006F1504">
        <w:rPr>
          <w:rFonts w:eastAsia="Malgun Gothic"/>
        </w:rPr>
        <w:t>(b)</w:t>
      </w:r>
      <w:r w:rsidRPr="006F1504">
        <w:rPr>
          <w:rFonts w:eastAsia="Malgun Gothic"/>
        </w:rPr>
        <w:tab/>
      </w:r>
      <w:r w:rsidR="00F61A33" w:rsidRPr="006F1504">
        <w:rPr>
          <w:rFonts w:eastAsia="Malgun Gothic"/>
        </w:rPr>
        <w:t>Provide strategic oversight o</w:t>
      </w:r>
      <w:r w:rsidR="00F52806" w:rsidRPr="006F1504">
        <w:rPr>
          <w:rFonts w:eastAsia="Malgun Gothic"/>
        </w:rPr>
        <w:t>f</w:t>
      </w:r>
      <w:r w:rsidR="00F61A33" w:rsidRPr="006F1504">
        <w:rPr>
          <w:rFonts w:eastAsia="Malgun Gothic"/>
        </w:rPr>
        <w:t xml:space="preserve"> </w:t>
      </w:r>
      <w:r w:rsidR="004258DF" w:rsidRPr="006F1504">
        <w:rPr>
          <w:rFonts w:eastAsia="Malgun Gothic"/>
        </w:rPr>
        <w:t xml:space="preserve">the </w:t>
      </w:r>
      <w:r w:rsidR="00F61A33" w:rsidRPr="006F1504">
        <w:rPr>
          <w:rFonts w:eastAsia="Malgun Gothic"/>
        </w:rPr>
        <w:t xml:space="preserve">preparation </w:t>
      </w:r>
      <w:r w:rsidR="004258DF" w:rsidRPr="006F1504">
        <w:rPr>
          <w:rFonts w:eastAsia="Malgun Gothic"/>
        </w:rPr>
        <w:t>of the global report</w:t>
      </w:r>
      <w:r w:rsidR="00496153" w:rsidRPr="006F1504">
        <w:rPr>
          <w:rFonts w:eastAsia="Malgun Gothic"/>
        </w:rPr>
        <w:t xml:space="preserve"> on collective progress</w:t>
      </w:r>
      <w:r w:rsidR="002A50C9" w:rsidRPr="006F1504">
        <w:rPr>
          <w:rFonts w:eastAsia="Malgun Gothic"/>
        </w:rPr>
        <w:t>;</w:t>
      </w:r>
    </w:p>
    <w:p w14:paraId="7182372E" w14:textId="645BD5D2" w:rsidR="004258DF" w:rsidRPr="006F1504" w:rsidRDefault="00381499" w:rsidP="005645B3">
      <w:pPr>
        <w:pStyle w:val="Para2"/>
        <w:rPr>
          <w:rFonts w:eastAsia="Malgun Gothic"/>
        </w:rPr>
      </w:pPr>
      <w:r w:rsidRPr="006F1504">
        <w:rPr>
          <w:rFonts w:eastAsia="Malgun Gothic"/>
        </w:rPr>
        <w:t>(c)</w:t>
      </w:r>
      <w:r w:rsidR="005645B3" w:rsidRPr="006F1504">
        <w:rPr>
          <w:rFonts w:eastAsia="Malgun Gothic"/>
        </w:rPr>
        <w:tab/>
      </w:r>
      <w:r w:rsidR="00EB2A44" w:rsidRPr="006F1504">
        <w:rPr>
          <w:rFonts w:eastAsia="Malgun Gothic"/>
        </w:rPr>
        <w:t>Oversee</w:t>
      </w:r>
      <w:r w:rsidR="004258DF" w:rsidRPr="006F1504">
        <w:rPr>
          <w:rFonts w:eastAsia="Malgun Gothic"/>
        </w:rPr>
        <w:t xml:space="preserve"> the process</w:t>
      </w:r>
      <w:r w:rsidR="00F52806" w:rsidRPr="006F1504">
        <w:rPr>
          <w:rFonts w:eastAsia="Malgun Gothic"/>
        </w:rPr>
        <w:t>es</w:t>
      </w:r>
      <w:r w:rsidR="00EB2A44" w:rsidRPr="006F1504">
        <w:rPr>
          <w:rFonts w:eastAsia="Malgun Gothic"/>
        </w:rPr>
        <w:t xml:space="preserve"> </w:t>
      </w:r>
      <w:r w:rsidR="007729EC" w:rsidRPr="006F1504">
        <w:rPr>
          <w:rFonts w:eastAsia="Malgun Gothic"/>
        </w:rPr>
        <w:t xml:space="preserve">established </w:t>
      </w:r>
      <w:r w:rsidR="00EB2A44" w:rsidRPr="006F1504">
        <w:rPr>
          <w:rFonts w:eastAsia="Malgun Gothic"/>
        </w:rPr>
        <w:t>for voluntary country review</w:t>
      </w:r>
      <w:r w:rsidR="007729EC" w:rsidRPr="006F1504">
        <w:rPr>
          <w:rFonts w:eastAsia="Malgun Gothic"/>
        </w:rPr>
        <w:t>s</w:t>
      </w:r>
      <w:r w:rsidR="004258DF" w:rsidRPr="006F1504">
        <w:rPr>
          <w:rFonts w:eastAsia="Malgun Gothic"/>
        </w:rPr>
        <w:t xml:space="preserve">, </w:t>
      </w:r>
      <w:r w:rsidR="00C70DA3" w:rsidRPr="006F1504">
        <w:rPr>
          <w:rFonts w:eastAsia="Malgun Gothic"/>
        </w:rPr>
        <w:t>which</w:t>
      </w:r>
      <w:r w:rsidR="007729EC" w:rsidRPr="006F1504">
        <w:rPr>
          <w:rFonts w:eastAsia="Malgun Gothic"/>
        </w:rPr>
        <w:t xml:space="preserve"> </w:t>
      </w:r>
      <w:r w:rsidR="004258DF" w:rsidRPr="006F1504">
        <w:rPr>
          <w:rFonts w:eastAsia="Malgun Gothic"/>
        </w:rPr>
        <w:t>includ</w:t>
      </w:r>
      <w:r w:rsidR="007729EC" w:rsidRPr="006F1504">
        <w:rPr>
          <w:rFonts w:eastAsia="Malgun Gothic"/>
        </w:rPr>
        <w:t>e</w:t>
      </w:r>
      <w:r w:rsidR="004258DF" w:rsidRPr="006F1504">
        <w:rPr>
          <w:rFonts w:eastAsia="Malgun Gothic"/>
        </w:rPr>
        <w:t xml:space="preserve"> </w:t>
      </w:r>
      <w:r w:rsidR="00F52806" w:rsidRPr="006F1504">
        <w:rPr>
          <w:rFonts w:eastAsia="Malgun Gothic"/>
        </w:rPr>
        <w:t xml:space="preserve">the </w:t>
      </w:r>
      <w:r w:rsidR="00C55F8F" w:rsidRPr="006F1504">
        <w:rPr>
          <w:rFonts w:eastAsia="Malgun Gothic"/>
        </w:rPr>
        <w:t>O</w:t>
      </w:r>
      <w:r w:rsidR="00F52806" w:rsidRPr="006F1504">
        <w:rPr>
          <w:rFonts w:eastAsia="Malgun Gothic"/>
        </w:rPr>
        <w:t xml:space="preserve">pen-ended </w:t>
      </w:r>
      <w:r w:rsidR="00C55F8F" w:rsidRPr="006F1504">
        <w:rPr>
          <w:rFonts w:eastAsia="Malgun Gothic"/>
        </w:rPr>
        <w:t>F</w:t>
      </w:r>
      <w:r w:rsidR="00F52806" w:rsidRPr="006F1504">
        <w:rPr>
          <w:rFonts w:eastAsia="Malgun Gothic"/>
        </w:rPr>
        <w:t xml:space="preserve">orum conducted under the </w:t>
      </w:r>
      <w:r w:rsidR="009C5505" w:rsidRPr="006F1504">
        <w:rPr>
          <w:rFonts w:eastAsia="Malgun Gothic"/>
        </w:rPr>
        <w:t>Subsidiary Body on Implementation</w:t>
      </w:r>
      <w:r w:rsidR="004258DF" w:rsidRPr="006F1504">
        <w:rPr>
          <w:rFonts w:eastAsia="Malgun Gothic"/>
        </w:rPr>
        <w:t xml:space="preserve"> and the voluntary peer reviews, ensuring that they </w:t>
      </w:r>
      <w:r w:rsidR="00F52806" w:rsidRPr="006F1504">
        <w:rPr>
          <w:rFonts w:eastAsia="Malgun Gothic"/>
        </w:rPr>
        <w:t xml:space="preserve">fulfil their purpose of stimulating and improving implementation and </w:t>
      </w:r>
      <w:r w:rsidR="004258DF" w:rsidRPr="006F1504">
        <w:rPr>
          <w:rFonts w:eastAsia="Malgun Gothic"/>
        </w:rPr>
        <w:t>bring Parties’ experiences and their challenges and opportunities into the global review process;</w:t>
      </w:r>
    </w:p>
    <w:p w14:paraId="2B8BCD1C" w14:textId="58014A48" w:rsidR="004258DF" w:rsidRPr="006F1504" w:rsidRDefault="005645B3" w:rsidP="005645B3">
      <w:pPr>
        <w:pStyle w:val="Para2"/>
        <w:rPr>
          <w:rFonts w:eastAsia="Malgun Gothic"/>
        </w:rPr>
      </w:pPr>
      <w:r w:rsidRPr="006F1504">
        <w:rPr>
          <w:rFonts w:eastAsia="Malgun Gothic"/>
        </w:rPr>
        <w:t>(d)</w:t>
      </w:r>
      <w:r w:rsidRPr="006F1504">
        <w:rPr>
          <w:rFonts w:eastAsia="Malgun Gothic"/>
        </w:rPr>
        <w:tab/>
      </w:r>
      <w:r w:rsidR="00B617A4" w:rsidRPr="006F1504">
        <w:rPr>
          <w:rFonts w:eastAsia="Malgun Gothic"/>
        </w:rPr>
        <w:t xml:space="preserve">Support, as appropriate, the high-level discussions organized by the </w:t>
      </w:r>
      <w:r w:rsidR="003C7A2F" w:rsidRPr="00F228EA">
        <w:rPr>
          <w:rFonts w:eastAsia="Malgun Gothic"/>
        </w:rPr>
        <w:t>p</w:t>
      </w:r>
      <w:r w:rsidR="00B617A4" w:rsidRPr="00F228EA">
        <w:rPr>
          <w:rFonts w:eastAsia="Malgun Gothic"/>
        </w:rPr>
        <w:t>residency</w:t>
      </w:r>
      <w:r w:rsidR="00B617A4" w:rsidRPr="006F1504">
        <w:rPr>
          <w:rFonts w:eastAsia="Malgun Gothic"/>
        </w:rPr>
        <w:t xml:space="preserve"> of the Conference of the Parties as part of the global review</w:t>
      </w:r>
      <w:r w:rsidR="00C474E9" w:rsidRPr="006F1504">
        <w:rPr>
          <w:rFonts w:eastAsia="Malgun Gothic"/>
        </w:rPr>
        <w:t>.</w:t>
      </w:r>
    </w:p>
    <w:p w14:paraId="38EF10AA" w14:textId="2E1EC94D" w:rsidR="004258DF" w:rsidRPr="006F1504" w:rsidRDefault="00561709" w:rsidP="003E78D5">
      <w:pPr>
        <w:pStyle w:val="Para1"/>
      </w:pPr>
      <w:r w:rsidRPr="006F1504">
        <w:t xml:space="preserve">In addition, </w:t>
      </w:r>
      <w:r w:rsidR="00D41F88" w:rsidRPr="006F1504">
        <w:t xml:space="preserve">an </w:t>
      </w:r>
      <w:r w:rsidR="004258DF" w:rsidRPr="006F1504">
        <w:t>ad hoc scientific and technical advisory group</w:t>
      </w:r>
      <w:r w:rsidR="0027587D" w:rsidRPr="006F1504">
        <w:t xml:space="preserve">, whose terms of reference </w:t>
      </w:r>
      <w:r w:rsidR="005C40F1" w:rsidRPr="006F1504">
        <w:t xml:space="preserve">were </w:t>
      </w:r>
      <w:r w:rsidR="0027587D" w:rsidRPr="006F1504">
        <w:t xml:space="preserve">set out in </w:t>
      </w:r>
      <w:r w:rsidR="005C40F1" w:rsidRPr="006F1504">
        <w:t xml:space="preserve">the annex to </w:t>
      </w:r>
      <w:r w:rsidR="0027587D" w:rsidRPr="006F1504">
        <w:t xml:space="preserve">recommendation 25/2 of the </w:t>
      </w:r>
      <w:r w:rsidR="0027587D" w:rsidRPr="00F228EA">
        <w:t>Subsidiary Body on Scientific, Technical and Technological Advice</w:t>
      </w:r>
      <w:r w:rsidR="005C40F1" w:rsidRPr="006F1504">
        <w:t>,</w:t>
      </w:r>
      <w:r w:rsidR="0027587D" w:rsidRPr="006F1504">
        <w:t xml:space="preserve"> </w:t>
      </w:r>
      <w:r w:rsidR="00CA5D39" w:rsidRPr="006F1504">
        <w:t xml:space="preserve">would be established </w:t>
      </w:r>
      <w:r w:rsidR="00DF7DCA" w:rsidRPr="006F1504">
        <w:t>to</w:t>
      </w:r>
      <w:r w:rsidR="004258DF" w:rsidRPr="006F1504">
        <w:t xml:space="preserve"> oversee the collection, </w:t>
      </w:r>
      <w:proofErr w:type="gramStart"/>
      <w:r w:rsidR="004258DF" w:rsidRPr="006F1504">
        <w:t>analysis</w:t>
      </w:r>
      <w:proofErr w:type="gramEnd"/>
      <w:r w:rsidR="004258DF" w:rsidRPr="006F1504">
        <w:t xml:space="preserve"> and synthesis of scientific, technical and technological inputs for the </w:t>
      </w:r>
      <w:r w:rsidR="00CA5D39" w:rsidRPr="006F1504">
        <w:t xml:space="preserve">global </w:t>
      </w:r>
      <w:r w:rsidR="004258DF" w:rsidRPr="006F1504">
        <w:t>report.</w:t>
      </w:r>
      <w:r w:rsidR="00CA5D39" w:rsidRPr="006F1504">
        <w:rPr>
          <w:rStyle w:val="FootnoteReference"/>
        </w:rPr>
        <w:footnoteReference w:id="4"/>
      </w:r>
      <w:r w:rsidR="004258DF" w:rsidRPr="006F1504">
        <w:t xml:space="preserve"> </w:t>
      </w:r>
    </w:p>
    <w:p w14:paraId="465F0C85" w14:textId="330E7FE7" w:rsidR="004258DF" w:rsidRPr="006F1504" w:rsidRDefault="000C1FD6" w:rsidP="003E78D5">
      <w:pPr>
        <w:pStyle w:val="Para1"/>
      </w:pPr>
      <w:r w:rsidRPr="006F1504">
        <w:t>Concerning the</w:t>
      </w:r>
      <w:r w:rsidR="00E6672F" w:rsidRPr="006F1504">
        <w:t>ir</w:t>
      </w:r>
      <w:r w:rsidRPr="006F1504">
        <w:t xml:space="preserve"> respective roles</w:t>
      </w:r>
      <w:r w:rsidR="00064163" w:rsidRPr="006F1504">
        <w:t xml:space="preserve"> in relation to the global report</w:t>
      </w:r>
      <w:r w:rsidRPr="006F1504">
        <w:t>, t</w:t>
      </w:r>
      <w:r w:rsidR="004258DF" w:rsidRPr="006F1504">
        <w:t xml:space="preserve">he </w:t>
      </w:r>
      <w:r w:rsidR="00496153" w:rsidRPr="006F1504">
        <w:rPr>
          <w:rFonts w:asciiTheme="majorBidi" w:hAnsiTheme="majorBidi" w:cstheme="majorBidi"/>
        </w:rPr>
        <w:t>a</w:t>
      </w:r>
      <w:r w:rsidR="004258DF" w:rsidRPr="006F1504">
        <w:rPr>
          <w:rFonts w:asciiTheme="majorBidi" w:hAnsiTheme="majorBidi" w:cstheme="majorBidi"/>
        </w:rPr>
        <w:t xml:space="preserve">dvisory </w:t>
      </w:r>
      <w:r w:rsidR="00496153" w:rsidRPr="006F1504">
        <w:rPr>
          <w:rFonts w:asciiTheme="majorBidi" w:hAnsiTheme="majorBidi" w:cstheme="majorBidi"/>
        </w:rPr>
        <w:t>c</w:t>
      </w:r>
      <w:r w:rsidR="00BF78A2" w:rsidRPr="006F1504">
        <w:rPr>
          <w:rFonts w:asciiTheme="majorBidi" w:hAnsiTheme="majorBidi" w:cstheme="majorBidi"/>
        </w:rPr>
        <w:t xml:space="preserve">ommittee </w:t>
      </w:r>
      <w:r w:rsidR="004258DF" w:rsidRPr="006F1504">
        <w:rPr>
          <w:rFonts w:asciiTheme="majorBidi" w:hAnsiTheme="majorBidi" w:cstheme="majorBidi"/>
        </w:rPr>
        <w:t>would define the policy needs for the report</w:t>
      </w:r>
      <w:r w:rsidR="00DF7DCA" w:rsidRPr="006F1504">
        <w:rPr>
          <w:rFonts w:asciiTheme="majorBidi" w:hAnsiTheme="majorBidi" w:cstheme="majorBidi"/>
        </w:rPr>
        <w:t>,</w:t>
      </w:r>
      <w:r w:rsidR="004258DF" w:rsidRPr="006F1504">
        <w:rPr>
          <w:rFonts w:asciiTheme="majorBidi" w:hAnsiTheme="majorBidi" w:cstheme="majorBidi"/>
        </w:rPr>
        <w:t xml:space="preserve"> wh</w:t>
      </w:r>
      <w:r w:rsidR="005C40F1" w:rsidRPr="006F1504">
        <w:rPr>
          <w:rFonts w:asciiTheme="majorBidi" w:hAnsiTheme="majorBidi" w:cstheme="majorBidi"/>
        </w:rPr>
        <w:t>ile</w:t>
      </w:r>
      <w:r w:rsidR="004258DF" w:rsidRPr="006F1504">
        <w:rPr>
          <w:rFonts w:asciiTheme="majorBidi" w:hAnsiTheme="majorBidi" w:cstheme="majorBidi"/>
        </w:rPr>
        <w:t xml:space="preserve"> the </w:t>
      </w:r>
      <w:r w:rsidR="004258DF" w:rsidRPr="006F1504">
        <w:t>ad hoc scientific and technical advisory group would provid</w:t>
      </w:r>
      <w:r w:rsidRPr="006F1504">
        <w:t>e</w:t>
      </w:r>
      <w:r w:rsidR="004258DF" w:rsidRPr="006F1504">
        <w:t xml:space="preserve"> guidance on </w:t>
      </w:r>
      <w:r w:rsidR="007440B9" w:rsidRPr="006F1504">
        <w:t>its</w:t>
      </w:r>
      <w:r w:rsidR="004258DF" w:rsidRPr="006F1504">
        <w:t xml:space="preserve"> scientific, </w:t>
      </w:r>
      <w:proofErr w:type="gramStart"/>
      <w:r w:rsidR="004258DF" w:rsidRPr="006F1504">
        <w:t>technical</w:t>
      </w:r>
      <w:proofErr w:type="gramEnd"/>
      <w:r w:rsidR="004258DF" w:rsidRPr="006F1504">
        <w:t xml:space="preserve"> and technological aspects. The meetings of the two groups could be organized </w:t>
      </w:r>
      <w:proofErr w:type="gramStart"/>
      <w:r w:rsidR="00CF62BB" w:rsidRPr="006F1504">
        <w:t>back</w:t>
      </w:r>
      <w:r w:rsidR="008C0472" w:rsidRPr="006F1504">
        <w:t xml:space="preserve"> </w:t>
      </w:r>
      <w:r w:rsidR="00CF62BB" w:rsidRPr="006F1504">
        <w:t>to</w:t>
      </w:r>
      <w:r w:rsidR="008C0472" w:rsidRPr="006F1504">
        <w:t xml:space="preserve"> </w:t>
      </w:r>
      <w:r w:rsidR="00CF62BB" w:rsidRPr="006F1504">
        <w:t>back</w:t>
      </w:r>
      <w:proofErr w:type="gramEnd"/>
      <w:r w:rsidRPr="006F1504">
        <w:t xml:space="preserve"> </w:t>
      </w:r>
      <w:r w:rsidR="00BF78A2" w:rsidRPr="006F1504">
        <w:t xml:space="preserve">and </w:t>
      </w:r>
      <w:r w:rsidR="004258DF" w:rsidRPr="006F1504">
        <w:t>joint meeting</w:t>
      </w:r>
      <w:r w:rsidR="00BF78A2" w:rsidRPr="006F1504">
        <w:t>s could be held as necessary</w:t>
      </w:r>
      <w:r w:rsidR="004258DF" w:rsidRPr="006F1504">
        <w:t xml:space="preserve">. </w:t>
      </w:r>
      <w:r w:rsidR="00E6672F" w:rsidRPr="006F1504">
        <w:t>T</w:t>
      </w:r>
      <w:r w:rsidR="004258DF" w:rsidRPr="006F1504">
        <w:t xml:space="preserve">he co-chairs of the two groups </w:t>
      </w:r>
      <w:r w:rsidR="00E6672F" w:rsidRPr="006F1504">
        <w:t>w</w:t>
      </w:r>
      <w:r w:rsidR="004258DF" w:rsidRPr="006F1504">
        <w:t xml:space="preserve">ould coordinate </w:t>
      </w:r>
      <w:r w:rsidR="00E6672F" w:rsidRPr="006F1504">
        <w:t xml:space="preserve">their work </w:t>
      </w:r>
      <w:r w:rsidR="004258DF" w:rsidRPr="006F1504">
        <w:t>and share information.</w:t>
      </w:r>
    </w:p>
    <w:p w14:paraId="47701E16" w14:textId="3B5F4A8E" w:rsidR="004258DF" w:rsidRPr="006F1504" w:rsidRDefault="004258DF" w:rsidP="003A6915">
      <w:pPr>
        <w:pStyle w:val="Heading1"/>
      </w:pPr>
      <w:r w:rsidRPr="006F1504">
        <w:t xml:space="preserve">Timeline, </w:t>
      </w:r>
      <w:proofErr w:type="gramStart"/>
      <w:r w:rsidRPr="006F1504">
        <w:t>resource</w:t>
      </w:r>
      <w:proofErr w:type="gramEnd"/>
      <w:r w:rsidRPr="006F1504">
        <w:t xml:space="preserve"> and </w:t>
      </w:r>
      <w:r w:rsidRPr="00F228EA">
        <w:t>logistic</w:t>
      </w:r>
      <w:r w:rsidR="00A75393" w:rsidRPr="006F1504">
        <w:t>al</w:t>
      </w:r>
      <w:r w:rsidRPr="006F1504">
        <w:t xml:space="preserve"> requirements</w:t>
      </w:r>
    </w:p>
    <w:p w14:paraId="53230070" w14:textId="0177CEFB" w:rsidR="004D0A46" w:rsidRPr="006F1504" w:rsidRDefault="00590BB3" w:rsidP="003E78D5">
      <w:pPr>
        <w:pStyle w:val="Para1"/>
        <w:rPr>
          <w:snapToGrid w:val="0"/>
        </w:rPr>
      </w:pPr>
      <w:r w:rsidRPr="006F1504">
        <w:t>The national reports submitted by Parties will be a</w:t>
      </w:r>
      <w:r w:rsidR="00E6672F" w:rsidRPr="006F1504">
        <w:t xml:space="preserve"> key input to the global review</w:t>
      </w:r>
      <w:r w:rsidRPr="006F1504">
        <w:t xml:space="preserve">, including </w:t>
      </w:r>
      <w:r w:rsidR="00B16B18" w:rsidRPr="006F1504">
        <w:t>to</w:t>
      </w:r>
      <w:r w:rsidR="00E6672F" w:rsidRPr="006F1504">
        <w:t xml:space="preserve"> the global report</w:t>
      </w:r>
      <w:r w:rsidRPr="006F1504">
        <w:t xml:space="preserve"> on collective progress in implementation. </w:t>
      </w:r>
      <w:r w:rsidR="004258DF" w:rsidRPr="006F1504">
        <w:t>The deadline for the submission of the seventh national report</w:t>
      </w:r>
      <w:r w:rsidR="00B16B18" w:rsidRPr="006F1504">
        <w:t xml:space="preserve"> and the national </w:t>
      </w:r>
      <w:proofErr w:type="gramStart"/>
      <w:r w:rsidR="00B16B18" w:rsidRPr="006F1504">
        <w:t>reports</w:t>
      </w:r>
      <w:proofErr w:type="gramEnd"/>
      <w:r w:rsidR="00B16B18" w:rsidRPr="006F1504">
        <w:t xml:space="preserve"> </w:t>
      </w:r>
      <w:r w:rsidR="00FD6526" w:rsidRPr="006F1504">
        <w:t>under</w:t>
      </w:r>
      <w:r w:rsidR="00B16B18" w:rsidRPr="006F1504">
        <w:t xml:space="preserve"> the Protocols</w:t>
      </w:r>
      <w:r w:rsidR="004258DF" w:rsidRPr="006F1504">
        <w:t xml:space="preserve"> is 28 February 2026, approximately eight months before the likely scheduling of the seventeenth meeting of the Conference of the Parties. </w:t>
      </w:r>
      <w:r w:rsidR="00E72487" w:rsidRPr="006F1504">
        <w:t xml:space="preserve">This will impose a </w:t>
      </w:r>
      <w:r w:rsidR="000C24E6" w:rsidRPr="006F1504">
        <w:t xml:space="preserve">tight schedule </w:t>
      </w:r>
      <w:r w:rsidR="0041394C" w:rsidRPr="006F1504">
        <w:t xml:space="preserve">on </w:t>
      </w:r>
      <w:r w:rsidR="004258DF" w:rsidRPr="006F1504">
        <w:t xml:space="preserve">aspects of the </w:t>
      </w:r>
      <w:r w:rsidR="00A755FC" w:rsidRPr="006F1504">
        <w:t>process</w:t>
      </w:r>
      <w:r w:rsidR="000C24E6" w:rsidRPr="006F1504">
        <w:t xml:space="preserve"> </w:t>
      </w:r>
      <w:r w:rsidR="00A755FC" w:rsidRPr="006F1504">
        <w:t>informed by the national reports,</w:t>
      </w:r>
      <w:r w:rsidR="000C24E6" w:rsidRPr="006F1504">
        <w:t xml:space="preserve"> </w:t>
      </w:r>
      <w:proofErr w:type="gramStart"/>
      <w:r w:rsidR="000C24E6" w:rsidRPr="006F1504">
        <w:t xml:space="preserve">in particular </w:t>
      </w:r>
      <w:r w:rsidR="00B16B18" w:rsidRPr="006F1504">
        <w:t>on</w:t>
      </w:r>
      <w:proofErr w:type="gramEnd"/>
      <w:r w:rsidR="00A755FC" w:rsidRPr="006F1504">
        <w:t xml:space="preserve"> </w:t>
      </w:r>
      <w:r w:rsidR="000C24E6" w:rsidRPr="006F1504">
        <w:t>the preparation of the global report</w:t>
      </w:r>
      <w:r w:rsidR="004258DF" w:rsidRPr="006F1504">
        <w:t>.</w:t>
      </w:r>
      <w:r w:rsidR="00992CC6" w:rsidRPr="00F228EA" w:rsidDel="004D0A46">
        <w:t xml:space="preserve"> </w:t>
      </w:r>
      <w:r w:rsidR="00DE7F5E" w:rsidRPr="00F228EA">
        <w:t xml:space="preserve"> </w:t>
      </w:r>
    </w:p>
    <w:p w14:paraId="33D89026" w14:textId="145D1B28" w:rsidR="00B16B18" w:rsidRPr="006F1504" w:rsidRDefault="004D0A46" w:rsidP="003E78D5">
      <w:pPr>
        <w:pStyle w:val="Para1"/>
        <w:rPr>
          <w:snapToGrid w:val="0"/>
        </w:rPr>
      </w:pPr>
      <w:r w:rsidRPr="006F1504">
        <w:t>T</w:t>
      </w:r>
      <w:r w:rsidR="00DE7F5E" w:rsidRPr="006F1504">
        <w:t>wo rounds of</w:t>
      </w:r>
      <w:r w:rsidR="004258DF" w:rsidRPr="006F1504">
        <w:t xml:space="preserve"> peer review of the global report </w:t>
      </w:r>
      <w:r w:rsidR="00DE7F5E" w:rsidRPr="006F1504">
        <w:t>are envisaged</w:t>
      </w:r>
      <w:r w:rsidR="00FD6526" w:rsidRPr="006F1504">
        <w:t>:</w:t>
      </w:r>
      <w:r w:rsidR="00DE7F5E" w:rsidRPr="006F1504">
        <w:t xml:space="preserve"> an early technical review and a governmental and technical review held concurrently with the review by </w:t>
      </w:r>
      <w:r w:rsidR="00DF7DCA" w:rsidRPr="006F1504">
        <w:t>the subsidiary bodies</w:t>
      </w:r>
      <w:r w:rsidR="004258DF" w:rsidRPr="006F1504">
        <w:t xml:space="preserve">. The </w:t>
      </w:r>
      <w:r w:rsidR="004258DF" w:rsidRPr="00F228EA">
        <w:t>Subsidiary Body on Scientific, Technical and Technological Advice</w:t>
      </w:r>
      <w:r w:rsidR="004258DF" w:rsidRPr="006F1504">
        <w:t xml:space="preserve"> </w:t>
      </w:r>
      <w:r w:rsidR="00DE7F5E" w:rsidRPr="006F1504">
        <w:t>w</w:t>
      </w:r>
      <w:r w:rsidR="004258DF" w:rsidRPr="006F1504">
        <w:t xml:space="preserve">ould </w:t>
      </w:r>
      <w:r w:rsidR="00DE7F5E" w:rsidRPr="006F1504">
        <w:t xml:space="preserve">focus on </w:t>
      </w:r>
      <w:r w:rsidR="004258DF" w:rsidRPr="006F1504">
        <w:t>review</w:t>
      </w:r>
      <w:r w:rsidR="00DE7F5E" w:rsidRPr="006F1504">
        <w:t>ing</w:t>
      </w:r>
      <w:r w:rsidR="004258DF" w:rsidRPr="006F1504">
        <w:t xml:space="preserve"> the scientific, </w:t>
      </w:r>
      <w:proofErr w:type="gramStart"/>
      <w:r w:rsidR="004258DF" w:rsidRPr="006F1504">
        <w:t>technical</w:t>
      </w:r>
      <w:proofErr w:type="gramEnd"/>
      <w:r w:rsidR="004258DF" w:rsidRPr="006F1504">
        <w:t xml:space="preserve"> and technological aspects of the report</w:t>
      </w:r>
      <w:r w:rsidR="00F37389" w:rsidRPr="006F1504">
        <w:t>,</w:t>
      </w:r>
      <w:r w:rsidR="004258DF" w:rsidRPr="006F1504">
        <w:t xml:space="preserve"> </w:t>
      </w:r>
      <w:r w:rsidR="00DE7F5E" w:rsidRPr="006F1504">
        <w:t xml:space="preserve">while </w:t>
      </w:r>
      <w:r w:rsidR="004258DF" w:rsidRPr="006F1504">
        <w:t xml:space="preserve">the </w:t>
      </w:r>
      <w:r w:rsidR="00E8032C" w:rsidRPr="006F1504">
        <w:t>Subsidiary Body on Implementation</w:t>
      </w:r>
      <w:r w:rsidR="004258DF" w:rsidRPr="006F1504">
        <w:t xml:space="preserve"> would review the full </w:t>
      </w:r>
      <w:r w:rsidR="00DE7F5E" w:rsidRPr="006F1504">
        <w:t>draft</w:t>
      </w:r>
      <w:r w:rsidR="004258DF" w:rsidRPr="006F1504">
        <w:t>.</w:t>
      </w:r>
      <w:r w:rsidR="000310F2" w:rsidRPr="006F1504">
        <w:t xml:space="preserve"> </w:t>
      </w:r>
      <w:r w:rsidR="00992CC6" w:rsidRPr="006F1504">
        <w:t xml:space="preserve">To enable </w:t>
      </w:r>
      <w:r w:rsidR="00B16B18" w:rsidRPr="006F1504">
        <w:t>this</w:t>
      </w:r>
      <w:r w:rsidR="00992CC6" w:rsidRPr="006F1504">
        <w:t xml:space="preserve">, it is </w:t>
      </w:r>
      <w:r w:rsidR="00D83176" w:rsidRPr="006F1504">
        <w:t>observed</w:t>
      </w:r>
      <w:r w:rsidR="00992CC6" w:rsidRPr="006F1504">
        <w:t xml:space="preserve"> that meetings of the subsidiary bodies </w:t>
      </w:r>
      <w:r w:rsidR="00B16B18" w:rsidRPr="006F1504">
        <w:t xml:space="preserve">would need to </w:t>
      </w:r>
      <w:r w:rsidR="00992CC6" w:rsidRPr="006F1504">
        <w:t xml:space="preserve">be held in June or July 2026. </w:t>
      </w:r>
    </w:p>
    <w:p w14:paraId="333F0EAE" w14:textId="08FE3EC3" w:rsidR="004258DF" w:rsidRPr="006F1504" w:rsidRDefault="000310F2" w:rsidP="003E78D5">
      <w:pPr>
        <w:pStyle w:val="Para1"/>
        <w:rPr>
          <w:snapToGrid w:val="0"/>
        </w:rPr>
      </w:pPr>
      <w:r w:rsidRPr="006F1504">
        <w:t>An indicative timeline for the preparat</w:t>
      </w:r>
      <w:r w:rsidR="000C24E6" w:rsidRPr="006F1504">
        <w:t>ion</w:t>
      </w:r>
      <w:r w:rsidRPr="006F1504">
        <w:t xml:space="preserve"> of the global review </w:t>
      </w:r>
      <w:r w:rsidR="00E945BA" w:rsidRPr="006F1504">
        <w:t xml:space="preserve">is </w:t>
      </w:r>
      <w:r w:rsidR="00327BB7" w:rsidRPr="006F1504">
        <w:t>provided</w:t>
      </w:r>
      <w:r w:rsidR="00E945BA" w:rsidRPr="006F1504">
        <w:t xml:space="preserve"> in table</w:t>
      </w:r>
      <w:r w:rsidR="00E945BA" w:rsidRPr="00F228EA">
        <w:t xml:space="preserve"> 1</w:t>
      </w:r>
      <w:r w:rsidR="000D5990" w:rsidRPr="00F228EA">
        <w:t xml:space="preserve"> a</w:t>
      </w:r>
      <w:r w:rsidR="000D5990" w:rsidRPr="006F1504">
        <w:t xml:space="preserve">nd a cost estimate </w:t>
      </w:r>
      <w:r w:rsidR="00B16B18" w:rsidRPr="006F1504">
        <w:t xml:space="preserve">is provided </w:t>
      </w:r>
      <w:r w:rsidR="000D5990" w:rsidRPr="006F1504">
        <w:t>in table 2.</w:t>
      </w:r>
      <w:r w:rsidRPr="006F1504">
        <w:t xml:space="preserve"> </w:t>
      </w:r>
    </w:p>
    <w:p w14:paraId="3BDD5AD4" w14:textId="35F238CE" w:rsidR="00410690" w:rsidRPr="006F1504" w:rsidRDefault="00E945BA" w:rsidP="00F273C9">
      <w:pPr>
        <w:keepNext/>
        <w:ind w:left="567"/>
        <w:rPr>
          <w:rFonts w:asciiTheme="majorBidi" w:hAnsiTheme="majorBidi" w:cstheme="majorBidi"/>
          <w:szCs w:val="22"/>
        </w:rPr>
      </w:pPr>
      <w:r w:rsidRPr="006F1504">
        <w:rPr>
          <w:rFonts w:asciiTheme="majorBidi" w:hAnsiTheme="majorBidi" w:cstheme="majorBidi"/>
          <w:szCs w:val="22"/>
        </w:rPr>
        <w:lastRenderedPageBreak/>
        <w:t>Table 1</w:t>
      </w:r>
    </w:p>
    <w:p w14:paraId="3722AA6A" w14:textId="20321400" w:rsidR="00E945BA" w:rsidRPr="006F1504" w:rsidRDefault="00E945BA" w:rsidP="00757990">
      <w:pPr>
        <w:keepNext/>
        <w:ind w:left="567"/>
        <w:jc w:val="left"/>
        <w:rPr>
          <w:rFonts w:asciiTheme="majorBidi" w:hAnsiTheme="majorBidi" w:cstheme="majorBidi"/>
          <w:b/>
          <w:bCs/>
          <w:szCs w:val="22"/>
        </w:rPr>
      </w:pPr>
      <w:r w:rsidRPr="006F1504">
        <w:rPr>
          <w:rFonts w:asciiTheme="majorBidi" w:hAnsiTheme="majorBidi" w:cstheme="majorBidi"/>
          <w:b/>
          <w:bCs/>
          <w:szCs w:val="22"/>
        </w:rPr>
        <w:t>Indicative timeline for the preparation of the global review</w:t>
      </w:r>
      <w:r w:rsidR="004F244F" w:rsidRPr="006F1504">
        <w:rPr>
          <w:rFonts w:asciiTheme="majorBidi" w:hAnsiTheme="majorBidi" w:cstheme="majorBidi"/>
          <w:b/>
          <w:bCs/>
          <w:szCs w:val="22"/>
        </w:rPr>
        <w:t xml:space="preserve"> and the global report on collective progress</w:t>
      </w:r>
      <w:r w:rsidR="00782623" w:rsidRPr="00F228EA">
        <w:rPr>
          <w:rFonts w:asciiTheme="majorBidi" w:hAnsiTheme="majorBidi" w:cstheme="majorBidi"/>
          <w:b/>
          <w:bCs/>
          <w:szCs w:val="22"/>
          <w:vertAlign w:val="superscript"/>
        </w:rPr>
        <w:t>1</w:t>
      </w:r>
    </w:p>
    <w:p w14:paraId="31392B67" w14:textId="77777777" w:rsidR="007440B9" w:rsidRPr="006F1504" w:rsidRDefault="007440B9" w:rsidP="00757990">
      <w:pPr>
        <w:keepNext/>
        <w:rPr>
          <w:rFonts w:asciiTheme="majorBidi" w:hAnsiTheme="majorBidi" w:cstheme="majorBidi"/>
          <w:b/>
          <w:bCs/>
          <w:szCs w:val="22"/>
        </w:rPr>
      </w:pPr>
    </w:p>
    <w:tbl>
      <w:tblPr>
        <w:tblStyle w:val="TableGrid"/>
        <w:tblW w:w="0" w:type="auto"/>
        <w:tblInd w:w="562" w:type="dxa"/>
        <w:tblLook w:val="04A0" w:firstRow="1" w:lastRow="0" w:firstColumn="1" w:lastColumn="0" w:noHBand="0" w:noVBand="1"/>
      </w:tblPr>
      <w:tblGrid>
        <w:gridCol w:w="4536"/>
        <w:gridCol w:w="2127"/>
        <w:gridCol w:w="2125"/>
      </w:tblGrid>
      <w:tr w:rsidR="00E945BA" w:rsidRPr="006F1504" w14:paraId="7ACBD541" w14:textId="77777777" w:rsidTr="00410690">
        <w:tc>
          <w:tcPr>
            <w:tcW w:w="4536" w:type="dxa"/>
          </w:tcPr>
          <w:p w14:paraId="47F0646C" w14:textId="77777777" w:rsidR="00E945BA" w:rsidRPr="006F1504" w:rsidRDefault="00E945BA" w:rsidP="00757990">
            <w:pPr>
              <w:keepNext/>
              <w:jc w:val="left"/>
              <w:rPr>
                <w:rFonts w:asciiTheme="majorBidi" w:hAnsiTheme="majorBidi" w:cstheme="majorBidi"/>
                <w:i/>
                <w:iCs/>
                <w:sz w:val="20"/>
                <w:szCs w:val="20"/>
              </w:rPr>
            </w:pPr>
            <w:r w:rsidRPr="006F1504">
              <w:rPr>
                <w:rFonts w:asciiTheme="majorBidi" w:hAnsiTheme="majorBidi" w:cstheme="majorBidi"/>
                <w:i/>
                <w:iCs/>
                <w:sz w:val="20"/>
                <w:szCs w:val="20"/>
              </w:rPr>
              <w:t>Step/element</w:t>
            </w:r>
          </w:p>
        </w:tc>
        <w:tc>
          <w:tcPr>
            <w:tcW w:w="2127" w:type="dxa"/>
          </w:tcPr>
          <w:p w14:paraId="6C495AC0" w14:textId="3F132043" w:rsidR="00E945BA" w:rsidRPr="006F1504" w:rsidRDefault="00E945BA" w:rsidP="00757990">
            <w:pPr>
              <w:keepNext/>
              <w:jc w:val="left"/>
              <w:rPr>
                <w:rFonts w:asciiTheme="majorBidi" w:hAnsiTheme="majorBidi" w:cstheme="majorBidi"/>
                <w:i/>
                <w:iCs/>
                <w:sz w:val="20"/>
                <w:szCs w:val="20"/>
              </w:rPr>
            </w:pPr>
            <w:r w:rsidRPr="006F1504">
              <w:rPr>
                <w:rFonts w:asciiTheme="majorBidi" w:hAnsiTheme="majorBidi" w:cstheme="majorBidi"/>
                <w:i/>
                <w:iCs/>
                <w:sz w:val="20"/>
                <w:szCs w:val="20"/>
              </w:rPr>
              <w:t>Scenario 1 (</w:t>
            </w:r>
            <w:r w:rsidR="00090AA0" w:rsidRPr="00F228EA">
              <w:rPr>
                <w:rFonts w:asciiTheme="majorBidi" w:hAnsiTheme="majorBidi" w:cstheme="majorBidi"/>
                <w:i/>
                <w:iCs/>
                <w:sz w:val="20"/>
                <w:szCs w:val="20"/>
              </w:rPr>
              <w:t>Subsidiary Body on Scientific, Technical and Technological Advice</w:t>
            </w:r>
            <w:r w:rsidR="00090AA0" w:rsidRPr="006F1504">
              <w:rPr>
                <w:rFonts w:asciiTheme="majorBidi" w:hAnsiTheme="majorBidi" w:cstheme="majorBidi"/>
                <w:i/>
                <w:iCs/>
                <w:sz w:val="20"/>
                <w:szCs w:val="20"/>
              </w:rPr>
              <w:t xml:space="preserve"> </w:t>
            </w:r>
            <w:r w:rsidRPr="006F1504">
              <w:rPr>
                <w:rFonts w:asciiTheme="majorBidi" w:hAnsiTheme="majorBidi" w:cstheme="majorBidi"/>
                <w:i/>
                <w:iCs/>
                <w:sz w:val="20"/>
                <w:szCs w:val="20"/>
              </w:rPr>
              <w:t>in June 2026)</w:t>
            </w:r>
          </w:p>
        </w:tc>
        <w:tc>
          <w:tcPr>
            <w:tcW w:w="2125" w:type="dxa"/>
          </w:tcPr>
          <w:p w14:paraId="552B5795" w14:textId="5D1FE789" w:rsidR="00E945BA" w:rsidRPr="006F1504" w:rsidRDefault="00E945BA" w:rsidP="00757990">
            <w:pPr>
              <w:keepNext/>
              <w:jc w:val="left"/>
              <w:rPr>
                <w:rFonts w:asciiTheme="majorBidi" w:hAnsiTheme="majorBidi" w:cstheme="majorBidi"/>
                <w:i/>
                <w:iCs/>
                <w:sz w:val="20"/>
                <w:szCs w:val="20"/>
              </w:rPr>
            </w:pPr>
            <w:r w:rsidRPr="006F1504">
              <w:rPr>
                <w:rFonts w:asciiTheme="majorBidi" w:hAnsiTheme="majorBidi" w:cstheme="majorBidi"/>
                <w:i/>
                <w:iCs/>
                <w:sz w:val="20"/>
                <w:szCs w:val="20"/>
              </w:rPr>
              <w:t>Scenario 2 (</w:t>
            </w:r>
            <w:r w:rsidR="00090AA0" w:rsidRPr="00F228EA">
              <w:rPr>
                <w:rFonts w:asciiTheme="majorBidi" w:hAnsiTheme="majorBidi" w:cstheme="majorBidi"/>
                <w:i/>
                <w:iCs/>
                <w:sz w:val="20"/>
                <w:szCs w:val="20"/>
              </w:rPr>
              <w:t>Subsidiary Body on Scientific, Technical and Technological Advice</w:t>
            </w:r>
            <w:r w:rsidRPr="006F1504">
              <w:rPr>
                <w:rFonts w:asciiTheme="majorBidi" w:hAnsiTheme="majorBidi" w:cstheme="majorBidi"/>
                <w:i/>
                <w:iCs/>
                <w:sz w:val="20"/>
                <w:szCs w:val="20"/>
              </w:rPr>
              <w:t xml:space="preserve"> in July 2026)</w:t>
            </w:r>
          </w:p>
        </w:tc>
      </w:tr>
      <w:tr w:rsidR="00E945BA" w:rsidRPr="006F1504" w14:paraId="5528D555" w14:textId="77777777" w:rsidTr="00410690">
        <w:tc>
          <w:tcPr>
            <w:tcW w:w="4536" w:type="dxa"/>
          </w:tcPr>
          <w:p w14:paraId="78C10E8E" w14:textId="2F0ED95A"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 xml:space="preserve">Establishment of </w:t>
            </w:r>
            <w:r w:rsidR="00090AA0" w:rsidRPr="006F1504">
              <w:rPr>
                <w:rFonts w:asciiTheme="majorBidi" w:hAnsiTheme="majorBidi" w:cstheme="majorBidi"/>
                <w:sz w:val="20"/>
                <w:szCs w:val="20"/>
              </w:rPr>
              <w:t>a</w:t>
            </w:r>
            <w:r w:rsidRPr="006F1504">
              <w:rPr>
                <w:rFonts w:asciiTheme="majorBidi" w:hAnsiTheme="majorBidi" w:cstheme="majorBidi"/>
                <w:sz w:val="20"/>
                <w:szCs w:val="20"/>
              </w:rPr>
              <w:t xml:space="preserve">dvisory </w:t>
            </w:r>
            <w:r w:rsidR="00090AA0" w:rsidRPr="006F1504">
              <w:rPr>
                <w:rFonts w:asciiTheme="majorBidi" w:hAnsiTheme="majorBidi" w:cstheme="majorBidi"/>
                <w:sz w:val="20"/>
                <w:szCs w:val="20"/>
              </w:rPr>
              <w:t>c</w:t>
            </w:r>
            <w:r w:rsidRPr="006F1504">
              <w:rPr>
                <w:rFonts w:asciiTheme="majorBidi" w:hAnsiTheme="majorBidi" w:cstheme="majorBidi"/>
                <w:sz w:val="20"/>
                <w:szCs w:val="20"/>
              </w:rPr>
              <w:t xml:space="preserve">ommittee on review of progress and </w:t>
            </w:r>
            <w:r w:rsidR="00090AA0" w:rsidRPr="006F1504">
              <w:rPr>
                <w:rFonts w:asciiTheme="majorBidi" w:hAnsiTheme="majorBidi" w:cstheme="majorBidi"/>
                <w:sz w:val="20"/>
                <w:szCs w:val="20"/>
              </w:rPr>
              <w:t>a</w:t>
            </w:r>
            <w:r w:rsidRPr="006F1504">
              <w:rPr>
                <w:rFonts w:asciiTheme="majorBidi" w:hAnsiTheme="majorBidi" w:cstheme="majorBidi"/>
                <w:sz w:val="20"/>
                <w:szCs w:val="20"/>
              </w:rPr>
              <w:t xml:space="preserve">d </w:t>
            </w:r>
            <w:r w:rsidR="00090AA0" w:rsidRPr="006F1504">
              <w:rPr>
                <w:rFonts w:asciiTheme="majorBidi" w:hAnsiTheme="majorBidi" w:cstheme="majorBidi"/>
                <w:sz w:val="20"/>
                <w:szCs w:val="20"/>
              </w:rPr>
              <w:t>h</w:t>
            </w:r>
            <w:r w:rsidRPr="006F1504">
              <w:rPr>
                <w:rFonts w:asciiTheme="majorBidi" w:hAnsiTheme="majorBidi" w:cstheme="majorBidi"/>
                <w:sz w:val="20"/>
                <w:szCs w:val="20"/>
              </w:rPr>
              <w:t xml:space="preserve">oc </w:t>
            </w:r>
            <w:r w:rsidR="00090AA0" w:rsidRPr="006F1504">
              <w:rPr>
                <w:rFonts w:asciiTheme="majorBidi" w:hAnsiTheme="majorBidi" w:cstheme="majorBidi"/>
                <w:sz w:val="20"/>
                <w:szCs w:val="20"/>
              </w:rPr>
              <w:t>s</w:t>
            </w:r>
            <w:r w:rsidRPr="006F1504">
              <w:rPr>
                <w:rFonts w:asciiTheme="majorBidi" w:hAnsiTheme="majorBidi" w:cstheme="majorBidi"/>
                <w:sz w:val="20"/>
                <w:szCs w:val="20"/>
              </w:rPr>
              <w:t xml:space="preserve">cientific and </w:t>
            </w:r>
            <w:r w:rsidR="00090AA0" w:rsidRPr="006F1504">
              <w:rPr>
                <w:rFonts w:asciiTheme="majorBidi" w:hAnsiTheme="majorBidi" w:cstheme="majorBidi"/>
                <w:sz w:val="20"/>
                <w:szCs w:val="20"/>
              </w:rPr>
              <w:t>t</w:t>
            </w:r>
            <w:r w:rsidRPr="006F1504">
              <w:rPr>
                <w:rFonts w:asciiTheme="majorBidi" w:hAnsiTheme="majorBidi" w:cstheme="majorBidi"/>
                <w:sz w:val="20"/>
                <w:szCs w:val="20"/>
              </w:rPr>
              <w:t xml:space="preserve">echnical advisory group </w:t>
            </w:r>
          </w:p>
        </w:tc>
        <w:tc>
          <w:tcPr>
            <w:tcW w:w="2127" w:type="dxa"/>
          </w:tcPr>
          <w:p w14:paraId="215845D0"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February 2025</w:t>
            </w:r>
          </w:p>
        </w:tc>
        <w:tc>
          <w:tcPr>
            <w:tcW w:w="2125" w:type="dxa"/>
          </w:tcPr>
          <w:p w14:paraId="527B0983"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February 2025</w:t>
            </w:r>
          </w:p>
        </w:tc>
      </w:tr>
      <w:tr w:rsidR="00E945BA" w:rsidRPr="006F1504" w14:paraId="5A106273" w14:textId="77777777" w:rsidTr="00410690">
        <w:tc>
          <w:tcPr>
            <w:tcW w:w="4536" w:type="dxa"/>
          </w:tcPr>
          <w:p w14:paraId="1A8D098E" w14:textId="2D1A4F85"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Virtual kick</w:t>
            </w:r>
            <w:r w:rsidR="00757990" w:rsidRPr="006F1504">
              <w:rPr>
                <w:rFonts w:asciiTheme="majorBidi" w:hAnsiTheme="majorBidi" w:cstheme="majorBidi"/>
                <w:sz w:val="20"/>
                <w:szCs w:val="20"/>
              </w:rPr>
              <w:t>-</w:t>
            </w:r>
            <w:r w:rsidRPr="006F1504">
              <w:rPr>
                <w:rFonts w:asciiTheme="majorBidi" w:hAnsiTheme="majorBidi" w:cstheme="majorBidi"/>
                <w:sz w:val="20"/>
                <w:szCs w:val="20"/>
              </w:rPr>
              <w:t>of</w:t>
            </w:r>
            <w:r w:rsidR="009C621A" w:rsidRPr="006F1504">
              <w:rPr>
                <w:rFonts w:asciiTheme="majorBidi" w:hAnsiTheme="majorBidi" w:cstheme="majorBidi"/>
                <w:sz w:val="20"/>
                <w:szCs w:val="20"/>
              </w:rPr>
              <w:t>f</w:t>
            </w:r>
            <w:r w:rsidRPr="006F1504">
              <w:rPr>
                <w:rFonts w:asciiTheme="majorBidi" w:hAnsiTheme="majorBidi" w:cstheme="majorBidi"/>
                <w:sz w:val="20"/>
                <w:szCs w:val="20"/>
              </w:rPr>
              <w:t xml:space="preserve"> meeting of </w:t>
            </w:r>
            <w:r w:rsidR="00090AA0" w:rsidRPr="006F1504">
              <w:rPr>
                <w:rFonts w:asciiTheme="majorBidi" w:hAnsiTheme="majorBidi" w:cstheme="majorBidi"/>
                <w:sz w:val="20"/>
                <w:szCs w:val="20"/>
              </w:rPr>
              <w:t>advisory committee on review of progress</w:t>
            </w:r>
            <w:r w:rsidRPr="006F1504">
              <w:rPr>
                <w:rFonts w:asciiTheme="majorBidi" w:hAnsiTheme="majorBidi" w:cstheme="majorBidi"/>
                <w:sz w:val="20"/>
                <w:szCs w:val="20"/>
              </w:rPr>
              <w:t xml:space="preserve"> and </w:t>
            </w:r>
            <w:r w:rsidR="00090AA0" w:rsidRPr="006F1504">
              <w:rPr>
                <w:rFonts w:asciiTheme="majorBidi" w:hAnsiTheme="majorBidi" w:cstheme="majorBidi"/>
                <w:sz w:val="20"/>
                <w:szCs w:val="20"/>
              </w:rPr>
              <w:t xml:space="preserve">ad hoc scientific and technical advisory group </w:t>
            </w:r>
            <w:r w:rsidRPr="006F1504">
              <w:rPr>
                <w:rFonts w:asciiTheme="majorBidi" w:hAnsiTheme="majorBidi" w:cstheme="majorBidi"/>
                <w:sz w:val="20"/>
                <w:szCs w:val="20"/>
              </w:rPr>
              <w:t>(virtual)</w:t>
            </w:r>
          </w:p>
        </w:tc>
        <w:tc>
          <w:tcPr>
            <w:tcW w:w="2127" w:type="dxa"/>
          </w:tcPr>
          <w:p w14:paraId="2FB440BD"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April 2025</w:t>
            </w:r>
          </w:p>
        </w:tc>
        <w:tc>
          <w:tcPr>
            <w:tcW w:w="2125" w:type="dxa"/>
          </w:tcPr>
          <w:p w14:paraId="31245652"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April 2025</w:t>
            </w:r>
          </w:p>
        </w:tc>
      </w:tr>
      <w:tr w:rsidR="00E945BA" w:rsidRPr="006F1504" w14:paraId="24850B33" w14:textId="77777777" w:rsidTr="00410690">
        <w:tc>
          <w:tcPr>
            <w:tcW w:w="4536" w:type="dxa"/>
          </w:tcPr>
          <w:p w14:paraId="419DCDBD"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Annotated outline of the global report made available</w:t>
            </w:r>
          </w:p>
        </w:tc>
        <w:tc>
          <w:tcPr>
            <w:tcW w:w="2127" w:type="dxa"/>
          </w:tcPr>
          <w:p w14:paraId="5DEA9E14"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July 2025</w:t>
            </w:r>
          </w:p>
        </w:tc>
        <w:tc>
          <w:tcPr>
            <w:tcW w:w="2125" w:type="dxa"/>
          </w:tcPr>
          <w:p w14:paraId="0CBF5DFB"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July 2025</w:t>
            </w:r>
          </w:p>
        </w:tc>
      </w:tr>
      <w:tr w:rsidR="00E945BA" w:rsidRPr="006F1504" w14:paraId="60AEE274" w14:textId="77777777" w:rsidTr="00410690">
        <w:tc>
          <w:tcPr>
            <w:tcW w:w="4536" w:type="dxa"/>
          </w:tcPr>
          <w:p w14:paraId="1F0B7307"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Regional dialogues on preparation of national reports</w:t>
            </w:r>
          </w:p>
        </w:tc>
        <w:tc>
          <w:tcPr>
            <w:tcW w:w="2127" w:type="dxa"/>
          </w:tcPr>
          <w:p w14:paraId="1548A2AC" w14:textId="6B909981"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March–November 2025</w:t>
            </w:r>
          </w:p>
        </w:tc>
        <w:tc>
          <w:tcPr>
            <w:tcW w:w="2125" w:type="dxa"/>
          </w:tcPr>
          <w:p w14:paraId="1E954CC5" w14:textId="1D3A3353"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March–November 2025</w:t>
            </w:r>
          </w:p>
        </w:tc>
      </w:tr>
      <w:tr w:rsidR="00E945BA" w:rsidRPr="006F1504" w14:paraId="381E40BB" w14:textId="77777777" w:rsidTr="00410690">
        <w:tc>
          <w:tcPr>
            <w:tcW w:w="4536" w:type="dxa"/>
          </w:tcPr>
          <w:p w14:paraId="30326185" w14:textId="15A3957C" w:rsidR="00E945BA" w:rsidRPr="006F1504" w:rsidRDefault="008865BF" w:rsidP="007440B9">
            <w:pPr>
              <w:jc w:val="left"/>
              <w:rPr>
                <w:rFonts w:asciiTheme="majorBidi" w:hAnsiTheme="majorBidi" w:cstheme="majorBidi"/>
                <w:b/>
                <w:bCs/>
                <w:sz w:val="20"/>
                <w:szCs w:val="20"/>
              </w:rPr>
            </w:pPr>
            <w:r w:rsidRPr="00F228EA">
              <w:rPr>
                <w:rFonts w:asciiTheme="majorBidi" w:hAnsiTheme="majorBidi" w:cstheme="majorBidi"/>
                <w:b/>
                <w:bCs/>
                <w:i/>
                <w:iCs/>
                <w:sz w:val="20"/>
                <w:szCs w:val="20"/>
              </w:rPr>
              <w:t>Subsidiary Body on Scientific, Technical and Technological Advice</w:t>
            </w:r>
            <w:r w:rsidRPr="006F1504">
              <w:rPr>
                <w:rFonts w:asciiTheme="majorBidi" w:hAnsiTheme="majorBidi" w:cstheme="majorBidi"/>
                <w:b/>
                <w:bCs/>
                <w:i/>
                <w:iCs/>
                <w:sz w:val="20"/>
                <w:szCs w:val="20"/>
              </w:rPr>
              <w:t xml:space="preserve"> </w:t>
            </w:r>
            <w:r w:rsidR="00E945BA" w:rsidRPr="006F1504">
              <w:rPr>
                <w:rFonts w:asciiTheme="majorBidi" w:hAnsiTheme="majorBidi" w:cstheme="majorBidi"/>
                <w:b/>
                <w:bCs/>
                <w:sz w:val="20"/>
                <w:szCs w:val="20"/>
              </w:rPr>
              <w:t>provides advice on scientific inputs to the report</w:t>
            </w:r>
            <w:r w:rsidR="00782623" w:rsidRPr="00F228EA">
              <w:rPr>
                <w:rFonts w:asciiTheme="majorBidi" w:hAnsiTheme="majorBidi" w:cstheme="majorBidi"/>
                <w:b/>
                <w:bCs/>
                <w:sz w:val="20"/>
                <w:szCs w:val="20"/>
                <w:vertAlign w:val="superscript"/>
              </w:rPr>
              <w:t>1</w:t>
            </w:r>
          </w:p>
        </w:tc>
        <w:tc>
          <w:tcPr>
            <w:tcW w:w="2127" w:type="dxa"/>
          </w:tcPr>
          <w:p w14:paraId="17D3FBF1" w14:textId="77777777" w:rsidR="00E945BA" w:rsidRPr="006F1504" w:rsidRDefault="00E945BA" w:rsidP="007440B9">
            <w:pPr>
              <w:jc w:val="left"/>
              <w:rPr>
                <w:rFonts w:asciiTheme="majorBidi" w:hAnsiTheme="majorBidi" w:cstheme="majorBidi"/>
                <w:b/>
                <w:bCs/>
                <w:sz w:val="20"/>
                <w:szCs w:val="20"/>
              </w:rPr>
            </w:pPr>
            <w:r w:rsidRPr="006F1504">
              <w:rPr>
                <w:rFonts w:asciiTheme="majorBidi" w:hAnsiTheme="majorBidi" w:cstheme="majorBidi"/>
                <w:b/>
                <w:bCs/>
                <w:sz w:val="20"/>
                <w:szCs w:val="20"/>
              </w:rPr>
              <w:t>October/November 2025</w:t>
            </w:r>
          </w:p>
        </w:tc>
        <w:tc>
          <w:tcPr>
            <w:tcW w:w="2125" w:type="dxa"/>
          </w:tcPr>
          <w:p w14:paraId="3A75111C" w14:textId="77777777" w:rsidR="00E945BA" w:rsidRPr="006F1504" w:rsidRDefault="00E945BA" w:rsidP="007440B9">
            <w:pPr>
              <w:jc w:val="left"/>
              <w:rPr>
                <w:rFonts w:asciiTheme="majorBidi" w:hAnsiTheme="majorBidi" w:cstheme="majorBidi"/>
                <w:b/>
                <w:bCs/>
                <w:sz w:val="20"/>
                <w:szCs w:val="20"/>
              </w:rPr>
            </w:pPr>
            <w:r w:rsidRPr="006F1504">
              <w:rPr>
                <w:rFonts w:asciiTheme="majorBidi" w:hAnsiTheme="majorBidi" w:cstheme="majorBidi"/>
                <w:b/>
                <w:bCs/>
                <w:sz w:val="20"/>
                <w:szCs w:val="20"/>
              </w:rPr>
              <w:t>October/November 2025</w:t>
            </w:r>
          </w:p>
        </w:tc>
      </w:tr>
      <w:tr w:rsidR="00E945BA" w:rsidRPr="006F1504" w14:paraId="2E87B628" w14:textId="77777777" w:rsidTr="00410690">
        <w:tc>
          <w:tcPr>
            <w:tcW w:w="4536" w:type="dxa"/>
          </w:tcPr>
          <w:p w14:paraId="7BA60C70" w14:textId="4FBBE761" w:rsidR="00E945BA" w:rsidRPr="006F1504" w:rsidRDefault="008865BF" w:rsidP="007440B9">
            <w:pPr>
              <w:jc w:val="left"/>
              <w:rPr>
                <w:rFonts w:asciiTheme="majorBidi" w:hAnsiTheme="majorBidi" w:cstheme="majorBidi"/>
                <w:sz w:val="20"/>
                <w:szCs w:val="20"/>
              </w:rPr>
            </w:pPr>
            <w:r w:rsidRPr="006F1504">
              <w:rPr>
                <w:rFonts w:asciiTheme="majorBidi" w:hAnsiTheme="majorBidi" w:cstheme="majorBidi"/>
                <w:sz w:val="20"/>
                <w:szCs w:val="20"/>
              </w:rPr>
              <w:t>Ad Hoc Open-ended Intersessional Working Group o</w:t>
            </w:r>
            <w:r w:rsidRPr="00F228EA">
              <w:rPr>
                <w:rFonts w:asciiTheme="majorBidi" w:hAnsiTheme="majorBidi" w:cstheme="majorBidi"/>
                <w:sz w:val="20"/>
                <w:szCs w:val="20"/>
              </w:rPr>
              <w:t>n Article</w:t>
            </w:r>
            <w:r w:rsidRPr="006F1504">
              <w:rPr>
                <w:rFonts w:asciiTheme="majorBidi" w:hAnsiTheme="majorBidi" w:cstheme="majorBidi"/>
                <w:sz w:val="20"/>
                <w:szCs w:val="20"/>
              </w:rPr>
              <w:t xml:space="preserve"> 8 (j) and Related Provisions of the </w:t>
            </w:r>
            <w:r w:rsidRPr="00F228EA">
              <w:rPr>
                <w:rFonts w:asciiTheme="majorBidi" w:hAnsiTheme="majorBidi" w:cstheme="majorBidi"/>
                <w:sz w:val="20"/>
                <w:szCs w:val="20"/>
              </w:rPr>
              <w:t>Convention on Biological Diversity</w:t>
            </w:r>
            <w:r w:rsidRPr="006F1504">
              <w:rPr>
                <w:rFonts w:asciiTheme="majorBidi" w:hAnsiTheme="majorBidi" w:cstheme="majorBidi"/>
                <w:sz w:val="20"/>
                <w:szCs w:val="20"/>
              </w:rPr>
              <w:t xml:space="preserve"> </w:t>
            </w:r>
            <w:r w:rsidR="00E945BA" w:rsidRPr="006F1504">
              <w:rPr>
                <w:rFonts w:asciiTheme="majorBidi" w:hAnsiTheme="majorBidi" w:cstheme="majorBidi"/>
                <w:sz w:val="20"/>
                <w:szCs w:val="20"/>
              </w:rPr>
              <w:t>provides advice on traditional knowledge inputs to the report</w:t>
            </w:r>
          </w:p>
        </w:tc>
        <w:tc>
          <w:tcPr>
            <w:tcW w:w="2127" w:type="dxa"/>
          </w:tcPr>
          <w:p w14:paraId="2C3821F8"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October/November 2025</w:t>
            </w:r>
          </w:p>
        </w:tc>
        <w:tc>
          <w:tcPr>
            <w:tcW w:w="2125" w:type="dxa"/>
          </w:tcPr>
          <w:p w14:paraId="007BF58C"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October/November 2025</w:t>
            </w:r>
          </w:p>
        </w:tc>
      </w:tr>
      <w:tr w:rsidR="00E945BA" w:rsidRPr="006F1504" w14:paraId="54CB1ABE" w14:textId="77777777" w:rsidTr="00410690">
        <w:tc>
          <w:tcPr>
            <w:tcW w:w="4536" w:type="dxa"/>
          </w:tcPr>
          <w:p w14:paraId="2763DC26" w14:textId="4E61ADB6"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Preparation of zero draft of the global report (</w:t>
            </w:r>
            <w:r w:rsidR="00E744F7" w:rsidRPr="006F1504">
              <w:rPr>
                <w:rFonts w:asciiTheme="majorBidi" w:hAnsiTheme="majorBidi" w:cstheme="majorBidi"/>
                <w:sz w:val="20"/>
                <w:szCs w:val="20"/>
              </w:rPr>
              <w:t>s</w:t>
            </w:r>
            <w:r w:rsidRPr="006F1504">
              <w:rPr>
                <w:rFonts w:asciiTheme="majorBidi" w:hAnsiTheme="majorBidi" w:cstheme="majorBidi"/>
                <w:sz w:val="20"/>
                <w:szCs w:val="20"/>
              </w:rPr>
              <w:t>ect</w:t>
            </w:r>
            <w:r w:rsidR="00E744F7" w:rsidRPr="00F228EA">
              <w:rPr>
                <w:rFonts w:asciiTheme="majorBidi" w:hAnsiTheme="majorBidi" w:cstheme="majorBidi"/>
                <w:sz w:val="20"/>
                <w:szCs w:val="20"/>
              </w:rPr>
              <w:t>s.</w:t>
            </w:r>
            <w:r w:rsidRPr="00F228EA">
              <w:rPr>
                <w:rFonts w:asciiTheme="majorBidi" w:hAnsiTheme="majorBidi" w:cstheme="majorBidi"/>
                <w:sz w:val="20"/>
                <w:szCs w:val="20"/>
              </w:rPr>
              <w:t xml:space="preserve"> 1 a</w:t>
            </w:r>
            <w:r w:rsidRPr="006F1504">
              <w:rPr>
                <w:rFonts w:asciiTheme="majorBidi" w:hAnsiTheme="majorBidi" w:cstheme="majorBidi"/>
                <w:sz w:val="20"/>
                <w:szCs w:val="20"/>
              </w:rPr>
              <w:t>nd 2, with extended outlines of sects</w:t>
            </w:r>
            <w:r w:rsidR="00E744F7" w:rsidRPr="006F1504">
              <w:rPr>
                <w:rFonts w:asciiTheme="majorBidi" w:hAnsiTheme="majorBidi" w:cstheme="majorBidi"/>
                <w:sz w:val="20"/>
                <w:szCs w:val="20"/>
              </w:rPr>
              <w:t>.</w:t>
            </w:r>
            <w:r w:rsidRPr="006F1504">
              <w:rPr>
                <w:rFonts w:asciiTheme="majorBidi" w:hAnsiTheme="majorBidi" w:cstheme="majorBidi"/>
                <w:sz w:val="20"/>
                <w:szCs w:val="20"/>
              </w:rPr>
              <w:t xml:space="preserve"> 3, 4,</w:t>
            </w:r>
            <w:r w:rsidRPr="00F228EA">
              <w:rPr>
                <w:rFonts w:asciiTheme="majorBidi" w:hAnsiTheme="majorBidi" w:cstheme="majorBidi"/>
                <w:sz w:val="20"/>
                <w:szCs w:val="20"/>
              </w:rPr>
              <w:t xml:space="preserve"> 5 a</w:t>
            </w:r>
            <w:r w:rsidRPr="006F1504">
              <w:rPr>
                <w:rFonts w:asciiTheme="majorBidi" w:hAnsiTheme="majorBidi" w:cstheme="majorBidi"/>
                <w:sz w:val="20"/>
                <w:szCs w:val="20"/>
              </w:rPr>
              <w:t>nd</w:t>
            </w:r>
            <w:r w:rsidRPr="00F228EA">
              <w:rPr>
                <w:rFonts w:asciiTheme="majorBidi" w:hAnsiTheme="majorBidi" w:cstheme="majorBidi"/>
                <w:sz w:val="20"/>
                <w:szCs w:val="20"/>
              </w:rPr>
              <w:t xml:space="preserve"> 6) </w:t>
            </w:r>
          </w:p>
        </w:tc>
        <w:tc>
          <w:tcPr>
            <w:tcW w:w="2127" w:type="dxa"/>
          </w:tcPr>
          <w:p w14:paraId="3D0164F3" w14:textId="27728169"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January–February 2026</w:t>
            </w:r>
          </w:p>
        </w:tc>
        <w:tc>
          <w:tcPr>
            <w:tcW w:w="2125" w:type="dxa"/>
          </w:tcPr>
          <w:p w14:paraId="798A96E0" w14:textId="7075C625"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January–February 2026</w:t>
            </w:r>
          </w:p>
        </w:tc>
      </w:tr>
      <w:tr w:rsidR="00E945BA" w:rsidRPr="006F1504" w14:paraId="057DEC83" w14:textId="77777777" w:rsidTr="00410690">
        <w:tc>
          <w:tcPr>
            <w:tcW w:w="4536" w:type="dxa"/>
          </w:tcPr>
          <w:p w14:paraId="0ECDBF2C" w14:textId="4F64904E"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Deadline for submission of seventh national reports</w:t>
            </w:r>
            <w:r w:rsidR="001959A4" w:rsidRPr="00F228EA">
              <w:rPr>
                <w:rFonts w:asciiTheme="majorBidi" w:hAnsiTheme="majorBidi" w:cstheme="majorBidi"/>
                <w:sz w:val="20"/>
                <w:szCs w:val="20"/>
                <w:vertAlign w:val="superscript"/>
              </w:rPr>
              <w:t>2</w:t>
            </w:r>
          </w:p>
        </w:tc>
        <w:tc>
          <w:tcPr>
            <w:tcW w:w="2127" w:type="dxa"/>
          </w:tcPr>
          <w:p w14:paraId="062BADCA"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28 February 2026</w:t>
            </w:r>
          </w:p>
        </w:tc>
        <w:tc>
          <w:tcPr>
            <w:tcW w:w="2125" w:type="dxa"/>
          </w:tcPr>
          <w:p w14:paraId="54B6D7B4"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28 February 2026</w:t>
            </w:r>
          </w:p>
        </w:tc>
      </w:tr>
      <w:tr w:rsidR="00E945BA" w:rsidRPr="006F1504" w14:paraId="1B6A3062" w14:textId="77777777" w:rsidTr="00410690">
        <w:tc>
          <w:tcPr>
            <w:tcW w:w="4536" w:type="dxa"/>
          </w:tcPr>
          <w:p w14:paraId="4AE70214" w14:textId="02733440"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First in</w:t>
            </w:r>
            <w:r w:rsidR="00E744F7" w:rsidRPr="006F1504">
              <w:rPr>
                <w:rFonts w:asciiTheme="majorBidi" w:hAnsiTheme="majorBidi" w:cstheme="majorBidi"/>
                <w:sz w:val="20"/>
                <w:szCs w:val="20"/>
              </w:rPr>
              <w:t>-</w:t>
            </w:r>
            <w:r w:rsidRPr="006F1504">
              <w:rPr>
                <w:rFonts w:asciiTheme="majorBidi" w:hAnsiTheme="majorBidi" w:cstheme="majorBidi"/>
                <w:sz w:val="20"/>
                <w:szCs w:val="20"/>
              </w:rPr>
              <w:t xml:space="preserve">person meeting of </w:t>
            </w:r>
            <w:r w:rsidR="00E744F7" w:rsidRPr="006F1504">
              <w:rPr>
                <w:rFonts w:asciiTheme="majorBidi" w:hAnsiTheme="majorBidi" w:cstheme="majorBidi"/>
                <w:sz w:val="20"/>
                <w:szCs w:val="20"/>
              </w:rPr>
              <w:t xml:space="preserve">advisory committee on review of progress </w:t>
            </w:r>
            <w:r w:rsidRPr="006F1504">
              <w:rPr>
                <w:rFonts w:asciiTheme="majorBidi" w:hAnsiTheme="majorBidi" w:cstheme="majorBidi"/>
                <w:sz w:val="20"/>
                <w:szCs w:val="20"/>
              </w:rPr>
              <w:t xml:space="preserve">and </w:t>
            </w:r>
            <w:r w:rsidR="00E744F7" w:rsidRPr="006F1504">
              <w:rPr>
                <w:rFonts w:asciiTheme="majorBidi" w:hAnsiTheme="majorBidi" w:cstheme="majorBidi"/>
                <w:sz w:val="20"/>
                <w:szCs w:val="20"/>
              </w:rPr>
              <w:t xml:space="preserve">ad hoc scientific and technical advisory group </w:t>
            </w:r>
            <w:r w:rsidRPr="006F1504">
              <w:rPr>
                <w:rFonts w:asciiTheme="majorBidi" w:hAnsiTheme="majorBidi" w:cstheme="majorBidi"/>
                <w:sz w:val="20"/>
                <w:szCs w:val="20"/>
              </w:rPr>
              <w:t>to review zero draft and guide preparation of first draft</w:t>
            </w:r>
          </w:p>
        </w:tc>
        <w:tc>
          <w:tcPr>
            <w:tcW w:w="2127" w:type="dxa"/>
          </w:tcPr>
          <w:p w14:paraId="1B47A4B7" w14:textId="18A82B48"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10</w:t>
            </w:r>
            <w:r w:rsidR="00E744F7" w:rsidRPr="006F1504">
              <w:rPr>
                <w:rFonts w:asciiTheme="majorBidi" w:hAnsiTheme="majorBidi" w:cstheme="majorBidi"/>
                <w:sz w:val="20"/>
                <w:szCs w:val="20"/>
              </w:rPr>
              <w:t xml:space="preserve"> and </w:t>
            </w:r>
            <w:r w:rsidRPr="006F1504">
              <w:rPr>
                <w:rFonts w:asciiTheme="majorBidi" w:hAnsiTheme="majorBidi" w:cstheme="majorBidi"/>
                <w:sz w:val="20"/>
                <w:szCs w:val="20"/>
              </w:rPr>
              <w:t>11 March 2026</w:t>
            </w:r>
          </w:p>
        </w:tc>
        <w:tc>
          <w:tcPr>
            <w:tcW w:w="2125" w:type="dxa"/>
          </w:tcPr>
          <w:p w14:paraId="2686C617" w14:textId="06912D33"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10</w:t>
            </w:r>
            <w:r w:rsidR="00E744F7" w:rsidRPr="006F1504">
              <w:rPr>
                <w:rFonts w:asciiTheme="majorBidi" w:hAnsiTheme="majorBidi" w:cstheme="majorBidi"/>
                <w:sz w:val="20"/>
                <w:szCs w:val="20"/>
              </w:rPr>
              <w:t xml:space="preserve"> and </w:t>
            </w:r>
            <w:r w:rsidRPr="006F1504">
              <w:rPr>
                <w:rFonts w:asciiTheme="majorBidi" w:hAnsiTheme="majorBidi" w:cstheme="majorBidi"/>
                <w:sz w:val="20"/>
                <w:szCs w:val="20"/>
              </w:rPr>
              <w:t xml:space="preserve">11 </w:t>
            </w:r>
            <w:r w:rsidR="00C474E9" w:rsidRPr="006F1504">
              <w:rPr>
                <w:rFonts w:asciiTheme="majorBidi" w:hAnsiTheme="majorBidi" w:cstheme="majorBidi"/>
                <w:sz w:val="20"/>
                <w:szCs w:val="20"/>
              </w:rPr>
              <w:t>M</w:t>
            </w:r>
            <w:r w:rsidRPr="006F1504">
              <w:rPr>
                <w:rFonts w:asciiTheme="majorBidi" w:hAnsiTheme="majorBidi" w:cstheme="majorBidi"/>
                <w:sz w:val="20"/>
                <w:szCs w:val="20"/>
              </w:rPr>
              <w:t>arch 2026</w:t>
            </w:r>
          </w:p>
        </w:tc>
      </w:tr>
      <w:tr w:rsidR="00E945BA" w:rsidRPr="006F1504" w14:paraId="6A69BA2D" w14:textId="77777777" w:rsidTr="00410690">
        <w:tc>
          <w:tcPr>
            <w:tcW w:w="4536" w:type="dxa"/>
          </w:tcPr>
          <w:p w14:paraId="53CED2C7" w14:textId="0E00779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Preparation of first draft of the global report (</w:t>
            </w:r>
            <w:r w:rsidR="00CA4177" w:rsidRPr="006F1504">
              <w:rPr>
                <w:rFonts w:asciiTheme="majorBidi" w:hAnsiTheme="majorBidi" w:cstheme="majorBidi"/>
                <w:sz w:val="20"/>
                <w:szCs w:val="20"/>
              </w:rPr>
              <w:t>s</w:t>
            </w:r>
            <w:r w:rsidRPr="006F1504">
              <w:rPr>
                <w:rFonts w:asciiTheme="majorBidi" w:hAnsiTheme="majorBidi" w:cstheme="majorBidi"/>
                <w:sz w:val="20"/>
                <w:szCs w:val="20"/>
              </w:rPr>
              <w:t>ect</w:t>
            </w:r>
            <w:r w:rsidR="00CA4177" w:rsidRPr="006F1504">
              <w:rPr>
                <w:rFonts w:asciiTheme="majorBidi" w:hAnsiTheme="majorBidi" w:cstheme="majorBidi"/>
                <w:sz w:val="20"/>
                <w:szCs w:val="20"/>
              </w:rPr>
              <w:t>s.</w:t>
            </w:r>
            <w:r w:rsidRPr="006F1504">
              <w:rPr>
                <w:rFonts w:asciiTheme="majorBidi" w:hAnsiTheme="majorBidi" w:cstheme="majorBidi"/>
                <w:sz w:val="20"/>
                <w:szCs w:val="20"/>
              </w:rPr>
              <w:t xml:space="preserve"> 1</w:t>
            </w:r>
            <w:r w:rsidR="00CA4177" w:rsidRPr="006F1504">
              <w:rPr>
                <w:rFonts w:asciiTheme="majorBidi" w:hAnsiTheme="majorBidi" w:cstheme="majorBidi"/>
                <w:sz w:val="20"/>
                <w:szCs w:val="20"/>
              </w:rPr>
              <w:t>–</w:t>
            </w:r>
            <w:r w:rsidRPr="006F1504">
              <w:rPr>
                <w:rFonts w:asciiTheme="majorBidi" w:hAnsiTheme="majorBidi" w:cstheme="majorBidi"/>
                <w:sz w:val="20"/>
                <w:szCs w:val="20"/>
              </w:rPr>
              <w:t>6)</w:t>
            </w:r>
          </w:p>
        </w:tc>
        <w:tc>
          <w:tcPr>
            <w:tcW w:w="2127" w:type="dxa"/>
          </w:tcPr>
          <w:p w14:paraId="4078F874" w14:textId="070B3742"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2</w:t>
            </w:r>
            <w:r w:rsidR="008D51EC" w:rsidRPr="006F1504">
              <w:rPr>
                <w:rFonts w:asciiTheme="majorBidi" w:hAnsiTheme="majorBidi" w:cstheme="majorBidi"/>
                <w:sz w:val="20"/>
                <w:szCs w:val="20"/>
              </w:rPr>
              <w:t>–</w:t>
            </w:r>
            <w:r w:rsidRPr="006F1504">
              <w:rPr>
                <w:rFonts w:asciiTheme="majorBidi" w:hAnsiTheme="majorBidi" w:cstheme="majorBidi"/>
                <w:sz w:val="20"/>
                <w:szCs w:val="20"/>
              </w:rPr>
              <w:t>26 March 2026</w:t>
            </w:r>
          </w:p>
        </w:tc>
        <w:tc>
          <w:tcPr>
            <w:tcW w:w="2125" w:type="dxa"/>
          </w:tcPr>
          <w:p w14:paraId="7BE06403" w14:textId="4A7A5E9C"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2 March–11 April 2026</w:t>
            </w:r>
          </w:p>
        </w:tc>
      </w:tr>
      <w:tr w:rsidR="00E945BA" w:rsidRPr="006F1504" w14:paraId="1ED1B619" w14:textId="77777777" w:rsidTr="00410690">
        <w:tc>
          <w:tcPr>
            <w:tcW w:w="4536" w:type="dxa"/>
          </w:tcPr>
          <w:p w14:paraId="7518508C"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Technical review of first draft (first peer review)</w:t>
            </w:r>
          </w:p>
        </w:tc>
        <w:tc>
          <w:tcPr>
            <w:tcW w:w="2127" w:type="dxa"/>
          </w:tcPr>
          <w:p w14:paraId="40D702E5" w14:textId="47B8A5A0"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30 March–12 April 2026</w:t>
            </w:r>
          </w:p>
        </w:tc>
        <w:tc>
          <w:tcPr>
            <w:tcW w:w="2125" w:type="dxa"/>
          </w:tcPr>
          <w:p w14:paraId="1396E4BC" w14:textId="366714E8"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13 April</w:t>
            </w:r>
            <w:r w:rsidR="008D51EC" w:rsidRPr="006F1504">
              <w:rPr>
                <w:rFonts w:asciiTheme="majorBidi" w:hAnsiTheme="majorBidi" w:cstheme="majorBidi"/>
                <w:sz w:val="20"/>
                <w:szCs w:val="20"/>
              </w:rPr>
              <w:t>–</w:t>
            </w:r>
            <w:r w:rsidRPr="006F1504">
              <w:rPr>
                <w:rFonts w:asciiTheme="majorBidi" w:hAnsiTheme="majorBidi" w:cstheme="majorBidi"/>
                <w:sz w:val="20"/>
                <w:szCs w:val="20"/>
              </w:rPr>
              <w:t>3 May 2026</w:t>
            </w:r>
          </w:p>
        </w:tc>
      </w:tr>
      <w:tr w:rsidR="00E945BA" w:rsidRPr="006F1504" w14:paraId="6216D1C9" w14:textId="77777777" w:rsidTr="00410690">
        <w:tc>
          <w:tcPr>
            <w:tcW w:w="4536" w:type="dxa"/>
          </w:tcPr>
          <w:p w14:paraId="6E43A097"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Preparation of second draft of the global report (all sections)</w:t>
            </w:r>
          </w:p>
        </w:tc>
        <w:tc>
          <w:tcPr>
            <w:tcW w:w="2127" w:type="dxa"/>
          </w:tcPr>
          <w:p w14:paraId="3374B3F2" w14:textId="2CB1BDC4"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13 April–8 May 2026</w:t>
            </w:r>
          </w:p>
        </w:tc>
        <w:tc>
          <w:tcPr>
            <w:tcW w:w="2125" w:type="dxa"/>
          </w:tcPr>
          <w:p w14:paraId="1F2824C1" w14:textId="0D093EAD"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4 May–5 June 2026</w:t>
            </w:r>
          </w:p>
        </w:tc>
      </w:tr>
      <w:tr w:rsidR="00E945BA" w:rsidRPr="006F1504" w14:paraId="2CB1B7AF" w14:textId="77777777" w:rsidTr="00410690">
        <w:tc>
          <w:tcPr>
            <w:tcW w:w="4536" w:type="dxa"/>
          </w:tcPr>
          <w:p w14:paraId="207AE569" w14:textId="57F85E6B"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 xml:space="preserve">Virtual meeting of the </w:t>
            </w:r>
            <w:r w:rsidR="003073F8" w:rsidRPr="006F1504">
              <w:rPr>
                <w:rFonts w:asciiTheme="majorBidi" w:hAnsiTheme="majorBidi" w:cstheme="majorBidi"/>
                <w:sz w:val="20"/>
                <w:szCs w:val="20"/>
              </w:rPr>
              <w:t xml:space="preserve">ad hoc scientific and technical advisory group </w:t>
            </w:r>
            <w:r w:rsidRPr="006F1504">
              <w:rPr>
                <w:rFonts w:asciiTheme="majorBidi" w:hAnsiTheme="majorBidi" w:cstheme="majorBidi"/>
                <w:sz w:val="20"/>
                <w:szCs w:val="20"/>
              </w:rPr>
              <w:t>to preview second draft</w:t>
            </w:r>
          </w:p>
        </w:tc>
        <w:tc>
          <w:tcPr>
            <w:tcW w:w="2127" w:type="dxa"/>
          </w:tcPr>
          <w:p w14:paraId="25BFBB5F"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29 April 2026</w:t>
            </w:r>
          </w:p>
        </w:tc>
        <w:tc>
          <w:tcPr>
            <w:tcW w:w="2125" w:type="dxa"/>
          </w:tcPr>
          <w:p w14:paraId="4783F744"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26 May 2026</w:t>
            </w:r>
          </w:p>
        </w:tc>
      </w:tr>
      <w:tr w:rsidR="00E945BA" w:rsidRPr="006F1504" w14:paraId="5895DEEA" w14:textId="77777777" w:rsidTr="00410690">
        <w:tc>
          <w:tcPr>
            <w:tcW w:w="4536" w:type="dxa"/>
          </w:tcPr>
          <w:p w14:paraId="38E06F18" w14:textId="1DC73706"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 xml:space="preserve">Publication of the </w:t>
            </w:r>
            <w:r w:rsidR="00842F5F" w:rsidRPr="006F1504">
              <w:rPr>
                <w:rFonts w:asciiTheme="majorBidi" w:hAnsiTheme="majorBidi" w:cstheme="majorBidi"/>
                <w:sz w:val="20"/>
                <w:szCs w:val="20"/>
              </w:rPr>
              <w:t>w</w:t>
            </w:r>
            <w:r w:rsidRPr="006F1504">
              <w:rPr>
                <w:rFonts w:asciiTheme="majorBidi" w:hAnsiTheme="majorBidi" w:cstheme="majorBidi"/>
                <w:sz w:val="20"/>
                <w:szCs w:val="20"/>
              </w:rPr>
              <w:t xml:space="preserve">orking </w:t>
            </w:r>
            <w:r w:rsidR="00842F5F" w:rsidRPr="006F1504">
              <w:rPr>
                <w:rFonts w:asciiTheme="majorBidi" w:hAnsiTheme="majorBidi" w:cstheme="majorBidi"/>
                <w:sz w:val="20"/>
                <w:szCs w:val="20"/>
              </w:rPr>
              <w:t>d</w:t>
            </w:r>
            <w:r w:rsidRPr="006F1504">
              <w:rPr>
                <w:rFonts w:asciiTheme="majorBidi" w:hAnsiTheme="majorBidi" w:cstheme="majorBidi"/>
                <w:sz w:val="20"/>
                <w:szCs w:val="20"/>
              </w:rPr>
              <w:t>ocument for</w:t>
            </w:r>
            <w:r w:rsidR="006524B1" w:rsidRPr="006F1504">
              <w:rPr>
                <w:rFonts w:asciiTheme="majorBidi" w:hAnsiTheme="majorBidi" w:cstheme="majorBidi"/>
                <w:i/>
                <w:iCs/>
                <w:sz w:val="20"/>
                <w:szCs w:val="20"/>
              </w:rPr>
              <w:t xml:space="preserve"> </w:t>
            </w:r>
            <w:r w:rsidR="006524B1" w:rsidRPr="00F228EA">
              <w:rPr>
                <w:rFonts w:asciiTheme="majorBidi" w:hAnsiTheme="majorBidi" w:cstheme="majorBidi"/>
                <w:sz w:val="20"/>
                <w:szCs w:val="20"/>
              </w:rPr>
              <w:t>Subsidiary Body on Scientific, Technical and Technological Advice</w:t>
            </w:r>
            <w:r w:rsidRPr="006F1504">
              <w:rPr>
                <w:rFonts w:asciiTheme="majorBidi" w:hAnsiTheme="majorBidi" w:cstheme="majorBidi"/>
                <w:sz w:val="20"/>
                <w:szCs w:val="20"/>
              </w:rPr>
              <w:t xml:space="preserve"> and </w:t>
            </w:r>
            <w:r w:rsidR="006524B1" w:rsidRPr="006F1504">
              <w:rPr>
                <w:rFonts w:asciiTheme="majorBidi" w:hAnsiTheme="majorBidi" w:cstheme="majorBidi"/>
                <w:sz w:val="20"/>
                <w:szCs w:val="20"/>
              </w:rPr>
              <w:t xml:space="preserve">Subsidiary Body on Implementation </w:t>
            </w:r>
          </w:p>
        </w:tc>
        <w:tc>
          <w:tcPr>
            <w:tcW w:w="2127" w:type="dxa"/>
          </w:tcPr>
          <w:p w14:paraId="1512C03E"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11 May 2026</w:t>
            </w:r>
          </w:p>
        </w:tc>
        <w:tc>
          <w:tcPr>
            <w:tcW w:w="2125" w:type="dxa"/>
          </w:tcPr>
          <w:p w14:paraId="0B65B9CF"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8 June 2026</w:t>
            </w:r>
          </w:p>
        </w:tc>
      </w:tr>
      <w:tr w:rsidR="00E945BA" w:rsidRPr="006F1504" w14:paraId="6FB63851" w14:textId="77777777" w:rsidTr="00410690">
        <w:tc>
          <w:tcPr>
            <w:tcW w:w="4536" w:type="dxa"/>
          </w:tcPr>
          <w:p w14:paraId="08959100"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Governmental and technical review of the second draft (second peer review)</w:t>
            </w:r>
          </w:p>
        </w:tc>
        <w:tc>
          <w:tcPr>
            <w:tcW w:w="2127" w:type="dxa"/>
          </w:tcPr>
          <w:p w14:paraId="6CE8663E" w14:textId="0B8D09F3"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25 May</w:t>
            </w:r>
            <w:r w:rsidR="00BC57BD" w:rsidRPr="006F1504">
              <w:rPr>
                <w:rFonts w:asciiTheme="majorBidi" w:hAnsiTheme="majorBidi" w:cstheme="majorBidi"/>
                <w:sz w:val="20"/>
                <w:szCs w:val="20"/>
              </w:rPr>
              <w:t>–</w:t>
            </w:r>
            <w:r w:rsidRPr="006F1504">
              <w:rPr>
                <w:rFonts w:asciiTheme="majorBidi" w:hAnsiTheme="majorBidi" w:cstheme="majorBidi"/>
                <w:sz w:val="20"/>
                <w:szCs w:val="20"/>
              </w:rPr>
              <w:t>10 July 2026</w:t>
            </w:r>
          </w:p>
        </w:tc>
        <w:tc>
          <w:tcPr>
            <w:tcW w:w="2125" w:type="dxa"/>
          </w:tcPr>
          <w:p w14:paraId="2AA75009" w14:textId="4935E844"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29 June–7 Aug</w:t>
            </w:r>
            <w:r w:rsidR="006524B1" w:rsidRPr="006F1504">
              <w:rPr>
                <w:rFonts w:asciiTheme="majorBidi" w:hAnsiTheme="majorBidi" w:cstheme="majorBidi"/>
                <w:sz w:val="20"/>
                <w:szCs w:val="20"/>
              </w:rPr>
              <w:t>ust</w:t>
            </w:r>
            <w:r w:rsidRPr="006F1504">
              <w:rPr>
                <w:rFonts w:asciiTheme="majorBidi" w:hAnsiTheme="majorBidi" w:cstheme="majorBidi"/>
                <w:sz w:val="20"/>
                <w:szCs w:val="20"/>
              </w:rPr>
              <w:t xml:space="preserve"> 2026</w:t>
            </w:r>
          </w:p>
        </w:tc>
      </w:tr>
      <w:tr w:rsidR="00E945BA" w:rsidRPr="006F1504" w14:paraId="5CB50B34" w14:textId="77777777" w:rsidTr="00410690">
        <w:tc>
          <w:tcPr>
            <w:tcW w:w="4536" w:type="dxa"/>
          </w:tcPr>
          <w:p w14:paraId="3C9B6D78" w14:textId="5D119BF3" w:rsidR="00E945BA" w:rsidRPr="006F1504" w:rsidRDefault="006524B1" w:rsidP="007440B9">
            <w:pPr>
              <w:jc w:val="left"/>
              <w:rPr>
                <w:rFonts w:asciiTheme="majorBidi" w:hAnsiTheme="majorBidi" w:cstheme="majorBidi"/>
                <w:b/>
                <w:bCs/>
                <w:sz w:val="20"/>
                <w:szCs w:val="20"/>
              </w:rPr>
            </w:pPr>
            <w:r w:rsidRPr="00F228EA">
              <w:rPr>
                <w:rFonts w:asciiTheme="majorBidi" w:hAnsiTheme="majorBidi" w:cstheme="majorBidi"/>
                <w:b/>
                <w:bCs/>
                <w:sz w:val="20"/>
                <w:szCs w:val="20"/>
              </w:rPr>
              <w:t>Subsidiary Body on Scientific, Technical and Technological Advice</w:t>
            </w:r>
            <w:r w:rsidRPr="006F1504">
              <w:rPr>
                <w:rFonts w:asciiTheme="majorBidi" w:hAnsiTheme="majorBidi" w:cstheme="majorBidi"/>
                <w:b/>
                <w:bCs/>
                <w:sz w:val="20"/>
                <w:szCs w:val="20"/>
              </w:rPr>
              <w:t xml:space="preserve"> </w:t>
            </w:r>
            <w:r w:rsidR="00E945BA" w:rsidRPr="006F1504">
              <w:rPr>
                <w:rFonts w:asciiTheme="majorBidi" w:hAnsiTheme="majorBidi" w:cstheme="majorBidi"/>
                <w:b/>
                <w:bCs/>
                <w:sz w:val="20"/>
                <w:szCs w:val="20"/>
              </w:rPr>
              <w:t>reviews technical aspects of the second draft</w:t>
            </w:r>
            <w:r w:rsidR="00BE734A" w:rsidRPr="00F228EA">
              <w:rPr>
                <w:rFonts w:asciiTheme="majorBidi" w:hAnsiTheme="majorBidi" w:cstheme="majorBidi"/>
                <w:b/>
                <w:bCs/>
                <w:sz w:val="20"/>
                <w:szCs w:val="20"/>
                <w:vertAlign w:val="superscript"/>
              </w:rPr>
              <w:t>1</w:t>
            </w:r>
          </w:p>
        </w:tc>
        <w:tc>
          <w:tcPr>
            <w:tcW w:w="2127" w:type="dxa"/>
          </w:tcPr>
          <w:p w14:paraId="31C359C1" w14:textId="650A7B0D" w:rsidR="00E945BA" w:rsidRPr="006F1504" w:rsidRDefault="00E945BA" w:rsidP="007440B9">
            <w:pPr>
              <w:jc w:val="left"/>
              <w:rPr>
                <w:rFonts w:asciiTheme="majorBidi" w:hAnsiTheme="majorBidi" w:cstheme="majorBidi"/>
                <w:b/>
                <w:bCs/>
                <w:sz w:val="20"/>
                <w:szCs w:val="20"/>
              </w:rPr>
            </w:pPr>
            <w:r w:rsidRPr="006F1504">
              <w:rPr>
                <w:rFonts w:asciiTheme="majorBidi" w:hAnsiTheme="majorBidi" w:cstheme="majorBidi"/>
                <w:b/>
                <w:bCs/>
                <w:sz w:val="20"/>
                <w:szCs w:val="20"/>
              </w:rPr>
              <w:t>22</w:t>
            </w:r>
            <w:r w:rsidR="00BC57BD" w:rsidRPr="006F1504">
              <w:rPr>
                <w:rFonts w:asciiTheme="majorBidi" w:hAnsiTheme="majorBidi" w:cstheme="majorBidi"/>
                <w:sz w:val="20"/>
                <w:szCs w:val="20"/>
              </w:rPr>
              <w:t>–</w:t>
            </w:r>
            <w:r w:rsidRPr="006F1504">
              <w:rPr>
                <w:rFonts w:asciiTheme="majorBidi" w:hAnsiTheme="majorBidi" w:cstheme="majorBidi"/>
                <w:b/>
                <w:bCs/>
                <w:sz w:val="20"/>
                <w:szCs w:val="20"/>
              </w:rPr>
              <w:t>27 June 2026</w:t>
            </w:r>
          </w:p>
        </w:tc>
        <w:tc>
          <w:tcPr>
            <w:tcW w:w="2125" w:type="dxa"/>
          </w:tcPr>
          <w:p w14:paraId="2E570DB1" w14:textId="1D0361F1" w:rsidR="00E945BA" w:rsidRPr="006F1504" w:rsidRDefault="00E945BA" w:rsidP="007440B9">
            <w:pPr>
              <w:jc w:val="left"/>
              <w:rPr>
                <w:rFonts w:asciiTheme="majorBidi" w:hAnsiTheme="majorBidi" w:cstheme="majorBidi"/>
                <w:b/>
                <w:bCs/>
                <w:sz w:val="20"/>
                <w:szCs w:val="20"/>
              </w:rPr>
            </w:pPr>
            <w:r w:rsidRPr="006F1504">
              <w:rPr>
                <w:rFonts w:asciiTheme="majorBidi" w:hAnsiTheme="majorBidi" w:cstheme="majorBidi"/>
                <w:b/>
                <w:bCs/>
                <w:sz w:val="20"/>
                <w:szCs w:val="20"/>
              </w:rPr>
              <w:t>20</w:t>
            </w:r>
            <w:r w:rsidR="00BC57BD" w:rsidRPr="006F1504">
              <w:rPr>
                <w:rFonts w:asciiTheme="majorBidi" w:hAnsiTheme="majorBidi" w:cstheme="majorBidi"/>
                <w:sz w:val="20"/>
                <w:szCs w:val="20"/>
              </w:rPr>
              <w:t>–</w:t>
            </w:r>
            <w:r w:rsidRPr="006F1504">
              <w:rPr>
                <w:rFonts w:asciiTheme="majorBidi" w:hAnsiTheme="majorBidi" w:cstheme="majorBidi"/>
                <w:b/>
                <w:bCs/>
                <w:sz w:val="20"/>
                <w:szCs w:val="20"/>
              </w:rPr>
              <w:t>25 July 2026</w:t>
            </w:r>
          </w:p>
        </w:tc>
      </w:tr>
      <w:tr w:rsidR="00E945BA" w:rsidRPr="006F1504" w14:paraId="72EED674" w14:textId="77777777" w:rsidTr="00410690">
        <w:tc>
          <w:tcPr>
            <w:tcW w:w="4536" w:type="dxa"/>
          </w:tcPr>
          <w:p w14:paraId="287BA3CE" w14:textId="2168DE8C" w:rsidR="00E945BA" w:rsidRPr="006F1504" w:rsidRDefault="006524B1" w:rsidP="007440B9">
            <w:pPr>
              <w:jc w:val="left"/>
              <w:rPr>
                <w:rFonts w:asciiTheme="majorBidi" w:hAnsiTheme="majorBidi" w:cstheme="majorBidi"/>
                <w:b/>
                <w:bCs/>
                <w:sz w:val="20"/>
                <w:szCs w:val="20"/>
              </w:rPr>
            </w:pPr>
            <w:r w:rsidRPr="006F1504">
              <w:rPr>
                <w:rFonts w:asciiTheme="majorBidi" w:hAnsiTheme="majorBidi" w:cstheme="majorBidi"/>
                <w:b/>
                <w:bCs/>
                <w:sz w:val="20"/>
                <w:szCs w:val="20"/>
              </w:rPr>
              <w:t xml:space="preserve">Subsidiary Body on Implementation </w:t>
            </w:r>
            <w:r w:rsidR="00E945BA" w:rsidRPr="006F1504">
              <w:rPr>
                <w:rFonts w:asciiTheme="majorBidi" w:hAnsiTheme="majorBidi" w:cstheme="majorBidi"/>
                <w:b/>
                <w:bCs/>
                <w:sz w:val="20"/>
                <w:szCs w:val="20"/>
              </w:rPr>
              <w:t>reviews the second draft</w:t>
            </w:r>
            <w:r w:rsidR="00BE734A" w:rsidRPr="00F228EA">
              <w:rPr>
                <w:rFonts w:asciiTheme="majorBidi" w:hAnsiTheme="majorBidi" w:cstheme="majorBidi"/>
                <w:b/>
                <w:bCs/>
                <w:sz w:val="20"/>
                <w:szCs w:val="20"/>
                <w:vertAlign w:val="superscript"/>
              </w:rPr>
              <w:t>1</w:t>
            </w:r>
          </w:p>
        </w:tc>
        <w:tc>
          <w:tcPr>
            <w:tcW w:w="2127" w:type="dxa"/>
          </w:tcPr>
          <w:p w14:paraId="2A47EE7A" w14:textId="7BBF735B" w:rsidR="00E945BA" w:rsidRPr="006F1504" w:rsidRDefault="00E945BA" w:rsidP="007440B9">
            <w:pPr>
              <w:jc w:val="left"/>
              <w:rPr>
                <w:rFonts w:asciiTheme="majorBidi" w:hAnsiTheme="majorBidi" w:cstheme="majorBidi"/>
                <w:b/>
                <w:bCs/>
                <w:sz w:val="20"/>
                <w:szCs w:val="20"/>
              </w:rPr>
            </w:pPr>
            <w:r w:rsidRPr="006F1504">
              <w:rPr>
                <w:rFonts w:asciiTheme="majorBidi" w:hAnsiTheme="majorBidi" w:cstheme="majorBidi"/>
                <w:b/>
                <w:bCs/>
                <w:sz w:val="20"/>
                <w:szCs w:val="20"/>
              </w:rPr>
              <w:t>29 June–4 July 2026</w:t>
            </w:r>
          </w:p>
        </w:tc>
        <w:tc>
          <w:tcPr>
            <w:tcW w:w="2125" w:type="dxa"/>
          </w:tcPr>
          <w:p w14:paraId="24949397" w14:textId="36849A35" w:rsidR="00E945BA" w:rsidRPr="006F1504" w:rsidRDefault="00E945BA" w:rsidP="007440B9">
            <w:pPr>
              <w:jc w:val="left"/>
              <w:rPr>
                <w:rFonts w:asciiTheme="majorBidi" w:hAnsiTheme="majorBidi" w:cstheme="majorBidi"/>
                <w:b/>
                <w:bCs/>
                <w:sz w:val="20"/>
                <w:szCs w:val="20"/>
              </w:rPr>
            </w:pPr>
            <w:r w:rsidRPr="006F1504">
              <w:rPr>
                <w:rFonts w:asciiTheme="majorBidi" w:hAnsiTheme="majorBidi" w:cstheme="majorBidi"/>
                <w:b/>
                <w:bCs/>
                <w:sz w:val="20"/>
                <w:szCs w:val="20"/>
              </w:rPr>
              <w:t>27</w:t>
            </w:r>
            <w:r w:rsidR="00BC57BD" w:rsidRPr="006F1504">
              <w:rPr>
                <w:rFonts w:asciiTheme="majorBidi" w:hAnsiTheme="majorBidi" w:cstheme="majorBidi"/>
                <w:sz w:val="20"/>
                <w:szCs w:val="20"/>
              </w:rPr>
              <w:t>–</w:t>
            </w:r>
            <w:r w:rsidRPr="006F1504">
              <w:rPr>
                <w:rFonts w:asciiTheme="majorBidi" w:hAnsiTheme="majorBidi" w:cstheme="majorBidi"/>
                <w:b/>
                <w:bCs/>
                <w:sz w:val="20"/>
                <w:szCs w:val="20"/>
              </w:rPr>
              <w:t>31 July 2026</w:t>
            </w:r>
          </w:p>
        </w:tc>
      </w:tr>
      <w:tr w:rsidR="00E945BA" w:rsidRPr="006F1504" w14:paraId="6F2AFDAB" w14:textId="77777777" w:rsidTr="00410690">
        <w:tc>
          <w:tcPr>
            <w:tcW w:w="4536" w:type="dxa"/>
          </w:tcPr>
          <w:p w14:paraId="4FA60EBC"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Finalization of the report</w:t>
            </w:r>
          </w:p>
        </w:tc>
        <w:tc>
          <w:tcPr>
            <w:tcW w:w="2127" w:type="dxa"/>
          </w:tcPr>
          <w:p w14:paraId="30902009" w14:textId="214456C1"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6 July–28 August 2026</w:t>
            </w:r>
          </w:p>
        </w:tc>
        <w:tc>
          <w:tcPr>
            <w:tcW w:w="2125" w:type="dxa"/>
          </w:tcPr>
          <w:p w14:paraId="2429B5AA" w14:textId="677F87CB"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3–28 August 2026</w:t>
            </w:r>
          </w:p>
        </w:tc>
      </w:tr>
      <w:tr w:rsidR="00E945BA" w:rsidRPr="006F1504" w14:paraId="03283FD9" w14:textId="77777777" w:rsidTr="00410690">
        <w:tc>
          <w:tcPr>
            <w:tcW w:w="4536" w:type="dxa"/>
          </w:tcPr>
          <w:p w14:paraId="5F526AD3" w14:textId="448B9B33"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Second in</w:t>
            </w:r>
            <w:r w:rsidR="00D33A5F" w:rsidRPr="006F1504">
              <w:rPr>
                <w:rFonts w:asciiTheme="majorBidi" w:hAnsiTheme="majorBidi" w:cstheme="majorBidi"/>
                <w:sz w:val="20"/>
                <w:szCs w:val="20"/>
              </w:rPr>
              <w:t>-</w:t>
            </w:r>
            <w:r w:rsidRPr="006F1504">
              <w:rPr>
                <w:rFonts w:asciiTheme="majorBidi" w:hAnsiTheme="majorBidi" w:cstheme="majorBidi"/>
                <w:sz w:val="20"/>
                <w:szCs w:val="20"/>
              </w:rPr>
              <w:t xml:space="preserve">person meeting of </w:t>
            </w:r>
            <w:r w:rsidR="00D33A5F" w:rsidRPr="006F1504">
              <w:rPr>
                <w:rFonts w:asciiTheme="majorBidi" w:hAnsiTheme="majorBidi" w:cstheme="majorBidi"/>
                <w:sz w:val="20"/>
                <w:szCs w:val="20"/>
              </w:rPr>
              <w:t xml:space="preserve">ad hoc scientific and technical advisory group </w:t>
            </w:r>
            <w:r w:rsidRPr="006F1504">
              <w:rPr>
                <w:rFonts w:asciiTheme="majorBidi" w:hAnsiTheme="majorBidi" w:cstheme="majorBidi"/>
                <w:sz w:val="20"/>
                <w:szCs w:val="20"/>
              </w:rPr>
              <w:t xml:space="preserve">to </w:t>
            </w:r>
            <w:r w:rsidR="00091E35" w:rsidRPr="006F1504">
              <w:rPr>
                <w:rFonts w:asciiTheme="majorBidi" w:hAnsiTheme="majorBidi" w:cstheme="majorBidi"/>
                <w:sz w:val="20"/>
                <w:szCs w:val="20"/>
              </w:rPr>
              <w:t>prepare the final report</w:t>
            </w:r>
          </w:p>
        </w:tc>
        <w:tc>
          <w:tcPr>
            <w:tcW w:w="2127" w:type="dxa"/>
          </w:tcPr>
          <w:p w14:paraId="77D91B75" w14:textId="55AA0E7C"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18</w:t>
            </w:r>
            <w:r w:rsidR="00FE2C1F" w:rsidRPr="006F1504">
              <w:rPr>
                <w:rFonts w:asciiTheme="majorBidi" w:hAnsiTheme="majorBidi" w:cstheme="majorBidi"/>
                <w:sz w:val="20"/>
                <w:szCs w:val="20"/>
              </w:rPr>
              <w:t xml:space="preserve"> and </w:t>
            </w:r>
            <w:r w:rsidRPr="006F1504">
              <w:rPr>
                <w:rFonts w:asciiTheme="majorBidi" w:hAnsiTheme="majorBidi" w:cstheme="majorBidi"/>
                <w:sz w:val="20"/>
                <w:szCs w:val="20"/>
              </w:rPr>
              <w:t>19 August 2026</w:t>
            </w:r>
          </w:p>
        </w:tc>
        <w:tc>
          <w:tcPr>
            <w:tcW w:w="2125" w:type="dxa"/>
          </w:tcPr>
          <w:p w14:paraId="5EFF4C8A" w14:textId="77FA7CB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18</w:t>
            </w:r>
            <w:r w:rsidR="00FE2C1F" w:rsidRPr="006F1504">
              <w:rPr>
                <w:rFonts w:asciiTheme="majorBidi" w:hAnsiTheme="majorBidi" w:cstheme="majorBidi"/>
                <w:sz w:val="20"/>
                <w:szCs w:val="20"/>
              </w:rPr>
              <w:t xml:space="preserve"> and </w:t>
            </w:r>
            <w:r w:rsidRPr="006F1504">
              <w:rPr>
                <w:rFonts w:asciiTheme="majorBidi" w:hAnsiTheme="majorBidi" w:cstheme="majorBidi"/>
                <w:sz w:val="20"/>
                <w:szCs w:val="20"/>
              </w:rPr>
              <w:t>19 August 2026</w:t>
            </w:r>
          </w:p>
        </w:tc>
      </w:tr>
      <w:tr w:rsidR="00E945BA" w:rsidRPr="006F1504" w14:paraId="535E498C" w14:textId="77777777" w:rsidTr="00410690">
        <w:tc>
          <w:tcPr>
            <w:tcW w:w="4536" w:type="dxa"/>
          </w:tcPr>
          <w:p w14:paraId="3A262905"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 xml:space="preserve">Report submitted for translation </w:t>
            </w:r>
          </w:p>
        </w:tc>
        <w:tc>
          <w:tcPr>
            <w:tcW w:w="2127" w:type="dxa"/>
          </w:tcPr>
          <w:p w14:paraId="65007FB4"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31 August 2026</w:t>
            </w:r>
          </w:p>
        </w:tc>
        <w:tc>
          <w:tcPr>
            <w:tcW w:w="2125" w:type="dxa"/>
          </w:tcPr>
          <w:p w14:paraId="5F3019E5"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31 August 2026</w:t>
            </w:r>
          </w:p>
        </w:tc>
      </w:tr>
      <w:tr w:rsidR="00E945BA" w:rsidRPr="006F1504" w14:paraId="2AD4A518" w14:textId="77777777" w:rsidTr="00410690">
        <w:tc>
          <w:tcPr>
            <w:tcW w:w="4536" w:type="dxa"/>
          </w:tcPr>
          <w:p w14:paraId="63385427" w14:textId="5F8F783B"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Summary for policymakers made available to Parties and observers</w:t>
            </w:r>
          </w:p>
        </w:tc>
        <w:tc>
          <w:tcPr>
            <w:tcW w:w="2127" w:type="dxa"/>
          </w:tcPr>
          <w:p w14:paraId="03014346"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7 September 2026</w:t>
            </w:r>
          </w:p>
        </w:tc>
        <w:tc>
          <w:tcPr>
            <w:tcW w:w="2125" w:type="dxa"/>
          </w:tcPr>
          <w:p w14:paraId="627E8582"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7 September 2026</w:t>
            </w:r>
          </w:p>
        </w:tc>
      </w:tr>
      <w:tr w:rsidR="00E945BA" w:rsidRPr="006F1504" w14:paraId="27B9F808" w14:textId="77777777" w:rsidTr="00410690">
        <w:tc>
          <w:tcPr>
            <w:tcW w:w="4536" w:type="dxa"/>
          </w:tcPr>
          <w:p w14:paraId="3ACE6488"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lastRenderedPageBreak/>
              <w:t>Full report made available to Parties and observers</w:t>
            </w:r>
          </w:p>
        </w:tc>
        <w:tc>
          <w:tcPr>
            <w:tcW w:w="2127" w:type="dxa"/>
          </w:tcPr>
          <w:p w14:paraId="1AF394F1"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21 September 2026</w:t>
            </w:r>
          </w:p>
        </w:tc>
        <w:tc>
          <w:tcPr>
            <w:tcW w:w="2125" w:type="dxa"/>
          </w:tcPr>
          <w:p w14:paraId="0DA5ABBC"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21 September 2026</w:t>
            </w:r>
          </w:p>
        </w:tc>
      </w:tr>
      <w:tr w:rsidR="00E945BA" w:rsidRPr="006F1504" w14:paraId="5BE34123" w14:textId="77777777" w:rsidTr="00410690">
        <w:tc>
          <w:tcPr>
            <w:tcW w:w="4536" w:type="dxa"/>
          </w:tcPr>
          <w:p w14:paraId="246D0F3E"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 xml:space="preserve">Publication of the report </w:t>
            </w:r>
          </w:p>
        </w:tc>
        <w:tc>
          <w:tcPr>
            <w:tcW w:w="2127" w:type="dxa"/>
          </w:tcPr>
          <w:p w14:paraId="06EE8A2E"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19 October 2026</w:t>
            </w:r>
          </w:p>
        </w:tc>
        <w:tc>
          <w:tcPr>
            <w:tcW w:w="2125" w:type="dxa"/>
          </w:tcPr>
          <w:p w14:paraId="0837B339" w14:textId="77777777" w:rsidR="00E945BA" w:rsidRPr="006F1504" w:rsidRDefault="00E945BA" w:rsidP="007440B9">
            <w:pPr>
              <w:jc w:val="left"/>
              <w:rPr>
                <w:rFonts w:asciiTheme="majorBidi" w:hAnsiTheme="majorBidi" w:cstheme="majorBidi"/>
                <w:sz w:val="20"/>
                <w:szCs w:val="20"/>
              </w:rPr>
            </w:pPr>
            <w:r w:rsidRPr="006F1504">
              <w:rPr>
                <w:rFonts w:asciiTheme="majorBidi" w:hAnsiTheme="majorBidi" w:cstheme="majorBidi"/>
                <w:sz w:val="20"/>
                <w:szCs w:val="20"/>
              </w:rPr>
              <w:t>19 October 2026</w:t>
            </w:r>
          </w:p>
        </w:tc>
      </w:tr>
      <w:tr w:rsidR="00E945BA" w:rsidRPr="006F1504" w14:paraId="55284524" w14:textId="77777777" w:rsidTr="00410690">
        <w:tc>
          <w:tcPr>
            <w:tcW w:w="4536" w:type="dxa"/>
          </w:tcPr>
          <w:p w14:paraId="3846B4BB" w14:textId="5BF410EE" w:rsidR="00E945BA" w:rsidRPr="006F1504" w:rsidRDefault="00C648D8" w:rsidP="007440B9">
            <w:pPr>
              <w:jc w:val="left"/>
              <w:rPr>
                <w:rFonts w:asciiTheme="majorBidi" w:hAnsiTheme="majorBidi" w:cstheme="majorBidi"/>
                <w:b/>
                <w:bCs/>
                <w:sz w:val="20"/>
                <w:szCs w:val="20"/>
              </w:rPr>
            </w:pPr>
            <w:r w:rsidRPr="006F1504">
              <w:rPr>
                <w:rFonts w:asciiTheme="majorBidi" w:hAnsiTheme="majorBidi" w:cstheme="majorBidi"/>
                <w:b/>
                <w:bCs/>
                <w:sz w:val="20"/>
                <w:szCs w:val="20"/>
              </w:rPr>
              <w:t>Sixteenth meeting of the Conference of the Parties</w:t>
            </w:r>
            <w:r w:rsidR="00E945BA" w:rsidRPr="006F1504">
              <w:rPr>
                <w:rFonts w:asciiTheme="majorBidi" w:hAnsiTheme="majorBidi" w:cstheme="majorBidi"/>
                <w:b/>
                <w:bCs/>
                <w:sz w:val="20"/>
                <w:szCs w:val="20"/>
              </w:rPr>
              <w:t xml:space="preserve"> undertakes </w:t>
            </w:r>
            <w:r w:rsidR="004F244F" w:rsidRPr="006F1504">
              <w:rPr>
                <w:rFonts w:asciiTheme="majorBidi" w:hAnsiTheme="majorBidi" w:cstheme="majorBidi"/>
                <w:b/>
                <w:bCs/>
                <w:sz w:val="20"/>
                <w:szCs w:val="20"/>
              </w:rPr>
              <w:t xml:space="preserve">global </w:t>
            </w:r>
            <w:r w:rsidR="00E945BA" w:rsidRPr="006F1504">
              <w:rPr>
                <w:rFonts w:asciiTheme="majorBidi" w:hAnsiTheme="majorBidi" w:cstheme="majorBidi"/>
                <w:b/>
                <w:bCs/>
                <w:sz w:val="20"/>
                <w:szCs w:val="20"/>
              </w:rPr>
              <w:t>review</w:t>
            </w:r>
            <w:r w:rsidR="0049027F" w:rsidRPr="00F228EA">
              <w:rPr>
                <w:rFonts w:asciiTheme="majorBidi" w:hAnsiTheme="majorBidi" w:cstheme="majorBidi"/>
                <w:b/>
                <w:bCs/>
                <w:sz w:val="20"/>
                <w:szCs w:val="20"/>
                <w:vertAlign w:val="superscript"/>
              </w:rPr>
              <w:t>1</w:t>
            </w:r>
            <w:r w:rsidR="00E945BA" w:rsidRPr="006F1504">
              <w:rPr>
                <w:rFonts w:asciiTheme="majorBidi" w:hAnsiTheme="majorBidi" w:cstheme="majorBidi"/>
                <w:b/>
                <w:bCs/>
                <w:sz w:val="20"/>
                <w:szCs w:val="20"/>
              </w:rPr>
              <w:t xml:space="preserve"> </w:t>
            </w:r>
          </w:p>
        </w:tc>
        <w:tc>
          <w:tcPr>
            <w:tcW w:w="2127" w:type="dxa"/>
          </w:tcPr>
          <w:p w14:paraId="0B903BAF" w14:textId="7AF67763" w:rsidR="00E945BA" w:rsidRPr="006F1504" w:rsidRDefault="00E945BA" w:rsidP="007440B9">
            <w:pPr>
              <w:jc w:val="left"/>
              <w:rPr>
                <w:rFonts w:asciiTheme="majorBidi" w:hAnsiTheme="majorBidi" w:cstheme="majorBidi"/>
                <w:b/>
                <w:bCs/>
                <w:sz w:val="20"/>
                <w:szCs w:val="20"/>
              </w:rPr>
            </w:pPr>
            <w:r w:rsidRPr="006F1504">
              <w:rPr>
                <w:rFonts w:asciiTheme="majorBidi" w:hAnsiTheme="majorBidi" w:cstheme="majorBidi"/>
                <w:b/>
                <w:bCs/>
                <w:sz w:val="20"/>
                <w:szCs w:val="20"/>
              </w:rPr>
              <w:t>19</w:t>
            </w:r>
            <w:r w:rsidR="00BC57BD" w:rsidRPr="006F1504">
              <w:rPr>
                <w:rFonts w:asciiTheme="majorBidi" w:hAnsiTheme="majorBidi" w:cstheme="majorBidi"/>
                <w:sz w:val="20"/>
                <w:szCs w:val="20"/>
              </w:rPr>
              <w:t>–</w:t>
            </w:r>
            <w:r w:rsidRPr="006F1504">
              <w:rPr>
                <w:rFonts w:asciiTheme="majorBidi" w:hAnsiTheme="majorBidi" w:cstheme="majorBidi"/>
                <w:b/>
                <w:bCs/>
                <w:sz w:val="20"/>
                <w:szCs w:val="20"/>
              </w:rPr>
              <w:t>31 October 2026</w:t>
            </w:r>
          </w:p>
        </w:tc>
        <w:tc>
          <w:tcPr>
            <w:tcW w:w="2125" w:type="dxa"/>
          </w:tcPr>
          <w:p w14:paraId="374E6292" w14:textId="04C86553" w:rsidR="00E945BA" w:rsidRPr="006F1504" w:rsidRDefault="00E945BA" w:rsidP="007440B9">
            <w:pPr>
              <w:jc w:val="left"/>
              <w:rPr>
                <w:rFonts w:asciiTheme="majorBidi" w:hAnsiTheme="majorBidi" w:cstheme="majorBidi"/>
                <w:b/>
                <w:bCs/>
                <w:sz w:val="20"/>
                <w:szCs w:val="20"/>
              </w:rPr>
            </w:pPr>
            <w:r w:rsidRPr="006F1504">
              <w:rPr>
                <w:rFonts w:asciiTheme="majorBidi" w:hAnsiTheme="majorBidi" w:cstheme="majorBidi"/>
                <w:b/>
                <w:bCs/>
                <w:sz w:val="20"/>
                <w:szCs w:val="20"/>
              </w:rPr>
              <w:t>19</w:t>
            </w:r>
            <w:r w:rsidR="00BC57BD" w:rsidRPr="006F1504">
              <w:rPr>
                <w:rFonts w:asciiTheme="majorBidi" w:hAnsiTheme="majorBidi" w:cstheme="majorBidi"/>
                <w:sz w:val="20"/>
                <w:szCs w:val="20"/>
              </w:rPr>
              <w:t>–</w:t>
            </w:r>
            <w:r w:rsidRPr="006F1504">
              <w:rPr>
                <w:rFonts w:asciiTheme="majorBidi" w:hAnsiTheme="majorBidi" w:cstheme="majorBidi"/>
                <w:b/>
                <w:bCs/>
                <w:sz w:val="20"/>
                <w:szCs w:val="20"/>
              </w:rPr>
              <w:t>31 October 2026</w:t>
            </w:r>
          </w:p>
        </w:tc>
      </w:tr>
    </w:tbl>
    <w:p w14:paraId="79589E50" w14:textId="1F4CDC59" w:rsidR="00E945BA" w:rsidRPr="006F1504" w:rsidRDefault="00E945BA" w:rsidP="007440B9">
      <w:pPr>
        <w:pStyle w:val="BodyText"/>
        <w:spacing w:after="60" w:line="240" w:lineRule="auto"/>
        <w:rPr>
          <w:rFonts w:asciiTheme="majorBidi" w:hAnsiTheme="majorBidi" w:cstheme="majorBidi"/>
          <w:sz w:val="18"/>
          <w:szCs w:val="18"/>
        </w:rPr>
      </w:pPr>
    </w:p>
    <w:p w14:paraId="7FD144FA" w14:textId="3ACDD4B6" w:rsidR="00EA7FC9" w:rsidRPr="006F1504" w:rsidRDefault="000B0861" w:rsidP="00F228EA">
      <w:pPr>
        <w:pStyle w:val="BodyText"/>
        <w:spacing w:after="60" w:line="240" w:lineRule="auto"/>
        <w:ind w:left="567"/>
        <w:jc w:val="both"/>
        <w:rPr>
          <w:rFonts w:asciiTheme="majorBidi" w:hAnsiTheme="majorBidi" w:cstheme="majorBidi"/>
          <w:kern w:val="22"/>
          <w:sz w:val="18"/>
          <w:szCs w:val="18"/>
        </w:rPr>
      </w:pPr>
      <w:r w:rsidRPr="00F228EA">
        <w:rPr>
          <w:rFonts w:asciiTheme="majorBidi" w:hAnsiTheme="majorBidi" w:cstheme="majorBidi"/>
          <w:kern w:val="22"/>
          <w:sz w:val="18"/>
          <w:szCs w:val="18"/>
          <w:vertAlign w:val="superscript"/>
        </w:rPr>
        <w:t>1</w:t>
      </w:r>
      <w:r w:rsidR="00EA7FC9" w:rsidRPr="006F1504">
        <w:rPr>
          <w:rFonts w:asciiTheme="majorBidi" w:hAnsiTheme="majorBidi" w:cstheme="majorBidi"/>
          <w:kern w:val="22"/>
          <w:sz w:val="18"/>
          <w:szCs w:val="18"/>
        </w:rPr>
        <w:t xml:space="preserve"> Subject to </w:t>
      </w:r>
      <w:r w:rsidR="0054769F" w:rsidRPr="006F1504">
        <w:rPr>
          <w:rFonts w:asciiTheme="majorBidi" w:hAnsiTheme="majorBidi" w:cstheme="majorBidi"/>
          <w:kern w:val="22"/>
          <w:sz w:val="18"/>
          <w:szCs w:val="18"/>
        </w:rPr>
        <w:t xml:space="preserve">a </w:t>
      </w:r>
      <w:r w:rsidR="00EA7FC9" w:rsidRPr="006F1504">
        <w:rPr>
          <w:rFonts w:asciiTheme="majorBidi" w:hAnsiTheme="majorBidi" w:cstheme="majorBidi"/>
          <w:kern w:val="22"/>
          <w:sz w:val="18"/>
          <w:szCs w:val="18"/>
        </w:rPr>
        <w:t>decision by the Conference of the Parties at its sixteenth meeting on the budget for the integrated programme of work of the Secretariat for the biennium 202</w:t>
      </w:r>
      <w:r w:rsidR="00EA7FC9" w:rsidRPr="00F228EA">
        <w:rPr>
          <w:rFonts w:asciiTheme="majorBidi" w:hAnsiTheme="majorBidi" w:cstheme="majorBidi"/>
          <w:kern w:val="22"/>
          <w:sz w:val="18"/>
          <w:szCs w:val="18"/>
        </w:rPr>
        <w:t>5</w:t>
      </w:r>
      <w:r w:rsidR="009C2F86" w:rsidRPr="00F228EA">
        <w:rPr>
          <w:rFonts w:asciiTheme="majorBidi" w:hAnsiTheme="majorBidi" w:cstheme="majorBidi"/>
          <w:kern w:val="22"/>
          <w:sz w:val="18"/>
          <w:szCs w:val="18"/>
        </w:rPr>
        <w:t>–</w:t>
      </w:r>
      <w:r w:rsidR="00EA7FC9" w:rsidRPr="00F228EA">
        <w:rPr>
          <w:rFonts w:asciiTheme="majorBidi" w:hAnsiTheme="majorBidi" w:cstheme="majorBidi"/>
          <w:kern w:val="22"/>
          <w:sz w:val="18"/>
          <w:szCs w:val="18"/>
        </w:rPr>
        <w:t>2</w:t>
      </w:r>
      <w:r w:rsidR="00EA7FC9" w:rsidRPr="006F1504">
        <w:rPr>
          <w:rFonts w:asciiTheme="majorBidi" w:hAnsiTheme="majorBidi" w:cstheme="majorBidi"/>
          <w:kern w:val="22"/>
          <w:sz w:val="18"/>
          <w:szCs w:val="18"/>
        </w:rPr>
        <w:t>026</w:t>
      </w:r>
      <w:r w:rsidR="0054769F" w:rsidRPr="006F1504">
        <w:rPr>
          <w:rFonts w:asciiTheme="majorBidi" w:hAnsiTheme="majorBidi" w:cstheme="majorBidi"/>
          <w:kern w:val="22"/>
          <w:sz w:val="18"/>
          <w:szCs w:val="18"/>
        </w:rPr>
        <w:t xml:space="preserve"> and to arrangements for the scheduling of the intersessional meetings</w:t>
      </w:r>
      <w:r w:rsidR="000310F2" w:rsidRPr="006F1504">
        <w:rPr>
          <w:rFonts w:asciiTheme="majorBidi" w:hAnsiTheme="majorBidi" w:cstheme="majorBidi"/>
          <w:kern w:val="22"/>
          <w:sz w:val="18"/>
          <w:szCs w:val="18"/>
        </w:rPr>
        <w:t xml:space="preserve"> and the seventeenth meeting of the Conference of the Parties.</w:t>
      </w:r>
    </w:p>
    <w:p w14:paraId="1B75A405" w14:textId="0EEB8290" w:rsidR="004258DF" w:rsidRPr="006F1504" w:rsidRDefault="000B0861" w:rsidP="00F228EA">
      <w:pPr>
        <w:pStyle w:val="BodyText"/>
        <w:spacing w:after="60" w:line="240" w:lineRule="auto"/>
        <w:ind w:left="567"/>
        <w:jc w:val="both"/>
        <w:rPr>
          <w:rFonts w:asciiTheme="majorBidi" w:hAnsiTheme="majorBidi" w:cstheme="majorBidi"/>
          <w:kern w:val="22"/>
          <w:sz w:val="18"/>
          <w:szCs w:val="18"/>
        </w:rPr>
      </w:pPr>
      <w:r w:rsidRPr="00F228EA">
        <w:rPr>
          <w:rFonts w:asciiTheme="majorBidi" w:hAnsiTheme="majorBidi" w:cstheme="majorBidi"/>
          <w:kern w:val="22"/>
          <w:sz w:val="18"/>
          <w:szCs w:val="18"/>
          <w:vertAlign w:val="superscript"/>
        </w:rPr>
        <w:t>2</w:t>
      </w:r>
      <w:r w:rsidR="004258DF" w:rsidRPr="006F1504">
        <w:rPr>
          <w:rFonts w:asciiTheme="majorBidi" w:hAnsiTheme="majorBidi" w:cstheme="majorBidi"/>
          <w:kern w:val="22"/>
          <w:sz w:val="18"/>
          <w:szCs w:val="18"/>
        </w:rPr>
        <w:t xml:space="preserve"> Inputs received after the deadline will not be included in the global report.</w:t>
      </w:r>
    </w:p>
    <w:p w14:paraId="5C92C78B" w14:textId="77777777" w:rsidR="000D7E02" w:rsidRPr="003C35F8" w:rsidRDefault="000D7E02" w:rsidP="007440B9">
      <w:pPr>
        <w:pStyle w:val="BodyText"/>
        <w:spacing w:after="60" w:line="240" w:lineRule="auto"/>
        <w:rPr>
          <w:rFonts w:asciiTheme="majorBidi" w:hAnsiTheme="majorBidi" w:cstheme="majorBidi"/>
          <w:kern w:val="22"/>
        </w:rPr>
      </w:pPr>
    </w:p>
    <w:p w14:paraId="40D44B14" w14:textId="2B5111F6" w:rsidR="001D2B06" w:rsidRPr="00F228EA" w:rsidRDefault="000D5990" w:rsidP="00043E21">
      <w:pPr>
        <w:keepNext/>
        <w:spacing w:before="20" w:after="20"/>
        <w:jc w:val="left"/>
        <w:rPr>
          <w:bCs/>
          <w:kern w:val="22"/>
          <w:szCs w:val="22"/>
        </w:rPr>
      </w:pPr>
      <w:r w:rsidRPr="00F228EA">
        <w:rPr>
          <w:bCs/>
          <w:kern w:val="22"/>
          <w:szCs w:val="22"/>
        </w:rPr>
        <w:t>Table 2</w:t>
      </w:r>
    </w:p>
    <w:p w14:paraId="4CCA3048" w14:textId="77777777" w:rsidR="002A1FE4" w:rsidRPr="00F228EA" w:rsidRDefault="000D5990">
      <w:pPr>
        <w:spacing w:before="20" w:after="20"/>
        <w:jc w:val="left"/>
        <w:rPr>
          <w:b/>
          <w:i/>
          <w:iCs/>
          <w:kern w:val="22"/>
          <w:szCs w:val="22"/>
        </w:rPr>
      </w:pPr>
      <w:r w:rsidRPr="00F228EA">
        <w:rPr>
          <w:b/>
          <w:kern w:val="22"/>
          <w:szCs w:val="22"/>
        </w:rPr>
        <w:t xml:space="preserve">Cost estimate for the preparation of the global report on collective progress and other aspects of the global review of progress to be conducted by </w:t>
      </w:r>
      <w:r w:rsidR="001D2B06" w:rsidRPr="00F228EA">
        <w:rPr>
          <w:b/>
          <w:kern w:val="22"/>
          <w:szCs w:val="22"/>
        </w:rPr>
        <w:t>the Conference of the Parties at its seventeenth meeting</w:t>
      </w:r>
      <w:r w:rsidRPr="00F228EA">
        <w:rPr>
          <w:b/>
          <w:i/>
          <w:iCs/>
          <w:kern w:val="22"/>
          <w:szCs w:val="22"/>
        </w:rPr>
        <w:t xml:space="preserve"> </w:t>
      </w:r>
    </w:p>
    <w:p w14:paraId="4571403C" w14:textId="1FB8C351" w:rsidR="004258DF" w:rsidRPr="00F228EA" w:rsidRDefault="000D5990">
      <w:pPr>
        <w:spacing w:before="20" w:after="20"/>
        <w:jc w:val="left"/>
        <w:rPr>
          <w:bCs/>
          <w:kern w:val="22"/>
          <w:sz w:val="18"/>
          <w:szCs w:val="18"/>
        </w:rPr>
      </w:pPr>
      <w:r w:rsidRPr="00F228EA">
        <w:rPr>
          <w:bCs/>
          <w:kern w:val="22"/>
          <w:sz w:val="18"/>
          <w:szCs w:val="18"/>
        </w:rPr>
        <w:t>(</w:t>
      </w:r>
      <w:r w:rsidR="002A1FE4" w:rsidRPr="00F228EA">
        <w:rPr>
          <w:bCs/>
          <w:kern w:val="22"/>
          <w:sz w:val="18"/>
          <w:szCs w:val="18"/>
        </w:rPr>
        <w:t>Thousands of United States dollars)</w:t>
      </w:r>
    </w:p>
    <w:p w14:paraId="38BBED4C" w14:textId="77777777" w:rsidR="004F244F" w:rsidRPr="00F228EA" w:rsidRDefault="004F244F" w:rsidP="004F244F">
      <w:pPr>
        <w:spacing w:before="20" w:after="20"/>
        <w:jc w:val="left"/>
        <w:rPr>
          <w:szCs w:val="22"/>
          <w:lang w:val="en-CA"/>
        </w:rPr>
      </w:pPr>
    </w:p>
    <w:tbl>
      <w:tblPr>
        <w:tblW w:w="8242" w:type="dxa"/>
        <w:jc w:val="center"/>
        <w:tblLayout w:type="fixed"/>
        <w:tblLook w:val="04A0" w:firstRow="1" w:lastRow="0" w:firstColumn="1" w:lastColumn="0" w:noHBand="0" w:noVBand="1"/>
      </w:tblPr>
      <w:tblGrid>
        <w:gridCol w:w="2003"/>
        <w:gridCol w:w="4114"/>
        <w:gridCol w:w="708"/>
        <w:gridCol w:w="709"/>
        <w:gridCol w:w="708"/>
      </w:tblGrid>
      <w:tr w:rsidR="00A81A60" w:rsidRPr="006F1504" w14:paraId="2B7F533F" w14:textId="77777777" w:rsidTr="00A81A60">
        <w:trPr>
          <w:cantSplit/>
          <w:tblHeader/>
          <w:jc w:val="center"/>
        </w:trPr>
        <w:tc>
          <w:tcPr>
            <w:tcW w:w="2003" w:type="dxa"/>
            <w:tcBorders>
              <w:top w:val="single" w:sz="8" w:space="0" w:color="auto"/>
              <w:left w:val="single" w:sz="8" w:space="0" w:color="auto"/>
              <w:bottom w:val="single" w:sz="8" w:space="0" w:color="auto"/>
              <w:right w:val="single" w:sz="8" w:space="0" w:color="auto"/>
            </w:tcBorders>
            <w:noWrap/>
            <w:vAlign w:val="center"/>
          </w:tcPr>
          <w:p w14:paraId="27B607F8" w14:textId="77777777" w:rsidR="00A81A60" w:rsidRPr="006F1504" w:rsidRDefault="00A81A60" w:rsidP="00B83767">
            <w:pPr>
              <w:spacing w:before="60" w:after="60"/>
              <w:jc w:val="left"/>
              <w:rPr>
                <w:i/>
                <w:iCs/>
                <w:color w:val="000000"/>
                <w:kern w:val="22"/>
                <w:sz w:val="20"/>
                <w:szCs w:val="20"/>
                <w:lang w:eastAsia="en-CA"/>
              </w:rPr>
            </w:pPr>
            <w:r w:rsidRPr="006F1504">
              <w:rPr>
                <w:i/>
                <w:iCs/>
                <w:color w:val="000000"/>
                <w:kern w:val="22"/>
                <w:sz w:val="20"/>
                <w:szCs w:val="20"/>
                <w:lang w:eastAsia="en-CA"/>
              </w:rPr>
              <w:t>Expenditure type</w:t>
            </w:r>
          </w:p>
        </w:tc>
        <w:tc>
          <w:tcPr>
            <w:tcW w:w="4114" w:type="dxa"/>
            <w:tcBorders>
              <w:top w:val="single" w:sz="8" w:space="0" w:color="auto"/>
              <w:left w:val="nil"/>
              <w:bottom w:val="single" w:sz="8" w:space="0" w:color="auto"/>
              <w:right w:val="single" w:sz="8" w:space="0" w:color="auto"/>
            </w:tcBorders>
            <w:vAlign w:val="center"/>
          </w:tcPr>
          <w:p w14:paraId="0D5C6E1E" w14:textId="77777777" w:rsidR="00A81A60" w:rsidRPr="006F1504" w:rsidRDefault="00A81A60" w:rsidP="00B83767">
            <w:pPr>
              <w:spacing w:before="60" w:after="60"/>
              <w:ind w:right="-392"/>
              <w:jc w:val="left"/>
              <w:rPr>
                <w:i/>
                <w:iCs/>
                <w:color w:val="000000"/>
                <w:kern w:val="22"/>
                <w:sz w:val="20"/>
                <w:szCs w:val="20"/>
                <w:lang w:eastAsia="en-CA"/>
              </w:rPr>
            </w:pPr>
            <w:r w:rsidRPr="006F1504">
              <w:rPr>
                <w:i/>
                <w:iCs/>
                <w:color w:val="000000"/>
                <w:kern w:val="22"/>
                <w:sz w:val="20"/>
                <w:szCs w:val="20"/>
                <w:lang w:eastAsia="en-CA"/>
              </w:rPr>
              <w:t>Item</w:t>
            </w:r>
          </w:p>
        </w:tc>
        <w:tc>
          <w:tcPr>
            <w:tcW w:w="708" w:type="dxa"/>
            <w:tcBorders>
              <w:top w:val="single" w:sz="8" w:space="0" w:color="auto"/>
              <w:left w:val="nil"/>
              <w:bottom w:val="single" w:sz="8" w:space="0" w:color="auto"/>
              <w:right w:val="single" w:sz="8" w:space="0" w:color="auto"/>
            </w:tcBorders>
            <w:vAlign w:val="center"/>
          </w:tcPr>
          <w:p w14:paraId="2DF93124" w14:textId="77777777" w:rsidR="00A81A60" w:rsidRPr="006F1504" w:rsidRDefault="00A81A60" w:rsidP="00B83767">
            <w:pPr>
              <w:spacing w:before="60" w:after="60"/>
              <w:jc w:val="left"/>
              <w:rPr>
                <w:i/>
                <w:iCs/>
                <w:color w:val="000000"/>
                <w:spacing w:val="-6"/>
                <w:kern w:val="22"/>
                <w:sz w:val="20"/>
                <w:szCs w:val="20"/>
                <w:lang w:eastAsia="en-CA"/>
              </w:rPr>
            </w:pPr>
            <w:r w:rsidRPr="006F1504">
              <w:rPr>
                <w:i/>
                <w:iCs/>
                <w:color w:val="000000"/>
                <w:spacing w:val="-6"/>
                <w:kern w:val="22"/>
                <w:sz w:val="20"/>
                <w:szCs w:val="20"/>
                <w:lang w:eastAsia="en-CA"/>
              </w:rPr>
              <w:t>2025</w:t>
            </w:r>
          </w:p>
        </w:tc>
        <w:tc>
          <w:tcPr>
            <w:tcW w:w="709" w:type="dxa"/>
            <w:tcBorders>
              <w:top w:val="single" w:sz="8" w:space="0" w:color="auto"/>
              <w:left w:val="nil"/>
              <w:bottom w:val="single" w:sz="8" w:space="0" w:color="auto"/>
              <w:right w:val="single" w:sz="8" w:space="0" w:color="auto"/>
            </w:tcBorders>
            <w:vAlign w:val="center"/>
          </w:tcPr>
          <w:p w14:paraId="4BDF0D6A" w14:textId="77777777" w:rsidR="00A81A60" w:rsidRPr="006F1504" w:rsidRDefault="00A81A60" w:rsidP="00B83767">
            <w:pPr>
              <w:spacing w:before="60" w:after="60"/>
              <w:jc w:val="left"/>
              <w:rPr>
                <w:i/>
                <w:iCs/>
                <w:color w:val="000000"/>
                <w:spacing w:val="-6"/>
                <w:kern w:val="22"/>
                <w:sz w:val="20"/>
                <w:szCs w:val="20"/>
                <w:lang w:eastAsia="en-CA"/>
              </w:rPr>
            </w:pPr>
            <w:r w:rsidRPr="006F1504">
              <w:rPr>
                <w:i/>
                <w:iCs/>
                <w:color w:val="000000"/>
                <w:spacing w:val="-6"/>
                <w:kern w:val="22"/>
                <w:sz w:val="20"/>
                <w:szCs w:val="20"/>
                <w:lang w:eastAsia="en-CA"/>
              </w:rPr>
              <w:t>2026</w:t>
            </w:r>
          </w:p>
        </w:tc>
        <w:tc>
          <w:tcPr>
            <w:tcW w:w="708" w:type="dxa"/>
            <w:tcBorders>
              <w:top w:val="single" w:sz="8" w:space="0" w:color="auto"/>
              <w:left w:val="single" w:sz="8" w:space="0" w:color="auto"/>
              <w:bottom w:val="single" w:sz="8" w:space="0" w:color="auto"/>
              <w:right w:val="single" w:sz="8" w:space="0" w:color="auto"/>
            </w:tcBorders>
            <w:vAlign w:val="center"/>
          </w:tcPr>
          <w:p w14:paraId="47128575" w14:textId="37224636" w:rsidR="00A81A60" w:rsidRPr="006F1504" w:rsidRDefault="00A81A60" w:rsidP="00B83767">
            <w:pPr>
              <w:spacing w:before="60" w:after="60"/>
              <w:jc w:val="left"/>
              <w:rPr>
                <w:i/>
                <w:iCs/>
                <w:color w:val="000000"/>
                <w:spacing w:val="-6"/>
                <w:kern w:val="22"/>
                <w:sz w:val="20"/>
                <w:szCs w:val="20"/>
                <w:lang w:eastAsia="en-CA"/>
              </w:rPr>
            </w:pPr>
            <w:r w:rsidRPr="006F1504">
              <w:rPr>
                <w:i/>
                <w:iCs/>
                <w:color w:val="000000"/>
                <w:spacing w:val="-6"/>
                <w:kern w:val="22"/>
                <w:sz w:val="20"/>
                <w:szCs w:val="20"/>
                <w:lang w:eastAsia="en-CA"/>
              </w:rPr>
              <w:t>Total</w:t>
            </w:r>
          </w:p>
        </w:tc>
      </w:tr>
      <w:tr w:rsidR="00A81A60" w:rsidRPr="006F1504" w14:paraId="53FA3358" w14:textId="77777777" w:rsidTr="00A81A60">
        <w:trPr>
          <w:cantSplit/>
          <w:jc w:val="center"/>
        </w:trPr>
        <w:tc>
          <w:tcPr>
            <w:tcW w:w="2003" w:type="dxa"/>
            <w:vMerge w:val="restart"/>
            <w:tcBorders>
              <w:top w:val="nil"/>
              <w:left w:val="single" w:sz="8" w:space="0" w:color="auto"/>
              <w:bottom w:val="single" w:sz="8" w:space="0" w:color="000000"/>
              <w:right w:val="single" w:sz="8" w:space="0" w:color="auto"/>
            </w:tcBorders>
            <w:shd w:val="clear" w:color="auto" w:fill="auto"/>
            <w:vAlign w:val="center"/>
          </w:tcPr>
          <w:p w14:paraId="4EA969EF" w14:textId="77777777" w:rsidR="00A81A60" w:rsidRPr="006F1504" w:rsidRDefault="00A81A60" w:rsidP="004F02A2">
            <w:pPr>
              <w:spacing w:before="20" w:after="20"/>
              <w:jc w:val="left"/>
              <w:rPr>
                <w:color w:val="000000"/>
                <w:kern w:val="22"/>
                <w:sz w:val="20"/>
                <w:szCs w:val="20"/>
                <w:lang w:eastAsia="en-CA"/>
              </w:rPr>
            </w:pPr>
            <w:r w:rsidRPr="006F1504">
              <w:rPr>
                <w:color w:val="000000"/>
                <w:kern w:val="22"/>
                <w:sz w:val="20"/>
                <w:szCs w:val="20"/>
                <w:lang w:eastAsia="en-CA"/>
              </w:rPr>
              <w:t>Support for drafting of the report</w:t>
            </w:r>
          </w:p>
        </w:tc>
        <w:tc>
          <w:tcPr>
            <w:tcW w:w="4114" w:type="dxa"/>
            <w:tcBorders>
              <w:top w:val="nil"/>
              <w:left w:val="nil"/>
              <w:bottom w:val="single" w:sz="8" w:space="0" w:color="auto"/>
              <w:right w:val="single" w:sz="8" w:space="0" w:color="auto"/>
            </w:tcBorders>
            <w:shd w:val="clear" w:color="auto" w:fill="auto"/>
            <w:vAlign w:val="center"/>
          </w:tcPr>
          <w:p w14:paraId="5451CBB1" w14:textId="77777777" w:rsidR="00A81A60" w:rsidRPr="006F1504" w:rsidRDefault="00A81A60" w:rsidP="004F02A2">
            <w:pPr>
              <w:spacing w:before="20" w:after="20"/>
              <w:jc w:val="left"/>
              <w:rPr>
                <w:color w:val="000000"/>
                <w:kern w:val="22"/>
                <w:sz w:val="20"/>
                <w:szCs w:val="20"/>
                <w:lang w:eastAsia="en-CA"/>
              </w:rPr>
            </w:pPr>
            <w:r w:rsidRPr="006F1504">
              <w:rPr>
                <w:color w:val="000000"/>
                <w:kern w:val="22"/>
                <w:sz w:val="20"/>
                <w:szCs w:val="20"/>
                <w:lang w:eastAsia="en-CA"/>
              </w:rPr>
              <w:t>Compilation of information and elaboration of biodiversity trends</w:t>
            </w:r>
          </w:p>
        </w:tc>
        <w:tc>
          <w:tcPr>
            <w:tcW w:w="708" w:type="dxa"/>
            <w:tcBorders>
              <w:top w:val="single" w:sz="4" w:space="0" w:color="auto"/>
              <w:left w:val="nil"/>
              <w:bottom w:val="single" w:sz="8" w:space="0" w:color="auto"/>
              <w:right w:val="single" w:sz="8" w:space="0" w:color="auto"/>
            </w:tcBorders>
            <w:shd w:val="clear" w:color="auto" w:fill="auto"/>
            <w:vAlign w:val="center"/>
          </w:tcPr>
          <w:p w14:paraId="61002548" w14:textId="5E7E8407" w:rsidR="00A81A60" w:rsidRPr="006F1504" w:rsidRDefault="00A81A60" w:rsidP="004F02A2">
            <w:pPr>
              <w:spacing w:before="20" w:after="20"/>
              <w:jc w:val="center"/>
              <w:rPr>
                <w:color w:val="000000"/>
                <w:kern w:val="22"/>
                <w:sz w:val="20"/>
                <w:szCs w:val="20"/>
                <w:lang w:eastAsia="en-CA"/>
              </w:rPr>
            </w:pPr>
            <w:r w:rsidRPr="006F1504">
              <w:rPr>
                <w:color w:val="000000"/>
                <w:kern w:val="22"/>
                <w:sz w:val="20"/>
                <w:szCs w:val="20"/>
                <w:lang w:eastAsia="en-CA"/>
              </w:rPr>
              <w:t>100</w:t>
            </w:r>
          </w:p>
        </w:tc>
        <w:tc>
          <w:tcPr>
            <w:tcW w:w="709" w:type="dxa"/>
            <w:tcBorders>
              <w:top w:val="single" w:sz="4" w:space="0" w:color="auto"/>
              <w:left w:val="nil"/>
              <w:bottom w:val="single" w:sz="8" w:space="0" w:color="auto"/>
              <w:right w:val="single" w:sz="8" w:space="0" w:color="auto"/>
            </w:tcBorders>
            <w:shd w:val="clear" w:color="auto" w:fill="auto"/>
            <w:vAlign w:val="center"/>
          </w:tcPr>
          <w:p w14:paraId="5DA32F25" w14:textId="369BF488" w:rsidR="00A81A60" w:rsidRPr="006F1504" w:rsidRDefault="00A81A60" w:rsidP="004F02A2">
            <w:pPr>
              <w:spacing w:before="20" w:after="20"/>
              <w:jc w:val="center"/>
              <w:rPr>
                <w:color w:val="000000"/>
                <w:kern w:val="22"/>
                <w:sz w:val="20"/>
                <w:szCs w:val="20"/>
                <w:lang w:eastAsia="en-CA"/>
              </w:rPr>
            </w:pPr>
            <w:r w:rsidRPr="006F1504">
              <w:rPr>
                <w:color w:val="000000"/>
                <w:kern w:val="22"/>
                <w:sz w:val="20"/>
                <w:szCs w:val="20"/>
                <w:lang w:eastAsia="en-CA"/>
              </w:rPr>
              <w:t>100</w:t>
            </w:r>
          </w:p>
        </w:tc>
        <w:tc>
          <w:tcPr>
            <w:tcW w:w="708" w:type="dxa"/>
            <w:tcBorders>
              <w:top w:val="nil"/>
              <w:left w:val="single" w:sz="8" w:space="0" w:color="auto"/>
              <w:bottom w:val="single" w:sz="8" w:space="0" w:color="auto"/>
              <w:right w:val="single" w:sz="8" w:space="0" w:color="auto"/>
            </w:tcBorders>
            <w:shd w:val="clear" w:color="auto" w:fill="auto"/>
            <w:vAlign w:val="center"/>
          </w:tcPr>
          <w:p w14:paraId="58547F2C" w14:textId="1800E624" w:rsidR="00A81A60" w:rsidRPr="006F1504" w:rsidRDefault="00A81A60" w:rsidP="004F02A2">
            <w:pPr>
              <w:spacing w:before="20" w:after="20"/>
              <w:jc w:val="center"/>
              <w:rPr>
                <w:color w:val="000000"/>
                <w:kern w:val="22"/>
                <w:sz w:val="20"/>
                <w:szCs w:val="20"/>
                <w:lang w:eastAsia="en-CA"/>
              </w:rPr>
            </w:pPr>
            <w:r w:rsidRPr="006F1504">
              <w:rPr>
                <w:color w:val="000000"/>
                <w:kern w:val="22"/>
                <w:sz w:val="20"/>
                <w:szCs w:val="20"/>
                <w:lang w:eastAsia="en-CA"/>
              </w:rPr>
              <w:t>200</w:t>
            </w:r>
          </w:p>
        </w:tc>
      </w:tr>
      <w:tr w:rsidR="00A81A60" w:rsidRPr="006F1504" w14:paraId="42DD4B92" w14:textId="77777777" w:rsidTr="00A81A60">
        <w:trPr>
          <w:cantSplit/>
          <w:jc w:val="center"/>
        </w:trPr>
        <w:tc>
          <w:tcPr>
            <w:tcW w:w="2003" w:type="dxa"/>
            <w:vMerge/>
            <w:tcBorders>
              <w:top w:val="nil"/>
              <w:left w:val="single" w:sz="8" w:space="0" w:color="auto"/>
              <w:bottom w:val="single" w:sz="8" w:space="0" w:color="auto"/>
              <w:right w:val="single" w:sz="8" w:space="0" w:color="auto"/>
            </w:tcBorders>
            <w:shd w:val="clear" w:color="auto" w:fill="auto"/>
            <w:vAlign w:val="center"/>
          </w:tcPr>
          <w:p w14:paraId="4090A7A9" w14:textId="77777777" w:rsidR="00A81A60" w:rsidRPr="006F1504" w:rsidRDefault="00A81A60" w:rsidP="004F02A2">
            <w:pPr>
              <w:spacing w:before="20" w:after="20"/>
              <w:jc w:val="left"/>
              <w:rPr>
                <w:color w:val="000000"/>
                <w:kern w:val="22"/>
                <w:sz w:val="20"/>
                <w:szCs w:val="20"/>
                <w:lang w:eastAsia="en-CA"/>
              </w:rPr>
            </w:pPr>
          </w:p>
        </w:tc>
        <w:tc>
          <w:tcPr>
            <w:tcW w:w="4114" w:type="dxa"/>
            <w:tcBorders>
              <w:top w:val="nil"/>
              <w:left w:val="nil"/>
              <w:bottom w:val="single" w:sz="8" w:space="0" w:color="auto"/>
              <w:right w:val="single" w:sz="8" w:space="0" w:color="auto"/>
            </w:tcBorders>
            <w:shd w:val="clear" w:color="auto" w:fill="auto"/>
            <w:vAlign w:val="center"/>
          </w:tcPr>
          <w:p w14:paraId="087CDF6E" w14:textId="77777777" w:rsidR="00A81A60" w:rsidRPr="006F1504" w:rsidRDefault="00A81A60" w:rsidP="004F02A2">
            <w:pPr>
              <w:spacing w:before="20" w:after="20"/>
              <w:jc w:val="left"/>
              <w:rPr>
                <w:color w:val="000000"/>
                <w:kern w:val="22"/>
                <w:sz w:val="20"/>
                <w:szCs w:val="20"/>
                <w:lang w:eastAsia="en-CA"/>
              </w:rPr>
            </w:pPr>
            <w:r w:rsidRPr="006F1504">
              <w:rPr>
                <w:color w:val="000000"/>
                <w:kern w:val="22"/>
                <w:sz w:val="20"/>
                <w:szCs w:val="20"/>
                <w:lang w:eastAsia="en-CA"/>
              </w:rPr>
              <w:t>Drafting and editing, science editor</w:t>
            </w:r>
          </w:p>
        </w:tc>
        <w:tc>
          <w:tcPr>
            <w:tcW w:w="708" w:type="dxa"/>
            <w:tcBorders>
              <w:top w:val="nil"/>
              <w:left w:val="nil"/>
              <w:bottom w:val="single" w:sz="8" w:space="0" w:color="auto"/>
              <w:right w:val="single" w:sz="8" w:space="0" w:color="auto"/>
            </w:tcBorders>
            <w:shd w:val="clear" w:color="auto" w:fill="auto"/>
            <w:vAlign w:val="center"/>
          </w:tcPr>
          <w:p w14:paraId="39943B0E" w14:textId="679FA862" w:rsidR="00A81A60" w:rsidRPr="006F1504" w:rsidRDefault="00E6411B" w:rsidP="004F02A2">
            <w:pPr>
              <w:spacing w:before="20" w:after="20"/>
              <w:jc w:val="center"/>
              <w:rPr>
                <w:color w:val="000000"/>
                <w:kern w:val="22"/>
                <w:sz w:val="20"/>
                <w:szCs w:val="20"/>
                <w:lang w:eastAsia="en-CA"/>
              </w:rPr>
            </w:pPr>
            <w:r w:rsidRPr="006F1504">
              <w:rPr>
                <w:color w:val="000000"/>
                <w:kern w:val="22"/>
                <w:sz w:val="20"/>
                <w:szCs w:val="20"/>
                <w:lang w:eastAsia="en-CA"/>
              </w:rPr>
              <w:t>–</w:t>
            </w:r>
          </w:p>
        </w:tc>
        <w:tc>
          <w:tcPr>
            <w:tcW w:w="709" w:type="dxa"/>
            <w:tcBorders>
              <w:top w:val="nil"/>
              <w:left w:val="nil"/>
              <w:bottom w:val="single" w:sz="8" w:space="0" w:color="auto"/>
              <w:right w:val="single" w:sz="8" w:space="0" w:color="auto"/>
            </w:tcBorders>
            <w:shd w:val="clear" w:color="auto" w:fill="auto"/>
            <w:vAlign w:val="center"/>
          </w:tcPr>
          <w:p w14:paraId="06AA557E" w14:textId="20F4A290" w:rsidR="00A81A60" w:rsidRPr="006F1504" w:rsidRDefault="00A81A60" w:rsidP="004F02A2">
            <w:pPr>
              <w:spacing w:before="20" w:after="20"/>
              <w:jc w:val="center"/>
              <w:rPr>
                <w:color w:val="000000"/>
                <w:kern w:val="22"/>
                <w:sz w:val="20"/>
                <w:szCs w:val="20"/>
                <w:lang w:eastAsia="en-CA"/>
              </w:rPr>
            </w:pPr>
            <w:r w:rsidRPr="006F1504">
              <w:rPr>
                <w:color w:val="000000"/>
                <w:kern w:val="22"/>
                <w:sz w:val="20"/>
                <w:szCs w:val="20"/>
                <w:lang w:eastAsia="en-CA"/>
              </w:rPr>
              <w:t>200</w:t>
            </w:r>
          </w:p>
        </w:tc>
        <w:tc>
          <w:tcPr>
            <w:tcW w:w="708" w:type="dxa"/>
            <w:tcBorders>
              <w:top w:val="nil"/>
              <w:left w:val="single" w:sz="8" w:space="0" w:color="auto"/>
              <w:bottom w:val="single" w:sz="8" w:space="0" w:color="auto"/>
              <w:right w:val="single" w:sz="8" w:space="0" w:color="auto"/>
            </w:tcBorders>
            <w:shd w:val="clear" w:color="auto" w:fill="auto"/>
            <w:vAlign w:val="center"/>
          </w:tcPr>
          <w:p w14:paraId="4F9E683D" w14:textId="640D2FF3" w:rsidR="00A81A60" w:rsidRPr="006F1504" w:rsidRDefault="00A81A60" w:rsidP="004F02A2">
            <w:pPr>
              <w:spacing w:before="20" w:after="20"/>
              <w:jc w:val="center"/>
              <w:rPr>
                <w:color w:val="000000"/>
                <w:kern w:val="22"/>
                <w:sz w:val="20"/>
                <w:szCs w:val="20"/>
                <w:lang w:eastAsia="en-CA"/>
              </w:rPr>
            </w:pPr>
            <w:r w:rsidRPr="006F1504">
              <w:rPr>
                <w:color w:val="000000"/>
                <w:kern w:val="22"/>
                <w:sz w:val="20"/>
                <w:szCs w:val="20"/>
                <w:lang w:eastAsia="en-CA"/>
              </w:rPr>
              <w:t>200</w:t>
            </w:r>
          </w:p>
        </w:tc>
      </w:tr>
      <w:tr w:rsidR="00A81A60" w:rsidRPr="006F1504" w14:paraId="7B320539" w14:textId="77777777" w:rsidTr="00A81A60">
        <w:trPr>
          <w:cantSplit/>
          <w:jc w:val="center"/>
        </w:trPr>
        <w:tc>
          <w:tcPr>
            <w:tcW w:w="2003" w:type="dxa"/>
            <w:vMerge w:val="restart"/>
            <w:tcBorders>
              <w:top w:val="nil"/>
              <w:left w:val="single" w:sz="8" w:space="0" w:color="auto"/>
              <w:right w:val="single" w:sz="8" w:space="0" w:color="auto"/>
            </w:tcBorders>
            <w:shd w:val="clear" w:color="auto" w:fill="auto"/>
            <w:vAlign w:val="center"/>
          </w:tcPr>
          <w:p w14:paraId="3EA8F4EF" w14:textId="77777777" w:rsidR="00A81A60" w:rsidRPr="006F1504" w:rsidRDefault="00A81A60" w:rsidP="004F02A2">
            <w:pPr>
              <w:spacing w:before="20" w:after="20"/>
              <w:jc w:val="left"/>
              <w:rPr>
                <w:color w:val="000000"/>
                <w:kern w:val="22"/>
                <w:sz w:val="20"/>
                <w:szCs w:val="20"/>
                <w:lang w:eastAsia="en-CA"/>
              </w:rPr>
            </w:pPr>
            <w:r w:rsidRPr="006F1504">
              <w:rPr>
                <w:color w:val="000000"/>
                <w:kern w:val="22"/>
                <w:sz w:val="20"/>
                <w:szCs w:val="20"/>
                <w:lang w:eastAsia="en-CA"/>
              </w:rPr>
              <w:t xml:space="preserve">Report production and communication </w:t>
            </w:r>
          </w:p>
        </w:tc>
        <w:tc>
          <w:tcPr>
            <w:tcW w:w="4114" w:type="dxa"/>
            <w:tcBorders>
              <w:top w:val="nil"/>
              <w:left w:val="nil"/>
              <w:bottom w:val="single" w:sz="8" w:space="0" w:color="auto"/>
              <w:right w:val="single" w:sz="8" w:space="0" w:color="auto"/>
            </w:tcBorders>
            <w:shd w:val="clear" w:color="auto" w:fill="auto"/>
            <w:vAlign w:val="center"/>
          </w:tcPr>
          <w:p w14:paraId="72C946F1" w14:textId="77777777" w:rsidR="00A81A60" w:rsidRPr="006F1504" w:rsidRDefault="00A81A60" w:rsidP="004F02A2">
            <w:pPr>
              <w:spacing w:before="20" w:after="20"/>
              <w:jc w:val="left"/>
              <w:rPr>
                <w:color w:val="000000"/>
                <w:kern w:val="22"/>
                <w:sz w:val="20"/>
                <w:szCs w:val="20"/>
                <w:lang w:eastAsia="en-CA"/>
              </w:rPr>
            </w:pPr>
            <w:r w:rsidRPr="006F1504">
              <w:rPr>
                <w:color w:val="000000"/>
                <w:kern w:val="22"/>
                <w:sz w:val="20"/>
                <w:szCs w:val="20"/>
                <w:lang w:eastAsia="en-CA"/>
              </w:rPr>
              <w:t xml:space="preserve">Maps, </w:t>
            </w:r>
            <w:proofErr w:type="gramStart"/>
            <w:r w:rsidRPr="006F1504">
              <w:rPr>
                <w:color w:val="000000"/>
                <w:kern w:val="22"/>
                <w:sz w:val="20"/>
                <w:szCs w:val="20"/>
                <w:lang w:eastAsia="en-CA"/>
              </w:rPr>
              <w:t>graphs</w:t>
            </w:r>
            <w:proofErr w:type="gramEnd"/>
            <w:r w:rsidRPr="006F1504">
              <w:rPr>
                <w:color w:val="000000"/>
                <w:kern w:val="22"/>
                <w:sz w:val="20"/>
                <w:szCs w:val="20"/>
                <w:lang w:eastAsia="en-CA"/>
              </w:rPr>
              <w:t xml:space="preserve"> and figures</w:t>
            </w:r>
          </w:p>
        </w:tc>
        <w:tc>
          <w:tcPr>
            <w:tcW w:w="708" w:type="dxa"/>
            <w:tcBorders>
              <w:top w:val="nil"/>
              <w:left w:val="nil"/>
              <w:bottom w:val="single" w:sz="8" w:space="0" w:color="auto"/>
              <w:right w:val="single" w:sz="8" w:space="0" w:color="auto"/>
            </w:tcBorders>
            <w:shd w:val="clear" w:color="auto" w:fill="auto"/>
            <w:vAlign w:val="center"/>
          </w:tcPr>
          <w:p w14:paraId="2EB38EC0" w14:textId="63DFAC80" w:rsidR="00A81A60" w:rsidRPr="006F1504" w:rsidRDefault="00E6411B" w:rsidP="004F02A2">
            <w:pPr>
              <w:spacing w:before="20" w:after="20"/>
              <w:jc w:val="center"/>
              <w:rPr>
                <w:color w:val="000000"/>
                <w:kern w:val="22"/>
                <w:sz w:val="20"/>
                <w:szCs w:val="20"/>
                <w:lang w:eastAsia="en-CA"/>
              </w:rPr>
            </w:pPr>
            <w:r w:rsidRPr="006F1504">
              <w:rPr>
                <w:color w:val="000000"/>
                <w:kern w:val="22"/>
                <w:sz w:val="20"/>
                <w:szCs w:val="20"/>
                <w:lang w:eastAsia="en-CA"/>
              </w:rPr>
              <w:t>–</w:t>
            </w:r>
          </w:p>
        </w:tc>
        <w:tc>
          <w:tcPr>
            <w:tcW w:w="709" w:type="dxa"/>
            <w:tcBorders>
              <w:top w:val="nil"/>
              <w:left w:val="nil"/>
              <w:bottom w:val="single" w:sz="8" w:space="0" w:color="auto"/>
              <w:right w:val="single" w:sz="8" w:space="0" w:color="auto"/>
            </w:tcBorders>
            <w:shd w:val="clear" w:color="auto" w:fill="auto"/>
            <w:vAlign w:val="center"/>
          </w:tcPr>
          <w:p w14:paraId="397837B0" w14:textId="77777777" w:rsidR="00A81A60" w:rsidRPr="006F1504" w:rsidRDefault="00A81A60" w:rsidP="004F02A2">
            <w:pPr>
              <w:spacing w:before="20" w:after="20"/>
              <w:jc w:val="center"/>
              <w:rPr>
                <w:color w:val="000000"/>
                <w:kern w:val="22"/>
                <w:sz w:val="20"/>
                <w:szCs w:val="20"/>
                <w:lang w:eastAsia="en-CA"/>
              </w:rPr>
            </w:pPr>
            <w:r w:rsidRPr="006F1504">
              <w:rPr>
                <w:color w:val="000000"/>
                <w:kern w:val="22"/>
                <w:sz w:val="20"/>
                <w:szCs w:val="20"/>
                <w:lang w:eastAsia="en-CA"/>
              </w:rPr>
              <w:t>50</w:t>
            </w:r>
          </w:p>
        </w:tc>
        <w:tc>
          <w:tcPr>
            <w:tcW w:w="708" w:type="dxa"/>
            <w:tcBorders>
              <w:top w:val="nil"/>
              <w:left w:val="single" w:sz="8" w:space="0" w:color="auto"/>
              <w:bottom w:val="single" w:sz="8" w:space="0" w:color="auto"/>
              <w:right w:val="single" w:sz="8" w:space="0" w:color="auto"/>
            </w:tcBorders>
            <w:shd w:val="clear" w:color="auto" w:fill="auto"/>
            <w:vAlign w:val="center"/>
          </w:tcPr>
          <w:p w14:paraId="53FD2FE8" w14:textId="77777777" w:rsidR="00A81A60" w:rsidRPr="006F1504" w:rsidRDefault="00A81A60" w:rsidP="004F02A2">
            <w:pPr>
              <w:spacing w:before="20" w:after="20"/>
              <w:jc w:val="center"/>
              <w:rPr>
                <w:color w:val="000000"/>
                <w:kern w:val="22"/>
                <w:sz w:val="20"/>
                <w:szCs w:val="20"/>
                <w:lang w:eastAsia="en-CA"/>
              </w:rPr>
            </w:pPr>
            <w:r w:rsidRPr="006F1504">
              <w:rPr>
                <w:color w:val="000000"/>
                <w:kern w:val="22"/>
                <w:sz w:val="20"/>
                <w:szCs w:val="20"/>
                <w:lang w:eastAsia="en-CA"/>
              </w:rPr>
              <w:t>50</w:t>
            </w:r>
          </w:p>
        </w:tc>
      </w:tr>
      <w:tr w:rsidR="00A81A60" w:rsidRPr="006F1504" w14:paraId="5E7B99D9" w14:textId="77777777" w:rsidTr="00A81A60">
        <w:trPr>
          <w:cantSplit/>
          <w:jc w:val="center"/>
        </w:trPr>
        <w:tc>
          <w:tcPr>
            <w:tcW w:w="2003" w:type="dxa"/>
            <w:vMerge/>
            <w:tcBorders>
              <w:left w:val="single" w:sz="8" w:space="0" w:color="auto"/>
              <w:right w:val="single" w:sz="8" w:space="0" w:color="auto"/>
            </w:tcBorders>
            <w:shd w:val="clear" w:color="auto" w:fill="auto"/>
            <w:vAlign w:val="center"/>
          </w:tcPr>
          <w:p w14:paraId="48FF5E4F" w14:textId="77777777" w:rsidR="00A81A60" w:rsidRPr="006F1504" w:rsidRDefault="00A81A60" w:rsidP="004F02A2">
            <w:pPr>
              <w:spacing w:before="20" w:after="20"/>
              <w:jc w:val="left"/>
              <w:rPr>
                <w:color w:val="000000"/>
                <w:kern w:val="22"/>
                <w:sz w:val="20"/>
                <w:szCs w:val="20"/>
                <w:lang w:eastAsia="en-CA"/>
              </w:rPr>
            </w:pPr>
          </w:p>
        </w:tc>
        <w:tc>
          <w:tcPr>
            <w:tcW w:w="4114" w:type="dxa"/>
            <w:tcBorders>
              <w:top w:val="nil"/>
              <w:left w:val="nil"/>
              <w:bottom w:val="single" w:sz="8" w:space="0" w:color="auto"/>
              <w:right w:val="single" w:sz="8" w:space="0" w:color="auto"/>
            </w:tcBorders>
            <w:shd w:val="clear" w:color="auto" w:fill="auto"/>
            <w:vAlign w:val="center"/>
          </w:tcPr>
          <w:p w14:paraId="07D1C742" w14:textId="568790CF" w:rsidR="00A81A60" w:rsidRPr="006F1504" w:rsidRDefault="00A81A60" w:rsidP="004F02A2">
            <w:pPr>
              <w:spacing w:before="20" w:after="20"/>
              <w:jc w:val="left"/>
              <w:rPr>
                <w:color w:val="000000"/>
                <w:kern w:val="22"/>
                <w:sz w:val="20"/>
                <w:szCs w:val="20"/>
                <w:lang w:eastAsia="en-CA"/>
              </w:rPr>
            </w:pPr>
            <w:r w:rsidRPr="006F1504">
              <w:rPr>
                <w:color w:val="000000"/>
                <w:kern w:val="22"/>
                <w:sz w:val="20"/>
                <w:szCs w:val="20"/>
                <w:lang w:eastAsia="en-CA"/>
              </w:rPr>
              <w:t>Development of online version compatible with different devices (for example,</w:t>
            </w:r>
            <w:r w:rsidRPr="00F228EA">
              <w:rPr>
                <w:color w:val="000000"/>
                <w:kern w:val="22"/>
                <w:sz w:val="20"/>
                <w:szCs w:val="20"/>
                <w:lang w:eastAsia="en-CA"/>
              </w:rPr>
              <w:t xml:space="preserve"> </w:t>
            </w:r>
            <w:r w:rsidR="00230EB5" w:rsidRPr="00F228EA">
              <w:rPr>
                <w:color w:val="000000"/>
                <w:kern w:val="22"/>
                <w:sz w:val="20"/>
                <w:szCs w:val="20"/>
                <w:lang w:eastAsia="en-CA"/>
              </w:rPr>
              <w:t>tele</w:t>
            </w:r>
            <w:r w:rsidRPr="00F228EA">
              <w:rPr>
                <w:color w:val="000000"/>
                <w:kern w:val="22"/>
                <w:sz w:val="20"/>
                <w:szCs w:val="20"/>
                <w:lang w:eastAsia="en-CA"/>
              </w:rPr>
              <w:t>phone</w:t>
            </w:r>
            <w:r w:rsidRPr="006F1504">
              <w:rPr>
                <w:color w:val="000000"/>
                <w:kern w:val="22"/>
                <w:sz w:val="20"/>
                <w:szCs w:val="20"/>
                <w:lang w:eastAsia="en-CA"/>
              </w:rPr>
              <w:t>)</w:t>
            </w:r>
          </w:p>
        </w:tc>
        <w:tc>
          <w:tcPr>
            <w:tcW w:w="708" w:type="dxa"/>
            <w:tcBorders>
              <w:top w:val="nil"/>
              <w:left w:val="nil"/>
              <w:bottom w:val="single" w:sz="8" w:space="0" w:color="auto"/>
              <w:right w:val="single" w:sz="8" w:space="0" w:color="auto"/>
            </w:tcBorders>
            <w:shd w:val="clear" w:color="auto" w:fill="auto"/>
            <w:vAlign w:val="center"/>
          </w:tcPr>
          <w:p w14:paraId="15D5D831" w14:textId="1BF35C53" w:rsidR="00A81A60" w:rsidRPr="006F1504" w:rsidRDefault="00E6411B" w:rsidP="004F02A2">
            <w:pPr>
              <w:spacing w:before="20" w:after="20"/>
              <w:jc w:val="center"/>
              <w:rPr>
                <w:color w:val="000000"/>
                <w:kern w:val="22"/>
                <w:sz w:val="20"/>
                <w:szCs w:val="20"/>
                <w:lang w:eastAsia="en-CA"/>
              </w:rPr>
            </w:pPr>
            <w:r w:rsidRPr="006F1504">
              <w:rPr>
                <w:color w:val="000000"/>
                <w:kern w:val="22"/>
                <w:sz w:val="20"/>
                <w:szCs w:val="20"/>
                <w:lang w:eastAsia="en-CA"/>
              </w:rPr>
              <w:t>–</w:t>
            </w:r>
          </w:p>
        </w:tc>
        <w:tc>
          <w:tcPr>
            <w:tcW w:w="709" w:type="dxa"/>
            <w:tcBorders>
              <w:top w:val="nil"/>
              <w:left w:val="nil"/>
              <w:bottom w:val="single" w:sz="8" w:space="0" w:color="auto"/>
              <w:right w:val="single" w:sz="8" w:space="0" w:color="auto"/>
            </w:tcBorders>
            <w:shd w:val="clear" w:color="auto" w:fill="auto"/>
            <w:vAlign w:val="center"/>
          </w:tcPr>
          <w:p w14:paraId="47D37F88" w14:textId="68F55B9C" w:rsidR="00A81A60" w:rsidRPr="006F1504" w:rsidRDefault="00A81A60" w:rsidP="004F02A2">
            <w:pPr>
              <w:spacing w:before="20" w:after="20"/>
              <w:jc w:val="center"/>
              <w:rPr>
                <w:color w:val="000000"/>
                <w:kern w:val="22"/>
                <w:sz w:val="20"/>
                <w:szCs w:val="20"/>
                <w:lang w:eastAsia="en-CA"/>
              </w:rPr>
            </w:pPr>
            <w:r w:rsidRPr="006F1504">
              <w:rPr>
                <w:color w:val="000000"/>
                <w:kern w:val="22"/>
                <w:sz w:val="20"/>
                <w:szCs w:val="20"/>
                <w:lang w:eastAsia="en-CA"/>
              </w:rPr>
              <w:t>50</w:t>
            </w:r>
          </w:p>
        </w:tc>
        <w:tc>
          <w:tcPr>
            <w:tcW w:w="708" w:type="dxa"/>
            <w:tcBorders>
              <w:top w:val="nil"/>
              <w:left w:val="single" w:sz="8" w:space="0" w:color="auto"/>
              <w:bottom w:val="single" w:sz="8" w:space="0" w:color="auto"/>
              <w:right w:val="single" w:sz="8" w:space="0" w:color="auto"/>
            </w:tcBorders>
            <w:shd w:val="clear" w:color="auto" w:fill="auto"/>
            <w:noWrap/>
            <w:vAlign w:val="center"/>
          </w:tcPr>
          <w:p w14:paraId="17D052EF" w14:textId="27C863D0" w:rsidR="00A81A60" w:rsidRPr="006F1504" w:rsidRDefault="00A81A60" w:rsidP="004F02A2">
            <w:pPr>
              <w:spacing w:before="20" w:after="20"/>
              <w:jc w:val="center"/>
              <w:rPr>
                <w:color w:val="000000"/>
                <w:kern w:val="22"/>
                <w:sz w:val="20"/>
                <w:szCs w:val="20"/>
                <w:lang w:eastAsia="en-CA"/>
              </w:rPr>
            </w:pPr>
            <w:r w:rsidRPr="006F1504">
              <w:rPr>
                <w:color w:val="000000"/>
                <w:kern w:val="22"/>
                <w:sz w:val="20"/>
                <w:szCs w:val="20"/>
                <w:lang w:eastAsia="en-CA"/>
              </w:rPr>
              <w:t>50</w:t>
            </w:r>
          </w:p>
        </w:tc>
      </w:tr>
      <w:tr w:rsidR="00A81A60" w:rsidRPr="006F1504" w14:paraId="232125A7" w14:textId="77777777" w:rsidTr="00A81A60">
        <w:trPr>
          <w:cantSplit/>
          <w:jc w:val="center"/>
        </w:trPr>
        <w:tc>
          <w:tcPr>
            <w:tcW w:w="2003" w:type="dxa"/>
            <w:vMerge/>
            <w:tcBorders>
              <w:left w:val="single" w:sz="8" w:space="0" w:color="auto"/>
              <w:right w:val="single" w:sz="8" w:space="0" w:color="auto"/>
            </w:tcBorders>
            <w:shd w:val="clear" w:color="auto" w:fill="auto"/>
            <w:vAlign w:val="center"/>
          </w:tcPr>
          <w:p w14:paraId="46C9FC36" w14:textId="77777777" w:rsidR="00A81A60" w:rsidRPr="006F1504" w:rsidRDefault="00A81A60" w:rsidP="004F02A2">
            <w:pPr>
              <w:spacing w:before="20" w:after="20"/>
              <w:jc w:val="left"/>
              <w:rPr>
                <w:color w:val="000000"/>
                <w:kern w:val="22"/>
                <w:sz w:val="20"/>
                <w:szCs w:val="20"/>
                <w:lang w:eastAsia="en-CA"/>
              </w:rPr>
            </w:pPr>
          </w:p>
        </w:tc>
        <w:tc>
          <w:tcPr>
            <w:tcW w:w="4114" w:type="dxa"/>
            <w:tcBorders>
              <w:top w:val="nil"/>
              <w:left w:val="nil"/>
              <w:bottom w:val="single" w:sz="8" w:space="0" w:color="auto"/>
              <w:right w:val="single" w:sz="8" w:space="0" w:color="auto"/>
            </w:tcBorders>
            <w:shd w:val="clear" w:color="auto" w:fill="auto"/>
            <w:vAlign w:val="center"/>
          </w:tcPr>
          <w:p w14:paraId="4DDD906A" w14:textId="77777777" w:rsidR="00A81A60" w:rsidRPr="006F1504" w:rsidRDefault="00A81A60" w:rsidP="004F02A2">
            <w:pPr>
              <w:spacing w:before="20" w:after="20"/>
              <w:jc w:val="left"/>
              <w:rPr>
                <w:color w:val="000000"/>
                <w:kern w:val="22"/>
                <w:sz w:val="20"/>
                <w:szCs w:val="20"/>
                <w:lang w:eastAsia="en-CA"/>
              </w:rPr>
            </w:pPr>
            <w:r w:rsidRPr="006F1504">
              <w:rPr>
                <w:color w:val="000000"/>
                <w:kern w:val="22"/>
                <w:sz w:val="20"/>
                <w:szCs w:val="20"/>
                <w:lang w:eastAsia="en-CA"/>
              </w:rPr>
              <w:t>Translation/adaptation and proofreading for the five remaining language versions</w:t>
            </w:r>
          </w:p>
        </w:tc>
        <w:tc>
          <w:tcPr>
            <w:tcW w:w="708" w:type="dxa"/>
            <w:tcBorders>
              <w:top w:val="nil"/>
              <w:left w:val="nil"/>
              <w:bottom w:val="single" w:sz="8" w:space="0" w:color="auto"/>
              <w:right w:val="single" w:sz="8" w:space="0" w:color="auto"/>
            </w:tcBorders>
            <w:shd w:val="clear" w:color="auto" w:fill="auto"/>
            <w:vAlign w:val="center"/>
          </w:tcPr>
          <w:p w14:paraId="47FA0275" w14:textId="73493930" w:rsidR="00A81A60" w:rsidRPr="006F1504" w:rsidRDefault="00E6411B" w:rsidP="004F02A2">
            <w:pPr>
              <w:spacing w:before="20" w:after="20"/>
              <w:jc w:val="center"/>
              <w:rPr>
                <w:color w:val="000000"/>
                <w:kern w:val="22"/>
                <w:sz w:val="20"/>
                <w:szCs w:val="20"/>
                <w:lang w:eastAsia="en-CA"/>
              </w:rPr>
            </w:pPr>
            <w:r w:rsidRPr="006F1504">
              <w:rPr>
                <w:color w:val="000000"/>
                <w:kern w:val="22"/>
                <w:sz w:val="20"/>
                <w:szCs w:val="20"/>
                <w:lang w:eastAsia="en-CA"/>
              </w:rPr>
              <w:t>–</w:t>
            </w:r>
          </w:p>
        </w:tc>
        <w:tc>
          <w:tcPr>
            <w:tcW w:w="709" w:type="dxa"/>
            <w:tcBorders>
              <w:top w:val="nil"/>
              <w:left w:val="nil"/>
              <w:bottom w:val="single" w:sz="8" w:space="0" w:color="auto"/>
              <w:right w:val="single" w:sz="8" w:space="0" w:color="auto"/>
            </w:tcBorders>
            <w:shd w:val="clear" w:color="auto" w:fill="auto"/>
            <w:vAlign w:val="center"/>
          </w:tcPr>
          <w:p w14:paraId="5D3D1513" w14:textId="0AA42B5B" w:rsidR="00A81A60" w:rsidRPr="006F1504" w:rsidRDefault="00A81A60" w:rsidP="004F02A2">
            <w:pPr>
              <w:spacing w:before="20" w:after="20"/>
              <w:jc w:val="center"/>
              <w:rPr>
                <w:color w:val="000000"/>
                <w:kern w:val="22"/>
                <w:sz w:val="20"/>
                <w:szCs w:val="20"/>
                <w:lang w:eastAsia="en-CA"/>
              </w:rPr>
            </w:pPr>
            <w:r w:rsidRPr="006F1504">
              <w:rPr>
                <w:color w:val="000000"/>
                <w:kern w:val="22"/>
                <w:sz w:val="20"/>
                <w:szCs w:val="20"/>
                <w:lang w:eastAsia="en-CA"/>
              </w:rPr>
              <w:t>150</w:t>
            </w:r>
          </w:p>
        </w:tc>
        <w:tc>
          <w:tcPr>
            <w:tcW w:w="708" w:type="dxa"/>
            <w:tcBorders>
              <w:top w:val="nil"/>
              <w:left w:val="single" w:sz="8" w:space="0" w:color="auto"/>
              <w:bottom w:val="single" w:sz="8" w:space="0" w:color="auto"/>
              <w:right w:val="single" w:sz="8" w:space="0" w:color="auto"/>
            </w:tcBorders>
            <w:shd w:val="clear" w:color="auto" w:fill="auto"/>
            <w:vAlign w:val="center"/>
          </w:tcPr>
          <w:p w14:paraId="0B5E5A30" w14:textId="571FFA54" w:rsidR="00A81A60" w:rsidRPr="006F1504" w:rsidRDefault="00A81A60" w:rsidP="004F02A2">
            <w:pPr>
              <w:spacing w:before="20" w:after="20"/>
              <w:jc w:val="center"/>
              <w:rPr>
                <w:color w:val="000000"/>
                <w:kern w:val="22"/>
                <w:sz w:val="20"/>
                <w:szCs w:val="20"/>
                <w:lang w:eastAsia="en-CA"/>
              </w:rPr>
            </w:pPr>
            <w:r w:rsidRPr="006F1504">
              <w:rPr>
                <w:color w:val="000000"/>
                <w:kern w:val="22"/>
                <w:sz w:val="20"/>
                <w:szCs w:val="20"/>
                <w:lang w:eastAsia="en-CA"/>
              </w:rPr>
              <w:t>150</w:t>
            </w:r>
          </w:p>
        </w:tc>
      </w:tr>
      <w:tr w:rsidR="00A81A60" w:rsidRPr="006F1504" w14:paraId="7E66B955" w14:textId="77777777" w:rsidTr="00A81A60">
        <w:trPr>
          <w:cantSplit/>
          <w:jc w:val="center"/>
        </w:trPr>
        <w:tc>
          <w:tcPr>
            <w:tcW w:w="2003" w:type="dxa"/>
            <w:vMerge/>
            <w:tcBorders>
              <w:left w:val="single" w:sz="8" w:space="0" w:color="auto"/>
              <w:right w:val="single" w:sz="8" w:space="0" w:color="auto"/>
            </w:tcBorders>
            <w:shd w:val="clear" w:color="auto" w:fill="auto"/>
            <w:vAlign w:val="center"/>
          </w:tcPr>
          <w:p w14:paraId="49AE3FC0" w14:textId="77777777" w:rsidR="00A81A60" w:rsidRPr="006F1504" w:rsidRDefault="00A81A60" w:rsidP="004F02A2">
            <w:pPr>
              <w:spacing w:before="20" w:after="20"/>
              <w:jc w:val="left"/>
              <w:rPr>
                <w:color w:val="000000"/>
                <w:kern w:val="22"/>
                <w:sz w:val="20"/>
                <w:szCs w:val="20"/>
                <w:lang w:eastAsia="en-CA"/>
              </w:rPr>
            </w:pPr>
          </w:p>
        </w:tc>
        <w:tc>
          <w:tcPr>
            <w:tcW w:w="4114" w:type="dxa"/>
            <w:tcBorders>
              <w:top w:val="nil"/>
              <w:left w:val="nil"/>
              <w:bottom w:val="single" w:sz="8" w:space="0" w:color="auto"/>
              <w:right w:val="single" w:sz="8" w:space="0" w:color="auto"/>
            </w:tcBorders>
            <w:shd w:val="clear" w:color="auto" w:fill="auto"/>
            <w:vAlign w:val="center"/>
          </w:tcPr>
          <w:p w14:paraId="3CD0788D" w14:textId="77777777" w:rsidR="00A81A60" w:rsidRPr="006F1504" w:rsidRDefault="00A81A60" w:rsidP="004F02A2">
            <w:pPr>
              <w:spacing w:before="20" w:after="20"/>
              <w:jc w:val="left"/>
              <w:rPr>
                <w:color w:val="000000"/>
                <w:kern w:val="22"/>
                <w:sz w:val="20"/>
                <w:szCs w:val="20"/>
                <w:lang w:eastAsia="en-CA"/>
              </w:rPr>
            </w:pPr>
            <w:r w:rsidRPr="006F1504">
              <w:rPr>
                <w:color w:val="000000"/>
                <w:kern w:val="22"/>
                <w:sz w:val="20"/>
                <w:szCs w:val="20"/>
                <w:lang w:eastAsia="en-CA"/>
              </w:rPr>
              <w:t>Typesetting and graphic design (all products, all languages)</w:t>
            </w:r>
          </w:p>
        </w:tc>
        <w:tc>
          <w:tcPr>
            <w:tcW w:w="708" w:type="dxa"/>
            <w:tcBorders>
              <w:top w:val="nil"/>
              <w:left w:val="nil"/>
              <w:bottom w:val="single" w:sz="8" w:space="0" w:color="auto"/>
              <w:right w:val="single" w:sz="8" w:space="0" w:color="auto"/>
            </w:tcBorders>
            <w:shd w:val="clear" w:color="auto" w:fill="auto"/>
            <w:vAlign w:val="center"/>
          </w:tcPr>
          <w:p w14:paraId="24AD7DDC" w14:textId="084056C4" w:rsidR="00A81A60" w:rsidRPr="006F1504" w:rsidRDefault="00E6411B" w:rsidP="004F02A2">
            <w:pPr>
              <w:spacing w:before="20" w:after="20"/>
              <w:jc w:val="center"/>
              <w:rPr>
                <w:color w:val="000000"/>
                <w:kern w:val="22"/>
                <w:sz w:val="20"/>
                <w:szCs w:val="20"/>
                <w:lang w:eastAsia="en-CA"/>
              </w:rPr>
            </w:pPr>
            <w:r w:rsidRPr="006F1504">
              <w:rPr>
                <w:color w:val="000000"/>
                <w:kern w:val="22"/>
                <w:sz w:val="20"/>
                <w:szCs w:val="20"/>
                <w:lang w:eastAsia="en-CA"/>
              </w:rPr>
              <w:t>–</w:t>
            </w:r>
          </w:p>
        </w:tc>
        <w:tc>
          <w:tcPr>
            <w:tcW w:w="709" w:type="dxa"/>
            <w:tcBorders>
              <w:top w:val="nil"/>
              <w:left w:val="nil"/>
              <w:bottom w:val="single" w:sz="8" w:space="0" w:color="auto"/>
              <w:right w:val="single" w:sz="8" w:space="0" w:color="auto"/>
            </w:tcBorders>
            <w:shd w:val="clear" w:color="auto" w:fill="auto"/>
            <w:vAlign w:val="center"/>
          </w:tcPr>
          <w:p w14:paraId="2EC22316" w14:textId="00D3522B" w:rsidR="00A81A60" w:rsidRPr="006F1504" w:rsidRDefault="00A81A60" w:rsidP="004F02A2">
            <w:pPr>
              <w:spacing w:before="20" w:after="20"/>
              <w:jc w:val="center"/>
              <w:rPr>
                <w:color w:val="000000"/>
                <w:kern w:val="22"/>
                <w:sz w:val="20"/>
                <w:szCs w:val="20"/>
                <w:lang w:eastAsia="en-CA"/>
              </w:rPr>
            </w:pPr>
            <w:r w:rsidRPr="006F1504">
              <w:rPr>
                <w:color w:val="000000"/>
                <w:kern w:val="22"/>
                <w:sz w:val="20"/>
                <w:szCs w:val="20"/>
                <w:lang w:eastAsia="en-CA"/>
              </w:rPr>
              <w:t>50</w:t>
            </w:r>
          </w:p>
        </w:tc>
        <w:tc>
          <w:tcPr>
            <w:tcW w:w="708" w:type="dxa"/>
            <w:tcBorders>
              <w:top w:val="nil"/>
              <w:left w:val="single" w:sz="8" w:space="0" w:color="auto"/>
              <w:bottom w:val="single" w:sz="8" w:space="0" w:color="auto"/>
              <w:right w:val="single" w:sz="8" w:space="0" w:color="auto"/>
            </w:tcBorders>
            <w:shd w:val="clear" w:color="auto" w:fill="auto"/>
            <w:vAlign w:val="center"/>
          </w:tcPr>
          <w:p w14:paraId="68C8C560" w14:textId="4603F371" w:rsidR="00A81A60" w:rsidRPr="006F1504" w:rsidRDefault="00A81A60" w:rsidP="004F02A2">
            <w:pPr>
              <w:spacing w:before="20" w:after="20"/>
              <w:jc w:val="center"/>
              <w:rPr>
                <w:color w:val="000000"/>
                <w:kern w:val="22"/>
                <w:sz w:val="20"/>
                <w:szCs w:val="20"/>
                <w:lang w:eastAsia="en-CA"/>
              </w:rPr>
            </w:pPr>
            <w:r w:rsidRPr="006F1504">
              <w:rPr>
                <w:color w:val="000000"/>
                <w:kern w:val="22"/>
                <w:sz w:val="20"/>
                <w:szCs w:val="20"/>
                <w:lang w:eastAsia="en-CA"/>
              </w:rPr>
              <w:t>50</w:t>
            </w:r>
          </w:p>
        </w:tc>
      </w:tr>
      <w:tr w:rsidR="00A81A60" w:rsidRPr="006F1504" w14:paraId="15E0E2C9" w14:textId="77777777" w:rsidTr="00A81A60">
        <w:trPr>
          <w:cantSplit/>
          <w:jc w:val="center"/>
        </w:trPr>
        <w:tc>
          <w:tcPr>
            <w:tcW w:w="2003" w:type="dxa"/>
            <w:vMerge/>
            <w:tcBorders>
              <w:left w:val="single" w:sz="8" w:space="0" w:color="auto"/>
              <w:bottom w:val="single" w:sz="8" w:space="0" w:color="auto"/>
              <w:right w:val="single" w:sz="8" w:space="0" w:color="auto"/>
            </w:tcBorders>
            <w:shd w:val="clear" w:color="auto" w:fill="auto"/>
            <w:vAlign w:val="center"/>
          </w:tcPr>
          <w:p w14:paraId="45E0E44B" w14:textId="77777777" w:rsidR="00A81A60" w:rsidRPr="006F1504" w:rsidRDefault="00A81A60" w:rsidP="004F02A2">
            <w:pPr>
              <w:spacing w:before="20" w:after="20"/>
              <w:jc w:val="left"/>
              <w:rPr>
                <w:color w:val="000000"/>
                <w:kern w:val="22"/>
                <w:sz w:val="20"/>
                <w:szCs w:val="20"/>
                <w:lang w:eastAsia="en-CA"/>
              </w:rPr>
            </w:pPr>
          </w:p>
        </w:tc>
        <w:tc>
          <w:tcPr>
            <w:tcW w:w="4114" w:type="dxa"/>
            <w:tcBorders>
              <w:top w:val="nil"/>
              <w:left w:val="nil"/>
              <w:bottom w:val="single" w:sz="8" w:space="0" w:color="auto"/>
              <w:right w:val="single" w:sz="8" w:space="0" w:color="auto"/>
            </w:tcBorders>
            <w:shd w:val="clear" w:color="auto" w:fill="auto"/>
            <w:vAlign w:val="center"/>
          </w:tcPr>
          <w:p w14:paraId="5FA2F92C" w14:textId="77777777" w:rsidR="00A81A60" w:rsidRPr="006F1504" w:rsidRDefault="00A81A60" w:rsidP="004F02A2">
            <w:pPr>
              <w:spacing w:before="20" w:after="20"/>
              <w:jc w:val="left"/>
              <w:rPr>
                <w:color w:val="000000"/>
                <w:kern w:val="22"/>
                <w:sz w:val="20"/>
                <w:szCs w:val="20"/>
                <w:lang w:eastAsia="en-CA"/>
              </w:rPr>
            </w:pPr>
            <w:r w:rsidRPr="006F1504">
              <w:rPr>
                <w:color w:val="000000"/>
                <w:kern w:val="22"/>
                <w:sz w:val="20"/>
                <w:szCs w:val="20"/>
                <w:lang w:eastAsia="en-CA"/>
              </w:rPr>
              <w:t>Communications strategy development and implementation</w:t>
            </w:r>
          </w:p>
        </w:tc>
        <w:tc>
          <w:tcPr>
            <w:tcW w:w="708" w:type="dxa"/>
            <w:tcBorders>
              <w:top w:val="nil"/>
              <w:left w:val="nil"/>
              <w:bottom w:val="single" w:sz="8" w:space="0" w:color="auto"/>
              <w:right w:val="single" w:sz="8" w:space="0" w:color="auto"/>
            </w:tcBorders>
            <w:shd w:val="clear" w:color="auto" w:fill="auto"/>
            <w:vAlign w:val="center"/>
          </w:tcPr>
          <w:p w14:paraId="0A3DE45B" w14:textId="77777777" w:rsidR="00A81A60" w:rsidRPr="006F1504" w:rsidRDefault="00A81A60" w:rsidP="004F02A2">
            <w:pPr>
              <w:spacing w:before="20" w:after="20"/>
              <w:jc w:val="center"/>
              <w:rPr>
                <w:color w:val="000000"/>
                <w:kern w:val="22"/>
                <w:sz w:val="20"/>
                <w:szCs w:val="20"/>
                <w:lang w:eastAsia="en-CA"/>
              </w:rPr>
            </w:pPr>
            <w:r w:rsidRPr="006F1504">
              <w:rPr>
                <w:color w:val="000000"/>
                <w:kern w:val="22"/>
                <w:sz w:val="20"/>
                <w:szCs w:val="20"/>
                <w:lang w:eastAsia="en-CA"/>
              </w:rPr>
              <w:t>10</w:t>
            </w:r>
          </w:p>
        </w:tc>
        <w:tc>
          <w:tcPr>
            <w:tcW w:w="709" w:type="dxa"/>
            <w:tcBorders>
              <w:top w:val="nil"/>
              <w:left w:val="nil"/>
              <w:bottom w:val="single" w:sz="8" w:space="0" w:color="auto"/>
              <w:right w:val="single" w:sz="8" w:space="0" w:color="auto"/>
            </w:tcBorders>
            <w:shd w:val="clear" w:color="auto" w:fill="auto"/>
            <w:vAlign w:val="center"/>
          </w:tcPr>
          <w:p w14:paraId="036E2299" w14:textId="77777777" w:rsidR="00A81A60" w:rsidRPr="006F1504" w:rsidRDefault="00A81A60" w:rsidP="004F02A2">
            <w:pPr>
              <w:spacing w:before="20" w:after="20"/>
              <w:jc w:val="center"/>
              <w:rPr>
                <w:color w:val="000000"/>
                <w:kern w:val="22"/>
                <w:sz w:val="20"/>
                <w:szCs w:val="20"/>
                <w:lang w:eastAsia="en-CA"/>
              </w:rPr>
            </w:pPr>
            <w:r w:rsidRPr="006F1504">
              <w:rPr>
                <w:color w:val="000000"/>
                <w:kern w:val="22"/>
                <w:sz w:val="20"/>
                <w:szCs w:val="20"/>
                <w:lang w:eastAsia="en-CA"/>
              </w:rPr>
              <w:t>90</w:t>
            </w:r>
          </w:p>
        </w:tc>
        <w:tc>
          <w:tcPr>
            <w:tcW w:w="708" w:type="dxa"/>
            <w:tcBorders>
              <w:top w:val="nil"/>
              <w:left w:val="single" w:sz="8" w:space="0" w:color="auto"/>
              <w:bottom w:val="single" w:sz="8" w:space="0" w:color="auto"/>
              <w:right w:val="single" w:sz="8" w:space="0" w:color="auto"/>
            </w:tcBorders>
            <w:shd w:val="clear" w:color="auto" w:fill="auto"/>
            <w:vAlign w:val="center"/>
          </w:tcPr>
          <w:p w14:paraId="3331E927" w14:textId="35167D58" w:rsidR="00A81A60" w:rsidRPr="006F1504" w:rsidRDefault="00A81A60" w:rsidP="004F02A2">
            <w:pPr>
              <w:spacing w:before="20" w:after="20"/>
              <w:jc w:val="center"/>
              <w:rPr>
                <w:color w:val="000000"/>
                <w:kern w:val="22"/>
                <w:sz w:val="20"/>
                <w:szCs w:val="20"/>
                <w:lang w:eastAsia="en-CA"/>
              </w:rPr>
            </w:pPr>
            <w:r w:rsidRPr="006F1504">
              <w:rPr>
                <w:color w:val="000000"/>
                <w:kern w:val="22"/>
                <w:sz w:val="20"/>
                <w:szCs w:val="20"/>
                <w:lang w:eastAsia="en-CA"/>
              </w:rPr>
              <w:t>100</w:t>
            </w:r>
          </w:p>
        </w:tc>
      </w:tr>
      <w:tr w:rsidR="00A81A60" w:rsidRPr="006F1504" w14:paraId="4C47ED60" w14:textId="77777777" w:rsidTr="00A81A60">
        <w:trPr>
          <w:cantSplit/>
          <w:jc w:val="center"/>
        </w:trPr>
        <w:tc>
          <w:tcPr>
            <w:tcW w:w="2003" w:type="dxa"/>
            <w:tcBorders>
              <w:left w:val="single" w:sz="8" w:space="0" w:color="auto"/>
              <w:bottom w:val="single" w:sz="8" w:space="0" w:color="auto"/>
              <w:right w:val="single" w:sz="8" w:space="0" w:color="auto"/>
            </w:tcBorders>
            <w:shd w:val="clear" w:color="auto" w:fill="auto"/>
            <w:vAlign w:val="center"/>
          </w:tcPr>
          <w:p w14:paraId="6F68FA6E" w14:textId="1B5422B2" w:rsidR="00A81A60" w:rsidRPr="006F1504" w:rsidRDefault="00A81A60" w:rsidP="004F02A2">
            <w:pPr>
              <w:spacing w:before="20" w:after="20"/>
              <w:jc w:val="left"/>
              <w:rPr>
                <w:color w:val="000000"/>
                <w:kern w:val="22"/>
                <w:sz w:val="20"/>
                <w:szCs w:val="20"/>
                <w:lang w:eastAsia="en-CA"/>
              </w:rPr>
            </w:pPr>
            <w:r w:rsidRPr="006F1504">
              <w:rPr>
                <w:color w:val="000000"/>
                <w:kern w:val="22"/>
                <w:sz w:val="20"/>
                <w:szCs w:val="20"/>
                <w:lang w:eastAsia="en-CA"/>
              </w:rPr>
              <w:t xml:space="preserve">Meetings of ad hoc scientific and technical advisory group </w:t>
            </w:r>
          </w:p>
        </w:tc>
        <w:tc>
          <w:tcPr>
            <w:tcW w:w="4114" w:type="dxa"/>
            <w:tcBorders>
              <w:top w:val="nil"/>
              <w:left w:val="nil"/>
              <w:bottom w:val="single" w:sz="8" w:space="0" w:color="auto"/>
              <w:right w:val="single" w:sz="8" w:space="0" w:color="auto"/>
            </w:tcBorders>
            <w:shd w:val="clear" w:color="auto" w:fill="auto"/>
            <w:vAlign w:val="center"/>
          </w:tcPr>
          <w:p w14:paraId="295C3DC1" w14:textId="52B52C3A" w:rsidR="00A81A60" w:rsidRPr="006F1504" w:rsidRDefault="00A81A60" w:rsidP="004F02A2">
            <w:pPr>
              <w:spacing w:before="20" w:after="20"/>
              <w:jc w:val="left"/>
              <w:rPr>
                <w:color w:val="000000"/>
                <w:kern w:val="22"/>
                <w:sz w:val="20"/>
                <w:szCs w:val="20"/>
                <w:lang w:eastAsia="en-CA"/>
              </w:rPr>
            </w:pPr>
            <w:r w:rsidRPr="006F1504">
              <w:rPr>
                <w:color w:val="000000"/>
                <w:kern w:val="22"/>
                <w:sz w:val="20"/>
                <w:szCs w:val="20"/>
                <w:lang w:eastAsia="en-CA"/>
              </w:rPr>
              <w:t>Two in-person meetings</w:t>
            </w:r>
          </w:p>
        </w:tc>
        <w:tc>
          <w:tcPr>
            <w:tcW w:w="708" w:type="dxa"/>
            <w:tcBorders>
              <w:top w:val="nil"/>
              <w:left w:val="nil"/>
              <w:bottom w:val="single" w:sz="8" w:space="0" w:color="auto"/>
              <w:right w:val="single" w:sz="8" w:space="0" w:color="auto"/>
            </w:tcBorders>
            <w:shd w:val="clear" w:color="auto" w:fill="auto"/>
            <w:vAlign w:val="center"/>
          </w:tcPr>
          <w:p w14:paraId="52B9EF40" w14:textId="77777777" w:rsidR="00A81A60" w:rsidRPr="006F1504" w:rsidRDefault="00A81A60" w:rsidP="004F02A2">
            <w:pPr>
              <w:spacing w:before="20" w:after="20"/>
              <w:jc w:val="center"/>
              <w:rPr>
                <w:color w:val="000000"/>
                <w:kern w:val="22"/>
                <w:sz w:val="20"/>
                <w:szCs w:val="20"/>
                <w:lang w:eastAsia="en-CA"/>
              </w:rPr>
            </w:pPr>
            <w:r w:rsidRPr="006F1504">
              <w:rPr>
                <w:color w:val="000000"/>
                <w:kern w:val="22"/>
                <w:sz w:val="20"/>
                <w:szCs w:val="20"/>
                <w:lang w:eastAsia="en-CA"/>
              </w:rPr>
              <w:t>35</w:t>
            </w:r>
          </w:p>
        </w:tc>
        <w:tc>
          <w:tcPr>
            <w:tcW w:w="709" w:type="dxa"/>
            <w:tcBorders>
              <w:top w:val="nil"/>
              <w:left w:val="nil"/>
              <w:bottom w:val="single" w:sz="8" w:space="0" w:color="auto"/>
              <w:right w:val="single" w:sz="8" w:space="0" w:color="auto"/>
            </w:tcBorders>
            <w:shd w:val="clear" w:color="auto" w:fill="auto"/>
            <w:vAlign w:val="center"/>
          </w:tcPr>
          <w:p w14:paraId="421C57CC" w14:textId="77777777" w:rsidR="00A81A60" w:rsidRPr="006F1504" w:rsidRDefault="00A81A60" w:rsidP="004F02A2">
            <w:pPr>
              <w:spacing w:before="20" w:after="20"/>
              <w:jc w:val="center"/>
              <w:rPr>
                <w:color w:val="000000"/>
                <w:kern w:val="22"/>
                <w:sz w:val="20"/>
                <w:szCs w:val="20"/>
                <w:lang w:eastAsia="en-CA"/>
              </w:rPr>
            </w:pPr>
            <w:r w:rsidRPr="006F1504">
              <w:rPr>
                <w:color w:val="000000"/>
                <w:kern w:val="22"/>
                <w:sz w:val="20"/>
                <w:szCs w:val="20"/>
                <w:lang w:eastAsia="en-CA"/>
              </w:rPr>
              <w:t>35</w:t>
            </w:r>
          </w:p>
        </w:tc>
        <w:tc>
          <w:tcPr>
            <w:tcW w:w="708" w:type="dxa"/>
            <w:tcBorders>
              <w:top w:val="nil"/>
              <w:left w:val="single" w:sz="8" w:space="0" w:color="auto"/>
              <w:bottom w:val="single" w:sz="8" w:space="0" w:color="auto"/>
              <w:right w:val="single" w:sz="8" w:space="0" w:color="auto"/>
            </w:tcBorders>
            <w:shd w:val="clear" w:color="auto" w:fill="auto"/>
            <w:vAlign w:val="center"/>
          </w:tcPr>
          <w:p w14:paraId="5460F604" w14:textId="45A96710" w:rsidR="00A81A60" w:rsidRPr="006F1504" w:rsidRDefault="00A81A60" w:rsidP="004F02A2">
            <w:pPr>
              <w:spacing w:before="20" w:after="20"/>
              <w:jc w:val="center"/>
              <w:rPr>
                <w:color w:val="000000"/>
                <w:kern w:val="22"/>
                <w:sz w:val="20"/>
                <w:szCs w:val="20"/>
                <w:lang w:eastAsia="en-CA"/>
              </w:rPr>
            </w:pPr>
            <w:r w:rsidRPr="006F1504">
              <w:rPr>
                <w:color w:val="000000"/>
                <w:kern w:val="22"/>
                <w:sz w:val="20"/>
                <w:szCs w:val="20"/>
                <w:lang w:eastAsia="en-CA"/>
              </w:rPr>
              <w:t>70</w:t>
            </w:r>
          </w:p>
        </w:tc>
      </w:tr>
      <w:tr w:rsidR="00A81A60" w:rsidRPr="006F1504" w14:paraId="79E65540" w14:textId="77777777" w:rsidTr="00A81A60">
        <w:trPr>
          <w:cantSplit/>
          <w:jc w:val="center"/>
        </w:trPr>
        <w:tc>
          <w:tcPr>
            <w:tcW w:w="2003" w:type="dxa"/>
            <w:tcBorders>
              <w:left w:val="single" w:sz="8" w:space="0" w:color="auto"/>
              <w:bottom w:val="single" w:sz="8" w:space="0" w:color="auto"/>
              <w:right w:val="single" w:sz="8" w:space="0" w:color="auto"/>
            </w:tcBorders>
            <w:shd w:val="clear" w:color="auto" w:fill="auto"/>
            <w:vAlign w:val="center"/>
          </w:tcPr>
          <w:p w14:paraId="7E6A6884" w14:textId="355FAD66" w:rsidR="00A81A60" w:rsidRPr="006F1504" w:rsidRDefault="00A81A60" w:rsidP="004F02A2">
            <w:pPr>
              <w:spacing w:before="20" w:after="20"/>
              <w:jc w:val="left"/>
              <w:rPr>
                <w:color w:val="000000"/>
                <w:kern w:val="22"/>
                <w:sz w:val="20"/>
                <w:szCs w:val="20"/>
                <w:lang w:eastAsia="en-CA"/>
              </w:rPr>
            </w:pPr>
            <w:r w:rsidRPr="006F1504">
              <w:rPr>
                <w:color w:val="000000"/>
                <w:kern w:val="22"/>
                <w:sz w:val="20"/>
                <w:szCs w:val="20"/>
                <w:lang w:eastAsia="en-CA"/>
              </w:rPr>
              <w:t xml:space="preserve">Meetings of advisory committee on review of progress </w:t>
            </w:r>
          </w:p>
        </w:tc>
        <w:tc>
          <w:tcPr>
            <w:tcW w:w="4114" w:type="dxa"/>
            <w:tcBorders>
              <w:top w:val="nil"/>
              <w:left w:val="nil"/>
              <w:bottom w:val="single" w:sz="8" w:space="0" w:color="auto"/>
              <w:right w:val="single" w:sz="8" w:space="0" w:color="auto"/>
            </w:tcBorders>
            <w:shd w:val="clear" w:color="auto" w:fill="auto"/>
            <w:vAlign w:val="center"/>
          </w:tcPr>
          <w:p w14:paraId="53389EB1" w14:textId="474C34E1" w:rsidR="00A81A60" w:rsidRPr="006F1504" w:rsidRDefault="00A81A60" w:rsidP="004F02A2">
            <w:pPr>
              <w:spacing w:before="20" w:after="20"/>
              <w:jc w:val="left"/>
              <w:rPr>
                <w:color w:val="000000"/>
                <w:kern w:val="22"/>
                <w:sz w:val="20"/>
                <w:szCs w:val="20"/>
                <w:lang w:eastAsia="en-CA"/>
              </w:rPr>
            </w:pPr>
            <w:r w:rsidRPr="006F1504">
              <w:rPr>
                <w:color w:val="000000"/>
                <w:kern w:val="22"/>
                <w:sz w:val="20"/>
                <w:szCs w:val="20"/>
                <w:lang w:eastAsia="en-CA"/>
              </w:rPr>
              <w:t>Two in-person meetings</w:t>
            </w:r>
          </w:p>
        </w:tc>
        <w:tc>
          <w:tcPr>
            <w:tcW w:w="708" w:type="dxa"/>
            <w:tcBorders>
              <w:top w:val="nil"/>
              <w:left w:val="nil"/>
              <w:bottom w:val="single" w:sz="8" w:space="0" w:color="auto"/>
              <w:right w:val="single" w:sz="8" w:space="0" w:color="auto"/>
            </w:tcBorders>
            <w:shd w:val="clear" w:color="auto" w:fill="auto"/>
            <w:vAlign w:val="center"/>
          </w:tcPr>
          <w:p w14:paraId="3E2CC730" w14:textId="77777777" w:rsidR="00A81A60" w:rsidRPr="006F1504" w:rsidRDefault="00A81A60" w:rsidP="004F02A2">
            <w:pPr>
              <w:spacing w:before="20" w:after="20"/>
              <w:jc w:val="center"/>
              <w:rPr>
                <w:color w:val="000000"/>
                <w:kern w:val="22"/>
                <w:sz w:val="20"/>
                <w:szCs w:val="20"/>
                <w:lang w:eastAsia="en-CA"/>
              </w:rPr>
            </w:pPr>
            <w:r w:rsidRPr="006F1504">
              <w:rPr>
                <w:color w:val="000000"/>
                <w:kern w:val="22"/>
                <w:sz w:val="20"/>
                <w:szCs w:val="20"/>
                <w:lang w:eastAsia="en-CA"/>
              </w:rPr>
              <w:t>35</w:t>
            </w:r>
          </w:p>
        </w:tc>
        <w:tc>
          <w:tcPr>
            <w:tcW w:w="709" w:type="dxa"/>
            <w:tcBorders>
              <w:top w:val="nil"/>
              <w:left w:val="nil"/>
              <w:bottom w:val="single" w:sz="8" w:space="0" w:color="auto"/>
              <w:right w:val="single" w:sz="8" w:space="0" w:color="auto"/>
            </w:tcBorders>
            <w:shd w:val="clear" w:color="auto" w:fill="auto"/>
            <w:vAlign w:val="center"/>
          </w:tcPr>
          <w:p w14:paraId="56E262F0" w14:textId="77777777" w:rsidR="00A81A60" w:rsidRPr="006F1504" w:rsidRDefault="00A81A60" w:rsidP="004F02A2">
            <w:pPr>
              <w:spacing w:before="20" w:after="20"/>
              <w:jc w:val="center"/>
              <w:rPr>
                <w:color w:val="000000"/>
                <w:kern w:val="22"/>
                <w:sz w:val="20"/>
                <w:szCs w:val="20"/>
                <w:lang w:eastAsia="en-CA"/>
              </w:rPr>
            </w:pPr>
            <w:r w:rsidRPr="006F1504">
              <w:rPr>
                <w:color w:val="000000"/>
                <w:kern w:val="22"/>
                <w:sz w:val="20"/>
                <w:szCs w:val="20"/>
                <w:lang w:eastAsia="en-CA"/>
              </w:rPr>
              <w:t>35</w:t>
            </w:r>
          </w:p>
        </w:tc>
        <w:tc>
          <w:tcPr>
            <w:tcW w:w="708" w:type="dxa"/>
            <w:tcBorders>
              <w:top w:val="nil"/>
              <w:left w:val="single" w:sz="8" w:space="0" w:color="auto"/>
              <w:bottom w:val="single" w:sz="8" w:space="0" w:color="auto"/>
              <w:right w:val="single" w:sz="8" w:space="0" w:color="auto"/>
            </w:tcBorders>
            <w:shd w:val="clear" w:color="auto" w:fill="auto"/>
            <w:vAlign w:val="center"/>
          </w:tcPr>
          <w:p w14:paraId="45FA7D9C" w14:textId="314AF21A" w:rsidR="00A81A60" w:rsidRPr="006F1504" w:rsidRDefault="00A81A60" w:rsidP="004F02A2">
            <w:pPr>
              <w:spacing w:before="20" w:after="20"/>
              <w:jc w:val="center"/>
              <w:rPr>
                <w:color w:val="000000"/>
                <w:kern w:val="22"/>
                <w:sz w:val="20"/>
                <w:szCs w:val="20"/>
                <w:lang w:eastAsia="en-CA"/>
              </w:rPr>
            </w:pPr>
            <w:r w:rsidRPr="006F1504">
              <w:rPr>
                <w:color w:val="000000"/>
                <w:kern w:val="22"/>
                <w:sz w:val="20"/>
                <w:szCs w:val="20"/>
                <w:lang w:eastAsia="en-CA"/>
              </w:rPr>
              <w:t>70</w:t>
            </w:r>
          </w:p>
        </w:tc>
      </w:tr>
      <w:tr w:rsidR="00A81A60" w:rsidRPr="006F1504" w14:paraId="3A047567" w14:textId="77777777" w:rsidTr="00A81A60">
        <w:trPr>
          <w:cantSplit/>
          <w:jc w:val="center"/>
        </w:trPr>
        <w:tc>
          <w:tcPr>
            <w:tcW w:w="2003" w:type="dxa"/>
            <w:vMerge w:val="restart"/>
            <w:tcBorders>
              <w:top w:val="single" w:sz="8" w:space="0" w:color="auto"/>
              <w:left w:val="single" w:sz="8" w:space="0" w:color="auto"/>
              <w:right w:val="single" w:sz="8" w:space="0" w:color="auto"/>
            </w:tcBorders>
            <w:noWrap/>
            <w:vAlign w:val="center"/>
          </w:tcPr>
          <w:p w14:paraId="14617D07" w14:textId="381FBAF7" w:rsidR="00A81A60" w:rsidRPr="006F1504" w:rsidRDefault="00230EB5" w:rsidP="00F228EA">
            <w:pPr>
              <w:tabs>
                <w:tab w:val="left" w:pos="323"/>
              </w:tabs>
              <w:spacing w:before="20" w:after="20"/>
              <w:jc w:val="left"/>
              <w:rPr>
                <w:b/>
                <w:bCs/>
                <w:color w:val="000000"/>
                <w:kern w:val="22"/>
                <w:sz w:val="20"/>
                <w:szCs w:val="20"/>
                <w:lang w:eastAsia="en-CA"/>
              </w:rPr>
            </w:pPr>
            <w:r w:rsidRPr="006F1504">
              <w:rPr>
                <w:b/>
                <w:bCs/>
                <w:color w:val="000000"/>
                <w:kern w:val="22"/>
                <w:sz w:val="20"/>
                <w:szCs w:val="20"/>
                <w:lang w:eastAsia="en-CA"/>
              </w:rPr>
              <w:tab/>
            </w:r>
            <w:r w:rsidR="00A81A60" w:rsidRPr="006F1504">
              <w:rPr>
                <w:b/>
                <w:bCs/>
                <w:color w:val="000000"/>
                <w:kern w:val="22"/>
                <w:sz w:val="20"/>
                <w:szCs w:val="20"/>
                <w:lang w:eastAsia="en-CA"/>
              </w:rPr>
              <w:t>Total costs</w:t>
            </w:r>
          </w:p>
        </w:tc>
        <w:tc>
          <w:tcPr>
            <w:tcW w:w="4114" w:type="dxa"/>
            <w:tcBorders>
              <w:top w:val="single" w:sz="8" w:space="0" w:color="auto"/>
              <w:left w:val="nil"/>
              <w:bottom w:val="single" w:sz="8" w:space="0" w:color="auto"/>
              <w:right w:val="single" w:sz="8" w:space="0" w:color="auto"/>
            </w:tcBorders>
            <w:vAlign w:val="center"/>
          </w:tcPr>
          <w:p w14:paraId="7B0623EC" w14:textId="244C3C9B" w:rsidR="00A81A60" w:rsidRPr="006F1504" w:rsidRDefault="00230EB5" w:rsidP="00F228EA">
            <w:pPr>
              <w:tabs>
                <w:tab w:val="left" w:pos="313"/>
              </w:tabs>
              <w:spacing w:before="20" w:after="20"/>
              <w:ind w:right="-392"/>
              <w:jc w:val="left"/>
              <w:rPr>
                <w:b/>
                <w:bCs/>
                <w:color w:val="000000"/>
                <w:kern w:val="22"/>
                <w:sz w:val="20"/>
                <w:szCs w:val="20"/>
                <w:lang w:eastAsia="en-CA"/>
              </w:rPr>
            </w:pPr>
            <w:r w:rsidRPr="006F1504">
              <w:rPr>
                <w:b/>
                <w:bCs/>
                <w:color w:val="000000"/>
                <w:kern w:val="22"/>
                <w:sz w:val="20"/>
                <w:szCs w:val="20"/>
                <w:lang w:eastAsia="en-CA"/>
              </w:rPr>
              <w:tab/>
            </w:r>
            <w:r w:rsidR="00A81A60" w:rsidRPr="006F1504">
              <w:rPr>
                <w:b/>
                <w:bCs/>
                <w:color w:val="000000"/>
                <w:kern w:val="22"/>
                <w:sz w:val="20"/>
                <w:szCs w:val="20"/>
                <w:lang w:eastAsia="en-CA"/>
              </w:rPr>
              <w:t>Subtotal</w:t>
            </w:r>
          </w:p>
        </w:tc>
        <w:tc>
          <w:tcPr>
            <w:tcW w:w="708" w:type="dxa"/>
            <w:tcBorders>
              <w:top w:val="single" w:sz="8" w:space="0" w:color="auto"/>
              <w:left w:val="nil"/>
              <w:bottom w:val="single" w:sz="8" w:space="0" w:color="auto"/>
              <w:right w:val="single" w:sz="8" w:space="0" w:color="auto"/>
            </w:tcBorders>
            <w:vAlign w:val="center"/>
          </w:tcPr>
          <w:p w14:paraId="359CFF49" w14:textId="0365230F" w:rsidR="00A81A60" w:rsidRPr="006F1504" w:rsidRDefault="00A81A60" w:rsidP="004F02A2">
            <w:pPr>
              <w:spacing w:before="20" w:after="20"/>
              <w:jc w:val="center"/>
              <w:rPr>
                <w:b/>
                <w:bCs/>
                <w:i/>
                <w:color w:val="000000"/>
                <w:kern w:val="22"/>
                <w:sz w:val="20"/>
                <w:szCs w:val="20"/>
                <w:lang w:eastAsia="en-CA"/>
              </w:rPr>
            </w:pPr>
          </w:p>
        </w:tc>
        <w:tc>
          <w:tcPr>
            <w:tcW w:w="709" w:type="dxa"/>
            <w:tcBorders>
              <w:top w:val="single" w:sz="8" w:space="0" w:color="auto"/>
              <w:left w:val="nil"/>
              <w:bottom w:val="single" w:sz="8" w:space="0" w:color="auto"/>
              <w:right w:val="single" w:sz="8" w:space="0" w:color="auto"/>
            </w:tcBorders>
            <w:vAlign w:val="center"/>
          </w:tcPr>
          <w:p w14:paraId="62FA5262" w14:textId="59FE98B1" w:rsidR="00A81A60" w:rsidRPr="006F1504" w:rsidRDefault="00A81A60" w:rsidP="004F02A2">
            <w:pPr>
              <w:spacing w:before="20" w:after="20"/>
              <w:jc w:val="center"/>
              <w:rPr>
                <w:b/>
                <w:bCs/>
                <w:i/>
                <w:color w:val="000000"/>
                <w:kern w:val="22"/>
                <w:sz w:val="20"/>
                <w:szCs w:val="20"/>
                <w:lang w:eastAsia="en-CA"/>
              </w:rPr>
            </w:pPr>
          </w:p>
        </w:tc>
        <w:tc>
          <w:tcPr>
            <w:tcW w:w="708" w:type="dxa"/>
            <w:tcBorders>
              <w:top w:val="single" w:sz="8" w:space="0" w:color="auto"/>
              <w:left w:val="single" w:sz="8" w:space="0" w:color="auto"/>
              <w:bottom w:val="single" w:sz="8" w:space="0" w:color="auto"/>
              <w:right w:val="single" w:sz="8" w:space="0" w:color="auto"/>
            </w:tcBorders>
            <w:vAlign w:val="center"/>
          </w:tcPr>
          <w:p w14:paraId="383762A7" w14:textId="17349884" w:rsidR="00A81A60" w:rsidRPr="006F1504" w:rsidRDefault="00A81A60" w:rsidP="004F02A2">
            <w:pPr>
              <w:spacing w:before="20" w:after="20"/>
              <w:jc w:val="center"/>
              <w:rPr>
                <w:b/>
                <w:bCs/>
                <w:color w:val="000000"/>
                <w:kern w:val="22"/>
                <w:sz w:val="20"/>
                <w:szCs w:val="20"/>
                <w:lang w:eastAsia="en-CA"/>
              </w:rPr>
            </w:pPr>
            <w:r w:rsidRPr="006F1504">
              <w:rPr>
                <w:b/>
                <w:bCs/>
                <w:color w:val="000000"/>
                <w:kern w:val="22"/>
                <w:sz w:val="20"/>
                <w:szCs w:val="20"/>
                <w:lang w:eastAsia="en-CA"/>
              </w:rPr>
              <w:t>870</w:t>
            </w:r>
          </w:p>
        </w:tc>
      </w:tr>
      <w:tr w:rsidR="00A81A60" w:rsidRPr="006F1504" w14:paraId="3D934F5C" w14:textId="77777777" w:rsidTr="00A81A60">
        <w:trPr>
          <w:cantSplit/>
          <w:jc w:val="center"/>
        </w:trPr>
        <w:tc>
          <w:tcPr>
            <w:tcW w:w="2003" w:type="dxa"/>
            <w:vMerge/>
            <w:tcBorders>
              <w:left w:val="single" w:sz="8" w:space="0" w:color="auto"/>
              <w:right w:val="single" w:sz="8" w:space="0" w:color="auto"/>
            </w:tcBorders>
            <w:noWrap/>
            <w:vAlign w:val="center"/>
          </w:tcPr>
          <w:p w14:paraId="5818BDF8" w14:textId="77777777" w:rsidR="00A81A60" w:rsidRPr="006F1504" w:rsidRDefault="00A81A60" w:rsidP="004F02A2">
            <w:pPr>
              <w:spacing w:before="20" w:after="20"/>
              <w:jc w:val="left"/>
              <w:rPr>
                <w:bCs/>
                <w:color w:val="000000"/>
                <w:kern w:val="22"/>
                <w:sz w:val="20"/>
                <w:szCs w:val="20"/>
                <w:lang w:eastAsia="en-CA"/>
              </w:rPr>
            </w:pPr>
          </w:p>
        </w:tc>
        <w:tc>
          <w:tcPr>
            <w:tcW w:w="4114" w:type="dxa"/>
            <w:tcBorders>
              <w:top w:val="single" w:sz="8" w:space="0" w:color="auto"/>
              <w:left w:val="nil"/>
              <w:bottom w:val="single" w:sz="8" w:space="0" w:color="auto"/>
              <w:right w:val="single" w:sz="8" w:space="0" w:color="auto"/>
            </w:tcBorders>
            <w:vAlign w:val="center"/>
          </w:tcPr>
          <w:p w14:paraId="483CACDC" w14:textId="1BBDB9DD" w:rsidR="00A81A60" w:rsidRPr="00F228EA" w:rsidRDefault="00EB3DC9" w:rsidP="00F228EA">
            <w:pPr>
              <w:tabs>
                <w:tab w:val="left" w:pos="323"/>
              </w:tabs>
              <w:spacing w:before="20" w:after="20"/>
              <w:ind w:right="-392"/>
              <w:jc w:val="left"/>
              <w:rPr>
                <w:b/>
                <w:color w:val="000000"/>
                <w:kern w:val="22"/>
                <w:sz w:val="20"/>
                <w:szCs w:val="20"/>
                <w:lang w:eastAsia="en-CA"/>
              </w:rPr>
            </w:pPr>
            <w:r w:rsidRPr="00F228EA">
              <w:rPr>
                <w:b/>
                <w:color w:val="000000"/>
                <w:kern w:val="22"/>
                <w:sz w:val="20"/>
                <w:szCs w:val="20"/>
                <w:lang w:eastAsia="en-CA"/>
              </w:rPr>
              <w:tab/>
            </w:r>
            <w:r w:rsidR="00A81A60" w:rsidRPr="00F228EA">
              <w:rPr>
                <w:b/>
                <w:color w:val="000000"/>
                <w:kern w:val="22"/>
                <w:sz w:val="20"/>
                <w:szCs w:val="20"/>
                <w:lang w:eastAsia="en-CA"/>
              </w:rPr>
              <w:t>Programme support costs (13 per cent)</w:t>
            </w:r>
          </w:p>
        </w:tc>
        <w:tc>
          <w:tcPr>
            <w:tcW w:w="708" w:type="dxa"/>
            <w:tcBorders>
              <w:top w:val="single" w:sz="8" w:space="0" w:color="auto"/>
              <w:left w:val="nil"/>
              <w:bottom w:val="single" w:sz="8" w:space="0" w:color="auto"/>
              <w:right w:val="single" w:sz="8" w:space="0" w:color="auto"/>
            </w:tcBorders>
            <w:vAlign w:val="center"/>
          </w:tcPr>
          <w:p w14:paraId="5AC03EA0" w14:textId="40AEA698" w:rsidR="00A81A60" w:rsidRPr="00F228EA" w:rsidRDefault="00A81A60" w:rsidP="004F02A2">
            <w:pPr>
              <w:spacing w:before="20" w:after="20"/>
              <w:jc w:val="center"/>
              <w:rPr>
                <w:b/>
                <w:i/>
                <w:color w:val="000000"/>
                <w:kern w:val="22"/>
                <w:sz w:val="20"/>
                <w:szCs w:val="20"/>
                <w:lang w:eastAsia="en-CA"/>
              </w:rPr>
            </w:pPr>
          </w:p>
        </w:tc>
        <w:tc>
          <w:tcPr>
            <w:tcW w:w="709" w:type="dxa"/>
            <w:tcBorders>
              <w:top w:val="single" w:sz="8" w:space="0" w:color="auto"/>
              <w:left w:val="nil"/>
              <w:bottom w:val="single" w:sz="8" w:space="0" w:color="auto"/>
              <w:right w:val="single" w:sz="8" w:space="0" w:color="auto"/>
            </w:tcBorders>
            <w:vAlign w:val="center"/>
          </w:tcPr>
          <w:p w14:paraId="1C2F5DA3" w14:textId="0739E552" w:rsidR="00A81A60" w:rsidRPr="00F228EA" w:rsidRDefault="00A81A60" w:rsidP="004F02A2">
            <w:pPr>
              <w:spacing w:before="20" w:after="20"/>
              <w:jc w:val="center"/>
              <w:rPr>
                <w:b/>
                <w:i/>
                <w:color w:val="000000"/>
                <w:kern w:val="22"/>
                <w:sz w:val="20"/>
                <w:szCs w:val="20"/>
                <w:lang w:eastAsia="en-CA"/>
              </w:rPr>
            </w:pPr>
          </w:p>
        </w:tc>
        <w:tc>
          <w:tcPr>
            <w:tcW w:w="708" w:type="dxa"/>
            <w:tcBorders>
              <w:top w:val="single" w:sz="8" w:space="0" w:color="auto"/>
              <w:left w:val="single" w:sz="8" w:space="0" w:color="auto"/>
              <w:bottom w:val="single" w:sz="8" w:space="0" w:color="auto"/>
              <w:right w:val="single" w:sz="8" w:space="0" w:color="auto"/>
            </w:tcBorders>
            <w:vAlign w:val="center"/>
          </w:tcPr>
          <w:p w14:paraId="60280410" w14:textId="531F34EF" w:rsidR="00A81A60" w:rsidRPr="00F228EA" w:rsidRDefault="00A81A60" w:rsidP="004F02A2">
            <w:pPr>
              <w:spacing w:before="20" w:after="20"/>
              <w:jc w:val="center"/>
              <w:rPr>
                <w:b/>
                <w:color w:val="000000"/>
                <w:kern w:val="22"/>
                <w:sz w:val="20"/>
                <w:szCs w:val="20"/>
                <w:lang w:eastAsia="en-CA"/>
              </w:rPr>
            </w:pPr>
            <w:r w:rsidRPr="00F228EA">
              <w:rPr>
                <w:b/>
                <w:color w:val="000000"/>
                <w:kern w:val="22"/>
                <w:sz w:val="20"/>
                <w:szCs w:val="20"/>
                <w:lang w:eastAsia="en-CA"/>
              </w:rPr>
              <w:t>113</w:t>
            </w:r>
          </w:p>
        </w:tc>
      </w:tr>
      <w:tr w:rsidR="00A81A60" w:rsidRPr="006F1504" w14:paraId="479829D8" w14:textId="77777777" w:rsidTr="00A81A60">
        <w:trPr>
          <w:cantSplit/>
          <w:jc w:val="center"/>
        </w:trPr>
        <w:tc>
          <w:tcPr>
            <w:tcW w:w="2003" w:type="dxa"/>
            <w:vMerge/>
            <w:tcBorders>
              <w:left w:val="single" w:sz="8" w:space="0" w:color="auto"/>
              <w:bottom w:val="single" w:sz="8" w:space="0" w:color="auto"/>
              <w:right w:val="single" w:sz="8" w:space="0" w:color="auto"/>
            </w:tcBorders>
            <w:noWrap/>
            <w:vAlign w:val="center"/>
          </w:tcPr>
          <w:p w14:paraId="57585B81" w14:textId="77777777" w:rsidR="00A81A60" w:rsidRPr="006F1504" w:rsidRDefault="00A81A60" w:rsidP="004F02A2">
            <w:pPr>
              <w:spacing w:before="20" w:after="20"/>
              <w:jc w:val="left"/>
              <w:rPr>
                <w:b/>
                <w:bCs/>
                <w:color w:val="000000"/>
                <w:kern w:val="22"/>
                <w:sz w:val="20"/>
                <w:szCs w:val="20"/>
                <w:lang w:eastAsia="en-CA"/>
              </w:rPr>
            </w:pPr>
          </w:p>
        </w:tc>
        <w:tc>
          <w:tcPr>
            <w:tcW w:w="4114" w:type="dxa"/>
            <w:tcBorders>
              <w:top w:val="single" w:sz="8" w:space="0" w:color="auto"/>
              <w:left w:val="nil"/>
              <w:bottom w:val="single" w:sz="8" w:space="0" w:color="auto"/>
              <w:right w:val="single" w:sz="8" w:space="0" w:color="auto"/>
            </w:tcBorders>
            <w:vAlign w:val="center"/>
          </w:tcPr>
          <w:p w14:paraId="73BB50F5" w14:textId="58900590" w:rsidR="00A81A60" w:rsidRPr="006F1504" w:rsidRDefault="00230EB5" w:rsidP="00F228EA">
            <w:pPr>
              <w:tabs>
                <w:tab w:val="left" w:pos="323"/>
              </w:tabs>
              <w:spacing w:before="20" w:after="20"/>
              <w:ind w:right="-392"/>
              <w:jc w:val="left"/>
              <w:rPr>
                <w:b/>
                <w:bCs/>
                <w:color w:val="000000"/>
                <w:kern w:val="22"/>
                <w:sz w:val="20"/>
                <w:szCs w:val="20"/>
                <w:lang w:eastAsia="en-CA"/>
              </w:rPr>
            </w:pPr>
            <w:r w:rsidRPr="006F1504">
              <w:rPr>
                <w:b/>
                <w:bCs/>
                <w:color w:val="000000"/>
                <w:kern w:val="22"/>
                <w:sz w:val="20"/>
                <w:szCs w:val="20"/>
                <w:lang w:eastAsia="en-CA"/>
              </w:rPr>
              <w:tab/>
            </w:r>
            <w:r w:rsidR="00A81A60" w:rsidRPr="006F1504">
              <w:rPr>
                <w:b/>
                <w:bCs/>
                <w:color w:val="000000"/>
                <w:kern w:val="22"/>
                <w:sz w:val="20"/>
                <w:szCs w:val="20"/>
                <w:lang w:eastAsia="en-CA"/>
              </w:rPr>
              <w:t>Total</w:t>
            </w:r>
          </w:p>
        </w:tc>
        <w:tc>
          <w:tcPr>
            <w:tcW w:w="708" w:type="dxa"/>
            <w:tcBorders>
              <w:top w:val="single" w:sz="8" w:space="0" w:color="auto"/>
              <w:left w:val="nil"/>
              <w:bottom w:val="single" w:sz="8" w:space="0" w:color="auto"/>
              <w:right w:val="single" w:sz="8" w:space="0" w:color="auto"/>
            </w:tcBorders>
            <w:vAlign w:val="center"/>
          </w:tcPr>
          <w:p w14:paraId="741DB2D3" w14:textId="4DAEE488" w:rsidR="00A81A60" w:rsidRPr="006F1504" w:rsidRDefault="00A81A60" w:rsidP="004F02A2">
            <w:pPr>
              <w:spacing w:before="20" w:after="20"/>
              <w:jc w:val="center"/>
              <w:rPr>
                <w:b/>
                <w:i/>
                <w:color w:val="000000"/>
                <w:kern w:val="22"/>
                <w:sz w:val="20"/>
                <w:szCs w:val="20"/>
                <w:lang w:eastAsia="en-CA"/>
              </w:rPr>
            </w:pPr>
          </w:p>
        </w:tc>
        <w:tc>
          <w:tcPr>
            <w:tcW w:w="709" w:type="dxa"/>
            <w:tcBorders>
              <w:top w:val="single" w:sz="8" w:space="0" w:color="auto"/>
              <w:left w:val="nil"/>
              <w:bottom w:val="single" w:sz="8" w:space="0" w:color="auto"/>
              <w:right w:val="single" w:sz="8" w:space="0" w:color="auto"/>
            </w:tcBorders>
            <w:vAlign w:val="center"/>
          </w:tcPr>
          <w:p w14:paraId="3262312E" w14:textId="49822520" w:rsidR="00A81A60" w:rsidRPr="006F1504" w:rsidRDefault="00A81A60" w:rsidP="004F02A2">
            <w:pPr>
              <w:spacing w:before="20" w:after="20"/>
              <w:jc w:val="center"/>
              <w:rPr>
                <w:b/>
                <w:i/>
                <w:color w:val="000000"/>
                <w:kern w:val="22"/>
                <w:sz w:val="20"/>
                <w:szCs w:val="20"/>
                <w:lang w:eastAsia="en-CA"/>
              </w:rPr>
            </w:pPr>
          </w:p>
        </w:tc>
        <w:tc>
          <w:tcPr>
            <w:tcW w:w="708" w:type="dxa"/>
            <w:tcBorders>
              <w:top w:val="single" w:sz="8" w:space="0" w:color="auto"/>
              <w:left w:val="single" w:sz="8" w:space="0" w:color="auto"/>
              <w:bottom w:val="single" w:sz="8" w:space="0" w:color="auto"/>
              <w:right w:val="single" w:sz="8" w:space="0" w:color="auto"/>
            </w:tcBorders>
            <w:vAlign w:val="center"/>
          </w:tcPr>
          <w:p w14:paraId="7C05742B" w14:textId="20D70FCC" w:rsidR="00A81A60" w:rsidRPr="006F1504" w:rsidRDefault="00A81A60" w:rsidP="004F02A2">
            <w:pPr>
              <w:spacing w:before="20" w:after="20"/>
              <w:jc w:val="center"/>
              <w:rPr>
                <w:b/>
                <w:color w:val="000000"/>
                <w:kern w:val="22"/>
                <w:sz w:val="20"/>
                <w:szCs w:val="20"/>
                <w:lang w:eastAsia="en-CA"/>
              </w:rPr>
            </w:pPr>
            <w:r w:rsidRPr="006F1504">
              <w:rPr>
                <w:b/>
                <w:bCs/>
                <w:color w:val="000000"/>
                <w:kern w:val="22"/>
                <w:sz w:val="20"/>
                <w:szCs w:val="20"/>
                <w:lang w:eastAsia="en-CA"/>
              </w:rPr>
              <w:t>983</w:t>
            </w:r>
          </w:p>
        </w:tc>
      </w:tr>
    </w:tbl>
    <w:p w14:paraId="78A31BE1" w14:textId="0AB8BDEA" w:rsidR="00CF5BFA" w:rsidRPr="006F1504" w:rsidRDefault="00CF5BFA">
      <w:pPr>
        <w:spacing w:after="160" w:line="259" w:lineRule="auto"/>
        <w:jc w:val="left"/>
        <w:rPr>
          <w:lang w:val="en-CA"/>
        </w:rPr>
      </w:pPr>
    </w:p>
    <w:p w14:paraId="11F8E4AC" w14:textId="1839B22B" w:rsidR="002B559C" w:rsidRPr="004701EE" w:rsidRDefault="0075606B" w:rsidP="00F228EA">
      <w:pPr>
        <w:suppressLineNumbers/>
        <w:suppressAutoHyphens/>
        <w:kinsoku w:val="0"/>
        <w:overflowPunct w:val="0"/>
        <w:autoSpaceDE w:val="0"/>
        <w:autoSpaceDN w:val="0"/>
        <w:adjustRightInd w:val="0"/>
        <w:snapToGrid w:val="0"/>
        <w:spacing w:before="120" w:after="120"/>
        <w:ind w:left="720"/>
        <w:jc w:val="center"/>
      </w:pPr>
      <w:r w:rsidRPr="006F1504">
        <w:rPr>
          <w:snapToGrid w:val="0"/>
          <w:color w:val="000000" w:themeColor="text1"/>
          <w:kern w:val="22"/>
          <w:szCs w:val="22"/>
        </w:rPr>
        <w:t>__________</w:t>
      </w:r>
    </w:p>
    <w:sectPr w:rsidR="002B559C" w:rsidRPr="004701EE" w:rsidSect="0085678C">
      <w:headerReference w:type="even" r:id="rId16"/>
      <w:headerReference w:type="default" r:id="rId17"/>
      <w:footerReference w:type="even" r:id="rId18"/>
      <w:footerReference w:type="default" r:id="rId19"/>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280B" w14:textId="77777777" w:rsidR="0085678C" w:rsidRDefault="0085678C" w:rsidP="00A96B21">
      <w:r>
        <w:separator/>
      </w:r>
    </w:p>
  </w:endnote>
  <w:endnote w:type="continuationSeparator" w:id="0">
    <w:p w14:paraId="77DD5672" w14:textId="77777777" w:rsidR="0085678C" w:rsidRDefault="0085678C" w:rsidP="00A96B21">
      <w:r>
        <w:continuationSeparator/>
      </w:r>
    </w:p>
  </w:endnote>
  <w:endnote w:type="continuationNotice" w:id="1">
    <w:p w14:paraId="1A7111D7" w14:textId="77777777" w:rsidR="0085678C" w:rsidRDefault="00856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5435C70B" w14:textId="77777777" w:rsidR="00E6672F" w:rsidRDefault="00E6672F">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63830D7D" w14:textId="77777777" w:rsidR="00E6672F" w:rsidRDefault="00E6672F"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B972" w14:textId="77777777" w:rsidR="0085678C" w:rsidRDefault="0085678C" w:rsidP="00A96B21">
      <w:r>
        <w:separator/>
      </w:r>
    </w:p>
  </w:footnote>
  <w:footnote w:type="continuationSeparator" w:id="0">
    <w:p w14:paraId="029E6411" w14:textId="77777777" w:rsidR="0085678C" w:rsidRDefault="0085678C" w:rsidP="00A96B21">
      <w:r>
        <w:continuationSeparator/>
      </w:r>
    </w:p>
  </w:footnote>
  <w:footnote w:type="continuationNotice" w:id="1">
    <w:p w14:paraId="4B1DD7A8" w14:textId="77777777" w:rsidR="0085678C" w:rsidRDefault="0085678C"/>
  </w:footnote>
  <w:footnote w:id="2">
    <w:p w14:paraId="0282A4AD" w14:textId="77777777" w:rsidR="00E6672F" w:rsidRPr="003C35F8" w:rsidRDefault="00E6672F" w:rsidP="00D71FFB">
      <w:pPr>
        <w:pStyle w:val="Footnote"/>
      </w:pPr>
      <w:r w:rsidRPr="003C35F8">
        <w:rPr>
          <w:rStyle w:val="FootnoteReference"/>
        </w:rPr>
        <w:t>*</w:t>
      </w:r>
      <w:r w:rsidRPr="003C35F8">
        <w:t xml:space="preserve"> </w:t>
      </w:r>
      <w:r w:rsidRPr="00F228EA">
        <w:t>CBD</w:t>
      </w:r>
      <w:r w:rsidRPr="003C35F8">
        <w:t>/</w:t>
      </w:r>
      <w:r w:rsidRPr="00F228EA">
        <w:t>SBI</w:t>
      </w:r>
      <w:r w:rsidRPr="003C35F8">
        <w:t>/4/1.</w:t>
      </w:r>
    </w:p>
  </w:footnote>
  <w:footnote w:id="3">
    <w:p w14:paraId="0903D9CB" w14:textId="18B80EBB" w:rsidR="002A3332" w:rsidRPr="003C35F8" w:rsidRDefault="002A3332">
      <w:pPr>
        <w:pStyle w:val="FootnoteText"/>
        <w:rPr>
          <w:sz w:val="18"/>
          <w:szCs w:val="18"/>
          <w:lang w:val="en-US"/>
        </w:rPr>
      </w:pPr>
      <w:r w:rsidRPr="003C35F8">
        <w:rPr>
          <w:rStyle w:val="FootnoteReference"/>
        </w:rPr>
        <w:footnoteRef/>
      </w:r>
      <w:r w:rsidRPr="003C35F8">
        <w:rPr>
          <w:sz w:val="18"/>
          <w:szCs w:val="18"/>
        </w:rPr>
        <w:t xml:space="preserve"> </w:t>
      </w:r>
      <w:r w:rsidRPr="003C35F8">
        <w:rPr>
          <w:rFonts w:eastAsia="Malgun Gothic"/>
          <w:sz w:val="18"/>
          <w:szCs w:val="18"/>
        </w:rPr>
        <w:t xml:space="preserve">The </w:t>
      </w:r>
      <w:r w:rsidRPr="00F228EA">
        <w:rPr>
          <w:rFonts w:eastAsia="Malgun Gothic"/>
          <w:sz w:val="18"/>
          <w:szCs w:val="18"/>
        </w:rPr>
        <w:t>Subsidiary Body on Scientific, Technical and Technological Advice</w:t>
      </w:r>
      <w:r w:rsidRPr="003C35F8">
        <w:rPr>
          <w:rFonts w:eastAsia="Malgun Gothic"/>
          <w:sz w:val="18"/>
          <w:szCs w:val="18"/>
        </w:rPr>
        <w:t>, at its twenty-fifth meeting</w:t>
      </w:r>
      <w:r w:rsidRPr="003C35F8">
        <w:rPr>
          <w:rFonts w:eastAsia="Malgun Gothic"/>
          <w:kern w:val="22"/>
          <w:sz w:val="18"/>
          <w:szCs w:val="18"/>
        </w:rPr>
        <w:t xml:space="preserve">, recommended that a global report, focused primarily on assessing progress in the implementation of the Framework, </w:t>
      </w:r>
      <w:r w:rsidR="00E316DF" w:rsidRPr="003C35F8">
        <w:rPr>
          <w:rFonts w:eastAsia="Malgun Gothic"/>
          <w:kern w:val="22"/>
          <w:sz w:val="18"/>
          <w:szCs w:val="18"/>
        </w:rPr>
        <w:t>sh</w:t>
      </w:r>
      <w:r w:rsidRPr="003C35F8">
        <w:rPr>
          <w:rFonts w:eastAsia="Malgun Gothic"/>
          <w:kern w:val="22"/>
          <w:sz w:val="18"/>
          <w:szCs w:val="18"/>
        </w:rPr>
        <w:t>ould be an element of the global review</w:t>
      </w:r>
      <w:r w:rsidR="00973962" w:rsidRPr="003C35F8">
        <w:rPr>
          <w:rFonts w:eastAsia="Malgun Gothic"/>
          <w:kern w:val="22"/>
          <w:sz w:val="18"/>
          <w:szCs w:val="18"/>
        </w:rPr>
        <w:t xml:space="preserve"> (recommendation 25/2)</w:t>
      </w:r>
      <w:r w:rsidRPr="003C35F8">
        <w:rPr>
          <w:rFonts w:eastAsia="Malgun Gothic"/>
          <w:kern w:val="22"/>
          <w:sz w:val="18"/>
          <w:szCs w:val="18"/>
        </w:rPr>
        <w:t xml:space="preserve">. </w:t>
      </w:r>
      <w:r w:rsidR="00973962" w:rsidRPr="003C35F8">
        <w:rPr>
          <w:rFonts w:eastAsia="Malgun Gothic"/>
          <w:kern w:val="22"/>
          <w:sz w:val="18"/>
          <w:szCs w:val="18"/>
        </w:rPr>
        <w:t>The Subsidiary B</w:t>
      </w:r>
      <w:r w:rsidR="001D35E4" w:rsidRPr="003C35F8">
        <w:rPr>
          <w:rFonts w:eastAsia="Malgun Gothic"/>
          <w:kern w:val="22"/>
          <w:sz w:val="18"/>
          <w:szCs w:val="18"/>
        </w:rPr>
        <w:t>o</w:t>
      </w:r>
      <w:r w:rsidR="00973962" w:rsidRPr="003C35F8">
        <w:rPr>
          <w:rFonts w:eastAsia="Malgun Gothic"/>
          <w:kern w:val="22"/>
          <w:sz w:val="18"/>
          <w:szCs w:val="18"/>
        </w:rPr>
        <w:t>dy</w:t>
      </w:r>
      <w:r w:rsidRPr="003C35F8">
        <w:rPr>
          <w:rFonts w:eastAsia="Malgun Gothic"/>
          <w:kern w:val="22"/>
          <w:sz w:val="18"/>
          <w:szCs w:val="18"/>
        </w:rPr>
        <w:t xml:space="preserve"> recommended key elements to be contained in the structure of the report, the sources of information to be drawn upon and other important parameters </w:t>
      </w:r>
      <w:r w:rsidR="00C20967" w:rsidRPr="003C35F8">
        <w:rPr>
          <w:rFonts w:eastAsia="Malgun Gothic"/>
          <w:kern w:val="22"/>
          <w:sz w:val="18"/>
          <w:szCs w:val="18"/>
        </w:rPr>
        <w:t>for</w:t>
      </w:r>
      <w:r w:rsidRPr="003C35F8">
        <w:rPr>
          <w:rFonts w:eastAsia="Malgun Gothic"/>
          <w:kern w:val="22"/>
          <w:sz w:val="18"/>
          <w:szCs w:val="18"/>
        </w:rPr>
        <w:t xml:space="preserve"> guid</w:t>
      </w:r>
      <w:r w:rsidR="00C20967" w:rsidRPr="003C35F8">
        <w:rPr>
          <w:rFonts w:eastAsia="Malgun Gothic"/>
          <w:kern w:val="22"/>
          <w:sz w:val="18"/>
          <w:szCs w:val="18"/>
        </w:rPr>
        <w:t>ing</w:t>
      </w:r>
      <w:r w:rsidRPr="003C35F8">
        <w:rPr>
          <w:rFonts w:eastAsia="Malgun Gothic"/>
          <w:kern w:val="22"/>
          <w:sz w:val="18"/>
          <w:szCs w:val="18"/>
        </w:rPr>
        <w:t xml:space="preserve"> its preparation. </w:t>
      </w:r>
      <w:r w:rsidR="00680380" w:rsidRPr="003C35F8">
        <w:rPr>
          <w:rFonts w:eastAsia="Malgun Gothic"/>
          <w:kern w:val="22"/>
          <w:sz w:val="18"/>
          <w:szCs w:val="18"/>
        </w:rPr>
        <w:t xml:space="preserve">In </w:t>
      </w:r>
      <w:r w:rsidR="001D35E4" w:rsidRPr="003C35F8">
        <w:rPr>
          <w:rFonts w:eastAsia="Malgun Gothic"/>
          <w:kern w:val="22"/>
          <w:sz w:val="18"/>
          <w:szCs w:val="18"/>
        </w:rPr>
        <w:t>that</w:t>
      </w:r>
      <w:r w:rsidR="00680380" w:rsidRPr="003C35F8">
        <w:rPr>
          <w:rFonts w:eastAsia="Malgun Gothic"/>
          <w:kern w:val="22"/>
          <w:sz w:val="18"/>
          <w:szCs w:val="18"/>
        </w:rPr>
        <w:t xml:space="preserve"> </w:t>
      </w:r>
      <w:r w:rsidRPr="003C35F8">
        <w:rPr>
          <w:rFonts w:eastAsia="Malgun Gothic"/>
          <w:kern w:val="22"/>
          <w:sz w:val="18"/>
          <w:szCs w:val="18"/>
        </w:rPr>
        <w:t>recommendation</w:t>
      </w:r>
      <w:r w:rsidR="00680380" w:rsidRPr="003C35F8">
        <w:rPr>
          <w:rFonts w:eastAsia="Malgun Gothic"/>
          <w:kern w:val="22"/>
          <w:sz w:val="18"/>
          <w:szCs w:val="18"/>
        </w:rPr>
        <w:t>, the Subsidiary Body on Implementation provided elements of</w:t>
      </w:r>
      <w:r w:rsidRPr="003C35F8">
        <w:rPr>
          <w:rFonts w:eastAsia="Malgun Gothic"/>
          <w:kern w:val="22"/>
          <w:sz w:val="18"/>
          <w:szCs w:val="18"/>
        </w:rPr>
        <w:t xml:space="preserve"> a draft decision </w:t>
      </w:r>
      <w:r w:rsidR="00680380" w:rsidRPr="003C35F8">
        <w:rPr>
          <w:rFonts w:eastAsia="Malgun Gothic"/>
          <w:kern w:val="22"/>
          <w:sz w:val="18"/>
          <w:szCs w:val="18"/>
        </w:rPr>
        <w:t>to be considered by</w:t>
      </w:r>
      <w:r w:rsidRPr="003C35F8">
        <w:rPr>
          <w:rFonts w:eastAsia="Malgun Gothic"/>
          <w:kern w:val="22"/>
          <w:sz w:val="18"/>
          <w:szCs w:val="18"/>
        </w:rPr>
        <w:t xml:space="preserve"> the Conference of the Parties</w:t>
      </w:r>
      <w:r w:rsidR="00680380" w:rsidRPr="003C35F8">
        <w:rPr>
          <w:rFonts w:eastAsia="Malgun Gothic"/>
          <w:kern w:val="22"/>
          <w:sz w:val="18"/>
          <w:szCs w:val="18"/>
        </w:rPr>
        <w:t xml:space="preserve"> at its sixteenth meeting</w:t>
      </w:r>
      <w:r w:rsidRPr="003C35F8">
        <w:rPr>
          <w:rFonts w:eastAsia="Malgun Gothic"/>
          <w:kern w:val="22"/>
          <w:sz w:val="18"/>
          <w:szCs w:val="18"/>
        </w:rPr>
        <w:t>.</w:t>
      </w:r>
    </w:p>
  </w:footnote>
  <w:footnote w:id="4">
    <w:p w14:paraId="745C4E2E" w14:textId="6819E549" w:rsidR="00CA5D39" w:rsidRPr="00D93157" w:rsidRDefault="00CA5D39">
      <w:pPr>
        <w:pStyle w:val="FootnoteText"/>
      </w:pPr>
      <w:r w:rsidRPr="003C35F8">
        <w:rPr>
          <w:rStyle w:val="FootnoteReference"/>
        </w:rPr>
        <w:footnoteRef/>
      </w:r>
      <w:r w:rsidRPr="003C35F8">
        <w:rPr>
          <w:sz w:val="18"/>
          <w:szCs w:val="18"/>
        </w:rPr>
        <w:t xml:space="preserve"> The </w:t>
      </w:r>
      <w:r w:rsidRPr="00F228EA">
        <w:rPr>
          <w:sz w:val="18"/>
          <w:szCs w:val="18"/>
        </w:rPr>
        <w:t>Subsidiary Body on Scientific, Technical and Technological Advice</w:t>
      </w:r>
      <w:r w:rsidRPr="003C35F8">
        <w:rPr>
          <w:sz w:val="18"/>
          <w:szCs w:val="18"/>
        </w:rPr>
        <w:t xml:space="preserve">, at its twenty-fifth meeting, recommended that the preparation of the global report be supported by an ad hoc scientific and technical advisory group to oversee the collection, </w:t>
      </w:r>
      <w:proofErr w:type="gramStart"/>
      <w:r w:rsidRPr="003C35F8">
        <w:rPr>
          <w:sz w:val="18"/>
          <w:szCs w:val="18"/>
        </w:rPr>
        <w:t>analysis</w:t>
      </w:r>
      <w:proofErr w:type="gramEnd"/>
      <w:r w:rsidRPr="003C35F8">
        <w:rPr>
          <w:sz w:val="18"/>
          <w:szCs w:val="18"/>
        </w:rPr>
        <w:t xml:space="preserve"> and synthesis of scientific, technical and technological inputs for the report. The Subsidiary Body included draft terms of reference for the advisory group in its recommendation 25/2.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37802784"/>
  <w:bookmarkStart w:id="4" w:name="_Hlk137802785"/>
  <w:p w14:paraId="5A1125A1" w14:textId="7CE686AE" w:rsidR="00E6672F" w:rsidRPr="00F228EA" w:rsidRDefault="00AF69D8" w:rsidP="002B559C">
    <w:pPr>
      <w:pStyle w:val="Header"/>
      <w:pBdr>
        <w:bottom w:val="single" w:sz="4" w:space="1" w:color="auto"/>
      </w:pBdr>
      <w:spacing w:after="240"/>
      <w:rPr>
        <w:sz w:val="20"/>
        <w:szCs w:val="20"/>
        <w:lang w:val="en-US"/>
      </w:rPr>
    </w:pPr>
    <w:sdt>
      <w:sdtPr>
        <w:rPr>
          <w:sz w:val="20"/>
          <w:szCs w:val="20"/>
          <w:lang w:val="en-US"/>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6D634F">
          <w:rPr>
            <w:sz w:val="20"/>
            <w:szCs w:val="20"/>
            <w:lang w:val="en-US"/>
          </w:rPr>
          <w:t>CBD/SBI/4/4/A</w:t>
        </w:r>
        <w:r w:rsidR="006D634F">
          <w:rPr>
            <w:caps w:val="0"/>
            <w:sz w:val="20"/>
            <w:szCs w:val="20"/>
            <w:lang w:val="en-US"/>
          </w:rPr>
          <w:t>dd</w:t>
        </w:r>
        <w:r w:rsidR="006D634F">
          <w:rPr>
            <w:sz w:val="20"/>
            <w:szCs w:val="20"/>
            <w:lang w:val="en-US"/>
          </w:rPr>
          <w:t>.2/R</w:t>
        </w:r>
        <w:r w:rsidR="00B10E7A">
          <w:rPr>
            <w:caps w:val="0"/>
            <w:sz w:val="20"/>
            <w:szCs w:val="20"/>
            <w:lang w:val="en-US"/>
          </w:rPr>
          <w:t>ev</w:t>
        </w:r>
        <w:r w:rsidR="006D634F">
          <w:rPr>
            <w:sz w:val="20"/>
            <w:szCs w:val="20"/>
            <w:lang w:val="en-US"/>
          </w:rPr>
          <w:t>.1</w:t>
        </w:r>
      </w:sdtContent>
    </w:sdt>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7400126B" w14:textId="3B9FA247" w:rsidR="00E6672F" w:rsidRPr="002B559C" w:rsidRDefault="006D634F" w:rsidP="002B559C">
        <w:pPr>
          <w:pStyle w:val="Header"/>
          <w:pBdr>
            <w:bottom w:val="single" w:sz="4" w:space="1" w:color="auto"/>
          </w:pBdr>
          <w:spacing w:after="240"/>
          <w:jc w:val="right"/>
          <w:rPr>
            <w:sz w:val="20"/>
            <w:szCs w:val="20"/>
            <w:lang w:val="fr-FR"/>
          </w:rPr>
        </w:pPr>
        <w:r>
          <w:rPr>
            <w:sz w:val="20"/>
            <w:szCs w:val="20"/>
            <w:lang w:val="fr-FR"/>
          </w:rPr>
          <w:t>CBD/SBI/4/4/A</w:t>
        </w:r>
        <w:r>
          <w:rPr>
            <w:caps w:val="0"/>
            <w:sz w:val="20"/>
            <w:szCs w:val="20"/>
            <w:lang w:val="fr-FR"/>
          </w:rPr>
          <w:t>dd</w:t>
        </w:r>
        <w:r>
          <w:rPr>
            <w:sz w:val="20"/>
            <w:szCs w:val="20"/>
            <w:lang w:val="fr-FR"/>
          </w:rPr>
          <w:t>.2/R</w:t>
        </w:r>
        <w:r>
          <w:rPr>
            <w:caps w:val="0"/>
            <w:sz w:val="20"/>
            <w:szCs w:val="20"/>
            <w:lang w:val="fr-FR"/>
          </w:rPr>
          <w:t>ev</w:t>
        </w:r>
        <w:r>
          <w:rPr>
            <w:sz w:val="20"/>
            <w:szCs w:val="20"/>
            <w:lang w:val="fr-FR"/>
          </w:rP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0FE"/>
    <w:multiLevelType w:val="hybridMultilevel"/>
    <w:tmpl w:val="AE42B670"/>
    <w:lvl w:ilvl="0" w:tplc="B07642CA">
      <w:start w:val="1"/>
      <w:numFmt w:val="lowerLetter"/>
      <w:lvlText w:val="(%1)"/>
      <w:lvlJc w:val="left"/>
      <w:pPr>
        <w:tabs>
          <w:tab w:val="num" w:pos="2160"/>
        </w:tabs>
        <w:ind w:left="2160" w:hanging="360"/>
      </w:pPr>
      <w:rPr>
        <w:rFonts w:hint="default"/>
        <w:b w:val="0"/>
      </w:rPr>
    </w:lvl>
    <w:lvl w:ilvl="1" w:tplc="DF4263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33F3E"/>
    <w:multiLevelType w:val="hybridMultilevel"/>
    <w:tmpl w:val="058888F8"/>
    <w:lvl w:ilvl="0" w:tplc="1C96EA68">
      <w:start w:val="1"/>
      <w:numFmt w:val="decimal"/>
      <w:lvlText w:val="%1."/>
      <w:lvlJc w:val="left"/>
      <w:pPr>
        <w:tabs>
          <w:tab w:val="num" w:pos="4500"/>
        </w:tabs>
        <w:ind w:left="4500" w:hanging="720"/>
      </w:pPr>
    </w:lvl>
    <w:lvl w:ilvl="1" w:tplc="069291EE">
      <w:start w:val="1"/>
      <w:numFmt w:val="lowerLetter"/>
      <w:lvlText w:val="(%2)"/>
      <w:lvlJc w:val="left"/>
      <w:pPr>
        <w:ind w:left="4860" w:hanging="360"/>
      </w:pPr>
      <w:rPr>
        <w:rFonts w:asciiTheme="majorBidi" w:eastAsia="Times New Roman" w:hAnsiTheme="majorBidi" w:cstheme="majorBidi" w:hint="default"/>
      </w:rPr>
    </w:lvl>
    <w:lvl w:ilvl="2" w:tplc="0409001B">
      <w:start w:val="1"/>
      <w:numFmt w:val="lowerRoman"/>
      <w:lvlText w:val="%3."/>
      <w:lvlJc w:val="right"/>
      <w:pPr>
        <w:tabs>
          <w:tab w:val="num" w:pos="5580"/>
        </w:tabs>
        <w:ind w:left="5580" w:hanging="180"/>
      </w:pPr>
    </w:lvl>
    <w:lvl w:ilvl="3" w:tplc="0409000F">
      <w:start w:val="1"/>
      <w:numFmt w:val="decimal"/>
      <w:lvlText w:val="%4."/>
      <w:lvlJc w:val="left"/>
      <w:pPr>
        <w:tabs>
          <w:tab w:val="num" w:pos="6300"/>
        </w:tabs>
        <w:ind w:left="6300" w:hanging="360"/>
      </w:pPr>
    </w:lvl>
    <w:lvl w:ilvl="4" w:tplc="04090019">
      <w:start w:val="1"/>
      <w:numFmt w:val="lowerLetter"/>
      <w:lvlText w:val="%5."/>
      <w:lvlJc w:val="left"/>
      <w:pPr>
        <w:tabs>
          <w:tab w:val="num" w:pos="7020"/>
        </w:tabs>
        <w:ind w:left="7020" w:hanging="360"/>
      </w:pPr>
    </w:lvl>
    <w:lvl w:ilvl="5" w:tplc="0409001B">
      <w:start w:val="1"/>
      <w:numFmt w:val="lowerRoman"/>
      <w:lvlText w:val="%6."/>
      <w:lvlJc w:val="right"/>
      <w:pPr>
        <w:tabs>
          <w:tab w:val="num" w:pos="7740"/>
        </w:tabs>
        <w:ind w:left="7740" w:hanging="180"/>
      </w:pPr>
    </w:lvl>
    <w:lvl w:ilvl="6" w:tplc="0409000F">
      <w:start w:val="1"/>
      <w:numFmt w:val="decimal"/>
      <w:lvlText w:val="%7."/>
      <w:lvlJc w:val="left"/>
      <w:pPr>
        <w:tabs>
          <w:tab w:val="num" w:pos="8460"/>
        </w:tabs>
        <w:ind w:left="8460" w:hanging="360"/>
      </w:pPr>
    </w:lvl>
    <w:lvl w:ilvl="7" w:tplc="04090019">
      <w:start w:val="1"/>
      <w:numFmt w:val="lowerLetter"/>
      <w:lvlText w:val="%8."/>
      <w:lvlJc w:val="left"/>
      <w:pPr>
        <w:tabs>
          <w:tab w:val="num" w:pos="9180"/>
        </w:tabs>
        <w:ind w:left="9180" w:hanging="360"/>
      </w:pPr>
    </w:lvl>
    <w:lvl w:ilvl="8" w:tplc="0409001B">
      <w:start w:val="1"/>
      <w:numFmt w:val="lowerRoman"/>
      <w:lvlText w:val="%9."/>
      <w:lvlJc w:val="right"/>
      <w:pPr>
        <w:tabs>
          <w:tab w:val="num" w:pos="9900"/>
        </w:tabs>
        <w:ind w:left="9900" w:hanging="180"/>
      </w:pPr>
    </w:lvl>
  </w:abstractNum>
  <w:abstractNum w:abstractNumId="2" w15:restartNumberingAfterBreak="0">
    <w:nsid w:val="055B1AE3"/>
    <w:multiLevelType w:val="hybridMultilevel"/>
    <w:tmpl w:val="7C3ECF5A"/>
    <w:lvl w:ilvl="0" w:tplc="CFB62B08">
      <w:start w:val="1"/>
      <w:numFmt w:val="decimal"/>
      <w:lvlText w:val="%1."/>
      <w:lvlJc w:val="left"/>
      <w:pPr>
        <w:tabs>
          <w:tab w:val="num" w:pos="1080"/>
        </w:tabs>
        <w:ind w:left="1080" w:hanging="360"/>
      </w:pPr>
      <w:rPr>
        <w:rFonts w:hint="default"/>
        <w:i w:val="0"/>
        <w:iCs/>
      </w:rPr>
    </w:lvl>
    <w:lvl w:ilvl="1" w:tplc="CAB40D4C">
      <w:start w:val="1"/>
      <w:numFmt w:val="lowerLetter"/>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68325B"/>
    <w:multiLevelType w:val="hybridMultilevel"/>
    <w:tmpl w:val="F138A28A"/>
    <w:lvl w:ilvl="0" w:tplc="FF2CD80A">
      <w:start w:val="1"/>
      <w:numFmt w:val="lowerLetter"/>
      <w:lvlText w:val="(%1)"/>
      <w:lvlJc w:val="left"/>
      <w:pPr>
        <w:tabs>
          <w:tab w:val="num" w:pos="2790"/>
        </w:tabs>
        <w:ind w:left="279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7" w15:restartNumberingAfterBreak="0">
    <w:nsid w:val="262A4857"/>
    <w:multiLevelType w:val="hybridMultilevel"/>
    <w:tmpl w:val="5030DB70"/>
    <w:lvl w:ilvl="0" w:tplc="4B50C0F0">
      <w:start w:val="17"/>
      <w:numFmt w:val="bullet"/>
      <w:lvlText w:val="-"/>
      <w:lvlJc w:val="left"/>
      <w:pPr>
        <w:ind w:left="720" w:hanging="360"/>
      </w:pPr>
      <w:rPr>
        <w:rFonts w:ascii="Times New Roman" w:eastAsia="DengXian"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9"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2B66280F"/>
    <w:multiLevelType w:val="hybridMultilevel"/>
    <w:tmpl w:val="0E82DDD8"/>
    <w:lvl w:ilvl="0" w:tplc="CAE2D4B4">
      <w:start w:val="1"/>
      <w:numFmt w:val="lowerLetter"/>
      <w:lvlText w:val="(%1)"/>
      <w:lvlJc w:val="left"/>
      <w:pPr>
        <w:ind w:left="1282" w:hanging="360"/>
      </w:pPr>
      <w:rPr>
        <w:rFonts w:hint="default"/>
      </w:rPr>
    </w:lvl>
    <w:lvl w:ilvl="1" w:tplc="04090019">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1" w15:restartNumberingAfterBreak="0">
    <w:nsid w:val="31B81F11"/>
    <w:multiLevelType w:val="hybridMultilevel"/>
    <w:tmpl w:val="33E68746"/>
    <w:lvl w:ilvl="0" w:tplc="A50AF5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63323F"/>
    <w:multiLevelType w:val="hybridMultilevel"/>
    <w:tmpl w:val="B8D8DCB6"/>
    <w:lvl w:ilvl="0" w:tplc="CF823C9C">
      <w:start w:val="2"/>
      <w:numFmt w:val="upperLetter"/>
      <w:lvlText w:val="%1."/>
      <w:lvlJc w:val="left"/>
      <w:pPr>
        <w:ind w:left="947"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918B5"/>
    <w:multiLevelType w:val="hybridMultilevel"/>
    <w:tmpl w:val="84E4AF6E"/>
    <w:lvl w:ilvl="0" w:tplc="CAE2D4B4">
      <w:start w:val="1"/>
      <w:numFmt w:val="lowerLetter"/>
      <w:lvlText w:val="(%1)"/>
      <w:lvlJc w:val="left"/>
      <w:pPr>
        <w:ind w:left="1282" w:hanging="360"/>
      </w:pPr>
      <w:rPr>
        <w:rFonts w:hint="default"/>
      </w:rPr>
    </w:lvl>
    <w:lvl w:ilvl="1" w:tplc="FFFFFFFF" w:tentative="1">
      <w:start w:val="1"/>
      <w:numFmt w:val="lowerLetter"/>
      <w:lvlText w:val="%2."/>
      <w:lvlJc w:val="left"/>
      <w:pPr>
        <w:ind w:left="2002" w:hanging="360"/>
      </w:pPr>
    </w:lvl>
    <w:lvl w:ilvl="2" w:tplc="FFFFFFFF" w:tentative="1">
      <w:start w:val="1"/>
      <w:numFmt w:val="lowerRoman"/>
      <w:lvlText w:val="%3."/>
      <w:lvlJc w:val="right"/>
      <w:pPr>
        <w:ind w:left="2722" w:hanging="180"/>
      </w:pPr>
    </w:lvl>
    <w:lvl w:ilvl="3" w:tplc="FFFFFFFF" w:tentative="1">
      <w:start w:val="1"/>
      <w:numFmt w:val="decimal"/>
      <w:lvlText w:val="%4."/>
      <w:lvlJc w:val="left"/>
      <w:pPr>
        <w:ind w:left="3442" w:hanging="360"/>
      </w:pPr>
    </w:lvl>
    <w:lvl w:ilvl="4" w:tplc="FFFFFFFF" w:tentative="1">
      <w:start w:val="1"/>
      <w:numFmt w:val="lowerLetter"/>
      <w:lvlText w:val="%5."/>
      <w:lvlJc w:val="left"/>
      <w:pPr>
        <w:ind w:left="4162" w:hanging="360"/>
      </w:pPr>
    </w:lvl>
    <w:lvl w:ilvl="5" w:tplc="FFFFFFFF" w:tentative="1">
      <w:start w:val="1"/>
      <w:numFmt w:val="lowerRoman"/>
      <w:lvlText w:val="%6."/>
      <w:lvlJc w:val="right"/>
      <w:pPr>
        <w:ind w:left="4882" w:hanging="180"/>
      </w:pPr>
    </w:lvl>
    <w:lvl w:ilvl="6" w:tplc="FFFFFFFF" w:tentative="1">
      <w:start w:val="1"/>
      <w:numFmt w:val="decimal"/>
      <w:lvlText w:val="%7."/>
      <w:lvlJc w:val="left"/>
      <w:pPr>
        <w:ind w:left="5602" w:hanging="360"/>
      </w:pPr>
    </w:lvl>
    <w:lvl w:ilvl="7" w:tplc="FFFFFFFF" w:tentative="1">
      <w:start w:val="1"/>
      <w:numFmt w:val="lowerLetter"/>
      <w:lvlText w:val="%8."/>
      <w:lvlJc w:val="left"/>
      <w:pPr>
        <w:ind w:left="6322" w:hanging="360"/>
      </w:pPr>
    </w:lvl>
    <w:lvl w:ilvl="8" w:tplc="FFFFFFFF" w:tentative="1">
      <w:start w:val="1"/>
      <w:numFmt w:val="lowerRoman"/>
      <w:lvlText w:val="%9."/>
      <w:lvlJc w:val="right"/>
      <w:pPr>
        <w:ind w:left="7042" w:hanging="180"/>
      </w:pPr>
    </w:lvl>
  </w:abstractNum>
  <w:abstractNum w:abstractNumId="14" w15:restartNumberingAfterBreak="0">
    <w:nsid w:val="3CA410CD"/>
    <w:multiLevelType w:val="hybridMultilevel"/>
    <w:tmpl w:val="883E190E"/>
    <w:lvl w:ilvl="0" w:tplc="6E482212">
      <w:start w:val="1"/>
      <w:numFmt w:val="decimal"/>
      <w:pStyle w:val="CBD-Para"/>
      <w:lvlText w:val="%1."/>
      <w:lvlJc w:val="left"/>
      <w:pPr>
        <w:tabs>
          <w:tab w:val="num" w:pos="1260"/>
        </w:tabs>
        <w:ind w:left="540" w:firstLine="0"/>
      </w:pPr>
      <w:rPr>
        <w:rFonts w:hint="default"/>
        <w:b w:val="0"/>
      </w:rPr>
    </w:lvl>
    <w:lvl w:ilvl="1" w:tplc="DF42636C">
      <w:start w:val="1"/>
      <w:numFmt w:val="lowerLetter"/>
      <w:lvlText w:val="(%2)"/>
      <w:lvlJc w:val="left"/>
      <w:pPr>
        <w:ind w:left="1647" w:hanging="360"/>
      </w:pPr>
      <w:rPr>
        <w:rFonts w:hint="default"/>
      </w:rPr>
    </w:lvl>
    <w:lvl w:ilvl="2" w:tplc="07B06256">
      <w:start w:val="1"/>
      <w:numFmt w:val="lowerLetter"/>
      <w:lvlText w:val="(%3)"/>
      <w:lvlJc w:val="left"/>
      <w:pPr>
        <w:tabs>
          <w:tab w:val="num" w:pos="2547"/>
        </w:tabs>
        <w:ind w:left="2547" w:hanging="360"/>
      </w:pPr>
      <w:rPr>
        <w:rFonts w:hint="default"/>
      </w:rPr>
    </w:lvl>
    <w:lvl w:ilvl="3" w:tplc="7E3C3020">
      <w:start w:val="1"/>
      <w:numFmt w:val="upperLetter"/>
      <w:lvlText w:val="%4."/>
      <w:lvlJc w:val="left"/>
      <w:pPr>
        <w:ind w:left="3267" w:hanging="540"/>
      </w:pPr>
      <w:rPr>
        <w:rFonts w:hint="default"/>
        <w:b/>
        <w:i/>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521709"/>
    <w:multiLevelType w:val="hybridMultilevel"/>
    <w:tmpl w:val="FE22EEF0"/>
    <w:lvl w:ilvl="0" w:tplc="FFFFFFFF">
      <w:start w:val="1"/>
      <w:numFmt w:val="decimal"/>
      <w:lvlText w:val="%1."/>
      <w:lvlJc w:val="left"/>
      <w:pPr>
        <w:tabs>
          <w:tab w:val="num" w:pos="360"/>
        </w:tabs>
        <w:ind w:left="360" w:hanging="360"/>
      </w:pPr>
      <w:rPr>
        <w:rFonts w:hint="default"/>
        <w:i w:val="0"/>
        <w:iCs/>
      </w:rPr>
    </w:lvl>
    <w:lvl w:ilvl="1" w:tplc="FFFFFFFF">
      <w:start w:val="1"/>
      <w:numFmt w:val="lowerLetter"/>
      <w:lvlText w:val="(%2)"/>
      <w:lvlJc w:val="left"/>
      <w:pPr>
        <w:tabs>
          <w:tab w:val="num" w:pos="1440"/>
        </w:tabs>
        <w:ind w:left="1440" w:hanging="360"/>
      </w:pPr>
      <w:rPr>
        <w:rFonts w:hint="default"/>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2F6646"/>
    <w:multiLevelType w:val="hybridMultilevel"/>
    <w:tmpl w:val="4E487CE4"/>
    <w:lvl w:ilvl="0" w:tplc="95C04E8A">
      <w:start w:val="1"/>
      <w:numFmt w:val="upperLetter"/>
      <w:lvlText w:val="%1."/>
      <w:lvlJc w:val="left"/>
      <w:pPr>
        <w:ind w:left="1710" w:hanging="360"/>
      </w:pPr>
      <w:rPr>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15:restartNumberingAfterBreak="0">
    <w:nsid w:val="56362CB6"/>
    <w:multiLevelType w:val="hybridMultilevel"/>
    <w:tmpl w:val="F5DA555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568C0C69"/>
    <w:multiLevelType w:val="hybridMultilevel"/>
    <w:tmpl w:val="7F569CA6"/>
    <w:lvl w:ilvl="0" w:tplc="FFFFFFFF">
      <w:start w:val="1"/>
      <w:numFmt w:val="lowerLetter"/>
      <w:lvlText w:val="(%1)"/>
      <w:lvlJc w:val="left"/>
      <w:pPr>
        <w:tabs>
          <w:tab w:val="num" w:pos="2160"/>
        </w:tabs>
        <w:ind w:left="21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6B35038"/>
    <w:multiLevelType w:val="hybridMultilevel"/>
    <w:tmpl w:val="A4EA432C"/>
    <w:lvl w:ilvl="0" w:tplc="CFB62B08">
      <w:start w:val="1"/>
      <w:numFmt w:val="decimal"/>
      <w:lvlText w:val="%1."/>
      <w:lvlJc w:val="left"/>
      <w:pPr>
        <w:tabs>
          <w:tab w:val="num" w:pos="1080"/>
        </w:tabs>
        <w:ind w:left="1080" w:hanging="360"/>
      </w:pPr>
      <w:rPr>
        <w:rFonts w:hint="default"/>
        <w:i w:val="0"/>
        <w:iCs/>
      </w:rPr>
    </w:lvl>
    <w:lvl w:ilvl="1" w:tplc="FF2CD80A">
      <w:start w:val="1"/>
      <w:numFmt w:val="lowerLetter"/>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9B430A"/>
    <w:multiLevelType w:val="hybridMultilevel"/>
    <w:tmpl w:val="5106ED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6" w15:restartNumberingAfterBreak="0">
    <w:nsid w:val="6011273C"/>
    <w:multiLevelType w:val="hybridMultilevel"/>
    <w:tmpl w:val="B284EF9C"/>
    <w:lvl w:ilvl="0" w:tplc="FFFFFFFF">
      <w:start w:val="1"/>
      <w:numFmt w:val="lowerLetter"/>
      <w:lvlText w:val="(%1)"/>
      <w:lvlJc w:val="left"/>
      <w:pPr>
        <w:ind w:left="1282" w:hanging="360"/>
      </w:pPr>
      <w:rPr>
        <w:rFonts w:hint="default"/>
      </w:rPr>
    </w:lvl>
    <w:lvl w:ilvl="1" w:tplc="CAE2D4B4">
      <w:start w:val="1"/>
      <w:numFmt w:val="lowerLetter"/>
      <w:lvlText w:val="(%2)"/>
      <w:lvlJc w:val="left"/>
      <w:pPr>
        <w:ind w:left="1282" w:hanging="360"/>
      </w:pPr>
      <w:rPr>
        <w:rFonts w:hint="default"/>
      </w:rPr>
    </w:lvl>
    <w:lvl w:ilvl="2" w:tplc="FFFFFFFF" w:tentative="1">
      <w:start w:val="1"/>
      <w:numFmt w:val="lowerRoman"/>
      <w:lvlText w:val="%3."/>
      <w:lvlJc w:val="right"/>
      <w:pPr>
        <w:ind w:left="2722" w:hanging="180"/>
      </w:pPr>
    </w:lvl>
    <w:lvl w:ilvl="3" w:tplc="FFFFFFFF" w:tentative="1">
      <w:start w:val="1"/>
      <w:numFmt w:val="decimal"/>
      <w:lvlText w:val="%4."/>
      <w:lvlJc w:val="left"/>
      <w:pPr>
        <w:ind w:left="3442" w:hanging="360"/>
      </w:pPr>
    </w:lvl>
    <w:lvl w:ilvl="4" w:tplc="FFFFFFFF" w:tentative="1">
      <w:start w:val="1"/>
      <w:numFmt w:val="lowerLetter"/>
      <w:lvlText w:val="%5."/>
      <w:lvlJc w:val="left"/>
      <w:pPr>
        <w:ind w:left="4162" w:hanging="360"/>
      </w:pPr>
    </w:lvl>
    <w:lvl w:ilvl="5" w:tplc="FFFFFFFF" w:tentative="1">
      <w:start w:val="1"/>
      <w:numFmt w:val="lowerRoman"/>
      <w:lvlText w:val="%6."/>
      <w:lvlJc w:val="right"/>
      <w:pPr>
        <w:ind w:left="4882" w:hanging="180"/>
      </w:pPr>
    </w:lvl>
    <w:lvl w:ilvl="6" w:tplc="FFFFFFFF" w:tentative="1">
      <w:start w:val="1"/>
      <w:numFmt w:val="decimal"/>
      <w:lvlText w:val="%7."/>
      <w:lvlJc w:val="left"/>
      <w:pPr>
        <w:ind w:left="5602" w:hanging="360"/>
      </w:pPr>
    </w:lvl>
    <w:lvl w:ilvl="7" w:tplc="FFFFFFFF" w:tentative="1">
      <w:start w:val="1"/>
      <w:numFmt w:val="lowerLetter"/>
      <w:lvlText w:val="%8."/>
      <w:lvlJc w:val="left"/>
      <w:pPr>
        <w:ind w:left="6322" w:hanging="360"/>
      </w:pPr>
    </w:lvl>
    <w:lvl w:ilvl="8" w:tplc="FFFFFFFF" w:tentative="1">
      <w:start w:val="1"/>
      <w:numFmt w:val="lowerRoman"/>
      <w:lvlText w:val="%9."/>
      <w:lvlJc w:val="right"/>
      <w:pPr>
        <w:ind w:left="7042" w:hanging="180"/>
      </w:pPr>
    </w:lvl>
  </w:abstractNum>
  <w:abstractNum w:abstractNumId="27" w15:restartNumberingAfterBreak="0">
    <w:nsid w:val="60530ADD"/>
    <w:multiLevelType w:val="hybridMultilevel"/>
    <w:tmpl w:val="CFA8D802"/>
    <w:lvl w:ilvl="0" w:tplc="04090017">
      <w:start w:val="1"/>
      <w:numFmt w:val="lowerLetter"/>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8"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9"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0" w15:restartNumberingAfterBreak="0">
    <w:nsid w:val="67FF7523"/>
    <w:multiLevelType w:val="hybridMultilevel"/>
    <w:tmpl w:val="A4EA432C"/>
    <w:lvl w:ilvl="0" w:tplc="FFFFFFFF">
      <w:start w:val="1"/>
      <w:numFmt w:val="decimal"/>
      <w:lvlText w:val="%1."/>
      <w:lvlJc w:val="left"/>
      <w:pPr>
        <w:tabs>
          <w:tab w:val="num" w:pos="1080"/>
        </w:tabs>
        <w:ind w:left="1080" w:hanging="360"/>
      </w:pPr>
      <w:rPr>
        <w:rFonts w:hint="default"/>
        <w:i w:val="0"/>
        <w:iCs/>
      </w:rPr>
    </w:lvl>
    <w:lvl w:ilvl="1" w:tplc="FFFFFFFF">
      <w:start w:val="1"/>
      <w:numFmt w:val="lowerLetter"/>
      <w:lvlText w:val="(%2)"/>
      <w:lvlJc w:val="left"/>
      <w:pPr>
        <w:tabs>
          <w:tab w:val="num" w:pos="2160"/>
        </w:tabs>
        <w:ind w:left="2160" w:hanging="360"/>
      </w:pPr>
      <w:rPr>
        <w:rFonts w:hint="default"/>
        <w:b w:val="0"/>
      </w:r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15:restartNumberingAfterBreak="0">
    <w:nsid w:val="68B70991"/>
    <w:multiLevelType w:val="hybridMultilevel"/>
    <w:tmpl w:val="98F2167C"/>
    <w:lvl w:ilvl="0" w:tplc="D61A3182">
      <w:start w:val="1"/>
      <w:numFmt w:val="decimal"/>
      <w:pStyle w:val="Para1"/>
      <w:lvlText w:val="%1."/>
      <w:lvlJc w:val="left"/>
      <w:pPr>
        <w:ind w:left="927" w:hanging="360"/>
      </w:pPr>
      <w:rPr>
        <w:rFonts w:hint="default"/>
        <w:b w:val="0"/>
        <w:color w:val="auto"/>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87943"/>
    <w:multiLevelType w:val="hybridMultilevel"/>
    <w:tmpl w:val="8B0CD9D2"/>
    <w:lvl w:ilvl="0" w:tplc="8042CC5C">
      <w:start w:val="1"/>
      <w:numFmt w:val="lowerLetter"/>
      <w:lvlText w:val="(%1)"/>
      <w:lvlJc w:val="left"/>
      <w:pPr>
        <w:tabs>
          <w:tab w:val="num" w:pos="1440"/>
        </w:tabs>
        <w:ind w:left="1440" w:hanging="360"/>
      </w:pPr>
      <w:rPr>
        <w:rFonts w:ascii="Times New Roman" w:eastAsia="Malgun Gothic" w:hAnsi="Times New Roman" w:cs="Times New Roman"/>
        <w:b w:val="0"/>
      </w:rPr>
    </w:lvl>
    <w:lvl w:ilvl="1" w:tplc="D56E9082">
      <w:start w:val="1"/>
      <w:numFmt w:val="lowerLetter"/>
      <w:lvlText w:val="(%2)"/>
      <w:lvlJc w:val="left"/>
      <w:pPr>
        <w:ind w:left="720" w:hanging="360"/>
      </w:pPr>
      <w:rPr>
        <w:rFonts w:hint="default"/>
      </w:r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4"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5"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CDC52F8"/>
    <w:multiLevelType w:val="hybridMultilevel"/>
    <w:tmpl w:val="8866473C"/>
    <w:lvl w:ilvl="0" w:tplc="DF42636C">
      <w:start w:val="1"/>
      <w:numFmt w:val="lowerLetter"/>
      <w:lvlText w:val="(%1)"/>
      <w:lvlJc w:val="left"/>
      <w:pPr>
        <w:ind w:left="164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7" w15:restartNumberingAfterBreak="0">
    <w:nsid w:val="7CE41C45"/>
    <w:multiLevelType w:val="hybridMultilevel"/>
    <w:tmpl w:val="6AB8AE26"/>
    <w:lvl w:ilvl="0" w:tplc="D83273F2">
      <w:start w:val="1"/>
      <w:numFmt w:val="upperLetter"/>
      <w:lvlText w:val="%1."/>
      <w:lvlJc w:val="left"/>
      <w:pPr>
        <w:ind w:left="947" w:hanging="3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FDE2B7B"/>
    <w:multiLevelType w:val="hybridMultilevel"/>
    <w:tmpl w:val="82D2474C"/>
    <w:lvl w:ilvl="0" w:tplc="CAB40D4C">
      <w:start w:val="1"/>
      <w:numFmt w:val="lowerLetter"/>
      <w:lvlText w:val="(%1)"/>
      <w:lvlJc w:val="left"/>
      <w:pPr>
        <w:tabs>
          <w:tab w:val="num" w:pos="2160"/>
        </w:tabs>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0582190">
    <w:abstractNumId w:val="15"/>
  </w:num>
  <w:num w:numId="2" w16cid:durableId="669480417">
    <w:abstractNumId w:val="31"/>
  </w:num>
  <w:num w:numId="3" w16cid:durableId="252788323">
    <w:abstractNumId w:val="34"/>
  </w:num>
  <w:num w:numId="4" w16cid:durableId="753429203">
    <w:abstractNumId w:val="5"/>
  </w:num>
  <w:num w:numId="5" w16cid:durableId="1571387592">
    <w:abstractNumId w:val="6"/>
  </w:num>
  <w:num w:numId="6" w16cid:durableId="738753459">
    <w:abstractNumId w:val="6"/>
  </w:num>
  <w:num w:numId="7" w16cid:durableId="1779254660">
    <w:abstractNumId w:val="9"/>
  </w:num>
  <w:num w:numId="8" w16cid:durableId="201216780">
    <w:abstractNumId w:val="23"/>
  </w:num>
  <w:num w:numId="9" w16cid:durableId="773750041">
    <w:abstractNumId w:val="29"/>
  </w:num>
  <w:num w:numId="10" w16cid:durableId="874123381">
    <w:abstractNumId w:val="28"/>
  </w:num>
  <w:num w:numId="11" w16cid:durableId="1082603302">
    <w:abstractNumId w:val="19"/>
  </w:num>
  <w:num w:numId="12" w16cid:durableId="2033452092">
    <w:abstractNumId w:val="8"/>
  </w:num>
  <w:num w:numId="13" w16cid:durableId="1520268028">
    <w:abstractNumId w:val="8"/>
    <w:lvlOverride w:ilvl="0">
      <w:startOverride w:val="1"/>
    </w:lvlOverride>
  </w:num>
  <w:num w:numId="14" w16cid:durableId="1318341657">
    <w:abstractNumId w:val="25"/>
  </w:num>
  <w:num w:numId="15" w16cid:durableId="420565338">
    <w:abstractNumId w:val="25"/>
    <w:lvlOverride w:ilvl="0">
      <w:startOverride w:val="1"/>
    </w:lvlOverride>
  </w:num>
  <w:num w:numId="16" w16cid:durableId="565996049">
    <w:abstractNumId w:val="31"/>
    <w:lvlOverride w:ilvl="0">
      <w:startOverride w:val="1"/>
    </w:lvlOverride>
  </w:num>
  <w:num w:numId="17" w16cid:durableId="1485968578">
    <w:abstractNumId w:val="25"/>
    <w:lvlOverride w:ilvl="0">
      <w:startOverride w:val="1"/>
    </w:lvlOverride>
  </w:num>
  <w:num w:numId="18" w16cid:durableId="13578917">
    <w:abstractNumId w:val="35"/>
  </w:num>
  <w:num w:numId="19" w16cid:durableId="1168207629">
    <w:abstractNumId w:val="31"/>
    <w:lvlOverride w:ilvl="0">
      <w:startOverride w:val="1"/>
    </w:lvlOverride>
  </w:num>
  <w:num w:numId="20" w16cid:durableId="2026713874">
    <w:abstractNumId w:val="31"/>
    <w:lvlOverride w:ilvl="0">
      <w:startOverride w:val="1"/>
    </w:lvlOverride>
  </w:num>
  <w:num w:numId="21" w16cid:durableId="479463884">
    <w:abstractNumId w:val="14"/>
  </w:num>
  <w:num w:numId="22" w16cid:durableId="1346589700">
    <w:abstractNumId w:val="2"/>
  </w:num>
  <w:num w:numId="23" w16cid:durableId="18651684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6600571">
    <w:abstractNumId w:val="24"/>
  </w:num>
  <w:num w:numId="25" w16cid:durableId="1754232233">
    <w:abstractNumId w:val="7"/>
  </w:num>
  <w:num w:numId="26" w16cid:durableId="1070886311">
    <w:abstractNumId w:val="22"/>
  </w:num>
  <w:num w:numId="27" w16cid:durableId="1131052178">
    <w:abstractNumId w:val="16"/>
  </w:num>
  <w:num w:numId="28" w16cid:durableId="141233813">
    <w:abstractNumId w:val="17"/>
  </w:num>
  <w:num w:numId="29" w16cid:durableId="1053194566">
    <w:abstractNumId w:val="18"/>
  </w:num>
  <w:num w:numId="30" w16cid:durableId="516235803">
    <w:abstractNumId w:val="38"/>
  </w:num>
  <w:num w:numId="31" w16cid:durableId="1814323293">
    <w:abstractNumId w:val="0"/>
  </w:num>
  <w:num w:numId="32" w16cid:durableId="1781797992">
    <w:abstractNumId w:val="4"/>
  </w:num>
  <w:num w:numId="33" w16cid:durableId="2012440869">
    <w:abstractNumId w:val="14"/>
    <w:lvlOverride w:ilvl="0">
      <w:startOverride w:val="1"/>
    </w:lvlOverride>
  </w:num>
  <w:num w:numId="34" w16cid:durableId="463501156">
    <w:abstractNumId w:val="32"/>
  </w:num>
  <w:num w:numId="35" w16cid:durableId="1687749371">
    <w:abstractNumId w:val="14"/>
    <w:lvlOverride w:ilvl="0">
      <w:startOverride w:val="1"/>
    </w:lvlOverride>
  </w:num>
  <w:num w:numId="36" w16cid:durableId="567573079">
    <w:abstractNumId w:val="3"/>
  </w:num>
  <w:num w:numId="37" w16cid:durableId="1108159013">
    <w:abstractNumId w:val="30"/>
  </w:num>
  <w:num w:numId="38" w16cid:durableId="558907317">
    <w:abstractNumId w:val="21"/>
  </w:num>
  <w:num w:numId="39" w16cid:durableId="378238999">
    <w:abstractNumId w:val="36"/>
  </w:num>
  <w:num w:numId="40" w16cid:durableId="1129937122">
    <w:abstractNumId w:val="20"/>
  </w:num>
  <w:num w:numId="41" w16cid:durableId="1392727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4681242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886570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43310131">
    <w:abstractNumId w:val="33"/>
  </w:num>
  <w:num w:numId="45" w16cid:durableId="1835951878">
    <w:abstractNumId w:val="27"/>
  </w:num>
  <w:num w:numId="46" w16cid:durableId="149299461">
    <w:abstractNumId w:val="13"/>
  </w:num>
  <w:num w:numId="47" w16cid:durableId="1615818505">
    <w:abstractNumId w:val="10"/>
  </w:num>
  <w:num w:numId="48" w16cid:durableId="277758208">
    <w:abstractNumId w:val="26"/>
  </w:num>
  <w:num w:numId="49" w16cid:durableId="2070953812">
    <w:abstractNumId w:val="31"/>
  </w:num>
  <w:num w:numId="50" w16cid:durableId="590889680">
    <w:abstractNumId w:val="31"/>
    <w:lvlOverride w:ilvl="0">
      <w:startOverride w:val="1"/>
    </w:lvlOverride>
  </w:num>
  <w:num w:numId="51" w16cid:durableId="914164792">
    <w:abstractNumId w:val="11"/>
  </w:num>
  <w:num w:numId="52" w16cid:durableId="738094699">
    <w:abstractNumId w:val="37"/>
  </w:num>
  <w:num w:numId="53" w16cid:durableId="763964565">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revisionView w:markup="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DF"/>
    <w:rsid w:val="00011819"/>
    <w:rsid w:val="00020975"/>
    <w:rsid w:val="000301AF"/>
    <w:rsid w:val="000310F2"/>
    <w:rsid w:val="00034CE8"/>
    <w:rsid w:val="00037B5B"/>
    <w:rsid w:val="00040598"/>
    <w:rsid w:val="0004065A"/>
    <w:rsid w:val="00043E21"/>
    <w:rsid w:val="00064163"/>
    <w:rsid w:val="000707AC"/>
    <w:rsid w:val="00071D75"/>
    <w:rsid w:val="0007565C"/>
    <w:rsid w:val="00080A1D"/>
    <w:rsid w:val="00087390"/>
    <w:rsid w:val="00090AA0"/>
    <w:rsid w:val="00091E35"/>
    <w:rsid w:val="00094742"/>
    <w:rsid w:val="00096CA4"/>
    <w:rsid w:val="000A2136"/>
    <w:rsid w:val="000A357D"/>
    <w:rsid w:val="000A7B80"/>
    <w:rsid w:val="000B0861"/>
    <w:rsid w:val="000B3D8D"/>
    <w:rsid w:val="000C1FD6"/>
    <w:rsid w:val="000C24E6"/>
    <w:rsid w:val="000C3B9A"/>
    <w:rsid w:val="000D1727"/>
    <w:rsid w:val="000D5990"/>
    <w:rsid w:val="000D7E02"/>
    <w:rsid w:val="000E62AB"/>
    <w:rsid w:val="000E76EA"/>
    <w:rsid w:val="000F0535"/>
    <w:rsid w:val="000F205A"/>
    <w:rsid w:val="000F4407"/>
    <w:rsid w:val="000F5A6A"/>
    <w:rsid w:val="000F7A32"/>
    <w:rsid w:val="00107E7E"/>
    <w:rsid w:val="00111064"/>
    <w:rsid w:val="00132581"/>
    <w:rsid w:val="00141374"/>
    <w:rsid w:val="00160FC6"/>
    <w:rsid w:val="00161530"/>
    <w:rsid w:val="00174FCE"/>
    <w:rsid w:val="00177FDF"/>
    <w:rsid w:val="00184909"/>
    <w:rsid w:val="00194D99"/>
    <w:rsid w:val="00195951"/>
    <w:rsid w:val="001959A4"/>
    <w:rsid w:val="001A066B"/>
    <w:rsid w:val="001A3864"/>
    <w:rsid w:val="001C4D9B"/>
    <w:rsid w:val="001C51C0"/>
    <w:rsid w:val="001D2B06"/>
    <w:rsid w:val="001D35E4"/>
    <w:rsid w:val="001D7501"/>
    <w:rsid w:val="001E3B64"/>
    <w:rsid w:val="001E6FE3"/>
    <w:rsid w:val="00203D60"/>
    <w:rsid w:val="00206645"/>
    <w:rsid w:val="00211AC5"/>
    <w:rsid w:val="00225F85"/>
    <w:rsid w:val="002309A5"/>
    <w:rsid w:val="00230EB5"/>
    <w:rsid w:val="002359D0"/>
    <w:rsid w:val="002525A3"/>
    <w:rsid w:val="00271C05"/>
    <w:rsid w:val="00275801"/>
    <w:rsid w:val="0027587D"/>
    <w:rsid w:val="002766B6"/>
    <w:rsid w:val="002A1FE4"/>
    <w:rsid w:val="002A3332"/>
    <w:rsid w:val="002A50C9"/>
    <w:rsid w:val="002B00CA"/>
    <w:rsid w:val="002B2AFB"/>
    <w:rsid w:val="002B559C"/>
    <w:rsid w:val="002B6D14"/>
    <w:rsid w:val="002C0A74"/>
    <w:rsid w:val="002D1F37"/>
    <w:rsid w:val="002D7C5E"/>
    <w:rsid w:val="002E0535"/>
    <w:rsid w:val="002E0FE6"/>
    <w:rsid w:val="002F0B7C"/>
    <w:rsid w:val="002F6C35"/>
    <w:rsid w:val="0030123C"/>
    <w:rsid w:val="003073F8"/>
    <w:rsid w:val="00310608"/>
    <w:rsid w:val="00310D47"/>
    <w:rsid w:val="00315F89"/>
    <w:rsid w:val="00317C26"/>
    <w:rsid w:val="00320D41"/>
    <w:rsid w:val="00323F22"/>
    <w:rsid w:val="00327BB7"/>
    <w:rsid w:val="003321E1"/>
    <w:rsid w:val="003403BD"/>
    <w:rsid w:val="00343F2E"/>
    <w:rsid w:val="003476A9"/>
    <w:rsid w:val="00350455"/>
    <w:rsid w:val="00360D1B"/>
    <w:rsid w:val="00361144"/>
    <w:rsid w:val="003721F9"/>
    <w:rsid w:val="00373A9F"/>
    <w:rsid w:val="00375833"/>
    <w:rsid w:val="0037599A"/>
    <w:rsid w:val="00381367"/>
    <w:rsid w:val="00381499"/>
    <w:rsid w:val="00382432"/>
    <w:rsid w:val="003A2D31"/>
    <w:rsid w:val="003A6915"/>
    <w:rsid w:val="003A692F"/>
    <w:rsid w:val="003B6C86"/>
    <w:rsid w:val="003C35F8"/>
    <w:rsid w:val="003C6F10"/>
    <w:rsid w:val="003C7A2F"/>
    <w:rsid w:val="003E0A26"/>
    <w:rsid w:val="003E6E55"/>
    <w:rsid w:val="003E78D5"/>
    <w:rsid w:val="00410690"/>
    <w:rsid w:val="0041394C"/>
    <w:rsid w:val="004151D6"/>
    <w:rsid w:val="004258DF"/>
    <w:rsid w:val="004270B0"/>
    <w:rsid w:val="00431A8F"/>
    <w:rsid w:val="00432932"/>
    <w:rsid w:val="00433D83"/>
    <w:rsid w:val="00441498"/>
    <w:rsid w:val="004432DD"/>
    <w:rsid w:val="00443D69"/>
    <w:rsid w:val="004442A2"/>
    <w:rsid w:val="00446D9D"/>
    <w:rsid w:val="0045184B"/>
    <w:rsid w:val="0045389A"/>
    <w:rsid w:val="00465986"/>
    <w:rsid w:val="004701EE"/>
    <w:rsid w:val="00477172"/>
    <w:rsid w:val="00477E67"/>
    <w:rsid w:val="00480A8D"/>
    <w:rsid w:val="0048287D"/>
    <w:rsid w:val="00482A1E"/>
    <w:rsid w:val="00484C25"/>
    <w:rsid w:val="0049027F"/>
    <w:rsid w:val="00492A00"/>
    <w:rsid w:val="00495519"/>
    <w:rsid w:val="004958E0"/>
    <w:rsid w:val="00496153"/>
    <w:rsid w:val="00496C48"/>
    <w:rsid w:val="004A2A2D"/>
    <w:rsid w:val="004A4F2F"/>
    <w:rsid w:val="004A602E"/>
    <w:rsid w:val="004B02C0"/>
    <w:rsid w:val="004B2E62"/>
    <w:rsid w:val="004C7CEC"/>
    <w:rsid w:val="004D0A46"/>
    <w:rsid w:val="004E039B"/>
    <w:rsid w:val="004E0442"/>
    <w:rsid w:val="004E728D"/>
    <w:rsid w:val="004F02A2"/>
    <w:rsid w:val="004F244F"/>
    <w:rsid w:val="004F3015"/>
    <w:rsid w:val="00501A05"/>
    <w:rsid w:val="00502A05"/>
    <w:rsid w:val="00507898"/>
    <w:rsid w:val="00524191"/>
    <w:rsid w:val="00537248"/>
    <w:rsid w:val="00544245"/>
    <w:rsid w:val="0054769F"/>
    <w:rsid w:val="005521BA"/>
    <w:rsid w:val="00554C2E"/>
    <w:rsid w:val="0055688D"/>
    <w:rsid w:val="00561709"/>
    <w:rsid w:val="005645B3"/>
    <w:rsid w:val="00581140"/>
    <w:rsid w:val="0058562E"/>
    <w:rsid w:val="00590BB3"/>
    <w:rsid w:val="00591544"/>
    <w:rsid w:val="005A12D7"/>
    <w:rsid w:val="005A206E"/>
    <w:rsid w:val="005A5182"/>
    <w:rsid w:val="005A6DE6"/>
    <w:rsid w:val="005B4840"/>
    <w:rsid w:val="005C40F1"/>
    <w:rsid w:val="005C44C6"/>
    <w:rsid w:val="005C7063"/>
    <w:rsid w:val="005D158B"/>
    <w:rsid w:val="005E2605"/>
    <w:rsid w:val="005E70C5"/>
    <w:rsid w:val="005F0BC6"/>
    <w:rsid w:val="005F1FB6"/>
    <w:rsid w:val="005F57B7"/>
    <w:rsid w:val="005F6E14"/>
    <w:rsid w:val="006016FA"/>
    <w:rsid w:val="00614006"/>
    <w:rsid w:val="00631987"/>
    <w:rsid w:val="0063467A"/>
    <w:rsid w:val="00637E56"/>
    <w:rsid w:val="006402B3"/>
    <w:rsid w:val="006524B1"/>
    <w:rsid w:val="006552E0"/>
    <w:rsid w:val="00657ED6"/>
    <w:rsid w:val="00663955"/>
    <w:rsid w:val="00680380"/>
    <w:rsid w:val="0069669F"/>
    <w:rsid w:val="006B10D3"/>
    <w:rsid w:val="006B293D"/>
    <w:rsid w:val="006B7228"/>
    <w:rsid w:val="006C305E"/>
    <w:rsid w:val="006C571E"/>
    <w:rsid w:val="006D634F"/>
    <w:rsid w:val="006E5837"/>
    <w:rsid w:val="006F1504"/>
    <w:rsid w:val="006F6BFE"/>
    <w:rsid w:val="00700A22"/>
    <w:rsid w:val="007126D9"/>
    <w:rsid w:val="00715475"/>
    <w:rsid w:val="00727E77"/>
    <w:rsid w:val="00733464"/>
    <w:rsid w:val="007339A8"/>
    <w:rsid w:val="0073604B"/>
    <w:rsid w:val="007440B9"/>
    <w:rsid w:val="007451BD"/>
    <w:rsid w:val="007453D0"/>
    <w:rsid w:val="0074622B"/>
    <w:rsid w:val="00746DDD"/>
    <w:rsid w:val="0075606B"/>
    <w:rsid w:val="00757990"/>
    <w:rsid w:val="00766DFF"/>
    <w:rsid w:val="00767A71"/>
    <w:rsid w:val="007729EC"/>
    <w:rsid w:val="0077537D"/>
    <w:rsid w:val="00780D69"/>
    <w:rsid w:val="00782623"/>
    <w:rsid w:val="007856DA"/>
    <w:rsid w:val="00796818"/>
    <w:rsid w:val="007B15B0"/>
    <w:rsid w:val="007C77BC"/>
    <w:rsid w:val="007D12A4"/>
    <w:rsid w:val="007D5B2E"/>
    <w:rsid w:val="007D70E3"/>
    <w:rsid w:val="007F50CA"/>
    <w:rsid w:val="00804484"/>
    <w:rsid w:val="00835365"/>
    <w:rsid w:val="00836941"/>
    <w:rsid w:val="00842F5F"/>
    <w:rsid w:val="00843B20"/>
    <w:rsid w:val="0085678C"/>
    <w:rsid w:val="00861618"/>
    <w:rsid w:val="00874541"/>
    <w:rsid w:val="0088032E"/>
    <w:rsid w:val="008865BF"/>
    <w:rsid w:val="00895BC1"/>
    <w:rsid w:val="00896B7A"/>
    <w:rsid w:val="008A5DF9"/>
    <w:rsid w:val="008B1CB9"/>
    <w:rsid w:val="008B3A69"/>
    <w:rsid w:val="008C0472"/>
    <w:rsid w:val="008C4070"/>
    <w:rsid w:val="008D51EC"/>
    <w:rsid w:val="008D61F7"/>
    <w:rsid w:val="008E0581"/>
    <w:rsid w:val="008F02B9"/>
    <w:rsid w:val="00901260"/>
    <w:rsid w:val="00901658"/>
    <w:rsid w:val="0092346F"/>
    <w:rsid w:val="00925D3A"/>
    <w:rsid w:val="00935461"/>
    <w:rsid w:val="00940055"/>
    <w:rsid w:val="009459E3"/>
    <w:rsid w:val="009628D2"/>
    <w:rsid w:val="00970E33"/>
    <w:rsid w:val="00970F8B"/>
    <w:rsid w:val="00973962"/>
    <w:rsid w:val="00985B97"/>
    <w:rsid w:val="00991502"/>
    <w:rsid w:val="00991520"/>
    <w:rsid w:val="0099167E"/>
    <w:rsid w:val="00992CC6"/>
    <w:rsid w:val="00995DDC"/>
    <w:rsid w:val="009A5659"/>
    <w:rsid w:val="009B1FC5"/>
    <w:rsid w:val="009C1114"/>
    <w:rsid w:val="009C2F86"/>
    <w:rsid w:val="009C5505"/>
    <w:rsid w:val="009C621A"/>
    <w:rsid w:val="009F3BB7"/>
    <w:rsid w:val="00A07205"/>
    <w:rsid w:val="00A12A0E"/>
    <w:rsid w:val="00A22380"/>
    <w:rsid w:val="00A24471"/>
    <w:rsid w:val="00A27304"/>
    <w:rsid w:val="00A33375"/>
    <w:rsid w:val="00A40995"/>
    <w:rsid w:val="00A42F0A"/>
    <w:rsid w:val="00A44853"/>
    <w:rsid w:val="00A50025"/>
    <w:rsid w:val="00A5494D"/>
    <w:rsid w:val="00A54FA0"/>
    <w:rsid w:val="00A67D4A"/>
    <w:rsid w:val="00A71489"/>
    <w:rsid w:val="00A75393"/>
    <w:rsid w:val="00A755FC"/>
    <w:rsid w:val="00A81A60"/>
    <w:rsid w:val="00A848C9"/>
    <w:rsid w:val="00A85C76"/>
    <w:rsid w:val="00A91A23"/>
    <w:rsid w:val="00A95333"/>
    <w:rsid w:val="00A96B21"/>
    <w:rsid w:val="00A975DA"/>
    <w:rsid w:val="00AD1852"/>
    <w:rsid w:val="00AE0512"/>
    <w:rsid w:val="00AE1820"/>
    <w:rsid w:val="00AE1A95"/>
    <w:rsid w:val="00AE2B8F"/>
    <w:rsid w:val="00AF69D8"/>
    <w:rsid w:val="00AF7553"/>
    <w:rsid w:val="00AF75B2"/>
    <w:rsid w:val="00B010A5"/>
    <w:rsid w:val="00B10E7A"/>
    <w:rsid w:val="00B156F0"/>
    <w:rsid w:val="00B16B18"/>
    <w:rsid w:val="00B20472"/>
    <w:rsid w:val="00B36EA9"/>
    <w:rsid w:val="00B55414"/>
    <w:rsid w:val="00B617A4"/>
    <w:rsid w:val="00B83767"/>
    <w:rsid w:val="00B86C1F"/>
    <w:rsid w:val="00B902DF"/>
    <w:rsid w:val="00B9088E"/>
    <w:rsid w:val="00BA0472"/>
    <w:rsid w:val="00BB30F5"/>
    <w:rsid w:val="00BC57BD"/>
    <w:rsid w:val="00BE1784"/>
    <w:rsid w:val="00BE734A"/>
    <w:rsid w:val="00BF31EE"/>
    <w:rsid w:val="00BF3BAC"/>
    <w:rsid w:val="00BF43EB"/>
    <w:rsid w:val="00BF78A2"/>
    <w:rsid w:val="00C004F5"/>
    <w:rsid w:val="00C017C4"/>
    <w:rsid w:val="00C10AE0"/>
    <w:rsid w:val="00C16140"/>
    <w:rsid w:val="00C20967"/>
    <w:rsid w:val="00C21BCA"/>
    <w:rsid w:val="00C2354A"/>
    <w:rsid w:val="00C3084E"/>
    <w:rsid w:val="00C320FF"/>
    <w:rsid w:val="00C34D4F"/>
    <w:rsid w:val="00C35F96"/>
    <w:rsid w:val="00C37174"/>
    <w:rsid w:val="00C42566"/>
    <w:rsid w:val="00C474E9"/>
    <w:rsid w:val="00C53E83"/>
    <w:rsid w:val="00C54EC4"/>
    <w:rsid w:val="00C55F8F"/>
    <w:rsid w:val="00C648D8"/>
    <w:rsid w:val="00C658D4"/>
    <w:rsid w:val="00C66F23"/>
    <w:rsid w:val="00C70DA3"/>
    <w:rsid w:val="00C979B9"/>
    <w:rsid w:val="00CA2BA6"/>
    <w:rsid w:val="00CA4177"/>
    <w:rsid w:val="00CA5417"/>
    <w:rsid w:val="00CA5D39"/>
    <w:rsid w:val="00CB1200"/>
    <w:rsid w:val="00CF5BFA"/>
    <w:rsid w:val="00CF62BB"/>
    <w:rsid w:val="00CF70AB"/>
    <w:rsid w:val="00D001CF"/>
    <w:rsid w:val="00D02A78"/>
    <w:rsid w:val="00D0481F"/>
    <w:rsid w:val="00D04964"/>
    <w:rsid w:val="00D04D99"/>
    <w:rsid w:val="00D22CF3"/>
    <w:rsid w:val="00D23061"/>
    <w:rsid w:val="00D3059B"/>
    <w:rsid w:val="00D33A0D"/>
    <w:rsid w:val="00D33A5F"/>
    <w:rsid w:val="00D41F88"/>
    <w:rsid w:val="00D4258F"/>
    <w:rsid w:val="00D528EE"/>
    <w:rsid w:val="00D546E9"/>
    <w:rsid w:val="00D60046"/>
    <w:rsid w:val="00D71FFB"/>
    <w:rsid w:val="00D82A0D"/>
    <w:rsid w:val="00D83176"/>
    <w:rsid w:val="00D83F5E"/>
    <w:rsid w:val="00D8695E"/>
    <w:rsid w:val="00D93157"/>
    <w:rsid w:val="00DA4C63"/>
    <w:rsid w:val="00DA6584"/>
    <w:rsid w:val="00DC2EB4"/>
    <w:rsid w:val="00DD1480"/>
    <w:rsid w:val="00DD1CE4"/>
    <w:rsid w:val="00DE0CD9"/>
    <w:rsid w:val="00DE3146"/>
    <w:rsid w:val="00DE7F5E"/>
    <w:rsid w:val="00DF367F"/>
    <w:rsid w:val="00DF7DCA"/>
    <w:rsid w:val="00E12E3D"/>
    <w:rsid w:val="00E13A61"/>
    <w:rsid w:val="00E1597C"/>
    <w:rsid w:val="00E316DF"/>
    <w:rsid w:val="00E479C6"/>
    <w:rsid w:val="00E502FE"/>
    <w:rsid w:val="00E521F3"/>
    <w:rsid w:val="00E61820"/>
    <w:rsid w:val="00E64041"/>
    <w:rsid w:val="00E6411B"/>
    <w:rsid w:val="00E655F9"/>
    <w:rsid w:val="00E6672F"/>
    <w:rsid w:val="00E72487"/>
    <w:rsid w:val="00E744F7"/>
    <w:rsid w:val="00E77956"/>
    <w:rsid w:val="00E8032C"/>
    <w:rsid w:val="00E91244"/>
    <w:rsid w:val="00E945BA"/>
    <w:rsid w:val="00EA7FC9"/>
    <w:rsid w:val="00EB2A44"/>
    <w:rsid w:val="00EB3DC9"/>
    <w:rsid w:val="00EB6CF0"/>
    <w:rsid w:val="00EC2AAC"/>
    <w:rsid w:val="00ED04D8"/>
    <w:rsid w:val="00ED3849"/>
    <w:rsid w:val="00EE1162"/>
    <w:rsid w:val="00EE7A4A"/>
    <w:rsid w:val="00EF09CE"/>
    <w:rsid w:val="00EF5054"/>
    <w:rsid w:val="00F04F7C"/>
    <w:rsid w:val="00F14863"/>
    <w:rsid w:val="00F228EA"/>
    <w:rsid w:val="00F234C7"/>
    <w:rsid w:val="00F258FB"/>
    <w:rsid w:val="00F26CE4"/>
    <w:rsid w:val="00F273C9"/>
    <w:rsid w:val="00F37389"/>
    <w:rsid w:val="00F404B7"/>
    <w:rsid w:val="00F415BE"/>
    <w:rsid w:val="00F41B8B"/>
    <w:rsid w:val="00F44296"/>
    <w:rsid w:val="00F46108"/>
    <w:rsid w:val="00F524F2"/>
    <w:rsid w:val="00F52806"/>
    <w:rsid w:val="00F61A33"/>
    <w:rsid w:val="00F703FB"/>
    <w:rsid w:val="00F75F90"/>
    <w:rsid w:val="00F81D4F"/>
    <w:rsid w:val="00F82437"/>
    <w:rsid w:val="00F8377D"/>
    <w:rsid w:val="00F8477B"/>
    <w:rsid w:val="00F87C49"/>
    <w:rsid w:val="00F90B26"/>
    <w:rsid w:val="00FA13A0"/>
    <w:rsid w:val="00FA18C9"/>
    <w:rsid w:val="00FB44CF"/>
    <w:rsid w:val="00FC78B7"/>
    <w:rsid w:val="00FD3C29"/>
    <w:rsid w:val="00FD50CC"/>
    <w:rsid w:val="00FD6526"/>
    <w:rsid w:val="00FE07E1"/>
    <w:rsid w:val="00FE21FB"/>
    <w:rsid w:val="00FE2C1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1E8BC"/>
  <w15:chartTrackingRefBased/>
  <w15:docId w15:val="{4C19E985-52E9-4CE3-84EA-8F311F19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paragraph" w:styleId="Heading6">
    <w:name w:val="heading 6"/>
    <w:basedOn w:val="Normal"/>
    <w:next w:val="Normal"/>
    <w:link w:val="Heading6Char"/>
    <w:uiPriority w:val="9"/>
    <w:semiHidden/>
    <w:unhideWhenUsed/>
    <w:rsid w:val="004258D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aliases w:val=" Car"/>
    <w:basedOn w:val="Normal"/>
    <w:link w:val="BodyTextChar"/>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aliases w:val=" Car Char"/>
    <w:basedOn w:val="DefaultParagraphFont"/>
    <w:link w:val="BodyText"/>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3E78D5"/>
    <w:pPr>
      <w:numPr>
        <w:numId w:val="2"/>
      </w:numPr>
      <w:tabs>
        <w:tab w:val="left" w:pos="1134"/>
      </w:tabs>
      <w:spacing w:before="120" w:after="120"/>
      <w:ind w:left="567" w:firstLine="0"/>
    </w:pPr>
    <w:rPr>
      <w:rFonts w:eastAsia="Malgun Gothic"/>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customStyle="1" w:styleId="Heading6Char">
    <w:name w:val="Heading 6 Char"/>
    <w:basedOn w:val="DefaultParagraphFont"/>
    <w:link w:val="Heading6"/>
    <w:uiPriority w:val="9"/>
    <w:semiHidden/>
    <w:rsid w:val="004258DF"/>
    <w:rPr>
      <w:rFonts w:asciiTheme="majorHAnsi" w:eastAsiaTheme="majorEastAsia" w:hAnsiTheme="majorHAnsi" w:cstheme="majorBidi"/>
      <w:color w:val="1F3763" w:themeColor="accent1" w:themeShade="7F"/>
      <w:kern w:val="0"/>
      <w:szCs w:val="24"/>
      <w:lang w:val="en-GB"/>
      <w14:ligatures w14:val="none"/>
    </w:rPr>
  </w:style>
  <w:style w:type="character" w:styleId="Hyperlink">
    <w:name w:val="Hyperlink"/>
    <w:rsid w:val="004258DF"/>
    <w:rPr>
      <w:color w:val="0000FF"/>
      <w:sz w:val="18"/>
      <w:u w:val="single"/>
    </w:rPr>
  </w:style>
  <w:style w:type="paragraph" w:customStyle="1" w:styleId="CBD-Para">
    <w:name w:val="CBD-Para"/>
    <w:basedOn w:val="Normal"/>
    <w:link w:val="CBD-ParaCharChar"/>
    <w:rsid w:val="004258DF"/>
    <w:pPr>
      <w:keepLines/>
      <w:numPr>
        <w:numId w:val="21"/>
      </w:numPr>
      <w:spacing w:before="120" w:after="120"/>
    </w:pPr>
    <w:rPr>
      <w:szCs w:val="22"/>
      <w:lang w:val="en-US"/>
    </w:rPr>
  </w:style>
  <w:style w:type="character" w:customStyle="1" w:styleId="CBD-ParaCharChar">
    <w:name w:val="CBD-Para Char Char"/>
    <w:link w:val="CBD-Para"/>
    <w:rsid w:val="004258DF"/>
    <w:rPr>
      <w:rFonts w:ascii="Times New Roman" w:eastAsia="Times New Roman" w:hAnsi="Times New Roman" w:cs="Times New Roman"/>
      <w:kern w:val="0"/>
      <w:lang w:val="en-US"/>
      <w14:ligatures w14:val="non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4258DF"/>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table" w:customStyle="1" w:styleId="TableGrid2">
    <w:name w:val="Table Grid2"/>
    <w:basedOn w:val="TableNormal"/>
    <w:next w:val="TableGrid"/>
    <w:uiPriority w:val="59"/>
    <w:qFormat/>
    <w:rsid w:val="004258DF"/>
    <w:pPr>
      <w:spacing w:after="0" w:line="240" w:lineRule="auto"/>
    </w:pPr>
    <w:rPr>
      <w:rFonts w:eastAsia="MS Mincho"/>
      <w:kern w:val="0"/>
      <w:sz w:val="24"/>
      <w:szCs w:val="24"/>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4258DF"/>
    <w:pPr>
      <w:ind w:left="720"/>
      <w:contextualSpacing/>
    </w:pPr>
  </w:style>
  <w:style w:type="character" w:styleId="FollowedHyperlink">
    <w:name w:val="FollowedHyperlink"/>
    <w:basedOn w:val="DefaultParagraphFont"/>
    <w:uiPriority w:val="99"/>
    <w:semiHidden/>
    <w:unhideWhenUsed/>
    <w:rsid w:val="004258DF"/>
    <w:rPr>
      <w:color w:val="954F72" w:themeColor="followedHyperlink"/>
      <w:u w:val="single"/>
    </w:rPr>
  </w:style>
  <w:style w:type="paragraph" w:styleId="Revision">
    <w:name w:val="Revision"/>
    <w:hidden/>
    <w:uiPriority w:val="99"/>
    <w:semiHidden/>
    <w:rsid w:val="004258DF"/>
    <w:pPr>
      <w:spacing w:after="0" w:line="240" w:lineRule="auto"/>
    </w:pPr>
    <w:rPr>
      <w:rFonts w:ascii="Times New Roman" w:eastAsia="Times New Roman" w:hAnsi="Times New Roman" w:cs="Times New Roman"/>
      <w:kern w:val="0"/>
      <w:szCs w:val="24"/>
      <w:lang w:val="en-GB"/>
      <w14:ligatures w14:val="none"/>
    </w:rPr>
  </w:style>
  <w:style w:type="paragraph" w:customStyle="1" w:styleId="CBD-Doc">
    <w:name w:val="CBD-Doc"/>
    <w:basedOn w:val="Normal"/>
    <w:rsid w:val="004258DF"/>
    <w:pPr>
      <w:keepLines/>
      <w:numPr>
        <w:numId w:val="34"/>
      </w:numPr>
      <w:spacing w:after="120"/>
    </w:pPr>
    <w:rPr>
      <w:rFonts w:cs="Angsana New"/>
    </w:rPr>
  </w:style>
  <w:style w:type="numbering" w:customStyle="1" w:styleId="Style2">
    <w:name w:val="Style2"/>
    <w:rsid w:val="004258DF"/>
  </w:style>
  <w:style w:type="character" w:customStyle="1" w:styleId="StyleFootnoteReferencenumberFootnoteReferenceSuperscript-EF">
    <w:name w:val="Style Footnote ReferencenumberFootnote Reference Superscript-E F..."/>
    <w:basedOn w:val="FootnoteReference"/>
    <w:rsid w:val="004258DF"/>
    <w:rPr>
      <w:kern w:val="22"/>
      <w:sz w:val="18"/>
      <w:u w:val="none"/>
      <w:vertAlign w:val="superscript"/>
    </w:rPr>
  </w:style>
  <w:style w:type="paragraph" w:customStyle="1" w:styleId="HEADINGNOTFORTOC">
    <w:name w:val="HEADING (NOT FOR TOC)"/>
    <w:basedOn w:val="Heading1"/>
    <w:next w:val="Heading2"/>
    <w:rsid w:val="004258DF"/>
    <w:pPr>
      <w:keepLines w:val="0"/>
      <w:numPr>
        <w:numId w:val="0"/>
      </w:numPr>
      <w:tabs>
        <w:tab w:val="left" w:pos="720"/>
      </w:tabs>
      <w:jc w:val="center"/>
    </w:pPr>
    <w:rPr>
      <w:rFonts w:eastAsia="Times New Roman" w:cs="Times New Roman"/>
      <w:bCs w:val="0"/>
      <w:caps/>
      <w:kern w:val="0"/>
      <w:sz w:val="22"/>
      <w:szCs w:val="24"/>
      <w:lang w:val="en-GB"/>
      <w14:ligatures w14:val="none"/>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4258DF"/>
    <w:rPr>
      <w:rFonts w:ascii="Times New Roman" w:eastAsia="Times New Roman" w:hAnsi="Times New Roman" w:cs="Times New Roman"/>
      <w:kern w:val="0"/>
      <w:szCs w:val="24"/>
      <w:lang w:val="en-GB"/>
      <w14:ligatures w14:val="none"/>
    </w:rPr>
  </w:style>
  <w:style w:type="character" w:styleId="UnresolvedMention">
    <w:name w:val="Unresolved Mention"/>
    <w:basedOn w:val="DefaultParagraphFont"/>
    <w:uiPriority w:val="99"/>
    <w:semiHidden/>
    <w:unhideWhenUsed/>
    <w:rsid w:val="004258DF"/>
    <w:rPr>
      <w:color w:val="605E5C"/>
      <w:shd w:val="clear" w:color="auto" w:fill="E1DFDD"/>
    </w:rPr>
  </w:style>
  <w:style w:type="paragraph" w:styleId="BalloonText">
    <w:name w:val="Balloon Text"/>
    <w:basedOn w:val="Normal"/>
    <w:link w:val="BalloonTextChar"/>
    <w:uiPriority w:val="99"/>
    <w:semiHidden/>
    <w:unhideWhenUsed/>
    <w:rsid w:val="00425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8DF"/>
    <w:rPr>
      <w:rFonts w:ascii="Segoe UI" w:eastAsia="Times New Roman"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15/cop-15-dec-04-en.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6-en.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United%20Nations\MEA-CBD-Editing%20Team%20-%20Documents\Meeting%20documents\SBI\SBI-04\Templates\template-sbi-0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97B25ED30349089A5FDD2A49786410"/>
        <w:category>
          <w:name w:val="General"/>
          <w:gallery w:val="placeholder"/>
        </w:category>
        <w:types>
          <w:type w:val="bbPlcHdr"/>
        </w:types>
        <w:behaviors>
          <w:behavior w:val="content"/>
        </w:behaviors>
        <w:guid w:val="{BFB18148-F583-498B-9B77-AF2E947C6A05}"/>
      </w:docPartPr>
      <w:docPartBody>
        <w:p w:rsidR="00020430" w:rsidRDefault="00020430">
          <w:pPr>
            <w:pStyle w:val="C397B25ED30349089A5FDD2A49786410"/>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30"/>
    <w:rsid w:val="00020430"/>
    <w:rsid w:val="00042C86"/>
    <w:rsid w:val="00110B17"/>
    <w:rsid w:val="00373D4C"/>
    <w:rsid w:val="0065666C"/>
    <w:rsid w:val="00661D45"/>
    <w:rsid w:val="006B53C9"/>
    <w:rsid w:val="006E2940"/>
    <w:rsid w:val="00A034C3"/>
    <w:rsid w:val="00A22ED2"/>
    <w:rsid w:val="00A9778B"/>
    <w:rsid w:val="00C62DDD"/>
    <w:rsid w:val="00C67FC8"/>
    <w:rsid w:val="00C71C0B"/>
    <w:rsid w:val="00E20CA1"/>
    <w:rsid w:val="00F37A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97B25ED30349089A5FDD2A49786410">
    <w:name w:val="C397B25ED30349089A5FDD2A49786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9C8DF-2290-4D2C-9EF8-059DB715D220}">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D974E457-5127-4C82-9B61-07487120E273}">
  <ds:schemaRefs>
    <ds:schemaRef ds:uri="http://schemas.openxmlformats.org/officeDocument/2006/bibliography"/>
  </ds:schemaRefs>
</ds:datastoreItem>
</file>

<file path=customXml/itemProps4.xml><?xml version="1.0" encoding="utf-8"?>
<ds:datastoreItem xmlns:ds="http://schemas.openxmlformats.org/officeDocument/2006/customXml" ds:itemID="{97E56275-44AE-4911-915C-D626CB2C3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template-sbi-04.dotm</Template>
  <TotalTime>7</TotalTime>
  <Pages>5</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Procedures for the global review of collective progress in the implementation of the Kunming-Montreal Global Biodiversity Framework</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the global review of collective progress in the implementation of the Kunming-Montreal Global Biodiversity Framework</dc:title>
  <dc:subject>CBD/SBI/4/4/Add.2/Rev.1</dc:subject>
  <dc:creator>hirotsugu.takahashi</dc:creator>
  <cp:keywords/>
  <dc:description/>
  <cp:lastModifiedBy>Veronique Lefebvre</cp:lastModifiedBy>
  <cp:revision>4</cp:revision>
  <cp:lastPrinted>2024-03-13T15:48:00Z</cp:lastPrinted>
  <dcterms:created xsi:type="dcterms:W3CDTF">2024-04-30T15:33:00Z</dcterms:created>
  <dcterms:modified xsi:type="dcterms:W3CDTF">2024-04-30T15:38:00Z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