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426" w:type="dxa"/>
        <w:tblLook w:val="04A0" w:firstRow="1" w:lastRow="0" w:firstColumn="1" w:lastColumn="0" w:noHBand="0" w:noVBand="1"/>
      </w:tblPr>
      <w:tblGrid>
        <w:gridCol w:w="1135"/>
        <w:gridCol w:w="5160"/>
        <w:gridCol w:w="4054"/>
      </w:tblGrid>
      <w:tr w:rsidR="005D0615" w:rsidRPr="003075B3" w14:paraId="432E304D" w14:textId="77777777" w:rsidTr="00FC31F8">
        <w:trPr>
          <w:trHeight w:val="851"/>
        </w:trPr>
        <w:tc>
          <w:tcPr>
            <w:tcW w:w="1135" w:type="dxa"/>
            <w:shd w:val="clear" w:color="auto" w:fill="auto"/>
          </w:tcPr>
          <w:p w14:paraId="60696546" w14:textId="77777777" w:rsidR="005D0615" w:rsidRPr="003075B3" w:rsidRDefault="005D0615" w:rsidP="00D3778C">
            <w:pPr>
              <w:rPr>
                <w:rFonts w:ascii="Calibri" w:eastAsia="Calibri" w:hAnsi="Calibri"/>
                <w:snapToGrid w:val="0"/>
                <w:kern w:val="22"/>
              </w:rPr>
            </w:pPr>
            <w:bookmarkStart w:id="0" w:name="_Hlk527726492"/>
            <w:r w:rsidRPr="003075B3">
              <w:rPr>
                <w:rFonts w:ascii="Calibri" w:eastAsia="Calibri" w:hAnsi="Calibri"/>
                <w:noProof/>
                <w:snapToGrid w:val="0"/>
                <w:kern w:val="22"/>
              </w:rPr>
              <w:drawing>
                <wp:inline distT="0" distB="0" distL="0" distR="0" wp14:anchorId="5DFFD934" wp14:editId="3B3C9AEC">
                  <wp:extent cx="476250" cy="400050"/>
                  <wp:effectExtent l="0" t="0" r="0" b="0"/>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60" w:type="dxa"/>
            <w:shd w:val="clear" w:color="auto" w:fill="auto"/>
          </w:tcPr>
          <w:p w14:paraId="465F2A5C" w14:textId="77777777" w:rsidR="005D0615" w:rsidRPr="003075B3" w:rsidRDefault="005D0615" w:rsidP="00D3778C">
            <w:pPr>
              <w:rPr>
                <w:rFonts w:ascii="Calibri" w:eastAsia="Calibri" w:hAnsi="Calibri"/>
                <w:snapToGrid w:val="0"/>
                <w:kern w:val="22"/>
              </w:rPr>
            </w:pPr>
            <w:r w:rsidRPr="003075B3">
              <w:rPr>
                <w:rFonts w:ascii="Calibri" w:eastAsia="Calibri" w:hAnsi="Calibri"/>
                <w:noProof/>
                <w:snapToGrid w:val="0"/>
                <w:kern w:val="22"/>
              </w:rPr>
              <w:drawing>
                <wp:inline distT="0" distB="0" distL="0" distR="0" wp14:anchorId="1F103351" wp14:editId="4B8D6D43">
                  <wp:extent cx="342900" cy="400050"/>
                  <wp:effectExtent l="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 cy="400050"/>
                          </a:xfrm>
                          <a:prstGeom prst="rect">
                            <a:avLst/>
                          </a:prstGeom>
                          <a:noFill/>
                          <a:ln>
                            <a:noFill/>
                          </a:ln>
                        </pic:spPr>
                      </pic:pic>
                    </a:graphicData>
                  </a:graphic>
                </wp:inline>
              </w:drawing>
            </w:r>
          </w:p>
        </w:tc>
        <w:tc>
          <w:tcPr>
            <w:tcW w:w="4054" w:type="dxa"/>
            <w:shd w:val="clear" w:color="auto" w:fill="auto"/>
          </w:tcPr>
          <w:p w14:paraId="4BE8F5E5" w14:textId="77777777" w:rsidR="005D0615" w:rsidRPr="003075B3" w:rsidRDefault="005D0615" w:rsidP="00D3778C">
            <w:pPr>
              <w:jc w:val="right"/>
              <w:rPr>
                <w:rFonts w:ascii="Arial" w:eastAsia="Calibri" w:hAnsi="Arial" w:cs="Arial"/>
                <w:b/>
                <w:snapToGrid w:val="0"/>
                <w:kern w:val="22"/>
                <w:sz w:val="32"/>
                <w:szCs w:val="32"/>
              </w:rPr>
            </w:pPr>
            <w:r w:rsidRPr="003075B3">
              <w:rPr>
                <w:rFonts w:ascii="Arial" w:eastAsia="Calibri" w:hAnsi="Arial" w:cs="Arial"/>
                <w:b/>
                <w:snapToGrid w:val="0"/>
                <w:kern w:val="22"/>
                <w:sz w:val="32"/>
                <w:szCs w:val="32"/>
              </w:rPr>
              <w:t>CBD</w:t>
            </w:r>
          </w:p>
        </w:tc>
      </w:tr>
    </w:tbl>
    <w:tbl>
      <w:tblPr>
        <w:tblStyle w:val="TableGrid1"/>
        <w:tblW w:w="5412"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9"/>
        <w:gridCol w:w="4753"/>
      </w:tblGrid>
      <w:tr w:rsidR="0084107C" w:rsidRPr="003075B3" w14:paraId="6F228328" w14:textId="77777777" w:rsidTr="00237524">
        <w:tc>
          <w:tcPr>
            <w:tcW w:w="5488" w:type="dxa"/>
            <w:tcBorders>
              <w:top w:val="single" w:sz="12" w:space="0" w:color="auto"/>
              <w:bottom w:val="single" w:sz="36" w:space="0" w:color="auto"/>
            </w:tcBorders>
            <w:vAlign w:val="center"/>
          </w:tcPr>
          <w:bookmarkEnd w:id="0"/>
          <w:p w14:paraId="0F883E72" w14:textId="77777777" w:rsidR="0084107C" w:rsidRPr="003075B3" w:rsidRDefault="0084107C" w:rsidP="006C3AD6">
            <w:pPr>
              <w:suppressLineNumbers/>
              <w:suppressAutoHyphens/>
              <w:kinsoku w:val="0"/>
              <w:overflowPunct w:val="0"/>
              <w:autoSpaceDE w:val="0"/>
              <w:autoSpaceDN w:val="0"/>
              <w:rPr>
                <w:snapToGrid w:val="0"/>
                <w:kern w:val="22"/>
              </w:rPr>
            </w:pPr>
            <w:r w:rsidRPr="00237524">
              <w:rPr>
                <w:noProof/>
                <w:snapToGrid w:val="0"/>
                <w:kern w:val="22"/>
                <w:lang w:val="en-GB" w:eastAsia="en-CA"/>
              </w:rPr>
              <w:drawing>
                <wp:inline distT="0" distB="0" distL="0" distR="0" wp14:anchorId="47B667BA" wp14:editId="3BB6387E">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53" w:type="dxa"/>
            <w:tcBorders>
              <w:top w:val="single" w:sz="12" w:space="0" w:color="auto"/>
              <w:bottom w:val="single" w:sz="36" w:space="0" w:color="auto"/>
            </w:tcBorders>
          </w:tcPr>
          <w:p w14:paraId="78D05ACD" w14:textId="77777777" w:rsidR="0084107C" w:rsidRPr="00237524" w:rsidRDefault="0084107C" w:rsidP="00237524">
            <w:pPr>
              <w:suppressLineNumbers/>
              <w:suppressAutoHyphens/>
              <w:kinsoku w:val="0"/>
              <w:overflowPunct w:val="0"/>
              <w:autoSpaceDE w:val="0"/>
              <w:autoSpaceDN w:val="0"/>
              <w:ind w:left="1241"/>
              <w:rPr>
                <w:rFonts w:ascii="Times New Roman" w:hAnsi="Times New Roman" w:cs="Times New Roman"/>
                <w:snapToGrid w:val="0"/>
                <w:kern w:val="22"/>
                <w:sz w:val="22"/>
                <w:szCs w:val="22"/>
              </w:rPr>
            </w:pPr>
            <w:r w:rsidRPr="00237524">
              <w:rPr>
                <w:rFonts w:ascii="Times New Roman" w:hAnsi="Times New Roman" w:cs="Times New Roman"/>
                <w:snapToGrid w:val="0"/>
                <w:kern w:val="22"/>
                <w:sz w:val="22"/>
                <w:szCs w:val="22"/>
              </w:rPr>
              <w:t>Distr.</w:t>
            </w:r>
          </w:p>
          <w:p w14:paraId="6C385DEF" w14:textId="102B2D6F" w:rsidR="0084107C" w:rsidRPr="00237524" w:rsidRDefault="00986A60" w:rsidP="00237524">
            <w:pPr>
              <w:suppressLineNumbers/>
              <w:suppressAutoHyphens/>
              <w:kinsoku w:val="0"/>
              <w:overflowPunct w:val="0"/>
              <w:autoSpaceDE w:val="0"/>
              <w:autoSpaceDN w:val="0"/>
              <w:ind w:left="1241"/>
              <w:rPr>
                <w:rFonts w:ascii="Times New Roman" w:hAnsi="Times New Roman" w:cs="Times New Roman"/>
                <w:snapToGrid w:val="0"/>
                <w:kern w:val="22"/>
                <w:sz w:val="22"/>
                <w:szCs w:val="22"/>
              </w:rPr>
            </w:pPr>
            <w:sdt>
              <w:sdtPr>
                <w:rPr>
                  <w:snapToGrid w:val="0"/>
                  <w:kern w:val="22"/>
                  <w:sz w:val="22"/>
                  <w:szCs w:val="22"/>
                </w:rPr>
                <w:alias w:val="Status"/>
                <w:tag w:val=""/>
                <w:id w:val="307985777"/>
                <w:placeholder>
                  <w:docPart w:val="D78D5438D86D4A71BBE6089CEEBFFBDE"/>
                </w:placeholder>
                <w:dataBinding w:prefixMappings="xmlns:ns0='http://purl.org/dc/elements/1.1/' xmlns:ns1='http://schemas.openxmlformats.org/package/2006/metadata/core-properties' " w:xpath="/ns1:coreProperties[1]/ns1:contentStatus[1]" w:storeItemID="{6C3C8BC8-F283-45AE-878A-BAB7291924A1}"/>
                <w:text/>
              </w:sdtPr>
              <w:sdtEndPr/>
              <w:sdtContent>
                <w:r w:rsidR="00A5506E" w:rsidRPr="00237524">
                  <w:rPr>
                    <w:rFonts w:ascii="Times New Roman" w:hAnsi="Times New Roman" w:cs="Times New Roman"/>
                    <w:snapToGrid w:val="0"/>
                    <w:kern w:val="22"/>
                    <w:sz w:val="22"/>
                    <w:szCs w:val="22"/>
                  </w:rPr>
                  <w:t>GENERAL</w:t>
                </w:r>
              </w:sdtContent>
            </w:sdt>
          </w:p>
          <w:p w14:paraId="49789694" w14:textId="77777777" w:rsidR="0084107C" w:rsidRPr="00237524" w:rsidRDefault="0084107C" w:rsidP="00237524">
            <w:pPr>
              <w:suppressLineNumbers/>
              <w:suppressAutoHyphens/>
              <w:kinsoku w:val="0"/>
              <w:overflowPunct w:val="0"/>
              <w:autoSpaceDE w:val="0"/>
              <w:autoSpaceDN w:val="0"/>
              <w:ind w:left="1241"/>
              <w:rPr>
                <w:rFonts w:ascii="Times New Roman" w:hAnsi="Times New Roman" w:cs="Times New Roman"/>
                <w:snapToGrid w:val="0"/>
                <w:kern w:val="22"/>
                <w:sz w:val="22"/>
                <w:szCs w:val="22"/>
              </w:rPr>
            </w:pPr>
          </w:p>
          <w:p w14:paraId="3235963D" w14:textId="76260DE8" w:rsidR="0084107C" w:rsidRPr="00237524" w:rsidRDefault="00986A60" w:rsidP="00237524">
            <w:pPr>
              <w:suppressLineNumbers/>
              <w:suppressAutoHyphens/>
              <w:kinsoku w:val="0"/>
              <w:overflowPunct w:val="0"/>
              <w:autoSpaceDE w:val="0"/>
              <w:autoSpaceDN w:val="0"/>
              <w:ind w:left="1241"/>
              <w:rPr>
                <w:rFonts w:ascii="Times New Roman" w:hAnsi="Times New Roman" w:cs="Times New Roman"/>
                <w:snapToGrid w:val="0"/>
                <w:kern w:val="22"/>
                <w:sz w:val="22"/>
                <w:szCs w:val="22"/>
              </w:rPr>
            </w:pPr>
            <w:sdt>
              <w:sdtPr>
                <w:rPr>
                  <w:snapToGrid w:val="0"/>
                  <w:kern w:val="22"/>
                  <w:sz w:val="22"/>
                  <w:szCs w:val="22"/>
                </w:rPr>
                <w:alias w:val="Subject"/>
                <w:tag w:val=""/>
                <w:id w:val="2137136483"/>
                <w:placeholder>
                  <w:docPart w:val="44258BF6970D4CC59FE855240C8C7AF3"/>
                </w:placeholder>
                <w:dataBinding w:prefixMappings="xmlns:ns0='http://purl.org/dc/elements/1.1/' xmlns:ns1='http://schemas.openxmlformats.org/package/2006/metadata/core-properties' " w:xpath="/ns1:coreProperties[1]/ns0:subject[1]" w:storeItemID="{6C3C8BC8-F283-45AE-878A-BAB7291924A1}"/>
                <w:text/>
              </w:sdtPr>
              <w:sdtEndPr/>
              <w:sdtContent>
                <w:r w:rsidR="00A5506E" w:rsidRPr="00237524">
                  <w:rPr>
                    <w:rFonts w:ascii="Times New Roman" w:hAnsi="Times New Roman" w:cs="Times New Roman"/>
                    <w:snapToGrid w:val="0"/>
                    <w:kern w:val="22"/>
                    <w:sz w:val="22"/>
                    <w:szCs w:val="22"/>
                  </w:rPr>
                  <w:t>CBD/CP/MOP/9/13</w:t>
                </w:r>
              </w:sdtContent>
            </w:sdt>
          </w:p>
          <w:p w14:paraId="4CD18045" w14:textId="54ADACE8" w:rsidR="0084107C" w:rsidRPr="00237524" w:rsidRDefault="00AB6F68" w:rsidP="00237524">
            <w:pPr>
              <w:suppressLineNumbers/>
              <w:suppressAutoHyphens/>
              <w:kinsoku w:val="0"/>
              <w:overflowPunct w:val="0"/>
              <w:autoSpaceDE w:val="0"/>
              <w:autoSpaceDN w:val="0"/>
              <w:ind w:left="1241"/>
              <w:rPr>
                <w:rFonts w:ascii="Times New Roman" w:hAnsi="Times New Roman" w:cs="Times New Roman"/>
                <w:snapToGrid w:val="0"/>
                <w:kern w:val="22"/>
                <w:sz w:val="22"/>
                <w:szCs w:val="22"/>
              </w:rPr>
            </w:pPr>
            <w:r w:rsidRPr="00237524">
              <w:rPr>
                <w:rFonts w:ascii="Times New Roman" w:hAnsi="Times New Roman" w:cs="Times New Roman"/>
                <w:snapToGrid w:val="0"/>
                <w:kern w:val="22"/>
                <w:sz w:val="22"/>
                <w:szCs w:val="22"/>
                <w:lang w:val="en-GB"/>
              </w:rPr>
              <w:t xml:space="preserve">29 </w:t>
            </w:r>
            <w:r w:rsidR="001407F3" w:rsidRPr="00237524">
              <w:rPr>
                <w:rFonts w:ascii="Times New Roman" w:hAnsi="Times New Roman" w:cs="Times New Roman"/>
                <w:snapToGrid w:val="0"/>
                <w:kern w:val="22"/>
                <w:sz w:val="22"/>
                <w:szCs w:val="22"/>
                <w:lang w:val="en-GB"/>
              </w:rPr>
              <w:t>November</w:t>
            </w:r>
            <w:r w:rsidR="00A11E0E" w:rsidRPr="00237524">
              <w:rPr>
                <w:rFonts w:ascii="Times New Roman" w:hAnsi="Times New Roman" w:cs="Times New Roman"/>
                <w:snapToGrid w:val="0"/>
                <w:kern w:val="22"/>
                <w:sz w:val="22"/>
                <w:szCs w:val="22"/>
                <w:lang w:val="en-GB"/>
              </w:rPr>
              <w:t xml:space="preserve"> 2018</w:t>
            </w:r>
          </w:p>
          <w:p w14:paraId="1C32B64E" w14:textId="77777777" w:rsidR="0084107C" w:rsidRPr="00237524" w:rsidRDefault="0084107C" w:rsidP="00237524">
            <w:pPr>
              <w:suppressLineNumbers/>
              <w:suppressAutoHyphens/>
              <w:kinsoku w:val="0"/>
              <w:overflowPunct w:val="0"/>
              <w:autoSpaceDE w:val="0"/>
              <w:autoSpaceDN w:val="0"/>
              <w:ind w:left="1241"/>
              <w:rPr>
                <w:rFonts w:ascii="Times New Roman" w:hAnsi="Times New Roman" w:cs="Times New Roman"/>
                <w:snapToGrid w:val="0"/>
                <w:kern w:val="22"/>
                <w:sz w:val="22"/>
                <w:szCs w:val="22"/>
              </w:rPr>
            </w:pPr>
          </w:p>
          <w:p w14:paraId="60887CA4" w14:textId="77777777" w:rsidR="0084107C" w:rsidRPr="008145F7" w:rsidRDefault="00477094" w:rsidP="00237524">
            <w:pPr>
              <w:suppressLineNumbers/>
              <w:suppressAutoHyphens/>
              <w:kinsoku w:val="0"/>
              <w:overflowPunct w:val="0"/>
              <w:autoSpaceDE w:val="0"/>
              <w:autoSpaceDN w:val="0"/>
              <w:ind w:left="1241"/>
              <w:rPr>
                <w:rFonts w:ascii="Times New Roman" w:hAnsi="Times New Roman" w:cs="Times New Roman"/>
                <w:snapToGrid w:val="0"/>
                <w:kern w:val="22"/>
                <w:szCs w:val="22"/>
              </w:rPr>
            </w:pPr>
            <w:r w:rsidRPr="00237524">
              <w:rPr>
                <w:rFonts w:ascii="Times New Roman" w:hAnsi="Times New Roman" w:cs="Times New Roman"/>
                <w:snapToGrid w:val="0"/>
                <w:kern w:val="22"/>
                <w:sz w:val="22"/>
                <w:szCs w:val="22"/>
              </w:rPr>
              <w:t xml:space="preserve">ORIGINAL: </w:t>
            </w:r>
            <w:r w:rsidR="0084107C" w:rsidRPr="00237524">
              <w:rPr>
                <w:rFonts w:ascii="Times New Roman" w:hAnsi="Times New Roman" w:cs="Times New Roman"/>
                <w:snapToGrid w:val="0"/>
                <w:kern w:val="22"/>
                <w:sz w:val="22"/>
                <w:szCs w:val="22"/>
              </w:rPr>
              <w:t>ENGLISH</w:t>
            </w:r>
          </w:p>
        </w:tc>
      </w:tr>
    </w:tbl>
    <w:p w14:paraId="1A0E7EBC" w14:textId="77777777" w:rsidR="00495B7A" w:rsidRPr="003075B3" w:rsidRDefault="00C20F5D" w:rsidP="006C3AD6">
      <w:pPr>
        <w:pStyle w:val="Cornernotation"/>
        <w:suppressLineNumbers/>
        <w:suppressAutoHyphens/>
        <w:kinsoku w:val="0"/>
        <w:overflowPunct w:val="0"/>
        <w:autoSpaceDE w:val="0"/>
        <w:autoSpaceDN w:val="0"/>
        <w:spacing w:before="60"/>
        <w:ind w:left="227" w:right="3780" w:hanging="227"/>
        <w:rPr>
          <w:rFonts w:cs="Times New Roman"/>
          <w:snapToGrid w:val="0"/>
          <w:kern w:val="22"/>
        </w:rPr>
      </w:pPr>
      <w:r w:rsidRPr="003075B3">
        <w:rPr>
          <w:rFonts w:cs="Times New Roman"/>
          <w:snapToGrid w:val="0"/>
          <w:kern w:val="22"/>
        </w:rPr>
        <w:t>CONFERENCE OF THE PARTIES TO THE CONVENTION ON BIOLOGICAL DIVERSITY SERVING AS THE MEETING OF THE PARTIES TO THE CARTAGENA PROTOCOL ON BIOSAFETY</w:t>
      </w:r>
    </w:p>
    <w:p w14:paraId="3920A6AC" w14:textId="77777777" w:rsidR="00495B7A" w:rsidRPr="00237524" w:rsidRDefault="00C20F5D" w:rsidP="006C3AD6">
      <w:pPr>
        <w:pStyle w:val="Cornernotation"/>
        <w:suppressLineNumbers/>
        <w:suppressAutoHyphens/>
        <w:kinsoku w:val="0"/>
        <w:overflowPunct w:val="0"/>
        <w:autoSpaceDE w:val="0"/>
        <w:autoSpaceDN w:val="0"/>
        <w:ind w:left="0" w:right="4512" w:firstLine="0"/>
        <w:rPr>
          <w:rFonts w:cs="Times New Roman"/>
          <w:snapToGrid w:val="0"/>
          <w:kern w:val="22"/>
          <w:szCs w:val="22"/>
        </w:rPr>
      </w:pPr>
      <w:r w:rsidRPr="00237524">
        <w:rPr>
          <w:rFonts w:cs="Times New Roman"/>
          <w:snapToGrid w:val="0"/>
          <w:kern w:val="22"/>
          <w:szCs w:val="22"/>
        </w:rPr>
        <w:t>Ninth meeting</w:t>
      </w:r>
    </w:p>
    <w:p w14:paraId="34A6ED0D" w14:textId="77777777" w:rsidR="00495B7A" w:rsidRPr="00237524" w:rsidRDefault="00C20F5D" w:rsidP="006C3AD6">
      <w:pPr>
        <w:suppressLineNumbers/>
        <w:suppressAutoHyphens/>
        <w:kinsoku w:val="0"/>
        <w:overflowPunct w:val="0"/>
        <w:autoSpaceDE w:val="0"/>
        <w:autoSpaceDN w:val="0"/>
        <w:rPr>
          <w:snapToGrid w:val="0"/>
          <w:kern w:val="22"/>
          <w:sz w:val="22"/>
          <w:szCs w:val="22"/>
          <w:lang w:eastAsia="nb-NO"/>
        </w:rPr>
      </w:pPr>
      <w:bookmarkStart w:id="1" w:name="_Hlk505863673"/>
      <w:r w:rsidRPr="00237524">
        <w:rPr>
          <w:snapToGrid w:val="0"/>
          <w:kern w:val="22"/>
          <w:sz w:val="22"/>
          <w:szCs w:val="22"/>
          <w:lang w:eastAsia="nb-NO"/>
        </w:rPr>
        <w:t>Sharm El-Sheikh, Egypt</w:t>
      </w:r>
      <w:bookmarkEnd w:id="1"/>
      <w:r w:rsidRPr="00237524">
        <w:rPr>
          <w:snapToGrid w:val="0"/>
          <w:kern w:val="22"/>
          <w:sz w:val="22"/>
          <w:szCs w:val="22"/>
          <w:lang w:eastAsia="nb-NO"/>
        </w:rPr>
        <w:t>, 1</w:t>
      </w:r>
      <w:r w:rsidR="002A49EF" w:rsidRPr="00237524">
        <w:rPr>
          <w:snapToGrid w:val="0"/>
          <w:kern w:val="22"/>
          <w:sz w:val="22"/>
          <w:szCs w:val="22"/>
          <w:lang w:eastAsia="nb-NO"/>
        </w:rPr>
        <w:t>7</w:t>
      </w:r>
      <w:r w:rsidRPr="00237524">
        <w:rPr>
          <w:snapToGrid w:val="0"/>
          <w:kern w:val="22"/>
          <w:sz w:val="22"/>
          <w:szCs w:val="22"/>
          <w:lang w:eastAsia="nb-NO"/>
        </w:rPr>
        <w:t>-2</w:t>
      </w:r>
      <w:r w:rsidR="002A49EF" w:rsidRPr="00237524">
        <w:rPr>
          <w:snapToGrid w:val="0"/>
          <w:kern w:val="22"/>
          <w:sz w:val="22"/>
          <w:szCs w:val="22"/>
          <w:lang w:eastAsia="nb-NO"/>
        </w:rPr>
        <w:t>9</w:t>
      </w:r>
      <w:r w:rsidRPr="00237524">
        <w:rPr>
          <w:snapToGrid w:val="0"/>
          <w:kern w:val="22"/>
          <w:sz w:val="22"/>
          <w:szCs w:val="22"/>
          <w:lang w:eastAsia="nb-NO"/>
        </w:rPr>
        <w:t xml:space="preserve"> November 2018</w:t>
      </w:r>
    </w:p>
    <w:bookmarkStart w:id="2" w:name="_Toc879810"/>
    <w:bookmarkStart w:id="3" w:name="_Hlk530374184"/>
    <w:p w14:paraId="2213F5A6" w14:textId="15EBC2A9" w:rsidR="006673D6" w:rsidRPr="00237524" w:rsidRDefault="00986A60" w:rsidP="006673D6">
      <w:pPr>
        <w:keepNext/>
        <w:spacing w:before="240" w:after="120"/>
        <w:jc w:val="center"/>
        <w:outlineLvl w:val="1"/>
        <w:rPr>
          <w:b/>
          <w:bCs/>
          <w:iCs/>
          <w:caps/>
          <w:snapToGrid w:val="0"/>
          <w:color w:val="000000"/>
          <w:kern w:val="22"/>
          <w:sz w:val="22"/>
          <w:szCs w:val="22"/>
        </w:rPr>
      </w:pPr>
      <w:sdt>
        <w:sdtPr>
          <w:rPr>
            <w:b/>
            <w:bCs/>
            <w:iCs/>
            <w:caps/>
            <w:snapToGrid w:val="0"/>
            <w:color w:val="000000"/>
            <w:kern w:val="22"/>
            <w:sz w:val="22"/>
            <w:szCs w:val="22"/>
          </w:rPr>
          <w:alias w:val="Title"/>
          <w:tag w:val=""/>
          <w:id w:val="448895407"/>
          <w:placeholder>
            <w:docPart w:val="9E8E2A4135FA43898FBCA955F7910517"/>
          </w:placeholder>
          <w:dataBinding w:prefixMappings="xmlns:ns0='http://purl.org/dc/elements/1.1/' xmlns:ns1='http://schemas.openxmlformats.org/package/2006/metadata/core-properties' " w:xpath="/ns1:coreProperties[1]/ns0:title[1]" w:storeItemID="{6C3C8BC8-F283-45AE-878A-BAB7291924A1}"/>
          <w:text/>
        </w:sdtPr>
        <w:sdtEndPr/>
        <w:sdtContent>
          <w:r w:rsidR="00EF3B74" w:rsidRPr="00237524">
            <w:rPr>
              <w:b/>
              <w:bCs/>
              <w:iCs/>
              <w:caps/>
              <w:snapToGrid w:val="0"/>
              <w:color w:val="000000"/>
              <w:kern w:val="22"/>
              <w:sz w:val="22"/>
              <w:szCs w:val="22"/>
            </w:rPr>
            <w:t>Report of the</w:t>
          </w:r>
          <w:r w:rsidR="00641697" w:rsidRPr="00237524">
            <w:rPr>
              <w:b/>
              <w:bCs/>
              <w:iCs/>
              <w:caps/>
              <w:snapToGrid w:val="0"/>
              <w:color w:val="000000"/>
              <w:kern w:val="22"/>
              <w:sz w:val="22"/>
              <w:szCs w:val="22"/>
            </w:rPr>
            <w:t xml:space="preserve"> </w:t>
          </w:r>
          <w:r w:rsidR="00EF3B74" w:rsidRPr="00237524">
            <w:rPr>
              <w:b/>
              <w:bCs/>
              <w:iCs/>
              <w:caps/>
              <w:snapToGrid w:val="0"/>
              <w:color w:val="000000"/>
              <w:kern w:val="22"/>
              <w:sz w:val="22"/>
              <w:szCs w:val="22"/>
            </w:rPr>
            <w:t>Conference of the Parties serving as the meeting of the Parties to the Cartagena Protocol on Biosafety on its ninth meeting</w:t>
          </w:r>
        </w:sdtContent>
      </w:sdt>
      <w:bookmarkEnd w:id="2"/>
    </w:p>
    <w:bookmarkEnd w:id="3"/>
    <w:p w14:paraId="0D0FDF11" w14:textId="77777777" w:rsidR="00DE4366" w:rsidRPr="003075B3" w:rsidRDefault="00DE4366"/>
    <w:tbl>
      <w:tblPr>
        <w:tblStyle w:val="TableGrid"/>
        <w:tblW w:w="0" w:type="auto"/>
        <w:tblLook w:val="04A0" w:firstRow="1" w:lastRow="0" w:firstColumn="1" w:lastColumn="0" w:noHBand="0" w:noVBand="1"/>
      </w:tblPr>
      <w:tblGrid>
        <w:gridCol w:w="9452"/>
      </w:tblGrid>
      <w:tr w:rsidR="00DE4366" w:rsidRPr="00237524" w14:paraId="605BF9D0" w14:textId="77777777" w:rsidTr="00DE4366">
        <w:tc>
          <w:tcPr>
            <w:tcW w:w="9452" w:type="dxa"/>
          </w:tcPr>
          <w:p w14:paraId="36FFC3EF" w14:textId="1429A46C" w:rsidR="00DE4366" w:rsidRPr="00237524" w:rsidRDefault="00DE4366" w:rsidP="00DE4366">
            <w:pPr>
              <w:spacing w:before="120" w:after="120"/>
              <w:ind w:firstLine="567"/>
              <w:rPr>
                <w:rFonts w:ascii="Times New Roman" w:eastAsia="Malgun Gothic" w:hAnsi="Times New Roman"/>
                <w:sz w:val="22"/>
                <w:szCs w:val="22"/>
              </w:rPr>
            </w:pPr>
            <w:r w:rsidRPr="00237524">
              <w:rPr>
                <w:rFonts w:ascii="Times New Roman" w:eastAsia="Malgun Gothic" w:hAnsi="Times New Roman"/>
                <w:sz w:val="22"/>
                <w:szCs w:val="22"/>
              </w:rPr>
              <w:t xml:space="preserve">The Conference of the Parties to the Convention on Biological Diversity serving as the meeting of the Parties to the Cartagena Protocol on Biosafety held its ninth meeting in </w:t>
            </w:r>
            <w:r w:rsidRPr="00237524">
              <w:rPr>
                <w:rFonts w:ascii="Times New Roman" w:hAnsi="Times New Roman"/>
                <w:snapToGrid w:val="0"/>
                <w:kern w:val="22"/>
                <w:sz w:val="22"/>
                <w:szCs w:val="22"/>
                <w:lang w:eastAsia="nb-NO"/>
              </w:rPr>
              <w:t>Sharm El-Sheikh, Egypt, from 17 to 29 November 2018</w:t>
            </w:r>
            <w:r w:rsidRPr="00237524">
              <w:rPr>
                <w:rFonts w:ascii="Times New Roman" w:eastAsia="Malgun Gothic" w:hAnsi="Times New Roman"/>
                <w:sz w:val="22"/>
                <w:szCs w:val="22"/>
              </w:rPr>
              <w:t>. It adopted 16 decisions, which appear in chapter I of the present report.</w:t>
            </w:r>
          </w:p>
          <w:p w14:paraId="3B9BBAD9" w14:textId="0D0C6AAA" w:rsidR="00DE4366" w:rsidRPr="00237524" w:rsidRDefault="00DE4366" w:rsidP="00237524">
            <w:pPr>
              <w:spacing w:before="120" w:after="120"/>
              <w:ind w:firstLine="567"/>
              <w:jc w:val="both"/>
              <w:rPr>
                <w:rFonts w:ascii="Times New Roman" w:hAnsi="Times New Roman"/>
                <w:sz w:val="22"/>
                <w:szCs w:val="22"/>
              </w:rPr>
            </w:pPr>
            <w:r w:rsidRPr="00237524">
              <w:rPr>
                <w:rFonts w:ascii="Times New Roman" w:eastAsia="Malgun Gothic" w:hAnsi="Times New Roman"/>
                <w:sz w:val="22"/>
                <w:szCs w:val="22"/>
              </w:rPr>
              <w:t>The account of the proceedings of the meeting is contained in chapter II of the report.</w:t>
            </w:r>
          </w:p>
        </w:tc>
      </w:tr>
    </w:tbl>
    <w:p w14:paraId="0C149E80" w14:textId="77777777" w:rsidR="00DE4366" w:rsidRPr="00237524" w:rsidRDefault="00DE4366">
      <w:pPr>
        <w:rPr>
          <w:sz w:val="22"/>
          <w:szCs w:val="22"/>
        </w:rPr>
      </w:pPr>
    </w:p>
    <w:p w14:paraId="61D785F1" w14:textId="34ED3B9C" w:rsidR="00376CED" w:rsidRPr="003075B3" w:rsidRDefault="00376CED">
      <w:pPr>
        <w:rPr>
          <w:b/>
          <w:caps/>
        </w:rPr>
      </w:pPr>
      <w:r w:rsidRPr="003075B3">
        <w:br w:type="page"/>
      </w:r>
    </w:p>
    <w:p w14:paraId="56E23736" w14:textId="77777777" w:rsidR="00B614A3" w:rsidRPr="00237524" w:rsidRDefault="00376CED">
      <w:pPr>
        <w:rPr>
          <w:i/>
          <w:sz w:val="22"/>
          <w:szCs w:val="22"/>
        </w:rPr>
      </w:pPr>
      <w:r w:rsidRPr="00237524">
        <w:rPr>
          <w:i/>
          <w:sz w:val="22"/>
          <w:szCs w:val="22"/>
        </w:rPr>
        <w:lastRenderedPageBreak/>
        <w:t>Contents</w:t>
      </w:r>
    </w:p>
    <w:p w14:paraId="596A66F7" w14:textId="16A1A2B5" w:rsidR="00CF43BA" w:rsidRDefault="00B614A3" w:rsidP="00CD532C">
      <w:pPr>
        <w:pStyle w:val="TOC1"/>
        <w:rPr>
          <w:rFonts w:asciiTheme="minorHAnsi" w:eastAsiaTheme="minorEastAsia" w:hAnsiTheme="minorHAnsi" w:cstheme="minorBidi"/>
          <w:lang w:val="en-CA" w:eastAsia="en-CA"/>
        </w:rPr>
      </w:pPr>
      <w:r w:rsidRPr="00520822">
        <w:fldChar w:fldCharType="begin"/>
      </w:r>
      <w:r w:rsidRPr="00304A4B">
        <w:instrText xml:space="preserve"> TOC \h \z \t "heading 2 - item,2,Dec-title one line,2,Heading I report,1,Heading 1 report,1,heading2-item,2" </w:instrText>
      </w:r>
      <w:r w:rsidRPr="00520822">
        <w:fldChar w:fldCharType="separate"/>
      </w:r>
      <w:hyperlink w:anchor="_Toc5612091" w:history="1">
        <w:r w:rsidR="00CF43BA" w:rsidRPr="00A722FD">
          <w:rPr>
            <w:rStyle w:val="Hyperlink"/>
            <w:rFonts w:cs="Times New Roman"/>
          </w:rPr>
          <w:t>I.</w:t>
        </w:r>
        <w:r w:rsidR="00CF43BA">
          <w:rPr>
            <w:rFonts w:asciiTheme="minorHAnsi" w:eastAsiaTheme="minorEastAsia" w:hAnsiTheme="minorHAnsi" w:cstheme="minorBidi"/>
            <w:lang w:val="en-CA" w:eastAsia="en-CA"/>
          </w:rPr>
          <w:tab/>
        </w:r>
        <w:r w:rsidR="00CF43BA" w:rsidRPr="00A722FD">
          <w:rPr>
            <w:rStyle w:val="Hyperlink"/>
            <w:rFonts w:cs="Times New Roman"/>
          </w:rPr>
          <w:t>D</w:t>
        </w:r>
        <w:r w:rsidR="007959C2" w:rsidRPr="00A722FD">
          <w:rPr>
            <w:rStyle w:val="Hyperlink"/>
            <w:rFonts w:cs="Times New Roman"/>
          </w:rPr>
          <w:t>ECISIONS</w:t>
        </w:r>
        <w:r w:rsidR="00CF43BA">
          <w:rPr>
            <w:webHidden/>
          </w:rPr>
          <w:tab/>
        </w:r>
        <w:r w:rsidR="00CF43BA">
          <w:rPr>
            <w:webHidden/>
          </w:rPr>
          <w:fldChar w:fldCharType="begin"/>
        </w:r>
        <w:r w:rsidR="00CF43BA">
          <w:rPr>
            <w:webHidden/>
          </w:rPr>
          <w:instrText xml:space="preserve"> PAGEREF _Toc5612091 \h </w:instrText>
        </w:r>
        <w:r w:rsidR="00CF43BA">
          <w:rPr>
            <w:webHidden/>
          </w:rPr>
        </w:r>
        <w:r w:rsidR="00CF43BA">
          <w:rPr>
            <w:webHidden/>
          </w:rPr>
          <w:fldChar w:fldCharType="separate"/>
        </w:r>
        <w:r w:rsidR="00CF43BA">
          <w:rPr>
            <w:webHidden/>
          </w:rPr>
          <w:t>4</w:t>
        </w:r>
        <w:r w:rsidR="00CF43BA">
          <w:rPr>
            <w:webHidden/>
          </w:rPr>
          <w:fldChar w:fldCharType="end"/>
        </w:r>
      </w:hyperlink>
    </w:p>
    <w:p w14:paraId="61FCF310" w14:textId="73473254" w:rsidR="00CF43BA" w:rsidRDefault="00986A60" w:rsidP="00CD532C">
      <w:pPr>
        <w:pStyle w:val="TOC2"/>
        <w:rPr>
          <w:rFonts w:asciiTheme="minorHAnsi" w:eastAsiaTheme="minorEastAsia" w:hAnsiTheme="minorHAnsi" w:cstheme="minorBidi"/>
          <w:lang w:val="en-CA" w:eastAsia="en-CA"/>
        </w:rPr>
      </w:pPr>
      <w:hyperlink w:anchor="_Toc5612092" w:history="1">
        <w:r w:rsidR="00CF43BA" w:rsidRPr="00A722FD">
          <w:rPr>
            <w:rStyle w:val="Hyperlink"/>
            <w:snapToGrid w:val="0"/>
          </w:rPr>
          <w:t>9/1.</w:t>
        </w:r>
        <w:r w:rsidR="00CF43BA">
          <w:rPr>
            <w:rFonts w:asciiTheme="minorHAnsi" w:eastAsiaTheme="minorEastAsia" w:hAnsiTheme="minorHAnsi" w:cstheme="minorBidi"/>
            <w:lang w:val="en-CA" w:eastAsia="en-CA"/>
          </w:rPr>
          <w:tab/>
        </w:r>
        <w:r w:rsidR="00CF43BA" w:rsidRPr="00A722FD">
          <w:rPr>
            <w:rStyle w:val="Hyperlink"/>
            <w:snapToGrid w:val="0"/>
          </w:rPr>
          <w:t>Compliance</w:t>
        </w:r>
        <w:r w:rsidR="00CF43BA">
          <w:rPr>
            <w:webHidden/>
          </w:rPr>
          <w:tab/>
        </w:r>
        <w:r w:rsidR="00CF43BA">
          <w:rPr>
            <w:webHidden/>
          </w:rPr>
          <w:fldChar w:fldCharType="begin"/>
        </w:r>
        <w:r w:rsidR="00CF43BA">
          <w:rPr>
            <w:webHidden/>
          </w:rPr>
          <w:instrText xml:space="preserve"> PAGEREF _Toc5612092 \h </w:instrText>
        </w:r>
        <w:r w:rsidR="00CF43BA">
          <w:rPr>
            <w:webHidden/>
          </w:rPr>
        </w:r>
        <w:r w:rsidR="00CF43BA">
          <w:rPr>
            <w:webHidden/>
          </w:rPr>
          <w:fldChar w:fldCharType="separate"/>
        </w:r>
        <w:r w:rsidR="00CF43BA">
          <w:rPr>
            <w:webHidden/>
          </w:rPr>
          <w:t>4</w:t>
        </w:r>
        <w:r w:rsidR="00CF43BA">
          <w:rPr>
            <w:webHidden/>
          </w:rPr>
          <w:fldChar w:fldCharType="end"/>
        </w:r>
      </w:hyperlink>
    </w:p>
    <w:p w14:paraId="400584C7" w14:textId="6AFDBC5D" w:rsidR="00CF43BA" w:rsidRDefault="00986A60" w:rsidP="00CD532C">
      <w:pPr>
        <w:pStyle w:val="TOC2"/>
        <w:rPr>
          <w:rFonts w:asciiTheme="minorHAnsi" w:eastAsiaTheme="minorEastAsia" w:hAnsiTheme="minorHAnsi" w:cstheme="minorBidi"/>
          <w:lang w:val="en-CA" w:eastAsia="en-CA"/>
        </w:rPr>
      </w:pPr>
      <w:hyperlink w:anchor="_Toc5612093" w:history="1">
        <w:r w:rsidR="00CF43BA" w:rsidRPr="00A722FD">
          <w:rPr>
            <w:rStyle w:val="Hyperlink"/>
          </w:rPr>
          <w:t>9/2.</w:t>
        </w:r>
        <w:r w:rsidR="00CF43BA">
          <w:rPr>
            <w:rFonts w:asciiTheme="minorHAnsi" w:eastAsiaTheme="minorEastAsia" w:hAnsiTheme="minorHAnsi" w:cstheme="minorBidi"/>
            <w:lang w:val="en-CA" w:eastAsia="en-CA"/>
          </w:rPr>
          <w:tab/>
        </w:r>
        <w:r w:rsidR="00CF43BA" w:rsidRPr="00A722FD">
          <w:rPr>
            <w:rStyle w:val="Hyperlink"/>
          </w:rPr>
          <w:t>Operation and activities of the Biosafety Clearing-House (Article 20)</w:t>
        </w:r>
        <w:r w:rsidR="00CF43BA">
          <w:rPr>
            <w:webHidden/>
          </w:rPr>
          <w:tab/>
        </w:r>
        <w:r w:rsidR="00CF43BA">
          <w:rPr>
            <w:webHidden/>
          </w:rPr>
          <w:fldChar w:fldCharType="begin"/>
        </w:r>
        <w:r w:rsidR="00CF43BA">
          <w:rPr>
            <w:webHidden/>
          </w:rPr>
          <w:instrText xml:space="preserve"> PAGEREF _Toc5612093 \h </w:instrText>
        </w:r>
        <w:r w:rsidR="00CF43BA">
          <w:rPr>
            <w:webHidden/>
          </w:rPr>
        </w:r>
        <w:r w:rsidR="00CF43BA">
          <w:rPr>
            <w:webHidden/>
          </w:rPr>
          <w:fldChar w:fldCharType="separate"/>
        </w:r>
        <w:r w:rsidR="00CF43BA">
          <w:rPr>
            <w:webHidden/>
          </w:rPr>
          <w:t>6</w:t>
        </w:r>
        <w:r w:rsidR="00CF43BA">
          <w:rPr>
            <w:webHidden/>
          </w:rPr>
          <w:fldChar w:fldCharType="end"/>
        </w:r>
      </w:hyperlink>
    </w:p>
    <w:p w14:paraId="2EC3A993" w14:textId="7104D9AC" w:rsidR="00CF43BA" w:rsidRDefault="00986A60" w:rsidP="00CD532C">
      <w:pPr>
        <w:pStyle w:val="TOC2"/>
        <w:rPr>
          <w:rFonts w:asciiTheme="minorHAnsi" w:eastAsiaTheme="minorEastAsia" w:hAnsiTheme="minorHAnsi" w:cstheme="minorBidi"/>
          <w:lang w:val="en-CA" w:eastAsia="en-CA"/>
        </w:rPr>
      </w:pPr>
      <w:hyperlink w:anchor="_Toc5612094" w:history="1">
        <w:r w:rsidR="00CF43BA" w:rsidRPr="00A722FD">
          <w:rPr>
            <w:rStyle w:val="Hyperlink"/>
          </w:rPr>
          <w:t>9/3.</w:t>
        </w:r>
        <w:r w:rsidR="00CF43BA">
          <w:rPr>
            <w:rFonts w:asciiTheme="minorHAnsi" w:eastAsiaTheme="minorEastAsia" w:hAnsiTheme="minorHAnsi" w:cstheme="minorBidi"/>
            <w:lang w:val="en-CA" w:eastAsia="en-CA"/>
          </w:rPr>
          <w:tab/>
        </w:r>
        <w:r w:rsidR="00CF43BA" w:rsidRPr="00A722FD">
          <w:rPr>
            <w:rStyle w:val="Hyperlink"/>
          </w:rPr>
          <w:t>Capacity-building (Article 22)</w:t>
        </w:r>
        <w:r w:rsidR="00CF43BA">
          <w:rPr>
            <w:webHidden/>
          </w:rPr>
          <w:tab/>
        </w:r>
        <w:r w:rsidR="00CF43BA">
          <w:rPr>
            <w:webHidden/>
          </w:rPr>
          <w:fldChar w:fldCharType="begin"/>
        </w:r>
        <w:r w:rsidR="00CF43BA">
          <w:rPr>
            <w:webHidden/>
          </w:rPr>
          <w:instrText xml:space="preserve"> PAGEREF _Toc5612094 \h </w:instrText>
        </w:r>
        <w:r w:rsidR="00CF43BA">
          <w:rPr>
            <w:webHidden/>
          </w:rPr>
        </w:r>
        <w:r w:rsidR="00CF43BA">
          <w:rPr>
            <w:webHidden/>
          </w:rPr>
          <w:fldChar w:fldCharType="separate"/>
        </w:r>
        <w:r w:rsidR="00CF43BA">
          <w:rPr>
            <w:webHidden/>
          </w:rPr>
          <w:t>7</w:t>
        </w:r>
        <w:r w:rsidR="00CF43BA">
          <w:rPr>
            <w:webHidden/>
          </w:rPr>
          <w:fldChar w:fldCharType="end"/>
        </w:r>
      </w:hyperlink>
    </w:p>
    <w:p w14:paraId="234D39BB" w14:textId="66FA1FF5" w:rsidR="00CF43BA" w:rsidRDefault="00986A60" w:rsidP="00CD532C">
      <w:pPr>
        <w:pStyle w:val="TOC2"/>
        <w:rPr>
          <w:rFonts w:asciiTheme="minorHAnsi" w:eastAsiaTheme="minorEastAsia" w:hAnsiTheme="minorHAnsi" w:cstheme="minorBidi"/>
          <w:lang w:val="en-CA" w:eastAsia="en-CA"/>
        </w:rPr>
      </w:pPr>
      <w:hyperlink w:anchor="_Toc5612095" w:history="1">
        <w:r w:rsidR="00CF43BA" w:rsidRPr="00A722FD">
          <w:rPr>
            <w:rStyle w:val="Hyperlink"/>
          </w:rPr>
          <w:t>9/4.</w:t>
        </w:r>
        <w:r w:rsidR="00CF43BA">
          <w:rPr>
            <w:rFonts w:asciiTheme="minorHAnsi" w:eastAsiaTheme="minorEastAsia" w:hAnsiTheme="minorHAnsi" w:cstheme="minorBidi"/>
            <w:lang w:val="en-CA" w:eastAsia="en-CA"/>
          </w:rPr>
          <w:tab/>
        </w:r>
        <w:r w:rsidR="00CF43BA" w:rsidRPr="00A722FD">
          <w:rPr>
            <w:rStyle w:val="Hyperlink"/>
          </w:rPr>
          <w:t>Matters related to the financial mechanism and resources (Article 28)</w:t>
        </w:r>
        <w:r w:rsidR="00CF43BA">
          <w:rPr>
            <w:webHidden/>
          </w:rPr>
          <w:tab/>
        </w:r>
        <w:r w:rsidR="00CF43BA">
          <w:rPr>
            <w:webHidden/>
          </w:rPr>
          <w:fldChar w:fldCharType="begin"/>
        </w:r>
        <w:r w:rsidR="00CF43BA">
          <w:rPr>
            <w:webHidden/>
          </w:rPr>
          <w:instrText xml:space="preserve"> PAGEREF _Toc5612095 \h </w:instrText>
        </w:r>
        <w:r w:rsidR="00CF43BA">
          <w:rPr>
            <w:webHidden/>
          </w:rPr>
        </w:r>
        <w:r w:rsidR="00CF43BA">
          <w:rPr>
            <w:webHidden/>
          </w:rPr>
          <w:fldChar w:fldCharType="separate"/>
        </w:r>
        <w:r w:rsidR="00CF43BA">
          <w:rPr>
            <w:webHidden/>
          </w:rPr>
          <w:t>10</w:t>
        </w:r>
        <w:r w:rsidR="00CF43BA">
          <w:rPr>
            <w:webHidden/>
          </w:rPr>
          <w:fldChar w:fldCharType="end"/>
        </w:r>
      </w:hyperlink>
    </w:p>
    <w:p w14:paraId="64AC7FCA" w14:textId="39ACF637" w:rsidR="00CF43BA" w:rsidRDefault="00986A60" w:rsidP="00CD532C">
      <w:pPr>
        <w:pStyle w:val="TOC2"/>
        <w:rPr>
          <w:rFonts w:asciiTheme="minorHAnsi" w:eastAsiaTheme="minorEastAsia" w:hAnsiTheme="minorHAnsi" w:cstheme="minorBidi"/>
          <w:lang w:val="en-CA" w:eastAsia="en-CA"/>
        </w:rPr>
      </w:pPr>
      <w:hyperlink w:anchor="_Toc5612096" w:history="1">
        <w:r w:rsidR="00CF43BA" w:rsidRPr="00A722FD">
          <w:rPr>
            <w:rStyle w:val="Hyperlink"/>
          </w:rPr>
          <w:t>9/5.</w:t>
        </w:r>
        <w:r w:rsidR="00CF43BA">
          <w:rPr>
            <w:rFonts w:asciiTheme="minorHAnsi" w:eastAsiaTheme="minorEastAsia" w:hAnsiTheme="minorHAnsi" w:cstheme="minorBidi"/>
            <w:lang w:val="en-CA" w:eastAsia="en-CA"/>
          </w:rPr>
          <w:tab/>
        </w:r>
        <w:r w:rsidR="00CF43BA" w:rsidRPr="00A722FD">
          <w:rPr>
            <w:rStyle w:val="Hyperlink"/>
          </w:rPr>
          <w:t>Monitoring and reporting (Article 33)</w:t>
        </w:r>
        <w:r w:rsidR="00CF43BA">
          <w:rPr>
            <w:webHidden/>
          </w:rPr>
          <w:tab/>
        </w:r>
        <w:r w:rsidR="00CF43BA">
          <w:rPr>
            <w:webHidden/>
          </w:rPr>
          <w:fldChar w:fldCharType="begin"/>
        </w:r>
        <w:r w:rsidR="00CF43BA">
          <w:rPr>
            <w:webHidden/>
          </w:rPr>
          <w:instrText xml:space="preserve"> PAGEREF _Toc5612096 \h </w:instrText>
        </w:r>
        <w:r w:rsidR="00CF43BA">
          <w:rPr>
            <w:webHidden/>
          </w:rPr>
        </w:r>
        <w:r w:rsidR="00CF43BA">
          <w:rPr>
            <w:webHidden/>
          </w:rPr>
          <w:fldChar w:fldCharType="separate"/>
        </w:r>
        <w:r w:rsidR="00CF43BA">
          <w:rPr>
            <w:webHidden/>
          </w:rPr>
          <w:t>11</w:t>
        </w:r>
        <w:r w:rsidR="00CF43BA">
          <w:rPr>
            <w:webHidden/>
          </w:rPr>
          <w:fldChar w:fldCharType="end"/>
        </w:r>
      </w:hyperlink>
    </w:p>
    <w:p w14:paraId="48AF65D0" w14:textId="035AF86B" w:rsidR="00CF43BA" w:rsidRDefault="00986A60" w:rsidP="00273CA8">
      <w:pPr>
        <w:pStyle w:val="TOC2"/>
        <w:rPr>
          <w:rFonts w:asciiTheme="minorHAnsi" w:eastAsiaTheme="minorEastAsia" w:hAnsiTheme="minorHAnsi" w:cstheme="minorBidi"/>
          <w:lang w:val="en-CA" w:eastAsia="en-CA"/>
        </w:rPr>
      </w:pPr>
      <w:hyperlink w:anchor="_Toc5612097" w:history="1">
        <w:r w:rsidR="00CF43BA" w:rsidRPr="00A722FD">
          <w:rPr>
            <w:rStyle w:val="Hyperlink"/>
          </w:rPr>
          <w:t>9/6.</w:t>
        </w:r>
        <w:r w:rsidR="00CF43BA">
          <w:rPr>
            <w:rFonts w:asciiTheme="minorHAnsi" w:eastAsiaTheme="minorEastAsia" w:hAnsiTheme="minorHAnsi" w:cstheme="minorBidi"/>
            <w:lang w:val="en-CA" w:eastAsia="en-CA"/>
          </w:rPr>
          <w:tab/>
        </w:r>
        <w:r w:rsidR="00CF43BA" w:rsidRPr="00A722FD">
          <w:rPr>
            <w:rStyle w:val="Hyperlink"/>
          </w:rPr>
          <w:t>Assessment and review of the effectiveness of the Cartagena Protocol (Article 35)</w:t>
        </w:r>
        <w:r w:rsidR="00CF43BA">
          <w:rPr>
            <w:webHidden/>
          </w:rPr>
          <w:tab/>
        </w:r>
        <w:r w:rsidR="00CF43BA">
          <w:rPr>
            <w:webHidden/>
          </w:rPr>
          <w:fldChar w:fldCharType="begin"/>
        </w:r>
        <w:r w:rsidR="00CF43BA">
          <w:rPr>
            <w:webHidden/>
          </w:rPr>
          <w:instrText xml:space="preserve"> PAGEREF _Toc5612097 \h </w:instrText>
        </w:r>
        <w:r w:rsidR="00CF43BA">
          <w:rPr>
            <w:webHidden/>
          </w:rPr>
        </w:r>
        <w:r w:rsidR="00CF43BA">
          <w:rPr>
            <w:webHidden/>
          </w:rPr>
          <w:fldChar w:fldCharType="separate"/>
        </w:r>
        <w:r w:rsidR="00CF43BA">
          <w:rPr>
            <w:webHidden/>
          </w:rPr>
          <w:t>39</w:t>
        </w:r>
        <w:r w:rsidR="00CF43BA">
          <w:rPr>
            <w:webHidden/>
          </w:rPr>
          <w:fldChar w:fldCharType="end"/>
        </w:r>
      </w:hyperlink>
    </w:p>
    <w:p w14:paraId="0BE1B8F4" w14:textId="2892C366" w:rsidR="00CF43BA" w:rsidRDefault="00986A60" w:rsidP="00C31366">
      <w:pPr>
        <w:pStyle w:val="TOC2"/>
        <w:rPr>
          <w:rFonts w:asciiTheme="minorHAnsi" w:eastAsiaTheme="minorEastAsia" w:hAnsiTheme="minorHAnsi" w:cstheme="minorBidi"/>
          <w:lang w:val="en-CA" w:eastAsia="en-CA"/>
        </w:rPr>
      </w:pPr>
      <w:hyperlink w:anchor="_Toc5612098" w:history="1">
        <w:r w:rsidR="00CF43BA" w:rsidRPr="00A722FD">
          <w:rPr>
            <w:rStyle w:val="Hyperlink"/>
          </w:rPr>
          <w:t>9/7.</w:t>
        </w:r>
        <w:r w:rsidR="00CF43BA">
          <w:rPr>
            <w:rFonts w:asciiTheme="minorHAnsi" w:eastAsiaTheme="minorEastAsia" w:hAnsiTheme="minorHAnsi" w:cstheme="minorBidi"/>
            <w:lang w:val="en-CA" w:eastAsia="en-CA"/>
          </w:rPr>
          <w:tab/>
        </w:r>
        <w:r w:rsidR="00CF43BA" w:rsidRPr="00A722FD">
          <w:rPr>
            <w:rStyle w:val="Hyperlink"/>
          </w:rPr>
          <w:t>Preparation for the follow-up to the Strategic Plan for Biodiversity 2011-2020 and the Strategic Plan for the Cartagena Protocol on Biosafety 2011-2020</w:t>
        </w:r>
        <w:r w:rsidR="00CF43BA">
          <w:rPr>
            <w:webHidden/>
          </w:rPr>
          <w:tab/>
        </w:r>
        <w:r w:rsidR="00CF43BA">
          <w:rPr>
            <w:webHidden/>
          </w:rPr>
          <w:fldChar w:fldCharType="begin"/>
        </w:r>
        <w:r w:rsidR="00CF43BA">
          <w:rPr>
            <w:webHidden/>
          </w:rPr>
          <w:instrText xml:space="preserve"> PAGEREF _Toc5612098 \h </w:instrText>
        </w:r>
        <w:r w:rsidR="00CF43BA">
          <w:rPr>
            <w:webHidden/>
          </w:rPr>
        </w:r>
        <w:r w:rsidR="00CF43BA">
          <w:rPr>
            <w:webHidden/>
          </w:rPr>
          <w:fldChar w:fldCharType="separate"/>
        </w:r>
        <w:r w:rsidR="00CF43BA">
          <w:rPr>
            <w:webHidden/>
          </w:rPr>
          <w:t>40</w:t>
        </w:r>
        <w:r w:rsidR="00CF43BA">
          <w:rPr>
            <w:webHidden/>
          </w:rPr>
          <w:fldChar w:fldCharType="end"/>
        </w:r>
      </w:hyperlink>
    </w:p>
    <w:p w14:paraId="6D811AB1" w14:textId="4AF99194" w:rsidR="00CF43BA" w:rsidRDefault="00986A60" w:rsidP="00C31366">
      <w:pPr>
        <w:pStyle w:val="TOC2"/>
        <w:rPr>
          <w:rFonts w:asciiTheme="minorHAnsi" w:eastAsiaTheme="minorEastAsia" w:hAnsiTheme="minorHAnsi" w:cstheme="minorBidi"/>
          <w:lang w:val="en-CA" w:eastAsia="en-CA"/>
        </w:rPr>
      </w:pPr>
      <w:hyperlink w:anchor="_Toc5612099" w:history="1">
        <w:r w:rsidR="00CF43BA" w:rsidRPr="00A722FD">
          <w:rPr>
            <w:rStyle w:val="Hyperlink"/>
          </w:rPr>
          <w:t>9/8.</w:t>
        </w:r>
        <w:r w:rsidR="00CF43BA">
          <w:rPr>
            <w:rFonts w:asciiTheme="minorHAnsi" w:eastAsiaTheme="minorEastAsia" w:hAnsiTheme="minorHAnsi" w:cstheme="minorBidi"/>
            <w:lang w:val="en-CA" w:eastAsia="en-CA"/>
          </w:rPr>
          <w:tab/>
        </w:r>
        <w:r w:rsidR="00CF43BA" w:rsidRPr="00A722FD">
          <w:rPr>
            <w:rStyle w:val="Hyperlink"/>
          </w:rPr>
          <w:t>Review of experience in holding concurrently meetings of the Conference of the Parties to the Convention, the Conference of the Parties serving as the meeting of the Parties to the Cartagena Protocol, and the Conference of the Parties serving as the meeting of the Parties to the Nagoya Protocol</w:t>
        </w:r>
        <w:r w:rsidR="00CF43BA">
          <w:rPr>
            <w:webHidden/>
          </w:rPr>
          <w:tab/>
        </w:r>
        <w:r w:rsidR="00CF43BA">
          <w:rPr>
            <w:webHidden/>
          </w:rPr>
          <w:fldChar w:fldCharType="begin"/>
        </w:r>
        <w:r w:rsidR="00CF43BA">
          <w:rPr>
            <w:webHidden/>
          </w:rPr>
          <w:instrText xml:space="preserve"> PAGEREF _Toc5612099 \h </w:instrText>
        </w:r>
        <w:r w:rsidR="00CF43BA">
          <w:rPr>
            <w:webHidden/>
          </w:rPr>
        </w:r>
        <w:r w:rsidR="00CF43BA">
          <w:rPr>
            <w:webHidden/>
          </w:rPr>
          <w:fldChar w:fldCharType="separate"/>
        </w:r>
        <w:r w:rsidR="00CF43BA">
          <w:rPr>
            <w:webHidden/>
          </w:rPr>
          <w:t>42</w:t>
        </w:r>
        <w:r w:rsidR="00CF43BA">
          <w:rPr>
            <w:webHidden/>
          </w:rPr>
          <w:fldChar w:fldCharType="end"/>
        </w:r>
      </w:hyperlink>
    </w:p>
    <w:p w14:paraId="0CE9DF08" w14:textId="6246F622" w:rsidR="00CF43BA" w:rsidRDefault="00986A60" w:rsidP="00C31366">
      <w:pPr>
        <w:pStyle w:val="TOC2"/>
        <w:rPr>
          <w:rFonts w:asciiTheme="minorHAnsi" w:eastAsiaTheme="minorEastAsia" w:hAnsiTheme="minorHAnsi" w:cstheme="minorBidi"/>
          <w:lang w:val="en-CA" w:eastAsia="en-CA"/>
        </w:rPr>
      </w:pPr>
      <w:hyperlink w:anchor="_Toc5612100" w:history="1">
        <w:r w:rsidR="00CF43BA" w:rsidRPr="00A722FD">
          <w:rPr>
            <w:rStyle w:val="Hyperlink"/>
          </w:rPr>
          <w:t>9/9.</w:t>
        </w:r>
        <w:r w:rsidR="00CF43BA">
          <w:rPr>
            <w:rFonts w:asciiTheme="minorHAnsi" w:eastAsiaTheme="minorEastAsia" w:hAnsiTheme="minorHAnsi" w:cstheme="minorBidi"/>
            <w:lang w:val="en-CA" w:eastAsia="en-CA"/>
          </w:rPr>
          <w:tab/>
        </w:r>
        <w:r w:rsidR="00CF43BA" w:rsidRPr="00A722FD">
          <w:rPr>
            <w:rStyle w:val="Hyperlink"/>
          </w:rPr>
          <w:t>Enhancing integration under the Convention and its Protocols with respect to biosafety-related provisions</w:t>
        </w:r>
        <w:r w:rsidR="00CF43BA">
          <w:rPr>
            <w:webHidden/>
          </w:rPr>
          <w:tab/>
        </w:r>
        <w:r w:rsidR="00CF43BA">
          <w:rPr>
            <w:webHidden/>
          </w:rPr>
          <w:fldChar w:fldCharType="begin"/>
        </w:r>
        <w:r w:rsidR="00CF43BA">
          <w:rPr>
            <w:webHidden/>
          </w:rPr>
          <w:instrText xml:space="preserve"> PAGEREF _Toc5612100 \h </w:instrText>
        </w:r>
        <w:r w:rsidR="00CF43BA">
          <w:rPr>
            <w:webHidden/>
          </w:rPr>
        </w:r>
        <w:r w:rsidR="00CF43BA">
          <w:rPr>
            <w:webHidden/>
          </w:rPr>
          <w:fldChar w:fldCharType="separate"/>
        </w:r>
        <w:r w:rsidR="00CF43BA">
          <w:rPr>
            <w:webHidden/>
          </w:rPr>
          <w:t>43</w:t>
        </w:r>
        <w:r w:rsidR="00CF43BA">
          <w:rPr>
            <w:webHidden/>
          </w:rPr>
          <w:fldChar w:fldCharType="end"/>
        </w:r>
      </w:hyperlink>
    </w:p>
    <w:p w14:paraId="031DEA96" w14:textId="48F6959A" w:rsidR="00CF43BA" w:rsidRDefault="00986A60" w:rsidP="00C31366">
      <w:pPr>
        <w:pStyle w:val="TOC2"/>
        <w:rPr>
          <w:rFonts w:asciiTheme="minorHAnsi" w:eastAsiaTheme="minorEastAsia" w:hAnsiTheme="minorHAnsi" w:cstheme="minorBidi"/>
          <w:lang w:val="en-CA" w:eastAsia="en-CA"/>
        </w:rPr>
      </w:pPr>
      <w:hyperlink w:anchor="_Toc5612101" w:history="1">
        <w:r w:rsidR="00CF43BA" w:rsidRPr="00A722FD">
          <w:rPr>
            <w:rStyle w:val="Hyperlink"/>
          </w:rPr>
          <w:t>9/10.</w:t>
        </w:r>
        <w:r w:rsidR="00CF43BA">
          <w:rPr>
            <w:rFonts w:asciiTheme="minorHAnsi" w:eastAsiaTheme="minorEastAsia" w:hAnsiTheme="minorHAnsi" w:cstheme="minorBidi"/>
            <w:lang w:val="en-CA" w:eastAsia="en-CA"/>
          </w:rPr>
          <w:tab/>
        </w:r>
        <w:r w:rsidR="00CF43BA" w:rsidRPr="00A722FD">
          <w:rPr>
            <w:rStyle w:val="Hyperlink"/>
          </w:rPr>
          <w:t>Procedure for avoiding or managing conflicts of interest in expert groups</w:t>
        </w:r>
        <w:r w:rsidR="00CF43BA">
          <w:rPr>
            <w:webHidden/>
          </w:rPr>
          <w:tab/>
        </w:r>
        <w:r w:rsidR="00CF43BA">
          <w:rPr>
            <w:webHidden/>
          </w:rPr>
          <w:fldChar w:fldCharType="begin"/>
        </w:r>
        <w:r w:rsidR="00CF43BA">
          <w:rPr>
            <w:webHidden/>
          </w:rPr>
          <w:instrText xml:space="preserve"> PAGEREF _Toc5612101 \h </w:instrText>
        </w:r>
        <w:r w:rsidR="00CF43BA">
          <w:rPr>
            <w:webHidden/>
          </w:rPr>
        </w:r>
        <w:r w:rsidR="00CF43BA">
          <w:rPr>
            <w:webHidden/>
          </w:rPr>
          <w:fldChar w:fldCharType="separate"/>
        </w:r>
        <w:r w:rsidR="00CF43BA">
          <w:rPr>
            <w:webHidden/>
          </w:rPr>
          <w:t>44</w:t>
        </w:r>
        <w:r w:rsidR="00CF43BA">
          <w:rPr>
            <w:webHidden/>
          </w:rPr>
          <w:fldChar w:fldCharType="end"/>
        </w:r>
      </w:hyperlink>
    </w:p>
    <w:p w14:paraId="2DBD2435" w14:textId="7CE7714B" w:rsidR="00CF43BA" w:rsidRDefault="00986A60" w:rsidP="00C31366">
      <w:pPr>
        <w:pStyle w:val="TOC2"/>
        <w:rPr>
          <w:rFonts w:asciiTheme="minorHAnsi" w:eastAsiaTheme="minorEastAsia" w:hAnsiTheme="minorHAnsi" w:cstheme="minorBidi"/>
          <w:lang w:val="en-CA" w:eastAsia="en-CA"/>
        </w:rPr>
      </w:pPr>
      <w:hyperlink w:anchor="_Toc5612102" w:history="1">
        <w:r w:rsidR="00CF43BA" w:rsidRPr="00A722FD">
          <w:rPr>
            <w:rStyle w:val="Hyperlink"/>
          </w:rPr>
          <w:t>9/11.</w:t>
        </w:r>
        <w:r w:rsidR="00CF43BA">
          <w:rPr>
            <w:rFonts w:asciiTheme="minorHAnsi" w:eastAsiaTheme="minorEastAsia" w:hAnsiTheme="minorHAnsi" w:cstheme="minorBidi"/>
            <w:lang w:val="en-CA" w:eastAsia="en-CA"/>
          </w:rPr>
          <w:tab/>
        </w:r>
        <w:r w:rsidR="00CF43BA" w:rsidRPr="00A722FD">
          <w:rPr>
            <w:rStyle w:val="Hyperlink"/>
          </w:rPr>
          <w:t>Unintentional transboundary movements and emergency measures (Article 17)</w:t>
        </w:r>
        <w:r w:rsidR="00CF43BA">
          <w:rPr>
            <w:webHidden/>
          </w:rPr>
          <w:tab/>
        </w:r>
        <w:r w:rsidR="00CF43BA">
          <w:rPr>
            <w:webHidden/>
          </w:rPr>
          <w:fldChar w:fldCharType="begin"/>
        </w:r>
        <w:r w:rsidR="00CF43BA">
          <w:rPr>
            <w:webHidden/>
          </w:rPr>
          <w:instrText xml:space="preserve"> PAGEREF _Toc5612102 \h </w:instrText>
        </w:r>
        <w:r w:rsidR="00CF43BA">
          <w:rPr>
            <w:webHidden/>
          </w:rPr>
        </w:r>
        <w:r w:rsidR="00CF43BA">
          <w:rPr>
            <w:webHidden/>
          </w:rPr>
          <w:fldChar w:fldCharType="separate"/>
        </w:r>
        <w:r w:rsidR="00CF43BA">
          <w:rPr>
            <w:webHidden/>
          </w:rPr>
          <w:t>45</w:t>
        </w:r>
        <w:r w:rsidR="00CF43BA">
          <w:rPr>
            <w:webHidden/>
          </w:rPr>
          <w:fldChar w:fldCharType="end"/>
        </w:r>
      </w:hyperlink>
    </w:p>
    <w:p w14:paraId="4C22C312" w14:textId="21FCDA6D" w:rsidR="00CF43BA" w:rsidRDefault="00986A60" w:rsidP="00C31366">
      <w:pPr>
        <w:pStyle w:val="TOC2"/>
        <w:rPr>
          <w:rFonts w:asciiTheme="minorHAnsi" w:eastAsiaTheme="minorEastAsia" w:hAnsiTheme="minorHAnsi" w:cstheme="minorBidi"/>
          <w:lang w:val="en-CA" w:eastAsia="en-CA"/>
        </w:rPr>
      </w:pPr>
      <w:hyperlink w:anchor="_Toc5612103" w:history="1">
        <w:r w:rsidR="00CF43BA" w:rsidRPr="00A722FD">
          <w:rPr>
            <w:rStyle w:val="Hyperlink"/>
          </w:rPr>
          <w:t>9/12.</w:t>
        </w:r>
        <w:r w:rsidR="00CF43BA">
          <w:rPr>
            <w:rFonts w:asciiTheme="minorHAnsi" w:eastAsiaTheme="minorEastAsia" w:hAnsiTheme="minorHAnsi" w:cstheme="minorBidi"/>
            <w:lang w:val="en-CA" w:eastAsia="en-CA"/>
          </w:rPr>
          <w:tab/>
        </w:r>
        <w:r w:rsidR="00CF43BA" w:rsidRPr="00A722FD">
          <w:rPr>
            <w:rStyle w:val="Hyperlink"/>
          </w:rPr>
          <w:t>Transit and contained use of living modified organisms (Article 6)</w:t>
        </w:r>
        <w:r w:rsidR="00CF43BA">
          <w:rPr>
            <w:webHidden/>
          </w:rPr>
          <w:tab/>
        </w:r>
        <w:r w:rsidR="00CF43BA">
          <w:rPr>
            <w:webHidden/>
          </w:rPr>
          <w:fldChar w:fldCharType="begin"/>
        </w:r>
        <w:r w:rsidR="00CF43BA">
          <w:rPr>
            <w:webHidden/>
          </w:rPr>
          <w:instrText xml:space="preserve"> PAGEREF _Toc5612103 \h </w:instrText>
        </w:r>
        <w:r w:rsidR="00CF43BA">
          <w:rPr>
            <w:webHidden/>
          </w:rPr>
        </w:r>
        <w:r w:rsidR="00CF43BA">
          <w:rPr>
            <w:webHidden/>
          </w:rPr>
          <w:fldChar w:fldCharType="separate"/>
        </w:r>
        <w:r w:rsidR="00CF43BA">
          <w:rPr>
            <w:webHidden/>
          </w:rPr>
          <w:t>46</w:t>
        </w:r>
        <w:r w:rsidR="00CF43BA">
          <w:rPr>
            <w:webHidden/>
          </w:rPr>
          <w:fldChar w:fldCharType="end"/>
        </w:r>
      </w:hyperlink>
    </w:p>
    <w:p w14:paraId="6CA274C2" w14:textId="121699D5" w:rsidR="00CF43BA" w:rsidRDefault="00986A60" w:rsidP="00C31366">
      <w:pPr>
        <w:pStyle w:val="TOC2"/>
        <w:rPr>
          <w:rFonts w:asciiTheme="minorHAnsi" w:eastAsiaTheme="minorEastAsia" w:hAnsiTheme="minorHAnsi" w:cstheme="minorBidi"/>
          <w:lang w:val="en-CA" w:eastAsia="en-CA"/>
        </w:rPr>
      </w:pPr>
      <w:hyperlink w:anchor="_Toc5612104" w:history="1">
        <w:r w:rsidR="00CF43BA" w:rsidRPr="00A722FD">
          <w:rPr>
            <w:rStyle w:val="Hyperlink"/>
          </w:rPr>
          <w:t>9/13.</w:t>
        </w:r>
        <w:r w:rsidR="00CF43BA">
          <w:rPr>
            <w:rFonts w:asciiTheme="minorHAnsi" w:eastAsiaTheme="minorEastAsia" w:hAnsiTheme="minorHAnsi" w:cstheme="minorBidi"/>
            <w:lang w:val="en-CA" w:eastAsia="en-CA"/>
          </w:rPr>
          <w:tab/>
        </w:r>
        <w:r w:rsidR="00CF43BA" w:rsidRPr="00A722FD">
          <w:rPr>
            <w:rStyle w:val="Hyperlink"/>
          </w:rPr>
          <w:t>Risk assessment and risk management (Articles 15 and 16)</w:t>
        </w:r>
        <w:r w:rsidR="00CF43BA">
          <w:rPr>
            <w:webHidden/>
          </w:rPr>
          <w:tab/>
        </w:r>
        <w:r w:rsidR="00CF43BA">
          <w:rPr>
            <w:webHidden/>
          </w:rPr>
          <w:fldChar w:fldCharType="begin"/>
        </w:r>
        <w:r w:rsidR="00CF43BA">
          <w:rPr>
            <w:webHidden/>
          </w:rPr>
          <w:instrText xml:space="preserve"> PAGEREF _Toc5612104 \h </w:instrText>
        </w:r>
        <w:r w:rsidR="00CF43BA">
          <w:rPr>
            <w:webHidden/>
          </w:rPr>
        </w:r>
        <w:r w:rsidR="00CF43BA">
          <w:rPr>
            <w:webHidden/>
          </w:rPr>
          <w:fldChar w:fldCharType="separate"/>
        </w:r>
        <w:r w:rsidR="00CF43BA">
          <w:rPr>
            <w:webHidden/>
          </w:rPr>
          <w:t>47</w:t>
        </w:r>
        <w:r w:rsidR="00CF43BA">
          <w:rPr>
            <w:webHidden/>
          </w:rPr>
          <w:fldChar w:fldCharType="end"/>
        </w:r>
      </w:hyperlink>
    </w:p>
    <w:p w14:paraId="2F6633E8" w14:textId="0A165F89" w:rsidR="00CF43BA" w:rsidRDefault="00986A60" w:rsidP="00C31366">
      <w:pPr>
        <w:pStyle w:val="TOC2"/>
        <w:rPr>
          <w:rFonts w:asciiTheme="minorHAnsi" w:eastAsiaTheme="minorEastAsia" w:hAnsiTheme="minorHAnsi" w:cstheme="minorBidi"/>
          <w:lang w:val="en-CA" w:eastAsia="en-CA"/>
        </w:rPr>
      </w:pPr>
      <w:hyperlink w:anchor="_Toc5612105" w:history="1">
        <w:r w:rsidR="00CF43BA" w:rsidRPr="00A722FD">
          <w:rPr>
            <w:rStyle w:val="Hyperlink"/>
          </w:rPr>
          <w:t>9/14.</w:t>
        </w:r>
        <w:r w:rsidR="00CF43BA">
          <w:rPr>
            <w:rFonts w:asciiTheme="minorHAnsi" w:eastAsiaTheme="minorEastAsia" w:hAnsiTheme="minorHAnsi" w:cstheme="minorBidi"/>
            <w:lang w:val="en-CA" w:eastAsia="en-CA"/>
          </w:rPr>
          <w:tab/>
        </w:r>
        <w:r w:rsidR="00CF43BA" w:rsidRPr="00A722FD">
          <w:rPr>
            <w:rStyle w:val="Hyperlink"/>
          </w:rPr>
          <w:t>Socio-economic considerations (Article 26)</w:t>
        </w:r>
        <w:r w:rsidR="00CF43BA">
          <w:rPr>
            <w:webHidden/>
          </w:rPr>
          <w:tab/>
        </w:r>
        <w:r w:rsidR="00CF43BA">
          <w:rPr>
            <w:webHidden/>
          </w:rPr>
          <w:fldChar w:fldCharType="begin"/>
        </w:r>
        <w:r w:rsidR="00CF43BA">
          <w:rPr>
            <w:webHidden/>
          </w:rPr>
          <w:instrText xml:space="preserve"> PAGEREF _Toc5612105 \h </w:instrText>
        </w:r>
        <w:r w:rsidR="00CF43BA">
          <w:rPr>
            <w:webHidden/>
          </w:rPr>
        </w:r>
        <w:r w:rsidR="00CF43BA">
          <w:rPr>
            <w:webHidden/>
          </w:rPr>
          <w:fldChar w:fldCharType="separate"/>
        </w:r>
        <w:r w:rsidR="00CF43BA">
          <w:rPr>
            <w:webHidden/>
          </w:rPr>
          <w:t>50</w:t>
        </w:r>
        <w:r w:rsidR="00CF43BA">
          <w:rPr>
            <w:webHidden/>
          </w:rPr>
          <w:fldChar w:fldCharType="end"/>
        </w:r>
      </w:hyperlink>
    </w:p>
    <w:p w14:paraId="7EE227D0" w14:textId="561505D6" w:rsidR="00CF43BA" w:rsidRDefault="00986A60" w:rsidP="00C31366">
      <w:pPr>
        <w:pStyle w:val="TOC2"/>
        <w:rPr>
          <w:rFonts w:asciiTheme="minorHAnsi" w:eastAsiaTheme="minorEastAsia" w:hAnsiTheme="minorHAnsi" w:cstheme="minorBidi"/>
          <w:lang w:val="en-CA" w:eastAsia="en-CA"/>
        </w:rPr>
      </w:pPr>
      <w:hyperlink w:anchor="_Toc5612106" w:history="1">
        <w:r w:rsidR="00CF43BA" w:rsidRPr="00A722FD">
          <w:rPr>
            <w:rStyle w:val="Hyperlink"/>
            <w:snapToGrid w:val="0"/>
          </w:rPr>
          <w:t>9/15.</w:t>
        </w:r>
        <w:r w:rsidR="00CF43BA">
          <w:rPr>
            <w:rFonts w:asciiTheme="minorHAnsi" w:eastAsiaTheme="minorEastAsia" w:hAnsiTheme="minorHAnsi" w:cstheme="minorBidi"/>
            <w:lang w:val="en-CA" w:eastAsia="en-CA"/>
          </w:rPr>
          <w:tab/>
        </w:r>
        <w:r w:rsidR="00CF43BA" w:rsidRPr="00A722FD">
          <w:rPr>
            <w:rStyle w:val="Hyperlink"/>
            <w:snapToGrid w:val="0"/>
          </w:rPr>
          <w:t>Nagoya – Kuala Lumpur Supplementary Protocol on Liability and Redress</w:t>
        </w:r>
        <w:r w:rsidR="00CF43BA">
          <w:rPr>
            <w:webHidden/>
          </w:rPr>
          <w:tab/>
        </w:r>
        <w:r w:rsidR="00CF43BA">
          <w:rPr>
            <w:webHidden/>
          </w:rPr>
          <w:fldChar w:fldCharType="begin"/>
        </w:r>
        <w:r w:rsidR="00CF43BA">
          <w:rPr>
            <w:webHidden/>
          </w:rPr>
          <w:instrText xml:space="preserve"> PAGEREF _Toc5612106 \h </w:instrText>
        </w:r>
        <w:r w:rsidR="00CF43BA">
          <w:rPr>
            <w:webHidden/>
          </w:rPr>
        </w:r>
        <w:r w:rsidR="00CF43BA">
          <w:rPr>
            <w:webHidden/>
          </w:rPr>
          <w:fldChar w:fldCharType="separate"/>
        </w:r>
        <w:r w:rsidR="00CF43BA">
          <w:rPr>
            <w:webHidden/>
          </w:rPr>
          <w:t>52</w:t>
        </w:r>
        <w:r w:rsidR="00CF43BA">
          <w:rPr>
            <w:webHidden/>
          </w:rPr>
          <w:fldChar w:fldCharType="end"/>
        </w:r>
      </w:hyperlink>
    </w:p>
    <w:p w14:paraId="451E6347" w14:textId="525A9B49" w:rsidR="00CF43BA" w:rsidRDefault="00986A60" w:rsidP="00C31366">
      <w:pPr>
        <w:pStyle w:val="TOC2"/>
        <w:rPr>
          <w:rFonts w:asciiTheme="minorHAnsi" w:eastAsiaTheme="minorEastAsia" w:hAnsiTheme="minorHAnsi" w:cstheme="minorBidi"/>
          <w:lang w:val="en-CA" w:eastAsia="en-CA"/>
        </w:rPr>
      </w:pPr>
      <w:hyperlink w:anchor="_Toc5612107" w:history="1">
        <w:r w:rsidR="00CF43BA" w:rsidRPr="00A722FD">
          <w:rPr>
            <w:rStyle w:val="Hyperlink"/>
            <w:snapToGrid w:val="0"/>
          </w:rPr>
          <w:t>9/16.</w:t>
        </w:r>
        <w:r w:rsidR="00CF43BA">
          <w:rPr>
            <w:rFonts w:asciiTheme="minorHAnsi" w:eastAsiaTheme="minorEastAsia" w:hAnsiTheme="minorHAnsi" w:cstheme="minorBidi"/>
            <w:lang w:val="en-CA" w:eastAsia="en-CA"/>
          </w:rPr>
          <w:tab/>
        </w:r>
        <w:r w:rsidR="00CF43BA" w:rsidRPr="00A722FD">
          <w:rPr>
            <w:rStyle w:val="Hyperlink"/>
            <w:snapToGrid w:val="0"/>
          </w:rPr>
          <w:t>Programme of work and budget (Cartagena Protocol)</w:t>
        </w:r>
        <w:r w:rsidR="00CF43BA">
          <w:rPr>
            <w:webHidden/>
          </w:rPr>
          <w:tab/>
        </w:r>
        <w:r w:rsidR="00CF43BA">
          <w:rPr>
            <w:webHidden/>
          </w:rPr>
          <w:fldChar w:fldCharType="begin"/>
        </w:r>
        <w:r w:rsidR="00CF43BA">
          <w:rPr>
            <w:webHidden/>
          </w:rPr>
          <w:instrText xml:space="preserve"> PAGEREF _Toc5612107 \h </w:instrText>
        </w:r>
        <w:r w:rsidR="00CF43BA">
          <w:rPr>
            <w:webHidden/>
          </w:rPr>
        </w:r>
        <w:r w:rsidR="00CF43BA">
          <w:rPr>
            <w:webHidden/>
          </w:rPr>
          <w:fldChar w:fldCharType="separate"/>
        </w:r>
        <w:r w:rsidR="00CF43BA">
          <w:rPr>
            <w:webHidden/>
          </w:rPr>
          <w:t>53</w:t>
        </w:r>
        <w:r w:rsidR="00CF43BA">
          <w:rPr>
            <w:webHidden/>
          </w:rPr>
          <w:fldChar w:fldCharType="end"/>
        </w:r>
      </w:hyperlink>
    </w:p>
    <w:p w14:paraId="39D3796E" w14:textId="2B00C3FB" w:rsidR="00CF43BA" w:rsidRDefault="00986A60" w:rsidP="00C31366">
      <w:pPr>
        <w:pStyle w:val="TOC1"/>
        <w:rPr>
          <w:rFonts w:asciiTheme="minorHAnsi" w:eastAsiaTheme="minorEastAsia" w:hAnsiTheme="minorHAnsi" w:cstheme="minorBidi"/>
          <w:lang w:val="en-CA" w:eastAsia="en-CA"/>
        </w:rPr>
      </w:pPr>
      <w:hyperlink w:anchor="_Toc5612108" w:history="1">
        <w:r w:rsidR="00CF43BA" w:rsidRPr="00A722FD">
          <w:rPr>
            <w:rStyle w:val="Hyperlink"/>
          </w:rPr>
          <w:t>I</w:t>
        </w:r>
        <w:r w:rsidR="000C72EA">
          <w:rPr>
            <w:rStyle w:val="Hyperlink"/>
          </w:rPr>
          <w:t>I</w:t>
        </w:r>
        <w:r w:rsidR="00CF43BA" w:rsidRPr="00A722FD">
          <w:rPr>
            <w:rStyle w:val="Hyperlink"/>
          </w:rPr>
          <w:t>.</w:t>
        </w:r>
        <w:r w:rsidR="00CF43BA">
          <w:rPr>
            <w:rFonts w:asciiTheme="minorHAnsi" w:eastAsiaTheme="minorEastAsia" w:hAnsiTheme="minorHAnsi" w:cstheme="minorBidi"/>
            <w:lang w:val="en-CA" w:eastAsia="en-CA"/>
          </w:rPr>
          <w:tab/>
        </w:r>
        <w:r w:rsidR="00CF43BA" w:rsidRPr="00A722FD">
          <w:rPr>
            <w:rStyle w:val="Hyperlink"/>
          </w:rPr>
          <w:t>ACCOUNT OF PROCEEDINGS</w:t>
        </w:r>
        <w:r w:rsidR="00CF43BA">
          <w:rPr>
            <w:webHidden/>
          </w:rPr>
          <w:tab/>
        </w:r>
        <w:r w:rsidR="00CF43BA">
          <w:rPr>
            <w:webHidden/>
          </w:rPr>
          <w:fldChar w:fldCharType="begin"/>
        </w:r>
        <w:r w:rsidR="00CF43BA">
          <w:rPr>
            <w:webHidden/>
          </w:rPr>
          <w:instrText xml:space="preserve"> PAGEREF _Toc5612108 \h </w:instrText>
        </w:r>
        <w:r w:rsidR="00CF43BA">
          <w:rPr>
            <w:webHidden/>
          </w:rPr>
        </w:r>
        <w:r w:rsidR="00CF43BA">
          <w:rPr>
            <w:webHidden/>
          </w:rPr>
          <w:fldChar w:fldCharType="separate"/>
        </w:r>
        <w:r w:rsidR="00CF43BA">
          <w:rPr>
            <w:webHidden/>
          </w:rPr>
          <w:t>62</w:t>
        </w:r>
        <w:r w:rsidR="00CF43BA">
          <w:rPr>
            <w:webHidden/>
          </w:rPr>
          <w:fldChar w:fldCharType="end"/>
        </w:r>
      </w:hyperlink>
    </w:p>
    <w:p w14:paraId="00E63440" w14:textId="55840127" w:rsidR="00CF43BA" w:rsidRDefault="00986A60" w:rsidP="00C31366">
      <w:pPr>
        <w:pStyle w:val="TOC2"/>
        <w:rPr>
          <w:rFonts w:asciiTheme="minorHAnsi" w:eastAsiaTheme="minorEastAsia" w:hAnsiTheme="minorHAnsi" w:cstheme="minorBidi"/>
          <w:lang w:val="en-CA" w:eastAsia="en-CA"/>
        </w:rPr>
      </w:pPr>
      <w:hyperlink w:anchor="_Toc5612109" w:history="1">
        <w:r w:rsidR="00CF43BA" w:rsidRPr="00A722FD">
          <w:rPr>
            <w:rStyle w:val="Hyperlink"/>
          </w:rPr>
          <w:t>Item 1.</w:t>
        </w:r>
        <w:r w:rsidR="00CF43BA">
          <w:rPr>
            <w:rFonts w:asciiTheme="minorHAnsi" w:eastAsiaTheme="minorEastAsia" w:hAnsiTheme="minorHAnsi" w:cstheme="minorBidi"/>
            <w:lang w:val="en-CA" w:eastAsia="en-CA"/>
          </w:rPr>
          <w:tab/>
        </w:r>
        <w:r w:rsidR="00CF43BA" w:rsidRPr="00A722FD">
          <w:rPr>
            <w:rStyle w:val="Hyperlink"/>
          </w:rPr>
          <w:t>Opening of the meeting</w:t>
        </w:r>
        <w:r w:rsidR="00CF43BA">
          <w:rPr>
            <w:webHidden/>
          </w:rPr>
          <w:tab/>
        </w:r>
        <w:r w:rsidR="00CF43BA">
          <w:rPr>
            <w:webHidden/>
          </w:rPr>
          <w:fldChar w:fldCharType="begin"/>
        </w:r>
        <w:r w:rsidR="00CF43BA">
          <w:rPr>
            <w:webHidden/>
          </w:rPr>
          <w:instrText xml:space="preserve"> PAGEREF _Toc5612109 \h </w:instrText>
        </w:r>
        <w:r w:rsidR="00CF43BA">
          <w:rPr>
            <w:webHidden/>
          </w:rPr>
        </w:r>
        <w:r w:rsidR="00CF43BA">
          <w:rPr>
            <w:webHidden/>
          </w:rPr>
          <w:fldChar w:fldCharType="separate"/>
        </w:r>
        <w:r w:rsidR="00CF43BA">
          <w:rPr>
            <w:webHidden/>
          </w:rPr>
          <w:t>63</w:t>
        </w:r>
        <w:r w:rsidR="00CF43BA">
          <w:rPr>
            <w:webHidden/>
          </w:rPr>
          <w:fldChar w:fldCharType="end"/>
        </w:r>
      </w:hyperlink>
    </w:p>
    <w:p w14:paraId="1A6F3313" w14:textId="2AAED7B8" w:rsidR="00CF43BA" w:rsidRDefault="00986A60" w:rsidP="00C31366">
      <w:pPr>
        <w:pStyle w:val="TOC2"/>
        <w:rPr>
          <w:rFonts w:asciiTheme="minorHAnsi" w:eastAsiaTheme="minorEastAsia" w:hAnsiTheme="minorHAnsi" w:cstheme="minorBidi"/>
          <w:lang w:val="en-CA" w:eastAsia="en-CA"/>
        </w:rPr>
      </w:pPr>
      <w:hyperlink w:anchor="_Toc5612110" w:history="1">
        <w:r w:rsidR="00CF43BA" w:rsidRPr="00A722FD">
          <w:rPr>
            <w:rStyle w:val="Hyperlink"/>
          </w:rPr>
          <w:t>Item 2.</w:t>
        </w:r>
        <w:r w:rsidR="00CF43BA">
          <w:rPr>
            <w:rFonts w:asciiTheme="minorHAnsi" w:eastAsiaTheme="minorEastAsia" w:hAnsiTheme="minorHAnsi" w:cstheme="minorBidi"/>
            <w:lang w:val="en-CA" w:eastAsia="en-CA"/>
          </w:rPr>
          <w:tab/>
        </w:r>
        <w:r w:rsidR="00CF43BA" w:rsidRPr="00A722FD">
          <w:rPr>
            <w:rStyle w:val="Hyperlink"/>
          </w:rPr>
          <w:t>Organizational matters</w:t>
        </w:r>
        <w:r w:rsidR="00CF43BA">
          <w:rPr>
            <w:webHidden/>
          </w:rPr>
          <w:tab/>
        </w:r>
        <w:r w:rsidR="00CF43BA">
          <w:rPr>
            <w:webHidden/>
          </w:rPr>
          <w:fldChar w:fldCharType="begin"/>
        </w:r>
        <w:r w:rsidR="00CF43BA">
          <w:rPr>
            <w:webHidden/>
          </w:rPr>
          <w:instrText xml:space="preserve"> PAGEREF _Toc5612110 \h </w:instrText>
        </w:r>
        <w:r w:rsidR="00CF43BA">
          <w:rPr>
            <w:webHidden/>
          </w:rPr>
        </w:r>
        <w:r w:rsidR="00CF43BA">
          <w:rPr>
            <w:webHidden/>
          </w:rPr>
          <w:fldChar w:fldCharType="separate"/>
        </w:r>
        <w:r w:rsidR="00CF43BA">
          <w:rPr>
            <w:webHidden/>
          </w:rPr>
          <w:t>64</w:t>
        </w:r>
        <w:r w:rsidR="00CF43BA">
          <w:rPr>
            <w:webHidden/>
          </w:rPr>
          <w:fldChar w:fldCharType="end"/>
        </w:r>
      </w:hyperlink>
    </w:p>
    <w:p w14:paraId="37071FBE" w14:textId="597DA5BC" w:rsidR="00CF43BA" w:rsidRDefault="00986A60" w:rsidP="00C31366">
      <w:pPr>
        <w:pStyle w:val="TOC2"/>
        <w:rPr>
          <w:rFonts w:asciiTheme="minorHAnsi" w:eastAsiaTheme="minorEastAsia" w:hAnsiTheme="minorHAnsi" w:cstheme="minorBidi"/>
          <w:lang w:val="en-CA" w:eastAsia="en-CA"/>
        </w:rPr>
      </w:pPr>
      <w:hyperlink w:anchor="_Toc5612111" w:history="1">
        <w:r w:rsidR="00CF43BA" w:rsidRPr="00A722FD">
          <w:rPr>
            <w:rStyle w:val="Hyperlink"/>
          </w:rPr>
          <w:t>Item 3.</w:t>
        </w:r>
        <w:r w:rsidR="00CF43BA">
          <w:rPr>
            <w:rFonts w:asciiTheme="minorHAnsi" w:eastAsiaTheme="minorEastAsia" w:hAnsiTheme="minorHAnsi" w:cstheme="minorBidi"/>
            <w:lang w:val="en-CA" w:eastAsia="en-CA"/>
          </w:rPr>
          <w:tab/>
        </w:r>
        <w:r w:rsidR="00CF43BA" w:rsidRPr="00A722FD">
          <w:rPr>
            <w:rStyle w:val="Hyperlink"/>
          </w:rPr>
          <w:t>Report on the credentials of representatives to the ninth meeting of the Conference of the Parties serving as the meeting of the Parties to the Cartagena Protocol</w:t>
        </w:r>
        <w:r w:rsidR="00CF43BA">
          <w:rPr>
            <w:webHidden/>
          </w:rPr>
          <w:tab/>
        </w:r>
        <w:r w:rsidR="00CF43BA">
          <w:rPr>
            <w:webHidden/>
          </w:rPr>
          <w:fldChar w:fldCharType="begin"/>
        </w:r>
        <w:r w:rsidR="00CF43BA">
          <w:rPr>
            <w:webHidden/>
          </w:rPr>
          <w:instrText xml:space="preserve"> PAGEREF _Toc5612111 \h </w:instrText>
        </w:r>
        <w:r w:rsidR="00CF43BA">
          <w:rPr>
            <w:webHidden/>
          </w:rPr>
        </w:r>
        <w:r w:rsidR="00CF43BA">
          <w:rPr>
            <w:webHidden/>
          </w:rPr>
          <w:fldChar w:fldCharType="separate"/>
        </w:r>
        <w:r w:rsidR="00CF43BA">
          <w:rPr>
            <w:webHidden/>
          </w:rPr>
          <w:t>66</w:t>
        </w:r>
        <w:r w:rsidR="00CF43BA">
          <w:rPr>
            <w:webHidden/>
          </w:rPr>
          <w:fldChar w:fldCharType="end"/>
        </w:r>
      </w:hyperlink>
    </w:p>
    <w:p w14:paraId="27599813" w14:textId="7093B697" w:rsidR="00CF43BA" w:rsidRDefault="00986A60" w:rsidP="00C31366">
      <w:pPr>
        <w:pStyle w:val="TOC2"/>
        <w:rPr>
          <w:rFonts w:asciiTheme="minorHAnsi" w:eastAsiaTheme="minorEastAsia" w:hAnsiTheme="minorHAnsi" w:cstheme="minorBidi"/>
          <w:lang w:val="en-CA" w:eastAsia="en-CA"/>
        </w:rPr>
      </w:pPr>
      <w:hyperlink w:anchor="_Toc5612112" w:history="1">
        <w:r w:rsidR="00CF43BA" w:rsidRPr="00A722FD">
          <w:rPr>
            <w:rStyle w:val="Hyperlink"/>
          </w:rPr>
          <w:t>Item 4.</w:t>
        </w:r>
        <w:r w:rsidR="00CF43BA">
          <w:rPr>
            <w:rFonts w:asciiTheme="minorHAnsi" w:eastAsiaTheme="minorEastAsia" w:hAnsiTheme="minorHAnsi" w:cstheme="minorBidi"/>
            <w:lang w:val="en-CA" w:eastAsia="en-CA"/>
          </w:rPr>
          <w:tab/>
        </w:r>
        <w:r w:rsidR="00CF43BA" w:rsidRPr="00A722FD">
          <w:rPr>
            <w:rStyle w:val="Hyperlink"/>
          </w:rPr>
          <w:t>Reports of subsidiary bodies</w:t>
        </w:r>
        <w:r w:rsidR="00CF43BA">
          <w:rPr>
            <w:webHidden/>
          </w:rPr>
          <w:tab/>
        </w:r>
        <w:r w:rsidR="00CF43BA">
          <w:rPr>
            <w:webHidden/>
          </w:rPr>
          <w:fldChar w:fldCharType="begin"/>
        </w:r>
        <w:r w:rsidR="00CF43BA">
          <w:rPr>
            <w:webHidden/>
          </w:rPr>
          <w:instrText xml:space="preserve"> PAGEREF _Toc5612112 \h </w:instrText>
        </w:r>
        <w:r w:rsidR="00CF43BA">
          <w:rPr>
            <w:webHidden/>
          </w:rPr>
        </w:r>
        <w:r w:rsidR="00CF43BA">
          <w:rPr>
            <w:webHidden/>
          </w:rPr>
          <w:fldChar w:fldCharType="separate"/>
        </w:r>
        <w:r w:rsidR="00CF43BA">
          <w:rPr>
            <w:webHidden/>
          </w:rPr>
          <w:t>67</w:t>
        </w:r>
        <w:r w:rsidR="00CF43BA">
          <w:rPr>
            <w:webHidden/>
          </w:rPr>
          <w:fldChar w:fldCharType="end"/>
        </w:r>
      </w:hyperlink>
    </w:p>
    <w:p w14:paraId="332BDD2E" w14:textId="1651DF37" w:rsidR="00CF43BA" w:rsidRDefault="00986A60" w:rsidP="00C31366">
      <w:pPr>
        <w:pStyle w:val="TOC2"/>
        <w:rPr>
          <w:rFonts w:asciiTheme="minorHAnsi" w:eastAsiaTheme="minorEastAsia" w:hAnsiTheme="minorHAnsi" w:cstheme="minorBidi"/>
          <w:lang w:val="en-CA" w:eastAsia="en-CA"/>
        </w:rPr>
      </w:pPr>
      <w:hyperlink w:anchor="_Toc5612113" w:history="1">
        <w:r w:rsidR="00CF43BA" w:rsidRPr="00A722FD">
          <w:rPr>
            <w:rStyle w:val="Hyperlink"/>
          </w:rPr>
          <w:t>Item 5.</w:t>
        </w:r>
        <w:r w:rsidR="00CF43BA">
          <w:rPr>
            <w:rFonts w:asciiTheme="minorHAnsi" w:eastAsiaTheme="minorEastAsia" w:hAnsiTheme="minorHAnsi" w:cstheme="minorBidi"/>
            <w:lang w:val="en-CA" w:eastAsia="en-CA"/>
          </w:rPr>
          <w:tab/>
        </w:r>
        <w:r w:rsidR="00CF43BA" w:rsidRPr="00A722FD">
          <w:rPr>
            <w:rStyle w:val="Hyperlink"/>
          </w:rPr>
          <w:t>Report of the Compliance Committee</w:t>
        </w:r>
        <w:r w:rsidR="00CF43BA">
          <w:rPr>
            <w:webHidden/>
          </w:rPr>
          <w:tab/>
        </w:r>
        <w:r w:rsidR="00CF43BA">
          <w:rPr>
            <w:webHidden/>
          </w:rPr>
          <w:fldChar w:fldCharType="begin"/>
        </w:r>
        <w:r w:rsidR="00CF43BA">
          <w:rPr>
            <w:webHidden/>
          </w:rPr>
          <w:instrText xml:space="preserve"> PAGEREF _Toc5612113 \h </w:instrText>
        </w:r>
        <w:r w:rsidR="00CF43BA">
          <w:rPr>
            <w:webHidden/>
          </w:rPr>
        </w:r>
        <w:r w:rsidR="00CF43BA">
          <w:rPr>
            <w:webHidden/>
          </w:rPr>
          <w:fldChar w:fldCharType="separate"/>
        </w:r>
        <w:r w:rsidR="00CF43BA">
          <w:rPr>
            <w:webHidden/>
          </w:rPr>
          <w:t>67</w:t>
        </w:r>
        <w:r w:rsidR="00CF43BA">
          <w:rPr>
            <w:webHidden/>
          </w:rPr>
          <w:fldChar w:fldCharType="end"/>
        </w:r>
      </w:hyperlink>
    </w:p>
    <w:p w14:paraId="34D1041B" w14:textId="2B302352" w:rsidR="00CF43BA" w:rsidRDefault="00986A60" w:rsidP="00C31366">
      <w:pPr>
        <w:pStyle w:val="TOC2"/>
        <w:rPr>
          <w:rFonts w:asciiTheme="minorHAnsi" w:eastAsiaTheme="minorEastAsia" w:hAnsiTheme="minorHAnsi" w:cstheme="minorBidi"/>
          <w:lang w:val="en-CA" w:eastAsia="en-CA"/>
        </w:rPr>
      </w:pPr>
      <w:hyperlink w:anchor="_Toc5612114" w:history="1">
        <w:r w:rsidR="00CF43BA" w:rsidRPr="00A722FD">
          <w:rPr>
            <w:rStyle w:val="Hyperlink"/>
          </w:rPr>
          <w:t xml:space="preserve">Item 6. </w:t>
        </w:r>
        <w:r w:rsidR="00CF43BA">
          <w:rPr>
            <w:rFonts w:asciiTheme="minorHAnsi" w:eastAsiaTheme="minorEastAsia" w:hAnsiTheme="minorHAnsi" w:cstheme="minorBidi"/>
            <w:lang w:val="en-CA" w:eastAsia="en-CA"/>
          </w:rPr>
          <w:tab/>
        </w:r>
        <w:r w:rsidR="00CF43BA" w:rsidRPr="00A722FD">
          <w:rPr>
            <w:rStyle w:val="Hyperlink"/>
          </w:rPr>
          <w:t>Administration of the Protocol and budget for the trust funds</w:t>
        </w:r>
        <w:r w:rsidR="00CF43BA">
          <w:rPr>
            <w:webHidden/>
          </w:rPr>
          <w:tab/>
        </w:r>
        <w:r w:rsidR="00CF43BA">
          <w:rPr>
            <w:webHidden/>
          </w:rPr>
          <w:fldChar w:fldCharType="begin"/>
        </w:r>
        <w:r w:rsidR="00CF43BA">
          <w:rPr>
            <w:webHidden/>
          </w:rPr>
          <w:instrText xml:space="preserve"> PAGEREF _Toc5612114 \h </w:instrText>
        </w:r>
        <w:r w:rsidR="00CF43BA">
          <w:rPr>
            <w:webHidden/>
          </w:rPr>
        </w:r>
        <w:r w:rsidR="00CF43BA">
          <w:rPr>
            <w:webHidden/>
          </w:rPr>
          <w:fldChar w:fldCharType="separate"/>
        </w:r>
        <w:r w:rsidR="00CF43BA">
          <w:rPr>
            <w:webHidden/>
          </w:rPr>
          <w:t>68</w:t>
        </w:r>
        <w:r w:rsidR="00CF43BA">
          <w:rPr>
            <w:webHidden/>
          </w:rPr>
          <w:fldChar w:fldCharType="end"/>
        </w:r>
      </w:hyperlink>
    </w:p>
    <w:p w14:paraId="519743D8" w14:textId="24C693C7" w:rsidR="00CF43BA" w:rsidRDefault="00986A60" w:rsidP="00C31366">
      <w:pPr>
        <w:pStyle w:val="TOC2"/>
        <w:rPr>
          <w:rFonts w:asciiTheme="minorHAnsi" w:eastAsiaTheme="minorEastAsia" w:hAnsiTheme="minorHAnsi" w:cstheme="minorBidi"/>
          <w:lang w:val="en-CA" w:eastAsia="en-CA"/>
        </w:rPr>
      </w:pPr>
      <w:hyperlink w:anchor="_Toc5612115" w:history="1">
        <w:r w:rsidR="00CF43BA" w:rsidRPr="00A722FD">
          <w:rPr>
            <w:rStyle w:val="Hyperlink"/>
          </w:rPr>
          <w:t xml:space="preserve">Item 7. </w:t>
        </w:r>
        <w:r w:rsidR="00CF43BA">
          <w:rPr>
            <w:rFonts w:asciiTheme="minorHAnsi" w:eastAsiaTheme="minorEastAsia" w:hAnsiTheme="minorHAnsi" w:cstheme="minorBidi"/>
            <w:lang w:val="en-CA" w:eastAsia="en-CA"/>
          </w:rPr>
          <w:tab/>
        </w:r>
        <w:r w:rsidR="00CF43BA" w:rsidRPr="00A722FD">
          <w:rPr>
            <w:rStyle w:val="Hyperlink"/>
            <w:kern w:val="22"/>
          </w:rPr>
          <w:t xml:space="preserve">Matters </w:t>
        </w:r>
        <w:r w:rsidR="00CF43BA" w:rsidRPr="00A722FD">
          <w:rPr>
            <w:rStyle w:val="Hyperlink"/>
          </w:rPr>
          <w:t>related</w:t>
        </w:r>
        <w:r w:rsidR="00CF43BA" w:rsidRPr="00A722FD">
          <w:rPr>
            <w:rStyle w:val="Hyperlink"/>
            <w:kern w:val="22"/>
          </w:rPr>
          <w:t xml:space="preserve"> to the financial mechanism and resources (Article 28)</w:t>
        </w:r>
        <w:r w:rsidR="00CF43BA">
          <w:rPr>
            <w:webHidden/>
          </w:rPr>
          <w:tab/>
        </w:r>
        <w:r w:rsidR="00CF43BA">
          <w:rPr>
            <w:webHidden/>
          </w:rPr>
          <w:fldChar w:fldCharType="begin"/>
        </w:r>
        <w:r w:rsidR="00CF43BA">
          <w:rPr>
            <w:webHidden/>
          </w:rPr>
          <w:instrText xml:space="preserve"> PAGEREF _Toc5612115 \h </w:instrText>
        </w:r>
        <w:r w:rsidR="00CF43BA">
          <w:rPr>
            <w:webHidden/>
          </w:rPr>
        </w:r>
        <w:r w:rsidR="00CF43BA">
          <w:rPr>
            <w:webHidden/>
          </w:rPr>
          <w:fldChar w:fldCharType="separate"/>
        </w:r>
        <w:r w:rsidR="00CF43BA">
          <w:rPr>
            <w:webHidden/>
          </w:rPr>
          <w:t>69</w:t>
        </w:r>
        <w:r w:rsidR="00CF43BA">
          <w:rPr>
            <w:webHidden/>
          </w:rPr>
          <w:fldChar w:fldCharType="end"/>
        </w:r>
      </w:hyperlink>
    </w:p>
    <w:p w14:paraId="33128C9D" w14:textId="72D07BF5" w:rsidR="00CF43BA" w:rsidRDefault="00986A60" w:rsidP="00C31366">
      <w:pPr>
        <w:pStyle w:val="TOC2"/>
        <w:rPr>
          <w:rFonts w:asciiTheme="minorHAnsi" w:eastAsiaTheme="minorEastAsia" w:hAnsiTheme="minorHAnsi" w:cstheme="minorBidi"/>
          <w:lang w:val="en-CA" w:eastAsia="en-CA"/>
        </w:rPr>
      </w:pPr>
      <w:hyperlink w:anchor="_Toc5612116" w:history="1">
        <w:r w:rsidR="00CF43BA" w:rsidRPr="00A722FD">
          <w:rPr>
            <w:rStyle w:val="Hyperlink"/>
          </w:rPr>
          <w:t xml:space="preserve">Item 8. </w:t>
        </w:r>
        <w:r w:rsidR="00CF43BA">
          <w:rPr>
            <w:rFonts w:asciiTheme="minorHAnsi" w:eastAsiaTheme="minorEastAsia" w:hAnsiTheme="minorHAnsi" w:cstheme="minorBidi"/>
            <w:lang w:val="en-CA" w:eastAsia="en-CA"/>
          </w:rPr>
          <w:tab/>
        </w:r>
        <w:r w:rsidR="00CF43BA" w:rsidRPr="00A722FD">
          <w:rPr>
            <w:rStyle w:val="Hyperlink"/>
            <w:kern w:val="22"/>
          </w:rPr>
          <w:t>Capacity-</w:t>
        </w:r>
        <w:r w:rsidR="00CF43BA" w:rsidRPr="00A722FD">
          <w:rPr>
            <w:rStyle w:val="Hyperlink"/>
          </w:rPr>
          <w:t>building</w:t>
        </w:r>
        <w:r w:rsidR="00CF43BA" w:rsidRPr="00A722FD">
          <w:rPr>
            <w:rStyle w:val="Hyperlink"/>
            <w:kern w:val="22"/>
          </w:rPr>
          <w:t xml:space="preserve"> (Article 22)</w:t>
        </w:r>
        <w:r w:rsidR="00CF43BA">
          <w:rPr>
            <w:webHidden/>
          </w:rPr>
          <w:tab/>
        </w:r>
        <w:r w:rsidR="00CF43BA">
          <w:rPr>
            <w:webHidden/>
          </w:rPr>
          <w:fldChar w:fldCharType="begin"/>
        </w:r>
        <w:r w:rsidR="00CF43BA">
          <w:rPr>
            <w:webHidden/>
          </w:rPr>
          <w:instrText xml:space="preserve"> PAGEREF _Toc5612116 \h </w:instrText>
        </w:r>
        <w:r w:rsidR="00CF43BA">
          <w:rPr>
            <w:webHidden/>
          </w:rPr>
        </w:r>
        <w:r w:rsidR="00CF43BA">
          <w:rPr>
            <w:webHidden/>
          </w:rPr>
          <w:fldChar w:fldCharType="separate"/>
        </w:r>
        <w:r w:rsidR="00CF43BA">
          <w:rPr>
            <w:webHidden/>
          </w:rPr>
          <w:t>69</w:t>
        </w:r>
        <w:r w:rsidR="00CF43BA">
          <w:rPr>
            <w:webHidden/>
          </w:rPr>
          <w:fldChar w:fldCharType="end"/>
        </w:r>
      </w:hyperlink>
    </w:p>
    <w:p w14:paraId="69A92006" w14:textId="30D3E7C3" w:rsidR="00CF43BA" w:rsidRDefault="00986A60" w:rsidP="00C31366">
      <w:pPr>
        <w:pStyle w:val="TOC2"/>
        <w:rPr>
          <w:rFonts w:asciiTheme="minorHAnsi" w:eastAsiaTheme="minorEastAsia" w:hAnsiTheme="minorHAnsi" w:cstheme="minorBidi"/>
          <w:lang w:val="en-CA" w:eastAsia="en-CA"/>
        </w:rPr>
      </w:pPr>
      <w:hyperlink w:anchor="_Toc5612117" w:history="1">
        <w:r w:rsidR="00CF43BA" w:rsidRPr="00A722FD">
          <w:rPr>
            <w:rStyle w:val="Hyperlink"/>
          </w:rPr>
          <w:t>Item 9.</w:t>
        </w:r>
        <w:r w:rsidR="00CF43BA">
          <w:rPr>
            <w:rFonts w:asciiTheme="minorHAnsi" w:eastAsiaTheme="minorEastAsia" w:hAnsiTheme="minorHAnsi" w:cstheme="minorBidi"/>
            <w:lang w:val="en-CA" w:eastAsia="en-CA"/>
          </w:rPr>
          <w:tab/>
        </w:r>
        <w:r w:rsidR="00CF43BA" w:rsidRPr="00A722FD">
          <w:rPr>
            <w:rStyle w:val="Hyperlink"/>
            <w:kern w:val="22"/>
          </w:rPr>
          <w:t xml:space="preserve">Operation and </w:t>
        </w:r>
        <w:r w:rsidR="00CF43BA" w:rsidRPr="00A722FD">
          <w:rPr>
            <w:rStyle w:val="Hyperlink"/>
          </w:rPr>
          <w:t>activities</w:t>
        </w:r>
        <w:r w:rsidR="00CF43BA" w:rsidRPr="00A722FD">
          <w:rPr>
            <w:rStyle w:val="Hyperlink"/>
            <w:kern w:val="22"/>
          </w:rPr>
          <w:t xml:space="preserve"> of the Biosafety Clearing-House (Article 20)</w:t>
        </w:r>
        <w:r w:rsidR="00CF43BA">
          <w:rPr>
            <w:webHidden/>
          </w:rPr>
          <w:tab/>
        </w:r>
        <w:r w:rsidR="00CF43BA">
          <w:rPr>
            <w:webHidden/>
          </w:rPr>
          <w:fldChar w:fldCharType="begin"/>
        </w:r>
        <w:r w:rsidR="00CF43BA">
          <w:rPr>
            <w:webHidden/>
          </w:rPr>
          <w:instrText xml:space="preserve"> PAGEREF _Toc5612117 \h </w:instrText>
        </w:r>
        <w:r w:rsidR="00CF43BA">
          <w:rPr>
            <w:webHidden/>
          </w:rPr>
        </w:r>
        <w:r w:rsidR="00CF43BA">
          <w:rPr>
            <w:webHidden/>
          </w:rPr>
          <w:fldChar w:fldCharType="separate"/>
        </w:r>
        <w:r w:rsidR="00CF43BA">
          <w:rPr>
            <w:webHidden/>
          </w:rPr>
          <w:t>70</w:t>
        </w:r>
        <w:r w:rsidR="00CF43BA">
          <w:rPr>
            <w:webHidden/>
          </w:rPr>
          <w:fldChar w:fldCharType="end"/>
        </w:r>
      </w:hyperlink>
    </w:p>
    <w:p w14:paraId="183E80D7" w14:textId="0EA2FF28" w:rsidR="00CF43BA" w:rsidRDefault="00986A60" w:rsidP="00C31366">
      <w:pPr>
        <w:pStyle w:val="TOC2"/>
        <w:rPr>
          <w:rFonts w:asciiTheme="minorHAnsi" w:eastAsiaTheme="minorEastAsia" w:hAnsiTheme="minorHAnsi" w:cstheme="minorBidi"/>
          <w:lang w:val="en-CA" w:eastAsia="en-CA"/>
        </w:rPr>
      </w:pPr>
      <w:hyperlink w:anchor="_Toc5612118" w:history="1">
        <w:r w:rsidR="00CF43BA" w:rsidRPr="00A722FD">
          <w:rPr>
            <w:rStyle w:val="Hyperlink"/>
          </w:rPr>
          <w:t>Item 10.</w:t>
        </w:r>
        <w:r w:rsidR="007959C2">
          <w:rPr>
            <w:rFonts w:asciiTheme="minorHAnsi" w:eastAsiaTheme="minorEastAsia" w:hAnsiTheme="minorHAnsi" w:cstheme="minorBidi"/>
            <w:lang w:val="en-CA" w:eastAsia="en-CA"/>
          </w:rPr>
          <w:t xml:space="preserve"> </w:t>
        </w:r>
        <w:r w:rsidR="00CF43BA" w:rsidRPr="00A722FD">
          <w:rPr>
            <w:rStyle w:val="Hyperlink"/>
          </w:rPr>
          <w:t>Monitoring and reporting (Article 33) and assessment and review of the effectiveness of the Protocol (Article 35)</w:t>
        </w:r>
        <w:r w:rsidR="00CF43BA">
          <w:rPr>
            <w:webHidden/>
          </w:rPr>
          <w:tab/>
        </w:r>
        <w:r w:rsidR="00CF43BA">
          <w:rPr>
            <w:webHidden/>
          </w:rPr>
          <w:fldChar w:fldCharType="begin"/>
        </w:r>
        <w:r w:rsidR="00CF43BA">
          <w:rPr>
            <w:webHidden/>
          </w:rPr>
          <w:instrText xml:space="preserve"> PAGEREF _Toc5612118 \h </w:instrText>
        </w:r>
        <w:r w:rsidR="00CF43BA">
          <w:rPr>
            <w:webHidden/>
          </w:rPr>
        </w:r>
        <w:r w:rsidR="00CF43BA">
          <w:rPr>
            <w:webHidden/>
          </w:rPr>
          <w:fldChar w:fldCharType="separate"/>
        </w:r>
        <w:r w:rsidR="00CF43BA">
          <w:rPr>
            <w:webHidden/>
          </w:rPr>
          <w:t>71</w:t>
        </w:r>
        <w:r w:rsidR="00CF43BA">
          <w:rPr>
            <w:webHidden/>
          </w:rPr>
          <w:fldChar w:fldCharType="end"/>
        </w:r>
      </w:hyperlink>
    </w:p>
    <w:p w14:paraId="30E178D8" w14:textId="499257E8" w:rsidR="00CF43BA" w:rsidRDefault="00986A60" w:rsidP="00C31366">
      <w:pPr>
        <w:pStyle w:val="TOC2"/>
        <w:rPr>
          <w:rFonts w:asciiTheme="minorHAnsi" w:eastAsiaTheme="minorEastAsia" w:hAnsiTheme="minorHAnsi" w:cstheme="minorBidi"/>
          <w:lang w:val="en-CA" w:eastAsia="en-CA"/>
        </w:rPr>
      </w:pPr>
      <w:hyperlink w:anchor="_Toc5612119" w:history="1">
        <w:r w:rsidR="00CF43BA" w:rsidRPr="00A722FD">
          <w:rPr>
            <w:rStyle w:val="Hyperlink"/>
          </w:rPr>
          <w:t xml:space="preserve">Item 11. </w:t>
        </w:r>
        <w:r w:rsidR="00CF43BA">
          <w:rPr>
            <w:rFonts w:asciiTheme="minorHAnsi" w:eastAsiaTheme="minorEastAsia" w:hAnsiTheme="minorHAnsi" w:cstheme="minorBidi"/>
            <w:lang w:val="en-CA" w:eastAsia="en-CA"/>
          </w:rPr>
          <w:tab/>
        </w:r>
        <w:r w:rsidR="00CF43BA" w:rsidRPr="00A722FD">
          <w:rPr>
            <w:rStyle w:val="Hyperlink"/>
          </w:rPr>
          <w:t>Enhancing integration under the Convention and its Protocols with respect to biosafety-related provisions</w:t>
        </w:r>
        <w:r w:rsidR="00CF43BA">
          <w:rPr>
            <w:webHidden/>
          </w:rPr>
          <w:tab/>
        </w:r>
        <w:r w:rsidR="00CF43BA">
          <w:rPr>
            <w:webHidden/>
          </w:rPr>
          <w:fldChar w:fldCharType="begin"/>
        </w:r>
        <w:r w:rsidR="00CF43BA">
          <w:rPr>
            <w:webHidden/>
          </w:rPr>
          <w:instrText xml:space="preserve"> PAGEREF _Toc5612119 \h </w:instrText>
        </w:r>
        <w:r w:rsidR="00CF43BA">
          <w:rPr>
            <w:webHidden/>
          </w:rPr>
        </w:r>
        <w:r w:rsidR="00CF43BA">
          <w:rPr>
            <w:webHidden/>
          </w:rPr>
          <w:fldChar w:fldCharType="separate"/>
        </w:r>
        <w:r w:rsidR="00CF43BA">
          <w:rPr>
            <w:webHidden/>
          </w:rPr>
          <w:t>72</w:t>
        </w:r>
        <w:r w:rsidR="00CF43BA">
          <w:rPr>
            <w:webHidden/>
          </w:rPr>
          <w:fldChar w:fldCharType="end"/>
        </w:r>
      </w:hyperlink>
    </w:p>
    <w:p w14:paraId="54E5CDE9" w14:textId="5B268C00" w:rsidR="00CF43BA" w:rsidRDefault="00986A60" w:rsidP="00C31366">
      <w:pPr>
        <w:pStyle w:val="TOC2"/>
        <w:rPr>
          <w:rFonts w:asciiTheme="minorHAnsi" w:eastAsiaTheme="minorEastAsia" w:hAnsiTheme="minorHAnsi" w:cstheme="minorBidi"/>
          <w:lang w:val="en-CA" w:eastAsia="en-CA"/>
        </w:rPr>
      </w:pPr>
      <w:hyperlink w:anchor="_Toc5612120" w:history="1">
        <w:r w:rsidR="00CF43BA" w:rsidRPr="00A722FD">
          <w:rPr>
            <w:rStyle w:val="Hyperlink"/>
          </w:rPr>
          <w:t>Item 12.</w:t>
        </w:r>
        <w:r w:rsidR="00CF43BA">
          <w:rPr>
            <w:rFonts w:asciiTheme="minorHAnsi" w:eastAsiaTheme="minorEastAsia" w:hAnsiTheme="minorHAnsi" w:cstheme="minorBidi"/>
            <w:lang w:val="en-CA" w:eastAsia="en-CA"/>
          </w:rPr>
          <w:t xml:space="preserve"> </w:t>
        </w:r>
        <w:r w:rsidR="00CF43BA" w:rsidRPr="00A722FD">
          <w:rPr>
            <w:rStyle w:val="Hyperlink"/>
          </w:rPr>
          <w:t>Cooperation with other organizations, conventions and initiatives</w:t>
        </w:r>
        <w:r w:rsidR="00CF43BA">
          <w:rPr>
            <w:webHidden/>
          </w:rPr>
          <w:tab/>
        </w:r>
        <w:r w:rsidR="00CF43BA">
          <w:rPr>
            <w:webHidden/>
          </w:rPr>
          <w:fldChar w:fldCharType="begin"/>
        </w:r>
        <w:r w:rsidR="00CF43BA">
          <w:rPr>
            <w:webHidden/>
          </w:rPr>
          <w:instrText xml:space="preserve"> PAGEREF _Toc5612120 \h </w:instrText>
        </w:r>
        <w:r w:rsidR="00CF43BA">
          <w:rPr>
            <w:webHidden/>
          </w:rPr>
        </w:r>
        <w:r w:rsidR="00CF43BA">
          <w:rPr>
            <w:webHidden/>
          </w:rPr>
          <w:fldChar w:fldCharType="separate"/>
        </w:r>
        <w:r w:rsidR="00CF43BA">
          <w:rPr>
            <w:webHidden/>
          </w:rPr>
          <w:t>72</w:t>
        </w:r>
        <w:r w:rsidR="00CF43BA">
          <w:rPr>
            <w:webHidden/>
          </w:rPr>
          <w:fldChar w:fldCharType="end"/>
        </w:r>
      </w:hyperlink>
    </w:p>
    <w:p w14:paraId="0F193C83" w14:textId="51630E24" w:rsidR="00CF43BA" w:rsidRDefault="00986A60" w:rsidP="00C31366">
      <w:pPr>
        <w:pStyle w:val="TOC2"/>
        <w:rPr>
          <w:rFonts w:asciiTheme="minorHAnsi" w:eastAsiaTheme="minorEastAsia" w:hAnsiTheme="minorHAnsi" w:cstheme="minorBidi"/>
          <w:lang w:val="en-CA" w:eastAsia="en-CA"/>
        </w:rPr>
      </w:pPr>
      <w:hyperlink w:anchor="_Toc5612121" w:history="1">
        <w:r w:rsidR="00CF43BA" w:rsidRPr="00A722FD">
          <w:rPr>
            <w:rStyle w:val="Hyperlink"/>
          </w:rPr>
          <w:t>Item 13.</w:t>
        </w:r>
        <w:r w:rsidR="00CF43BA">
          <w:rPr>
            <w:rFonts w:asciiTheme="minorHAnsi" w:eastAsiaTheme="minorEastAsia" w:hAnsiTheme="minorHAnsi" w:cstheme="minorBidi"/>
            <w:lang w:val="en-CA" w:eastAsia="en-CA"/>
          </w:rPr>
          <w:t xml:space="preserve"> </w:t>
        </w:r>
        <w:r w:rsidR="00CF43BA" w:rsidRPr="00A722FD">
          <w:rPr>
            <w:rStyle w:val="Hyperlink"/>
          </w:rPr>
          <w:t>Review of effectiveness of structures and processes under the Convention and its Protocols</w:t>
        </w:r>
        <w:r w:rsidR="00CF43BA">
          <w:rPr>
            <w:webHidden/>
          </w:rPr>
          <w:tab/>
        </w:r>
        <w:r w:rsidR="00CF43BA">
          <w:rPr>
            <w:webHidden/>
          </w:rPr>
          <w:fldChar w:fldCharType="begin"/>
        </w:r>
        <w:r w:rsidR="00CF43BA">
          <w:rPr>
            <w:webHidden/>
          </w:rPr>
          <w:instrText xml:space="preserve"> PAGEREF _Toc5612121 \h </w:instrText>
        </w:r>
        <w:r w:rsidR="00CF43BA">
          <w:rPr>
            <w:webHidden/>
          </w:rPr>
        </w:r>
        <w:r w:rsidR="00CF43BA">
          <w:rPr>
            <w:webHidden/>
          </w:rPr>
          <w:fldChar w:fldCharType="separate"/>
        </w:r>
        <w:r w:rsidR="00CF43BA">
          <w:rPr>
            <w:webHidden/>
          </w:rPr>
          <w:t>72</w:t>
        </w:r>
        <w:r w:rsidR="00CF43BA">
          <w:rPr>
            <w:webHidden/>
          </w:rPr>
          <w:fldChar w:fldCharType="end"/>
        </w:r>
      </w:hyperlink>
    </w:p>
    <w:p w14:paraId="56333166" w14:textId="1EDE9B88" w:rsidR="00CF43BA" w:rsidRDefault="00986A60" w:rsidP="00C31366">
      <w:pPr>
        <w:pStyle w:val="TOC2"/>
        <w:rPr>
          <w:rFonts w:asciiTheme="minorHAnsi" w:eastAsiaTheme="minorEastAsia" w:hAnsiTheme="minorHAnsi" w:cstheme="minorBidi"/>
          <w:lang w:val="en-CA" w:eastAsia="en-CA"/>
        </w:rPr>
      </w:pPr>
      <w:hyperlink w:anchor="_Toc5612122" w:history="1">
        <w:r w:rsidR="00CF43BA" w:rsidRPr="00A722FD">
          <w:rPr>
            <w:rStyle w:val="Hyperlink"/>
          </w:rPr>
          <w:t>Item 14.</w:t>
        </w:r>
        <w:r w:rsidR="00CF43BA">
          <w:rPr>
            <w:rFonts w:asciiTheme="minorHAnsi" w:eastAsiaTheme="minorEastAsia" w:hAnsiTheme="minorHAnsi" w:cstheme="minorBidi"/>
            <w:lang w:val="en-CA" w:eastAsia="en-CA"/>
          </w:rPr>
          <w:t xml:space="preserve"> </w:t>
        </w:r>
        <w:r w:rsidR="00CF43BA" w:rsidRPr="00A722FD">
          <w:rPr>
            <w:rStyle w:val="Hyperlink"/>
          </w:rPr>
          <w:t>Preparation for the follow-up to the Strategic Plan for Biodiversity 2011-2020 and the Strategic Plan for the Cartagena Protocol on Biosafety 2011-2020</w:t>
        </w:r>
        <w:r w:rsidR="00CF43BA">
          <w:rPr>
            <w:webHidden/>
          </w:rPr>
          <w:tab/>
        </w:r>
        <w:r w:rsidR="00CF43BA">
          <w:rPr>
            <w:webHidden/>
          </w:rPr>
          <w:fldChar w:fldCharType="begin"/>
        </w:r>
        <w:r w:rsidR="00CF43BA">
          <w:rPr>
            <w:webHidden/>
          </w:rPr>
          <w:instrText xml:space="preserve"> PAGEREF _Toc5612122 \h </w:instrText>
        </w:r>
        <w:r w:rsidR="00CF43BA">
          <w:rPr>
            <w:webHidden/>
          </w:rPr>
        </w:r>
        <w:r w:rsidR="00CF43BA">
          <w:rPr>
            <w:webHidden/>
          </w:rPr>
          <w:fldChar w:fldCharType="separate"/>
        </w:r>
        <w:r w:rsidR="00CF43BA">
          <w:rPr>
            <w:webHidden/>
          </w:rPr>
          <w:t>74</w:t>
        </w:r>
        <w:r w:rsidR="00CF43BA">
          <w:rPr>
            <w:webHidden/>
          </w:rPr>
          <w:fldChar w:fldCharType="end"/>
        </w:r>
      </w:hyperlink>
    </w:p>
    <w:p w14:paraId="04FAFEA9" w14:textId="197E657C" w:rsidR="00CF43BA" w:rsidRDefault="00986A60" w:rsidP="00C31366">
      <w:pPr>
        <w:pStyle w:val="TOC2"/>
        <w:rPr>
          <w:rFonts w:asciiTheme="minorHAnsi" w:eastAsiaTheme="minorEastAsia" w:hAnsiTheme="minorHAnsi" w:cstheme="minorBidi"/>
          <w:lang w:val="en-CA" w:eastAsia="en-CA"/>
        </w:rPr>
      </w:pPr>
      <w:hyperlink w:anchor="_Toc5612123" w:history="1">
        <w:r w:rsidR="00CF43BA" w:rsidRPr="00A722FD">
          <w:rPr>
            <w:rStyle w:val="Hyperlink"/>
          </w:rPr>
          <w:t>Item 15.</w:t>
        </w:r>
        <w:r w:rsidR="00CF43BA">
          <w:rPr>
            <w:rFonts w:asciiTheme="minorHAnsi" w:eastAsiaTheme="minorEastAsia" w:hAnsiTheme="minorHAnsi" w:cstheme="minorBidi"/>
            <w:lang w:val="en-CA" w:eastAsia="en-CA"/>
          </w:rPr>
          <w:t xml:space="preserve"> </w:t>
        </w:r>
        <w:r w:rsidR="00CF43BA" w:rsidRPr="00A722FD">
          <w:rPr>
            <w:rStyle w:val="Hyperlink"/>
          </w:rPr>
          <w:t>Risk assessment and risk management (Articles 15 and 16)</w:t>
        </w:r>
        <w:r w:rsidR="00CF43BA">
          <w:rPr>
            <w:webHidden/>
          </w:rPr>
          <w:tab/>
        </w:r>
        <w:r w:rsidR="00CF43BA">
          <w:rPr>
            <w:webHidden/>
          </w:rPr>
          <w:fldChar w:fldCharType="begin"/>
        </w:r>
        <w:r w:rsidR="00CF43BA">
          <w:rPr>
            <w:webHidden/>
          </w:rPr>
          <w:instrText xml:space="preserve"> PAGEREF _Toc5612123 \h </w:instrText>
        </w:r>
        <w:r w:rsidR="00CF43BA">
          <w:rPr>
            <w:webHidden/>
          </w:rPr>
        </w:r>
        <w:r w:rsidR="00CF43BA">
          <w:rPr>
            <w:webHidden/>
          </w:rPr>
          <w:fldChar w:fldCharType="separate"/>
        </w:r>
        <w:r w:rsidR="00CF43BA">
          <w:rPr>
            <w:webHidden/>
          </w:rPr>
          <w:t>75</w:t>
        </w:r>
        <w:r w:rsidR="00CF43BA">
          <w:rPr>
            <w:webHidden/>
          </w:rPr>
          <w:fldChar w:fldCharType="end"/>
        </w:r>
      </w:hyperlink>
    </w:p>
    <w:p w14:paraId="2C083C63" w14:textId="497DE10B" w:rsidR="00CF43BA" w:rsidRDefault="00986A60" w:rsidP="00C31366">
      <w:pPr>
        <w:pStyle w:val="TOC2"/>
        <w:rPr>
          <w:rFonts w:asciiTheme="minorHAnsi" w:eastAsiaTheme="minorEastAsia" w:hAnsiTheme="minorHAnsi" w:cstheme="minorBidi"/>
          <w:lang w:val="en-CA" w:eastAsia="en-CA"/>
        </w:rPr>
      </w:pPr>
      <w:hyperlink w:anchor="_Toc5612124" w:history="1">
        <w:r w:rsidR="00CF43BA" w:rsidRPr="00A722FD">
          <w:rPr>
            <w:rStyle w:val="Hyperlink"/>
          </w:rPr>
          <w:t>Item 16.</w:t>
        </w:r>
        <w:r w:rsidR="00CF43BA">
          <w:rPr>
            <w:rFonts w:asciiTheme="minorHAnsi" w:eastAsiaTheme="minorEastAsia" w:hAnsiTheme="minorHAnsi" w:cstheme="minorBidi"/>
            <w:lang w:val="en-CA" w:eastAsia="en-CA"/>
          </w:rPr>
          <w:t xml:space="preserve"> </w:t>
        </w:r>
        <w:r w:rsidR="00CF43BA" w:rsidRPr="00A722FD">
          <w:rPr>
            <w:rStyle w:val="Hyperlink"/>
          </w:rPr>
          <w:t>Unintentional transboundary movements and emergency measures (Article 17)</w:t>
        </w:r>
        <w:r w:rsidR="00CF43BA">
          <w:rPr>
            <w:webHidden/>
          </w:rPr>
          <w:tab/>
        </w:r>
        <w:r w:rsidR="00CF43BA">
          <w:rPr>
            <w:webHidden/>
          </w:rPr>
          <w:fldChar w:fldCharType="begin"/>
        </w:r>
        <w:r w:rsidR="00CF43BA">
          <w:rPr>
            <w:webHidden/>
          </w:rPr>
          <w:instrText xml:space="preserve"> PAGEREF _Toc5612124 \h </w:instrText>
        </w:r>
        <w:r w:rsidR="00CF43BA">
          <w:rPr>
            <w:webHidden/>
          </w:rPr>
        </w:r>
        <w:r w:rsidR="00CF43BA">
          <w:rPr>
            <w:webHidden/>
          </w:rPr>
          <w:fldChar w:fldCharType="separate"/>
        </w:r>
        <w:r w:rsidR="00CF43BA">
          <w:rPr>
            <w:webHidden/>
          </w:rPr>
          <w:t>75</w:t>
        </w:r>
        <w:r w:rsidR="00CF43BA">
          <w:rPr>
            <w:webHidden/>
          </w:rPr>
          <w:fldChar w:fldCharType="end"/>
        </w:r>
      </w:hyperlink>
    </w:p>
    <w:p w14:paraId="53017522" w14:textId="169A024C" w:rsidR="00CF43BA" w:rsidRDefault="00986A60" w:rsidP="00C31366">
      <w:pPr>
        <w:pStyle w:val="TOC2"/>
        <w:rPr>
          <w:rFonts w:asciiTheme="minorHAnsi" w:eastAsiaTheme="minorEastAsia" w:hAnsiTheme="minorHAnsi" w:cstheme="minorBidi"/>
          <w:lang w:val="en-CA" w:eastAsia="en-CA"/>
        </w:rPr>
      </w:pPr>
      <w:hyperlink w:anchor="_Toc5612125" w:history="1">
        <w:r w:rsidR="00CF43BA" w:rsidRPr="00A722FD">
          <w:rPr>
            <w:rStyle w:val="Hyperlink"/>
          </w:rPr>
          <w:t>Item 17.</w:t>
        </w:r>
        <w:r w:rsidR="00CF43BA">
          <w:rPr>
            <w:rFonts w:asciiTheme="minorHAnsi" w:eastAsiaTheme="minorEastAsia" w:hAnsiTheme="minorHAnsi" w:cstheme="minorBidi"/>
            <w:lang w:val="en-CA" w:eastAsia="en-CA"/>
          </w:rPr>
          <w:t xml:space="preserve"> </w:t>
        </w:r>
        <w:r w:rsidR="00CF43BA" w:rsidRPr="00A722FD">
          <w:rPr>
            <w:rStyle w:val="Hyperlink"/>
          </w:rPr>
          <w:t>Transit and contained use of living modified organisms (Article 6)</w:t>
        </w:r>
        <w:r w:rsidR="00CF43BA">
          <w:rPr>
            <w:webHidden/>
          </w:rPr>
          <w:tab/>
        </w:r>
        <w:r w:rsidR="00CF43BA">
          <w:rPr>
            <w:webHidden/>
          </w:rPr>
          <w:fldChar w:fldCharType="begin"/>
        </w:r>
        <w:r w:rsidR="00CF43BA">
          <w:rPr>
            <w:webHidden/>
          </w:rPr>
          <w:instrText xml:space="preserve"> PAGEREF _Toc5612125 \h </w:instrText>
        </w:r>
        <w:r w:rsidR="00CF43BA">
          <w:rPr>
            <w:webHidden/>
          </w:rPr>
        </w:r>
        <w:r w:rsidR="00CF43BA">
          <w:rPr>
            <w:webHidden/>
          </w:rPr>
          <w:fldChar w:fldCharType="separate"/>
        </w:r>
        <w:r w:rsidR="00CF43BA">
          <w:rPr>
            <w:webHidden/>
          </w:rPr>
          <w:t>76</w:t>
        </w:r>
        <w:r w:rsidR="00CF43BA">
          <w:rPr>
            <w:webHidden/>
          </w:rPr>
          <w:fldChar w:fldCharType="end"/>
        </w:r>
      </w:hyperlink>
    </w:p>
    <w:p w14:paraId="79F78B04" w14:textId="7A7CDE2C" w:rsidR="00CF43BA" w:rsidRDefault="00986A60" w:rsidP="00C31366">
      <w:pPr>
        <w:pStyle w:val="TOC2"/>
        <w:rPr>
          <w:rFonts w:asciiTheme="minorHAnsi" w:eastAsiaTheme="minorEastAsia" w:hAnsiTheme="minorHAnsi" w:cstheme="minorBidi"/>
          <w:lang w:val="en-CA" w:eastAsia="en-CA"/>
        </w:rPr>
      </w:pPr>
      <w:hyperlink w:anchor="_Toc5612126" w:history="1">
        <w:r w:rsidR="00CF43BA" w:rsidRPr="00A722FD">
          <w:rPr>
            <w:rStyle w:val="Hyperlink"/>
          </w:rPr>
          <w:t>Item 18.</w:t>
        </w:r>
        <w:r w:rsidR="00CF43BA">
          <w:rPr>
            <w:rFonts w:asciiTheme="minorHAnsi" w:eastAsiaTheme="minorEastAsia" w:hAnsiTheme="minorHAnsi" w:cstheme="minorBidi"/>
            <w:lang w:val="en-CA" w:eastAsia="en-CA"/>
          </w:rPr>
          <w:t xml:space="preserve"> </w:t>
        </w:r>
        <w:r w:rsidR="00CF43BA" w:rsidRPr="00A722FD">
          <w:rPr>
            <w:rStyle w:val="Hyperlink"/>
          </w:rPr>
          <w:t>Socio-economic considerations (Article 26)</w:t>
        </w:r>
        <w:r w:rsidR="00CF43BA">
          <w:rPr>
            <w:webHidden/>
          </w:rPr>
          <w:tab/>
        </w:r>
        <w:r w:rsidR="00CF43BA">
          <w:rPr>
            <w:webHidden/>
          </w:rPr>
          <w:fldChar w:fldCharType="begin"/>
        </w:r>
        <w:r w:rsidR="00CF43BA">
          <w:rPr>
            <w:webHidden/>
          </w:rPr>
          <w:instrText xml:space="preserve"> PAGEREF _Toc5612126 \h </w:instrText>
        </w:r>
        <w:r w:rsidR="00CF43BA">
          <w:rPr>
            <w:webHidden/>
          </w:rPr>
        </w:r>
        <w:r w:rsidR="00CF43BA">
          <w:rPr>
            <w:webHidden/>
          </w:rPr>
          <w:fldChar w:fldCharType="separate"/>
        </w:r>
        <w:r w:rsidR="00CF43BA">
          <w:rPr>
            <w:webHidden/>
          </w:rPr>
          <w:t>77</w:t>
        </w:r>
        <w:r w:rsidR="00CF43BA">
          <w:rPr>
            <w:webHidden/>
          </w:rPr>
          <w:fldChar w:fldCharType="end"/>
        </w:r>
      </w:hyperlink>
    </w:p>
    <w:p w14:paraId="289D0759" w14:textId="57E646DB" w:rsidR="00CF43BA" w:rsidRDefault="00986A60" w:rsidP="00C31366">
      <w:pPr>
        <w:pStyle w:val="TOC2"/>
        <w:rPr>
          <w:rFonts w:asciiTheme="minorHAnsi" w:eastAsiaTheme="minorEastAsia" w:hAnsiTheme="minorHAnsi" w:cstheme="minorBidi"/>
          <w:lang w:val="en-CA" w:eastAsia="en-CA"/>
        </w:rPr>
      </w:pPr>
      <w:hyperlink w:anchor="_Toc5612127" w:history="1">
        <w:r w:rsidR="00CF43BA" w:rsidRPr="00A722FD">
          <w:rPr>
            <w:rStyle w:val="Hyperlink"/>
          </w:rPr>
          <w:t>Item 19.</w:t>
        </w:r>
        <w:r w:rsidR="00CF43BA">
          <w:rPr>
            <w:rFonts w:asciiTheme="minorHAnsi" w:eastAsiaTheme="minorEastAsia" w:hAnsiTheme="minorHAnsi" w:cstheme="minorBidi"/>
            <w:lang w:val="en-CA" w:eastAsia="en-CA"/>
          </w:rPr>
          <w:t xml:space="preserve"> </w:t>
        </w:r>
        <w:r w:rsidR="00CF43BA" w:rsidRPr="00A722FD">
          <w:rPr>
            <w:rStyle w:val="Hyperlink"/>
          </w:rPr>
          <w:t>Nagoya – Kuala Lumpur Supplementary Protocol on Liability and Redress</w:t>
        </w:r>
        <w:r w:rsidR="00CF43BA">
          <w:rPr>
            <w:webHidden/>
          </w:rPr>
          <w:tab/>
        </w:r>
        <w:r w:rsidR="00CF43BA">
          <w:rPr>
            <w:webHidden/>
          </w:rPr>
          <w:fldChar w:fldCharType="begin"/>
        </w:r>
        <w:r w:rsidR="00CF43BA">
          <w:rPr>
            <w:webHidden/>
          </w:rPr>
          <w:instrText xml:space="preserve"> PAGEREF _Toc5612127 \h </w:instrText>
        </w:r>
        <w:r w:rsidR="00CF43BA">
          <w:rPr>
            <w:webHidden/>
          </w:rPr>
        </w:r>
        <w:r w:rsidR="00CF43BA">
          <w:rPr>
            <w:webHidden/>
          </w:rPr>
          <w:fldChar w:fldCharType="separate"/>
        </w:r>
        <w:r w:rsidR="00CF43BA">
          <w:rPr>
            <w:webHidden/>
          </w:rPr>
          <w:t>77</w:t>
        </w:r>
        <w:r w:rsidR="00CF43BA">
          <w:rPr>
            <w:webHidden/>
          </w:rPr>
          <w:fldChar w:fldCharType="end"/>
        </w:r>
      </w:hyperlink>
    </w:p>
    <w:p w14:paraId="2B2FB494" w14:textId="02EC0015" w:rsidR="00CF43BA" w:rsidRDefault="00986A60" w:rsidP="00C31366">
      <w:pPr>
        <w:pStyle w:val="TOC2"/>
        <w:rPr>
          <w:rFonts w:asciiTheme="minorHAnsi" w:eastAsiaTheme="minorEastAsia" w:hAnsiTheme="minorHAnsi" w:cstheme="minorBidi"/>
          <w:lang w:val="en-CA" w:eastAsia="en-CA"/>
        </w:rPr>
      </w:pPr>
      <w:hyperlink w:anchor="_Toc5612128" w:history="1">
        <w:r w:rsidR="00CF43BA" w:rsidRPr="00A722FD">
          <w:rPr>
            <w:rStyle w:val="Hyperlink"/>
          </w:rPr>
          <w:t>Item 20.</w:t>
        </w:r>
        <w:r w:rsidR="00CF43BA">
          <w:rPr>
            <w:rFonts w:asciiTheme="minorHAnsi" w:eastAsiaTheme="minorEastAsia" w:hAnsiTheme="minorHAnsi" w:cstheme="minorBidi"/>
            <w:lang w:val="en-CA" w:eastAsia="en-CA"/>
          </w:rPr>
          <w:t xml:space="preserve"> </w:t>
        </w:r>
        <w:r w:rsidR="00CF43BA" w:rsidRPr="00A722FD">
          <w:rPr>
            <w:rStyle w:val="Hyperlink"/>
          </w:rPr>
          <w:t>Other matters</w:t>
        </w:r>
        <w:r w:rsidR="00CF43BA">
          <w:rPr>
            <w:webHidden/>
          </w:rPr>
          <w:tab/>
        </w:r>
        <w:r w:rsidR="00CF43BA">
          <w:rPr>
            <w:webHidden/>
          </w:rPr>
          <w:fldChar w:fldCharType="begin"/>
        </w:r>
        <w:r w:rsidR="00CF43BA">
          <w:rPr>
            <w:webHidden/>
          </w:rPr>
          <w:instrText xml:space="preserve"> PAGEREF _Toc5612128 \h </w:instrText>
        </w:r>
        <w:r w:rsidR="00CF43BA">
          <w:rPr>
            <w:webHidden/>
          </w:rPr>
        </w:r>
        <w:r w:rsidR="00CF43BA">
          <w:rPr>
            <w:webHidden/>
          </w:rPr>
          <w:fldChar w:fldCharType="separate"/>
        </w:r>
        <w:r w:rsidR="00CF43BA">
          <w:rPr>
            <w:webHidden/>
          </w:rPr>
          <w:t>78</w:t>
        </w:r>
        <w:r w:rsidR="00CF43BA">
          <w:rPr>
            <w:webHidden/>
          </w:rPr>
          <w:fldChar w:fldCharType="end"/>
        </w:r>
      </w:hyperlink>
    </w:p>
    <w:p w14:paraId="602F6409" w14:textId="51465321" w:rsidR="00CF43BA" w:rsidRDefault="00986A60" w:rsidP="00C31366">
      <w:pPr>
        <w:pStyle w:val="TOC2"/>
        <w:rPr>
          <w:rFonts w:asciiTheme="minorHAnsi" w:eastAsiaTheme="minorEastAsia" w:hAnsiTheme="minorHAnsi" w:cstheme="minorBidi"/>
          <w:lang w:val="en-CA" w:eastAsia="en-CA"/>
        </w:rPr>
      </w:pPr>
      <w:hyperlink w:anchor="_Toc5612129" w:history="1">
        <w:r w:rsidR="00CF43BA" w:rsidRPr="00A722FD">
          <w:rPr>
            <w:rStyle w:val="Hyperlink"/>
          </w:rPr>
          <w:t>Item 21.</w:t>
        </w:r>
        <w:r w:rsidR="00CF43BA">
          <w:rPr>
            <w:rFonts w:asciiTheme="minorHAnsi" w:eastAsiaTheme="minorEastAsia" w:hAnsiTheme="minorHAnsi" w:cstheme="minorBidi"/>
            <w:lang w:val="en-CA" w:eastAsia="en-CA"/>
          </w:rPr>
          <w:t xml:space="preserve"> </w:t>
        </w:r>
        <w:r w:rsidR="00CF43BA" w:rsidRPr="00A722FD">
          <w:rPr>
            <w:rStyle w:val="Hyperlink"/>
          </w:rPr>
          <w:t>Adoption of the report</w:t>
        </w:r>
        <w:r w:rsidR="00CF43BA">
          <w:rPr>
            <w:webHidden/>
          </w:rPr>
          <w:tab/>
        </w:r>
        <w:r w:rsidR="00CF43BA">
          <w:rPr>
            <w:webHidden/>
          </w:rPr>
          <w:fldChar w:fldCharType="begin"/>
        </w:r>
        <w:r w:rsidR="00CF43BA">
          <w:rPr>
            <w:webHidden/>
          </w:rPr>
          <w:instrText xml:space="preserve"> PAGEREF _Toc5612129 \h </w:instrText>
        </w:r>
        <w:r w:rsidR="00CF43BA">
          <w:rPr>
            <w:webHidden/>
          </w:rPr>
        </w:r>
        <w:r w:rsidR="00CF43BA">
          <w:rPr>
            <w:webHidden/>
          </w:rPr>
          <w:fldChar w:fldCharType="separate"/>
        </w:r>
        <w:r w:rsidR="00CF43BA">
          <w:rPr>
            <w:webHidden/>
          </w:rPr>
          <w:t>78</w:t>
        </w:r>
        <w:r w:rsidR="00CF43BA">
          <w:rPr>
            <w:webHidden/>
          </w:rPr>
          <w:fldChar w:fldCharType="end"/>
        </w:r>
      </w:hyperlink>
    </w:p>
    <w:p w14:paraId="151D980C" w14:textId="3DFB7869" w:rsidR="00CF43BA" w:rsidRDefault="00986A60" w:rsidP="00C31366">
      <w:pPr>
        <w:pStyle w:val="TOC2"/>
        <w:rPr>
          <w:rFonts w:asciiTheme="minorHAnsi" w:eastAsiaTheme="minorEastAsia" w:hAnsiTheme="minorHAnsi" w:cstheme="minorBidi"/>
          <w:lang w:val="en-CA" w:eastAsia="en-CA"/>
        </w:rPr>
      </w:pPr>
      <w:hyperlink w:anchor="_Toc5612130" w:history="1">
        <w:r w:rsidR="00CF43BA" w:rsidRPr="00A722FD">
          <w:rPr>
            <w:rStyle w:val="Hyperlink"/>
          </w:rPr>
          <w:t>Item 22.</w:t>
        </w:r>
        <w:r w:rsidR="00CF43BA">
          <w:rPr>
            <w:rFonts w:asciiTheme="minorHAnsi" w:eastAsiaTheme="minorEastAsia" w:hAnsiTheme="minorHAnsi" w:cstheme="minorBidi"/>
            <w:lang w:val="en-CA" w:eastAsia="en-CA"/>
          </w:rPr>
          <w:t xml:space="preserve"> </w:t>
        </w:r>
        <w:r w:rsidR="00CF43BA" w:rsidRPr="00A722FD">
          <w:rPr>
            <w:rStyle w:val="Hyperlink"/>
          </w:rPr>
          <w:t>Closure of the meeting</w:t>
        </w:r>
        <w:r w:rsidR="00CF43BA">
          <w:rPr>
            <w:webHidden/>
          </w:rPr>
          <w:tab/>
        </w:r>
        <w:r w:rsidR="00CF43BA">
          <w:rPr>
            <w:webHidden/>
          </w:rPr>
          <w:fldChar w:fldCharType="begin"/>
        </w:r>
        <w:r w:rsidR="00CF43BA">
          <w:rPr>
            <w:webHidden/>
          </w:rPr>
          <w:instrText xml:space="preserve"> PAGEREF _Toc5612130 \h </w:instrText>
        </w:r>
        <w:r w:rsidR="00CF43BA">
          <w:rPr>
            <w:webHidden/>
          </w:rPr>
        </w:r>
        <w:r w:rsidR="00CF43BA">
          <w:rPr>
            <w:webHidden/>
          </w:rPr>
          <w:fldChar w:fldCharType="separate"/>
        </w:r>
        <w:r w:rsidR="00CF43BA">
          <w:rPr>
            <w:webHidden/>
          </w:rPr>
          <w:t>78</w:t>
        </w:r>
        <w:r w:rsidR="00CF43BA">
          <w:rPr>
            <w:webHidden/>
          </w:rPr>
          <w:fldChar w:fldCharType="end"/>
        </w:r>
      </w:hyperlink>
    </w:p>
    <w:p w14:paraId="6CEC1F7F" w14:textId="61CE9C7C" w:rsidR="00376CED" w:rsidRPr="00237524" w:rsidRDefault="00B614A3">
      <w:pPr>
        <w:rPr>
          <w:szCs w:val="22"/>
        </w:rPr>
      </w:pPr>
      <w:r w:rsidRPr="00520822">
        <w:rPr>
          <w:szCs w:val="22"/>
        </w:rPr>
        <w:fldChar w:fldCharType="end"/>
      </w:r>
      <w:r w:rsidR="00376CED" w:rsidRPr="00304A4B">
        <w:rPr>
          <w:szCs w:val="22"/>
        </w:rPr>
        <w:br w:type="page"/>
      </w:r>
    </w:p>
    <w:p w14:paraId="6F254B3D" w14:textId="7B63F178" w:rsidR="00376CED" w:rsidRPr="00520822" w:rsidRDefault="00EF0503" w:rsidP="00EF0503">
      <w:pPr>
        <w:pStyle w:val="HeadingIreport"/>
        <w:rPr>
          <w:rFonts w:cs="Times New Roman"/>
          <w:szCs w:val="22"/>
        </w:rPr>
      </w:pPr>
      <w:bookmarkStart w:id="4" w:name="_Toc879811"/>
      <w:bookmarkStart w:id="5" w:name="_Toc5612091"/>
      <w:r w:rsidRPr="00304A4B">
        <w:rPr>
          <w:rFonts w:cs="Times New Roman"/>
          <w:szCs w:val="22"/>
        </w:rPr>
        <w:lastRenderedPageBreak/>
        <w:t>I.</w:t>
      </w:r>
      <w:r w:rsidRPr="00304A4B">
        <w:rPr>
          <w:rFonts w:cs="Times New Roman"/>
          <w:szCs w:val="22"/>
        </w:rPr>
        <w:tab/>
      </w:r>
      <w:r w:rsidR="00376CED" w:rsidRPr="00304A4B">
        <w:rPr>
          <w:rFonts w:cs="Times New Roman"/>
          <w:szCs w:val="22"/>
        </w:rPr>
        <w:t>Decisions</w:t>
      </w:r>
      <w:bookmarkEnd w:id="4"/>
      <w:bookmarkEnd w:id="5"/>
    </w:p>
    <w:p w14:paraId="624519F5" w14:textId="0F02BB47" w:rsidR="00376CED" w:rsidRPr="00C31366" w:rsidRDefault="00376CED" w:rsidP="00C31366">
      <w:pPr>
        <w:pStyle w:val="heading2-item"/>
        <w:rPr>
          <w:snapToGrid w:val="0"/>
        </w:rPr>
      </w:pPr>
      <w:bookmarkStart w:id="6" w:name="_Toc879812"/>
      <w:bookmarkStart w:id="7" w:name="_Toc5612092"/>
      <w:r w:rsidRPr="00C31366">
        <w:rPr>
          <w:snapToGrid w:val="0"/>
        </w:rPr>
        <w:t>9/1.</w:t>
      </w:r>
      <w:r w:rsidRPr="00C31366">
        <w:rPr>
          <w:snapToGrid w:val="0"/>
        </w:rPr>
        <w:tab/>
        <w:t>Compliance</w:t>
      </w:r>
      <w:bookmarkEnd w:id="6"/>
      <w:bookmarkEnd w:id="7"/>
    </w:p>
    <w:p w14:paraId="1001A9D1" w14:textId="77777777" w:rsidR="00376CED" w:rsidRPr="00237524" w:rsidRDefault="00376CED" w:rsidP="00725967">
      <w:pPr>
        <w:shd w:val="clear" w:color="auto" w:fill="FFFFFF" w:themeFill="background1"/>
        <w:spacing w:before="120" w:after="120"/>
        <w:ind w:firstLine="720"/>
        <w:rPr>
          <w:iCs/>
          <w:kern w:val="22"/>
          <w:sz w:val="22"/>
          <w:szCs w:val="22"/>
        </w:rPr>
      </w:pPr>
      <w:r w:rsidRPr="00237524">
        <w:rPr>
          <w:i/>
          <w:kern w:val="22"/>
          <w:sz w:val="22"/>
          <w:szCs w:val="22"/>
        </w:rPr>
        <w:t xml:space="preserve">The Conference of the Parties serving as the meeting of the Parties to the </w:t>
      </w:r>
      <w:r w:rsidRPr="00237524">
        <w:rPr>
          <w:i/>
          <w:iCs/>
          <w:kern w:val="22"/>
          <w:sz w:val="22"/>
          <w:szCs w:val="22"/>
          <w:lang w:eastAsia="ko-KR"/>
        </w:rPr>
        <w:t>Cartagena Protocol on Biosafety</w:t>
      </w:r>
      <w:r w:rsidRPr="00237524">
        <w:rPr>
          <w:i/>
          <w:kern w:val="22"/>
          <w:sz w:val="22"/>
          <w:szCs w:val="22"/>
        </w:rPr>
        <w:t>,</w:t>
      </w:r>
    </w:p>
    <w:p w14:paraId="2ADC7A4A" w14:textId="77777777" w:rsidR="00376CED" w:rsidRPr="00237524" w:rsidRDefault="00376CED" w:rsidP="00725967">
      <w:pPr>
        <w:spacing w:after="120"/>
        <w:ind w:firstLine="720"/>
        <w:rPr>
          <w:kern w:val="22"/>
          <w:sz w:val="22"/>
          <w:szCs w:val="22"/>
        </w:rPr>
      </w:pPr>
      <w:r w:rsidRPr="00237524">
        <w:rPr>
          <w:i/>
          <w:kern w:val="22"/>
          <w:sz w:val="22"/>
          <w:szCs w:val="22"/>
        </w:rPr>
        <w:t xml:space="preserve">Welcoming </w:t>
      </w:r>
      <w:r w:rsidRPr="00237524">
        <w:rPr>
          <w:kern w:val="22"/>
          <w:sz w:val="22"/>
          <w:szCs w:val="22"/>
        </w:rPr>
        <w:t xml:space="preserve">the activities undertaken by the Compliance Committee in the last biennium, in line with its supportive role in the implementation of the Cartagena Protocol on Biosafety, and </w:t>
      </w:r>
      <w:r w:rsidRPr="00237524">
        <w:rPr>
          <w:i/>
          <w:kern w:val="22"/>
          <w:sz w:val="22"/>
          <w:szCs w:val="22"/>
        </w:rPr>
        <w:t xml:space="preserve">taking note </w:t>
      </w:r>
      <w:r w:rsidRPr="00237524">
        <w:rPr>
          <w:kern w:val="22"/>
          <w:sz w:val="22"/>
          <w:szCs w:val="22"/>
        </w:rPr>
        <w:t>of its recommendations as contained in the annex to its report,</w:t>
      </w:r>
      <w:r w:rsidRPr="00237524">
        <w:rPr>
          <w:rStyle w:val="FootnoteReference"/>
          <w:kern w:val="22"/>
          <w:sz w:val="22"/>
          <w:szCs w:val="22"/>
          <w:u w:val="none"/>
          <w:vertAlign w:val="superscript"/>
        </w:rPr>
        <w:footnoteReference w:id="2"/>
      </w:r>
    </w:p>
    <w:p w14:paraId="674C27AC" w14:textId="77777777" w:rsidR="00376CED" w:rsidRPr="00237524" w:rsidRDefault="00376CED" w:rsidP="00376CED">
      <w:pPr>
        <w:pStyle w:val="Para1"/>
        <w:numPr>
          <w:ilvl w:val="0"/>
          <w:numId w:val="13"/>
        </w:numPr>
        <w:snapToGrid w:val="0"/>
        <w:ind w:firstLine="720"/>
      </w:pPr>
      <w:r w:rsidRPr="00237524">
        <w:rPr>
          <w:i/>
        </w:rPr>
        <w:t>Reminds</w:t>
      </w:r>
      <w:r w:rsidRPr="00237524">
        <w:t xml:space="preserve"> Parties of their responsibility and obligation to take the necessary and appropriate legal, administrative and other measures to implement the Protocol;</w:t>
      </w:r>
    </w:p>
    <w:p w14:paraId="6F9AD390" w14:textId="77777777" w:rsidR="00376CED" w:rsidRPr="00237524" w:rsidRDefault="00376CED" w:rsidP="00376CED">
      <w:pPr>
        <w:pStyle w:val="Para1"/>
        <w:numPr>
          <w:ilvl w:val="0"/>
          <w:numId w:val="13"/>
        </w:numPr>
        <w:snapToGrid w:val="0"/>
        <w:ind w:firstLine="720"/>
      </w:pPr>
      <w:r w:rsidRPr="00237524">
        <w:rPr>
          <w:i/>
        </w:rPr>
        <w:t>Also reminds</w:t>
      </w:r>
      <w:r w:rsidRPr="00237524">
        <w:t xml:space="preserve"> Parties of their obligation to monitor the implementation of the obligations under the Protocol, in accordance with Article 33;</w:t>
      </w:r>
    </w:p>
    <w:p w14:paraId="21B3329A" w14:textId="77777777" w:rsidR="00376CED" w:rsidRPr="00237524" w:rsidRDefault="00376CED" w:rsidP="00376CED">
      <w:pPr>
        <w:pStyle w:val="Para1"/>
        <w:numPr>
          <w:ilvl w:val="0"/>
          <w:numId w:val="13"/>
        </w:numPr>
        <w:snapToGrid w:val="0"/>
        <w:ind w:firstLine="720"/>
      </w:pPr>
      <w:r w:rsidRPr="00237524">
        <w:rPr>
          <w:i/>
        </w:rPr>
        <w:t>Recalls</w:t>
      </w:r>
      <w:r w:rsidRPr="00237524">
        <w:t xml:space="preserve"> that Parties facing difficulties in complying with one or more obligations under the Protocol are encouraged to seek assistance from the Compliance Committee;</w:t>
      </w:r>
    </w:p>
    <w:p w14:paraId="72A8F803" w14:textId="77777777" w:rsidR="00376CED" w:rsidRPr="00237524" w:rsidRDefault="00376CED" w:rsidP="00376CED">
      <w:pPr>
        <w:pStyle w:val="Para1"/>
        <w:numPr>
          <w:ilvl w:val="0"/>
          <w:numId w:val="13"/>
        </w:numPr>
        <w:snapToGrid w:val="0"/>
        <w:ind w:firstLine="720"/>
      </w:pPr>
      <w:r w:rsidRPr="00237524">
        <w:rPr>
          <w:i/>
        </w:rPr>
        <w:t>Requests</w:t>
      </w:r>
      <w:r w:rsidRPr="00237524">
        <w:t xml:space="preserve"> Parties to collaborate fully when requested to provide information in relation to their compliance with obligations under the Protocol;</w:t>
      </w:r>
    </w:p>
    <w:p w14:paraId="573F8286" w14:textId="77777777" w:rsidR="00376CED" w:rsidRPr="00237524" w:rsidRDefault="00376CED" w:rsidP="00376CED">
      <w:pPr>
        <w:pStyle w:val="Para1"/>
        <w:numPr>
          <w:ilvl w:val="0"/>
          <w:numId w:val="13"/>
        </w:numPr>
        <w:snapToGrid w:val="0"/>
        <w:ind w:firstLine="720"/>
      </w:pPr>
      <w:r w:rsidRPr="00237524">
        <w:rPr>
          <w:i/>
        </w:rPr>
        <w:t>Invites</w:t>
      </w:r>
      <w:r w:rsidRPr="00237524">
        <w:t xml:space="preserve"> Parties that have made progress in complying with certain obligations to share relevant information in the free-text fields in the reporting format for the fourth national report or through bilateral or regional cooperation on the circumstances that may have contributed to their progress;</w:t>
      </w:r>
    </w:p>
    <w:p w14:paraId="3A7F3D33" w14:textId="77777777" w:rsidR="00376CED" w:rsidRPr="00237524" w:rsidRDefault="00376CED" w:rsidP="00376CED">
      <w:pPr>
        <w:pStyle w:val="Para1"/>
        <w:numPr>
          <w:ilvl w:val="0"/>
          <w:numId w:val="13"/>
        </w:numPr>
        <w:snapToGrid w:val="0"/>
        <w:ind w:firstLine="720"/>
      </w:pPr>
      <w:r w:rsidRPr="00237524">
        <w:rPr>
          <w:i/>
        </w:rPr>
        <w:t>Encourages</w:t>
      </w:r>
      <w:r w:rsidRPr="00237524">
        <w:t xml:space="preserve"> Parties to use the free-text fields in the reporting format for the fourth national report to explain responses provided, and </w:t>
      </w:r>
      <w:r w:rsidRPr="00237524">
        <w:rPr>
          <w:i/>
        </w:rPr>
        <w:t>invites</w:t>
      </w:r>
      <w:r w:rsidRPr="00237524">
        <w:t xml:space="preserve"> Parties that are facing challenges in complying with certain obligations to share information on the challenges encountered in the free-text fields in the reporting format for the fourth national report;</w:t>
      </w:r>
    </w:p>
    <w:p w14:paraId="3E5BA44B" w14:textId="77777777" w:rsidR="00376CED" w:rsidRPr="00237524" w:rsidRDefault="00376CED" w:rsidP="00376CED">
      <w:pPr>
        <w:pStyle w:val="Para1"/>
        <w:numPr>
          <w:ilvl w:val="0"/>
          <w:numId w:val="13"/>
        </w:numPr>
        <w:snapToGrid w:val="0"/>
        <w:ind w:firstLine="720"/>
      </w:pPr>
      <w:r w:rsidRPr="00237524">
        <w:rPr>
          <w:i/>
        </w:rPr>
        <w:t>Notes</w:t>
      </w:r>
      <w:r w:rsidRPr="00237524">
        <w:t xml:space="preserve"> with appreciation the efforts made by Parties to comply with their obligations under the Protocol to make information available to the Biosafety Clearing-House;</w:t>
      </w:r>
    </w:p>
    <w:p w14:paraId="5CBAB81F" w14:textId="77777777" w:rsidR="00376CED" w:rsidRPr="00237524" w:rsidRDefault="00376CED" w:rsidP="00376CED">
      <w:pPr>
        <w:pStyle w:val="Para1"/>
        <w:numPr>
          <w:ilvl w:val="0"/>
          <w:numId w:val="13"/>
        </w:numPr>
        <w:snapToGrid w:val="0"/>
        <w:ind w:firstLine="720"/>
      </w:pPr>
      <w:r w:rsidRPr="00237524">
        <w:rPr>
          <w:i/>
        </w:rPr>
        <w:t>Urges</w:t>
      </w:r>
      <w:r w:rsidRPr="00237524">
        <w:t xml:space="preserve"> Parties to make all required information available in the Biosafety Clearing-House in a timely manner, </w:t>
      </w:r>
      <w:proofErr w:type="gramStart"/>
      <w:r w:rsidRPr="00237524">
        <w:t>in particular risk</w:t>
      </w:r>
      <w:proofErr w:type="gramEnd"/>
      <w:r w:rsidRPr="00237524">
        <w:t xml:space="preserve"> assessments and final decisions relating to the first intentional transboundary movement of living modified organisms for intentional introduction into the environment, including living modified organisms intended for field trials;</w:t>
      </w:r>
    </w:p>
    <w:p w14:paraId="0236662A" w14:textId="77777777" w:rsidR="00376CED" w:rsidRPr="00237524" w:rsidRDefault="00376CED" w:rsidP="00376CED">
      <w:pPr>
        <w:pStyle w:val="Para1"/>
        <w:numPr>
          <w:ilvl w:val="0"/>
          <w:numId w:val="13"/>
        </w:numPr>
        <w:snapToGrid w:val="0"/>
        <w:ind w:firstLine="720"/>
      </w:pPr>
      <w:r w:rsidRPr="00237524">
        <w:rPr>
          <w:i/>
        </w:rPr>
        <w:t>Reminds</w:t>
      </w:r>
      <w:r w:rsidRPr="00237524">
        <w:t xml:space="preserve"> Parties of the need to maintain up-to-date details of their national focal points on the Biosafety Clearing-House;</w:t>
      </w:r>
    </w:p>
    <w:p w14:paraId="7BFA181F" w14:textId="77777777" w:rsidR="00376CED" w:rsidRPr="00237524" w:rsidRDefault="00376CED" w:rsidP="00376CED">
      <w:pPr>
        <w:pStyle w:val="Para1"/>
        <w:numPr>
          <w:ilvl w:val="0"/>
          <w:numId w:val="13"/>
        </w:numPr>
        <w:snapToGrid w:val="0"/>
        <w:ind w:firstLine="720"/>
      </w:pPr>
      <w:r w:rsidRPr="00237524">
        <w:rPr>
          <w:i/>
        </w:rPr>
        <w:t>Urges</w:t>
      </w:r>
      <w:r w:rsidRPr="00237524">
        <w:t xml:space="preserve"> Parties to coordinate at the national level to avoid inconsistency of information in the national reports and the Biosafety Clearing-House and </w:t>
      </w:r>
      <w:r w:rsidRPr="00237524">
        <w:rPr>
          <w:i/>
        </w:rPr>
        <w:t>encourages</w:t>
      </w:r>
      <w:r w:rsidRPr="00237524">
        <w:t xml:space="preserve"> communication between national focal points and competent national authorities;</w:t>
      </w:r>
    </w:p>
    <w:p w14:paraId="447C4650" w14:textId="77777777" w:rsidR="00376CED" w:rsidRPr="00237524" w:rsidRDefault="00376CED" w:rsidP="00376CED">
      <w:pPr>
        <w:pStyle w:val="Para1"/>
        <w:numPr>
          <w:ilvl w:val="0"/>
          <w:numId w:val="13"/>
        </w:numPr>
        <w:snapToGrid w:val="0"/>
        <w:ind w:firstLine="720"/>
      </w:pPr>
      <w:r w:rsidRPr="00237524">
        <w:rPr>
          <w:i/>
        </w:rPr>
        <w:t>Reminds</w:t>
      </w:r>
      <w:r w:rsidRPr="00237524">
        <w:t xml:space="preserve"> Parties of the importance of engaging constructively with all stakeholders, including with industry the public, indigenous peoples and local communities, and women for the effective implementation of the Protocol;</w:t>
      </w:r>
    </w:p>
    <w:p w14:paraId="6EA24EF0" w14:textId="77777777" w:rsidR="00376CED" w:rsidRPr="00237524" w:rsidRDefault="00376CED" w:rsidP="00376CED">
      <w:pPr>
        <w:pStyle w:val="Para1"/>
        <w:numPr>
          <w:ilvl w:val="0"/>
          <w:numId w:val="13"/>
        </w:numPr>
        <w:snapToGrid w:val="0"/>
        <w:ind w:firstLine="720"/>
      </w:pPr>
      <w:r w:rsidRPr="00237524">
        <w:rPr>
          <w:i/>
        </w:rPr>
        <w:t>Encourages</w:t>
      </w:r>
      <w:r w:rsidRPr="00237524">
        <w:t xml:space="preserve"> Parties to mainstream biosafety in their educational systems;</w:t>
      </w:r>
    </w:p>
    <w:p w14:paraId="63BB5242" w14:textId="77777777" w:rsidR="00376CED" w:rsidRPr="00237524" w:rsidRDefault="00376CED" w:rsidP="00376CED">
      <w:pPr>
        <w:pStyle w:val="Para1"/>
        <w:numPr>
          <w:ilvl w:val="0"/>
          <w:numId w:val="13"/>
        </w:numPr>
        <w:tabs>
          <w:tab w:val="clear" w:pos="360"/>
        </w:tabs>
        <w:snapToGrid w:val="0"/>
        <w:ind w:firstLine="720"/>
      </w:pPr>
      <w:r w:rsidRPr="00237524">
        <w:rPr>
          <w:i/>
        </w:rPr>
        <w:t>Urges</w:t>
      </w:r>
      <w:r w:rsidRPr="00237524">
        <w:t xml:space="preserve"> Parties and </w:t>
      </w:r>
      <w:r w:rsidRPr="00237524">
        <w:rPr>
          <w:i/>
        </w:rPr>
        <w:t>invites</w:t>
      </w:r>
      <w:r w:rsidRPr="00237524">
        <w:t xml:space="preserve"> other Governments to provide voluntary funds in support of those Parties requested by the Committee to develop and implement compliance action plans;</w:t>
      </w:r>
    </w:p>
    <w:p w14:paraId="244F9E99" w14:textId="77777777" w:rsidR="00376CED" w:rsidRPr="00237524" w:rsidRDefault="00376CED" w:rsidP="00376CED">
      <w:pPr>
        <w:pStyle w:val="Para1"/>
        <w:numPr>
          <w:ilvl w:val="0"/>
          <w:numId w:val="13"/>
        </w:numPr>
        <w:tabs>
          <w:tab w:val="clear" w:pos="360"/>
        </w:tabs>
        <w:snapToGrid w:val="0"/>
        <w:ind w:firstLine="720"/>
      </w:pPr>
      <w:r w:rsidRPr="00237524">
        <w:rPr>
          <w:i/>
        </w:rPr>
        <w:t>Encourages</w:t>
      </w:r>
      <w:r w:rsidRPr="00237524">
        <w:t xml:space="preserve"> Parties to allocate funds to biosafety in national budgets, to the extent possible;</w:t>
      </w:r>
    </w:p>
    <w:p w14:paraId="1D840749" w14:textId="77777777" w:rsidR="00376CED" w:rsidRPr="00237524" w:rsidRDefault="00376CED" w:rsidP="00376CED">
      <w:pPr>
        <w:pStyle w:val="Para1"/>
        <w:numPr>
          <w:ilvl w:val="0"/>
          <w:numId w:val="13"/>
        </w:numPr>
        <w:tabs>
          <w:tab w:val="clear" w:pos="360"/>
        </w:tabs>
        <w:snapToGrid w:val="0"/>
        <w:ind w:firstLine="720"/>
        <w:rPr>
          <w:i/>
        </w:rPr>
      </w:pPr>
      <w:r w:rsidRPr="00237524">
        <w:rPr>
          <w:i/>
        </w:rPr>
        <w:lastRenderedPageBreak/>
        <w:t xml:space="preserve">Notes </w:t>
      </w:r>
      <w:r w:rsidRPr="00237524">
        <w:t>with regret that one Party has not submitted its national reports over multiple reporting cycles;</w:t>
      </w:r>
    </w:p>
    <w:p w14:paraId="6D183BBB" w14:textId="77777777" w:rsidR="00376CED" w:rsidRPr="00237524" w:rsidRDefault="00376CED" w:rsidP="00376CED">
      <w:pPr>
        <w:pStyle w:val="Para1"/>
        <w:numPr>
          <w:ilvl w:val="0"/>
          <w:numId w:val="13"/>
        </w:numPr>
        <w:tabs>
          <w:tab w:val="clear" w:pos="360"/>
        </w:tabs>
        <w:snapToGrid w:val="0"/>
        <w:ind w:firstLine="720"/>
        <w:rPr>
          <w:i/>
        </w:rPr>
      </w:pPr>
      <w:r w:rsidRPr="00237524">
        <w:rPr>
          <w:i/>
        </w:rPr>
        <w:t xml:space="preserve">Also notes </w:t>
      </w:r>
      <w:r w:rsidRPr="00237524">
        <w:t>that the Compliance Committee and the Executive Secretary have contacted the Party referred to in paragraph 15 above on numerous occasions, in accordance with decision BS</w:t>
      </w:r>
      <w:r w:rsidRPr="00237524">
        <w:noBreakHyphen/>
        <w:t>V/1, including by offering support in preparing its reports;</w:t>
      </w:r>
    </w:p>
    <w:p w14:paraId="55B86852" w14:textId="77777777" w:rsidR="00376CED" w:rsidRPr="00237524" w:rsidRDefault="00376CED" w:rsidP="00376CED">
      <w:pPr>
        <w:pStyle w:val="Para1"/>
        <w:numPr>
          <w:ilvl w:val="0"/>
          <w:numId w:val="13"/>
        </w:numPr>
        <w:tabs>
          <w:tab w:val="clear" w:pos="360"/>
        </w:tabs>
        <w:snapToGrid w:val="0"/>
        <w:ind w:firstLine="720"/>
        <w:rPr>
          <w:i/>
        </w:rPr>
      </w:pPr>
      <w:r w:rsidRPr="00237524">
        <w:rPr>
          <w:i/>
        </w:rPr>
        <w:t xml:space="preserve">Requests </w:t>
      </w:r>
      <w:r w:rsidRPr="00237524">
        <w:t>the Party referred to in paragraph 15 above, as a matter of urgency, to submit its third national report;</w:t>
      </w:r>
    </w:p>
    <w:p w14:paraId="1E870781" w14:textId="77777777" w:rsidR="00376CED" w:rsidRPr="00237524" w:rsidRDefault="00376CED" w:rsidP="00376CED">
      <w:pPr>
        <w:pStyle w:val="Para1"/>
        <w:numPr>
          <w:ilvl w:val="0"/>
          <w:numId w:val="13"/>
        </w:numPr>
        <w:tabs>
          <w:tab w:val="clear" w:pos="360"/>
        </w:tabs>
        <w:snapToGrid w:val="0"/>
        <w:ind w:firstLine="720"/>
        <w:rPr>
          <w:i/>
        </w:rPr>
      </w:pPr>
      <w:r w:rsidRPr="00237524">
        <w:rPr>
          <w:i/>
        </w:rPr>
        <w:t xml:space="preserve">Encourages </w:t>
      </w:r>
      <w:r w:rsidRPr="00237524">
        <w:t>the Party referred to in paragraph 15 above to seek the assistance of the Compliance Committee in accordance with decision BS-V/1, should it require support in preparing its reports.</w:t>
      </w:r>
    </w:p>
    <w:p w14:paraId="7895AD09" w14:textId="77777777" w:rsidR="00376CED" w:rsidRPr="00237524" w:rsidRDefault="00376CED">
      <w:pPr>
        <w:rPr>
          <w:b/>
          <w:caps/>
          <w:sz w:val="22"/>
          <w:szCs w:val="22"/>
        </w:rPr>
      </w:pPr>
      <w:r w:rsidRPr="00237524">
        <w:rPr>
          <w:sz w:val="22"/>
          <w:szCs w:val="22"/>
        </w:rPr>
        <w:br w:type="page"/>
      </w:r>
    </w:p>
    <w:p w14:paraId="40C17055" w14:textId="77777777" w:rsidR="00376CED" w:rsidRPr="003075B3" w:rsidRDefault="00376CED" w:rsidP="00376CED">
      <w:pPr>
        <w:pStyle w:val="heading2-item"/>
      </w:pPr>
      <w:bookmarkStart w:id="8" w:name="_Toc879813"/>
      <w:bookmarkStart w:id="9" w:name="_Toc5612093"/>
      <w:r w:rsidRPr="003075B3">
        <w:lastRenderedPageBreak/>
        <w:t>9/2.</w:t>
      </w:r>
      <w:r w:rsidRPr="003075B3">
        <w:tab/>
        <w:t>Operation and activities of the Biosafety Clearing-House (Article 20)</w:t>
      </w:r>
      <w:bookmarkEnd w:id="8"/>
      <w:bookmarkEnd w:id="9"/>
    </w:p>
    <w:p w14:paraId="5B0D8C10" w14:textId="397F3E42" w:rsidR="00376CED" w:rsidRPr="003075B3" w:rsidRDefault="00376CED" w:rsidP="00376CED">
      <w:pPr>
        <w:pStyle w:val="Para1"/>
        <w:numPr>
          <w:ilvl w:val="0"/>
          <w:numId w:val="0"/>
        </w:numPr>
        <w:suppressLineNumbers/>
        <w:suppressAutoHyphens/>
        <w:ind w:firstLine="720"/>
        <w:rPr>
          <w:rStyle w:val="None"/>
          <w:i/>
          <w:iCs/>
        </w:rPr>
      </w:pPr>
      <w:r w:rsidRPr="003075B3">
        <w:rPr>
          <w:rStyle w:val="None"/>
          <w:i/>
          <w:iCs/>
        </w:rPr>
        <w:t>The Conference of the Parties serving as the meeting of the Parties to the Cartagena Protocol on Biosafety,</w:t>
      </w:r>
    </w:p>
    <w:p w14:paraId="31C32B63" w14:textId="77777777" w:rsidR="00376CED" w:rsidRPr="003075B3" w:rsidRDefault="00376CED" w:rsidP="00725967">
      <w:pPr>
        <w:pStyle w:val="Para1"/>
        <w:numPr>
          <w:ilvl w:val="0"/>
          <w:numId w:val="0"/>
        </w:numPr>
        <w:suppressLineNumbers/>
        <w:suppressAutoHyphens/>
        <w:ind w:firstLine="720"/>
        <w:rPr>
          <w:rStyle w:val="None"/>
          <w:i/>
          <w:iCs/>
        </w:rPr>
      </w:pPr>
      <w:r w:rsidRPr="003075B3">
        <w:rPr>
          <w:rStyle w:val="None"/>
          <w:i/>
          <w:iCs/>
        </w:rPr>
        <w:t xml:space="preserve">Noting with concern </w:t>
      </w:r>
      <w:r w:rsidRPr="003075B3">
        <w:t xml:space="preserve">that important activities requested in decision </w:t>
      </w:r>
      <w:hyperlink r:id="rId12" w:history="1">
        <w:r w:rsidRPr="003075B3">
          <w:rPr>
            <w:rStyle w:val="Hyperlink"/>
          </w:rPr>
          <w:t>CP-VIII/2</w:t>
        </w:r>
      </w:hyperlink>
      <w:r w:rsidRPr="003075B3">
        <w:t xml:space="preserve"> have not been undertaken,</w:t>
      </w:r>
    </w:p>
    <w:p w14:paraId="27644C2F" w14:textId="77777777" w:rsidR="00376CED" w:rsidRPr="003075B3" w:rsidRDefault="00376CED" w:rsidP="00376CED">
      <w:pPr>
        <w:pStyle w:val="Para1"/>
        <w:numPr>
          <w:ilvl w:val="0"/>
          <w:numId w:val="31"/>
        </w:numPr>
        <w:suppressLineNumbers/>
        <w:suppressAutoHyphens/>
        <w:snapToGrid w:val="0"/>
        <w:ind w:firstLine="709"/>
      </w:pPr>
      <w:r w:rsidRPr="003075B3">
        <w:rPr>
          <w:rStyle w:val="None"/>
          <w:i/>
          <w:iCs/>
        </w:rPr>
        <w:t>Welcomes</w:t>
      </w:r>
      <w:r w:rsidRPr="003075B3">
        <w:t xml:space="preserve"> the continued efforts by Parties, other Governments and relevant organizations in supporting the implementation of the Biosafety Clearing-House and carrying out related capacity-building activities, and </w:t>
      </w:r>
      <w:r w:rsidRPr="003075B3">
        <w:rPr>
          <w:rStyle w:val="None"/>
          <w:i/>
          <w:iCs/>
        </w:rPr>
        <w:t>invites</w:t>
      </w:r>
      <w:r w:rsidRPr="003075B3">
        <w:t xml:space="preserve"> them to continue doing so with a view to further strengthening the role of the Biosafety Clearing-House in the implementation of the Cartagena Protocol on Biosafety;</w:t>
      </w:r>
    </w:p>
    <w:p w14:paraId="4DCB6B09" w14:textId="77777777" w:rsidR="00376CED" w:rsidRPr="003075B3" w:rsidRDefault="00376CED" w:rsidP="00376CED">
      <w:pPr>
        <w:pStyle w:val="Para1"/>
        <w:numPr>
          <w:ilvl w:val="0"/>
          <w:numId w:val="13"/>
        </w:numPr>
        <w:suppressLineNumbers/>
        <w:suppressAutoHyphens/>
        <w:snapToGrid w:val="0"/>
        <w:ind w:firstLine="720"/>
        <w:rPr>
          <w:rStyle w:val="None"/>
        </w:rPr>
      </w:pPr>
      <w:r w:rsidRPr="003075B3">
        <w:rPr>
          <w:rStyle w:val="None"/>
          <w:i/>
        </w:rPr>
        <w:t>Welcomes</w:t>
      </w:r>
      <w:r w:rsidRPr="003075B3">
        <w:rPr>
          <w:rStyle w:val="None"/>
        </w:rPr>
        <w:t xml:space="preserve"> the implementation of the United Nations Environment Programme–Global Environment Facility “Project for Sustainable Capacity Building for Effective Participation in the Biosafety Clearing-House” (BCH III Project), and </w:t>
      </w:r>
      <w:r w:rsidRPr="003075B3">
        <w:rPr>
          <w:rStyle w:val="None"/>
          <w:i/>
        </w:rPr>
        <w:t>invites</w:t>
      </w:r>
      <w:r w:rsidRPr="003075B3">
        <w:rPr>
          <w:rStyle w:val="None"/>
        </w:rPr>
        <w:t xml:space="preserve"> the United Nations Environment Programme to continue facilitating regional collaboration and capacity-building on the use of the Biosafety Clearing-House;</w:t>
      </w:r>
    </w:p>
    <w:p w14:paraId="0FD60872" w14:textId="77777777" w:rsidR="00376CED" w:rsidRPr="003075B3" w:rsidRDefault="00376CED" w:rsidP="00376CED">
      <w:pPr>
        <w:pStyle w:val="Para1"/>
        <w:numPr>
          <w:ilvl w:val="0"/>
          <w:numId w:val="13"/>
        </w:numPr>
        <w:suppressLineNumbers/>
        <w:suppressAutoHyphens/>
        <w:snapToGrid w:val="0"/>
        <w:ind w:firstLine="720"/>
      </w:pPr>
      <w:r w:rsidRPr="003075B3">
        <w:rPr>
          <w:rStyle w:val="None"/>
          <w:i/>
          <w:iCs/>
        </w:rPr>
        <w:t>Decides</w:t>
      </w:r>
      <w:r w:rsidRPr="003075B3">
        <w:t xml:space="preserve"> that the Informal Advisory Committee on the Biosafety Clearing-House will hold at least one meeting, and informal online discussions as needed, and report on the outcomes of its work to the Conference of the Parties serving as the meeting of the Parties to the Cartagena Protocol at its tenth meeting;</w:t>
      </w:r>
    </w:p>
    <w:p w14:paraId="210EBE87" w14:textId="77777777" w:rsidR="00376CED" w:rsidRPr="003075B3" w:rsidRDefault="00376CED" w:rsidP="00376CED">
      <w:pPr>
        <w:pStyle w:val="Para1"/>
        <w:numPr>
          <w:ilvl w:val="0"/>
          <w:numId w:val="13"/>
        </w:numPr>
        <w:suppressLineNumbers/>
        <w:suppressAutoHyphens/>
        <w:snapToGrid w:val="0"/>
        <w:ind w:firstLine="720"/>
      </w:pPr>
      <w:r w:rsidRPr="003075B3">
        <w:rPr>
          <w:rStyle w:val="None"/>
          <w:i/>
          <w:iCs/>
        </w:rPr>
        <w:t>Endorses</w:t>
      </w:r>
      <w:r w:rsidRPr="003075B3">
        <w:t xml:space="preserve"> the joint modalities of operation for the clearing-house mechanism of the Convention, the Biosafety Clearing-House and the Access and Benefit-sharing Clearing-House, contained in the annex to decision 14/25 of the Conference of the Parties, which are complementary </w:t>
      </w:r>
      <w:r w:rsidRPr="003075B3">
        <w:rPr>
          <w:rStyle w:val="Hyperlink1"/>
          <w:rFonts w:eastAsiaTheme="majorEastAsia"/>
        </w:rPr>
        <w:t xml:space="preserve">to the modalities of operation of the Biosafety Clearing-House adopted in decision </w:t>
      </w:r>
      <w:hyperlink r:id="rId13" w:history="1">
        <w:r w:rsidRPr="003075B3">
          <w:rPr>
            <w:rStyle w:val="Hyperlink0"/>
            <w:rFonts w:eastAsiaTheme="majorEastAsia"/>
          </w:rPr>
          <w:t>BS-I/3</w:t>
        </w:r>
      </w:hyperlink>
      <w:r w:rsidRPr="003075B3">
        <w:t>;</w:t>
      </w:r>
    </w:p>
    <w:p w14:paraId="4DB014F6" w14:textId="77777777" w:rsidR="00376CED" w:rsidRPr="003075B3" w:rsidRDefault="00376CED" w:rsidP="00376CED">
      <w:pPr>
        <w:pStyle w:val="Para1"/>
        <w:numPr>
          <w:ilvl w:val="0"/>
          <w:numId w:val="13"/>
        </w:numPr>
        <w:suppressLineNumbers/>
        <w:suppressAutoHyphens/>
        <w:snapToGrid w:val="0"/>
        <w:ind w:firstLine="720"/>
      </w:pPr>
      <w:r w:rsidRPr="003075B3">
        <w:rPr>
          <w:rStyle w:val="None"/>
          <w:i/>
          <w:iCs/>
        </w:rPr>
        <w:t xml:space="preserve">Recalls </w:t>
      </w:r>
      <w:r w:rsidRPr="003075B3">
        <w:t xml:space="preserve">decision CP-VIII/2, and </w:t>
      </w:r>
      <w:r w:rsidRPr="003075B3">
        <w:rPr>
          <w:rStyle w:val="None"/>
          <w:i/>
          <w:iCs/>
        </w:rPr>
        <w:t xml:space="preserve">requests </w:t>
      </w:r>
      <w:r w:rsidRPr="003075B3">
        <w:t>the Executive Secretary, as a matter of priority, to act upon the requests in decision CP-VIII/2 and, in particular:</w:t>
      </w:r>
    </w:p>
    <w:p w14:paraId="77210BFD" w14:textId="77777777" w:rsidR="00376CED" w:rsidRPr="003075B3" w:rsidRDefault="00376CED">
      <w:pPr>
        <w:pStyle w:val="ListParagraph"/>
        <w:suppressLineNumbers/>
        <w:suppressAutoHyphens/>
        <w:spacing w:before="120" w:after="120"/>
        <w:ind w:left="0" w:firstLine="720"/>
        <w:rPr>
          <w:kern w:val="22"/>
          <w:szCs w:val="22"/>
        </w:rPr>
      </w:pPr>
      <w:r w:rsidRPr="003075B3">
        <w:rPr>
          <w:kern w:val="22"/>
          <w:szCs w:val="22"/>
        </w:rPr>
        <w:t>(a)</w:t>
      </w:r>
      <w:r w:rsidRPr="003075B3">
        <w:rPr>
          <w:kern w:val="22"/>
          <w:szCs w:val="22"/>
        </w:rPr>
        <w:tab/>
        <w:t>To allocate adequate and specific resources, both human and financial, for the management, improvement and maintenance of the Biosafety Clearing-House;</w:t>
      </w:r>
    </w:p>
    <w:p w14:paraId="49D5D4F5" w14:textId="77777777" w:rsidR="00376CED" w:rsidRPr="003075B3" w:rsidRDefault="00376CED">
      <w:pPr>
        <w:pStyle w:val="ListParagraph"/>
        <w:suppressLineNumbers/>
        <w:suppressAutoHyphens/>
        <w:spacing w:before="120" w:after="120"/>
        <w:ind w:left="0" w:firstLine="720"/>
        <w:rPr>
          <w:kern w:val="22"/>
          <w:szCs w:val="22"/>
        </w:rPr>
      </w:pPr>
      <w:r w:rsidRPr="003075B3">
        <w:rPr>
          <w:kern w:val="22"/>
          <w:szCs w:val="22"/>
        </w:rPr>
        <w:t>(b)</w:t>
      </w:r>
      <w:r w:rsidRPr="003075B3">
        <w:rPr>
          <w:kern w:val="22"/>
          <w:szCs w:val="22"/>
        </w:rPr>
        <w:tab/>
        <w:t>To complete the migration of the Biosafety Clearing-House to its new platform and to continue collaborating with other biosafety databases and platforms;</w:t>
      </w:r>
    </w:p>
    <w:p w14:paraId="2B579226" w14:textId="77777777" w:rsidR="00376CED" w:rsidRPr="003075B3" w:rsidRDefault="00376CED">
      <w:pPr>
        <w:pStyle w:val="Body"/>
        <w:suppressLineNumbers/>
        <w:suppressAutoHyphens/>
        <w:spacing w:before="120" w:after="120"/>
        <w:ind w:firstLine="720"/>
        <w:rPr>
          <w:kern w:val="22"/>
          <w:lang w:val="en-GB"/>
        </w:rPr>
      </w:pPr>
      <w:r w:rsidRPr="003075B3">
        <w:rPr>
          <w:kern w:val="22"/>
          <w:lang w:val="en-GB"/>
        </w:rPr>
        <w:t>(c)</w:t>
      </w:r>
      <w:r w:rsidRPr="003075B3">
        <w:rPr>
          <w:kern w:val="22"/>
          <w:lang w:val="en-GB"/>
        </w:rPr>
        <w:tab/>
        <w:t>To continue making improvements to the central portal of the Biosafety Clearing-House and following up on the recommendations of the Informal Advisory Committee on the Biosafety Clearing-House at its tenth meeting;</w:t>
      </w:r>
    </w:p>
    <w:p w14:paraId="598E78CC" w14:textId="77777777" w:rsidR="00376CED" w:rsidRPr="003075B3" w:rsidRDefault="00376CED">
      <w:pPr>
        <w:pStyle w:val="Body"/>
        <w:suppressLineNumbers/>
        <w:suppressAutoHyphens/>
        <w:spacing w:before="120" w:after="120"/>
        <w:ind w:firstLine="720"/>
        <w:rPr>
          <w:kern w:val="22"/>
          <w:lang w:val="en-GB"/>
        </w:rPr>
      </w:pPr>
      <w:r w:rsidRPr="003075B3">
        <w:rPr>
          <w:kern w:val="22"/>
          <w:lang w:val="en-GB"/>
        </w:rPr>
        <w:t>(d)</w:t>
      </w:r>
      <w:r w:rsidRPr="003075B3">
        <w:rPr>
          <w:kern w:val="22"/>
          <w:lang w:val="en-GB"/>
        </w:rPr>
        <w:tab/>
        <w:t>To facilitate the development, in collaboration with the United Nations Environment Programme through the BCH III Project, of training materials, including online training, based on the new platform and user interface;</w:t>
      </w:r>
    </w:p>
    <w:p w14:paraId="49BCFE67" w14:textId="77777777" w:rsidR="00376CED" w:rsidRPr="003075B3" w:rsidRDefault="00376CED" w:rsidP="00376CED">
      <w:pPr>
        <w:pStyle w:val="Para1"/>
        <w:numPr>
          <w:ilvl w:val="0"/>
          <w:numId w:val="13"/>
        </w:numPr>
        <w:suppressLineNumbers/>
        <w:tabs>
          <w:tab w:val="clear" w:pos="360"/>
        </w:tabs>
        <w:suppressAutoHyphens/>
        <w:snapToGrid w:val="0"/>
        <w:ind w:firstLine="720"/>
        <w:rPr>
          <w:rStyle w:val="None"/>
          <w:i/>
          <w:iCs/>
        </w:rPr>
      </w:pPr>
      <w:r w:rsidRPr="003075B3">
        <w:rPr>
          <w:rStyle w:val="None"/>
          <w:i/>
          <w:iCs/>
        </w:rPr>
        <w:t xml:space="preserve">Invites </w:t>
      </w:r>
      <w:r w:rsidRPr="003075B3">
        <w:rPr>
          <w:rStyle w:val="None"/>
          <w:iCs/>
        </w:rPr>
        <w:t xml:space="preserve">Parties, other Governments and relevant organizations to submit to the Executive Secretary views on the changes made as a result of the migration and improvements referred to in paragraph 5 above, particularly with regard to the procedure for registering information, the tools for the analysis of search results, and the graphical representations of data, and </w:t>
      </w:r>
      <w:r w:rsidRPr="003075B3">
        <w:rPr>
          <w:rStyle w:val="None"/>
          <w:i/>
          <w:iCs/>
        </w:rPr>
        <w:t>requests</w:t>
      </w:r>
      <w:r w:rsidRPr="003075B3">
        <w:rPr>
          <w:rStyle w:val="None"/>
          <w:iCs/>
        </w:rPr>
        <w:t xml:space="preserve"> the Executive Secretary to take these views into account for the further improvement of the Biosafety Clearing-House and to submit a report for consideration by the Conference of the Parties serving as the meeting of the Parties to the Protocol at its tenth meeting;</w:t>
      </w:r>
    </w:p>
    <w:p w14:paraId="72789C84" w14:textId="77777777" w:rsidR="00376CED" w:rsidRPr="003075B3" w:rsidRDefault="00376CED" w:rsidP="00376CED">
      <w:pPr>
        <w:pStyle w:val="Para1"/>
        <w:numPr>
          <w:ilvl w:val="0"/>
          <w:numId w:val="13"/>
        </w:numPr>
        <w:tabs>
          <w:tab w:val="clear" w:pos="360"/>
        </w:tabs>
        <w:ind w:firstLine="720"/>
      </w:pPr>
      <w:r w:rsidRPr="003075B3">
        <w:rPr>
          <w:i/>
        </w:rPr>
        <w:t xml:space="preserve">Requests </w:t>
      </w:r>
      <w:r w:rsidRPr="003075B3">
        <w:t xml:space="preserve">the Executive Secretary to explore how the </w:t>
      </w:r>
      <w:proofErr w:type="spellStart"/>
      <w:r w:rsidRPr="003075B3">
        <w:t>Bioland</w:t>
      </w:r>
      <w:proofErr w:type="spellEnd"/>
      <w:r w:rsidRPr="003075B3">
        <w:t xml:space="preserve"> Tool for National Clearing-House Mechanisms could be used to facilitate the exchange of information related to biosafety.</w:t>
      </w:r>
    </w:p>
    <w:p w14:paraId="232DF86B" w14:textId="77777777" w:rsidR="00376CED" w:rsidRPr="003075B3" w:rsidRDefault="00376CED" w:rsidP="00725967">
      <w:pPr>
        <w:rPr>
          <w:kern w:val="22"/>
        </w:rPr>
      </w:pPr>
    </w:p>
    <w:p w14:paraId="773FB28E" w14:textId="77777777" w:rsidR="00376CED" w:rsidRPr="003075B3" w:rsidRDefault="00376CED">
      <w:pPr>
        <w:rPr>
          <w:b/>
          <w:caps/>
        </w:rPr>
      </w:pPr>
      <w:r w:rsidRPr="003075B3">
        <w:br w:type="page"/>
      </w:r>
    </w:p>
    <w:p w14:paraId="32CF3E4B" w14:textId="2183BB07" w:rsidR="00376CED" w:rsidRPr="003075B3" w:rsidRDefault="00376CED" w:rsidP="00376CED">
      <w:pPr>
        <w:pStyle w:val="heading2-item"/>
      </w:pPr>
      <w:bookmarkStart w:id="10" w:name="_Toc879814"/>
      <w:bookmarkStart w:id="11" w:name="_Toc5612094"/>
      <w:r w:rsidRPr="003075B3">
        <w:lastRenderedPageBreak/>
        <w:t>9/3.</w:t>
      </w:r>
      <w:r w:rsidRPr="003075B3">
        <w:tab/>
        <w:t>Capacity-building (Article 22)</w:t>
      </w:r>
      <w:bookmarkEnd w:id="10"/>
      <w:bookmarkEnd w:id="11"/>
    </w:p>
    <w:p w14:paraId="376828D2" w14:textId="2EA609B5" w:rsidR="00376CED" w:rsidRPr="003075B3" w:rsidRDefault="00376CED" w:rsidP="00725967">
      <w:pPr>
        <w:pStyle w:val="Para1"/>
        <w:numPr>
          <w:ilvl w:val="0"/>
          <w:numId w:val="0"/>
        </w:numPr>
        <w:suppressLineNumbers/>
        <w:suppressAutoHyphens/>
        <w:kinsoku w:val="0"/>
        <w:overflowPunct w:val="0"/>
        <w:autoSpaceDE w:val="0"/>
        <w:autoSpaceDN w:val="0"/>
        <w:adjustRightInd w:val="0"/>
        <w:snapToGrid w:val="0"/>
        <w:ind w:firstLine="720"/>
        <w:rPr>
          <w:i/>
          <w:snapToGrid/>
        </w:rPr>
      </w:pPr>
      <w:r w:rsidRPr="003075B3">
        <w:rPr>
          <w:i/>
          <w:snapToGrid/>
        </w:rPr>
        <w:t>The Conference of the Parties serving as the meeting of the Parties to the Cartagena Protocol on Biosafety,</w:t>
      </w:r>
    </w:p>
    <w:p w14:paraId="31F2D555" w14:textId="77777777" w:rsidR="00376CED" w:rsidRPr="003075B3" w:rsidRDefault="00376CED" w:rsidP="00725967">
      <w:pPr>
        <w:pStyle w:val="Para1"/>
        <w:numPr>
          <w:ilvl w:val="0"/>
          <w:numId w:val="0"/>
        </w:numPr>
        <w:suppressLineNumbers/>
        <w:suppressAutoHyphens/>
        <w:kinsoku w:val="0"/>
        <w:overflowPunct w:val="0"/>
        <w:autoSpaceDE w:val="0"/>
        <w:autoSpaceDN w:val="0"/>
        <w:adjustRightInd w:val="0"/>
        <w:snapToGrid w:val="0"/>
        <w:ind w:firstLine="720"/>
        <w:rPr>
          <w:snapToGrid/>
        </w:rPr>
      </w:pPr>
      <w:r w:rsidRPr="003075B3">
        <w:rPr>
          <w:i/>
          <w:iCs/>
          <w:snapToGrid/>
        </w:rPr>
        <w:t xml:space="preserve">Recalling </w:t>
      </w:r>
      <w:r w:rsidRPr="003075B3">
        <w:rPr>
          <w:snapToGrid/>
        </w:rPr>
        <w:t xml:space="preserve">decisions </w:t>
      </w:r>
      <w:hyperlink r:id="rId14" w:history="1">
        <w:r w:rsidRPr="003075B3">
          <w:rPr>
            <w:rStyle w:val="Hyperlink"/>
            <w:snapToGrid/>
          </w:rPr>
          <w:t>BS-VI/3</w:t>
        </w:r>
      </w:hyperlink>
      <w:r w:rsidRPr="003075B3">
        <w:rPr>
          <w:snapToGrid/>
        </w:rPr>
        <w:t xml:space="preserve"> and </w:t>
      </w:r>
      <w:hyperlink r:id="rId15" w:history="1">
        <w:r w:rsidRPr="003075B3">
          <w:rPr>
            <w:rStyle w:val="Hyperlink"/>
            <w:snapToGrid/>
          </w:rPr>
          <w:t>CP-VIII/3</w:t>
        </w:r>
      </w:hyperlink>
      <w:r w:rsidRPr="003075B3">
        <w:rPr>
          <w:snapToGrid/>
        </w:rPr>
        <w:t>,</w:t>
      </w:r>
    </w:p>
    <w:p w14:paraId="4BEEFDF0" w14:textId="77777777" w:rsidR="00376CED" w:rsidRPr="003075B3" w:rsidRDefault="00376CED" w:rsidP="00376CED">
      <w:pPr>
        <w:pStyle w:val="Para1"/>
        <w:numPr>
          <w:ilvl w:val="0"/>
          <w:numId w:val="32"/>
        </w:numPr>
        <w:suppressLineNumbers/>
        <w:tabs>
          <w:tab w:val="clear" w:pos="360"/>
          <w:tab w:val="num" w:pos="1276"/>
        </w:tabs>
        <w:suppressAutoHyphens/>
        <w:kinsoku w:val="0"/>
        <w:overflowPunct w:val="0"/>
        <w:autoSpaceDE w:val="0"/>
        <w:autoSpaceDN w:val="0"/>
        <w:adjustRightInd w:val="0"/>
        <w:snapToGrid w:val="0"/>
        <w:ind w:firstLine="709"/>
        <w:rPr>
          <w:snapToGrid/>
        </w:rPr>
      </w:pPr>
      <w:r w:rsidRPr="003075B3">
        <w:rPr>
          <w:i/>
          <w:snapToGrid/>
        </w:rPr>
        <w:t>Takes note</w:t>
      </w:r>
      <w:r w:rsidRPr="003075B3">
        <w:rPr>
          <w:snapToGrid/>
        </w:rPr>
        <w:t xml:space="preserve"> of the progress report on the implementation of the short-term action plan (2017-2020) to enhance and support capacity-building for the implementation of the Convention and its Protocols;</w:t>
      </w:r>
      <w:r w:rsidRPr="003075B3">
        <w:rPr>
          <w:rStyle w:val="StyleFootnoteReferencenumberFootnoteReferenceSuperscript-EF"/>
          <w:snapToGrid/>
        </w:rPr>
        <w:footnoteReference w:id="3"/>
      </w:r>
    </w:p>
    <w:p w14:paraId="2A90B4C8" w14:textId="77777777" w:rsidR="00376CED" w:rsidRPr="003075B3" w:rsidRDefault="00376CED" w:rsidP="00376CED">
      <w:pPr>
        <w:pStyle w:val="Para1"/>
        <w:numPr>
          <w:ilvl w:val="0"/>
          <w:numId w:val="13"/>
        </w:numPr>
        <w:suppressLineNumbers/>
        <w:tabs>
          <w:tab w:val="clear" w:pos="360"/>
          <w:tab w:val="num" w:pos="1211"/>
        </w:tabs>
        <w:suppressAutoHyphens/>
        <w:kinsoku w:val="0"/>
        <w:overflowPunct w:val="0"/>
        <w:autoSpaceDE w:val="0"/>
        <w:autoSpaceDN w:val="0"/>
        <w:adjustRightInd w:val="0"/>
        <w:snapToGrid w:val="0"/>
        <w:ind w:firstLine="720"/>
        <w:rPr>
          <w:snapToGrid/>
        </w:rPr>
      </w:pPr>
      <w:r w:rsidRPr="003075B3">
        <w:rPr>
          <w:i/>
          <w:snapToGrid/>
        </w:rPr>
        <w:t>Also takes note</w:t>
      </w:r>
      <w:r w:rsidRPr="003075B3">
        <w:rPr>
          <w:snapToGrid/>
        </w:rPr>
        <w:t xml:space="preserve"> of the status of implementation of the </w:t>
      </w:r>
      <w:r w:rsidRPr="003075B3">
        <w:rPr>
          <w:lang w:eastAsia="x-none"/>
        </w:rPr>
        <w:t>Framework and Action Plan for Capacity-Building for the Effective Implementation of the Cartagena Protocol on Biosafety (2012-2020);</w:t>
      </w:r>
      <w:r w:rsidRPr="0008472F">
        <w:rPr>
          <w:rStyle w:val="FootnoteReference"/>
          <w:sz w:val="22"/>
          <w:u w:val="none"/>
          <w:vertAlign w:val="superscript"/>
          <w:lang w:eastAsia="x-none"/>
        </w:rPr>
        <w:footnoteReference w:id="4"/>
      </w:r>
    </w:p>
    <w:p w14:paraId="0C743945" w14:textId="77777777" w:rsidR="00376CED" w:rsidRPr="003075B3" w:rsidRDefault="00376CED" w:rsidP="00376CED">
      <w:pPr>
        <w:pStyle w:val="Para1"/>
        <w:numPr>
          <w:ilvl w:val="0"/>
          <w:numId w:val="13"/>
        </w:numPr>
        <w:suppressLineNumbers/>
        <w:tabs>
          <w:tab w:val="clear" w:pos="360"/>
          <w:tab w:val="num" w:pos="1211"/>
        </w:tabs>
        <w:suppressAutoHyphens/>
        <w:kinsoku w:val="0"/>
        <w:overflowPunct w:val="0"/>
        <w:autoSpaceDE w:val="0"/>
        <w:autoSpaceDN w:val="0"/>
        <w:adjustRightInd w:val="0"/>
        <w:snapToGrid w:val="0"/>
        <w:ind w:firstLine="720"/>
        <w:rPr>
          <w:snapToGrid/>
        </w:rPr>
      </w:pPr>
      <w:r w:rsidRPr="003075B3">
        <w:rPr>
          <w:i/>
        </w:rPr>
        <w:t>Urges</w:t>
      </w:r>
      <w:r w:rsidRPr="003075B3">
        <w:t xml:space="preserve"> Parties, for the remaining period of the Framework and Action Plan, to prioritize and focus on, as appropriate, operational objectives relating to the development of national biosafety legislation, risk assessment, detection and identification of living modified organisms, and public awareness, education and participation, and </w:t>
      </w:r>
      <w:r w:rsidRPr="003075B3">
        <w:rPr>
          <w:i/>
        </w:rPr>
        <w:t>takes note</w:t>
      </w:r>
      <w:r w:rsidRPr="003075B3">
        <w:t xml:space="preserve"> of the importance of biosafety mainstreaming and sharing of information and experience for further strengthening national biosafety frameworks in the remaining period of the Framework and Action Plan and beyond;</w:t>
      </w:r>
    </w:p>
    <w:p w14:paraId="61C5D306" w14:textId="77777777" w:rsidR="00376CED" w:rsidRPr="003075B3" w:rsidRDefault="00376CED" w:rsidP="00376CED">
      <w:pPr>
        <w:pStyle w:val="Para1"/>
        <w:numPr>
          <w:ilvl w:val="0"/>
          <w:numId w:val="13"/>
        </w:numPr>
        <w:suppressLineNumbers/>
        <w:tabs>
          <w:tab w:val="clear" w:pos="360"/>
          <w:tab w:val="num" w:pos="1211"/>
        </w:tabs>
        <w:suppressAutoHyphens/>
        <w:kinsoku w:val="0"/>
        <w:overflowPunct w:val="0"/>
        <w:autoSpaceDE w:val="0"/>
        <w:autoSpaceDN w:val="0"/>
        <w:adjustRightInd w:val="0"/>
        <w:snapToGrid w:val="0"/>
        <w:ind w:firstLine="720"/>
      </w:pPr>
      <w:r w:rsidRPr="003075B3">
        <w:rPr>
          <w:i/>
        </w:rPr>
        <w:t>Also urges</w:t>
      </w:r>
      <w:r w:rsidRPr="003075B3">
        <w:t xml:space="preserve"> Parties to prioritize, as appropriate, capacity-building activities on liability and redress as set out under focal area 4 of the Framework and Action Plan, in the remaining period of the Framework and Action Plan, in view of the recent entry into force of the Nagoya – Kuala Lumpur Supplementary Protocol on Liability and Redress;</w:t>
      </w:r>
    </w:p>
    <w:p w14:paraId="7D3D678A" w14:textId="77777777" w:rsidR="00376CED" w:rsidRPr="003075B3" w:rsidRDefault="00376CED" w:rsidP="00376CED">
      <w:pPr>
        <w:pStyle w:val="Para1"/>
        <w:numPr>
          <w:ilvl w:val="0"/>
          <w:numId w:val="13"/>
        </w:numPr>
        <w:suppressLineNumbers/>
        <w:tabs>
          <w:tab w:val="clear" w:pos="360"/>
          <w:tab w:val="num" w:pos="1211"/>
        </w:tabs>
        <w:suppressAutoHyphens/>
        <w:kinsoku w:val="0"/>
        <w:overflowPunct w:val="0"/>
        <w:autoSpaceDE w:val="0"/>
        <w:autoSpaceDN w:val="0"/>
        <w:adjustRightInd w:val="0"/>
        <w:snapToGrid w:val="0"/>
        <w:ind w:firstLine="720"/>
      </w:pPr>
      <w:r w:rsidRPr="003075B3">
        <w:rPr>
          <w:i/>
        </w:rPr>
        <w:t>Invites</w:t>
      </w:r>
      <w:r w:rsidRPr="003075B3">
        <w:t xml:space="preserve"> Parties, other Governments and relevant organizations in a position to do so to provide additional financial and technical support to enable developing country Parties, </w:t>
      </w:r>
      <w:proofErr w:type="gramStart"/>
      <w:r w:rsidRPr="003075B3">
        <w:t>in particular the</w:t>
      </w:r>
      <w:proofErr w:type="gramEnd"/>
      <w:r w:rsidRPr="003075B3">
        <w:t xml:space="preserve"> least developed countries and small island developing States among them, and Parties with economies in transition, to further implement the Framework and Action Plan;</w:t>
      </w:r>
    </w:p>
    <w:p w14:paraId="37BA1B95" w14:textId="77777777" w:rsidR="00376CED" w:rsidRPr="003075B3" w:rsidRDefault="00376CED" w:rsidP="00376CED">
      <w:pPr>
        <w:pStyle w:val="Para1"/>
        <w:numPr>
          <w:ilvl w:val="0"/>
          <w:numId w:val="13"/>
        </w:numPr>
        <w:suppressLineNumbers/>
        <w:tabs>
          <w:tab w:val="clear" w:pos="360"/>
          <w:tab w:val="num" w:pos="1211"/>
        </w:tabs>
        <w:suppressAutoHyphens/>
        <w:kinsoku w:val="0"/>
        <w:overflowPunct w:val="0"/>
        <w:autoSpaceDE w:val="0"/>
        <w:autoSpaceDN w:val="0"/>
        <w:adjustRightInd w:val="0"/>
        <w:snapToGrid w:val="0"/>
        <w:ind w:firstLine="720"/>
        <w:rPr>
          <w:snapToGrid/>
        </w:rPr>
      </w:pPr>
      <w:r w:rsidRPr="003075B3">
        <w:rPr>
          <w:i/>
          <w:snapToGrid/>
        </w:rPr>
        <w:t>Takes note</w:t>
      </w:r>
      <w:r w:rsidRPr="003075B3">
        <w:rPr>
          <w:snapToGrid/>
        </w:rPr>
        <w:t xml:space="preserve"> of</w:t>
      </w:r>
      <w:r w:rsidRPr="003075B3">
        <w:rPr>
          <w:i/>
          <w:snapToGrid/>
        </w:rPr>
        <w:t xml:space="preserve"> </w:t>
      </w:r>
      <w:r w:rsidRPr="003075B3">
        <w:rPr>
          <w:snapToGrid/>
        </w:rPr>
        <w:t>the outcomes of the twelfth meeting of the Liaison Group on Capacity-Building on Biosafety,</w:t>
      </w:r>
      <w:r w:rsidRPr="003075B3">
        <w:rPr>
          <w:i/>
          <w:snapToGrid/>
        </w:rPr>
        <w:t xml:space="preserve"> acknowledges</w:t>
      </w:r>
      <w:r w:rsidRPr="003075B3">
        <w:rPr>
          <w:snapToGrid/>
        </w:rPr>
        <w:t xml:space="preserve"> the need for </w:t>
      </w:r>
      <w:r w:rsidRPr="003075B3">
        <w:t xml:space="preserve">a specific action plan for capacity-building for implementation of the Cartagena Protocol and its Supplementary Protocol that is aligned with the specific follow-up to the Strategic Plan for the Cartagena Protocol on Biosafety and complementary to the </w:t>
      </w:r>
      <w:r w:rsidRPr="003075B3">
        <w:rPr>
          <w:snapToGrid/>
        </w:rPr>
        <w:t>long-term strategic framework for capacity-building beyond 2020</w:t>
      </w:r>
      <w:r w:rsidRPr="003075B3">
        <w:t xml:space="preserve"> and </w:t>
      </w:r>
      <w:r w:rsidRPr="003075B3">
        <w:rPr>
          <w:i/>
        </w:rPr>
        <w:t>welcomes</w:t>
      </w:r>
      <w:r w:rsidRPr="003075B3">
        <w:t xml:space="preserve"> the indicative schedule of activities for the development of the specific action plan contained in the annex to the present decision;</w:t>
      </w:r>
    </w:p>
    <w:p w14:paraId="79C1061B" w14:textId="77777777" w:rsidR="00376CED" w:rsidRPr="003075B3" w:rsidRDefault="00376CED" w:rsidP="00376CED">
      <w:pPr>
        <w:pStyle w:val="Para1"/>
        <w:numPr>
          <w:ilvl w:val="0"/>
          <w:numId w:val="13"/>
        </w:numPr>
        <w:suppressLineNumbers/>
        <w:tabs>
          <w:tab w:val="clear" w:pos="360"/>
          <w:tab w:val="num" w:pos="1211"/>
        </w:tabs>
        <w:suppressAutoHyphens/>
        <w:kinsoku w:val="0"/>
        <w:overflowPunct w:val="0"/>
        <w:autoSpaceDE w:val="0"/>
        <w:autoSpaceDN w:val="0"/>
        <w:adjustRightInd w:val="0"/>
        <w:snapToGrid w:val="0"/>
        <w:ind w:firstLine="720"/>
        <w:rPr>
          <w:snapToGrid/>
        </w:rPr>
      </w:pPr>
      <w:r w:rsidRPr="003075B3">
        <w:rPr>
          <w:i/>
        </w:rPr>
        <w:t xml:space="preserve">Takes </w:t>
      </w:r>
      <w:r w:rsidRPr="003075B3">
        <w:rPr>
          <w:i/>
          <w:iCs/>
        </w:rPr>
        <w:t>note</w:t>
      </w:r>
      <w:r w:rsidRPr="003075B3">
        <w:t xml:space="preserve"> of decision 14/24, in which the Conference of the Parties requested the Executive Secretary to commission a study, subject to the availability of resources, to provide an information base for the preparation of a long-term strategic framework for capacity-building beyond 2020, </w:t>
      </w:r>
      <w:r w:rsidRPr="003075B3">
        <w:rPr>
          <w:i/>
        </w:rPr>
        <w:t>w</w:t>
      </w:r>
      <w:r w:rsidRPr="003075B3">
        <w:rPr>
          <w:i/>
          <w:iCs/>
        </w:rPr>
        <w:t>elcomes</w:t>
      </w:r>
      <w:r w:rsidRPr="003075B3">
        <w:t xml:space="preserve"> the terms of reference for the study annexed to that decision, and </w:t>
      </w:r>
      <w:r w:rsidRPr="003075B3">
        <w:rPr>
          <w:i/>
          <w:iCs/>
        </w:rPr>
        <w:t>requests</w:t>
      </w:r>
      <w:r w:rsidRPr="003075B3">
        <w:t xml:space="preserve"> that aspects relevant to the Cartagena Protocol be considered in the study;</w:t>
      </w:r>
    </w:p>
    <w:p w14:paraId="7D1437FC" w14:textId="77777777" w:rsidR="00376CED" w:rsidRPr="003075B3" w:rsidRDefault="00376CED" w:rsidP="00376CED">
      <w:pPr>
        <w:pStyle w:val="Para1"/>
        <w:numPr>
          <w:ilvl w:val="0"/>
          <w:numId w:val="13"/>
        </w:numPr>
        <w:suppressLineNumbers/>
        <w:tabs>
          <w:tab w:val="clear" w:pos="360"/>
          <w:tab w:val="num" w:pos="1418"/>
        </w:tabs>
        <w:suppressAutoHyphens/>
        <w:kinsoku w:val="0"/>
        <w:overflowPunct w:val="0"/>
        <w:autoSpaceDE w:val="0"/>
        <w:autoSpaceDN w:val="0"/>
        <w:adjustRightInd w:val="0"/>
        <w:snapToGrid w:val="0"/>
        <w:ind w:firstLine="720"/>
        <w:rPr>
          <w:snapToGrid/>
        </w:rPr>
      </w:pPr>
      <w:r w:rsidRPr="003075B3">
        <w:rPr>
          <w:i/>
          <w:snapToGrid/>
        </w:rPr>
        <w:t>Invites</w:t>
      </w:r>
      <w:r w:rsidRPr="003075B3">
        <w:rPr>
          <w:snapToGrid/>
        </w:rPr>
        <w:t xml:space="preserve"> Parties, indigenous peoples and local communities and relevant organizations to provide the Executive Secretary with views and suggestions on the possible elements of the long-term strategic framework for capacity-building beyond 2020 as well as possible elements of a specific action plan for capacity-building on biosafety, covering the Cartagena Protocol and its Supplementary Protocol;</w:t>
      </w:r>
    </w:p>
    <w:p w14:paraId="0BB4BA42" w14:textId="77777777" w:rsidR="00376CED" w:rsidRPr="003075B3" w:rsidRDefault="00376CED" w:rsidP="00376CED">
      <w:pPr>
        <w:pStyle w:val="Para1"/>
        <w:numPr>
          <w:ilvl w:val="0"/>
          <w:numId w:val="13"/>
        </w:numPr>
        <w:suppressLineNumbers/>
        <w:tabs>
          <w:tab w:val="clear" w:pos="360"/>
          <w:tab w:val="num" w:pos="1418"/>
        </w:tabs>
        <w:suppressAutoHyphens/>
        <w:kinsoku w:val="0"/>
        <w:overflowPunct w:val="0"/>
        <w:autoSpaceDE w:val="0"/>
        <w:autoSpaceDN w:val="0"/>
        <w:adjustRightInd w:val="0"/>
        <w:snapToGrid w:val="0"/>
        <w:ind w:firstLine="720"/>
        <w:rPr>
          <w:snapToGrid/>
        </w:rPr>
      </w:pPr>
      <w:r w:rsidRPr="003075B3">
        <w:rPr>
          <w:i/>
          <w:snapToGrid/>
        </w:rPr>
        <w:t xml:space="preserve">Also invites </w:t>
      </w:r>
      <w:r w:rsidRPr="003075B3">
        <w:rPr>
          <w:snapToGrid/>
        </w:rPr>
        <w:t>Parties, as well as indigenous peoples and local communities and relevant organizations to participate in the consultative workshops and online discussion forums on the draft long-term strategic framework for capacity-building beyond 2020, in conjunction with the preparatory process for the post-2020 global biodiversity framework;</w:t>
      </w:r>
    </w:p>
    <w:p w14:paraId="2F5A2542" w14:textId="77777777" w:rsidR="00376CED" w:rsidRPr="003075B3" w:rsidRDefault="00376CED" w:rsidP="00376CED">
      <w:pPr>
        <w:pStyle w:val="Para1"/>
        <w:numPr>
          <w:ilvl w:val="0"/>
          <w:numId w:val="13"/>
        </w:numPr>
        <w:suppressLineNumbers/>
        <w:tabs>
          <w:tab w:val="clear" w:pos="360"/>
          <w:tab w:val="num" w:pos="1418"/>
        </w:tabs>
        <w:suppressAutoHyphens/>
        <w:kinsoku w:val="0"/>
        <w:overflowPunct w:val="0"/>
        <w:autoSpaceDE w:val="0"/>
        <w:autoSpaceDN w:val="0"/>
        <w:adjustRightInd w:val="0"/>
        <w:snapToGrid w:val="0"/>
        <w:ind w:firstLine="720"/>
        <w:rPr>
          <w:snapToGrid/>
        </w:rPr>
      </w:pPr>
      <w:r w:rsidRPr="003075B3">
        <w:rPr>
          <w:i/>
          <w:color w:val="000000" w:themeColor="text1"/>
        </w:rPr>
        <w:lastRenderedPageBreak/>
        <w:t>Requests</w:t>
      </w:r>
      <w:r w:rsidRPr="003075B3">
        <w:rPr>
          <w:color w:val="000000" w:themeColor="text1"/>
        </w:rPr>
        <w:t xml:space="preserve"> the Liaison Group on the Cartagena Protocol on Biosafety</w:t>
      </w:r>
      <w:r w:rsidRPr="0008472F">
        <w:rPr>
          <w:rStyle w:val="FootnoteReference"/>
          <w:color w:val="000000" w:themeColor="text1"/>
          <w:sz w:val="22"/>
          <w:u w:val="none"/>
          <w:vertAlign w:val="superscript"/>
        </w:rPr>
        <w:footnoteReference w:id="5"/>
      </w:r>
      <w:r w:rsidRPr="003075B3">
        <w:rPr>
          <w:color w:val="000000" w:themeColor="text1"/>
        </w:rPr>
        <w:t xml:space="preserve"> at its thirteenth meeting to contribute to the development of </w:t>
      </w:r>
      <w:r w:rsidRPr="003075B3">
        <w:t xml:space="preserve">(a) the draft action plan for capacity-building for implementation of the Cartagena Protocol and its Supplementary Protocol and (b) the </w:t>
      </w:r>
      <w:r w:rsidRPr="003075B3">
        <w:rPr>
          <w:color w:val="000000" w:themeColor="text1"/>
        </w:rPr>
        <w:t xml:space="preserve">draft long-term strategic framework for capacity-building beyond 2020, as appropriate, and, at its fourteenth meeting, to </w:t>
      </w:r>
      <w:r w:rsidRPr="003075B3">
        <w:t>review the final draft of the action plan for capacity-building on biosafety, taking into account information provided in the fourth national reports under the Cartagena Protocol</w:t>
      </w:r>
      <w:r w:rsidRPr="003075B3">
        <w:rPr>
          <w:color w:val="000000" w:themeColor="text1"/>
        </w:rPr>
        <w:t>;</w:t>
      </w:r>
    </w:p>
    <w:p w14:paraId="3054200E" w14:textId="77777777" w:rsidR="00376CED" w:rsidRPr="003075B3" w:rsidRDefault="00376CED" w:rsidP="00376CED">
      <w:pPr>
        <w:pStyle w:val="Para1"/>
        <w:numPr>
          <w:ilvl w:val="0"/>
          <w:numId w:val="13"/>
        </w:numPr>
        <w:suppressLineNumbers/>
        <w:tabs>
          <w:tab w:val="clear" w:pos="360"/>
        </w:tabs>
        <w:suppressAutoHyphens/>
        <w:kinsoku w:val="0"/>
        <w:overflowPunct w:val="0"/>
        <w:autoSpaceDE w:val="0"/>
        <w:autoSpaceDN w:val="0"/>
        <w:adjustRightInd w:val="0"/>
        <w:snapToGrid w:val="0"/>
        <w:ind w:firstLine="720"/>
        <w:rPr>
          <w:snapToGrid/>
        </w:rPr>
      </w:pPr>
      <w:r w:rsidRPr="003075B3">
        <w:rPr>
          <w:i/>
          <w:color w:val="000000" w:themeColor="text1"/>
        </w:rPr>
        <w:t>Requests</w:t>
      </w:r>
      <w:r w:rsidRPr="003075B3">
        <w:rPr>
          <w:color w:val="000000" w:themeColor="text1"/>
        </w:rPr>
        <w:t xml:space="preserve"> the Executive Secretary:</w:t>
      </w:r>
    </w:p>
    <w:p w14:paraId="265E9314" w14:textId="77777777" w:rsidR="00376CED" w:rsidRPr="003075B3" w:rsidRDefault="00376CED" w:rsidP="00376CED">
      <w:pPr>
        <w:pStyle w:val="Para1"/>
        <w:numPr>
          <w:ilvl w:val="1"/>
          <w:numId w:val="13"/>
        </w:numPr>
        <w:suppressLineNumbers/>
        <w:tabs>
          <w:tab w:val="clear" w:pos="1440"/>
        </w:tabs>
        <w:suppressAutoHyphens/>
        <w:kinsoku w:val="0"/>
        <w:overflowPunct w:val="0"/>
        <w:autoSpaceDE w:val="0"/>
        <w:autoSpaceDN w:val="0"/>
        <w:adjustRightInd w:val="0"/>
        <w:snapToGrid w:val="0"/>
        <w:rPr>
          <w:snapToGrid/>
        </w:rPr>
      </w:pPr>
      <w:r w:rsidRPr="003075B3">
        <w:rPr>
          <w:color w:val="000000" w:themeColor="text1"/>
        </w:rPr>
        <w:t>To compile views and suggestions from Parties, indigenous peoples and local communities and relevant organizations referred to in paragraph 8 above;</w:t>
      </w:r>
    </w:p>
    <w:p w14:paraId="153D1F84" w14:textId="77777777" w:rsidR="00376CED" w:rsidRPr="003075B3" w:rsidRDefault="00376CED" w:rsidP="00376CED">
      <w:pPr>
        <w:pStyle w:val="Para1"/>
        <w:numPr>
          <w:ilvl w:val="1"/>
          <w:numId w:val="13"/>
        </w:numPr>
        <w:suppressLineNumbers/>
        <w:tabs>
          <w:tab w:val="clear" w:pos="1440"/>
        </w:tabs>
        <w:suppressAutoHyphens/>
        <w:kinsoku w:val="0"/>
        <w:overflowPunct w:val="0"/>
        <w:autoSpaceDE w:val="0"/>
        <w:autoSpaceDN w:val="0"/>
        <w:adjustRightInd w:val="0"/>
        <w:snapToGrid w:val="0"/>
        <w:rPr>
          <w:snapToGrid/>
        </w:rPr>
      </w:pPr>
      <w:r w:rsidRPr="003075B3">
        <w:t xml:space="preserve">To ensure an adequate level of participation of biosafety experts, including those with expertise on the Supplementary Protocol, during consultations throughout the development of the </w:t>
      </w:r>
      <w:r w:rsidRPr="003075B3">
        <w:rPr>
          <w:snapToGrid/>
        </w:rPr>
        <w:t>strategic framework for capacity-building beyond 2020</w:t>
      </w:r>
      <w:r w:rsidRPr="003075B3">
        <w:t>;</w:t>
      </w:r>
    </w:p>
    <w:p w14:paraId="64EEB5BC" w14:textId="77777777" w:rsidR="00376CED" w:rsidRPr="003075B3" w:rsidRDefault="00376CED" w:rsidP="00376CED">
      <w:pPr>
        <w:pStyle w:val="Para1"/>
        <w:numPr>
          <w:ilvl w:val="1"/>
          <w:numId w:val="13"/>
        </w:numPr>
        <w:suppressLineNumbers/>
        <w:tabs>
          <w:tab w:val="clear" w:pos="1440"/>
        </w:tabs>
        <w:suppressAutoHyphens/>
        <w:kinsoku w:val="0"/>
        <w:overflowPunct w:val="0"/>
        <w:autoSpaceDE w:val="0"/>
        <w:autoSpaceDN w:val="0"/>
        <w:adjustRightInd w:val="0"/>
        <w:snapToGrid w:val="0"/>
        <w:rPr>
          <w:snapToGrid/>
        </w:rPr>
      </w:pPr>
      <w:r w:rsidRPr="003075B3">
        <w:rPr>
          <w:snapToGrid/>
        </w:rPr>
        <w:t>To submit (</w:t>
      </w:r>
      <w:proofErr w:type="spellStart"/>
      <w:r w:rsidRPr="003075B3">
        <w:rPr>
          <w:snapToGrid/>
        </w:rPr>
        <w:t>i</w:t>
      </w:r>
      <w:proofErr w:type="spellEnd"/>
      <w:r w:rsidRPr="003075B3">
        <w:rPr>
          <w:snapToGrid/>
        </w:rPr>
        <w:t xml:space="preserve">) a </w:t>
      </w:r>
      <w:r w:rsidRPr="003075B3">
        <w:t>draft action plan for capacity-building for implementation of the Cartagena Protocol and its Supplementary Protocol</w:t>
      </w:r>
      <w:r w:rsidRPr="003075B3">
        <w:rPr>
          <w:snapToGrid/>
        </w:rPr>
        <w:t xml:space="preserve"> and (ii) a draft long-term strategic framework for capacity-building beyond 2020,</w:t>
      </w:r>
      <w:r w:rsidRPr="0008472F">
        <w:rPr>
          <w:rStyle w:val="FootnoteReference"/>
          <w:color w:val="000000" w:themeColor="text1"/>
          <w:sz w:val="22"/>
          <w:u w:val="none"/>
          <w:vertAlign w:val="superscript"/>
        </w:rPr>
        <w:footnoteReference w:id="6"/>
      </w:r>
      <w:r w:rsidRPr="003075B3">
        <w:rPr>
          <w:snapToGrid/>
        </w:rPr>
        <w:t xml:space="preserve"> for consideration by the Subsidiary Body on Implementation at its third meeting and for subsequent consideration by the Conference of the Parties serving as the meeting of the Parties to the Cartagena Protocol on Biosafety at its tenth meeting;</w:t>
      </w:r>
    </w:p>
    <w:p w14:paraId="34BEE2A3" w14:textId="77777777" w:rsidR="00376CED" w:rsidRPr="003075B3" w:rsidRDefault="00376CED" w:rsidP="00376CED">
      <w:pPr>
        <w:pStyle w:val="Para1"/>
        <w:numPr>
          <w:ilvl w:val="0"/>
          <w:numId w:val="13"/>
        </w:numPr>
        <w:suppressLineNumbers/>
        <w:tabs>
          <w:tab w:val="clear" w:pos="360"/>
        </w:tabs>
        <w:suppressAutoHyphens/>
        <w:ind w:firstLine="720"/>
      </w:pPr>
      <w:r w:rsidRPr="003075B3">
        <w:rPr>
          <w:i/>
        </w:rPr>
        <w:t xml:space="preserve">Also requests </w:t>
      </w:r>
      <w:r w:rsidRPr="003075B3">
        <w:t xml:space="preserve">the Executive Secretary, subject to the availability of resources and in collaboration with relevant organizations, to facilitate and support implementation of the priority capacity-building activities for supporting the implementation of the Protocol contained in the Framework and Action Plan </w:t>
      </w:r>
      <w:r w:rsidRPr="003075B3">
        <w:rPr>
          <w:lang w:eastAsia="x-none"/>
        </w:rPr>
        <w:t>for Capacity-Building for the Effective Implementation of the Cartagena Protocol on Biosafety</w:t>
      </w:r>
      <w:r w:rsidRPr="003075B3">
        <w:t xml:space="preserve"> (2012-2020), as contained in annex I to decision BS-VI/3, and in accordance with the Short-term Action Plan (2017-2020) to Enhance and Support Capacity-Building for the Implementation of the Convention and its Protocols </w:t>
      </w:r>
      <w:r w:rsidRPr="003075B3">
        <w:rPr>
          <w:bCs/>
          <w:iCs/>
        </w:rPr>
        <w:t>as annexed to decision XIII/23 of the Conference of the Parties.</w:t>
      </w:r>
    </w:p>
    <w:p w14:paraId="1A094BED" w14:textId="77777777" w:rsidR="00376CED" w:rsidRPr="00C31366" w:rsidRDefault="00376CED" w:rsidP="00725967">
      <w:pPr>
        <w:keepNext/>
        <w:suppressLineNumbers/>
        <w:suppressAutoHyphens/>
        <w:kinsoku w:val="0"/>
        <w:overflowPunct w:val="0"/>
        <w:autoSpaceDE w:val="0"/>
        <w:autoSpaceDN w:val="0"/>
        <w:snapToGrid w:val="0"/>
        <w:spacing w:before="240" w:after="120"/>
        <w:jc w:val="center"/>
        <w:rPr>
          <w:i/>
          <w:snapToGrid w:val="0"/>
          <w:kern w:val="22"/>
          <w:sz w:val="22"/>
          <w:szCs w:val="22"/>
          <w:lang w:eastAsia="en-CA"/>
        </w:rPr>
      </w:pPr>
      <w:r w:rsidRPr="00C31366">
        <w:rPr>
          <w:i/>
          <w:snapToGrid w:val="0"/>
          <w:kern w:val="22"/>
          <w:sz w:val="22"/>
          <w:szCs w:val="22"/>
          <w:lang w:eastAsia="en-CA"/>
        </w:rPr>
        <w:t>Annex</w:t>
      </w:r>
    </w:p>
    <w:p w14:paraId="71B28C3A" w14:textId="77777777" w:rsidR="00376CED" w:rsidRPr="00C31366" w:rsidRDefault="00376CED" w:rsidP="00725967">
      <w:pPr>
        <w:keepNext/>
        <w:suppressLineNumbers/>
        <w:suppressAutoHyphens/>
        <w:spacing w:before="120" w:after="120"/>
        <w:jc w:val="center"/>
        <w:rPr>
          <w:rFonts w:eastAsia="Calibri"/>
          <w:snapToGrid w:val="0"/>
          <w:color w:val="000000"/>
          <w:kern w:val="22"/>
          <w:sz w:val="22"/>
          <w:szCs w:val="22"/>
          <w:lang w:eastAsia="x-none"/>
        </w:rPr>
      </w:pPr>
      <w:r w:rsidRPr="00C31366">
        <w:rPr>
          <w:rFonts w:eastAsia="Calibri"/>
          <w:b/>
          <w:iCs/>
          <w:snapToGrid w:val="0"/>
          <w:color w:val="000000"/>
          <w:kern w:val="22"/>
          <w:sz w:val="22"/>
          <w:szCs w:val="22"/>
          <w:lang w:eastAsia="x-none"/>
        </w:rPr>
        <w:t>INDICATIVE SCHEDULE OF ACTIVITIES</w:t>
      </w:r>
    </w:p>
    <w:p w14:paraId="69BA71B2" w14:textId="77777777" w:rsidR="00376CED" w:rsidRPr="00C31366" w:rsidRDefault="00376CED" w:rsidP="00725967">
      <w:pPr>
        <w:pStyle w:val="Para1"/>
        <w:numPr>
          <w:ilvl w:val="0"/>
          <w:numId w:val="0"/>
        </w:numPr>
        <w:suppressLineNumbers/>
        <w:suppressAutoHyphens/>
        <w:kinsoku w:val="0"/>
        <w:overflowPunct w:val="0"/>
        <w:autoSpaceDE w:val="0"/>
        <w:autoSpaceDN w:val="0"/>
        <w:adjustRightInd w:val="0"/>
        <w:snapToGrid w:val="0"/>
        <w:rPr>
          <w:snapToGrid/>
        </w:rPr>
      </w:pPr>
      <w:r w:rsidRPr="00CD532C">
        <w:rPr>
          <w:snapToGrid/>
        </w:rPr>
        <w:tab/>
        <w:t>The process for preparing a specific action plan for capacity-building for implementation of the Cartagena Protocol and its Supplement</w:t>
      </w:r>
      <w:r w:rsidRPr="00C31366">
        <w:rPr>
          <w:snapToGrid/>
        </w:rPr>
        <w:t>ary Protocol that is aligned with the specific follow-up to the Strategic Plan for the Cartagena Protocol on Biosafety and complementary to the long-term strategic framework for capacity-building beyond 2020 will include the following activities, to be aligned with the timetable for the development of a follow-up to the Strategic Plan for Biodiversity 2011-2020:</w:t>
      </w:r>
    </w:p>
    <w:tbl>
      <w:tblPr>
        <w:tblW w:w="9598" w:type="dxa"/>
        <w:jc w:val="center"/>
        <w:tblLook w:val="01E0" w:firstRow="1" w:lastRow="1" w:firstColumn="1" w:lastColumn="1" w:noHBand="0" w:noVBand="0"/>
      </w:tblPr>
      <w:tblGrid>
        <w:gridCol w:w="5238"/>
        <w:gridCol w:w="1667"/>
        <w:gridCol w:w="2693"/>
      </w:tblGrid>
      <w:tr w:rsidR="00376CED" w:rsidRPr="00C31366" w14:paraId="584F8742" w14:textId="77777777" w:rsidTr="00725967">
        <w:trPr>
          <w:cantSplit/>
          <w:tblHeader/>
          <w:jc w:val="center"/>
        </w:trPr>
        <w:tc>
          <w:tcPr>
            <w:tcW w:w="5238" w:type="dxa"/>
          </w:tcPr>
          <w:p w14:paraId="30A8B7C5" w14:textId="77777777" w:rsidR="00376CED" w:rsidRPr="00C31366" w:rsidRDefault="00376CED" w:rsidP="00725967">
            <w:pPr>
              <w:pStyle w:val="Para1"/>
              <w:numPr>
                <w:ilvl w:val="0"/>
                <w:numId w:val="0"/>
              </w:numPr>
              <w:suppressLineNumbers/>
              <w:suppressAutoHyphens/>
              <w:kinsoku w:val="0"/>
              <w:overflowPunct w:val="0"/>
              <w:autoSpaceDE w:val="0"/>
              <w:autoSpaceDN w:val="0"/>
              <w:adjustRightInd w:val="0"/>
              <w:snapToGrid w:val="0"/>
              <w:spacing w:before="60" w:after="60"/>
              <w:rPr>
                <w:i/>
                <w:snapToGrid/>
              </w:rPr>
            </w:pPr>
            <w:r w:rsidRPr="00C31366">
              <w:rPr>
                <w:i/>
                <w:snapToGrid/>
              </w:rPr>
              <w:t>Activity/Task</w:t>
            </w:r>
          </w:p>
        </w:tc>
        <w:tc>
          <w:tcPr>
            <w:tcW w:w="1667" w:type="dxa"/>
          </w:tcPr>
          <w:p w14:paraId="539ECEF1" w14:textId="77777777" w:rsidR="00376CED" w:rsidRPr="00C31366" w:rsidRDefault="00376CED" w:rsidP="00725967">
            <w:pPr>
              <w:pStyle w:val="Para1"/>
              <w:numPr>
                <w:ilvl w:val="0"/>
                <w:numId w:val="0"/>
              </w:numPr>
              <w:suppressLineNumbers/>
              <w:suppressAutoHyphens/>
              <w:kinsoku w:val="0"/>
              <w:overflowPunct w:val="0"/>
              <w:autoSpaceDE w:val="0"/>
              <w:autoSpaceDN w:val="0"/>
              <w:adjustRightInd w:val="0"/>
              <w:snapToGrid w:val="0"/>
              <w:spacing w:before="60" w:after="60"/>
              <w:rPr>
                <w:i/>
                <w:snapToGrid/>
              </w:rPr>
            </w:pPr>
            <w:r w:rsidRPr="00C31366">
              <w:rPr>
                <w:i/>
                <w:snapToGrid/>
              </w:rPr>
              <w:t>Timeframe</w:t>
            </w:r>
          </w:p>
        </w:tc>
        <w:tc>
          <w:tcPr>
            <w:tcW w:w="2693" w:type="dxa"/>
          </w:tcPr>
          <w:p w14:paraId="0E75CD3E" w14:textId="77777777" w:rsidR="00376CED" w:rsidRPr="00C31366" w:rsidRDefault="00376CED">
            <w:pPr>
              <w:pStyle w:val="Para1"/>
              <w:numPr>
                <w:ilvl w:val="0"/>
                <w:numId w:val="0"/>
              </w:numPr>
              <w:suppressLineNumbers/>
              <w:suppressAutoHyphens/>
              <w:kinsoku w:val="0"/>
              <w:overflowPunct w:val="0"/>
              <w:autoSpaceDE w:val="0"/>
              <w:autoSpaceDN w:val="0"/>
              <w:adjustRightInd w:val="0"/>
              <w:snapToGrid w:val="0"/>
              <w:spacing w:before="60" w:after="60"/>
              <w:jc w:val="left"/>
              <w:rPr>
                <w:i/>
                <w:snapToGrid/>
              </w:rPr>
            </w:pPr>
            <w:r w:rsidRPr="00C31366">
              <w:rPr>
                <w:i/>
                <w:snapToGrid/>
              </w:rPr>
              <w:t>Responsibility</w:t>
            </w:r>
          </w:p>
        </w:tc>
      </w:tr>
      <w:tr w:rsidR="00376CED" w:rsidRPr="00C31366" w14:paraId="178CAA7D" w14:textId="77777777" w:rsidTr="00725967">
        <w:trPr>
          <w:cantSplit/>
          <w:jc w:val="center"/>
        </w:trPr>
        <w:tc>
          <w:tcPr>
            <w:tcW w:w="5238" w:type="dxa"/>
          </w:tcPr>
          <w:p w14:paraId="7E04D09B" w14:textId="77777777" w:rsidR="00376CED" w:rsidRPr="00C31366" w:rsidRDefault="00376CED" w:rsidP="00725967">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rPr>
            </w:pPr>
            <w:r w:rsidRPr="00CD532C">
              <w:rPr>
                <w:snapToGrid/>
              </w:rPr>
              <w:t>1.</w:t>
            </w:r>
            <w:r w:rsidRPr="00CD532C">
              <w:rPr>
                <w:snapToGrid/>
              </w:rPr>
              <w:tab/>
              <w:t>Invitation to Parties, indigenous peoples and local communities and relevant organizations to the Cartag</w:t>
            </w:r>
            <w:r w:rsidRPr="00C31366">
              <w:rPr>
                <w:snapToGrid/>
              </w:rPr>
              <w:t>ena Protocol to provide views and suggestions on possible elements of a specific action plan for capacity-building on biosafety, covering the Cartagena Protocol and its Supplementary Protocol, and compilation of this information by the Secretariat</w:t>
            </w:r>
          </w:p>
        </w:tc>
        <w:tc>
          <w:tcPr>
            <w:tcW w:w="1667" w:type="dxa"/>
          </w:tcPr>
          <w:p w14:paraId="19C3BE27" w14:textId="77777777" w:rsidR="00376CED" w:rsidRPr="00C31366" w:rsidRDefault="00376CED" w:rsidP="00725967">
            <w:pPr>
              <w:pStyle w:val="Para1"/>
              <w:numPr>
                <w:ilvl w:val="0"/>
                <w:numId w:val="0"/>
              </w:numPr>
              <w:suppressLineNumbers/>
              <w:suppressAutoHyphens/>
              <w:kinsoku w:val="0"/>
              <w:overflowPunct w:val="0"/>
              <w:autoSpaceDE w:val="0"/>
              <w:autoSpaceDN w:val="0"/>
              <w:adjustRightInd w:val="0"/>
              <w:snapToGrid w:val="0"/>
              <w:spacing w:before="60" w:after="60"/>
              <w:rPr>
                <w:snapToGrid/>
              </w:rPr>
            </w:pPr>
            <w:r w:rsidRPr="00C31366">
              <w:rPr>
                <w:snapToGrid/>
              </w:rPr>
              <w:t>Dec 2018 -</w:t>
            </w:r>
          </w:p>
          <w:p w14:paraId="05628AC1" w14:textId="77777777" w:rsidR="00376CED" w:rsidRPr="00C31366" w:rsidRDefault="00376CED" w:rsidP="00725967">
            <w:pPr>
              <w:pStyle w:val="Para1"/>
              <w:numPr>
                <w:ilvl w:val="0"/>
                <w:numId w:val="0"/>
              </w:numPr>
              <w:suppressLineNumbers/>
              <w:suppressAutoHyphens/>
              <w:kinsoku w:val="0"/>
              <w:overflowPunct w:val="0"/>
              <w:autoSpaceDE w:val="0"/>
              <w:autoSpaceDN w:val="0"/>
              <w:adjustRightInd w:val="0"/>
              <w:snapToGrid w:val="0"/>
              <w:spacing w:before="60" w:after="60"/>
              <w:rPr>
                <w:snapToGrid/>
              </w:rPr>
            </w:pPr>
            <w:r w:rsidRPr="00C31366">
              <w:rPr>
                <w:snapToGrid/>
              </w:rPr>
              <w:t>Feb 2019</w:t>
            </w:r>
          </w:p>
        </w:tc>
        <w:tc>
          <w:tcPr>
            <w:tcW w:w="2693" w:type="dxa"/>
          </w:tcPr>
          <w:p w14:paraId="3071C483" w14:textId="77777777" w:rsidR="00376CED" w:rsidRPr="00C31366" w:rsidRDefault="00376CED" w:rsidP="00725967">
            <w:pPr>
              <w:pStyle w:val="Para1"/>
              <w:numPr>
                <w:ilvl w:val="0"/>
                <w:numId w:val="0"/>
              </w:numPr>
              <w:suppressLineNumbers/>
              <w:suppressAutoHyphens/>
              <w:kinsoku w:val="0"/>
              <w:overflowPunct w:val="0"/>
              <w:autoSpaceDE w:val="0"/>
              <w:autoSpaceDN w:val="0"/>
              <w:adjustRightInd w:val="0"/>
              <w:snapToGrid w:val="0"/>
              <w:spacing w:before="60" w:after="60"/>
              <w:jc w:val="left"/>
              <w:rPr>
                <w:snapToGrid/>
              </w:rPr>
            </w:pPr>
            <w:r w:rsidRPr="00C31366">
              <w:rPr>
                <w:snapToGrid/>
              </w:rPr>
              <w:t>Secretariat; Parties, indigenous peoples and local communities and relevant organizations</w:t>
            </w:r>
          </w:p>
        </w:tc>
      </w:tr>
      <w:tr w:rsidR="00376CED" w:rsidRPr="00C31366" w14:paraId="340D4326" w14:textId="77777777" w:rsidTr="00725967">
        <w:trPr>
          <w:cantSplit/>
          <w:jc w:val="center"/>
        </w:trPr>
        <w:tc>
          <w:tcPr>
            <w:tcW w:w="5238" w:type="dxa"/>
          </w:tcPr>
          <w:p w14:paraId="0A75292C" w14:textId="77777777" w:rsidR="00376CED" w:rsidRPr="00C31366" w:rsidRDefault="00376CED" w:rsidP="00725967">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rPr>
            </w:pPr>
            <w:r w:rsidRPr="00CD532C">
              <w:rPr>
                <w:snapToGrid/>
              </w:rPr>
              <w:lastRenderedPageBreak/>
              <w:t>2.</w:t>
            </w:r>
            <w:r w:rsidRPr="00CD532C">
              <w:rPr>
                <w:snapToGrid/>
              </w:rPr>
              <w:tab/>
              <w:t>Contribution from the Liaison Group to the development of the draft action plan for capacity-building for implementation of the Cartagena Protocol and</w:t>
            </w:r>
            <w:r w:rsidRPr="00C31366">
              <w:rPr>
                <w:snapToGrid/>
              </w:rPr>
              <w:t xml:space="preserve"> its Supplementary Protocol, </w:t>
            </w:r>
            <w:proofErr w:type="gramStart"/>
            <w:r w:rsidRPr="00C31366">
              <w:rPr>
                <w:snapToGrid/>
              </w:rPr>
              <w:t>taking into account</w:t>
            </w:r>
            <w:proofErr w:type="gramEnd"/>
            <w:r w:rsidRPr="00C31366">
              <w:rPr>
                <w:snapToGrid/>
              </w:rPr>
              <w:t xml:space="preserve"> views and suggestions provided by Parties</w:t>
            </w:r>
          </w:p>
        </w:tc>
        <w:tc>
          <w:tcPr>
            <w:tcW w:w="1667" w:type="dxa"/>
          </w:tcPr>
          <w:p w14:paraId="4BB93375" w14:textId="77777777" w:rsidR="00376CED" w:rsidRPr="00C31366" w:rsidRDefault="00376CED" w:rsidP="00725967">
            <w:pPr>
              <w:pStyle w:val="Para1"/>
              <w:numPr>
                <w:ilvl w:val="0"/>
                <w:numId w:val="0"/>
              </w:numPr>
              <w:suppressLineNumbers/>
              <w:suppressAutoHyphens/>
              <w:kinsoku w:val="0"/>
              <w:overflowPunct w:val="0"/>
              <w:autoSpaceDE w:val="0"/>
              <w:autoSpaceDN w:val="0"/>
              <w:adjustRightInd w:val="0"/>
              <w:snapToGrid w:val="0"/>
              <w:spacing w:before="60" w:after="60"/>
              <w:rPr>
                <w:snapToGrid/>
              </w:rPr>
            </w:pPr>
            <w:r w:rsidRPr="00C31366">
              <w:rPr>
                <w:snapToGrid/>
              </w:rPr>
              <w:t>Mar-Sept 2019</w:t>
            </w:r>
          </w:p>
        </w:tc>
        <w:tc>
          <w:tcPr>
            <w:tcW w:w="2693" w:type="dxa"/>
          </w:tcPr>
          <w:p w14:paraId="1AF7EB5E" w14:textId="77777777" w:rsidR="00376CED" w:rsidRPr="00C31366" w:rsidRDefault="00376CED" w:rsidP="00725967">
            <w:pPr>
              <w:pStyle w:val="Para1"/>
              <w:numPr>
                <w:ilvl w:val="0"/>
                <w:numId w:val="0"/>
              </w:numPr>
              <w:suppressLineNumbers/>
              <w:suppressAutoHyphens/>
              <w:kinsoku w:val="0"/>
              <w:overflowPunct w:val="0"/>
              <w:autoSpaceDE w:val="0"/>
              <w:autoSpaceDN w:val="0"/>
              <w:adjustRightInd w:val="0"/>
              <w:snapToGrid w:val="0"/>
              <w:spacing w:before="60" w:after="60"/>
              <w:jc w:val="left"/>
              <w:rPr>
                <w:snapToGrid/>
              </w:rPr>
            </w:pPr>
            <w:r w:rsidRPr="00C31366">
              <w:rPr>
                <w:snapToGrid/>
              </w:rPr>
              <w:t>Liaison Group; Secretariat</w:t>
            </w:r>
          </w:p>
        </w:tc>
      </w:tr>
      <w:tr w:rsidR="00376CED" w:rsidRPr="00C31366" w14:paraId="78D789D1" w14:textId="77777777" w:rsidTr="00725967">
        <w:trPr>
          <w:cantSplit/>
          <w:jc w:val="center"/>
        </w:trPr>
        <w:tc>
          <w:tcPr>
            <w:tcW w:w="5238" w:type="dxa"/>
          </w:tcPr>
          <w:p w14:paraId="7BD5E603" w14:textId="77777777" w:rsidR="00376CED" w:rsidRPr="00C31366" w:rsidRDefault="00376CED" w:rsidP="00725967">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rPr>
            </w:pPr>
            <w:r w:rsidRPr="00CD532C">
              <w:rPr>
                <w:snapToGrid/>
              </w:rPr>
              <w:t>3.</w:t>
            </w:r>
            <w:r w:rsidRPr="00CD532C">
              <w:rPr>
                <w:snapToGrid/>
              </w:rPr>
              <w:tab/>
              <w:t>Preparation of a draft action plan for capacity-building for implementation of the Cartagena Protocol and its Supplement</w:t>
            </w:r>
            <w:r w:rsidRPr="00C31366">
              <w:rPr>
                <w:snapToGrid/>
              </w:rPr>
              <w:t>ary Protocol</w:t>
            </w:r>
          </w:p>
        </w:tc>
        <w:tc>
          <w:tcPr>
            <w:tcW w:w="1667" w:type="dxa"/>
          </w:tcPr>
          <w:p w14:paraId="57E5FFCB" w14:textId="77777777" w:rsidR="00376CED" w:rsidRPr="00C31366" w:rsidRDefault="00376CED" w:rsidP="00725967">
            <w:pPr>
              <w:pStyle w:val="Para1"/>
              <w:numPr>
                <w:ilvl w:val="0"/>
                <w:numId w:val="0"/>
              </w:numPr>
              <w:suppressLineNumbers/>
              <w:suppressAutoHyphens/>
              <w:kinsoku w:val="0"/>
              <w:overflowPunct w:val="0"/>
              <w:autoSpaceDE w:val="0"/>
              <w:autoSpaceDN w:val="0"/>
              <w:adjustRightInd w:val="0"/>
              <w:snapToGrid w:val="0"/>
              <w:spacing w:before="60" w:after="60"/>
              <w:rPr>
                <w:snapToGrid/>
              </w:rPr>
            </w:pPr>
            <w:r w:rsidRPr="00C31366">
              <w:rPr>
                <w:snapToGrid/>
              </w:rPr>
              <w:t>Oct-Dec 2019</w:t>
            </w:r>
          </w:p>
        </w:tc>
        <w:tc>
          <w:tcPr>
            <w:tcW w:w="2693" w:type="dxa"/>
          </w:tcPr>
          <w:p w14:paraId="2D92EE95" w14:textId="77777777" w:rsidR="00376CED" w:rsidRPr="00C31366" w:rsidRDefault="00376CED" w:rsidP="00725967">
            <w:pPr>
              <w:pStyle w:val="Para1"/>
              <w:numPr>
                <w:ilvl w:val="0"/>
                <w:numId w:val="0"/>
              </w:numPr>
              <w:suppressLineNumbers/>
              <w:suppressAutoHyphens/>
              <w:kinsoku w:val="0"/>
              <w:overflowPunct w:val="0"/>
              <w:autoSpaceDE w:val="0"/>
              <w:autoSpaceDN w:val="0"/>
              <w:adjustRightInd w:val="0"/>
              <w:snapToGrid w:val="0"/>
              <w:spacing w:before="60" w:after="60"/>
              <w:jc w:val="left"/>
              <w:rPr>
                <w:snapToGrid/>
              </w:rPr>
            </w:pPr>
            <w:r w:rsidRPr="00C31366">
              <w:rPr>
                <w:snapToGrid/>
              </w:rPr>
              <w:t>Secretariat</w:t>
            </w:r>
          </w:p>
        </w:tc>
      </w:tr>
      <w:tr w:rsidR="00376CED" w:rsidRPr="00C31366" w14:paraId="2B5DA226" w14:textId="77777777" w:rsidTr="00725967">
        <w:trPr>
          <w:cantSplit/>
          <w:jc w:val="center"/>
        </w:trPr>
        <w:tc>
          <w:tcPr>
            <w:tcW w:w="5238" w:type="dxa"/>
          </w:tcPr>
          <w:p w14:paraId="7FCEFFE6" w14:textId="77777777" w:rsidR="00376CED" w:rsidRPr="00CD532C" w:rsidRDefault="00376CED" w:rsidP="00725967">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rPr>
            </w:pPr>
            <w:r w:rsidRPr="00CD532C">
              <w:rPr>
                <w:snapToGrid/>
              </w:rPr>
              <w:t>4.</w:t>
            </w:r>
            <w:r w:rsidRPr="00CD532C">
              <w:rPr>
                <w:snapToGrid/>
              </w:rPr>
              <w:tab/>
              <w:t xml:space="preserve">Review of the draft action plan for capacity-building on biosafety by the Liaison Group, </w:t>
            </w:r>
            <w:proofErr w:type="gramStart"/>
            <w:r w:rsidRPr="00CD532C">
              <w:rPr>
                <w:snapToGrid/>
              </w:rPr>
              <w:t>taking into account</w:t>
            </w:r>
            <w:proofErr w:type="gramEnd"/>
            <w:r w:rsidRPr="00CD532C">
              <w:rPr>
                <w:snapToGrid/>
              </w:rPr>
              <w:t xml:space="preserve"> information provided in the fourth national reports under the Cartagena Protocol</w:t>
            </w:r>
          </w:p>
        </w:tc>
        <w:tc>
          <w:tcPr>
            <w:tcW w:w="1667" w:type="dxa"/>
          </w:tcPr>
          <w:p w14:paraId="433C06D4" w14:textId="77777777" w:rsidR="00376CED" w:rsidRPr="00C31366" w:rsidRDefault="00376CED" w:rsidP="00725967">
            <w:pPr>
              <w:pStyle w:val="Para1"/>
              <w:numPr>
                <w:ilvl w:val="0"/>
                <w:numId w:val="0"/>
              </w:numPr>
              <w:suppressLineNumbers/>
              <w:suppressAutoHyphens/>
              <w:kinsoku w:val="0"/>
              <w:overflowPunct w:val="0"/>
              <w:autoSpaceDE w:val="0"/>
              <w:autoSpaceDN w:val="0"/>
              <w:adjustRightInd w:val="0"/>
              <w:snapToGrid w:val="0"/>
              <w:spacing w:before="60" w:after="60"/>
              <w:rPr>
                <w:snapToGrid/>
              </w:rPr>
            </w:pPr>
            <w:r w:rsidRPr="00C31366">
              <w:rPr>
                <w:snapToGrid/>
              </w:rPr>
              <w:t>Feb-Mar 2020</w:t>
            </w:r>
          </w:p>
        </w:tc>
        <w:tc>
          <w:tcPr>
            <w:tcW w:w="2693" w:type="dxa"/>
          </w:tcPr>
          <w:p w14:paraId="70DEB89F" w14:textId="77777777" w:rsidR="00376CED" w:rsidRPr="00C31366" w:rsidRDefault="00376CED" w:rsidP="00725967">
            <w:pPr>
              <w:pStyle w:val="Para1"/>
              <w:numPr>
                <w:ilvl w:val="0"/>
                <w:numId w:val="0"/>
              </w:numPr>
              <w:suppressLineNumbers/>
              <w:suppressAutoHyphens/>
              <w:kinsoku w:val="0"/>
              <w:overflowPunct w:val="0"/>
              <w:autoSpaceDE w:val="0"/>
              <w:autoSpaceDN w:val="0"/>
              <w:adjustRightInd w:val="0"/>
              <w:snapToGrid w:val="0"/>
              <w:spacing w:before="60" w:after="60"/>
              <w:jc w:val="left"/>
              <w:rPr>
                <w:snapToGrid/>
              </w:rPr>
            </w:pPr>
            <w:r w:rsidRPr="00C31366">
              <w:rPr>
                <w:snapToGrid/>
              </w:rPr>
              <w:t xml:space="preserve">Liaison Group </w:t>
            </w:r>
          </w:p>
        </w:tc>
      </w:tr>
      <w:tr w:rsidR="00376CED" w:rsidRPr="00C31366" w14:paraId="59EB4FED" w14:textId="77777777" w:rsidTr="00725967">
        <w:trPr>
          <w:cantSplit/>
          <w:trHeight w:val="1222"/>
          <w:jc w:val="center"/>
        </w:trPr>
        <w:tc>
          <w:tcPr>
            <w:tcW w:w="5238" w:type="dxa"/>
          </w:tcPr>
          <w:p w14:paraId="42226558" w14:textId="77777777" w:rsidR="00376CED" w:rsidRPr="00CD532C" w:rsidRDefault="00376CED" w:rsidP="00725967">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rPr>
            </w:pPr>
            <w:r w:rsidRPr="00CD532C">
              <w:rPr>
                <w:snapToGrid/>
              </w:rPr>
              <w:t>5.</w:t>
            </w:r>
            <w:r w:rsidRPr="00CD532C">
              <w:rPr>
                <w:snapToGrid/>
              </w:rPr>
              <w:tab/>
              <w:t>Notification inviting views on the final draft action plan for capacity-building for the implementation of the Cartagena Protocol and its Supplementary Protocol and compilation of views by the Secretariat</w:t>
            </w:r>
          </w:p>
        </w:tc>
        <w:tc>
          <w:tcPr>
            <w:tcW w:w="1667" w:type="dxa"/>
          </w:tcPr>
          <w:p w14:paraId="3C96BD22" w14:textId="77777777" w:rsidR="00376CED" w:rsidRPr="00C31366" w:rsidRDefault="00376CED" w:rsidP="00725967">
            <w:pPr>
              <w:pStyle w:val="Para1"/>
              <w:numPr>
                <w:ilvl w:val="0"/>
                <w:numId w:val="0"/>
              </w:numPr>
              <w:suppressLineNumbers/>
              <w:suppressAutoHyphens/>
              <w:kinsoku w:val="0"/>
              <w:overflowPunct w:val="0"/>
              <w:autoSpaceDE w:val="0"/>
              <w:autoSpaceDN w:val="0"/>
              <w:adjustRightInd w:val="0"/>
              <w:snapToGrid w:val="0"/>
              <w:spacing w:before="60" w:after="60"/>
              <w:rPr>
                <w:snapToGrid/>
              </w:rPr>
            </w:pPr>
            <w:r w:rsidRPr="00C31366">
              <w:rPr>
                <w:snapToGrid/>
              </w:rPr>
              <w:t>Apr-May 2020</w:t>
            </w:r>
          </w:p>
          <w:p w14:paraId="7DE284DC" w14:textId="77777777" w:rsidR="00376CED" w:rsidRPr="00C31366" w:rsidRDefault="00376CED" w:rsidP="00725967">
            <w:pPr>
              <w:pStyle w:val="Para1"/>
              <w:numPr>
                <w:ilvl w:val="0"/>
                <w:numId w:val="0"/>
              </w:numPr>
              <w:suppressLineNumbers/>
              <w:suppressAutoHyphens/>
              <w:kinsoku w:val="0"/>
              <w:overflowPunct w:val="0"/>
              <w:autoSpaceDE w:val="0"/>
              <w:autoSpaceDN w:val="0"/>
              <w:adjustRightInd w:val="0"/>
              <w:snapToGrid w:val="0"/>
              <w:spacing w:before="60" w:after="60"/>
              <w:rPr>
                <w:snapToGrid/>
              </w:rPr>
            </w:pPr>
          </w:p>
        </w:tc>
        <w:tc>
          <w:tcPr>
            <w:tcW w:w="2693" w:type="dxa"/>
          </w:tcPr>
          <w:p w14:paraId="760FDF02" w14:textId="77777777" w:rsidR="00376CED" w:rsidRPr="00C31366" w:rsidRDefault="00376CED" w:rsidP="00725967">
            <w:pPr>
              <w:pStyle w:val="Para1"/>
              <w:numPr>
                <w:ilvl w:val="0"/>
                <w:numId w:val="0"/>
              </w:numPr>
              <w:suppressLineNumbers/>
              <w:suppressAutoHyphens/>
              <w:kinsoku w:val="0"/>
              <w:overflowPunct w:val="0"/>
              <w:autoSpaceDE w:val="0"/>
              <w:autoSpaceDN w:val="0"/>
              <w:adjustRightInd w:val="0"/>
              <w:snapToGrid w:val="0"/>
              <w:spacing w:before="60" w:after="60"/>
              <w:jc w:val="left"/>
              <w:rPr>
                <w:snapToGrid/>
              </w:rPr>
            </w:pPr>
            <w:r w:rsidRPr="00C31366">
              <w:rPr>
                <w:snapToGrid/>
              </w:rPr>
              <w:t>Secretariat; Parties, indigenous peoples and local communities and relevant organizations</w:t>
            </w:r>
          </w:p>
        </w:tc>
      </w:tr>
      <w:tr w:rsidR="00376CED" w:rsidRPr="00C31366" w14:paraId="7EA5A247" w14:textId="77777777" w:rsidTr="00725967">
        <w:trPr>
          <w:cantSplit/>
          <w:jc w:val="center"/>
        </w:trPr>
        <w:tc>
          <w:tcPr>
            <w:tcW w:w="5238" w:type="dxa"/>
          </w:tcPr>
          <w:p w14:paraId="33662F35" w14:textId="77777777" w:rsidR="00376CED" w:rsidRPr="00C31366" w:rsidRDefault="00376CED" w:rsidP="00725967">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rPr>
            </w:pPr>
            <w:r w:rsidRPr="00CD532C">
              <w:rPr>
                <w:snapToGrid/>
              </w:rPr>
              <w:t>6.</w:t>
            </w:r>
            <w:r w:rsidRPr="00CD532C">
              <w:rPr>
                <w:snapToGrid/>
              </w:rPr>
              <w:tab/>
              <w:t xml:space="preserve">Consideration of the final draft action plan for capacity-building for the implementation of the Cartagena Protocol and its Supplementary Protocol by the Subsidiary Body on Implementation at </w:t>
            </w:r>
            <w:r w:rsidRPr="00C31366">
              <w:rPr>
                <w:snapToGrid/>
              </w:rPr>
              <w:t>its third meeting</w:t>
            </w:r>
          </w:p>
        </w:tc>
        <w:tc>
          <w:tcPr>
            <w:tcW w:w="1667" w:type="dxa"/>
          </w:tcPr>
          <w:p w14:paraId="722DE49C" w14:textId="77777777" w:rsidR="00376CED" w:rsidRPr="00C31366" w:rsidRDefault="00376CED" w:rsidP="00725967">
            <w:pPr>
              <w:pStyle w:val="Para1"/>
              <w:numPr>
                <w:ilvl w:val="0"/>
                <w:numId w:val="0"/>
              </w:numPr>
              <w:suppressLineNumbers/>
              <w:suppressAutoHyphens/>
              <w:kinsoku w:val="0"/>
              <w:overflowPunct w:val="0"/>
              <w:autoSpaceDE w:val="0"/>
              <w:autoSpaceDN w:val="0"/>
              <w:adjustRightInd w:val="0"/>
              <w:snapToGrid w:val="0"/>
              <w:spacing w:before="60" w:after="60"/>
              <w:rPr>
                <w:snapToGrid/>
              </w:rPr>
            </w:pPr>
            <w:r w:rsidRPr="00C31366">
              <w:rPr>
                <w:snapToGrid/>
              </w:rPr>
              <w:t>June 2020</w:t>
            </w:r>
          </w:p>
        </w:tc>
        <w:tc>
          <w:tcPr>
            <w:tcW w:w="2693" w:type="dxa"/>
          </w:tcPr>
          <w:p w14:paraId="65A82523" w14:textId="77777777" w:rsidR="00376CED" w:rsidRPr="00C31366" w:rsidRDefault="00376CED" w:rsidP="00725967">
            <w:pPr>
              <w:pStyle w:val="Para1"/>
              <w:numPr>
                <w:ilvl w:val="0"/>
                <w:numId w:val="0"/>
              </w:numPr>
              <w:suppressLineNumbers/>
              <w:suppressAutoHyphens/>
              <w:kinsoku w:val="0"/>
              <w:overflowPunct w:val="0"/>
              <w:autoSpaceDE w:val="0"/>
              <w:autoSpaceDN w:val="0"/>
              <w:adjustRightInd w:val="0"/>
              <w:snapToGrid w:val="0"/>
              <w:spacing w:before="60" w:after="60"/>
              <w:jc w:val="left"/>
              <w:rPr>
                <w:snapToGrid/>
              </w:rPr>
            </w:pPr>
            <w:r w:rsidRPr="00C31366">
              <w:rPr>
                <w:snapToGrid/>
              </w:rPr>
              <w:t>Subsidiary Body on Implementation, third meeting</w:t>
            </w:r>
          </w:p>
        </w:tc>
      </w:tr>
      <w:tr w:rsidR="00376CED" w:rsidRPr="00C31366" w14:paraId="73E75D65" w14:textId="77777777" w:rsidTr="00725967">
        <w:trPr>
          <w:cantSplit/>
          <w:jc w:val="center"/>
        </w:trPr>
        <w:tc>
          <w:tcPr>
            <w:tcW w:w="5238" w:type="dxa"/>
          </w:tcPr>
          <w:p w14:paraId="334F7395" w14:textId="77777777" w:rsidR="00376CED" w:rsidRPr="00C31366" w:rsidRDefault="00376CED" w:rsidP="00725967">
            <w:pPr>
              <w:pStyle w:val="Para1"/>
              <w:numPr>
                <w:ilvl w:val="0"/>
                <w:numId w:val="0"/>
              </w:numPr>
              <w:suppressLineNumbers/>
              <w:tabs>
                <w:tab w:val="left" w:pos="357"/>
              </w:tabs>
              <w:suppressAutoHyphens/>
              <w:kinsoku w:val="0"/>
              <w:overflowPunct w:val="0"/>
              <w:autoSpaceDE w:val="0"/>
              <w:autoSpaceDN w:val="0"/>
              <w:adjustRightInd w:val="0"/>
              <w:snapToGrid w:val="0"/>
              <w:spacing w:before="60" w:after="60"/>
              <w:ind w:left="357" w:hanging="357"/>
              <w:rPr>
                <w:snapToGrid/>
              </w:rPr>
            </w:pPr>
            <w:r w:rsidRPr="00CD532C">
              <w:rPr>
                <w:snapToGrid/>
              </w:rPr>
              <w:t>7.</w:t>
            </w:r>
            <w:r w:rsidRPr="00CD532C">
              <w:rPr>
                <w:snapToGrid/>
              </w:rPr>
              <w:tab/>
              <w:t xml:space="preserve">Consideration of the draft action plan by the Conference of the Parties serving as the meeting of the Parties to the Cartagena Protocol on Biosafety for possible adoption, </w:t>
            </w:r>
            <w:proofErr w:type="gramStart"/>
            <w:r w:rsidRPr="00CD532C">
              <w:rPr>
                <w:snapToGrid/>
              </w:rPr>
              <w:t>tak</w:t>
            </w:r>
            <w:r w:rsidRPr="00C31366">
              <w:rPr>
                <w:snapToGrid/>
              </w:rPr>
              <w:t>ing into account</w:t>
            </w:r>
            <w:proofErr w:type="gramEnd"/>
            <w:r w:rsidRPr="00C31366">
              <w:rPr>
                <w:snapToGrid/>
              </w:rPr>
              <w:t xml:space="preserve"> the recommendation of the Subsidiary Body on Implementation</w:t>
            </w:r>
          </w:p>
        </w:tc>
        <w:tc>
          <w:tcPr>
            <w:tcW w:w="1667" w:type="dxa"/>
          </w:tcPr>
          <w:p w14:paraId="0A11E34A" w14:textId="77777777" w:rsidR="00376CED" w:rsidRPr="00C31366" w:rsidRDefault="00376CED" w:rsidP="00725967">
            <w:pPr>
              <w:pStyle w:val="Para1"/>
              <w:numPr>
                <w:ilvl w:val="0"/>
                <w:numId w:val="0"/>
              </w:numPr>
              <w:suppressLineNumbers/>
              <w:suppressAutoHyphens/>
              <w:kinsoku w:val="0"/>
              <w:overflowPunct w:val="0"/>
              <w:autoSpaceDE w:val="0"/>
              <w:autoSpaceDN w:val="0"/>
              <w:adjustRightInd w:val="0"/>
              <w:snapToGrid w:val="0"/>
              <w:spacing w:before="60" w:after="60"/>
              <w:rPr>
                <w:snapToGrid/>
              </w:rPr>
            </w:pPr>
            <w:r w:rsidRPr="00C31366">
              <w:rPr>
                <w:snapToGrid/>
              </w:rPr>
              <w:t>October 2020</w:t>
            </w:r>
          </w:p>
        </w:tc>
        <w:tc>
          <w:tcPr>
            <w:tcW w:w="2693" w:type="dxa"/>
          </w:tcPr>
          <w:p w14:paraId="6B493E49" w14:textId="77777777" w:rsidR="00376CED" w:rsidRPr="00C31366" w:rsidRDefault="00376CED" w:rsidP="00725967">
            <w:pPr>
              <w:pStyle w:val="Para1"/>
              <w:numPr>
                <w:ilvl w:val="0"/>
                <w:numId w:val="0"/>
              </w:numPr>
              <w:suppressLineNumbers/>
              <w:suppressAutoHyphens/>
              <w:kinsoku w:val="0"/>
              <w:overflowPunct w:val="0"/>
              <w:autoSpaceDE w:val="0"/>
              <w:autoSpaceDN w:val="0"/>
              <w:adjustRightInd w:val="0"/>
              <w:snapToGrid w:val="0"/>
              <w:spacing w:before="60" w:after="60"/>
              <w:jc w:val="left"/>
              <w:rPr>
                <w:snapToGrid/>
              </w:rPr>
            </w:pPr>
            <w:r w:rsidRPr="00C31366">
              <w:rPr>
                <w:snapToGrid/>
              </w:rPr>
              <w:t>Conference of the Parties serving as the meeting of the Parties to the Cartagena Protocol on Biosafety, tenth meeting</w:t>
            </w:r>
          </w:p>
        </w:tc>
      </w:tr>
    </w:tbl>
    <w:p w14:paraId="1DE70A1C" w14:textId="77777777" w:rsidR="00376CED" w:rsidRPr="003075B3" w:rsidRDefault="00376CED" w:rsidP="00376CED">
      <w:pPr>
        <w:suppressLineNumbers/>
        <w:suppressAutoHyphens/>
        <w:spacing w:before="120" w:after="240"/>
        <w:rPr>
          <w:b/>
          <w:caps/>
          <w:kern w:val="22"/>
        </w:rPr>
      </w:pPr>
    </w:p>
    <w:p w14:paraId="437B8B78" w14:textId="77777777" w:rsidR="00376CED" w:rsidRPr="003075B3" w:rsidRDefault="00376CED" w:rsidP="00725967">
      <w:pPr>
        <w:suppressLineNumbers/>
        <w:suppressAutoHyphens/>
        <w:rPr>
          <w:kern w:val="22"/>
        </w:rPr>
      </w:pPr>
    </w:p>
    <w:p w14:paraId="628A9EDA" w14:textId="77777777" w:rsidR="00376CED" w:rsidRPr="003075B3" w:rsidRDefault="00376CED">
      <w:pPr>
        <w:rPr>
          <w:b/>
          <w:caps/>
        </w:rPr>
      </w:pPr>
      <w:r w:rsidRPr="003075B3">
        <w:br w:type="page"/>
      </w:r>
    </w:p>
    <w:p w14:paraId="0A469FA7" w14:textId="6F36DF5B" w:rsidR="00376CED" w:rsidRPr="003075B3" w:rsidRDefault="00376CED" w:rsidP="00376CED">
      <w:pPr>
        <w:pStyle w:val="heading2-item"/>
      </w:pPr>
      <w:bookmarkStart w:id="12" w:name="_Toc879815"/>
      <w:bookmarkStart w:id="13" w:name="_Toc5612095"/>
      <w:r w:rsidRPr="003075B3">
        <w:lastRenderedPageBreak/>
        <w:t>9/4.</w:t>
      </w:r>
      <w:r w:rsidRPr="003075B3">
        <w:tab/>
        <w:t>Matters related to the financial mechanism and resources (Article 28)</w:t>
      </w:r>
      <w:bookmarkEnd w:id="12"/>
      <w:bookmarkEnd w:id="13"/>
    </w:p>
    <w:p w14:paraId="5102398B" w14:textId="77015C80" w:rsidR="00376CED" w:rsidRPr="00237524" w:rsidRDefault="00376CED" w:rsidP="00725967">
      <w:pPr>
        <w:shd w:val="clear" w:color="auto" w:fill="FFFFFF" w:themeFill="background1"/>
        <w:spacing w:before="120" w:after="120" w:line="226" w:lineRule="auto"/>
        <w:ind w:firstLine="720"/>
        <w:rPr>
          <w:iCs/>
          <w:kern w:val="22"/>
          <w:sz w:val="22"/>
          <w:szCs w:val="22"/>
        </w:rPr>
      </w:pPr>
      <w:r w:rsidRPr="00237524">
        <w:rPr>
          <w:i/>
          <w:kern w:val="22"/>
          <w:sz w:val="22"/>
          <w:szCs w:val="22"/>
        </w:rPr>
        <w:t xml:space="preserve">The Conference of the Parties serving as the meeting of the Parties to the </w:t>
      </w:r>
      <w:r w:rsidRPr="00237524">
        <w:rPr>
          <w:i/>
          <w:iCs/>
          <w:kern w:val="22"/>
          <w:sz w:val="22"/>
          <w:szCs w:val="22"/>
          <w:lang w:eastAsia="ko-KR"/>
        </w:rPr>
        <w:t>Cartagena Protocol on Biosafety</w:t>
      </w:r>
      <w:r w:rsidRPr="00237524">
        <w:rPr>
          <w:i/>
          <w:kern w:val="22"/>
          <w:sz w:val="22"/>
          <w:szCs w:val="22"/>
        </w:rPr>
        <w:t>,</w:t>
      </w:r>
    </w:p>
    <w:p w14:paraId="5D665CE4" w14:textId="77777777" w:rsidR="00376CED" w:rsidRPr="003075B3" w:rsidRDefault="00376CED" w:rsidP="00376CED">
      <w:pPr>
        <w:pStyle w:val="Para1"/>
        <w:numPr>
          <w:ilvl w:val="0"/>
          <w:numId w:val="33"/>
        </w:numPr>
        <w:autoSpaceDE w:val="0"/>
        <w:autoSpaceDN w:val="0"/>
        <w:adjustRightInd w:val="0"/>
        <w:snapToGrid w:val="0"/>
        <w:spacing w:line="226" w:lineRule="auto"/>
        <w:ind w:firstLine="720"/>
      </w:pPr>
      <w:r w:rsidRPr="003075B3">
        <w:rPr>
          <w:i/>
        </w:rPr>
        <w:t>Urges</w:t>
      </w:r>
      <w:r w:rsidRPr="003075B3">
        <w:t xml:space="preserve"> eligible Parties to prioritize biosafety projects during the programming of their national allocations under the System for Transparent Allocation of Resources (STAR) within the framework of the seventh replenishment period of the Global Environment Facility Trust Fund, taking into account their obligations under the Cartagena Protocol on Biosafety, the Strategic Plan for the Cartagena Protocol on Biosafety for the period 2011-2020,</w:t>
      </w:r>
      <w:r w:rsidRPr="003075B3">
        <w:rPr>
          <w:rStyle w:val="FootnoteReference"/>
          <w:sz w:val="22"/>
          <w:u w:val="none"/>
          <w:vertAlign w:val="superscript"/>
        </w:rPr>
        <w:footnoteReference w:id="7"/>
      </w:r>
      <w:r w:rsidRPr="003075B3">
        <w:t xml:space="preserve"> and the guidance of the Conference of the Parties to the financial mechanism;</w:t>
      </w:r>
    </w:p>
    <w:p w14:paraId="3B067709" w14:textId="77777777" w:rsidR="00376CED" w:rsidRPr="003075B3" w:rsidRDefault="00376CED" w:rsidP="00376CED">
      <w:pPr>
        <w:pStyle w:val="Para1"/>
        <w:numPr>
          <w:ilvl w:val="0"/>
          <w:numId w:val="33"/>
        </w:numPr>
        <w:snapToGrid w:val="0"/>
        <w:spacing w:line="226" w:lineRule="auto"/>
        <w:ind w:firstLine="720"/>
      </w:pPr>
      <w:r w:rsidRPr="003075B3">
        <w:rPr>
          <w:i/>
        </w:rPr>
        <w:t>Recommends</w:t>
      </w:r>
      <w:r w:rsidRPr="003075B3">
        <w:t xml:space="preserve"> that the Conference of the Parties, in adopting its guidance to the financial mechanism with respect to support for the implementation of the Protocol and </w:t>
      </w:r>
      <w:proofErr w:type="gramStart"/>
      <w:r w:rsidRPr="003075B3">
        <w:t>taking into account</w:t>
      </w:r>
      <w:proofErr w:type="gramEnd"/>
      <w:r w:rsidRPr="003075B3">
        <w:t xml:space="preserve"> the recommendations of the Compliance Committee,</w:t>
      </w:r>
      <w:r w:rsidRPr="003075B3">
        <w:rPr>
          <w:rStyle w:val="FootnoteReference"/>
          <w:sz w:val="22"/>
          <w:u w:val="none"/>
          <w:vertAlign w:val="superscript"/>
        </w:rPr>
        <w:footnoteReference w:id="8"/>
      </w:r>
      <w:r w:rsidRPr="003075B3">
        <w:t xml:space="preserve"> invite the Global Environment Facility to continue making funds available:</w:t>
      </w:r>
    </w:p>
    <w:p w14:paraId="021176CE" w14:textId="77777777" w:rsidR="00376CED" w:rsidRPr="003075B3" w:rsidRDefault="00376CED" w:rsidP="00376CED">
      <w:pPr>
        <w:pStyle w:val="Para3"/>
        <w:numPr>
          <w:ilvl w:val="2"/>
          <w:numId w:val="34"/>
        </w:numPr>
        <w:tabs>
          <w:tab w:val="left" w:pos="720"/>
        </w:tabs>
        <w:spacing w:before="120" w:after="120" w:line="226" w:lineRule="auto"/>
        <w:ind w:left="0" w:firstLine="720"/>
        <w:rPr>
          <w:kern w:val="22"/>
          <w:szCs w:val="22"/>
        </w:rPr>
      </w:pPr>
      <w:r w:rsidRPr="003075B3">
        <w:rPr>
          <w:kern w:val="22"/>
          <w:szCs w:val="22"/>
        </w:rPr>
        <w:t>To assist eligible Parties that have not yet done so in fully putting in place measures to implement the Protocol;</w:t>
      </w:r>
    </w:p>
    <w:p w14:paraId="73076AD7" w14:textId="77777777" w:rsidR="00376CED" w:rsidRPr="003075B3" w:rsidRDefault="00376CED" w:rsidP="00376CED">
      <w:pPr>
        <w:pStyle w:val="Para3"/>
        <w:numPr>
          <w:ilvl w:val="2"/>
          <w:numId w:val="34"/>
        </w:numPr>
        <w:tabs>
          <w:tab w:val="left" w:pos="720"/>
        </w:tabs>
        <w:spacing w:before="120" w:after="120" w:line="226" w:lineRule="auto"/>
        <w:ind w:left="0" w:firstLine="720"/>
        <w:rPr>
          <w:kern w:val="22"/>
          <w:szCs w:val="22"/>
        </w:rPr>
      </w:pPr>
      <w:r w:rsidRPr="003075B3">
        <w:rPr>
          <w:kern w:val="22"/>
          <w:szCs w:val="22"/>
        </w:rPr>
        <w:t>To support eligible Parties in fulfilling their reporting obligations under the Protocol, including the submission of fourth national reports;</w:t>
      </w:r>
    </w:p>
    <w:p w14:paraId="7E9AA82D" w14:textId="77777777" w:rsidR="00376CED" w:rsidRPr="003075B3" w:rsidRDefault="00376CED" w:rsidP="00376CED">
      <w:pPr>
        <w:pStyle w:val="Para3"/>
        <w:numPr>
          <w:ilvl w:val="2"/>
          <w:numId w:val="34"/>
        </w:numPr>
        <w:tabs>
          <w:tab w:val="left" w:pos="720"/>
        </w:tabs>
        <w:spacing w:before="120" w:after="120" w:line="226" w:lineRule="auto"/>
        <w:ind w:left="0" w:firstLine="720"/>
        <w:rPr>
          <w:kern w:val="22"/>
          <w:szCs w:val="22"/>
        </w:rPr>
      </w:pPr>
      <w:r w:rsidRPr="003075B3">
        <w:rPr>
          <w:kern w:val="22"/>
          <w:szCs w:val="22"/>
        </w:rPr>
        <w:t>To support Parties in implementing compliance action plans regarding the achievement of compliance with the Protocol;</w:t>
      </w:r>
    </w:p>
    <w:p w14:paraId="0E32B0AD" w14:textId="77777777" w:rsidR="00376CED" w:rsidRPr="003075B3" w:rsidRDefault="00376CED" w:rsidP="00376CED">
      <w:pPr>
        <w:pStyle w:val="Para1"/>
        <w:numPr>
          <w:ilvl w:val="0"/>
          <w:numId w:val="33"/>
        </w:numPr>
        <w:snapToGrid w:val="0"/>
        <w:spacing w:line="226" w:lineRule="auto"/>
        <w:ind w:firstLine="720"/>
      </w:pPr>
      <w:r w:rsidRPr="003075B3">
        <w:rPr>
          <w:i/>
        </w:rPr>
        <w:t>Urges</w:t>
      </w:r>
      <w:r w:rsidRPr="003075B3">
        <w:t xml:space="preserve"> eligible Parties to engage proactively with the Global Environment Facility, including through coordination with their operational focal point for the Global Environment Facility, to ensure that they </w:t>
      </w:r>
      <w:proofErr w:type="gramStart"/>
      <w:r w:rsidRPr="003075B3">
        <w:t>are able to</w:t>
      </w:r>
      <w:proofErr w:type="gramEnd"/>
      <w:r w:rsidRPr="003075B3">
        <w:t xml:space="preserve"> access available funds for biosafety;</w:t>
      </w:r>
    </w:p>
    <w:p w14:paraId="49B086BB" w14:textId="77777777" w:rsidR="00376CED" w:rsidRPr="003075B3" w:rsidRDefault="00376CED" w:rsidP="00725967">
      <w:pPr>
        <w:pStyle w:val="ListParagraph"/>
        <w:shd w:val="clear" w:color="auto" w:fill="FFFFFF" w:themeFill="background1"/>
        <w:spacing w:before="120" w:after="120" w:line="226" w:lineRule="auto"/>
        <w:ind w:left="0" w:firstLine="720"/>
        <w:rPr>
          <w:kern w:val="22"/>
          <w:szCs w:val="22"/>
        </w:rPr>
      </w:pPr>
      <w:r w:rsidRPr="003075B3">
        <w:rPr>
          <w:kern w:val="22"/>
          <w:szCs w:val="22"/>
        </w:rPr>
        <w:t>4.</w:t>
      </w:r>
      <w:r w:rsidRPr="003075B3">
        <w:rPr>
          <w:kern w:val="22"/>
          <w:szCs w:val="22"/>
        </w:rPr>
        <w:tab/>
      </w:r>
      <w:r w:rsidRPr="003075B3">
        <w:rPr>
          <w:i/>
          <w:kern w:val="22"/>
          <w:szCs w:val="22"/>
        </w:rPr>
        <w:t>Welcomes</w:t>
      </w:r>
      <w:r w:rsidRPr="003075B3">
        <w:rPr>
          <w:kern w:val="22"/>
          <w:szCs w:val="22"/>
        </w:rPr>
        <w:t xml:space="preserve"> the seventh replenishment of the Global Environment Facility Trust Fund and </w:t>
      </w:r>
      <w:r w:rsidRPr="003075B3">
        <w:rPr>
          <w:i/>
          <w:kern w:val="22"/>
          <w:szCs w:val="22"/>
        </w:rPr>
        <w:t>expresses its appreciation</w:t>
      </w:r>
      <w:r w:rsidRPr="003075B3">
        <w:rPr>
          <w:kern w:val="22"/>
          <w:szCs w:val="22"/>
        </w:rPr>
        <w:t xml:space="preserve"> to the countries that contributed to the seventh replenishment;</w:t>
      </w:r>
    </w:p>
    <w:p w14:paraId="142DA262" w14:textId="77777777" w:rsidR="00376CED" w:rsidRPr="003075B3" w:rsidRDefault="00376CED" w:rsidP="00725967">
      <w:pPr>
        <w:pStyle w:val="ListParagraph"/>
        <w:shd w:val="clear" w:color="auto" w:fill="FFFFFF" w:themeFill="background1"/>
        <w:spacing w:before="120" w:after="120" w:line="226" w:lineRule="auto"/>
        <w:ind w:left="0" w:firstLine="720"/>
        <w:rPr>
          <w:kern w:val="22"/>
          <w:szCs w:val="22"/>
        </w:rPr>
      </w:pPr>
      <w:r w:rsidRPr="003075B3">
        <w:rPr>
          <w:kern w:val="22"/>
          <w:szCs w:val="22"/>
        </w:rPr>
        <w:t>5.</w:t>
      </w:r>
      <w:r w:rsidRPr="003075B3">
        <w:rPr>
          <w:kern w:val="22"/>
          <w:szCs w:val="22"/>
        </w:rPr>
        <w:tab/>
      </w:r>
      <w:r w:rsidRPr="003075B3">
        <w:rPr>
          <w:i/>
          <w:kern w:val="22"/>
          <w:szCs w:val="22"/>
        </w:rPr>
        <w:t>Encourages</w:t>
      </w:r>
      <w:r w:rsidRPr="003075B3">
        <w:rPr>
          <w:kern w:val="22"/>
          <w:szCs w:val="22"/>
        </w:rPr>
        <w:t xml:space="preserve"> Parties to cooperate at the regional and </w:t>
      </w:r>
      <w:proofErr w:type="spellStart"/>
      <w:r w:rsidRPr="003075B3">
        <w:rPr>
          <w:kern w:val="22"/>
          <w:szCs w:val="22"/>
        </w:rPr>
        <w:t>subregional</w:t>
      </w:r>
      <w:proofErr w:type="spellEnd"/>
      <w:r w:rsidRPr="003075B3">
        <w:rPr>
          <w:kern w:val="22"/>
          <w:szCs w:val="22"/>
        </w:rPr>
        <w:t xml:space="preserve"> levels, and to request support from the Global Environment Facility for joint projects, </w:t>
      </w:r>
      <w:proofErr w:type="gramStart"/>
      <w:r w:rsidRPr="003075B3">
        <w:rPr>
          <w:kern w:val="22"/>
          <w:szCs w:val="22"/>
        </w:rPr>
        <w:t>in order to</w:t>
      </w:r>
      <w:proofErr w:type="gramEnd"/>
      <w:r w:rsidRPr="003075B3">
        <w:rPr>
          <w:kern w:val="22"/>
          <w:szCs w:val="22"/>
        </w:rPr>
        <w:t xml:space="preserve"> maximize synergies and opportunities for cost-effective sharing of resources, information, experiences and expertise.</w:t>
      </w:r>
    </w:p>
    <w:p w14:paraId="76796337" w14:textId="77777777" w:rsidR="00376CED" w:rsidRPr="003075B3" w:rsidRDefault="00376CED">
      <w:pPr>
        <w:rPr>
          <w:b/>
          <w:caps/>
        </w:rPr>
      </w:pPr>
      <w:r w:rsidRPr="003075B3">
        <w:br w:type="page"/>
      </w:r>
    </w:p>
    <w:p w14:paraId="25197268" w14:textId="2C5BEBBF" w:rsidR="00376CED" w:rsidRPr="003075B3" w:rsidRDefault="00376CED" w:rsidP="00376CED">
      <w:pPr>
        <w:pStyle w:val="heading2-item"/>
      </w:pPr>
      <w:bookmarkStart w:id="14" w:name="_Toc879816"/>
      <w:bookmarkStart w:id="15" w:name="_Toc5612096"/>
      <w:r w:rsidRPr="003075B3">
        <w:lastRenderedPageBreak/>
        <w:t>9/5.</w:t>
      </w:r>
      <w:r w:rsidRPr="003075B3">
        <w:tab/>
        <w:t>Monitoring and reporting (Article 33)</w:t>
      </w:r>
      <w:bookmarkEnd w:id="14"/>
      <w:bookmarkEnd w:id="15"/>
    </w:p>
    <w:p w14:paraId="5B474C1D" w14:textId="16C1D51D" w:rsidR="00376CED" w:rsidRPr="003075B3" w:rsidRDefault="00376CED" w:rsidP="00725967">
      <w:pPr>
        <w:pStyle w:val="Para1"/>
        <w:numPr>
          <w:ilvl w:val="0"/>
          <w:numId w:val="0"/>
        </w:numPr>
        <w:kinsoku w:val="0"/>
        <w:overflowPunct w:val="0"/>
        <w:autoSpaceDE w:val="0"/>
        <w:autoSpaceDN w:val="0"/>
        <w:ind w:firstLine="720"/>
        <w:rPr>
          <w:i/>
          <w:snapToGrid/>
        </w:rPr>
      </w:pPr>
      <w:r w:rsidRPr="003075B3">
        <w:rPr>
          <w:i/>
          <w:snapToGrid/>
        </w:rPr>
        <w:t>The Conference of the Parties serving as the meeting of the Parties to the Cartagena Protocol on Biosafety,</w:t>
      </w:r>
    </w:p>
    <w:p w14:paraId="593FEB25" w14:textId="77777777" w:rsidR="00376CED" w:rsidRPr="003075B3" w:rsidRDefault="00376CED" w:rsidP="00725967">
      <w:pPr>
        <w:pStyle w:val="Para1"/>
        <w:numPr>
          <w:ilvl w:val="0"/>
          <w:numId w:val="0"/>
        </w:numPr>
        <w:kinsoku w:val="0"/>
        <w:overflowPunct w:val="0"/>
        <w:autoSpaceDE w:val="0"/>
        <w:autoSpaceDN w:val="0"/>
        <w:ind w:firstLine="720"/>
        <w:rPr>
          <w:snapToGrid/>
        </w:rPr>
      </w:pPr>
      <w:r w:rsidRPr="003075B3">
        <w:rPr>
          <w:i/>
          <w:snapToGrid/>
        </w:rPr>
        <w:t>Recalling</w:t>
      </w:r>
      <w:r w:rsidRPr="003075B3">
        <w:rPr>
          <w:snapToGrid/>
        </w:rPr>
        <w:t xml:space="preserve"> decision </w:t>
      </w:r>
      <w:hyperlink r:id="rId16" w:history="1">
        <w:r w:rsidRPr="003075B3">
          <w:rPr>
            <w:rStyle w:val="Hyperlink"/>
          </w:rPr>
          <w:t>CP-VIII/14</w:t>
        </w:r>
      </w:hyperlink>
      <w:r w:rsidRPr="003075B3">
        <w:rPr>
          <w:snapToGrid/>
        </w:rPr>
        <w:t xml:space="preserve">, in which the Executive Secretary was requested to develop a revised format for the fourth national reports with a view to ensuring that complete and accurate information is captured while striving to ensure the applicability of the baseline information, established in decision </w:t>
      </w:r>
      <w:hyperlink r:id="rId17" w:history="1">
        <w:r w:rsidRPr="003075B3">
          <w:rPr>
            <w:rStyle w:val="Hyperlink"/>
            <w:snapToGrid/>
          </w:rPr>
          <w:t>BS</w:t>
        </w:r>
        <w:r w:rsidRPr="003075B3">
          <w:rPr>
            <w:rStyle w:val="Hyperlink"/>
            <w:snapToGrid/>
          </w:rPr>
          <w:noBreakHyphen/>
        </w:r>
        <w:r w:rsidRPr="003075B3">
          <w:rPr>
            <w:rStyle w:val="Hyperlink"/>
          </w:rPr>
          <w:t>VI/15</w:t>
        </w:r>
      </w:hyperlink>
      <w:r w:rsidRPr="003075B3">
        <w:rPr>
          <w:snapToGrid/>
        </w:rPr>
        <w:t>,</w:t>
      </w:r>
    </w:p>
    <w:p w14:paraId="042CD8E4" w14:textId="77777777" w:rsidR="00376CED" w:rsidRPr="003075B3" w:rsidRDefault="00376CED" w:rsidP="00725967">
      <w:pPr>
        <w:pStyle w:val="Para1"/>
        <w:numPr>
          <w:ilvl w:val="0"/>
          <w:numId w:val="0"/>
        </w:numPr>
        <w:kinsoku w:val="0"/>
        <w:overflowPunct w:val="0"/>
        <w:autoSpaceDE w:val="0"/>
        <w:autoSpaceDN w:val="0"/>
        <w:ind w:firstLine="720"/>
        <w:rPr>
          <w:snapToGrid/>
        </w:rPr>
      </w:pPr>
      <w:r w:rsidRPr="003075B3">
        <w:rPr>
          <w:i/>
          <w:snapToGrid/>
        </w:rPr>
        <w:t>Welcoming</w:t>
      </w:r>
      <w:r w:rsidRPr="003075B3">
        <w:rPr>
          <w:snapToGrid/>
        </w:rPr>
        <w:t xml:space="preserve"> the review by the Subsidiary Body on Implementation at its second meeting of the draft revised format for the fourth national report, as proposed by the Executive Secretary,</w:t>
      </w:r>
      <w:r w:rsidRPr="003075B3">
        <w:rPr>
          <w:rStyle w:val="FootnoteReference"/>
          <w:sz w:val="22"/>
          <w:u w:val="none"/>
          <w:vertAlign w:val="superscript"/>
        </w:rPr>
        <w:footnoteReference w:id="9"/>
      </w:r>
    </w:p>
    <w:p w14:paraId="47894C43" w14:textId="77777777" w:rsidR="00376CED" w:rsidRPr="003075B3" w:rsidRDefault="00376CED" w:rsidP="00725967">
      <w:pPr>
        <w:pStyle w:val="Para1"/>
        <w:numPr>
          <w:ilvl w:val="0"/>
          <w:numId w:val="0"/>
        </w:numPr>
        <w:kinsoku w:val="0"/>
        <w:overflowPunct w:val="0"/>
        <w:autoSpaceDE w:val="0"/>
        <w:autoSpaceDN w:val="0"/>
        <w:ind w:firstLine="720"/>
        <w:rPr>
          <w:snapToGrid/>
        </w:rPr>
      </w:pPr>
      <w:r w:rsidRPr="003075B3">
        <w:rPr>
          <w:i/>
        </w:rPr>
        <w:t xml:space="preserve">Recognizing </w:t>
      </w:r>
      <w:r w:rsidRPr="003075B3">
        <w:t>the importance of improving the alignment of national reporting under the Convention and its Protocols and of enhancing synergies among the biodiversity-related conventions and the Rio conventions as well as the 2030 Agenda for Sustainable Development</w:t>
      </w:r>
      <w:r w:rsidRPr="0008472F">
        <w:rPr>
          <w:rStyle w:val="FootnoteReference"/>
          <w:u w:val="none"/>
          <w:vertAlign w:val="superscript"/>
        </w:rPr>
        <w:footnoteReference w:id="10"/>
      </w:r>
      <w:r w:rsidRPr="003075B3">
        <w:t xml:space="preserve"> and reporting tools for the Sustainable Development Goals, and </w:t>
      </w:r>
      <w:r w:rsidRPr="003075B3">
        <w:rPr>
          <w:i/>
        </w:rPr>
        <w:t>noting</w:t>
      </w:r>
      <w:r w:rsidRPr="003075B3">
        <w:t xml:space="preserve"> the progress made thus far in this respect,</w:t>
      </w:r>
    </w:p>
    <w:p w14:paraId="793F9156" w14:textId="77777777" w:rsidR="00376CED" w:rsidRPr="003075B3" w:rsidRDefault="00376CED" w:rsidP="00376CED">
      <w:pPr>
        <w:pStyle w:val="Para1"/>
        <w:numPr>
          <w:ilvl w:val="0"/>
          <w:numId w:val="50"/>
        </w:numPr>
        <w:tabs>
          <w:tab w:val="clear" w:pos="360"/>
        </w:tabs>
        <w:kinsoku w:val="0"/>
        <w:overflowPunct w:val="0"/>
        <w:autoSpaceDE w:val="0"/>
        <w:autoSpaceDN w:val="0"/>
        <w:ind w:firstLine="709"/>
      </w:pPr>
      <w:r w:rsidRPr="003075B3">
        <w:rPr>
          <w:i/>
        </w:rPr>
        <w:t>Welcomes</w:t>
      </w:r>
      <w:r w:rsidRPr="003075B3">
        <w:t xml:space="preserve"> the additional third national reports submitted, and </w:t>
      </w:r>
      <w:r w:rsidRPr="003075B3">
        <w:rPr>
          <w:i/>
        </w:rPr>
        <w:t>urges</w:t>
      </w:r>
      <w:r w:rsidRPr="003075B3">
        <w:t xml:space="preserve"> the Parties that have not yet submitted their third national report to do so as soon as possible;</w:t>
      </w:r>
      <w:r w:rsidRPr="003075B3">
        <w:rPr>
          <w:rStyle w:val="FootnoteReference"/>
          <w:sz w:val="22"/>
          <w:u w:val="none"/>
          <w:vertAlign w:val="superscript"/>
        </w:rPr>
        <w:footnoteReference w:id="11"/>
      </w:r>
    </w:p>
    <w:p w14:paraId="16B778C5" w14:textId="77777777" w:rsidR="00376CED" w:rsidRPr="003075B3" w:rsidRDefault="00376CED" w:rsidP="00376CED">
      <w:pPr>
        <w:pStyle w:val="Para1"/>
        <w:numPr>
          <w:ilvl w:val="0"/>
          <w:numId w:val="13"/>
        </w:numPr>
        <w:tabs>
          <w:tab w:val="clear" w:pos="360"/>
        </w:tabs>
        <w:kinsoku w:val="0"/>
        <w:overflowPunct w:val="0"/>
        <w:autoSpaceDE w:val="0"/>
        <w:autoSpaceDN w:val="0"/>
        <w:ind w:firstLine="720"/>
        <w:rPr>
          <w:snapToGrid/>
        </w:rPr>
      </w:pPr>
      <w:r w:rsidRPr="003075B3">
        <w:rPr>
          <w:i/>
          <w:snapToGrid/>
        </w:rPr>
        <w:t>Adopts</w:t>
      </w:r>
      <w:r w:rsidRPr="003075B3">
        <w:rPr>
          <w:snapToGrid/>
        </w:rPr>
        <w:t xml:space="preserve"> the reporting format annexed hereto, and </w:t>
      </w:r>
      <w:r w:rsidRPr="003075B3">
        <w:rPr>
          <w:i/>
          <w:snapToGrid/>
        </w:rPr>
        <w:t>requests</w:t>
      </w:r>
      <w:r w:rsidRPr="003075B3">
        <w:rPr>
          <w:snapToGrid/>
        </w:rPr>
        <w:t xml:space="preserve"> Parties to use it for the fourth national report on the implementation of the Cartagena Protocol on Biosafety;</w:t>
      </w:r>
    </w:p>
    <w:p w14:paraId="17A0E008" w14:textId="77777777" w:rsidR="00376CED" w:rsidRPr="003075B3" w:rsidRDefault="00376CED" w:rsidP="00376CED">
      <w:pPr>
        <w:pStyle w:val="Para1"/>
        <w:numPr>
          <w:ilvl w:val="0"/>
          <w:numId w:val="13"/>
        </w:numPr>
        <w:tabs>
          <w:tab w:val="clear" w:pos="360"/>
        </w:tabs>
        <w:kinsoku w:val="0"/>
        <w:overflowPunct w:val="0"/>
        <w:autoSpaceDE w:val="0"/>
        <w:autoSpaceDN w:val="0"/>
        <w:ind w:firstLine="720"/>
        <w:rPr>
          <w:snapToGrid/>
        </w:rPr>
      </w:pPr>
      <w:r w:rsidRPr="003075B3">
        <w:rPr>
          <w:i/>
          <w:snapToGrid/>
        </w:rPr>
        <w:t>Invites</w:t>
      </w:r>
      <w:r w:rsidRPr="003075B3">
        <w:rPr>
          <w:snapToGrid/>
        </w:rPr>
        <w:t xml:space="preserve"> Parties to prepare their reports through a consultative process involving all relevant national stakeholders, including indigenous peoples and local communities, as appropriate;</w:t>
      </w:r>
    </w:p>
    <w:p w14:paraId="11BF4ACE" w14:textId="77777777" w:rsidR="00376CED" w:rsidRPr="003075B3" w:rsidRDefault="00376CED" w:rsidP="00376CED">
      <w:pPr>
        <w:pStyle w:val="Para1"/>
        <w:numPr>
          <w:ilvl w:val="0"/>
          <w:numId w:val="13"/>
        </w:numPr>
        <w:tabs>
          <w:tab w:val="clear" w:pos="360"/>
        </w:tabs>
        <w:kinsoku w:val="0"/>
        <w:overflowPunct w:val="0"/>
        <w:autoSpaceDE w:val="0"/>
        <w:autoSpaceDN w:val="0"/>
        <w:ind w:firstLine="720"/>
        <w:rPr>
          <w:snapToGrid/>
          <w:spacing w:val="-1"/>
        </w:rPr>
      </w:pPr>
      <w:r w:rsidRPr="003075B3">
        <w:rPr>
          <w:i/>
          <w:snapToGrid/>
          <w:spacing w:val="-1"/>
        </w:rPr>
        <w:t>Encourages</w:t>
      </w:r>
      <w:r w:rsidRPr="003075B3">
        <w:rPr>
          <w:snapToGrid/>
          <w:spacing w:val="-1"/>
        </w:rPr>
        <w:t xml:space="preserve"> Parties to respond to all questions in the reporting format, and stresses the importance of the timely submission of fourth national reports </w:t>
      </w:r>
      <w:proofErr w:type="gramStart"/>
      <w:r w:rsidRPr="003075B3">
        <w:rPr>
          <w:snapToGrid/>
          <w:spacing w:val="-1"/>
        </w:rPr>
        <w:t>in order to</w:t>
      </w:r>
      <w:proofErr w:type="gramEnd"/>
      <w:r w:rsidRPr="003075B3">
        <w:rPr>
          <w:snapToGrid/>
          <w:spacing w:val="-1"/>
        </w:rPr>
        <w:t xml:space="preserve"> facilitate the fourth assessment and review of the effectiveness of the Cartagena Protocol and the final evaluation of the Strategic Plan for the Cartagena Protocol on Biosafety for the period 2011-2020;</w:t>
      </w:r>
      <w:r w:rsidRPr="003075B3">
        <w:rPr>
          <w:rStyle w:val="FootnoteReference"/>
          <w:sz w:val="22"/>
          <w:u w:val="none"/>
          <w:vertAlign w:val="superscript"/>
        </w:rPr>
        <w:footnoteReference w:id="12"/>
      </w:r>
    </w:p>
    <w:p w14:paraId="72A587A4" w14:textId="77777777" w:rsidR="00376CED" w:rsidRPr="003075B3" w:rsidRDefault="00376CED" w:rsidP="00376CED">
      <w:pPr>
        <w:pStyle w:val="Para1"/>
        <w:numPr>
          <w:ilvl w:val="0"/>
          <w:numId w:val="13"/>
        </w:numPr>
        <w:tabs>
          <w:tab w:val="clear" w:pos="360"/>
        </w:tabs>
        <w:kinsoku w:val="0"/>
        <w:overflowPunct w:val="0"/>
        <w:autoSpaceDE w:val="0"/>
        <w:autoSpaceDN w:val="0"/>
        <w:ind w:firstLine="720"/>
        <w:rPr>
          <w:snapToGrid/>
        </w:rPr>
      </w:pPr>
      <w:r w:rsidRPr="003075B3">
        <w:rPr>
          <w:i/>
          <w:snapToGrid/>
        </w:rPr>
        <w:t>Requests</w:t>
      </w:r>
      <w:r w:rsidRPr="003075B3">
        <w:rPr>
          <w:snapToGrid/>
        </w:rPr>
        <w:t xml:space="preserve"> Parties and invites other Governments to submit to the Secretariat their fourth national report on the implementation of the Cartagena Protocol on Biosafety:</w:t>
      </w:r>
    </w:p>
    <w:p w14:paraId="5351915E" w14:textId="77777777" w:rsidR="00376CED" w:rsidRPr="003075B3" w:rsidRDefault="00376CED" w:rsidP="00725967">
      <w:pPr>
        <w:pStyle w:val="Para1"/>
        <w:numPr>
          <w:ilvl w:val="0"/>
          <w:numId w:val="0"/>
        </w:numPr>
        <w:kinsoku w:val="0"/>
        <w:overflowPunct w:val="0"/>
        <w:autoSpaceDE w:val="0"/>
        <w:autoSpaceDN w:val="0"/>
        <w:ind w:firstLine="720"/>
        <w:rPr>
          <w:snapToGrid/>
        </w:rPr>
      </w:pPr>
      <w:r w:rsidRPr="003075B3">
        <w:rPr>
          <w:snapToGrid/>
        </w:rPr>
        <w:t>(a)</w:t>
      </w:r>
      <w:r w:rsidRPr="003075B3">
        <w:rPr>
          <w:snapToGrid/>
        </w:rPr>
        <w:tab/>
        <w:t>In an official language of the United Nations;</w:t>
      </w:r>
    </w:p>
    <w:p w14:paraId="7B42A779" w14:textId="77777777" w:rsidR="00376CED" w:rsidRPr="003075B3" w:rsidRDefault="00376CED" w:rsidP="00725967">
      <w:pPr>
        <w:pStyle w:val="Para1"/>
        <w:numPr>
          <w:ilvl w:val="0"/>
          <w:numId w:val="0"/>
        </w:numPr>
        <w:kinsoku w:val="0"/>
        <w:overflowPunct w:val="0"/>
        <w:autoSpaceDE w:val="0"/>
        <w:autoSpaceDN w:val="0"/>
        <w:ind w:firstLine="720"/>
        <w:rPr>
          <w:snapToGrid/>
        </w:rPr>
      </w:pPr>
      <w:r w:rsidRPr="003075B3">
        <w:rPr>
          <w:snapToGrid/>
        </w:rPr>
        <w:t>(b)</w:t>
      </w:r>
      <w:r w:rsidRPr="003075B3">
        <w:rPr>
          <w:snapToGrid/>
        </w:rPr>
        <w:tab/>
        <w:t>Twelve months prior to the tenth meeting of the Conference of the Parties serving as the meeting of the Parties to the Protocol, which will consider the report;</w:t>
      </w:r>
    </w:p>
    <w:p w14:paraId="471FD57A" w14:textId="77777777" w:rsidR="00376CED" w:rsidRPr="003075B3" w:rsidRDefault="00376CED" w:rsidP="00725967">
      <w:pPr>
        <w:pStyle w:val="Para1"/>
        <w:numPr>
          <w:ilvl w:val="0"/>
          <w:numId w:val="0"/>
        </w:numPr>
        <w:kinsoku w:val="0"/>
        <w:overflowPunct w:val="0"/>
        <w:autoSpaceDE w:val="0"/>
        <w:autoSpaceDN w:val="0"/>
        <w:ind w:firstLine="720"/>
        <w:rPr>
          <w:snapToGrid/>
        </w:rPr>
      </w:pPr>
      <w:r w:rsidRPr="003075B3">
        <w:rPr>
          <w:snapToGrid/>
        </w:rPr>
        <w:t>(c)</w:t>
      </w:r>
      <w:r w:rsidRPr="003075B3">
        <w:rPr>
          <w:snapToGrid/>
        </w:rPr>
        <w:tab/>
        <w:t>Preferably online through the Biosafety Clearing-House, or offline using the appropriate form that will be made available by the Secretariat for this purpose, duly signed by the national focal point for the Cartagena Protocol;</w:t>
      </w:r>
    </w:p>
    <w:p w14:paraId="2B4D815D" w14:textId="77777777" w:rsidR="00376CED" w:rsidRPr="003075B3" w:rsidRDefault="00376CED" w:rsidP="00376CED">
      <w:pPr>
        <w:pStyle w:val="Para1"/>
        <w:numPr>
          <w:ilvl w:val="0"/>
          <w:numId w:val="13"/>
        </w:numPr>
        <w:tabs>
          <w:tab w:val="clear" w:pos="360"/>
        </w:tabs>
        <w:kinsoku w:val="0"/>
        <w:overflowPunct w:val="0"/>
        <w:autoSpaceDE w:val="0"/>
        <w:autoSpaceDN w:val="0"/>
        <w:ind w:firstLine="720"/>
        <w:rPr>
          <w:snapToGrid/>
        </w:rPr>
      </w:pPr>
      <w:r w:rsidRPr="003075B3">
        <w:rPr>
          <w:i/>
          <w:snapToGrid/>
        </w:rPr>
        <w:t xml:space="preserve">Requests </w:t>
      </w:r>
      <w:r w:rsidRPr="003075B3">
        <w:rPr>
          <w:snapToGrid/>
        </w:rPr>
        <w:t>the Executive Secretary to continue making available, in the online reporting tool, the option to view and select the answers provided in the previous national report submitted by the Party concerned;</w:t>
      </w:r>
    </w:p>
    <w:p w14:paraId="576890AB" w14:textId="77777777" w:rsidR="00376CED" w:rsidRPr="003075B3" w:rsidRDefault="00376CED" w:rsidP="00376CED">
      <w:pPr>
        <w:pStyle w:val="Para1"/>
        <w:numPr>
          <w:ilvl w:val="0"/>
          <w:numId w:val="13"/>
        </w:numPr>
        <w:tabs>
          <w:tab w:val="clear" w:pos="360"/>
        </w:tabs>
        <w:kinsoku w:val="0"/>
        <w:overflowPunct w:val="0"/>
        <w:autoSpaceDE w:val="0"/>
        <w:autoSpaceDN w:val="0"/>
        <w:ind w:firstLine="720"/>
        <w:rPr>
          <w:i/>
          <w:snapToGrid/>
        </w:rPr>
      </w:pPr>
      <w:r w:rsidRPr="003075B3">
        <w:rPr>
          <w:i/>
          <w:snapToGrid/>
        </w:rPr>
        <w:t>Also requests</w:t>
      </w:r>
      <w:r w:rsidRPr="003075B3">
        <w:rPr>
          <w:snapToGrid/>
        </w:rPr>
        <w:t xml:space="preserve"> the Executive Secretary to continue to facilitate the offline submission of national reports;</w:t>
      </w:r>
    </w:p>
    <w:p w14:paraId="6182DFB0" w14:textId="77777777" w:rsidR="00376CED" w:rsidRPr="003075B3" w:rsidRDefault="00376CED" w:rsidP="00376CED">
      <w:pPr>
        <w:pStyle w:val="Para1"/>
        <w:numPr>
          <w:ilvl w:val="0"/>
          <w:numId w:val="13"/>
        </w:numPr>
        <w:tabs>
          <w:tab w:val="clear" w:pos="360"/>
        </w:tabs>
        <w:kinsoku w:val="0"/>
        <w:overflowPunct w:val="0"/>
        <w:autoSpaceDE w:val="0"/>
        <w:autoSpaceDN w:val="0"/>
        <w:ind w:firstLine="720"/>
        <w:rPr>
          <w:snapToGrid/>
        </w:rPr>
      </w:pPr>
      <w:r w:rsidRPr="003075B3">
        <w:rPr>
          <w:i/>
          <w:snapToGrid/>
        </w:rPr>
        <w:t>Recommends</w:t>
      </w:r>
      <w:r w:rsidRPr="003075B3">
        <w:rPr>
          <w:snapToGrid/>
        </w:rPr>
        <w:t xml:space="preserve"> to the Conference of the Parties, in adopting guidance to the financial mechanism, that it </w:t>
      </w:r>
      <w:proofErr w:type="gramStart"/>
      <w:r w:rsidRPr="003075B3">
        <w:rPr>
          <w:snapToGrid/>
        </w:rPr>
        <w:t>invite</w:t>
      </w:r>
      <w:proofErr w:type="gramEnd"/>
      <w:r w:rsidRPr="003075B3">
        <w:rPr>
          <w:snapToGrid/>
        </w:rPr>
        <w:t xml:space="preserve"> the Global Environment Facility to make available, in a timely manner, financial </w:t>
      </w:r>
      <w:r w:rsidRPr="003075B3">
        <w:rPr>
          <w:snapToGrid/>
        </w:rPr>
        <w:lastRenderedPageBreak/>
        <w:t>resources to eligible Parties to facilitate the preparation and submission of their fourth national reports under the Protocol;</w:t>
      </w:r>
    </w:p>
    <w:p w14:paraId="11C79B24" w14:textId="4572C86E" w:rsidR="005A19BD" w:rsidRPr="003075B3" w:rsidRDefault="00376CED" w:rsidP="00237524">
      <w:pPr>
        <w:pStyle w:val="Para1"/>
        <w:numPr>
          <w:ilvl w:val="0"/>
          <w:numId w:val="13"/>
        </w:numPr>
        <w:tabs>
          <w:tab w:val="clear" w:pos="360"/>
        </w:tabs>
        <w:kinsoku w:val="0"/>
        <w:overflowPunct w:val="0"/>
        <w:autoSpaceDE w:val="0"/>
        <w:autoSpaceDN w:val="0"/>
        <w:ind w:firstLine="720"/>
        <w:rPr>
          <w:szCs w:val="18"/>
        </w:rPr>
      </w:pPr>
      <w:r w:rsidRPr="003075B3">
        <w:rPr>
          <w:i/>
        </w:rPr>
        <w:t>Accepts</w:t>
      </w:r>
      <w:r w:rsidRPr="003075B3">
        <w:t xml:space="preserve"> the invitation of the Conference of the Parties to the Convention, contained in decision 14/27, and </w:t>
      </w:r>
      <w:r w:rsidRPr="003075B3">
        <w:rPr>
          <w:i/>
        </w:rPr>
        <w:t>decides</w:t>
      </w:r>
      <w:r w:rsidRPr="003075B3">
        <w:t xml:space="preserve"> to have a synchronized national reporting cycle commencing in 2023.</w:t>
      </w:r>
    </w:p>
    <w:p w14:paraId="5D13CA81"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240" w:after="120"/>
        <w:jc w:val="center"/>
        <w:outlineLvl w:val="2"/>
        <w:rPr>
          <w:i/>
          <w:kern w:val="22"/>
          <w:sz w:val="20"/>
          <w:szCs w:val="20"/>
        </w:rPr>
      </w:pPr>
      <w:bookmarkStart w:id="16" w:name="_Toc879817"/>
      <w:r w:rsidRPr="003075B3">
        <w:rPr>
          <w:i/>
          <w:kern w:val="22"/>
          <w:sz w:val="20"/>
          <w:szCs w:val="20"/>
        </w:rPr>
        <w:t>Annex</w:t>
      </w:r>
      <w:bookmarkEnd w:id="16"/>
    </w:p>
    <w:p w14:paraId="5B4C9E43"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0"/>
        <w:rPr>
          <w:b/>
          <w:bCs/>
          <w:iCs/>
          <w:caps/>
          <w:color w:val="000000"/>
          <w:kern w:val="22"/>
          <w:sz w:val="20"/>
          <w:szCs w:val="20"/>
        </w:rPr>
      </w:pPr>
      <w:bookmarkStart w:id="17" w:name="_Toc879818"/>
      <w:r w:rsidRPr="003075B3">
        <w:rPr>
          <w:b/>
          <w:bCs/>
          <w:iCs/>
          <w:caps/>
          <w:color w:val="000000"/>
          <w:kern w:val="22"/>
          <w:sz w:val="20"/>
          <w:szCs w:val="20"/>
        </w:rPr>
        <w:t>Updated draft format for the fourth national report under the Cartagena Protocol on Biosafety</w:t>
      </w:r>
      <w:bookmarkEnd w:id="17"/>
    </w:p>
    <w:p w14:paraId="256063A8"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rFonts w:eastAsia="Arial Unicode MS"/>
          <w:b/>
          <w:bCs/>
          <w:iCs/>
          <w:kern w:val="22"/>
          <w:sz w:val="20"/>
          <w:szCs w:val="20"/>
        </w:rPr>
      </w:pPr>
      <w:bookmarkStart w:id="18" w:name="_Toc56310567"/>
      <w:bookmarkStart w:id="19" w:name="_Toc56309722"/>
      <w:r w:rsidRPr="003075B3">
        <w:rPr>
          <w:rFonts w:eastAsia="Arial Unicode MS"/>
          <w:b/>
          <w:bCs/>
          <w:iCs/>
          <w:kern w:val="22"/>
          <w:sz w:val="20"/>
          <w:szCs w:val="20"/>
        </w:rPr>
        <w:t>Origin of the report</w:t>
      </w:r>
      <w:bookmarkEnd w:id="18"/>
      <w:bookmarkEnd w:id="19"/>
    </w:p>
    <w:tbl>
      <w:tblPr>
        <w:tblW w:w="5038" w:type="pct"/>
        <w:tblLook w:val="01E0" w:firstRow="1" w:lastRow="1" w:firstColumn="1" w:lastColumn="1" w:noHBand="0" w:noVBand="0"/>
      </w:tblPr>
      <w:tblGrid>
        <w:gridCol w:w="4553"/>
        <w:gridCol w:w="4981"/>
      </w:tblGrid>
      <w:tr w:rsidR="00376CED" w:rsidRPr="003075B3" w14:paraId="78472383" w14:textId="77777777" w:rsidTr="00725967">
        <w:trPr>
          <w:cantSplit/>
        </w:trPr>
        <w:tc>
          <w:tcPr>
            <w:tcW w:w="2388" w:type="pct"/>
            <w:vAlign w:val="center"/>
            <w:hideMark/>
          </w:tcPr>
          <w:p w14:paraId="7DDBEC69" w14:textId="77777777" w:rsidR="00376CED" w:rsidRPr="003075B3" w:rsidRDefault="00376CED" w:rsidP="00376CED">
            <w:pPr>
              <w:numPr>
                <w:ilvl w:val="0"/>
                <w:numId w:val="48"/>
              </w:numPr>
              <w:suppressLineNumbers/>
              <w:shd w:val="clear" w:color="auto" w:fill="FFFFFF" w:themeFill="background1"/>
              <w:suppressAutoHyphens/>
              <w:kinsoku w:val="0"/>
              <w:overflowPunct w:val="0"/>
              <w:autoSpaceDE w:val="0"/>
              <w:autoSpaceDN w:val="0"/>
              <w:adjustRightInd w:val="0"/>
              <w:snapToGrid w:val="0"/>
              <w:spacing w:before="120" w:after="120"/>
              <w:ind w:left="540" w:hanging="540"/>
              <w:rPr>
                <w:b/>
                <w:kern w:val="22"/>
                <w:sz w:val="20"/>
                <w:szCs w:val="20"/>
              </w:rPr>
            </w:pPr>
            <w:r w:rsidRPr="003075B3">
              <w:rPr>
                <w:b/>
                <w:kern w:val="22"/>
                <w:sz w:val="20"/>
                <w:szCs w:val="20"/>
              </w:rPr>
              <w:t>Country:</w:t>
            </w:r>
          </w:p>
        </w:tc>
        <w:tc>
          <w:tcPr>
            <w:tcW w:w="2612" w:type="pct"/>
            <w:vAlign w:val="center"/>
            <w:hideMark/>
          </w:tcPr>
          <w:p w14:paraId="790963D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3075B3">
              <w:rPr>
                <w:rFonts w:eastAsia="Arial Unicode MS"/>
                <w:b/>
                <w:bCs/>
                <w:iCs/>
                <w:kern w:val="22"/>
                <w:sz w:val="20"/>
                <w:szCs w:val="20"/>
              </w:rPr>
              <w:fldChar w:fldCharType="begin">
                <w:ffData>
                  <w:name w:val=""/>
                  <w:enabled/>
                  <w:calcOnExit w:val="0"/>
                  <w:textInput>
                    <w:default w:val="[                   Type your text here                   ]"/>
                  </w:textInput>
                </w:ffData>
              </w:fldChar>
            </w:r>
            <w:r w:rsidRPr="003075B3">
              <w:rPr>
                <w:rFonts w:eastAsia="Arial Unicode MS"/>
                <w:b/>
                <w:bCs/>
                <w:iCs/>
                <w:kern w:val="22"/>
                <w:sz w:val="20"/>
                <w:szCs w:val="20"/>
              </w:rPr>
              <w:instrText xml:space="preserve"> FORMTEXT </w:instrText>
            </w:r>
            <w:r w:rsidRPr="003075B3">
              <w:rPr>
                <w:rFonts w:eastAsia="Arial Unicode MS"/>
                <w:b/>
                <w:bCs/>
                <w:iCs/>
                <w:kern w:val="22"/>
                <w:sz w:val="20"/>
                <w:szCs w:val="20"/>
              </w:rPr>
            </w:r>
            <w:r w:rsidRPr="003075B3">
              <w:rPr>
                <w:rFonts w:eastAsia="Arial Unicode MS"/>
                <w:b/>
                <w:bCs/>
                <w:iCs/>
                <w:kern w:val="22"/>
                <w:sz w:val="20"/>
                <w:szCs w:val="20"/>
              </w:rPr>
              <w:fldChar w:fldCharType="separate"/>
            </w:r>
            <w:r w:rsidRPr="003075B3">
              <w:rPr>
                <w:rFonts w:eastAsia="Arial Unicode MS"/>
                <w:b/>
                <w:bCs/>
                <w:iCs/>
                <w:noProof/>
                <w:kern w:val="22"/>
                <w:sz w:val="20"/>
                <w:szCs w:val="20"/>
              </w:rPr>
              <w:t>[                   Type your text here                   ]</w:t>
            </w:r>
            <w:r w:rsidRPr="003075B3">
              <w:rPr>
                <w:rFonts w:eastAsia="Arial Unicode MS"/>
                <w:b/>
                <w:bCs/>
                <w:iCs/>
                <w:kern w:val="22"/>
                <w:sz w:val="20"/>
                <w:szCs w:val="20"/>
              </w:rPr>
              <w:fldChar w:fldCharType="end"/>
            </w:r>
          </w:p>
        </w:tc>
      </w:tr>
      <w:tr w:rsidR="00376CED" w:rsidRPr="003075B3" w14:paraId="298A7538" w14:textId="77777777" w:rsidTr="00725967">
        <w:trPr>
          <w:cantSplit/>
        </w:trPr>
        <w:tc>
          <w:tcPr>
            <w:tcW w:w="2388" w:type="pct"/>
            <w:vAlign w:val="center"/>
            <w:hideMark/>
          </w:tcPr>
          <w:p w14:paraId="5C2A49A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40" w:hanging="540"/>
              <w:rPr>
                <w:i/>
                <w:kern w:val="22"/>
                <w:sz w:val="20"/>
                <w:szCs w:val="20"/>
              </w:rPr>
            </w:pPr>
            <w:r w:rsidRPr="003075B3">
              <w:rPr>
                <w:i/>
                <w:kern w:val="22"/>
                <w:sz w:val="20"/>
                <w:szCs w:val="20"/>
              </w:rPr>
              <w:t>Contact person submitting the report</w:t>
            </w:r>
          </w:p>
        </w:tc>
        <w:tc>
          <w:tcPr>
            <w:tcW w:w="2612" w:type="pct"/>
            <w:vAlign w:val="center"/>
          </w:tcPr>
          <w:p w14:paraId="5D588F9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p>
        </w:tc>
      </w:tr>
      <w:tr w:rsidR="00376CED" w:rsidRPr="003075B3" w14:paraId="14AF4936" w14:textId="77777777" w:rsidTr="00725967">
        <w:trPr>
          <w:cantSplit/>
        </w:trPr>
        <w:tc>
          <w:tcPr>
            <w:tcW w:w="2388" w:type="pct"/>
            <w:vAlign w:val="center"/>
            <w:hideMark/>
          </w:tcPr>
          <w:p w14:paraId="3FBFB07F" w14:textId="77777777" w:rsidR="00376CED" w:rsidRPr="003075B3" w:rsidRDefault="00376CED" w:rsidP="00376CED">
            <w:pPr>
              <w:numPr>
                <w:ilvl w:val="0"/>
                <w:numId w:val="48"/>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rPr>
                <w:kern w:val="22"/>
                <w:sz w:val="20"/>
                <w:szCs w:val="20"/>
              </w:rPr>
            </w:pPr>
            <w:r w:rsidRPr="003075B3">
              <w:rPr>
                <w:kern w:val="22"/>
                <w:sz w:val="20"/>
                <w:szCs w:val="20"/>
              </w:rPr>
              <w:t>Name:</w:t>
            </w:r>
          </w:p>
        </w:tc>
        <w:bookmarkStart w:id="20" w:name="Text3"/>
        <w:tc>
          <w:tcPr>
            <w:tcW w:w="2612" w:type="pct"/>
            <w:vAlign w:val="center"/>
            <w:hideMark/>
          </w:tcPr>
          <w:p w14:paraId="37E2D91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rFonts w:eastAsia="Arial Unicode MS"/>
                <w:b/>
                <w:bCs/>
                <w:iCs/>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rFonts w:eastAsia="Arial Unicode MS"/>
                <w:b/>
                <w:bCs/>
                <w:iCs/>
                <w:noProof/>
                <w:kern w:val="22"/>
                <w:sz w:val="20"/>
                <w:szCs w:val="20"/>
              </w:rPr>
              <w:t>[                   Type your text here                   ]</w:t>
            </w:r>
            <w:r w:rsidRPr="003075B3">
              <w:rPr>
                <w:kern w:val="22"/>
                <w:sz w:val="20"/>
                <w:szCs w:val="20"/>
              </w:rPr>
              <w:fldChar w:fldCharType="end"/>
            </w:r>
            <w:bookmarkEnd w:id="20"/>
          </w:p>
        </w:tc>
      </w:tr>
      <w:tr w:rsidR="00376CED" w:rsidRPr="003075B3" w14:paraId="24ED3DDB" w14:textId="77777777" w:rsidTr="00725967">
        <w:trPr>
          <w:cantSplit/>
        </w:trPr>
        <w:tc>
          <w:tcPr>
            <w:tcW w:w="2388" w:type="pct"/>
            <w:vAlign w:val="center"/>
            <w:hideMark/>
          </w:tcPr>
          <w:p w14:paraId="239847C7" w14:textId="77777777" w:rsidR="00376CED" w:rsidRPr="003075B3" w:rsidRDefault="00376CED" w:rsidP="00376CED">
            <w:pPr>
              <w:numPr>
                <w:ilvl w:val="0"/>
                <w:numId w:val="48"/>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rPr>
                <w:kern w:val="22"/>
                <w:sz w:val="20"/>
                <w:szCs w:val="20"/>
              </w:rPr>
            </w:pPr>
            <w:r w:rsidRPr="003075B3">
              <w:rPr>
                <w:kern w:val="22"/>
                <w:sz w:val="20"/>
                <w:szCs w:val="20"/>
              </w:rPr>
              <w:t>Title:</w:t>
            </w:r>
          </w:p>
        </w:tc>
        <w:tc>
          <w:tcPr>
            <w:tcW w:w="2612" w:type="pct"/>
            <w:vAlign w:val="center"/>
            <w:hideMark/>
          </w:tcPr>
          <w:p w14:paraId="240668B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rPr>
            </w:pPr>
            <w:r w:rsidRPr="003075B3">
              <w:rPr>
                <w:rFonts w:eastAsia="Arial Unicode MS"/>
                <w:b/>
                <w:bCs/>
                <w:iCs/>
                <w:kern w:val="22"/>
                <w:sz w:val="20"/>
                <w:szCs w:val="20"/>
              </w:rPr>
              <w:fldChar w:fldCharType="begin">
                <w:ffData>
                  <w:name w:val=""/>
                  <w:enabled/>
                  <w:calcOnExit w:val="0"/>
                  <w:textInput>
                    <w:default w:val="[                   Type your text here                   ]"/>
                  </w:textInput>
                </w:ffData>
              </w:fldChar>
            </w:r>
            <w:r w:rsidRPr="003075B3">
              <w:rPr>
                <w:rFonts w:eastAsia="Arial Unicode MS"/>
                <w:b/>
                <w:bCs/>
                <w:iCs/>
                <w:kern w:val="22"/>
                <w:sz w:val="20"/>
                <w:szCs w:val="20"/>
              </w:rPr>
              <w:instrText xml:space="preserve"> FORMTEXT </w:instrText>
            </w:r>
            <w:r w:rsidRPr="003075B3">
              <w:rPr>
                <w:rFonts w:eastAsia="Arial Unicode MS"/>
                <w:b/>
                <w:bCs/>
                <w:iCs/>
                <w:kern w:val="22"/>
                <w:sz w:val="20"/>
                <w:szCs w:val="20"/>
              </w:rPr>
            </w:r>
            <w:r w:rsidRPr="003075B3">
              <w:rPr>
                <w:rFonts w:eastAsia="Arial Unicode MS"/>
                <w:b/>
                <w:bCs/>
                <w:iCs/>
                <w:kern w:val="22"/>
                <w:sz w:val="20"/>
                <w:szCs w:val="20"/>
              </w:rPr>
              <w:fldChar w:fldCharType="separate"/>
            </w:r>
            <w:r w:rsidRPr="003075B3">
              <w:rPr>
                <w:rFonts w:eastAsia="Arial Unicode MS"/>
                <w:b/>
                <w:bCs/>
                <w:iCs/>
                <w:noProof/>
                <w:kern w:val="22"/>
                <w:sz w:val="20"/>
                <w:szCs w:val="20"/>
              </w:rPr>
              <w:t>[                   Type your text here                   ]</w:t>
            </w:r>
            <w:r w:rsidRPr="003075B3">
              <w:rPr>
                <w:rFonts w:eastAsia="Arial Unicode MS"/>
                <w:b/>
                <w:bCs/>
                <w:iCs/>
                <w:kern w:val="22"/>
                <w:sz w:val="20"/>
                <w:szCs w:val="20"/>
              </w:rPr>
              <w:fldChar w:fldCharType="end"/>
            </w:r>
          </w:p>
        </w:tc>
      </w:tr>
      <w:tr w:rsidR="00376CED" w:rsidRPr="003075B3" w14:paraId="5028B89C" w14:textId="77777777" w:rsidTr="00725967">
        <w:trPr>
          <w:cantSplit/>
        </w:trPr>
        <w:tc>
          <w:tcPr>
            <w:tcW w:w="2388" w:type="pct"/>
            <w:vAlign w:val="center"/>
            <w:hideMark/>
          </w:tcPr>
          <w:p w14:paraId="3C6AC590" w14:textId="77777777" w:rsidR="00376CED" w:rsidRPr="003075B3" w:rsidRDefault="00376CED" w:rsidP="00376CED">
            <w:pPr>
              <w:numPr>
                <w:ilvl w:val="0"/>
                <w:numId w:val="48"/>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rPr>
                <w:kern w:val="22"/>
                <w:sz w:val="20"/>
                <w:szCs w:val="20"/>
              </w:rPr>
            </w:pPr>
            <w:r w:rsidRPr="003075B3">
              <w:rPr>
                <w:kern w:val="22"/>
                <w:sz w:val="20"/>
                <w:szCs w:val="20"/>
              </w:rPr>
              <w:t>Organization:</w:t>
            </w:r>
          </w:p>
        </w:tc>
        <w:tc>
          <w:tcPr>
            <w:tcW w:w="2612" w:type="pct"/>
            <w:vAlign w:val="center"/>
            <w:hideMark/>
          </w:tcPr>
          <w:p w14:paraId="6729F85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rPr>
            </w:pPr>
            <w:r w:rsidRPr="003075B3">
              <w:rPr>
                <w:rFonts w:eastAsia="Arial Unicode MS"/>
                <w:b/>
                <w:bCs/>
                <w:iCs/>
                <w:kern w:val="22"/>
                <w:sz w:val="20"/>
                <w:szCs w:val="20"/>
              </w:rPr>
              <w:fldChar w:fldCharType="begin">
                <w:ffData>
                  <w:name w:val=""/>
                  <w:enabled/>
                  <w:calcOnExit w:val="0"/>
                  <w:textInput>
                    <w:default w:val="[                   Type your text here                   ]"/>
                  </w:textInput>
                </w:ffData>
              </w:fldChar>
            </w:r>
            <w:r w:rsidRPr="003075B3">
              <w:rPr>
                <w:rFonts w:eastAsia="Arial Unicode MS"/>
                <w:b/>
                <w:bCs/>
                <w:iCs/>
                <w:kern w:val="22"/>
                <w:sz w:val="20"/>
                <w:szCs w:val="20"/>
              </w:rPr>
              <w:instrText xml:space="preserve"> FORMTEXT </w:instrText>
            </w:r>
            <w:r w:rsidRPr="003075B3">
              <w:rPr>
                <w:rFonts w:eastAsia="Arial Unicode MS"/>
                <w:b/>
                <w:bCs/>
                <w:iCs/>
                <w:kern w:val="22"/>
                <w:sz w:val="20"/>
                <w:szCs w:val="20"/>
              </w:rPr>
            </w:r>
            <w:r w:rsidRPr="003075B3">
              <w:rPr>
                <w:rFonts w:eastAsia="Arial Unicode MS"/>
                <w:b/>
                <w:bCs/>
                <w:iCs/>
                <w:kern w:val="22"/>
                <w:sz w:val="20"/>
                <w:szCs w:val="20"/>
              </w:rPr>
              <w:fldChar w:fldCharType="separate"/>
            </w:r>
            <w:r w:rsidRPr="003075B3">
              <w:rPr>
                <w:rFonts w:eastAsia="Arial Unicode MS"/>
                <w:b/>
                <w:bCs/>
                <w:iCs/>
                <w:noProof/>
                <w:kern w:val="22"/>
                <w:sz w:val="20"/>
                <w:szCs w:val="20"/>
              </w:rPr>
              <w:t>[                   Type your text here                   ]</w:t>
            </w:r>
            <w:r w:rsidRPr="003075B3">
              <w:rPr>
                <w:rFonts w:eastAsia="Arial Unicode MS"/>
                <w:b/>
                <w:bCs/>
                <w:iCs/>
                <w:kern w:val="22"/>
                <w:sz w:val="20"/>
                <w:szCs w:val="20"/>
              </w:rPr>
              <w:fldChar w:fldCharType="end"/>
            </w:r>
          </w:p>
        </w:tc>
      </w:tr>
      <w:tr w:rsidR="00376CED" w:rsidRPr="003075B3" w14:paraId="0479BFF7" w14:textId="77777777" w:rsidTr="00725967">
        <w:trPr>
          <w:cantSplit/>
        </w:trPr>
        <w:tc>
          <w:tcPr>
            <w:tcW w:w="2388" w:type="pct"/>
            <w:vAlign w:val="center"/>
            <w:hideMark/>
          </w:tcPr>
          <w:p w14:paraId="453F0972" w14:textId="77777777" w:rsidR="00376CED" w:rsidRPr="003075B3" w:rsidRDefault="00376CED" w:rsidP="00376CED">
            <w:pPr>
              <w:numPr>
                <w:ilvl w:val="0"/>
                <w:numId w:val="48"/>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rPr>
                <w:kern w:val="22"/>
                <w:sz w:val="20"/>
                <w:szCs w:val="20"/>
              </w:rPr>
            </w:pPr>
            <w:r w:rsidRPr="003075B3">
              <w:rPr>
                <w:kern w:val="22"/>
                <w:sz w:val="20"/>
                <w:szCs w:val="20"/>
              </w:rPr>
              <w:t>Mailing address:</w:t>
            </w:r>
          </w:p>
        </w:tc>
        <w:tc>
          <w:tcPr>
            <w:tcW w:w="2612" w:type="pct"/>
            <w:vAlign w:val="center"/>
            <w:hideMark/>
          </w:tcPr>
          <w:p w14:paraId="1E5A2CE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3075B3">
              <w:rPr>
                <w:rFonts w:eastAsia="Arial Unicode MS"/>
                <w:b/>
                <w:bCs/>
                <w:iCs/>
                <w:kern w:val="22"/>
                <w:sz w:val="20"/>
                <w:szCs w:val="20"/>
              </w:rPr>
              <w:fldChar w:fldCharType="begin">
                <w:ffData>
                  <w:name w:val=""/>
                  <w:enabled/>
                  <w:calcOnExit w:val="0"/>
                  <w:textInput>
                    <w:default w:val="[                   Type your text here                   ]"/>
                  </w:textInput>
                </w:ffData>
              </w:fldChar>
            </w:r>
            <w:r w:rsidRPr="003075B3">
              <w:rPr>
                <w:rFonts w:eastAsia="Arial Unicode MS"/>
                <w:b/>
                <w:bCs/>
                <w:iCs/>
                <w:kern w:val="22"/>
                <w:sz w:val="20"/>
                <w:szCs w:val="20"/>
              </w:rPr>
              <w:instrText xml:space="preserve"> FORMTEXT </w:instrText>
            </w:r>
            <w:r w:rsidRPr="003075B3">
              <w:rPr>
                <w:rFonts w:eastAsia="Arial Unicode MS"/>
                <w:b/>
                <w:bCs/>
                <w:iCs/>
                <w:kern w:val="22"/>
                <w:sz w:val="20"/>
                <w:szCs w:val="20"/>
              </w:rPr>
            </w:r>
            <w:r w:rsidRPr="003075B3">
              <w:rPr>
                <w:rFonts w:eastAsia="Arial Unicode MS"/>
                <w:b/>
                <w:bCs/>
                <w:iCs/>
                <w:kern w:val="22"/>
                <w:sz w:val="20"/>
                <w:szCs w:val="20"/>
              </w:rPr>
              <w:fldChar w:fldCharType="separate"/>
            </w:r>
            <w:r w:rsidRPr="003075B3">
              <w:rPr>
                <w:rFonts w:eastAsia="Arial Unicode MS"/>
                <w:b/>
                <w:bCs/>
                <w:iCs/>
                <w:noProof/>
                <w:kern w:val="22"/>
                <w:sz w:val="20"/>
                <w:szCs w:val="20"/>
              </w:rPr>
              <w:t>[                   Type your text here                   ]</w:t>
            </w:r>
            <w:r w:rsidRPr="003075B3">
              <w:rPr>
                <w:rFonts w:eastAsia="Arial Unicode MS"/>
                <w:b/>
                <w:bCs/>
                <w:iCs/>
                <w:kern w:val="22"/>
                <w:sz w:val="20"/>
                <w:szCs w:val="20"/>
              </w:rPr>
              <w:fldChar w:fldCharType="end"/>
            </w:r>
          </w:p>
        </w:tc>
      </w:tr>
      <w:tr w:rsidR="00376CED" w:rsidRPr="003075B3" w14:paraId="6A0CAC9A" w14:textId="77777777" w:rsidTr="00725967">
        <w:trPr>
          <w:cantSplit/>
        </w:trPr>
        <w:tc>
          <w:tcPr>
            <w:tcW w:w="2388" w:type="pct"/>
            <w:vAlign w:val="center"/>
            <w:hideMark/>
          </w:tcPr>
          <w:p w14:paraId="4DC607A0" w14:textId="77777777" w:rsidR="00376CED" w:rsidRPr="003075B3" w:rsidRDefault="00376CED" w:rsidP="00376CED">
            <w:pPr>
              <w:numPr>
                <w:ilvl w:val="0"/>
                <w:numId w:val="48"/>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rPr>
                <w:kern w:val="22"/>
                <w:sz w:val="20"/>
                <w:szCs w:val="20"/>
              </w:rPr>
            </w:pPr>
            <w:r w:rsidRPr="003075B3">
              <w:rPr>
                <w:kern w:val="22"/>
                <w:sz w:val="20"/>
                <w:szCs w:val="20"/>
              </w:rPr>
              <w:t>Telephone:</w:t>
            </w:r>
          </w:p>
        </w:tc>
        <w:tc>
          <w:tcPr>
            <w:tcW w:w="2612" w:type="pct"/>
            <w:vAlign w:val="center"/>
            <w:hideMark/>
          </w:tcPr>
          <w:p w14:paraId="411F550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3075B3">
              <w:rPr>
                <w:rFonts w:eastAsia="Arial Unicode MS"/>
                <w:b/>
                <w:bCs/>
                <w:iCs/>
                <w:kern w:val="22"/>
                <w:sz w:val="20"/>
                <w:szCs w:val="20"/>
              </w:rPr>
              <w:fldChar w:fldCharType="begin">
                <w:ffData>
                  <w:name w:val=""/>
                  <w:enabled/>
                  <w:calcOnExit w:val="0"/>
                  <w:textInput>
                    <w:default w:val="[                   Type your text here                   ]"/>
                  </w:textInput>
                </w:ffData>
              </w:fldChar>
            </w:r>
            <w:r w:rsidRPr="003075B3">
              <w:rPr>
                <w:rFonts w:eastAsia="Arial Unicode MS"/>
                <w:b/>
                <w:bCs/>
                <w:iCs/>
                <w:kern w:val="22"/>
                <w:sz w:val="20"/>
                <w:szCs w:val="20"/>
              </w:rPr>
              <w:instrText xml:space="preserve"> FORMTEXT </w:instrText>
            </w:r>
            <w:r w:rsidRPr="003075B3">
              <w:rPr>
                <w:rFonts w:eastAsia="Arial Unicode MS"/>
                <w:b/>
                <w:bCs/>
                <w:iCs/>
                <w:kern w:val="22"/>
                <w:sz w:val="20"/>
                <w:szCs w:val="20"/>
              </w:rPr>
            </w:r>
            <w:r w:rsidRPr="003075B3">
              <w:rPr>
                <w:rFonts w:eastAsia="Arial Unicode MS"/>
                <w:b/>
                <w:bCs/>
                <w:iCs/>
                <w:kern w:val="22"/>
                <w:sz w:val="20"/>
                <w:szCs w:val="20"/>
              </w:rPr>
              <w:fldChar w:fldCharType="separate"/>
            </w:r>
            <w:r w:rsidRPr="003075B3">
              <w:rPr>
                <w:rFonts w:eastAsia="Arial Unicode MS"/>
                <w:b/>
                <w:bCs/>
                <w:iCs/>
                <w:noProof/>
                <w:kern w:val="22"/>
                <w:sz w:val="20"/>
                <w:szCs w:val="20"/>
              </w:rPr>
              <w:t>[                   Type your text here                   ]</w:t>
            </w:r>
            <w:r w:rsidRPr="003075B3">
              <w:rPr>
                <w:rFonts w:eastAsia="Arial Unicode MS"/>
                <w:b/>
                <w:bCs/>
                <w:iCs/>
                <w:kern w:val="22"/>
                <w:sz w:val="20"/>
                <w:szCs w:val="20"/>
              </w:rPr>
              <w:fldChar w:fldCharType="end"/>
            </w:r>
          </w:p>
        </w:tc>
      </w:tr>
      <w:tr w:rsidR="00376CED" w:rsidRPr="003075B3" w14:paraId="7AF65346" w14:textId="77777777" w:rsidTr="00725967">
        <w:trPr>
          <w:cantSplit/>
        </w:trPr>
        <w:tc>
          <w:tcPr>
            <w:tcW w:w="2388" w:type="pct"/>
            <w:vAlign w:val="center"/>
            <w:hideMark/>
          </w:tcPr>
          <w:p w14:paraId="0346745A" w14:textId="77777777" w:rsidR="00376CED" w:rsidRPr="003075B3" w:rsidRDefault="00376CED" w:rsidP="00376CED">
            <w:pPr>
              <w:numPr>
                <w:ilvl w:val="0"/>
                <w:numId w:val="48"/>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rPr>
                <w:kern w:val="22"/>
                <w:sz w:val="20"/>
                <w:szCs w:val="20"/>
              </w:rPr>
            </w:pPr>
            <w:r w:rsidRPr="003075B3">
              <w:rPr>
                <w:kern w:val="22"/>
                <w:sz w:val="20"/>
                <w:szCs w:val="20"/>
              </w:rPr>
              <w:t xml:space="preserve">Fax: </w:t>
            </w:r>
          </w:p>
        </w:tc>
        <w:tc>
          <w:tcPr>
            <w:tcW w:w="2612" w:type="pct"/>
            <w:vAlign w:val="center"/>
            <w:hideMark/>
          </w:tcPr>
          <w:p w14:paraId="40EA637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3075B3">
              <w:rPr>
                <w:rFonts w:eastAsia="Arial Unicode MS"/>
                <w:b/>
                <w:bCs/>
                <w:iCs/>
                <w:kern w:val="22"/>
                <w:sz w:val="20"/>
                <w:szCs w:val="20"/>
              </w:rPr>
              <w:fldChar w:fldCharType="begin">
                <w:ffData>
                  <w:name w:val=""/>
                  <w:enabled/>
                  <w:calcOnExit w:val="0"/>
                  <w:textInput>
                    <w:default w:val="[                   Type your text here                   ]"/>
                  </w:textInput>
                </w:ffData>
              </w:fldChar>
            </w:r>
            <w:r w:rsidRPr="003075B3">
              <w:rPr>
                <w:rFonts w:eastAsia="Arial Unicode MS"/>
                <w:b/>
                <w:bCs/>
                <w:iCs/>
                <w:kern w:val="22"/>
                <w:sz w:val="20"/>
                <w:szCs w:val="20"/>
              </w:rPr>
              <w:instrText xml:space="preserve"> FORMTEXT </w:instrText>
            </w:r>
            <w:r w:rsidRPr="003075B3">
              <w:rPr>
                <w:rFonts w:eastAsia="Arial Unicode MS"/>
                <w:b/>
                <w:bCs/>
                <w:iCs/>
                <w:kern w:val="22"/>
                <w:sz w:val="20"/>
                <w:szCs w:val="20"/>
              </w:rPr>
            </w:r>
            <w:r w:rsidRPr="003075B3">
              <w:rPr>
                <w:rFonts w:eastAsia="Arial Unicode MS"/>
                <w:b/>
                <w:bCs/>
                <w:iCs/>
                <w:kern w:val="22"/>
                <w:sz w:val="20"/>
                <w:szCs w:val="20"/>
              </w:rPr>
              <w:fldChar w:fldCharType="separate"/>
            </w:r>
            <w:r w:rsidRPr="003075B3">
              <w:rPr>
                <w:rFonts w:eastAsia="Arial Unicode MS"/>
                <w:b/>
                <w:bCs/>
                <w:iCs/>
                <w:noProof/>
                <w:kern w:val="22"/>
                <w:sz w:val="20"/>
                <w:szCs w:val="20"/>
              </w:rPr>
              <w:t>[                   Type your text here                   ]</w:t>
            </w:r>
            <w:r w:rsidRPr="003075B3">
              <w:rPr>
                <w:rFonts w:eastAsia="Arial Unicode MS"/>
                <w:b/>
                <w:bCs/>
                <w:iCs/>
                <w:kern w:val="22"/>
                <w:sz w:val="20"/>
                <w:szCs w:val="20"/>
              </w:rPr>
              <w:fldChar w:fldCharType="end"/>
            </w:r>
          </w:p>
        </w:tc>
      </w:tr>
      <w:tr w:rsidR="00376CED" w:rsidRPr="003075B3" w14:paraId="299D5655" w14:textId="77777777" w:rsidTr="00725967">
        <w:trPr>
          <w:cantSplit/>
        </w:trPr>
        <w:tc>
          <w:tcPr>
            <w:tcW w:w="2388" w:type="pct"/>
            <w:vAlign w:val="center"/>
            <w:hideMark/>
          </w:tcPr>
          <w:p w14:paraId="56E5981E" w14:textId="77777777" w:rsidR="00376CED" w:rsidRPr="003075B3" w:rsidRDefault="00376CED" w:rsidP="00376CED">
            <w:pPr>
              <w:numPr>
                <w:ilvl w:val="0"/>
                <w:numId w:val="48"/>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rPr>
                <w:kern w:val="22"/>
                <w:sz w:val="20"/>
                <w:szCs w:val="20"/>
              </w:rPr>
            </w:pPr>
            <w:r w:rsidRPr="003075B3">
              <w:rPr>
                <w:kern w:val="22"/>
                <w:sz w:val="20"/>
                <w:szCs w:val="20"/>
              </w:rPr>
              <w:t>E-mail:</w:t>
            </w:r>
          </w:p>
        </w:tc>
        <w:tc>
          <w:tcPr>
            <w:tcW w:w="2612" w:type="pct"/>
            <w:vAlign w:val="center"/>
            <w:hideMark/>
          </w:tcPr>
          <w:p w14:paraId="4109A21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3075B3">
              <w:rPr>
                <w:rFonts w:eastAsia="Arial Unicode MS"/>
                <w:b/>
                <w:bCs/>
                <w:iCs/>
                <w:kern w:val="22"/>
                <w:sz w:val="20"/>
                <w:szCs w:val="20"/>
              </w:rPr>
              <w:fldChar w:fldCharType="begin">
                <w:ffData>
                  <w:name w:val=""/>
                  <w:enabled/>
                  <w:calcOnExit w:val="0"/>
                  <w:textInput>
                    <w:default w:val="[                   Type your text here                   ]"/>
                  </w:textInput>
                </w:ffData>
              </w:fldChar>
            </w:r>
            <w:r w:rsidRPr="003075B3">
              <w:rPr>
                <w:rFonts w:eastAsia="Arial Unicode MS"/>
                <w:b/>
                <w:bCs/>
                <w:iCs/>
                <w:kern w:val="22"/>
                <w:sz w:val="20"/>
                <w:szCs w:val="20"/>
              </w:rPr>
              <w:instrText xml:space="preserve"> FORMTEXT </w:instrText>
            </w:r>
            <w:r w:rsidRPr="003075B3">
              <w:rPr>
                <w:rFonts w:eastAsia="Arial Unicode MS"/>
                <w:b/>
                <w:bCs/>
                <w:iCs/>
                <w:kern w:val="22"/>
                <w:sz w:val="20"/>
                <w:szCs w:val="20"/>
              </w:rPr>
            </w:r>
            <w:r w:rsidRPr="003075B3">
              <w:rPr>
                <w:rFonts w:eastAsia="Arial Unicode MS"/>
                <w:b/>
                <w:bCs/>
                <w:iCs/>
                <w:kern w:val="22"/>
                <w:sz w:val="20"/>
                <w:szCs w:val="20"/>
              </w:rPr>
              <w:fldChar w:fldCharType="separate"/>
            </w:r>
            <w:r w:rsidRPr="003075B3">
              <w:rPr>
                <w:rFonts w:eastAsia="Arial Unicode MS"/>
                <w:b/>
                <w:bCs/>
                <w:iCs/>
                <w:noProof/>
                <w:kern w:val="22"/>
                <w:sz w:val="20"/>
                <w:szCs w:val="20"/>
              </w:rPr>
              <w:t>[                   Type your text here                   ]</w:t>
            </w:r>
            <w:r w:rsidRPr="003075B3">
              <w:rPr>
                <w:rFonts w:eastAsia="Arial Unicode MS"/>
                <w:b/>
                <w:bCs/>
                <w:iCs/>
                <w:kern w:val="22"/>
                <w:sz w:val="20"/>
                <w:szCs w:val="20"/>
              </w:rPr>
              <w:fldChar w:fldCharType="end"/>
            </w:r>
          </w:p>
        </w:tc>
      </w:tr>
      <w:tr w:rsidR="00376CED" w:rsidRPr="003075B3" w14:paraId="4242B19B" w14:textId="77777777" w:rsidTr="00725967">
        <w:trPr>
          <w:cantSplit/>
        </w:trPr>
        <w:tc>
          <w:tcPr>
            <w:tcW w:w="2388" w:type="pct"/>
            <w:vAlign w:val="center"/>
            <w:hideMark/>
          </w:tcPr>
          <w:p w14:paraId="1405B0E8" w14:textId="77777777" w:rsidR="00376CED" w:rsidRPr="003075B3" w:rsidRDefault="00376CED" w:rsidP="00376CED">
            <w:pPr>
              <w:numPr>
                <w:ilvl w:val="0"/>
                <w:numId w:val="48"/>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rPr>
                <w:i/>
                <w:kern w:val="22"/>
                <w:sz w:val="20"/>
                <w:szCs w:val="20"/>
              </w:rPr>
            </w:pPr>
            <w:r w:rsidRPr="003075B3">
              <w:rPr>
                <w:kern w:val="22"/>
                <w:sz w:val="20"/>
                <w:szCs w:val="20"/>
              </w:rPr>
              <w:t>Organizations/stakeholders who were consulted or participated in the preparation of this report:</w:t>
            </w:r>
          </w:p>
        </w:tc>
        <w:tc>
          <w:tcPr>
            <w:tcW w:w="2612" w:type="pct"/>
            <w:vAlign w:val="center"/>
            <w:hideMark/>
          </w:tcPr>
          <w:p w14:paraId="3960665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Cs/>
                <w:kern w:val="22"/>
                <w:sz w:val="20"/>
                <w:szCs w:val="20"/>
              </w:rPr>
            </w:pPr>
            <w:r w:rsidRPr="003075B3">
              <w:rPr>
                <w:rFonts w:eastAsia="Arial Unicode MS"/>
                <w:b/>
                <w:bCs/>
                <w:iCs/>
                <w:kern w:val="22"/>
                <w:sz w:val="20"/>
                <w:szCs w:val="20"/>
              </w:rPr>
              <w:fldChar w:fldCharType="begin">
                <w:ffData>
                  <w:name w:val=""/>
                  <w:enabled/>
                  <w:calcOnExit w:val="0"/>
                  <w:textInput>
                    <w:default w:val="[                   Type your text here                   ]"/>
                  </w:textInput>
                </w:ffData>
              </w:fldChar>
            </w:r>
            <w:r w:rsidRPr="003075B3">
              <w:rPr>
                <w:rFonts w:eastAsia="Arial Unicode MS"/>
                <w:b/>
                <w:bCs/>
                <w:iCs/>
                <w:kern w:val="22"/>
                <w:sz w:val="20"/>
                <w:szCs w:val="20"/>
              </w:rPr>
              <w:instrText xml:space="preserve"> FORMTEXT </w:instrText>
            </w:r>
            <w:r w:rsidRPr="003075B3">
              <w:rPr>
                <w:rFonts w:eastAsia="Arial Unicode MS"/>
                <w:b/>
                <w:bCs/>
                <w:iCs/>
                <w:kern w:val="22"/>
                <w:sz w:val="20"/>
                <w:szCs w:val="20"/>
              </w:rPr>
            </w:r>
            <w:r w:rsidRPr="003075B3">
              <w:rPr>
                <w:rFonts w:eastAsia="Arial Unicode MS"/>
                <w:b/>
                <w:bCs/>
                <w:iCs/>
                <w:kern w:val="22"/>
                <w:sz w:val="20"/>
                <w:szCs w:val="20"/>
              </w:rPr>
              <w:fldChar w:fldCharType="separate"/>
            </w:r>
            <w:r w:rsidRPr="003075B3">
              <w:rPr>
                <w:rFonts w:eastAsia="Arial Unicode MS"/>
                <w:b/>
                <w:bCs/>
                <w:iCs/>
                <w:noProof/>
                <w:kern w:val="22"/>
                <w:sz w:val="20"/>
                <w:szCs w:val="20"/>
              </w:rPr>
              <w:t>[                   Type your text here                   ]</w:t>
            </w:r>
            <w:r w:rsidRPr="003075B3">
              <w:rPr>
                <w:rFonts w:eastAsia="Arial Unicode MS"/>
                <w:b/>
                <w:bCs/>
                <w:iCs/>
                <w:kern w:val="22"/>
                <w:sz w:val="20"/>
                <w:szCs w:val="20"/>
              </w:rPr>
              <w:fldChar w:fldCharType="end"/>
            </w:r>
          </w:p>
        </w:tc>
      </w:tr>
      <w:tr w:rsidR="00376CED" w:rsidRPr="003075B3" w14:paraId="4D181612" w14:textId="77777777" w:rsidTr="00725967">
        <w:trPr>
          <w:cantSplit/>
        </w:trPr>
        <w:tc>
          <w:tcPr>
            <w:tcW w:w="2388" w:type="pct"/>
            <w:vAlign w:val="center"/>
            <w:hideMark/>
          </w:tcPr>
          <w:p w14:paraId="13A46246" w14:textId="77777777" w:rsidR="00376CED" w:rsidRPr="003075B3" w:rsidRDefault="00376CED" w:rsidP="00725967">
            <w:pPr>
              <w:suppressLineNumbers/>
              <w:shd w:val="clear" w:color="auto" w:fill="FFFFFF" w:themeFill="background1"/>
              <w:tabs>
                <w:tab w:val="num" w:pos="450"/>
              </w:tabs>
              <w:suppressAutoHyphens/>
              <w:kinsoku w:val="0"/>
              <w:overflowPunct w:val="0"/>
              <w:autoSpaceDE w:val="0"/>
              <w:autoSpaceDN w:val="0"/>
              <w:adjustRightInd w:val="0"/>
              <w:snapToGrid w:val="0"/>
              <w:spacing w:before="120" w:after="120"/>
              <w:ind w:left="450" w:hanging="450"/>
              <w:rPr>
                <w:i/>
                <w:kern w:val="22"/>
                <w:sz w:val="20"/>
                <w:szCs w:val="20"/>
              </w:rPr>
            </w:pPr>
            <w:r w:rsidRPr="003075B3">
              <w:rPr>
                <w:i/>
                <w:kern w:val="22"/>
                <w:sz w:val="20"/>
                <w:szCs w:val="20"/>
              </w:rPr>
              <w:t>Submission</w:t>
            </w:r>
          </w:p>
        </w:tc>
        <w:tc>
          <w:tcPr>
            <w:tcW w:w="2612" w:type="pct"/>
            <w:vAlign w:val="center"/>
          </w:tcPr>
          <w:p w14:paraId="245ADE8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p>
        </w:tc>
      </w:tr>
      <w:tr w:rsidR="00376CED" w:rsidRPr="003075B3" w14:paraId="2FB3B8C8" w14:textId="77777777" w:rsidTr="00725967">
        <w:trPr>
          <w:cantSplit/>
        </w:trPr>
        <w:tc>
          <w:tcPr>
            <w:tcW w:w="2388" w:type="pct"/>
            <w:vAlign w:val="center"/>
            <w:hideMark/>
          </w:tcPr>
          <w:p w14:paraId="30138463" w14:textId="77777777" w:rsidR="00376CED" w:rsidRPr="003075B3" w:rsidRDefault="00376CED" w:rsidP="00376CED">
            <w:pPr>
              <w:numPr>
                <w:ilvl w:val="0"/>
                <w:numId w:val="48"/>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rPr>
                <w:kern w:val="22"/>
                <w:sz w:val="20"/>
                <w:szCs w:val="20"/>
              </w:rPr>
            </w:pPr>
            <w:r w:rsidRPr="003075B3">
              <w:rPr>
                <w:kern w:val="22"/>
                <w:sz w:val="20"/>
                <w:szCs w:val="20"/>
              </w:rPr>
              <w:t>Date of submission:</w:t>
            </w:r>
          </w:p>
        </w:tc>
        <w:tc>
          <w:tcPr>
            <w:tcW w:w="2612" w:type="pct"/>
            <w:vAlign w:val="center"/>
            <w:hideMark/>
          </w:tcPr>
          <w:p w14:paraId="77CA874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3075B3">
              <w:rPr>
                <w:rFonts w:eastAsia="Arial Unicode MS"/>
                <w:b/>
                <w:bCs/>
                <w:iCs/>
                <w:kern w:val="22"/>
                <w:sz w:val="20"/>
                <w:szCs w:val="20"/>
              </w:rPr>
              <w:fldChar w:fldCharType="begin">
                <w:ffData>
                  <w:name w:val=""/>
                  <w:enabled/>
                  <w:calcOnExit w:val="0"/>
                  <w:textInput>
                    <w:default w:val="[                  day / month / year                  ]"/>
                  </w:textInput>
                </w:ffData>
              </w:fldChar>
            </w:r>
            <w:r w:rsidRPr="003075B3">
              <w:rPr>
                <w:rFonts w:eastAsia="Arial Unicode MS"/>
                <w:b/>
                <w:bCs/>
                <w:iCs/>
                <w:kern w:val="22"/>
                <w:sz w:val="20"/>
                <w:szCs w:val="20"/>
              </w:rPr>
              <w:instrText xml:space="preserve"> FORMTEXT </w:instrText>
            </w:r>
            <w:r w:rsidRPr="003075B3">
              <w:rPr>
                <w:rFonts w:eastAsia="Arial Unicode MS"/>
                <w:b/>
                <w:bCs/>
                <w:iCs/>
                <w:kern w:val="22"/>
                <w:sz w:val="20"/>
                <w:szCs w:val="20"/>
              </w:rPr>
            </w:r>
            <w:r w:rsidRPr="003075B3">
              <w:rPr>
                <w:rFonts w:eastAsia="Arial Unicode MS"/>
                <w:b/>
                <w:bCs/>
                <w:iCs/>
                <w:kern w:val="22"/>
                <w:sz w:val="20"/>
                <w:szCs w:val="20"/>
              </w:rPr>
              <w:fldChar w:fldCharType="separate"/>
            </w:r>
            <w:r w:rsidRPr="003075B3">
              <w:rPr>
                <w:rFonts w:eastAsia="Arial Unicode MS"/>
                <w:b/>
                <w:bCs/>
                <w:iCs/>
                <w:noProof/>
                <w:kern w:val="22"/>
                <w:sz w:val="20"/>
                <w:szCs w:val="20"/>
              </w:rPr>
              <w:t>[                  day / month / year                  ]</w:t>
            </w:r>
            <w:r w:rsidRPr="003075B3">
              <w:rPr>
                <w:rFonts w:eastAsia="Arial Unicode MS"/>
                <w:b/>
                <w:bCs/>
                <w:iCs/>
                <w:kern w:val="22"/>
                <w:sz w:val="20"/>
                <w:szCs w:val="20"/>
              </w:rPr>
              <w:fldChar w:fldCharType="end"/>
            </w:r>
          </w:p>
        </w:tc>
      </w:tr>
      <w:tr w:rsidR="00376CED" w:rsidRPr="003075B3" w14:paraId="3651CE2F" w14:textId="77777777" w:rsidTr="00725967">
        <w:trPr>
          <w:cantSplit/>
        </w:trPr>
        <w:tc>
          <w:tcPr>
            <w:tcW w:w="2388" w:type="pct"/>
            <w:vAlign w:val="center"/>
            <w:hideMark/>
          </w:tcPr>
          <w:p w14:paraId="1CC4A75A" w14:textId="77777777" w:rsidR="00376CED" w:rsidRPr="003075B3" w:rsidRDefault="00376CED" w:rsidP="00376CED">
            <w:pPr>
              <w:numPr>
                <w:ilvl w:val="0"/>
                <w:numId w:val="48"/>
              </w:numPr>
              <w:suppressLineNumbers/>
              <w:shd w:val="clear" w:color="auto" w:fill="FFFFFF" w:themeFill="background1"/>
              <w:tabs>
                <w:tab w:val="clear" w:pos="360"/>
                <w:tab w:val="num" w:pos="450"/>
              </w:tabs>
              <w:suppressAutoHyphens/>
              <w:kinsoku w:val="0"/>
              <w:overflowPunct w:val="0"/>
              <w:autoSpaceDE w:val="0"/>
              <w:autoSpaceDN w:val="0"/>
              <w:adjustRightInd w:val="0"/>
              <w:snapToGrid w:val="0"/>
              <w:spacing w:before="120" w:after="120"/>
              <w:ind w:left="450" w:hanging="450"/>
              <w:rPr>
                <w:kern w:val="22"/>
                <w:sz w:val="20"/>
                <w:szCs w:val="20"/>
              </w:rPr>
            </w:pPr>
            <w:proofErr w:type="gramStart"/>
            <w:r w:rsidRPr="003075B3">
              <w:rPr>
                <w:kern w:val="22"/>
                <w:sz w:val="20"/>
                <w:szCs w:val="20"/>
              </w:rPr>
              <w:t>Time period</w:t>
            </w:r>
            <w:proofErr w:type="gramEnd"/>
            <w:r w:rsidRPr="003075B3">
              <w:rPr>
                <w:kern w:val="22"/>
                <w:sz w:val="20"/>
                <w:szCs w:val="20"/>
              </w:rPr>
              <w:t xml:space="preserve"> covered by this report:</w:t>
            </w:r>
          </w:p>
        </w:tc>
        <w:tc>
          <w:tcPr>
            <w:tcW w:w="2612" w:type="pct"/>
            <w:vAlign w:val="center"/>
            <w:hideMark/>
          </w:tcPr>
          <w:p w14:paraId="3F54E13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outlineLvl w:val="3"/>
              <w:rPr>
                <w:rFonts w:eastAsia="Arial Unicode MS"/>
                <w:b/>
                <w:bCs/>
                <w:i/>
                <w:iCs/>
                <w:kern w:val="22"/>
                <w:sz w:val="20"/>
                <w:szCs w:val="20"/>
              </w:rPr>
            </w:pPr>
            <w:r w:rsidRPr="003075B3">
              <w:rPr>
                <w:rFonts w:eastAsia="Arial Unicode MS"/>
                <w:b/>
                <w:bCs/>
                <w:iCs/>
                <w:kern w:val="22"/>
                <w:sz w:val="20"/>
                <w:szCs w:val="20"/>
              </w:rPr>
              <w:t xml:space="preserve">From </w:t>
            </w:r>
            <w:r w:rsidRPr="003075B3">
              <w:rPr>
                <w:rFonts w:eastAsia="Arial Unicode MS"/>
                <w:b/>
                <w:bCs/>
                <w:iCs/>
                <w:kern w:val="22"/>
                <w:sz w:val="20"/>
                <w:szCs w:val="20"/>
              </w:rPr>
              <w:fldChar w:fldCharType="begin">
                <w:ffData>
                  <w:name w:val=""/>
                  <w:enabled/>
                  <w:calcOnExit w:val="0"/>
                  <w:textInput>
                    <w:default w:val="[month / year] "/>
                  </w:textInput>
                </w:ffData>
              </w:fldChar>
            </w:r>
            <w:r w:rsidRPr="003075B3">
              <w:rPr>
                <w:rFonts w:eastAsia="Arial Unicode MS"/>
                <w:b/>
                <w:bCs/>
                <w:iCs/>
                <w:kern w:val="22"/>
                <w:sz w:val="20"/>
                <w:szCs w:val="20"/>
              </w:rPr>
              <w:instrText xml:space="preserve"> FORMTEXT </w:instrText>
            </w:r>
            <w:r w:rsidRPr="003075B3">
              <w:rPr>
                <w:rFonts w:eastAsia="Arial Unicode MS"/>
                <w:b/>
                <w:bCs/>
                <w:iCs/>
                <w:kern w:val="22"/>
                <w:sz w:val="20"/>
                <w:szCs w:val="20"/>
              </w:rPr>
            </w:r>
            <w:r w:rsidRPr="003075B3">
              <w:rPr>
                <w:rFonts w:eastAsia="Arial Unicode MS"/>
                <w:b/>
                <w:bCs/>
                <w:iCs/>
                <w:kern w:val="22"/>
                <w:sz w:val="20"/>
                <w:szCs w:val="20"/>
              </w:rPr>
              <w:fldChar w:fldCharType="separate"/>
            </w:r>
            <w:r w:rsidRPr="003075B3">
              <w:rPr>
                <w:rFonts w:eastAsia="Arial Unicode MS"/>
                <w:b/>
                <w:bCs/>
                <w:iCs/>
                <w:noProof/>
                <w:kern w:val="22"/>
                <w:sz w:val="20"/>
                <w:szCs w:val="20"/>
              </w:rPr>
              <w:t xml:space="preserve">[month / year] </w:t>
            </w:r>
            <w:r w:rsidRPr="003075B3">
              <w:rPr>
                <w:rFonts w:eastAsia="Arial Unicode MS"/>
                <w:b/>
                <w:bCs/>
                <w:iCs/>
                <w:kern w:val="22"/>
                <w:sz w:val="20"/>
                <w:szCs w:val="20"/>
              </w:rPr>
              <w:fldChar w:fldCharType="end"/>
            </w:r>
            <w:r w:rsidRPr="003075B3">
              <w:rPr>
                <w:rFonts w:eastAsia="Arial Unicode MS"/>
                <w:b/>
                <w:bCs/>
                <w:iCs/>
                <w:kern w:val="22"/>
                <w:sz w:val="20"/>
                <w:szCs w:val="20"/>
              </w:rPr>
              <w:t xml:space="preserve"> to </w:t>
            </w:r>
            <w:r w:rsidRPr="003075B3">
              <w:rPr>
                <w:rFonts w:eastAsia="Arial Unicode MS"/>
                <w:b/>
                <w:bCs/>
                <w:iCs/>
                <w:kern w:val="22"/>
                <w:sz w:val="20"/>
                <w:szCs w:val="20"/>
              </w:rPr>
              <w:fldChar w:fldCharType="begin">
                <w:ffData>
                  <w:name w:val=""/>
                  <w:enabled/>
                  <w:calcOnExit w:val="0"/>
                  <w:textInput>
                    <w:default w:val="[month / year]"/>
                  </w:textInput>
                </w:ffData>
              </w:fldChar>
            </w:r>
            <w:r w:rsidRPr="003075B3">
              <w:rPr>
                <w:rFonts w:eastAsia="Arial Unicode MS"/>
                <w:b/>
                <w:bCs/>
                <w:iCs/>
                <w:kern w:val="22"/>
                <w:sz w:val="20"/>
                <w:szCs w:val="20"/>
              </w:rPr>
              <w:instrText xml:space="preserve"> FORMTEXT </w:instrText>
            </w:r>
            <w:r w:rsidRPr="003075B3">
              <w:rPr>
                <w:rFonts w:eastAsia="Arial Unicode MS"/>
                <w:b/>
                <w:bCs/>
                <w:iCs/>
                <w:kern w:val="22"/>
                <w:sz w:val="20"/>
                <w:szCs w:val="20"/>
              </w:rPr>
            </w:r>
            <w:r w:rsidRPr="003075B3">
              <w:rPr>
                <w:rFonts w:eastAsia="Arial Unicode MS"/>
                <w:b/>
                <w:bCs/>
                <w:iCs/>
                <w:kern w:val="22"/>
                <w:sz w:val="20"/>
                <w:szCs w:val="20"/>
              </w:rPr>
              <w:fldChar w:fldCharType="separate"/>
            </w:r>
            <w:r w:rsidRPr="003075B3">
              <w:rPr>
                <w:rFonts w:eastAsia="Arial Unicode MS"/>
                <w:b/>
                <w:bCs/>
                <w:iCs/>
                <w:noProof/>
                <w:kern w:val="22"/>
                <w:sz w:val="20"/>
                <w:szCs w:val="20"/>
              </w:rPr>
              <w:t>[month / year]</w:t>
            </w:r>
            <w:r w:rsidRPr="003075B3">
              <w:rPr>
                <w:rFonts w:eastAsia="Arial Unicode MS"/>
                <w:b/>
                <w:bCs/>
                <w:iCs/>
                <w:kern w:val="22"/>
                <w:sz w:val="20"/>
                <w:szCs w:val="20"/>
              </w:rPr>
              <w:fldChar w:fldCharType="end"/>
            </w:r>
          </w:p>
        </w:tc>
      </w:tr>
    </w:tbl>
    <w:p w14:paraId="7B5F9F9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rPr>
          <w:rFonts w:eastAsia="Arial Unicode MS"/>
          <w:bCs/>
          <w:iCs/>
          <w:kern w:val="22"/>
          <w:sz w:val="20"/>
          <w:szCs w:val="20"/>
        </w:rPr>
      </w:pPr>
    </w:p>
    <w:p w14:paraId="1E7943E3" w14:textId="13AD9B1B"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rPr>
          <w:rFonts w:eastAsia="Arial Unicode MS"/>
          <w:bCs/>
          <w:iCs/>
          <w:kern w:val="22"/>
          <w:sz w:val="20"/>
          <w:szCs w:val="20"/>
        </w:rPr>
      </w:pPr>
      <w:r w:rsidRPr="003075B3">
        <w:rPr>
          <w:rFonts w:eastAsia="Arial Unicode MS"/>
          <w:bCs/>
          <w:iCs/>
          <w:kern w:val="22"/>
          <w:sz w:val="20"/>
          <w:szCs w:val="20"/>
        </w:rPr>
        <w:t>Signature of the reporting officer</w:t>
      </w:r>
      <w:r w:rsidRPr="003075B3">
        <w:rPr>
          <w:rFonts w:eastAsia="Arial Unicode MS"/>
          <w:bCs/>
          <w:iCs/>
          <w:kern w:val="22"/>
          <w:sz w:val="20"/>
          <w:szCs w:val="20"/>
          <w:vertAlign w:val="superscript"/>
        </w:rPr>
        <w:footnoteReference w:id="13"/>
      </w:r>
      <w:r w:rsidRPr="003075B3">
        <w:rPr>
          <w:rFonts w:eastAsia="Arial Unicode MS"/>
          <w:bCs/>
          <w:iCs/>
          <w:kern w:val="22"/>
          <w:sz w:val="20"/>
          <w:szCs w:val="20"/>
        </w:rPr>
        <w:tab/>
      </w:r>
      <w:r w:rsidR="0014389A" w:rsidRPr="003075B3">
        <w:rPr>
          <w:rFonts w:eastAsia="Arial Unicode MS"/>
          <w:bCs/>
          <w:iCs/>
          <w:kern w:val="22"/>
          <w:sz w:val="20"/>
          <w:szCs w:val="20"/>
        </w:rPr>
        <w:tab/>
      </w:r>
      <w:r w:rsidRPr="003075B3">
        <w:rPr>
          <w:rFonts w:eastAsia="Arial Unicode MS"/>
          <w:bCs/>
          <w:iCs/>
          <w:kern w:val="22"/>
          <w:sz w:val="20"/>
          <w:szCs w:val="20"/>
        </w:rPr>
        <w:tab/>
        <w:t xml:space="preserve">     _____________________________________</w:t>
      </w:r>
    </w:p>
    <w:p w14:paraId="2D2E1696" w14:textId="77777777" w:rsidR="00376CED" w:rsidRPr="003075B3" w:rsidRDefault="00376CED" w:rsidP="00725967">
      <w:pPr>
        <w:shd w:val="clear" w:color="auto" w:fill="FFFFFF" w:themeFill="background1"/>
        <w:rPr>
          <w:rFonts w:eastAsia="Arial Unicode MS"/>
          <w:kern w:val="22"/>
          <w:sz w:val="20"/>
          <w:szCs w:val="20"/>
        </w:rPr>
      </w:pPr>
    </w:p>
    <w:p w14:paraId="5C253808" w14:textId="77777777" w:rsidR="00376CED" w:rsidRPr="003075B3" w:rsidRDefault="00376CED" w:rsidP="00725967">
      <w:pPr>
        <w:shd w:val="clear" w:color="auto" w:fill="FFFFFF" w:themeFill="background1"/>
        <w:rPr>
          <w:kern w:val="22"/>
          <w:sz w:val="20"/>
          <w:szCs w:val="20"/>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83"/>
        <w:gridCol w:w="4569"/>
      </w:tblGrid>
      <w:tr w:rsidR="00376CED" w:rsidRPr="003075B3" w14:paraId="35856E93" w14:textId="77777777" w:rsidTr="00725967">
        <w:tc>
          <w:tcPr>
            <w:tcW w:w="4878" w:type="dxa"/>
            <w:shd w:val="clear" w:color="auto" w:fill="auto"/>
            <w:vAlign w:val="center"/>
            <w:hideMark/>
          </w:tcPr>
          <w:p w14:paraId="1AE365F2"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67" w:right="490" w:hanging="567"/>
              <w:rPr>
                <w:i/>
                <w:kern w:val="22"/>
                <w:sz w:val="20"/>
                <w:szCs w:val="20"/>
              </w:rPr>
            </w:pPr>
            <w:r w:rsidRPr="003075B3">
              <w:rPr>
                <w:rFonts w:eastAsia="Arial Unicode MS"/>
                <w:b/>
                <w:bCs/>
                <w:iCs/>
                <w:kern w:val="22"/>
                <w:sz w:val="20"/>
                <w:szCs w:val="20"/>
              </w:rPr>
              <w:lastRenderedPageBreak/>
              <w:br w:type="page"/>
            </w:r>
            <w:r w:rsidRPr="003075B3">
              <w:rPr>
                <w:kern w:val="22"/>
                <w:sz w:val="20"/>
                <w:szCs w:val="20"/>
              </w:rPr>
              <w:t>If your country is not a Party to the Cartagena Protocol on Biosafety (CPB), is there any national process in place towards becoming a Party?</w:t>
            </w:r>
          </w:p>
        </w:tc>
        <w:tc>
          <w:tcPr>
            <w:tcW w:w="4564" w:type="dxa"/>
            <w:shd w:val="clear" w:color="auto" w:fill="auto"/>
            <w:vAlign w:val="center"/>
            <w:hideMark/>
          </w:tcPr>
          <w:p w14:paraId="20CAC2F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
                  <w:enabled/>
                  <w:calcOnExit w:val="0"/>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1DA7481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i/>
                <w:iCs/>
                <w:kern w:val="22"/>
                <w:sz w:val="20"/>
                <w:szCs w:val="20"/>
              </w:rPr>
              <w:fldChar w:fldCharType="begin">
                <w:ffData>
                  <w:name w:val="Check48"/>
                  <w:enabled/>
                  <w:calcOnExit w:val="0"/>
                  <w:checkBox>
                    <w:sizeAuto/>
                    <w:default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bCs/>
                <w:iCs/>
                <w:kern w:val="22"/>
                <w:sz w:val="20"/>
                <w:szCs w:val="20"/>
              </w:rPr>
              <w:t>No</w:t>
            </w:r>
          </w:p>
        </w:tc>
      </w:tr>
      <w:tr w:rsidR="00376CED" w:rsidRPr="003075B3" w14:paraId="4A6A115E" w14:textId="77777777" w:rsidTr="00725967">
        <w:tc>
          <w:tcPr>
            <w:tcW w:w="9442" w:type="dxa"/>
            <w:gridSpan w:val="2"/>
            <w:tcBorders>
              <w:right w:val="single" w:sz="4" w:space="0" w:color="auto"/>
            </w:tcBorders>
            <w:shd w:val="clear" w:color="auto" w:fill="auto"/>
            <w:vAlign w:val="center"/>
            <w:hideMark/>
          </w:tcPr>
          <w:p w14:paraId="5AEFDD89" w14:textId="5AF7C9BD"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67" w:right="490" w:hanging="567"/>
              <w:rPr>
                <w:kern w:val="22"/>
                <w:sz w:val="20"/>
                <w:szCs w:val="20"/>
              </w:rPr>
            </w:pPr>
            <w:r w:rsidRPr="003075B3">
              <w:rPr>
                <w:kern w:val="22"/>
                <w:sz w:val="20"/>
                <w:szCs w:val="20"/>
              </w:rPr>
              <w:t>Here you may provide further details:</w:t>
            </w:r>
          </w:p>
          <w:p w14:paraId="3F12AC5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67" w:right="2"/>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r w:rsidR="00376CED" w:rsidRPr="003075B3" w14:paraId="7B29B58A" w14:textId="77777777" w:rsidTr="00725967">
        <w:tc>
          <w:tcPr>
            <w:tcW w:w="9442" w:type="dxa"/>
            <w:gridSpan w:val="2"/>
            <w:tcBorders>
              <w:right w:val="single" w:sz="4" w:space="0" w:color="auto"/>
            </w:tcBorders>
            <w:vAlign w:val="center"/>
            <w:hideMark/>
          </w:tcPr>
          <w:p w14:paraId="622930D7"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3075B3">
              <w:rPr>
                <w:b/>
                <w:kern w:val="22"/>
                <w:sz w:val="20"/>
                <w:szCs w:val="20"/>
              </w:rPr>
              <w:t>Article 2 – General provisions</w:t>
            </w:r>
          </w:p>
          <w:p w14:paraId="6143A54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jc w:val="center"/>
              <w:rPr>
                <w:i/>
                <w:kern w:val="22"/>
                <w:sz w:val="20"/>
                <w:szCs w:val="20"/>
              </w:rPr>
            </w:pPr>
            <w:r w:rsidRPr="003075B3">
              <w:rPr>
                <w:i/>
                <w:kern w:val="22"/>
                <w:sz w:val="20"/>
                <w:szCs w:val="20"/>
              </w:rPr>
              <w:t>Article 2 requires each Party to take the necessary and appropriate legal, administrative and other measures to implement its obligations under the Protocol</w:t>
            </w:r>
          </w:p>
        </w:tc>
      </w:tr>
      <w:tr w:rsidR="00376CED" w:rsidRPr="003075B3" w14:paraId="2608EA60" w14:textId="77777777" w:rsidTr="00725967">
        <w:tc>
          <w:tcPr>
            <w:tcW w:w="4878" w:type="dxa"/>
            <w:vAlign w:val="center"/>
            <w:hideMark/>
          </w:tcPr>
          <w:p w14:paraId="0A267A47" w14:textId="6F033013"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Has your country introduced the necessary national measures for the implementation of the Protocol?</w:t>
            </w:r>
          </w:p>
        </w:tc>
        <w:tc>
          <w:tcPr>
            <w:tcW w:w="4564" w:type="dxa"/>
            <w:tcBorders>
              <w:right w:val="single" w:sz="4" w:space="0" w:color="auto"/>
            </w:tcBorders>
            <w:vAlign w:val="center"/>
            <w:hideMark/>
          </w:tcPr>
          <w:p w14:paraId="012DB51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National measures are fully in place</w:t>
            </w:r>
          </w:p>
          <w:p w14:paraId="5189B94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National measures are partially in place</w:t>
            </w:r>
          </w:p>
          <w:p w14:paraId="2B96BFC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Only temporary measures have been introduced</w:t>
            </w:r>
          </w:p>
          <w:p w14:paraId="5147FD7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Only draft measures exist</w:t>
            </w:r>
          </w:p>
          <w:p w14:paraId="51D2FB8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 measures have yet been taken</w:t>
            </w:r>
          </w:p>
        </w:tc>
      </w:tr>
      <w:tr w:rsidR="00376CED" w:rsidRPr="003075B3" w14:paraId="34ECE695" w14:textId="77777777" w:rsidTr="00725967">
        <w:tc>
          <w:tcPr>
            <w:tcW w:w="4878" w:type="dxa"/>
            <w:shd w:val="clear" w:color="auto" w:fill="auto"/>
            <w:vAlign w:val="center"/>
            <w:hideMark/>
          </w:tcPr>
          <w:p w14:paraId="0338CC60" w14:textId="0231D9C9" w:rsidR="00376CED" w:rsidRPr="003075B3" w:rsidRDefault="00376CED" w:rsidP="0008472F">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Which specific instruments are in place for the implementation of national biosafety measures?</w:t>
            </w:r>
          </w:p>
        </w:tc>
        <w:tc>
          <w:tcPr>
            <w:tcW w:w="4564" w:type="dxa"/>
            <w:tcBorders>
              <w:right w:val="single" w:sz="4" w:space="0" w:color="auto"/>
            </w:tcBorders>
            <w:shd w:val="clear" w:color="auto" w:fill="auto"/>
            <w:vAlign w:val="center"/>
            <w:hideMark/>
          </w:tcPr>
          <w:p w14:paraId="3505419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i/>
                <w:iCs/>
                <w:kern w:val="22"/>
                <w:sz w:val="20"/>
                <w:szCs w:val="20"/>
              </w:rPr>
              <w:fldChar w:fldCharType="begin">
                <w:ffData>
                  <w:name w:val="Check48"/>
                  <w:enabled/>
                  <w:calcOnExit w:val="0"/>
                  <w:checkBox>
                    <w:sizeAuto/>
                    <w:default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kern w:val="22"/>
                <w:sz w:val="20"/>
                <w:szCs w:val="20"/>
              </w:rPr>
              <w:t>One or more national biosafety laws</w:t>
            </w:r>
          </w:p>
          <w:p w14:paraId="25B0FE1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i/>
                <w:iCs/>
                <w:kern w:val="22"/>
                <w:sz w:val="20"/>
                <w:szCs w:val="20"/>
              </w:rPr>
              <w:fldChar w:fldCharType="begin">
                <w:ffData>
                  <w:name w:val="Check48"/>
                  <w:enabled/>
                  <w:calcOnExit w:val="0"/>
                  <w:checkBox>
                    <w:sizeAuto/>
                    <w:default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kern w:val="22"/>
                <w:sz w:val="20"/>
                <w:szCs w:val="20"/>
              </w:rPr>
              <w:t>One or more national biosafety regulations</w:t>
            </w:r>
            <w:bookmarkStart w:id="21" w:name="_Hlk514336710"/>
          </w:p>
          <w:bookmarkEnd w:id="21"/>
          <w:p w14:paraId="1211965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i/>
                <w:iCs/>
                <w:kern w:val="22"/>
                <w:sz w:val="20"/>
                <w:szCs w:val="20"/>
              </w:rPr>
              <w:fldChar w:fldCharType="begin">
                <w:ffData>
                  <w:name w:val="Check48"/>
                  <w:enabled/>
                  <w:calcOnExit w:val="0"/>
                  <w:checkBox>
                    <w:sizeAuto/>
                    <w:default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kern w:val="22"/>
                <w:sz w:val="20"/>
                <w:szCs w:val="20"/>
              </w:rPr>
              <w:t>One or more sets of biosafety guidelines</w:t>
            </w:r>
          </w:p>
          <w:p w14:paraId="47C198D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bCs/>
                <w:iCs/>
                <w:kern w:val="22"/>
                <w:sz w:val="20"/>
                <w:szCs w:val="20"/>
              </w:rPr>
            </w:pPr>
            <w:r w:rsidRPr="003075B3">
              <w:rPr>
                <w:bCs/>
                <w:i/>
                <w:iCs/>
                <w:kern w:val="22"/>
                <w:sz w:val="20"/>
                <w:szCs w:val="20"/>
              </w:rPr>
              <w:fldChar w:fldCharType="begin">
                <w:ffData>
                  <w:name w:val="Check48"/>
                  <w:enabled/>
                  <w:calcOnExit w:val="0"/>
                  <w:checkBox>
                    <w:sizeAuto/>
                    <w:default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bCs/>
                <w:iCs/>
                <w:kern w:val="22"/>
                <w:sz w:val="20"/>
                <w:szCs w:val="20"/>
              </w:rPr>
              <w:t>Other laws, regulations or guidelines that indirectly apply to biosafety</w:t>
            </w:r>
          </w:p>
          <w:p w14:paraId="6910648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i/>
                <w:iCs/>
                <w:kern w:val="22"/>
                <w:sz w:val="20"/>
                <w:szCs w:val="20"/>
              </w:rPr>
              <w:fldChar w:fldCharType="begin">
                <w:ffData>
                  <w:name w:val="Check48"/>
                  <w:enabled/>
                  <w:calcOnExit w:val="0"/>
                  <w:checkBox>
                    <w:sizeAuto/>
                    <w:default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kern w:val="22"/>
                <w:sz w:val="20"/>
                <w:szCs w:val="20"/>
              </w:rPr>
              <w:t>No instruments are in place</w:t>
            </w:r>
          </w:p>
        </w:tc>
      </w:tr>
      <w:tr w:rsidR="00376CED" w:rsidRPr="003075B3" w14:paraId="6FAC5BDC" w14:textId="77777777" w:rsidTr="00725967">
        <w:tc>
          <w:tcPr>
            <w:tcW w:w="4878" w:type="dxa"/>
            <w:shd w:val="clear" w:color="auto" w:fill="auto"/>
            <w:vAlign w:val="center"/>
          </w:tcPr>
          <w:p w14:paraId="7F56B8AB"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Has your country undertaken initiatives to mainstream </w:t>
            </w:r>
            <w:r w:rsidRPr="003075B3">
              <w:rPr>
                <w:snapToGrid w:val="0"/>
                <w:kern w:val="22"/>
                <w:sz w:val="20"/>
                <w:szCs w:val="20"/>
              </w:rPr>
              <w:t>biosafety into national biodiversity strategies and action plans, other policies, or legislation</w:t>
            </w:r>
            <w:r w:rsidRPr="003075B3">
              <w:rPr>
                <w:kern w:val="22"/>
                <w:sz w:val="20"/>
                <w:szCs w:val="20"/>
              </w:rPr>
              <w:t>?</w:t>
            </w:r>
          </w:p>
        </w:tc>
        <w:tc>
          <w:tcPr>
            <w:tcW w:w="4564" w:type="dxa"/>
            <w:tcBorders>
              <w:right w:val="single" w:sz="4" w:space="0" w:color="auto"/>
            </w:tcBorders>
            <w:shd w:val="clear" w:color="auto" w:fill="auto"/>
            <w:vAlign w:val="center"/>
          </w:tcPr>
          <w:p w14:paraId="3CF7707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7BA2078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p w14:paraId="12089E4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 xml:space="preserve">         Other: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tc>
      </w:tr>
      <w:tr w:rsidR="00376CED" w:rsidRPr="003075B3" w14:paraId="2478B7FE" w14:textId="77777777" w:rsidTr="00725967">
        <w:tc>
          <w:tcPr>
            <w:tcW w:w="4878" w:type="dxa"/>
            <w:shd w:val="clear" w:color="auto" w:fill="auto"/>
            <w:vAlign w:val="center"/>
          </w:tcPr>
          <w:p w14:paraId="424CF9DD"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Has your country established a mechanism for budget allocations for the operation of its national biosafety measures?</w:t>
            </w:r>
          </w:p>
        </w:tc>
        <w:tc>
          <w:tcPr>
            <w:tcW w:w="4564" w:type="dxa"/>
            <w:tcBorders>
              <w:right w:val="single" w:sz="4" w:space="0" w:color="auto"/>
            </w:tcBorders>
            <w:shd w:val="clear" w:color="auto" w:fill="auto"/>
            <w:vAlign w:val="center"/>
          </w:tcPr>
          <w:p w14:paraId="1E1A5F5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74C84E1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4368BF1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3D248E8D" w14:textId="77777777" w:rsidTr="00725967">
        <w:tc>
          <w:tcPr>
            <w:tcW w:w="4878" w:type="dxa"/>
            <w:shd w:val="clear" w:color="auto" w:fill="auto"/>
            <w:vAlign w:val="center"/>
          </w:tcPr>
          <w:p w14:paraId="463759CC"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Does your country have permanent staff to administer functions directly related to biosafety?</w:t>
            </w:r>
          </w:p>
        </w:tc>
        <w:tc>
          <w:tcPr>
            <w:tcW w:w="4564" w:type="dxa"/>
            <w:tcBorders>
              <w:right w:val="single" w:sz="4" w:space="0" w:color="auto"/>
            </w:tcBorders>
            <w:shd w:val="clear" w:color="auto" w:fill="auto"/>
            <w:vAlign w:val="center"/>
          </w:tcPr>
          <w:p w14:paraId="547CCEB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5313E42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341A23D5" w14:textId="77777777" w:rsidTr="00725967">
        <w:tc>
          <w:tcPr>
            <w:tcW w:w="4878" w:type="dxa"/>
            <w:shd w:val="clear" w:color="auto" w:fill="auto"/>
            <w:vAlign w:val="center"/>
          </w:tcPr>
          <w:p w14:paraId="3E7D7DA8" w14:textId="0DC21F1F"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18, how many permanent staff members are in place whose functions are directly related to biosafety?</w:t>
            </w:r>
          </w:p>
        </w:tc>
        <w:tc>
          <w:tcPr>
            <w:tcW w:w="4564" w:type="dxa"/>
            <w:tcBorders>
              <w:right w:val="single" w:sz="4" w:space="0" w:color="auto"/>
            </w:tcBorders>
            <w:shd w:val="clear" w:color="auto" w:fill="auto"/>
            <w:vAlign w:val="center"/>
          </w:tcPr>
          <w:p w14:paraId="6F4A65F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1" w:hanging="731"/>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4</w:t>
            </w:r>
          </w:p>
          <w:p w14:paraId="143720C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 to 9</w:t>
            </w:r>
          </w:p>
          <w:p w14:paraId="21F06C8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or more</w:t>
            </w:r>
          </w:p>
          <w:p w14:paraId="1F8107E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kern w:val="22"/>
                <w:sz w:val="20"/>
                <w:szCs w:val="20"/>
              </w:rPr>
            </w:pPr>
            <w:r w:rsidRPr="003075B3">
              <w:rPr>
                <w:i/>
                <w:kern w:val="22"/>
                <w:sz w:val="20"/>
                <w:szCs w:val="20"/>
              </w:rPr>
              <w:t xml:space="preserve">Is this number adequate: </w:t>
            </w:r>
            <w:r w:rsidRPr="003075B3">
              <w:rPr>
                <w:i/>
                <w:kern w:val="22"/>
                <w:sz w:val="20"/>
                <w:szCs w:val="20"/>
              </w:rPr>
              <w:fldChar w:fldCharType="begin">
                <w:ffData>
                  <w:name w:val="Check48"/>
                  <w:enabled/>
                  <w:calcOnExit w:val="0"/>
                  <w:checkBox>
                    <w:sizeAuto/>
                    <w:default w:val="0"/>
                  </w:checkBox>
                </w:ffData>
              </w:fldChar>
            </w:r>
            <w:r w:rsidRPr="003075B3">
              <w:rPr>
                <w:i/>
                <w:kern w:val="22"/>
                <w:sz w:val="20"/>
                <w:szCs w:val="20"/>
              </w:rPr>
              <w:instrText xml:space="preserve"> FORMCHECKBOX </w:instrText>
            </w:r>
            <w:r w:rsidR="00986A60">
              <w:rPr>
                <w:i/>
                <w:kern w:val="22"/>
                <w:sz w:val="20"/>
                <w:szCs w:val="20"/>
              </w:rPr>
            </w:r>
            <w:r w:rsidR="00986A60">
              <w:rPr>
                <w:i/>
                <w:kern w:val="22"/>
                <w:sz w:val="20"/>
                <w:szCs w:val="20"/>
              </w:rPr>
              <w:fldChar w:fldCharType="separate"/>
            </w:r>
            <w:r w:rsidRPr="003075B3">
              <w:rPr>
                <w:i/>
                <w:kern w:val="22"/>
                <w:sz w:val="20"/>
                <w:szCs w:val="20"/>
              </w:rPr>
              <w:fldChar w:fldCharType="end"/>
            </w:r>
            <w:r w:rsidRPr="003075B3">
              <w:rPr>
                <w:i/>
                <w:kern w:val="22"/>
                <w:sz w:val="20"/>
                <w:szCs w:val="20"/>
              </w:rPr>
              <w:t xml:space="preserve"> Yes   </w:t>
            </w:r>
            <w:r w:rsidRPr="003075B3">
              <w:rPr>
                <w:i/>
                <w:kern w:val="22"/>
                <w:sz w:val="20"/>
                <w:szCs w:val="20"/>
              </w:rPr>
              <w:fldChar w:fldCharType="begin">
                <w:ffData>
                  <w:name w:val="Check48"/>
                  <w:enabled/>
                  <w:calcOnExit w:val="0"/>
                  <w:checkBox>
                    <w:sizeAuto/>
                    <w:default w:val="0"/>
                  </w:checkBox>
                </w:ffData>
              </w:fldChar>
            </w:r>
            <w:r w:rsidRPr="003075B3">
              <w:rPr>
                <w:i/>
                <w:kern w:val="22"/>
                <w:sz w:val="20"/>
                <w:szCs w:val="20"/>
              </w:rPr>
              <w:instrText xml:space="preserve"> FORMCHECKBOX </w:instrText>
            </w:r>
            <w:r w:rsidR="00986A60">
              <w:rPr>
                <w:i/>
                <w:kern w:val="22"/>
                <w:sz w:val="20"/>
                <w:szCs w:val="20"/>
              </w:rPr>
            </w:r>
            <w:r w:rsidR="00986A60">
              <w:rPr>
                <w:i/>
                <w:kern w:val="22"/>
                <w:sz w:val="20"/>
                <w:szCs w:val="20"/>
              </w:rPr>
              <w:fldChar w:fldCharType="separate"/>
            </w:r>
            <w:r w:rsidRPr="003075B3">
              <w:rPr>
                <w:i/>
                <w:kern w:val="22"/>
                <w:sz w:val="20"/>
                <w:szCs w:val="20"/>
              </w:rPr>
              <w:fldChar w:fldCharType="end"/>
            </w:r>
            <w:r w:rsidRPr="003075B3">
              <w:rPr>
                <w:i/>
                <w:kern w:val="22"/>
                <w:sz w:val="20"/>
                <w:szCs w:val="20"/>
              </w:rPr>
              <w:t xml:space="preserve"> No</w:t>
            </w:r>
          </w:p>
        </w:tc>
      </w:tr>
      <w:tr w:rsidR="00376CED" w:rsidRPr="003075B3" w14:paraId="76C887A9" w14:textId="77777777" w:rsidTr="00725967">
        <w:tc>
          <w:tcPr>
            <w:tcW w:w="9442" w:type="dxa"/>
            <w:gridSpan w:val="2"/>
            <w:tcBorders>
              <w:right w:val="single" w:sz="4" w:space="0" w:color="auto"/>
            </w:tcBorders>
            <w:vAlign w:val="center"/>
            <w:hideMark/>
          </w:tcPr>
          <w:p w14:paraId="69DD6B35" w14:textId="6B30A613"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7" w:right="490" w:hanging="547"/>
              <w:rPr>
                <w:kern w:val="22"/>
                <w:sz w:val="20"/>
                <w:szCs w:val="20"/>
              </w:rPr>
            </w:pPr>
            <w:r w:rsidRPr="003075B3">
              <w:rPr>
                <w:kern w:val="22"/>
                <w:sz w:val="20"/>
                <w:szCs w:val="20"/>
              </w:rPr>
              <w:t>Here you may provide further details on the implementation of Article 2 in your country:</w:t>
            </w:r>
          </w:p>
          <w:p w14:paraId="6E66BF5F" w14:textId="77777777" w:rsidR="00376CED" w:rsidRPr="003075B3" w:rsidRDefault="00376CED" w:rsidP="00725967">
            <w:pPr>
              <w:suppressLineNumbers/>
              <w:shd w:val="clear" w:color="auto" w:fill="FFFFFF" w:themeFill="background1"/>
              <w:tabs>
                <w:tab w:val="left" w:pos="9362"/>
              </w:tabs>
              <w:suppressAutoHyphens/>
              <w:kinsoku w:val="0"/>
              <w:overflowPunct w:val="0"/>
              <w:autoSpaceDE w:val="0"/>
              <w:autoSpaceDN w:val="0"/>
              <w:adjustRightInd w:val="0"/>
              <w:snapToGrid w:val="0"/>
              <w:spacing w:before="120" w:after="120"/>
              <w:ind w:left="547"/>
              <w:rPr>
                <w:kern w:val="22"/>
                <w:sz w:val="20"/>
                <w:szCs w:val="20"/>
              </w:rPr>
            </w:pPr>
            <w:r w:rsidRPr="003075B3">
              <w:rPr>
                <w:kern w:val="22"/>
                <w:sz w:val="20"/>
                <w:szCs w:val="20"/>
              </w:rPr>
              <w:lastRenderedPageBreak/>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r w:rsidR="00376CED" w:rsidRPr="003075B3" w14:paraId="2D880779" w14:textId="77777777" w:rsidTr="00725967">
        <w:tc>
          <w:tcPr>
            <w:tcW w:w="9442" w:type="dxa"/>
            <w:gridSpan w:val="2"/>
            <w:tcBorders>
              <w:right w:val="single" w:sz="4" w:space="0" w:color="auto"/>
            </w:tcBorders>
            <w:vAlign w:val="center"/>
            <w:hideMark/>
          </w:tcPr>
          <w:p w14:paraId="06094AD2"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3075B3">
              <w:rPr>
                <w:rFonts w:eastAsia="Arial Unicode MS"/>
                <w:b/>
                <w:bCs/>
                <w:iCs/>
                <w:kern w:val="22"/>
                <w:sz w:val="20"/>
                <w:szCs w:val="20"/>
              </w:rPr>
              <w:lastRenderedPageBreak/>
              <w:t>Article 5 – Pharmaceuticals</w:t>
            </w:r>
          </w:p>
        </w:tc>
      </w:tr>
      <w:tr w:rsidR="00376CED" w:rsidRPr="003075B3" w14:paraId="4C16AF64" w14:textId="77777777" w:rsidTr="00725967">
        <w:tc>
          <w:tcPr>
            <w:tcW w:w="4878" w:type="dxa"/>
            <w:vAlign w:val="center"/>
            <w:hideMark/>
          </w:tcPr>
          <w:p w14:paraId="569374BD"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Does your country regulate the transboundary movement, handling or use of living modified organisms (LMOs) which are pharmaceuticals to humans?</w:t>
            </w:r>
          </w:p>
        </w:tc>
        <w:tc>
          <w:tcPr>
            <w:tcW w:w="4564" w:type="dxa"/>
            <w:tcBorders>
              <w:right w:val="single" w:sz="4" w:space="0" w:color="auto"/>
            </w:tcBorders>
            <w:vAlign w:val="center"/>
            <w:hideMark/>
          </w:tcPr>
          <w:p w14:paraId="71F250F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78184F6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57AABCB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662DB5E0" w14:textId="77777777" w:rsidTr="00725967">
        <w:tc>
          <w:tcPr>
            <w:tcW w:w="9442" w:type="dxa"/>
            <w:gridSpan w:val="2"/>
            <w:tcBorders>
              <w:right w:val="single" w:sz="4" w:space="0" w:color="auto"/>
            </w:tcBorders>
            <w:vAlign w:val="center"/>
            <w:hideMark/>
          </w:tcPr>
          <w:p w14:paraId="1D537349"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Here you may provide further details on the implementation of Article 5 in your country: </w:t>
            </w:r>
          </w:p>
          <w:p w14:paraId="257A76D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40" w:right="2"/>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r w:rsidR="00376CED" w:rsidRPr="003075B3" w14:paraId="626F0A9E" w14:textId="77777777" w:rsidTr="00725967">
        <w:tc>
          <w:tcPr>
            <w:tcW w:w="9442" w:type="dxa"/>
            <w:gridSpan w:val="2"/>
            <w:tcBorders>
              <w:right w:val="single" w:sz="4" w:space="0" w:color="auto"/>
            </w:tcBorders>
            <w:vAlign w:val="center"/>
            <w:hideMark/>
          </w:tcPr>
          <w:p w14:paraId="02A72CD1"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3075B3">
              <w:rPr>
                <w:b/>
                <w:kern w:val="22"/>
                <w:sz w:val="20"/>
                <w:szCs w:val="20"/>
              </w:rPr>
              <w:t>Article 6 – Transit and contained use</w:t>
            </w:r>
          </w:p>
        </w:tc>
      </w:tr>
      <w:tr w:rsidR="00376CED" w:rsidRPr="003075B3" w14:paraId="5BD0391A" w14:textId="77777777" w:rsidTr="00725967">
        <w:tc>
          <w:tcPr>
            <w:tcW w:w="4878" w:type="dxa"/>
            <w:vAlign w:val="center"/>
            <w:hideMark/>
          </w:tcPr>
          <w:p w14:paraId="58F72E2F" w14:textId="4460217C"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Does your country regulate the transit of LMOs?</w:t>
            </w:r>
          </w:p>
        </w:tc>
        <w:tc>
          <w:tcPr>
            <w:tcW w:w="4564" w:type="dxa"/>
            <w:tcBorders>
              <w:right w:val="single" w:sz="4" w:space="0" w:color="auto"/>
            </w:tcBorders>
            <w:vAlign w:val="center"/>
            <w:hideMark/>
          </w:tcPr>
          <w:p w14:paraId="1DB3A94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w:t>
            </w:r>
          </w:p>
          <w:p w14:paraId="1072BBD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1C9D5B9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outlineLvl w:val="3"/>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713BC9D6" w14:textId="77777777" w:rsidTr="00725967">
        <w:tc>
          <w:tcPr>
            <w:tcW w:w="4878" w:type="dxa"/>
            <w:vAlign w:val="center"/>
            <w:hideMark/>
          </w:tcPr>
          <w:p w14:paraId="5E2B7495"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Does your country regulate the contained use of LMOs?</w:t>
            </w:r>
          </w:p>
        </w:tc>
        <w:tc>
          <w:tcPr>
            <w:tcW w:w="4564" w:type="dxa"/>
            <w:tcBorders>
              <w:right w:val="single" w:sz="4" w:space="0" w:color="auto"/>
            </w:tcBorders>
            <w:vAlign w:val="center"/>
            <w:hideMark/>
          </w:tcPr>
          <w:p w14:paraId="442465A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435D66C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outlineLvl w:val="3"/>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6C685BFA" w14:textId="77777777" w:rsidTr="00725967">
        <w:tc>
          <w:tcPr>
            <w:tcW w:w="4878" w:type="dxa"/>
            <w:vAlign w:val="center"/>
          </w:tcPr>
          <w:p w14:paraId="1DBAFAC6"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Has your country taken a decision concerning the import of LMOs for contained use?</w:t>
            </w:r>
          </w:p>
        </w:tc>
        <w:tc>
          <w:tcPr>
            <w:tcW w:w="4564" w:type="dxa"/>
            <w:tcBorders>
              <w:right w:val="single" w:sz="4" w:space="0" w:color="auto"/>
            </w:tcBorders>
            <w:vAlign w:val="center"/>
          </w:tcPr>
          <w:p w14:paraId="2933444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2ECF93D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5B62EEC8" w14:textId="77777777" w:rsidTr="00725967">
        <w:tc>
          <w:tcPr>
            <w:tcW w:w="9442" w:type="dxa"/>
            <w:gridSpan w:val="2"/>
            <w:tcBorders>
              <w:right w:val="single" w:sz="4" w:space="0" w:color="auto"/>
            </w:tcBorders>
            <w:vAlign w:val="center"/>
            <w:hideMark/>
          </w:tcPr>
          <w:p w14:paraId="7A9D65BA" w14:textId="36F1722E"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39" w:right="488" w:hanging="539"/>
              <w:rPr>
                <w:kern w:val="22"/>
                <w:sz w:val="20"/>
                <w:szCs w:val="20"/>
              </w:rPr>
            </w:pPr>
            <w:r w:rsidRPr="003075B3">
              <w:rPr>
                <w:kern w:val="22"/>
                <w:sz w:val="20"/>
                <w:szCs w:val="20"/>
              </w:rPr>
              <w:t>Here you may provide further details on the implementation of Article 6 in your country:</w:t>
            </w:r>
          </w:p>
          <w:p w14:paraId="03547D9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33"/>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bl>
    <w:p w14:paraId="7D6F6232" w14:textId="77777777" w:rsidR="00376CED" w:rsidRPr="003075B3" w:rsidRDefault="00376CED" w:rsidP="00725967">
      <w:pPr>
        <w:shd w:val="clear" w:color="auto" w:fill="FFFFFF" w:themeFill="background1"/>
        <w:rPr>
          <w:kern w:val="22"/>
          <w:sz w:val="20"/>
          <w:szCs w:val="20"/>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77"/>
        <w:gridCol w:w="16"/>
        <w:gridCol w:w="37"/>
        <w:gridCol w:w="4522"/>
      </w:tblGrid>
      <w:tr w:rsidR="00376CED" w:rsidRPr="003075B3" w14:paraId="50459462" w14:textId="77777777" w:rsidTr="00725967">
        <w:tc>
          <w:tcPr>
            <w:tcW w:w="9352" w:type="dxa"/>
            <w:gridSpan w:val="4"/>
            <w:tcBorders>
              <w:right w:val="single" w:sz="4" w:space="0" w:color="auto"/>
            </w:tcBorders>
            <w:vAlign w:val="center"/>
            <w:hideMark/>
          </w:tcPr>
          <w:p w14:paraId="35170C74"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3075B3">
              <w:rPr>
                <w:b/>
                <w:kern w:val="22"/>
                <w:sz w:val="20"/>
                <w:szCs w:val="20"/>
              </w:rPr>
              <w:t xml:space="preserve">Articles 7 to 10: Advance informed agreement (AIA) and </w:t>
            </w:r>
            <w:r w:rsidRPr="003075B3">
              <w:rPr>
                <w:b/>
                <w:kern w:val="22"/>
                <w:sz w:val="20"/>
                <w:szCs w:val="20"/>
              </w:rPr>
              <w:br/>
              <w:t>intentional introduction of LMOs into the environment</w:t>
            </w:r>
          </w:p>
        </w:tc>
      </w:tr>
      <w:tr w:rsidR="00376CED" w:rsidRPr="003075B3" w14:paraId="3DD370DE" w14:textId="77777777" w:rsidTr="00725967">
        <w:tc>
          <w:tcPr>
            <w:tcW w:w="4878" w:type="dxa"/>
            <w:gridSpan w:val="3"/>
            <w:vAlign w:val="center"/>
            <w:hideMark/>
          </w:tcPr>
          <w:p w14:paraId="185A5011"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br w:type="page"/>
              <w:t>Has your country established legal requirements for exporters under its jurisdiction to notify in writing the competent national authority of the Party of import prior to the intentional transboundary movement of an LMO that falls within the scope of the AIA procedure?</w:t>
            </w:r>
          </w:p>
        </w:tc>
        <w:tc>
          <w:tcPr>
            <w:tcW w:w="4474" w:type="dxa"/>
            <w:tcBorders>
              <w:right w:val="single" w:sz="4" w:space="0" w:color="auto"/>
            </w:tcBorders>
            <w:vAlign w:val="center"/>
            <w:hideMark/>
          </w:tcPr>
          <w:p w14:paraId="5BBE553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2FD741C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7002FDE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46B1A29E" w14:textId="77777777" w:rsidTr="00725967">
        <w:tc>
          <w:tcPr>
            <w:tcW w:w="4878" w:type="dxa"/>
            <w:gridSpan w:val="3"/>
            <w:vAlign w:val="center"/>
            <w:hideMark/>
          </w:tcPr>
          <w:p w14:paraId="739DC87E" w14:textId="77777777" w:rsidR="00376CED" w:rsidRPr="003075B3"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When acting as the Party of export, has your country established legal requirements for the accuracy of information contained in the notification provided by the exporter?</w:t>
            </w:r>
          </w:p>
        </w:tc>
        <w:tc>
          <w:tcPr>
            <w:tcW w:w="4474" w:type="dxa"/>
            <w:tcBorders>
              <w:right w:val="single" w:sz="4" w:space="0" w:color="auto"/>
            </w:tcBorders>
            <w:vAlign w:val="center"/>
            <w:hideMark/>
          </w:tcPr>
          <w:p w14:paraId="07216D6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286FDEE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66C79B8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p w14:paraId="12A7B403" w14:textId="77777777" w:rsidR="00376CED" w:rsidRPr="003075B3" w:rsidRDefault="00376CED" w:rsidP="00725967">
            <w:pPr>
              <w:suppressLineNumbers/>
              <w:shd w:val="clear" w:color="auto" w:fill="FFFFFF" w:themeFill="background1"/>
              <w:tabs>
                <w:tab w:val="left" w:pos="747"/>
              </w:tabs>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Not applicable (Party currently not exporting LMOs)</w:t>
            </w:r>
          </w:p>
        </w:tc>
      </w:tr>
      <w:tr w:rsidR="00376CED" w:rsidRPr="003075B3" w14:paraId="4854D386" w14:textId="77777777" w:rsidTr="00725967">
        <w:tc>
          <w:tcPr>
            <w:tcW w:w="4878" w:type="dxa"/>
            <w:gridSpan w:val="3"/>
            <w:vAlign w:val="center"/>
            <w:hideMark/>
          </w:tcPr>
          <w:p w14:paraId="27B864D6"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In the current reporting period, has your country received a notification regarding intentional transboundary movements of LMOs for intentional introduction into the environment?</w:t>
            </w:r>
          </w:p>
        </w:tc>
        <w:tc>
          <w:tcPr>
            <w:tcW w:w="4474" w:type="dxa"/>
            <w:tcBorders>
              <w:right w:val="single" w:sz="4" w:space="0" w:color="auto"/>
            </w:tcBorders>
            <w:vAlign w:val="center"/>
            <w:hideMark/>
          </w:tcPr>
          <w:p w14:paraId="68012C9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1019C98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r w:rsidRPr="003075B3">
              <w:rPr>
                <w:bCs/>
                <w:i/>
                <w:iCs/>
                <w:kern w:val="22"/>
                <w:sz w:val="20"/>
                <w:szCs w:val="20"/>
              </w:rPr>
              <w:t xml:space="preserve"> </w:t>
            </w:r>
          </w:p>
        </w:tc>
      </w:tr>
      <w:tr w:rsidR="00376CED" w:rsidRPr="003075B3" w14:paraId="1A384DDE" w14:textId="77777777" w:rsidTr="00725967">
        <w:tc>
          <w:tcPr>
            <w:tcW w:w="4878" w:type="dxa"/>
            <w:gridSpan w:val="3"/>
            <w:vAlign w:val="center"/>
            <w:hideMark/>
          </w:tcPr>
          <w:p w14:paraId="79439E35"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lastRenderedPageBreak/>
              <w:t xml:space="preserve">If you answered </w:t>
            </w:r>
            <w:r w:rsidRPr="003075B3">
              <w:rPr>
                <w:i/>
                <w:kern w:val="22"/>
                <w:sz w:val="20"/>
                <w:szCs w:val="20"/>
              </w:rPr>
              <w:t>Yes</w:t>
            </w:r>
            <w:r w:rsidRPr="003075B3">
              <w:rPr>
                <w:kern w:val="22"/>
                <w:sz w:val="20"/>
                <w:szCs w:val="20"/>
              </w:rPr>
              <w:t xml:space="preserve"> to question 29, did the notification(s) contain complete information (at a minimum the information specified in Annex I to the Cartagena Protocol on Biosafety)?</w:t>
            </w:r>
          </w:p>
        </w:tc>
        <w:tc>
          <w:tcPr>
            <w:tcW w:w="4474" w:type="dxa"/>
            <w:tcBorders>
              <w:right w:val="single" w:sz="4" w:space="0" w:color="auto"/>
            </w:tcBorders>
            <w:vAlign w:val="center"/>
            <w:hideMark/>
          </w:tcPr>
          <w:p w14:paraId="321951F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always</w:t>
            </w:r>
          </w:p>
          <w:p w14:paraId="106B1EC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In some </w:t>
            </w:r>
            <w:proofErr w:type="gramStart"/>
            <w:r w:rsidRPr="003075B3">
              <w:rPr>
                <w:kern w:val="22"/>
                <w:sz w:val="20"/>
                <w:szCs w:val="20"/>
              </w:rPr>
              <w:t>cases</w:t>
            </w:r>
            <w:proofErr w:type="gramEnd"/>
            <w:r w:rsidRPr="003075B3">
              <w:rPr>
                <w:kern w:val="22"/>
                <w:sz w:val="20"/>
                <w:szCs w:val="20"/>
              </w:rPr>
              <w:t xml:space="preserve"> only</w:t>
            </w:r>
          </w:p>
          <w:p w14:paraId="7888267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bCs/>
                <w:i/>
                <w:iCs/>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0EB526FC" w14:textId="77777777" w:rsidTr="00725967">
        <w:tc>
          <w:tcPr>
            <w:tcW w:w="4878" w:type="dxa"/>
            <w:gridSpan w:val="3"/>
            <w:tcBorders>
              <w:bottom w:val="single" w:sz="4" w:space="0" w:color="auto"/>
            </w:tcBorders>
            <w:vAlign w:val="center"/>
            <w:hideMark/>
          </w:tcPr>
          <w:p w14:paraId="7D0FFEC2"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29, has your country acknowledged receipt of the notification(s) to the notifier within ninety days of receipt?</w:t>
            </w:r>
          </w:p>
        </w:tc>
        <w:tc>
          <w:tcPr>
            <w:tcW w:w="4474" w:type="dxa"/>
            <w:tcBorders>
              <w:bottom w:val="single" w:sz="4" w:space="0" w:color="auto"/>
              <w:right w:val="single" w:sz="4" w:space="0" w:color="auto"/>
            </w:tcBorders>
            <w:vAlign w:val="center"/>
            <w:hideMark/>
          </w:tcPr>
          <w:p w14:paraId="69AD52C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always</w:t>
            </w:r>
          </w:p>
          <w:p w14:paraId="394CC71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In some </w:t>
            </w:r>
            <w:proofErr w:type="gramStart"/>
            <w:r w:rsidRPr="003075B3">
              <w:rPr>
                <w:kern w:val="22"/>
                <w:sz w:val="20"/>
                <w:szCs w:val="20"/>
              </w:rPr>
              <w:t>cases</w:t>
            </w:r>
            <w:proofErr w:type="gramEnd"/>
            <w:r w:rsidRPr="003075B3">
              <w:rPr>
                <w:kern w:val="22"/>
                <w:sz w:val="20"/>
                <w:szCs w:val="20"/>
              </w:rPr>
              <w:t xml:space="preserve"> only</w:t>
            </w:r>
          </w:p>
          <w:p w14:paraId="517EF62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bCs/>
                <w:i/>
                <w:iCs/>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1CAC307C" w14:textId="77777777" w:rsidTr="00725967">
        <w:trPr>
          <w:trHeight w:val="723"/>
        </w:trPr>
        <w:tc>
          <w:tcPr>
            <w:tcW w:w="9352" w:type="dxa"/>
            <w:gridSpan w:val="4"/>
            <w:tcBorders>
              <w:bottom w:val="nil"/>
              <w:right w:val="single" w:sz="4" w:space="0" w:color="auto"/>
            </w:tcBorders>
            <w:vAlign w:val="center"/>
            <w:hideMark/>
          </w:tcPr>
          <w:p w14:paraId="56A5409A"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29, has your country informed of its decision(s):</w:t>
            </w:r>
          </w:p>
        </w:tc>
      </w:tr>
      <w:tr w:rsidR="00376CED" w:rsidRPr="003075B3" w14:paraId="30615CB8" w14:textId="77777777" w:rsidTr="00725967">
        <w:trPr>
          <w:trHeight w:val="1075"/>
        </w:trPr>
        <w:tc>
          <w:tcPr>
            <w:tcW w:w="4825" w:type="dxa"/>
            <w:tcBorders>
              <w:top w:val="nil"/>
              <w:bottom w:val="nil"/>
              <w:right w:val="nil"/>
            </w:tcBorders>
            <w:vAlign w:val="center"/>
          </w:tcPr>
          <w:p w14:paraId="14CCC50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37" w:right="490"/>
              <w:rPr>
                <w:kern w:val="22"/>
                <w:sz w:val="20"/>
                <w:szCs w:val="20"/>
              </w:rPr>
            </w:pPr>
            <w:r w:rsidRPr="003075B3">
              <w:rPr>
                <w:kern w:val="22"/>
                <w:sz w:val="20"/>
                <w:szCs w:val="20"/>
              </w:rPr>
              <w:t xml:space="preserve">a. The notifier? </w:t>
            </w:r>
          </w:p>
        </w:tc>
        <w:tc>
          <w:tcPr>
            <w:tcW w:w="4527" w:type="dxa"/>
            <w:gridSpan w:val="3"/>
            <w:tcBorders>
              <w:top w:val="nil"/>
              <w:left w:val="nil"/>
              <w:bottom w:val="single" w:sz="4" w:space="0" w:color="auto"/>
              <w:right w:val="single" w:sz="4" w:space="0" w:color="auto"/>
            </w:tcBorders>
            <w:vAlign w:val="center"/>
            <w:hideMark/>
          </w:tcPr>
          <w:p w14:paraId="0EAFC8C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always</w:t>
            </w:r>
          </w:p>
          <w:p w14:paraId="08B56FD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In some </w:t>
            </w:r>
            <w:proofErr w:type="gramStart"/>
            <w:r w:rsidRPr="003075B3">
              <w:rPr>
                <w:kern w:val="22"/>
                <w:sz w:val="20"/>
                <w:szCs w:val="20"/>
              </w:rPr>
              <w:t>cases</w:t>
            </w:r>
            <w:proofErr w:type="gramEnd"/>
            <w:r w:rsidRPr="003075B3">
              <w:rPr>
                <w:kern w:val="22"/>
                <w:sz w:val="20"/>
                <w:szCs w:val="20"/>
              </w:rPr>
              <w:t xml:space="preserve"> only</w:t>
            </w:r>
          </w:p>
          <w:p w14:paraId="338FD81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b/>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No </w:t>
            </w:r>
          </w:p>
        </w:tc>
      </w:tr>
      <w:tr w:rsidR="00376CED" w:rsidRPr="003075B3" w14:paraId="704B4171" w14:textId="77777777" w:rsidTr="00725967">
        <w:trPr>
          <w:trHeight w:val="1128"/>
        </w:trPr>
        <w:tc>
          <w:tcPr>
            <w:tcW w:w="4825" w:type="dxa"/>
            <w:tcBorders>
              <w:top w:val="nil"/>
              <w:right w:val="nil"/>
            </w:tcBorders>
            <w:vAlign w:val="center"/>
          </w:tcPr>
          <w:p w14:paraId="222ED67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37" w:right="490"/>
              <w:rPr>
                <w:kern w:val="22"/>
                <w:sz w:val="20"/>
                <w:szCs w:val="20"/>
              </w:rPr>
            </w:pPr>
            <w:r w:rsidRPr="003075B3">
              <w:rPr>
                <w:kern w:val="22"/>
                <w:sz w:val="20"/>
                <w:szCs w:val="20"/>
              </w:rPr>
              <w:t>b. The Biosafety Clearing-House (BCH)?</w:t>
            </w:r>
          </w:p>
        </w:tc>
        <w:tc>
          <w:tcPr>
            <w:tcW w:w="4527" w:type="dxa"/>
            <w:gridSpan w:val="3"/>
            <w:tcBorders>
              <w:top w:val="nil"/>
              <w:left w:val="nil"/>
              <w:right w:val="single" w:sz="4" w:space="0" w:color="auto"/>
            </w:tcBorders>
            <w:vAlign w:val="center"/>
          </w:tcPr>
          <w:p w14:paraId="79E5471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always</w:t>
            </w:r>
          </w:p>
          <w:p w14:paraId="6BE6788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In some </w:t>
            </w:r>
            <w:proofErr w:type="gramStart"/>
            <w:r w:rsidRPr="003075B3">
              <w:rPr>
                <w:kern w:val="22"/>
                <w:sz w:val="20"/>
                <w:szCs w:val="20"/>
              </w:rPr>
              <w:t>cases</w:t>
            </w:r>
            <w:proofErr w:type="gramEnd"/>
            <w:r w:rsidRPr="003075B3">
              <w:rPr>
                <w:kern w:val="22"/>
                <w:sz w:val="20"/>
                <w:szCs w:val="20"/>
              </w:rPr>
              <w:t xml:space="preserve"> only</w:t>
            </w:r>
          </w:p>
          <w:p w14:paraId="03ABC90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4ADCB29B" w14:textId="77777777" w:rsidTr="00725967">
        <w:tc>
          <w:tcPr>
            <w:tcW w:w="4878" w:type="dxa"/>
            <w:gridSpan w:val="3"/>
            <w:shd w:val="clear" w:color="auto" w:fill="FFFFFF"/>
            <w:vAlign w:val="center"/>
            <w:hideMark/>
          </w:tcPr>
          <w:p w14:paraId="121A8596" w14:textId="77777777" w:rsidR="00376CED" w:rsidRPr="003075B3"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In the current reporting period, has your country taken a decision in response to the notification(s) regarding intentional transboundary movements of LMOs for intentional introduction into the environment?</w:t>
            </w:r>
          </w:p>
        </w:tc>
        <w:tc>
          <w:tcPr>
            <w:tcW w:w="4474" w:type="dxa"/>
            <w:tcBorders>
              <w:right w:val="single" w:sz="4" w:space="0" w:color="auto"/>
            </w:tcBorders>
            <w:shd w:val="clear" w:color="auto" w:fill="FFFFFF"/>
            <w:vAlign w:val="center"/>
            <w:hideMark/>
          </w:tcPr>
          <w:p w14:paraId="1E8396F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3942986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3238FDA5" w14:textId="77777777" w:rsidTr="00725967">
        <w:tc>
          <w:tcPr>
            <w:tcW w:w="4878" w:type="dxa"/>
            <w:gridSpan w:val="3"/>
            <w:shd w:val="clear" w:color="auto" w:fill="FFFFFF"/>
            <w:vAlign w:val="center"/>
            <w:hideMark/>
          </w:tcPr>
          <w:p w14:paraId="0FBCB755"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33, how many LMOs has your country approved for import for intentional introduction into the environment?</w:t>
            </w:r>
          </w:p>
        </w:tc>
        <w:tc>
          <w:tcPr>
            <w:tcW w:w="4474" w:type="dxa"/>
            <w:tcBorders>
              <w:right w:val="single" w:sz="4" w:space="0" w:color="auto"/>
            </w:tcBorders>
            <w:shd w:val="clear" w:color="auto" w:fill="FFFFFF"/>
            <w:vAlign w:val="center"/>
            <w:hideMark/>
          </w:tcPr>
          <w:p w14:paraId="55D1F53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72BA42A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4</w:t>
            </w:r>
          </w:p>
          <w:p w14:paraId="6E9C1FE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 to 9</w:t>
            </w:r>
          </w:p>
          <w:p w14:paraId="7680473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or more</w:t>
            </w:r>
          </w:p>
        </w:tc>
      </w:tr>
      <w:tr w:rsidR="00376CED" w:rsidRPr="003075B3" w14:paraId="64F6914B" w14:textId="77777777" w:rsidTr="00725967">
        <w:tc>
          <w:tcPr>
            <w:tcW w:w="4878" w:type="dxa"/>
            <w:gridSpan w:val="3"/>
            <w:shd w:val="clear" w:color="auto" w:fill="FFFFFF"/>
            <w:vAlign w:val="center"/>
            <w:hideMark/>
          </w:tcPr>
          <w:p w14:paraId="4F6775BD"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If you answered </w:t>
            </w:r>
            <w:r w:rsidRPr="003075B3">
              <w:rPr>
                <w:i/>
                <w:kern w:val="22"/>
                <w:sz w:val="20"/>
                <w:szCs w:val="20"/>
              </w:rPr>
              <w:t>under question 34</w:t>
            </w:r>
            <w:r w:rsidRPr="003075B3">
              <w:rPr>
                <w:kern w:val="22"/>
                <w:sz w:val="20"/>
                <w:szCs w:val="20"/>
              </w:rPr>
              <w:t xml:space="preserve"> that </w:t>
            </w:r>
            <w:r w:rsidRPr="003075B3">
              <w:rPr>
                <w:i/>
                <w:kern w:val="22"/>
                <w:sz w:val="20"/>
                <w:szCs w:val="20"/>
              </w:rPr>
              <w:t>LMOs were approved</w:t>
            </w:r>
            <w:r w:rsidRPr="003075B3">
              <w:rPr>
                <w:kern w:val="22"/>
                <w:sz w:val="20"/>
                <w:szCs w:val="20"/>
              </w:rPr>
              <w:t xml:space="preserve">, have all these LMOs </w:t>
            </w:r>
            <w:proofErr w:type="gramStart"/>
            <w:r w:rsidRPr="003075B3">
              <w:rPr>
                <w:kern w:val="22"/>
                <w:sz w:val="20"/>
                <w:szCs w:val="20"/>
              </w:rPr>
              <w:t>actually been</w:t>
            </w:r>
            <w:proofErr w:type="gramEnd"/>
            <w:r w:rsidRPr="003075B3">
              <w:rPr>
                <w:kern w:val="22"/>
                <w:sz w:val="20"/>
                <w:szCs w:val="20"/>
              </w:rPr>
              <w:t xml:space="preserve"> imported into your country?</w:t>
            </w:r>
          </w:p>
        </w:tc>
        <w:tc>
          <w:tcPr>
            <w:tcW w:w="4474" w:type="dxa"/>
            <w:tcBorders>
              <w:right w:val="single" w:sz="4" w:space="0" w:color="auto"/>
            </w:tcBorders>
            <w:shd w:val="clear" w:color="auto" w:fill="FFFFFF"/>
            <w:vAlign w:val="center"/>
            <w:hideMark/>
          </w:tcPr>
          <w:p w14:paraId="4F1CA27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always</w:t>
            </w:r>
          </w:p>
          <w:p w14:paraId="18924C2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In some </w:t>
            </w:r>
            <w:proofErr w:type="gramStart"/>
            <w:r w:rsidRPr="003075B3">
              <w:rPr>
                <w:kern w:val="22"/>
                <w:sz w:val="20"/>
                <w:szCs w:val="20"/>
              </w:rPr>
              <w:t>cases</w:t>
            </w:r>
            <w:proofErr w:type="gramEnd"/>
            <w:r w:rsidRPr="003075B3">
              <w:rPr>
                <w:kern w:val="22"/>
                <w:sz w:val="20"/>
                <w:szCs w:val="20"/>
              </w:rPr>
              <w:t xml:space="preserve"> only</w:t>
            </w:r>
          </w:p>
          <w:p w14:paraId="3F81787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099AD870" w14:textId="77777777" w:rsidTr="00725967">
        <w:tc>
          <w:tcPr>
            <w:tcW w:w="4878" w:type="dxa"/>
            <w:gridSpan w:val="3"/>
            <w:shd w:val="clear" w:color="auto" w:fill="auto"/>
            <w:vAlign w:val="center"/>
            <w:hideMark/>
          </w:tcPr>
          <w:p w14:paraId="6230C8F4"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33, what percentage of your country’s decisions fall into the following categories?</w:t>
            </w:r>
          </w:p>
        </w:tc>
        <w:tc>
          <w:tcPr>
            <w:tcW w:w="4474" w:type="dxa"/>
            <w:tcBorders>
              <w:right w:val="single" w:sz="4" w:space="0" w:color="auto"/>
            </w:tcBorders>
            <w:shd w:val="clear" w:color="auto" w:fill="auto"/>
            <w:vAlign w:val="center"/>
            <w:hideMark/>
          </w:tcPr>
          <w:p w14:paraId="049A294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Text4"/>
                  <w:enabled/>
                  <w:calcOnExit w:val="0"/>
                  <w:textInput>
                    <w:default w:val="[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kern w:val="22"/>
                <w:sz w:val="20"/>
                <w:szCs w:val="20"/>
              </w:rPr>
              <w:t>[  %]</w:t>
            </w:r>
            <w:r w:rsidRPr="003075B3">
              <w:rPr>
                <w:kern w:val="22"/>
                <w:sz w:val="20"/>
                <w:szCs w:val="20"/>
              </w:rPr>
              <w:fldChar w:fldCharType="end"/>
            </w:r>
            <w:r w:rsidRPr="003075B3">
              <w:rPr>
                <w:kern w:val="22"/>
                <w:sz w:val="20"/>
                <w:szCs w:val="20"/>
              </w:rPr>
              <w:tab/>
              <w:t>Approval of the import/use of the LMO(s) without conditions</w:t>
            </w:r>
          </w:p>
          <w:p w14:paraId="292DA30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Text4"/>
                  <w:enabled/>
                  <w:calcOnExit w:val="0"/>
                  <w:textInput>
                    <w:default w:val="[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kern w:val="22"/>
                <w:sz w:val="20"/>
                <w:szCs w:val="20"/>
              </w:rPr>
              <w:t>[  %]</w:t>
            </w:r>
            <w:r w:rsidRPr="003075B3">
              <w:rPr>
                <w:kern w:val="22"/>
                <w:sz w:val="20"/>
                <w:szCs w:val="20"/>
              </w:rPr>
              <w:fldChar w:fldCharType="end"/>
            </w:r>
            <w:r w:rsidRPr="003075B3">
              <w:rPr>
                <w:kern w:val="22"/>
                <w:sz w:val="20"/>
                <w:szCs w:val="20"/>
              </w:rPr>
              <w:tab/>
              <w:t>Approval of the import/use of the LMO(s) with conditions</w:t>
            </w:r>
          </w:p>
          <w:p w14:paraId="56D49D3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Text4"/>
                  <w:enabled/>
                  <w:calcOnExit w:val="0"/>
                  <w:textInput>
                    <w:default w:val="[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kern w:val="22"/>
                <w:sz w:val="20"/>
                <w:szCs w:val="20"/>
              </w:rPr>
              <w:t>[  %]</w:t>
            </w:r>
            <w:r w:rsidRPr="003075B3">
              <w:rPr>
                <w:kern w:val="22"/>
                <w:sz w:val="20"/>
                <w:szCs w:val="20"/>
              </w:rPr>
              <w:fldChar w:fldCharType="end"/>
            </w:r>
            <w:r w:rsidRPr="003075B3">
              <w:rPr>
                <w:kern w:val="22"/>
                <w:sz w:val="20"/>
                <w:szCs w:val="20"/>
              </w:rPr>
              <w:tab/>
              <w:t>Prohibition of the import/use of the LMO(s)</w:t>
            </w:r>
          </w:p>
          <w:p w14:paraId="359FEDA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Text4"/>
                  <w:enabled/>
                  <w:calcOnExit w:val="0"/>
                  <w:textInput>
                    <w:default w:val="[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kern w:val="22"/>
                <w:sz w:val="20"/>
                <w:szCs w:val="20"/>
              </w:rPr>
              <w:t>[  %]</w:t>
            </w:r>
            <w:r w:rsidRPr="003075B3">
              <w:rPr>
                <w:kern w:val="22"/>
                <w:sz w:val="20"/>
                <w:szCs w:val="20"/>
              </w:rPr>
              <w:fldChar w:fldCharType="end"/>
            </w:r>
            <w:r w:rsidRPr="003075B3">
              <w:rPr>
                <w:kern w:val="22"/>
                <w:sz w:val="20"/>
                <w:szCs w:val="20"/>
              </w:rPr>
              <w:tab/>
              <w:t>Request for additional relevant information</w:t>
            </w:r>
          </w:p>
          <w:p w14:paraId="536CA24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Text4"/>
                  <w:enabled/>
                  <w:calcOnExit w:val="0"/>
                  <w:textInput>
                    <w:default w:val="[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kern w:val="22"/>
                <w:sz w:val="20"/>
                <w:szCs w:val="20"/>
              </w:rPr>
              <w:t>[  %]</w:t>
            </w:r>
            <w:r w:rsidRPr="003075B3">
              <w:rPr>
                <w:kern w:val="22"/>
                <w:sz w:val="20"/>
                <w:szCs w:val="20"/>
              </w:rPr>
              <w:fldChar w:fldCharType="end"/>
            </w:r>
            <w:r w:rsidRPr="003075B3">
              <w:rPr>
                <w:kern w:val="22"/>
                <w:sz w:val="20"/>
                <w:szCs w:val="20"/>
              </w:rPr>
              <w:tab/>
              <w:t>Inform the notifier that the period for communicating the decision has been extended</w:t>
            </w:r>
          </w:p>
        </w:tc>
      </w:tr>
      <w:tr w:rsidR="00376CED" w:rsidRPr="003075B3" w14:paraId="72615226" w14:textId="77777777" w:rsidTr="00725967">
        <w:tc>
          <w:tcPr>
            <w:tcW w:w="4878" w:type="dxa"/>
            <w:gridSpan w:val="3"/>
            <w:vAlign w:val="center"/>
            <w:hideMark/>
          </w:tcPr>
          <w:p w14:paraId="146DF537"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lastRenderedPageBreak/>
              <w:t xml:space="preserve">If you answered </w:t>
            </w:r>
            <w:r w:rsidRPr="003075B3">
              <w:rPr>
                <w:i/>
                <w:kern w:val="22"/>
                <w:sz w:val="20"/>
                <w:szCs w:val="20"/>
              </w:rPr>
              <w:t>under question 36</w:t>
            </w:r>
            <w:r w:rsidRPr="003075B3">
              <w:rPr>
                <w:kern w:val="22"/>
                <w:sz w:val="20"/>
                <w:szCs w:val="20"/>
              </w:rPr>
              <w:t xml:space="preserve"> that your country has taken a decision to</w:t>
            </w:r>
            <w:r w:rsidRPr="003075B3">
              <w:rPr>
                <w:i/>
                <w:kern w:val="22"/>
                <w:sz w:val="20"/>
                <w:szCs w:val="20"/>
              </w:rPr>
              <w:t xml:space="preserve"> approve the import with conditions </w:t>
            </w:r>
            <w:r w:rsidRPr="003075B3">
              <w:rPr>
                <w:kern w:val="22"/>
                <w:sz w:val="20"/>
                <w:szCs w:val="20"/>
              </w:rPr>
              <w:t xml:space="preserve">or to </w:t>
            </w:r>
            <w:r w:rsidRPr="003075B3">
              <w:rPr>
                <w:i/>
                <w:kern w:val="22"/>
                <w:sz w:val="20"/>
                <w:szCs w:val="20"/>
              </w:rPr>
              <w:t>prohibit the import</w:t>
            </w:r>
            <w:r w:rsidRPr="003075B3">
              <w:rPr>
                <w:kern w:val="22"/>
                <w:sz w:val="20"/>
                <w:szCs w:val="20"/>
              </w:rPr>
              <w:t>, were the reasons provided?</w:t>
            </w:r>
          </w:p>
        </w:tc>
        <w:tc>
          <w:tcPr>
            <w:tcW w:w="4474" w:type="dxa"/>
            <w:tcBorders>
              <w:right w:val="single" w:sz="4" w:space="0" w:color="auto"/>
            </w:tcBorders>
            <w:vAlign w:val="center"/>
            <w:hideMark/>
          </w:tcPr>
          <w:p w14:paraId="5964FF1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always</w:t>
            </w:r>
          </w:p>
          <w:p w14:paraId="129C0E5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In some </w:t>
            </w:r>
            <w:proofErr w:type="gramStart"/>
            <w:r w:rsidRPr="003075B3">
              <w:rPr>
                <w:kern w:val="22"/>
                <w:sz w:val="20"/>
                <w:szCs w:val="20"/>
              </w:rPr>
              <w:t>cases</w:t>
            </w:r>
            <w:proofErr w:type="gramEnd"/>
            <w:r w:rsidRPr="003075B3">
              <w:rPr>
                <w:kern w:val="22"/>
                <w:sz w:val="20"/>
                <w:szCs w:val="20"/>
              </w:rPr>
              <w:t xml:space="preserve"> only</w:t>
            </w:r>
          </w:p>
          <w:p w14:paraId="07DE334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5F299FC6" w14:textId="77777777" w:rsidTr="00725967">
        <w:tc>
          <w:tcPr>
            <w:tcW w:w="9352" w:type="dxa"/>
            <w:gridSpan w:val="4"/>
            <w:tcBorders>
              <w:right w:val="single" w:sz="4" w:space="0" w:color="auto"/>
            </w:tcBorders>
            <w:vAlign w:val="center"/>
            <w:hideMark/>
          </w:tcPr>
          <w:p w14:paraId="1A998095"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Here you may provide further details on the implementation of Articles 7 to 10 in your country, including measures in case of lack of scientific certainty on potential adverse effects of LMOs for intentional introduction to the environment:</w:t>
            </w:r>
          </w:p>
          <w:p w14:paraId="0DE6828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40" w:right="2"/>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r w:rsidR="00376CED" w:rsidRPr="003075B3" w14:paraId="5E1AABD6" w14:textId="77777777" w:rsidTr="00725967">
        <w:tc>
          <w:tcPr>
            <w:tcW w:w="9352" w:type="dxa"/>
            <w:gridSpan w:val="4"/>
            <w:tcBorders>
              <w:right w:val="single" w:sz="4" w:space="0" w:color="auto"/>
            </w:tcBorders>
            <w:vAlign w:val="center"/>
            <w:hideMark/>
          </w:tcPr>
          <w:p w14:paraId="5AE35402"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3075B3">
              <w:rPr>
                <w:kern w:val="22"/>
                <w:sz w:val="20"/>
                <w:szCs w:val="20"/>
              </w:rPr>
              <w:br w:type="page"/>
            </w:r>
            <w:r w:rsidRPr="003075B3">
              <w:rPr>
                <w:rFonts w:eastAsia="Arial Unicode MS"/>
                <w:b/>
                <w:bCs/>
                <w:iCs/>
                <w:kern w:val="22"/>
                <w:sz w:val="20"/>
                <w:szCs w:val="20"/>
              </w:rPr>
              <w:t xml:space="preserve">Article 11 – Procedure for living modified organisms </w:t>
            </w:r>
            <w:r w:rsidRPr="003075B3">
              <w:rPr>
                <w:rFonts w:eastAsia="Arial Unicode MS"/>
                <w:b/>
                <w:bCs/>
                <w:iCs/>
                <w:kern w:val="22"/>
                <w:sz w:val="20"/>
                <w:szCs w:val="20"/>
              </w:rPr>
              <w:br/>
              <w:t>intended for direct use as food or feed, or for processing (LMOs-FFP)</w:t>
            </w:r>
          </w:p>
        </w:tc>
      </w:tr>
      <w:tr w:rsidR="00376CED" w:rsidRPr="003075B3" w14:paraId="52083359" w14:textId="77777777" w:rsidTr="00725967">
        <w:tc>
          <w:tcPr>
            <w:tcW w:w="4825" w:type="dxa"/>
            <w:vAlign w:val="center"/>
            <w:hideMark/>
          </w:tcPr>
          <w:p w14:paraId="403F2C26"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Does your country have law(s), regulation(s) or administrative measures for decision-making regarding domestic use, including placing on the market, of LMOs that may be subject to transboundary movement for direct use as food or feed, or for processing?</w:t>
            </w:r>
          </w:p>
        </w:tc>
        <w:tc>
          <w:tcPr>
            <w:tcW w:w="4527" w:type="dxa"/>
            <w:gridSpan w:val="3"/>
            <w:tcBorders>
              <w:right w:val="single" w:sz="4" w:space="0" w:color="auto"/>
            </w:tcBorders>
            <w:vAlign w:val="center"/>
            <w:hideMark/>
          </w:tcPr>
          <w:p w14:paraId="528D8DD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1B882BE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61FD498F" w14:textId="77777777" w:rsidTr="00725967">
        <w:tc>
          <w:tcPr>
            <w:tcW w:w="4825" w:type="dxa"/>
            <w:vAlign w:val="center"/>
            <w:hideMark/>
          </w:tcPr>
          <w:p w14:paraId="1FA6CAA8"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Has your country established legal requirements for the accuracy of information to be provided by the applicant regarding the domestic use, including placing on the market, of LMOs that may be subject to transboundary movement for direct use as food or feed, or for processing?</w:t>
            </w:r>
          </w:p>
        </w:tc>
        <w:tc>
          <w:tcPr>
            <w:tcW w:w="4527" w:type="dxa"/>
            <w:gridSpan w:val="3"/>
            <w:tcBorders>
              <w:right w:val="single" w:sz="4" w:space="0" w:color="auto"/>
            </w:tcBorders>
            <w:vAlign w:val="center"/>
            <w:hideMark/>
          </w:tcPr>
          <w:p w14:paraId="5CB9430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4A4D65F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164EA42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1E29957C" w14:textId="77777777" w:rsidTr="00725967">
        <w:tc>
          <w:tcPr>
            <w:tcW w:w="4825" w:type="dxa"/>
            <w:vAlign w:val="center"/>
            <w:hideMark/>
          </w:tcPr>
          <w:p w14:paraId="4CFBCC6A"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In the current reporting period, how many decisions has your country taken </w:t>
            </w:r>
            <w:r w:rsidRPr="003075B3">
              <w:rPr>
                <w:kern w:val="22"/>
                <w:sz w:val="20"/>
                <w:szCs w:val="20"/>
                <w:u w:val="single"/>
              </w:rPr>
              <w:t>regarding domestic use</w:t>
            </w:r>
            <w:r w:rsidRPr="003075B3">
              <w:rPr>
                <w:kern w:val="22"/>
                <w:sz w:val="20"/>
                <w:szCs w:val="20"/>
              </w:rPr>
              <w:t>, including placing on the market, of LMOs that may be subject to transboundary movement for direct use as food or feed, or for processing?</w:t>
            </w:r>
          </w:p>
        </w:tc>
        <w:tc>
          <w:tcPr>
            <w:tcW w:w="4527" w:type="dxa"/>
            <w:gridSpan w:val="3"/>
            <w:tcBorders>
              <w:right w:val="single" w:sz="4" w:space="0" w:color="auto"/>
            </w:tcBorders>
            <w:vAlign w:val="center"/>
            <w:hideMark/>
          </w:tcPr>
          <w:p w14:paraId="72DDD3B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430F680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4</w:t>
            </w:r>
          </w:p>
          <w:p w14:paraId="41167A8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 to 9</w:t>
            </w:r>
          </w:p>
          <w:p w14:paraId="166790C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or more</w:t>
            </w:r>
          </w:p>
        </w:tc>
      </w:tr>
      <w:tr w:rsidR="00376CED" w:rsidRPr="003075B3" w14:paraId="718C44EE" w14:textId="77777777" w:rsidTr="00725967">
        <w:tc>
          <w:tcPr>
            <w:tcW w:w="4825" w:type="dxa"/>
            <w:vAlign w:val="center"/>
            <w:hideMark/>
          </w:tcPr>
          <w:p w14:paraId="3C586733"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Does your country have law(s), regulation(s) or administrative measures for decision-making regarding the import of LMOs for direct use as food or feed, or for processing?</w:t>
            </w:r>
          </w:p>
        </w:tc>
        <w:tc>
          <w:tcPr>
            <w:tcW w:w="4527" w:type="dxa"/>
            <w:gridSpan w:val="3"/>
            <w:tcBorders>
              <w:right w:val="single" w:sz="4" w:space="0" w:color="auto"/>
            </w:tcBorders>
            <w:vAlign w:val="center"/>
            <w:hideMark/>
          </w:tcPr>
          <w:p w14:paraId="267BEF5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7B9A827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1E9CC2A5" w14:textId="77777777" w:rsidTr="00725967">
        <w:tc>
          <w:tcPr>
            <w:tcW w:w="4825" w:type="dxa"/>
            <w:vAlign w:val="center"/>
            <w:hideMark/>
          </w:tcPr>
          <w:p w14:paraId="2D3D4ABC"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In the current reporting period, how many decisions has your country taken </w:t>
            </w:r>
            <w:r w:rsidRPr="003075B3">
              <w:rPr>
                <w:kern w:val="22"/>
                <w:sz w:val="20"/>
                <w:szCs w:val="20"/>
                <w:u w:val="single"/>
              </w:rPr>
              <w:t>regarding the import</w:t>
            </w:r>
            <w:r w:rsidRPr="003075B3">
              <w:rPr>
                <w:kern w:val="22"/>
                <w:sz w:val="20"/>
                <w:szCs w:val="20"/>
              </w:rPr>
              <w:t xml:space="preserve"> of LMOs for direct use as food or feed, or for processing?</w:t>
            </w:r>
          </w:p>
        </w:tc>
        <w:tc>
          <w:tcPr>
            <w:tcW w:w="4527" w:type="dxa"/>
            <w:gridSpan w:val="3"/>
            <w:tcBorders>
              <w:right w:val="single" w:sz="4" w:space="0" w:color="auto"/>
            </w:tcBorders>
            <w:vAlign w:val="center"/>
            <w:hideMark/>
          </w:tcPr>
          <w:p w14:paraId="2368D3E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07963B4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4</w:t>
            </w:r>
          </w:p>
          <w:p w14:paraId="296DF8E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 to 9</w:t>
            </w:r>
          </w:p>
          <w:p w14:paraId="7AF1858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or more</w:t>
            </w:r>
          </w:p>
        </w:tc>
      </w:tr>
      <w:tr w:rsidR="00376CED" w:rsidRPr="003075B3" w14:paraId="116C0DEF" w14:textId="77777777" w:rsidTr="00725967">
        <w:tc>
          <w:tcPr>
            <w:tcW w:w="9352" w:type="dxa"/>
            <w:gridSpan w:val="4"/>
            <w:tcBorders>
              <w:right w:val="single" w:sz="4" w:space="0" w:color="auto"/>
            </w:tcBorders>
            <w:vAlign w:val="center"/>
          </w:tcPr>
          <w:p w14:paraId="7EE400BD"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spacing w:val="-2"/>
                <w:kern w:val="22"/>
                <w:sz w:val="20"/>
                <w:szCs w:val="20"/>
              </w:rPr>
            </w:pPr>
            <w:r w:rsidRPr="003075B3">
              <w:rPr>
                <w:spacing w:val="-2"/>
                <w:kern w:val="22"/>
                <w:sz w:val="20"/>
                <w:szCs w:val="20"/>
              </w:rPr>
              <w:t>Here you may provide further details on the implementation of Article 11 in your country, including measures in case of lack of scientific certainty on potential adverse effects of LMOs that may be subject to transboundary movement for direct use as food or feed, or for processing:</w:t>
            </w:r>
          </w:p>
          <w:p w14:paraId="0BFD59D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40" w:right="2"/>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r w:rsidR="00376CED" w:rsidRPr="003075B3" w14:paraId="55BCA4C6" w14:textId="77777777" w:rsidTr="00725967">
        <w:tc>
          <w:tcPr>
            <w:tcW w:w="9352" w:type="dxa"/>
            <w:gridSpan w:val="4"/>
            <w:tcBorders>
              <w:right w:val="single" w:sz="4" w:space="0" w:color="auto"/>
            </w:tcBorders>
            <w:vAlign w:val="center"/>
            <w:hideMark/>
          </w:tcPr>
          <w:p w14:paraId="795F3D39"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3075B3">
              <w:rPr>
                <w:kern w:val="22"/>
                <w:sz w:val="20"/>
                <w:szCs w:val="20"/>
              </w:rPr>
              <w:lastRenderedPageBreak/>
              <w:br w:type="page"/>
            </w:r>
            <w:r w:rsidRPr="003075B3">
              <w:rPr>
                <w:b/>
                <w:kern w:val="22"/>
                <w:sz w:val="20"/>
                <w:szCs w:val="20"/>
              </w:rPr>
              <w:t>Article 12 – Review of decision</w:t>
            </w:r>
          </w:p>
        </w:tc>
      </w:tr>
      <w:tr w:rsidR="00376CED" w:rsidRPr="003075B3" w14:paraId="287BAC22" w14:textId="77777777" w:rsidTr="00725967">
        <w:tc>
          <w:tcPr>
            <w:tcW w:w="4825" w:type="dxa"/>
            <w:shd w:val="clear" w:color="auto" w:fill="auto"/>
            <w:vAlign w:val="center"/>
            <w:hideMark/>
          </w:tcPr>
          <w:p w14:paraId="410A1D84"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Has your country established a mechanism for the review and change of a decision regarding an intentional transboundary movement of LMOs?</w:t>
            </w:r>
          </w:p>
        </w:tc>
        <w:tc>
          <w:tcPr>
            <w:tcW w:w="4527" w:type="dxa"/>
            <w:gridSpan w:val="3"/>
            <w:tcBorders>
              <w:right w:val="single" w:sz="4" w:space="0" w:color="auto"/>
            </w:tcBorders>
            <w:shd w:val="clear" w:color="auto" w:fill="auto"/>
            <w:vAlign w:val="center"/>
            <w:hideMark/>
          </w:tcPr>
          <w:p w14:paraId="3C1B25C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7884E81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 xml:space="preserve"> </w:t>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1DC84E9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7B06C1F2" w14:textId="77777777" w:rsidTr="00725967">
        <w:tc>
          <w:tcPr>
            <w:tcW w:w="4825" w:type="dxa"/>
            <w:vAlign w:val="center"/>
            <w:hideMark/>
          </w:tcPr>
          <w:p w14:paraId="2B874D73"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In the current reporting period, has your country reviewed and/or changed a decision regarding an intentional transboundary movement of an LMO?</w:t>
            </w:r>
          </w:p>
        </w:tc>
        <w:tc>
          <w:tcPr>
            <w:tcW w:w="4527" w:type="dxa"/>
            <w:gridSpan w:val="3"/>
            <w:tcBorders>
              <w:right w:val="single" w:sz="4" w:space="0" w:color="auto"/>
            </w:tcBorders>
            <w:vAlign w:val="center"/>
            <w:hideMark/>
          </w:tcPr>
          <w:p w14:paraId="00B2F7F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6CE07C2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4153DA10" w14:textId="77777777" w:rsidTr="00725967">
        <w:tc>
          <w:tcPr>
            <w:tcW w:w="4825" w:type="dxa"/>
            <w:shd w:val="clear" w:color="auto" w:fill="FFFFFF"/>
            <w:vAlign w:val="center"/>
          </w:tcPr>
          <w:p w14:paraId="4D4B6310"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46, how many decisions were reviewed and/or changed?</w:t>
            </w:r>
          </w:p>
        </w:tc>
        <w:tc>
          <w:tcPr>
            <w:tcW w:w="4527" w:type="dxa"/>
            <w:gridSpan w:val="3"/>
            <w:tcBorders>
              <w:right w:val="single" w:sz="4" w:space="0" w:color="auto"/>
            </w:tcBorders>
            <w:shd w:val="clear" w:color="auto" w:fill="FFFFFF"/>
            <w:vAlign w:val="center"/>
          </w:tcPr>
          <w:p w14:paraId="60244A4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4</w:t>
            </w:r>
          </w:p>
          <w:p w14:paraId="6B42947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 to 9</w:t>
            </w:r>
          </w:p>
          <w:p w14:paraId="7446205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or more</w:t>
            </w:r>
          </w:p>
        </w:tc>
      </w:tr>
      <w:tr w:rsidR="00376CED" w:rsidRPr="003075B3" w14:paraId="583E5387" w14:textId="77777777" w:rsidTr="00725967">
        <w:tc>
          <w:tcPr>
            <w:tcW w:w="4825" w:type="dxa"/>
            <w:vAlign w:val="center"/>
            <w:hideMark/>
          </w:tcPr>
          <w:p w14:paraId="48E168A9"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46, were any of the reviews triggered by a request from the Party of export or the notifier?</w:t>
            </w:r>
          </w:p>
        </w:tc>
        <w:tc>
          <w:tcPr>
            <w:tcW w:w="4527" w:type="dxa"/>
            <w:gridSpan w:val="3"/>
            <w:tcBorders>
              <w:right w:val="single" w:sz="4" w:space="0" w:color="auto"/>
            </w:tcBorders>
            <w:vAlign w:val="center"/>
            <w:hideMark/>
          </w:tcPr>
          <w:p w14:paraId="0A78F4D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w:t>
            </w:r>
          </w:p>
          <w:p w14:paraId="5D56711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No </w:t>
            </w:r>
          </w:p>
        </w:tc>
      </w:tr>
      <w:tr w:rsidR="00376CED" w:rsidRPr="003075B3" w14:paraId="4C3B6EB6" w14:textId="77777777" w:rsidTr="00725967">
        <w:tc>
          <w:tcPr>
            <w:tcW w:w="4825" w:type="dxa"/>
            <w:vAlign w:val="center"/>
            <w:hideMark/>
          </w:tcPr>
          <w:p w14:paraId="6A1754C2"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48, did your country provide a response within ninety days setting out the reasons for the decision?</w:t>
            </w:r>
          </w:p>
        </w:tc>
        <w:tc>
          <w:tcPr>
            <w:tcW w:w="4527" w:type="dxa"/>
            <w:gridSpan w:val="3"/>
            <w:tcBorders>
              <w:right w:val="single" w:sz="4" w:space="0" w:color="auto"/>
            </w:tcBorders>
            <w:vAlign w:val="center"/>
            <w:hideMark/>
          </w:tcPr>
          <w:p w14:paraId="1C1B73D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always</w:t>
            </w:r>
          </w:p>
          <w:p w14:paraId="6437BF0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In some </w:t>
            </w:r>
            <w:proofErr w:type="gramStart"/>
            <w:r w:rsidRPr="003075B3">
              <w:rPr>
                <w:kern w:val="22"/>
                <w:sz w:val="20"/>
                <w:szCs w:val="20"/>
              </w:rPr>
              <w:t>cases</w:t>
            </w:r>
            <w:proofErr w:type="gramEnd"/>
            <w:r w:rsidRPr="003075B3">
              <w:rPr>
                <w:kern w:val="22"/>
                <w:sz w:val="20"/>
                <w:szCs w:val="20"/>
              </w:rPr>
              <w:t xml:space="preserve"> only</w:t>
            </w:r>
          </w:p>
          <w:p w14:paraId="49A7FA5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093A2271" w14:textId="77777777" w:rsidTr="00725967">
        <w:tc>
          <w:tcPr>
            <w:tcW w:w="4825" w:type="dxa"/>
            <w:tcBorders>
              <w:bottom w:val="single" w:sz="4" w:space="0" w:color="auto"/>
            </w:tcBorders>
            <w:vAlign w:val="center"/>
            <w:hideMark/>
          </w:tcPr>
          <w:p w14:paraId="1F13222C"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46, were any of the reviews initiated by your country as the Party of import?</w:t>
            </w:r>
          </w:p>
        </w:tc>
        <w:tc>
          <w:tcPr>
            <w:tcW w:w="4527" w:type="dxa"/>
            <w:gridSpan w:val="3"/>
            <w:tcBorders>
              <w:bottom w:val="single" w:sz="4" w:space="0" w:color="auto"/>
              <w:right w:val="single" w:sz="4" w:space="0" w:color="auto"/>
            </w:tcBorders>
            <w:vAlign w:val="center"/>
            <w:hideMark/>
          </w:tcPr>
          <w:p w14:paraId="3C12B49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w:t>
            </w:r>
          </w:p>
          <w:p w14:paraId="34A7176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60C9CE92" w14:textId="77777777" w:rsidTr="00725967">
        <w:trPr>
          <w:trHeight w:val="750"/>
        </w:trPr>
        <w:tc>
          <w:tcPr>
            <w:tcW w:w="9352" w:type="dxa"/>
            <w:gridSpan w:val="4"/>
            <w:tcBorders>
              <w:bottom w:val="nil"/>
              <w:right w:val="single" w:sz="4" w:space="0" w:color="auto"/>
            </w:tcBorders>
            <w:vAlign w:val="center"/>
          </w:tcPr>
          <w:p w14:paraId="1647EFDE" w14:textId="77777777" w:rsidR="00376CED" w:rsidRPr="003075B3" w:rsidRDefault="00376CED" w:rsidP="00376CED">
            <w:pPr>
              <w:keepNext/>
              <w:numPr>
                <w:ilvl w:val="0"/>
                <w:numId w:val="48"/>
              </w:numPr>
              <w:suppressLineNumbers/>
              <w:shd w:val="clear" w:color="auto" w:fill="FFFFFF" w:themeFill="background1"/>
              <w:tabs>
                <w:tab w:val="clear" w:pos="360"/>
                <w:tab w:val="num" w:pos="537"/>
              </w:tabs>
              <w:suppressAutoHyphens/>
              <w:kinsoku w:val="0"/>
              <w:overflowPunct w:val="0"/>
              <w:autoSpaceDE w:val="0"/>
              <w:autoSpaceDN w:val="0"/>
              <w:adjustRightInd w:val="0"/>
              <w:snapToGrid w:val="0"/>
              <w:spacing w:before="120" w:after="120"/>
              <w:ind w:left="547" w:right="490" w:hanging="547"/>
              <w:rPr>
                <w:i/>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50, did your country, within thirty days, set out the reasons for the decision and inform:</w:t>
            </w:r>
          </w:p>
        </w:tc>
      </w:tr>
      <w:tr w:rsidR="00376CED" w:rsidRPr="003075B3" w14:paraId="5B788753" w14:textId="77777777" w:rsidTr="00725967">
        <w:trPr>
          <w:trHeight w:val="1075"/>
        </w:trPr>
        <w:tc>
          <w:tcPr>
            <w:tcW w:w="4825" w:type="dxa"/>
            <w:tcBorders>
              <w:top w:val="nil"/>
              <w:bottom w:val="nil"/>
              <w:right w:val="nil"/>
            </w:tcBorders>
            <w:vAlign w:val="center"/>
            <w:hideMark/>
          </w:tcPr>
          <w:p w14:paraId="3906965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37" w:right="490"/>
              <w:rPr>
                <w:kern w:val="22"/>
                <w:sz w:val="20"/>
                <w:szCs w:val="20"/>
              </w:rPr>
            </w:pPr>
            <w:r w:rsidRPr="003075B3">
              <w:rPr>
                <w:kern w:val="22"/>
                <w:sz w:val="20"/>
                <w:szCs w:val="20"/>
              </w:rPr>
              <w:t xml:space="preserve">a. The notifier? </w:t>
            </w:r>
          </w:p>
        </w:tc>
        <w:tc>
          <w:tcPr>
            <w:tcW w:w="4527" w:type="dxa"/>
            <w:gridSpan w:val="3"/>
            <w:tcBorders>
              <w:top w:val="nil"/>
              <w:left w:val="nil"/>
              <w:bottom w:val="single" w:sz="4" w:space="0" w:color="auto"/>
              <w:right w:val="single" w:sz="4" w:space="0" w:color="auto"/>
            </w:tcBorders>
            <w:vAlign w:val="center"/>
            <w:hideMark/>
          </w:tcPr>
          <w:p w14:paraId="4CC2AFF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always</w:t>
            </w:r>
          </w:p>
          <w:p w14:paraId="63E59C8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In some </w:t>
            </w:r>
            <w:proofErr w:type="gramStart"/>
            <w:r w:rsidRPr="003075B3">
              <w:rPr>
                <w:kern w:val="22"/>
                <w:sz w:val="20"/>
                <w:szCs w:val="20"/>
              </w:rPr>
              <w:t>cases</w:t>
            </w:r>
            <w:proofErr w:type="gramEnd"/>
            <w:r w:rsidRPr="003075B3">
              <w:rPr>
                <w:kern w:val="22"/>
                <w:sz w:val="20"/>
                <w:szCs w:val="20"/>
              </w:rPr>
              <w:t xml:space="preserve"> only</w:t>
            </w:r>
          </w:p>
          <w:p w14:paraId="7AB3B6C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b/>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No </w:t>
            </w:r>
          </w:p>
        </w:tc>
      </w:tr>
      <w:tr w:rsidR="00376CED" w:rsidRPr="003075B3" w14:paraId="2170F93F" w14:textId="77777777" w:rsidTr="00725967">
        <w:trPr>
          <w:trHeight w:val="1128"/>
        </w:trPr>
        <w:tc>
          <w:tcPr>
            <w:tcW w:w="4825" w:type="dxa"/>
            <w:tcBorders>
              <w:top w:val="nil"/>
              <w:right w:val="nil"/>
            </w:tcBorders>
            <w:vAlign w:val="center"/>
          </w:tcPr>
          <w:p w14:paraId="39EC657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37" w:right="490"/>
              <w:rPr>
                <w:kern w:val="22"/>
                <w:sz w:val="20"/>
                <w:szCs w:val="20"/>
              </w:rPr>
            </w:pPr>
            <w:r w:rsidRPr="003075B3">
              <w:rPr>
                <w:kern w:val="22"/>
                <w:sz w:val="20"/>
                <w:szCs w:val="20"/>
              </w:rPr>
              <w:t>b. The BCH?</w:t>
            </w:r>
          </w:p>
        </w:tc>
        <w:tc>
          <w:tcPr>
            <w:tcW w:w="4527" w:type="dxa"/>
            <w:gridSpan w:val="3"/>
            <w:tcBorders>
              <w:top w:val="nil"/>
              <w:left w:val="nil"/>
              <w:right w:val="single" w:sz="4" w:space="0" w:color="auto"/>
            </w:tcBorders>
            <w:vAlign w:val="center"/>
          </w:tcPr>
          <w:p w14:paraId="3CFDC97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always</w:t>
            </w:r>
          </w:p>
          <w:p w14:paraId="6F27CE3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In some </w:t>
            </w:r>
            <w:proofErr w:type="gramStart"/>
            <w:r w:rsidRPr="003075B3">
              <w:rPr>
                <w:kern w:val="22"/>
                <w:sz w:val="20"/>
                <w:szCs w:val="20"/>
              </w:rPr>
              <w:t>cases</w:t>
            </w:r>
            <w:proofErr w:type="gramEnd"/>
            <w:r w:rsidRPr="003075B3">
              <w:rPr>
                <w:kern w:val="22"/>
                <w:sz w:val="20"/>
                <w:szCs w:val="20"/>
              </w:rPr>
              <w:t xml:space="preserve"> only</w:t>
            </w:r>
          </w:p>
          <w:p w14:paraId="6520412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37062353" w14:textId="77777777" w:rsidTr="00725967">
        <w:tc>
          <w:tcPr>
            <w:tcW w:w="9352" w:type="dxa"/>
            <w:gridSpan w:val="4"/>
            <w:tcBorders>
              <w:right w:val="single" w:sz="4" w:space="0" w:color="auto"/>
            </w:tcBorders>
            <w:vAlign w:val="center"/>
            <w:hideMark/>
          </w:tcPr>
          <w:p w14:paraId="0616AB93"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Here you may provide further details on the implementation of Article 12 in your country:</w:t>
            </w:r>
          </w:p>
          <w:p w14:paraId="2EC0D70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r w:rsidR="00376CED" w:rsidRPr="003075B3" w14:paraId="0D485D4B" w14:textId="77777777" w:rsidTr="00725967">
        <w:tc>
          <w:tcPr>
            <w:tcW w:w="9352" w:type="dxa"/>
            <w:gridSpan w:val="4"/>
            <w:tcBorders>
              <w:right w:val="single" w:sz="4" w:space="0" w:color="auto"/>
            </w:tcBorders>
            <w:vAlign w:val="center"/>
            <w:hideMark/>
          </w:tcPr>
          <w:p w14:paraId="018603B1"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3075B3">
              <w:rPr>
                <w:b/>
                <w:kern w:val="22"/>
                <w:sz w:val="20"/>
                <w:szCs w:val="20"/>
              </w:rPr>
              <w:t>Article 13 – Simplified procedure</w:t>
            </w:r>
          </w:p>
        </w:tc>
      </w:tr>
      <w:tr w:rsidR="00376CED" w:rsidRPr="003075B3" w14:paraId="27DC0DAC" w14:textId="77777777" w:rsidTr="00725967">
        <w:tc>
          <w:tcPr>
            <w:tcW w:w="4825" w:type="dxa"/>
            <w:shd w:val="clear" w:color="auto" w:fill="auto"/>
            <w:vAlign w:val="center"/>
            <w:hideMark/>
          </w:tcPr>
          <w:p w14:paraId="2C2FBE5F"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Has your country established a mechanism for the application of the simplified procedure regarding an intentional transboundary movement of LMOs?</w:t>
            </w:r>
          </w:p>
        </w:tc>
        <w:tc>
          <w:tcPr>
            <w:tcW w:w="4527" w:type="dxa"/>
            <w:gridSpan w:val="3"/>
            <w:tcBorders>
              <w:right w:val="single" w:sz="4" w:space="0" w:color="auto"/>
            </w:tcBorders>
            <w:shd w:val="clear" w:color="auto" w:fill="auto"/>
            <w:vAlign w:val="center"/>
            <w:hideMark/>
          </w:tcPr>
          <w:p w14:paraId="3EA7035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2838D58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 xml:space="preserve"> </w:t>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27634F0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41ACA263" w14:textId="77777777" w:rsidTr="00725967">
        <w:tc>
          <w:tcPr>
            <w:tcW w:w="4825" w:type="dxa"/>
            <w:shd w:val="clear" w:color="auto" w:fill="FFFFFF"/>
            <w:vAlign w:val="center"/>
          </w:tcPr>
          <w:p w14:paraId="40054D8F"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lastRenderedPageBreak/>
              <w:t>In the current reporting period, has your country applied the simplified procedure?</w:t>
            </w:r>
          </w:p>
        </w:tc>
        <w:tc>
          <w:tcPr>
            <w:tcW w:w="4527" w:type="dxa"/>
            <w:gridSpan w:val="3"/>
            <w:tcBorders>
              <w:right w:val="single" w:sz="4" w:space="0" w:color="auto"/>
            </w:tcBorders>
            <w:shd w:val="clear" w:color="auto" w:fill="FFFFFF"/>
            <w:vAlign w:val="center"/>
          </w:tcPr>
          <w:p w14:paraId="267D4B2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2FB8053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5EA80B5D" w14:textId="77777777" w:rsidTr="00725967">
        <w:tc>
          <w:tcPr>
            <w:tcW w:w="4825" w:type="dxa"/>
            <w:vAlign w:val="center"/>
            <w:hideMark/>
          </w:tcPr>
          <w:p w14:paraId="16DE8B88"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54, for how many LMOs has your country applied the simplified procedure?</w:t>
            </w:r>
          </w:p>
        </w:tc>
        <w:tc>
          <w:tcPr>
            <w:tcW w:w="4527" w:type="dxa"/>
            <w:gridSpan w:val="3"/>
            <w:tcBorders>
              <w:right w:val="single" w:sz="4" w:space="0" w:color="auto"/>
            </w:tcBorders>
            <w:vAlign w:val="center"/>
            <w:hideMark/>
          </w:tcPr>
          <w:p w14:paraId="729B928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5551591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5</w:t>
            </w:r>
          </w:p>
          <w:p w14:paraId="2CD4114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 or more</w:t>
            </w:r>
          </w:p>
        </w:tc>
      </w:tr>
      <w:tr w:rsidR="00376CED" w:rsidRPr="003075B3" w14:paraId="57B34D32" w14:textId="77777777" w:rsidTr="00725967">
        <w:tc>
          <w:tcPr>
            <w:tcW w:w="4825" w:type="dxa"/>
            <w:vAlign w:val="center"/>
          </w:tcPr>
          <w:p w14:paraId="6FC8D390"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54, has your country informed the Parties through the BCH of the cases where the simplified procedure was applied?</w:t>
            </w:r>
          </w:p>
        </w:tc>
        <w:tc>
          <w:tcPr>
            <w:tcW w:w="4527" w:type="dxa"/>
            <w:gridSpan w:val="3"/>
            <w:tcBorders>
              <w:right w:val="single" w:sz="4" w:space="0" w:color="auto"/>
            </w:tcBorders>
            <w:vAlign w:val="center"/>
          </w:tcPr>
          <w:p w14:paraId="066920E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always</w:t>
            </w:r>
          </w:p>
          <w:p w14:paraId="0A20968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In some </w:t>
            </w:r>
            <w:proofErr w:type="gramStart"/>
            <w:r w:rsidRPr="003075B3">
              <w:rPr>
                <w:kern w:val="22"/>
                <w:sz w:val="20"/>
                <w:szCs w:val="20"/>
              </w:rPr>
              <w:t>cases</w:t>
            </w:r>
            <w:proofErr w:type="gramEnd"/>
            <w:r w:rsidRPr="003075B3">
              <w:rPr>
                <w:kern w:val="22"/>
                <w:sz w:val="20"/>
                <w:szCs w:val="20"/>
              </w:rPr>
              <w:t xml:space="preserve"> only</w:t>
            </w:r>
          </w:p>
          <w:p w14:paraId="1F3BE45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3A42A14E" w14:textId="77777777" w:rsidTr="00725967">
        <w:tc>
          <w:tcPr>
            <w:tcW w:w="9352" w:type="dxa"/>
            <w:gridSpan w:val="4"/>
            <w:tcBorders>
              <w:right w:val="single" w:sz="4" w:space="0" w:color="auto"/>
            </w:tcBorders>
            <w:vAlign w:val="center"/>
            <w:hideMark/>
          </w:tcPr>
          <w:p w14:paraId="14A55979"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Here you may provide further details on the implementation of Article 13 in your country:</w:t>
            </w:r>
          </w:p>
          <w:p w14:paraId="2666366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r w:rsidR="00376CED" w:rsidRPr="003075B3" w14:paraId="2481E836" w14:textId="77777777" w:rsidTr="00725967">
        <w:tc>
          <w:tcPr>
            <w:tcW w:w="9352" w:type="dxa"/>
            <w:gridSpan w:val="4"/>
            <w:tcBorders>
              <w:right w:val="single" w:sz="4" w:space="0" w:color="auto"/>
            </w:tcBorders>
            <w:vAlign w:val="center"/>
            <w:hideMark/>
          </w:tcPr>
          <w:p w14:paraId="2932FF89"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3075B3">
              <w:rPr>
                <w:b/>
                <w:kern w:val="22"/>
                <w:sz w:val="20"/>
                <w:szCs w:val="20"/>
              </w:rPr>
              <w:t>Article 14 – Bilateral, regional and multilateral agreements and arrangements</w:t>
            </w:r>
          </w:p>
        </w:tc>
      </w:tr>
      <w:tr w:rsidR="00376CED" w:rsidRPr="003075B3" w14:paraId="5D97C104" w14:textId="77777777" w:rsidTr="00725967">
        <w:tc>
          <w:tcPr>
            <w:tcW w:w="4825" w:type="dxa"/>
            <w:vAlign w:val="center"/>
            <w:hideMark/>
          </w:tcPr>
          <w:p w14:paraId="26B6375C"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How many bilateral, regional or multilateral agreements or arrangements relevant to biosafety has your country established with other Parties/non-Parties?</w:t>
            </w:r>
          </w:p>
        </w:tc>
        <w:tc>
          <w:tcPr>
            <w:tcW w:w="4527" w:type="dxa"/>
            <w:gridSpan w:val="3"/>
            <w:tcBorders>
              <w:right w:val="single" w:sz="4" w:space="0" w:color="auto"/>
            </w:tcBorders>
            <w:vAlign w:val="center"/>
            <w:hideMark/>
          </w:tcPr>
          <w:p w14:paraId="377692C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5AEA75C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4</w:t>
            </w:r>
          </w:p>
          <w:p w14:paraId="6FB5FD3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 to 9</w:t>
            </w:r>
          </w:p>
          <w:p w14:paraId="33BFBBE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or more</w:t>
            </w:r>
          </w:p>
        </w:tc>
      </w:tr>
      <w:tr w:rsidR="00376CED" w:rsidRPr="003075B3" w14:paraId="04EFCCE0" w14:textId="77777777" w:rsidTr="00725967">
        <w:tc>
          <w:tcPr>
            <w:tcW w:w="9352" w:type="dxa"/>
            <w:gridSpan w:val="4"/>
            <w:tcBorders>
              <w:right w:val="single" w:sz="4" w:space="0" w:color="auto"/>
            </w:tcBorders>
            <w:vAlign w:val="center"/>
            <w:hideMark/>
          </w:tcPr>
          <w:p w14:paraId="21D49038"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If you answered </w:t>
            </w:r>
            <w:r w:rsidRPr="003075B3">
              <w:rPr>
                <w:i/>
                <w:kern w:val="22"/>
                <w:sz w:val="20"/>
                <w:szCs w:val="20"/>
              </w:rPr>
              <w:t>under question 58</w:t>
            </w:r>
            <w:r w:rsidRPr="003075B3">
              <w:rPr>
                <w:kern w:val="22"/>
                <w:sz w:val="20"/>
                <w:szCs w:val="20"/>
              </w:rPr>
              <w:t xml:space="preserve"> that </w:t>
            </w:r>
            <w:r w:rsidRPr="003075B3">
              <w:rPr>
                <w:i/>
                <w:kern w:val="22"/>
                <w:sz w:val="20"/>
                <w:szCs w:val="20"/>
              </w:rPr>
              <w:t>agreements or arrangements were established</w:t>
            </w:r>
            <w:r w:rsidRPr="003075B3">
              <w:rPr>
                <w:kern w:val="22"/>
                <w:sz w:val="20"/>
                <w:szCs w:val="20"/>
              </w:rPr>
              <w:t>, please provide a brief description of their scope and objective:</w:t>
            </w:r>
          </w:p>
          <w:p w14:paraId="72AD7F0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r w:rsidR="00376CED" w:rsidRPr="003075B3" w14:paraId="1EB05BAF" w14:textId="77777777" w:rsidTr="00725967">
        <w:tc>
          <w:tcPr>
            <w:tcW w:w="9352" w:type="dxa"/>
            <w:gridSpan w:val="4"/>
            <w:tcBorders>
              <w:right w:val="single" w:sz="4" w:space="0" w:color="auto"/>
            </w:tcBorders>
            <w:vAlign w:val="center"/>
            <w:hideMark/>
          </w:tcPr>
          <w:p w14:paraId="7E9354DC"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Here you may provide further details on the implementation of Article 14 in your country:</w:t>
            </w:r>
          </w:p>
          <w:p w14:paraId="752B718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67" w:right="6"/>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r w:rsidR="00376CED" w:rsidRPr="003075B3" w14:paraId="72E72F49" w14:textId="77777777" w:rsidTr="00725967">
        <w:tc>
          <w:tcPr>
            <w:tcW w:w="9352" w:type="dxa"/>
            <w:gridSpan w:val="4"/>
            <w:tcBorders>
              <w:right w:val="single" w:sz="4" w:space="0" w:color="auto"/>
            </w:tcBorders>
            <w:vAlign w:val="center"/>
            <w:hideMark/>
          </w:tcPr>
          <w:p w14:paraId="6EBA0F3B"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3075B3">
              <w:rPr>
                <w:b/>
                <w:kern w:val="22"/>
                <w:sz w:val="20"/>
                <w:szCs w:val="20"/>
              </w:rPr>
              <w:t>Articles 15 &amp; 16 – Risk assessment and risk management</w:t>
            </w:r>
          </w:p>
        </w:tc>
      </w:tr>
      <w:tr w:rsidR="00376CED" w:rsidRPr="003075B3" w14:paraId="6D9BCB88" w14:textId="77777777" w:rsidTr="00725967">
        <w:tc>
          <w:tcPr>
            <w:tcW w:w="4825" w:type="dxa"/>
            <w:shd w:val="clear" w:color="auto" w:fill="auto"/>
            <w:vAlign w:val="center"/>
          </w:tcPr>
          <w:p w14:paraId="2A0DF03E" w14:textId="77777777" w:rsidR="00376CED" w:rsidRPr="003075B3" w:rsidRDefault="00376CED" w:rsidP="00376CED">
            <w:pPr>
              <w:keepNext/>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Does the domestic regulatory framework of your country require risk assessments of LMOs to be conducted?</w:t>
            </w:r>
          </w:p>
        </w:tc>
        <w:tc>
          <w:tcPr>
            <w:tcW w:w="4527" w:type="dxa"/>
            <w:gridSpan w:val="3"/>
            <w:tcBorders>
              <w:right w:val="single" w:sz="4" w:space="0" w:color="auto"/>
            </w:tcBorders>
            <w:shd w:val="clear" w:color="auto" w:fill="auto"/>
            <w:vAlign w:val="center"/>
          </w:tcPr>
          <w:p w14:paraId="73C64393"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181B626E"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5FFD53A8" w14:textId="77777777" w:rsidTr="00725967">
        <w:tc>
          <w:tcPr>
            <w:tcW w:w="4825" w:type="dxa"/>
            <w:shd w:val="clear" w:color="auto" w:fill="auto"/>
            <w:vAlign w:val="center"/>
          </w:tcPr>
          <w:p w14:paraId="0CDC1BBE"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61, </w:t>
            </w:r>
            <w:proofErr w:type="gramStart"/>
            <w:r w:rsidRPr="003075B3">
              <w:rPr>
                <w:kern w:val="22"/>
                <w:sz w:val="20"/>
                <w:szCs w:val="20"/>
              </w:rPr>
              <w:t>with regard to</w:t>
            </w:r>
            <w:proofErr w:type="gramEnd"/>
            <w:r w:rsidRPr="003075B3">
              <w:rPr>
                <w:kern w:val="22"/>
                <w:sz w:val="20"/>
                <w:szCs w:val="20"/>
              </w:rPr>
              <w:t xml:space="preserve"> which LMOs does the requirement apply (select all that apply)?</w:t>
            </w:r>
          </w:p>
        </w:tc>
        <w:tc>
          <w:tcPr>
            <w:tcW w:w="4527" w:type="dxa"/>
            <w:gridSpan w:val="3"/>
            <w:tcBorders>
              <w:right w:val="single" w:sz="4" w:space="0" w:color="auto"/>
            </w:tcBorders>
            <w:shd w:val="clear" w:color="auto" w:fill="auto"/>
            <w:vAlign w:val="center"/>
          </w:tcPr>
          <w:p w14:paraId="7320FAE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For imports of LMOs for intentional introduction into the environment</w:t>
            </w:r>
          </w:p>
          <w:p w14:paraId="5346303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For imports of LMOs intended for direct use as food or feed, or for processing</w:t>
            </w:r>
          </w:p>
          <w:p w14:paraId="46B4356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For decisions regarding domestic use, including placing on the market, of LMOs that may be subject to transboundary movements for direct use as food or feed, or for processing</w:t>
            </w:r>
          </w:p>
          <w:p w14:paraId="0A71633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For imports of LMOs for contained use</w:t>
            </w:r>
          </w:p>
          <w:p w14:paraId="3AF83B0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715" w:hanging="703"/>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Other: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tc>
      </w:tr>
      <w:tr w:rsidR="00376CED" w:rsidRPr="003075B3" w14:paraId="2F06D5C1" w14:textId="77777777" w:rsidTr="00725967">
        <w:tc>
          <w:tcPr>
            <w:tcW w:w="4825" w:type="dxa"/>
            <w:shd w:val="clear" w:color="auto" w:fill="auto"/>
            <w:vAlign w:val="center"/>
            <w:hideMark/>
          </w:tcPr>
          <w:p w14:paraId="147F4540"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lastRenderedPageBreak/>
              <w:t>Has your country established a mechanism to conduct risk assessments prior to taking decisions regarding LMOs?</w:t>
            </w:r>
          </w:p>
        </w:tc>
        <w:tc>
          <w:tcPr>
            <w:tcW w:w="4527" w:type="dxa"/>
            <w:gridSpan w:val="3"/>
            <w:tcBorders>
              <w:right w:val="single" w:sz="4" w:space="0" w:color="auto"/>
            </w:tcBorders>
            <w:shd w:val="clear" w:color="auto" w:fill="auto"/>
            <w:vAlign w:val="center"/>
            <w:hideMark/>
          </w:tcPr>
          <w:p w14:paraId="71906D5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4CBF41D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604E184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0DE01981" w14:textId="77777777" w:rsidTr="00725967">
        <w:tc>
          <w:tcPr>
            <w:tcW w:w="4825" w:type="dxa"/>
            <w:shd w:val="clear" w:color="auto" w:fill="auto"/>
            <w:vAlign w:val="center"/>
            <w:hideMark/>
          </w:tcPr>
          <w:p w14:paraId="34432528"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63, does the mechanism include procedures to identify and/or train national experts to conduct risk assessments?</w:t>
            </w:r>
          </w:p>
        </w:tc>
        <w:tc>
          <w:tcPr>
            <w:tcW w:w="4527" w:type="dxa"/>
            <w:gridSpan w:val="3"/>
            <w:tcBorders>
              <w:right w:val="single" w:sz="4" w:space="0" w:color="auto"/>
            </w:tcBorders>
            <w:shd w:val="clear" w:color="auto" w:fill="auto"/>
            <w:vAlign w:val="center"/>
            <w:hideMark/>
          </w:tcPr>
          <w:p w14:paraId="0EF5336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6FC2591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3463EF24" w14:textId="77777777" w:rsidTr="00725967">
        <w:tc>
          <w:tcPr>
            <w:tcW w:w="9352" w:type="dxa"/>
            <w:gridSpan w:val="4"/>
            <w:tcBorders>
              <w:bottom w:val="single" w:sz="4" w:space="0" w:color="auto"/>
              <w:right w:val="single" w:sz="4" w:space="0" w:color="auto"/>
            </w:tcBorders>
            <w:vAlign w:val="center"/>
            <w:hideMark/>
          </w:tcPr>
          <w:p w14:paraId="693F170B"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ind w:right="490"/>
              <w:rPr>
                <w:i/>
                <w:kern w:val="22"/>
                <w:sz w:val="20"/>
                <w:szCs w:val="20"/>
              </w:rPr>
            </w:pPr>
            <w:r w:rsidRPr="003075B3">
              <w:rPr>
                <w:i/>
                <w:kern w:val="22"/>
                <w:sz w:val="20"/>
                <w:szCs w:val="20"/>
              </w:rPr>
              <w:t>Capacity-building in risk assessment or risk management</w:t>
            </w:r>
          </w:p>
        </w:tc>
      </w:tr>
      <w:tr w:rsidR="00376CED" w:rsidRPr="003075B3" w14:paraId="60FF7544" w14:textId="77777777" w:rsidTr="00725967">
        <w:tc>
          <w:tcPr>
            <w:tcW w:w="9352" w:type="dxa"/>
            <w:gridSpan w:val="4"/>
            <w:tcBorders>
              <w:top w:val="single" w:sz="4" w:space="0" w:color="auto"/>
              <w:left w:val="single" w:sz="4" w:space="0" w:color="auto"/>
              <w:bottom w:val="nil"/>
              <w:right w:val="single" w:sz="4" w:space="0" w:color="auto"/>
            </w:tcBorders>
            <w:vAlign w:val="center"/>
            <w:hideMark/>
          </w:tcPr>
          <w:p w14:paraId="78DA125D" w14:textId="77777777" w:rsidR="00376CED" w:rsidRPr="003075B3" w:rsidRDefault="00376CED" w:rsidP="00376CED">
            <w:pPr>
              <w:keepNext/>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How many people in your country have been trained in risk assessment, risk management and monitoring of LMOs?</w:t>
            </w:r>
          </w:p>
        </w:tc>
      </w:tr>
      <w:tr w:rsidR="00376CED" w:rsidRPr="003075B3" w14:paraId="115D3EA6" w14:textId="77777777" w:rsidTr="00725967">
        <w:tc>
          <w:tcPr>
            <w:tcW w:w="4841" w:type="dxa"/>
            <w:gridSpan w:val="2"/>
            <w:tcBorders>
              <w:top w:val="nil"/>
              <w:left w:val="single" w:sz="4" w:space="0" w:color="auto"/>
              <w:bottom w:val="nil"/>
              <w:right w:val="nil"/>
            </w:tcBorders>
            <w:vAlign w:val="center"/>
            <w:hideMark/>
          </w:tcPr>
          <w:p w14:paraId="434298B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33" w:right="490"/>
              <w:rPr>
                <w:kern w:val="22"/>
                <w:sz w:val="20"/>
                <w:szCs w:val="20"/>
              </w:rPr>
            </w:pPr>
            <w:r w:rsidRPr="003075B3">
              <w:rPr>
                <w:kern w:val="22"/>
                <w:sz w:val="20"/>
                <w:szCs w:val="20"/>
              </w:rPr>
              <w:t>a. Risk assessment:</w:t>
            </w:r>
          </w:p>
        </w:tc>
        <w:tc>
          <w:tcPr>
            <w:tcW w:w="4511" w:type="dxa"/>
            <w:gridSpan w:val="2"/>
            <w:tcBorders>
              <w:top w:val="nil"/>
              <w:left w:val="nil"/>
              <w:bottom w:val="single" w:sz="4" w:space="0" w:color="auto"/>
              <w:right w:val="single" w:sz="4" w:space="0" w:color="auto"/>
            </w:tcBorders>
            <w:vAlign w:val="center"/>
            <w:hideMark/>
          </w:tcPr>
          <w:p w14:paraId="6CEA0E6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6A3788C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9</w:t>
            </w:r>
          </w:p>
          <w:p w14:paraId="6F86B11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to 49</w:t>
            </w:r>
          </w:p>
          <w:p w14:paraId="1D4418F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50 to 99</w:t>
            </w:r>
          </w:p>
          <w:p w14:paraId="587FA21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100 or more</w:t>
            </w:r>
          </w:p>
          <w:p w14:paraId="337B043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i/>
                <w:kern w:val="22"/>
                <w:sz w:val="20"/>
                <w:szCs w:val="20"/>
              </w:rPr>
            </w:pPr>
            <w:r w:rsidRPr="003075B3">
              <w:rPr>
                <w:i/>
                <w:kern w:val="22"/>
                <w:sz w:val="20"/>
                <w:szCs w:val="20"/>
              </w:rPr>
              <w:t xml:space="preserve">Is this number adequate: </w:t>
            </w:r>
            <w:r w:rsidRPr="003075B3">
              <w:rPr>
                <w:i/>
                <w:kern w:val="22"/>
                <w:sz w:val="20"/>
                <w:szCs w:val="20"/>
              </w:rPr>
              <w:fldChar w:fldCharType="begin">
                <w:ffData>
                  <w:name w:val="Check48"/>
                  <w:enabled/>
                  <w:calcOnExit w:val="0"/>
                  <w:checkBox>
                    <w:sizeAuto/>
                    <w:default w:val="0"/>
                  </w:checkBox>
                </w:ffData>
              </w:fldChar>
            </w:r>
            <w:r w:rsidRPr="003075B3">
              <w:rPr>
                <w:i/>
                <w:kern w:val="22"/>
                <w:sz w:val="20"/>
                <w:szCs w:val="20"/>
              </w:rPr>
              <w:instrText xml:space="preserve"> FORMCHECKBOX </w:instrText>
            </w:r>
            <w:r w:rsidR="00986A60">
              <w:rPr>
                <w:i/>
                <w:kern w:val="22"/>
                <w:sz w:val="20"/>
                <w:szCs w:val="20"/>
              </w:rPr>
            </w:r>
            <w:r w:rsidR="00986A60">
              <w:rPr>
                <w:i/>
                <w:kern w:val="22"/>
                <w:sz w:val="20"/>
                <w:szCs w:val="20"/>
              </w:rPr>
              <w:fldChar w:fldCharType="separate"/>
            </w:r>
            <w:r w:rsidRPr="003075B3">
              <w:rPr>
                <w:i/>
                <w:kern w:val="22"/>
                <w:sz w:val="20"/>
                <w:szCs w:val="20"/>
              </w:rPr>
              <w:fldChar w:fldCharType="end"/>
            </w:r>
            <w:r w:rsidRPr="003075B3">
              <w:rPr>
                <w:i/>
                <w:kern w:val="22"/>
                <w:sz w:val="20"/>
                <w:szCs w:val="20"/>
              </w:rPr>
              <w:t xml:space="preserve"> Yes   </w:t>
            </w:r>
            <w:r w:rsidRPr="003075B3">
              <w:rPr>
                <w:i/>
                <w:kern w:val="22"/>
                <w:sz w:val="20"/>
                <w:szCs w:val="20"/>
              </w:rPr>
              <w:fldChar w:fldCharType="begin">
                <w:ffData>
                  <w:name w:val="Check48"/>
                  <w:enabled/>
                  <w:calcOnExit w:val="0"/>
                  <w:checkBox>
                    <w:sizeAuto/>
                    <w:default w:val="0"/>
                  </w:checkBox>
                </w:ffData>
              </w:fldChar>
            </w:r>
            <w:r w:rsidRPr="003075B3">
              <w:rPr>
                <w:i/>
                <w:kern w:val="22"/>
                <w:sz w:val="20"/>
                <w:szCs w:val="20"/>
              </w:rPr>
              <w:instrText xml:space="preserve"> FORMCHECKBOX </w:instrText>
            </w:r>
            <w:r w:rsidR="00986A60">
              <w:rPr>
                <w:i/>
                <w:kern w:val="22"/>
                <w:sz w:val="20"/>
                <w:szCs w:val="20"/>
              </w:rPr>
            </w:r>
            <w:r w:rsidR="00986A60">
              <w:rPr>
                <w:i/>
                <w:kern w:val="22"/>
                <w:sz w:val="20"/>
                <w:szCs w:val="20"/>
              </w:rPr>
              <w:fldChar w:fldCharType="separate"/>
            </w:r>
            <w:r w:rsidRPr="003075B3">
              <w:rPr>
                <w:i/>
                <w:kern w:val="22"/>
                <w:sz w:val="20"/>
                <w:szCs w:val="20"/>
              </w:rPr>
              <w:fldChar w:fldCharType="end"/>
            </w:r>
            <w:r w:rsidRPr="003075B3">
              <w:rPr>
                <w:i/>
                <w:kern w:val="22"/>
                <w:sz w:val="20"/>
                <w:szCs w:val="20"/>
              </w:rPr>
              <w:t xml:space="preserve"> No</w:t>
            </w:r>
          </w:p>
        </w:tc>
      </w:tr>
      <w:tr w:rsidR="00376CED" w:rsidRPr="003075B3" w14:paraId="4C164FBB" w14:textId="77777777" w:rsidTr="00725967">
        <w:tc>
          <w:tcPr>
            <w:tcW w:w="4841" w:type="dxa"/>
            <w:gridSpan w:val="2"/>
            <w:tcBorders>
              <w:top w:val="nil"/>
              <w:left w:val="single" w:sz="4" w:space="0" w:color="auto"/>
              <w:bottom w:val="nil"/>
              <w:right w:val="nil"/>
            </w:tcBorders>
            <w:vAlign w:val="center"/>
            <w:hideMark/>
          </w:tcPr>
          <w:p w14:paraId="41390E2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37" w:right="490"/>
              <w:rPr>
                <w:kern w:val="22"/>
                <w:sz w:val="20"/>
                <w:szCs w:val="20"/>
              </w:rPr>
            </w:pPr>
            <w:r w:rsidRPr="003075B3">
              <w:rPr>
                <w:kern w:val="22"/>
                <w:sz w:val="20"/>
                <w:szCs w:val="20"/>
              </w:rPr>
              <w:t>b. Risk management:</w:t>
            </w:r>
          </w:p>
        </w:tc>
        <w:tc>
          <w:tcPr>
            <w:tcW w:w="4511" w:type="dxa"/>
            <w:gridSpan w:val="2"/>
            <w:tcBorders>
              <w:top w:val="nil"/>
              <w:left w:val="nil"/>
              <w:bottom w:val="single" w:sz="4" w:space="0" w:color="auto"/>
              <w:right w:val="single" w:sz="4" w:space="0" w:color="auto"/>
            </w:tcBorders>
            <w:vAlign w:val="center"/>
            <w:hideMark/>
          </w:tcPr>
          <w:p w14:paraId="44E1536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134855D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9</w:t>
            </w:r>
          </w:p>
          <w:p w14:paraId="59126D1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to 49</w:t>
            </w:r>
          </w:p>
          <w:p w14:paraId="32EF6CC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50 to 99</w:t>
            </w:r>
          </w:p>
          <w:p w14:paraId="262D30A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100 or more</w:t>
            </w:r>
          </w:p>
          <w:p w14:paraId="2EB0B4D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i/>
                <w:kern w:val="22"/>
                <w:sz w:val="20"/>
                <w:szCs w:val="20"/>
              </w:rPr>
            </w:pPr>
            <w:r w:rsidRPr="003075B3">
              <w:rPr>
                <w:i/>
                <w:kern w:val="22"/>
                <w:sz w:val="20"/>
                <w:szCs w:val="20"/>
              </w:rPr>
              <w:t xml:space="preserve">Is this number adequate: </w:t>
            </w:r>
            <w:r w:rsidRPr="003075B3">
              <w:rPr>
                <w:i/>
                <w:kern w:val="22"/>
                <w:sz w:val="20"/>
                <w:szCs w:val="20"/>
              </w:rPr>
              <w:fldChar w:fldCharType="begin">
                <w:ffData>
                  <w:name w:val="Check48"/>
                  <w:enabled/>
                  <w:calcOnExit w:val="0"/>
                  <w:checkBox>
                    <w:sizeAuto/>
                    <w:default w:val="0"/>
                  </w:checkBox>
                </w:ffData>
              </w:fldChar>
            </w:r>
            <w:r w:rsidRPr="003075B3">
              <w:rPr>
                <w:i/>
                <w:kern w:val="22"/>
                <w:sz w:val="20"/>
                <w:szCs w:val="20"/>
              </w:rPr>
              <w:instrText xml:space="preserve"> FORMCHECKBOX </w:instrText>
            </w:r>
            <w:r w:rsidR="00986A60">
              <w:rPr>
                <w:i/>
                <w:kern w:val="22"/>
                <w:sz w:val="20"/>
                <w:szCs w:val="20"/>
              </w:rPr>
            </w:r>
            <w:r w:rsidR="00986A60">
              <w:rPr>
                <w:i/>
                <w:kern w:val="22"/>
                <w:sz w:val="20"/>
                <w:szCs w:val="20"/>
              </w:rPr>
              <w:fldChar w:fldCharType="separate"/>
            </w:r>
            <w:r w:rsidRPr="003075B3">
              <w:rPr>
                <w:i/>
                <w:kern w:val="22"/>
                <w:sz w:val="20"/>
                <w:szCs w:val="20"/>
              </w:rPr>
              <w:fldChar w:fldCharType="end"/>
            </w:r>
            <w:r w:rsidRPr="003075B3">
              <w:rPr>
                <w:i/>
                <w:kern w:val="22"/>
                <w:sz w:val="20"/>
                <w:szCs w:val="20"/>
              </w:rPr>
              <w:t xml:space="preserve"> Yes   </w:t>
            </w:r>
            <w:r w:rsidRPr="003075B3">
              <w:rPr>
                <w:i/>
                <w:kern w:val="22"/>
                <w:sz w:val="20"/>
                <w:szCs w:val="20"/>
              </w:rPr>
              <w:fldChar w:fldCharType="begin">
                <w:ffData>
                  <w:name w:val="Check48"/>
                  <w:enabled/>
                  <w:calcOnExit w:val="0"/>
                  <w:checkBox>
                    <w:sizeAuto/>
                    <w:default w:val="0"/>
                  </w:checkBox>
                </w:ffData>
              </w:fldChar>
            </w:r>
            <w:r w:rsidRPr="003075B3">
              <w:rPr>
                <w:i/>
                <w:kern w:val="22"/>
                <w:sz w:val="20"/>
                <w:szCs w:val="20"/>
              </w:rPr>
              <w:instrText xml:space="preserve"> FORMCHECKBOX </w:instrText>
            </w:r>
            <w:r w:rsidR="00986A60">
              <w:rPr>
                <w:i/>
                <w:kern w:val="22"/>
                <w:sz w:val="20"/>
                <w:szCs w:val="20"/>
              </w:rPr>
            </w:r>
            <w:r w:rsidR="00986A60">
              <w:rPr>
                <w:i/>
                <w:kern w:val="22"/>
                <w:sz w:val="20"/>
                <w:szCs w:val="20"/>
              </w:rPr>
              <w:fldChar w:fldCharType="separate"/>
            </w:r>
            <w:r w:rsidRPr="003075B3">
              <w:rPr>
                <w:i/>
                <w:kern w:val="22"/>
                <w:sz w:val="20"/>
                <w:szCs w:val="20"/>
              </w:rPr>
              <w:fldChar w:fldCharType="end"/>
            </w:r>
            <w:r w:rsidRPr="003075B3">
              <w:rPr>
                <w:i/>
                <w:kern w:val="22"/>
                <w:sz w:val="20"/>
                <w:szCs w:val="20"/>
              </w:rPr>
              <w:t xml:space="preserve"> No</w:t>
            </w:r>
          </w:p>
        </w:tc>
      </w:tr>
      <w:tr w:rsidR="00376CED" w:rsidRPr="003075B3" w14:paraId="01BF54BB" w14:textId="77777777" w:rsidTr="00725967">
        <w:tc>
          <w:tcPr>
            <w:tcW w:w="4841" w:type="dxa"/>
            <w:gridSpan w:val="2"/>
            <w:tcBorders>
              <w:top w:val="nil"/>
              <w:left w:val="single" w:sz="4" w:space="0" w:color="auto"/>
              <w:bottom w:val="single" w:sz="4" w:space="0" w:color="auto"/>
              <w:right w:val="nil"/>
            </w:tcBorders>
            <w:vAlign w:val="center"/>
            <w:hideMark/>
          </w:tcPr>
          <w:p w14:paraId="0EFD988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37" w:right="490"/>
              <w:rPr>
                <w:kern w:val="22"/>
                <w:sz w:val="20"/>
                <w:szCs w:val="20"/>
              </w:rPr>
            </w:pPr>
            <w:r w:rsidRPr="003075B3">
              <w:rPr>
                <w:kern w:val="22"/>
                <w:sz w:val="20"/>
                <w:szCs w:val="20"/>
              </w:rPr>
              <w:t>c. Monitoring:</w:t>
            </w:r>
          </w:p>
        </w:tc>
        <w:tc>
          <w:tcPr>
            <w:tcW w:w="4511" w:type="dxa"/>
            <w:gridSpan w:val="2"/>
            <w:tcBorders>
              <w:top w:val="single" w:sz="4" w:space="0" w:color="auto"/>
              <w:left w:val="nil"/>
              <w:bottom w:val="single" w:sz="4" w:space="0" w:color="auto"/>
              <w:right w:val="single" w:sz="4" w:space="0" w:color="auto"/>
            </w:tcBorders>
            <w:vAlign w:val="center"/>
            <w:hideMark/>
          </w:tcPr>
          <w:p w14:paraId="31D1DDA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5B30D1E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9</w:t>
            </w:r>
          </w:p>
          <w:p w14:paraId="7AF1E91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to 49</w:t>
            </w:r>
          </w:p>
          <w:p w14:paraId="2D8793C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50 to 99</w:t>
            </w:r>
          </w:p>
          <w:p w14:paraId="453C5E1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100 or more</w:t>
            </w:r>
          </w:p>
          <w:p w14:paraId="37F3097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i/>
                <w:kern w:val="22"/>
                <w:sz w:val="20"/>
                <w:szCs w:val="20"/>
              </w:rPr>
            </w:pPr>
            <w:r w:rsidRPr="003075B3">
              <w:rPr>
                <w:i/>
                <w:kern w:val="22"/>
                <w:sz w:val="20"/>
                <w:szCs w:val="20"/>
              </w:rPr>
              <w:t xml:space="preserve">Is this number adequate: </w:t>
            </w:r>
            <w:r w:rsidRPr="003075B3">
              <w:rPr>
                <w:i/>
                <w:kern w:val="22"/>
                <w:sz w:val="20"/>
                <w:szCs w:val="20"/>
              </w:rPr>
              <w:fldChar w:fldCharType="begin">
                <w:ffData>
                  <w:name w:val="Check48"/>
                  <w:enabled/>
                  <w:calcOnExit w:val="0"/>
                  <w:checkBox>
                    <w:sizeAuto/>
                    <w:default w:val="0"/>
                  </w:checkBox>
                </w:ffData>
              </w:fldChar>
            </w:r>
            <w:r w:rsidRPr="003075B3">
              <w:rPr>
                <w:i/>
                <w:kern w:val="22"/>
                <w:sz w:val="20"/>
                <w:szCs w:val="20"/>
              </w:rPr>
              <w:instrText xml:space="preserve"> FORMCHECKBOX </w:instrText>
            </w:r>
            <w:r w:rsidR="00986A60">
              <w:rPr>
                <w:i/>
                <w:kern w:val="22"/>
                <w:sz w:val="20"/>
                <w:szCs w:val="20"/>
              </w:rPr>
            </w:r>
            <w:r w:rsidR="00986A60">
              <w:rPr>
                <w:i/>
                <w:kern w:val="22"/>
                <w:sz w:val="20"/>
                <w:szCs w:val="20"/>
              </w:rPr>
              <w:fldChar w:fldCharType="separate"/>
            </w:r>
            <w:r w:rsidRPr="003075B3">
              <w:rPr>
                <w:i/>
                <w:kern w:val="22"/>
                <w:sz w:val="20"/>
                <w:szCs w:val="20"/>
              </w:rPr>
              <w:fldChar w:fldCharType="end"/>
            </w:r>
            <w:r w:rsidRPr="003075B3">
              <w:rPr>
                <w:i/>
                <w:kern w:val="22"/>
                <w:sz w:val="20"/>
                <w:szCs w:val="20"/>
              </w:rPr>
              <w:t xml:space="preserve"> Yes   </w:t>
            </w:r>
            <w:r w:rsidRPr="003075B3">
              <w:rPr>
                <w:i/>
                <w:kern w:val="22"/>
                <w:sz w:val="20"/>
                <w:szCs w:val="20"/>
              </w:rPr>
              <w:fldChar w:fldCharType="begin">
                <w:ffData>
                  <w:name w:val="Check48"/>
                  <w:enabled/>
                  <w:calcOnExit w:val="0"/>
                  <w:checkBox>
                    <w:sizeAuto/>
                    <w:default w:val="0"/>
                  </w:checkBox>
                </w:ffData>
              </w:fldChar>
            </w:r>
            <w:r w:rsidRPr="003075B3">
              <w:rPr>
                <w:i/>
                <w:kern w:val="22"/>
                <w:sz w:val="20"/>
                <w:szCs w:val="20"/>
              </w:rPr>
              <w:instrText xml:space="preserve"> FORMCHECKBOX </w:instrText>
            </w:r>
            <w:r w:rsidR="00986A60">
              <w:rPr>
                <w:i/>
                <w:kern w:val="22"/>
                <w:sz w:val="20"/>
                <w:szCs w:val="20"/>
              </w:rPr>
            </w:r>
            <w:r w:rsidR="00986A60">
              <w:rPr>
                <w:i/>
                <w:kern w:val="22"/>
                <w:sz w:val="20"/>
                <w:szCs w:val="20"/>
              </w:rPr>
              <w:fldChar w:fldCharType="separate"/>
            </w:r>
            <w:r w:rsidRPr="003075B3">
              <w:rPr>
                <w:i/>
                <w:kern w:val="22"/>
                <w:sz w:val="20"/>
                <w:szCs w:val="20"/>
              </w:rPr>
              <w:fldChar w:fldCharType="end"/>
            </w:r>
            <w:r w:rsidRPr="003075B3">
              <w:rPr>
                <w:i/>
                <w:kern w:val="22"/>
                <w:sz w:val="20"/>
                <w:szCs w:val="20"/>
              </w:rPr>
              <w:t xml:space="preserve"> No</w:t>
            </w:r>
          </w:p>
        </w:tc>
      </w:tr>
      <w:tr w:rsidR="00376CED" w:rsidRPr="003075B3" w14:paraId="069C89B3" w14:textId="77777777" w:rsidTr="00725967">
        <w:tc>
          <w:tcPr>
            <w:tcW w:w="4841" w:type="dxa"/>
            <w:gridSpan w:val="2"/>
            <w:tcBorders>
              <w:top w:val="single" w:sz="4" w:space="0" w:color="auto"/>
            </w:tcBorders>
            <w:vAlign w:val="center"/>
          </w:tcPr>
          <w:p w14:paraId="24224162"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Is your country using training material and/or technical guidance for training in risk assessment and risk management of LMOs?</w:t>
            </w:r>
          </w:p>
        </w:tc>
        <w:tc>
          <w:tcPr>
            <w:tcW w:w="4511" w:type="dxa"/>
            <w:gridSpan w:val="2"/>
            <w:tcBorders>
              <w:top w:val="single" w:sz="4" w:space="0" w:color="auto"/>
              <w:right w:val="single" w:sz="4" w:space="0" w:color="auto"/>
            </w:tcBorders>
            <w:vAlign w:val="center"/>
          </w:tcPr>
          <w:p w14:paraId="51330FF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2EF84C8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4413A739" w14:textId="77777777" w:rsidTr="00725967">
        <w:tc>
          <w:tcPr>
            <w:tcW w:w="4841" w:type="dxa"/>
            <w:gridSpan w:val="2"/>
            <w:tcBorders>
              <w:top w:val="single" w:sz="4" w:space="0" w:color="auto"/>
            </w:tcBorders>
            <w:vAlign w:val="center"/>
            <w:hideMark/>
          </w:tcPr>
          <w:p w14:paraId="3E5B4369"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66, is your country using the “Manual on Risk Assessment of LMOs” (developed by the CBD Secretariat) for training in risk assessment?</w:t>
            </w:r>
          </w:p>
        </w:tc>
        <w:tc>
          <w:tcPr>
            <w:tcW w:w="4511" w:type="dxa"/>
            <w:gridSpan w:val="2"/>
            <w:tcBorders>
              <w:top w:val="single" w:sz="4" w:space="0" w:color="auto"/>
              <w:right w:val="single" w:sz="4" w:space="0" w:color="auto"/>
            </w:tcBorders>
            <w:vAlign w:val="center"/>
            <w:hideMark/>
          </w:tcPr>
          <w:p w14:paraId="4E35F38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06CB65F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629D3A4A" w14:textId="77777777" w:rsidTr="00725967">
        <w:tc>
          <w:tcPr>
            <w:tcW w:w="4841" w:type="dxa"/>
            <w:gridSpan w:val="2"/>
            <w:vAlign w:val="center"/>
            <w:hideMark/>
          </w:tcPr>
          <w:p w14:paraId="4102FE2A"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lastRenderedPageBreak/>
              <w:t xml:space="preserve">If you answered </w:t>
            </w:r>
            <w:r w:rsidRPr="003075B3">
              <w:rPr>
                <w:i/>
                <w:kern w:val="22"/>
                <w:sz w:val="20"/>
                <w:szCs w:val="20"/>
              </w:rPr>
              <w:t>Yes</w:t>
            </w:r>
            <w:r w:rsidRPr="003075B3">
              <w:rPr>
                <w:kern w:val="22"/>
                <w:sz w:val="20"/>
                <w:szCs w:val="20"/>
              </w:rPr>
              <w:t xml:space="preserve"> to question 66, is your country using the “Guidance on Risk Assessment of LMOs” (developed by the Online Forum and the AHTEG on Risk Assessment and Risk Management) for training in risk assessment?</w:t>
            </w:r>
          </w:p>
        </w:tc>
        <w:tc>
          <w:tcPr>
            <w:tcW w:w="4511" w:type="dxa"/>
            <w:gridSpan w:val="2"/>
            <w:tcBorders>
              <w:right w:val="single" w:sz="4" w:space="0" w:color="auto"/>
            </w:tcBorders>
            <w:vAlign w:val="center"/>
            <w:hideMark/>
          </w:tcPr>
          <w:p w14:paraId="2ADD5D8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095A272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4CC7F1BB" w14:textId="77777777" w:rsidTr="00725967">
        <w:tc>
          <w:tcPr>
            <w:tcW w:w="4841" w:type="dxa"/>
            <w:gridSpan w:val="2"/>
            <w:tcBorders>
              <w:bottom w:val="single" w:sz="4" w:space="0" w:color="auto"/>
            </w:tcBorders>
            <w:vAlign w:val="center"/>
            <w:hideMark/>
          </w:tcPr>
          <w:p w14:paraId="44D22663"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Does your country have specific needs for further guidance on specific topics of risk assessment of LMOs?</w:t>
            </w:r>
          </w:p>
        </w:tc>
        <w:tc>
          <w:tcPr>
            <w:tcW w:w="4511" w:type="dxa"/>
            <w:gridSpan w:val="2"/>
            <w:tcBorders>
              <w:bottom w:val="single" w:sz="4" w:space="0" w:color="auto"/>
              <w:right w:val="single" w:sz="4" w:space="0" w:color="auto"/>
            </w:tcBorders>
            <w:vAlign w:val="center"/>
            <w:hideMark/>
          </w:tcPr>
          <w:p w14:paraId="4D17875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1AAF291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3EAABDBE" w14:textId="77777777" w:rsidTr="00725967">
        <w:tc>
          <w:tcPr>
            <w:tcW w:w="9352" w:type="dxa"/>
            <w:gridSpan w:val="4"/>
            <w:tcBorders>
              <w:top w:val="single" w:sz="4" w:space="0" w:color="auto"/>
              <w:left w:val="single" w:sz="4" w:space="0" w:color="auto"/>
              <w:bottom w:val="nil"/>
              <w:right w:val="single" w:sz="4" w:space="0" w:color="auto"/>
            </w:tcBorders>
            <w:vAlign w:val="center"/>
            <w:hideMark/>
          </w:tcPr>
          <w:p w14:paraId="2D916A60" w14:textId="77777777" w:rsidR="00376CED" w:rsidRPr="003075B3"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Does your country have the capacity to detect, identify, assess the risk of and/or monitor LMOs or specific traits that may have adverse effects on the conservation and sustainable use of biological diversity, </w:t>
            </w:r>
            <w:proofErr w:type="gramStart"/>
            <w:r w:rsidRPr="003075B3">
              <w:rPr>
                <w:kern w:val="22"/>
                <w:sz w:val="20"/>
                <w:szCs w:val="20"/>
              </w:rPr>
              <w:t>taking into account</w:t>
            </w:r>
            <w:proofErr w:type="gramEnd"/>
            <w:r w:rsidRPr="003075B3">
              <w:rPr>
                <w:kern w:val="22"/>
                <w:sz w:val="20"/>
                <w:szCs w:val="20"/>
              </w:rPr>
              <w:t xml:space="preserve"> risks to human health?</w:t>
            </w:r>
          </w:p>
        </w:tc>
      </w:tr>
      <w:tr w:rsidR="00376CED" w:rsidRPr="003075B3" w14:paraId="00AAB34F" w14:textId="77777777" w:rsidTr="00725967">
        <w:tc>
          <w:tcPr>
            <w:tcW w:w="4841" w:type="dxa"/>
            <w:gridSpan w:val="2"/>
            <w:tcBorders>
              <w:top w:val="nil"/>
              <w:left w:val="single" w:sz="4" w:space="0" w:color="auto"/>
              <w:bottom w:val="nil"/>
              <w:right w:val="nil"/>
            </w:tcBorders>
            <w:vAlign w:val="center"/>
            <w:hideMark/>
          </w:tcPr>
          <w:p w14:paraId="373DE5D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37" w:right="490"/>
              <w:rPr>
                <w:kern w:val="22"/>
                <w:sz w:val="20"/>
                <w:szCs w:val="20"/>
              </w:rPr>
            </w:pPr>
            <w:r w:rsidRPr="003075B3">
              <w:rPr>
                <w:kern w:val="22"/>
                <w:sz w:val="20"/>
                <w:szCs w:val="20"/>
              </w:rPr>
              <w:t>a. Detect:</w:t>
            </w:r>
          </w:p>
        </w:tc>
        <w:tc>
          <w:tcPr>
            <w:tcW w:w="4511" w:type="dxa"/>
            <w:gridSpan w:val="2"/>
            <w:tcBorders>
              <w:top w:val="nil"/>
              <w:left w:val="nil"/>
              <w:bottom w:val="single" w:sz="4" w:space="0" w:color="auto"/>
              <w:right w:val="single" w:sz="4" w:space="0" w:color="auto"/>
            </w:tcBorders>
            <w:vAlign w:val="center"/>
            <w:hideMark/>
          </w:tcPr>
          <w:p w14:paraId="5CA704F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0E76DA8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23F7AE4B" w14:textId="77777777" w:rsidTr="00725967">
        <w:tc>
          <w:tcPr>
            <w:tcW w:w="4841" w:type="dxa"/>
            <w:gridSpan w:val="2"/>
            <w:tcBorders>
              <w:top w:val="nil"/>
              <w:left w:val="single" w:sz="4" w:space="0" w:color="auto"/>
              <w:bottom w:val="nil"/>
              <w:right w:val="nil"/>
            </w:tcBorders>
            <w:vAlign w:val="center"/>
            <w:hideMark/>
          </w:tcPr>
          <w:p w14:paraId="2FAD82A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37" w:right="490"/>
              <w:rPr>
                <w:kern w:val="22"/>
                <w:sz w:val="20"/>
                <w:szCs w:val="20"/>
              </w:rPr>
            </w:pPr>
            <w:r w:rsidRPr="003075B3">
              <w:rPr>
                <w:kern w:val="22"/>
                <w:sz w:val="20"/>
                <w:szCs w:val="20"/>
              </w:rPr>
              <w:t>b. Identify:</w:t>
            </w:r>
          </w:p>
        </w:tc>
        <w:tc>
          <w:tcPr>
            <w:tcW w:w="4511" w:type="dxa"/>
            <w:gridSpan w:val="2"/>
            <w:tcBorders>
              <w:top w:val="single" w:sz="4" w:space="0" w:color="auto"/>
              <w:left w:val="nil"/>
              <w:bottom w:val="single" w:sz="4" w:space="0" w:color="auto"/>
              <w:right w:val="single" w:sz="4" w:space="0" w:color="auto"/>
            </w:tcBorders>
            <w:vAlign w:val="center"/>
            <w:hideMark/>
          </w:tcPr>
          <w:p w14:paraId="2E79961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09808EE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25EB7C2B" w14:textId="77777777" w:rsidTr="00725967">
        <w:tc>
          <w:tcPr>
            <w:tcW w:w="4841" w:type="dxa"/>
            <w:gridSpan w:val="2"/>
            <w:tcBorders>
              <w:top w:val="nil"/>
              <w:left w:val="single" w:sz="4" w:space="0" w:color="auto"/>
              <w:bottom w:val="nil"/>
              <w:right w:val="nil"/>
            </w:tcBorders>
            <w:vAlign w:val="center"/>
            <w:hideMark/>
          </w:tcPr>
          <w:p w14:paraId="6FE6381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37" w:right="490"/>
              <w:rPr>
                <w:kern w:val="22"/>
                <w:sz w:val="20"/>
                <w:szCs w:val="20"/>
              </w:rPr>
            </w:pPr>
            <w:r w:rsidRPr="003075B3">
              <w:rPr>
                <w:kern w:val="22"/>
                <w:sz w:val="20"/>
                <w:szCs w:val="20"/>
              </w:rPr>
              <w:t>c. Assess the risk:</w:t>
            </w:r>
          </w:p>
        </w:tc>
        <w:tc>
          <w:tcPr>
            <w:tcW w:w="4511" w:type="dxa"/>
            <w:gridSpan w:val="2"/>
            <w:tcBorders>
              <w:top w:val="single" w:sz="4" w:space="0" w:color="auto"/>
              <w:left w:val="nil"/>
              <w:bottom w:val="single" w:sz="4" w:space="0" w:color="auto"/>
              <w:right w:val="single" w:sz="4" w:space="0" w:color="auto"/>
            </w:tcBorders>
            <w:vAlign w:val="center"/>
            <w:hideMark/>
          </w:tcPr>
          <w:p w14:paraId="6E01CAF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55D34AD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56C54A40" w14:textId="77777777" w:rsidTr="00725967">
        <w:tc>
          <w:tcPr>
            <w:tcW w:w="4841" w:type="dxa"/>
            <w:gridSpan w:val="2"/>
            <w:tcBorders>
              <w:top w:val="nil"/>
              <w:left w:val="single" w:sz="4" w:space="0" w:color="auto"/>
              <w:bottom w:val="single" w:sz="4" w:space="0" w:color="auto"/>
              <w:right w:val="nil"/>
            </w:tcBorders>
            <w:vAlign w:val="center"/>
            <w:hideMark/>
          </w:tcPr>
          <w:p w14:paraId="5607317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37" w:right="490"/>
              <w:rPr>
                <w:kern w:val="22"/>
                <w:sz w:val="20"/>
                <w:szCs w:val="20"/>
              </w:rPr>
            </w:pPr>
            <w:r w:rsidRPr="003075B3">
              <w:rPr>
                <w:kern w:val="22"/>
                <w:sz w:val="20"/>
                <w:szCs w:val="20"/>
              </w:rPr>
              <w:t>d. Monitor:</w:t>
            </w:r>
          </w:p>
        </w:tc>
        <w:tc>
          <w:tcPr>
            <w:tcW w:w="4511" w:type="dxa"/>
            <w:gridSpan w:val="2"/>
            <w:tcBorders>
              <w:top w:val="single" w:sz="4" w:space="0" w:color="auto"/>
              <w:left w:val="nil"/>
              <w:bottom w:val="single" w:sz="4" w:space="0" w:color="auto"/>
              <w:right w:val="single" w:sz="4" w:space="0" w:color="auto"/>
            </w:tcBorders>
            <w:vAlign w:val="center"/>
            <w:hideMark/>
          </w:tcPr>
          <w:p w14:paraId="6D01BD1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76C09FF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489FC755" w14:textId="77777777" w:rsidTr="00725967">
        <w:tc>
          <w:tcPr>
            <w:tcW w:w="9352" w:type="dxa"/>
            <w:gridSpan w:val="4"/>
            <w:tcBorders>
              <w:top w:val="single" w:sz="4" w:space="0" w:color="auto"/>
              <w:bottom w:val="single" w:sz="4" w:space="0" w:color="auto"/>
              <w:right w:val="single" w:sz="4" w:space="0" w:color="auto"/>
            </w:tcBorders>
            <w:vAlign w:val="center"/>
            <w:hideMark/>
          </w:tcPr>
          <w:p w14:paraId="69BE67C4"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ind w:right="490"/>
              <w:rPr>
                <w:i/>
                <w:kern w:val="22"/>
                <w:sz w:val="20"/>
                <w:szCs w:val="20"/>
              </w:rPr>
            </w:pPr>
            <w:r w:rsidRPr="003075B3">
              <w:rPr>
                <w:i/>
                <w:kern w:val="22"/>
                <w:sz w:val="20"/>
                <w:szCs w:val="20"/>
              </w:rPr>
              <w:t>Conducting risk assessment or risk management</w:t>
            </w:r>
          </w:p>
        </w:tc>
      </w:tr>
      <w:tr w:rsidR="00376CED" w:rsidRPr="003075B3" w14:paraId="360A4B04" w14:textId="77777777" w:rsidTr="00725967">
        <w:tc>
          <w:tcPr>
            <w:tcW w:w="9352" w:type="dxa"/>
            <w:gridSpan w:val="4"/>
            <w:tcBorders>
              <w:top w:val="single" w:sz="4" w:space="0" w:color="auto"/>
              <w:left w:val="single" w:sz="4" w:space="0" w:color="auto"/>
              <w:bottom w:val="nil"/>
              <w:right w:val="single" w:sz="4" w:space="0" w:color="auto"/>
            </w:tcBorders>
            <w:vAlign w:val="center"/>
            <w:hideMark/>
          </w:tcPr>
          <w:p w14:paraId="34AEEEC2"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Has your country adopted or used any guidance documents </w:t>
            </w:r>
            <w:proofErr w:type="gramStart"/>
            <w:r w:rsidRPr="003075B3">
              <w:rPr>
                <w:kern w:val="22"/>
                <w:sz w:val="20"/>
                <w:szCs w:val="20"/>
              </w:rPr>
              <w:t>for the purpose of</w:t>
            </w:r>
            <w:proofErr w:type="gramEnd"/>
            <w:r w:rsidRPr="003075B3">
              <w:rPr>
                <w:kern w:val="22"/>
                <w:sz w:val="20"/>
                <w:szCs w:val="20"/>
              </w:rPr>
              <w:t xml:space="preserve"> conducting risk assessment or risk management, or for evaluating risk assessment reports submitted by notifiers?</w:t>
            </w:r>
          </w:p>
        </w:tc>
      </w:tr>
      <w:tr w:rsidR="00376CED" w:rsidRPr="003075B3" w14:paraId="69978611" w14:textId="77777777" w:rsidTr="00725967">
        <w:tc>
          <w:tcPr>
            <w:tcW w:w="4841" w:type="dxa"/>
            <w:gridSpan w:val="2"/>
            <w:tcBorders>
              <w:top w:val="nil"/>
              <w:left w:val="single" w:sz="4" w:space="0" w:color="auto"/>
              <w:bottom w:val="nil"/>
              <w:right w:val="nil"/>
            </w:tcBorders>
            <w:vAlign w:val="center"/>
            <w:hideMark/>
          </w:tcPr>
          <w:p w14:paraId="43EC975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37" w:right="490"/>
              <w:rPr>
                <w:kern w:val="22"/>
                <w:sz w:val="20"/>
                <w:szCs w:val="20"/>
              </w:rPr>
            </w:pPr>
            <w:r w:rsidRPr="003075B3">
              <w:rPr>
                <w:kern w:val="22"/>
                <w:sz w:val="20"/>
                <w:szCs w:val="20"/>
              </w:rPr>
              <w:t>a. Risk assessment:</w:t>
            </w:r>
          </w:p>
        </w:tc>
        <w:tc>
          <w:tcPr>
            <w:tcW w:w="4511" w:type="dxa"/>
            <w:gridSpan w:val="2"/>
            <w:tcBorders>
              <w:top w:val="nil"/>
              <w:left w:val="nil"/>
              <w:bottom w:val="single" w:sz="4" w:space="0" w:color="auto"/>
              <w:right w:val="single" w:sz="4" w:space="0" w:color="auto"/>
            </w:tcBorders>
            <w:vAlign w:val="center"/>
            <w:hideMark/>
          </w:tcPr>
          <w:p w14:paraId="6675E77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543E001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11DA860F" w14:textId="77777777" w:rsidTr="00725967">
        <w:tc>
          <w:tcPr>
            <w:tcW w:w="4841" w:type="dxa"/>
            <w:gridSpan w:val="2"/>
            <w:tcBorders>
              <w:top w:val="nil"/>
              <w:left w:val="single" w:sz="4" w:space="0" w:color="auto"/>
              <w:bottom w:val="single" w:sz="4" w:space="0" w:color="auto"/>
              <w:right w:val="nil"/>
            </w:tcBorders>
            <w:vAlign w:val="center"/>
            <w:hideMark/>
          </w:tcPr>
          <w:p w14:paraId="74FF2E1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37" w:right="490"/>
              <w:rPr>
                <w:kern w:val="22"/>
                <w:sz w:val="20"/>
                <w:szCs w:val="20"/>
              </w:rPr>
            </w:pPr>
            <w:r w:rsidRPr="003075B3">
              <w:rPr>
                <w:kern w:val="22"/>
                <w:sz w:val="20"/>
                <w:szCs w:val="20"/>
              </w:rPr>
              <w:t>b. Risk management:</w:t>
            </w:r>
          </w:p>
        </w:tc>
        <w:tc>
          <w:tcPr>
            <w:tcW w:w="4511" w:type="dxa"/>
            <w:gridSpan w:val="2"/>
            <w:tcBorders>
              <w:top w:val="nil"/>
              <w:left w:val="nil"/>
              <w:bottom w:val="single" w:sz="4" w:space="0" w:color="auto"/>
              <w:right w:val="single" w:sz="4" w:space="0" w:color="auto"/>
            </w:tcBorders>
            <w:vAlign w:val="center"/>
            <w:hideMark/>
          </w:tcPr>
          <w:p w14:paraId="7C98021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6E962A1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7412CC6E" w14:textId="77777777" w:rsidTr="00725967">
        <w:tc>
          <w:tcPr>
            <w:tcW w:w="4841" w:type="dxa"/>
            <w:gridSpan w:val="2"/>
            <w:tcBorders>
              <w:top w:val="single" w:sz="4" w:space="0" w:color="auto"/>
            </w:tcBorders>
            <w:vAlign w:val="center"/>
            <w:hideMark/>
          </w:tcPr>
          <w:p w14:paraId="0755BA1B"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71, is your country using the “Guidance on Risk Assessment of LMOs” (developed by the Online Forum and the AHTEG on Risk Assessment and Risk Management) for </w:t>
            </w:r>
            <w:proofErr w:type="gramStart"/>
            <w:r w:rsidRPr="003075B3">
              <w:rPr>
                <w:kern w:val="22"/>
                <w:sz w:val="20"/>
                <w:szCs w:val="20"/>
              </w:rPr>
              <w:t>conducting  risk</w:t>
            </w:r>
            <w:proofErr w:type="gramEnd"/>
            <w:r w:rsidRPr="003075B3">
              <w:rPr>
                <w:kern w:val="22"/>
                <w:sz w:val="20"/>
                <w:szCs w:val="20"/>
              </w:rPr>
              <w:t xml:space="preserve"> assessment or risk management, or for evaluating risk assessment reports submitted by notifiers?</w:t>
            </w:r>
          </w:p>
        </w:tc>
        <w:tc>
          <w:tcPr>
            <w:tcW w:w="4511" w:type="dxa"/>
            <w:gridSpan w:val="2"/>
            <w:tcBorders>
              <w:top w:val="single" w:sz="4" w:space="0" w:color="auto"/>
              <w:right w:val="single" w:sz="4" w:space="0" w:color="auto"/>
            </w:tcBorders>
            <w:vAlign w:val="center"/>
            <w:hideMark/>
          </w:tcPr>
          <w:p w14:paraId="7ED14A5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3E1CDB3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57535161" w14:textId="77777777" w:rsidTr="00725967">
        <w:tc>
          <w:tcPr>
            <w:tcW w:w="4841" w:type="dxa"/>
            <w:gridSpan w:val="2"/>
            <w:vAlign w:val="center"/>
            <w:hideMark/>
          </w:tcPr>
          <w:p w14:paraId="1039970B"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Has your country adopted common approaches or methodologies to risk assessment in coordination with other countries?</w:t>
            </w:r>
          </w:p>
        </w:tc>
        <w:tc>
          <w:tcPr>
            <w:tcW w:w="4511" w:type="dxa"/>
            <w:gridSpan w:val="2"/>
            <w:tcBorders>
              <w:right w:val="single" w:sz="4" w:space="0" w:color="auto"/>
            </w:tcBorders>
            <w:vAlign w:val="center"/>
            <w:hideMark/>
          </w:tcPr>
          <w:p w14:paraId="0C6436D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7B99D37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60FFCD35" w14:textId="77777777" w:rsidTr="00725967">
        <w:tc>
          <w:tcPr>
            <w:tcW w:w="4841" w:type="dxa"/>
            <w:gridSpan w:val="2"/>
            <w:vAlign w:val="center"/>
            <w:hideMark/>
          </w:tcPr>
          <w:p w14:paraId="3265D087"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lastRenderedPageBreak/>
              <w:t>Has your country cooperated with other Parties with a view to identifying LMOs or specific traits that may have adverse effects on the conservation and sustainable use of biological diversity?</w:t>
            </w:r>
          </w:p>
        </w:tc>
        <w:tc>
          <w:tcPr>
            <w:tcW w:w="4511" w:type="dxa"/>
            <w:gridSpan w:val="2"/>
            <w:tcBorders>
              <w:right w:val="single" w:sz="4" w:space="0" w:color="auto"/>
            </w:tcBorders>
            <w:vAlign w:val="center"/>
            <w:hideMark/>
          </w:tcPr>
          <w:p w14:paraId="06FDA02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4AF62BE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67DE78A8" w14:textId="77777777" w:rsidTr="00725967">
        <w:tc>
          <w:tcPr>
            <w:tcW w:w="4841" w:type="dxa"/>
            <w:gridSpan w:val="2"/>
            <w:vAlign w:val="center"/>
            <w:hideMark/>
          </w:tcPr>
          <w:p w14:paraId="5070473D"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In the current reporting period, has your country conducted any kind of risk assessment of LMOs, including for contained use, field trials, commercial purposes, direct use as food, feed, or for processing?</w:t>
            </w:r>
          </w:p>
        </w:tc>
        <w:tc>
          <w:tcPr>
            <w:tcW w:w="4511" w:type="dxa"/>
            <w:gridSpan w:val="2"/>
            <w:tcBorders>
              <w:right w:val="single" w:sz="4" w:space="0" w:color="auto"/>
            </w:tcBorders>
            <w:vAlign w:val="center"/>
            <w:hideMark/>
          </w:tcPr>
          <w:p w14:paraId="7E69D8F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3DB51B2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518D0063" w14:textId="77777777" w:rsidTr="00725967">
        <w:tc>
          <w:tcPr>
            <w:tcW w:w="4841" w:type="dxa"/>
            <w:gridSpan w:val="2"/>
            <w:vAlign w:val="center"/>
          </w:tcPr>
          <w:p w14:paraId="5CC7C3A9"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75, how many risk assessments were conducted?</w:t>
            </w:r>
          </w:p>
        </w:tc>
        <w:tc>
          <w:tcPr>
            <w:tcW w:w="4511" w:type="dxa"/>
            <w:gridSpan w:val="2"/>
            <w:tcBorders>
              <w:right w:val="single" w:sz="4" w:space="0" w:color="auto"/>
            </w:tcBorders>
            <w:vAlign w:val="center"/>
          </w:tcPr>
          <w:p w14:paraId="76AA032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1 to 9 </w:t>
            </w:r>
          </w:p>
          <w:p w14:paraId="7349054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to 49</w:t>
            </w:r>
          </w:p>
          <w:p w14:paraId="535C618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50 to 99</w:t>
            </w:r>
          </w:p>
          <w:p w14:paraId="1A15CE0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More than 100</w:t>
            </w:r>
          </w:p>
        </w:tc>
      </w:tr>
      <w:tr w:rsidR="00376CED" w:rsidRPr="003075B3" w14:paraId="6AB35B98" w14:textId="77777777" w:rsidTr="00725967">
        <w:tc>
          <w:tcPr>
            <w:tcW w:w="4841" w:type="dxa"/>
            <w:gridSpan w:val="2"/>
            <w:shd w:val="clear" w:color="auto" w:fill="auto"/>
            <w:vAlign w:val="center"/>
            <w:hideMark/>
          </w:tcPr>
          <w:p w14:paraId="2954B1C1"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75, please indicate the scope of the risk assessments (select all that apply):</w:t>
            </w:r>
          </w:p>
        </w:tc>
        <w:tc>
          <w:tcPr>
            <w:tcW w:w="4511" w:type="dxa"/>
            <w:gridSpan w:val="2"/>
            <w:tcBorders>
              <w:right w:val="single" w:sz="4" w:space="0" w:color="auto"/>
            </w:tcBorders>
            <w:shd w:val="clear" w:color="auto" w:fill="auto"/>
            <w:vAlign w:val="center"/>
            <w:hideMark/>
          </w:tcPr>
          <w:p w14:paraId="3134002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LMOs for contained use (in accordance with Article 3)</w:t>
            </w:r>
          </w:p>
          <w:p w14:paraId="32F66CC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LMOs for intentional introduction into the environment for experimental testing or field trials</w:t>
            </w:r>
          </w:p>
          <w:p w14:paraId="32B7BFE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LMOs for intentional introduction into the environment for commercial purposes</w:t>
            </w:r>
          </w:p>
          <w:p w14:paraId="4E49977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LMOs for direct use as food</w:t>
            </w:r>
          </w:p>
          <w:p w14:paraId="7844CA4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LMOs for direct use as feed</w:t>
            </w:r>
          </w:p>
          <w:p w14:paraId="0211176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LMOs for processing</w:t>
            </w:r>
          </w:p>
          <w:p w14:paraId="64BABB6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715" w:hanging="703"/>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Other: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tc>
      </w:tr>
      <w:tr w:rsidR="00376CED" w:rsidRPr="003075B3" w14:paraId="7F2182F5" w14:textId="77777777" w:rsidTr="00725967">
        <w:tc>
          <w:tcPr>
            <w:tcW w:w="4841" w:type="dxa"/>
            <w:gridSpan w:val="2"/>
            <w:shd w:val="clear" w:color="auto" w:fill="FFFFFF"/>
            <w:vAlign w:val="center"/>
            <w:hideMark/>
          </w:tcPr>
          <w:p w14:paraId="7DCDC183"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75, were risk assessments conducted for all decisions taken on LMOs for intentional introduction into the environment or on domestic use of LMOs that may be subject to transboundary movement for direct use as food or feed, or for processing?</w:t>
            </w:r>
          </w:p>
        </w:tc>
        <w:tc>
          <w:tcPr>
            <w:tcW w:w="4511" w:type="dxa"/>
            <w:gridSpan w:val="2"/>
            <w:tcBorders>
              <w:right w:val="single" w:sz="4" w:space="0" w:color="auto"/>
            </w:tcBorders>
            <w:shd w:val="clear" w:color="auto" w:fill="FFFFFF"/>
            <w:vAlign w:val="center"/>
            <w:hideMark/>
          </w:tcPr>
          <w:p w14:paraId="5985C2F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always</w:t>
            </w:r>
          </w:p>
          <w:p w14:paraId="7B963C3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In some </w:t>
            </w:r>
            <w:proofErr w:type="gramStart"/>
            <w:r w:rsidRPr="003075B3">
              <w:rPr>
                <w:kern w:val="22"/>
                <w:sz w:val="20"/>
                <w:szCs w:val="20"/>
              </w:rPr>
              <w:t>cases</w:t>
            </w:r>
            <w:proofErr w:type="gramEnd"/>
            <w:r w:rsidRPr="003075B3">
              <w:rPr>
                <w:kern w:val="22"/>
                <w:sz w:val="20"/>
                <w:szCs w:val="20"/>
              </w:rPr>
              <w:t xml:space="preserve"> only</w:t>
            </w:r>
          </w:p>
          <w:p w14:paraId="4D92430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No </w:t>
            </w:r>
          </w:p>
        </w:tc>
      </w:tr>
      <w:tr w:rsidR="00376CED" w:rsidRPr="003075B3" w14:paraId="309A8F6D" w14:textId="77777777" w:rsidTr="00725967">
        <w:tc>
          <w:tcPr>
            <w:tcW w:w="4841" w:type="dxa"/>
            <w:gridSpan w:val="2"/>
            <w:vAlign w:val="center"/>
          </w:tcPr>
          <w:p w14:paraId="43A9EC09"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Has your country established appropriate mechanisms, measures and strategies to regulate and manage risks identified in the risk assessment of LMOs?</w:t>
            </w:r>
          </w:p>
        </w:tc>
        <w:tc>
          <w:tcPr>
            <w:tcW w:w="4511" w:type="dxa"/>
            <w:gridSpan w:val="2"/>
            <w:tcBorders>
              <w:right w:val="single" w:sz="4" w:space="0" w:color="auto"/>
            </w:tcBorders>
            <w:vAlign w:val="center"/>
          </w:tcPr>
          <w:p w14:paraId="68D0F8F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33ED45C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2AC0365F" w14:textId="77777777" w:rsidTr="00725967">
        <w:tc>
          <w:tcPr>
            <w:tcW w:w="4841" w:type="dxa"/>
            <w:gridSpan w:val="2"/>
            <w:vAlign w:val="center"/>
          </w:tcPr>
          <w:p w14:paraId="347D21EA"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Has your country taken appropriate measures to prevent unintentional transboundary movements of LMOs, including such measures as requiring a risk assessment to be carried out prior to the first release of </w:t>
            </w:r>
            <w:proofErr w:type="gramStart"/>
            <w:r w:rsidRPr="003075B3">
              <w:rPr>
                <w:kern w:val="22"/>
                <w:sz w:val="20"/>
                <w:szCs w:val="20"/>
              </w:rPr>
              <w:t>a</w:t>
            </w:r>
            <w:proofErr w:type="gramEnd"/>
            <w:r w:rsidRPr="003075B3">
              <w:rPr>
                <w:kern w:val="22"/>
                <w:sz w:val="20"/>
                <w:szCs w:val="20"/>
              </w:rPr>
              <w:t xml:space="preserve"> LMO?</w:t>
            </w:r>
          </w:p>
        </w:tc>
        <w:tc>
          <w:tcPr>
            <w:tcW w:w="4511" w:type="dxa"/>
            <w:gridSpan w:val="2"/>
            <w:tcBorders>
              <w:right w:val="single" w:sz="4" w:space="0" w:color="auto"/>
            </w:tcBorders>
            <w:vAlign w:val="center"/>
          </w:tcPr>
          <w:p w14:paraId="3F8AD54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4C24619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6431A446" w14:textId="77777777" w:rsidTr="00725967">
        <w:tc>
          <w:tcPr>
            <w:tcW w:w="4841" w:type="dxa"/>
            <w:gridSpan w:val="2"/>
            <w:vAlign w:val="center"/>
            <w:hideMark/>
          </w:tcPr>
          <w:p w14:paraId="2AF2988E"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lastRenderedPageBreak/>
              <w:t>Has your country taken measures to ensure that any LMO, whether imported or locally developed, undergoes an appropriate period of observation that is commensurate with its life-cycle or generation time before it is put to its intended use?</w:t>
            </w:r>
          </w:p>
        </w:tc>
        <w:tc>
          <w:tcPr>
            <w:tcW w:w="4511" w:type="dxa"/>
            <w:gridSpan w:val="2"/>
            <w:tcBorders>
              <w:right w:val="single" w:sz="4" w:space="0" w:color="auto"/>
            </w:tcBorders>
            <w:vAlign w:val="center"/>
            <w:hideMark/>
          </w:tcPr>
          <w:p w14:paraId="37D3425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3EA5241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 xml:space="preserve"> </w:t>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6066D62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578A803E" w14:textId="77777777" w:rsidTr="00725967">
        <w:tc>
          <w:tcPr>
            <w:tcW w:w="4841" w:type="dxa"/>
            <w:gridSpan w:val="2"/>
            <w:shd w:val="clear" w:color="auto" w:fill="auto"/>
            <w:vAlign w:val="center"/>
            <w:hideMark/>
          </w:tcPr>
          <w:p w14:paraId="5F780E09" w14:textId="77777777" w:rsidR="00376CED" w:rsidRPr="003075B3"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Has your country established a mechanism for monitoring potential effects of LMOs released into the environment?</w:t>
            </w:r>
          </w:p>
        </w:tc>
        <w:tc>
          <w:tcPr>
            <w:tcW w:w="4511" w:type="dxa"/>
            <w:gridSpan w:val="2"/>
            <w:tcBorders>
              <w:right w:val="single" w:sz="4" w:space="0" w:color="auto"/>
            </w:tcBorders>
            <w:shd w:val="clear" w:color="auto" w:fill="auto"/>
            <w:vAlign w:val="center"/>
            <w:hideMark/>
          </w:tcPr>
          <w:p w14:paraId="1BBF4BB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14C9245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 xml:space="preserve"> </w:t>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03831A0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755854E1" w14:textId="77777777" w:rsidTr="00725967">
        <w:tc>
          <w:tcPr>
            <w:tcW w:w="4841" w:type="dxa"/>
            <w:gridSpan w:val="2"/>
            <w:tcBorders>
              <w:bottom w:val="single" w:sz="4" w:space="0" w:color="auto"/>
            </w:tcBorders>
            <w:vAlign w:val="center"/>
            <w:hideMark/>
          </w:tcPr>
          <w:p w14:paraId="7766B478" w14:textId="77777777" w:rsidR="00376CED" w:rsidRPr="003075B3"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Does your country have the necessary infrastructure (e.g. laboratory facilities) for monitoring or managing LMOs?</w:t>
            </w:r>
          </w:p>
        </w:tc>
        <w:tc>
          <w:tcPr>
            <w:tcW w:w="4511" w:type="dxa"/>
            <w:gridSpan w:val="2"/>
            <w:tcBorders>
              <w:bottom w:val="single" w:sz="4" w:space="0" w:color="auto"/>
              <w:right w:val="single" w:sz="4" w:space="0" w:color="auto"/>
            </w:tcBorders>
            <w:vAlign w:val="center"/>
            <w:hideMark/>
          </w:tcPr>
          <w:p w14:paraId="3A2659A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6C4A317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1FC6BDC7" w14:textId="77777777" w:rsidTr="00725967">
        <w:tc>
          <w:tcPr>
            <w:tcW w:w="9352" w:type="dxa"/>
            <w:gridSpan w:val="4"/>
            <w:tcBorders>
              <w:top w:val="single" w:sz="4" w:space="0" w:color="auto"/>
              <w:left w:val="single" w:sz="4" w:space="0" w:color="auto"/>
              <w:bottom w:val="nil"/>
              <w:right w:val="single" w:sz="4" w:space="0" w:color="auto"/>
            </w:tcBorders>
            <w:vAlign w:val="center"/>
            <w:hideMark/>
          </w:tcPr>
          <w:p w14:paraId="58BD33D9"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Here you may provide further details on the implementation of Articles 15 and 16 in your country:</w:t>
            </w:r>
          </w:p>
          <w:p w14:paraId="6D7AEC4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40"/>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kern w:val="22"/>
                <w:sz w:val="20"/>
                <w:szCs w:val="20"/>
              </w:rPr>
              <w:t>[                                                       Type your text here                                                       ]</w:t>
            </w:r>
            <w:r w:rsidRPr="003075B3">
              <w:rPr>
                <w:kern w:val="22"/>
                <w:sz w:val="20"/>
                <w:szCs w:val="20"/>
              </w:rPr>
              <w:fldChar w:fldCharType="end"/>
            </w:r>
          </w:p>
        </w:tc>
      </w:tr>
      <w:tr w:rsidR="00376CED" w:rsidRPr="003075B3" w14:paraId="7C07698A" w14:textId="77777777" w:rsidTr="00725967">
        <w:tc>
          <w:tcPr>
            <w:tcW w:w="9352" w:type="dxa"/>
            <w:gridSpan w:val="4"/>
            <w:tcBorders>
              <w:right w:val="single" w:sz="4" w:space="0" w:color="auto"/>
            </w:tcBorders>
            <w:vAlign w:val="center"/>
            <w:hideMark/>
          </w:tcPr>
          <w:p w14:paraId="266B437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3075B3">
              <w:rPr>
                <w:rFonts w:eastAsia="Arial Unicode MS"/>
                <w:b/>
                <w:bCs/>
                <w:iCs/>
                <w:kern w:val="22"/>
                <w:sz w:val="20"/>
                <w:szCs w:val="20"/>
              </w:rPr>
              <w:t>Article 17 – Unintentional transboundary movements</w:t>
            </w:r>
            <w:r w:rsidRPr="003075B3">
              <w:rPr>
                <w:rStyle w:val="FootnoteReference"/>
                <w:rFonts w:eastAsia="Arial Unicode MS"/>
                <w:bCs/>
                <w:iCs/>
                <w:kern w:val="22"/>
                <w:sz w:val="20"/>
                <w:szCs w:val="20"/>
              </w:rPr>
              <w:footnoteReference w:id="14"/>
            </w:r>
            <w:r w:rsidRPr="003075B3">
              <w:rPr>
                <w:rFonts w:eastAsia="Arial Unicode MS"/>
                <w:b/>
                <w:bCs/>
                <w:iCs/>
                <w:kern w:val="22"/>
                <w:sz w:val="20"/>
                <w:szCs w:val="20"/>
              </w:rPr>
              <w:t xml:space="preserve"> and emergency measures</w:t>
            </w:r>
          </w:p>
        </w:tc>
      </w:tr>
      <w:tr w:rsidR="00376CED" w:rsidRPr="003075B3" w14:paraId="004F2465" w14:textId="77777777" w:rsidTr="00725967">
        <w:tc>
          <w:tcPr>
            <w:tcW w:w="4841" w:type="dxa"/>
            <w:gridSpan w:val="2"/>
            <w:vAlign w:val="center"/>
            <w:hideMark/>
          </w:tcPr>
          <w:p w14:paraId="4368E05F" w14:textId="77777777" w:rsidR="00376CED" w:rsidRPr="003075B3"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Has your country established measures to notify affected or potentially affected States, the Biosafety Clearing-House and, where appropriate, relevant international organizations in case of a release under its jurisdiction that leads, or may lead, to an unintentional transboundary movement?</w:t>
            </w:r>
          </w:p>
        </w:tc>
        <w:tc>
          <w:tcPr>
            <w:tcW w:w="4511" w:type="dxa"/>
            <w:gridSpan w:val="2"/>
            <w:tcBorders>
              <w:right w:val="single" w:sz="4" w:space="0" w:color="auto"/>
            </w:tcBorders>
            <w:vAlign w:val="center"/>
            <w:hideMark/>
          </w:tcPr>
          <w:p w14:paraId="2974857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7631D23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705B797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rsidDel="0091556C" w14:paraId="7DC610A5" w14:textId="77777777" w:rsidTr="00725967">
        <w:tc>
          <w:tcPr>
            <w:tcW w:w="4841" w:type="dxa"/>
            <w:gridSpan w:val="2"/>
            <w:shd w:val="clear" w:color="auto" w:fill="auto"/>
            <w:vAlign w:val="center"/>
          </w:tcPr>
          <w:p w14:paraId="7733F4A7" w14:textId="77777777" w:rsidR="00376CED" w:rsidRPr="003075B3" w:rsidDel="0091556C"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In the current reporting period, how many releases of LMOs occurred under your country’s jurisdiction that led, or may have led, to an unintentional transboundary movement?</w:t>
            </w:r>
          </w:p>
        </w:tc>
        <w:tc>
          <w:tcPr>
            <w:tcW w:w="4511" w:type="dxa"/>
            <w:gridSpan w:val="2"/>
            <w:tcBorders>
              <w:right w:val="single" w:sz="4" w:space="0" w:color="auto"/>
            </w:tcBorders>
            <w:shd w:val="clear" w:color="auto" w:fill="auto"/>
            <w:vAlign w:val="center"/>
          </w:tcPr>
          <w:p w14:paraId="1F3DB33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1D101EB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4</w:t>
            </w:r>
          </w:p>
          <w:p w14:paraId="0E772A0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 to 9</w:t>
            </w:r>
          </w:p>
          <w:p w14:paraId="0C92FB79" w14:textId="77777777" w:rsidR="00376CED" w:rsidRPr="003075B3" w:rsidDel="0091556C"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or more</w:t>
            </w:r>
          </w:p>
        </w:tc>
      </w:tr>
      <w:tr w:rsidR="00376CED" w:rsidRPr="003075B3" w:rsidDel="0091556C" w14:paraId="07CA7DCC" w14:textId="77777777" w:rsidTr="00725967">
        <w:tc>
          <w:tcPr>
            <w:tcW w:w="4841" w:type="dxa"/>
            <w:gridSpan w:val="2"/>
            <w:shd w:val="clear" w:color="auto" w:fill="auto"/>
            <w:vAlign w:val="center"/>
          </w:tcPr>
          <w:p w14:paraId="327972EB" w14:textId="77777777" w:rsidR="00376CED" w:rsidRPr="003075B3" w:rsidDel="0091556C"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If you answered </w:t>
            </w:r>
            <w:r w:rsidRPr="003075B3">
              <w:rPr>
                <w:i/>
                <w:kern w:val="22"/>
                <w:sz w:val="20"/>
                <w:szCs w:val="20"/>
              </w:rPr>
              <w:t>under question 86</w:t>
            </w:r>
            <w:r w:rsidRPr="003075B3">
              <w:rPr>
                <w:kern w:val="22"/>
                <w:sz w:val="20"/>
                <w:szCs w:val="20"/>
              </w:rPr>
              <w:t xml:space="preserve"> that a </w:t>
            </w:r>
            <w:r w:rsidRPr="003075B3">
              <w:rPr>
                <w:i/>
                <w:kern w:val="22"/>
                <w:sz w:val="20"/>
                <w:szCs w:val="20"/>
              </w:rPr>
              <w:t>release occurred</w:t>
            </w:r>
            <w:r w:rsidRPr="003075B3">
              <w:rPr>
                <w:kern w:val="22"/>
                <w:sz w:val="20"/>
                <w:szCs w:val="20"/>
              </w:rPr>
              <w:t>, has your country notified affected or potentially affected States, the Biosafety Clearing-House and, where appropriate, relevant international organizations?</w:t>
            </w:r>
          </w:p>
        </w:tc>
        <w:tc>
          <w:tcPr>
            <w:tcW w:w="4511" w:type="dxa"/>
            <w:gridSpan w:val="2"/>
            <w:tcBorders>
              <w:right w:val="single" w:sz="4" w:space="0" w:color="auto"/>
            </w:tcBorders>
            <w:shd w:val="clear" w:color="auto" w:fill="auto"/>
            <w:vAlign w:val="center"/>
          </w:tcPr>
          <w:p w14:paraId="783A674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always</w:t>
            </w:r>
          </w:p>
          <w:p w14:paraId="7398FAB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In some </w:t>
            </w:r>
            <w:proofErr w:type="gramStart"/>
            <w:r w:rsidRPr="003075B3">
              <w:rPr>
                <w:kern w:val="22"/>
                <w:sz w:val="20"/>
                <w:szCs w:val="20"/>
              </w:rPr>
              <w:t>cases</w:t>
            </w:r>
            <w:proofErr w:type="gramEnd"/>
            <w:r w:rsidRPr="003075B3">
              <w:rPr>
                <w:kern w:val="22"/>
                <w:sz w:val="20"/>
                <w:szCs w:val="20"/>
              </w:rPr>
              <w:t xml:space="preserve"> only</w:t>
            </w:r>
          </w:p>
          <w:p w14:paraId="4ED6215B" w14:textId="77777777" w:rsidR="00376CED" w:rsidRPr="003075B3" w:rsidDel="0091556C"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0C1BFC88" w14:textId="77777777" w:rsidTr="00725967">
        <w:tc>
          <w:tcPr>
            <w:tcW w:w="4841" w:type="dxa"/>
            <w:gridSpan w:val="2"/>
            <w:vAlign w:val="center"/>
            <w:hideMark/>
          </w:tcPr>
          <w:p w14:paraId="7E48B780" w14:textId="77777777" w:rsidR="00376CED" w:rsidRPr="003075B3"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Does your country have the capacity to take appropriate response measures in response to unintentional transboundary movements?</w:t>
            </w:r>
          </w:p>
        </w:tc>
        <w:tc>
          <w:tcPr>
            <w:tcW w:w="4511" w:type="dxa"/>
            <w:gridSpan w:val="2"/>
            <w:tcBorders>
              <w:right w:val="single" w:sz="4" w:space="0" w:color="auto"/>
            </w:tcBorders>
            <w:vAlign w:val="center"/>
            <w:hideMark/>
          </w:tcPr>
          <w:p w14:paraId="46B492C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186F97B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4C725D6A" w14:textId="77777777" w:rsidTr="00725967">
        <w:tc>
          <w:tcPr>
            <w:tcW w:w="4841" w:type="dxa"/>
            <w:gridSpan w:val="2"/>
            <w:vAlign w:val="center"/>
            <w:hideMark/>
          </w:tcPr>
          <w:p w14:paraId="28B3B7F6"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In the current reporting period, how many times has your country become aware of an </w:t>
            </w:r>
            <w:r w:rsidRPr="003075B3">
              <w:rPr>
                <w:kern w:val="22"/>
                <w:sz w:val="20"/>
                <w:szCs w:val="20"/>
              </w:rPr>
              <w:lastRenderedPageBreak/>
              <w:t>unintentional transboundary movement into its territory?</w:t>
            </w:r>
          </w:p>
        </w:tc>
        <w:tc>
          <w:tcPr>
            <w:tcW w:w="4511" w:type="dxa"/>
            <w:gridSpan w:val="2"/>
            <w:tcBorders>
              <w:right w:val="single" w:sz="4" w:space="0" w:color="auto"/>
            </w:tcBorders>
            <w:vAlign w:val="center"/>
            <w:hideMark/>
          </w:tcPr>
          <w:p w14:paraId="11A527F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lastRenderedPageBreak/>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07FA1EA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lastRenderedPageBreak/>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4</w:t>
            </w:r>
          </w:p>
          <w:p w14:paraId="21766E7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 to 9</w:t>
            </w:r>
          </w:p>
          <w:p w14:paraId="5778B2D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or more</w:t>
            </w:r>
          </w:p>
        </w:tc>
      </w:tr>
      <w:tr w:rsidR="00376CED" w:rsidRPr="003075B3" w14:paraId="33181C4A" w14:textId="77777777" w:rsidTr="00725967">
        <w:tc>
          <w:tcPr>
            <w:tcW w:w="9352" w:type="dxa"/>
            <w:gridSpan w:val="4"/>
            <w:tcBorders>
              <w:right w:val="single" w:sz="4" w:space="0" w:color="auto"/>
            </w:tcBorders>
            <w:vAlign w:val="center"/>
          </w:tcPr>
          <w:p w14:paraId="5A768DE3"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lastRenderedPageBreak/>
              <w:t>Here you may provide further details on the implementation of Article 17 in your country:</w:t>
            </w:r>
          </w:p>
          <w:p w14:paraId="112E2A4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67" w:right="6"/>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bl>
    <w:p w14:paraId="3F021574" w14:textId="77777777" w:rsidR="00376CED" w:rsidRPr="003075B3" w:rsidRDefault="00376CED" w:rsidP="00725967">
      <w:pPr>
        <w:shd w:val="clear" w:color="auto" w:fill="FFFFFF" w:themeFill="background1"/>
        <w:rPr>
          <w:kern w:val="22"/>
          <w:sz w:val="20"/>
          <w:szCs w:val="20"/>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838"/>
        <w:gridCol w:w="63"/>
        <w:gridCol w:w="4647"/>
      </w:tblGrid>
      <w:tr w:rsidR="00376CED" w:rsidRPr="003075B3" w14:paraId="200A8FBC" w14:textId="77777777" w:rsidTr="00725967">
        <w:tc>
          <w:tcPr>
            <w:tcW w:w="9445" w:type="dxa"/>
            <w:gridSpan w:val="3"/>
            <w:tcBorders>
              <w:right w:val="single" w:sz="4" w:space="0" w:color="auto"/>
            </w:tcBorders>
            <w:vAlign w:val="center"/>
            <w:hideMark/>
          </w:tcPr>
          <w:p w14:paraId="4DFDE36C"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3075B3">
              <w:rPr>
                <w:b/>
                <w:kern w:val="22"/>
                <w:sz w:val="20"/>
                <w:szCs w:val="20"/>
              </w:rPr>
              <w:t>Article 18 – Handling, transport, packaging and identification</w:t>
            </w:r>
          </w:p>
        </w:tc>
      </w:tr>
      <w:tr w:rsidR="00376CED" w:rsidRPr="003075B3" w14:paraId="38891A0B" w14:textId="77777777" w:rsidTr="00725967">
        <w:tc>
          <w:tcPr>
            <w:tcW w:w="4786" w:type="dxa"/>
            <w:vAlign w:val="center"/>
            <w:hideMark/>
          </w:tcPr>
          <w:p w14:paraId="5038EF8B"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Has your country taken measures to require that </w:t>
            </w:r>
            <w:r w:rsidRPr="003075B3">
              <w:rPr>
                <w:i/>
                <w:kern w:val="22"/>
                <w:sz w:val="20"/>
                <w:szCs w:val="20"/>
              </w:rPr>
              <w:t>LMOs that are subject to transboundary movement</w:t>
            </w:r>
            <w:r w:rsidRPr="003075B3">
              <w:rPr>
                <w:kern w:val="22"/>
                <w:sz w:val="20"/>
                <w:szCs w:val="20"/>
              </w:rPr>
              <w:t xml:space="preserve"> are handled, packaged and transported under conditions of safety, </w:t>
            </w:r>
            <w:proofErr w:type="gramStart"/>
            <w:r w:rsidRPr="003075B3">
              <w:rPr>
                <w:kern w:val="22"/>
                <w:sz w:val="20"/>
                <w:szCs w:val="20"/>
              </w:rPr>
              <w:t>taking into account</w:t>
            </w:r>
            <w:proofErr w:type="gramEnd"/>
            <w:r w:rsidRPr="003075B3">
              <w:rPr>
                <w:kern w:val="22"/>
                <w:sz w:val="20"/>
                <w:szCs w:val="20"/>
              </w:rPr>
              <w:t xml:space="preserve"> relevant international rules and standards?</w:t>
            </w:r>
          </w:p>
        </w:tc>
        <w:tc>
          <w:tcPr>
            <w:tcW w:w="4659" w:type="dxa"/>
            <w:gridSpan w:val="2"/>
            <w:tcBorders>
              <w:right w:val="single" w:sz="4" w:space="0" w:color="auto"/>
            </w:tcBorders>
            <w:vAlign w:val="center"/>
            <w:hideMark/>
          </w:tcPr>
          <w:p w14:paraId="334A95F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4F670E5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3F9E575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07FDEFCF" w14:textId="77777777" w:rsidTr="00725967">
        <w:tc>
          <w:tcPr>
            <w:tcW w:w="4786" w:type="dxa"/>
            <w:vAlign w:val="center"/>
            <w:hideMark/>
          </w:tcPr>
          <w:p w14:paraId="7EB8DA61" w14:textId="77777777" w:rsidR="00376CED" w:rsidRPr="003075B3"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Has your country taken measures to require that documentation accompanying LMOs-FFP, </w:t>
            </w:r>
            <w:r w:rsidRPr="003075B3">
              <w:rPr>
                <w:i/>
                <w:kern w:val="22"/>
                <w:sz w:val="20"/>
                <w:szCs w:val="20"/>
              </w:rPr>
              <w:t>in cases</w:t>
            </w:r>
            <w:r w:rsidRPr="003075B3">
              <w:rPr>
                <w:kern w:val="22"/>
                <w:sz w:val="20"/>
                <w:szCs w:val="20"/>
              </w:rPr>
              <w:t xml:space="preserve"> </w:t>
            </w:r>
            <w:r w:rsidRPr="003075B3">
              <w:rPr>
                <w:i/>
                <w:kern w:val="22"/>
                <w:sz w:val="20"/>
                <w:szCs w:val="20"/>
              </w:rPr>
              <w:t xml:space="preserve">where the identity of the LMOs </w:t>
            </w:r>
            <w:r w:rsidRPr="003075B3">
              <w:rPr>
                <w:i/>
                <w:kern w:val="22"/>
                <w:sz w:val="20"/>
                <w:szCs w:val="20"/>
                <w:u w:val="single"/>
              </w:rPr>
              <w:t>is not known</w:t>
            </w:r>
            <w:r w:rsidRPr="003075B3">
              <w:rPr>
                <w:i/>
                <w:kern w:val="22"/>
                <w:sz w:val="20"/>
                <w:szCs w:val="20"/>
              </w:rPr>
              <w:t>,</w:t>
            </w:r>
            <w:r w:rsidRPr="003075B3">
              <w:rPr>
                <w:kern w:val="22"/>
                <w:sz w:val="20"/>
                <w:szCs w:val="20"/>
              </w:rPr>
              <w:t xml:space="preserve"> clearly identifies that they </w:t>
            </w:r>
            <w:r w:rsidRPr="003075B3">
              <w:rPr>
                <w:i/>
                <w:kern w:val="22"/>
                <w:sz w:val="20"/>
                <w:szCs w:val="20"/>
              </w:rPr>
              <w:t>may contain LMOs</w:t>
            </w:r>
            <w:r w:rsidRPr="003075B3">
              <w:rPr>
                <w:kern w:val="22"/>
                <w:sz w:val="20"/>
                <w:szCs w:val="20"/>
              </w:rPr>
              <w:t xml:space="preserve"> and are not intended for intentional introduction into the environment, as well as a contact point for further information?</w:t>
            </w:r>
          </w:p>
        </w:tc>
        <w:tc>
          <w:tcPr>
            <w:tcW w:w="4659" w:type="dxa"/>
            <w:gridSpan w:val="2"/>
            <w:tcBorders>
              <w:right w:val="single" w:sz="4" w:space="0" w:color="auto"/>
            </w:tcBorders>
            <w:vAlign w:val="center"/>
            <w:hideMark/>
          </w:tcPr>
          <w:p w14:paraId="149EB8E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w:t>
            </w:r>
          </w:p>
          <w:p w14:paraId="2827F43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1FCFF53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3C08264A" w14:textId="77777777" w:rsidTr="00725967">
        <w:tc>
          <w:tcPr>
            <w:tcW w:w="4786" w:type="dxa"/>
            <w:vAlign w:val="center"/>
            <w:hideMark/>
          </w:tcPr>
          <w:p w14:paraId="33E5829C"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Has your country taken measures to require that documentation accompanying LMOs-FFP, </w:t>
            </w:r>
            <w:r w:rsidRPr="003075B3">
              <w:rPr>
                <w:i/>
                <w:kern w:val="22"/>
                <w:sz w:val="20"/>
                <w:szCs w:val="20"/>
              </w:rPr>
              <w:t xml:space="preserve">in cases where the identity of the LMOs </w:t>
            </w:r>
            <w:r w:rsidRPr="003075B3">
              <w:rPr>
                <w:i/>
                <w:kern w:val="22"/>
                <w:sz w:val="20"/>
                <w:szCs w:val="20"/>
                <w:u w:val="single"/>
              </w:rPr>
              <w:t>is known</w:t>
            </w:r>
            <w:r w:rsidRPr="003075B3">
              <w:rPr>
                <w:kern w:val="22"/>
                <w:sz w:val="20"/>
                <w:szCs w:val="20"/>
              </w:rPr>
              <w:t xml:space="preserve">, clearly identifies that they </w:t>
            </w:r>
            <w:r w:rsidRPr="003075B3">
              <w:rPr>
                <w:i/>
                <w:kern w:val="22"/>
                <w:sz w:val="20"/>
                <w:szCs w:val="20"/>
              </w:rPr>
              <w:t>contain LMOs</w:t>
            </w:r>
            <w:r w:rsidRPr="003075B3">
              <w:rPr>
                <w:kern w:val="22"/>
                <w:sz w:val="20"/>
                <w:szCs w:val="20"/>
              </w:rPr>
              <w:t xml:space="preserve"> and are not intended for intentional introduction into the environment, as well as a contact point for further information?</w:t>
            </w:r>
          </w:p>
        </w:tc>
        <w:tc>
          <w:tcPr>
            <w:tcW w:w="4659" w:type="dxa"/>
            <w:gridSpan w:val="2"/>
            <w:tcBorders>
              <w:right w:val="single" w:sz="4" w:space="0" w:color="auto"/>
            </w:tcBorders>
            <w:vAlign w:val="center"/>
            <w:hideMark/>
          </w:tcPr>
          <w:p w14:paraId="06D06D2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w:t>
            </w:r>
          </w:p>
          <w:p w14:paraId="04F8E3F1" w14:textId="67B62A45"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5B4D357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24707A80" w14:textId="77777777" w:rsidTr="00725967">
        <w:tc>
          <w:tcPr>
            <w:tcW w:w="4786" w:type="dxa"/>
            <w:vAlign w:val="center"/>
          </w:tcPr>
          <w:p w14:paraId="1FB1B07D"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question(s) 91, 92 and/or 93, what type of documentation accompanying LMOs does your country require?</w:t>
            </w:r>
          </w:p>
        </w:tc>
        <w:tc>
          <w:tcPr>
            <w:tcW w:w="4659" w:type="dxa"/>
            <w:gridSpan w:val="2"/>
            <w:tcBorders>
              <w:right w:val="single" w:sz="4" w:space="0" w:color="auto"/>
            </w:tcBorders>
            <w:vAlign w:val="center"/>
          </w:tcPr>
          <w:p w14:paraId="7ECC697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Documentation specific for LMOs</w:t>
            </w:r>
          </w:p>
          <w:p w14:paraId="02F649E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As part of other documentation (not specific for LMOs)</w:t>
            </w:r>
          </w:p>
          <w:p w14:paraId="3D7DF6C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Other: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tc>
      </w:tr>
      <w:tr w:rsidR="00376CED" w:rsidRPr="003075B3" w14:paraId="6FAE911D" w14:textId="77777777" w:rsidTr="00725967">
        <w:tc>
          <w:tcPr>
            <w:tcW w:w="4786" w:type="dxa"/>
            <w:vAlign w:val="center"/>
            <w:hideMark/>
          </w:tcPr>
          <w:p w14:paraId="0A183AF3"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Has your country taken measures to require that documentation accompanying </w:t>
            </w:r>
            <w:r w:rsidRPr="003075B3">
              <w:rPr>
                <w:i/>
                <w:kern w:val="22"/>
                <w:sz w:val="20"/>
                <w:szCs w:val="20"/>
              </w:rPr>
              <w:t>LMOs that are destined for contained use</w:t>
            </w:r>
            <w:r w:rsidRPr="003075B3">
              <w:rPr>
                <w:kern w:val="22"/>
                <w:sz w:val="20"/>
                <w:szCs w:val="20"/>
              </w:rPr>
              <w:t xml:space="preserve"> clearly identifies them as </w:t>
            </w:r>
            <w:r w:rsidRPr="003075B3">
              <w:rPr>
                <w:i/>
                <w:kern w:val="22"/>
                <w:sz w:val="20"/>
                <w:szCs w:val="20"/>
              </w:rPr>
              <w:t>LMOs</w:t>
            </w:r>
            <w:r w:rsidRPr="003075B3">
              <w:rPr>
                <w:kern w:val="22"/>
                <w:sz w:val="20"/>
                <w:szCs w:val="20"/>
              </w:rPr>
              <w:t xml:space="preserve"> and specifies any requirements for the safe handling, storage, transport and use, the contact point for further information, including the name and address of the individual and institution to whom the LMO are consigned?</w:t>
            </w:r>
          </w:p>
        </w:tc>
        <w:tc>
          <w:tcPr>
            <w:tcW w:w="4659" w:type="dxa"/>
            <w:gridSpan w:val="2"/>
            <w:tcBorders>
              <w:right w:val="single" w:sz="4" w:space="0" w:color="auto"/>
            </w:tcBorders>
            <w:vAlign w:val="center"/>
            <w:hideMark/>
          </w:tcPr>
          <w:p w14:paraId="5E9A2377" w14:textId="528097EB"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5A4F65F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3308B25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662FBE3C" w14:textId="77777777" w:rsidTr="00725967">
        <w:tc>
          <w:tcPr>
            <w:tcW w:w="4786" w:type="dxa"/>
            <w:vAlign w:val="center"/>
            <w:hideMark/>
          </w:tcPr>
          <w:p w14:paraId="1701F9C0"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95, what type of documentation does your country </w:t>
            </w:r>
            <w:r w:rsidRPr="003075B3">
              <w:rPr>
                <w:kern w:val="22"/>
                <w:sz w:val="20"/>
                <w:szCs w:val="20"/>
              </w:rPr>
              <w:lastRenderedPageBreak/>
              <w:t>require for the identification of LMOs that are destined for contained use?</w:t>
            </w:r>
          </w:p>
        </w:tc>
        <w:tc>
          <w:tcPr>
            <w:tcW w:w="4659" w:type="dxa"/>
            <w:gridSpan w:val="2"/>
            <w:tcBorders>
              <w:right w:val="single" w:sz="4" w:space="0" w:color="auto"/>
            </w:tcBorders>
            <w:vAlign w:val="center"/>
            <w:hideMark/>
          </w:tcPr>
          <w:p w14:paraId="41D70A1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lastRenderedPageBreak/>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Documentation specific for LMOs</w:t>
            </w:r>
          </w:p>
          <w:p w14:paraId="71AB48A1" w14:textId="2A510011"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lastRenderedPageBreak/>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As part of other documentation (not specific for LMOs)</w:t>
            </w:r>
          </w:p>
          <w:p w14:paraId="530E49BD" w14:textId="007C6306"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Other: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tc>
      </w:tr>
      <w:tr w:rsidR="00376CED" w:rsidRPr="003075B3" w14:paraId="36CB7657" w14:textId="77777777" w:rsidTr="00725967">
        <w:tc>
          <w:tcPr>
            <w:tcW w:w="4786" w:type="dxa"/>
            <w:vAlign w:val="center"/>
            <w:hideMark/>
          </w:tcPr>
          <w:p w14:paraId="50A1F730"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lastRenderedPageBreak/>
              <w:t xml:space="preserve">Has your country taken measures to require that documentation accompanying </w:t>
            </w:r>
            <w:r w:rsidRPr="003075B3">
              <w:rPr>
                <w:i/>
                <w:kern w:val="22"/>
                <w:sz w:val="20"/>
                <w:szCs w:val="20"/>
              </w:rPr>
              <w:t>LMOs that are intended for intentional introduction into the environment of the Party of import</w:t>
            </w:r>
            <w:r w:rsidRPr="003075B3">
              <w:rPr>
                <w:kern w:val="22"/>
                <w:sz w:val="20"/>
                <w:szCs w:val="20"/>
              </w:rPr>
              <w:t xml:space="preserve">, clearly identifies them as </w:t>
            </w:r>
            <w:r w:rsidRPr="003075B3">
              <w:rPr>
                <w:i/>
                <w:kern w:val="22"/>
                <w:sz w:val="20"/>
                <w:szCs w:val="20"/>
              </w:rPr>
              <w:t>living modified organisms</w:t>
            </w:r>
            <w:r w:rsidRPr="003075B3">
              <w:rPr>
                <w:kern w:val="22"/>
                <w:sz w:val="20"/>
                <w:szCs w:val="20"/>
              </w:rPr>
              <w:t>; specifies the identity and relevant traits and/or characteristics, any requirements for the safe handling, storage, transport and use, the contact point for further information and, as appropriate, the name and address of the importer and exporter; and contains a declaration that the movement is in conformity with the requirements of this Protocol applicable to the exporter?</w:t>
            </w:r>
          </w:p>
        </w:tc>
        <w:tc>
          <w:tcPr>
            <w:tcW w:w="4659" w:type="dxa"/>
            <w:gridSpan w:val="2"/>
            <w:tcBorders>
              <w:right w:val="single" w:sz="4" w:space="0" w:color="auto"/>
            </w:tcBorders>
            <w:vAlign w:val="center"/>
            <w:hideMark/>
          </w:tcPr>
          <w:p w14:paraId="7094BBC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14F4F59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147DBD1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6DF233B0" w14:textId="77777777" w:rsidTr="00725967">
        <w:tc>
          <w:tcPr>
            <w:tcW w:w="4786" w:type="dxa"/>
            <w:vAlign w:val="center"/>
            <w:hideMark/>
          </w:tcPr>
          <w:p w14:paraId="3687CBC9"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97, what type of documentation does your country require for the identification of LMOs that are intended for intentional introduction into the environment?</w:t>
            </w:r>
          </w:p>
        </w:tc>
        <w:tc>
          <w:tcPr>
            <w:tcW w:w="4659" w:type="dxa"/>
            <w:gridSpan w:val="2"/>
            <w:tcBorders>
              <w:right w:val="single" w:sz="4" w:space="0" w:color="auto"/>
            </w:tcBorders>
            <w:vAlign w:val="center"/>
            <w:hideMark/>
          </w:tcPr>
          <w:p w14:paraId="12A1B23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Documentation specific for LMOs</w:t>
            </w:r>
          </w:p>
          <w:p w14:paraId="603FAE4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As part of other documentation (not specific for LMOs) </w:t>
            </w:r>
          </w:p>
          <w:p w14:paraId="060E4ED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Other: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tc>
      </w:tr>
      <w:tr w:rsidR="00376CED" w:rsidRPr="003075B3" w14:paraId="755C5D2A" w14:textId="77777777" w:rsidTr="00725967">
        <w:tc>
          <w:tcPr>
            <w:tcW w:w="4786" w:type="dxa"/>
            <w:vAlign w:val="center"/>
            <w:hideMark/>
          </w:tcPr>
          <w:p w14:paraId="7FB5D4A1"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Does your country have available any guidance </w:t>
            </w:r>
            <w:proofErr w:type="gramStart"/>
            <w:r w:rsidRPr="003075B3">
              <w:rPr>
                <w:kern w:val="22"/>
                <w:sz w:val="20"/>
                <w:szCs w:val="20"/>
              </w:rPr>
              <w:t>for the purpose of</w:t>
            </w:r>
            <w:proofErr w:type="gramEnd"/>
            <w:r w:rsidRPr="003075B3">
              <w:rPr>
                <w:kern w:val="22"/>
                <w:sz w:val="20"/>
                <w:szCs w:val="20"/>
              </w:rPr>
              <w:t xml:space="preserve"> ensuring the safe handling, transport, and packaging of living modified organisms?</w:t>
            </w:r>
          </w:p>
        </w:tc>
        <w:tc>
          <w:tcPr>
            <w:tcW w:w="4659" w:type="dxa"/>
            <w:gridSpan w:val="2"/>
            <w:tcBorders>
              <w:right w:val="single" w:sz="4" w:space="0" w:color="auto"/>
            </w:tcBorders>
            <w:vAlign w:val="center"/>
            <w:hideMark/>
          </w:tcPr>
          <w:p w14:paraId="7DAB21B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2938713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28B3D783" w14:textId="77777777" w:rsidTr="00725967">
        <w:tc>
          <w:tcPr>
            <w:tcW w:w="4786" w:type="dxa"/>
            <w:shd w:val="clear" w:color="auto" w:fill="auto"/>
            <w:vAlign w:val="center"/>
            <w:hideMark/>
          </w:tcPr>
          <w:p w14:paraId="736EFCB4"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Does your country have the capacity to enforce the requirements of identification and documentation of LMOs?</w:t>
            </w:r>
          </w:p>
        </w:tc>
        <w:tc>
          <w:tcPr>
            <w:tcW w:w="4659" w:type="dxa"/>
            <w:gridSpan w:val="2"/>
            <w:tcBorders>
              <w:right w:val="single" w:sz="4" w:space="0" w:color="auto"/>
            </w:tcBorders>
            <w:shd w:val="clear" w:color="auto" w:fill="auto"/>
            <w:vAlign w:val="center"/>
            <w:hideMark/>
          </w:tcPr>
          <w:p w14:paraId="03E18DB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7F055BF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 xml:space="preserve"> </w:t>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0BA7354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2CBA5D30" w14:textId="77777777" w:rsidTr="00725967">
        <w:tc>
          <w:tcPr>
            <w:tcW w:w="4786" w:type="dxa"/>
            <w:vAlign w:val="center"/>
            <w:hideMark/>
          </w:tcPr>
          <w:p w14:paraId="165F7397"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How many customs officers in your country have received training in the identification of LMOs?</w:t>
            </w:r>
          </w:p>
        </w:tc>
        <w:tc>
          <w:tcPr>
            <w:tcW w:w="4659" w:type="dxa"/>
            <w:gridSpan w:val="2"/>
            <w:tcBorders>
              <w:right w:val="single" w:sz="4" w:space="0" w:color="auto"/>
            </w:tcBorders>
            <w:vAlign w:val="center"/>
            <w:hideMark/>
          </w:tcPr>
          <w:p w14:paraId="66E227C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0D1C881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9</w:t>
            </w:r>
          </w:p>
          <w:p w14:paraId="1A9D6D7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to 49</w:t>
            </w:r>
          </w:p>
          <w:p w14:paraId="247D2DE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50 to 99</w:t>
            </w:r>
          </w:p>
          <w:p w14:paraId="7157795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100 or more</w:t>
            </w:r>
          </w:p>
          <w:p w14:paraId="43D7112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i/>
                <w:kern w:val="22"/>
                <w:sz w:val="20"/>
                <w:szCs w:val="20"/>
              </w:rPr>
            </w:pPr>
            <w:r w:rsidRPr="003075B3">
              <w:rPr>
                <w:i/>
                <w:kern w:val="22"/>
                <w:sz w:val="20"/>
                <w:szCs w:val="20"/>
              </w:rPr>
              <w:t xml:space="preserve">Is this number adequate: </w:t>
            </w:r>
            <w:r w:rsidRPr="003075B3">
              <w:rPr>
                <w:i/>
                <w:kern w:val="22"/>
                <w:sz w:val="20"/>
                <w:szCs w:val="20"/>
              </w:rPr>
              <w:fldChar w:fldCharType="begin">
                <w:ffData>
                  <w:name w:val="Check48"/>
                  <w:enabled/>
                  <w:calcOnExit w:val="0"/>
                  <w:checkBox>
                    <w:sizeAuto/>
                    <w:default w:val="0"/>
                  </w:checkBox>
                </w:ffData>
              </w:fldChar>
            </w:r>
            <w:r w:rsidRPr="003075B3">
              <w:rPr>
                <w:i/>
                <w:kern w:val="22"/>
                <w:sz w:val="20"/>
                <w:szCs w:val="20"/>
              </w:rPr>
              <w:instrText xml:space="preserve"> FORMCHECKBOX </w:instrText>
            </w:r>
            <w:r w:rsidR="00986A60">
              <w:rPr>
                <w:i/>
                <w:kern w:val="22"/>
                <w:sz w:val="20"/>
                <w:szCs w:val="20"/>
              </w:rPr>
            </w:r>
            <w:r w:rsidR="00986A60">
              <w:rPr>
                <w:i/>
                <w:kern w:val="22"/>
                <w:sz w:val="20"/>
                <w:szCs w:val="20"/>
              </w:rPr>
              <w:fldChar w:fldCharType="separate"/>
            </w:r>
            <w:r w:rsidRPr="003075B3">
              <w:rPr>
                <w:i/>
                <w:kern w:val="22"/>
                <w:sz w:val="20"/>
                <w:szCs w:val="20"/>
              </w:rPr>
              <w:fldChar w:fldCharType="end"/>
            </w:r>
            <w:r w:rsidRPr="003075B3">
              <w:rPr>
                <w:i/>
                <w:kern w:val="22"/>
                <w:sz w:val="20"/>
                <w:szCs w:val="20"/>
              </w:rPr>
              <w:t xml:space="preserve"> Yes   </w:t>
            </w:r>
            <w:r w:rsidRPr="003075B3">
              <w:rPr>
                <w:i/>
                <w:kern w:val="22"/>
                <w:sz w:val="20"/>
                <w:szCs w:val="20"/>
              </w:rPr>
              <w:fldChar w:fldCharType="begin">
                <w:ffData>
                  <w:name w:val="Check48"/>
                  <w:enabled/>
                  <w:calcOnExit w:val="0"/>
                  <w:checkBox>
                    <w:sizeAuto/>
                    <w:default w:val="0"/>
                  </w:checkBox>
                </w:ffData>
              </w:fldChar>
            </w:r>
            <w:r w:rsidRPr="003075B3">
              <w:rPr>
                <w:i/>
                <w:kern w:val="22"/>
                <w:sz w:val="20"/>
                <w:szCs w:val="20"/>
              </w:rPr>
              <w:instrText xml:space="preserve"> FORMCHECKBOX </w:instrText>
            </w:r>
            <w:r w:rsidR="00986A60">
              <w:rPr>
                <w:i/>
                <w:kern w:val="22"/>
                <w:sz w:val="20"/>
                <w:szCs w:val="20"/>
              </w:rPr>
            </w:r>
            <w:r w:rsidR="00986A60">
              <w:rPr>
                <w:i/>
                <w:kern w:val="22"/>
                <w:sz w:val="20"/>
                <w:szCs w:val="20"/>
              </w:rPr>
              <w:fldChar w:fldCharType="separate"/>
            </w:r>
            <w:r w:rsidRPr="003075B3">
              <w:rPr>
                <w:i/>
                <w:kern w:val="22"/>
                <w:sz w:val="20"/>
                <w:szCs w:val="20"/>
              </w:rPr>
              <w:fldChar w:fldCharType="end"/>
            </w:r>
            <w:r w:rsidRPr="003075B3">
              <w:rPr>
                <w:i/>
                <w:kern w:val="22"/>
                <w:sz w:val="20"/>
                <w:szCs w:val="20"/>
              </w:rPr>
              <w:t xml:space="preserve"> No</w:t>
            </w:r>
          </w:p>
        </w:tc>
      </w:tr>
      <w:tr w:rsidR="00376CED" w:rsidRPr="003075B3" w14:paraId="1B410BCD" w14:textId="77777777" w:rsidTr="00725967">
        <w:tc>
          <w:tcPr>
            <w:tcW w:w="4786" w:type="dxa"/>
            <w:vAlign w:val="center"/>
            <w:hideMark/>
          </w:tcPr>
          <w:p w14:paraId="0495C79E"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Has your country established procedures for the sampling and detection of LMOs?</w:t>
            </w:r>
          </w:p>
        </w:tc>
        <w:tc>
          <w:tcPr>
            <w:tcW w:w="4659" w:type="dxa"/>
            <w:gridSpan w:val="2"/>
            <w:tcBorders>
              <w:right w:val="single" w:sz="4" w:space="0" w:color="auto"/>
            </w:tcBorders>
            <w:vAlign w:val="center"/>
            <w:hideMark/>
          </w:tcPr>
          <w:p w14:paraId="0117AF5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04ADBC1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1815E6B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061E8DC6" w14:textId="77777777" w:rsidTr="00725967">
        <w:tc>
          <w:tcPr>
            <w:tcW w:w="4786" w:type="dxa"/>
            <w:vAlign w:val="center"/>
            <w:hideMark/>
          </w:tcPr>
          <w:p w14:paraId="296E81B6"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How many laboratory personnel in your country have received training in detection of LMOs?</w:t>
            </w:r>
          </w:p>
        </w:tc>
        <w:tc>
          <w:tcPr>
            <w:tcW w:w="4659" w:type="dxa"/>
            <w:gridSpan w:val="2"/>
            <w:tcBorders>
              <w:right w:val="single" w:sz="4" w:space="0" w:color="auto"/>
            </w:tcBorders>
            <w:vAlign w:val="center"/>
            <w:hideMark/>
          </w:tcPr>
          <w:p w14:paraId="0F72DEB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44D5C8E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9</w:t>
            </w:r>
          </w:p>
          <w:p w14:paraId="5889EE6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to 49</w:t>
            </w:r>
          </w:p>
          <w:p w14:paraId="3E8C027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lastRenderedPageBreak/>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50 to 99</w:t>
            </w:r>
          </w:p>
          <w:p w14:paraId="1C4784A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100 or more</w:t>
            </w:r>
          </w:p>
          <w:p w14:paraId="7EB8799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i/>
                <w:kern w:val="22"/>
                <w:sz w:val="20"/>
                <w:szCs w:val="20"/>
              </w:rPr>
            </w:pPr>
            <w:r w:rsidRPr="003075B3">
              <w:rPr>
                <w:i/>
                <w:kern w:val="22"/>
                <w:sz w:val="20"/>
                <w:szCs w:val="20"/>
              </w:rPr>
              <w:t xml:space="preserve">Is this number adequate: </w:t>
            </w:r>
            <w:r w:rsidRPr="003075B3">
              <w:rPr>
                <w:i/>
                <w:kern w:val="22"/>
                <w:sz w:val="20"/>
                <w:szCs w:val="20"/>
              </w:rPr>
              <w:fldChar w:fldCharType="begin">
                <w:ffData>
                  <w:name w:val="Check48"/>
                  <w:enabled/>
                  <w:calcOnExit w:val="0"/>
                  <w:checkBox>
                    <w:sizeAuto/>
                    <w:default w:val="0"/>
                  </w:checkBox>
                </w:ffData>
              </w:fldChar>
            </w:r>
            <w:r w:rsidRPr="003075B3">
              <w:rPr>
                <w:i/>
                <w:kern w:val="22"/>
                <w:sz w:val="20"/>
                <w:szCs w:val="20"/>
              </w:rPr>
              <w:instrText xml:space="preserve"> FORMCHECKBOX </w:instrText>
            </w:r>
            <w:r w:rsidR="00986A60">
              <w:rPr>
                <w:i/>
                <w:kern w:val="22"/>
                <w:sz w:val="20"/>
                <w:szCs w:val="20"/>
              </w:rPr>
            </w:r>
            <w:r w:rsidR="00986A60">
              <w:rPr>
                <w:i/>
                <w:kern w:val="22"/>
                <w:sz w:val="20"/>
                <w:szCs w:val="20"/>
              </w:rPr>
              <w:fldChar w:fldCharType="separate"/>
            </w:r>
            <w:r w:rsidRPr="003075B3">
              <w:rPr>
                <w:i/>
                <w:kern w:val="22"/>
                <w:sz w:val="20"/>
                <w:szCs w:val="20"/>
              </w:rPr>
              <w:fldChar w:fldCharType="end"/>
            </w:r>
            <w:r w:rsidRPr="003075B3">
              <w:rPr>
                <w:i/>
                <w:kern w:val="22"/>
                <w:sz w:val="20"/>
                <w:szCs w:val="20"/>
              </w:rPr>
              <w:t xml:space="preserve"> Yes   </w:t>
            </w:r>
            <w:r w:rsidRPr="003075B3">
              <w:rPr>
                <w:i/>
                <w:kern w:val="22"/>
                <w:sz w:val="20"/>
                <w:szCs w:val="20"/>
              </w:rPr>
              <w:fldChar w:fldCharType="begin">
                <w:ffData>
                  <w:name w:val="Check48"/>
                  <w:enabled/>
                  <w:calcOnExit w:val="0"/>
                  <w:checkBox>
                    <w:sizeAuto/>
                    <w:default w:val="0"/>
                  </w:checkBox>
                </w:ffData>
              </w:fldChar>
            </w:r>
            <w:r w:rsidRPr="003075B3">
              <w:rPr>
                <w:i/>
                <w:kern w:val="22"/>
                <w:sz w:val="20"/>
                <w:szCs w:val="20"/>
              </w:rPr>
              <w:instrText xml:space="preserve"> FORMCHECKBOX </w:instrText>
            </w:r>
            <w:r w:rsidR="00986A60">
              <w:rPr>
                <w:i/>
                <w:kern w:val="22"/>
                <w:sz w:val="20"/>
                <w:szCs w:val="20"/>
              </w:rPr>
            </w:r>
            <w:r w:rsidR="00986A60">
              <w:rPr>
                <w:i/>
                <w:kern w:val="22"/>
                <w:sz w:val="20"/>
                <w:szCs w:val="20"/>
              </w:rPr>
              <w:fldChar w:fldCharType="separate"/>
            </w:r>
            <w:r w:rsidRPr="003075B3">
              <w:rPr>
                <w:i/>
                <w:kern w:val="22"/>
                <w:sz w:val="20"/>
                <w:szCs w:val="20"/>
              </w:rPr>
              <w:fldChar w:fldCharType="end"/>
            </w:r>
            <w:r w:rsidRPr="003075B3">
              <w:rPr>
                <w:i/>
                <w:kern w:val="22"/>
                <w:sz w:val="20"/>
                <w:szCs w:val="20"/>
              </w:rPr>
              <w:t xml:space="preserve"> No</w:t>
            </w:r>
          </w:p>
        </w:tc>
      </w:tr>
      <w:tr w:rsidR="00376CED" w:rsidRPr="003075B3" w14:paraId="53A5740C" w14:textId="77777777" w:rsidTr="00725967">
        <w:tc>
          <w:tcPr>
            <w:tcW w:w="4786" w:type="dxa"/>
            <w:vAlign w:val="center"/>
            <w:hideMark/>
          </w:tcPr>
          <w:p w14:paraId="5D31A3A5"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lastRenderedPageBreak/>
              <w:t>Does your country have reliable access to laboratory facilities for the detection of LMOs?</w:t>
            </w:r>
          </w:p>
        </w:tc>
        <w:tc>
          <w:tcPr>
            <w:tcW w:w="4659" w:type="dxa"/>
            <w:gridSpan w:val="2"/>
            <w:tcBorders>
              <w:right w:val="single" w:sz="4" w:space="0" w:color="auto"/>
            </w:tcBorders>
            <w:vAlign w:val="center"/>
            <w:hideMark/>
          </w:tcPr>
          <w:p w14:paraId="545FCC0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7A240A2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70F17CEC" w14:textId="77777777" w:rsidTr="00725967">
        <w:tc>
          <w:tcPr>
            <w:tcW w:w="4786" w:type="dxa"/>
            <w:vAlign w:val="center"/>
            <w:hideMark/>
          </w:tcPr>
          <w:p w14:paraId="0D61C51B"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color w:val="000000"/>
                <w:kern w:val="22"/>
                <w:sz w:val="20"/>
                <w:szCs w:val="20"/>
              </w:rPr>
            </w:pPr>
            <w:r w:rsidRPr="003075B3">
              <w:rPr>
                <w:color w:val="000000"/>
                <w:kern w:val="22"/>
                <w:sz w:val="20"/>
                <w:szCs w:val="20"/>
              </w:rPr>
              <w:t>How many laboratories in your country are certified for LMO detection?</w:t>
            </w:r>
          </w:p>
        </w:tc>
        <w:tc>
          <w:tcPr>
            <w:tcW w:w="4659" w:type="dxa"/>
            <w:gridSpan w:val="2"/>
            <w:tcBorders>
              <w:right w:val="single" w:sz="4" w:space="0" w:color="auto"/>
            </w:tcBorders>
            <w:vAlign w:val="center"/>
            <w:hideMark/>
          </w:tcPr>
          <w:p w14:paraId="7AD360F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1A3CD55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4</w:t>
            </w:r>
          </w:p>
          <w:p w14:paraId="2AD1B8E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 to 9</w:t>
            </w:r>
          </w:p>
          <w:p w14:paraId="4AAE921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to 49</w:t>
            </w:r>
          </w:p>
          <w:p w14:paraId="26283E7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50 or more</w:t>
            </w:r>
          </w:p>
        </w:tc>
      </w:tr>
      <w:tr w:rsidR="00376CED" w:rsidRPr="003075B3" w14:paraId="76DCD948" w14:textId="77777777" w:rsidTr="00725967">
        <w:tc>
          <w:tcPr>
            <w:tcW w:w="4786" w:type="dxa"/>
            <w:vAlign w:val="center"/>
            <w:hideMark/>
          </w:tcPr>
          <w:p w14:paraId="7B52692F"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color w:val="000000"/>
                <w:kern w:val="22"/>
                <w:sz w:val="20"/>
                <w:szCs w:val="20"/>
              </w:rPr>
            </w:pPr>
            <w:r w:rsidRPr="003075B3">
              <w:rPr>
                <w:kern w:val="22"/>
                <w:sz w:val="20"/>
                <w:szCs w:val="20"/>
              </w:rPr>
              <w:t xml:space="preserve">If you answered </w:t>
            </w:r>
            <w:r w:rsidRPr="003075B3">
              <w:rPr>
                <w:i/>
                <w:kern w:val="22"/>
                <w:sz w:val="20"/>
                <w:szCs w:val="20"/>
              </w:rPr>
              <w:t>under question 105</w:t>
            </w:r>
            <w:r w:rsidRPr="003075B3">
              <w:rPr>
                <w:kern w:val="22"/>
                <w:sz w:val="20"/>
                <w:szCs w:val="20"/>
              </w:rPr>
              <w:t xml:space="preserve"> that </w:t>
            </w:r>
            <w:r w:rsidRPr="003075B3">
              <w:rPr>
                <w:i/>
                <w:kern w:val="22"/>
                <w:sz w:val="20"/>
                <w:szCs w:val="20"/>
              </w:rPr>
              <w:t>certified laboratories exist in your country</w:t>
            </w:r>
            <w:r w:rsidRPr="003075B3">
              <w:rPr>
                <w:kern w:val="22"/>
                <w:sz w:val="20"/>
                <w:szCs w:val="20"/>
              </w:rPr>
              <w:t xml:space="preserve">, </w:t>
            </w:r>
            <w:r w:rsidRPr="003075B3">
              <w:rPr>
                <w:color w:val="000000"/>
                <w:kern w:val="22"/>
                <w:sz w:val="20"/>
                <w:szCs w:val="20"/>
              </w:rPr>
              <w:t>how many of them are currently operating in the detection of LMOs?</w:t>
            </w:r>
          </w:p>
        </w:tc>
        <w:tc>
          <w:tcPr>
            <w:tcW w:w="4659" w:type="dxa"/>
            <w:gridSpan w:val="2"/>
            <w:tcBorders>
              <w:right w:val="single" w:sz="4" w:space="0" w:color="auto"/>
            </w:tcBorders>
            <w:vAlign w:val="center"/>
            <w:hideMark/>
          </w:tcPr>
          <w:p w14:paraId="239A2F3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6D12A75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4</w:t>
            </w:r>
          </w:p>
          <w:p w14:paraId="7FAAF50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 to 9</w:t>
            </w:r>
          </w:p>
          <w:p w14:paraId="5C86AC0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to 49</w:t>
            </w:r>
          </w:p>
          <w:p w14:paraId="3582D2C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50 or more</w:t>
            </w:r>
          </w:p>
        </w:tc>
      </w:tr>
      <w:tr w:rsidR="00376CED" w:rsidRPr="003075B3" w14:paraId="490CDC12" w14:textId="77777777" w:rsidTr="00725967">
        <w:tc>
          <w:tcPr>
            <w:tcW w:w="9445" w:type="dxa"/>
            <w:gridSpan w:val="3"/>
            <w:tcBorders>
              <w:right w:val="single" w:sz="4" w:space="0" w:color="auto"/>
            </w:tcBorders>
            <w:vAlign w:val="center"/>
            <w:hideMark/>
          </w:tcPr>
          <w:p w14:paraId="118899D1"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Here you may provide further details on the implementation of Article 18 in your country:</w:t>
            </w:r>
          </w:p>
          <w:p w14:paraId="4081A7B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67" w:right="6"/>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r w:rsidR="00376CED" w:rsidRPr="003075B3" w14:paraId="3B4A7BB4" w14:textId="77777777" w:rsidTr="00725967">
        <w:tc>
          <w:tcPr>
            <w:tcW w:w="9445" w:type="dxa"/>
            <w:gridSpan w:val="3"/>
            <w:tcBorders>
              <w:right w:val="single" w:sz="4" w:space="0" w:color="auto"/>
            </w:tcBorders>
            <w:vAlign w:val="center"/>
            <w:hideMark/>
          </w:tcPr>
          <w:p w14:paraId="0D637349"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3075B3">
              <w:rPr>
                <w:b/>
                <w:kern w:val="22"/>
                <w:sz w:val="20"/>
                <w:szCs w:val="20"/>
              </w:rPr>
              <w:br w:type="page"/>
            </w:r>
            <w:r w:rsidRPr="003075B3">
              <w:rPr>
                <w:b/>
                <w:kern w:val="22"/>
                <w:sz w:val="20"/>
                <w:szCs w:val="20"/>
              </w:rPr>
              <w:br w:type="page"/>
              <w:t xml:space="preserve">Article 19 – Competent national authorities and national focal points </w:t>
            </w:r>
          </w:p>
        </w:tc>
      </w:tr>
      <w:tr w:rsidR="00376CED" w:rsidRPr="003075B3" w14:paraId="6E950D97" w14:textId="77777777" w:rsidTr="00725967">
        <w:tc>
          <w:tcPr>
            <w:tcW w:w="4786" w:type="dxa"/>
            <w:shd w:val="clear" w:color="auto" w:fill="auto"/>
            <w:vAlign w:val="center"/>
            <w:hideMark/>
          </w:tcPr>
          <w:p w14:paraId="33788D78"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In case your country has designated more than one competent national authority, has your country established a mechanism for the coordination of their actions prior to taking decisions regarding LMOs?</w:t>
            </w:r>
          </w:p>
        </w:tc>
        <w:tc>
          <w:tcPr>
            <w:tcW w:w="4659" w:type="dxa"/>
            <w:gridSpan w:val="2"/>
            <w:tcBorders>
              <w:right w:val="single" w:sz="4" w:space="0" w:color="auto"/>
            </w:tcBorders>
            <w:shd w:val="clear" w:color="auto" w:fill="auto"/>
            <w:vAlign w:val="center"/>
            <w:hideMark/>
          </w:tcPr>
          <w:p w14:paraId="32D80FB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25DF67C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p w14:paraId="069DDD2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Not applicable (no competent national authority was designated)</w:t>
            </w:r>
          </w:p>
          <w:p w14:paraId="713A8F3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Not applicable (only one competent national authority was designated)</w:t>
            </w:r>
          </w:p>
        </w:tc>
      </w:tr>
      <w:tr w:rsidR="00376CED" w:rsidRPr="003075B3" w14:paraId="58192D29" w14:textId="77777777" w:rsidTr="00725967">
        <w:tc>
          <w:tcPr>
            <w:tcW w:w="4786" w:type="dxa"/>
            <w:shd w:val="clear" w:color="auto" w:fill="auto"/>
            <w:vAlign w:val="center"/>
            <w:hideMark/>
          </w:tcPr>
          <w:p w14:paraId="6737472C"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Has your country established adequate institutional capacity to enable the competent national authority(</w:t>
            </w:r>
            <w:proofErr w:type="spellStart"/>
            <w:r w:rsidRPr="003075B3">
              <w:rPr>
                <w:kern w:val="22"/>
                <w:sz w:val="20"/>
                <w:szCs w:val="20"/>
              </w:rPr>
              <w:t>ies</w:t>
            </w:r>
            <w:proofErr w:type="spellEnd"/>
            <w:r w:rsidRPr="003075B3">
              <w:rPr>
                <w:kern w:val="22"/>
                <w:sz w:val="20"/>
                <w:szCs w:val="20"/>
              </w:rPr>
              <w:t>) to perform the administrative functions required by the Cartagena Protocol on Biosafety?</w:t>
            </w:r>
          </w:p>
        </w:tc>
        <w:tc>
          <w:tcPr>
            <w:tcW w:w="4659" w:type="dxa"/>
            <w:gridSpan w:val="2"/>
            <w:tcBorders>
              <w:right w:val="single" w:sz="4" w:space="0" w:color="auto"/>
            </w:tcBorders>
            <w:shd w:val="clear" w:color="auto" w:fill="auto"/>
            <w:vAlign w:val="center"/>
            <w:hideMark/>
          </w:tcPr>
          <w:p w14:paraId="4EB263C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2CAAF91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36222CB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7BAB87BA" w14:textId="77777777" w:rsidTr="00725967">
        <w:tc>
          <w:tcPr>
            <w:tcW w:w="4786" w:type="dxa"/>
            <w:shd w:val="clear" w:color="auto" w:fill="auto"/>
            <w:vAlign w:val="center"/>
          </w:tcPr>
          <w:p w14:paraId="58E653D6"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Has your country undertaken initiatives to strengthen collaboration among national focal points, competent national authority(</w:t>
            </w:r>
            <w:proofErr w:type="spellStart"/>
            <w:r w:rsidRPr="003075B3">
              <w:rPr>
                <w:kern w:val="22"/>
                <w:sz w:val="20"/>
                <w:szCs w:val="20"/>
              </w:rPr>
              <w:t>ies</w:t>
            </w:r>
            <w:proofErr w:type="spellEnd"/>
            <w:r w:rsidRPr="003075B3">
              <w:rPr>
                <w:kern w:val="22"/>
                <w:sz w:val="20"/>
                <w:szCs w:val="20"/>
              </w:rPr>
              <w:t>) and other institutions on biosafety-related matters?</w:t>
            </w:r>
          </w:p>
        </w:tc>
        <w:tc>
          <w:tcPr>
            <w:tcW w:w="4659" w:type="dxa"/>
            <w:gridSpan w:val="2"/>
            <w:tcBorders>
              <w:right w:val="single" w:sz="4" w:space="0" w:color="auto"/>
            </w:tcBorders>
            <w:shd w:val="clear" w:color="auto" w:fill="auto"/>
            <w:vAlign w:val="center"/>
          </w:tcPr>
          <w:p w14:paraId="172B1FB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6C6BB92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66123184" w14:textId="77777777" w:rsidTr="00725967">
        <w:tc>
          <w:tcPr>
            <w:tcW w:w="9445" w:type="dxa"/>
            <w:gridSpan w:val="3"/>
            <w:tcBorders>
              <w:right w:val="single" w:sz="4" w:space="0" w:color="auto"/>
            </w:tcBorders>
            <w:vAlign w:val="center"/>
            <w:hideMark/>
          </w:tcPr>
          <w:p w14:paraId="7E82D3FE"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Here you may provide further details on the implementation of Article 19 in your country:</w:t>
            </w:r>
          </w:p>
          <w:p w14:paraId="7C0BA6F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r w:rsidR="00376CED" w:rsidRPr="003075B3" w14:paraId="74017E22" w14:textId="77777777" w:rsidTr="00725967">
        <w:tc>
          <w:tcPr>
            <w:tcW w:w="9445" w:type="dxa"/>
            <w:gridSpan w:val="3"/>
            <w:tcBorders>
              <w:bottom w:val="single" w:sz="4" w:space="0" w:color="auto"/>
              <w:right w:val="single" w:sz="4" w:space="0" w:color="auto"/>
            </w:tcBorders>
            <w:vAlign w:val="center"/>
            <w:hideMark/>
          </w:tcPr>
          <w:p w14:paraId="63028DA9"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3075B3">
              <w:rPr>
                <w:kern w:val="22"/>
                <w:sz w:val="20"/>
                <w:szCs w:val="20"/>
              </w:rPr>
              <w:lastRenderedPageBreak/>
              <w:br w:type="page"/>
            </w:r>
            <w:r w:rsidRPr="003075B3">
              <w:rPr>
                <w:b/>
                <w:kern w:val="22"/>
                <w:sz w:val="20"/>
                <w:szCs w:val="20"/>
              </w:rPr>
              <w:t>Article 20 – Information sharing and the Biosafety Clearing-House (BCH)</w:t>
            </w:r>
          </w:p>
        </w:tc>
      </w:tr>
      <w:tr w:rsidR="00376CED" w:rsidRPr="003075B3" w14:paraId="4FEA112E" w14:textId="77777777" w:rsidTr="00725967">
        <w:tc>
          <w:tcPr>
            <w:tcW w:w="9445" w:type="dxa"/>
            <w:gridSpan w:val="3"/>
            <w:tcBorders>
              <w:top w:val="single" w:sz="4" w:space="0" w:color="auto"/>
              <w:left w:val="single" w:sz="4" w:space="0" w:color="auto"/>
              <w:bottom w:val="nil"/>
              <w:right w:val="single" w:sz="4" w:space="0" w:color="auto"/>
            </w:tcBorders>
            <w:vAlign w:val="center"/>
            <w:hideMark/>
          </w:tcPr>
          <w:p w14:paraId="7850D436"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rPr>
                <w:i/>
                <w:kern w:val="22"/>
                <w:sz w:val="20"/>
                <w:szCs w:val="20"/>
              </w:rPr>
            </w:pPr>
            <w:r w:rsidRPr="003075B3">
              <w:rPr>
                <w:kern w:val="22"/>
                <w:sz w:val="20"/>
                <w:szCs w:val="20"/>
              </w:rPr>
              <w:t>Please provide an overview of the status of the mandatory information provided by your country to the BCH by specifying for each category of information whether it is available and whether it has been submitted to the BCH.</w:t>
            </w:r>
          </w:p>
        </w:tc>
      </w:tr>
      <w:tr w:rsidR="00376CED" w:rsidRPr="003075B3" w14:paraId="7F480CCC" w14:textId="77777777" w:rsidTr="00725967">
        <w:tc>
          <w:tcPr>
            <w:tcW w:w="4786" w:type="dxa"/>
            <w:tcBorders>
              <w:top w:val="nil"/>
              <w:left w:val="single" w:sz="4" w:space="0" w:color="auto"/>
              <w:bottom w:val="single" w:sz="4" w:space="0" w:color="auto"/>
              <w:right w:val="single" w:sz="4" w:space="0" w:color="auto"/>
            </w:tcBorders>
            <w:vAlign w:val="center"/>
            <w:hideMark/>
          </w:tcPr>
          <w:p w14:paraId="61A1EB66" w14:textId="77777777" w:rsidR="00376CED" w:rsidRPr="003075B3" w:rsidRDefault="00376CED" w:rsidP="00376CED">
            <w:pPr>
              <w:numPr>
                <w:ilvl w:val="0"/>
                <w:numId w:val="49"/>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rPr>
                <w:kern w:val="22"/>
                <w:sz w:val="20"/>
                <w:szCs w:val="20"/>
              </w:rPr>
            </w:pPr>
            <w:r w:rsidRPr="003075B3">
              <w:rPr>
                <w:kern w:val="22"/>
                <w:sz w:val="20"/>
                <w:szCs w:val="20"/>
              </w:rPr>
              <w:t>Existing legislation, regulations and guidelines for implementing the Protocol, as well as information required by Parties for the advance informed agreement procedure (Article 20, paragraph 3 (a))</w:t>
            </w:r>
          </w:p>
        </w:tc>
        <w:tc>
          <w:tcPr>
            <w:tcW w:w="4659" w:type="dxa"/>
            <w:gridSpan w:val="2"/>
            <w:tcBorders>
              <w:top w:val="nil"/>
              <w:left w:val="single" w:sz="4" w:space="0" w:color="auto"/>
              <w:bottom w:val="single" w:sz="4" w:space="0" w:color="auto"/>
              <w:right w:val="single" w:sz="4" w:space="0" w:color="auto"/>
            </w:tcBorders>
            <w:vAlign w:val="center"/>
            <w:hideMark/>
          </w:tcPr>
          <w:p w14:paraId="1BD0922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and in the BCH</w:t>
            </w:r>
          </w:p>
          <w:p w14:paraId="2B83C3C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not in the BCH</w:t>
            </w:r>
          </w:p>
          <w:p w14:paraId="78FB5CF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only partially available in the BCH</w:t>
            </w:r>
          </w:p>
          <w:p w14:paraId="5E29A91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not available</w:t>
            </w:r>
          </w:p>
        </w:tc>
      </w:tr>
      <w:tr w:rsidR="00376CED" w:rsidRPr="003075B3" w14:paraId="39082340" w14:textId="77777777" w:rsidTr="00725967">
        <w:tc>
          <w:tcPr>
            <w:tcW w:w="4786" w:type="dxa"/>
            <w:tcBorders>
              <w:top w:val="single" w:sz="4" w:space="0" w:color="auto"/>
              <w:left w:val="single" w:sz="4" w:space="0" w:color="auto"/>
              <w:bottom w:val="single" w:sz="4" w:space="0" w:color="auto"/>
              <w:right w:val="single" w:sz="4" w:space="0" w:color="auto"/>
            </w:tcBorders>
            <w:vAlign w:val="center"/>
            <w:hideMark/>
          </w:tcPr>
          <w:p w14:paraId="0A1FF895" w14:textId="77777777" w:rsidR="00376CED" w:rsidRPr="003075B3" w:rsidRDefault="00376CED" w:rsidP="00376CED">
            <w:pPr>
              <w:numPr>
                <w:ilvl w:val="0"/>
                <w:numId w:val="49"/>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rPr>
                <w:kern w:val="22"/>
                <w:sz w:val="20"/>
                <w:szCs w:val="20"/>
              </w:rPr>
            </w:pPr>
            <w:r w:rsidRPr="003075B3">
              <w:rPr>
                <w:kern w:val="22"/>
                <w:sz w:val="20"/>
                <w:szCs w:val="20"/>
              </w:rPr>
              <w:t>Legislation, regulations and guidelines applicable to the import of LMOs intended for direct use as food or feed, or for processing (Article 11, paragraph 5)</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0790130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and in the BCH</w:t>
            </w:r>
          </w:p>
          <w:p w14:paraId="3D3664B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not in the BCH</w:t>
            </w:r>
          </w:p>
          <w:p w14:paraId="6AC24EF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only partially available in the BCH</w:t>
            </w:r>
          </w:p>
          <w:p w14:paraId="3B5B4F9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not available</w:t>
            </w:r>
          </w:p>
        </w:tc>
      </w:tr>
      <w:tr w:rsidR="00376CED" w:rsidRPr="003075B3" w14:paraId="1C15F962" w14:textId="77777777" w:rsidTr="00725967">
        <w:tc>
          <w:tcPr>
            <w:tcW w:w="4786" w:type="dxa"/>
            <w:tcBorders>
              <w:top w:val="single" w:sz="4" w:space="0" w:color="auto"/>
              <w:left w:val="single" w:sz="4" w:space="0" w:color="auto"/>
              <w:bottom w:val="single" w:sz="4" w:space="0" w:color="auto"/>
              <w:right w:val="single" w:sz="4" w:space="0" w:color="auto"/>
            </w:tcBorders>
            <w:vAlign w:val="center"/>
            <w:hideMark/>
          </w:tcPr>
          <w:p w14:paraId="083D2339" w14:textId="77777777" w:rsidR="00376CED" w:rsidRPr="003075B3" w:rsidRDefault="00376CED" w:rsidP="00376CED">
            <w:pPr>
              <w:numPr>
                <w:ilvl w:val="0"/>
                <w:numId w:val="49"/>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rPr>
                <w:kern w:val="22"/>
                <w:sz w:val="20"/>
                <w:szCs w:val="20"/>
              </w:rPr>
            </w:pPr>
            <w:r w:rsidRPr="003075B3">
              <w:rPr>
                <w:kern w:val="22"/>
                <w:sz w:val="20"/>
                <w:szCs w:val="20"/>
              </w:rPr>
              <w:t>Bilateral, multilateral and regional agreements and arrangements (Article 14, paragraph 2, and Article 20, paragraph 3 (b))</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2C7CF46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and in the BCH</w:t>
            </w:r>
          </w:p>
          <w:p w14:paraId="50BA1F0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not in the BCH</w:t>
            </w:r>
          </w:p>
          <w:p w14:paraId="0F459ED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only partially available in the BCH</w:t>
            </w:r>
          </w:p>
          <w:p w14:paraId="7CEC9B7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not available</w:t>
            </w:r>
          </w:p>
        </w:tc>
      </w:tr>
      <w:tr w:rsidR="00376CED" w:rsidRPr="003075B3" w14:paraId="25EC40F6" w14:textId="77777777" w:rsidTr="00725967">
        <w:tc>
          <w:tcPr>
            <w:tcW w:w="4786" w:type="dxa"/>
            <w:tcBorders>
              <w:top w:val="single" w:sz="4" w:space="0" w:color="auto"/>
              <w:left w:val="single" w:sz="4" w:space="0" w:color="auto"/>
              <w:bottom w:val="single" w:sz="4" w:space="0" w:color="auto"/>
              <w:right w:val="single" w:sz="4" w:space="0" w:color="auto"/>
            </w:tcBorders>
            <w:vAlign w:val="center"/>
            <w:hideMark/>
          </w:tcPr>
          <w:p w14:paraId="120CD888" w14:textId="77777777" w:rsidR="00376CED" w:rsidRPr="003075B3" w:rsidRDefault="00376CED" w:rsidP="00376CED">
            <w:pPr>
              <w:numPr>
                <w:ilvl w:val="0"/>
                <w:numId w:val="49"/>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rPr>
                <w:kern w:val="22"/>
                <w:sz w:val="20"/>
                <w:szCs w:val="20"/>
              </w:rPr>
            </w:pPr>
            <w:r w:rsidRPr="003075B3">
              <w:rPr>
                <w:kern w:val="22"/>
                <w:sz w:val="20"/>
                <w:szCs w:val="20"/>
              </w:rPr>
              <w:t>Contact details for competent national authorities (Article 19, paragraphs 2 and 3), national focal points (Article 19, paragraphs 1 and 3), and emergency contacts (Article 17, paragraph 3 (e))</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11DB882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and in the BCH</w:t>
            </w:r>
          </w:p>
          <w:p w14:paraId="2E0373E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not in the BCH</w:t>
            </w:r>
          </w:p>
          <w:p w14:paraId="5582F53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only partially available in the BCH</w:t>
            </w:r>
          </w:p>
          <w:p w14:paraId="1C05CF3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not available</w:t>
            </w:r>
          </w:p>
        </w:tc>
      </w:tr>
      <w:tr w:rsidR="00376CED" w:rsidRPr="003075B3" w14:paraId="2B90528D" w14:textId="77777777" w:rsidTr="00725967">
        <w:tc>
          <w:tcPr>
            <w:tcW w:w="4786" w:type="dxa"/>
            <w:tcBorders>
              <w:top w:val="single" w:sz="4" w:space="0" w:color="auto"/>
              <w:left w:val="single" w:sz="4" w:space="0" w:color="auto"/>
              <w:bottom w:val="single" w:sz="4" w:space="0" w:color="auto"/>
              <w:right w:val="single" w:sz="4" w:space="0" w:color="auto"/>
            </w:tcBorders>
            <w:vAlign w:val="center"/>
            <w:hideMark/>
          </w:tcPr>
          <w:p w14:paraId="7384E31F" w14:textId="77777777" w:rsidR="00376CED" w:rsidRPr="003075B3" w:rsidRDefault="00376CED" w:rsidP="00376CED">
            <w:pPr>
              <w:numPr>
                <w:ilvl w:val="0"/>
                <w:numId w:val="49"/>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rPr>
                <w:kern w:val="22"/>
                <w:sz w:val="20"/>
                <w:szCs w:val="20"/>
              </w:rPr>
            </w:pPr>
            <w:r w:rsidRPr="003075B3">
              <w:rPr>
                <w:kern w:val="22"/>
                <w:sz w:val="20"/>
                <w:szCs w:val="20"/>
              </w:rPr>
              <w:t>Decisions by a Party regarding transit of LMOs (Article 6, paragraph 1)</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4C0A209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and in the BCH</w:t>
            </w:r>
          </w:p>
          <w:p w14:paraId="3B90EBF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not in the BCH</w:t>
            </w:r>
          </w:p>
          <w:p w14:paraId="41B8410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only partially available in the BCH</w:t>
            </w:r>
          </w:p>
          <w:p w14:paraId="54A3D0D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not available</w:t>
            </w:r>
          </w:p>
        </w:tc>
      </w:tr>
      <w:tr w:rsidR="00376CED" w:rsidRPr="003075B3" w14:paraId="3F7C0ED3" w14:textId="77777777" w:rsidTr="00725967">
        <w:tc>
          <w:tcPr>
            <w:tcW w:w="4786" w:type="dxa"/>
            <w:tcBorders>
              <w:top w:val="single" w:sz="4" w:space="0" w:color="auto"/>
              <w:left w:val="single" w:sz="4" w:space="0" w:color="auto"/>
              <w:bottom w:val="single" w:sz="4" w:space="0" w:color="auto"/>
              <w:right w:val="single" w:sz="4" w:space="0" w:color="auto"/>
            </w:tcBorders>
            <w:vAlign w:val="center"/>
            <w:hideMark/>
          </w:tcPr>
          <w:p w14:paraId="5ABBC1C3" w14:textId="77777777" w:rsidR="00376CED" w:rsidRPr="003075B3" w:rsidRDefault="00376CED" w:rsidP="00376CED">
            <w:pPr>
              <w:numPr>
                <w:ilvl w:val="0"/>
                <w:numId w:val="49"/>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rPr>
                <w:kern w:val="22"/>
                <w:sz w:val="20"/>
                <w:szCs w:val="20"/>
              </w:rPr>
            </w:pPr>
            <w:r w:rsidRPr="003075B3">
              <w:rPr>
                <w:kern w:val="22"/>
                <w:sz w:val="20"/>
                <w:szCs w:val="20"/>
              </w:rPr>
              <w:t>Decisions by a Party regarding import of LMOs for contained use (Article 6, paragraph 2)</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70054E2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and in the BCH</w:t>
            </w:r>
          </w:p>
          <w:p w14:paraId="1694E34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not in the BCH</w:t>
            </w:r>
          </w:p>
          <w:p w14:paraId="68DECC1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only partially available in the BCH</w:t>
            </w:r>
          </w:p>
          <w:p w14:paraId="46477C6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not available</w:t>
            </w:r>
          </w:p>
        </w:tc>
      </w:tr>
      <w:tr w:rsidR="00376CED" w:rsidRPr="003075B3" w14:paraId="57584A5F" w14:textId="77777777" w:rsidTr="00725967">
        <w:tc>
          <w:tcPr>
            <w:tcW w:w="4786" w:type="dxa"/>
            <w:tcBorders>
              <w:top w:val="single" w:sz="4" w:space="0" w:color="auto"/>
              <w:left w:val="single" w:sz="4" w:space="0" w:color="auto"/>
              <w:bottom w:val="single" w:sz="4" w:space="0" w:color="auto"/>
              <w:right w:val="single" w:sz="4" w:space="0" w:color="auto"/>
            </w:tcBorders>
            <w:vAlign w:val="center"/>
            <w:hideMark/>
          </w:tcPr>
          <w:p w14:paraId="15519038" w14:textId="77777777" w:rsidR="00376CED" w:rsidRPr="003075B3" w:rsidRDefault="00376CED" w:rsidP="00376CED">
            <w:pPr>
              <w:numPr>
                <w:ilvl w:val="0"/>
                <w:numId w:val="49"/>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rPr>
                <w:kern w:val="22"/>
                <w:sz w:val="20"/>
                <w:szCs w:val="20"/>
              </w:rPr>
            </w:pPr>
            <w:r w:rsidRPr="003075B3">
              <w:rPr>
                <w:kern w:val="22"/>
                <w:sz w:val="20"/>
                <w:szCs w:val="20"/>
              </w:rPr>
              <w:t xml:space="preserve">Notifications regarding the release under your country’s jurisdiction that leads, or </w:t>
            </w:r>
            <w:r w:rsidRPr="003075B3">
              <w:rPr>
                <w:kern w:val="22"/>
                <w:sz w:val="20"/>
                <w:szCs w:val="20"/>
              </w:rPr>
              <w:lastRenderedPageBreak/>
              <w:t xml:space="preserve">may lead, to an unintentional transboundary movement of </w:t>
            </w:r>
            <w:proofErr w:type="gramStart"/>
            <w:r w:rsidRPr="003075B3">
              <w:rPr>
                <w:kern w:val="22"/>
                <w:sz w:val="20"/>
                <w:szCs w:val="20"/>
              </w:rPr>
              <w:t>a</w:t>
            </w:r>
            <w:proofErr w:type="gramEnd"/>
            <w:r w:rsidRPr="003075B3">
              <w:rPr>
                <w:kern w:val="22"/>
                <w:sz w:val="20"/>
                <w:szCs w:val="20"/>
              </w:rPr>
              <w:t xml:space="preserve"> LMO that is likely to have significant adverse effects on biological diversity (Article 17, paragraph 1)</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7516667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kern w:val="22"/>
                <w:sz w:val="20"/>
                <w:szCs w:val="20"/>
              </w:rPr>
            </w:pPr>
            <w:r w:rsidRPr="003075B3">
              <w:rPr>
                <w:kern w:val="22"/>
                <w:sz w:val="20"/>
                <w:szCs w:val="20"/>
              </w:rPr>
              <w:lastRenderedPageBreak/>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and in the BCH</w:t>
            </w:r>
          </w:p>
          <w:p w14:paraId="7765F74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lastRenderedPageBreak/>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not in the BCH</w:t>
            </w:r>
          </w:p>
          <w:p w14:paraId="1DCCA8B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only partially available in the BCH</w:t>
            </w:r>
          </w:p>
          <w:p w14:paraId="4F71AF2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not available</w:t>
            </w:r>
          </w:p>
        </w:tc>
      </w:tr>
      <w:tr w:rsidR="00376CED" w:rsidRPr="003075B3" w14:paraId="61CA0AAC" w14:textId="77777777" w:rsidTr="00725967">
        <w:tc>
          <w:tcPr>
            <w:tcW w:w="4786" w:type="dxa"/>
            <w:tcBorders>
              <w:top w:val="single" w:sz="4" w:space="0" w:color="auto"/>
              <w:left w:val="single" w:sz="4" w:space="0" w:color="auto"/>
              <w:bottom w:val="single" w:sz="4" w:space="0" w:color="auto"/>
              <w:right w:val="single" w:sz="4" w:space="0" w:color="auto"/>
            </w:tcBorders>
            <w:vAlign w:val="center"/>
            <w:hideMark/>
          </w:tcPr>
          <w:p w14:paraId="7129FFFE" w14:textId="77777777" w:rsidR="00376CED" w:rsidRPr="003075B3" w:rsidRDefault="00376CED" w:rsidP="00376CED">
            <w:pPr>
              <w:numPr>
                <w:ilvl w:val="0"/>
                <w:numId w:val="49"/>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rPr>
                <w:kern w:val="22"/>
                <w:sz w:val="20"/>
                <w:szCs w:val="20"/>
              </w:rPr>
            </w:pPr>
            <w:r w:rsidRPr="003075B3">
              <w:rPr>
                <w:kern w:val="22"/>
                <w:sz w:val="20"/>
                <w:szCs w:val="20"/>
              </w:rPr>
              <w:lastRenderedPageBreak/>
              <w:t>Information concerning cases of illegal transboundary movements of LMOs (Article 25, paragraph 3)</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734E992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and in the BCH</w:t>
            </w:r>
          </w:p>
          <w:p w14:paraId="29572E6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not in the BCH</w:t>
            </w:r>
          </w:p>
          <w:p w14:paraId="109B5A1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only partially available in the BCH</w:t>
            </w:r>
          </w:p>
          <w:p w14:paraId="32DCF5A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not available</w:t>
            </w:r>
          </w:p>
        </w:tc>
      </w:tr>
      <w:tr w:rsidR="00376CED" w:rsidRPr="003075B3" w14:paraId="7BAD9284" w14:textId="77777777" w:rsidTr="00725967">
        <w:tc>
          <w:tcPr>
            <w:tcW w:w="4786" w:type="dxa"/>
            <w:tcBorders>
              <w:top w:val="single" w:sz="4" w:space="0" w:color="auto"/>
              <w:left w:val="single" w:sz="4" w:space="0" w:color="auto"/>
              <w:bottom w:val="single" w:sz="4" w:space="0" w:color="auto"/>
              <w:right w:val="single" w:sz="4" w:space="0" w:color="auto"/>
            </w:tcBorders>
            <w:vAlign w:val="center"/>
            <w:hideMark/>
          </w:tcPr>
          <w:p w14:paraId="1F0848FF" w14:textId="77777777" w:rsidR="00376CED" w:rsidRPr="003075B3" w:rsidRDefault="00376CED" w:rsidP="00376CED">
            <w:pPr>
              <w:numPr>
                <w:ilvl w:val="0"/>
                <w:numId w:val="49"/>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rPr>
                <w:kern w:val="22"/>
                <w:sz w:val="20"/>
                <w:szCs w:val="20"/>
              </w:rPr>
            </w:pPr>
            <w:r w:rsidRPr="003075B3">
              <w:rPr>
                <w:kern w:val="22"/>
                <w:sz w:val="20"/>
                <w:szCs w:val="20"/>
              </w:rPr>
              <w:t>Decisions regarding the importation of LMOs for intentional introduction into the environment (Article 10, paragraph 3)</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1BE5105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and in the BCH</w:t>
            </w:r>
          </w:p>
          <w:p w14:paraId="3DAFB75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not in the BCH</w:t>
            </w:r>
          </w:p>
          <w:p w14:paraId="1918414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only partially available in the BCH</w:t>
            </w:r>
          </w:p>
          <w:p w14:paraId="528CB94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not available</w:t>
            </w:r>
          </w:p>
        </w:tc>
      </w:tr>
      <w:tr w:rsidR="00376CED" w:rsidRPr="003075B3" w14:paraId="770249F8" w14:textId="77777777" w:rsidTr="00725967">
        <w:tc>
          <w:tcPr>
            <w:tcW w:w="4786" w:type="dxa"/>
            <w:tcBorders>
              <w:top w:val="single" w:sz="4" w:space="0" w:color="auto"/>
              <w:left w:val="single" w:sz="4" w:space="0" w:color="auto"/>
              <w:bottom w:val="single" w:sz="4" w:space="0" w:color="auto"/>
              <w:right w:val="single" w:sz="4" w:space="0" w:color="auto"/>
            </w:tcBorders>
            <w:vAlign w:val="center"/>
            <w:hideMark/>
          </w:tcPr>
          <w:p w14:paraId="4CDAC019" w14:textId="77777777" w:rsidR="00376CED" w:rsidRPr="003075B3" w:rsidRDefault="00376CED" w:rsidP="00376CED">
            <w:pPr>
              <w:numPr>
                <w:ilvl w:val="0"/>
                <w:numId w:val="49"/>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rPr>
                <w:kern w:val="22"/>
                <w:sz w:val="20"/>
                <w:szCs w:val="20"/>
              </w:rPr>
            </w:pPr>
            <w:r w:rsidRPr="003075B3">
              <w:rPr>
                <w:kern w:val="22"/>
                <w:sz w:val="20"/>
                <w:szCs w:val="20"/>
              </w:rPr>
              <w:t>Information on the application of domestic regulations to specific imports of LMOs (Article 14, paragraph 4)</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7F08598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and in the BCH</w:t>
            </w:r>
          </w:p>
          <w:p w14:paraId="7E5F265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not in the BCH</w:t>
            </w:r>
          </w:p>
          <w:p w14:paraId="234FE97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only partially available in the BCH</w:t>
            </w:r>
          </w:p>
          <w:p w14:paraId="4BBB99A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not available</w:t>
            </w:r>
          </w:p>
        </w:tc>
      </w:tr>
      <w:tr w:rsidR="00376CED" w:rsidRPr="003075B3" w14:paraId="1F9CDF93" w14:textId="77777777" w:rsidTr="00725967">
        <w:tc>
          <w:tcPr>
            <w:tcW w:w="4786" w:type="dxa"/>
            <w:tcBorders>
              <w:top w:val="single" w:sz="4" w:space="0" w:color="auto"/>
              <w:left w:val="single" w:sz="4" w:space="0" w:color="auto"/>
              <w:bottom w:val="single" w:sz="4" w:space="0" w:color="auto"/>
              <w:right w:val="single" w:sz="4" w:space="0" w:color="auto"/>
            </w:tcBorders>
            <w:vAlign w:val="center"/>
            <w:hideMark/>
          </w:tcPr>
          <w:p w14:paraId="2DDCB90A" w14:textId="77777777" w:rsidR="00376CED" w:rsidRPr="003075B3" w:rsidRDefault="00376CED" w:rsidP="00376CED">
            <w:pPr>
              <w:numPr>
                <w:ilvl w:val="0"/>
                <w:numId w:val="49"/>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rPr>
                <w:kern w:val="22"/>
                <w:sz w:val="20"/>
                <w:szCs w:val="20"/>
              </w:rPr>
            </w:pPr>
            <w:r w:rsidRPr="003075B3">
              <w:rPr>
                <w:kern w:val="22"/>
                <w:sz w:val="20"/>
                <w:szCs w:val="20"/>
              </w:rPr>
              <w:t>Decisions regarding the domestic use of LMOs that may be subject to transboundary movement for direct use as food or feed, or for processing (Article 11, paragraph 1)</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07B3778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and in the BCH</w:t>
            </w:r>
          </w:p>
          <w:p w14:paraId="0AFDF13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not in the BCH</w:t>
            </w:r>
          </w:p>
          <w:p w14:paraId="4B1B2C5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only partially available in the BCH</w:t>
            </w:r>
          </w:p>
          <w:p w14:paraId="6C80ADE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not available</w:t>
            </w:r>
          </w:p>
        </w:tc>
      </w:tr>
      <w:tr w:rsidR="00376CED" w:rsidRPr="003075B3" w14:paraId="7963747D" w14:textId="77777777" w:rsidTr="00725967">
        <w:tc>
          <w:tcPr>
            <w:tcW w:w="4786" w:type="dxa"/>
            <w:tcBorders>
              <w:top w:val="single" w:sz="4" w:space="0" w:color="auto"/>
              <w:left w:val="single" w:sz="4" w:space="0" w:color="auto"/>
              <w:bottom w:val="single" w:sz="4" w:space="0" w:color="auto"/>
              <w:right w:val="single" w:sz="4" w:space="0" w:color="auto"/>
            </w:tcBorders>
            <w:vAlign w:val="center"/>
            <w:hideMark/>
          </w:tcPr>
          <w:p w14:paraId="6039BDBA" w14:textId="77777777" w:rsidR="00376CED" w:rsidRPr="003075B3" w:rsidRDefault="00376CED" w:rsidP="00376CED">
            <w:pPr>
              <w:numPr>
                <w:ilvl w:val="0"/>
                <w:numId w:val="49"/>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rPr>
                <w:kern w:val="22"/>
                <w:sz w:val="20"/>
                <w:szCs w:val="20"/>
              </w:rPr>
            </w:pPr>
            <w:r w:rsidRPr="003075B3">
              <w:rPr>
                <w:kern w:val="22"/>
                <w:sz w:val="20"/>
                <w:szCs w:val="20"/>
              </w:rPr>
              <w:t>Decisions regarding the import of LMOs intended for direct use as food or feed, or for processing that are taken under domestic regulatory frameworks (Article 11, paragraph 4) or in accordance with Annex III to the Protocol (Article 11, paragraph 6)</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223072A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and in the BCH</w:t>
            </w:r>
          </w:p>
          <w:p w14:paraId="37ABEBC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not in the BCH</w:t>
            </w:r>
          </w:p>
          <w:p w14:paraId="5980189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only partially available in the BCH</w:t>
            </w:r>
          </w:p>
          <w:p w14:paraId="223C2BA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not available</w:t>
            </w:r>
          </w:p>
        </w:tc>
      </w:tr>
      <w:tr w:rsidR="00376CED" w:rsidRPr="003075B3" w14:paraId="7FF756B2" w14:textId="77777777" w:rsidTr="00725967">
        <w:tc>
          <w:tcPr>
            <w:tcW w:w="4786" w:type="dxa"/>
            <w:tcBorders>
              <w:top w:val="single" w:sz="4" w:space="0" w:color="auto"/>
              <w:left w:val="single" w:sz="4" w:space="0" w:color="auto"/>
              <w:bottom w:val="single" w:sz="4" w:space="0" w:color="auto"/>
              <w:right w:val="single" w:sz="4" w:space="0" w:color="auto"/>
            </w:tcBorders>
            <w:vAlign w:val="center"/>
            <w:hideMark/>
          </w:tcPr>
          <w:p w14:paraId="7778E2E8" w14:textId="77777777" w:rsidR="00376CED" w:rsidRPr="003075B3" w:rsidRDefault="00376CED" w:rsidP="00376CED">
            <w:pPr>
              <w:numPr>
                <w:ilvl w:val="0"/>
                <w:numId w:val="49"/>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rPr>
                <w:kern w:val="22"/>
                <w:sz w:val="20"/>
                <w:szCs w:val="20"/>
              </w:rPr>
            </w:pPr>
            <w:r w:rsidRPr="003075B3">
              <w:rPr>
                <w:kern w:val="22"/>
                <w:sz w:val="20"/>
                <w:szCs w:val="20"/>
              </w:rPr>
              <w:t>Declarations regarding the framework to be used for LMOs intended for direct use as food or feed, or for processing (Article 11, paragraph 6)</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73A5D61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and in the BCH</w:t>
            </w:r>
          </w:p>
          <w:p w14:paraId="3C131B4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not in the BCH</w:t>
            </w:r>
          </w:p>
          <w:p w14:paraId="440A546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only partially available in the BCH</w:t>
            </w:r>
          </w:p>
          <w:p w14:paraId="5B55A71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not available</w:t>
            </w:r>
          </w:p>
        </w:tc>
      </w:tr>
      <w:tr w:rsidR="00376CED" w:rsidRPr="003075B3" w14:paraId="113D0149" w14:textId="77777777" w:rsidTr="00725967">
        <w:tc>
          <w:tcPr>
            <w:tcW w:w="4786" w:type="dxa"/>
            <w:tcBorders>
              <w:top w:val="single" w:sz="4" w:space="0" w:color="auto"/>
              <w:left w:val="single" w:sz="4" w:space="0" w:color="auto"/>
              <w:bottom w:val="single" w:sz="4" w:space="0" w:color="auto"/>
              <w:right w:val="single" w:sz="4" w:space="0" w:color="auto"/>
            </w:tcBorders>
            <w:vAlign w:val="center"/>
            <w:hideMark/>
          </w:tcPr>
          <w:p w14:paraId="4EC5DFDA" w14:textId="77777777" w:rsidR="00376CED" w:rsidRPr="003075B3" w:rsidRDefault="00376CED" w:rsidP="00376CED">
            <w:pPr>
              <w:numPr>
                <w:ilvl w:val="0"/>
                <w:numId w:val="49"/>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rPr>
                <w:kern w:val="22"/>
                <w:sz w:val="20"/>
                <w:szCs w:val="20"/>
              </w:rPr>
            </w:pPr>
            <w:r w:rsidRPr="003075B3">
              <w:rPr>
                <w:kern w:val="22"/>
                <w:sz w:val="20"/>
                <w:szCs w:val="20"/>
              </w:rPr>
              <w:lastRenderedPageBreak/>
              <w:t>Review and change of decisions regarding intentional transboundary movements of LMOs (Article 12, paragraph 1)</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18298B5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and in the BCH</w:t>
            </w:r>
          </w:p>
          <w:p w14:paraId="0CD30D4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not in the BCH</w:t>
            </w:r>
          </w:p>
          <w:p w14:paraId="17B0342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only partially available in the BCH</w:t>
            </w:r>
          </w:p>
          <w:p w14:paraId="5DCCB4B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not available</w:t>
            </w:r>
          </w:p>
        </w:tc>
      </w:tr>
      <w:tr w:rsidR="00376CED" w:rsidRPr="003075B3" w14:paraId="26445501" w14:textId="77777777" w:rsidTr="00725967">
        <w:tc>
          <w:tcPr>
            <w:tcW w:w="4786" w:type="dxa"/>
            <w:tcBorders>
              <w:top w:val="single" w:sz="4" w:space="0" w:color="auto"/>
              <w:left w:val="single" w:sz="4" w:space="0" w:color="auto"/>
              <w:bottom w:val="single" w:sz="4" w:space="0" w:color="auto"/>
              <w:right w:val="single" w:sz="4" w:space="0" w:color="auto"/>
            </w:tcBorders>
            <w:vAlign w:val="center"/>
            <w:hideMark/>
          </w:tcPr>
          <w:p w14:paraId="6C670138" w14:textId="77777777" w:rsidR="00376CED" w:rsidRPr="003075B3" w:rsidRDefault="00376CED" w:rsidP="00376CED">
            <w:pPr>
              <w:numPr>
                <w:ilvl w:val="0"/>
                <w:numId w:val="49"/>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rPr>
                <w:kern w:val="22"/>
                <w:sz w:val="20"/>
                <w:szCs w:val="20"/>
              </w:rPr>
            </w:pPr>
            <w:r w:rsidRPr="003075B3">
              <w:rPr>
                <w:kern w:val="22"/>
                <w:sz w:val="20"/>
                <w:szCs w:val="20"/>
              </w:rPr>
              <w:t>Cases where intentional transboundary movement may take place at the same time as the movement is notified to the Party of import (Article 13, paragraph 1 (a))</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46A6A7E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and in the BCH</w:t>
            </w:r>
          </w:p>
          <w:p w14:paraId="0284D5D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not in the BCH</w:t>
            </w:r>
          </w:p>
          <w:p w14:paraId="3D0C490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only partially available in the BCH</w:t>
            </w:r>
          </w:p>
          <w:p w14:paraId="1B5BA7E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not available</w:t>
            </w:r>
          </w:p>
        </w:tc>
      </w:tr>
      <w:tr w:rsidR="00376CED" w:rsidRPr="003075B3" w14:paraId="7F08C4FE" w14:textId="77777777" w:rsidTr="00725967">
        <w:tc>
          <w:tcPr>
            <w:tcW w:w="4786" w:type="dxa"/>
            <w:tcBorders>
              <w:top w:val="single" w:sz="4" w:space="0" w:color="auto"/>
              <w:left w:val="single" w:sz="4" w:space="0" w:color="auto"/>
              <w:bottom w:val="single" w:sz="4" w:space="0" w:color="auto"/>
              <w:right w:val="single" w:sz="4" w:space="0" w:color="auto"/>
            </w:tcBorders>
            <w:vAlign w:val="center"/>
            <w:hideMark/>
          </w:tcPr>
          <w:p w14:paraId="267DE147" w14:textId="77777777" w:rsidR="00376CED" w:rsidRPr="003075B3" w:rsidRDefault="00376CED" w:rsidP="00376CED">
            <w:pPr>
              <w:numPr>
                <w:ilvl w:val="0"/>
                <w:numId w:val="49"/>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rPr>
                <w:kern w:val="22"/>
                <w:sz w:val="20"/>
                <w:szCs w:val="20"/>
              </w:rPr>
            </w:pPr>
            <w:r w:rsidRPr="003075B3">
              <w:rPr>
                <w:kern w:val="22"/>
                <w:sz w:val="20"/>
                <w:szCs w:val="20"/>
              </w:rPr>
              <w:t>LMOs granted exemption status by each Party (Article 13, paragraph 1 (b))</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4638396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and in the BCH</w:t>
            </w:r>
          </w:p>
          <w:p w14:paraId="76002C9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not in the BCH</w:t>
            </w:r>
          </w:p>
          <w:p w14:paraId="7FBB91D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only partially available in the BCH</w:t>
            </w:r>
          </w:p>
          <w:p w14:paraId="59D5ED9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not available</w:t>
            </w:r>
          </w:p>
        </w:tc>
      </w:tr>
      <w:tr w:rsidR="00376CED" w:rsidRPr="003075B3" w14:paraId="7A79FA42" w14:textId="77777777" w:rsidTr="00725967">
        <w:tc>
          <w:tcPr>
            <w:tcW w:w="4786" w:type="dxa"/>
            <w:tcBorders>
              <w:top w:val="single" w:sz="4" w:space="0" w:color="auto"/>
              <w:left w:val="single" w:sz="4" w:space="0" w:color="auto"/>
              <w:bottom w:val="single" w:sz="4" w:space="0" w:color="auto"/>
              <w:right w:val="single" w:sz="4" w:space="0" w:color="auto"/>
            </w:tcBorders>
            <w:vAlign w:val="center"/>
            <w:hideMark/>
          </w:tcPr>
          <w:p w14:paraId="0E7A503E" w14:textId="77777777" w:rsidR="00376CED" w:rsidRPr="003075B3" w:rsidRDefault="00376CED" w:rsidP="00376CED">
            <w:pPr>
              <w:numPr>
                <w:ilvl w:val="0"/>
                <w:numId w:val="49"/>
              </w:numPr>
              <w:suppressLineNumbers/>
              <w:shd w:val="clear" w:color="auto" w:fill="FFFFFF" w:themeFill="background1"/>
              <w:tabs>
                <w:tab w:val="clear" w:pos="720"/>
                <w:tab w:val="num" w:pos="540"/>
              </w:tabs>
              <w:suppressAutoHyphens/>
              <w:kinsoku w:val="0"/>
              <w:overflowPunct w:val="0"/>
              <w:autoSpaceDE w:val="0"/>
              <w:autoSpaceDN w:val="0"/>
              <w:adjustRightInd w:val="0"/>
              <w:snapToGrid w:val="0"/>
              <w:spacing w:before="120" w:after="120"/>
              <w:ind w:left="540" w:right="491" w:hanging="540"/>
              <w:rPr>
                <w:kern w:val="22"/>
                <w:sz w:val="20"/>
                <w:szCs w:val="20"/>
              </w:rPr>
            </w:pPr>
            <w:r w:rsidRPr="003075B3">
              <w:rPr>
                <w:kern w:val="22"/>
                <w:sz w:val="20"/>
                <w:szCs w:val="20"/>
              </w:rPr>
              <w:t>Summaries of risk assessments or environmental reviews of LMOs generated by regulatory processes and relevant information regarding products thereof (Article 20, paragraph 3 (c))</w:t>
            </w:r>
          </w:p>
        </w:tc>
        <w:tc>
          <w:tcPr>
            <w:tcW w:w="4659" w:type="dxa"/>
            <w:gridSpan w:val="2"/>
            <w:tcBorders>
              <w:top w:val="single" w:sz="4" w:space="0" w:color="auto"/>
              <w:left w:val="single" w:sz="4" w:space="0" w:color="auto"/>
              <w:bottom w:val="single" w:sz="4" w:space="0" w:color="auto"/>
              <w:right w:val="single" w:sz="4" w:space="0" w:color="auto"/>
            </w:tcBorders>
            <w:vAlign w:val="center"/>
            <w:hideMark/>
          </w:tcPr>
          <w:p w14:paraId="056519B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and in the BCH</w:t>
            </w:r>
          </w:p>
          <w:p w14:paraId="1297538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not in the BCH</w:t>
            </w:r>
          </w:p>
          <w:p w14:paraId="526B11D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available but only partially available in the BCH</w:t>
            </w:r>
          </w:p>
          <w:p w14:paraId="7097613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9"/>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not available</w:t>
            </w:r>
          </w:p>
        </w:tc>
      </w:tr>
      <w:tr w:rsidR="00376CED" w:rsidRPr="003075B3" w14:paraId="2662FD2C" w14:textId="77777777" w:rsidTr="00725967">
        <w:tc>
          <w:tcPr>
            <w:tcW w:w="9445" w:type="dxa"/>
            <w:gridSpan w:val="3"/>
            <w:tcBorders>
              <w:top w:val="single" w:sz="4" w:space="0" w:color="auto"/>
              <w:right w:val="single" w:sz="4" w:space="0" w:color="auto"/>
            </w:tcBorders>
            <w:vAlign w:val="center"/>
          </w:tcPr>
          <w:p w14:paraId="3482B07C"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Please provide a brief explanation if you answered that the information is available</w:t>
            </w:r>
            <w:r w:rsidRPr="003075B3">
              <w:rPr>
                <w:i/>
                <w:kern w:val="22"/>
                <w:sz w:val="20"/>
                <w:szCs w:val="20"/>
              </w:rPr>
              <w:t xml:space="preserve"> but not in the BCH </w:t>
            </w:r>
            <w:r w:rsidRPr="003075B3">
              <w:rPr>
                <w:kern w:val="22"/>
                <w:sz w:val="20"/>
                <w:szCs w:val="20"/>
              </w:rPr>
              <w:t>or</w:t>
            </w:r>
            <w:r w:rsidRPr="003075B3">
              <w:rPr>
                <w:i/>
                <w:kern w:val="22"/>
                <w:sz w:val="20"/>
                <w:szCs w:val="20"/>
              </w:rPr>
              <w:t xml:space="preserve"> only partially available in the BCH </w:t>
            </w:r>
            <w:r w:rsidRPr="003075B3">
              <w:rPr>
                <w:kern w:val="22"/>
                <w:sz w:val="20"/>
                <w:szCs w:val="20"/>
              </w:rPr>
              <w:t>to any item under question 112:</w:t>
            </w:r>
          </w:p>
          <w:p w14:paraId="14B95E4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r w:rsidR="00376CED" w:rsidRPr="003075B3" w14:paraId="264EBB2F" w14:textId="77777777" w:rsidTr="00725967">
        <w:tc>
          <w:tcPr>
            <w:tcW w:w="4786" w:type="dxa"/>
            <w:tcBorders>
              <w:top w:val="single" w:sz="4" w:space="0" w:color="auto"/>
            </w:tcBorders>
            <w:vAlign w:val="center"/>
            <w:hideMark/>
          </w:tcPr>
          <w:p w14:paraId="3E9754FB"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Has your country established a mechanism for strengthening the capacity of the BCH national focal point to perform its administrative functions?</w:t>
            </w:r>
          </w:p>
        </w:tc>
        <w:tc>
          <w:tcPr>
            <w:tcW w:w="4659" w:type="dxa"/>
            <w:gridSpan w:val="2"/>
            <w:tcBorders>
              <w:top w:val="single" w:sz="4" w:space="0" w:color="auto"/>
              <w:right w:val="single" w:sz="4" w:space="0" w:color="auto"/>
            </w:tcBorders>
            <w:vAlign w:val="center"/>
            <w:hideMark/>
          </w:tcPr>
          <w:p w14:paraId="4EA3EC6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01B1601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0CBF69E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48E692F4" w14:textId="77777777" w:rsidTr="00725967">
        <w:tc>
          <w:tcPr>
            <w:tcW w:w="4786" w:type="dxa"/>
            <w:vAlign w:val="center"/>
            <w:hideMark/>
          </w:tcPr>
          <w:p w14:paraId="356FB2A3"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spacing w:val="-2"/>
                <w:kern w:val="22"/>
                <w:sz w:val="20"/>
                <w:szCs w:val="20"/>
              </w:rPr>
            </w:pPr>
            <w:r w:rsidRPr="003075B3">
              <w:rPr>
                <w:spacing w:val="-2"/>
                <w:kern w:val="22"/>
                <w:sz w:val="20"/>
                <w:szCs w:val="20"/>
              </w:rPr>
              <w:t>Has your country established a mechanism for the coordination among the BCH national focal point, the Cartagena Protocol national focal point, and the competent national authority(</w:t>
            </w:r>
            <w:proofErr w:type="spellStart"/>
            <w:r w:rsidRPr="003075B3">
              <w:rPr>
                <w:spacing w:val="-2"/>
                <w:kern w:val="22"/>
                <w:sz w:val="20"/>
                <w:szCs w:val="20"/>
              </w:rPr>
              <w:t>ies</w:t>
            </w:r>
            <w:proofErr w:type="spellEnd"/>
            <w:r w:rsidRPr="003075B3">
              <w:rPr>
                <w:spacing w:val="-2"/>
                <w:kern w:val="22"/>
                <w:sz w:val="20"/>
                <w:szCs w:val="20"/>
              </w:rPr>
              <w:t>) for making information available to the BCH?</w:t>
            </w:r>
          </w:p>
        </w:tc>
        <w:tc>
          <w:tcPr>
            <w:tcW w:w="4659" w:type="dxa"/>
            <w:gridSpan w:val="2"/>
            <w:tcBorders>
              <w:right w:val="single" w:sz="4" w:space="0" w:color="auto"/>
            </w:tcBorders>
            <w:vAlign w:val="center"/>
            <w:hideMark/>
          </w:tcPr>
          <w:p w14:paraId="1924E72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37C398E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65CEC84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65533628" w14:textId="77777777" w:rsidTr="00725967">
        <w:tc>
          <w:tcPr>
            <w:tcW w:w="4786" w:type="dxa"/>
            <w:shd w:val="clear" w:color="auto" w:fill="auto"/>
            <w:vAlign w:val="center"/>
            <w:hideMark/>
          </w:tcPr>
          <w:p w14:paraId="50A06CD6"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Does your country use the information available in the BCH in its decision-making processes on LMOs?</w:t>
            </w:r>
          </w:p>
        </w:tc>
        <w:tc>
          <w:tcPr>
            <w:tcW w:w="4659" w:type="dxa"/>
            <w:gridSpan w:val="2"/>
            <w:tcBorders>
              <w:right w:val="single" w:sz="4" w:space="0" w:color="auto"/>
            </w:tcBorders>
            <w:shd w:val="clear" w:color="auto" w:fill="auto"/>
            <w:vAlign w:val="center"/>
            <w:hideMark/>
          </w:tcPr>
          <w:p w14:paraId="357C318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always</w:t>
            </w:r>
          </w:p>
          <w:p w14:paraId="78859F9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in some cases</w:t>
            </w:r>
          </w:p>
          <w:p w14:paraId="3948A55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p w14:paraId="32FB14A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Not applicable</w:t>
            </w:r>
            <w:r w:rsidRPr="003075B3">
              <w:rPr>
                <w:bCs/>
                <w:iCs/>
                <w:kern w:val="22"/>
                <w:sz w:val="20"/>
                <w:szCs w:val="20"/>
              </w:rPr>
              <w:t xml:space="preserve"> (no decisions were taken)</w:t>
            </w:r>
          </w:p>
        </w:tc>
      </w:tr>
      <w:tr w:rsidR="00376CED" w:rsidRPr="003075B3" w14:paraId="59624A0E" w14:textId="77777777" w:rsidTr="00725967">
        <w:tc>
          <w:tcPr>
            <w:tcW w:w="4786" w:type="dxa"/>
            <w:vAlign w:val="center"/>
            <w:hideMark/>
          </w:tcPr>
          <w:p w14:paraId="44519C49"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lastRenderedPageBreak/>
              <w:t>Has your country experienced difficulties accessing or using the BCH?</w:t>
            </w:r>
          </w:p>
        </w:tc>
        <w:tc>
          <w:tcPr>
            <w:tcW w:w="4659" w:type="dxa"/>
            <w:gridSpan w:val="2"/>
            <w:tcBorders>
              <w:right w:val="single" w:sz="4" w:space="0" w:color="auto"/>
            </w:tcBorders>
            <w:vAlign w:val="center"/>
            <w:hideMark/>
          </w:tcPr>
          <w:p w14:paraId="09E56AC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715" w:hanging="703"/>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413CED2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65C16A47" w14:textId="77777777" w:rsidTr="00725967">
        <w:tc>
          <w:tcPr>
            <w:tcW w:w="4786" w:type="dxa"/>
            <w:vAlign w:val="center"/>
          </w:tcPr>
          <w:p w14:paraId="2ABFDBF8"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In the current reporting period, how many biosafety-related events (e.g. seminars, workshops, press conferences, educational events) has your country organized?</w:t>
            </w:r>
          </w:p>
        </w:tc>
        <w:tc>
          <w:tcPr>
            <w:tcW w:w="4659" w:type="dxa"/>
            <w:gridSpan w:val="2"/>
            <w:tcBorders>
              <w:right w:val="single" w:sz="4" w:space="0" w:color="auto"/>
            </w:tcBorders>
            <w:vAlign w:val="center"/>
          </w:tcPr>
          <w:p w14:paraId="1D668D9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025395A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4</w:t>
            </w:r>
          </w:p>
          <w:p w14:paraId="5BA1FF4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 to 9</w:t>
            </w:r>
          </w:p>
          <w:p w14:paraId="70CB93D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to 24</w:t>
            </w:r>
          </w:p>
          <w:p w14:paraId="4CF4C89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25 or more</w:t>
            </w:r>
          </w:p>
        </w:tc>
      </w:tr>
      <w:tr w:rsidR="00376CED" w:rsidRPr="003075B3" w14:paraId="401D27D1" w14:textId="77777777" w:rsidTr="00725967">
        <w:tc>
          <w:tcPr>
            <w:tcW w:w="4786" w:type="dxa"/>
            <w:vAlign w:val="center"/>
          </w:tcPr>
          <w:p w14:paraId="481722EC"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In the current reporting period, how many biosafety-related publications has your country published?</w:t>
            </w:r>
          </w:p>
        </w:tc>
        <w:tc>
          <w:tcPr>
            <w:tcW w:w="4659" w:type="dxa"/>
            <w:gridSpan w:val="2"/>
            <w:tcBorders>
              <w:right w:val="single" w:sz="4" w:space="0" w:color="auto"/>
            </w:tcBorders>
            <w:vAlign w:val="center"/>
          </w:tcPr>
          <w:p w14:paraId="3AA39E9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3208AF9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9</w:t>
            </w:r>
          </w:p>
          <w:p w14:paraId="1244594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to 49</w:t>
            </w:r>
          </w:p>
          <w:p w14:paraId="63216EC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50 to 99</w:t>
            </w:r>
          </w:p>
          <w:p w14:paraId="14A2AEE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100 or more</w:t>
            </w:r>
          </w:p>
        </w:tc>
      </w:tr>
      <w:tr w:rsidR="00376CED" w:rsidRPr="003075B3" w14:paraId="49FC8AB2" w14:textId="77777777" w:rsidTr="00725967">
        <w:tc>
          <w:tcPr>
            <w:tcW w:w="9445" w:type="dxa"/>
            <w:gridSpan w:val="3"/>
            <w:tcBorders>
              <w:right w:val="single" w:sz="4" w:space="0" w:color="auto"/>
            </w:tcBorders>
            <w:vAlign w:val="center"/>
            <w:hideMark/>
          </w:tcPr>
          <w:p w14:paraId="398D4A7A"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rPr>
                <w:iCs/>
                <w:kern w:val="22"/>
                <w:sz w:val="20"/>
                <w:szCs w:val="20"/>
              </w:rPr>
            </w:pPr>
            <w:r w:rsidRPr="003075B3">
              <w:rPr>
                <w:kern w:val="22"/>
                <w:sz w:val="20"/>
                <w:szCs w:val="20"/>
              </w:rPr>
              <w:t>Here you may provide further details on the implementation of Article 20 in your country:</w:t>
            </w:r>
          </w:p>
          <w:p w14:paraId="7C6F041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67"/>
              <w:rPr>
                <w:iCs/>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r w:rsidR="00376CED" w:rsidRPr="003075B3" w14:paraId="5619E811" w14:textId="77777777" w:rsidTr="00725967">
        <w:tc>
          <w:tcPr>
            <w:tcW w:w="9445" w:type="dxa"/>
            <w:gridSpan w:val="3"/>
            <w:tcBorders>
              <w:right w:val="single" w:sz="4" w:space="0" w:color="auto"/>
            </w:tcBorders>
            <w:vAlign w:val="center"/>
            <w:hideMark/>
          </w:tcPr>
          <w:p w14:paraId="7861AC3F"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3075B3">
              <w:rPr>
                <w:rFonts w:eastAsia="Arial Unicode MS"/>
                <w:b/>
                <w:bCs/>
                <w:iCs/>
                <w:kern w:val="22"/>
                <w:sz w:val="20"/>
                <w:szCs w:val="20"/>
              </w:rPr>
              <w:t>Article 21 – Confidential information</w:t>
            </w:r>
          </w:p>
        </w:tc>
      </w:tr>
      <w:tr w:rsidR="00376CED" w:rsidRPr="003075B3" w14:paraId="2757D491" w14:textId="77777777" w:rsidTr="00725967">
        <w:tc>
          <w:tcPr>
            <w:tcW w:w="4848" w:type="dxa"/>
            <w:gridSpan w:val="2"/>
            <w:vAlign w:val="center"/>
            <w:hideMark/>
          </w:tcPr>
          <w:p w14:paraId="3AE8C5B1"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Has your country established procedures to protect confidential information received under the Protocol?</w:t>
            </w:r>
          </w:p>
        </w:tc>
        <w:tc>
          <w:tcPr>
            <w:tcW w:w="4597" w:type="dxa"/>
            <w:tcBorders>
              <w:right w:val="single" w:sz="4" w:space="0" w:color="auto"/>
            </w:tcBorders>
            <w:vAlign w:val="center"/>
            <w:hideMark/>
          </w:tcPr>
          <w:p w14:paraId="0EF4F84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66E4D77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742AC1C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No </w:t>
            </w:r>
          </w:p>
        </w:tc>
      </w:tr>
      <w:tr w:rsidR="00376CED" w:rsidRPr="003075B3" w14:paraId="20BA9DE2" w14:textId="77777777" w:rsidTr="00725967">
        <w:tc>
          <w:tcPr>
            <w:tcW w:w="4848" w:type="dxa"/>
            <w:gridSpan w:val="2"/>
            <w:shd w:val="clear" w:color="auto" w:fill="FFFFFF"/>
            <w:vAlign w:val="center"/>
            <w:hideMark/>
          </w:tcPr>
          <w:p w14:paraId="6F829537"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Does your country allow the notifier to identify information that is to be treated as confidential?</w:t>
            </w:r>
          </w:p>
        </w:tc>
        <w:tc>
          <w:tcPr>
            <w:tcW w:w="4597" w:type="dxa"/>
            <w:tcBorders>
              <w:right w:val="single" w:sz="4" w:space="0" w:color="auto"/>
            </w:tcBorders>
            <w:shd w:val="clear" w:color="auto" w:fill="FFFFFF"/>
            <w:vAlign w:val="center"/>
            <w:hideMark/>
          </w:tcPr>
          <w:p w14:paraId="7FA3575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always</w:t>
            </w:r>
          </w:p>
          <w:p w14:paraId="38598D7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In some </w:t>
            </w:r>
            <w:proofErr w:type="gramStart"/>
            <w:r w:rsidRPr="003075B3">
              <w:rPr>
                <w:kern w:val="22"/>
                <w:sz w:val="20"/>
                <w:szCs w:val="20"/>
              </w:rPr>
              <w:t>cases</w:t>
            </w:r>
            <w:proofErr w:type="gramEnd"/>
            <w:r w:rsidRPr="003075B3">
              <w:rPr>
                <w:kern w:val="22"/>
                <w:sz w:val="20"/>
                <w:szCs w:val="20"/>
              </w:rPr>
              <w:t xml:space="preserve"> only</w:t>
            </w:r>
          </w:p>
          <w:p w14:paraId="5E954D1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637310CC" w14:textId="77777777" w:rsidTr="00725967">
        <w:tc>
          <w:tcPr>
            <w:tcW w:w="9445" w:type="dxa"/>
            <w:gridSpan w:val="3"/>
            <w:tcBorders>
              <w:right w:val="single" w:sz="4" w:space="0" w:color="auto"/>
            </w:tcBorders>
            <w:vAlign w:val="center"/>
            <w:hideMark/>
          </w:tcPr>
          <w:p w14:paraId="3247A19F"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t>Here you may provide further details on the implementation of Article 21 in your country:</w:t>
            </w:r>
          </w:p>
          <w:p w14:paraId="0110254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67" w:right="6"/>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r w:rsidR="00376CED" w:rsidRPr="003075B3" w14:paraId="678A2DAC" w14:textId="77777777" w:rsidTr="00725967">
        <w:tc>
          <w:tcPr>
            <w:tcW w:w="9445" w:type="dxa"/>
            <w:gridSpan w:val="3"/>
            <w:tcBorders>
              <w:right w:val="single" w:sz="4" w:space="0" w:color="auto"/>
            </w:tcBorders>
            <w:vAlign w:val="center"/>
            <w:hideMark/>
          </w:tcPr>
          <w:p w14:paraId="5058538D"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3075B3">
              <w:rPr>
                <w:rFonts w:eastAsia="Arial Unicode MS"/>
                <w:b/>
                <w:bCs/>
                <w:iCs/>
                <w:kern w:val="22"/>
                <w:sz w:val="20"/>
                <w:szCs w:val="20"/>
              </w:rPr>
              <w:t>Article 22 – Capacity-building</w:t>
            </w:r>
          </w:p>
        </w:tc>
      </w:tr>
      <w:tr w:rsidR="00376CED" w:rsidRPr="003075B3" w14:paraId="360BC051" w14:textId="77777777" w:rsidTr="00725967">
        <w:tc>
          <w:tcPr>
            <w:tcW w:w="4848" w:type="dxa"/>
            <w:gridSpan w:val="2"/>
            <w:vAlign w:val="center"/>
            <w:hideMark/>
          </w:tcPr>
          <w:p w14:paraId="3B071D71"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rPr>
                <w:i/>
                <w:spacing w:val="-2"/>
                <w:kern w:val="22"/>
                <w:sz w:val="20"/>
                <w:szCs w:val="20"/>
              </w:rPr>
            </w:pPr>
            <w:r w:rsidRPr="003075B3">
              <w:rPr>
                <w:spacing w:val="-2"/>
                <w:kern w:val="22"/>
                <w:sz w:val="20"/>
                <w:szCs w:val="20"/>
              </w:rPr>
              <w:t>Does your country have predictable and reliable funding for building capacity for the effective implementation of the Protocol?</w:t>
            </w:r>
          </w:p>
        </w:tc>
        <w:tc>
          <w:tcPr>
            <w:tcW w:w="4597" w:type="dxa"/>
            <w:tcBorders>
              <w:right w:val="single" w:sz="4" w:space="0" w:color="auto"/>
            </w:tcBorders>
            <w:vAlign w:val="center"/>
            <w:hideMark/>
          </w:tcPr>
          <w:p w14:paraId="1B01387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18E0F55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0930F3F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467DD83F" w14:textId="77777777" w:rsidTr="00725967">
        <w:tc>
          <w:tcPr>
            <w:tcW w:w="4848" w:type="dxa"/>
            <w:gridSpan w:val="2"/>
            <w:vAlign w:val="center"/>
            <w:hideMark/>
          </w:tcPr>
          <w:p w14:paraId="7BDDB3BF"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Has your country received external support or benefited from collaborative activities with other Parties in the development and/or strengthening of human resources and institutional capacities in biosafety?</w:t>
            </w:r>
          </w:p>
        </w:tc>
        <w:tc>
          <w:tcPr>
            <w:tcW w:w="4597" w:type="dxa"/>
            <w:tcBorders>
              <w:right w:val="single" w:sz="4" w:space="0" w:color="auto"/>
            </w:tcBorders>
            <w:vAlign w:val="center"/>
            <w:hideMark/>
          </w:tcPr>
          <w:p w14:paraId="03459BC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2076D33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0992240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5E5797B3" w14:textId="77777777" w:rsidTr="00725967">
        <w:tc>
          <w:tcPr>
            <w:tcW w:w="4848" w:type="dxa"/>
            <w:gridSpan w:val="2"/>
            <w:vAlign w:val="center"/>
            <w:hideMark/>
          </w:tcPr>
          <w:p w14:paraId="64DDB456"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125, how were these resources made available?</w:t>
            </w:r>
          </w:p>
        </w:tc>
        <w:tc>
          <w:tcPr>
            <w:tcW w:w="4597" w:type="dxa"/>
            <w:tcBorders>
              <w:right w:val="single" w:sz="4" w:space="0" w:color="auto"/>
            </w:tcBorders>
            <w:vAlign w:val="center"/>
            <w:hideMark/>
          </w:tcPr>
          <w:p w14:paraId="285C441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Bilateral channels</w:t>
            </w:r>
          </w:p>
          <w:p w14:paraId="76AC57E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Regional channels</w:t>
            </w:r>
          </w:p>
          <w:p w14:paraId="4CB5324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lastRenderedPageBreak/>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Multilateral channels</w:t>
            </w:r>
          </w:p>
        </w:tc>
      </w:tr>
      <w:tr w:rsidR="00376CED" w:rsidRPr="003075B3" w14:paraId="08A97E39" w14:textId="77777777" w:rsidTr="00725967">
        <w:tc>
          <w:tcPr>
            <w:tcW w:w="4848" w:type="dxa"/>
            <w:gridSpan w:val="2"/>
            <w:vAlign w:val="center"/>
            <w:hideMark/>
          </w:tcPr>
          <w:p w14:paraId="6163A529"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lastRenderedPageBreak/>
              <w:t>Has your country provided support to other Parties in the development and/or strengthening of human resources and institutional capacities in biosafety?</w:t>
            </w:r>
          </w:p>
        </w:tc>
        <w:tc>
          <w:tcPr>
            <w:tcW w:w="4597" w:type="dxa"/>
            <w:tcBorders>
              <w:right w:val="single" w:sz="4" w:space="0" w:color="auto"/>
            </w:tcBorders>
            <w:vAlign w:val="center"/>
            <w:hideMark/>
          </w:tcPr>
          <w:p w14:paraId="46C40EC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6A76DB6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6CCCD23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516478B2" w14:textId="77777777" w:rsidTr="00725967">
        <w:tc>
          <w:tcPr>
            <w:tcW w:w="4848" w:type="dxa"/>
            <w:gridSpan w:val="2"/>
            <w:vAlign w:val="center"/>
            <w:hideMark/>
          </w:tcPr>
          <w:p w14:paraId="695BF618"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hanging="540"/>
              <w:rPr>
                <w:i/>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127, how were these resources made available?</w:t>
            </w:r>
          </w:p>
        </w:tc>
        <w:tc>
          <w:tcPr>
            <w:tcW w:w="4597" w:type="dxa"/>
            <w:tcBorders>
              <w:right w:val="single" w:sz="4" w:space="0" w:color="auto"/>
            </w:tcBorders>
            <w:vAlign w:val="center"/>
            <w:hideMark/>
          </w:tcPr>
          <w:p w14:paraId="07FCE91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Bilateral channels</w:t>
            </w:r>
          </w:p>
          <w:p w14:paraId="0C85C55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Regional channels</w:t>
            </w:r>
          </w:p>
          <w:p w14:paraId="02F0226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Multilateral channels</w:t>
            </w:r>
          </w:p>
        </w:tc>
      </w:tr>
      <w:tr w:rsidR="00376CED" w:rsidRPr="003075B3" w14:paraId="54004880" w14:textId="77777777" w:rsidTr="00725967">
        <w:tc>
          <w:tcPr>
            <w:tcW w:w="4848" w:type="dxa"/>
            <w:gridSpan w:val="2"/>
            <w:vAlign w:val="center"/>
            <w:hideMark/>
          </w:tcPr>
          <w:p w14:paraId="1677361C"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In the reporting period, has your country initiated a process to access funds from the Global Environment Facility (GEF) for building capacity in biosafety?</w:t>
            </w:r>
          </w:p>
        </w:tc>
        <w:tc>
          <w:tcPr>
            <w:tcW w:w="4597" w:type="dxa"/>
            <w:tcBorders>
              <w:right w:val="single" w:sz="4" w:space="0" w:color="auto"/>
            </w:tcBorders>
            <w:vAlign w:val="center"/>
            <w:hideMark/>
          </w:tcPr>
          <w:p w14:paraId="76639AC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715" w:hanging="703"/>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6636810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00DFA88F" w14:textId="77777777" w:rsidTr="00725967">
        <w:tc>
          <w:tcPr>
            <w:tcW w:w="4848" w:type="dxa"/>
            <w:gridSpan w:val="2"/>
            <w:vAlign w:val="center"/>
            <w:hideMark/>
          </w:tcPr>
          <w:p w14:paraId="29EA2C5F"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129, how would you characterize the process?</w:t>
            </w:r>
          </w:p>
        </w:tc>
        <w:tc>
          <w:tcPr>
            <w:tcW w:w="4597" w:type="dxa"/>
            <w:tcBorders>
              <w:right w:val="single" w:sz="4" w:space="0" w:color="auto"/>
            </w:tcBorders>
            <w:vAlign w:val="center"/>
            <w:hideMark/>
          </w:tcPr>
          <w:p w14:paraId="17B4F22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Very easy</w:t>
            </w:r>
          </w:p>
          <w:p w14:paraId="13B9CFF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Easy</w:t>
            </w:r>
          </w:p>
          <w:p w14:paraId="5A6C8A8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Average</w:t>
            </w:r>
          </w:p>
          <w:p w14:paraId="110C302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Difficult</w:t>
            </w:r>
          </w:p>
          <w:p w14:paraId="1BA0BF8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Very difficult</w:t>
            </w:r>
          </w:p>
        </w:tc>
      </w:tr>
      <w:tr w:rsidR="00376CED" w:rsidRPr="003075B3" w14:paraId="78BC3D5C" w14:textId="77777777" w:rsidTr="00725967">
        <w:tc>
          <w:tcPr>
            <w:tcW w:w="4848" w:type="dxa"/>
            <w:gridSpan w:val="2"/>
            <w:vAlign w:val="center"/>
            <w:hideMark/>
          </w:tcPr>
          <w:p w14:paraId="1F52309F"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In the current reporting period, has your country undertaken activities for the development and/or strengthening of human resources and institutional capacities in biosafety?</w:t>
            </w:r>
          </w:p>
        </w:tc>
        <w:tc>
          <w:tcPr>
            <w:tcW w:w="4597" w:type="dxa"/>
            <w:tcBorders>
              <w:right w:val="single" w:sz="4" w:space="0" w:color="auto"/>
            </w:tcBorders>
            <w:vAlign w:val="center"/>
            <w:hideMark/>
          </w:tcPr>
          <w:p w14:paraId="2F1FFFD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79A74D7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2253825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No </w:t>
            </w:r>
          </w:p>
        </w:tc>
      </w:tr>
      <w:tr w:rsidR="00376CED" w:rsidRPr="003075B3" w14:paraId="07381577" w14:textId="77777777" w:rsidTr="00725967">
        <w:tc>
          <w:tcPr>
            <w:tcW w:w="4848" w:type="dxa"/>
            <w:gridSpan w:val="2"/>
            <w:shd w:val="clear" w:color="auto" w:fill="FFFFFF"/>
            <w:vAlign w:val="center"/>
            <w:hideMark/>
          </w:tcPr>
          <w:p w14:paraId="688AF8FE"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spacing w:val="-2"/>
                <w:kern w:val="22"/>
                <w:sz w:val="20"/>
                <w:szCs w:val="20"/>
              </w:rPr>
            </w:pPr>
            <w:r w:rsidRPr="003075B3">
              <w:rPr>
                <w:spacing w:val="-2"/>
                <w:kern w:val="22"/>
                <w:sz w:val="20"/>
                <w:szCs w:val="20"/>
              </w:rPr>
              <w:t xml:space="preserve">If you answered </w:t>
            </w:r>
            <w:r w:rsidRPr="003075B3">
              <w:rPr>
                <w:i/>
                <w:spacing w:val="-2"/>
                <w:kern w:val="22"/>
                <w:sz w:val="20"/>
                <w:szCs w:val="20"/>
              </w:rPr>
              <w:t>Yes</w:t>
            </w:r>
            <w:r w:rsidRPr="003075B3">
              <w:rPr>
                <w:spacing w:val="-2"/>
                <w:kern w:val="22"/>
                <w:sz w:val="20"/>
                <w:szCs w:val="20"/>
              </w:rPr>
              <w:t xml:space="preserve"> to question 131, in which of the following areas were these activities undertaken (select all that apply)?</w:t>
            </w:r>
          </w:p>
        </w:tc>
        <w:tc>
          <w:tcPr>
            <w:tcW w:w="4597" w:type="dxa"/>
            <w:tcBorders>
              <w:right w:val="single" w:sz="4" w:space="0" w:color="auto"/>
            </w:tcBorders>
            <w:shd w:val="clear" w:color="auto" w:fill="FFFFFF"/>
            <w:vAlign w:val="center"/>
            <w:hideMark/>
          </w:tcPr>
          <w:p w14:paraId="367F0AC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Institutional capacity and human resources</w:t>
            </w:r>
          </w:p>
          <w:p w14:paraId="42CE553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Integration of biosafety in cross-sectoral and sectoral legislation, policies and institutions (mainstreaming biosafety)</w:t>
            </w:r>
          </w:p>
          <w:p w14:paraId="00A799F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Risk assessment and other scientific and technical expertise</w:t>
            </w:r>
          </w:p>
          <w:p w14:paraId="38CA45B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Risk management</w:t>
            </w:r>
          </w:p>
          <w:p w14:paraId="42E04A2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Public awareness, participation and education in biosafety</w:t>
            </w:r>
          </w:p>
          <w:p w14:paraId="318A927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exchange and data management, including participation in the Biosafety Clearing-House</w:t>
            </w:r>
          </w:p>
          <w:p w14:paraId="2C21AB3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Scientific, technical and institutional collaboration at </w:t>
            </w:r>
            <w:proofErr w:type="spellStart"/>
            <w:r w:rsidRPr="003075B3">
              <w:rPr>
                <w:kern w:val="22"/>
                <w:sz w:val="20"/>
                <w:szCs w:val="20"/>
              </w:rPr>
              <w:t>subregional</w:t>
            </w:r>
            <w:proofErr w:type="spellEnd"/>
            <w:r w:rsidRPr="003075B3">
              <w:rPr>
                <w:kern w:val="22"/>
                <w:sz w:val="20"/>
                <w:szCs w:val="20"/>
              </w:rPr>
              <w:t>, regional and international levels</w:t>
            </w:r>
          </w:p>
          <w:p w14:paraId="22B1F12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Technology transfer</w:t>
            </w:r>
          </w:p>
          <w:p w14:paraId="1F7CA03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Identification of LMOs, including their detection</w:t>
            </w:r>
          </w:p>
          <w:p w14:paraId="0B1BF37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Socioeconomic considerations</w:t>
            </w:r>
          </w:p>
          <w:p w14:paraId="4A57012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Implementation of the documentation requirements under Article 18.2 of the Protocol</w:t>
            </w:r>
          </w:p>
          <w:p w14:paraId="06D328F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Handling of confidential information </w:t>
            </w:r>
          </w:p>
          <w:p w14:paraId="6DD7DE6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lastRenderedPageBreak/>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Measures to address unintentional and/or illegal transboundary movements of LMOs</w:t>
            </w:r>
          </w:p>
          <w:p w14:paraId="0D7CF31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Scientific biosafety research relating to LMOs</w:t>
            </w:r>
          </w:p>
          <w:p w14:paraId="0D87483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r>
            <w:proofErr w:type="gramStart"/>
            <w:r w:rsidRPr="003075B3">
              <w:rPr>
                <w:kern w:val="22"/>
                <w:sz w:val="20"/>
                <w:szCs w:val="20"/>
              </w:rPr>
              <w:t>Taking into account</w:t>
            </w:r>
            <w:proofErr w:type="gramEnd"/>
            <w:r w:rsidRPr="003075B3">
              <w:rPr>
                <w:kern w:val="22"/>
                <w:sz w:val="20"/>
                <w:szCs w:val="20"/>
              </w:rPr>
              <w:t xml:space="preserve"> risks to human health</w:t>
            </w:r>
          </w:p>
          <w:p w14:paraId="19EA7E6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Liability and redress</w:t>
            </w:r>
          </w:p>
          <w:p w14:paraId="53FF60F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00" w:after="100"/>
              <w:ind w:left="613" w:hanging="601"/>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Other: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tc>
      </w:tr>
      <w:tr w:rsidR="00376CED" w:rsidRPr="003075B3" w14:paraId="7C56A4B9" w14:textId="77777777" w:rsidTr="00725967">
        <w:tc>
          <w:tcPr>
            <w:tcW w:w="4848" w:type="dxa"/>
            <w:gridSpan w:val="2"/>
            <w:vAlign w:val="center"/>
            <w:hideMark/>
          </w:tcPr>
          <w:p w14:paraId="0D9C2404"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lastRenderedPageBreak/>
              <w:t>In the current reporting period, has your country carried out a capacity-building needs assessment?</w:t>
            </w:r>
          </w:p>
        </w:tc>
        <w:tc>
          <w:tcPr>
            <w:tcW w:w="4597" w:type="dxa"/>
            <w:tcBorders>
              <w:right w:val="single" w:sz="4" w:space="0" w:color="auto"/>
            </w:tcBorders>
            <w:vAlign w:val="center"/>
            <w:hideMark/>
          </w:tcPr>
          <w:p w14:paraId="3A1E604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3A5F7D4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25BD8824" w14:textId="77777777" w:rsidTr="00725967">
        <w:tc>
          <w:tcPr>
            <w:tcW w:w="4848" w:type="dxa"/>
            <w:gridSpan w:val="2"/>
            <w:vAlign w:val="center"/>
            <w:hideMark/>
          </w:tcPr>
          <w:p w14:paraId="22FA3E6D"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Does your country still have capacity-building needs?</w:t>
            </w:r>
          </w:p>
        </w:tc>
        <w:tc>
          <w:tcPr>
            <w:tcW w:w="4597" w:type="dxa"/>
            <w:tcBorders>
              <w:right w:val="single" w:sz="4" w:space="0" w:color="auto"/>
            </w:tcBorders>
            <w:vAlign w:val="center"/>
            <w:hideMark/>
          </w:tcPr>
          <w:p w14:paraId="7539A0C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3ED8FF0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32AFCBAB" w14:textId="77777777" w:rsidTr="00725967">
        <w:tc>
          <w:tcPr>
            <w:tcW w:w="4848" w:type="dxa"/>
            <w:gridSpan w:val="2"/>
            <w:vAlign w:val="center"/>
            <w:hideMark/>
          </w:tcPr>
          <w:p w14:paraId="29962113" w14:textId="4D7CA1F3" w:rsidR="00376CED" w:rsidRPr="003075B3" w:rsidRDefault="00376CED" w:rsidP="0008472F">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40" w:after="40"/>
              <w:ind w:left="540" w:right="490" w:hanging="540"/>
              <w:rPr>
                <w:iCs/>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134, which of the following areas still need capacity-building (select all that apply)?</w:t>
            </w:r>
          </w:p>
        </w:tc>
        <w:tc>
          <w:tcPr>
            <w:tcW w:w="4597" w:type="dxa"/>
            <w:tcBorders>
              <w:right w:val="single" w:sz="4" w:space="0" w:color="auto"/>
            </w:tcBorders>
            <w:vAlign w:val="center"/>
            <w:hideMark/>
          </w:tcPr>
          <w:p w14:paraId="7F7FABF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Institutional capacity and human resources</w:t>
            </w:r>
          </w:p>
          <w:p w14:paraId="5FF6242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Integration of biosafety in cross-sectoral and sectoral legislation, policies and institutions (mainstreaming biosafety)</w:t>
            </w:r>
          </w:p>
          <w:p w14:paraId="00D6208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Risk assessment and other scientific and technical expertise</w:t>
            </w:r>
          </w:p>
          <w:p w14:paraId="31AA702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Risk management</w:t>
            </w:r>
          </w:p>
          <w:p w14:paraId="729E2A5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Public awareness, participation and education in biosafety</w:t>
            </w:r>
          </w:p>
          <w:p w14:paraId="38CC2A1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Information exchange and data management, including participation in the Biosafety Clearing-House</w:t>
            </w:r>
          </w:p>
          <w:p w14:paraId="0B77464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Scientific, technical and institutional collaboration at </w:t>
            </w:r>
            <w:proofErr w:type="spellStart"/>
            <w:r w:rsidRPr="003075B3">
              <w:rPr>
                <w:kern w:val="22"/>
                <w:sz w:val="20"/>
                <w:szCs w:val="20"/>
              </w:rPr>
              <w:t>subregional</w:t>
            </w:r>
            <w:proofErr w:type="spellEnd"/>
            <w:r w:rsidRPr="003075B3">
              <w:rPr>
                <w:kern w:val="22"/>
                <w:sz w:val="20"/>
                <w:szCs w:val="20"/>
              </w:rPr>
              <w:t>, regional and international levels</w:t>
            </w:r>
          </w:p>
          <w:p w14:paraId="79CF61F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Technology transfer</w:t>
            </w:r>
          </w:p>
          <w:p w14:paraId="23EF051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Sampling, detection and identification of LMOs</w:t>
            </w:r>
          </w:p>
          <w:p w14:paraId="23A34FF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Socioeconomic considerations</w:t>
            </w:r>
          </w:p>
          <w:p w14:paraId="4B40C12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Implementation of the documentation requirements for handling, transport, packaging and identification</w:t>
            </w:r>
          </w:p>
          <w:p w14:paraId="0E3ED50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Handling of confidential information</w:t>
            </w:r>
          </w:p>
          <w:p w14:paraId="1B7E470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Measures to address unintentional and/or illegal transboundary movements of LMOs</w:t>
            </w:r>
          </w:p>
          <w:p w14:paraId="5678A6B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Scientific biosafety research relating to LMOs</w:t>
            </w:r>
          </w:p>
          <w:p w14:paraId="6D9FE6D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r>
            <w:proofErr w:type="gramStart"/>
            <w:r w:rsidRPr="003075B3">
              <w:rPr>
                <w:kern w:val="22"/>
                <w:sz w:val="20"/>
                <w:szCs w:val="20"/>
              </w:rPr>
              <w:t>Taking into account</w:t>
            </w:r>
            <w:proofErr w:type="gramEnd"/>
            <w:r w:rsidRPr="003075B3">
              <w:rPr>
                <w:kern w:val="22"/>
                <w:sz w:val="20"/>
                <w:szCs w:val="20"/>
              </w:rPr>
              <w:t xml:space="preserve"> risks to human health</w:t>
            </w:r>
          </w:p>
          <w:p w14:paraId="2A686AD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
                  <w:enabled/>
                  <w:calcOnExit/>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Liability and redress</w:t>
            </w:r>
          </w:p>
          <w:p w14:paraId="02D7FA7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612" w:hanging="601"/>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Other: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tc>
      </w:tr>
      <w:tr w:rsidR="00376CED" w:rsidRPr="003075B3" w14:paraId="70F8287C" w14:textId="77777777" w:rsidTr="00725967">
        <w:tc>
          <w:tcPr>
            <w:tcW w:w="4848" w:type="dxa"/>
            <w:gridSpan w:val="2"/>
            <w:shd w:val="clear" w:color="auto" w:fill="FFFFFF"/>
            <w:vAlign w:val="center"/>
            <w:hideMark/>
          </w:tcPr>
          <w:p w14:paraId="1D253A50"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Has your country developed a capacity-building strategy or action plan?</w:t>
            </w:r>
          </w:p>
        </w:tc>
        <w:tc>
          <w:tcPr>
            <w:tcW w:w="4597" w:type="dxa"/>
            <w:tcBorders>
              <w:right w:val="single" w:sz="4" w:space="0" w:color="auto"/>
            </w:tcBorders>
            <w:shd w:val="clear" w:color="auto" w:fill="FFFFFF"/>
            <w:vAlign w:val="center"/>
            <w:hideMark/>
          </w:tcPr>
          <w:p w14:paraId="383ADBB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right="490"/>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450BCE5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right="490"/>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7C913B7D" w14:textId="77777777" w:rsidTr="00725967">
        <w:tc>
          <w:tcPr>
            <w:tcW w:w="4848" w:type="dxa"/>
            <w:gridSpan w:val="2"/>
            <w:vAlign w:val="center"/>
            <w:hideMark/>
          </w:tcPr>
          <w:p w14:paraId="7B361C6C"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Does your country have in place a functional national mechanism for coordinating biosafety capacity-building initiatives?</w:t>
            </w:r>
          </w:p>
        </w:tc>
        <w:tc>
          <w:tcPr>
            <w:tcW w:w="4597" w:type="dxa"/>
            <w:tcBorders>
              <w:right w:val="single" w:sz="4" w:space="0" w:color="auto"/>
            </w:tcBorders>
            <w:vAlign w:val="center"/>
            <w:hideMark/>
          </w:tcPr>
          <w:p w14:paraId="65ED535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5CA3376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1ADF590A" w14:textId="77777777" w:rsidTr="00725967">
        <w:tc>
          <w:tcPr>
            <w:tcW w:w="9445" w:type="dxa"/>
            <w:gridSpan w:val="3"/>
            <w:tcBorders>
              <w:right w:val="single" w:sz="4" w:space="0" w:color="auto"/>
            </w:tcBorders>
            <w:vAlign w:val="center"/>
            <w:hideMark/>
          </w:tcPr>
          <w:p w14:paraId="6AA418C7"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lastRenderedPageBreak/>
              <w:t>Here you may provide further details on the implementation of Article 22 in your country, including further details about your experience in accessing GEF funds:</w:t>
            </w:r>
          </w:p>
          <w:p w14:paraId="3457799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67" w:right="6"/>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bl>
    <w:p w14:paraId="0567924D" w14:textId="77777777" w:rsidR="00376CED" w:rsidRPr="003075B3" w:rsidRDefault="00376CED" w:rsidP="00725967">
      <w:pPr>
        <w:shd w:val="clear" w:color="auto" w:fill="FFFFFF" w:themeFill="background1"/>
        <w:rPr>
          <w:kern w:val="2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1E0" w:firstRow="1" w:lastRow="1" w:firstColumn="1" w:lastColumn="1" w:noHBand="0" w:noVBand="0"/>
      </w:tblPr>
      <w:tblGrid>
        <w:gridCol w:w="4765"/>
        <w:gridCol w:w="4687"/>
      </w:tblGrid>
      <w:tr w:rsidR="00376CED" w:rsidRPr="003075B3" w14:paraId="31E757FD" w14:textId="77777777" w:rsidTr="00725967">
        <w:trPr>
          <w:cantSplit/>
        </w:trPr>
        <w:tc>
          <w:tcPr>
            <w:tcW w:w="9445" w:type="dxa"/>
            <w:gridSpan w:val="2"/>
            <w:tcBorders>
              <w:right w:val="single" w:sz="4" w:space="0" w:color="auto"/>
            </w:tcBorders>
            <w:vAlign w:val="center"/>
            <w:hideMark/>
          </w:tcPr>
          <w:p w14:paraId="71645A41"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3075B3">
              <w:rPr>
                <w:b/>
                <w:kern w:val="22"/>
                <w:sz w:val="20"/>
                <w:szCs w:val="20"/>
              </w:rPr>
              <w:t>Article 23 – Public awareness and participation</w:t>
            </w:r>
          </w:p>
        </w:tc>
      </w:tr>
      <w:tr w:rsidR="00376CED" w:rsidRPr="003075B3" w14:paraId="2F63B09D" w14:textId="77777777" w:rsidTr="00725967">
        <w:trPr>
          <w:cantSplit/>
        </w:trPr>
        <w:tc>
          <w:tcPr>
            <w:tcW w:w="4761" w:type="dxa"/>
            <w:shd w:val="clear" w:color="auto" w:fill="auto"/>
            <w:vAlign w:val="center"/>
            <w:hideMark/>
          </w:tcPr>
          <w:p w14:paraId="13275FCD"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Is biosafety public awareness, education and/or participation addressed in legislation or policy in your country?</w:t>
            </w:r>
          </w:p>
        </w:tc>
        <w:tc>
          <w:tcPr>
            <w:tcW w:w="4684" w:type="dxa"/>
            <w:tcBorders>
              <w:right w:val="single" w:sz="4" w:space="0" w:color="auto"/>
            </w:tcBorders>
            <w:shd w:val="clear" w:color="auto" w:fill="auto"/>
            <w:vAlign w:val="center"/>
            <w:hideMark/>
          </w:tcPr>
          <w:p w14:paraId="6892FB9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69CB7C1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3E64783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3793EC7F" w14:textId="77777777" w:rsidTr="00725967">
        <w:trPr>
          <w:cantSplit/>
        </w:trPr>
        <w:tc>
          <w:tcPr>
            <w:tcW w:w="4761" w:type="dxa"/>
            <w:vAlign w:val="center"/>
            <w:hideMark/>
          </w:tcPr>
          <w:p w14:paraId="1E7B5572"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In the current reporting period, has your country cooperated with other States and international bodies in relation to public awareness, education and participation?</w:t>
            </w:r>
          </w:p>
        </w:tc>
        <w:tc>
          <w:tcPr>
            <w:tcW w:w="4684" w:type="dxa"/>
            <w:tcBorders>
              <w:right w:val="single" w:sz="4" w:space="0" w:color="auto"/>
            </w:tcBorders>
            <w:vAlign w:val="center"/>
            <w:hideMark/>
          </w:tcPr>
          <w:p w14:paraId="7C89CB2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715" w:hanging="703"/>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4D43A81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42A4E8C8" w14:textId="77777777" w:rsidTr="00725967">
        <w:trPr>
          <w:cantSplit/>
        </w:trPr>
        <w:tc>
          <w:tcPr>
            <w:tcW w:w="4761" w:type="dxa"/>
            <w:hideMark/>
          </w:tcPr>
          <w:p w14:paraId="40E486D3"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Has your country established a mechanism to ensure public access to information on LMOs?</w:t>
            </w:r>
            <w:r w:rsidRPr="003075B3">
              <w:rPr>
                <w:kern w:val="22"/>
                <w:sz w:val="20"/>
                <w:szCs w:val="20"/>
              </w:rPr>
              <w:br w:type="page"/>
            </w:r>
          </w:p>
        </w:tc>
        <w:tc>
          <w:tcPr>
            <w:tcW w:w="4684" w:type="dxa"/>
            <w:tcBorders>
              <w:right w:val="single" w:sz="4" w:space="0" w:color="auto"/>
            </w:tcBorders>
            <w:vAlign w:val="center"/>
            <w:hideMark/>
          </w:tcPr>
          <w:p w14:paraId="1A15197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367E57F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2800D2D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6CE5AF32" w14:textId="77777777" w:rsidTr="00725967">
        <w:trPr>
          <w:cantSplit/>
        </w:trPr>
        <w:tc>
          <w:tcPr>
            <w:tcW w:w="4761" w:type="dxa"/>
            <w:vAlign w:val="center"/>
            <w:hideMark/>
          </w:tcPr>
          <w:p w14:paraId="4B830B5C"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Does your country have in place a national communication strategy on biosafety?</w:t>
            </w:r>
          </w:p>
        </w:tc>
        <w:tc>
          <w:tcPr>
            <w:tcW w:w="4684" w:type="dxa"/>
            <w:tcBorders>
              <w:right w:val="single" w:sz="4" w:space="0" w:color="auto"/>
            </w:tcBorders>
            <w:vAlign w:val="center"/>
            <w:hideMark/>
          </w:tcPr>
          <w:p w14:paraId="7D57A5E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26858FA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402DC382" w14:textId="77777777" w:rsidTr="00725967">
        <w:trPr>
          <w:cantSplit/>
        </w:trPr>
        <w:tc>
          <w:tcPr>
            <w:tcW w:w="4761" w:type="dxa"/>
            <w:shd w:val="clear" w:color="auto" w:fill="FFFFFF"/>
            <w:vAlign w:val="center"/>
            <w:hideMark/>
          </w:tcPr>
          <w:p w14:paraId="427EF8B7"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Does your country have any awareness and outreach programmes on biosafety?</w:t>
            </w:r>
          </w:p>
        </w:tc>
        <w:tc>
          <w:tcPr>
            <w:tcW w:w="4684" w:type="dxa"/>
            <w:tcBorders>
              <w:right w:val="single" w:sz="4" w:space="0" w:color="auto"/>
            </w:tcBorders>
            <w:shd w:val="clear" w:color="auto" w:fill="FFFFFF"/>
            <w:vAlign w:val="center"/>
            <w:hideMark/>
          </w:tcPr>
          <w:p w14:paraId="1C185F8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715" w:hanging="703"/>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6E153F6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44093101" w14:textId="77777777" w:rsidTr="00725967">
        <w:trPr>
          <w:cantSplit/>
        </w:trPr>
        <w:tc>
          <w:tcPr>
            <w:tcW w:w="4761" w:type="dxa"/>
            <w:vAlign w:val="center"/>
            <w:hideMark/>
          </w:tcPr>
          <w:p w14:paraId="36B22686" w14:textId="77777777" w:rsidR="00376CED" w:rsidRPr="003075B3"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Does your country currently have a national biosafety website?</w:t>
            </w:r>
          </w:p>
        </w:tc>
        <w:tc>
          <w:tcPr>
            <w:tcW w:w="4684" w:type="dxa"/>
            <w:tcBorders>
              <w:right w:val="single" w:sz="4" w:space="0" w:color="auto"/>
            </w:tcBorders>
            <w:vAlign w:val="center"/>
            <w:hideMark/>
          </w:tcPr>
          <w:p w14:paraId="6B7CA36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2796175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32DB7347" w14:textId="77777777" w:rsidTr="00725967">
        <w:trPr>
          <w:cantSplit/>
        </w:trPr>
        <w:tc>
          <w:tcPr>
            <w:tcW w:w="4761" w:type="dxa"/>
            <w:vAlign w:val="center"/>
            <w:hideMark/>
          </w:tcPr>
          <w:p w14:paraId="2FA9BE25"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How many academic institutions in your country are offering biosafety education and training courses and programmes?</w:t>
            </w:r>
          </w:p>
        </w:tc>
        <w:tc>
          <w:tcPr>
            <w:tcW w:w="4684" w:type="dxa"/>
            <w:tcBorders>
              <w:right w:val="single" w:sz="4" w:space="0" w:color="auto"/>
            </w:tcBorders>
            <w:vAlign w:val="center"/>
            <w:hideMark/>
          </w:tcPr>
          <w:p w14:paraId="1DF04F8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2728EAA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4</w:t>
            </w:r>
          </w:p>
          <w:p w14:paraId="67BFE4D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 to 9</w:t>
            </w:r>
          </w:p>
          <w:p w14:paraId="47BBA8F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or more</w:t>
            </w:r>
          </w:p>
          <w:p w14:paraId="054E95F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i/>
                <w:kern w:val="22"/>
                <w:sz w:val="20"/>
                <w:szCs w:val="20"/>
              </w:rPr>
            </w:pPr>
            <w:r w:rsidRPr="003075B3">
              <w:rPr>
                <w:i/>
                <w:kern w:val="22"/>
                <w:sz w:val="20"/>
                <w:szCs w:val="20"/>
              </w:rPr>
              <w:t xml:space="preserve">Is this number adequate: </w:t>
            </w:r>
            <w:r w:rsidRPr="003075B3">
              <w:rPr>
                <w:i/>
                <w:kern w:val="22"/>
                <w:sz w:val="20"/>
                <w:szCs w:val="20"/>
              </w:rPr>
              <w:fldChar w:fldCharType="begin">
                <w:ffData>
                  <w:name w:val="Check48"/>
                  <w:enabled/>
                  <w:calcOnExit w:val="0"/>
                  <w:checkBox>
                    <w:sizeAuto/>
                    <w:default w:val="0"/>
                  </w:checkBox>
                </w:ffData>
              </w:fldChar>
            </w:r>
            <w:r w:rsidRPr="003075B3">
              <w:rPr>
                <w:i/>
                <w:kern w:val="22"/>
                <w:sz w:val="20"/>
                <w:szCs w:val="20"/>
              </w:rPr>
              <w:instrText xml:space="preserve"> FORMCHECKBOX </w:instrText>
            </w:r>
            <w:r w:rsidR="00986A60">
              <w:rPr>
                <w:i/>
                <w:kern w:val="22"/>
                <w:sz w:val="20"/>
                <w:szCs w:val="20"/>
              </w:rPr>
            </w:r>
            <w:r w:rsidR="00986A60">
              <w:rPr>
                <w:i/>
                <w:kern w:val="22"/>
                <w:sz w:val="20"/>
                <w:szCs w:val="20"/>
              </w:rPr>
              <w:fldChar w:fldCharType="separate"/>
            </w:r>
            <w:r w:rsidRPr="003075B3">
              <w:rPr>
                <w:i/>
                <w:kern w:val="22"/>
                <w:sz w:val="20"/>
                <w:szCs w:val="20"/>
              </w:rPr>
              <w:fldChar w:fldCharType="end"/>
            </w:r>
            <w:r w:rsidRPr="003075B3">
              <w:rPr>
                <w:i/>
                <w:kern w:val="22"/>
                <w:sz w:val="20"/>
                <w:szCs w:val="20"/>
              </w:rPr>
              <w:t xml:space="preserve"> Yes   </w:t>
            </w:r>
            <w:r w:rsidRPr="003075B3">
              <w:rPr>
                <w:i/>
                <w:kern w:val="22"/>
                <w:sz w:val="20"/>
                <w:szCs w:val="20"/>
              </w:rPr>
              <w:fldChar w:fldCharType="begin">
                <w:ffData>
                  <w:name w:val="Check48"/>
                  <w:enabled/>
                  <w:calcOnExit w:val="0"/>
                  <w:checkBox>
                    <w:sizeAuto/>
                    <w:default w:val="0"/>
                  </w:checkBox>
                </w:ffData>
              </w:fldChar>
            </w:r>
            <w:r w:rsidRPr="003075B3">
              <w:rPr>
                <w:i/>
                <w:kern w:val="22"/>
                <w:sz w:val="20"/>
                <w:szCs w:val="20"/>
              </w:rPr>
              <w:instrText xml:space="preserve"> FORMCHECKBOX </w:instrText>
            </w:r>
            <w:r w:rsidR="00986A60">
              <w:rPr>
                <w:i/>
                <w:kern w:val="22"/>
                <w:sz w:val="20"/>
                <w:szCs w:val="20"/>
              </w:rPr>
            </w:r>
            <w:r w:rsidR="00986A60">
              <w:rPr>
                <w:i/>
                <w:kern w:val="22"/>
                <w:sz w:val="20"/>
                <w:szCs w:val="20"/>
              </w:rPr>
              <w:fldChar w:fldCharType="separate"/>
            </w:r>
            <w:r w:rsidRPr="003075B3">
              <w:rPr>
                <w:i/>
                <w:kern w:val="22"/>
                <w:sz w:val="20"/>
                <w:szCs w:val="20"/>
              </w:rPr>
              <w:fldChar w:fldCharType="end"/>
            </w:r>
            <w:r w:rsidRPr="003075B3">
              <w:rPr>
                <w:i/>
                <w:kern w:val="22"/>
                <w:sz w:val="20"/>
                <w:szCs w:val="20"/>
              </w:rPr>
              <w:t xml:space="preserve"> No</w:t>
            </w:r>
          </w:p>
        </w:tc>
      </w:tr>
      <w:tr w:rsidR="00376CED" w:rsidRPr="003075B3" w14:paraId="1D587A2E" w14:textId="77777777" w:rsidTr="00725967">
        <w:trPr>
          <w:cantSplit/>
        </w:trPr>
        <w:tc>
          <w:tcPr>
            <w:tcW w:w="4761" w:type="dxa"/>
            <w:vAlign w:val="center"/>
            <w:hideMark/>
          </w:tcPr>
          <w:p w14:paraId="27E24921" w14:textId="77777777" w:rsidR="00376CED" w:rsidRPr="003075B3" w:rsidRDefault="00376CED" w:rsidP="00376CED">
            <w:pPr>
              <w:numPr>
                <w:ilvl w:val="0"/>
                <w:numId w:val="48"/>
              </w:numPr>
              <w:suppressLineNumbers/>
              <w:shd w:val="clear" w:color="auto" w:fill="FFFFFF" w:themeFill="background1"/>
              <w:suppressAutoHyphens/>
              <w:kinsoku w:val="0"/>
              <w:overflowPunct w:val="0"/>
              <w:autoSpaceDE w:val="0"/>
              <w:autoSpaceDN w:val="0"/>
              <w:adjustRightInd w:val="0"/>
              <w:snapToGrid w:val="0"/>
              <w:spacing w:before="120" w:after="120"/>
              <w:ind w:left="540" w:right="490" w:hanging="540"/>
              <w:rPr>
                <w:i/>
                <w:spacing w:val="-4"/>
                <w:kern w:val="22"/>
                <w:sz w:val="20"/>
                <w:szCs w:val="20"/>
              </w:rPr>
            </w:pPr>
            <w:r w:rsidRPr="003075B3">
              <w:rPr>
                <w:spacing w:val="-4"/>
                <w:kern w:val="22"/>
                <w:sz w:val="20"/>
                <w:szCs w:val="20"/>
              </w:rPr>
              <w:t>How many educational materials and/or online modules on biosafety are available and accessible to the public in your country?</w:t>
            </w:r>
          </w:p>
        </w:tc>
        <w:tc>
          <w:tcPr>
            <w:tcW w:w="4684" w:type="dxa"/>
            <w:tcBorders>
              <w:right w:val="single" w:sz="4" w:space="0" w:color="auto"/>
            </w:tcBorders>
            <w:vAlign w:val="center"/>
            <w:hideMark/>
          </w:tcPr>
          <w:p w14:paraId="2F1C44C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6A86DB8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4</w:t>
            </w:r>
          </w:p>
          <w:p w14:paraId="529FEEE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 to 9</w:t>
            </w:r>
          </w:p>
          <w:p w14:paraId="5C9DFF1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to 24</w:t>
            </w:r>
          </w:p>
          <w:p w14:paraId="3450255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25 to 99</w:t>
            </w:r>
          </w:p>
          <w:p w14:paraId="01B6655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100 or more</w:t>
            </w:r>
          </w:p>
          <w:p w14:paraId="4D5A541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rPr>
                <w:kern w:val="22"/>
                <w:sz w:val="20"/>
                <w:szCs w:val="20"/>
              </w:rPr>
            </w:pPr>
            <w:r w:rsidRPr="003075B3">
              <w:rPr>
                <w:i/>
                <w:kern w:val="22"/>
                <w:sz w:val="20"/>
                <w:szCs w:val="20"/>
              </w:rPr>
              <w:t xml:space="preserve">Is this number adequate: </w:t>
            </w:r>
            <w:r w:rsidRPr="003075B3">
              <w:rPr>
                <w:i/>
                <w:kern w:val="22"/>
                <w:sz w:val="20"/>
                <w:szCs w:val="20"/>
              </w:rPr>
              <w:fldChar w:fldCharType="begin">
                <w:ffData>
                  <w:name w:val="Check48"/>
                  <w:enabled/>
                  <w:calcOnExit w:val="0"/>
                  <w:checkBox>
                    <w:sizeAuto/>
                    <w:default w:val="0"/>
                  </w:checkBox>
                </w:ffData>
              </w:fldChar>
            </w:r>
            <w:r w:rsidRPr="003075B3">
              <w:rPr>
                <w:i/>
                <w:kern w:val="22"/>
                <w:sz w:val="20"/>
                <w:szCs w:val="20"/>
              </w:rPr>
              <w:instrText xml:space="preserve"> FORMCHECKBOX </w:instrText>
            </w:r>
            <w:r w:rsidR="00986A60">
              <w:rPr>
                <w:i/>
                <w:kern w:val="22"/>
                <w:sz w:val="20"/>
                <w:szCs w:val="20"/>
              </w:rPr>
            </w:r>
            <w:r w:rsidR="00986A60">
              <w:rPr>
                <w:i/>
                <w:kern w:val="22"/>
                <w:sz w:val="20"/>
                <w:szCs w:val="20"/>
              </w:rPr>
              <w:fldChar w:fldCharType="separate"/>
            </w:r>
            <w:r w:rsidRPr="003075B3">
              <w:rPr>
                <w:i/>
                <w:kern w:val="22"/>
                <w:sz w:val="20"/>
                <w:szCs w:val="20"/>
              </w:rPr>
              <w:fldChar w:fldCharType="end"/>
            </w:r>
            <w:r w:rsidRPr="003075B3">
              <w:rPr>
                <w:i/>
                <w:kern w:val="22"/>
                <w:sz w:val="20"/>
                <w:szCs w:val="20"/>
              </w:rPr>
              <w:t xml:space="preserve"> Yes   </w:t>
            </w:r>
            <w:r w:rsidRPr="003075B3">
              <w:rPr>
                <w:i/>
                <w:kern w:val="22"/>
                <w:sz w:val="20"/>
                <w:szCs w:val="20"/>
              </w:rPr>
              <w:fldChar w:fldCharType="begin">
                <w:ffData>
                  <w:name w:val="Check48"/>
                  <w:enabled/>
                  <w:calcOnExit w:val="0"/>
                  <w:checkBox>
                    <w:sizeAuto/>
                    <w:default w:val="0"/>
                  </w:checkBox>
                </w:ffData>
              </w:fldChar>
            </w:r>
            <w:r w:rsidRPr="003075B3">
              <w:rPr>
                <w:i/>
                <w:kern w:val="22"/>
                <w:sz w:val="20"/>
                <w:szCs w:val="20"/>
              </w:rPr>
              <w:instrText xml:space="preserve"> FORMCHECKBOX </w:instrText>
            </w:r>
            <w:r w:rsidR="00986A60">
              <w:rPr>
                <w:i/>
                <w:kern w:val="22"/>
                <w:sz w:val="20"/>
                <w:szCs w:val="20"/>
              </w:rPr>
            </w:r>
            <w:r w:rsidR="00986A60">
              <w:rPr>
                <w:i/>
                <w:kern w:val="22"/>
                <w:sz w:val="20"/>
                <w:szCs w:val="20"/>
              </w:rPr>
              <w:fldChar w:fldCharType="separate"/>
            </w:r>
            <w:r w:rsidRPr="003075B3">
              <w:rPr>
                <w:i/>
                <w:kern w:val="22"/>
                <w:sz w:val="20"/>
                <w:szCs w:val="20"/>
              </w:rPr>
              <w:fldChar w:fldCharType="end"/>
            </w:r>
            <w:r w:rsidRPr="003075B3">
              <w:rPr>
                <w:i/>
                <w:kern w:val="22"/>
                <w:sz w:val="20"/>
                <w:szCs w:val="20"/>
              </w:rPr>
              <w:t xml:space="preserve"> No</w:t>
            </w:r>
          </w:p>
        </w:tc>
      </w:tr>
      <w:tr w:rsidR="00376CED" w:rsidRPr="003075B3" w14:paraId="3DC3A8FB" w14:textId="77777777" w:rsidTr="00725967">
        <w:trPr>
          <w:cantSplit/>
        </w:trPr>
        <w:tc>
          <w:tcPr>
            <w:tcW w:w="4761" w:type="dxa"/>
            <w:shd w:val="clear" w:color="auto" w:fill="FFFFFF"/>
            <w:vAlign w:val="center"/>
            <w:hideMark/>
          </w:tcPr>
          <w:p w14:paraId="66540B4E"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spacing w:val="-2"/>
                <w:kern w:val="22"/>
                <w:sz w:val="20"/>
                <w:szCs w:val="20"/>
              </w:rPr>
            </w:pPr>
            <w:r w:rsidRPr="003075B3">
              <w:rPr>
                <w:spacing w:val="-2"/>
                <w:kern w:val="22"/>
                <w:sz w:val="20"/>
                <w:szCs w:val="20"/>
              </w:rPr>
              <w:lastRenderedPageBreak/>
              <w:t>Has your country established a mechanism to consult the public in the decision-making process regarding LMOs?</w:t>
            </w:r>
          </w:p>
        </w:tc>
        <w:tc>
          <w:tcPr>
            <w:tcW w:w="4684" w:type="dxa"/>
            <w:tcBorders>
              <w:right w:val="single" w:sz="4" w:space="0" w:color="auto"/>
            </w:tcBorders>
            <w:shd w:val="clear" w:color="auto" w:fill="FFFFFF"/>
            <w:vAlign w:val="center"/>
            <w:hideMark/>
          </w:tcPr>
          <w:p w14:paraId="41428BF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30FFB03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5C18C82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45B3383F" w14:textId="77777777" w:rsidTr="00725967">
        <w:trPr>
          <w:cantSplit/>
        </w:trPr>
        <w:tc>
          <w:tcPr>
            <w:tcW w:w="4761" w:type="dxa"/>
            <w:vAlign w:val="center"/>
            <w:hideMark/>
          </w:tcPr>
          <w:p w14:paraId="16368818"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Has your country informed the public about existing modalities for public participation in the decision-making process regarding LMOs?</w:t>
            </w:r>
          </w:p>
        </w:tc>
        <w:tc>
          <w:tcPr>
            <w:tcW w:w="4684" w:type="dxa"/>
            <w:tcBorders>
              <w:right w:val="single" w:sz="4" w:space="0" w:color="auto"/>
            </w:tcBorders>
            <w:vAlign w:val="center"/>
            <w:hideMark/>
          </w:tcPr>
          <w:p w14:paraId="450FAB3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0527C35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617E4F4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7F3A57BC" w14:textId="77777777" w:rsidTr="00725967">
        <w:trPr>
          <w:cantSplit/>
        </w:trPr>
        <w:tc>
          <w:tcPr>
            <w:tcW w:w="4761" w:type="dxa"/>
            <w:vAlign w:val="center"/>
            <w:hideMark/>
          </w:tcPr>
          <w:p w14:paraId="0781953E"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148, please indicate the modalities used to inform the public:</w:t>
            </w:r>
          </w:p>
        </w:tc>
        <w:tc>
          <w:tcPr>
            <w:tcW w:w="4684" w:type="dxa"/>
            <w:tcBorders>
              <w:right w:val="single" w:sz="4" w:space="0" w:color="auto"/>
            </w:tcBorders>
            <w:vAlign w:val="center"/>
            <w:hideMark/>
          </w:tcPr>
          <w:p w14:paraId="1147228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15" w:hanging="699"/>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National websites</w:t>
            </w:r>
          </w:p>
          <w:p w14:paraId="71042E9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15" w:hanging="699"/>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Newspapers</w:t>
            </w:r>
          </w:p>
          <w:p w14:paraId="487C54B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15" w:hanging="699"/>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Forums</w:t>
            </w:r>
          </w:p>
          <w:p w14:paraId="64CB902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15" w:hanging="699"/>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Mailing lists </w:t>
            </w:r>
          </w:p>
          <w:p w14:paraId="7065280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15" w:hanging="699"/>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Public hearings </w:t>
            </w:r>
          </w:p>
          <w:p w14:paraId="73BDF09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15" w:hanging="699"/>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Social media</w:t>
            </w:r>
          </w:p>
          <w:p w14:paraId="58C4569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40" w:after="40"/>
              <w:ind w:left="715" w:hanging="699"/>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Other: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tc>
      </w:tr>
      <w:tr w:rsidR="00376CED" w:rsidRPr="003075B3" w14:paraId="69C923DA" w14:textId="77777777" w:rsidTr="00725967">
        <w:trPr>
          <w:cantSplit/>
        </w:trPr>
        <w:tc>
          <w:tcPr>
            <w:tcW w:w="4761" w:type="dxa"/>
            <w:vAlign w:val="center"/>
            <w:hideMark/>
          </w:tcPr>
          <w:p w14:paraId="7C44BDAE"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In the current reporting period, how many times has your country consulted the public in the decision-making process regarding LMOs?</w:t>
            </w:r>
          </w:p>
        </w:tc>
        <w:tc>
          <w:tcPr>
            <w:tcW w:w="4684" w:type="dxa"/>
            <w:tcBorders>
              <w:right w:val="single" w:sz="4" w:space="0" w:color="auto"/>
            </w:tcBorders>
            <w:vAlign w:val="center"/>
            <w:hideMark/>
          </w:tcPr>
          <w:p w14:paraId="742DBC1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 (decisions taken without consultation)</w:t>
            </w:r>
          </w:p>
          <w:p w14:paraId="199680C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4</w:t>
            </w:r>
          </w:p>
          <w:p w14:paraId="3DD6F67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 or more</w:t>
            </w:r>
          </w:p>
          <w:p w14:paraId="7ABAC29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i/>
                <w:iCs/>
                <w:kern w:val="22"/>
                <w:sz w:val="20"/>
                <w:szCs w:val="20"/>
              </w:rPr>
              <w:fldChar w:fldCharType="begin">
                <w:ffData>
                  <w:name w:val="Check48"/>
                  <w:enabled/>
                  <w:calcOnExit w:val="0"/>
                  <w:checkBox>
                    <w:sizeAuto/>
                    <w:default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bCs/>
                <w:iCs/>
                <w:kern w:val="22"/>
                <w:sz w:val="20"/>
                <w:szCs w:val="20"/>
              </w:rPr>
              <w:t>Not applicable (no decisions were taken)</w:t>
            </w:r>
          </w:p>
        </w:tc>
      </w:tr>
      <w:tr w:rsidR="00376CED" w:rsidRPr="003075B3" w14:paraId="549ED940" w14:textId="77777777" w:rsidTr="00725967">
        <w:trPr>
          <w:cantSplit/>
        </w:trPr>
        <w:tc>
          <w:tcPr>
            <w:tcW w:w="4761" w:type="dxa"/>
            <w:vAlign w:val="center"/>
            <w:hideMark/>
          </w:tcPr>
          <w:p w14:paraId="64715728"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Has your country informed the public about the means to access the Biosafety Clearing-House?</w:t>
            </w:r>
          </w:p>
        </w:tc>
        <w:tc>
          <w:tcPr>
            <w:tcW w:w="4684" w:type="dxa"/>
            <w:tcBorders>
              <w:right w:val="single" w:sz="4" w:space="0" w:color="auto"/>
            </w:tcBorders>
            <w:vAlign w:val="center"/>
            <w:hideMark/>
          </w:tcPr>
          <w:p w14:paraId="6B29882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3358115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66FA3D50" w14:textId="77777777" w:rsidTr="00725967">
        <w:trPr>
          <w:cantSplit/>
        </w:trPr>
        <w:tc>
          <w:tcPr>
            <w:tcW w:w="9445" w:type="dxa"/>
            <w:gridSpan w:val="2"/>
            <w:tcBorders>
              <w:right w:val="single" w:sz="4" w:space="0" w:color="auto"/>
            </w:tcBorders>
            <w:vAlign w:val="center"/>
            <w:hideMark/>
          </w:tcPr>
          <w:p w14:paraId="6D015C7D"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t>Here you may provide further details on the implementation of Article 23 in your country:</w:t>
            </w:r>
          </w:p>
          <w:p w14:paraId="68462B5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67" w:right="6"/>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r w:rsidR="00376CED" w:rsidRPr="003075B3" w14:paraId="4413BDB2" w14:textId="77777777" w:rsidTr="00725967">
        <w:trPr>
          <w:cantSplit/>
        </w:trPr>
        <w:tc>
          <w:tcPr>
            <w:tcW w:w="9445" w:type="dxa"/>
            <w:gridSpan w:val="2"/>
            <w:tcBorders>
              <w:right w:val="single" w:sz="4" w:space="0" w:color="auto"/>
            </w:tcBorders>
            <w:vAlign w:val="center"/>
            <w:hideMark/>
          </w:tcPr>
          <w:p w14:paraId="290F1E8D"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3075B3">
              <w:rPr>
                <w:b/>
                <w:kern w:val="22"/>
                <w:sz w:val="20"/>
                <w:szCs w:val="20"/>
              </w:rPr>
              <w:t>Article 24 – Non-Parties</w:t>
            </w:r>
          </w:p>
        </w:tc>
      </w:tr>
      <w:tr w:rsidR="00376CED" w:rsidRPr="003075B3" w14:paraId="258F6699" w14:textId="77777777" w:rsidTr="00725967">
        <w:trPr>
          <w:cantSplit/>
        </w:trPr>
        <w:tc>
          <w:tcPr>
            <w:tcW w:w="4761" w:type="dxa"/>
            <w:vAlign w:val="center"/>
            <w:hideMark/>
          </w:tcPr>
          <w:p w14:paraId="44613187"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Has your country entered into any bilateral, regional, or multilateral agreement with non-Parties regarding transboundary movements of LMOs?</w:t>
            </w:r>
          </w:p>
        </w:tc>
        <w:tc>
          <w:tcPr>
            <w:tcW w:w="4684" w:type="dxa"/>
            <w:tcBorders>
              <w:right w:val="single" w:sz="4" w:space="0" w:color="auto"/>
            </w:tcBorders>
            <w:vAlign w:val="center"/>
            <w:hideMark/>
          </w:tcPr>
          <w:p w14:paraId="5FB5D60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5DE1413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47B91EE9" w14:textId="77777777" w:rsidTr="00725967">
        <w:trPr>
          <w:cantSplit/>
        </w:trPr>
        <w:tc>
          <w:tcPr>
            <w:tcW w:w="4761" w:type="dxa"/>
            <w:vAlign w:val="center"/>
            <w:hideMark/>
          </w:tcPr>
          <w:p w14:paraId="095FB4FB"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spacing w:val="-2"/>
                <w:kern w:val="22"/>
                <w:sz w:val="20"/>
                <w:szCs w:val="20"/>
              </w:rPr>
            </w:pPr>
            <w:r w:rsidRPr="003075B3">
              <w:rPr>
                <w:spacing w:val="-2"/>
                <w:kern w:val="22"/>
                <w:sz w:val="20"/>
                <w:szCs w:val="20"/>
              </w:rPr>
              <w:t>In the current reporting period, has your country imported LMOs from a non-Party?</w:t>
            </w:r>
          </w:p>
        </w:tc>
        <w:tc>
          <w:tcPr>
            <w:tcW w:w="4684" w:type="dxa"/>
            <w:tcBorders>
              <w:right w:val="single" w:sz="4" w:space="0" w:color="auto"/>
            </w:tcBorders>
            <w:vAlign w:val="center"/>
            <w:hideMark/>
          </w:tcPr>
          <w:p w14:paraId="37AEB9E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451EC00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3E258790" w14:textId="77777777" w:rsidTr="00725967">
        <w:trPr>
          <w:cantSplit/>
        </w:trPr>
        <w:tc>
          <w:tcPr>
            <w:tcW w:w="4761" w:type="dxa"/>
            <w:vAlign w:val="center"/>
            <w:hideMark/>
          </w:tcPr>
          <w:p w14:paraId="23E3B919"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In the current reporting period, has your country exported LMOs to a non-Party?</w:t>
            </w:r>
          </w:p>
        </w:tc>
        <w:tc>
          <w:tcPr>
            <w:tcW w:w="4684" w:type="dxa"/>
            <w:tcBorders>
              <w:right w:val="single" w:sz="4" w:space="0" w:color="auto"/>
            </w:tcBorders>
            <w:vAlign w:val="center"/>
            <w:hideMark/>
          </w:tcPr>
          <w:p w14:paraId="7240AF7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36999CE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6FF0A6FC" w14:textId="77777777" w:rsidTr="00725967">
        <w:trPr>
          <w:cantSplit/>
        </w:trPr>
        <w:tc>
          <w:tcPr>
            <w:tcW w:w="4761" w:type="dxa"/>
            <w:vAlign w:val="center"/>
            <w:hideMark/>
          </w:tcPr>
          <w:p w14:paraId="40CE6EE3"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spacing w:val="-2"/>
                <w:kern w:val="22"/>
                <w:sz w:val="20"/>
                <w:szCs w:val="20"/>
              </w:rPr>
            </w:pPr>
            <w:r w:rsidRPr="003075B3">
              <w:rPr>
                <w:spacing w:val="-2"/>
                <w:kern w:val="22"/>
                <w:sz w:val="20"/>
                <w:szCs w:val="20"/>
              </w:rPr>
              <w:t xml:space="preserve">If you answered </w:t>
            </w:r>
            <w:r w:rsidRPr="003075B3">
              <w:rPr>
                <w:i/>
                <w:spacing w:val="-2"/>
                <w:kern w:val="22"/>
                <w:sz w:val="20"/>
                <w:szCs w:val="20"/>
              </w:rPr>
              <w:t>Yes</w:t>
            </w:r>
            <w:r w:rsidRPr="003075B3">
              <w:rPr>
                <w:spacing w:val="-2"/>
                <w:kern w:val="22"/>
                <w:sz w:val="20"/>
                <w:szCs w:val="20"/>
              </w:rPr>
              <w:t xml:space="preserve"> to question 154 and/or 155, were the transboundary movements of LMOs consistent with the objective of the Cartagena Protocol on Biosafety?</w:t>
            </w:r>
          </w:p>
        </w:tc>
        <w:tc>
          <w:tcPr>
            <w:tcW w:w="4684" w:type="dxa"/>
            <w:tcBorders>
              <w:right w:val="single" w:sz="4" w:space="0" w:color="auto"/>
            </w:tcBorders>
            <w:vAlign w:val="center"/>
            <w:hideMark/>
          </w:tcPr>
          <w:p w14:paraId="4A80D08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always</w:t>
            </w:r>
          </w:p>
          <w:p w14:paraId="4ACDCC7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In some </w:t>
            </w:r>
            <w:proofErr w:type="gramStart"/>
            <w:r w:rsidRPr="003075B3">
              <w:rPr>
                <w:kern w:val="22"/>
                <w:sz w:val="20"/>
                <w:szCs w:val="20"/>
              </w:rPr>
              <w:t>cases</w:t>
            </w:r>
            <w:proofErr w:type="gramEnd"/>
            <w:r w:rsidRPr="003075B3">
              <w:rPr>
                <w:kern w:val="22"/>
                <w:sz w:val="20"/>
                <w:szCs w:val="20"/>
              </w:rPr>
              <w:t xml:space="preserve"> only</w:t>
            </w:r>
          </w:p>
          <w:p w14:paraId="542A259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09627C17" w14:textId="77777777" w:rsidTr="00725967">
        <w:trPr>
          <w:cantSplit/>
        </w:trPr>
        <w:tc>
          <w:tcPr>
            <w:tcW w:w="9445" w:type="dxa"/>
            <w:gridSpan w:val="2"/>
            <w:tcBorders>
              <w:right w:val="single" w:sz="4" w:space="0" w:color="auto"/>
            </w:tcBorders>
            <w:hideMark/>
          </w:tcPr>
          <w:p w14:paraId="7E42F3ED"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lastRenderedPageBreak/>
              <w:t>Here you may provide further details on the implementation of Article 24 in your country:</w:t>
            </w:r>
          </w:p>
          <w:p w14:paraId="6994B7F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r w:rsidR="00376CED" w:rsidRPr="003075B3" w14:paraId="6CBDF1AE" w14:textId="77777777" w:rsidTr="00725967">
        <w:trPr>
          <w:cantSplit/>
        </w:trPr>
        <w:tc>
          <w:tcPr>
            <w:tcW w:w="9445" w:type="dxa"/>
            <w:gridSpan w:val="2"/>
            <w:tcBorders>
              <w:right w:val="single" w:sz="4" w:space="0" w:color="auto"/>
            </w:tcBorders>
            <w:hideMark/>
          </w:tcPr>
          <w:p w14:paraId="223F2D6A"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3075B3">
              <w:rPr>
                <w:b/>
                <w:kern w:val="22"/>
                <w:sz w:val="20"/>
                <w:szCs w:val="20"/>
              </w:rPr>
              <w:t>Article 25 – Illegal transboundary movements</w:t>
            </w:r>
            <w:r w:rsidRPr="003075B3">
              <w:rPr>
                <w:rStyle w:val="FootnoteReference"/>
                <w:kern w:val="22"/>
                <w:sz w:val="20"/>
                <w:szCs w:val="20"/>
              </w:rPr>
              <w:footnoteReference w:id="15"/>
            </w:r>
          </w:p>
        </w:tc>
      </w:tr>
      <w:tr w:rsidR="00376CED" w:rsidRPr="003075B3" w14:paraId="24F54D57" w14:textId="77777777" w:rsidTr="00725967">
        <w:trPr>
          <w:cantSplit/>
        </w:trPr>
        <w:tc>
          <w:tcPr>
            <w:tcW w:w="4761" w:type="dxa"/>
            <w:vAlign w:val="center"/>
            <w:hideMark/>
          </w:tcPr>
          <w:p w14:paraId="4DED8690"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Has your country adopted domestic measures aimed at preventing and/or penalizing transboundary movements of LMOs carried out in contravention of its domestic measures to implement the Cartagena Protocol?</w:t>
            </w:r>
          </w:p>
        </w:tc>
        <w:tc>
          <w:tcPr>
            <w:tcW w:w="4684" w:type="dxa"/>
            <w:tcBorders>
              <w:right w:val="single" w:sz="4" w:space="0" w:color="auto"/>
            </w:tcBorders>
            <w:vAlign w:val="center"/>
            <w:hideMark/>
          </w:tcPr>
          <w:p w14:paraId="2C5020F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190CCD9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to some extent: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r w:rsidRPr="003075B3">
              <w:rPr>
                <w:kern w:val="22"/>
                <w:sz w:val="20"/>
                <w:szCs w:val="20"/>
              </w:rPr>
              <w:t xml:space="preserve"> </w:t>
            </w:r>
          </w:p>
          <w:p w14:paraId="1B36EB8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616BFA8D" w14:textId="77777777" w:rsidTr="00725967">
        <w:trPr>
          <w:cantSplit/>
        </w:trPr>
        <w:tc>
          <w:tcPr>
            <w:tcW w:w="4761" w:type="dxa"/>
            <w:vAlign w:val="center"/>
          </w:tcPr>
          <w:p w14:paraId="71A4D327"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spacing w:val="-4"/>
                <w:kern w:val="22"/>
                <w:sz w:val="20"/>
                <w:szCs w:val="20"/>
              </w:rPr>
            </w:pPr>
            <w:r w:rsidRPr="003075B3">
              <w:rPr>
                <w:spacing w:val="-4"/>
                <w:kern w:val="22"/>
                <w:sz w:val="20"/>
                <w:szCs w:val="20"/>
              </w:rPr>
              <w:t>In the current reporting period, how many cases of illegal transboundary movements of LMOs has your country become aware of?</w:t>
            </w:r>
          </w:p>
        </w:tc>
        <w:tc>
          <w:tcPr>
            <w:tcW w:w="4684" w:type="dxa"/>
            <w:tcBorders>
              <w:right w:val="single" w:sz="4" w:space="0" w:color="auto"/>
            </w:tcBorders>
            <w:vAlign w:val="center"/>
          </w:tcPr>
          <w:p w14:paraId="5B45631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0FF8821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4</w:t>
            </w:r>
          </w:p>
          <w:p w14:paraId="4BA3806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 to 9</w:t>
            </w:r>
          </w:p>
          <w:p w14:paraId="5A82A7C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or more</w:t>
            </w:r>
          </w:p>
        </w:tc>
      </w:tr>
      <w:tr w:rsidR="00376CED" w:rsidRPr="003075B3" w14:paraId="0C0C9A6F" w14:textId="77777777" w:rsidTr="00725967">
        <w:trPr>
          <w:cantSplit/>
        </w:trPr>
        <w:tc>
          <w:tcPr>
            <w:tcW w:w="4761" w:type="dxa"/>
            <w:shd w:val="clear" w:color="auto" w:fill="auto"/>
            <w:vAlign w:val="center"/>
            <w:hideMark/>
          </w:tcPr>
          <w:p w14:paraId="0677CAF8"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If you indicated </w:t>
            </w:r>
            <w:r w:rsidRPr="003075B3">
              <w:rPr>
                <w:i/>
                <w:kern w:val="22"/>
                <w:sz w:val="20"/>
                <w:szCs w:val="20"/>
              </w:rPr>
              <w:t>under question 159</w:t>
            </w:r>
            <w:r w:rsidRPr="003075B3">
              <w:rPr>
                <w:kern w:val="22"/>
                <w:sz w:val="20"/>
                <w:szCs w:val="20"/>
              </w:rPr>
              <w:t xml:space="preserve"> that </w:t>
            </w:r>
            <w:r w:rsidRPr="003075B3">
              <w:rPr>
                <w:i/>
                <w:kern w:val="22"/>
                <w:sz w:val="20"/>
                <w:szCs w:val="20"/>
              </w:rPr>
              <w:t>your country became aware of cases of illegal transboundary movements</w:t>
            </w:r>
            <w:r w:rsidRPr="003075B3">
              <w:rPr>
                <w:kern w:val="22"/>
                <w:sz w:val="20"/>
                <w:szCs w:val="20"/>
              </w:rPr>
              <w:t>, has the origin of the LMO(s) been established?</w:t>
            </w:r>
          </w:p>
        </w:tc>
        <w:tc>
          <w:tcPr>
            <w:tcW w:w="4684" w:type="dxa"/>
            <w:tcBorders>
              <w:right w:val="single" w:sz="4" w:space="0" w:color="auto"/>
            </w:tcBorders>
            <w:shd w:val="clear" w:color="auto" w:fill="auto"/>
            <w:vAlign w:val="center"/>
            <w:hideMark/>
          </w:tcPr>
          <w:p w14:paraId="3CB2341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w:t>
            </w:r>
          </w:p>
          <w:p w14:paraId="1B85C98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some cases</w:t>
            </w:r>
          </w:p>
          <w:p w14:paraId="768FF73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2A9B6FC4" w14:textId="77777777" w:rsidTr="00725967">
        <w:trPr>
          <w:cantSplit/>
        </w:trPr>
        <w:tc>
          <w:tcPr>
            <w:tcW w:w="9445" w:type="dxa"/>
            <w:gridSpan w:val="2"/>
            <w:tcBorders>
              <w:right w:val="single" w:sz="4" w:space="0" w:color="auto"/>
            </w:tcBorders>
            <w:hideMark/>
          </w:tcPr>
          <w:p w14:paraId="5A8D3B83"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t>Here you may provide further details on the implementation of Article 25 in your country:</w:t>
            </w:r>
          </w:p>
          <w:p w14:paraId="7730EA5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67" w:right="6"/>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r w:rsidR="00376CED" w:rsidRPr="003075B3" w14:paraId="3EA84F6B" w14:textId="77777777" w:rsidTr="00725967">
        <w:trPr>
          <w:cantSplit/>
        </w:trPr>
        <w:tc>
          <w:tcPr>
            <w:tcW w:w="9445" w:type="dxa"/>
            <w:gridSpan w:val="2"/>
            <w:tcBorders>
              <w:right w:val="single" w:sz="4" w:space="0" w:color="auto"/>
            </w:tcBorders>
            <w:hideMark/>
          </w:tcPr>
          <w:p w14:paraId="281B696D"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3075B3">
              <w:rPr>
                <w:b/>
                <w:kern w:val="22"/>
                <w:sz w:val="20"/>
                <w:szCs w:val="20"/>
              </w:rPr>
              <w:t>Article 26 – Socio-economic considerations</w:t>
            </w:r>
          </w:p>
        </w:tc>
      </w:tr>
      <w:tr w:rsidR="00376CED" w:rsidRPr="003075B3" w14:paraId="0BA1F06B" w14:textId="77777777" w:rsidTr="00725967">
        <w:trPr>
          <w:cantSplit/>
        </w:trPr>
        <w:tc>
          <w:tcPr>
            <w:tcW w:w="4761" w:type="dxa"/>
            <w:vAlign w:val="center"/>
            <w:hideMark/>
          </w:tcPr>
          <w:p w14:paraId="59FB8706"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rPr>
                <w:i/>
                <w:spacing w:val="-2"/>
                <w:kern w:val="22"/>
                <w:sz w:val="20"/>
                <w:szCs w:val="20"/>
              </w:rPr>
            </w:pPr>
            <w:r w:rsidRPr="003075B3">
              <w:rPr>
                <w:spacing w:val="-2"/>
                <w:kern w:val="22"/>
                <w:sz w:val="20"/>
                <w:szCs w:val="20"/>
              </w:rPr>
              <w:t xml:space="preserve">Does your country have any specific approaches or requirements that facilitate how socioeconomic considerations should be </w:t>
            </w:r>
            <w:proofErr w:type="gramStart"/>
            <w:r w:rsidRPr="003075B3">
              <w:rPr>
                <w:spacing w:val="-2"/>
                <w:kern w:val="22"/>
                <w:sz w:val="20"/>
                <w:szCs w:val="20"/>
              </w:rPr>
              <w:t>taken into account</w:t>
            </w:r>
            <w:proofErr w:type="gramEnd"/>
            <w:r w:rsidRPr="003075B3">
              <w:rPr>
                <w:spacing w:val="-2"/>
                <w:kern w:val="22"/>
                <w:sz w:val="20"/>
                <w:szCs w:val="20"/>
              </w:rPr>
              <w:t xml:space="preserve"> in LMO decision-making?</w:t>
            </w:r>
          </w:p>
        </w:tc>
        <w:tc>
          <w:tcPr>
            <w:tcW w:w="4684" w:type="dxa"/>
            <w:tcBorders>
              <w:right w:val="single" w:sz="4" w:space="0" w:color="auto"/>
            </w:tcBorders>
            <w:vAlign w:val="center"/>
            <w:hideMark/>
          </w:tcPr>
          <w:p w14:paraId="2177D22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w:t>
            </w:r>
          </w:p>
          <w:p w14:paraId="0CC5643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362D3B20" w14:textId="77777777" w:rsidTr="00725967">
        <w:trPr>
          <w:cantSplit/>
        </w:trPr>
        <w:tc>
          <w:tcPr>
            <w:tcW w:w="4761" w:type="dxa"/>
            <w:vAlign w:val="center"/>
            <w:hideMark/>
          </w:tcPr>
          <w:p w14:paraId="5E90DDF6"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t xml:space="preserve">In the current reporting period, have socioeconomic considerations arising from the impact of LMOs been </w:t>
            </w:r>
            <w:proofErr w:type="gramStart"/>
            <w:r w:rsidRPr="003075B3">
              <w:rPr>
                <w:kern w:val="22"/>
                <w:sz w:val="20"/>
                <w:szCs w:val="20"/>
              </w:rPr>
              <w:t>taken into account</w:t>
            </w:r>
            <w:proofErr w:type="gramEnd"/>
            <w:r w:rsidRPr="003075B3">
              <w:rPr>
                <w:kern w:val="22"/>
                <w:sz w:val="20"/>
                <w:szCs w:val="20"/>
              </w:rPr>
              <w:t xml:space="preserve"> in decision-making?</w:t>
            </w:r>
          </w:p>
        </w:tc>
        <w:tc>
          <w:tcPr>
            <w:tcW w:w="4684" w:type="dxa"/>
            <w:tcBorders>
              <w:right w:val="single" w:sz="4" w:space="0" w:color="auto"/>
            </w:tcBorders>
            <w:vAlign w:val="center"/>
            <w:hideMark/>
          </w:tcPr>
          <w:p w14:paraId="769FFCD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always</w:t>
            </w:r>
          </w:p>
          <w:p w14:paraId="72B368B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r>
            <w:r w:rsidRPr="003075B3">
              <w:rPr>
                <w:color w:val="000000"/>
                <w:kern w:val="22"/>
                <w:sz w:val="20"/>
                <w:szCs w:val="20"/>
              </w:rPr>
              <w:t xml:space="preserve">In some </w:t>
            </w:r>
            <w:proofErr w:type="gramStart"/>
            <w:r w:rsidRPr="003075B3">
              <w:rPr>
                <w:color w:val="000000"/>
                <w:kern w:val="22"/>
                <w:sz w:val="20"/>
                <w:szCs w:val="20"/>
              </w:rPr>
              <w:t>cases</w:t>
            </w:r>
            <w:proofErr w:type="gramEnd"/>
            <w:r w:rsidRPr="003075B3">
              <w:rPr>
                <w:color w:val="000000"/>
                <w:kern w:val="22"/>
                <w:sz w:val="20"/>
                <w:szCs w:val="20"/>
              </w:rPr>
              <w:t xml:space="preserve"> only</w:t>
            </w:r>
          </w:p>
          <w:p w14:paraId="67C63A7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p w14:paraId="3ABE6B7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Not applicable </w:t>
            </w:r>
            <w:r w:rsidRPr="003075B3">
              <w:rPr>
                <w:bCs/>
                <w:iCs/>
                <w:kern w:val="22"/>
                <w:sz w:val="20"/>
                <w:szCs w:val="20"/>
              </w:rPr>
              <w:t>(no decisions were taken)</w:t>
            </w:r>
          </w:p>
        </w:tc>
      </w:tr>
      <w:tr w:rsidR="00376CED" w:rsidRPr="003075B3" w14:paraId="64468846" w14:textId="77777777" w:rsidTr="00725967">
        <w:trPr>
          <w:cantSplit/>
        </w:trPr>
        <w:tc>
          <w:tcPr>
            <w:tcW w:w="4761" w:type="dxa"/>
            <w:vAlign w:val="center"/>
            <w:hideMark/>
          </w:tcPr>
          <w:p w14:paraId="00420961"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i/>
                <w:kern w:val="22"/>
                <w:sz w:val="20"/>
                <w:szCs w:val="20"/>
              </w:rPr>
            </w:pPr>
            <w:r w:rsidRPr="003075B3">
              <w:rPr>
                <w:kern w:val="22"/>
                <w:sz w:val="20"/>
                <w:szCs w:val="20"/>
              </w:rPr>
              <w:t xml:space="preserve">How many peer-reviewed published materials has your country used </w:t>
            </w:r>
            <w:proofErr w:type="gramStart"/>
            <w:r w:rsidRPr="003075B3">
              <w:rPr>
                <w:kern w:val="22"/>
                <w:sz w:val="20"/>
                <w:szCs w:val="20"/>
              </w:rPr>
              <w:t>for the purpose of</w:t>
            </w:r>
            <w:proofErr w:type="gramEnd"/>
            <w:r w:rsidRPr="003075B3">
              <w:rPr>
                <w:kern w:val="22"/>
                <w:sz w:val="20"/>
                <w:szCs w:val="20"/>
              </w:rPr>
              <w:t xml:space="preserve"> elaborating or determining national actions with regard to socioeconomic considerations?</w:t>
            </w:r>
          </w:p>
        </w:tc>
        <w:tc>
          <w:tcPr>
            <w:tcW w:w="4684" w:type="dxa"/>
            <w:tcBorders>
              <w:right w:val="single" w:sz="4" w:space="0" w:color="auto"/>
            </w:tcBorders>
            <w:vAlign w:val="center"/>
            <w:hideMark/>
          </w:tcPr>
          <w:p w14:paraId="006E7E0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None</w:t>
            </w:r>
          </w:p>
          <w:p w14:paraId="29E6417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4</w:t>
            </w:r>
          </w:p>
          <w:p w14:paraId="016B4A4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 to 9</w:t>
            </w:r>
          </w:p>
          <w:p w14:paraId="0C0DCAE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 to 49</w:t>
            </w:r>
          </w:p>
          <w:p w14:paraId="082EE25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50 or more</w:t>
            </w:r>
          </w:p>
          <w:p w14:paraId="09AD9C0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240" w:after="120"/>
              <w:ind w:left="734" w:hanging="734"/>
              <w:rPr>
                <w:kern w:val="22"/>
                <w:sz w:val="20"/>
                <w:szCs w:val="20"/>
              </w:rPr>
            </w:pPr>
            <w:r w:rsidRPr="003075B3">
              <w:rPr>
                <w:i/>
                <w:kern w:val="22"/>
                <w:sz w:val="20"/>
                <w:szCs w:val="20"/>
              </w:rPr>
              <w:t xml:space="preserve">Is this number adequate: </w:t>
            </w:r>
            <w:r w:rsidRPr="003075B3">
              <w:rPr>
                <w:i/>
                <w:kern w:val="22"/>
                <w:sz w:val="20"/>
                <w:szCs w:val="20"/>
              </w:rPr>
              <w:fldChar w:fldCharType="begin">
                <w:ffData>
                  <w:name w:val="Check48"/>
                  <w:enabled/>
                  <w:calcOnExit w:val="0"/>
                  <w:checkBox>
                    <w:sizeAuto/>
                    <w:default w:val="0"/>
                  </w:checkBox>
                </w:ffData>
              </w:fldChar>
            </w:r>
            <w:r w:rsidRPr="003075B3">
              <w:rPr>
                <w:i/>
                <w:kern w:val="22"/>
                <w:sz w:val="20"/>
                <w:szCs w:val="20"/>
              </w:rPr>
              <w:instrText xml:space="preserve"> FORMCHECKBOX </w:instrText>
            </w:r>
            <w:r w:rsidR="00986A60">
              <w:rPr>
                <w:i/>
                <w:kern w:val="22"/>
                <w:sz w:val="20"/>
                <w:szCs w:val="20"/>
              </w:rPr>
            </w:r>
            <w:r w:rsidR="00986A60">
              <w:rPr>
                <w:i/>
                <w:kern w:val="22"/>
                <w:sz w:val="20"/>
                <w:szCs w:val="20"/>
              </w:rPr>
              <w:fldChar w:fldCharType="separate"/>
            </w:r>
            <w:r w:rsidRPr="003075B3">
              <w:rPr>
                <w:i/>
                <w:kern w:val="22"/>
                <w:sz w:val="20"/>
                <w:szCs w:val="20"/>
              </w:rPr>
              <w:fldChar w:fldCharType="end"/>
            </w:r>
            <w:r w:rsidRPr="003075B3">
              <w:rPr>
                <w:i/>
                <w:kern w:val="22"/>
                <w:sz w:val="20"/>
                <w:szCs w:val="20"/>
              </w:rPr>
              <w:t xml:space="preserve"> Yes   </w:t>
            </w:r>
            <w:r w:rsidRPr="003075B3">
              <w:rPr>
                <w:i/>
                <w:kern w:val="22"/>
                <w:sz w:val="20"/>
                <w:szCs w:val="20"/>
              </w:rPr>
              <w:fldChar w:fldCharType="begin">
                <w:ffData>
                  <w:name w:val="Check48"/>
                  <w:enabled/>
                  <w:calcOnExit w:val="0"/>
                  <w:checkBox>
                    <w:sizeAuto/>
                    <w:default w:val="0"/>
                  </w:checkBox>
                </w:ffData>
              </w:fldChar>
            </w:r>
            <w:r w:rsidRPr="003075B3">
              <w:rPr>
                <w:i/>
                <w:kern w:val="22"/>
                <w:sz w:val="20"/>
                <w:szCs w:val="20"/>
              </w:rPr>
              <w:instrText xml:space="preserve"> FORMCHECKBOX </w:instrText>
            </w:r>
            <w:r w:rsidR="00986A60">
              <w:rPr>
                <w:i/>
                <w:kern w:val="22"/>
                <w:sz w:val="20"/>
                <w:szCs w:val="20"/>
              </w:rPr>
            </w:r>
            <w:r w:rsidR="00986A60">
              <w:rPr>
                <w:i/>
                <w:kern w:val="22"/>
                <w:sz w:val="20"/>
                <w:szCs w:val="20"/>
              </w:rPr>
              <w:fldChar w:fldCharType="separate"/>
            </w:r>
            <w:r w:rsidRPr="003075B3">
              <w:rPr>
                <w:i/>
                <w:kern w:val="22"/>
                <w:sz w:val="20"/>
                <w:szCs w:val="20"/>
              </w:rPr>
              <w:fldChar w:fldCharType="end"/>
            </w:r>
            <w:r w:rsidRPr="003075B3">
              <w:rPr>
                <w:i/>
                <w:kern w:val="22"/>
                <w:sz w:val="20"/>
                <w:szCs w:val="20"/>
              </w:rPr>
              <w:t xml:space="preserve"> No</w:t>
            </w:r>
          </w:p>
        </w:tc>
      </w:tr>
      <w:tr w:rsidR="00376CED" w:rsidRPr="003075B3" w14:paraId="3AAFAC2A" w14:textId="77777777" w:rsidTr="00725967">
        <w:trPr>
          <w:cantSplit/>
        </w:trPr>
        <w:tc>
          <w:tcPr>
            <w:tcW w:w="4761" w:type="dxa"/>
            <w:vAlign w:val="center"/>
            <w:hideMark/>
          </w:tcPr>
          <w:p w14:paraId="00E6C694"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490" w:hanging="540"/>
              <w:rPr>
                <w:kern w:val="22"/>
                <w:sz w:val="20"/>
                <w:szCs w:val="20"/>
              </w:rPr>
            </w:pPr>
            <w:r w:rsidRPr="003075B3">
              <w:rPr>
                <w:kern w:val="22"/>
                <w:sz w:val="20"/>
                <w:szCs w:val="20"/>
              </w:rPr>
              <w:lastRenderedPageBreak/>
              <w:t>Has your country cooperated with other Parties on research and information exchange on any socioeconomic impacts of LMOs?</w:t>
            </w:r>
          </w:p>
        </w:tc>
        <w:tc>
          <w:tcPr>
            <w:tcW w:w="4684" w:type="dxa"/>
            <w:tcBorders>
              <w:right w:val="single" w:sz="4" w:space="0" w:color="auto"/>
            </w:tcBorders>
            <w:vAlign w:val="center"/>
            <w:hideMark/>
          </w:tcPr>
          <w:p w14:paraId="305CCF2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73846F5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0E9C6292" w14:textId="77777777" w:rsidTr="00725967">
        <w:trPr>
          <w:cantSplit/>
        </w:trPr>
        <w:tc>
          <w:tcPr>
            <w:tcW w:w="9445" w:type="dxa"/>
            <w:gridSpan w:val="2"/>
            <w:tcBorders>
              <w:right w:val="single" w:sz="4" w:space="0" w:color="auto"/>
            </w:tcBorders>
            <w:hideMark/>
          </w:tcPr>
          <w:p w14:paraId="006CA3CC"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t>Here you may provide further details on the implementation of Article 26 in your country:</w:t>
            </w:r>
          </w:p>
          <w:p w14:paraId="62D4891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r w:rsidR="00376CED" w:rsidRPr="003075B3" w14:paraId="5ED70845" w14:textId="77777777" w:rsidTr="00725967">
        <w:trPr>
          <w:cantSplit/>
        </w:trPr>
        <w:tc>
          <w:tcPr>
            <w:tcW w:w="9445" w:type="dxa"/>
            <w:gridSpan w:val="2"/>
            <w:tcBorders>
              <w:right w:val="single" w:sz="4" w:space="0" w:color="auto"/>
            </w:tcBorders>
            <w:hideMark/>
          </w:tcPr>
          <w:tbl>
            <w:tblPr>
              <w:tblW w:w="9731" w:type="dxa"/>
              <w:tblBorders>
                <w:top w:val="single" w:sz="4" w:space="0" w:color="auto"/>
                <w:bottom w:val="single" w:sz="4" w:space="0" w:color="auto"/>
                <w:insideH w:val="single" w:sz="4" w:space="0" w:color="auto"/>
              </w:tblBorders>
              <w:tblLayout w:type="fixed"/>
              <w:tblCellMar>
                <w:left w:w="120" w:type="dxa"/>
                <w:right w:w="120" w:type="dxa"/>
              </w:tblCellMar>
              <w:tblLook w:val="01E0" w:firstRow="1" w:lastRow="1" w:firstColumn="1" w:lastColumn="1" w:noHBand="0" w:noVBand="0"/>
            </w:tblPr>
            <w:tblGrid>
              <w:gridCol w:w="9731"/>
            </w:tblGrid>
            <w:tr w:rsidR="00376CED" w:rsidRPr="003075B3" w14:paraId="25CAF89B" w14:textId="77777777" w:rsidTr="00725967">
              <w:trPr>
                <w:cantSplit/>
              </w:trPr>
              <w:tc>
                <w:tcPr>
                  <w:tcW w:w="9731" w:type="dxa"/>
                  <w:tcBorders>
                    <w:top w:val="nil"/>
                    <w:left w:val="nil"/>
                    <w:bottom w:val="nil"/>
                    <w:right w:val="nil"/>
                  </w:tcBorders>
                  <w:hideMark/>
                </w:tcPr>
                <w:p w14:paraId="207E3BDB"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3075B3">
                    <w:rPr>
                      <w:rFonts w:eastAsia="Arial Unicode MS"/>
                      <w:b/>
                      <w:bCs/>
                      <w:iCs/>
                      <w:kern w:val="22"/>
                      <w:sz w:val="20"/>
                      <w:szCs w:val="20"/>
                    </w:rPr>
                    <w:t>Article 28 – Financial mechanism and resources</w:t>
                  </w:r>
                </w:p>
              </w:tc>
            </w:tr>
          </w:tbl>
          <w:p w14:paraId="76B0270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rPr>
                <w:kern w:val="22"/>
                <w:sz w:val="20"/>
                <w:szCs w:val="20"/>
              </w:rPr>
            </w:pPr>
          </w:p>
        </w:tc>
      </w:tr>
      <w:tr w:rsidR="00376CED" w:rsidRPr="003075B3" w14:paraId="55060290" w14:textId="77777777" w:rsidTr="00725967">
        <w:trPr>
          <w:cantSplit/>
        </w:trPr>
        <w:tc>
          <w:tcPr>
            <w:tcW w:w="4761" w:type="dxa"/>
            <w:vAlign w:val="center"/>
            <w:hideMark/>
          </w:tcPr>
          <w:p w14:paraId="7A65244B"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rPr>
                <w:i/>
                <w:kern w:val="22"/>
                <w:sz w:val="20"/>
                <w:szCs w:val="20"/>
              </w:rPr>
            </w:pPr>
            <w:r w:rsidRPr="003075B3">
              <w:rPr>
                <w:kern w:val="22"/>
                <w:sz w:val="20"/>
                <w:szCs w:val="20"/>
              </w:rPr>
              <w:t>In the current reporting period, how much funding (in the equivalent of US dollars) has your country mobilized to support implementation of the Cartagena Protocol beyond the regular national budgetary allocation?</w:t>
            </w:r>
          </w:p>
        </w:tc>
        <w:tc>
          <w:tcPr>
            <w:tcW w:w="4684" w:type="dxa"/>
            <w:tcBorders>
              <w:right w:val="single" w:sz="4" w:space="0" w:color="auto"/>
            </w:tcBorders>
            <w:vAlign w:val="center"/>
            <w:hideMark/>
          </w:tcPr>
          <w:p w14:paraId="152E3A4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Nothing</w:t>
            </w:r>
          </w:p>
          <w:p w14:paraId="297F429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 to 4,999 USD</w:t>
            </w:r>
          </w:p>
          <w:p w14:paraId="122956B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5,000 to 49,999 USD</w:t>
            </w:r>
          </w:p>
          <w:p w14:paraId="56EFAFF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50,000 to 99,999 USD</w:t>
            </w:r>
          </w:p>
          <w:p w14:paraId="443EBDF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100,000 to 499,000 USD</w:t>
            </w:r>
          </w:p>
          <w:p w14:paraId="360ABD1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500,000 USD or more</w:t>
            </w:r>
          </w:p>
        </w:tc>
      </w:tr>
      <w:tr w:rsidR="00376CED" w:rsidRPr="003075B3" w14:paraId="1FB55E86" w14:textId="77777777" w:rsidTr="00725967">
        <w:trPr>
          <w:cantSplit/>
        </w:trPr>
        <w:tc>
          <w:tcPr>
            <w:tcW w:w="9445" w:type="dxa"/>
            <w:gridSpan w:val="2"/>
            <w:tcBorders>
              <w:bottom w:val="single" w:sz="4" w:space="0" w:color="auto"/>
              <w:right w:val="single" w:sz="4" w:space="0" w:color="auto"/>
            </w:tcBorders>
            <w:hideMark/>
          </w:tcPr>
          <w:p w14:paraId="629D1FE8"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
                <w:bCs/>
                <w:iCs/>
                <w:kern w:val="22"/>
                <w:sz w:val="20"/>
                <w:szCs w:val="20"/>
              </w:rPr>
            </w:pPr>
            <w:r w:rsidRPr="003075B3">
              <w:rPr>
                <w:rFonts w:eastAsia="Arial Unicode MS"/>
                <w:b/>
                <w:bCs/>
                <w:iCs/>
                <w:kern w:val="22"/>
                <w:sz w:val="20"/>
                <w:szCs w:val="20"/>
              </w:rPr>
              <w:t>Article 33 – Monitoring and reporting</w:t>
            </w:r>
          </w:p>
          <w:p w14:paraId="40DE001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jc w:val="center"/>
              <w:outlineLvl w:val="3"/>
              <w:rPr>
                <w:rFonts w:eastAsia="Arial Unicode MS"/>
                <w:bCs/>
                <w:i/>
                <w:iCs/>
                <w:kern w:val="22"/>
                <w:sz w:val="20"/>
                <w:szCs w:val="20"/>
              </w:rPr>
            </w:pPr>
            <w:r w:rsidRPr="003075B3">
              <w:rPr>
                <w:rFonts w:eastAsia="Arial Unicode MS"/>
                <w:bCs/>
                <w:i/>
                <w:iCs/>
                <w:kern w:val="22"/>
                <w:sz w:val="20"/>
                <w:szCs w:val="20"/>
              </w:rPr>
              <w:t xml:space="preserve">Article 33 requires Parties to monitor </w:t>
            </w:r>
            <w:r w:rsidRPr="003075B3">
              <w:rPr>
                <w:rFonts w:eastAsia="Arial Unicode MS"/>
                <w:bCs/>
                <w:i/>
                <w:iCs/>
                <w:kern w:val="22"/>
                <w:sz w:val="20"/>
                <w:szCs w:val="20"/>
                <w:u w:val="single"/>
              </w:rPr>
              <w:t>the implementation of its obligations</w:t>
            </w:r>
            <w:r w:rsidRPr="003075B3">
              <w:rPr>
                <w:rFonts w:eastAsia="Arial Unicode MS"/>
                <w:bCs/>
                <w:i/>
                <w:iCs/>
                <w:kern w:val="22"/>
                <w:sz w:val="20"/>
                <w:szCs w:val="20"/>
              </w:rPr>
              <w:t xml:space="preserve"> under the Cartagena Protocol and to report to the Conference of the Parties serving as the meeting of the Parties to the Cartagena Protocol on measures taken to implement the Protocol</w:t>
            </w:r>
          </w:p>
        </w:tc>
      </w:tr>
      <w:tr w:rsidR="00376CED" w:rsidRPr="003075B3" w14:paraId="0B241311" w14:textId="77777777" w:rsidTr="00725967">
        <w:trPr>
          <w:cantSplit/>
        </w:trPr>
        <w:tc>
          <w:tcPr>
            <w:tcW w:w="4761" w:type="dxa"/>
            <w:tcBorders>
              <w:bottom w:val="single" w:sz="4" w:space="0" w:color="auto"/>
            </w:tcBorders>
            <w:vAlign w:val="center"/>
            <w:hideMark/>
          </w:tcPr>
          <w:p w14:paraId="0BF80610" w14:textId="77777777" w:rsidR="00376CED" w:rsidRPr="003075B3" w:rsidRDefault="00376CED" w:rsidP="00376CED">
            <w:pPr>
              <w:numPr>
                <w:ilvl w:val="0"/>
                <w:numId w:val="48"/>
              </w:numPr>
              <w:suppressLineNumbers/>
              <w:shd w:val="clear" w:color="auto" w:fill="FFFFFF" w:themeFill="background1"/>
              <w:suppressAutoHyphens/>
              <w:kinsoku w:val="0"/>
              <w:overflowPunct w:val="0"/>
              <w:autoSpaceDE w:val="0"/>
              <w:autoSpaceDN w:val="0"/>
              <w:adjustRightInd w:val="0"/>
              <w:snapToGrid w:val="0"/>
              <w:spacing w:before="120" w:after="120"/>
              <w:ind w:left="547" w:right="360" w:hanging="547"/>
              <w:rPr>
                <w:kern w:val="22"/>
                <w:sz w:val="20"/>
                <w:szCs w:val="20"/>
              </w:rPr>
            </w:pPr>
            <w:r w:rsidRPr="003075B3">
              <w:rPr>
                <w:kern w:val="22"/>
                <w:sz w:val="20"/>
                <w:szCs w:val="20"/>
              </w:rPr>
              <w:t>Does your country have in place a system to monitor and enforce the implementation of the Cartagena Protocol?</w:t>
            </w:r>
          </w:p>
        </w:tc>
        <w:tc>
          <w:tcPr>
            <w:tcW w:w="4684" w:type="dxa"/>
            <w:tcBorders>
              <w:bottom w:val="single" w:sz="4" w:space="0" w:color="auto"/>
              <w:right w:val="single" w:sz="4" w:space="0" w:color="auto"/>
            </w:tcBorders>
            <w:vAlign w:val="center"/>
            <w:hideMark/>
          </w:tcPr>
          <w:p w14:paraId="450D3CF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27E8056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i/>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422D3B6D" w14:textId="77777777" w:rsidTr="00725967">
        <w:trPr>
          <w:cantSplit/>
        </w:trPr>
        <w:tc>
          <w:tcPr>
            <w:tcW w:w="9445" w:type="dxa"/>
            <w:gridSpan w:val="2"/>
            <w:tcBorders>
              <w:right w:val="single" w:sz="4" w:space="0" w:color="auto"/>
            </w:tcBorders>
            <w:hideMark/>
          </w:tcPr>
          <w:p w14:paraId="01FC3411"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jc w:val="center"/>
              <w:rPr>
                <w:b/>
                <w:kern w:val="22"/>
                <w:sz w:val="20"/>
                <w:szCs w:val="20"/>
              </w:rPr>
            </w:pPr>
            <w:r w:rsidRPr="003075B3">
              <w:rPr>
                <w:b/>
                <w:kern w:val="22"/>
                <w:sz w:val="20"/>
                <w:szCs w:val="20"/>
              </w:rPr>
              <w:t>Nagoya-Kuala Lumpur Supplementary Protocol on Liability and Redress</w:t>
            </w:r>
          </w:p>
          <w:p w14:paraId="43662F31"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jc w:val="center"/>
              <w:rPr>
                <w:i/>
                <w:kern w:val="22"/>
                <w:sz w:val="20"/>
                <w:szCs w:val="20"/>
              </w:rPr>
            </w:pPr>
            <w:r w:rsidRPr="003075B3">
              <w:rPr>
                <w:i/>
                <w:iCs/>
                <w:color w:val="000000"/>
                <w:kern w:val="22"/>
                <w:sz w:val="20"/>
                <w:szCs w:val="20"/>
              </w:rPr>
              <w:t>Parties to the Cartagena Protocol that are not yet Party to the Supplementary Protocol are also invited to respond to the questions below</w:t>
            </w:r>
          </w:p>
        </w:tc>
      </w:tr>
      <w:tr w:rsidR="00376CED" w:rsidRPr="003075B3" w14:paraId="69A40873" w14:textId="77777777" w:rsidTr="00725967">
        <w:trPr>
          <w:cantSplit/>
        </w:trPr>
        <w:tc>
          <w:tcPr>
            <w:tcW w:w="4761" w:type="dxa"/>
            <w:shd w:val="clear" w:color="auto" w:fill="FFFFFF"/>
            <w:vAlign w:val="center"/>
            <w:hideMark/>
          </w:tcPr>
          <w:p w14:paraId="5C4DA029"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rPr>
                <w:i/>
                <w:kern w:val="22"/>
                <w:sz w:val="20"/>
                <w:szCs w:val="20"/>
              </w:rPr>
            </w:pPr>
            <w:r w:rsidRPr="003075B3">
              <w:rPr>
                <w:kern w:val="22"/>
                <w:sz w:val="20"/>
                <w:szCs w:val="20"/>
              </w:rPr>
              <w:t>Is your country a Party to the Nagoya-Kuala Lumpur Supplementary Protocol on Liability and Redress?</w:t>
            </w:r>
          </w:p>
        </w:tc>
        <w:tc>
          <w:tcPr>
            <w:tcW w:w="4684" w:type="dxa"/>
            <w:tcBorders>
              <w:right w:val="single" w:sz="4" w:space="0" w:color="auto"/>
            </w:tcBorders>
            <w:shd w:val="clear" w:color="auto" w:fill="FFFFFF"/>
            <w:vAlign w:val="center"/>
            <w:hideMark/>
          </w:tcPr>
          <w:p w14:paraId="29061D6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6AA2264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i/>
                <w:iCs/>
                <w:kern w:val="22"/>
                <w:sz w:val="20"/>
                <w:szCs w:val="20"/>
              </w:rPr>
              <w:fldChar w:fldCharType="begin">
                <w:ffData>
                  <w:name w:val="Check48"/>
                  <w:enabled/>
                  <w:calcOnExit w:val="0"/>
                  <w:checkBox>
                    <w:sizeAuto/>
                    <w:default w:val="0"/>
                    <w:checked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bCs/>
                <w:iCs/>
                <w:kern w:val="22"/>
                <w:sz w:val="20"/>
                <w:szCs w:val="20"/>
              </w:rPr>
              <w:t>No</w:t>
            </w:r>
          </w:p>
        </w:tc>
      </w:tr>
      <w:tr w:rsidR="00376CED" w:rsidRPr="003075B3" w14:paraId="469B45D3" w14:textId="77777777" w:rsidTr="00725967">
        <w:trPr>
          <w:cantSplit/>
        </w:trPr>
        <w:tc>
          <w:tcPr>
            <w:tcW w:w="4761" w:type="dxa"/>
            <w:tcBorders>
              <w:bottom w:val="single" w:sz="4" w:space="0" w:color="auto"/>
            </w:tcBorders>
            <w:shd w:val="clear" w:color="auto" w:fill="auto"/>
            <w:vAlign w:val="center"/>
            <w:hideMark/>
          </w:tcPr>
          <w:p w14:paraId="54E5119F"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rPr>
                <w:i/>
                <w:kern w:val="22"/>
                <w:sz w:val="20"/>
                <w:szCs w:val="20"/>
              </w:rPr>
            </w:pPr>
            <w:r w:rsidRPr="003075B3">
              <w:rPr>
                <w:kern w:val="22"/>
                <w:sz w:val="20"/>
                <w:szCs w:val="20"/>
              </w:rPr>
              <w:t xml:space="preserve">If you answered </w:t>
            </w:r>
            <w:r w:rsidRPr="003075B3">
              <w:rPr>
                <w:i/>
                <w:kern w:val="22"/>
                <w:sz w:val="20"/>
                <w:szCs w:val="20"/>
              </w:rPr>
              <w:t>No</w:t>
            </w:r>
            <w:r w:rsidRPr="003075B3">
              <w:rPr>
                <w:kern w:val="22"/>
                <w:sz w:val="20"/>
                <w:szCs w:val="20"/>
              </w:rPr>
              <w:t xml:space="preserve"> to question 169, is there any national process in place towards becoming a Party to the Supplementary Protocol?</w:t>
            </w:r>
          </w:p>
        </w:tc>
        <w:tc>
          <w:tcPr>
            <w:tcW w:w="4684" w:type="dxa"/>
            <w:tcBorders>
              <w:bottom w:val="single" w:sz="4" w:space="0" w:color="auto"/>
              <w:right w:val="single" w:sz="4" w:space="0" w:color="auto"/>
            </w:tcBorders>
            <w:shd w:val="clear" w:color="auto" w:fill="auto"/>
            <w:vAlign w:val="center"/>
            <w:hideMark/>
          </w:tcPr>
          <w:p w14:paraId="72E1E58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
                  <w:enabled/>
                  <w:calcOnExit w:val="0"/>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5F2FC4B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i/>
                <w:iCs/>
                <w:kern w:val="22"/>
                <w:sz w:val="20"/>
                <w:szCs w:val="20"/>
              </w:rPr>
              <w:fldChar w:fldCharType="begin">
                <w:ffData>
                  <w:name w:val="Check48"/>
                  <w:enabled/>
                  <w:calcOnExit w:val="0"/>
                  <w:checkBox>
                    <w:sizeAuto/>
                    <w:default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bCs/>
                <w:iCs/>
                <w:kern w:val="22"/>
                <w:sz w:val="20"/>
                <w:szCs w:val="20"/>
              </w:rPr>
              <w:t>No</w:t>
            </w:r>
          </w:p>
        </w:tc>
      </w:tr>
      <w:tr w:rsidR="00376CED" w:rsidRPr="003075B3" w14:paraId="75AA1F47" w14:textId="77777777" w:rsidTr="00725967">
        <w:trPr>
          <w:cantSplit/>
        </w:trPr>
        <w:tc>
          <w:tcPr>
            <w:tcW w:w="4761" w:type="dxa"/>
            <w:tcBorders>
              <w:bottom w:val="single" w:sz="4" w:space="0" w:color="auto"/>
            </w:tcBorders>
            <w:shd w:val="clear" w:color="auto" w:fill="auto"/>
            <w:vAlign w:val="center"/>
          </w:tcPr>
          <w:p w14:paraId="4DD28E36"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t>Has your country introduced the necessary measures for the implementation of the Supplementary Protocol?</w:t>
            </w:r>
          </w:p>
        </w:tc>
        <w:tc>
          <w:tcPr>
            <w:tcW w:w="4684" w:type="dxa"/>
            <w:tcBorders>
              <w:bottom w:val="single" w:sz="4" w:space="0" w:color="auto"/>
              <w:right w:val="single" w:sz="4" w:space="0" w:color="auto"/>
            </w:tcBorders>
            <w:shd w:val="clear" w:color="auto" w:fill="auto"/>
            <w:vAlign w:val="center"/>
          </w:tcPr>
          <w:p w14:paraId="21A6904D" w14:textId="77777777" w:rsidR="00376CED" w:rsidRPr="003075B3" w:rsidRDefault="00376CED" w:rsidP="00725967">
            <w:pPr>
              <w:suppressLineNumbers/>
              <w:shd w:val="clear" w:color="auto" w:fill="FFFFFF" w:themeFill="background1"/>
              <w:tabs>
                <w:tab w:val="left" w:pos="702"/>
              </w:tabs>
              <w:suppressAutoHyphens/>
              <w:kinsoku w:val="0"/>
              <w:overflowPunct w:val="0"/>
              <w:autoSpaceDE w:val="0"/>
              <w:autoSpaceDN w:val="0"/>
              <w:adjustRightInd w:val="0"/>
              <w:snapToGrid w:val="0"/>
              <w:spacing w:before="120" w:after="120"/>
              <w:ind w:left="6" w:hanging="6"/>
              <w:rPr>
                <w:kern w:val="22"/>
                <w:sz w:val="20"/>
                <w:szCs w:val="20"/>
              </w:rPr>
            </w:pPr>
            <w:r w:rsidRPr="003075B3">
              <w:rPr>
                <w:kern w:val="22"/>
                <w:sz w:val="20"/>
                <w:szCs w:val="20"/>
              </w:rPr>
              <w:fldChar w:fldCharType="begin">
                <w:ffData>
                  <w:name w:val="Check48"/>
                  <w:enabled/>
                  <w:calcOnExit w:val="0"/>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National measures are fully in place</w:t>
            </w:r>
          </w:p>
          <w:p w14:paraId="0DFA95EB" w14:textId="77777777" w:rsidR="00376CED" w:rsidRPr="003075B3" w:rsidRDefault="00376CED" w:rsidP="00725967">
            <w:pPr>
              <w:suppressLineNumbers/>
              <w:shd w:val="clear" w:color="auto" w:fill="FFFFFF" w:themeFill="background1"/>
              <w:tabs>
                <w:tab w:val="left" w:pos="702"/>
              </w:tabs>
              <w:suppressAutoHyphens/>
              <w:kinsoku w:val="0"/>
              <w:overflowPunct w:val="0"/>
              <w:autoSpaceDE w:val="0"/>
              <w:autoSpaceDN w:val="0"/>
              <w:adjustRightInd w:val="0"/>
              <w:snapToGrid w:val="0"/>
              <w:spacing w:before="120" w:after="120"/>
              <w:ind w:left="6" w:hanging="6"/>
              <w:rPr>
                <w:kern w:val="22"/>
                <w:sz w:val="20"/>
                <w:szCs w:val="20"/>
              </w:rPr>
            </w:pPr>
            <w:r w:rsidRPr="003075B3">
              <w:rPr>
                <w:kern w:val="22"/>
                <w:sz w:val="20"/>
                <w:szCs w:val="20"/>
              </w:rPr>
              <w:fldChar w:fldCharType="begin">
                <w:ffData>
                  <w:name w:val="Check48"/>
                  <w:enabled/>
                  <w:calcOnExit w:val="0"/>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National measures are partially in place</w:t>
            </w:r>
          </w:p>
          <w:p w14:paraId="615617D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20" w:hanging="720"/>
              <w:rPr>
                <w:kern w:val="22"/>
                <w:sz w:val="20"/>
                <w:szCs w:val="20"/>
              </w:rPr>
            </w:pPr>
            <w:r w:rsidRPr="003075B3">
              <w:rPr>
                <w:kern w:val="22"/>
                <w:sz w:val="20"/>
                <w:szCs w:val="20"/>
              </w:rPr>
              <w:fldChar w:fldCharType="begin">
                <w:ffData>
                  <w:name w:val="Check48"/>
                  <w:enabled/>
                  <w:calcOnExit w:val="0"/>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Only temporary measures have been introduced</w:t>
            </w:r>
          </w:p>
          <w:p w14:paraId="3EDD40D0" w14:textId="77777777" w:rsidR="00376CED" w:rsidRPr="003075B3" w:rsidRDefault="00376CED" w:rsidP="00725967">
            <w:pPr>
              <w:suppressLineNumbers/>
              <w:shd w:val="clear" w:color="auto" w:fill="FFFFFF" w:themeFill="background1"/>
              <w:tabs>
                <w:tab w:val="left" w:pos="702"/>
              </w:tabs>
              <w:suppressAutoHyphens/>
              <w:kinsoku w:val="0"/>
              <w:overflowPunct w:val="0"/>
              <w:autoSpaceDE w:val="0"/>
              <w:autoSpaceDN w:val="0"/>
              <w:adjustRightInd w:val="0"/>
              <w:snapToGrid w:val="0"/>
              <w:spacing w:before="120" w:after="120"/>
              <w:ind w:left="6" w:hanging="6"/>
              <w:rPr>
                <w:kern w:val="22"/>
                <w:sz w:val="20"/>
                <w:szCs w:val="20"/>
              </w:rPr>
            </w:pPr>
            <w:r w:rsidRPr="003075B3">
              <w:rPr>
                <w:kern w:val="22"/>
                <w:sz w:val="20"/>
                <w:szCs w:val="20"/>
              </w:rPr>
              <w:fldChar w:fldCharType="begin">
                <w:ffData>
                  <w:name w:val="Check48"/>
                  <w:enabled/>
                  <w:calcOnExit w:val="0"/>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Only draft measures exist</w:t>
            </w:r>
          </w:p>
          <w:p w14:paraId="490C3DC2" w14:textId="77777777" w:rsidR="00376CED" w:rsidRPr="003075B3" w:rsidRDefault="00376CED" w:rsidP="00725967">
            <w:pPr>
              <w:suppressLineNumbers/>
              <w:shd w:val="clear" w:color="auto" w:fill="FFFFFF" w:themeFill="background1"/>
              <w:tabs>
                <w:tab w:val="left" w:pos="702"/>
              </w:tabs>
              <w:suppressAutoHyphens/>
              <w:kinsoku w:val="0"/>
              <w:overflowPunct w:val="0"/>
              <w:autoSpaceDE w:val="0"/>
              <w:autoSpaceDN w:val="0"/>
              <w:adjustRightInd w:val="0"/>
              <w:snapToGrid w:val="0"/>
              <w:spacing w:before="120" w:after="120"/>
              <w:ind w:left="6" w:hanging="6"/>
              <w:rPr>
                <w:kern w:val="22"/>
                <w:sz w:val="20"/>
                <w:szCs w:val="20"/>
              </w:rPr>
            </w:pPr>
            <w:r w:rsidRPr="003075B3">
              <w:rPr>
                <w:kern w:val="22"/>
                <w:sz w:val="20"/>
                <w:szCs w:val="20"/>
              </w:rPr>
              <w:fldChar w:fldCharType="begin">
                <w:ffData>
                  <w:name w:val="Check48"/>
                  <w:enabled/>
                  <w:calcOnExit w:val="0"/>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 measures have yet been taken</w:t>
            </w:r>
          </w:p>
        </w:tc>
      </w:tr>
      <w:tr w:rsidR="00376CED" w:rsidRPr="003075B3" w14:paraId="723E9911" w14:textId="77777777" w:rsidTr="00725967">
        <w:trPr>
          <w:cantSplit/>
        </w:trPr>
        <w:tc>
          <w:tcPr>
            <w:tcW w:w="4761" w:type="dxa"/>
            <w:tcBorders>
              <w:bottom w:val="single" w:sz="4" w:space="0" w:color="auto"/>
            </w:tcBorders>
            <w:shd w:val="clear" w:color="auto" w:fill="auto"/>
            <w:vAlign w:val="center"/>
          </w:tcPr>
          <w:p w14:paraId="1A7EE4E6"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lastRenderedPageBreak/>
              <w:t>Which instruments are in place for the implementation of the Supplementary Protocol?</w:t>
            </w:r>
          </w:p>
        </w:tc>
        <w:tc>
          <w:tcPr>
            <w:tcW w:w="4684" w:type="dxa"/>
            <w:tcBorders>
              <w:bottom w:val="single" w:sz="4" w:space="0" w:color="auto"/>
              <w:right w:val="single" w:sz="4" w:space="0" w:color="auto"/>
            </w:tcBorders>
            <w:shd w:val="clear" w:color="auto" w:fill="auto"/>
            <w:vAlign w:val="center"/>
          </w:tcPr>
          <w:p w14:paraId="11201A02" w14:textId="77777777" w:rsidR="00376CED" w:rsidRPr="003075B3" w:rsidRDefault="00376CED" w:rsidP="00725967">
            <w:pPr>
              <w:suppressLineNumbers/>
              <w:shd w:val="clear" w:color="auto" w:fill="FFFFFF" w:themeFill="background1"/>
              <w:tabs>
                <w:tab w:val="left" w:pos="3023"/>
              </w:tabs>
              <w:suppressAutoHyphens/>
              <w:kinsoku w:val="0"/>
              <w:overflowPunct w:val="0"/>
              <w:autoSpaceDE w:val="0"/>
              <w:autoSpaceDN w:val="0"/>
              <w:adjustRightInd w:val="0"/>
              <w:snapToGrid w:val="0"/>
              <w:spacing w:before="120" w:after="120"/>
              <w:ind w:left="734" w:hanging="734"/>
              <w:rPr>
                <w:bCs/>
                <w:iCs/>
                <w:kern w:val="22"/>
                <w:sz w:val="20"/>
                <w:szCs w:val="20"/>
              </w:rPr>
            </w:pPr>
            <w:r w:rsidRPr="003075B3">
              <w:rPr>
                <w:bCs/>
                <w:i/>
                <w:iCs/>
                <w:kern w:val="22"/>
                <w:sz w:val="20"/>
                <w:szCs w:val="20"/>
              </w:rPr>
              <w:fldChar w:fldCharType="begin">
                <w:ffData>
                  <w:name w:val="Check48"/>
                  <w:enabled/>
                  <w:calcOnExit w:val="0"/>
                  <w:checkBox>
                    <w:sizeAuto/>
                    <w:default w:val="0"/>
                    <w:checked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Cs/>
                <w:kern w:val="22"/>
                <w:sz w:val="20"/>
                <w:szCs w:val="20"/>
              </w:rPr>
              <w:tab/>
              <w:t xml:space="preserve">One or more national laws: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17927906" w14:textId="77777777" w:rsidR="00376CED" w:rsidRPr="003075B3" w:rsidRDefault="00376CED" w:rsidP="00725967">
            <w:pPr>
              <w:suppressLineNumbers/>
              <w:shd w:val="clear" w:color="auto" w:fill="FFFFFF" w:themeFill="background1"/>
              <w:tabs>
                <w:tab w:val="left" w:pos="3023"/>
              </w:tabs>
              <w:suppressAutoHyphens/>
              <w:kinsoku w:val="0"/>
              <w:overflowPunct w:val="0"/>
              <w:autoSpaceDE w:val="0"/>
              <w:autoSpaceDN w:val="0"/>
              <w:adjustRightInd w:val="0"/>
              <w:snapToGrid w:val="0"/>
              <w:spacing w:before="120" w:after="120"/>
              <w:ind w:left="734" w:hanging="734"/>
              <w:rPr>
                <w:bCs/>
                <w:iCs/>
                <w:kern w:val="22"/>
                <w:sz w:val="20"/>
                <w:szCs w:val="20"/>
              </w:rPr>
            </w:pPr>
            <w:r w:rsidRPr="003075B3">
              <w:rPr>
                <w:bCs/>
                <w:iCs/>
                <w:kern w:val="22"/>
                <w:sz w:val="20"/>
                <w:szCs w:val="20"/>
              </w:rPr>
              <w:fldChar w:fldCharType="begin">
                <w:ffData>
                  <w:name w:val="Check48"/>
                  <w:enabled/>
                  <w:calcOnExit w:val="0"/>
                  <w:checkBox>
                    <w:sizeAuto/>
                    <w:default w:val="0"/>
                    <w:checked w:val="0"/>
                  </w:checkBox>
                </w:ffData>
              </w:fldChar>
            </w:r>
            <w:r w:rsidRPr="003075B3">
              <w:rPr>
                <w:bCs/>
                <w:iCs/>
                <w:kern w:val="22"/>
                <w:sz w:val="20"/>
                <w:szCs w:val="20"/>
              </w:rPr>
              <w:instrText xml:space="preserve"> FORMCHECKBOX </w:instrText>
            </w:r>
            <w:r w:rsidR="00986A60">
              <w:rPr>
                <w:bCs/>
                <w:iCs/>
                <w:kern w:val="22"/>
                <w:sz w:val="20"/>
                <w:szCs w:val="20"/>
              </w:rPr>
            </w:r>
            <w:r w:rsidR="00986A60">
              <w:rPr>
                <w:bCs/>
                <w:iCs/>
                <w:kern w:val="22"/>
                <w:sz w:val="20"/>
                <w:szCs w:val="20"/>
              </w:rPr>
              <w:fldChar w:fldCharType="separate"/>
            </w:r>
            <w:r w:rsidRPr="003075B3">
              <w:rPr>
                <w:bCs/>
                <w:iCs/>
                <w:kern w:val="22"/>
                <w:sz w:val="20"/>
                <w:szCs w:val="20"/>
              </w:rPr>
              <w:fldChar w:fldCharType="end"/>
            </w:r>
            <w:r w:rsidRPr="003075B3">
              <w:rPr>
                <w:bCs/>
                <w:iCs/>
                <w:kern w:val="22"/>
                <w:sz w:val="20"/>
                <w:szCs w:val="20"/>
              </w:rPr>
              <w:tab/>
              <w:t xml:space="preserve">One or more national regulations: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69399ACB" w14:textId="77777777" w:rsidR="00376CED" w:rsidRPr="003075B3" w:rsidRDefault="00376CED" w:rsidP="00725967">
            <w:pPr>
              <w:suppressLineNumbers/>
              <w:shd w:val="clear" w:color="auto" w:fill="FFFFFF" w:themeFill="background1"/>
              <w:tabs>
                <w:tab w:val="left" w:pos="3023"/>
              </w:tabs>
              <w:suppressAutoHyphens/>
              <w:kinsoku w:val="0"/>
              <w:overflowPunct w:val="0"/>
              <w:autoSpaceDE w:val="0"/>
              <w:autoSpaceDN w:val="0"/>
              <w:adjustRightInd w:val="0"/>
              <w:snapToGrid w:val="0"/>
              <w:spacing w:before="120" w:after="120"/>
              <w:ind w:left="734" w:hanging="734"/>
              <w:rPr>
                <w:bCs/>
                <w:iCs/>
                <w:kern w:val="22"/>
                <w:sz w:val="20"/>
                <w:szCs w:val="20"/>
              </w:rPr>
            </w:pPr>
            <w:r w:rsidRPr="003075B3">
              <w:rPr>
                <w:bCs/>
                <w:iCs/>
                <w:kern w:val="22"/>
                <w:sz w:val="20"/>
                <w:szCs w:val="20"/>
              </w:rPr>
              <w:fldChar w:fldCharType="begin">
                <w:ffData>
                  <w:name w:val="Check48"/>
                  <w:enabled/>
                  <w:calcOnExit w:val="0"/>
                  <w:checkBox>
                    <w:sizeAuto/>
                    <w:default w:val="0"/>
                    <w:checked w:val="0"/>
                  </w:checkBox>
                </w:ffData>
              </w:fldChar>
            </w:r>
            <w:r w:rsidRPr="003075B3">
              <w:rPr>
                <w:bCs/>
                <w:iCs/>
                <w:kern w:val="22"/>
                <w:sz w:val="20"/>
                <w:szCs w:val="20"/>
              </w:rPr>
              <w:instrText xml:space="preserve"> FORMCHECKBOX </w:instrText>
            </w:r>
            <w:r w:rsidR="00986A60">
              <w:rPr>
                <w:bCs/>
                <w:iCs/>
                <w:kern w:val="22"/>
                <w:sz w:val="20"/>
                <w:szCs w:val="20"/>
              </w:rPr>
            </w:r>
            <w:r w:rsidR="00986A60">
              <w:rPr>
                <w:bCs/>
                <w:iCs/>
                <w:kern w:val="22"/>
                <w:sz w:val="20"/>
                <w:szCs w:val="20"/>
              </w:rPr>
              <w:fldChar w:fldCharType="separate"/>
            </w:r>
            <w:r w:rsidRPr="003075B3">
              <w:rPr>
                <w:bCs/>
                <w:iCs/>
                <w:kern w:val="22"/>
                <w:sz w:val="20"/>
                <w:szCs w:val="20"/>
              </w:rPr>
              <w:fldChar w:fldCharType="end"/>
            </w:r>
            <w:r w:rsidRPr="003075B3">
              <w:rPr>
                <w:bCs/>
                <w:iCs/>
                <w:kern w:val="22"/>
                <w:sz w:val="20"/>
                <w:szCs w:val="20"/>
              </w:rPr>
              <w:tab/>
              <w:t xml:space="preserve">One or more sets of guidelines: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61F43FC0" w14:textId="77777777" w:rsidR="00376CED" w:rsidRPr="003075B3" w:rsidRDefault="00376CED" w:rsidP="00725967">
            <w:pPr>
              <w:suppressLineNumbers/>
              <w:shd w:val="clear" w:color="auto" w:fill="FFFFFF" w:themeFill="background1"/>
              <w:tabs>
                <w:tab w:val="left" w:pos="3023"/>
              </w:tabs>
              <w:suppressAutoHyphens/>
              <w:kinsoku w:val="0"/>
              <w:overflowPunct w:val="0"/>
              <w:autoSpaceDE w:val="0"/>
              <w:autoSpaceDN w:val="0"/>
              <w:adjustRightInd w:val="0"/>
              <w:snapToGrid w:val="0"/>
              <w:spacing w:before="120" w:after="120"/>
              <w:ind w:left="734" w:hanging="734"/>
              <w:rPr>
                <w:kern w:val="22"/>
                <w:sz w:val="20"/>
                <w:szCs w:val="20"/>
              </w:rPr>
            </w:pPr>
            <w:r w:rsidRPr="003075B3">
              <w:rPr>
                <w:bCs/>
                <w:iCs/>
                <w:kern w:val="22"/>
                <w:sz w:val="20"/>
                <w:szCs w:val="20"/>
              </w:rPr>
              <w:fldChar w:fldCharType="begin">
                <w:ffData>
                  <w:name w:val="Check48"/>
                  <w:enabled/>
                  <w:calcOnExit w:val="0"/>
                  <w:checkBox>
                    <w:sizeAuto/>
                    <w:default w:val="0"/>
                    <w:checked w:val="0"/>
                  </w:checkBox>
                </w:ffData>
              </w:fldChar>
            </w:r>
            <w:r w:rsidRPr="003075B3">
              <w:rPr>
                <w:bCs/>
                <w:iCs/>
                <w:kern w:val="22"/>
                <w:sz w:val="20"/>
                <w:szCs w:val="20"/>
              </w:rPr>
              <w:instrText xml:space="preserve"> FORMCHECKBOX </w:instrText>
            </w:r>
            <w:r w:rsidR="00986A60">
              <w:rPr>
                <w:bCs/>
                <w:iCs/>
                <w:kern w:val="22"/>
                <w:sz w:val="20"/>
                <w:szCs w:val="20"/>
              </w:rPr>
            </w:r>
            <w:r w:rsidR="00986A60">
              <w:rPr>
                <w:bCs/>
                <w:iCs/>
                <w:kern w:val="22"/>
                <w:sz w:val="20"/>
                <w:szCs w:val="20"/>
              </w:rPr>
              <w:fldChar w:fldCharType="separate"/>
            </w:r>
            <w:r w:rsidRPr="003075B3">
              <w:rPr>
                <w:bCs/>
                <w:iCs/>
                <w:kern w:val="22"/>
                <w:sz w:val="20"/>
                <w:szCs w:val="20"/>
              </w:rPr>
              <w:fldChar w:fldCharType="end"/>
            </w:r>
            <w:r w:rsidRPr="003075B3">
              <w:rPr>
                <w:bCs/>
                <w:iCs/>
                <w:kern w:val="22"/>
                <w:sz w:val="20"/>
                <w:szCs w:val="20"/>
              </w:rPr>
              <w:tab/>
              <w:t>No instruments are in place</w:t>
            </w:r>
          </w:p>
        </w:tc>
      </w:tr>
      <w:tr w:rsidR="00376CED" w:rsidRPr="003075B3" w14:paraId="7B547D1E" w14:textId="77777777" w:rsidTr="00725967">
        <w:trPr>
          <w:cantSplit/>
          <w:trHeight w:val="728"/>
        </w:trPr>
        <w:tc>
          <w:tcPr>
            <w:tcW w:w="4761" w:type="dxa"/>
            <w:tcBorders>
              <w:bottom w:val="nil"/>
              <w:right w:val="single" w:sz="4" w:space="0" w:color="auto"/>
            </w:tcBorders>
            <w:shd w:val="clear" w:color="auto" w:fill="auto"/>
            <w:vAlign w:val="center"/>
          </w:tcPr>
          <w:p w14:paraId="668305BA"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t xml:space="preserve">Does your country have administrative or legal instruments that require response measures to be </w:t>
            </w:r>
            <w:proofErr w:type="gramStart"/>
            <w:r w:rsidRPr="003075B3">
              <w:rPr>
                <w:kern w:val="22"/>
                <w:sz w:val="20"/>
                <w:szCs w:val="20"/>
              </w:rPr>
              <w:t>taken:</w:t>
            </w:r>
            <w:proofErr w:type="gramEnd"/>
          </w:p>
        </w:tc>
        <w:tc>
          <w:tcPr>
            <w:tcW w:w="4684" w:type="dxa"/>
            <w:tcBorders>
              <w:bottom w:val="nil"/>
              <w:right w:val="single" w:sz="4" w:space="0" w:color="auto"/>
            </w:tcBorders>
            <w:shd w:val="clear" w:color="auto" w:fill="auto"/>
            <w:vAlign w:val="center"/>
          </w:tcPr>
          <w:p w14:paraId="4B7FA7C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40" w:right="362"/>
              <w:rPr>
                <w:kern w:val="22"/>
                <w:sz w:val="20"/>
                <w:szCs w:val="20"/>
              </w:rPr>
            </w:pPr>
          </w:p>
        </w:tc>
      </w:tr>
      <w:tr w:rsidR="00376CED" w:rsidRPr="003075B3" w14:paraId="7351F14C" w14:textId="77777777" w:rsidTr="00725967">
        <w:trPr>
          <w:cantSplit/>
        </w:trPr>
        <w:tc>
          <w:tcPr>
            <w:tcW w:w="4761" w:type="dxa"/>
            <w:tcBorders>
              <w:top w:val="nil"/>
              <w:bottom w:val="nil"/>
              <w:right w:val="single" w:sz="4" w:space="0" w:color="auto"/>
            </w:tcBorders>
            <w:shd w:val="clear" w:color="auto" w:fill="auto"/>
            <w:vAlign w:val="center"/>
          </w:tcPr>
          <w:p w14:paraId="7350E374" w14:textId="77777777" w:rsidR="00376CED" w:rsidRPr="003075B3" w:rsidRDefault="00376CED" w:rsidP="00725967">
            <w:pPr>
              <w:suppressLineNumbers/>
              <w:shd w:val="clear" w:color="auto" w:fill="FFFFFF" w:themeFill="background1"/>
              <w:tabs>
                <w:tab w:val="num" w:pos="54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t xml:space="preserve">a. </w:t>
            </w:r>
            <w:r w:rsidRPr="003075B3">
              <w:rPr>
                <w:kern w:val="22"/>
                <w:sz w:val="20"/>
                <w:szCs w:val="20"/>
              </w:rPr>
              <w:tab/>
              <w:t>In case of damage resulting from LMOs?</w:t>
            </w:r>
          </w:p>
        </w:tc>
        <w:tc>
          <w:tcPr>
            <w:tcW w:w="4684" w:type="dxa"/>
            <w:tcBorders>
              <w:top w:val="nil"/>
              <w:left w:val="single" w:sz="4" w:space="0" w:color="auto"/>
              <w:right w:val="single" w:sz="4" w:space="0" w:color="auto"/>
            </w:tcBorders>
            <w:shd w:val="clear" w:color="auto" w:fill="auto"/>
            <w:vAlign w:val="center"/>
          </w:tcPr>
          <w:p w14:paraId="0132C73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
                  <w:enabled/>
                  <w:calcOnExit w:val="0"/>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1411360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i/>
                <w:iCs/>
                <w:kern w:val="22"/>
                <w:sz w:val="20"/>
                <w:szCs w:val="20"/>
              </w:rPr>
              <w:fldChar w:fldCharType="begin">
                <w:ffData>
                  <w:name w:val="Check48"/>
                  <w:enabled/>
                  <w:calcOnExit w:val="0"/>
                  <w:checkBox>
                    <w:sizeAuto/>
                    <w:default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bCs/>
                <w:iCs/>
                <w:kern w:val="22"/>
                <w:sz w:val="20"/>
                <w:szCs w:val="20"/>
              </w:rPr>
              <w:t>No</w:t>
            </w:r>
          </w:p>
        </w:tc>
      </w:tr>
      <w:tr w:rsidR="00376CED" w:rsidRPr="003075B3" w14:paraId="738E1553" w14:textId="77777777" w:rsidTr="00725967">
        <w:trPr>
          <w:cantSplit/>
        </w:trPr>
        <w:tc>
          <w:tcPr>
            <w:tcW w:w="4761" w:type="dxa"/>
            <w:tcBorders>
              <w:top w:val="nil"/>
              <w:right w:val="single" w:sz="4" w:space="0" w:color="auto"/>
            </w:tcBorders>
            <w:shd w:val="clear" w:color="auto" w:fill="auto"/>
            <w:vAlign w:val="center"/>
          </w:tcPr>
          <w:p w14:paraId="29A2DEA5" w14:textId="77777777" w:rsidR="00376CED" w:rsidRPr="003075B3" w:rsidRDefault="00376CED" w:rsidP="00725967">
            <w:pPr>
              <w:suppressLineNumbers/>
              <w:shd w:val="clear" w:color="auto" w:fill="FFFFFF" w:themeFill="background1"/>
              <w:tabs>
                <w:tab w:val="num" w:pos="54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t xml:space="preserve">b. </w:t>
            </w:r>
            <w:r w:rsidRPr="003075B3">
              <w:rPr>
                <w:kern w:val="22"/>
                <w:sz w:val="20"/>
                <w:szCs w:val="20"/>
              </w:rPr>
              <w:tab/>
              <w:t xml:space="preserve">In case there is </w:t>
            </w:r>
            <w:proofErr w:type="gramStart"/>
            <w:r w:rsidRPr="003075B3">
              <w:rPr>
                <w:kern w:val="22"/>
                <w:sz w:val="20"/>
                <w:szCs w:val="20"/>
              </w:rPr>
              <w:t>sufficient</w:t>
            </w:r>
            <w:proofErr w:type="gramEnd"/>
            <w:r w:rsidRPr="003075B3">
              <w:rPr>
                <w:kern w:val="22"/>
                <w:sz w:val="20"/>
                <w:szCs w:val="20"/>
              </w:rPr>
              <w:t xml:space="preserve"> likelihood that damage will result if response measures are not taken?</w:t>
            </w:r>
          </w:p>
        </w:tc>
        <w:tc>
          <w:tcPr>
            <w:tcW w:w="4684" w:type="dxa"/>
            <w:tcBorders>
              <w:left w:val="single" w:sz="4" w:space="0" w:color="auto"/>
              <w:right w:val="single" w:sz="4" w:space="0" w:color="auto"/>
            </w:tcBorders>
            <w:shd w:val="clear" w:color="auto" w:fill="auto"/>
            <w:vAlign w:val="center"/>
          </w:tcPr>
          <w:p w14:paraId="68441CB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
                  <w:enabled/>
                  <w:calcOnExit w:val="0"/>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180E318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i/>
                <w:iCs/>
                <w:kern w:val="22"/>
                <w:sz w:val="20"/>
                <w:szCs w:val="20"/>
              </w:rPr>
              <w:fldChar w:fldCharType="begin">
                <w:ffData>
                  <w:name w:val="Check48"/>
                  <w:enabled/>
                  <w:calcOnExit w:val="0"/>
                  <w:checkBox>
                    <w:sizeAuto/>
                    <w:default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bCs/>
                <w:iCs/>
                <w:kern w:val="22"/>
                <w:sz w:val="20"/>
                <w:szCs w:val="20"/>
              </w:rPr>
              <w:t>No</w:t>
            </w:r>
          </w:p>
        </w:tc>
      </w:tr>
      <w:tr w:rsidR="00376CED" w:rsidRPr="003075B3" w14:paraId="1A3362E0" w14:textId="77777777" w:rsidTr="00725967">
        <w:trPr>
          <w:cantSplit/>
        </w:trPr>
        <w:tc>
          <w:tcPr>
            <w:tcW w:w="4761" w:type="dxa"/>
            <w:shd w:val="clear" w:color="auto" w:fill="auto"/>
            <w:vAlign w:val="center"/>
          </w:tcPr>
          <w:p w14:paraId="2CD50DD6" w14:textId="77777777" w:rsidR="00376CED" w:rsidRPr="003075B3" w:rsidRDefault="00376CED" w:rsidP="00376CED">
            <w:pPr>
              <w:numPr>
                <w:ilvl w:val="0"/>
                <w:numId w:val="48"/>
              </w:numPr>
              <w:suppressLineNumbers/>
              <w:shd w:val="clear" w:color="auto" w:fill="FFFFFF" w:themeFill="background1"/>
              <w:tabs>
                <w:tab w:val="clear" w:pos="360"/>
                <w:tab w:val="num" w:pos="630"/>
              </w:tabs>
              <w:suppressAutoHyphens/>
              <w:kinsoku w:val="0"/>
              <w:overflowPunct w:val="0"/>
              <w:autoSpaceDE w:val="0"/>
              <w:autoSpaceDN w:val="0"/>
              <w:adjustRightInd w:val="0"/>
              <w:snapToGrid w:val="0"/>
              <w:spacing w:before="120" w:after="120"/>
              <w:ind w:left="630" w:right="362" w:hanging="630"/>
              <w:rPr>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173a, do these instruments impose requirements on an operator (select all that apply)?</w:t>
            </w:r>
          </w:p>
        </w:tc>
        <w:tc>
          <w:tcPr>
            <w:tcW w:w="4684" w:type="dxa"/>
            <w:tcBorders>
              <w:right w:val="single" w:sz="4" w:space="0" w:color="auto"/>
            </w:tcBorders>
            <w:shd w:val="clear" w:color="auto" w:fill="auto"/>
            <w:vAlign w:val="center"/>
          </w:tcPr>
          <w:p w14:paraId="048087D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i/>
                <w:iCs/>
                <w:kern w:val="22"/>
                <w:sz w:val="20"/>
                <w:szCs w:val="20"/>
              </w:rPr>
              <w:fldChar w:fldCharType="begin">
                <w:ffData>
                  <w:name w:val="Check48"/>
                  <w:enabled/>
                  <w:calcOnExit w:val="0"/>
                  <w:checkBox>
                    <w:sizeAuto/>
                    <w:default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kern w:val="22"/>
                <w:sz w:val="20"/>
                <w:szCs w:val="20"/>
              </w:rPr>
              <w:t>Yes, the operator must inform the competent authority of the damage</w:t>
            </w:r>
          </w:p>
          <w:p w14:paraId="51E6EB7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i/>
                <w:iCs/>
                <w:kern w:val="22"/>
                <w:sz w:val="20"/>
                <w:szCs w:val="20"/>
              </w:rPr>
              <w:fldChar w:fldCharType="begin">
                <w:ffData>
                  <w:name w:val="Check48"/>
                  <w:enabled/>
                  <w:calcOnExit w:val="0"/>
                  <w:checkBox>
                    <w:sizeAuto/>
                    <w:default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kern w:val="22"/>
                <w:sz w:val="20"/>
                <w:szCs w:val="20"/>
              </w:rPr>
              <w:t>Yes, the operator must evaluate the damage</w:t>
            </w:r>
          </w:p>
          <w:p w14:paraId="22E3F0D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i/>
                <w:iCs/>
                <w:kern w:val="22"/>
                <w:sz w:val="20"/>
                <w:szCs w:val="20"/>
              </w:rPr>
              <w:fldChar w:fldCharType="begin">
                <w:ffData>
                  <w:name w:val="Check48"/>
                  <w:enabled/>
                  <w:calcOnExit w:val="0"/>
                  <w:checkBox>
                    <w:sizeAuto/>
                    <w:default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kern w:val="22"/>
                <w:sz w:val="20"/>
                <w:szCs w:val="20"/>
              </w:rPr>
              <w:t>Yes, the operator must take response measures</w:t>
            </w:r>
          </w:p>
          <w:p w14:paraId="1D9B8CA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bCs/>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other requirements: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736F91A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kern w:val="22"/>
                <w:sz w:val="20"/>
                <w:szCs w:val="20"/>
              </w:rPr>
              <w:fldChar w:fldCharType="begin">
                <w:ffData>
                  <w:name w:val="Check48"/>
                  <w:enabled/>
                  <w:calcOnExit w:val="0"/>
                  <w:checkBox>
                    <w:sizeAuto/>
                    <w:default w:val="0"/>
                  </w:checkBox>
                </w:ffData>
              </w:fldChar>
            </w:r>
            <w:r w:rsidRPr="003075B3">
              <w:rPr>
                <w:bCs/>
                <w:kern w:val="22"/>
                <w:sz w:val="20"/>
                <w:szCs w:val="20"/>
              </w:rPr>
              <w:instrText xml:space="preserve"> FORMCHECKBOX </w:instrText>
            </w:r>
            <w:r w:rsidR="00986A60">
              <w:rPr>
                <w:bCs/>
                <w:kern w:val="22"/>
                <w:sz w:val="20"/>
                <w:szCs w:val="20"/>
              </w:rPr>
            </w:r>
            <w:r w:rsidR="00986A60">
              <w:rPr>
                <w:bCs/>
                <w:kern w:val="22"/>
                <w:sz w:val="20"/>
                <w:szCs w:val="20"/>
              </w:rPr>
              <w:fldChar w:fldCharType="separate"/>
            </w:r>
            <w:r w:rsidRPr="003075B3">
              <w:rPr>
                <w:bCs/>
                <w:kern w:val="22"/>
                <w:sz w:val="20"/>
                <w:szCs w:val="20"/>
              </w:rPr>
              <w:fldChar w:fldCharType="end"/>
            </w:r>
            <w:r w:rsidRPr="003075B3">
              <w:rPr>
                <w:bCs/>
                <w:kern w:val="22"/>
                <w:sz w:val="20"/>
                <w:szCs w:val="20"/>
              </w:rPr>
              <w:tab/>
            </w:r>
            <w:r w:rsidRPr="003075B3">
              <w:rPr>
                <w:kern w:val="22"/>
                <w:sz w:val="20"/>
                <w:szCs w:val="20"/>
              </w:rPr>
              <w:t>No</w:t>
            </w:r>
          </w:p>
        </w:tc>
      </w:tr>
      <w:tr w:rsidR="00376CED" w:rsidRPr="003075B3" w14:paraId="2EB4135B" w14:textId="77777777" w:rsidTr="00725967">
        <w:trPr>
          <w:cantSplit/>
        </w:trPr>
        <w:tc>
          <w:tcPr>
            <w:tcW w:w="4761" w:type="dxa"/>
            <w:shd w:val="clear" w:color="auto" w:fill="auto"/>
            <w:vAlign w:val="center"/>
          </w:tcPr>
          <w:p w14:paraId="4064EFA3" w14:textId="77777777" w:rsidR="00376CED" w:rsidRPr="003075B3"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t xml:space="preserve">If you answered </w:t>
            </w:r>
            <w:r w:rsidRPr="003075B3">
              <w:rPr>
                <w:i/>
                <w:kern w:val="22"/>
                <w:sz w:val="20"/>
                <w:szCs w:val="20"/>
              </w:rPr>
              <w:t xml:space="preserve">Yes </w:t>
            </w:r>
            <w:r w:rsidRPr="003075B3">
              <w:rPr>
                <w:kern w:val="22"/>
                <w:sz w:val="20"/>
                <w:szCs w:val="20"/>
              </w:rPr>
              <w:t>to question 173a, do these instruments require the operator to take response measures to avoid damage?</w:t>
            </w:r>
          </w:p>
        </w:tc>
        <w:tc>
          <w:tcPr>
            <w:tcW w:w="4684" w:type="dxa"/>
            <w:tcBorders>
              <w:right w:val="single" w:sz="4" w:space="0" w:color="auto"/>
            </w:tcBorders>
            <w:shd w:val="clear" w:color="auto" w:fill="auto"/>
            <w:vAlign w:val="center"/>
          </w:tcPr>
          <w:p w14:paraId="7B4A05E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
                  <w:enabled/>
                  <w:calcOnExit w:val="0"/>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61D11F8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i/>
                <w:iCs/>
                <w:kern w:val="22"/>
                <w:sz w:val="20"/>
                <w:szCs w:val="20"/>
              </w:rPr>
              <w:fldChar w:fldCharType="begin">
                <w:ffData>
                  <w:name w:val="Check48"/>
                  <w:enabled/>
                  <w:calcOnExit w:val="0"/>
                  <w:checkBox>
                    <w:sizeAuto/>
                    <w:default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bCs/>
                <w:iCs/>
                <w:kern w:val="22"/>
                <w:sz w:val="20"/>
                <w:szCs w:val="20"/>
              </w:rPr>
              <w:t>No</w:t>
            </w:r>
          </w:p>
        </w:tc>
      </w:tr>
      <w:tr w:rsidR="00376CED" w:rsidRPr="003075B3" w14:paraId="4E53E16F" w14:textId="77777777" w:rsidTr="00725967">
        <w:trPr>
          <w:cantSplit/>
        </w:trPr>
        <w:tc>
          <w:tcPr>
            <w:tcW w:w="4761" w:type="dxa"/>
            <w:shd w:val="clear" w:color="auto" w:fill="auto"/>
            <w:vAlign w:val="center"/>
          </w:tcPr>
          <w:p w14:paraId="4D574733" w14:textId="77777777" w:rsidR="00376CED" w:rsidRPr="003075B3"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173a or 173b, do these instruments provide for a definition of “operator”?</w:t>
            </w:r>
          </w:p>
        </w:tc>
        <w:tc>
          <w:tcPr>
            <w:tcW w:w="4684" w:type="dxa"/>
            <w:tcBorders>
              <w:right w:val="single" w:sz="4" w:space="0" w:color="auto"/>
            </w:tcBorders>
            <w:shd w:val="clear" w:color="auto" w:fill="auto"/>
            <w:vAlign w:val="center"/>
          </w:tcPr>
          <w:p w14:paraId="285351C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
                  <w:enabled/>
                  <w:calcOnExit w:val="0"/>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1F745E57"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i/>
                <w:iCs/>
                <w:kern w:val="22"/>
                <w:sz w:val="20"/>
                <w:szCs w:val="20"/>
              </w:rPr>
              <w:fldChar w:fldCharType="begin">
                <w:ffData>
                  <w:name w:val="Check48"/>
                  <w:enabled/>
                  <w:calcOnExit w:val="0"/>
                  <w:checkBox>
                    <w:sizeAuto/>
                    <w:default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bCs/>
                <w:iCs/>
                <w:kern w:val="22"/>
                <w:sz w:val="20"/>
                <w:szCs w:val="20"/>
              </w:rPr>
              <w:t>No</w:t>
            </w:r>
          </w:p>
        </w:tc>
      </w:tr>
      <w:tr w:rsidR="00376CED" w:rsidRPr="003075B3" w14:paraId="5566F138" w14:textId="77777777" w:rsidTr="00725967">
        <w:trPr>
          <w:cantSplit/>
        </w:trPr>
        <w:tc>
          <w:tcPr>
            <w:tcW w:w="4761" w:type="dxa"/>
            <w:shd w:val="clear" w:color="auto" w:fill="auto"/>
            <w:vAlign w:val="center"/>
          </w:tcPr>
          <w:p w14:paraId="02FC3126" w14:textId="77777777" w:rsidR="00376CED" w:rsidRPr="003075B3"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176, which of the following could be an ‘operator’ (select all that apply)?</w:t>
            </w:r>
          </w:p>
        </w:tc>
        <w:tc>
          <w:tcPr>
            <w:tcW w:w="4684" w:type="dxa"/>
            <w:tcBorders>
              <w:right w:val="single" w:sz="4" w:space="0" w:color="auto"/>
            </w:tcBorders>
            <w:shd w:val="clear" w:color="auto" w:fill="auto"/>
            <w:vAlign w:val="center"/>
          </w:tcPr>
          <w:p w14:paraId="1FF63FC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Permit holder</w:t>
            </w:r>
          </w:p>
          <w:p w14:paraId="44F92E8D"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Person who placed the LMO on the market</w:t>
            </w:r>
          </w:p>
          <w:p w14:paraId="267BBABB"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Developer</w:t>
            </w:r>
          </w:p>
          <w:p w14:paraId="73B753C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Producer</w:t>
            </w:r>
          </w:p>
          <w:p w14:paraId="5B16BE5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Notifier</w:t>
            </w:r>
          </w:p>
          <w:p w14:paraId="12909B3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Exporter</w:t>
            </w:r>
          </w:p>
          <w:p w14:paraId="509F931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Importer</w:t>
            </w:r>
          </w:p>
          <w:p w14:paraId="14DB2B8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Carrier</w:t>
            </w:r>
          </w:p>
          <w:p w14:paraId="3721C72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Supplier</w:t>
            </w:r>
          </w:p>
          <w:p w14:paraId="25E1758A"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Other: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tc>
      </w:tr>
      <w:tr w:rsidR="00376CED" w:rsidRPr="003075B3" w14:paraId="0C842117" w14:textId="77777777" w:rsidTr="00725967">
        <w:trPr>
          <w:cantSplit/>
        </w:trPr>
        <w:tc>
          <w:tcPr>
            <w:tcW w:w="4761" w:type="dxa"/>
            <w:shd w:val="clear" w:color="auto" w:fill="auto"/>
            <w:vAlign w:val="center"/>
          </w:tcPr>
          <w:p w14:paraId="6940D31F" w14:textId="77777777" w:rsidR="00376CED" w:rsidRPr="003075B3"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lastRenderedPageBreak/>
              <w:t>Has a competent authority been identified for carrying out the functions set out in the Supplementary Protocol?</w:t>
            </w:r>
          </w:p>
        </w:tc>
        <w:tc>
          <w:tcPr>
            <w:tcW w:w="4684" w:type="dxa"/>
            <w:tcBorders>
              <w:right w:val="single" w:sz="4" w:space="0" w:color="auto"/>
            </w:tcBorders>
            <w:shd w:val="clear" w:color="auto" w:fill="auto"/>
            <w:vAlign w:val="center"/>
          </w:tcPr>
          <w:p w14:paraId="76F04E0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
                  <w:enabled/>
                  <w:calcOnExit w:val="0"/>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7BEEA02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i/>
                <w:iCs/>
                <w:kern w:val="22"/>
                <w:sz w:val="20"/>
                <w:szCs w:val="20"/>
              </w:rPr>
              <w:fldChar w:fldCharType="begin">
                <w:ffData>
                  <w:name w:val="Check48"/>
                  <w:enabled/>
                  <w:calcOnExit w:val="0"/>
                  <w:checkBox>
                    <w:sizeAuto/>
                    <w:default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bCs/>
                <w:iCs/>
                <w:kern w:val="22"/>
                <w:sz w:val="20"/>
                <w:szCs w:val="20"/>
              </w:rPr>
              <w:t>No</w:t>
            </w:r>
          </w:p>
        </w:tc>
      </w:tr>
      <w:tr w:rsidR="00376CED" w:rsidRPr="003075B3" w14:paraId="50127C7F" w14:textId="77777777" w:rsidTr="00725967">
        <w:trPr>
          <w:cantSplit/>
        </w:trPr>
        <w:tc>
          <w:tcPr>
            <w:tcW w:w="4761" w:type="dxa"/>
            <w:shd w:val="clear" w:color="auto" w:fill="auto"/>
            <w:vAlign w:val="center"/>
          </w:tcPr>
          <w:p w14:paraId="43F62621" w14:textId="77777777" w:rsidR="00376CED" w:rsidRPr="003075B3"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630"/>
              <w:rPr>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178, what measures may the competent authority take (select all that apply)?</w:t>
            </w:r>
          </w:p>
        </w:tc>
        <w:tc>
          <w:tcPr>
            <w:tcW w:w="4684" w:type="dxa"/>
            <w:tcBorders>
              <w:right w:val="single" w:sz="4" w:space="0" w:color="auto"/>
            </w:tcBorders>
            <w:shd w:val="clear" w:color="auto" w:fill="auto"/>
            <w:vAlign w:val="center"/>
          </w:tcPr>
          <w:p w14:paraId="5521915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Identify the operator that caused the damage</w:t>
            </w:r>
          </w:p>
          <w:p w14:paraId="03D25A4E"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Evaluate the damage</w:t>
            </w:r>
          </w:p>
          <w:p w14:paraId="37DF1AA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Determine response measures to be taken by operator</w:t>
            </w:r>
          </w:p>
          <w:p w14:paraId="050F75D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Implement response measures</w:t>
            </w:r>
          </w:p>
          <w:p w14:paraId="3D28201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Recover costs and expenses of the evaluation of the damage and the implementation of any response measures from the operator</w:t>
            </w:r>
          </w:p>
          <w:p w14:paraId="476385D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Other: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tc>
      </w:tr>
      <w:tr w:rsidR="00376CED" w:rsidRPr="003075B3" w14:paraId="40AB14D6" w14:textId="77777777" w:rsidTr="00725967">
        <w:trPr>
          <w:cantSplit/>
        </w:trPr>
        <w:tc>
          <w:tcPr>
            <w:tcW w:w="4761" w:type="dxa"/>
            <w:shd w:val="clear" w:color="auto" w:fill="auto"/>
            <w:vAlign w:val="center"/>
          </w:tcPr>
          <w:p w14:paraId="703EE37C" w14:textId="77777777" w:rsidR="00376CED" w:rsidRPr="003075B3"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t>Does your country have measures in place to provide for financial security for damage resulting from LMOs?</w:t>
            </w:r>
          </w:p>
        </w:tc>
        <w:tc>
          <w:tcPr>
            <w:tcW w:w="4684" w:type="dxa"/>
            <w:tcBorders>
              <w:right w:val="single" w:sz="4" w:space="0" w:color="auto"/>
            </w:tcBorders>
            <w:shd w:val="clear" w:color="auto" w:fill="auto"/>
            <w:vAlign w:val="center"/>
          </w:tcPr>
          <w:p w14:paraId="37A9F39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
                  <w:enabled/>
                  <w:calcOnExit w:val="0"/>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w:t>
            </w:r>
          </w:p>
          <w:p w14:paraId="0DF30FA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i/>
                <w:iCs/>
                <w:kern w:val="22"/>
                <w:sz w:val="20"/>
                <w:szCs w:val="20"/>
              </w:rPr>
              <w:fldChar w:fldCharType="begin">
                <w:ffData>
                  <w:name w:val="Check48"/>
                  <w:enabled/>
                  <w:calcOnExit w:val="0"/>
                  <w:checkBox>
                    <w:sizeAuto/>
                    <w:default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bCs/>
                <w:iCs/>
                <w:kern w:val="22"/>
                <w:sz w:val="20"/>
                <w:szCs w:val="20"/>
              </w:rPr>
              <w:t>No</w:t>
            </w:r>
          </w:p>
        </w:tc>
      </w:tr>
      <w:tr w:rsidR="00376CED" w:rsidRPr="003075B3" w14:paraId="334E7F09" w14:textId="77777777" w:rsidTr="00725967">
        <w:trPr>
          <w:cantSplit/>
        </w:trPr>
        <w:tc>
          <w:tcPr>
            <w:tcW w:w="4761" w:type="dxa"/>
            <w:shd w:val="clear" w:color="auto" w:fill="auto"/>
            <w:vAlign w:val="center"/>
          </w:tcPr>
          <w:p w14:paraId="7E4B39EB" w14:textId="77777777" w:rsidR="00376CED" w:rsidRPr="003075B3"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180, what type of financial security measures are in place (select all that apply)?</w:t>
            </w:r>
          </w:p>
        </w:tc>
        <w:tc>
          <w:tcPr>
            <w:tcW w:w="4684" w:type="dxa"/>
            <w:tcBorders>
              <w:right w:val="single" w:sz="4" w:space="0" w:color="auto"/>
            </w:tcBorders>
            <w:shd w:val="clear" w:color="auto" w:fill="auto"/>
            <w:vAlign w:val="center"/>
          </w:tcPr>
          <w:p w14:paraId="26F9E6F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Requirement to provide evidence for secure source of funding</w:t>
            </w:r>
          </w:p>
          <w:p w14:paraId="5C1DFEC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Mandatory insurance</w:t>
            </w:r>
          </w:p>
          <w:p w14:paraId="05C3CD7F"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Government schemes, including funds</w:t>
            </w:r>
          </w:p>
          <w:p w14:paraId="43AF3344"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Other: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tc>
      </w:tr>
      <w:tr w:rsidR="00376CED" w:rsidRPr="003075B3" w14:paraId="24F1C8AC" w14:textId="77777777" w:rsidTr="00725967">
        <w:trPr>
          <w:cantSplit/>
        </w:trPr>
        <w:tc>
          <w:tcPr>
            <w:tcW w:w="4761" w:type="dxa"/>
            <w:shd w:val="clear" w:color="auto" w:fill="auto"/>
            <w:vAlign w:val="center"/>
          </w:tcPr>
          <w:p w14:paraId="656C531C" w14:textId="77777777" w:rsidR="00376CED" w:rsidRPr="003075B3"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t>Does your country have rules and procedures on civil liability that address damage resulting from LMOs, or has such damage been recognized in court rulings (select all that apply)?</w:t>
            </w:r>
          </w:p>
        </w:tc>
        <w:tc>
          <w:tcPr>
            <w:tcW w:w="4684" w:type="dxa"/>
            <w:tcBorders>
              <w:right w:val="single" w:sz="4" w:space="0" w:color="auto"/>
            </w:tcBorders>
            <w:shd w:val="clear" w:color="auto" w:fill="auto"/>
            <w:vAlign w:val="center"/>
          </w:tcPr>
          <w:p w14:paraId="07BD470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in a civil liability instrument</w:t>
            </w:r>
          </w:p>
          <w:p w14:paraId="035A493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Yes, in court rulings</w:t>
            </w:r>
          </w:p>
          <w:p w14:paraId="39B84209"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in other instruments: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6CCA38C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Check48"/>
                  <w:enabled/>
                  <w:calcOnExit w:val="0"/>
                  <w:checkBox>
                    <w:sizeAuto/>
                    <w:default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No</w:t>
            </w:r>
          </w:p>
        </w:tc>
      </w:tr>
      <w:tr w:rsidR="00376CED" w:rsidRPr="003075B3" w14:paraId="7799ADBC" w14:textId="77777777" w:rsidTr="00725967">
        <w:trPr>
          <w:cantSplit/>
        </w:trPr>
        <w:tc>
          <w:tcPr>
            <w:tcW w:w="4761" w:type="dxa"/>
            <w:shd w:val="clear" w:color="auto" w:fill="auto"/>
            <w:vAlign w:val="center"/>
          </w:tcPr>
          <w:p w14:paraId="6AAC2AF3" w14:textId="77777777" w:rsidR="00376CED" w:rsidRPr="003075B3"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t>Have there been any occurrences of damage resulting from LMOs in your country?</w:t>
            </w:r>
          </w:p>
        </w:tc>
        <w:tc>
          <w:tcPr>
            <w:tcW w:w="4684" w:type="dxa"/>
            <w:tcBorders>
              <w:right w:val="single" w:sz="4" w:space="0" w:color="auto"/>
            </w:tcBorders>
            <w:shd w:val="clear" w:color="auto" w:fill="auto"/>
            <w:vAlign w:val="center"/>
          </w:tcPr>
          <w:p w14:paraId="69F89C85"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
                  <w:enabled/>
                  <w:calcOnExit w:val="0"/>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019977E8"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i/>
                <w:iCs/>
                <w:kern w:val="22"/>
                <w:sz w:val="20"/>
                <w:szCs w:val="20"/>
              </w:rPr>
              <w:fldChar w:fldCharType="begin">
                <w:ffData>
                  <w:name w:val="Check48"/>
                  <w:enabled/>
                  <w:calcOnExit w:val="0"/>
                  <w:checkBox>
                    <w:sizeAuto/>
                    <w:default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bCs/>
                <w:iCs/>
                <w:kern w:val="22"/>
                <w:sz w:val="20"/>
                <w:szCs w:val="20"/>
              </w:rPr>
              <w:t>No</w:t>
            </w:r>
          </w:p>
        </w:tc>
      </w:tr>
      <w:tr w:rsidR="00376CED" w:rsidRPr="003075B3" w14:paraId="0D850C6B" w14:textId="77777777" w:rsidTr="00725967">
        <w:trPr>
          <w:cantSplit/>
        </w:trPr>
        <w:tc>
          <w:tcPr>
            <w:tcW w:w="4761" w:type="dxa"/>
            <w:shd w:val="clear" w:color="auto" w:fill="auto"/>
            <w:vAlign w:val="center"/>
          </w:tcPr>
          <w:p w14:paraId="5DAAF6D0" w14:textId="77777777" w:rsidR="00376CED" w:rsidRPr="003075B3" w:rsidRDefault="00376CED" w:rsidP="00376CED">
            <w:pPr>
              <w:numPr>
                <w:ilvl w:val="0"/>
                <w:numId w:val="48"/>
              </w:numPr>
              <w:suppressLineNumbers/>
              <w:shd w:val="clear" w:color="auto" w:fill="FFFFFF" w:themeFill="background1"/>
              <w:tabs>
                <w:tab w:val="clear" w:pos="360"/>
                <w:tab w:val="num" w:pos="54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t xml:space="preserve">If you answered </w:t>
            </w:r>
            <w:r w:rsidRPr="003075B3">
              <w:rPr>
                <w:i/>
                <w:kern w:val="22"/>
                <w:sz w:val="20"/>
                <w:szCs w:val="20"/>
              </w:rPr>
              <w:t>Yes</w:t>
            </w:r>
            <w:r w:rsidRPr="003075B3">
              <w:rPr>
                <w:kern w:val="22"/>
                <w:sz w:val="20"/>
                <w:szCs w:val="20"/>
              </w:rPr>
              <w:t xml:space="preserve"> to question 183, have response measures been taken?</w:t>
            </w:r>
          </w:p>
        </w:tc>
        <w:tc>
          <w:tcPr>
            <w:tcW w:w="4684" w:type="dxa"/>
            <w:tcBorders>
              <w:right w:val="single" w:sz="4" w:space="0" w:color="auto"/>
            </w:tcBorders>
            <w:shd w:val="clear" w:color="auto" w:fill="auto"/>
            <w:vAlign w:val="center"/>
          </w:tcPr>
          <w:p w14:paraId="02CB7623"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kern w:val="22"/>
                <w:sz w:val="20"/>
                <w:szCs w:val="20"/>
              </w:rPr>
              <w:fldChar w:fldCharType="begin">
                <w:ffData>
                  <w:name w:val=""/>
                  <w:enabled/>
                  <w:calcOnExit w:val="0"/>
                  <w:checkBox>
                    <w:sizeAuto/>
                    <w:default w:val="0"/>
                    <w:checked w:val="0"/>
                  </w:checkBox>
                </w:ffData>
              </w:fldChar>
            </w:r>
            <w:r w:rsidRPr="003075B3">
              <w:rPr>
                <w:kern w:val="22"/>
                <w:sz w:val="20"/>
                <w:szCs w:val="20"/>
              </w:rPr>
              <w:instrText xml:space="preserve"> FORMCHECKBOX </w:instrText>
            </w:r>
            <w:r w:rsidR="00986A60">
              <w:rPr>
                <w:kern w:val="22"/>
                <w:sz w:val="20"/>
                <w:szCs w:val="20"/>
              </w:rPr>
            </w:r>
            <w:r w:rsidR="00986A60">
              <w:rPr>
                <w:kern w:val="22"/>
                <w:sz w:val="20"/>
                <w:szCs w:val="20"/>
              </w:rPr>
              <w:fldChar w:fldCharType="separate"/>
            </w:r>
            <w:r w:rsidRPr="003075B3">
              <w:rPr>
                <w:kern w:val="22"/>
                <w:sz w:val="20"/>
                <w:szCs w:val="20"/>
              </w:rPr>
              <w:fldChar w:fldCharType="end"/>
            </w:r>
            <w:r w:rsidRPr="003075B3">
              <w:rPr>
                <w:kern w:val="22"/>
                <w:sz w:val="20"/>
                <w:szCs w:val="20"/>
              </w:rPr>
              <w:tab/>
              <w:t xml:space="preserve">Yes: </w:t>
            </w:r>
            <w:r w:rsidRPr="003075B3">
              <w:rPr>
                <w:kern w:val="22"/>
                <w:sz w:val="20"/>
                <w:szCs w:val="20"/>
              </w:rPr>
              <w:fldChar w:fldCharType="begin">
                <w:ffData>
                  <w:name w:val=""/>
                  <w:enabled/>
                  <w:calcOnExit w:val="0"/>
                  <w:textInput>
                    <w:default w:val="[Please specify]"/>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[Please specify]</w:t>
            </w:r>
            <w:r w:rsidRPr="003075B3">
              <w:rPr>
                <w:kern w:val="22"/>
                <w:sz w:val="20"/>
                <w:szCs w:val="20"/>
              </w:rPr>
              <w:fldChar w:fldCharType="end"/>
            </w:r>
          </w:p>
          <w:p w14:paraId="527FD7C2"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734" w:hanging="734"/>
              <w:rPr>
                <w:kern w:val="22"/>
                <w:sz w:val="20"/>
                <w:szCs w:val="20"/>
              </w:rPr>
            </w:pPr>
            <w:r w:rsidRPr="003075B3">
              <w:rPr>
                <w:bCs/>
                <w:i/>
                <w:iCs/>
                <w:kern w:val="22"/>
                <w:sz w:val="20"/>
                <w:szCs w:val="20"/>
              </w:rPr>
              <w:fldChar w:fldCharType="begin">
                <w:ffData>
                  <w:name w:val="Check48"/>
                  <w:enabled/>
                  <w:calcOnExit w:val="0"/>
                  <w:checkBox>
                    <w:sizeAuto/>
                    <w:default w:val="0"/>
                  </w:checkBox>
                </w:ffData>
              </w:fldChar>
            </w:r>
            <w:r w:rsidRPr="003075B3">
              <w:rPr>
                <w:bCs/>
                <w:i/>
                <w:iCs/>
                <w:kern w:val="22"/>
                <w:sz w:val="20"/>
                <w:szCs w:val="20"/>
              </w:rPr>
              <w:instrText xml:space="preserve"> FORMCHECKBOX </w:instrText>
            </w:r>
            <w:r w:rsidR="00986A60">
              <w:rPr>
                <w:bCs/>
                <w:i/>
                <w:iCs/>
                <w:kern w:val="22"/>
                <w:sz w:val="20"/>
                <w:szCs w:val="20"/>
              </w:rPr>
            </w:r>
            <w:r w:rsidR="00986A60">
              <w:rPr>
                <w:bCs/>
                <w:i/>
                <w:iCs/>
                <w:kern w:val="22"/>
                <w:sz w:val="20"/>
                <w:szCs w:val="20"/>
              </w:rPr>
              <w:fldChar w:fldCharType="separate"/>
            </w:r>
            <w:r w:rsidRPr="003075B3">
              <w:rPr>
                <w:bCs/>
                <w:i/>
                <w:iCs/>
                <w:kern w:val="22"/>
                <w:sz w:val="20"/>
                <w:szCs w:val="20"/>
              </w:rPr>
              <w:fldChar w:fldCharType="end"/>
            </w:r>
            <w:r w:rsidRPr="003075B3">
              <w:rPr>
                <w:bCs/>
                <w:i/>
                <w:iCs/>
                <w:kern w:val="22"/>
                <w:sz w:val="20"/>
                <w:szCs w:val="20"/>
              </w:rPr>
              <w:tab/>
            </w:r>
            <w:r w:rsidRPr="003075B3">
              <w:rPr>
                <w:bCs/>
                <w:iCs/>
                <w:kern w:val="22"/>
                <w:sz w:val="20"/>
                <w:szCs w:val="20"/>
              </w:rPr>
              <w:t>No</w:t>
            </w:r>
          </w:p>
        </w:tc>
      </w:tr>
      <w:tr w:rsidR="00376CED" w:rsidRPr="003075B3" w14:paraId="79F6F267" w14:textId="77777777" w:rsidTr="00725967">
        <w:trPr>
          <w:cantSplit/>
        </w:trPr>
        <w:tc>
          <w:tcPr>
            <w:tcW w:w="9445" w:type="dxa"/>
            <w:gridSpan w:val="2"/>
            <w:tcBorders>
              <w:right w:val="single" w:sz="4" w:space="0" w:color="auto"/>
            </w:tcBorders>
            <w:hideMark/>
          </w:tcPr>
          <w:p w14:paraId="443A0E4E" w14:textId="77777777" w:rsidR="00376CED" w:rsidRPr="003075B3" w:rsidRDefault="00376CED" w:rsidP="00376CED">
            <w:pPr>
              <w:numPr>
                <w:ilvl w:val="0"/>
                <w:numId w:val="48"/>
              </w:numPr>
              <w:suppressLineNumbers/>
              <w:shd w:val="clear" w:color="auto" w:fill="FFFFFF" w:themeFill="background1"/>
              <w:tabs>
                <w:tab w:val="clear" w:pos="360"/>
              </w:tabs>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t>Here you may provide further details on any activities undertaken in your country towards the implementation of the Nagoya-Kuala Lumpur Supplementary Protocol on Liability and Redress:</w:t>
            </w:r>
          </w:p>
          <w:p w14:paraId="0243B156"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67"/>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noProof/>
                <w:kern w:val="22"/>
                <w:sz w:val="20"/>
                <w:szCs w:val="20"/>
              </w:rPr>
              <w:t>[                                                       Type your text here                                                       ]</w:t>
            </w:r>
            <w:r w:rsidRPr="003075B3">
              <w:rPr>
                <w:kern w:val="22"/>
                <w:sz w:val="20"/>
                <w:szCs w:val="20"/>
              </w:rPr>
              <w:fldChar w:fldCharType="end"/>
            </w:r>
          </w:p>
        </w:tc>
      </w:tr>
      <w:tr w:rsidR="00376CED" w:rsidRPr="003075B3" w14:paraId="4AFD59FD" w14:textId="77777777" w:rsidTr="00725967">
        <w:trPr>
          <w:cantSplit/>
        </w:trPr>
        <w:tc>
          <w:tcPr>
            <w:tcW w:w="9445" w:type="dxa"/>
            <w:gridSpan w:val="2"/>
            <w:tcBorders>
              <w:top w:val="single" w:sz="4" w:space="0" w:color="auto"/>
              <w:left w:val="single" w:sz="4" w:space="0" w:color="auto"/>
              <w:bottom w:val="single" w:sz="4" w:space="0" w:color="auto"/>
              <w:right w:val="single" w:sz="4" w:space="0" w:color="auto"/>
            </w:tcBorders>
            <w:hideMark/>
          </w:tcPr>
          <w:p w14:paraId="11BE422C"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ind w:left="547" w:right="360" w:hanging="547"/>
              <w:jc w:val="center"/>
              <w:rPr>
                <w:b/>
                <w:kern w:val="22"/>
                <w:sz w:val="20"/>
                <w:szCs w:val="20"/>
              </w:rPr>
            </w:pPr>
            <w:r w:rsidRPr="003075B3">
              <w:rPr>
                <w:b/>
                <w:kern w:val="22"/>
                <w:sz w:val="20"/>
                <w:szCs w:val="20"/>
              </w:rPr>
              <w:t>Other information</w:t>
            </w:r>
          </w:p>
        </w:tc>
      </w:tr>
      <w:tr w:rsidR="00376CED" w:rsidRPr="003075B3" w14:paraId="7B539E89" w14:textId="77777777" w:rsidTr="00725967">
        <w:trPr>
          <w:cantSplit/>
        </w:trPr>
        <w:tc>
          <w:tcPr>
            <w:tcW w:w="9445" w:type="dxa"/>
            <w:gridSpan w:val="2"/>
            <w:tcBorders>
              <w:top w:val="single" w:sz="4" w:space="0" w:color="auto"/>
              <w:left w:val="single" w:sz="4" w:space="0" w:color="auto"/>
              <w:bottom w:val="single" w:sz="4" w:space="0" w:color="auto"/>
              <w:right w:val="single" w:sz="4" w:space="0" w:color="auto"/>
            </w:tcBorders>
            <w:hideMark/>
          </w:tcPr>
          <w:p w14:paraId="74722E1A" w14:textId="77777777" w:rsidR="00376CED" w:rsidRPr="003075B3" w:rsidRDefault="00376CED" w:rsidP="00376CED">
            <w:pPr>
              <w:numPr>
                <w:ilvl w:val="0"/>
                <w:numId w:val="48"/>
              </w:numPr>
              <w:suppressLineNumbers/>
              <w:shd w:val="clear" w:color="auto" w:fill="FFFFFF" w:themeFill="background1"/>
              <w:suppressAutoHyphens/>
              <w:kinsoku w:val="0"/>
              <w:overflowPunct w:val="0"/>
              <w:autoSpaceDE w:val="0"/>
              <w:autoSpaceDN w:val="0"/>
              <w:adjustRightInd w:val="0"/>
              <w:snapToGrid w:val="0"/>
              <w:spacing w:before="120" w:after="120"/>
              <w:ind w:left="547" w:right="360" w:hanging="547"/>
              <w:rPr>
                <w:kern w:val="22"/>
                <w:sz w:val="20"/>
                <w:szCs w:val="20"/>
              </w:rPr>
            </w:pPr>
            <w:r w:rsidRPr="003075B3">
              <w:rPr>
                <w:kern w:val="22"/>
                <w:sz w:val="20"/>
                <w:szCs w:val="20"/>
              </w:rPr>
              <w:t>Please use this field to provide any other information on issues related to national implementation of the Cartagena Protocol and the Supplementary Protocol, including any obstacles or impediments encountered.</w:t>
            </w:r>
          </w:p>
          <w:p w14:paraId="5B5F8A90"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40" w:right="362" w:hanging="540"/>
              <w:jc w:val="center"/>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kern w:val="22"/>
                <w:sz w:val="20"/>
                <w:szCs w:val="20"/>
              </w:rPr>
              <w:t>[                                                       Type your text here                                                       ]</w:t>
            </w:r>
            <w:r w:rsidRPr="003075B3">
              <w:rPr>
                <w:kern w:val="22"/>
                <w:sz w:val="20"/>
                <w:szCs w:val="20"/>
              </w:rPr>
              <w:fldChar w:fldCharType="end"/>
            </w:r>
          </w:p>
        </w:tc>
      </w:tr>
      <w:tr w:rsidR="00376CED" w:rsidRPr="003075B3" w14:paraId="60C5F1A7" w14:textId="77777777" w:rsidTr="00725967">
        <w:trPr>
          <w:cantSplit/>
        </w:trPr>
        <w:tc>
          <w:tcPr>
            <w:tcW w:w="9445" w:type="dxa"/>
            <w:gridSpan w:val="2"/>
            <w:tcBorders>
              <w:top w:val="single" w:sz="4" w:space="0" w:color="auto"/>
              <w:left w:val="single" w:sz="4" w:space="0" w:color="auto"/>
              <w:bottom w:val="single" w:sz="4" w:space="0" w:color="auto"/>
              <w:right w:val="single" w:sz="4" w:space="0" w:color="auto"/>
            </w:tcBorders>
            <w:hideMark/>
          </w:tcPr>
          <w:p w14:paraId="51F5E102" w14:textId="77777777" w:rsidR="00376CED" w:rsidRPr="003075B3" w:rsidRDefault="00376CED" w:rsidP="00725967">
            <w:pPr>
              <w:keepNext/>
              <w:suppressLineNumbers/>
              <w:shd w:val="clear" w:color="auto" w:fill="FFFFFF" w:themeFill="background1"/>
              <w:suppressAutoHyphens/>
              <w:kinsoku w:val="0"/>
              <w:overflowPunct w:val="0"/>
              <w:autoSpaceDE w:val="0"/>
              <w:autoSpaceDN w:val="0"/>
              <w:adjustRightInd w:val="0"/>
              <w:snapToGrid w:val="0"/>
              <w:spacing w:before="120" w:after="120"/>
              <w:ind w:left="547" w:right="360" w:hanging="547"/>
              <w:jc w:val="center"/>
              <w:rPr>
                <w:b/>
                <w:kern w:val="22"/>
                <w:sz w:val="20"/>
                <w:szCs w:val="20"/>
              </w:rPr>
            </w:pPr>
            <w:r w:rsidRPr="003075B3">
              <w:rPr>
                <w:b/>
                <w:kern w:val="22"/>
                <w:sz w:val="20"/>
                <w:szCs w:val="20"/>
              </w:rPr>
              <w:lastRenderedPageBreak/>
              <w:t>Comments on reporting format</w:t>
            </w:r>
          </w:p>
        </w:tc>
      </w:tr>
      <w:tr w:rsidR="00376CED" w:rsidRPr="003075B3" w14:paraId="1C61DB8E" w14:textId="77777777" w:rsidTr="00725967">
        <w:trPr>
          <w:cantSplit/>
        </w:trPr>
        <w:tc>
          <w:tcPr>
            <w:tcW w:w="9445" w:type="dxa"/>
            <w:gridSpan w:val="2"/>
            <w:tcBorders>
              <w:top w:val="single" w:sz="4" w:space="0" w:color="auto"/>
              <w:left w:val="single" w:sz="4" w:space="0" w:color="auto"/>
              <w:bottom w:val="single" w:sz="4" w:space="0" w:color="auto"/>
              <w:right w:val="single" w:sz="4" w:space="0" w:color="auto"/>
            </w:tcBorders>
            <w:hideMark/>
          </w:tcPr>
          <w:p w14:paraId="24D46B09" w14:textId="77777777" w:rsidR="00376CED" w:rsidRPr="003075B3" w:rsidRDefault="00376CED" w:rsidP="00376CED">
            <w:pPr>
              <w:numPr>
                <w:ilvl w:val="0"/>
                <w:numId w:val="48"/>
              </w:numPr>
              <w:suppressLineNumbers/>
              <w:shd w:val="clear" w:color="auto" w:fill="FFFFFF" w:themeFill="background1"/>
              <w:suppressAutoHyphens/>
              <w:kinsoku w:val="0"/>
              <w:overflowPunct w:val="0"/>
              <w:autoSpaceDE w:val="0"/>
              <w:autoSpaceDN w:val="0"/>
              <w:adjustRightInd w:val="0"/>
              <w:snapToGrid w:val="0"/>
              <w:spacing w:before="120" w:after="120"/>
              <w:ind w:left="540" w:right="362" w:hanging="540"/>
              <w:rPr>
                <w:kern w:val="22"/>
                <w:sz w:val="20"/>
                <w:szCs w:val="20"/>
              </w:rPr>
            </w:pPr>
            <w:r w:rsidRPr="003075B3">
              <w:rPr>
                <w:kern w:val="22"/>
                <w:sz w:val="20"/>
                <w:szCs w:val="20"/>
              </w:rPr>
              <w:t>Please use this field to provide any other information on difficulties that you have encountered in filling in this report.</w:t>
            </w:r>
          </w:p>
          <w:p w14:paraId="041B0A2C" w14:textId="77777777" w:rsidR="00376CED" w:rsidRPr="003075B3" w:rsidRDefault="00376CED" w:rsidP="00725967">
            <w:pPr>
              <w:suppressLineNumbers/>
              <w:shd w:val="clear" w:color="auto" w:fill="FFFFFF" w:themeFill="background1"/>
              <w:suppressAutoHyphens/>
              <w:kinsoku w:val="0"/>
              <w:overflowPunct w:val="0"/>
              <w:autoSpaceDE w:val="0"/>
              <w:autoSpaceDN w:val="0"/>
              <w:adjustRightInd w:val="0"/>
              <w:snapToGrid w:val="0"/>
              <w:spacing w:before="120" w:after="120"/>
              <w:ind w:left="540" w:right="362" w:hanging="540"/>
              <w:jc w:val="center"/>
              <w:rPr>
                <w:kern w:val="22"/>
                <w:sz w:val="20"/>
                <w:szCs w:val="20"/>
              </w:rPr>
            </w:pPr>
            <w:r w:rsidRPr="003075B3">
              <w:rPr>
                <w:kern w:val="22"/>
                <w:sz w:val="20"/>
                <w:szCs w:val="20"/>
              </w:rPr>
              <w:fldChar w:fldCharType="begin">
                <w:ffData>
                  <w:name w:val=""/>
                  <w:enabled/>
                  <w:calcOnExit w:val="0"/>
                  <w:textInput>
                    <w:default w:val="[                                                       Type your text here                                                       ]"/>
                  </w:textInput>
                </w:ffData>
              </w:fldChar>
            </w:r>
            <w:r w:rsidRPr="003075B3">
              <w:rPr>
                <w:kern w:val="22"/>
                <w:sz w:val="20"/>
                <w:szCs w:val="20"/>
              </w:rPr>
              <w:instrText xml:space="preserve"> FORMTEXT </w:instrText>
            </w:r>
            <w:r w:rsidRPr="003075B3">
              <w:rPr>
                <w:kern w:val="22"/>
                <w:sz w:val="20"/>
                <w:szCs w:val="20"/>
              </w:rPr>
            </w:r>
            <w:r w:rsidRPr="003075B3">
              <w:rPr>
                <w:kern w:val="22"/>
                <w:sz w:val="20"/>
                <w:szCs w:val="20"/>
              </w:rPr>
              <w:fldChar w:fldCharType="separate"/>
            </w:r>
            <w:r w:rsidRPr="003075B3">
              <w:rPr>
                <w:kern w:val="22"/>
                <w:sz w:val="20"/>
                <w:szCs w:val="20"/>
              </w:rPr>
              <w:t>[                                                       Type your text here                                                       ]</w:t>
            </w:r>
            <w:r w:rsidRPr="003075B3">
              <w:rPr>
                <w:kern w:val="22"/>
                <w:sz w:val="20"/>
                <w:szCs w:val="20"/>
              </w:rPr>
              <w:fldChar w:fldCharType="end"/>
            </w:r>
          </w:p>
        </w:tc>
      </w:tr>
    </w:tbl>
    <w:p w14:paraId="71309872" w14:textId="77777777" w:rsidR="00376CED" w:rsidRPr="003075B3" w:rsidRDefault="00376CED" w:rsidP="00725967">
      <w:pPr>
        <w:spacing w:before="120" w:after="240"/>
        <w:jc w:val="center"/>
        <w:rPr>
          <w:caps/>
        </w:rPr>
      </w:pPr>
    </w:p>
    <w:p w14:paraId="451132D9" w14:textId="77777777" w:rsidR="00376CED" w:rsidRPr="003075B3" w:rsidRDefault="00376CED">
      <w:pPr>
        <w:rPr>
          <w:b/>
          <w:caps/>
        </w:rPr>
      </w:pPr>
      <w:r w:rsidRPr="003075B3">
        <w:br w:type="page"/>
      </w:r>
    </w:p>
    <w:p w14:paraId="2C8D11B8" w14:textId="2F00CAAE" w:rsidR="00376CED" w:rsidRPr="003075B3" w:rsidRDefault="00376CED" w:rsidP="00376CED">
      <w:pPr>
        <w:pStyle w:val="heading2-item"/>
      </w:pPr>
      <w:bookmarkStart w:id="22" w:name="_Toc879819"/>
      <w:bookmarkStart w:id="23" w:name="_Toc5612097"/>
      <w:r w:rsidRPr="003075B3">
        <w:lastRenderedPageBreak/>
        <w:t>9/6.</w:t>
      </w:r>
      <w:r w:rsidRPr="003075B3">
        <w:tab/>
        <w:t>Assessment and review of the effectiveness of the Cartagena Protocol (Article 35)</w:t>
      </w:r>
      <w:bookmarkEnd w:id="22"/>
      <w:bookmarkEnd w:id="23"/>
    </w:p>
    <w:p w14:paraId="7D028D30" w14:textId="69779B48" w:rsidR="00376CED" w:rsidRPr="003075B3" w:rsidRDefault="00376CED" w:rsidP="00725967">
      <w:pPr>
        <w:pStyle w:val="Para1"/>
        <w:numPr>
          <w:ilvl w:val="0"/>
          <w:numId w:val="0"/>
        </w:numPr>
        <w:kinsoku w:val="0"/>
        <w:overflowPunct w:val="0"/>
        <w:autoSpaceDE w:val="0"/>
        <w:autoSpaceDN w:val="0"/>
        <w:ind w:firstLine="720"/>
      </w:pPr>
      <w:r w:rsidRPr="003075B3">
        <w:rPr>
          <w:i/>
        </w:rPr>
        <w:t>The Conference of the Parties serving as the meeting of the Parties to the Cartagena Protocol on Biosafety,</w:t>
      </w:r>
    </w:p>
    <w:p w14:paraId="65EF6BC3" w14:textId="77777777" w:rsidR="00376CED" w:rsidRPr="003075B3" w:rsidRDefault="00376CED" w:rsidP="00725967">
      <w:pPr>
        <w:pStyle w:val="Para1"/>
        <w:numPr>
          <w:ilvl w:val="0"/>
          <w:numId w:val="0"/>
        </w:numPr>
        <w:kinsoku w:val="0"/>
        <w:overflowPunct w:val="0"/>
        <w:autoSpaceDE w:val="0"/>
        <w:autoSpaceDN w:val="0"/>
        <w:ind w:firstLine="720"/>
      </w:pPr>
      <w:r w:rsidRPr="003075B3">
        <w:rPr>
          <w:i/>
        </w:rPr>
        <w:t>Recalling</w:t>
      </w:r>
      <w:r w:rsidRPr="003075B3">
        <w:t xml:space="preserve"> decision </w:t>
      </w:r>
      <w:hyperlink r:id="rId18" w:history="1">
        <w:r w:rsidRPr="003075B3">
          <w:rPr>
            <w:rStyle w:val="Hyperlink"/>
          </w:rPr>
          <w:t>BS-V/16</w:t>
        </w:r>
      </w:hyperlink>
      <w:r w:rsidRPr="003075B3">
        <w:t>, adopting the Strategic Plan for the Cartagena Protocol on Biosafety for the period 2011-2020,</w:t>
      </w:r>
    </w:p>
    <w:p w14:paraId="2D060576" w14:textId="77777777" w:rsidR="00376CED" w:rsidRPr="003075B3" w:rsidRDefault="00376CED" w:rsidP="00376CED">
      <w:pPr>
        <w:pStyle w:val="Para1"/>
        <w:numPr>
          <w:ilvl w:val="0"/>
          <w:numId w:val="51"/>
        </w:numPr>
        <w:tabs>
          <w:tab w:val="clear" w:pos="360"/>
        </w:tabs>
        <w:kinsoku w:val="0"/>
        <w:overflowPunct w:val="0"/>
        <w:autoSpaceDE w:val="0"/>
        <w:autoSpaceDN w:val="0"/>
        <w:ind w:firstLine="709"/>
      </w:pPr>
      <w:r w:rsidRPr="003075B3">
        <w:rPr>
          <w:i/>
        </w:rPr>
        <w:t>Reiterates</w:t>
      </w:r>
      <w:r w:rsidRPr="003075B3">
        <w:t xml:space="preserve"> its invitation to Parties, for the remaining period of the Strategic Plan for the Cartagena Protocol on Biosafety for the period 2011-2020, to consider prioritizing the operational objectives relating to the development of biosafety legislation, risk assessment, detection and identification of living modified organisms, and public awareness in view of their critical importance in facilitating the implementation of the Protocol;</w:t>
      </w:r>
    </w:p>
    <w:p w14:paraId="5B0C4FBD" w14:textId="77777777" w:rsidR="00376CED" w:rsidRPr="003075B3" w:rsidRDefault="00376CED" w:rsidP="00376CED">
      <w:pPr>
        <w:pStyle w:val="Para1"/>
        <w:numPr>
          <w:ilvl w:val="0"/>
          <w:numId w:val="13"/>
        </w:numPr>
        <w:tabs>
          <w:tab w:val="clear" w:pos="360"/>
        </w:tabs>
        <w:kinsoku w:val="0"/>
        <w:overflowPunct w:val="0"/>
        <w:autoSpaceDE w:val="0"/>
        <w:autoSpaceDN w:val="0"/>
        <w:ind w:firstLine="720"/>
      </w:pPr>
      <w:r w:rsidRPr="003075B3">
        <w:rPr>
          <w:i/>
        </w:rPr>
        <w:t>Decides</w:t>
      </w:r>
      <w:r w:rsidRPr="003075B3">
        <w:t xml:space="preserve"> that the fourth assessment and review of the Cartagena Protocol will be combined with the final evaluation of the Strategic Plan for the Cartagena Protocol for the period 2011-2020;</w:t>
      </w:r>
    </w:p>
    <w:p w14:paraId="025BF7A1" w14:textId="77777777" w:rsidR="00376CED" w:rsidRPr="003075B3" w:rsidRDefault="00376CED" w:rsidP="00376CED">
      <w:pPr>
        <w:pStyle w:val="Para1"/>
        <w:numPr>
          <w:ilvl w:val="0"/>
          <w:numId w:val="13"/>
        </w:numPr>
        <w:tabs>
          <w:tab w:val="clear" w:pos="360"/>
        </w:tabs>
        <w:kinsoku w:val="0"/>
        <w:overflowPunct w:val="0"/>
        <w:autoSpaceDE w:val="0"/>
        <w:autoSpaceDN w:val="0"/>
        <w:ind w:firstLine="720"/>
        <w:rPr>
          <w:i/>
        </w:rPr>
      </w:pPr>
      <w:r w:rsidRPr="003075B3">
        <w:rPr>
          <w:i/>
        </w:rPr>
        <w:t xml:space="preserve">Requests </w:t>
      </w:r>
      <w:r w:rsidRPr="003075B3">
        <w:t>the Executive Secretary:</w:t>
      </w:r>
    </w:p>
    <w:p w14:paraId="1D379988" w14:textId="77777777" w:rsidR="00376CED" w:rsidRPr="003075B3" w:rsidRDefault="00376CED" w:rsidP="00725967">
      <w:pPr>
        <w:pStyle w:val="Para1"/>
        <w:numPr>
          <w:ilvl w:val="0"/>
          <w:numId w:val="0"/>
        </w:numPr>
        <w:kinsoku w:val="0"/>
        <w:overflowPunct w:val="0"/>
        <w:autoSpaceDE w:val="0"/>
        <w:autoSpaceDN w:val="0"/>
        <w:ind w:firstLine="720"/>
      </w:pPr>
      <w:r w:rsidRPr="003075B3">
        <w:t>(a)</w:t>
      </w:r>
      <w:r w:rsidRPr="003075B3">
        <w:tab/>
        <w:t>To continue making improvements to the online national report analyser tool to facilitate the compilation, aggregation and analysis of the data in the fourth national reports and other sources against related baseline data that was obtained during the second national reporting cycle;</w:t>
      </w:r>
    </w:p>
    <w:p w14:paraId="7909B92B" w14:textId="77777777" w:rsidR="00376CED" w:rsidRPr="003075B3" w:rsidRDefault="00376CED" w:rsidP="00725967">
      <w:pPr>
        <w:pStyle w:val="Para1"/>
        <w:numPr>
          <w:ilvl w:val="0"/>
          <w:numId w:val="0"/>
        </w:numPr>
        <w:kinsoku w:val="0"/>
        <w:overflowPunct w:val="0"/>
        <w:autoSpaceDE w:val="0"/>
        <w:autoSpaceDN w:val="0"/>
        <w:ind w:firstLine="720"/>
      </w:pPr>
      <w:r w:rsidRPr="003075B3">
        <w:t>(b)</w:t>
      </w:r>
      <w:r w:rsidRPr="003075B3">
        <w:tab/>
        <w:t>To analyse and synthesize information on the implementation of the Protocol using, inter alia, the fourth national reports as a primary source, the Biosafety Clearing-House and experience from capacity-building projects and the Compliance Committee, where appropriate, to facilitate the fourth assessment and review of the Protocol in conjunction with the final evaluation of the Strategic Plan for the Cartagena Protocol on Biosafety for the period 2011-2020, and make this information available to the Liaison Group and, as appropriate, the Compliance Committee;</w:t>
      </w:r>
    </w:p>
    <w:p w14:paraId="05119166" w14:textId="77777777" w:rsidR="00376CED" w:rsidRPr="003075B3" w:rsidRDefault="00376CED" w:rsidP="00376CED">
      <w:pPr>
        <w:pStyle w:val="Para1"/>
        <w:numPr>
          <w:ilvl w:val="0"/>
          <w:numId w:val="13"/>
        </w:numPr>
        <w:tabs>
          <w:tab w:val="clear" w:pos="360"/>
        </w:tabs>
        <w:kinsoku w:val="0"/>
        <w:overflowPunct w:val="0"/>
        <w:autoSpaceDE w:val="0"/>
        <w:autoSpaceDN w:val="0"/>
        <w:ind w:firstLine="720"/>
      </w:pPr>
      <w:r w:rsidRPr="003075B3">
        <w:rPr>
          <w:i/>
        </w:rPr>
        <w:t>Requests</w:t>
      </w:r>
      <w:r w:rsidRPr="003075B3">
        <w:t xml:space="preserve"> the Liaison Group on the Cartagena Protocol on Biosafety and the Compliance Committee, working in a complementary and non-duplicative manner, to contribute to the fourth assessment and review of the Cartagena Protocol and the final evaluation of the Strategic Plan for the Cartagena Protocol on Biosafety for the period 2011-2020, and to submit their conclusions for consideration by the Subsidiary Body on Implementation;</w:t>
      </w:r>
    </w:p>
    <w:p w14:paraId="0E03A364" w14:textId="77777777" w:rsidR="00376CED" w:rsidRPr="003075B3" w:rsidRDefault="00376CED" w:rsidP="00376CED">
      <w:pPr>
        <w:pStyle w:val="Para1"/>
        <w:numPr>
          <w:ilvl w:val="0"/>
          <w:numId w:val="13"/>
        </w:numPr>
        <w:tabs>
          <w:tab w:val="clear" w:pos="360"/>
        </w:tabs>
        <w:kinsoku w:val="0"/>
        <w:overflowPunct w:val="0"/>
        <w:autoSpaceDE w:val="0"/>
        <w:autoSpaceDN w:val="0"/>
        <w:ind w:firstLine="720"/>
      </w:pPr>
      <w:r w:rsidRPr="003075B3">
        <w:rPr>
          <w:i/>
        </w:rPr>
        <w:t>Requests</w:t>
      </w:r>
      <w:r w:rsidRPr="003075B3">
        <w:t xml:space="preserve"> the Subsidiary Body on Implementation at its third meeting to consider the information provided and conclusions reached by the Liaison Group and the Compliance Committee, and to submit its findings and recommendations to the Conference of the Parties serving as the meeting of the Parties to the Cartagena Protocol at its tenth meeting with a view to facilitating the fourth assessment and review of the Cartagena Protocol and the final evaluation of the Strategic Plan for the Cartagena Protocol on Biosafety for the period 2011-2020.</w:t>
      </w:r>
    </w:p>
    <w:p w14:paraId="149EFCF2" w14:textId="77777777" w:rsidR="00376CED" w:rsidRPr="003075B3" w:rsidRDefault="00376CED">
      <w:pPr>
        <w:rPr>
          <w:b/>
          <w:caps/>
        </w:rPr>
      </w:pPr>
      <w:r w:rsidRPr="003075B3">
        <w:br w:type="page"/>
      </w:r>
    </w:p>
    <w:p w14:paraId="15BCFD8F" w14:textId="28B2783B" w:rsidR="00376CED" w:rsidRPr="003075B3" w:rsidRDefault="00376CED" w:rsidP="0008472F">
      <w:pPr>
        <w:pStyle w:val="heading2-item"/>
        <w:ind w:left="1701" w:right="146" w:hanging="850"/>
        <w:jc w:val="left"/>
      </w:pPr>
      <w:bookmarkStart w:id="24" w:name="_Toc879820"/>
      <w:bookmarkStart w:id="25" w:name="_Toc5612098"/>
      <w:r w:rsidRPr="003075B3">
        <w:lastRenderedPageBreak/>
        <w:t>9/7.</w:t>
      </w:r>
      <w:r w:rsidRPr="003075B3">
        <w:tab/>
        <w:t>Preparation for the follow-up to the Strategic Plan for Biodiversity 2011-2020 and the Strategic Plan for the Cartagena Protocol on Biosafety 2011-2020</w:t>
      </w:r>
      <w:bookmarkEnd w:id="24"/>
      <w:bookmarkEnd w:id="25"/>
    </w:p>
    <w:p w14:paraId="2DE68274" w14:textId="133C9215" w:rsidR="00376CED" w:rsidRPr="00237524" w:rsidRDefault="00376CED" w:rsidP="00725967">
      <w:pPr>
        <w:suppressLineNumbers/>
        <w:suppressAutoHyphens/>
        <w:kinsoku w:val="0"/>
        <w:overflowPunct w:val="0"/>
        <w:autoSpaceDE w:val="0"/>
        <w:autoSpaceDN w:val="0"/>
        <w:adjustRightInd w:val="0"/>
        <w:snapToGrid w:val="0"/>
        <w:spacing w:before="120" w:after="120"/>
        <w:ind w:firstLine="720"/>
        <w:rPr>
          <w:kern w:val="22"/>
          <w:sz w:val="22"/>
          <w:szCs w:val="22"/>
        </w:rPr>
      </w:pPr>
      <w:r w:rsidRPr="00237524">
        <w:rPr>
          <w:i/>
          <w:kern w:val="22"/>
          <w:sz w:val="22"/>
          <w:szCs w:val="22"/>
        </w:rPr>
        <w:t>The Conference of the Parties serving as the meeting of the Parties to the Cartagena Protocol on Biosafety,</w:t>
      </w:r>
    </w:p>
    <w:p w14:paraId="49327A40" w14:textId="77777777" w:rsidR="0076249F" w:rsidRPr="00C31366" w:rsidRDefault="0076249F" w:rsidP="00CF43BA">
      <w:pPr>
        <w:pStyle w:val="ListParagraph"/>
        <w:numPr>
          <w:ilvl w:val="0"/>
          <w:numId w:val="69"/>
        </w:numPr>
        <w:adjustRightInd w:val="0"/>
        <w:snapToGrid w:val="0"/>
        <w:spacing w:before="120" w:after="120"/>
        <w:ind w:left="0" w:firstLine="720"/>
        <w:rPr>
          <w:color w:val="000000" w:themeColor="text1"/>
          <w:kern w:val="22"/>
          <w:szCs w:val="22"/>
        </w:rPr>
      </w:pPr>
      <w:r w:rsidRPr="00CF43BA">
        <w:rPr>
          <w:i/>
          <w:color w:val="000000" w:themeColor="text1"/>
          <w:kern w:val="22"/>
          <w:szCs w:val="22"/>
        </w:rPr>
        <w:t>Takes note</w:t>
      </w:r>
      <w:r w:rsidRPr="00CF43BA">
        <w:rPr>
          <w:color w:val="000000" w:themeColor="text1"/>
          <w:kern w:val="22"/>
          <w:szCs w:val="22"/>
        </w:rPr>
        <w:t xml:space="preserve"> of the proposed preparatory process for the post-2020 global biodiversity framework in follow-up to the Strategic Plan for Biodiversity 2011-2020, and </w:t>
      </w:r>
      <w:r w:rsidRPr="00CD532C">
        <w:rPr>
          <w:i/>
          <w:color w:val="000000" w:themeColor="text1"/>
          <w:kern w:val="22"/>
          <w:szCs w:val="22"/>
        </w:rPr>
        <w:t>welcomes</w:t>
      </w:r>
      <w:r w:rsidRPr="00C31366">
        <w:rPr>
          <w:color w:val="000000" w:themeColor="text1"/>
          <w:kern w:val="22"/>
          <w:szCs w:val="22"/>
        </w:rPr>
        <w:t xml:space="preserve"> decision 14/34 of the Conference of the Parties;</w:t>
      </w:r>
    </w:p>
    <w:p w14:paraId="3088CDBB" w14:textId="77777777" w:rsidR="0076249F" w:rsidRPr="00C31366" w:rsidRDefault="0076249F" w:rsidP="0076249F">
      <w:pPr>
        <w:pStyle w:val="ListParagraph"/>
        <w:numPr>
          <w:ilvl w:val="0"/>
          <w:numId w:val="69"/>
        </w:numPr>
        <w:adjustRightInd w:val="0"/>
        <w:snapToGrid w:val="0"/>
        <w:spacing w:before="120" w:after="120"/>
        <w:ind w:left="0" w:firstLine="720"/>
        <w:rPr>
          <w:color w:val="000000" w:themeColor="text1"/>
          <w:kern w:val="22"/>
          <w:szCs w:val="22"/>
        </w:rPr>
      </w:pPr>
      <w:r w:rsidRPr="00C31366">
        <w:rPr>
          <w:i/>
          <w:color w:val="000000" w:themeColor="text1"/>
          <w:kern w:val="22"/>
          <w:szCs w:val="22"/>
        </w:rPr>
        <w:t>Stresses</w:t>
      </w:r>
      <w:r w:rsidRPr="00C31366">
        <w:rPr>
          <w:color w:val="000000" w:themeColor="text1"/>
          <w:kern w:val="22"/>
          <w:szCs w:val="22"/>
        </w:rPr>
        <w:t xml:space="preserve"> the importance of including biosafety in the post-2020 global biodiversity framework as well as the necessity of developing a specific Implementation Plan for the Cartagena Protocol on Biosafety as a follow-up to the Strategic Plan for the Cartagena Protocol on Biosafety for the period 2011-2020;</w:t>
      </w:r>
    </w:p>
    <w:p w14:paraId="0B4948AB" w14:textId="77777777" w:rsidR="0076249F" w:rsidRPr="00C31366" w:rsidRDefault="0076249F" w:rsidP="0076249F">
      <w:pPr>
        <w:pStyle w:val="ListParagraph"/>
        <w:numPr>
          <w:ilvl w:val="0"/>
          <w:numId w:val="69"/>
        </w:numPr>
        <w:suppressLineNumbers/>
        <w:suppressAutoHyphens/>
        <w:kinsoku w:val="0"/>
        <w:overflowPunct w:val="0"/>
        <w:autoSpaceDE w:val="0"/>
        <w:autoSpaceDN w:val="0"/>
        <w:adjustRightInd w:val="0"/>
        <w:snapToGrid w:val="0"/>
        <w:spacing w:before="120" w:after="120"/>
        <w:ind w:left="0" w:firstLine="720"/>
        <w:rPr>
          <w:color w:val="000000" w:themeColor="text1"/>
          <w:kern w:val="22"/>
          <w:szCs w:val="22"/>
        </w:rPr>
      </w:pPr>
      <w:r w:rsidRPr="00C31366">
        <w:rPr>
          <w:i/>
          <w:snapToGrid w:val="0"/>
          <w:color w:val="000000" w:themeColor="text1"/>
          <w:kern w:val="22"/>
          <w:szCs w:val="22"/>
        </w:rPr>
        <w:t>Also notes</w:t>
      </w:r>
      <w:r w:rsidRPr="00C31366">
        <w:rPr>
          <w:snapToGrid w:val="0"/>
          <w:color w:val="000000" w:themeColor="text1"/>
          <w:kern w:val="22"/>
          <w:szCs w:val="22"/>
        </w:rPr>
        <w:t xml:space="preserve"> the importance of the active involvement of biosafety experts</w:t>
      </w:r>
      <w:r w:rsidRPr="00C31366">
        <w:rPr>
          <w:color w:val="000000" w:themeColor="text1"/>
          <w:kern w:val="22"/>
          <w:szCs w:val="22"/>
        </w:rPr>
        <w:t>, including those with expertise on the Nagoya</w:t>
      </w:r>
      <w:r w:rsidRPr="00C31366">
        <w:rPr>
          <w:kern w:val="22"/>
          <w:szCs w:val="22"/>
        </w:rPr>
        <w:t xml:space="preserve"> – </w:t>
      </w:r>
      <w:r w:rsidRPr="00C31366">
        <w:rPr>
          <w:color w:val="000000" w:themeColor="text1"/>
          <w:kern w:val="22"/>
          <w:szCs w:val="22"/>
        </w:rPr>
        <w:t>Kuala Lumpur Supplementary Protocol on Liability and Redress,</w:t>
      </w:r>
      <w:r w:rsidRPr="00C31366">
        <w:rPr>
          <w:snapToGrid w:val="0"/>
          <w:color w:val="000000" w:themeColor="text1"/>
          <w:kern w:val="22"/>
          <w:szCs w:val="22"/>
        </w:rPr>
        <w:t xml:space="preserve"> in the development of the </w:t>
      </w:r>
      <w:r w:rsidRPr="00C31366">
        <w:rPr>
          <w:color w:val="000000" w:themeColor="text1"/>
          <w:kern w:val="22"/>
          <w:szCs w:val="22"/>
        </w:rPr>
        <w:t>post-2020 global biodiversity framework;</w:t>
      </w:r>
    </w:p>
    <w:p w14:paraId="15757169" w14:textId="77777777" w:rsidR="0076249F" w:rsidRPr="00C31366" w:rsidRDefault="0076249F" w:rsidP="0076249F">
      <w:pPr>
        <w:pStyle w:val="ListParagraph"/>
        <w:numPr>
          <w:ilvl w:val="0"/>
          <w:numId w:val="69"/>
        </w:numPr>
        <w:suppressLineNumbers/>
        <w:suppressAutoHyphens/>
        <w:kinsoku w:val="0"/>
        <w:overflowPunct w:val="0"/>
        <w:autoSpaceDE w:val="0"/>
        <w:autoSpaceDN w:val="0"/>
        <w:adjustRightInd w:val="0"/>
        <w:snapToGrid w:val="0"/>
        <w:spacing w:before="120" w:after="120"/>
        <w:ind w:left="0" w:firstLine="720"/>
        <w:rPr>
          <w:snapToGrid w:val="0"/>
          <w:color w:val="000000" w:themeColor="text1"/>
          <w:kern w:val="22"/>
          <w:szCs w:val="22"/>
        </w:rPr>
      </w:pPr>
      <w:r w:rsidRPr="00C31366">
        <w:rPr>
          <w:i/>
          <w:iCs/>
          <w:snapToGrid w:val="0"/>
          <w:color w:val="000000" w:themeColor="text1"/>
          <w:kern w:val="22"/>
          <w:szCs w:val="22"/>
        </w:rPr>
        <w:t xml:space="preserve">Invites </w:t>
      </w:r>
      <w:r w:rsidRPr="00C31366">
        <w:rPr>
          <w:snapToGrid w:val="0"/>
          <w:color w:val="000000" w:themeColor="text1"/>
          <w:kern w:val="22"/>
          <w:szCs w:val="22"/>
        </w:rPr>
        <w:t>Parties to participate in the process for developing the post-2020 global biodiversity framework;</w:t>
      </w:r>
    </w:p>
    <w:p w14:paraId="558C7FD7" w14:textId="77777777" w:rsidR="0076249F" w:rsidRPr="00C31366" w:rsidRDefault="0076249F" w:rsidP="0076249F">
      <w:pPr>
        <w:pStyle w:val="ListParagraph"/>
        <w:numPr>
          <w:ilvl w:val="0"/>
          <w:numId w:val="69"/>
        </w:numPr>
        <w:suppressLineNumbers/>
        <w:suppressAutoHyphens/>
        <w:adjustRightInd w:val="0"/>
        <w:snapToGrid w:val="0"/>
        <w:spacing w:before="120" w:after="120"/>
        <w:ind w:left="0" w:firstLine="720"/>
        <w:rPr>
          <w:color w:val="000000" w:themeColor="text1"/>
          <w:kern w:val="22"/>
          <w:szCs w:val="22"/>
        </w:rPr>
      </w:pPr>
      <w:r w:rsidRPr="00C31366">
        <w:rPr>
          <w:i/>
          <w:color w:val="000000" w:themeColor="text1"/>
          <w:kern w:val="22"/>
          <w:szCs w:val="22"/>
        </w:rPr>
        <w:t>Decides</w:t>
      </w:r>
      <w:r w:rsidRPr="00C31366">
        <w:rPr>
          <w:color w:val="000000" w:themeColor="text1"/>
          <w:kern w:val="22"/>
          <w:szCs w:val="22"/>
        </w:rPr>
        <w:t xml:space="preserve"> to develop a specific Implementation Plan for the Cartagena Protocol on Biosafety post-2020 that is anchored in and complementary to the post-2020 global biodiversity framework, and </w:t>
      </w:r>
      <w:r w:rsidRPr="00C31366">
        <w:rPr>
          <w:i/>
          <w:color w:val="000000" w:themeColor="text1"/>
          <w:kern w:val="22"/>
          <w:szCs w:val="22"/>
        </w:rPr>
        <w:t>requests</w:t>
      </w:r>
      <w:r w:rsidRPr="00C31366">
        <w:rPr>
          <w:color w:val="000000" w:themeColor="text1"/>
          <w:kern w:val="22"/>
          <w:szCs w:val="22"/>
        </w:rPr>
        <w:t xml:space="preserve"> the Executive Secretary to facilitate the development of its elements;</w:t>
      </w:r>
    </w:p>
    <w:p w14:paraId="0A114BE0" w14:textId="77777777" w:rsidR="0076249F" w:rsidRPr="00C31366" w:rsidRDefault="0076249F" w:rsidP="0076249F">
      <w:pPr>
        <w:pStyle w:val="Para1"/>
        <w:numPr>
          <w:ilvl w:val="0"/>
          <w:numId w:val="69"/>
        </w:numPr>
        <w:suppressLineNumbers/>
        <w:suppressAutoHyphens/>
        <w:ind w:left="0" w:firstLine="720"/>
        <w:rPr>
          <w:color w:val="000000" w:themeColor="text1"/>
        </w:rPr>
      </w:pPr>
      <w:r w:rsidRPr="00C31366">
        <w:rPr>
          <w:i/>
          <w:color w:val="000000" w:themeColor="text1"/>
        </w:rPr>
        <w:t>Also decides</w:t>
      </w:r>
      <w:r w:rsidRPr="00C31366">
        <w:rPr>
          <w:color w:val="000000" w:themeColor="text1"/>
        </w:rPr>
        <w:t xml:space="preserve"> that the specific Implementation Plan for the Cartagena Protocol post-2020 will: (a) be developed as an implementation tool; (b) reflect the elements of the Strategic Plan for the Cartagena Protocol for the period 2011-2020 that are still relevant; (c) include new elements reflecting lessons learned and new developments relevant to biosafety; (d) ensure sufficient flexibility to account for developments during the implementation period; and (e) comprise indicators that are simple and easily measurable to facilitate the review of progress in the implementation of the Protocol;</w:t>
      </w:r>
    </w:p>
    <w:p w14:paraId="54989203" w14:textId="77777777" w:rsidR="0076249F" w:rsidRPr="00C31366" w:rsidRDefault="0076249F" w:rsidP="0076249F">
      <w:pPr>
        <w:pStyle w:val="Para1"/>
        <w:numPr>
          <w:ilvl w:val="0"/>
          <w:numId w:val="0"/>
        </w:numPr>
        <w:suppressLineNumbers/>
        <w:suppressAutoHyphens/>
        <w:ind w:firstLine="720"/>
      </w:pPr>
      <w:r w:rsidRPr="00C31366">
        <w:t>7.</w:t>
      </w:r>
      <w:r w:rsidRPr="00C31366">
        <w:tab/>
      </w:r>
      <w:r w:rsidRPr="00C31366">
        <w:rPr>
          <w:i/>
        </w:rPr>
        <w:t xml:space="preserve">Further decides </w:t>
      </w:r>
      <w:r w:rsidRPr="00C31366">
        <w:t xml:space="preserve">to expand the mandate and scope of the Liaison Group on Capacity-Building for Biosafety, as outlined in the annex, include specific expertise on practical experience in implementing the Protocol and on biosafety issues, </w:t>
      </w:r>
      <w:proofErr w:type="gramStart"/>
      <w:r w:rsidRPr="00C31366">
        <w:t>taking into account</w:t>
      </w:r>
      <w:proofErr w:type="gramEnd"/>
      <w:r w:rsidRPr="00C31366">
        <w:t xml:space="preserve"> geographical representation and diverging views, and rename it “Liaison Group on the Cartagena Protocol on Biosafety”;</w:t>
      </w:r>
    </w:p>
    <w:p w14:paraId="7C265B6C" w14:textId="77777777" w:rsidR="0076249F" w:rsidRPr="00CD532C" w:rsidRDefault="0076249F" w:rsidP="0076249F">
      <w:pPr>
        <w:pStyle w:val="Para1"/>
        <w:numPr>
          <w:ilvl w:val="0"/>
          <w:numId w:val="71"/>
        </w:numPr>
        <w:suppressLineNumbers/>
        <w:suppressAutoHyphens/>
        <w:ind w:left="0" w:firstLine="720"/>
      </w:pPr>
      <w:r w:rsidRPr="00C31366">
        <w:rPr>
          <w:i/>
          <w:color w:val="000000" w:themeColor="text1"/>
        </w:rPr>
        <w:t xml:space="preserve">Requests </w:t>
      </w:r>
      <w:r w:rsidRPr="00C31366">
        <w:rPr>
          <w:color w:val="000000" w:themeColor="text1"/>
        </w:rPr>
        <w:t>the Liaison Group to contribute to the development of the relevant elements of the biosafety component in the post-2020 global biodiversity framework, in consultation with the co-chairs of the Open-ended Working Group,</w:t>
      </w:r>
      <w:r w:rsidRPr="00C31366">
        <w:rPr>
          <w:rStyle w:val="FootnoteReference"/>
          <w:color w:val="000000" w:themeColor="text1"/>
          <w:szCs w:val="18"/>
          <w:u w:val="none"/>
        </w:rPr>
        <w:footnoteReference w:id="16"/>
      </w:r>
      <w:r w:rsidRPr="00CF43BA">
        <w:rPr>
          <w:color w:val="000000" w:themeColor="text1"/>
        </w:rPr>
        <w:t xml:space="preserve"> and to the specific follow-up to the Strategic Plan for the Cartagena Protocol on Biosafety for the period 2011-2020 that is anchored in and complementary to the post-2020 global biodiversity framework</w:t>
      </w:r>
      <w:r w:rsidRPr="00CD532C">
        <w:t>;</w:t>
      </w:r>
    </w:p>
    <w:p w14:paraId="668E325F" w14:textId="77777777" w:rsidR="0076249F" w:rsidRPr="00C31366" w:rsidRDefault="0076249F" w:rsidP="0076249F">
      <w:pPr>
        <w:pStyle w:val="Para1"/>
        <w:numPr>
          <w:ilvl w:val="0"/>
          <w:numId w:val="71"/>
        </w:numPr>
        <w:suppressLineNumbers/>
        <w:suppressAutoHyphens/>
        <w:ind w:left="0" w:firstLine="720"/>
      </w:pPr>
      <w:r w:rsidRPr="00C31366">
        <w:rPr>
          <w:i/>
        </w:rPr>
        <w:t>Requests</w:t>
      </w:r>
      <w:r w:rsidRPr="00C31366">
        <w:t xml:space="preserve"> the Executive Secretary</w:t>
      </w:r>
      <w:r w:rsidRPr="00C31366">
        <w:rPr>
          <w:color w:val="000000" w:themeColor="text1"/>
        </w:rPr>
        <w:t>:</w:t>
      </w:r>
    </w:p>
    <w:p w14:paraId="782F5554" w14:textId="77777777" w:rsidR="0076249F" w:rsidRPr="00C31366" w:rsidRDefault="0076249F" w:rsidP="0076249F">
      <w:pPr>
        <w:pStyle w:val="Para1"/>
        <w:numPr>
          <w:ilvl w:val="0"/>
          <w:numId w:val="0"/>
        </w:numPr>
        <w:suppressLineNumbers/>
        <w:suppressAutoHyphens/>
        <w:ind w:firstLine="720"/>
      </w:pPr>
      <w:r w:rsidRPr="00C31366">
        <w:t>(a)</w:t>
      </w:r>
      <w:r w:rsidRPr="00C31366">
        <w:tab/>
        <w:t>To facilitate and support the inclusion of the biosafety component in the post-2020 global biodiversity framework;</w:t>
      </w:r>
    </w:p>
    <w:p w14:paraId="4AE96A28" w14:textId="77777777" w:rsidR="0076249F" w:rsidRPr="00C31366" w:rsidRDefault="0076249F" w:rsidP="0076249F">
      <w:pPr>
        <w:pStyle w:val="Para1"/>
        <w:numPr>
          <w:ilvl w:val="0"/>
          <w:numId w:val="0"/>
        </w:numPr>
        <w:suppressLineNumbers/>
        <w:suppressAutoHyphens/>
        <w:ind w:firstLine="720"/>
      </w:pPr>
      <w:r w:rsidRPr="00C31366">
        <w:t>(b)</w:t>
      </w:r>
      <w:r w:rsidRPr="00C31366">
        <w:tab/>
        <w:t xml:space="preserve">To work with the co-chairs of the Liaison Group and of the Open-ended Working Group to develop clear complementary timelines </w:t>
      </w:r>
      <w:proofErr w:type="gramStart"/>
      <w:r w:rsidRPr="00C31366">
        <w:t>with regard to</w:t>
      </w:r>
      <w:proofErr w:type="gramEnd"/>
      <w:r w:rsidRPr="00C31366">
        <w:t xml:space="preserve"> the contribution of the Parties to the Protocol, on the relevant elements on biosafety for the post 2020 global biodiversity framework;</w:t>
      </w:r>
    </w:p>
    <w:p w14:paraId="779A5712" w14:textId="77777777" w:rsidR="0076249F" w:rsidRPr="00C31366" w:rsidRDefault="0076249F" w:rsidP="0076249F">
      <w:pPr>
        <w:pStyle w:val="Para1"/>
        <w:numPr>
          <w:ilvl w:val="0"/>
          <w:numId w:val="0"/>
        </w:numPr>
        <w:suppressLineNumbers/>
        <w:suppressAutoHyphens/>
        <w:ind w:firstLine="720"/>
      </w:pPr>
      <w:r w:rsidRPr="00C31366">
        <w:t>(c)</w:t>
      </w:r>
      <w:r w:rsidRPr="00C31366">
        <w:tab/>
        <w:t>To convene dedicated sessions to discuss biosafety matters during global and regional consultation workshop(s) referred to in decision 14/34;</w:t>
      </w:r>
    </w:p>
    <w:p w14:paraId="770B45DF" w14:textId="77777777" w:rsidR="0076249F" w:rsidRPr="00C31366" w:rsidRDefault="0076249F" w:rsidP="0076249F">
      <w:pPr>
        <w:numPr>
          <w:ilvl w:val="0"/>
          <w:numId w:val="70"/>
        </w:numPr>
        <w:suppressLineNumbers/>
        <w:tabs>
          <w:tab w:val="left" w:pos="1418"/>
        </w:tabs>
        <w:suppressAutoHyphens/>
        <w:spacing w:before="120" w:after="120"/>
        <w:ind w:left="0" w:firstLine="720"/>
        <w:jc w:val="both"/>
        <w:rPr>
          <w:kern w:val="22"/>
          <w:sz w:val="22"/>
          <w:szCs w:val="22"/>
        </w:rPr>
      </w:pPr>
      <w:r w:rsidRPr="00C31366">
        <w:rPr>
          <w:kern w:val="22"/>
          <w:sz w:val="22"/>
          <w:szCs w:val="22"/>
        </w:rPr>
        <w:lastRenderedPageBreak/>
        <w:t>To facilitate the participation of an adequate number of biosafety experts, including those with expertise on the Nagoya – Kuala Lumpur Supplementary Protocol on Liability and Redress, in the development of the relevant elements of the post-2020 global biodiversity framework, including in the relevant consultation workshop(s);</w:t>
      </w:r>
    </w:p>
    <w:p w14:paraId="0684716E" w14:textId="77777777" w:rsidR="0076249F" w:rsidRPr="00C31366" w:rsidRDefault="0076249F" w:rsidP="0076249F">
      <w:pPr>
        <w:numPr>
          <w:ilvl w:val="0"/>
          <w:numId w:val="70"/>
        </w:numPr>
        <w:suppressLineNumbers/>
        <w:suppressAutoHyphens/>
        <w:spacing w:before="120" w:after="120"/>
        <w:ind w:left="0" w:firstLine="720"/>
        <w:jc w:val="both"/>
        <w:rPr>
          <w:kern w:val="22"/>
          <w:sz w:val="22"/>
          <w:szCs w:val="22"/>
        </w:rPr>
      </w:pPr>
      <w:r w:rsidRPr="00C31366">
        <w:rPr>
          <w:kern w:val="22"/>
          <w:sz w:val="22"/>
          <w:szCs w:val="22"/>
        </w:rPr>
        <w:t>To compile submissions by Parties, other Governments, indigenous peoples and local communities and relevant organizations that provide views on (</w:t>
      </w:r>
      <w:proofErr w:type="spellStart"/>
      <w:r w:rsidRPr="00C31366">
        <w:rPr>
          <w:kern w:val="22"/>
          <w:sz w:val="22"/>
          <w:szCs w:val="22"/>
        </w:rPr>
        <w:t>i</w:t>
      </w:r>
      <w:proofErr w:type="spellEnd"/>
      <w:r w:rsidRPr="00C31366">
        <w:rPr>
          <w:kern w:val="22"/>
          <w:sz w:val="22"/>
          <w:szCs w:val="22"/>
        </w:rPr>
        <w:t>) the structure and content of the follow up to the current Strategic Plan of the Cartagena Protocol for the period 2011-2020, i.e. the Implementation Plan for the Cartagena Protocol post-2020, and (ii) the relevant elements of the biosafety component of the post-2020 global biodiversity framework;</w:t>
      </w:r>
    </w:p>
    <w:p w14:paraId="22002E5A" w14:textId="77777777" w:rsidR="0076249F" w:rsidRPr="00C31366" w:rsidRDefault="0076249F" w:rsidP="0076249F">
      <w:pPr>
        <w:numPr>
          <w:ilvl w:val="0"/>
          <w:numId w:val="70"/>
        </w:numPr>
        <w:suppressLineNumbers/>
        <w:suppressAutoHyphens/>
        <w:spacing w:before="120" w:after="120"/>
        <w:ind w:left="0" w:firstLine="720"/>
        <w:jc w:val="both"/>
        <w:rPr>
          <w:kern w:val="22"/>
          <w:sz w:val="22"/>
          <w:szCs w:val="22"/>
        </w:rPr>
      </w:pPr>
      <w:r w:rsidRPr="00C31366">
        <w:rPr>
          <w:kern w:val="22"/>
          <w:sz w:val="22"/>
          <w:szCs w:val="22"/>
        </w:rPr>
        <w:t>To convene online discussions of the Liaison Group, as appropriate, to consider the submissions referred to in paragraph 9(e)(ii) above to provide input to the development of the relevant elements of the biosafety component in the post-2020 global biodiversity framework;</w:t>
      </w:r>
    </w:p>
    <w:p w14:paraId="7BFEFEAB" w14:textId="77777777" w:rsidR="0076249F" w:rsidRPr="00C31366" w:rsidRDefault="0076249F" w:rsidP="0076249F">
      <w:pPr>
        <w:numPr>
          <w:ilvl w:val="0"/>
          <w:numId w:val="70"/>
        </w:numPr>
        <w:suppressLineNumbers/>
        <w:suppressAutoHyphens/>
        <w:spacing w:before="120" w:after="120"/>
        <w:ind w:left="0" w:firstLine="720"/>
        <w:jc w:val="both"/>
        <w:rPr>
          <w:kern w:val="22"/>
          <w:sz w:val="22"/>
          <w:szCs w:val="22"/>
        </w:rPr>
      </w:pPr>
      <w:r w:rsidRPr="00C31366">
        <w:rPr>
          <w:kern w:val="22"/>
          <w:sz w:val="22"/>
          <w:szCs w:val="22"/>
        </w:rPr>
        <w:t xml:space="preserve">To prepare a draft of the implementation plan for the Cartagena Protocol on Biosafety post-2020 </w:t>
      </w:r>
      <w:proofErr w:type="gramStart"/>
      <w:r w:rsidRPr="00C31366">
        <w:rPr>
          <w:kern w:val="22"/>
          <w:sz w:val="22"/>
          <w:szCs w:val="22"/>
        </w:rPr>
        <w:t>on the basis of</w:t>
      </w:r>
      <w:proofErr w:type="gramEnd"/>
      <w:r w:rsidRPr="00C31366">
        <w:rPr>
          <w:kern w:val="22"/>
          <w:sz w:val="22"/>
          <w:szCs w:val="22"/>
        </w:rPr>
        <w:t xml:space="preserve"> the submissions referred to in paragraph 9(e)(</w:t>
      </w:r>
      <w:proofErr w:type="spellStart"/>
      <w:r w:rsidRPr="00C31366">
        <w:rPr>
          <w:kern w:val="22"/>
          <w:sz w:val="22"/>
          <w:szCs w:val="22"/>
        </w:rPr>
        <w:t>i</w:t>
      </w:r>
      <w:proofErr w:type="spellEnd"/>
      <w:r w:rsidRPr="00C31366">
        <w:rPr>
          <w:kern w:val="22"/>
          <w:sz w:val="22"/>
          <w:szCs w:val="22"/>
        </w:rPr>
        <w:t>) above;</w:t>
      </w:r>
    </w:p>
    <w:p w14:paraId="007CED5F" w14:textId="77777777" w:rsidR="0076249F" w:rsidRPr="00C31366" w:rsidRDefault="0076249F" w:rsidP="0076249F">
      <w:pPr>
        <w:numPr>
          <w:ilvl w:val="0"/>
          <w:numId w:val="70"/>
        </w:numPr>
        <w:suppressLineNumbers/>
        <w:suppressAutoHyphens/>
        <w:spacing w:before="120" w:after="120"/>
        <w:ind w:left="0" w:firstLine="720"/>
        <w:jc w:val="both"/>
        <w:rPr>
          <w:kern w:val="22"/>
          <w:sz w:val="22"/>
          <w:szCs w:val="22"/>
        </w:rPr>
      </w:pPr>
      <w:r w:rsidRPr="00C31366">
        <w:rPr>
          <w:kern w:val="22"/>
          <w:sz w:val="22"/>
          <w:szCs w:val="22"/>
        </w:rPr>
        <w:t>To convene open-ended online discussions of Parties and other stakeholders on the draft of the implementation plan for the Cartagena Protocol on Biosafety post-2020 referred to in paragraph 9(g) above;</w:t>
      </w:r>
    </w:p>
    <w:p w14:paraId="53AB03BE" w14:textId="77777777" w:rsidR="0076249F" w:rsidRPr="00C31366" w:rsidRDefault="0076249F" w:rsidP="0076249F">
      <w:pPr>
        <w:numPr>
          <w:ilvl w:val="0"/>
          <w:numId w:val="70"/>
        </w:numPr>
        <w:suppressLineNumbers/>
        <w:suppressAutoHyphens/>
        <w:spacing w:before="120" w:after="120"/>
        <w:ind w:left="0" w:firstLine="720"/>
        <w:jc w:val="both"/>
        <w:rPr>
          <w:kern w:val="22"/>
          <w:sz w:val="22"/>
          <w:szCs w:val="22"/>
        </w:rPr>
      </w:pPr>
      <w:r w:rsidRPr="00C31366">
        <w:rPr>
          <w:kern w:val="22"/>
          <w:sz w:val="22"/>
          <w:szCs w:val="22"/>
        </w:rPr>
        <w:t>To convene a face-to-face meeting of the Liaison Group, to be held in 2019, to (</w:t>
      </w:r>
      <w:proofErr w:type="spellStart"/>
      <w:r w:rsidRPr="00C31366">
        <w:rPr>
          <w:kern w:val="22"/>
          <w:sz w:val="22"/>
          <w:szCs w:val="22"/>
        </w:rPr>
        <w:t>i</w:t>
      </w:r>
      <w:proofErr w:type="spellEnd"/>
      <w:r w:rsidRPr="00C31366">
        <w:rPr>
          <w:kern w:val="22"/>
          <w:sz w:val="22"/>
          <w:szCs w:val="22"/>
        </w:rPr>
        <w:t xml:space="preserve">) prepare a draft of the biosafety component in the post-2020 global biodiversity framework </w:t>
      </w:r>
      <w:proofErr w:type="gramStart"/>
      <w:r w:rsidRPr="00C31366">
        <w:rPr>
          <w:kern w:val="22"/>
          <w:sz w:val="22"/>
          <w:szCs w:val="22"/>
        </w:rPr>
        <w:t>with regard to</w:t>
      </w:r>
      <w:proofErr w:type="gramEnd"/>
      <w:r w:rsidRPr="00C31366">
        <w:rPr>
          <w:kern w:val="22"/>
          <w:sz w:val="22"/>
          <w:szCs w:val="22"/>
        </w:rPr>
        <w:t xml:space="preserve"> issues related to the Cartagena Protocol, and (ii) review the draft of the implementation plan for the Cartagena Protocol on Biosafety post-2020 referred to in paragraph 9(g) above;</w:t>
      </w:r>
    </w:p>
    <w:p w14:paraId="62BB6CA2" w14:textId="77777777" w:rsidR="0076249F" w:rsidRPr="00C31366" w:rsidRDefault="0076249F" w:rsidP="0076249F">
      <w:pPr>
        <w:numPr>
          <w:ilvl w:val="0"/>
          <w:numId w:val="70"/>
        </w:numPr>
        <w:suppressLineNumbers/>
        <w:suppressAutoHyphens/>
        <w:spacing w:before="120" w:after="120"/>
        <w:ind w:left="0" w:firstLine="720"/>
        <w:jc w:val="both"/>
        <w:rPr>
          <w:kern w:val="22"/>
          <w:sz w:val="22"/>
          <w:szCs w:val="22"/>
        </w:rPr>
      </w:pPr>
      <w:r w:rsidRPr="00C31366">
        <w:rPr>
          <w:kern w:val="22"/>
          <w:sz w:val="22"/>
          <w:szCs w:val="22"/>
        </w:rPr>
        <w:t>To conduct a peer-review by Parties to the Cartagena Protocol of the draft of the implementation plan for the Cartagena Protocol on Biosafety post-2020;</w:t>
      </w:r>
    </w:p>
    <w:p w14:paraId="4B437BA3" w14:textId="77777777" w:rsidR="0076249F" w:rsidRPr="00C31366" w:rsidRDefault="0076249F" w:rsidP="0076249F">
      <w:pPr>
        <w:numPr>
          <w:ilvl w:val="0"/>
          <w:numId w:val="70"/>
        </w:numPr>
        <w:suppressLineNumbers/>
        <w:suppressAutoHyphens/>
        <w:spacing w:before="120" w:after="120"/>
        <w:ind w:left="0" w:firstLine="720"/>
        <w:jc w:val="both"/>
        <w:rPr>
          <w:kern w:val="22"/>
          <w:sz w:val="22"/>
          <w:szCs w:val="22"/>
        </w:rPr>
      </w:pPr>
      <w:r w:rsidRPr="00C31366">
        <w:rPr>
          <w:kern w:val="22"/>
          <w:sz w:val="22"/>
          <w:szCs w:val="22"/>
        </w:rPr>
        <w:t>To submit the final draft of the implementation plan for the Cartagena Protocol on Biosafety post-2020 for consideration by the Subsidiary Body on Implementation at its third meeting;</w:t>
      </w:r>
    </w:p>
    <w:p w14:paraId="76EAEE8F" w14:textId="77777777" w:rsidR="0076249F" w:rsidRPr="00C31366" w:rsidRDefault="0076249F" w:rsidP="0076249F">
      <w:pPr>
        <w:suppressLineNumbers/>
        <w:suppressAutoHyphens/>
        <w:snapToGrid w:val="0"/>
        <w:spacing w:before="120" w:after="120"/>
        <w:ind w:firstLine="720"/>
        <w:rPr>
          <w:kern w:val="22"/>
          <w:sz w:val="22"/>
          <w:szCs w:val="22"/>
        </w:rPr>
      </w:pPr>
      <w:r w:rsidRPr="00C31366">
        <w:rPr>
          <w:kern w:val="22"/>
          <w:sz w:val="22"/>
          <w:szCs w:val="22"/>
        </w:rPr>
        <w:t>10.</w:t>
      </w:r>
      <w:r w:rsidRPr="00C31366">
        <w:rPr>
          <w:i/>
          <w:kern w:val="22"/>
          <w:sz w:val="22"/>
          <w:szCs w:val="22"/>
        </w:rPr>
        <w:tab/>
        <w:t xml:space="preserve">Requests </w:t>
      </w:r>
      <w:r w:rsidRPr="00C31366">
        <w:rPr>
          <w:kern w:val="22"/>
          <w:sz w:val="22"/>
          <w:szCs w:val="22"/>
        </w:rPr>
        <w:t>the Subsidiary Body on Implementation at its third meeting to review a draft of the Implementation Plan for the Cartagena Protocol on Biosafety post-2020 and to prepare a recommendation for consideration by the Conference of the Parties serving as the meeting of the Parties to the Cartagena Protocol at its tenth meeting.</w:t>
      </w:r>
    </w:p>
    <w:p w14:paraId="2DCED5B1" w14:textId="77777777" w:rsidR="0076249F" w:rsidRPr="00C31366" w:rsidRDefault="0076249F" w:rsidP="0076249F">
      <w:pPr>
        <w:keepNext/>
        <w:tabs>
          <w:tab w:val="left" w:pos="1418"/>
        </w:tabs>
        <w:spacing w:before="120" w:after="120"/>
        <w:jc w:val="center"/>
        <w:rPr>
          <w:i/>
          <w:kern w:val="22"/>
          <w:sz w:val="22"/>
          <w:szCs w:val="22"/>
        </w:rPr>
      </w:pPr>
      <w:r w:rsidRPr="00C31366">
        <w:rPr>
          <w:i/>
          <w:kern w:val="22"/>
          <w:sz w:val="22"/>
          <w:szCs w:val="22"/>
        </w:rPr>
        <w:t>Annex</w:t>
      </w:r>
    </w:p>
    <w:p w14:paraId="72E8B6F2" w14:textId="77777777" w:rsidR="0076249F" w:rsidRPr="00C31366" w:rsidRDefault="0076249F" w:rsidP="0076249F">
      <w:pPr>
        <w:spacing w:before="120" w:after="120"/>
        <w:jc w:val="center"/>
        <w:rPr>
          <w:b/>
          <w:kern w:val="22"/>
          <w:sz w:val="22"/>
          <w:szCs w:val="22"/>
        </w:rPr>
      </w:pPr>
      <w:r w:rsidRPr="00C31366">
        <w:rPr>
          <w:b/>
          <w:kern w:val="22"/>
          <w:sz w:val="22"/>
          <w:szCs w:val="22"/>
        </w:rPr>
        <w:t>TERMS OF REFERENCE OF THE LIAISON GROUP ON THE CARTAGENA PROTOCOL ON BIOSAFETY</w:t>
      </w:r>
    </w:p>
    <w:p w14:paraId="64BF6556" w14:textId="77777777" w:rsidR="0076249F" w:rsidRPr="00C31366" w:rsidRDefault="0076249F" w:rsidP="0076249F">
      <w:pPr>
        <w:pStyle w:val="ListParagraph"/>
        <w:numPr>
          <w:ilvl w:val="0"/>
          <w:numId w:val="72"/>
        </w:numPr>
        <w:spacing w:before="120" w:after="120"/>
        <w:ind w:left="0" w:firstLine="0"/>
        <w:rPr>
          <w:kern w:val="22"/>
          <w:szCs w:val="22"/>
        </w:rPr>
      </w:pPr>
      <w:r w:rsidRPr="00CD532C">
        <w:rPr>
          <w:kern w:val="22"/>
          <w:szCs w:val="22"/>
        </w:rPr>
        <w:t>The Liaison Group shall provide the Executive Secretary with expert advice on: (a) ways a</w:t>
      </w:r>
      <w:r w:rsidRPr="00C31366">
        <w:rPr>
          <w:kern w:val="22"/>
          <w:szCs w:val="22"/>
        </w:rPr>
        <w:t>nd means to enhance the coordination and effective implementation of the Cartagena Protocol on Biosafety: and (b) overall strategic approaches as well as conceptual and practical operational measures for enhancing coordination of activities under the Protocol, including capacity-building initiatives, among other things.</w:t>
      </w:r>
    </w:p>
    <w:p w14:paraId="1D9F8529" w14:textId="77777777" w:rsidR="0076249F" w:rsidRPr="00C31366" w:rsidRDefault="0076249F" w:rsidP="0076249F">
      <w:pPr>
        <w:pStyle w:val="ListParagraph"/>
        <w:numPr>
          <w:ilvl w:val="0"/>
          <w:numId w:val="72"/>
        </w:numPr>
        <w:spacing w:before="120" w:after="120"/>
        <w:ind w:left="0" w:firstLine="0"/>
        <w:rPr>
          <w:kern w:val="22"/>
          <w:szCs w:val="22"/>
        </w:rPr>
      </w:pPr>
      <w:r w:rsidRPr="00C31366">
        <w:rPr>
          <w:kern w:val="22"/>
          <w:szCs w:val="22"/>
        </w:rPr>
        <w:t xml:space="preserve">Members of the Liaison Group shall be selected </w:t>
      </w:r>
      <w:proofErr w:type="gramStart"/>
      <w:r w:rsidRPr="00C31366">
        <w:rPr>
          <w:kern w:val="22"/>
          <w:szCs w:val="22"/>
        </w:rPr>
        <w:t>on the basis of</w:t>
      </w:r>
      <w:proofErr w:type="gramEnd"/>
      <w:r w:rsidRPr="00C31366">
        <w:rPr>
          <w:kern w:val="22"/>
          <w:szCs w:val="22"/>
        </w:rPr>
        <w:t xml:space="preserve"> their demonstrated expertise and experience with regard to the implementation of the Cartagena Protocol on Biosafety and the Nagoya – Kuala Lumpur Supplementary Protocol on Liability and Redress, taking into account geographical representation, gender balance, and a fair representation of relevant stakeholders.</w:t>
      </w:r>
    </w:p>
    <w:p w14:paraId="66EF4382" w14:textId="77777777" w:rsidR="00376CED" w:rsidRPr="00C31366" w:rsidRDefault="00376CED" w:rsidP="0008472F">
      <w:pPr>
        <w:jc w:val="both"/>
        <w:rPr>
          <w:kern w:val="22"/>
          <w:sz w:val="22"/>
          <w:szCs w:val="22"/>
          <w:lang w:val="en-GB"/>
        </w:rPr>
      </w:pPr>
    </w:p>
    <w:p w14:paraId="32BEC94B" w14:textId="77777777" w:rsidR="00376CED" w:rsidRPr="0008472F" w:rsidRDefault="00376CED" w:rsidP="0008472F">
      <w:pPr>
        <w:jc w:val="both"/>
        <w:rPr>
          <w:b/>
          <w:caps/>
          <w:sz w:val="22"/>
          <w:szCs w:val="22"/>
        </w:rPr>
      </w:pPr>
      <w:r w:rsidRPr="0008472F">
        <w:rPr>
          <w:sz w:val="22"/>
          <w:szCs w:val="22"/>
        </w:rPr>
        <w:br w:type="page"/>
      </w:r>
    </w:p>
    <w:p w14:paraId="772C5F95" w14:textId="671357C1" w:rsidR="00376CED" w:rsidRPr="003075B3" w:rsidRDefault="00376CED" w:rsidP="00376CED">
      <w:pPr>
        <w:pStyle w:val="heading2-item"/>
        <w:ind w:left="1701" w:right="146" w:hanging="850"/>
        <w:jc w:val="left"/>
      </w:pPr>
      <w:bookmarkStart w:id="26" w:name="_Toc879821"/>
      <w:bookmarkStart w:id="27" w:name="_Toc5612099"/>
      <w:r w:rsidRPr="003075B3">
        <w:lastRenderedPageBreak/>
        <w:t>9/8.</w:t>
      </w:r>
      <w:r w:rsidRPr="003075B3">
        <w:tab/>
        <w:t>Review of experience in holding concurrently meetings of the Conference of the Parties to the Convention, the Conference of the Parties serving as the meeting of the Parties to the Cartagena Protocol, and the Conference of the Parties serving as the meeting of the Parties to the Nagoya Protocol</w:t>
      </w:r>
      <w:bookmarkEnd w:id="26"/>
      <w:bookmarkEnd w:id="27"/>
    </w:p>
    <w:p w14:paraId="41590177" w14:textId="263FC319" w:rsidR="00376CED" w:rsidRPr="0008472F" w:rsidRDefault="00376CED" w:rsidP="0008472F">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08472F">
        <w:rPr>
          <w:i/>
          <w:kern w:val="22"/>
          <w:sz w:val="22"/>
          <w:szCs w:val="22"/>
        </w:rPr>
        <w:t>The Conference of the Parties serving as the meeting of the Parties to the Cartagena Protocol on Biosafety,</w:t>
      </w:r>
    </w:p>
    <w:p w14:paraId="0E9A0614" w14:textId="77777777" w:rsidR="00376CED" w:rsidRPr="0008472F" w:rsidRDefault="00376CED" w:rsidP="0008472F">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08472F">
        <w:rPr>
          <w:i/>
          <w:iCs/>
          <w:kern w:val="22"/>
          <w:sz w:val="22"/>
          <w:szCs w:val="22"/>
        </w:rPr>
        <w:t>Recalling</w:t>
      </w:r>
      <w:r w:rsidRPr="0008472F">
        <w:rPr>
          <w:kern w:val="22"/>
          <w:sz w:val="22"/>
          <w:szCs w:val="22"/>
        </w:rPr>
        <w:t xml:space="preserve"> decisions </w:t>
      </w:r>
      <w:hyperlink r:id="rId19" w:history="1">
        <w:r w:rsidRPr="0008472F">
          <w:rPr>
            <w:color w:val="0000FF"/>
            <w:kern w:val="22"/>
            <w:sz w:val="22"/>
            <w:szCs w:val="22"/>
            <w:u w:val="single"/>
          </w:rPr>
          <w:t>BS-VII/9</w:t>
        </w:r>
      </w:hyperlink>
      <w:r w:rsidRPr="0008472F">
        <w:rPr>
          <w:kern w:val="22"/>
          <w:sz w:val="22"/>
          <w:szCs w:val="22"/>
        </w:rPr>
        <w:t xml:space="preserve"> and </w:t>
      </w:r>
      <w:hyperlink r:id="rId20" w:history="1">
        <w:r w:rsidRPr="0008472F">
          <w:rPr>
            <w:color w:val="0000FF"/>
            <w:kern w:val="22"/>
            <w:sz w:val="22"/>
            <w:szCs w:val="22"/>
            <w:u w:val="single"/>
          </w:rPr>
          <w:t>CP-VIII/10</w:t>
        </w:r>
      </w:hyperlink>
      <w:r w:rsidRPr="0008472F">
        <w:rPr>
          <w:kern w:val="22"/>
          <w:sz w:val="22"/>
          <w:szCs w:val="22"/>
        </w:rPr>
        <w:t>,</w:t>
      </w:r>
    </w:p>
    <w:p w14:paraId="45E7EA8F" w14:textId="77777777" w:rsidR="00376CED" w:rsidRPr="0008472F" w:rsidRDefault="00376CED" w:rsidP="0008472F">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08472F">
        <w:rPr>
          <w:i/>
          <w:iCs/>
          <w:kern w:val="22"/>
          <w:sz w:val="22"/>
          <w:szCs w:val="22"/>
        </w:rPr>
        <w:t>Having reviewed</w:t>
      </w:r>
      <w:r w:rsidRPr="0008472F">
        <w:rPr>
          <w:kern w:val="22"/>
          <w:sz w:val="22"/>
          <w:szCs w:val="22"/>
        </w:rPr>
        <w:t xml:space="preserve"> the experience in holding concurrently meetings of the Conference of the Parties, the Conference of the Parties serving as the meeting of the Parties to the Cartagena Protocol and the Conference of the Parties serving as the meeting of the Parties to the Nagoya Protocol, using the criteria determined in decision CP-VIII/10,</w:t>
      </w:r>
      <w:r w:rsidRPr="0008472F">
        <w:rPr>
          <w:i/>
          <w:iCs/>
          <w:kern w:val="22"/>
          <w:sz w:val="22"/>
          <w:szCs w:val="22"/>
        </w:rPr>
        <w:t xml:space="preserve"> </w:t>
      </w:r>
      <w:r w:rsidRPr="0008472F">
        <w:rPr>
          <w:kern w:val="22"/>
          <w:sz w:val="22"/>
          <w:szCs w:val="22"/>
        </w:rPr>
        <w:t>and</w:t>
      </w:r>
      <w:r w:rsidRPr="0008472F">
        <w:rPr>
          <w:i/>
          <w:iCs/>
          <w:kern w:val="22"/>
          <w:sz w:val="22"/>
          <w:szCs w:val="22"/>
        </w:rPr>
        <w:t xml:space="preserve"> taking into account</w:t>
      </w:r>
      <w:r w:rsidRPr="0008472F">
        <w:rPr>
          <w:kern w:val="22"/>
          <w:sz w:val="22"/>
          <w:szCs w:val="22"/>
        </w:rPr>
        <w:t xml:space="preserve"> the views of Parties, observers and participants at the thirteenth meeting of the Conference of the Parties to the Convention, the eighth meeting of the Conference of the Parties serving as the meeting of the Parties to the Cartagena Protocol and the second meeting of the Conference of the Parties serving as the meeting of the Parties to the Nagoya Protocol, and through the surveys conducted after the meetings,</w:t>
      </w:r>
    </w:p>
    <w:p w14:paraId="6D1E39C0" w14:textId="77777777" w:rsidR="00376CED" w:rsidRPr="0008472F" w:rsidRDefault="00376CED" w:rsidP="0008472F">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08472F">
        <w:rPr>
          <w:i/>
          <w:iCs/>
          <w:kern w:val="22"/>
          <w:sz w:val="22"/>
          <w:szCs w:val="22"/>
        </w:rPr>
        <w:t>Recognizing</w:t>
      </w:r>
      <w:r w:rsidRPr="0008472F">
        <w:rPr>
          <w:kern w:val="22"/>
          <w:sz w:val="22"/>
          <w:szCs w:val="22"/>
        </w:rPr>
        <w:t xml:space="preserve"> that a further review will be undertaken at the fifteenth meeting of the Conference of the Parties to the Convention, the tenth meeting of the Conference of the Parties serving as the meeting of the Parties to the Cartagena Protocol and the fourth meeting of the Conference of the Parties serving as the meeting of the Parties to the Nagoya Protocol,</w:t>
      </w:r>
    </w:p>
    <w:p w14:paraId="3B9A77BB" w14:textId="77777777" w:rsidR="00376CED" w:rsidRPr="0008472F" w:rsidRDefault="00376CED" w:rsidP="0008472F">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08472F">
        <w:rPr>
          <w:kern w:val="22"/>
          <w:sz w:val="22"/>
          <w:szCs w:val="22"/>
        </w:rPr>
        <w:t>1.</w:t>
      </w:r>
      <w:r w:rsidRPr="0008472F">
        <w:rPr>
          <w:kern w:val="22"/>
          <w:sz w:val="22"/>
          <w:szCs w:val="22"/>
        </w:rPr>
        <w:tab/>
      </w:r>
      <w:r w:rsidRPr="0008472F">
        <w:rPr>
          <w:i/>
          <w:kern w:val="22"/>
          <w:sz w:val="22"/>
          <w:szCs w:val="22"/>
        </w:rPr>
        <w:t>Notes</w:t>
      </w:r>
      <w:r w:rsidRPr="0008472F">
        <w:rPr>
          <w:kern w:val="22"/>
          <w:sz w:val="22"/>
          <w:szCs w:val="22"/>
        </w:rPr>
        <w:t xml:space="preserve"> </w:t>
      </w:r>
      <w:r w:rsidRPr="0008472F">
        <w:rPr>
          <w:i/>
          <w:kern w:val="22"/>
          <w:sz w:val="22"/>
          <w:szCs w:val="22"/>
        </w:rPr>
        <w:t>with satisfaction</w:t>
      </w:r>
      <w:r w:rsidRPr="0008472F">
        <w:rPr>
          <w:kern w:val="22"/>
          <w:sz w:val="22"/>
          <w:szCs w:val="22"/>
        </w:rPr>
        <w:t xml:space="preserve"> that the concurrent meetings have allowed for increased integration among the Convention and its Protocols, and improved consultations, coordination and synergies among the respective national focal points;</w:t>
      </w:r>
    </w:p>
    <w:p w14:paraId="2FF019E0" w14:textId="77777777" w:rsidR="00376CED" w:rsidRPr="0008472F" w:rsidRDefault="00376CED" w:rsidP="0008472F">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08472F">
        <w:rPr>
          <w:kern w:val="22"/>
          <w:sz w:val="22"/>
          <w:szCs w:val="22"/>
        </w:rPr>
        <w:t>2.</w:t>
      </w:r>
      <w:r w:rsidRPr="0008472F">
        <w:rPr>
          <w:kern w:val="22"/>
          <w:sz w:val="22"/>
          <w:szCs w:val="22"/>
        </w:rPr>
        <w:tab/>
      </w:r>
      <w:r w:rsidRPr="0008472F">
        <w:rPr>
          <w:i/>
          <w:kern w:val="22"/>
          <w:sz w:val="22"/>
          <w:szCs w:val="22"/>
        </w:rPr>
        <w:t>Notes</w:t>
      </w:r>
      <w:r w:rsidRPr="0008472F">
        <w:rPr>
          <w:kern w:val="22"/>
          <w:sz w:val="22"/>
          <w:szCs w:val="22"/>
        </w:rPr>
        <w:t xml:space="preserve"> that most of the criteria were considered as being met or partially met, and that further improvements in the functioning of the concurrent meetings are desirable, </w:t>
      </w:r>
      <w:proofErr w:type="gramStart"/>
      <w:r w:rsidRPr="0008472F">
        <w:rPr>
          <w:kern w:val="22"/>
          <w:sz w:val="22"/>
          <w:szCs w:val="22"/>
        </w:rPr>
        <w:t>in particular to</w:t>
      </w:r>
      <w:proofErr w:type="gramEnd"/>
      <w:r w:rsidRPr="0008472F">
        <w:rPr>
          <w:kern w:val="22"/>
          <w:sz w:val="22"/>
          <w:szCs w:val="22"/>
        </w:rPr>
        <w:t xml:space="preserve"> improve the outcomes and effectiveness of the meetings of the Parties to the Protocols;</w:t>
      </w:r>
    </w:p>
    <w:p w14:paraId="291D7128" w14:textId="77777777" w:rsidR="00376CED" w:rsidRPr="0008472F" w:rsidRDefault="00376CED" w:rsidP="0008472F">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08472F">
        <w:rPr>
          <w:kern w:val="22"/>
          <w:sz w:val="22"/>
          <w:szCs w:val="22"/>
        </w:rPr>
        <w:t>3.</w:t>
      </w:r>
      <w:r w:rsidRPr="0008472F">
        <w:rPr>
          <w:kern w:val="22"/>
          <w:sz w:val="22"/>
          <w:szCs w:val="22"/>
        </w:rPr>
        <w:tab/>
      </w:r>
      <w:r w:rsidRPr="0008472F">
        <w:rPr>
          <w:i/>
          <w:kern w:val="22"/>
          <w:sz w:val="22"/>
          <w:szCs w:val="22"/>
        </w:rPr>
        <w:t>Reiterates</w:t>
      </w:r>
      <w:r w:rsidRPr="0008472F">
        <w:rPr>
          <w:kern w:val="22"/>
          <w:sz w:val="22"/>
          <w:szCs w:val="22"/>
        </w:rPr>
        <w:t xml:space="preserve"> the importance of ensuring the full and effective participation of representatives of developing country Parties, in particular the least developed countries and small island developing States among them, and countries with economies in transition, in the concurrent meetings, and </w:t>
      </w:r>
      <w:r w:rsidRPr="0008472F">
        <w:rPr>
          <w:i/>
          <w:kern w:val="22"/>
          <w:sz w:val="22"/>
          <w:szCs w:val="22"/>
        </w:rPr>
        <w:t>highlights</w:t>
      </w:r>
      <w:r w:rsidRPr="0008472F">
        <w:rPr>
          <w:kern w:val="22"/>
          <w:sz w:val="22"/>
          <w:szCs w:val="22"/>
        </w:rPr>
        <w:t>, in this respect, the importance, in particular, of ensuring adequate participation of representatives in meetings of the Protocols by making funding available for such participation, including in intersessional meetings;</w:t>
      </w:r>
    </w:p>
    <w:p w14:paraId="698AC9A5" w14:textId="77777777" w:rsidR="00376CED" w:rsidRPr="0008472F" w:rsidRDefault="00376CED" w:rsidP="0008472F">
      <w:pPr>
        <w:suppressLineNumbers/>
        <w:suppressAutoHyphens/>
        <w:kinsoku w:val="0"/>
        <w:overflowPunct w:val="0"/>
        <w:autoSpaceDE w:val="0"/>
        <w:autoSpaceDN w:val="0"/>
        <w:adjustRightInd w:val="0"/>
        <w:snapToGrid w:val="0"/>
        <w:spacing w:before="120" w:after="120"/>
        <w:ind w:firstLine="720"/>
        <w:jc w:val="both"/>
        <w:rPr>
          <w:kern w:val="22"/>
          <w:sz w:val="22"/>
          <w:szCs w:val="22"/>
          <w:lang w:eastAsia="en-CA"/>
        </w:rPr>
      </w:pPr>
      <w:r w:rsidRPr="0008472F">
        <w:rPr>
          <w:kern w:val="22"/>
          <w:sz w:val="22"/>
          <w:szCs w:val="22"/>
        </w:rPr>
        <w:t>4.</w:t>
      </w:r>
      <w:r w:rsidRPr="0008472F">
        <w:rPr>
          <w:kern w:val="22"/>
          <w:sz w:val="22"/>
          <w:szCs w:val="22"/>
        </w:rPr>
        <w:tab/>
      </w:r>
      <w:r w:rsidRPr="0008472F">
        <w:rPr>
          <w:i/>
          <w:kern w:val="22"/>
          <w:sz w:val="22"/>
          <w:szCs w:val="22"/>
        </w:rPr>
        <w:t>Requests</w:t>
      </w:r>
      <w:r w:rsidRPr="0008472F">
        <w:rPr>
          <w:kern w:val="22"/>
          <w:sz w:val="22"/>
          <w:szCs w:val="22"/>
        </w:rPr>
        <w:t xml:space="preserve"> the Executive Secretary to further develop the preliminary review of the experience in concurrent meetings, using the criteria referred to in decision CP-VIII/10, on the basis of the experience gained from the concurrent meetings of the fourteenth meeting of the Conference of the Parties, the ninth meeting of the Conference of the Parties serving as the meeting of the Parties to the Cartagena Protocol and the third meeting of the Conference of the Parties serving as the meeting of the Parties to the Nagoya Protocol, for consideration by the Subsidiary Body on Implementation at its third meeting;</w:t>
      </w:r>
    </w:p>
    <w:p w14:paraId="3BFB2108" w14:textId="3EEF7E4C" w:rsidR="00376CED" w:rsidRPr="003075B3" w:rsidRDefault="00376CED" w:rsidP="00237524">
      <w:pPr>
        <w:pStyle w:val="ListParagraph"/>
        <w:suppressLineNumbers/>
        <w:shd w:val="clear" w:color="auto" w:fill="FFFFFF" w:themeFill="background1"/>
        <w:suppressAutoHyphens/>
        <w:spacing w:before="120" w:after="120"/>
        <w:ind w:left="0" w:firstLine="720"/>
      </w:pPr>
      <w:r w:rsidRPr="0008472F">
        <w:rPr>
          <w:kern w:val="22"/>
          <w:szCs w:val="22"/>
        </w:rPr>
        <w:t>5.</w:t>
      </w:r>
      <w:r w:rsidRPr="0008472F">
        <w:rPr>
          <w:kern w:val="22"/>
          <w:szCs w:val="22"/>
        </w:rPr>
        <w:tab/>
      </w:r>
      <w:r w:rsidRPr="0008472F">
        <w:rPr>
          <w:i/>
          <w:kern w:val="22"/>
          <w:szCs w:val="22"/>
        </w:rPr>
        <w:t>Requests</w:t>
      </w:r>
      <w:r w:rsidRPr="0008472F">
        <w:rPr>
          <w:kern w:val="22"/>
          <w:szCs w:val="22"/>
        </w:rPr>
        <w:t xml:space="preserve"> the Bureau and the Executive Secretary, when finalizing the proposed organization of work for the fifteenth meeting of the Conference of the Parties to the Convention, the tenth meeting of the Conference of the Parties serving as the meeting of the Parties to the Cartagena Protocol and the fourth meeting of the Conference of the Parties serving as the meeting of the Parties to the Nagoya Protocol, to take into account the present decision, the information contained in the note by the Executive Secretary</w:t>
      </w:r>
      <w:r w:rsidRPr="0008472F">
        <w:rPr>
          <w:kern w:val="22"/>
          <w:szCs w:val="22"/>
          <w:vertAlign w:val="superscript"/>
        </w:rPr>
        <w:footnoteReference w:id="17"/>
      </w:r>
      <w:r w:rsidRPr="0008472F">
        <w:rPr>
          <w:kern w:val="22"/>
          <w:szCs w:val="22"/>
        </w:rPr>
        <w:t xml:space="preserve"> and the experience gained from the concurrent meetings of the fourteenth meeting of the Conference of the Parties, the ninth meeting of the Conference of the Parties serving as the meeting of the Parties to the Cartagena Protocol and the third meeting of the Conference of the Parties serving as the meeting of the Parties to the Nagoya Protocol.</w:t>
      </w:r>
      <w:r w:rsidRPr="003075B3">
        <w:br w:type="page"/>
      </w:r>
    </w:p>
    <w:p w14:paraId="3E4191AE" w14:textId="0EEAA7F5" w:rsidR="00376CED" w:rsidRPr="0008472F" w:rsidRDefault="00376CED" w:rsidP="00237524">
      <w:pPr>
        <w:pStyle w:val="heading2-item"/>
        <w:ind w:left="1701" w:right="146" w:hanging="850"/>
        <w:jc w:val="left"/>
        <w:rPr>
          <w:iCs w:val="0"/>
          <w:noProof/>
          <w:szCs w:val="22"/>
        </w:rPr>
      </w:pPr>
      <w:bookmarkStart w:id="28" w:name="_Toc5612100"/>
      <w:r w:rsidRPr="003075B3">
        <w:rPr>
          <w:iCs w:val="0"/>
          <w:noProof/>
        </w:rPr>
        <w:lastRenderedPageBreak/>
        <w:t>9/9.</w:t>
      </w:r>
      <w:r w:rsidRPr="003075B3">
        <w:rPr>
          <w:iCs w:val="0"/>
          <w:noProof/>
        </w:rPr>
        <w:tab/>
      </w:r>
      <w:r w:rsidRPr="0008472F">
        <w:rPr>
          <w:iCs w:val="0"/>
          <w:noProof/>
          <w:szCs w:val="22"/>
        </w:rPr>
        <w:t>Enhancing integration under the Convention and its Protocols with respect to biosafety-related provisions</w:t>
      </w:r>
      <w:bookmarkEnd w:id="28"/>
    </w:p>
    <w:p w14:paraId="3D73BD01" w14:textId="33E6F494" w:rsidR="00376CED" w:rsidRPr="0008472F" w:rsidRDefault="00376CED" w:rsidP="00725967">
      <w:pPr>
        <w:suppressLineNumbers/>
        <w:suppressAutoHyphens/>
        <w:ind w:firstLine="720"/>
        <w:rPr>
          <w:i/>
          <w:noProof/>
          <w:kern w:val="22"/>
          <w:sz w:val="22"/>
          <w:szCs w:val="22"/>
        </w:rPr>
      </w:pPr>
      <w:r w:rsidRPr="0008472F">
        <w:rPr>
          <w:i/>
          <w:noProof/>
          <w:kern w:val="22"/>
          <w:sz w:val="22"/>
          <w:szCs w:val="22"/>
        </w:rPr>
        <w:t>The Conference of the Parties serving as the meeting of the Parties to the Cartagena Protocol on Biosafety,</w:t>
      </w:r>
    </w:p>
    <w:p w14:paraId="1C26A921" w14:textId="77777777" w:rsidR="00376CED" w:rsidRPr="0008472F" w:rsidRDefault="00376CED" w:rsidP="00725967">
      <w:pPr>
        <w:pStyle w:val="Para1"/>
        <w:numPr>
          <w:ilvl w:val="0"/>
          <w:numId w:val="0"/>
        </w:numPr>
        <w:suppressLineNumbers/>
        <w:suppressAutoHyphens/>
        <w:kinsoku w:val="0"/>
        <w:overflowPunct w:val="0"/>
        <w:autoSpaceDE w:val="0"/>
        <w:autoSpaceDN w:val="0"/>
        <w:ind w:firstLine="720"/>
        <w:rPr>
          <w:noProof/>
        </w:rPr>
      </w:pPr>
      <w:r w:rsidRPr="0008472F">
        <w:rPr>
          <w:i/>
          <w:noProof/>
        </w:rPr>
        <w:t xml:space="preserve">Recalling </w:t>
      </w:r>
      <w:r w:rsidRPr="0008472F">
        <w:rPr>
          <w:noProof/>
        </w:rPr>
        <w:t>decision XIII/26</w:t>
      </w:r>
      <w:r w:rsidRPr="0008472F">
        <w:rPr>
          <w:i/>
          <w:noProof/>
        </w:rPr>
        <w:t xml:space="preserve"> </w:t>
      </w:r>
      <w:r w:rsidRPr="0008472F">
        <w:rPr>
          <w:noProof/>
        </w:rPr>
        <w:t>of the Conference of the Parties</w:t>
      </w:r>
      <w:r w:rsidRPr="0008472F">
        <w:rPr>
          <w:i/>
          <w:noProof/>
        </w:rPr>
        <w:t xml:space="preserve"> </w:t>
      </w:r>
      <w:r w:rsidRPr="0008472F">
        <w:rPr>
          <w:noProof/>
        </w:rPr>
        <w:t>regarding possible ways and means to promote integrated approaches to issues at the interface between the biosafety-related provisions of the Convention and the provisions of the Cartagena Protocol,</w:t>
      </w:r>
    </w:p>
    <w:p w14:paraId="123321B2" w14:textId="77777777" w:rsidR="00376CED" w:rsidRPr="0008472F" w:rsidRDefault="00376CED" w:rsidP="00725967">
      <w:pPr>
        <w:pStyle w:val="ListParagraph"/>
        <w:suppressLineNumbers/>
        <w:shd w:val="clear" w:color="auto" w:fill="FFFFFF" w:themeFill="background1"/>
        <w:suppressAutoHyphens/>
        <w:spacing w:before="120" w:after="120"/>
        <w:ind w:left="0" w:firstLine="720"/>
        <w:rPr>
          <w:noProof/>
          <w:kern w:val="22"/>
          <w:szCs w:val="22"/>
        </w:rPr>
      </w:pPr>
      <w:r w:rsidRPr="0008472F">
        <w:rPr>
          <w:i/>
          <w:noProof/>
          <w:kern w:val="22"/>
          <w:szCs w:val="22"/>
        </w:rPr>
        <w:t xml:space="preserve">Takes note </w:t>
      </w:r>
      <w:r w:rsidRPr="0008472F">
        <w:rPr>
          <w:noProof/>
          <w:kern w:val="22"/>
          <w:szCs w:val="22"/>
        </w:rPr>
        <w:t xml:space="preserve">of the proposed ways and means for enhanced integration, and </w:t>
      </w:r>
      <w:r w:rsidRPr="0008472F">
        <w:rPr>
          <w:i/>
          <w:noProof/>
          <w:kern w:val="22"/>
          <w:szCs w:val="22"/>
        </w:rPr>
        <w:t>welcomes</w:t>
      </w:r>
      <w:r w:rsidRPr="0008472F">
        <w:rPr>
          <w:noProof/>
          <w:kern w:val="22"/>
          <w:szCs w:val="22"/>
        </w:rPr>
        <w:t xml:space="preserve"> decision 14/31 of the Conference of the Parties.</w:t>
      </w:r>
    </w:p>
    <w:p w14:paraId="18BADC2F" w14:textId="77777777" w:rsidR="00376CED" w:rsidRPr="003075B3" w:rsidRDefault="00376CED">
      <w:pPr>
        <w:rPr>
          <w:b/>
          <w:caps/>
        </w:rPr>
      </w:pPr>
      <w:r w:rsidRPr="003075B3">
        <w:br w:type="page"/>
      </w:r>
    </w:p>
    <w:p w14:paraId="0A59A248" w14:textId="29097130" w:rsidR="00376CED" w:rsidRPr="003075B3" w:rsidRDefault="00376CED" w:rsidP="00376CED">
      <w:pPr>
        <w:pStyle w:val="heading2-item"/>
      </w:pPr>
      <w:bookmarkStart w:id="29" w:name="_Toc879822"/>
      <w:bookmarkStart w:id="30" w:name="_Toc5612101"/>
      <w:r w:rsidRPr="003075B3">
        <w:lastRenderedPageBreak/>
        <w:t>9/10.</w:t>
      </w:r>
      <w:r w:rsidRPr="003075B3">
        <w:tab/>
        <w:t>Procedure for avoiding or managing conflicts of interest in expert groups</w:t>
      </w:r>
      <w:bookmarkEnd w:id="29"/>
      <w:bookmarkEnd w:id="30"/>
    </w:p>
    <w:p w14:paraId="0D898479" w14:textId="466ACD7A" w:rsidR="00376CED" w:rsidRPr="0008472F" w:rsidRDefault="00376CED" w:rsidP="0008472F">
      <w:pPr>
        <w:suppressLineNumbers/>
        <w:suppressAutoHyphens/>
        <w:kinsoku w:val="0"/>
        <w:overflowPunct w:val="0"/>
        <w:autoSpaceDE w:val="0"/>
        <w:autoSpaceDN w:val="0"/>
        <w:adjustRightInd w:val="0"/>
        <w:snapToGrid w:val="0"/>
        <w:spacing w:before="120" w:after="120"/>
        <w:ind w:firstLine="720"/>
        <w:jc w:val="both"/>
        <w:rPr>
          <w:color w:val="000000" w:themeColor="text1"/>
          <w:kern w:val="22"/>
          <w:sz w:val="22"/>
          <w:szCs w:val="22"/>
        </w:rPr>
      </w:pPr>
      <w:r w:rsidRPr="0008472F">
        <w:rPr>
          <w:i/>
          <w:color w:val="000000" w:themeColor="text1"/>
          <w:kern w:val="22"/>
          <w:sz w:val="22"/>
          <w:szCs w:val="22"/>
        </w:rPr>
        <w:t>The Conference of the Parties serving as the meeting of the Parties to the Cartagena Protocol on Biosafety,</w:t>
      </w:r>
    </w:p>
    <w:p w14:paraId="6FABCE3A" w14:textId="77777777" w:rsidR="00376CED" w:rsidRPr="0008472F" w:rsidRDefault="00376CED" w:rsidP="0008472F">
      <w:pPr>
        <w:suppressLineNumbers/>
        <w:shd w:val="clear" w:color="auto" w:fill="FFFFFF" w:themeFill="background1"/>
        <w:suppressAutoHyphens/>
        <w:kinsoku w:val="0"/>
        <w:overflowPunct w:val="0"/>
        <w:autoSpaceDE w:val="0"/>
        <w:autoSpaceDN w:val="0"/>
        <w:adjustRightInd w:val="0"/>
        <w:snapToGrid w:val="0"/>
        <w:spacing w:before="120" w:after="120"/>
        <w:ind w:firstLine="720"/>
        <w:jc w:val="both"/>
        <w:rPr>
          <w:color w:val="000000" w:themeColor="text1"/>
          <w:kern w:val="22"/>
          <w:sz w:val="22"/>
          <w:szCs w:val="22"/>
        </w:rPr>
      </w:pPr>
      <w:r w:rsidRPr="0008472F">
        <w:rPr>
          <w:i/>
          <w:color w:val="000000" w:themeColor="text1"/>
          <w:kern w:val="22"/>
          <w:sz w:val="22"/>
          <w:szCs w:val="22"/>
        </w:rPr>
        <w:t xml:space="preserve">Recognizing </w:t>
      </w:r>
      <w:r w:rsidRPr="0008472F">
        <w:rPr>
          <w:color w:val="000000" w:themeColor="text1"/>
          <w:kern w:val="22"/>
          <w:sz w:val="22"/>
          <w:szCs w:val="22"/>
        </w:rPr>
        <w:t xml:space="preserve">the critical importance of taking decisions </w:t>
      </w:r>
      <w:proofErr w:type="gramStart"/>
      <w:r w:rsidRPr="0008472F">
        <w:rPr>
          <w:color w:val="000000" w:themeColor="text1"/>
          <w:kern w:val="22"/>
          <w:sz w:val="22"/>
          <w:szCs w:val="22"/>
        </w:rPr>
        <w:t>on the basis of</w:t>
      </w:r>
      <w:proofErr w:type="gramEnd"/>
      <w:r w:rsidRPr="0008472F">
        <w:rPr>
          <w:color w:val="000000" w:themeColor="text1"/>
          <w:kern w:val="22"/>
          <w:sz w:val="22"/>
          <w:szCs w:val="22"/>
        </w:rPr>
        <w:t xml:space="preserve"> the best available expert advice,</w:t>
      </w:r>
    </w:p>
    <w:p w14:paraId="2D1370B8" w14:textId="77777777" w:rsidR="00376CED" w:rsidRPr="0008472F" w:rsidRDefault="00376CED" w:rsidP="0008472F">
      <w:pPr>
        <w:suppressLineNumbers/>
        <w:shd w:val="clear" w:color="auto" w:fill="FFFFFF" w:themeFill="background1"/>
        <w:suppressAutoHyphens/>
        <w:kinsoku w:val="0"/>
        <w:overflowPunct w:val="0"/>
        <w:autoSpaceDE w:val="0"/>
        <w:autoSpaceDN w:val="0"/>
        <w:adjustRightInd w:val="0"/>
        <w:snapToGrid w:val="0"/>
        <w:spacing w:before="120" w:after="120"/>
        <w:ind w:firstLine="720"/>
        <w:jc w:val="both"/>
        <w:rPr>
          <w:color w:val="000000" w:themeColor="text1"/>
          <w:kern w:val="22"/>
          <w:sz w:val="22"/>
          <w:szCs w:val="22"/>
        </w:rPr>
      </w:pPr>
      <w:r w:rsidRPr="0008472F">
        <w:rPr>
          <w:i/>
          <w:color w:val="000000" w:themeColor="text1"/>
          <w:kern w:val="22"/>
          <w:sz w:val="22"/>
          <w:szCs w:val="22"/>
        </w:rPr>
        <w:t>Recognizing</w:t>
      </w:r>
      <w:r w:rsidRPr="0008472F">
        <w:rPr>
          <w:i/>
          <w:iCs/>
          <w:color w:val="000000" w:themeColor="text1"/>
          <w:kern w:val="22"/>
          <w:sz w:val="22"/>
          <w:szCs w:val="22"/>
        </w:rPr>
        <w:t xml:space="preserve"> also</w:t>
      </w:r>
      <w:r w:rsidRPr="0008472F">
        <w:rPr>
          <w:color w:val="000000" w:themeColor="text1"/>
          <w:kern w:val="22"/>
          <w:sz w:val="22"/>
          <w:szCs w:val="22"/>
        </w:rPr>
        <w:t xml:space="preserve"> the need to avoid or manage, in a transparent manner, conflicts of interest by members of expert groups established from time to time to develop recommendations,</w:t>
      </w:r>
    </w:p>
    <w:p w14:paraId="5DD8212D" w14:textId="77777777" w:rsidR="00376CED" w:rsidRPr="0008472F" w:rsidRDefault="00376CED" w:rsidP="0008472F">
      <w:pPr>
        <w:suppressLineNumbers/>
        <w:shd w:val="clear" w:color="auto" w:fill="FFFFFF" w:themeFill="background1"/>
        <w:suppressAutoHyphens/>
        <w:kinsoku w:val="0"/>
        <w:overflowPunct w:val="0"/>
        <w:autoSpaceDE w:val="0"/>
        <w:autoSpaceDN w:val="0"/>
        <w:adjustRightInd w:val="0"/>
        <w:snapToGrid w:val="0"/>
        <w:spacing w:before="120" w:after="120"/>
        <w:ind w:firstLine="720"/>
        <w:jc w:val="both"/>
        <w:rPr>
          <w:color w:val="000000" w:themeColor="text1"/>
          <w:kern w:val="22"/>
          <w:sz w:val="22"/>
          <w:szCs w:val="22"/>
        </w:rPr>
      </w:pPr>
      <w:r w:rsidRPr="0008472F">
        <w:rPr>
          <w:color w:val="000000" w:themeColor="text1"/>
          <w:kern w:val="22"/>
          <w:sz w:val="22"/>
          <w:szCs w:val="22"/>
        </w:rPr>
        <w:t>1.</w:t>
      </w:r>
      <w:r w:rsidRPr="0008472F">
        <w:rPr>
          <w:color w:val="000000" w:themeColor="text1"/>
          <w:kern w:val="22"/>
          <w:sz w:val="22"/>
          <w:szCs w:val="22"/>
        </w:rPr>
        <w:tab/>
      </w:r>
      <w:r w:rsidRPr="0008472F">
        <w:rPr>
          <w:i/>
          <w:color w:val="000000" w:themeColor="text1"/>
          <w:kern w:val="22"/>
          <w:sz w:val="22"/>
          <w:szCs w:val="22"/>
        </w:rPr>
        <w:t>Approves</w:t>
      </w:r>
      <w:r w:rsidRPr="0008472F">
        <w:rPr>
          <w:color w:val="000000" w:themeColor="text1"/>
          <w:kern w:val="22"/>
          <w:sz w:val="22"/>
          <w:szCs w:val="22"/>
        </w:rPr>
        <w:t xml:space="preserve"> the Procedure for Avoiding or Managing Conflicts of Interest in Expert Groups contained in the annex to decision 14/33;</w:t>
      </w:r>
    </w:p>
    <w:p w14:paraId="477DAF7D" w14:textId="77777777" w:rsidR="00376CED" w:rsidRPr="0008472F" w:rsidRDefault="00376CED" w:rsidP="0008472F">
      <w:pPr>
        <w:suppressLineNumbers/>
        <w:shd w:val="clear" w:color="auto" w:fill="FFFFFF" w:themeFill="background1"/>
        <w:suppressAutoHyphens/>
        <w:kinsoku w:val="0"/>
        <w:overflowPunct w:val="0"/>
        <w:autoSpaceDE w:val="0"/>
        <w:autoSpaceDN w:val="0"/>
        <w:adjustRightInd w:val="0"/>
        <w:snapToGrid w:val="0"/>
        <w:spacing w:before="120" w:after="120"/>
        <w:ind w:firstLine="720"/>
        <w:jc w:val="both"/>
        <w:rPr>
          <w:color w:val="000000" w:themeColor="text1"/>
          <w:kern w:val="22"/>
          <w:sz w:val="22"/>
          <w:szCs w:val="22"/>
        </w:rPr>
      </w:pPr>
      <w:r w:rsidRPr="0008472F">
        <w:rPr>
          <w:color w:val="000000" w:themeColor="text1"/>
          <w:kern w:val="22"/>
          <w:sz w:val="22"/>
          <w:szCs w:val="22"/>
        </w:rPr>
        <w:t>2.</w:t>
      </w:r>
      <w:r w:rsidRPr="0008472F">
        <w:rPr>
          <w:color w:val="000000" w:themeColor="text1"/>
          <w:kern w:val="22"/>
          <w:sz w:val="22"/>
          <w:szCs w:val="22"/>
        </w:rPr>
        <w:tab/>
      </w:r>
      <w:r w:rsidRPr="0008472F">
        <w:rPr>
          <w:i/>
          <w:iCs/>
          <w:color w:val="000000" w:themeColor="text1"/>
          <w:kern w:val="22"/>
          <w:sz w:val="22"/>
          <w:szCs w:val="22"/>
        </w:rPr>
        <w:t>Requests</w:t>
      </w:r>
      <w:r w:rsidRPr="0008472F">
        <w:rPr>
          <w:color w:val="000000" w:themeColor="text1"/>
          <w:kern w:val="22"/>
          <w:sz w:val="22"/>
          <w:szCs w:val="22"/>
        </w:rPr>
        <w:t xml:space="preserve"> the Executive Secretary to ensure the implementation, mutatis mutandis, of the Procedure for Avoiding or Managing Conflicts of Interest in Expert Groups with respect to the work of technical expert groups under the Cartagena Protocol on Biosafety, in consultation with the Bureau of the Subsidiary Body on Scientific, Technical and Technological Advice</w:t>
      </w:r>
      <w:r w:rsidRPr="0008472F" w:rsidDel="00B9173C">
        <w:rPr>
          <w:color w:val="000000" w:themeColor="text1"/>
          <w:kern w:val="22"/>
          <w:sz w:val="22"/>
          <w:szCs w:val="22"/>
        </w:rPr>
        <w:t xml:space="preserve"> </w:t>
      </w:r>
      <w:r w:rsidRPr="0008472F">
        <w:rPr>
          <w:color w:val="000000" w:themeColor="text1"/>
          <w:kern w:val="22"/>
          <w:sz w:val="22"/>
          <w:szCs w:val="22"/>
        </w:rPr>
        <w:t>or the Bureau of the Conference of the Parties, when acting as the Bureau of the Conference of the Parties serving as the meeting of the Parties to the Cartagena Protocol on Biosafety, as appropriate;</w:t>
      </w:r>
    </w:p>
    <w:p w14:paraId="3BC216B7" w14:textId="77777777" w:rsidR="00376CED" w:rsidRPr="0008472F" w:rsidRDefault="00376CED" w:rsidP="0008472F">
      <w:pPr>
        <w:suppressLineNumbers/>
        <w:shd w:val="clear" w:color="auto" w:fill="FFFFFF" w:themeFill="background1"/>
        <w:suppressAutoHyphens/>
        <w:kinsoku w:val="0"/>
        <w:overflowPunct w:val="0"/>
        <w:autoSpaceDE w:val="0"/>
        <w:autoSpaceDN w:val="0"/>
        <w:adjustRightInd w:val="0"/>
        <w:snapToGrid w:val="0"/>
        <w:spacing w:before="120" w:after="120"/>
        <w:ind w:firstLine="720"/>
        <w:jc w:val="both"/>
        <w:rPr>
          <w:color w:val="000000" w:themeColor="text1"/>
          <w:kern w:val="22"/>
          <w:sz w:val="22"/>
          <w:szCs w:val="22"/>
        </w:rPr>
      </w:pPr>
      <w:r w:rsidRPr="0008472F">
        <w:rPr>
          <w:color w:val="000000" w:themeColor="text1"/>
          <w:kern w:val="22"/>
          <w:sz w:val="22"/>
          <w:szCs w:val="22"/>
        </w:rPr>
        <w:t>3.</w:t>
      </w:r>
      <w:r w:rsidRPr="0008472F">
        <w:rPr>
          <w:color w:val="000000" w:themeColor="text1"/>
          <w:kern w:val="22"/>
          <w:sz w:val="22"/>
          <w:szCs w:val="22"/>
        </w:rPr>
        <w:tab/>
      </w:r>
      <w:r w:rsidRPr="0008472F">
        <w:rPr>
          <w:i/>
          <w:color w:val="000000" w:themeColor="text1"/>
          <w:kern w:val="22"/>
          <w:sz w:val="22"/>
          <w:szCs w:val="22"/>
        </w:rPr>
        <w:t>Also requests</w:t>
      </w:r>
      <w:r w:rsidRPr="0008472F">
        <w:rPr>
          <w:color w:val="000000" w:themeColor="text1"/>
          <w:kern w:val="22"/>
          <w:sz w:val="22"/>
          <w:szCs w:val="22"/>
        </w:rPr>
        <w:t xml:space="preserve"> the Executive Secretary to prepare a report on: (a) the implementation of the Procedure; and (b) relevant developments in avoiding or managing conflicts of interest in other multilateral environmental agreements, intergovernmental initiatives or organizations, and, if appropriate, propose updates and amendments to the current Procedure for consideration by the Subsidiary Body on Implementation at a meeting held prior to the eleventh meeting of the Conference of the Parties serving as the meeting of the Parties to the Cartagena Protocol;</w:t>
      </w:r>
    </w:p>
    <w:p w14:paraId="21040E9B" w14:textId="37F8A561" w:rsidR="00376CED" w:rsidRPr="0008472F" w:rsidRDefault="00376CED" w:rsidP="0008472F">
      <w:pPr>
        <w:pStyle w:val="ListBullet"/>
        <w:suppressLineNumbers/>
        <w:tabs>
          <w:tab w:val="clear" w:pos="360"/>
        </w:tabs>
        <w:suppressAutoHyphens/>
        <w:spacing w:before="120" w:after="120" w:line="240" w:lineRule="auto"/>
        <w:ind w:firstLine="720"/>
        <w:contextualSpacing w:val="0"/>
        <w:rPr>
          <w:szCs w:val="22"/>
        </w:rPr>
      </w:pPr>
      <w:r w:rsidRPr="0008472F">
        <w:rPr>
          <w:rFonts w:ascii="Times New Roman" w:hAnsi="Times New Roman"/>
          <w:color w:val="000000" w:themeColor="text1"/>
          <w:kern w:val="22"/>
          <w:szCs w:val="22"/>
        </w:rPr>
        <w:t>4.</w:t>
      </w:r>
      <w:r w:rsidRPr="0008472F">
        <w:rPr>
          <w:rFonts w:ascii="Times New Roman" w:hAnsi="Times New Roman"/>
          <w:color w:val="000000" w:themeColor="text1"/>
          <w:kern w:val="22"/>
          <w:szCs w:val="22"/>
        </w:rPr>
        <w:tab/>
      </w:r>
      <w:r w:rsidRPr="0008472F">
        <w:rPr>
          <w:rFonts w:ascii="Times New Roman" w:hAnsi="Times New Roman"/>
          <w:i/>
          <w:color w:val="000000" w:themeColor="text1"/>
          <w:kern w:val="22"/>
          <w:szCs w:val="22"/>
        </w:rPr>
        <w:t>Requests</w:t>
      </w:r>
      <w:r w:rsidRPr="0008472F">
        <w:rPr>
          <w:rFonts w:ascii="Times New Roman" w:hAnsi="Times New Roman"/>
          <w:color w:val="000000" w:themeColor="text1"/>
          <w:kern w:val="22"/>
          <w:szCs w:val="22"/>
        </w:rPr>
        <w:t xml:space="preserve"> the Subsidiary Body on Implementation to consider the report referred to in paragraph 3 above and to submit recommendations, as appropriate, for consideration by the eleventh meeting of the Conference of the Parties to the Convention serving as the meeting of the Parties to the Cartagena Protocol.</w:t>
      </w:r>
    </w:p>
    <w:p w14:paraId="0F5C6F30" w14:textId="77777777" w:rsidR="00376CED" w:rsidRPr="0008472F" w:rsidRDefault="00376CED" w:rsidP="0008472F">
      <w:pPr>
        <w:jc w:val="both"/>
        <w:rPr>
          <w:b/>
          <w:caps/>
          <w:sz w:val="22"/>
          <w:szCs w:val="22"/>
        </w:rPr>
      </w:pPr>
      <w:r w:rsidRPr="0008472F">
        <w:rPr>
          <w:sz w:val="22"/>
          <w:szCs w:val="22"/>
        </w:rPr>
        <w:br w:type="page"/>
      </w:r>
    </w:p>
    <w:p w14:paraId="781C9D3F" w14:textId="376AB9A8" w:rsidR="00376CED" w:rsidRPr="003075B3" w:rsidRDefault="00376CED" w:rsidP="00376CED">
      <w:pPr>
        <w:pStyle w:val="heading2-item"/>
      </w:pPr>
      <w:bookmarkStart w:id="31" w:name="_Toc879823"/>
      <w:bookmarkStart w:id="32" w:name="_Toc5612102"/>
      <w:bookmarkStart w:id="33" w:name="_Hlk530319274"/>
      <w:r w:rsidRPr="003075B3">
        <w:lastRenderedPageBreak/>
        <w:t>9/11.</w:t>
      </w:r>
      <w:r w:rsidRPr="003075B3">
        <w:tab/>
        <w:t>Unintentional transboundary movements and emergency measures (Article 17)</w:t>
      </w:r>
      <w:bookmarkEnd w:id="31"/>
      <w:bookmarkEnd w:id="32"/>
    </w:p>
    <w:p w14:paraId="2BAD81B5" w14:textId="518BB7F2" w:rsidR="00376CED" w:rsidRPr="0008472F" w:rsidRDefault="00376CED" w:rsidP="0008472F">
      <w:pPr>
        <w:tabs>
          <w:tab w:val="left" w:pos="426"/>
        </w:tabs>
        <w:spacing w:before="120" w:after="120"/>
        <w:ind w:firstLine="720"/>
        <w:jc w:val="both"/>
        <w:rPr>
          <w:i/>
          <w:kern w:val="22"/>
          <w:sz w:val="22"/>
          <w:szCs w:val="22"/>
        </w:rPr>
      </w:pPr>
      <w:r w:rsidRPr="0008472F">
        <w:rPr>
          <w:i/>
          <w:kern w:val="22"/>
          <w:sz w:val="22"/>
          <w:szCs w:val="22"/>
        </w:rPr>
        <w:t>The Conference of the Parties serving as the meeting of the Parties to the Cartagena Protocol on Biosafety</w:t>
      </w:r>
    </w:p>
    <w:p w14:paraId="3A55CB48" w14:textId="77777777" w:rsidR="00376CED" w:rsidRPr="0008472F" w:rsidRDefault="00376CED" w:rsidP="0008472F">
      <w:pPr>
        <w:numPr>
          <w:ilvl w:val="0"/>
          <w:numId w:val="52"/>
        </w:numPr>
        <w:spacing w:before="120" w:after="120"/>
        <w:ind w:left="0" w:firstLine="720"/>
        <w:jc w:val="both"/>
        <w:rPr>
          <w:kern w:val="22"/>
          <w:sz w:val="22"/>
          <w:szCs w:val="22"/>
        </w:rPr>
      </w:pPr>
      <w:r w:rsidRPr="0008472F">
        <w:rPr>
          <w:i/>
          <w:kern w:val="22"/>
          <w:sz w:val="22"/>
          <w:szCs w:val="22"/>
        </w:rPr>
        <w:t>Acknowledges</w:t>
      </w:r>
      <w:r w:rsidRPr="0008472F">
        <w:rPr>
          <w:kern w:val="22"/>
          <w:sz w:val="22"/>
          <w:szCs w:val="22"/>
        </w:rPr>
        <w:t xml:space="preserve"> that the lack of fully operational biosafety frameworks may impact the capacity of some Parties to implement provisions relating to Article 17;</w:t>
      </w:r>
    </w:p>
    <w:p w14:paraId="08644A6C" w14:textId="77777777" w:rsidR="00376CED" w:rsidRPr="0008472F" w:rsidRDefault="00376CED" w:rsidP="0008472F">
      <w:pPr>
        <w:numPr>
          <w:ilvl w:val="0"/>
          <w:numId w:val="52"/>
        </w:numPr>
        <w:spacing w:before="120" w:after="120"/>
        <w:ind w:left="0" w:firstLine="720"/>
        <w:jc w:val="both"/>
        <w:rPr>
          <w:kern w:val="22"/>
          <w:sz w:val="22"/>
          <w:szCs w:val="22"/>
        </w:rPr>
      </w:pPr>
      <w:r w:rsidRPr="0008472F">
        <w:rPr>
          <w:i/>
          <w:kern w:val="22"/>
          <w:sz w:val="22"/>
          <w:szCs w:val="22"/>
        </w:rPr>
        <w:t>Takes note</w:t>
      </w:r>
      <w:r w:rsidRPr="0008472F">
        <w:rPr>
          <w:kern w:val="22"/>
          <w:sz w:val="22"/>
          <w:szCs w:val="22"/>
        </w:rPr>
        <w:t xml:space="preserve"> of the draft training manual on detection and identification of living modified organisms</w:t>
      </w:r>
      <w:r w:rsidRPr="0008472F">
        <w:rPr>
          <w:rFonts w:eastAsiaTheme="majorEastAsia"/>
          <w:kern w:val="22"/>
          <w:sz w:val="22"/>
          <w:szCs w:val="22"/>
          <w:vertAlign w:val="superscript"/>
        </w:rPr>
        <w:footnoteReference w:id="18"/>
      </w:r>
      <w:r w:rsidRPr="0008472F">
        <w:rPr>
          <w:kern w:val="22"/>
          <w:sz w:val="22"/>
          <w:szCs w:val="22"/>
        </w:rPr>
        <w:t xml:space="preserve"> as a tool for building capacities in this field;</w:t>
      </w:r>
    </w:p>
    <w:p w14:paraId="0A87CCBB" w14:textId="77777777" w:rsidR="00376CED" w:rsidRPr="0008472F" w:rsidRDefault="00376CED" w:rsidP="0008472F">
      <w:pPr>
        <w:numPr>
          <w:ilvl w:val="0"/>
          <w:numId w:val="52"/>
        </w:numPr>
        <w:spacing w:before="120" w:after="120"/>
        <w:ind w:left="0" w:firstLine="720"/>
        <w:jc w:val="both"/>
        <w:rPr>
          <w:kern w:val="22"/>
          <w:sz w:val="22"/>
          <w:szCs w:val="22"/>
        </w:rPr>
      </w:pPr>
      <w:r w:rsidRPr="0008472F">
        <w:rPr>
          <w:i/>
          <w:kern w:val="22"/>
          <w:sz w:val="22"/>
          <w:szCs w:val="22"/>
        </w:rPr>
        <w:t>Encourages</w:t>
      </w:r>
      <w:r w:rsidRPr="0008472F">
        <w:rPr>
          <w:kern w:val="22"/>
          <w:sz w:val="22"/>
          <w:szCs w:val="22"/>
        </w:rPr>
        <w:t xml:space="preserve"> Parties, in the context of Article 17, and in accordance with national legislation, to require the responsible operator</w:t>
      </w:r>
      <w:r w:rsidRPr="00237524">
        <w:rPr>
          <w:rStyle w:val="FootnoteReference"/>
          <w:kern w:val="22"/>
          <w:sz w:val="22"/>
          <w:szCs w:val="22"/>
          <w:u w:val="none"/>
          <w:vertAlign w:val="superscript"/>
        </w:rPr>
        <w:footnoteReference w:id="19"/>
      </w:r>
      <w:r w:rsidRPr="0008472F">
        <w:rPr>
          <w:kern w:val="22"/>
          <w:sz w:val="22"/>
          <w:szCs w:val="22"/>
        </w:rPr>
        <w:t xml:space="preserve"> to provide information or access, direct or indirect, to reference materials to enable the laboratory work on detection and identification of such organisms for regulatory purposes;</w:t>
      </w:r>
    </w:p>
    <w:p w14:paraId="16C5DDF4" w14:textId="77777777" w:rsidR="00376CED" w:rsidRPr="0008472F" w:rsidRDefault="00376CED" w:rsidP="0008472F">
      <w:pPr>
        <w:numPr>
          <w:ilvl w:val="0"/>
          <w:numId w:val="52"/>
        </w:numPr>
        <w:spacing w:before="120" w:after="120"/>
        <w:ind w:left="0" w:firstLine="720"/>
        <w:jc w:val="both"/>
        <w:rPr>
          <w:kern w:val="22"/>
          <w:sz w:val="22"/>
          <w:szCs w:val="22"/>
        </w:rPr>
      </w:pPr>
      <w:r w:rsidRPr="0008472F">
        <w:rPr>
          <w:i/>
          <w:kern w:val="22"/>
          <w:sz w:val="22"/>
          <w:szCs w:val="22"/>
        </w:rPr>
        <w:t xml:space="preserve">Encourages </w:t>
      </w:r>
      <w:r w:rsidRPr="0008472F">
        <w:rPr>
          <w:kern w:val="22"/>
          <w:sz w:val="22"/>
          <w:szCs w:val="22"/>
        </w:rPr>
        <w:t xml:space="preserve">Parties and </w:t>
      </w:r>
      <w:r w:rsidRPr="0008472F">
        <w:rPr>
          <w:i/>
          <w:kern w:val="22"/>
          <w:sz w:val="22"/>
          <w:szCs w:val="22"/>
        </w:rPr>
        <w:t>invites</w:t>
      </w:r>
      <w:r w:rsidRPr="0008472F">
        <w:rPr>
          <w:kern w:val="22"/>
          <w:sz w:val="22"/>
          <w:szCs w:val="22"/>
        </w:rPr>
        <w:t xml:space="preserve"> other Governments and relevant organizations to make funds available for training of laboratory personnel in the field of detection and identification of living modified organisms, and to continue participating in regional and </w:t>
      </w:r>
      <w:proofErr w:type="spellStart"/>
      <w:r w:rsidRPr="0008472F">
        <w:rPr>
          <w:kern w:val="22"/>
          <w:sz w:val="22"/>
          <w:szCs w:val="22"/>
        </w:rPr>
        <w:t>subregional</w:t>
      </w:r>
      <w:proofErr w:type="spellEnd"/>
      <w:r w:rsidRPr="0008472F">
        <w:rPr>
          <w:kern w:val="22"/>
          <w:sz w:val="22"/>
          <w:szCs w:val="22"/>
        </w:rPr>
        <w:t xml:space="preserve"> networks on the detection and identification of living modified organisms;</w:t>
      </w:r>
    </w:p>
    <w:p w14:paraId="3FE0A013" w14:textId="77777777" w:rsidR="00376CED" w:rsidRPr="0008472F" w:rsidRDefault="00376CED" w:rsidP="0008472F">
      <w:pPr>
        <w:numPr>
          <w:ilvl w:val="0"/>
          <w:numId w:val="52"/>
        </w:numPr>
        <w:spacing w:before="120" w:after="120"/>
        <w:ind w:left="0" w:firstLine="720"/>
        <w:jc w:val="both"/>
        <w:rPr>
          <w:kern w:val="22"/>
          <w:sz w:val="22"/>
          <w:szCs w:val="22"/>
        </w:rPr>
      </w:pPr>
      <w:r w:rsidRPr="0008472F">
        <w:rPr>
          <w:i/>
          <w:kern w:val="22"/>
          <w:sz w:val="22"/>
          <w:szCs w:val="22"/>
        </w:rPr>
        <w:t xml:space="preserve">Invites </w:t>
      </w:r>
      <w:r w:rsidRPr="0008472F">
        <w:rPr>
          <w:kern w:val="22"/>
          <w:sz w:val="22"/>
          <w:szCs w:val="22"/>
        </w:rPr>
        <w:t xml:space="preserve">Parties to submit to the Executive Secretary information on (a) their capacities and needs </w:t>
      </w:r>
      <w:proofErr w:type="gramStart"/>
      <w:r w:rsidRPr="0008472F">
        <w:rPr>
          <w:kern w:val="22"/>
          <w:sz w:val="22"/>
          <w:szCs w:val="22"/>
        </w:rPr>
        <w:t>with regard to</w:t>
      </w:r>
      <w:proofErr w:type="gramEnd"/>
      <w:r w:rsidRPr="0008472F">
        <w:rPr>
          <w:kern w:val="22"/>
          <w:sz w:val="22"/>
          <w:szCs w:val="22"/>
        </w:rPr>
        <w:t xml:space="preserve"> detection and identification of living modified organisms and (b) a list of laboratories, including information on the specific activities carried out by such laboratories;</w:t>
      </w:r>
    </w:p>
    <w:p w14:paraId="2769C8DA" w14:textId="77777777" w:rsidR="00376CED" w:rsidRPr="0008472F" w:rsidRDefault="00376CED" w:rsidP="0008472F">
      <w:pPr>
        <w:numPr>
          <w:ilvl w:val="0"/>
          <w:numId w:val="52"/>
        </w:numPr>
        <w:spacing w:before="120" w:after="120"/>
        <w:ind w:left="0" w:firstLine="720"/>
        <w:jc w:val="both"/>
        <w:rPr>
          <w:kern w:val="22"/>
          <w:sz w:val="22"/>
          <w:szCs w:val="22"/>
        </w:rPr>
      </w:pPr>
      <w:r w:rsidRPr="0008472F">
        <w:rPr>
          <w:i/>
          <w:kern w:val="22"/>
          <w:sz w:val="22"/>
          <w:szCs w:val="22"/>
        </w:rPr>
        <w:t xml:space="preserve">Invites </w:t>
      </w:r>
      <w:r w:rsidRPr="0008472F">
        <w:rPr>
          <w:kern w:val="22"/>
          <w:sz w:val="22"/>
          <w:szCs w:val="22"/>
        </w:rPr>
        <w:t xml:space="preserve">the Global Environment Facility and other relevant funding agencies to provide funds for regional projects, including projects aimed at building scientific capacity that could support countries’ actions towards detection and identification of living modified organisms, and </w:t>
      </w:r>
      <w:proofErr w:type="gramStart"/>
      <w:r w:rsidRPr="0008472F">
        <w:rPr>
          <w:kern w:val="22"/>
          <w:sz w:val="22"/>
          <w:szCs w:val="22"/>
        </w:rPr>
        <w:t>in particular that</w:t>
      </w:r>
      <w:proofErr w:type="gramEnd"/>
      <w:r w:rsidRPr="0008472F">
        <w:rPr>
          <w:kern w:val="22"/>
          <w:sz w:val="22"/>
          <w:szCs w:val="22"/>
        </w:rPr>
        <w:t xml:space="preserve"> could promote North-South and South-South sharing of experiences and lessons;</w:t>
      </w:r>
    </w:p>
    <w:p w14:paraId="204B25C5" w14:textId="77777777" w:rsidR="00376CED" w:rsidRPr="0008472F" w:rsidRDefault="00376CED" w:rsidP="0008472F">
      <w:pPr>
        <w:numPr>
          <w:ilvl w:val="0"/>
          <w:numId w:val="52"/>
        </w:numPr>
        <w:spacing w:before="120" w:after="120"/>
        <w:ind w:left="0" w:firstLine="720"/>
        <w:jc w:val="both"/>
        <w:rPr>
          <w:kern w:val="22"/>
          <w:sz w:val="22"/>
          <w:szCs w:val="22"/>
        </w:rPr>
      </w:pPr>
      <w:r w:rsidRPr="0008472F">
        <w:rPr>
          <w:i/>
          <w:kern w:val="22"/>
          <w:sz w:val="22"/>
          <w:szCs w:val="22"/>
        </w:rPr>
        <w:t>Requests</w:t>
      </w:r>
      <w:r w:rsidRPr="0008472F">
        <w:rPr>
          <w:kern w:val="22"/>
          <w:sz w:val="22"/>
          <w:szCs w:val="22"/>
        </w:rPr>
        <w:t xml:space="preserve"> the Executive Secretary:</w:t>
      </w:r>
    </w:p>
    <w:p w14:paraId="7DF4B07C" w14:textId="6A47FB34" w:rsidR="00376CED" w:rsidRPr="0008472F" w:rsidRDefault="00376CED" w:rsidP="0008472F">
      <w:pPr>
        <w:numPr>
          <w:ilvl w:val="0"/>
          <w:numId w:val="53"/>
        </w:numPr>
        <w:spacing w:before="120" w:after="120"/>
        <w:ind w:left="0" w:firstLine="720"/>
        <w:jc w:val="both"/>
        <w:rPr>
          <w:kern w:val="22"/>
          <w:sz w:val="22"/>
          <w:szCs w:val="22"/>
        </w:rPr>
      </w:pPr>
      <w:r w:rsidRPr="0008472F">
        <w:rPr>
          <w:kern w:val="22"/>
          <w:sz w:val="22"/>
          <w:szCs w:val="22"/>
        </w:rPr>
        <w:t>To continue collecting information relevant to the detection and identification of living modified organisms and making it available in a user-friendly manner through the Biosafety Clearing-House;</w:t>
      </w:r>
    </w:p>
    <w:p w14:paraId="2F236E8C" w14:textId="77777777" w:rsidR="00376CED" w:rsidRPr="0008472F" w:rsidDel="00473096" w:rsidRDefault="00376CED" w:rsidP="0008472F">
      <w:pPr>
        <w:numPr>
          <w:ilvl w:val="0"/>
          <w:numId w:val="53"/>
        </w:numPr>
        <w:spacing w:before="120" w:after="120"/>
        <w:ind w:left="0" w:firstLine="720"/>
        <w:jc w:val="both"/>
        <w:rPr>
          <w:kern w:val="22"/>
          <w:sz w:val="22"/>
          <w:szCs w:val="22"/>
        </w:rPr>
      </w:pPr>
      <w:r w:rsidRPr="0008472F" w:rsidDel="00473096">
        <w:rPr>
          <w:kern w:val="22"/>
          <w:sz w:val="22"/>
          <w:szCs w:val="22"/>
        </w:rPr>
        <w:t>To review and finalize the manual on detection and identification of living modified organisms, ensuring consistency in language and scope with</w:t>
      </w:r>
      <w:r w:rsidRPr="0008472F">
        <w:rPr>
          <w:kern w:val="22"/>
          <w:sz w:val="22"/>
          <w:szCs w:val="22"/>
        </w:rPr>
        <w:t xml:space="preserve"> Article 17 of</w:t>
      </w:r>
      <w:r w:rsidRPr="0008472F" w:rsidDel="00473096">
        <w:rPr>
          <w:kern w:val="22"/>
          <w:sz w:val="22"/>
          <w:szCs w:val="22"/>
        </w:rPr>
        <w:t xml:space="preserve"> the Cartagena Protocol;</w:t>
      </w:r>
    </w:p>
    <w:p w14:paraId="7D54C11B" w14:textId="77777777" w:rsidR="00376CED" w:rsidRPr="0008472F" w:rsidRDefault="00376CED" w:rsidP="0008472F">
      <w:pPr>
        <w:numPr>
          <w:ilvl w:val="0"/>
          <w:numId w:val="53"/>
        </w:numPr>
        <w:spacing w:before="120" w:after="120"/>
        <w:ind w:left="0" w:firstLine="720"/>
        <w:jc w:val="both"/>
        <w:rPr>
          <w:kern w:val="22"/>
          <w:sz w:val="22"/>
          <w:szCs w:val="22"/>
        </w:rPr>
      </w:pPr>
      <w:r w:rsidRPr="0008472F">
        <w:rPr>
          <w:kern w:val="22"/>
          <w:sz w:val="22"/>
          <w:szCs w:val="22"/>
        </w:rPr>
        <w:t>To synthesize the information provided by Parties in response to paragraph 5 above for consideration by the Conference of the Parties serving as the meeting of the Parties at its tenth meeting, and to reflect the information in the capacity-building action plan for the post-2020 framework, as appropriate;</w:t>
      </w:r>
      <w:bookmarkEnd w:id="33"/>
    </w:p>
    <w:p w14:paraId="37811741" w14:textId="77777777" w:rsidR="00376CED" w:rsidRPr="0008472F" w:rsidRDefault="00376CED" w:rsidP="0008472F">
      <w:pPr>
        <w:pStyle w:val="ListParagraph"/>
        <w:numPr>
          <w:ilvl w:val="0"/>
          <w:numId w:val="52"/>
        </w:numPr>
        <w:spacing w:before="120" w:after="120"/>
        <w:ind w:firstLine="65"/>
        <w:rPr>
          <w:kern w:val="22"/>
          <w:szCs w:val="22"/>
        </w:rPr>
      </w:pPr>
      <w:r w:rsidRPr="0008472F">
        <w:rPr>
          <w:i/>
          <w:kern w:val="22"/>
          <w:szCs w:val="22"/>
        </w:rPr>
        <w:t>Requests</w:t>
      </w:r>
      <w:r w:rsidRPr="0008472F">
        <w:rPr>
          <w:kern w:val="22"/>
          <w:szCs w:val="22"/>
        </w:rPr>
        <w:t xml:space="preserve"> the Executive Secretary, subject to the availability of resources:</w:t>
      </w:r>
    </w:p>
    <w:p w14:paraId="6E65E88F" w14:textId="77777777" w:rsidR="00376CED" w:rsidRPr="0008472F" w:rsidRDefault="00376CED" w:rsidP="0008472F">
      <w:pPr>
        <w:pStyle w:val="ListParagraph"/>
        <w:numPr>
          <w:ilvl w:val="0"/>
          <w:numId w:val="54"/>
        </w:numPr>
        <w:tabs>
          <w:tab w:val="left" w:pos="90"/>
        </w:tabs>
        <w:spacing w:before="120" w:after="120"/>
        <w:ind w:left="0" w:firstLine="709"/>
        <w:contextualSpacing/>
        <w:rPr>
          <w:kern w:val="22"/>
          <w:szCs w:val="22"/>
        </w:rPr>
      </w:pPr>
      <w:r w:rsidRPr="0008472F">
        <w:rPr>
          <w:kern w:val="22"/>
          <w:szCs w:val="22"/>
        </w:rPr>
        <w:t>To continue facilitating online discussions of the</w:t>
      </w:r>
      <w:r w:rsidRPr="0008472F">
        <w:rPr>
          <w:b/>
          <w:bCs/>
          <w:caps/>
          <w:kern w:val="22"/>
          <w:szCs w:val="22"/>
        </w:rPr>
        <w:t xml:space="preserve"> </w:t>
      </w:r>
      <w:r w:rsidRPr="0008472F">
        <w:rPr>
          <w:kern w:val="22"/>
          <w:szCs w:val="22"/>
        </w:rPr>
        <w:t>Network of Laboratories for the Detection and Identification of Living Modified Organisms and face-to-face meetings, as appropriate;</w:t>
      </w:r>
    </w:p>
    <w:p w14:paraId="2039B27A" w14:textId="38487AB6" w:rsidR="00376CED" w:rsidRPr="0008472F" w:rsidRDefault="00376CED" w:rsidP="0008472F">
      <w:pPr>
        <w:numPr>
          <w:ilvl w:val="0"/>
          <w:numId w:val="55"/>
        </w:numPr>
        <w:spacing w:before="120" w:after="120"/>
        <w:ind w:left="0" w:firstLine="709"/>
        <w:jc w:val="both"/>
        <w:rPr>
          <w:kern w:val="22"/>
          <w:sz w:val="22"/>
          <w:szCs w:val="22"/>
        </w:rPr>
      </w:pPr>
      <w:r w:rsidRPr="0008472F">
        <w:rPr>
          <w:kern w:val="22"/>
          <w:sz w:val="22"/>
          <w:szCs w:val="22"/>
        </w:rPr>
        <w:t xml:space="preserve">To continue efforts to collaborate with relevant organizations and to build the capacity of developing countries in relation to the detection and identification of living modified organisms in the context of Article 17, </w:t>
      </w:r>
      <w:proofErr w:type="gramStart"/>
      <w:r w:rsidRPr="0008472F">
        <w:rPr>
          <w:kern w:val="22"/>
          <w:sz w:val="22"/>
          <w:szCs w:val="22"/>
        </w:rPr>
        <w:t>in particular by</w:t>
      </w:r>
      <w:proofErr w:type="gramEnd"/>
      <w:r w:rsidRPr="0008472F">
        <w:rPr>
          <w:kern w:val="22"/>
          <w:sz w:val="22"/>
          <w:szCs w:val="22"/>
        </w:rPr>
        <w:t xml:space="preserve"> focusing on regions that have not yet benefited from recent capacity-building activities in this regard.</w:t>
      </w:r>
    </w:p>
    <w:p w14:paraId="1A74F0AE" w14:textId="77777777" w:rsidR="00376CED" w:rsidRPr="003075B3" w:rsidRDefault="00376CED">
      <w:pPr>
        <w:rPr>
          <w:b/>
          <w:caps/>
        </w:rPr>
      </w:pPr>
      <w:r w:rsidRPr="003075B3">
        <w:br w:type="page"/>
      </w:r>
    </w:p>
    <w:p w14:paraId="619DE31B" w14:textId="27C2CE4E" w:rsidR="00376CED" w:rsidRPr="003075B3" w:rsidRDefault="00376CED" w:rsidP="00376CED">
      <w:pPr>
        <w:pStyle w:val="heading2-item"/>
      </w:pPr>
      <w:bookmarkStart w:id="34" w:name="_Toc879824"/>
      <w:bookmarkStart w:id="35" w:name="_Toc5612103"/>
      <w:r w:rsidRPr="003075B3">
        <w:lastRenderedPageBreak/>
        <w:t>9/12.</w:t>
      </w:r>
      <w:r w:rsidRPr="003075B3">
        <w:tab/>
        <w:t>Transit and contained use of living modified organisms (Article 6)</w:t>
      </w:r>
      <w:bookmarkEnd w:id="34"/>
      <w:bookmarkEnd w:id="35"/>
    </w:p>
    <w:p w14:paraId="60C71B1A" w14:textId="38DF17B9" w:rsidR="00376CED" w:rsidRPr="00237524" w:rsidRDefault="00376CED" w:rsidP="00725967">
      <w:pPr>
        <w:shd w:val="clear" w:color="auto" w:fill="FFFFFF" w:themeFill="background1"/>
        <w:spacing w:before="120" w:after="120"/>
        <w:ind w:firstLine="720"/>
        <w:rPr>
          <w:iCs/>
          <w:kern w:val="22"/>
          <w:sz w:val="22"/>
          <w:szCs w:val="22"/>
        </w:rPr>
      </w:pPr>
      <w:r w:rsidRPr="00237524">
        <w:rPr>
          <w:i/>
          <w:kern w:val="22"/>
          <w:sz w:val="22"/>
          <w:szCs w:val="22"/>
        </w:rPr>
        <w:t xml:space="preserve">The Conference of the Parties serving as the meeting of the Parties to the </w:t>
      </w:r>
      <w:r w:rsidRPr="00237524">
        <w:rPr>
          <w:i/>
          <w:iCs/>
          <w:kern w:val="22"/>
          <w:sz w:val="22"/>
          <w:szCs w:val="22"/>
          <w:lang w:eastAsia="ko-KR"/>
        </w:rPr>
        <w:t>Cartagena Protocol on Biosafety</w:t>
      </w:r>
      <w:r w:rsidRPr="00237524">
        <w:rPr>
          <w:i/>
          <w:kern w:val="22"/>
          <w:sz w:val="22"/>
          <w:szCs w:val="22"/>
        </w:rPr>
        <w:t>,</w:t>
      </w:r>
    </w:p>
    <w:p w14:paraId="5167B1CD" w14:textId="77777777" w:rsidR="00376CED" w:rsidRPr="003075B3" w:rsidRDefault="00376CED" w:rsidP="00725967">
      <w:pPr>
        <w:pStyle w:val="Para1"/>
        <w:numPr>
          <w:ilvl w:val="0"/>
          <w:numId w:val="0"/>
        </w:numPr>
        <w:snapToGrid w:val="0"/>
        <w:ind w:firstLine="720"/>
      </w:pPr>
      <w:r w:rsidRPr="003075B3">
        <w:rPr>
          <w:i/>
        </w:rPr>
        <w:t xml:space="preserve">Recalling </w:t>
      </w:r>
      <w:r w:rsidRPr="003075B3">
        <w:t xml:space="preserve">decisions </w:t>
      </w:r>
      <w:hyperlink r:id="rId21" w:history="1">
        <w:r w:rsidRPr="003075B3">
          <w:rPr>
            <w:rStyle w:val="Hyperlink"/>
          </w:rPr>
          <w:t>BS-V/2</w:t>
        </w:r>
      </w:hyperlink>
      <w:r w:rsidRPr="003075B3">
        <w:t xml:space="preserve">, paragraph 1(a), and </w:t>
      </w:r>
      <w:hyperlink r:id="rId22" w:history="1">
        <w:r w:rsidRPr="003075B3">
          <w:rPr>
            <w:rStyle w:val="Hyperlink"/>
          </w:rPr>
          <w:t>BS-VII/2</w:t>
        </w:r>
      </w:hyperlink>
      <w:r w:rsidRPr="003075B3">
        <w:t>, paragraph 2(b),</w:t>
      </w:r>
    </w:p>
    <w:p w14:paraId="121CDAE5" w14:textId="77777777" w:rsidR="00376CED" w:rsidRPr="003075B3" w:rsidRDefault="00376CED" w:rsidP="00725967">
      <w:pPr>
        <w:pStyle w:val="Para1"/>
        <w:numPr>
          <w:ilvl w:val="0"/>
          <w:numId w:val="0"/>
        </w:numPr>
        <w:snapToGrid w:val="0"/>
        <w:ind w:firstLine="720"/>
      </w:pPr>
      <w:r w:rsidRPr="003075B3">
        <w:rPr>
          <w:i/>
        </w:rPr>
        <w:t xml:space="preserve">Also recalling </w:t>
      </w:r>
      <w:r w:rsidRPr="003075B3">
        <w:t xml:space="preserve">decision </w:t>
      </w:r>
      <w:hyperlink r:id="rId23" w:history="1">
        <w:r w:rsidRPr="003075B3">
          <w:rPr>
            <w:rStyle w:val="Hyperlink"/>
          </w:rPr>
          <w:t>CP-VIII/17</w:t>
        </w:r>
      </w:hyperlink>
      <w:r w:rsidRPr="003075B3">
        <w:t>,</w:t>
      </w:r>
    </w:p>
    <w:p w14:paraId="7806395D" w14:textId="77777777" w:rsidR="00376CED" w:rsidRPr="003075B3" w:rsidRDefault="00376CED" w:rsidP="00725967">
      <w:pPr>
        <w:pStyle w:val="Para1"/>
        <w:numPr>
          <w:ilvl w:val="0"/>
          <w:numId w:val="0"/>
        </w:numPr>
        <w:snapToGrid w:val="0"/>
        <w:ind w:firstLine="720"/>
      </w:pPr>
      <w:r w:rsidRPr="003075B3">
        <w:t>1.</w:t>
      </w:r>
      <w:r w:rsidRPr="003075B3">
        <w:tab/>
      </w:r>
      <w:r w:rsidRPr="003075B3">
        <w:rPr>
          <w:i/>
        </w:rPr>
        <w:t>Takes note</w:t>
      </w:r>
      <w:r w:rsidRPr="003075B3">
        <w:t xml:space="preserve"> of the assessment by the Compliance Committee of information submitted by Parties on the Biosafety Clearing-House as decisions under contained use;</w:t>
      </w:r>
      <w:r w:rsidRPr="003075B3">
        <w:rPr>
          <w:rStyle w:val="FootnoteReference"/>
          <w:sz w:val="22"/>
          <w:u w:val="none"/>
          <w:vertAlign w:val="superscript"/>
        </w:rPr>
        <w:footnoteReference w:id="20"/>
      </w:r>
    </w:p>
    <w:p w14:paraId="21D38B24" w14:textId="77777777" w:rsidR="00376CED" w:rsidRPr="003075B3" w:rsidRDefault="00376CED" w:rsidP="00725967">
      <w:pPr>
        <w:pStyle w:val="Para1"/>
        <w:numPr>
          <w:ilvl w:val="0"/>
          <w:numId w:val="0"/>
        </w:numPr>
        <w:snapToGrid w:val="0"/>
        <w:ind w:firstLine="720"/>
      </w:pPr>
      <w:r w:rsidRPr="003075B3">
        <w:t>2.</w:t>
      </w:r>
      <w:r w:rsidRPr="003075B3">
        <w:tab/>
      </w:r>
      <w:r w:rsidRPr="003075B3">
        <w:rPr>
          <w:i/>
        </w:rPr>
        <w:t>Reminds</w:t>
      </w:r>
      <w:r w:rsidRPr="003075B3">
        <w:t xml:space="preserve"> Parties that:</w:t>
      </w:r>
    </w:p>
    <w:p w14:paraId="4B8D9C59" w14:textId="77777777" w:rsidR="00376CED" w:rsidRPr="003075B3" w:rsidRDefault="00376CED" w:rsidP="00725967">
      <w:pPr>
        <w:pStyle w:val="Para3"/>
        <w:numPr>
          <w:ilvl w:val="0"/>
          <w:numId w:val="0"/>
        </w:numPr>
        <w:tabs>
          <w:tab w:val="clear" w:pos="1980"/>
        </w:tabs>
        <w:spacing w:before="0" w:after="120"/>
        <w:ind w:firstLine="720"/>
        <w:rPr>
          <w:kern w:val="22"/>
          <w:szCs w:val="22"/>
        </w:rPr>
      </w:pPr>
      <w:r w:rsidRPr="003075B3">
        <w:rPr>
          <w:kern w:val="22"/>
          <w:szCs w:val="22"/>
        </w:rPr>
        <w:t>(a)</w:t>
      </w:r>
      <w:r w:rsidRPr="003075B3">
        <w:rPr>
          <w:kern w:val="22"/>
          <w:szCs w:val="22"/>
        </w:rPr>
        <w:tab/>
        <w:t>Article 3, paragraph (b) of the Protocol sets out the definition of contained use, namely “any operation, undertaken within a facility, installation or other physical structure, which involves living modified organisms that are controlled by specific measures that effectively limit their contact with, and their impact on, the external environment”;</w:t>
      </w:r>
    </w:p>
    <w:p w14:paraId="12B3EBFC" w14:textId="77777777" w:rsidR="00376CED" w:rsidRPr="003075B3" w:rsidRDefault="00376CED" w:rsidP="00725967">
      <w:pPr>
        <w:pStyle w:val="Para3"/>
        <w:numPr>
          <w:ilvl w:val="0"/>
          <w:numId w:val="0"/>
        </w:numPr>
        <w:tabs>
          <w:tab w:val="clear" w:pos="1980"/>
        </w:tabs>
        <w:spacing w:before="0" w:after="120"/>
        <w:ind w:firstLine="720"/>
        <w:rPr>
          <w:kern w:val="22"/>
          <w:szCs w:val="22"/>
        </w:rPr>
      </w:pPr>
      <w:r w:rsidRPr="003075B3">
        <w:rPr>
          <w:kern w:val="22"/>
          <w:szCs w:val="22"/>
        </w:rPr>
        <w:t>(b)</w:t>
      </w:r>
      <w:r w:rsidRPr="003075B3">
        <w:rPr>
          <w:kern w:val="22"/>
          <w:szCs w:val="22"/>
        </w:rPr>
        <w:tab/>
        <w:t>Intentional introduction into the environment can include introduction both for experimental or for commercial purposes;</w:t>
      </w:r>
    </w:p>
    <w:p w14:paraId="1B70DA5F" w14:textId="77777777" w:rsidR="00376CED" w:rsidRPr="003075B3" w:rsidRDefault="00376CED" w:rsidP="00725967">
      <w:pPr>
        <w:pStyle w:val="Para3"/>
        <w:numPr>
          <w:ilvl w:val="0"/>
          <w:numId w:val="0"/>
        </w:numPr>
        <w:tabs>
          <w:tab w:val="clear" w:pos="1980"/>
        </w:tabs>
        <w:spacing w:before="0" w:after="120"/>
        <w:ind w:firstLine="720"/>
        <w:rPr>
          <w:kern w:val="22"/>
          <w:szCs w:val="22"/>
        </w:rPr>
      </w:pPr>
      <w:r w:rsidRPr="003075B3">
        <w:rPr>
          <w:kern w:val="22"/>
          <w:szCs w:val="22"/>
        </w:rPr>
        <w:t>(c)</w:t>
      </w:r>
      <w:r w:rsidRPr="003075B3">
        <w:rPr>
          <w:kern w:val="22"/>
          <w:szCs w:val="22"/>
        </w:rPr>
        <w:tab/>
        <w:t>A field trial, confined field trial or experimental introduction is to be regarded as intentional introduction into the environment when the conditions specified in Article 3, paragraph b, of the Protocol are not met;</w:t>
      </w:r>
    </w:p>
    <w:p w14:paraId="53762E5A" w14:textId="77777777" w:rsidR="00376CED" w:rsidRPr="003075B3" w:rsidRDefault="00376CED" w:rsidP="00725967">
      <w:pPr>
        <w:pStyle w:val="Para1"/>
        <w:numPr>
          <w:ilvl w:val="0"/>
          <w:numId w:val="0"/>
        </w:numPr>
        <w:ind w:firstLine="720"/>
      </w:pPr>
      <w:r w:rsidRPr="003075B3">
        <w:t>3.</w:t>
      </w:r>
      <w:r w:rsidRPr="003075B3">
        <w:tab/>
      </w:r>
      <w:r w:rsidRPr="003075B3">
        <w:rPr>
          <w:i/>
        </w:rPr>
        <w:t>Also reminds</w:t>
      </w:r>
      <w:r w:rsidRPr="003075B3">
        <w:t xml:space="preserve"> Parties of their obligation under Article 20, paragraph 3(d), and </w:t>
      </w:r>
      <w:r w:rsidRPr="003075B3">
        <w:rPr>
          <w:i/>
        </w:rPr>
        <w:t xml:space="preserve">encourages </w:t>
      </w:r>
      <w:r w:rsidRPr="003075B3">
        <w:t>other Governments to publish in the Biosafety Clearing-House their final decisions regarding the importation or release of living modified organisms;</w:t>
      </w:r>
    </w:p>
    <w:p w14:paraId="77DD033D" w14:textId="77777777" w:rsidR="00376CED" w:rsidRPr="003075B3" w:rsidRDefault="00376CED" w:rsidP="00725967">
      <w:pPr>
        <w:pStyle w:val="ListParagraph"/>
        <w:shd w:val="clear" w:color="auto" w:fill="FFFFFF" w:themeFill="background1"/>
        <w:spacing w:before="120" w:after="120"/>
        <w:ind w:left="0" w:firstLine="720"/>
        <w:rPr>
          <w:kern w:val="22"/>
          <w:szCs w:val="22"/>
        </w:rPr>
      </w:pPr>
      <w:r w:rsidRPr="003075B3">
        <w:rPr>
          <w:kern w:val="22"/>
          <w:szCs w:val="22"/>
        </w:rPr>
        <w:t>4.</w:t>
      </w:r>
      <w:r w:rsidRPr="003075B3">
        <w:rPr>
          <w:kern w:val="22"/>
          <w:szCs w:val="22"/>
        </w:rPr>
        <w:tab/>
      </w:r>
      <w:r w:rsidRPr="003075B3">
        <w:rPr>
          <w:i/>
          <w:kern w:val="22"/>
          <w:szCs w:val="22"/>
        </w:rPr>
        <w:t xml:space="preserve">Encourages </w:t>
      </w:r>
      <w:r w:rsidRPr="003075B3">
        <w:rPr>
          <w:kern w:val="22"/>
          <w:szCs w:val="22"/>
        </w:rPr>
        <w:t>Parties, other Governments and relevant organizations to cooperate, share experiences and promote</w:t>
      </w:r>
      <w:r w:rsidRPr="003075B3" w:rsidDel="003333F0">
        <w:rPr>
          <w:i/>
          <w:kern w:val="22"/>
          <w:szCs w:val="22"/>
        </w:rPr>
        <w:t xml:space="preserve"> </w:t>
      </w:r>
      <w:r w:rsidRPr="003075B3">
        <w:rPr>
          <w:kern w:val="22"/>
          <w:szCs w:val="22"/>
        </w:rPr>
        <w:t>capacity development to support the implementation of specific measures for contained use that effectively limit the contact of living modified organisms with, and their impact on, the external environment, in accordance with Article 3, paragraph (b), of the Protocol.</w:t>
      </w:r>
    </w:p>
    <w:p w14:paraId="41C03F26" w14:textId="77777777" w:rsidR="00376CED" w:rsidRPr="003075B3" w:rsidRDefault="00376CED" w:rsidP="00725967">
      <w:pPr>
        <w:rPr>
          <w:kern w:val="22"/>
        </w:rPr>
      </w:pPr>
    </w:p>
    <w:p w14:paraId="6D4BF955" w14:textId="77777777" w:rsidR="00376CED" w:rsidRPr="003075B3" w:rsidRDefault="00376CED">
      <w:pPr>
        <w:rPr>
          <w:b/>
          <w:caps/>
        </w:rPr>
      </w:pPr>
      <w:r w:rsidRPr="003075B3">
        <w:br w:type="page"/>
      </w:r>
    </w:p>
    <w:p w14:paraId="21178ABE" w14:textId="150A8BA0" w:rsidR="00376CED" w:rsidRPr="003075B3" w:rsidRDefault="00376CED" w:rsidP="00376CED">
      <w:pPr>
        <w:pStyle w:val="heading2-item"/>
      </w:pPr>
      <w:bookmarkStart w:id="36" w:name="_Toc879825"/>
      <w:bookmarkStart w:id="37" w:name="_Toc5612104"/>
      <w:bookmarkStart w:id="38" w:name="_Hlk531014875"/>
      <w:r w:rsidRPr="003075B3">
        <w:lastRenderedPageBreak/>
        <w:t>9/13.</w:t>
      </w:r>
      <w:r w:rsidRPr="003075B3">
        <w:tab/>
        <w:t>Risk assessment and risk management (Articles 15 and 16)</w:t>
      </w:r>
      <w:bookmarkEnd w:id="36"/>
      <w:bookmarkEnd w:id="37"/>
    </w:p>
    <w:p w14:paraId="60F35D35" w14:textId="50B73FCD" w:rsidR="00376CED" w:rsidRPr="003075B3" w:rsidRDefault="00376CED" w:rsidP="00725967">
      <w:pPr>
        <w:pStyle w:val="Para1"/>
        <w:numPr>
          <w:ilvl w:val="0"/>
          <w:numId w:val="0"/>
        </w:numPr>
        <w:suppressLineNumbers/>
        <w:suppressAutoHyphens/>
        <w:kinsoku w:val="0"/>
        <w:overflowPunct w:val="0"/>
        <w:autoSpaceDE w:val="0"/>
        <w:autoSpaceDN w:val="0"/>
        <w:adjustRightInd w:val="0"/>
        <w:ind w:firstLine="720"/>
        <w:rPr>
          <w:i/>
        </w:rPr>
      </w:pPr>
      <w:r w:rsidRPr="003075B3">
        <w:rPr>
          <w:i/>
        </w:rPr>
        <w:t>The Conference of the Parties serving as the meeting to the Parties to the Cartagena Protocol on Biosafety,</w:t>
      </w:r>
    </w:p>
    <w:p w14:paraId="734BAFD0" w14:textId="77777777" w:rsidR="00376CED" w:rsidRPr="003075B3" w:rsidRDefault="00376CED" w:rsidP="00725967">
      <w:pPr>
        <w:pStyle w:val="Para1"/>
        <w:numPr>
          <w:ilvl w:val="0"/>
          <w:numId w:val="0"/>
        </w:numPr>
        <w:suppressLineNumbers/>
        <w:suppressAutoHyphens/>
        <w:kinsoku w:val="0"/>
        <w:overflowPunct w:val="0"/>
        <w:autoSpaceDE w:val="0"/>
        <w:autoSpaceDN w:val="0"/>
        <w:adjustRightInd w:val="0"/>
        <w:ind w:firstLine="720"/>
      </w:pPr>
      <w:r w:rsidRPr="003075B3">
        <w:rPr>
          <w:i/>
        </w:rPr>
        <w:t xml:space="preserve">Recalling </w:t>
      </w:r>
      <w:r w:rsidRPr="003075B3">
        <w:t xml:space="preserve">decisions </w:t>
      </w:r>
      <w:hyperlink r:id="rId24" w:history="1">
        <w:r w:rsidRPr="003075B3">
          <w:rPr>
            <w:rStyle w:val="Hyperlink"/>
          </w:rPr>
          <w:t>BS-VII/12</w:t>
        </w:r>
      </w:hyperlink>
      <w:r w:rsidRPr="003075B3">
        <w:t xml:space="preserve"> and </w:t>
      </w:r>
      <w:hyperlink r:id="rId25" w:history="1">
        <w:r w:rsidRPr="003075B3">
          <w:rPr>
            <w:rStyle w:val="Hyperlink"/>
          </w:rPr>
          <w:t>XII/24</w:t>
        </w:r>
      </w:hyperlink>
      <w:r w:rsidRPr="003075B3">
        <w:t xml:space="preserve"> recommending a coordinated approach on the issue of synthetic biology,</w:t>
      </w:r>
    </w:p>
    <w:p w14:paraId="39A4BE8A" w14:textId="77777777" w:rsidR="00376CED" w:rsidRPr="003075B3" w:rsidRDefault="00376CED" w:rsidP="00725967">
      <w:pPr>
        <w:pStyle w:val="Para1"/>
        <w:numPr>
          <w:ilvl w:val="0"/>
          <w:numId w:val="0"/>
        </w:numPr>
        <w:suppressLineNumbers/>
        <w:suppressAutoHyphens/>
        <w:kinsoku w:val="0"/>
        <w:overflowPunct w:val="0"/>
        <w:autoSpaceDE w:val="0"/>
        <w:autoSpaceDN w:val="0"/>
        <w:adjustRightInd w:val="0"/>
        <w:ind w:firstLine="720"/>
      </w:pPr>
      <w:r w:rsidRPr="003075B3">
        <w:rPr>
          <w:i/>
        </w:rPr>
        <w:t>Reaffirming</w:t>
      </w:r>
      <w:r w:rsidRPr="003075B3">
        <w:t xml:space="preserve"> decision XII/24 of the Conference of the Parties urging Parties and inviting other Governments to take a precautionary approach, in accordance with the preamble of the Convention and with Article 14, when addressing threats of significant reduction or loss of biological diversity posed by organisms, components and products resulting from synthetic biology, in accordance with domestic legislation and other relevant international obligations,</w:t>
      </w:r>
    </w:p>
    <w:p w14:paraId="002E9744" w14:textId="77777777" w:rsidR="00376CED" w:rsidRPr="003075B3" w:rsidRDefault="00376CED" w:rsidP="00376CED">
      <w:pPr>
        <w:pStyle w:val="Para1"/>
        <w:numPr>
          <w:ilvl w:val="0"/>
          <w:numId w:val="56"/>
        </w:numPr>
        <w:suppressLineNumbers/>
        <w:suppressAutoHyphens/>
        <w:kinsoku w:val="0"/>
        <w:overflowPunct w:val="0"/>
        <w:autoSpaceDE w:val="0"/>
        <w:autoSpaceDN w:val="0"/>
        <w:adjustRightInd w:val="0"/>
        <w:snapToGrid w:val="0"/>
        <w:ind w:left="0" w:firstLine="720"/>
      </w:pPr>
      <w:r w:rsidRPr="003075B3">
        <w:rPr>
          <w:i/>
        </w:rPr>
        <w:t>Notes</w:t>
      </w:r>
      <w:r w:rsidRPr="003075B3">
        <w:t xml:space="preserve"> the availability of numerous guidance documents and other resources to support the process of risk assessment, but </w:t>
      </w:r>
      <w:r w:rsidRPr="003075B3">
        <w:rPr>
          <w:i/>
        </w:rPr>
        <w:t>recognizes</w:t>
      </w:r>
      <w:r w:rsidRPr="003075B3">
        <w:t xml:space="preserve"> the gaps and needs identified by some Parties;</w:t>
      </w:r>
    </w:p>
    <w:p w14:paraId="166DCB18" w14:textId="77777777" w:rsidR="00376CED" w:rsidRPr="003075B3" w:rsidRDefault="00376CED" w:rsidP="00376CED">
      <w:pPr>
        <w:pStyle w:val="Para1"/>
        <w:numPr>
          <w:ilvl w:val="0"/>
          <w:numId w:val="56"/>
        </w:numPr>
        <w:suppressLineNumbers/>
        <w:suppressAutoHyphens/>
        <w:kinsoku w:val="0"/>
        <w:overflowPunct w:val="0"/>
        <w:autoSpaceDE w:val="0"/>
        <w:autoSpaceDN w:val="0"/>
        <w:adjustRightInd w:val="0"/>
        <w:snapToGrid w:val="0"/>
        <w:ind w:left="0" w:firstLine="720"/>
        <w:rPr>
          <w:i/>
        </w:rPr>
      </w:pPr>
      <w:r w:rsidRPr="003075B3">
        <w:rPr>
          <w:i/>
        </w:rPr>
        <w:t xml:space="preserve">Recognizes </w:t>
      </w:r>
      <w:r w:rsidRPr="003075B3">
        <w:rPr>
          <w:iCs/>
        </w:rPr>
        <w:t xml:space="preserve">the divergence of views among Parties on </w:t>
      </w:r>
      <w:proofErr w:type="gramStart"/>
      <w:r w:rsidRPr="003075B3">
        <w:rPr>
          <w:iCs/>
        </w:rPr>
        <w:t>whether or not</w:t>
      </w:r>
      <w:proofErr w:type="gramEnd"/>
      <w:r w:rsidRPr="003075B3">
        <w:rPr>
          <w:iCs/>
        </w:rPr>
        <w:t xml:space="preserve"> additional guidance </w:t>
      </w:r>
      <w:r w:rsidRPr="003075B3">
        <w:t>on specific topics of risk assessment is needed;</w:t>
      </w:r>
    </w:p>
    <w:p w14:paraId="0D1524D3" w14:textId="77777777" w:rsidR="00376CED" w:rsidRPr="003075B3" w:rsidRDefault="00376CED" w:rsidP="00376CED">
      <w:pPr>
        <w:pStyle w:val="Para1"/>
        <w:numPr>
          <w:ilvl w:val="0"/>
          <w:numId w:val="56"/>
        </w:numPr>
        <w:suppressLineNumbers/>
        <w:suppressAutoHyphens/>
        <w:kinsoku w:val="0"/>
        <w:overflowPunct w:val="0"/>
        <w:autoSpaceDE w:val="0"/>
        <w:autoSpaceDN w:val="0"/>
        <w:adjustRightInd w:val="0"/>
        <w:snapToGrid w:val="0"/>
        <w:ind w:left="0" w:firstLine="720"/>
      </w:pPr>
      <w:r w:rsidRPr="003075B3">
        <w:rPr>
          <w:i/>
        </w:rPr>
        <w:t xml:space="preserve">Also recognizes </w:t>
      </w:r>
      <w:r w:rsidRPr="003075B3">
        <w:t>that, as there could be potential adverse effects arising from organisms containing engineered gene drives, before these organisms are considered for release into the environment, research and analysis are needed, and specific guidance may be useful, to support case-by-case risk assessment;</w:t>
      </w:r>
    </w:p>
    <w:p w14:paraId="7F3270F8" w14:textId="77777777" w:rsidR="00376CED" w:rsidRPr="003075B3" w:rsidRDefault="00376CED" w:rsidP="00376CED">
      <w:pPr>
        <w:pStyle w:val="Para1"/>
        <w:numPr>
          <w:ilvl w:val="0"/>
          <w:numId w:val="56"/>
        </w:numPr>
        <w:suppressLineNumbers/>
        <w:suppressAutoHyphens/>
        <w:kinsoku w:val="0"/>
        <w:overflowPunct w:val="0"/>
        <w:autoSpaceDE w:val="0"/>
        <w:autoSpaceDN w:val="0"/>
        <w:adjustRightInd w:val="0"/>
        <w:snapToGrid w:val="0"/>
        <w:ind w:left="0" w:firstLine="720"/>
      </w:pPr>
      <w:r w:rsidRPr="003075B3">
        <w:rPr>
          <w:i/>
        </w:rPr>
        <w:t>Notes</w:t>
      </w:r>
      <w:r w:rsidRPr="003075B3">
        <w:t xml:space="preserve"> the conclusions of the Ad Hoc Technical Expert Group on Synthetic Biology that, given the current uncertainties regarding engineered gene drives, the free, prior and informed consent of indigenous peoples and local communities might be warranted when considering the possible release of organisms containing engineered gene drives that may impact their traditional knowledge, innovation, practices, livelihood and use of land and water;</w:t>
      </w:r>
    </w:p>
    <w:p w14:paraId="4D24E6F1" w14:textId="77777777" w:rsidR="00376CED" w:rsidRPr="003075B3" w:rsidRDefault="00376CED" w:rsidP="00376CED">
      <w:pPr>
        <w:pStyle w:val="Para1"/>
        <w:numPr>
          <w:ilvl w:val="0"/>
          <w:numId w:val="56"/>
        </w:numPr>
        <w:suppressLineNumbers/>
        <w:suppressAutoHyphens/>
        <w:kinsoku w:val="0"/>
        <w:overflowPunct w:val="0"/>
        <w:autoSpaceDE w:val="0"/>
        <w:autoSpaceDN w:val="0"/>
        <w:adjustRightInd w:val="0"/>
        <w:snapToGrid w:val="0"/>
        <w:ind w:left="0" w:firstLine="720"/>
      </w:pPr>
      <w:r w:rsidRPr="003075B3">
        <w:rPr>
          <w:i/>
        </w:rPr>
        <w:t>Calls for</w:t>
      </w:r>
      <w:r w:rsidRPr="003075B3">
        <w:t xml:space="preserve"> broad international cooperation, knowledge sharing and capacity-building to support, inter alia, Parties in assessing the potential adverse effects on the conservation and sustainable use of biodiversity from living modified fish and other living modified organisms produced through new developments in modern biotechnology, including living modified organisms developed through genome editing and living modified organisms containing engineered gene drives, taking into account risks to human health, the value of biodiversity to indigenous peoples and local communities, and relevant experiences of individual countries in performing risk assessment of such organisms in accordance with annex III of the Cartagena Protocol;</w:t>
      </w:r>
    </w:p>
    <w:p w14:paraId="1BBC798E" w14:textId="77777777" w:rsidR="00376CED" w:rsidRPr="003075B3" w:rsidRDefault="00376CED" w:rsidP="00376CED">
      <w:pPr>
        <w:pStyle w:val="Para1"/>
        <w:numPr>
          <w:ilvl w:val="0"/>
          <w:numId w:val="56"/>
        </w:numPr>
        <w:suppressLineNumbers/>
        <w:suppressAutoHyphens/>
        <w:kinsoku w:val="0"/>
        <w:overflowPunct w:val="0"/>
        <w:autoSpaceDE w:val="0"/>
        <w:autoSpaceDN w:val="0"/>
        <w:adjustRightInd w:val="0"/>
        <w:snapToGrid w:val="0"/>
        <w:ind w:left="0" w:firstLine="720"/>
      </w:pPr>
      <w:r w:rsidRPr="003075B3">
        <w:rPr>
          <w:i/>
        </w:rPr>
        <w:t>Decides</w:t>
      </w:r>
      <w:r w:rsidRPr="003075B3">
        <w:rPr>
          <w:iCs/>
        </w:rPr>
        <w:t xml:space="preserve"> to establish </w:t>
      </w:r>
      <w:r w:rsidRPr="003075B3">
        <w:t xml:space="preserve">a process for the identification and prioritization of specific issues regarding risk assessment of living modified organisms for consideration by the Conference of the Parties serving as the meeting of the Parties to the Cartagena Protocol with a view to developing further guidance on risk assessment on the specific issues identified, </w:t>
      </w:r>
      <w:proofErr w:type="gramStart"/>
      <w:r w:rsidRPr="003075B3">
        <w:t>taking into account</w:t>
      </w:r>
      <w:proofErr w:type="gramEnd"/>
      <w:r w:rsidRPr="003075B3">
        <w:t xml:space="preserve"> annex I;</w:t>
      </w:r>
    </w:p>
    <w:p w14:paraId="288FF36F" w14:textId="77777777" w:rsidR="00376CED" w:rsidRPr="003075B3" w:rsidRDefault="00376CED" w:rsidP="00376CED">
      <w:pPr>
        <w:pStyle w:val="Para1"/>
        <w:numPr>
          <w:ilvl w:val="0"/>
          <w:numId w:val="56"/>
        </w:numPr>
        <w:suppressLineNumbers/>
        <w:suppressAutoHyphens/>
        <w:kinsoku w:val="0"/>
        <w:overflowPunct w:val="0"/>
        <w:autoSpaceDE w:val="0"/>
        <w:autoSpaceDN w:val="0"/>
        <w:adjustRightInd w:val="0"/>
        <w:snapToGrid w:val="0"/>
        <w:ind w:left="0" w:firstLine="720"/>
      </w:pPr>
      <w:r w:rsidRPr="003075B3">
        <w:rPr>
          <w:i/>
        </w:rPr>
        <w:t>Also decides</w:t>
      </w:r>
      <w:r w:rsidRPr="003075B3">
        <w:rPr>
          <w:iCs/>
        </w:rPr>
        <w:t xml:space="preserve"> </w:t>
      </w:r>
      <w:r w:rsidRPr="003075B3">
        <w:t>to consider, at its tenth meeting, whether additional guidance materials on risk assessment are needed for (a) living modified organisms containing engineered gene drives, and (b) living modified fish;</w:t>
      </w:r>
    </w:p>
    <w:p w14:paraId="357AC1AA" w14:textId="77777777" w:rsidR="00376CED" w:rsidRPr="003075B3" w:rsidRDefault="00376CED" w:rsidP="00376CED">
      <w:pPr>
        <w:pStyle w:val="Para1"/>
        <w:numPr>
          <w:ilvl w:val="0"/>
          <w:numId w:val="56"/>
        </w:numPr>
        <w:suppressLineNumbers/>
        <w:suppressAutoHyphens/>
        <w:kinsoku w:val="0"/>
        <w:overflowPunct w:val="0"/>
        <w:autoSpaceDE w:val="0"/>
        <w:autoSpaceDN w:val="0"/>
        <w:adjustRightInd w:val="0"/>
        <w:snapToGrid w:val="0"/>
        <w:ind w:left="0" w:firstLine="720"/>
      </w:pPr>
      <w:r w:rsidRPr="003075B3">
        <w:rPr>
          <w:i/>
        </w:rPr>
        <w:t>Further decides</w:t>
      </w:r>
      <w:r w:rsidRPr="003075B3">
        <w:rPr>
          <w:iCs/>
        </w:rPr>
        <w:t xml:space="preserve"> to establish </w:t>
      </w:r>
      <w:r w:rsidRPr="003075B3">
        <w:t>an Ad Hoc Technical Expert Group on Risk Assessment, composed of experts selected in accordance with the consolidated modus operandi of the Subsidiary Body on Scientific, Technical and Technological Advice,</w:t>
      </w:r>
      <w:r w:rsidRPr="003075B3">
        <w:rPr>
          <w:rStyle w:val="FootnoteReference"/>
          <w:sz w:val="22"/>
          <w:u w:val="none"/>
          <w:vertAlign w:val="superscript"/>
        </w:rPr>
        <w:footnoteReference w:id="21"/>
      </w:r>
      <w:r w:rsidRPr="003075B3">
        <w:t xml:space="preserve"> in accordance with the terms of reference contained in annex II;</w:t>
      </w:r>
    </w:p>
    <w:p w14:paraId="41647684" w14:textId="77777777" w:rsidR="00376CED" w:rsidRPr="003075B3" w:rsidRDefault="00376CED" w:rsidP="00376CED">
      <w:pPr>
        <w:pStyle w:val="Para1"/>
        <w:numPr>
          <w:ilvl w:val="0"/>
          <w:numId w:val="56"/>
        </w:numPr>
        <w:suppressLineNumbers/>
        <w:suppressAutoHyphens/>
        <w:kinsoku w:val="0"/>
        <w:overflowPunct w:val="0"/>
        <w:autoSpaceDE w:val="0"/>
        <w:autoSpaceDN w:val="0"/>
        <w:adjustRightInd w:val="0"/>
        <w:snapToGrid w:val="0"/>
        <w:ind w:left="0" w:firstLine="720"/>
      </w:pPr>
      <w:r w:rsidRPr="003075B3">
        <w:rPr>
          <w:i/>
        </w:rPr>
        <w:t>Decides</w:t>
      </w:r>
      <w:r w:rsidRPr="003075B3">
        <w:rPr>
          <w:iCs/>
        </w:rPr>
        <w:t xml:space="preserve"> to extend </w:t>
      </w:r>
      <w:r w:rsidRPr="003075B3">
        <w:t xml:space="preserve">the online forum on risk assessment and risk management </w:t>
      </w:r>
      <w:proofErr w:type="gramStart"/>
      <w:r w:rsidRPr="003075B3">
        <w:t>in order to</w:t>
      </w:r>
      <w:proofErr w:type="gramEnd"/>
      <w:r w:rsidRPr="003075B3">
        <w:t xml:space="preserve"> assist the Ad Hoc Technical Expert Group on Risk Assessment;</w:t>
      </w:r>
    </w:p>
    <w:p w14:paraId="46238509" w14:textId="77777777" w:rsidR="00376CED" w:rsidRPr="003075B3" w:rsidRDefault="00376CED" w:rsidP="00376CED">
      <w:pPr>
        <w:pStyle w:val="Para1"/>
        <w:numPr>
          <w:ilvl w:val="0"/>
          <w:numId w:val="56"/>
        </w:numPr>
        <w:suppressLineNumbers/>
        <w:suppressAutoHyphens/>
        <w:kinsoku w:val="0"/>
        <w:overflowPunct w:val="0"/>
        <w:autoSpaceDE w:val="0"/>
        <w:autoSpaceDN w:val="0"/>
        <w:adjustRightInd w:val="0"/>
        <w:snapToGrid w:val="0"/>
        <w:ind w:left="0" w:firstLine="720"/>
      </w:pPr>
      <w:r w:rsidRPr="003075B3">
        <w:rPr>
          <w:i/>
        </w:rPr>
        <w:lastRenderedPageBreak/>
        <w:t xml:space="preserve">Invites </w:t>
      </w:r>
      <w:r w:rsidRPr="003075B3">
        <w:t>Parties, other Governments, indigenous peoples and local communities, and relevant organizations to submit to the Executive Secretary information relevant to the work of the online forum and the Ad Hoc Technical Expert Group;</w:t>
      </w:r>
    </w:p>
    <w:p w14:paraId="5BB3975D" w14:textId="77777777" w:rsidR="00376CED" w:rsidRPr="003075B3" w:rsidRDefault="00376CED" w:rsidP="00376CED">
      <w:pPr>
        <w:pStyle w:val="Para1"/>
        <w:numPr>
          <w:ilvl w:val="0"/>
          <w:numId w:val="56"/>
        </w:numPr>
        <w:suppressLineNumbers/>
        <w:suppressAutoHyphens/>
        <w:kinsoku w:val="0"/>
        <w:overflowPunct w:val="0"/>
        <w:autoSpaceDE w:val="0"/>
        <w:autoSpaceDN w:val="0"/>
        <w:adjustRightInd w:val="0"/>
        <w:snapToGrid w:val="0"/>
        <w:ind w:left="0" w:firstLine="720"/>
      </w:pPr>
      <w:r w:rsidRPr="003075B3">
        <w:rPr>
          <w:i/>
        </w:rPr>
        <w:t>Requests</w:t>
      </w:r>
      <w:r w:rsidRPr="003075B3">
        <w:t xml:space="preserve"> the Executive Secretary, subject to the availability of resources:</w:t>
      </w:r>
    </w:p>
    <w:p w14:paraId="13C2B69C" w14:textId="77777777" w:rsidR="00376CED" w:rsidRPr="003075B3" w:rsidRDefault="00376CED" w:rsidP="00376CED">
      <w:pPr>
        <w:pStyle w:val="ListParagraph"/>
        <w:numPr>
          <w:ilvl w:val="0"/>
          <w:numId w:val="57"/>
        </w:numPr>
        <w:suppressLineNumbers/>
        <w:tabs>
          <w:tab w:val="left" w:pos="1440"/>
        </w:tabs>
        <w:suppressAutoHyphens/>
        <w:kinsoku w:val="0"/>
        <w:overflowPunct w:val="0"/>
        <w:autoSpaceDE w:val="0"/>
        <w:autoSpaceDN w:val="0"/>
        <w:adjustRightInd w:val="0"/>
        <w:snapToGrid w:val="0"/>
        <w:spacing w:before="120" w:after="120"/>
        <w:ind w:left="0" w:firstLine="720"/>
        <w:rPr>
          <w:kern w:val="22"/>
          <w:szCs w:val="22"/>
        </w:rPr>
      </w:pPr>
      <w:r w:rsidRPr="003075B3">
        <w:rPr>
          <w:kern w:val="22"/>
          <w:szCs w:val="22"/>
        </w:rPr>
        <w:t>To commission a study informing the application of annex I to (</w:t>
      </w:r>
      <w:proofErr w:type="spellStart"/>
      <w:r w:rsidRPr="003075B3">
        <w:rPr>
          <w:kern w:val="22"/>
          <w:szCs w:val="22"/>
        </w:rPr>
        <w:t>i</w:t>
      </w:r>
      <w:proofErr w:type="spellEnd"/>
      <w:r w:rsidRPr="003075B3">
        <w:rPr>
          <w:kern w:val="22"/>
          <w:szCs w:val="22"/>
        </w:rPr>
        <w:t>) living modified organisms containing engineered gene drives and (ii) living modified fish, to facilitate the process referred to in paragraph 6 above, and present it to the open-ended online forum and Ad Hoc Technical Expert Group on Risk Assessment and Risk Management;</w:t>
      </w:r>
    </w:p>
    <w:p w14:paraId="2FE440C3" w14:textId="77777777" w:rsidR="00376CED" w:rsidRPr="003075B3" w:rsidRDefault="00376CED" w:rsidP="00376CED">
      <w:pPr>
        <w:pStyle w:val="ListParagraph"/>
        <w:numPr>
          <w:ilvl w:val="0"/>
          <w:numId w:val="57"/>
        </w:numPr>
        <w:suppressLineNumbers/>
        <w:suppressAutoHyphens/>
        <w:kinsoku w:val="0"/>
        <w:overflowPunct w:val="0"/>
        <w:autoSpaceDE w:val="0"/>
        <w:autoSpaceDN w:val="0"/>
        <w:adjustRightInd w:val="0"/>
        <w:snapToGrid w:val="0"/>
        <w:spacing w:before="120" w:after="120"/>
        <w:ind w:left="0" w:firstLine="720"/>
        <w:rPr>
          <w:kern w:val="22"/>
          <w:szCs w:val="22"/>
        </w:rPr>
      </w:pPr>
      <w:r w:rsidRPr="003075B3">
        <w:rPr>
          <w:kern w:val="22"/>
          <w:szCs w:val="22"/>
        </w:rPr>
        <w:t xml:space="preserve">To </w:t>
      </w:r>
      <w:r w:rsidRPr="003075B3">
        <w:rPr>
          <w:color w:val="000000"/>
          <w:kern w:val="22"/>
          <w:szCs w:val="22"/>
          <w:lang w:eastAsia="x-none"/>
        </w:rPr>
        <w:t>collect</w:t>
      </w:r>
      <w:r w:rsidRPr="003075B3">
        <w:rPr>
          <w:kern w:val="22"/>
          <w:szCs w:val="22"/>
        </w:rPr>
        <w:t xml:space="preserve"> and synthesize relevant information to facilitate the work of the online forum and the ad hoc technical expert group;</w:t>
      </w:r>
    </w:p>
    <w:p w14:paraId="62953442" w14:textId="77777777" w:rsidR="00376CED" w:rsidRPr="003075B3" w:rsidRDefault="00376CED" w:rsidP="00376CED">
      <w:pPr>
        <w:pStyle w:val="ListParagraph"/>
        <w:numPr>
          <w:ilvl w:val="0"/>
          <w:numId w:val="57"/>
        </w:numPr>
        <w:suppressLineNumbers/>
        <w:suppressAutoHyphens/>
        <w:kinsoku w:val="0"/>
        <w:overflowPunct w:val="0"/>
        <w:autoSpaceDE w:val="0"/>
        <w:autoSpaceDN w:val="0"/>
        <w:adjustRightInd w:val="0"/>
        <w:snapToGrid w:val="0"/>
        <w:spacing w:before="120" w:after="120"/>
        <w:ind w:left="0" w:firstLine="720"/>
        <w:rPr>
          <w:color w:val="000000"/>
          <w:kern w:val="22"/>
          <w:szCs w:val="22"/>
          <w:lang w:eastAsia="x-none"/>
        </w:rPr>
      </w:pPr>
      <w:r w:rsidRPr="003075B3">
        <w:rPr>
          <w:color w:val="000000"/>
          <w:kern w:val="22"/>
          <w:szCs w:val="22"/>
          <w:lang w:eastAsia="x-none"/>
        </w:rPr>
        <w:t>To assist the lead moderator of the online forum in convening discussions and reporting on the results of the discussions;</w:t>
      </w:r>
    </w:p>
    <w:p w14:paraId="1102A364" w14:textId="77777777" w:rsidR="00376CED" w:rsidRPr="003075B3" w:rsidRDefault="00376CED" w:rsidP="00376CED">
      <w:pPr>
        <w:pStyle w:val="ListParagraph"/>
        <w:numPr>
          <w:ilvl w:val="0"/>
          <w:numId w:val="57"/>
        </w:numPr>
        <w:suppressLineNumbers/>
        <w:suppressAutoHyphens/>
        <w:kinsoku w:val="0"/>
        <w:overflowPunct w:val="0"/>
        <w:autoSpaceDE w:val="0"/>
        <w:autoSpaceDN w:val="0"/>
        <w:adjustRightInd w:val="0"/>
        <w:snapToGrid w:val="0"/>
        <w:spacing w:before="120" w:after="120"/>
        <w:ind w:left="0" w:firstLine="720"/>
        <w:rPr>
          <w:kern w:val="22"/>
          <w:szCs w:val="22"/>
        </w:rPr>
      </w:pPr>
      <w:r w:rsidRPr="003075B3">
        <w:rPr>
          <w:kern w:val="22"/>
          <w:szCs w:val="22"/>
        </w:rPr>
        <w:t xml:space="preserve">To </w:t>
      </w:r>
      <w:r w:rsidRPr="003075B3">
        <w:rPr>
          <w:color w:val="000000"/>
          <w:kern w:val="22"/>
          <w:szCs w:val="22"/>
          <w:lang w:eastAsia="x-none"/>
        </w:rPr>
        <w:t>convene</w:t>
      </w:r>
      <w:r w:rsidRPr="003075B3">
        <w:rPr>
          <w:kern w:val="22"/>
          <w:szCs w:val="22"/>
        </w:rPr>
        <w:t xml:space="preserve"> a face-to-face meeting of the Ad Hoc Technical Expert Group on Risk Assessment;</w:t>
      </w:r>
    </w:p>
    <w:p w14:paraId="2D42FDE2" w14:textId="77777777" w:rsidR="00376CED" w:rsidRPr="003075B3" w:rsidRDefault="00376CED" w:rsidP="00376CED">
      <w:pPr>
        <w:pStyle w:val="ListParagraph"/>
        <w:numPr>
          <w:ilvl w:val="0"/>
          <w:numId w:val="56"/>
        </w:numPr>
        <w:suppressLineNumbers/>
        <w:suppressAutoHyphens/>
        <w:kinsoku w:val="0"/>
        <w:overflowPunct w:val="0"/>
        <w:autoSpaceDE w:val="0"/>
        <w:autoSpaceDN w:val="0"/>
        <w:adjustRightInd w:val="0"/>
        <w:snapToGrid w:val="0"/>
        <w:spacing w:before="120" w:after="120"/>
        <w:ind w:left="0" w:firstLine="720"/>
        <w:rPr>
          <w:i/>
          <w:kern w:val="22"/>
          <w:szCs w:val="22"/>
        </w:rPr>
      </w:pPr>
      <w:r w:rsidRPr="003075B3">
        <w:rPr>
          <w:i/>
          <w:kern w:val="22"/>
          <w:szCs w:val="22"/>
        </w:rPr>
        <w:t xml:space="preserve">Requests </w:t>
      </w:r>
      <w:r w:rsidRPr="003075B3">
        <w:rPr>
          <w:kern w:val="22"/>
          <w:szCs w:val="22"/>
        </w:rPr>
        <w:t xml:space="preserve">the </w:t>
      </w:r>
      <w:r w:rsidRPr="003075B3">
        <w:rPr>
          <w:rStyle w:val="st"/>
          <w:kern w:val="22"/>
          <w:szCs w:val="22"/>
        </w:rPr>
        <w:t>Subsidiary Body on Scientific, Technical and Technological Advice</w:t>
      </w:r>
      <w:r w:rsidRPr="003075B3">
        <w:rPr>
          <w:kern w:val="22"/>
          <w:szCs w:val="22"/>
        </w:rPr>
        <w:t xml:space="preserve"> to make a recommendation as to whether additional guidance materials on risk assessment are needed for (a) living modified organisms containing engineered gene drives, and (b) living modified fish for consideration by the Conference of the Parties serving as the meeting of the Parties to the Cartagena Protocol at its tenth meeting.</w:t>
      </w:r>
    </w:p>
    <w:p w14:paraId="7E1296AC" w14:textId="77777777" w:rsidR="00376CED" w:rsidRPr="003075B3" w:rsidRDefault="00376CED" w:rsidP="00725967">
      <w:pPr>
        <w:suppressLineNumbers/>
        <w:suppressAutoHyphens/>
        <w:kinsoku w:val="0"/>
        <w:overflowPunct w:val="0"/>
        <w:autoSpaceDE w:val="0"/>
        <w:autoSpaceDN w:val="0"/>
        <w:adjustRightInd w:val="0"/>
        <w:snapToGrid w:val="0"/>
        <w:rPr>
          <w:kern w:val="22"/>
          <w:szCs w:val="22"/>
        </w:rPr>
      </w:pPr>
    </w:p>
    <w:p w14:paraId="2A2B40F1" w14:textId="77777777" w:rsidR="00376CED" w:rsidRPr="003075B3" w:rsidRDefault="00376CED" w:rsidP="00725967">
      <w:pPr>
        <w:keepNext/>
        <w:suppressLineNumbers/>
        <w:suppressAutoHyphens/>
        <w:kinsoku w:val="0"/>
        <w:overflowPunct w:val="0"/>
        <w:autoSpaceDE w:val="0"/>
        <w:autoSpaceDN w:val="0"/>
        <w:adjustRightInd w:val="0"/>
        <w:snapToGrid w:val="0"/>
        <w:spacing w:before="120" w:after="120"/>
        <w:jc w:val="center"/>
        <w:rPr>
          <w:i/>
          <w:kern w:val="22"/>
          <w:szCs w:val="22"/>
        </w:rPr>
      </w:pPr>
      <w:r w:rsidRPr="003075B3">
        <w:rPr>
          <w:i/>
          <w:kern w:val="22"/>
          <w:szCs w:val="22"/>
        </w:rPr>
        <w:t>Annex I</w:t>
      </w:r>
    </w:p>
    <w:p w14:paraId="58672C26" w14:textId="77777777" w:rsidR="00376CED" w:rsidRPr="00237524" w:rsidRDefault="00376CED" w:rsidP="00725967">
      <w:pPr>
        <w:keepNext/>
        <w:suppressLineNumbers/>
        <w:suppressAutoHyphens/>
        <w:kinsoku w:val="0"/>
        <w:overflowPunct w:val="0"/>
        <w:autoSpaceDE w:val="0"/>
        <w:autoSpaceDN w:val="0"/>
        <w:adjustRightInd w:val="0"/>
        <w:snapToGrid w:val="0"/>
        <w:spacing w:before="120" w:after="120"/>
        <w:jc w:val="center"/>
        <w:rPr>
          <w:b/>
          <w:kern w:val="22"/>
          <w:sz w:val="22"/>
          <w:szCs w:val="22"/>
        </w:rPr>
      </w:pPr>
      <w:r w:rsidRPr="00237524">
        <w:rPr>
          <w:b/>
          <w:kern w:val="22"/>
          <w:sz w:val="22"/>
          <w:szCs w:val="22"/>
        </w:rPr>
        <w:t>Identification and prioritization of specific issues of risk assessment of living modified organisms that may warrant consideration</w:t>
      </w:r>
    </w:p>
    <w:p w14:paraId="09159C67" w14:textId="77777777" w:rsidR="00376CED" w:rsidRPr="00653977" w:rsidRDefault="00376CED" w:rsidP="00653977">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653977">
        <w:rPr>
          <w:kern w:val="22"/>
          <w:sz w:val="22"/>
          <w:szCs w:val="22"/>
        </w:rPr>
        <w:t>The process for recommending specific issues of risk assessment for consideration by the Conference of the Parties serving as the meeting of the Parties to the Cartagena Protocol on Biosafety should include a structured analysis to evaluate whether the specific issues fulfil the following criteria:</w:t>
      </w:r>
    </w:p>
    <w:p w14:paraId="1D1DD2CB" w14:textId="77777777" w:rsidR="00376CED" w:rsidRPr="00653977" w:rsidRDefault="00376CED" w:rsidP="00653977">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653977">
        <w:rPr>
          <w:kern w:val="22"/>
          <w:sz w:val="22"/>
          <w:szCs w:val="22"/>
        </w:rPr>
        <w:t>(a)</w:t>
      </w:r>
      <w:r w:rsidRPr="00653977">
        <w:rPr>
          <w:kern w:val="22"/>
          <w:sz w:val="22"/>
          <w:szCs w:val="22"/>
        </w:rPr>
        <w:tab/>
        <w:t xml:space="preserve">They are identified by Parties as priorities, </w:t>
      </w:r>
      <w:proofErr w:type="gramStart"/>
      <w:r w:rsidRPr="00653977">
        <w:rPr>
          <w:kern w:val="22"/>
          <w:sz w:val="22"/>
          <w:szCs w:val="22"/>
        </w:rPr>
        <w:t>taking into account</w:t>
      </w:r>
      <w:proofErr w:type="gramEnd"/>
      <w:r w:rsidRPr="00653977">
        <w:rPr>
          <w:kern w:val="22"/>
          <w:sz w:val="22"/>
          <w:szCs w:val="22"/>
        </w:rPr>
        <w:t xml:space="preserve"> the challenges to risk assessment, particularly for developing country Parties and countries with economies in transition;</w:t>
      </w:r>
    </w:p>
    <w:p w14:paraId="1C2C7224" w14:textId="77777777" w:rsidR="00376CED" w:rsidRPr="00653977" w:rsidRDefault="00376CED" w:rsidP="00653977">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653977">
        <w:rPr>
          <w:kern w:val="22"/>
          <w:sz w:val="22"/>
          <w:szCs w:val="22"/>
        </w:rPr>
        <w:t>(b)</w:t>
      </w:r>
      <w:r w:rsidRPr="00653977">
        <w:rPr>
          <w:kern w:val="22"/>
          <w:sz w:val="22"/>
          <w:szCs w:val="22"/>
        </w:rPr>
        <w:tab/>
        <w:t>They fall within the scope and objective of the Cartagena Protocol;</w:t>
      </w:r>
    </w:p>
    <w:p w14:paraId="702391FD" w14:textId="77777777" w:rsidR="00376CED" w:rsidRPr="00653977" w:rsidRDefault="00376CED" w:rsidP="00653977">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653977">
        <w:rPr>
          <w:kern w:val="22"/>
          <w:sz w:val="22"/>
          <w:szCs w:val="22"/>
        </w:rPr>
        <w:t>(c)</w:t>
      </w:r>
      <w:r w:rsidRPr="00653977">
        <w:rPr>
          <w:kern w:val="22"/>
          <w:sz w:val="22"/>
          <w:szCs w:val="22"/>
        </w:rPr>
        <w:tab/>
        <w:t>They pose challenges to existing risk assessment frameworks, guidance and methodologies, for example, if the issue at hand has been assessed with existing risk assessment frameworks but poses specific technical or methodological challenges that require further attention;</w:t>
      </w:r>
    </w:p>
    <w:p w14:paraId="1FA4789E" w14:textId="77777777" w:rsidR="00376CED" w:rsidRPr="00653977" w:rsidRDefault="00376CED" w:rsidP="00653977">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653977">
        <w:rPr>
          <w:kern w:val="22"/>
          <w:sz w:val="22"/>
          <w:szCs w:val="22"/>
        </w:rPr>
        <w:t>(d)</w:t>
      </w:r>
      <w:r w:rsidRPr="00653977">
        <w:rPr>
          <w:kern w:val="22"/>
          <w:sz w:val="22"/>
          <w:szCs w:val="22"/>
        </w:rPr>
        <w:tab/>
        <w:t>The challenges in addressing the specific issue are clearly described;</w:t>
      </w:r>
    </w:p>
    <w:p w14:paraId="03B419D9" w14:textId="77777777" w:rsidR="00376CED" w:rsidRPr="00653977" w:rsidRDefault="00376CED" w:rsidP="00653977">
      <w:pPr>
        <w:suppressLineNumbers/>
        <w:suppressAutoHyphens/>
        <w:kinsoku w:val="0"/>
        <w:overflowPunct w:val="0"/>
        <w:autoSpaceDE w:val="0"/>
        <w:autoSpaceDN w:val="0"/>
        <w:adjustRightInd w:val="0"/>
        <w:snapToGrid w:val="0"/>
        <w:spacing w:before="120" w:after="120"/>
        <w:jc w:val="both"/>
        <w:rPr>
          <w:kern w:val="22"/>
          <w:sz w:val="22"/>
          <w:szCs w:val="22"/>
        </w:rPr>
      </w:pPr>
      <w:r w:rsidRPr="00653977">
        <w:rPr>
          <w:kern w:val="22"/>
          <w:sz w:val="22"/>
          <w:szCs w:val="22"/>
        </w:rPr>
        <w:t>and considering, inter alia:</w:t>
      </w:r>
    </w:p>
    <w:p w14:paraId="2F504225" w14:textId="77777777" w:rsidR="00376CED" w:rsidRPr="00653977" w:rsidRDefault="00376CED" w:rsidP="00653977">
      <w:pPr>
        <w:suppressLineNumbers/>
        <w:suppressAutoHyphens/>
        <w:kinsoku w:val="0"/>
        <w:overflowPunct w:val="0"/>
        <w:autoSpaceDE w:val="0"/>
        <w:autoSpaceDN w:val="0"/>
        <w:adjustRightInd w:val="0"/>
        <w:snapToGrid w:val="0"/>
        <w:spacing w:before="120" w:after="120"/>
        <w:ind w:firstLine="720"/>
        <w:jc w:val="both"/>
        <w:rPr>
          <w:kern w:val="22"/>
          <w:sz w:val="22"/>
          <w:szCs w:val="22"/>
        </w:rPr>
      </w:pPr>
      <w:r w:rsidRPr="00653977">
        <w:rPr>
          <w:kern w:val="22"/>
          <w:sz w:val="22"/>
          <w:szCs w:val="22"/>
        </w:rPr>
        <w:t>(e)</w:t>
      </w:r>
      <w:r w:rsidRPr="00653977">
        <w:rPr>
          <w:kern w:val="22"/>
          <w:sz w:val="22"/>
          <w:szCs w:val="22"/>
        </w:rPr>
        <w:tab/>
        <w:t>The specific issues concerning living modified organisms that:</w:t>
      </w:r>
    </w:p>
    <w:p w14:paraId="350654A4" w14:textId="77777777" w:rsidR="00376CED" w:rsidRPr="00653977" w:rsidRDefault="00376CED" w:rsidP="00653977">
      <w:pPr>
        <w:suppressLineNumbers/>
        <w:suppressAutoHyphens/>
        <w:kinsoku w:val="0"/>
        <w:overflowPunct w:val="0"/>
        <w:autoSpaceDE w:val="0"/>
        <w:autoSpaceDN w:val="0"/>
        <w:adjustRightInd w:val="0"/>
        <w:snapToGrid w:val="0"/>
        <w:spacing w:before="120" w:after="120"/>
        <w:ind w:left="1980" w:hanging="540"/>
        <w:jc w:val="both"/>
        <w:rPr>
          <w:kern w:val="22"/>
          <w:sz w:val="22"/>
          <w:szCs w:val="22"/>
        </w:rPr>
      </w:pPr>
      <w:r w:rsidRPr="00653977">
        <w:rPr>
          <w:kern w:val="22"/>
          <w:sz w:val="22"/>
          <w:szCs w:val="22"/>
        </w:rPr>
        <w:t>(</w:t>
      </w:r>
      <w:proofErr w:type="spellStart"/>
      <w:r w:rsidRPr="00653977">
        <w:rPr>
          <w:kern w:val="22"/>
          <w:sz w:val="22"/>
          <w:szCs w:val="22"/>
        </w:rPr>
        <w:t>i</w:t>
      </w:r>
      <w:proofErr w:type="spellEnd"/>
      <w:r w:rsidRPr="00653977">
        <w:rPr>
          <w:kern w:val="22"/>
          <w:sz w:val="22"/>
          <w:szCs w:val="22"/>
        </w:rPr>
        <w:t>)</w:t>
      </w:r>
      <w:r w:rsidRPr="00653977">
        <w:rPr>
          <w:kern w:val="22"/>
          <w:sz w:val="22"/>
          <w:szCs w:val="22"/>
        </w:rPr>
        <w:tab/>
        <w:t xml:space="preserve">Have the potential to cause adverse effects on biodiversity, </w:t>
      </w:r>
      <w:proofErr w:type="gramStart"/>
      <w:r w:rsidRPr="00653977">
        <w:rPr>
          <w:kern w:val="22"/>
          <w:sz w:val="22"/>
          <w:szCs w:val="22"/>
        </w:rPr>
        <w:t>in particular those</w:t>
      </w:r>
      <w:proofErr w:type="gramEnd"/>
      <w:r w:rsidRPr="00653977">
        <w:rPr>
          <w:kern w:val="22"/>
          <w:sz w:val="22"/>
          <w:szCs w:val="22"/>
        </w:rPr>
        <w:t xml:space="preserve"> that are serious or irreversible, taking into account the urgent need to protect specific aspects of biodiversity, such as an endemic/rare species or a unique habitat or ecosystem, taking into account risks to human health and the value of biological diversity to indigenous peoples and local communities;</w:t>
      </w:r>
    </w:p>
    <w:p w14:paraId="4EE9F131" w14:textId="77777777" w:rsidR="00376CED" w:rsidRPr="00653977" w:rsidRDefault="00376CED" w:rsidP="00653977">
      <w:pPr>
        <w:suppressLineNumbers/>
        <w:suppressAutoHyphens/>
        <w:kinsoku w:val="0"/>
        <w:overflowPunct w:val="0"/>
        <w:autoSpaceDE w:val="0"/>
        <w:autoSpaceDN w:val="0"/>
        <w:adjustRightInd w:val="0"/>
        <w:snapToGrid w:val="0"/>
        <w:spacing w:before="120" w:after="120"/>
        <w:ind w:left="1980" w:hanging="540"/>
        <w:jc w:val="both"/>
        <w:rPr>
          <w:kern w:val="22"/>
          <w:sz w:val="22"/>
          <w:szCs w:val="22"/>
        </w:rPr>
      </w:pPr>
      <w:r w:rsidRPr="00653977">
        <w:rPr>
          <w:kern w:val="22"/>
          <w:sz w:val="22"/>
          <w:szCs w:val="22"/>
        </w:rPr>
        <w:t>(ii)</w:t>
      </w:r>
      <w:r w:rsidRPr="00653977">
        <w:rPr>
          <w:kern w:val="22"/>
          <w:sz w:val="22"/>
          <w:szCs w:val="22"/>
        </w:rPr>
        <w:tab/>
        <w:t>May be introduced into the environment either deliberately or accidentally;</w:t>
      </w:r>
    </w:p>
    <w:p w14:paraId="7FD6C7ED" w14:textId="77777777" w:rsidR="00376CED" w:rsidRPr="00653977" w:rsidRDefault="00376CED" w:rsidP="00653977">
      <w:pPr>
        <w:suppressLineNumbers/>
        <w:suppressAutoHyphens/>
        <w:kinsoku w:val="0"/>
        <w:overflowPunct w:val="0"/>
        <w:autoSpaceDE w:val="0"/>
        <w:autoSpaceDN w:val="0"/>
        <w:adjustRightInd w:val="0"/>
        <w:snapToGrid w:val="0"/>
        <w:spacing w:before="120" w:after="120"/>
        <w:ind w:left="1980" w:hanging="540"/>
        <w:jc w:val="both"/>
        <w:rPr>
          <w:kern w:val="22"/>
          <w:sz w:val="22"/>
          <w:szCs w:val="22"/>
        </w:rPr>
      </w:pPr>
      <w:r w:rsidRPr="00653977">
        <w:rPr>
          <w:kern w:val="22"/>
          <w:sz w:val="22"/>
          <w:szCs w:val="22"/>
        </w:rPr>
        <w:t>(iii)</w:t>
      </w:r>
      <w:r w:rsidRPr="00653977">
        <w:rPr>
          <w:kern w:val="22"/>
          <w:sz w:val="22"/>
          <w:szCs w:val="22"/>
        </w:rPr>
        <w:tab/>
        <w:t>Have the potential to disseminate across national borders;</w:t>
      </w:r>
    </w:p>
    <w:p w14:paraId="6DC0DB36" w14:textId="77777777" w:rsidR="00376CED" w:rsidRPr="00653977" w:rsidRDefault="00376CED" w:rsidP="00653977">
      <w:pPr>
        <w:suppressLineNumbers/>
        <w:suppressAutoHyphens/>
        <w:kinsoku w:val="0"/>
        <w:overflowPunct w:val="0"/>
        <w:autoSpaceDE w:val="0"/>
        <w:autoSpaceDN w:val="0"/>
        <w:adjustRightInd w:val="0"/>
        <w:snapToGrid w:val="0"/>
        <w:spacing w:before="120" w:after="120"/>
        <w:ind w:left="1980" w:hanging="540"/>
        <w:jc w:val="both"/>
        <w:rPr>
          <w:kern w:val="22"/>
          <w:sz w:val="22"/>
          <w:szCs w:val="22"/>
        </w:rPr>
      </w:pPr>
      <w:r w:rsidRPr="00653977">
        <w:rPr>
          <w:kern w:val="22"/>
          <w:sz w:val="22"/>
          <w:szCs w:val="22"/>
        </w:rPr>
        <w:t>(iv)</w:t>
      </w:r>
      <w:r w:rsidRPr="00653977">
        <w:rPr>
          <w:kern w:val="22"/>
          <w:sz w:val="22"/>
          <w:szCs w:val="22"/>
        </w:rPr>
        <w:tab/>
        <w:t>Are already, or are likely to be, commercialized or in use somewhere in the world;</w:t>
      </w:r>
    </w:p>
    <w:p w14:paraId="1AA69A3C" w14:textId="77777777" w:rsidR="00376CED" w:rsidRPr="00653977" w:rsidRDefault="00376CED" w:rsidP="00653977">
      <w:pPr>
        <w:suppressLineNumbers/>
        <w:suppressAutoHyphens/>
        <w:kinsoku w:val="0"/>
        <w:overflowPunct w:val="0"/>
        <w:autoSpaceDE w:val="0"/>
        <w:autoSpaceDN w:val="0"/>
        <w:adjustRightInd w:val="0"/>
        <w:snapToGrid w:val="0"/>
        <w:spacing w:before="120" w:after="120"/>
        <w:jc w:val="both"/>
        <w:rPr>
          <w:kern w:val="22"/>
          <w:sz w:val="22"/>
          <w:szCs w:val="22"/>
        </w:rPr>
      </w:pPr>
      <w:r w:rsidRPr="00653977">
        <w:rPr>
          <w:kern w:val="22"/>
          <w:sz w:val="22"/>
          <w:szCs w:val="22"/>
        </w:rPr>
        <w:lastRenderedPageBreak/>
        <w:t>and consider a stock-taking exercise to determine if resources on similar issues have been developed by national, regional and international bodies and, if so, whether such resources may be revised or adapted to the objective of the Cartagena Protocol, as appropriate.</w:t>
      </w:r>
    </w:p>
    <w:p w14:paraId="0477ADC4" w14:textId="77777777" w:rsidR="00376CED" w:rsidRPr="00653977" w:rsidRDefault="00376CED" w:rsidP="00725967">
      <w:pPr>
        <w:keepNext/>
        <w:suppressLineNumbers/>
        <w:suppressAutoHyphens/>
        <w:kinsoku w:val="0"/>
        <w:overflowPunct w:val="0"/>
        <w:autoSpaceDE w:val="0"/>
        <w:autoSpaceDN w:val="0"/>
        <w:adjustRightInd w:val="0"/>
        <w:snapToGrid w:val="0"/>
        <w:spacing w:before="240" w:after="120"/>
        <w:jc w:val="center"/>
        <w:rPr>
          <w:i/>
          <w:kern w:val="22"/>
          <w:sz w:val="22"/>
          <w:szCs w:val="22"/>
        </w:rPr>
      </w:pPr>
      <w:r w:rsidRPr="00653977">
        <w:rPr>
          <w:i/>
          <w:kern w:val="22"/>
          <w:sz w:val="22"/>
          <w:szCs w:val="22"/>
        </w:rPr>
        <w:t>Annex II</w:t>
      </w:r>
    </w:p>
    <w:p w14:paraId="7E51F3FE" w14:textId="77777777" w:rsidR="00376CED" w:rsidRPr="00653977" w:rsidRDefault="00376CED" w:rsidP="00725967">
      <w:pPr>
        <w:keepNext/>
        <w:suppressLineNumbers/>
        <w:suppressAutoHyphens/>
        <w:kinsoku w:val="0"/>
        <w:overflowPunct w:val="0"/>
        <w:autoSpaceDE w:val="0"/>
        <w:autoSpaceDN w:val="0"/>
        <w:adjustRightInd w:val="0"/>
        <w:snapToGrid w:val="0"/>
        <w:spacing w:before="120" w:after="120"/>
        <w:jc w:val="center"/>
        <w:rPr>
          <w:b/>
          <w:kern w:val="22"/>
          <w:sz w:val="22"/>
          <w:szCs w:val="22"/>
        </w:rPr>
      </w:pPr>
      <w:r w:rsidRPr="00653977">
        <w:rPr>
          <w:b/>
          <w:color w:val="000000"/>
          <w:kern w:val="22"/>
          <w:sz w:val="22"/>
          <w:szCs w:val="22"/>
        </w:rPr>
        <w:t>Terms of reference for the Ad Hoc Technical Expert Group on Risk Assessment</w:t>
      </w:r>
    </w:p>
    <w:p w14:paraId="290A5588" w14:textId="77777777" w:rsidR="00376CED" w:rsidRPr="00653977" w:rsidRDefault="00376CED" w:rsidP="00725967">
      <w:pPr>
        <w:suppressLineNumbers/>
        <w:suppressAutoHyphens/>
        <w:kinsoku w:val="0"/>
        <w:overflowPunct w:val="0"/>
        <w:autoSpaceDE w:val="0"/>
        <w:autoSpaceDN w:val="0"/>
        <w:adjustRightInd w:val="0"/>
        <w:snapToGrid w:val="0"/>
        <w:spacing w:before="120" w:after="120"/>
        <w:rPr>
          <w:kern w:val="22"/>
          <w:sz w:val="22"/>
          <w:szCs w:val="22"/>
        </w:rPr>
      </w:pPr>
      <w:r w:rsidRPr="00653977">
        <w:rPr>
          <w:kern w:val="22"/>
          <w:sz w:val="22"/>
          <w:szCs w:val="22"/>
        </w:rPr>
        <w:tab/>
        <w:t xml:space="preserve">The Ad Hoc Technical Expert Group on Risk Assessment, </w:t>
      </w:r>
      <w:proofErr w:type="gramStart"/>
      <w:r w:rsidRPr="00653977">
        <w:rPr>
          <w:kern w:val="22"/>
          <w:sz w:val="22"/>
          <w:szCs w:val="22"/>
        </w:rPr>
        <w:t>taking into account</w:t>
      </w:r>
      <w:proofErr w:type="gramEnd"/>
      <w:r w:rsidRPr="00653977">
        <w:rPr>
          <w:kern w:val="22"/>
          <w:sz w:val="22"/>
          <w:szCs w:val="22"/>
        </w:rPr>
        <w:t xml:space="preserve"> the work undertaken by the Ad Hoc Technical Expert Group on Synthetic Biology, shall:</w:t>
      </w:r>
    </w:p>
    <w:p w14:paraId="0C7FF86F" w14:textId="77777777" w:rsidR="00376CED" w:rsidRPr="00653977" w:rsidRDefault="00376CED" w:rsidP="00725967">
      <w:pPr>
        <w:pStyle w:val="Para1"/>
        <w:numPr>
          <w:ilvl w:val="0"/>
          <w:numId w:val="0"/>
        </w:numPr>
        <w:suppressLineNumbers/>
        <w:suppressAutoHyphens/>
        <w:kinsoku w:val="0"/>
        <w:overflowPunct w:val="0"/>
        <w:autoSpaceDE w:val="0"/>
        <w:autoSpaceDN w:val="0"/>
        <w:adjustRightInd w:val="0"/>
        <w:ind w:firstLine="709"/>
      </w:pPr>
      <w:r w:rsidRPr="00653977">
        <w:t>(a)</w:t>
      </w:r>
      <w:r w:rsidRPr="00653977">
        <w:tab/>
        <w:t>Review the study referred to in paragraph 11(a) of decision CP-9/13, and perform an analysis on (</w:t>
      </w:r>
      <w:proofErr w:type="spellStart"/>
      <w:r w:rsidRPr="00653977">
        <w:t>i</w:t>
      </w:r>
      <w:proofErr w:type="spellEnd"/>
      <w:r w:rsidRPr="00653977">
        <w:t>) living modified organisms containing engineered gene drives and (ii) living modified fish, according to annex I, and supported by the data in the study;</w:t>
      </w:r>
    </w:p>
    <w:p w14:paraId="246A6C61" w14:textId="77777777" w:rsidR="00376CED" w:rsidRPr="00653977" w:rsidRDefault="00376CED" w:rsidP="00725967">
      <w:pPr>
        <w:pStyle w:val="Para1"/>
        <w:numPr>
          <w:ilvl w:val="0"/>
          <w:numId w:val="0"/>
        </w:numPr>
        <w:suppressLineNumbers/>
        <w:suppressAutoHyphens/>
        <w:kinsoku w:val="0"/>
        <w:overflowPunct w:val="0"/>
        <w:autoSpaceDE w:val="0"/>
        <w:autoSpaceDN w:val="0"/>
        <w:adjustRightInd w:val="0"/>
        <w:ind w:firstLine="709"/>
      </w:pPr>
      <w:r w:rsidRPr="00653977">
        <w:t>(b)</w:t>
      </w:r>
      <w:r w:rsidRPr="00653977">
        <w:tab/>
        <w:t xml:space="preserve">Consider the needs and priorities for further guidance and gaps in existing guidance identified by Parties in response to decision CP-VIII/12 </w:t>
      </w:r>
      <w:proofErr w:type="gramStart"/>
      <w:r w:rsidRPr="00653977">
        <w:t>with regard to</w:t>
      </w:r>
      <w:proofErr w:type="gramEnd"/>
      <w:r w:rsidRPr="00653977">
        <w:t xml:space="preserve"> specific topics of risk assessment and prepare an analysis;</w:t>
      </w:r>
    </w:p>
    <w:p w14:paraId="21CC859B" w14:textId="77777777" w:rsidR="00376CED" w:rsidRPr="00653977" w:rsidRDefault="00376CED" w:rsidP="00725967">
      <w:pPr>
        <w:pStyle w:val="Para1"/>
        <w:numPr>
          <w:ilvl w:val="0"/>
          <w:numId w:val="0"/>
        </w:numPr>
        <w:suppressLineNumbers/>
        <w:suppressAutoHyphens/>
        <w:kinsoku w:val="0"/>
        <w:overflowPunct w:val="0"/>
        <w:autoSpaceDE w:val="0"/>
        <w:autoSpaceDN w:val="0"/>
        <w:adjustRightInd w:val="0"/>
        <w:ind w:firstLine="709"/>
      </w:pPr>
      <w:r w:rsidRPr="00653977">
        <w:t>(c)</w:t>
      </w:r>
      <w:r w:rsidRPr="00653977">
        <w:tab/>
        <w:t>Make recommendations on (</w:t>
      </w:r>
      <w:proofErr w:type="spellStart"/>
      <w:r w:rsidRPr="00653977">
        <w:t>i</w:t>
      </w:r>
      <w:proofErr w:type="spellEnd"/>
      <w:r w:rsidRPr="00653977">
        <w:t>) the need for guidance to be developed on risk assessment of living modified organisms containing engineered gene drives and living modified fish, and (ii) any adjustments to annex I of decision CP-9/13;</w:t>
      </w:r>
    </w:p>
    <w:p w14:paraId="3E2E3FE9" w14:textId="77777777" w:rsidR="00376CED" w:rsidRPr="00653977" w:rsidRDefault="00376CED" w:rsidP="00725967">
      <w:pPr>
        <w:pStyle w:val="ListParagraph"/>
        <w:suppressLineNumbers/>
        <w:suppressAutoHyphens/>
        <w:kinsoku w:val="0"/>
        <w:overflowPunct w:val="0"/>
        <w:autoSpaceDE w:val="0"/>
        <w:autoSpaceDN w:val="0"/>
        <w:adjustRightInd w:val="0"/>
        <w:snapToGrid w:val="0"/>
        <w:spacing w:before="120" w:after="120"/>
        <w:ind w:left="0" w:firstLine="720"/>
        <w:rPr>
          <w:snapToGrid w:val="0"/>
          <w:kern w:val="22"/>
          <w:szCs w:val="22"/>
          <w:lang w:eastAsia="en-CA"/>
        </w:rPr>
      </w:pPr>
      <w:r w:rsidRPr="00653977">
        <w:rPr>
          <w:kern w:val="22"/>
          <w:szCs w:val="22"/>
        </w:rPr>
        <w:t>(d)</w:t>
      </w:r>
      <w:r w:rsidRPr="00653977">
        <w:rPr>
          <w:kern w:val="22"/>
          <w:szCs w:val="22"/>
        </w:rPr>
        <w:tab/>
        <w:t>Prepare a report for consideration by</w:t>
      </w:r>
      <w:r w:rsidRPr="00653977">
        <w:rPr>
          <w:kern w:val="22"/>
          <w:szCs w:val="22"/>
          <w:lang w:eastAsia="x-none"/>
        </w:rPr>
        <w:t xml:space="preserve"> the </w:t>
      </w:r>
      <w:r w:rsidRPr="00653977">
        <w:rPr>
          <w:rStyle w:val="st"/>
          <w:kern w:val="22"/>
          <w:szCs w:val="22"/>
        </w:rPr>
        <w:t>Subsidiary Body on Scientific, Technical and Technological Advice</w:t>
      </w:r>
      <w:r w:rsidRPr="00653977">
        <w:rPr>
          <w:kern w:val="22"/>
          <w:szCs w:val="22"/>
        </w:rPr>
        <w:t xml:space="preserve"> with a view to enabling the </w:t>
      </w:r>
      <w:r w:rsidRPr="00653977">
        <w:rPr>
          <w:rStyle w:val="st"/>
          <w:kern w:val="22"/>
          <w:szCs w:val="22"/>
        </w:rPr>
        <w:t xml:space="preserve">Subsidiary Body </w:t>
      </w:r>
      <w:r w:rsidRPr="00653977">
        <w:rPr>
          <w:kern w:val="22"/>
          <w:szCs w:val="22"/>
        </w:rPr>
        <w:t>to prepare a recommendation for consideration by the Conference of the Parties serving as the meeting of the Parties to the Cartagena Protocol on Biosafety at its tenth meeting.</w:t>
      </w:r>
      <w:bookmarkEnd w:id="38"/>
    </w:p>
    <w:p w14:paraId="7A8546ED" w14:textId="77777777" w:rsidR="00376CED" w:rsidRPr="00653977" w:rsidRDefault="00376CED">
      <w:pPr>
        <w:rPr>
          <w:b/>
          <w:caps/>
          <w:sz w:val="22"/>
          <w:szCs w:val="22"/>
        </w:rPr>
      </w:pPr>
      <w:r w:rsidRPr="00653977">
        <w:rPr>
          <w:sz w:val="22"/>
          <w:szCs w:val="22"/>
        </w:rPr>
        <w:br w:type="page"/>
      </w:r>
    </w:p>
    <w:p w14:paraId="320EC9B9" w14:textId="30A82574" w:rsidR="00376CED" w:rsidRPr="003075B3" w:rsidRDefault="00376CED" w:rsidP="00376CED">
      <w:pPr>
        <w:pStyle w:val="heading2-item"/>
      </w:pPr>
      <w:bookmarkStart w:id="39" w:name="_Toc879826"/>
      <w:bookmarkStart w:id="40" w:name="_Toc5612105"/>
      <w:r w:rsidRPr="003075B3">
        <w:lastRenderedPageBreak/>
        <w:t>9/14.</w:t>
      </w:r>
      <w:r w:rsidRPr="003075B3">
        <w:tab/>
        <w:t>Socio-economic considerations (Article 26)</w:t>
      </w:r>
      <w:bookmarkEnd w:id="39"/>
      <w:bookmarkEnd w:id="40"/>
    </w:p>
    <w:p w14:paraId="4BED4D4C" w14:textId="18989EBF" w:rsidR="00376CED" w:rsidRPr="00237524" w:rsidRDefault="00376CED" w:rsidP="00725967">
      <w:pPr>
        <w:suppressLineNumbers/>
        <w:suppressAutoHyphens/>
        <w:adjustRightInd w:val="0"/>
        <w:snapToGrid w:val="0"/>
        <w:spacing w:before="120" w:after="120"/>
        <w:ind w:firstLine="720"/>
        <w:rPr>
          <w:i/>
          <w:color w:val="000000" w:themeColor="text1"/>
          <w:kern w:val="22"/>
          <w:sz w:val="22"/>
          <w:szCs w:val="22"/>
        </w:rPr>
      </w:pPr>
      <w:r w:rsidRPr="00237524">
        <w:rPr>
          <w:i/>
          <w:kern w:val="22"/>
          <w:sz w:val="22"/>
          <w:szCs w:val="22"/>
        </w:rPr>
        <w:t xml:space="preserve">The Conference of the </w:t>
      </w:r>
      <w:r w:rsidRPr="00237524">
        <w:rPr>
          <w:i/>
          <w:color w:val="000000" w:themeColor="text1"/>
          <w:kern w:val="22"/>
          <w:sz w:val="22"/>
          <w:szCs w:val="22"/>
        </w:rPr>
        <w:t>Parties serving as the meeting of the Parties to the Cartagena Protocol on Biosafety,</w:t>
      </w:r>
    </w:p>
    <w:p w14:paraId="69BB41D6" w14:textId="77777777" w:rsidR="00376CED" w:rsidRPr="003075B3" w:rsidRDefault="00376CED" w:rsidP="00725967">
      <w:pPr>
        <w:pStyle w:val="Para1"/>
        <w:numPr>
          <w:ilvl w:val="0"/>
          <w:numId w:val="0"/>
        </w:numPr>
        <w:suppressLineNumbers/>
        <w:suppressAutoHyphens/>
        <w:ind w:firstLine="720"/>
      </w:pPr>
      <w:r w:rsidRPr="003075B3">
        <w:rPr>
          <w:i/>
        </w:rPr>
        <w:t>Recalling</w:t>
      </w:r>
      <w:r w:rsidRPr="003075B3">
        <w:t xml:space="preserve"> decisions </w:t>
      </w:r>
      <w:hyperlink r:id="rId26" w:history="1">
        <w:r w:rsidRPr="003075B3">
          <w:rPr>
            <w:rStyle w:val="Hyperlink"/>
          </w:rPr>
          <w:t>BS-VI/13</w:t>
        </w:r>
      </w:hyperlink>
      <w:r w:rsidRPr="003075B3">
        <w:t xml:space="preserve">, </w:t>
      </w:r>
      <w:hyperlink r:id="rId27" w:history="1">
        <w:r w:rsidRPr="003075B3">
          <w:rPr>
            <w:rStyle w:val="Hyperlink"/>
          </w:rPr>
          <w:t>BS-VII/13</w:t>
        </w:r>
      </w:hyperlink>
      <w:r w:rsidRPr="003075B3">
        <w:t xml:space="preserve"> and </w:t>
      </w:r>
      <w:hyperlink r:id="rId28" w:history="1">
        <w:r w:rsidRPr="003075B3">
          <w:rPr>
            <w:rStyle w:val="Hyperlink"/>
          </w:rPr>
          <w:t>CP-VIII/13</w:t>
        </w:r>
      </w:hyperlink>
      <w:r w:rsidRPr="003075B3">
        <w:t>,</w:t>
      </w:r>
    </w:p>
    <w:p w14:paraId="4FD997CA" w14:textId="77777777" w:rsidR="00376CED" w:rsidRPr="003075B3" w:rsidRDefault="00376CED" w:rsidP="00725967">
      <w:pPr>
        <w:pStyle w:val="Para1"/>
        <w:numPr>
          <w:ilvl w:val="0"/>
          <w:numId w:val="0"/>
        </w:numPr>
        <w:suppressLineNumbers/>
        <w:suppressAutoHyphens/>
        <w:ind w:firstLine="720"/>
        <w:rPr>
          <w:i/>
        </w:rPr>
      </w:pPr>
      <w:r w:rsidRPr="003075B3">
        <w:rPr>
          <w:i/>
        </w:rPr>
        <w:t xml:space="preserve">Recalling </w:t>
      </w:r>
      <w:r w:rsidRPr="003075B3">
        <w:t>that, in accordance with Article 26, paragraph 1, Parties, in reaching a decision on import under the Protocol or under its domestic measures implementing the Protocol, may take into account, consistent with their international obligations, socio-economic considerations arising from the impact of living modified organisms on the conservation and sustainable use of biological diversity, especially with regard to the value of biological diversity to indigenous and local communities,</w:t>
      </w:r>
    </w:p>
    <w:p w14:paraId="69A1138C" w14:textId="77777777" w:rsidR="00376CED" w:rsidRPr="00653977" w:rsidRDefault="00376CED" w:rsidP="00653977">
      <w:pPr>
        <w:suppressLineNumbers/>
        <w:suppressAutoHyphens/>
        <w:kinsoku w:val="0"/>
        <w:overflowPunct w:val="0"/>
        <w:autoSpaceDE w:val="0"/>
        <w:autoSpaceDN w:val="0"/>
        <w:snapToGrid w:val="0"/>
        <w:spacing w:before="120" w:after="120"/>
        <w:ind w:firstLine="720"/>
        <w:jc w:val="both"/>
        <w:rPr>
          <w:kern w:val="22"/>
          <w:sz w:val="22"/>
          <w:szCs w:val="22"/>
          <w:highlight w:val="yellow"/>
        </w:rPr>
      </w:pPr>
      <w:r w:rsidRPr="00653977">
        <w:rPr>
          <w:i/>
          <w:kern w:val="22"/>
          <w:sz w:val="22"/>
          <w:szCs w:val="22"/>
        </w:rPr>
        <w:t>Acknowledging</w:t>
      </w:r>
      <w:r w:rsidRPr="00653977">
        <w:rPr>
          <w:kern w:val="22"/>
          <w:sz w:val="22"/>
          <w:szCs w:val="22"/>
        </w:rPr>
        <w:t xml:space="preserve"> that nothing contained in the voluntary “Guidance on the Assessment of Socio-Economic Considerations in the Context of Article 26 of the Cartagena Protocol on Biosafety” can be interpreted or used to support non-tariff barriers to trade, or to justify breaches of international human rights law obligations, </w:t>
      </w:r>
      <w:proofErr w:type="gramStart"/>
      <w:r w:rsidRPr="00653977">
        <w:rPr>
          <w:kern w:val="22"/>
          <w:sz w:val="22"/>
          <w:szCs w:val="22"/>
        </w:rPr>
        <w:t>in particular of</w:t>
      </w:r>
      <w:proofErr w:type="gramEnd"/>
      <w:r w:rsidRPr="00653977">
        <w:rPr>
          <w:kern w:val="22"/>
          <w:sz w:val="22"/>
          <w:szCs w:val="22"/>
        </w:rPr>
        <w:t xml:space="preserve"> the rights of indigenous peoples and local communities,</w:t>
      </w:r>
    </w:p>
    <w:p w14:paraId="6377C2AA" w14:textId="77777777" w:rsidR="00376CED" w:rsidRPr="00653977" w:rsidRDefault="00376CED" w:rsidP="00653977">
      <w:pPr>
        <w:suppressLineNumbers/>
        <w:suppressAutoHyphens/>
        <w:kinsoku w:val="0"/>
        <w:overflowPunct w:val="0"/>
        <w:autoSpaceDE w:val="0"/>
        <w:autoSpaceDN w:val="0"/>
        <w:snapToGrid w:val="0"/>
        <w:spacing w:before="120" w:after="120"/>
        <w:ind w:firstLine="720"/>
        <w:jc w:val="both"/>
        <w:rPr>
          <w:kern w:val="22"/>
          <w:sz w:val="22"/>
          <w:szCs w:val="22"/>
        </w:rPr>
      </w:pPr>
      <w:r w:rsidRPr="00653977">
        <w:rPr>
          <w:i/>
          <w:kern w:val="22"/>
          <w:sz w:val="22"/>
          <w:szCs w:val="22"/>
        </w:rPr>
        <w:t xml:space="preserve">Recognizing </w:t>
      </w:r>
      <w:r w:rsidRPr="00653977">
        <w:rPr>
          <w:kern w:val="22"/>
          <w:sz w:val="22"/>
          <w:szCs w:val="22"/>
        </w:rPr>
        <w:t>that trade and environment agreements should be mutually supportive with a view to achieving sustainable development,</w:t>
      </w:r>
    </w:p>
    <w:p w14:paraId="0473E7AD" w14:textId="77777777" w:rsidR="00376CED" w:rsidRPr="00653977" w:rsidRDefault="00376CED" w:rsidP="00653977">
      <w:pPr>
        <w:suppressLineNumbers/>
        <w:suppressAutoHyphens/>
        <w:kinsoku w:val="0"/>
        <w:overflowPunct w:val="0"/>
        <w:autoSpaceDE w:val="0"/>
        <w:autoSpaceDN w:val="0"/>
        <w:snapToGrid w:val="0"/>
        <w:spacing w:before="120" w:after="120"/>
        <w:ind w:firstLine="720"/>
        <w:jc w:val="both"/>
        <w:rPr>
          <w:kern w:val="22"/>
          <w:sz w:val="22"/>
          <w:szCs w:val="22"/>
        </w:rPr>
      </w:pPr>
      <w:r w:rsidRPr="00653977">
        <w:rPr>
          <w:i/>
          <w:kern w:val="22"/>
          <w:sz w:val="22"/>
          <w:szCs w:val="22"/>
        </w:rPr>
        <w:t xml:space="preserve">Emphasizing </w:t>
      </w:r>
      <w:r w:rsidRPr="00653977">
        <w:rPr>
          <w:kern w:val="22"/>
          <w:sz w:val="22"/>
          <w:szCs w:val="22"/>
        </w:rPr>
        <w:t>that the Protocol shall not be interpreted as implying a change in the rights and obligations of a Party under any existing international agreements,</w:t>
      </w:r>
    </w:p>
    <w:p w14:paraId="6D8B8B3F" w14:textId="77777777" w:rsidR="00376CED" w:rsidRPr="00653977" w:rsidRDefault="00376CED" w:rsidP="00653977">
      <w:pPr>
        <w:suppressLineNumbers/>
        <w:suppressAutoHyphens/>
        <w:kinsoku w:val="0"/>
        <w:overflowPunct w:val="0"/>
        <w:autoSpaceDE w:val="0"/>
        <w:autoSpaceDN w:val="0"/>
        <w:snapToGrid w:val="0"/>
        <w:spacing w:before="120" w:after="120"/>
        <w:ind w:firstLine="720"/>
        <w:jc w:val="both"/>
        <w:rPr>
          <w:kern w:val="22"/>
          <w:sz w:val="22"/>
          <w:szCs w:val="22"/>
        </w:rPr>
      </w:pPr>
      <w:r w:rsidRPr="00653977">
        <w:rPr>
          <w:i/>
          <w:kern w:val="22"/>
          <w:sz w:val="22"/>
          <w:szCs w:val="22"/>
        </w:rPr>
        <w:t xml:space="preserve">Understanding </w:t>
      </w:r>
      <w:r w:rsidRPr="00653977">
        <w:rPr>
          <w:kern w:val="22"/>
          <w:sz w:val="22"/>
          <w:szCs w:val="22"/>
        </w:rPr>
        <w:t>that the above recital is not intended to subordinate the Protocol to other international agreements,</w:t>
      </w:r>
    </w:p>
    <w:p w14:paraId="1D69E0F5" w14:textId="77777777" w:rsidR="00376CED" w:rsidRPr="00653977" w:rsidRDefault="00376CED" w:rsidP="00653977">
      <w:pPr>
        <w:suppressLineNumbers/>
        <w:suppressAutoHyphens/>
        <w:kinsoku w:val="0"/>
        <w:overflowPunct w:val="0"/>
        <w:autoSpaceDE w:val="0"/>
        <w:autoSpaceDN w:val="0"/>
        <w:snapToGrid w:val="0"/>
        <w:spacing w:before="120" w:after="120"/>
        <w:ind w:firstLine="720"/>
        <w:jc w:val="both"/>
        <w:rPr>
          <w:i/>
          <w:kern w:val="22"/>
          <w:sz w:val="22"/>
          <w:szCs w:val="22"/>
        </w:rPr>
      </w:pPr>
      <w:r w:rsidRPr="00653977">
        <w:rPr>
          <w:i/>
          <w:kern w:val="22"/>
          <w:sz w:val="22"/>
          <w:szCs w:val="22"/>
        </w:rPr>
        <w:t xml:space="preserve">Recalling </w:t>
      </w:r>
      <w:r w:rsidRPr="00653977">
        <w:rPr>
          <w:kern w:val="22"/>
          <w:sz w:val="22"/>
          <w:szCs w:val="22"/>
        </w:rPr>
        <w:t>that the Guidance is intended to be used on a voluntary basis,</w:t>
      </w:r>
    </w:p>
    <w:p w14:paraId="01E7CE3B" w14:textId="77777777" w:rsidR="00376CED" w:rsidRPr="00653977" w:rsidRDefault="00376CED" w:rsidP="00653977">
      <w:pPr>
        <w:pStyle w:val="Para1"/>
        <w:numPr>
          <w:ilvl w:val="0"/>
          <w:numId w:val="59"/>
        </w:numPr>
        <w:suppressLineNumbers/>
        <w:tabs>
          <w:tab w:val="clear" w:pos="360"/>
        </w:tabs>
        <w:suppressAutoHyphens/>
        <w:ind w:firstLine="709"/>
      </w:pPr>
      <w:r w:rsidRPr="00653977">
        <w:rPr>
          <w:i/>
        </w:rPr>
        <w:t>Takes note</w:t>
      </w:r>
      <w:r w:rsidRPr="00653977">
        <w:t xml:space="preserve"> of</w:t>
      </w:r>
      <w:r w:rsidRPr="00653977">
        <w:rPr>
          <w:i/>
        </w:rPr>
        <w:t xml:space="preserve"> </w:t>
      </w:r>
      <w:r w:rsidRPr="00653977">
        <w:t>the “Guidance on the Assessment of Socio-Economic Considerations in the Context of Article 26 of the Cartagena Protocol on Biosafety”;</w:t>
      </w:r>
      <w:r w:rsidRPr="00653977">
        <w:rPr>
          <w:rStyle w:val="FootnoteReference"/>
          <w:sz w:val="22"/>
          <w:u w:val="none"/>
          <w:vertAlign w:val="superscript"/>
        </w:rPr>
        <w:footnoteReference w:id="22"/>
      </w:r>
    </w:p>
    <w:p w14:paraId="34DF5BE4" w14:textId="77777777" w:rsidR="00376CED" w:rsidRPr="00653977" w:rsidRDefault="00376CED" w:rsidP="00653977">
      <w:pPr>
        <w:pStyle w:val="Para1"/>
        <w:numPr>
          <w:ilvl w:val="0"/>
          <w:numId w:val="13"/>
        </w:numPr>
        <w:suppressLineNumbers/>
        <w:tabs>
          <w:tab w:val="clear" w:pos="360"/>
        </w:tabs>
        <w:suppressAutoHyphens/>
        <w:ind w:firstLine="720"/>
      </w:pPr>
      <w:r w:rsidRPr="00653977">
        <w:rPr>
          <w:i/>
        </w:rPr>
        <w:t>Invites</w:t>
      </w:r>
      <w:r w:rsidRPr="00653977">
        <w:t xml:space="preserve"> Parties, other Governments, relevant organizations and other stakeholders, as appropriate, to use and submit preliminary experiences using the voluntary Guidance, as well as examples of methodologies and applications of socio-economic considerations in the light of the elements of the voluntary Guidance, preferably in the form of case studies;</w:t>
      </w:r>
    </w:p>
    <w:p w14:paraId="77D504FB" w14:textId="77777777" w:rsidR="00376CED" w:rsidRPr="00653977" w:rsidRDefault="00376CED" w:rsidP="00653977">
      <w:pPr>
        <w:pStyle w:val="Para1"/>
        <w:numPr>
          <w:ilvl w:val="0"/>
          <w:numId w:val="13"/>
        </w:numPr>
        <w:suppressLineNumbers/>
        <w:tabs>
          <w:tab w:val="clear" w:pos="360"/>
        </w:tabs>
        <w:suppressAutoHyphens/>
        <w:ind w:firstLine="720"/>
      </w:pPr>
      <w:r w:rsidRPr="00653977">
        <w:rPr>
          <w:i/>
        </w:rPr>
        <w:t>Establishes</w:t>
      </w:r>
      <w:r w:rsidRPr="00653977">
        <w:t xml:space="preserve"> an online forum on socio-economic considerations through the Biosafety Clearing-House;</w:t>
      </w:r>
    </w:p>
    <w:p w14:paraId="422D0925" w14:textId="77777777" w:rsidR="00376CED" w:rsidRPr="00653977" w:rsidRDefault="00376CED" w:rsidP="00653977">
      <w:pPr>
        <w:pStyle w:val="Para1"/>
        <w:numPr>
          <w:ilvl w:val="0"/>
          <w:numId w:val="13"/>
        </w:numPr>
        <w:suppressLineNumbers/>
        <w:tabs>
          <w:tab w:val="clear" w:pos="360"/>
        </w:tabs>
        <w:suppressAutoHyphens/>
        <w:ind w:firstLine="720"/>
      </w:pPr>
      <w:r w:rsidRPr="00653977">
        <w:rPr>
          <w:i/>
        </w:rPr>
        <w:t>Requests</w:t>
      </w:r>
      <w:r w:rsidRPr="00653977">
        <w:t xml:space="preserve"> the Executive Secretary to (a) compile the information submitted in response to paragraph 2 above, (b) organize moderated discussions of the online forum to comment on and add views to review the compilation of submissions, (c) select, in consultation with the Bureau of the Conference of the Parties serving as the meeting of the Parties to the Cartagena Protocol, two rapporteurs to summarize the work of the moderated online discussions and prepare a report;</w:t>
      </w:r>
    </w:p>
    <w:p w14:paraId="54C4A2F0" w14:textId="77777777" w:rsidR="00376CED" w:rsidRPr="00653977" w:rsidRDefault="00376CED" w:rsidP="00653977">
      <w:pPr>
        <w:pStyle w:val="Para1"/>
        <w:numPr>
          <w:ilvl w:val="0"/>
          <w:numId w:val="13"/>
        </w:numPr>
        <w:suppressLineNumbers/>
        <w:tabs>
          <w:tab w:val="clear" w:pos="360"/>
        </w:tabs>
        <w:suppressAutoHyphens/>
        <w:ind w:firstLine="720"/>
      </w:pPr>
      <w:r w:rsidRPr="00653977">
        <w:rPr>
          <w:i/>
        </w:rPr>
        <w:t>Extends</w:t>
      </w:r>
      <w:r w:rsidRPr="00653977">
        <w:t xml:space="preserve"> the Ad Hoc Technical Expert Group on Socio-economic Considerations to review the outcomes of the online forum in accordance with the terms of reference in the annex, and </w:t>
      </w:r>
      <w:r w:rsidRPr="00653977">
        <w:rPr>
          <w:i/>
        </w:rPr>
        <w:t>requests</w:t>
      </w:r>
      <w:r w:rsidRPr="00653977">
        <w:t xml:space="preserve"> the Executive Secretary, subject to the availability of resources, to convene a face-to-face meeting of the Group;</w:t>
      </w:r>
    </w:p>
    <w:p w14:paraId="16ABAA81" w14:textId="77777777" w:rsidR="00376CED" w:rsidRPr="00653977" w:rsidRDefault="00376CED" w:rsidP="00653977">
      <w:pPr>
        <w:pStyle w:val="Para1"/>
        <w:numPr>
          <w:ilvl w:val="0"/>
          <w:numId w:val="13"/>
        </w:numPr>
        <w:suppressLineNumbers/>
        <w:tabs>
          <w:tab w:val="clear" w:pos="360"/>
        </w:tabs>
        <w:suppressAutoHyphens/>
        <w:ind w:firstLine="720"/>
      </w:pPr>
      <w:r w:rsidRPr="00653977">
        <w:rPr>
          <w:i/>
        </w:rPr>
        <w:t>Decides</w:t>
      </w:r>
      <w:r w:rsidRPr="00653977">
        <w:t xml:space="preserve"> to consider, at its tenth meeting, the outcomes of the process outlined above.</w:t>
      </w:r>
    </w:p>
    <w:p w14:paraId="52B8DE1F" w14:textId="77777777" w:rsidR="00376CED" w:rsidRPr="00653977" w:rsidRDefault="00376CED" w:rsidP="00653977">
      <w:pPr>
        <w:pStyle w:val="Para1"/>
        <w:numPr>
          <w:ilvl w:val="0"/>
          <w:numId w:val="0"/>
        </w:numPr>
        <w:spacing w:before="0" w:after="0"/>
      </w:pPr>
    </w:p>
    <w:p w14:paraId="192E1B23" w14:textId="77777777" w:rsidR="00376CED" w:rsidRPr="00653977" w:rsidRDefault="00376CED" w:rsidP="00653977">
      <w:pPr>
        <w:keepNext/>
        <w:suppressLineNumbers/>
        <w:suppressAutoHyphens/>
        <w:kinsoku w:val="0"/>
        <w:overflowPunct w:val="0"/>
        <w:autoSpaceDE w:val="0"/>
        <w:autoSpaceDN w:val="0"/>
        <w:snapToGrid w:val="0"/>
        <w:spacing w:after="120"/>
        <w:jc w:val="center"/>
        <w:rPr>
          <w:kern w:val="22"/>
          <w:sz w:val="22"/>
          <w:szCs w:val="22"/>
        </w:rPr>
      </w:pPr>
      <w:r w:rsidRPr="00653977">
        <w:rPr>
          <w:i/>
          <w:kern w:val="22"/>
          <w:sz w:val="22"/>
          <w:szCs w:val="22"/>
        </w:rPr>
        <w:lastRenderedPageBreak/>
        <w:t>Annex</w:t>
      </w:r>
    </w:p>
    <w:p w14:paraId="18D3D952" w14:textId="77777777" w:rsidR="00376CED" w:rsidRPr="00653977" w:rsidRDefault="00376CED" w:rsidP="00653977">
      <w:pPr>
        <w:keepNext/>
        <w:suppressLineNumbers/>
        <w:suppressAutoHyphens/>
        <w:kinsoku w:val="0"/>
        <w:overflowPunct w:val="0"/>
        <w:autoSpaceDE w:val="0"/>
        <w:autoSpaceDN w:val="0"/>
        <w:snapToGrid w:val="0"/>
        <w:spacing w:before="120" w:after="120"/>
        <w:jc w:val="center"/>
        <w:rPr>
          <w:b/>
          <w:kern w:val="22"/>
          <w:sz w:val="22"/>
          <w:szCs w:val="22"/>
        </w:rPr>
      </w:pPr>
      <w:r w:rsidRPr="00653977">
        <w:rPr>
          <w:b/>
          <w:kern w:val="22"/>
          <w:sz w:val="22"/>
          <w:szCs w:val="22"/>
        </w:rPr>
        <w:t>TERMS OF REFERENCE FOR THE AD HOC TECHNICAL EXPERT GROUP ON SOCIO</w:t>
      </w:r>
      <w:r w:rsidRPr="00653977">
        <w:rPr>
          <w:b/>
          <w:kern w:val="22"/>
          <w:sz w:val="22"/>
          <w:szCs w:val="22"/>
        </w:rPr>
        <w:noBreakHyphen/>
        <w:t>ECONOMIC CONSIDERATIONS</w:t>
      </w:r>
    </w:p>
    <w:p w14:paraId="1244DCD5" w14:textId="77777777" w:rsidR="00376CED" w:rsidRPr="00653977" w:rsidRDefault="00376CED" w:rsidP="00725967">
      <w:pPr>
        <w:suppressLineNumbers/>
        <w:suppressAutoHyphens/>
        <w:kinsoku w:val="0"/>
        <w:overflowPunct w:val="0"/>
        <w:autoSpaceDE w:val="0"/>
        <w:autoSpaceDN w:val="0"/>
        <w:snapToGrid w:val="0"/>
        <w:spacing w:before="120" w:after="120"/>
        <w:rPr>
          <w:kern w:val="22"/>
          <w:sz w:val="22"/>
          <w:szCs w:val="22"/>
        </w:rPr>
      </w:pPr>
      <w:r w:rsidRPr="00653977">
        <w:rPr>
          <w:kern w:val="22"/>
          <w:sz w:val="22"/>
          <w:szCs w:val="22"/>
        </w:rPr>
        <w:t>The Ad Hoc Technical Expert Group on Socio-economic Considerations shall:</w:t>
      </w:r>
    </w:p>
    <w:p w14:paraId="76D89A23" w14:textId="77777777" w:rsidR="00376CED" w:rsidRPr="00653977" w:rsidRDefault="00376CED" w:rsidP="00653977">
      <w:pPr>
        <w:suppressLineNumbers/>
        <w:suppressAutoHyphens/>
        <w:kinsoku w:val="0"/>
        <w:overflowPunct w:val="0"/>
        <w:autoSpaceDE w:val="0"/>
        <w:autoSpaceDN w:val="0"/>
        <w:snapToGrid w:val="0"/>
        <w:spacing w:before="120" w:after="120"/>
        <w:ind w:firstLine="720"/>
        <w:jc w:val="both"/>
        <w:rPr>
          <w:kern w:val="22"/>
          <w:sz w:val="22"/>
          <w:szCs w:val="22"/>
        </w:rPr>
      </w:pPr>
      <w:r w:rsidRPr="00653977">
        <w:rPr>
          <w:kern w:val="22"/>
          <w:sz w:val="22"/>
          <w:szCs w:val="22"/>
        </w:rPr>
        <w:t>(a)</w:t>
      </w:r>
      <w:r w:rsidRPr="00653977">
        <w:rPr>
          <w:kern w:val="22"/>
          <w:sz w:val="22"/>
          <w:szCs w:val="22"/>
        </w:rPr>
        <w:tab/>
        <w:t>Review the submissions in response to paragraph 2 of decision CP-9/14 and the outcomes of the moderated online discussions and use this information to supplement the voluntary Guidance, by indicating for which stage in the assessment process, as outlined in the voluntary Guidance, the information might be relevant;</w:t>
      </w:r>
    </w:p>
    <w:p w14:paraId="6E9E2AD8" w14:textId="77777777" w:rsidR="00376CED" w:rsidRPr="00653977" w:rsidRDefault="00376CED" w:rsidP="00653977">
      <w:pPr>
        <w:suppressLineNumbers/>
        <w:suppressAutoHyphens/>
        <w:kinsoku w:val="0"/>
        <w:overflowPunct w:val="0"/>
        <w:autoSpaceDE w:val="0"/>
        <w:autoSpaceDN w:val="0"/>
        <w:snapToGrid w:val="0"/>
        <w:spacing w:before="120" w:after="120"/>
        <w:ind w:firstLine="720"/>
        <w:jc w:val="both"/>
        <w:rPr>
          <w:kern w:val="22"/>
          <w:sz w:val="22"/>
          <w:szCs w:val="22"/>
        </w:rPr>
      </w:pPr>
      <w:r w:rsidRPr="00653977">
        <w:rPr>
          <w:kern w:val="22"/>
          <w:sz w:val="22"/>
          <w:szCs w:val="22"/>
        </w:rPr>
        <w:t>(b)</w:t>
      </w:r>
      <w:r w:rsidRPr="00653977">
        <w:rPr>
          <w:kern w:val="22"/>
          <w:sz w:val="22"/>
          <w:szCs w:val="22"/>
        </w:rPr>
        <w:tab/>
        <w:t>Based on this review, prepare a report on its work and submit it for consideration by the Conference of the Parties serving as the meeting of the Parties to the Cartagena Protocol at its tenth meeting.</w:t>
      </w:r>
    </w:p>
    <w:p w14:paraId="3C971B6B" w14:textId="77777777" w:rsidR="00376CED" w:rsidRPr="003075B3" w:rsidRDefault="00376CED" w:rsidP="00725967">
      <w:pPr>
        <w:rPr>
          <w:kern w:val="22"/>
          <w:szCs w:val="22"/>
        </w:rPr>
      </w:pPr>
    </w:p>
    <w:p w14:paraId="6BC024FA" w14:textId="77777777" w:rsidR="00376CED" w:rsidRPr="003075B3" w:rsidRDefault="00376CED">
      <w:pPr>
        <w:rPr>
          <w:b/>
          <w:caps/>
        </w:rPr>
      </w:pPr>
      <w:r w:rsidRPr="003075B3">
        <w:br w:type="page"/>
      </w:r>
    </w:p>
    <w:p w14:paraId="28FB3463" w14:textId="0A514D5E" w:rsidR="00376CED" w:rsidRPr="003075B3" w:rsidRDefault="00376CED" w:rsidP="00376CED">
      <w:pPr>
        <w:pStyle w:val="heading2-item"/>
        <w:rPr>
          <w:snapToGrid w:val="0"/>
        </w:rPr>
      </w:pPr>
      <w:bookmarkStart w:id="41" w:name="_Toc879827"/>
      <w:bookmarkStart w:id="42" w:name="_Toc5612106"/>
      <w:r w:rsidRPr="003075B3">
        <w:rPr>
          <w:snapToGrid w:val="0"/>
        </w:rPr>
        <w:lastRenderedPageBreak/>
        <w:t>9/15.</w:t>
      </w:r>
      <w:r w:rsidRPr="003075B3">
        <w:rPr>
          <w:snapToGrid w:val="0"/>
        </w:rPr>
        <w:tab/>
        <w:t>Nagoya – Kuala Lumpur Supplementary Protocol on Liability and Redress</w:t>
      </w:r>
      <w:bookmarkEnd w:id="41"/>
      <w:bookmarkEnd w:id="42"/>
    </w:p>
    <w:p w14:paraId="7F8D6E64" w14:textId="5A026576" w:rsidR="00376CED" w:rsidRPr="00653977" w:rsidRDefault="00376CED" w:rsidP="00725967">
      <w:pPr>
        <w:suppressLineNumbers/>
        <w:suppressAutoHyphens/>
        <w:spacing w:before="120" w:after="120"/>
        <w:ind w:firstLine="720"/>
        <w:rPr>
          <w:kern w:val="22"/>
          <w:sz w:val="22"/>
          <w:szCs w:val="22"/>
        </w:rPr>
      </w:pPr>
      <w:r w:rsidRPr="00653977">
        <w:rPr>
          <w:i/>
          <w:snapToGrid w:val="0"/>
          <w:kern w:val="22"/>
          <w:sz w:val="22"/>
          <w:szCs w:val="22"/>
        </w:rPr>
        <w:t>The Conference of the Parties serving as the meeting of the Parties to the Cartagena Protocol on Biosafety serving as the meeting of the Parties to the Nagoya – Kuala Lumpur Supplementary Protocol on Liability and Redress,</w:t>
      </w:r>
      <w:r w:rsidRPr="00653977">
        <w:rPr>
          <w:rStyle w:val="FootnoteReference"/>
          <w:snapToGrid w:val="0"/>
          <w:kern w:val="22"/>
          <w:sz w:val="22"/>
          <w:szCs w:val="22"/>
          <w:u w:val="none"/>
          <w:vertAlign w:val="superscript"/>
        </w:rPr>
        <w:footnoteReference w:id="23"/>
      </w:r>
    </w:p>
    <w:p w14:paraId="6FD0F659" w14:textId="77777777" w:rsidR="00376CED" w:rsidRPr="00653977" w:rsidRDefault="00376CED" w:rsidP="00376CED">
      <w:pPr>
        <w:pStyle w:val="Para1"/>
        <w:numPr>
          <w:ilvl w:val="0"/>
          <w:numId w:val="61"/>
        </w:numPr>
        <w:suppressLineNumbers/>
        <w:tabs>
          <w:tab w:val="clear" w:pos="360"/>
        </w:tabs>
        <w:suppressAutoHyphens/>
        <w:ind w:firstLine="709"/>
        <w:rPr>
          <w:i/>
          <w:snapToGrid/>
        </w:rPr>
      </w:pPr>
      <w:r w:rsidRPr="00653977">
        <w:rPr>
          <w:i/>
          <w:snapToGrid/>
        </w:rPr>
        <w:t xml:space="preserve">Welcomes </w:t>
      </w:r>
      <w:r w:rsidRPr="00653977">
        <w:rPr>
          <w:snapToGrid/>
        </w:rPr>
        <w:t>the entry into force of the Nagoya – Kuala Lumpur Supplementary Protocol on Liability and Redress to the Cartagena Protocol on Biosafety;</w:t>
      </w:r>
    </w:p>
    <w:p w14:paraId="3E87B6A2" w14:textId="77777777" w:rsidR="00376CED" w:rsidRPr="00653977" w:rsidRDefault="00376CED" w:rsidP="00376CED">
      <w:pPr>
        <w:pStyle w:val="Para1"/>
        <w:numPr>
          <w:ilvl w:val="0"/>
          <w:numId w:val="13"/>
        </w:numPr>
        <w:suppressLineNumbers/>
        <w:tabs>
          <w:tab w:val="clear" w:pos="360"/>
        </w:tabs>
        <w:suppressAutoHyphens/>
        <w:ind w:firstLine="720"/>
        <w:rPr>
          <w:i/>
          <w:snapToGrid/>
        </w:rPr>
      </w:pPr>
      <w:r w:rsidRPr="00653977">
        <w:rPr>
          <w:i/>
          <w:snapToGrid/>
        </w:rPr>
        <w:t xml:space="preserve">Congratulates </w:t>
      </w:r>
      <w:r w:rsidRPr="00653977">
        <w:rPr>
          <w:snapToGrid/>
        </w:rPr>
        <w:t>those Parties that have deposited their instrument of ratification, acceptance, approval or accession to the Supplementary Protocol and urges them to take the necessary steps for its implementation;</w:t>
      </w:r>
    </w:p>
    <w:p w14:paraId="777639E4" w14:textId="77777777" w:rsidR="00376CED" w:rsidRPr="00653977" w:rsidRDefault="00376CED" w:rsidP="00376CED">
      <w:pPr>
        <w:pStyle w:val="Para1"/>
        <w:numPr>
          <w:ilvl w:val="0"/>
          <w:numId w:val="13"/>
        </w:numPr>
        <w:suppressLineNumbers/>
        <w:tabs>
          <w:tab w:val="clear" w:pos="360"/>
        </w:tabs>
        <w:suppressAutoHyphens/>
        <w:ind w:firstLine="720"/>
        <w:rPr>
          <w:i/>
          <w:snapToGrid/>
        </w:rPr>
      </w:pPr>
      <w:r w:rsidRPr="00653977">
        <w:rPr>
          <w:i/>
          <w:snapToGrid/>
        </w:rPr>
        <w:t xml:space="preserve">Urges </w:t>
      </w:r>
      <w:r w:rsidRPr="00653977">
        <w:rPr>
          <w:snapToGrid/>
        </w:rPr>
        <w:t>all Parties to the Cartagena Protocol on Biosafety that have not yet done so to deposit their instrument of ratification, acceptance, approval or accession to the Supplementary Protocol as soon as possible;</w:t>
      </w:r>
    </w:p>
    <w:p w14:paraId="0D97E641" w14:textId="77777777" w:rsidR="00376CED" w:rsidRPr="00653977" w:rsidRDefault="00376CED" w:rsidP="00376CED">
      <w:pPr>
        <w:pStyle w:val="Para1"/>
        <w:numPr>
          <w:ilvl w:val="0"/>
          <w:numId w:val="13"/>
        </w:numPr>
        <w:suppressLineNumbers/>
        <w:tabs>
          <w:tab w:val="clear" w:pos="360"/>
        </w:tabs>
        <w:suppressAutoHyphens/>
        <w:ind w:firstLine="720"/>
      </w:pPr>
      <w:r w:rsidRPr="00653977">
        <w:rPr>
          <w:i/>
          <w:snapToGrid/>
        </w:rPr>
        <w:t xml:space="preserve">Welcomes </w:t>
      </w:r>
      <w:r w:rsidRPr="00653977">
        <w:rPr>
          <w:snapToGrid/>
        </w:rPr>
        <w:t>the activities undertaken to facilitate the entry into force and implementation of the Supplementary Protocol and the support provided by donors in this regard;</w:t>
      </w:r>
    </w:p>
    <w:p w14:paraId="1768F9FF" w14:textId="77777777" w:rsidR="00376CED" w:rsidRPr="00653977" w:rsidRDefault="00376CED" w:rsidP="00376CED">
      <w:pPr>
        <w:pStyle w:val="Para1"/>
        <w:numPr>
          <w:ilvl w:val="0"/>
          <w:numId w:val="13"/>
        </w:numPr>
        <w:suppressLineNumbers/>
        <w:tabs>
          <w:tab w:val="clear" w:pos="360"/>
        </w:tabs>
        <w:suppressAutoHyphens/>
        <w:ind w:firstLine="720"/>
        <w:rPr>
          <w:i/>
          <w:snapToGrid/>
        </w:rPr>
      </w:pPr>
      <w:r w:rsidRPr="00653977">
        <w:rPr>
          <w:i/>
          <w:snapToGrid/>
        </w:rPr>
        <w:t xml:space="preserve">Requests </w:t>
      </w:r>
      <w:r w:rsidRPr="00653977">
        <w:rPr>
          <w:snapToGrid/>
        </w:rPr>
        <w:t>the Executive Secretary, subject to the availability of funds from the Voluntary Trust Fund, to continue undertaking further awareness-raising and capacity-building activities and to provide support to Parties in implementing the Supplementary Protocol at the domestic level;</w:t>
      </w:r>
    </w:p>
    <w:p w14:paraId="314B6FD3" w14:textId="77777777" w:rsidR="00376CED" w:rsidRPr="00653977" w:rsidRDefault="00376CED" w:rsidP="00376CED">
      <w:pPr>
        <w:pStyle w:val="Para1"/>
        <w:numPr>
          <w:ilvl w:val="0"/>
          <w:numId w:val="13"/>
        </w:numPr>
        <w:suppressLineNumbers/>
        <w:tabs>
          <w:tab w:val="clear" w:pos="360"/>
        </w:tabs>
        <w:suppressAutoHyphens/>
        <w:ind w:firstLine="720"/>
        <w:rPr>
          <w:i/>
          <w:snapToGrid/>
        </w:rPr>
      </w:pPr>
      <w:r w:rsidRPr="00653977">
        <w:rPr>
          <w:i/>
          <w:snapToGrid/>
        </w:rPr>
        <w:t xml:space="preserve">Requests </w:t>
      </w:r>
      <w:r w:rsidRPr="00653977">
        <w:rPr>
          <w:snapToGrid/>
        </w:rPr>
        <w:t>Parties to the Supplementary Protocol to designate a competent authority to perform the functions set out in Article 5 of the Supplementary Protocol, and to make the contact information of its competent authority available on the Biosafety Clearing-House;</w:t>
      </w:r>
    </w:p>
    <w:p w14:paraId="360DB05E" w14:textId="77777777" w:rsidR="00376CED" w:rsidRPr="00653977" w:rsidRDefault="00376CED" w:rsidP="00376CED">
      <w:pPr>
        <w:pStyle w:val="Para1"/>
        <w:numPr>
          <w:ilvl w:val="0"/>
          <w:numId w:val="13"/>
        </w:numPr>
        <w:suppressLineNumbers/>
        <w:tabs>
          <w:tab w:val="clear" w:pos="360"/>
        </w:tabs>
        <w:suppressAutoHyphens/>
        <w:ind w:firstLine="720"/>
        <w:rPr>
          <w:i/>
          <w:snapToGrid/>
        </w:rPr>
      </w:pPr>
      <w:r w:rsidRPr="00653977">
        <w:rPr>
          <w:i/>
          <w:snapToGrid/>
        </w:rPr>
        <w:t xml:space="preserve">Requests </w:t>
      </w:r>
      <w:r w:rsidRPr="00653977">
        <w:rPr>
          <w:snapToGrid/>
        </w:rPr>
        <w:t xml:space="preserve">Parties to the Supplementary Protocol and </w:t>
      </w:r>
      <w:r w:rsidRPr="00653977">
        <w:rPr>
          <w:i/>
          <w:snapToGrid/>
        </w:rPr>
        <w:t>invites</w:t>
      </w:r>
      <w:r w:rsidRPr="00653977">
        <w:rPr>
          <w:snapToGrid/>
        </w:rPr>
        <w:t xml:space="preserve"> other Governments to report on their measures to implement the Supplementary Protocol by responding to the questions related to the Supplementary Protocol in the format for the fourth national report under the Cartagena Protocol, as contained in the annex to decision CP-9/5;</w:t>
      </w:r>
    </w:p>
    <w:p w14:paraId="4633E143" w14:textId="77777777" w:rsidR="00376CED" w:rsidRPr="00653977" w:rsidRDefault="00376CED" w:rsidP="00376CED">
      <w:pPr>
        <w:pStyle w:val="Para1"/>
        <w:numPr>
          <w:ilvl w:val="0"/>
          <w:numId w:val="13"/>
        </w:numPr>
        <w:suppressLineNumbers/>
        <w:tabs>
          <w:tab w:val="clear" w:pos="360"/>
        </w:tabs>
        <w:suppressAutoHyphens/>
        <w:ind w:firstLine="720"/>
        <w:rPr>
          <w:i/>
          <w:snapToGrid/>
        </w:rPr>
      </w:pPr>
      <w:r w:rsidRPr="00653977">
        <w:rPr>
          <w:i/>
          <w:snapToGrid/>
        </w:rPr>
        <w:t xml:space="preserve">Requests </w:t>
      </w:r>
      <w:r w:rsidRPr="00653977">
        <w:rPr>
          <w:snapToGrid/>
        </w:rPr>
        <w:t>the Executive Secretary to undertake a comprehensive study, subject to the availability of funds from the Voluntary Trust Fund, for consideration by the Conference of the Parties serving as the meeting of the Parties to the Cartagena Protocol on Biosafety serving as the meeting of the Parties to the Supplementary Protocol at its next meeting, addressing:</w:t>
      </w:r>
    </w:p>
    <w:p w14:paraId="4F559C62" w14:textId="77777777" w:rsidR="00376CED" w:rsidRPr="00653977" w:rsidRDefault="00376CED" w:rsidP="00376CED">
      <w:pPr>
        <w:pStyle w:val="Para1"/>
        <w:numPr>
          <w:ilvl w:val="0"/>
          <w:numId w:val="60"/>
        </w:numPr>
        <w:suppressLineNumbers/>
        <w:tabs>
          <w:tab w:val="clear" w:pos="360"/>
        </w:tabs>
        <w:suppressAutoHyphens/>
        <w:spacing w:before="0"/>
        <w:ind w:firstLine="720"/>
        <w:rPr>
          <w:snapToGrid/>
        </w:rPr>
      </w:pPr>
      <w:r w:rsidRPr="00653977">
        <w:rPr>
          <w:snapToGrid/>
        </w:rPr>
        <w:t>The modalities of financial security mechanisms;</w:t>
      </w:r>
    </w:p>
    <w:p w14:paraId="225D3BA9" w14:textId="77777777" w:rsidR="00376CED" w:rsidRPr="00653977" w:rsidRDefault="00376CED" w:rsidP="00376CED">
      <w:pPr>
        <w:pStyle w:val="Para1"/>
        <w:numPr>
          <w:ilvl w:val="0"/>
          <w:numId w:val="60"/>
        </w:numPr>
        <w:suppressLineNumbers/>
        <w:tabs>
          <w:tab w:val="clear" w:pos="360"/>
        </w:tabs>
        <w:suppressAutoHyphens/>
        <w:spacing w:before="0"/>
        <w:ind w:firstLine="720"/>
        <w:rPr>
          <w:snapToGrid/>
        </w:rPr>
      </w:pPr>
      <w:r w:rsidRPr="00653977">
        <w:rPr>
          <w:snapToGrid/>
        </w:rPr>
        <w:t xml:space="preserve">An assessment of the environmental, economic and social impacts of such mechanisms, </w:t>
      </w:r>
      <w:proofErr w:type="gramStart"/>
      <w:r w:rsidRPr="00653977">
        <w:rPr>
          <w:snapToGrid/>
        </w:rPr>
        <w:t>in particular on</w:t>
      </w:r>
      <w:proofErr w:type="gramEnd"/>
      <w:r w:rsidRPr="00653977">
        <w:rPr>
          <w:snapToGrid/>
        </w:rPr>
        <w:t xml:space="preserve"> developing countries;</w:t>
      </w:r>
    </w:p>
    <w:p w14:paraId="6DC696FC" w14:textId="77777777" w:rsidR="00376CED" w:rsidRPr="00653977" w:rsidRDefault="00376CED" w:rsidP="00376CED">
      <w:pPr>
        <w:pStyle w:val="Para1"/>
        <w:numPr>
          <w:ilvl w:val="0"/>
          <w:numId w:val="60"/>
        </w:numPr>
        <w:suppressLineNumbers/>
        <w:tabs>
          <w:tab w:val="clear" w:pos="360"/>
        </w:tabs>
        <w:suppressAutoHyphens/>
        <w:spacing w:before="0"/>
        <w:ind w:firstLine="720"/>
        <w:rPr>
          <w:snapToGrid/>
        </w:rPr>
      </w:pPr>
      <w:r w:rsidRPr="00653977">
        <w:rPr>
          <w:snapToGrid/>
        </w:rPr>
        <w:t>An identification of the appropriate entities to provide financial security;</w:t>
      </w:r>
    </w:p>
    <w:p w14:paraId="769B4485" w14:textId="77777777" w:rsidR="00376CED" w:rsidRPr="00653977" w:rsidRDefault="00376CED" w:rsidP="00376CED">
      <w:pPr>
        <w:pStyle w:val="Para1"/>
        <w:numPr>
          <w:ilvl w:val="0"/>
          <w:numId w:val="13"/>
        </w:numPr>
        <w:suppressLineNumbers/>
        <w:tabs>
          <w:tab w:val="clear" w:pos="360"/>
        </w:tabs>
        <w:suppressAutoHyphens/>
        <w:ind w:firstLine="720"/>
      </w:pPr>
      <w:r w:rsidRPr="00653977">
        <w:rPr>
          <w:i/>
        </w:rPr>
        <w:t xml:space="preserve">Also requests </w:t>
      </w:r>
      <w:r w:rsidRPr="00653977">
        <w:t>the Executive Secretary to create the appropriate common format in the Biosafety Clearing-House to enable Parties to share the contact information of their competent authorities pursuant to Article 5 of the Supplementary Protocol.</w:t>
      </w:r>
    </w:p>
    <w:p w14:paraId="3DA08FA3" w14:textId="674471E8" w:rsidR="00376CED" w:rsidRPr="003075B3" w:rsidRDefault="00376CED" w:rsidP="00653977">
      <w:pPr>
        <w:pStyle w:val="Para1"/>
        <w:numPr>
          <w:ilvl w:val="0"/>
          <w:numId w:val="0"/>
        </w:numPr>
        <w:suppressLineNumbers/>
        <w:suppressAutoHyphens/>
        <w:spacing w:before="0" w:after="0"/>
      </w:pPr>
    </w:p>
    <w:p w14:paraId="0DF2D13C" w14:textId="77777777" w:rsidR="00376CED" w:rsidRPr="003075B3" w:rsidRDefault="00376CED">
      <w:pPr>
        <w:rPr>
          <w:b/>
          <w:caps/>
        </w:rPr>
      </w:pPr>
      <w:r w:rsidRPr="003075B3">
        <w:br w:type="page"/>
      </w:r>
    </w:p>
    <w:p w14:paraId="0CD5234B" w14:textId="77777777" w:rsidR="00253427" w:rsidRPr="003075B3" w:rsidRDefault="00253427" w:rsidP="00C31366">
      <w:pPr>
        <w:pStyle w:val="heading2-item"/>
        <w:rPr>
          <w:snapToGrid w:val="0"/>
        </w:rPr>
      </w:pPr>
      <w:bookmarkStart w:id="43" w:name="_Toc879828"/>
      <w:bookmarkStart w:id="44" w:name="_Toc5612107"/>
      <w:r w:rsidRPr="003075B3">
        <w:rPr>
          <w:snapToGrid w:val="0"/>
        </w:rPr>
        <w:lastRenderedPageBreak/>
        <w:t>9/16.</w:t>
      </w:r>
      <w:r w:rsidRPr="003075B3">
        <w:rPr>
          <w:snapToGrid w:val="0"/>
        </w:rPr>
        <w:tab/>
        <w:t>P</w:t>
      </w:r>
      <w:r w:rsidRPr="00CF43BA">
        <w:rPr>
          <w:snapToGrid w:val="0"/>
        </w:rPr>
        <w:t>rogramme of work and budget (Cartagena Protocol)</w:t>
      </w:r>
      <w:bookmarkEnd w:id="43"/>
      <w:bookmarkEnd w:id="44"/>
    </w:p>
    <w:p w14:paraId="67B7A77F" w14:textId="77777777" w:rsidR="00253427" w:rsidRPr="00653977" w:rsidRDefault="00253427" w:rsidP="00653977">
      <w:pPr>
        <w:suppressLineNumbers/>
        <w:shd w:val="clear" w:color="auto" w:fill="FFFFFF" w:themeFill="background1"/>
        <w:suppressAutoHyphens/>
        <w:spacing w:before="120" w:after="120"/>
        <w:ind w:firstLine="720"/>
        <w:jc w:val="both"/>
        <w:rPr>
          <w:rFonts w:eastAsia="Malgun Gothic"/>
          <w:i/>
          <w:snapToGrid w:val="0"/>
          <w:kern w:val="22"/>
          <w:sz w:val="22"/>
          <w:szCs w:val="22"/>
        </w:rPr>
      </w:pPr>
      <w:r w:rsidRPr="00653977">
        <w:rPr>
          <w:rFonts w:eastAsia="Malgun Gothic"/>
          <w:i/>
          <w:snapToGrid w:val="0"/>
          <w:kern w:val="22"/>
          <w:sz w:val="22"/>
          <w:szCs w:val="22"/>
        </w:rPr>
        <w:t>The Conference of the Parties serving as the meeting of the Parties to the Cartagena Protocol on Biosafety,</w:t>
      </w:r>
    </w:p>
    <w:p w14:paraId="0BA19645" w14:textId="77777777" w:rsidR="00253427" w:rsidRPr="00653977" w:rsidRDefault="00253427" w:rsidP="00653977">
      <w:pPr>
        <w:suppressLineNumbers/>
        <w:shd w:val="clear" w:color="auto" w:fill="FFFFFF" w:themeFill="background1"/>
        <w:suppressAutoHyphens/>
        <w:spacing w:before="120" w:after="120"/>
        <w:ind w:firstLine="720"/>
        <w:jc w:val="both"/>
        <w:rPr>
          <w:rFonts w:eastAsia="Malgun Gothic"/>
          <w:snapToGrid w:val="0"/>
          <w:kern w:val="22"/>
          <w:sz w:val="22"/>
          <w:szCs w:val="22"/>
          <w:lang w:eastAsia="x-none"/>
        </w:rPr>
      </w:pPr>
      <w:r w:rsidRPr="00653977">
        <w:rPr>
          <w:rFonts w:eastAsia="Malgun Gothic"/>
          <w:i/>
          <w:snapToGrid w:val="0"/>
          <w:kern w:val="22"/>
          <w:sz w:val="22"/>
          <w:szCs w:val="22"/>
          <w:lang w:eastAsia="x-none"/>
        </w:rPr>
        <w:t xml:space="preserve">Recalling </w:t>
      </w:r>
      <w:r w:rsidRPr="00653977">
        <w:rPr>
          <w:rFonts w:eastAsia="Malgun Gothic"/>
          <w:snapToGrid w:val="0"/>
          <w:kern w:val="22"/>
          <w:sz w:val="22"/>
          <w:szCs w:val="22"/>
          <w:lang w:eastAsia="x-none"/>
        </w:rPr>
        <w:t xml:space="preserve">its decision </w:t>
      </w:r>
      <w:hyperlink r:id="rId29" w:history="1">
        <w:r w:rsidRPr="00653977">
          <w:rPr>
            <w:rStyle w:val="Hyperlink"/>
            <w:rFonts w:eastAsia="Malgun Gothic"/>
            <w:snapToGrid w:val="0"/>
            <w:kern w:val="22"/>
            <w:sz w:val="22"/>
            <w:szCs w:val="22"/>
            <w:lang w:eastAsia="x-none"/>
          </w:rPr>
          <w:t>VIII/7</w:t>
        </w:r>
      </w:hyperlink>
      <w:r w:rsidRPr="00653977">
        <w:rPr>
          <w:rFonts w:eastAsia="Malgun Gothic"/>
          <w:snapToGrid w:val="0"/>
          <w:kern w:val="22"/>
          <w:sz w:val="22"/>
          <w:szCs w:val="22"/>
          <w:lang w:eastAsia="x-none"/>
        </w:rPr>
        <w:t xml:space="preserve">, and decision </w:t>
      </w:r>
      <w:hyperlink r:id="rId30" w:history="1">
        <w:r w:rsidRPr="00653977">
          <w:rPr>
            <w:rStyle w:val="Hyperlink"/>
            <w:rFonts w:eastAsia="Malgun Gothic"/>
            <w:snapToGrid w:val="0"/>
            <w:kern w:val="22"/>
            <w:sz w:val="22"/>
            <w:szCs w:val="22"/>
            <w:lang w:eastAsia="x-none"/>
          </w:rPr>
          <w:t>XIII/32</w:t>
        </w:r>
      </w:hyperlink>
      <w:r w:rsidRPr="00653977">
        <w:rPr>
          <w:rFonts w:eastAsia="Malgun Gothic"/>
          <w:snapToGrid w:val="0"/>
          <w:kern w:val="22"/>
          <w:sz w:val="22"/>
          <w:szCs w:val="22"/>
          <w:lang w:eastAsia="x-none"/>
        </w:rPr>
        <w:t xml:space="preserve"> of the Conference of the Parties to the Convention on Biological Diversity, </w:t>
      </w:r>
      <w:r w:rsidRPr="00653977">
        <w:rPr>
          <w:rFonts w:eastAsia="Malgun Gothic"/>
          <w:kern w:val="22"/>
          <w:sz w:val="22"/>
          <w:szCs w:val="22"/>
          <w:lang w:eastAsia="x-none"/>
        </w:rPr>
        <w:t xml:space="preserve">as well as </w:t>
      </w:r>
      <w:r w:rsidRPr="00653977">
        <w:rPr>
          <w:rFonts w:eastAsia="Malgun Gothic"/>
          <w:snapToGrid w:val="0"/>
          <w:kern w:val="22"/>
          <w:sz w:val="22"/>
          <w:szCs w:val="22"/>
          <w:lang w:eastAsia="x-none"/>
        </w:rPr>
        <w:t xml:space="preserve">decision </w:t>
      </w:r>
      <w:hyperlink r:id="rId31" w:history="1">
        <w:r w:rsidRPr="00653977">
          <w:rPr>
            <w:rStyle w:val="Hyperlink"/>
            <w:rFonts w:eastAsia="Malgun Gothic"/>
            <w:snapToGrid w:val="0"/>
            <w:kern w:val="22"/>
            <w:sz w:val="22"/>
            <w:szCs w:val="22"/>
            <w:lang w:eastAsia="x-none"/>
          </w:rPr>
          <w:t>NP-2/13</w:t>
        </w:r>
      </w:hyperlink>
      <w:r w:rsidRPr="00653977">
        <w:rPr>
          <w:rFonts w:eastAsia="Malgun Gothic"/>
          <w:snapToGrid w:val="0"/>
          <w:kern w:val="22"/>
          <w:sz w:val="22"/>
          <w:szCs w:val="22"/>
          <w:lang w:eastAsia="x-none"/>
        </w:rPr>
        <w:t xml:space="preserve"> of the Conference of the Parties serving as the meeting of the Parties to the Nagoya Protocol on Access and Benefit-sharing,</w:t>
      </w:r>
    </w:p>
    <w:p w14:paraId="510E9474" w14:textId="77777777" w:rsidR="00253427" w:rsidRPr="00653977" w:rsidRDefault="00253427" w:rsidP="00653977">
      <w:pPr>
        <w:suppressLineNumbers/>
        <w:suppressAutoHyphens/>
        <w:spacing w:before="120" w:after="120"/>
        <w:ind w:firstLine="720"/>
        <w:jc w:val="both"/>
        <w:rPr>
          <w:rFonts w:eastAsia="Malgun Gothic"/>
          <w:color w:val="000000"/>
          <w:kern w:val="22"/>
          <w:sz w:val="22"/>
          <w:szCs w:val="22"/>
          <w:lang w:eastAsia="x-none"/>
        </w:rPr>
      </w:pPr>
      <w:r w:rsidRPr="00653977">
        <w:rPr>
          <w:i/>
          <w:color w:val="000000"/>
          <w:kern w:val="22"/>
          <w:sz w:val="22"/>
          <w:szCs w:val="22"/>
          <w:lang w:eastAsia="fr-FR"/>
        </w:rPr>
        <w:t xml:space="preserve">Also recalling </w:t>
      </w:r>
      <w:r w:rsidRPr="00653977">
        <w:rPr>
          <w:color w:val="000000"/>
          <w:kern w:val="22"/>
          <w:sz w:val="22"/>
          <w:szCs w:val="22"/>
          <w:lang w:eastAsia="fr-FR"/>
        </w:rPr>
        <w:t xml:space="preserve">decision </w:t>
      </w:r>
      <w:hyperlink r:id="rId32" w:history="1">
        <w:r w:rsidRPr="00653977">
          <w:rPr>
            <w:rStyle w:val="Hyperlink"/>
            <w:kern w:val="22"/>
            <w:sz w:val="22"/>
            <w:szCs w:val="22"/>
            <w:lang w:eastAsia="fr-FR"/>
          </w:rPr>
          <w:t>III/1</w:t>
        </w:r>
      </w:hyperlink>
      <w:r w:rsidRPr="00653977">
        <w:rPr>
          <w:color w:val="000000"/>
          <w:kern w:val="22"/>
          <w:sz w:val="22"/>
          <w:szCs w:val="22"/>
          <w:lang w:eastAsia="fr-FR"/>
        </w:rPr>
        <w:t>, which specifies that budget proposals should be circulated 90 days before meetings of the Conference of the Parties,</w:t>
      </w:r>
    </w:p>
    <w:p w14:paraId="3762199B" w14:textId="77777777" w:rsidR="00253427" w:rsidRPr="00653977" w:rsidRDefault="00253427" w:rsidP="00653977">
      <w:pPr>
        <w:suppressLineNumbers/>
        <w:suppressAutoHyphens/>
        <w:spacing w:before="120" w:after="120"/>
        <w:ind w:firstLine="720"/>
        <w:jc w:val="both"/>
        <w:rPr>
          <w:rFonts w:eastAsia="Malgun Gothic"/>
          <w:color w:val="000000"/>
          <w:kern w:val="22"/>
          <w:sz w:val="22"/>
          <w:szCs w:val="22"/>
          <w:lang w:eastAsia="x-none"/>
        </w:rPr>
      </w:pPr>
      <w:r w:rsidRPr="00653977">
        <w:rPr>
          <w:rFonts w:eastAsia="Malgun Gothic"/>
          <w:i/>
          <w:color w:val="000000"/>
          <w:kern w:val="22"/>
          <w:sz w:val="22"/>
          <w:szCs w:val="22"/>
          <w:lang w:eastAsia="x-none"/>
        </w:rPr>
        <w:t xml:space="preserve">Further recalling </w:t>
      </w:r>
      <w:r w:rsidRPr="00653977">
        <w:rPr>
          <w:rFonts w:eastAsia="Malgun Gothic"/>
          <w:color w:val="000000"/>
          <w:kern w:val="22"/>
          <w:sz w:val="22"/>
          <w:szCs w:val="22"/>
          <w:lang w:eastAsia="x-none"/>
        </w:rPr>
        <w:t>resolution 2/18</w:t>
      </w:r>
      <w:r w:rsidRPr="00653977">
        <w:rPr>
          <w:rFonts w:eastAsia="Malgun Gothic"/>
          <w:i/>
          <w:color w:val="000000"/>
          <w:kern w:val="22"/>
          <w:sz w:val="22"/>
          <w:szCs w:val="22"/>
          <w:lang w:eastAsia="x-none"/>
        </w:rPr>
        <w:t xml:space="preserve"> </w:t>
      </w:r>
      <w:r w:rsidRPr="00653977">
        <w:rPr>
          <w:rFonts w:eastAsia="Malgun Gothic"/>
          <w:color w:val="000000"/>
          <w:kern w:val="22"/>
          <w:sz w:val="22"/>
          <w:szCs w:val="22"/>
          <w:lang w:eastAsia="x-none"/>
        </w:rPr>
        <w:t>of</w:t>
      </w:r>
      <w:r w:rsidRPr="00653977">
        <w:rPr>
          <w:rFonts w:eastAsia="Malgun Gothic"/>
          <w:i/>
          <w:color w:val="000000"/>
          <w:kern w:val="22"/>
          <w:sz w:val="22"/>
          <w:szCs w:val="22"/>
          <w:lang w:eastAsia="x-none"/>
        </w:rPr>
        <w:t xml:space="preserve"> </w:t>
      </w:r>
      <w:r w:rsidRPr="00653977">
        <w:rPr>
          <w:rFonts w:eastAsia="Malgun Gothic"/>
          <w:color w:val="000000"/>
          <w:kern w:val="22"/>
          <w:sz w:val="22"/>
          <w:szCs w:val="22"/>
          <w:lang w:eastAsia="x-none"/>
        </w:rPr>
        <w:t>the United Nations Environment Assembly on the relationship between the United Nations Environment Programme and the multilateral environmental agreements for which it provides the secretariat,</w:t>
      </w:r>
    </w:p>
    <w:p w14:paraId="497D25A0" w14:textId="77777777" w:rsidR="00253427" w:rsidRPr="00653977" w:rsidRDefault="00253427" w:rsidP="00653977">
      <w:pPr>
        <w:suppressLineNumbers/>
        <w:shd w:val="clear" w:color="auto" w:fill="FFFFFF" w:themeFill="background1"/>
        <w:suppressAutoHyphens/>
        <w:spacing w:before="120" w:after="120"/>
        <w:ind w:firstLine="720"/>
        <w:jc w:val="both"/>
        <w:rPr>
          <w:rFonts w:eastAsia="Malgun Gothic"/>
          <w:iCs/>
          <w:snapToGrid w:val="0"/>
          <w:kern w:val="22"/>
          <w:sz w:val="22"/>
          <w:szCs w:val="22"/>
          <w:lang w:eastAsia="ko-KR"/>
        </w:rPr>
      </w:pPr>
      <w:r w:rsidRPr="00653977">
        <w:rPr>
          <w:kern w:val="22"/>
          <w:sz w:val="22"/>
          <w:szCs w:val="22"/>
        </w:rPr>
        <w:t>1.</w:t>
      </w:r>
      <w:r w:rsidRPr="00653977">
        <w:rPr>
          <w:rFonts w:eastAsia="Malgun Gothic"/>
          <w:snapToGrid w:val="0"/>
          <w:kern w:val="22"/>
          <w:sz w:val="22"/>
          <w:szCs w:val="22"/>
          <w:lang w:eastAsia="ko-KR"/>
        </w:rPr>
        <w:tab/>
      </w:r>
      <w:r w:rsidRPr="00653977">
        <w:rPr>
          <w:rFonts w:eastAsia="Malgun Gothic"/>
          <w:i/>
          <w:iCs/>
          <w:snapToGrid w:val="0"/>
          <w:kern w:val="22"/>
          <w:sz w:val="22"/>
          <w:szCs w:val="22"/>
          <w:lang w:eastAsia="ko-KR"/>
        </w:rPr>
        <w:t xml:space="preserve">Decides </w:t>
      </w:r>
      <w:r w:rsidRPr="00653977">
        <w:rPr>
          <w:rFonts w:eastAsia="Malgun Gothic"/>
          <w:iCs/>
          <w:snapToGrid w:val="0"/>
          <w:kern w:val="22"/>
          <w:sz w:val="22"/>
          <w:szCs w:val="22"/>
          <w:lang w:eastAsia="ko-KR"/>
        </w:rPr>
        <w:t>to adopt an integrated programme of work and budget for the Convention on Biological Diversity, the Cartagena Protocol on Biosafety and the Nagoya Protocol on Access and Benefit</w:t>
      </w:r>
      <w:r w:rsidRPr="00653977">
        <w:rPr>
          <w:rFonts w:eastAsia="Malgun Gothic"/>
          <w:iCs/>
          <w:snapToGrid w:val="0"/>
          <w:kern w:val="22"/>
          <w:sz w:val="22"/>
          <w:szCs w:val="22"/>
          <w:lang w:eastAsia="ko-KR"/>
        </w:rPr>
        <w:noBreakHyphen/>
        <w:t>sharing;</w:t>
      </w:r>
    </w:p>
    <w:p w14:paraId="61194E8E" w14:textId="77777777" w:rsidR="00253427" w:rsidRPr="00653977" w:rsidRDefault="00253427" w:rsidP="00653977">
      <w:pPr>
        <w:suppressLineNumbers/>
        <w:shd w:val="clear" w:color="auto" w:fill="FFFFFF" w:themeFill="background1"/>
        <w:suppressAutoHyphens/>
        <w:spacing w:before="120" w:after="120"/>
        <w:ind w:firstLine="720"/>
        <w:jc w:val="both"/>
        <w:rPr>
          <w:rFonts w:eastAsia="Malgun Gothic"/>
          <w:snapToGrid w:val="0"/>
          <w:kern w:val="22"/>
          <w:sz w:val="22"/>
          <w:szCs w:val="22"/>
          <w:lang w:eastAsia="x-none"/>
        </w:rPr>
      </w:pPr>
      <w:r w:rsidRPr="00653977">
        <w:rPr>
          <w:kern w:val="22"/>
          <w:sz w:val="22"/>
          <w:szCs w:val="22"/>
        </w:rPr>
        <w:t>2.</w:t>
      </w:r>
      <w:r w:rsidRPr="00653977">
        <w:rPr>
          <w:rFonts w:eastAsia="Malgun Gothic"/>
          <w:i/>
          <w:iCs/>
          <w:snapToGrid w:val="0"/>
          <w:kern w:val="22"/>
          <w:sz w:val="22"/>
          <w:szCs w:val="22"/>
          <w:lang w:eastAsia="ko-KR"/>
        </w:rPr>
        <w:tab/>
        <w:t>Also decides</w:t>
      </w:r>
      <w:r w:rsidRPr="00653977">
        <w:rPr>
          <w:rFonts w:eastAsia="Malgun Gothic"/>
          <w:iCs/>
          <w:snapToGrid w:val="0"/>
          <w:kern w:val="22"/>
          <w:sz w:val="22"/>
          <w:szCs w:val="22"/>
          <w:lang w:eastAsia="x-none"/>
        </w:rPr>
        <w:t xml:space="preserve"> to share all costs for Secretariat services among the Convention, the Cartagena Protocol and the Nagoya Protocol on a ratio of 74/15/11</w:t>
      </w:r>
      <w:r w:rsidRPr="00653977">
        <w:rPr>
          <w:iCs/>
          <w:kern w:val="22"/>
          <w:sz w:val="22"/>
          <w:szCs w:val="22"/>
          <w:lang w:eastAsia="x-none"/>
        </w:rPr>
        <w:t xml:space="preserve"> </w:t>
      </w:r>
      <w:r w:rsidRPr="00653977">
        <w:rPr>
          <w:rFonts w:eastAsia="Malgun Gothic"/>
          <w:iCs/>
          <w:snapToGrid w:val="0"/>
          <w:kern w:val="22"/>
          <w:sz w:val="22"/>
          <w:szCs w:val="22"/>
          <w:lang w:eastAsia="x-none"/>
        </w:rPr>
        <w:t>for the biennium 2019-2020;</w:t>
      </w:r>
    </w:p>
    <w:p w14:paraId="22E778DA" w14:textId="77777777" w:rsidR="00253427" w:rsidRPr="00653977" w:rsidRDefault="00253427" w:rsidP="00653977">
      <w:pPr>
        <w:suppressLineNumbers/>
        <w:shd w:val="clear" w:color="auto" w:fill="FFFFFF" w:themeFill="background1"/>
        <w:suppressAutoHyphens/>
        <w:spacing w:before="120" w:after="120"/>
        <w:ind w:firstLine="720"/>
        <w:jc w:val="both"/>
        <w:rPr>
          <w:rFonts w:eastAsia="Malgun Gothic"/>
          <w:iCs/>
          <w:snapToGrid w:val="0"/>
          <w:kern w:val="22"/>
          <w:sz w:val="22"/>
          <w:szCs w:val="22"/>
          <w:lang w:eastAsia="x-none"/>
        </w:rPr>
      </w:pPr>
      <w:r w:rsidRPr="00653977">
        <w:rPr>
          <w:rFonts w:eastAsia="Malgun Gothic"/>
          <w:iCs/>
          <w:snapToGrid w:val="0"/>
          <w:kern w:val="22"/>
          <w:sz w:val="22"/>
          <w:szCs w:val="22"/>
          <w:lang w:eastAsia="x-none"/>
        </w:rPr>
        <w:t>3.</w:t>
      </w:r>
      <w:r w:rsidRPr="00653977">
        <w:rPr>
          <w:rFonts w:eastAsia="Malgun Gothic"/>
          <w:iCs/>
          <w:snapToGrid w:val="0"/>
          <w:kern w:val="22"/>
          <w:sz w:val="22"/>
          <w:szCs w:val="22"/>
          <w:lang w:eastAsia="x-none"/>
        </w:rPr>
        <w:tab/>
      </w:r>
      <w:r w:rsidRPr="00653977">
        <w:rPr>
          <w:rFonts w:eastAsia="Malgun Gothic"/>
          <w:i/>
          <w:iCs/>
          <w:snapToGrid w:val="0"/>
          <w:kern w:val="22"/>
          <w:sz w:val="22"/>
          <w:szCs w:val="22"/>
          <w:lang w:eastAsia="x-none"/>
        </w:rPr>
        <w:t>Approves</w:t>
      </w:r>
      <w:r w:rsidRPr="00653977">
        <w:rPr>
          <w:rFonts w:eastAsia="Malgun Gothic"/>
          <w:iCs/>
          <w:snapToGrid w:val="0"/>
          <w:kern w:val="22"/>
          <w:sz w:val="22"/>
          <w:szCs w:val="22"/>
          <w:lang w:eastAsia="x-none"/>
        </w:rPr>
        <w:t xml:space="preserve"> a core (BG) programme budget for the Cartagena Protocol on Biosafety of 2,842,300</w:t>
      </w:r>
      <w:r w:rsidRPr="00653977">
        <w:rPr>
          <w:iCs/>
          <w:kern w:val="22"/>
          <w:sz w:val="22"/>
          <w:szCs w:val="22"/>
          <w:lang w:eastAsia="x-none"/>
        </w:rPr>
        <w:t xml:space="preserve"> </w:t>
      </w:r>
      <w:r w:rsidRPr="00653977">
        <w:rPr>
          <w:rFonts w:eastAsia="Malgun Gothic"/>
          <w:iCs/>
          <w:snapToGrid w:val="0"/>
          <w:kern w:val="22"/>
          <w:sz w:val="22"/>
          <w:szCs w:val="22"/>
          <w:lang w:eastAsia="x-none"/>
        </w:rPr>
        <w:t>United States dollars for the year 2019 and of 2,984,300</w:t>
      </w:r>
      <w:r w:rsidRPr="00653977">
        <w:rPr>
          <w:iCs/>
          <w:kern w:val="22"/>
          <w:sz w:val="22"/>
          <w:szCs w:val="22"/>
          <w:lang w:eastAsia="x-none"/>
        </w:rPr>
        <w:t xml:space="preserve"> </w:t>
      </w:r>
      <w:r w:rsidRPr="00653977">
        <w:rPr>
          <w:rFonts w:eastAsia="Malgun Gothic"/>
          <w:iCs/>
          <w:snapToGrid w:val="0"/>
          <w:kern w:val="22"/>
          <w:sz w:val="22"/>
          <w:szCs w:val="22"/>
          <w:lang w:eastAsia="x-none"/>
        </w:rPr>
        <w:t>United States dollars for the year 2020, representing 15</w:t>
      </w:r>
      <w:r w:rsidRPr="00653977">
        <w:rPr>
          <w:iCs/>
          <w:kern w:val="22"/>
          <w:sz w:val="22"/>
          <w:szCs w:val="22"/>
          <w:lang w:eastAsia="x-none"/>
        </w:rPr>
        <w:t xml:space="preserve"> </w:t>
      </w:r>
      <w:r w:rsidRPr="00653977">
        <w:rPr>
          <w:kern w:val="22"/>
          <w:sz w:val="22"/>
          <w:szCs w:val="22"/>
        </w:rPr>
        <w:t>per cent</w:t>
      </w:r>
      <w:r w:rsidRPr="00653977">
        <w:rPr>
          <w:rFonts w:eastAsia="Malgun Gothic"/>
          <w:iCs/>
          <w:snapToGrid w:val="0"/>
          <w:kern w:val="22"/>
          <w:sz w:val="22"/>
          <w:szCs w:val="22"/>
          <w:lang w:eastAsia="x-none"/>
        </w:rPr>
        <w:t xml:space="preserve"> of the integrated budget of 18,949,900</w:t>
      </w:r>
      <w:r w:rsidRPr="00653977">
        <w:rPr>
          <w:iCs/>
          <w:kern w:val="22"/>
          <w:sz w:val="22"/>
          <w:szCs w:val="22"/>
          <w:lang w:eastAsia="x-none"/>
        </w:rPr>
        <w:t xml:space="preserve"> </w:t>
      </w:r>
      <w:r w:rsidRPr="00653977">
        <w:rPr>
          <w:rFonts w:eastAsia="Malgun Gothic"/>
          <w:iCs/>
          <w:snapToGrid w:val="0"/>
          <w:kern w:val="22"/>
          <w:sz w:val="22"/>
          <w:szCs w:val="22"/>
          <w:lang w:eastAsia="x-none"/>
        </w:rPr>
        <w:t>United States dollars</w:t>
      </w:r>
      <w:r w:rsidRPr="00653977" w:rsidDel="0064537B">
        <w:rPr>
          <w:rFonts w:eastAsia="Malgun Gothic"/>
          <w:iCs/>
          <w:snapToGrid w:val="0"/>
          <w:kern w:val="22"/>
          <w:sz w:val="22"/>
          <w:szCs w:val="22"/>
          <w:lang w:eastAsia="x-none"/>
        </w:rPr>
        <w:t xml:space="preserve"> </w:t>
      </w:r>
      <w:r w:rsidRPr="00653977">
        <w:rPr>
          <w:rFonts w:eastAsia="Malgun Gothic"/>
          <w:iCs/>
          <w:snapToGrid w:val="0"/>
          <w:kern w:val="22"/>
          <w:sz w:val="22"/>
          <w:szCs w:val="22"/>
          <w:lang w:eastAsia="x-none"/>
        </w:rPr>
        <w:t>for the year 2019 and 19,895,200</w:t>
      </w:r>
      <w:r w:rsidRPr="00653977">
        <w:rPr>
          <w:iCs/>
          <w:kern w:val="22"/>
          <w:sz w:val="22"/>
          <w:szCs w:val="22"/>
          <w:lang w:eastAsia="x-none"/>
        </w:rPr>
        <w:t xml:space="preserve"> </w:t>
      </w:r>
      <w:r w:rsidRPr="00653977">
        <w:rPr>
          <w:rFonts w:eastAsia="Malgun Gothic"/>
          <w:iCs/>
          <w:snapToGrid w:val="0"/>
          <w:kern w:val="22"/>
          <w:sz w:val="22"/>
          <w:szCs w:val="22"/>
          <w:lang w:eastAsia="x-none"/>
        </w:rPr>
        <w:t>United States dollars</w:t>
      </w:r>
      <w:r w:rsidRPr="00653977" w:rsidDel="0064537B">
        <w:rPr>
          <w:rFonts w:eastAsia="Malgun Gothic"/>
          <w:iCs/>
          <w:snapToGrid w:val="0"/>
          <w:kern w:val="22"/>
          <w:sz w:val="22"/>
          <w:szCs w:val="22"/>
          <w:lang w:eastAsia="x-none"/>
        </w:rPr>
        <w:t xml:space="preserve"> </w:t>
      </w:r>
      <w:r w:rsidRPr="00653977">
        <w:rPr>
          <w:rFonts w:eastAsia="Malgun Gothic"/>
          <w:iCs/>
          <w:snapToGrid w:val="0"/>
          <w:kern w:val="22"/>
          <w:sz w:val="22"/>
          <w:szCs w:val="22"/>
          <w:lang w:eastAsia="x-none"/>
        </w:rPr>
        <w:t>for the year 2020 for the Convention and the Protocols, for the purposes listed in the tables 1a and 1b below;</w:t>
      </w:r>
    </w:p>
    <w:p w14:paraId="2513FFD0" w14:textId="77777777" w:rsidR="00253427" w:rsidRPr="00653977" w:rsidRDefault="00253427" w:rsidP="00653977">
      <w:pPr>
        <w:suppressLineNumbers/>
        <w:shd w:val="clear" w:color="auto" w:fill="FFFFFF" w:themeFill="background1"/>
        <w:suppressAutoHyphens/>
        <w:spacing w:before="120" w:after="120"/>
        <w:ind w:firstLine="720"/>
        <w:jc w:val="both"/>
        <w:rPr>
          <w:rFonts w:eastAsia="Malgun Gothic"/>
          <w:i/>
          <w:iCs/>
          <w:snapToGrid w:val="0"/>
          <w:kern w:val="22"/>
          <w:sz w:val="22"/>
          <w:szCs w:val="22"/>
          <w:lang w:eastAsia="x-none"/>
        </w:rPr>
      </w:pPr>
      <w:r w:rsidRPr="00653977">
        <w:rPr>
          <w:rFonts w:eastAsia="Malgun Gothic"/>
          <w:iCs/>
          <w:snapToGrid w:val="0"/>
          <w:kern w:val="22"/>
          <w:sz w:val="22"/>
          <w:szCs w:val="22"/>
          <w:lang w:eastAsia="x-none"/>
        </w:rPr>
        <w:t>4.</w:t>
      </w:r>
      <w:r w:rsidRPr="00653977">
        <w:rPr>
          <w:rFonts w:eastAsia="Malgun Gothic"/>
          <w:iCs/>
          <w:snapToGrid w:val="0"/>
          <w:kern w:val="22"/>
          <w:sz w:val="22"/>
          <w:szCs w:val="22"/>
          <w:lang w:eastAsia="x-none"/>
        </w:rPr>
        <w:tab/>
      </w:r>
      <w:r w:rsidRPr="00653977">
        <w:rPr>
          <w:rFonts w:eastAsia="Malgun Gothic"/>
          <w:i/>
          <w:iCs/>
          <w:snapToGrid w:val="0"/>
          <w:kern w:val="22"/>
          <w:sz w:val="22"/>
          <w:szCs w:val="22"/>
          <w:lang w:eastAsia="x-none"/>
        </w:rPr>
        <w:t>Adopts</w:t>
      </w:r>
      <w:r w:rsidRPr="00653977">
        <w:rPr>
          <w:rFonts w:eastAsia="Malgun Gothic"/>
          <w:iCs/>
          <w:snapToGrid w:val="0"/>
          <w:kern w:val="22"/>
          <w:sz w:val="22"/>
          <w:szCs w:val="22"/>
          <w:lang w:eastAsia="x-none"/>
        </w:rPr>
        <w:t xml:space="preserve"> the scale of assessments for the apportionment of expenses for 2019 and 2020 as contained in table 2 below;</w:t>
      </w:r>
      <w:r w:rsidRPr="00653977">
        <w:rPr>
          <w:rStyle w:val="FootnoteReference"/>
          <w:snapToGrid w:val="0"/>
          <w:kern w:val="22"/>
          <w:sz w:val="22"/>
          <w:szCs w:val="22"/>
          <w:u w:val="none"/>
          <w:vertAlign w:val="superscript"/>
        </w:rPr>
        <w:footnoteReference w:id="24"/>
      </w:r>
    </w:p>
    <w:p w14:paraId="0B49A662" w14:textId="77777777" w:rsidR="00253427" w:rsidRPr="00653977" w:rsidRDefault="00253427" w:rsidP="00653977">
      <w:pPr>
        <w:suppressLineNumbers/>
        <w:shd w:val="clear" w:color="auto" w:fill="FFFFFF" w:themeFill="background1"/>
        <w:suppressAutoHyphens/>
        <w:spacing w:before="120" w:after="120"/>
        <w:ind w:firstLine="720"/>
        <w:jc w:val="both"/>
        <w:rPr>
          <w:rFonts w:eastAsia="Malgun Gothic"/>
          <w:iCs/>
          <w:snapToGrid w:val="0"/>
          <w:kern w:val="22"/>
          <w:sz w:val="22"/>
          <w:szCs w:val="22"/>
          <w:lang w:eastAsia="x-none"/>
        </w:rPr>
      </w:pPr>
      <w:r w:rsidRPr="00653977">
        <w:rPr>
          <w:rFonts w:eastAsia="Malgun Gothic"/>
          <w:iCs/>
          <w:snapToGrid w:val="0"/>
          <w:kern w:val="22"/>
          <w:sz w:val="22"/>
          <w:szCs w:val="22"/>
          <w:lang w:eastAsia="x-none"/>
        </w:rPr>
        <w:t>5.</w:t>
      </w:r>
      <w:r w:rsidRPr="00653977">
        <w:rPr>
          <w:rFonts w:eastAsia="Malgun Gothic"/>
          <w:iCs/>
          <w:snapToGrid w:val="0"/>
          <w:kern w:val="22"/>
          <w:sz w:val="22"/>
          <w:szCs w:val="22"/>
          <w:lang w:eastAsia="x-none"/>
        </w:rPr>
        <w:tab/>
      </w:r>
      <w:r w:rsidRPr="00653977">
        <w:rPr>
          <w:rFonts w:eastAsia="Malgun Gothic"/>
          <w:i/>
          <w:iCs/>
          <w:kern w:val="22"/>
          <w:sz w:val="22"/>
          <w:szCs w:val="22"/>
          <w:lang w:eastAsia="x-none"/>
        </w:rPr>
        <w:t>Acknowledges</w:t>
      </w:r>
      <w:r w:rsidRPr="00653977">
        <w:rPr>
          <w:rFonts w:eastAsia="Malgun Gothic"/>
          <w:iCs/>
          <w:kern w:val="22"/>
          <w:sz w:val="22"/>
          <w:szCs w:val="22"/>
          <w:lang w:eastAsia="x-none"/>
        </w:rPr>
        <w:t xml:space="preserve"> the funding estimates for </w:t>
      </w:r>
      <w:r w:rsidRPr="00653977">
        <w:rPr>
          <w:rFonts w:eastAsia="Malgun Gothic"/>
          <w:iCs/>
          <w:snapToGrid w:val="0"/>
          <w:kern w:val="22"/>
          <w:sz w:val="22"/>
          <w:szCs w:val="22"/>
          <w:lang w:eastAsia="x-none"/>
        </w:rPr>
        <w:t xml:space="preserve">the Additional Voluntary Contributions in Support of Approved Activities of the Cartagena Protocol </w:t>
      </w:r>
      <w:r w:rsidRPr="00653977">
        <w:rPr>
          <w:rFonts w:eastAsia="Malgun Gothic"/>
          <w:iCs/>
          <w:kern w:val="22"/>
          <w:sz w:val="22"/>
          <w:szCs w:val="22"/>
          <w:lang w:eastAsia="x-none"/>
        </w:rPr>
        <w:t xml:space="preserve">for the period 2019-2020 included in </w:t>
      </w:r>
      <w:r w:rsidRPr="00653977">
        <w:rPr>
          <w:iCs/>
          <w:kern w:val="22"/>
          <w:sz w:val="22"/>
          <w:szCs w:val="22"/>
          <w:lang w:eastAsia="x-none"/>
        </w:rPr>
        <w:t>table 3 of decision 14/37 of the Conference of the Parties</w:t>
      </w:r>
      <w:r w:rsidRPr="00653977">
        <w:rPr>
          <w:rFonts w:eastAsia="Malgun Gothic"/>
          <w:iCs/>
          <w:kern w:val="22"/>
          <w:sz w:val="22"/>
          <w:szCs w:val="22"/>
          <w:lang w:eastAsia="x-none"/>
        </w:rPr>
        <w:t>;</w:t>
      </w:r>
    </w:p>
    <w:p w14:paraId="2380AC95" w14:textId="77777777" w:rsidR="00253427" w:rsidRPr="00653977" w:rsidRDefault="00253427" w:rsidP="00653977">
      <w:pPr>
        <w:suppressLineNumbers/>
        <w:shd w:val="clear" w:color="auto" w:fill="FFFFFF" w:themeFill="background1"/>
        <w:suppressAutoHyphens/>
        <w:spacing w:before="120" w:after="120"/>
        <w:ind w:firstLine="720"/>
        <w:jc w:val="both"/>
        <w:rPr>
          <w:rFonts w:eastAsia="Malgun Gothic"/>
          <w:iCs/>
          <w:snapToGrid w:val="0"/>
          <w:kern w:val="22"/>
          <w:sz w:val="22"/>
          <w:szCs w:val="22"/>
          <w:lang w:eastAsia="x-none"/>
        </w:rPr>
      </w:pPr>
      <w:r w:rsidRPr="00653977">
        <w:rPr>
          <w:rFonts w:eastAsia="Malgun Gothic"/>
          <w:iCs/>
          <w:snapToGrid w:val="0"/>
          <w:kern w:val="22"/>
          <w:sz w:val="22"/>
          <w:szCs w:val="22"/>
          <w:lang w:eastAsia="x-none"/>
        </w:rPr>
        <w:t>6.</w:t>
      </w:r>
      <w:r w:rsidRPr="00653977">
        <w:rPr>
          <w:rFonts w:eastAsia="Malgun Gothic"/>
          <w:iCs/>
          <w:snapToGrid w:val="0"/>
          <w:kern w:val="22"/>
          <w:sz w:val="22"/>
          <w:szCs w:val="22"/>
          <w:lang w:eastAsia="x-none"/>
        </w:rPr>
        <w:tab/>
      </w:r>
      <w:r w:rsidRPr="00653977">
        <w:rPr>
          <w:rFonts w:eastAsia="Malgun Gothic"/>
          <w:i/>
          <w:iCs/>
          <w:snapToGrid w:val="0"/>
          <w:kern w:val="22"/>
          <w:sz w:val="22"/>
          <w:szCs w:val="22"/>
          <w:lang w:eastAsia="x-none"/>
        </w:rPr>
        <w:t>Decides</w:t>
      </w:r>
      <w:r w:rsidRPr="00653977">
        <w:rPr>
          <w:rFonts w:eastAsia="Malgun Gothic"/>
          <w:iCs/>
          <w:snapToGrid w:val="0"/>
          <w:kern w:val="22"/>
          <w:sz w:val="22"/>
          <w:szCs w:val="22"/>
          <w:lang w:eastAsia="x-none"/>
        </w:rPr>
        <w:t xml:space="preserve"> to apply, </w:t>
      </w:r>
      <w:r w:rsidRPr="00653977">
        <w:rPr>
          <w:kern w:val="22"/>
          <w:sz w:val="22"/>
          <w:szCs w:val="22"/>
        </w:rPr>
        <w:t>mutatis mutandis</w:t>
      </w:r>
      <w:r w:rsidRPr="00653977">
        <w:rPr>
          <w:rFonts w:eastAsia="Malgun Gothic"/>
          <w:snapToGrid w:val="0"/>
          <w:kern w:val="22"/>
          <w:sz w:val="22"/>
          <w:szCs w:val="22"/>
          <w:lang w:eastAsia="x-none"/>
        </w:rPr>
        <w:t>,</w:t>
      </w:r>
      <w:r w:rsidRPr="00653977">
        <w:rPr>
          <w:rFonts w:eastAsia="Malgun Gothic"/>
          <w:iCs/>
          <w:snapToGrid w:val="0"/>
          <w:kern w:val="22"/>
          <w:sz w:val="22"/>
          <w:szCs w:val="22"/>
          <w:lang w:eastAsia="x-none"/>
        </w:rPr>
        <w:t xml:space="preserve"> paragraphs 3 to 5 </w:t>
      </w:r>
      <w:r w:rsidRPr="00653977">
        <w:rPr>
          <w:rFonts w:eastAsia="Malgun Gothic"/>
          <w:iCs/>
          <w:kern w:val="22"/>
          <w:sz w:val="22"/>
          <w:szCs w:val="22"/>
          <w:lang w:eastAsia="x-none"/>
        </w:rPr>
        <w:t>and 7 to 50</w:t>
      </w:r>
      <w:r w:rsidRPr="00653977">
        <w:rPr>
          <w:iCs/>
          <w:kern w:val="22"/>
          <w:sz w:val="22"/>
          <w:szCs w:val="22"/>
          <w:lang w:eastAsia="x-none"/>
        </w:rPr>
        <w:t xml:space="preserve"> </w:t>
      </w:r>
      <w:r w:rsidRPr="00653977">
        <w:rPr>
          <w:rFonts w:eastAsia="Malgun Gothic"/>
          <w:iCs/>
          <w:snapToGrid w:val="0"/>
          <w:kern w:val="22"/>
          <w:sz w:val="22"/>
          <w:szCs w:val="22"/>
          <w:lang w:eastAsia="x-none"/>
        </w:rPr>
        <w:t>of decision 14/37 of the Conference of the Parties.</w:t>
      </w:r>
    </w:p>
    <w:p w14:paraId="1A69A5B3" w14:textId="77777777" w:rsidR="00253427" w:rsidRPr="003075B3" w:rsidRDefault="00253427" w:rsidP="00253427">
      <w:pPr>
        <w:suppressLineNumbers/>
        <w:suppressAutoHyphens/>
        <w:rPr>
          <w:kern w:val="22"/>
        </w:rPr>
      </w:pPr>
      <w:r w:rsidRPr="003075B3">
        <w:rPr>
          <w:kern w:val="22"/>
        </w:rPr>
        <w:br w:type="page"/>
      </w:r>
    </w:p>
    <w:p w14:paraId="62068823" w14:textId="77777777" w:rsidR="00253427" w:rsidRPr="00237524" w:rsidRDefault="00253427" w:rsidP="00253427">
      <w:pPr>
        <w:keepNext/>
        <w:suppressLineNumbers/>
        <w:suppressAutoHyphens/>
        <w:spacing w:before="120" w:after="120"/>
        <w:ind w:left="990" w:hanging="990"/>
        <w:rPr>
          <w:rFonts w:eastAsia="Malgun Gothic"/>
          <w:b/>
          <w:bCs/>
          <w:iCs/>
          <w:snapToGrid w:val="0"/>
          <w:kern w:val="22"/>
          <w:sz w:val="22"/>
          <w:szCs w:val="22"/>
          <w:lang w:eastAsia="x-none"/>
        </w:rPr>
      </w:pPr>
      <w:r w:rsidRPr="00237524">
        <w:rPr>
          <w:rFonts w:eastAsia="Malgun Gothic"/>
          <w:b/>
          <w:bCs/>
          <w:iCs/>
          <w:snapToGrid w:val="0"/>
          <w:kern w:val="22"/>
          <w:sz w:val="22"/>
          <w:szCs w:val="22"/>
          <w:lang w:eastAsia="x-none"/>
        </w:rPr>
        <w:lastRenderedPageBreak/>
        <w:t>Table 1a.</w:t>
      </w:r>
      <w:r w:rsidRPr="00237524">
        <w:rPr>
          <w:rFonts w:eastAsia="Malgun Gothic"/>
          <w:b/>
          <w:bCs/>
          <w:iCs/>
          <w:snapToGrid w:val="0"/>
          <w:kern w:val="22"/>
          <w:sz w:val="22"/>
          <w:szCs w:val="22"/>
          <w:lang w:eastAsia="x-none"/>
        </w:rPr>
        <w:tab/>
        <w:t>Integrated biennium budget for the Trust Funds of the Convention on Biological Diversity and its Protocols 2019-2020</w:t>
      </w:r>
    </w:p>
    <w:p w14:paraId="2FA184D3" w14:textId="77777777" w:rsidR="00253427" w:rsidRPr="003075B3" w:rsidRDefault="00253427" w:rsidP="00253427">
      <w:pPr>
        <w:suppressLineNumbers/>
        <w:suppressAutoHyphens/>
        <w:rPr>
          <w:kern w:val="22"/>
        </w:rPr>
      </w:pPr>
    </w:p>
    <w:tbl>
      <w:tblPr>
        <w:tblW w:w="9120" w:type="dxa"/>
        <w:tblInd w:w="93" w:type="dxa"/>
        <w:tblLook w:val="04A0" w:firstRow="1" w:lastRow="0" w:firstColumn="1" w:lastColumn="0" w:noHBand="0" w:noVBand="1"/>
      </w:tblPr>
      <w:tblGrid>
        <w:gridCol w:w="4520"/>
        <w:gridCol w:w="1360"/>
        <w:gridCol w:w="1600"/>
        <w:gridCol w:w="1640"/>
      </w:tblGrid>
      <w:tr w:rsidR="00253427" w:rsidRPr="003075B3" w14:paraId="1D912623" w14:textId="77777777" w:rsidTr="00EF0503">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14:paraId="627171E2" w14:textId="77777777" w:rsidR="00253427" w:rsidRPr="003075B3" w:rsidRDefault="00253427" w:rsidP="00EF0503">
            <w:pPr>
              <w:suppressLineNumbers/>
              <w:suppressAutoHyphens/>
              <w:rPr>
                <w:i/>
                <w:iCs/>
                <w:color w:val="000000"/>
                <w:kern w:val="22"/>
                <w:sz w:val="15"/>
                <w:szCs w:val="15"/>
                <w:lang w:eastAsia="en-CA"/>
              </w:rPr>
            </w:pP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352AE623" w14:textId="77777777" w:rsidR="00253427" w:rsidRPr="003075B3" w:rsidRDefault="00253427" w:rsidP="00EF0503">
            <w:pPr>
              <w:suppressLineNumbers/>
              <w:suppressAutoHyphens/>
              <w:jc w:val="center"/>
              <w:rPr>
                <w:i/>
                <w:iCs/>
                <w:color w:val="000000"/>
                <w:kern w:val="22"/>
                <w:sz w:val="15"/>
                <w:szCs w:val="15"/>
                <w:lang w:eastAsia="en-CA"/>
              </w:rPr>
            </w:pPr>
            <w:r w:rsidRPr="003075B3">
              <w:rPr>
                <w:i/>
                <w:iCs/>
                <w:color w:val="000000"/>
                <w:kern w:val="22"/>
                <w:sz w:val="15"/>
                <w:szCs w:val="15"/>
                <w:lang w:eastAsia="en-CA"/>
              </w:rPr>
              <w:t>2019</w:t>
            </w:r>
            <w:r w:rsidRPr="003075B3">
              <w:rPr>
                <w:i/>
                <w:iCs/>
                <w:color w:val="000000"/>
                <w:kern w:val="22"/>
                <w:sz w:val="15"/>
                <w:szCs w:val="15"/>
                <w:lang w:eastAsia="en-CA"/>
              </w:rPr>
              <w:br/>
              <w:t>(Thousands of United States dollars)</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49CB89EE" w14:textId="77777777" w:rsidR="00253427" w:rsidRPr="003075B3" w:rsidRDefault="00253427" w:rsidP="00EF0503">
            <w:pPr>
              <w:suppressLineNumbers/>
              <w:suppressAutoHyphens/>
              <w:jc w:val="center"/>
              <w:rPr>
                <w:i/>
                <w:iCs/>
                <w:color w:val="000000"/>
                <w:kern w:val="22"/>
                <w:sz w:val="15"/>
                <w:szCs w:val="15"/>
                <w:lang w:eastAsia="en-CA"/>
              </w:rPr>
            </w:pPr>
            <w:r w:rsidRPr="003075B3">
              <w:rPr>
                <w:i/>
                <w:iCs/>
                <w:color w:val="000000"/>
                <w:kern w:val="22"/>
                <w:sz w:val="15"/>
                <w:szCs w:val="15"/>
                <w:lang w:eastAsia="en-CA"/>
              </w:rPr>
              <w:t>2020</w:t>
            </w:r>
            <w:r w:rsidRPr="003075B3">
              <w:rPr>
                <w:i/>
                <w:iCs/>
                <w:color w:val="000000"/>
                <w:kern w:val="22"/>
                <w:sz w:val="15"/>
                <w:szCs w:val="15"/>
                <w:lang w:eastAsia="en-CA"/>
              </w:rPr>
              <w:br/>
              <w:t>(Thousands of United States dollars)</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207758AA" w14:textId="77777777" w:rsidR="00253427" w:rsidRPr="003075B3" w:rsidRDefault="00253427" w:rsidP="00EF0503">
            <w:pPr>
              <w:suppressLineNumbers/>
              <w:suppressAutoHyphens/>
              <w:jc w:val="center"/>
              <w:rPr>
                <w:i/>
                <w:iCs/>
                <w:color w:val="000000"/>
                <w:kern w:val="22"/>
                <w:sz w:val="15"/>
                <w:szCs w:val="15"/>
                <w:lang w:eastAsia="en-CA"/>
              </w:rPr>
            </w:pPr>
            <w:r w:rsidRPr="003075B3">
              <w:rPr>
                <w:i/>
                <w:iCs/>
                <w:color w:val="000000"/>
                <w:kern w:val="22"/>
                <w:sz w:val="15"/>
                <w:szCs w:val="15"/>
                <w:lang w:eastAsia="en-CA"/>
              </w:rPr>
              <w:t>Total</w:t>
            </w:r>
            <w:r w:rsidRPr="003075B3">
              <w:rPr>
                <w:i/>
                <w:iCs/>
                <w:color w:val="000000"/>
                <w:kern w:val="22"/>
                <w:sz w:val="15"/>
                <w:szCs w:val="15"/>
                <w:lang w:eastAsia="en-CA"/>
              </w:rPr>
              <w:br/>
              <w:t>(Thousands of United States dollars)</w:t>
            </w:r>
          </w:p>
        </w:tc>
      </w:tr>
      <w:tr w:rsidR="00253427" w:rsidRPr="003075B3" w14:paraId="43A6A081" w14:textId="77777777" w:rsidTr="00EF0503">
        <w:trPr>
          <w:trHeight w:val="288"/>
        </w:trPr>
        <w:tc>
          <w:tcPr>
            <w:tcW w:w="4520" w:type="dxa"/>
            <w:vMerge/>
            <w:tcBorders>
              <w:top w:val="single" w:sz="8" w:space="0" w:color="auto"/>
              <w:left w:val="nil"/>
              <w:bottom w:val="single" w:sz="12" w:space="0" w:color="000000"/>
              <w:right w:val="nil"/>
            </w:tcBorders>
            <w:vAlign w:val="center"/>
            <w:hideMark/>
          </w:tcPr>
          <w:p w14:paraId="6470BEEA" w14:textId="77777777" w:rsidR="00253427" w:rsidRPr="003075B3" w:rsidRDefault="00253427" w:rsidP="00EF0503">
            <w:pPr>
              <w:suppressLineNumbers/>
              <w:suppressAutoHyphens/>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54590BAC" w14:textId="77777777" w:rsidR="00253427" w:rsidRPr="003075B3" w:rsidRDefault="00253427" w:rsidP="00EF0503">
            <w:pPr>
              <w:suppressLineNumbers/>
              <w:suppressAutoHyphens/>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77219834" w14:textId="77777777" w:rsidR="00253427" w:rsidRPr="003075B3" w:rsidRDefault="00253427" w:rsidP="00EF0503">
            <w:pPr>
              <w:suppressLineNumbers/>
              <w:suppressAutoHyphens/>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5ED8F11C" w14:textId="77777777" w:rsidR="00253427" w:rsidRPr="003075B3" w:rsidRDefault="00253427" w:rsidP="00EF0503">
            <w:pPr>
              <w:suppressLineNumbers/>
              <w:suppressAutoHyphens/>
              <w:rPr>
                <w:i/>
                <w:iCs/>
                <w:color w:val="000000"/>
                <w:kern w:val="22"/>
                <w:sz w:val="15"/>
                <w:szCs w:val="15"/>
                <w:lang w:eastAsia="en-CA"/>
              </w:rPr>
            </w:pPr>
          </w:p>
        </w:tc>
      </w:tr>
      <w:tr w:rsidR="00253427" w:rsidRPr="003075B3" w14:paraId="61F1F36D" w14:textId="77777777" w:rsidTr="00EF0503">
        <w:trPr>
          <w:trHeight w:val="300"/>
        </w:trPr>
        <w:tc>
          <w:tcPr>
            <w:tcW w:w="4520" w:type="dxa"/>
            <w:vMerge/>
            <w:tcBorders>
              <w:top w:val="single" w:sz="8" w:space="0" w:color="auto"/>
              <w:left w:val="nil"/>
              <w:bottom w:val="single" w:sz="12" w:space="0" w:color="000000"/>
              <w:right w:val="nil"/>
            </w:tcBorders>
            <w:vAlign w:val="center"/>
            <w:hideMark/>
          </w:tcPr>
          <w:p w14:paraId="6A684CD4" w14:textId="77777777" w:rsidR="00253427" w:rsidRPr="003075B3" w:rsidRDefault="00253427" w:rsidP="00EF0503">
            <w:pPr>
              <w:suppressLineNumbers/>
              <w:suppressAutoHyphens/>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3E58444C" w14:textId="77777777" w:rsidR="00253427" w:rsidRPr="003075B3" w:rsidRDefault="00253427" w:rsidP="00EF0503">
            <w:pPr>
              <w:suppressLineNumbers/>
              <w:suppressAutoHyphens/>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5B40E4EF" w14:textId="77777777" w:rsidR="00253427" w:rsidRPr="003075B3" w:rsidRDefault="00253427" w:rsidP="00EF0503">
            <w:pPr>
              <w:suppressLineNumbers/>
              <w:suppressAutoHyphens/>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639B900B" w14:textId="77777777" w:rsidR="00253427" w:rsidRPr="003075B3" w:rsidRDefault="00253427" w:rsidP="00EF0503">
            <w:pPr>
              <w:suppressLineNumbers/>
              <w:suppressAutoHyphens/>
              <w:rPr>
                <w:i/>
                <w:iCs/>
                <w:color w:val="000000"/>
                <w:kern w:val="22"/>
                <w:sz w:val="15"/>
                <w:szCs w:val="15"/>
                <w:lang w:eastAsia="en-CA"/>
              </w:rPr>
            </w:pPr>
          </w:p>
        </w:tc>
      </w:tr>
      <w:tr w:rsidR="00253427" w:rsidRPr="003075B3" w14:paraId="0E0CAAAF" w14:textId="77777777" w:rsidTr="00EF0503">
        <w:trPr>
          <w:trHeight w:val="300"/>
        </w:trPr>
        <w:tc>
          <w:tcPr>
            <w:tcW w:w="4520" w:type="dxa"/>
            <w:tcBorders>
              <w:top w:val="nil"/>
              <w:left w:val="nil"/>
              <w:bottom w:val="nil"/>
              <w:right w:val="nil"/>
            </w:tcBorders>
            <w:shd w:val="clear" w:color="auto" w:fill="auto"/>
            <w:vAlign w:val="center"/>
            <w:hideMark/>
          </w:tcPr>
          <w:p w14:paraId="1A1478FD" w14:textId="77777777" w:rsidR="00253427" w:rsidRPr="003075B3" w:rsidRDefault="00253427" w:rsidP="00EF0503">
            <w:pPr>
              <w:suppressLineNumbers/>
              <w:suppressAutoHyphens/>
              <w:rPr>
                <w:color w:val="000000"/>
                <w:kern w:val="22"/>
                <w:sz w:val="17"/>
                <w:szCs w:val="17"/>
                <w:lang w:eastAsia="en-CA"/>
              </w:rPr>
            </w:pPr>
          </w:p>
        </w:tc>
        <w:tc>
          <w:tcPr>
            <w:tcW w:w="1360" w:type="dxa"/>
            <w:tcBorders>
              <w:top w:val="nil"/>
              <w:left w:val="nil"/>
              <w:bottom w:val="nil"/>
              <w:right w:val="nil"/>
            </w:tcBorders>
            <w:shd w:val="clear" w:color="auto" w:fill="auto"/>
            <w:vAlign w:val="center"/>
            <w:hideMark/>
          </w:tcPr>
          <w:p w14:paraId="1E7233F7" w14:textId="77777777" w:rsidR="00253427" w:rsidRPr="003075B3" w:rsidRDefault="00253427" w:rsidP="00EF0503">
            <w:pPr>
              <w:suppressLineNumbers/>
              <w:suppressAutoHyphens/>
              <w:rPr>
                <w:color w:val="000000"/>
                <w:kern w:val="22"/>
                <w:sz w:val="17"/>
                <w:szCs w:val="17"/>
                <w:lang w:eastAsia="en-CA"/>
              </w:rPr>
            </w:pPr>
          </w:p>
        </w:tc>
        <w:tc>
          <w:tcPr>
            <w:tcW w:w="1600" w:type="dxa"/>
            <w:tcBorders>
              <w:top w:val="nil"/>
              <w:left w:val="nil"/>
              <w:bottom w:val="nil"/>
              <w:right w:val="nil"/>
            </w:tcBorders>
            <w:shd w:val="clear" w:color="auto" w:fill="auto"/>
            <w:vAlign w:val="center"/>
            <w:hideMark/>
          </w:tcPr>
          <w:p w14:paraId="1E404B19" w14:textId="77777777" w:rsidR="00253427" w:rsidRPr="003075B3" w:rsidRDefault="00253427" w:rsidP="00EF0503">
            <w:pPr>
              <w:suppressLineNumbers/>
              <w:suppressAutoHyphens/>
              <w:jc w:val="right"/>
              <w:rPr>
                <w:color w:val="000000"/>
                <w:kern w:val="22"/>
                <w:sz w:val="17"/>
                <w:szCs w:val="17"/>
                <w:lang w:eastAsia="en-CA"/>
              </w:rPr>
            </w:pPr>
          </w:p>
        </w:tc>
        <w:tc>
          <w:tcPr>
            <w:tcW w:w="1640" w:type="dxa"/>
            <w:tcBorders>
              <w:top w:val="nil"/>
              <w:left w:val="nil"/>
              <w:bottom w:val="nil"/>
              <w:right w:val="nil"/>
            </w:tcBorders>
            <w:shd w:val="clear" w:color="auto" w:fill="auto"/>
            <w:vAlign w:val="center"/>
            <w:hideMark/>
          </w:tcPr>
          <w:p w14:paraId="238DB2AF" w14:textId="77777777" w:rsidR="00253427" w:rsidRPr="003075B3" w:rsidRDefault="00253427" w:rsidP="00EF0503">
            <w:pPr>
              <w:suppressLineNumbers/>
              <w:suppressAutoHyphens/>
              <w:jc w:val="right"/>
              <w:rPr>
                <w:color w:val="000000"/>
                <w:kern w:val="22"/>
                <w:sz w:val="17"/>
                <w:szCs w:val="17"/>
                <w:lang w:eastAsia="en-CA"/>
              </w:rPr>
            </w:pPr>
          </w:p>
        </w:tc>
      </w:tr>
      <w:tr w:rsidR="00253427" w:rsidRPr="003075B3" w14:paraId="2E759158" w14:textId="77777777" w:rsidTr="00EF0503">
        <w:trPr>
          <w:trHeight w:val="288"/>
        </w:trPr>
        <w:tc>
          <w:tcPr>
            <w:tcW w:w="4520" w:type="dxa"/>
            <w:tcBorders>
              <w:top w:val="nil"/>
              <w:left w:val="nil"/>
              <w:bottom w:val="nil"/>
              <w:right w:val="nil"/>
            </w:tcBorders>
            <w:shd w:val="clear" w:color="auto" w:fill="auto"/>
            <w:hideMark/>
          </w:tcPr>
          <w:p w14:paraId="16FCBD84"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A. Governing and subsidiary bodies</w:t>
            </w:r>
          </w:p>
        </w:tc>
        <w:tc>
          <w:tcPr>
            <w:tcW w:w="1360" w:type="dxa"/>
            <w:tcBorders>
              <w:top w:val="nil"/>
              <w:left w:val="nil"/>
              <w:bottom w:val="nil"/>
              <w:right w:val="nil"/>
            </w:tcBorders>
            <w:shd w:val="clear" w:color="auto" w:fill="auto"/>
            <w:hideMark/>
          </w:tcPr>
          <w:p w14:paraId="78FF1E6E"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1 889.0</w:t>
            </w:r>
          </w:p>
        </w:tc>
        <w:tc>
          <w:tcPr>
            <w:tcW w:w="1600" w:type="dxa"/>
            <w:tcBorders>
              <w:top w:val="nil"/>
              <w:left w:val="nil"/>
              <w:bottom w:val="nil"/>
              <w:right w:val="nil"/>
            </w:tcBorders>
            <w:shd w:val="clear" w:color="auto" w:fill="auto"/>
            <w:hideMark/>
          </w:tcPr>
          <w:p w14:paraId="6E3F6BFA"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2 484.0</w:t>
            </w:r>
          </w:p>
        </w:tc>
        <w:tc>
          <w:tcPr>
            <w:tcW w:w="1640" w:type="dxa"/>
            <w:tcBorders>
              <w:top w:val="nil"/>
              <w:left w:val="nil"/>
              <w:bottom w:val="nil"/>
              <w:right w:val="nil"/>
            </w:tcBorders>
            <w:shd w:val="clear" w:color="auto" w:fill="auto"/>
            <w:hideMark/>
          </w:tcPr>
          <w:p w14:paraId="121E4624"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4 373.0</w:t>
            </w:r>
          </w:p>
        </w:tc>
      </w:tr>
      <w:tr w:rsidR="00253427" w:rsidRPr="003075B3" w14:paraId="5949DAE2" w14:textId="77777777" w:rsidTr="00EF0503">
        <w:trPr>
          <w:trHeight w:val="288"/>
        </w:trPr>
        <w:tc>
          <w:tcPr>
            <w:tcW w:w="4520" w:type="dxa"/>
            <w:tcBorders>
              <w:top w:val="nil"/>
              <w:left w:val="nil"/>
              <w:bottom w:val="nil"/>
              <w:right w:val="nil"/>
            </w:tcBorders>
            <w:shd w:val="clear" w:color="auto" w:fill="auto"/>
            <w:hideMark/>
          </w:tcPr>
          <w:p w14:paraId="6F55B4A2"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B. Executive direction and management</w:t>
            </w:r>
          </w:p>
        </w:tc>
        <w:tc>
          <w:tcPr>
            <w:tcW w:w="1360" w:type="dxa"/>
            <w:tcBorders>
              <w:top w:val="nil"/>
              <w:left w:val="nil"/>
              <w:bottom w:val="nil"/>
              <w:right w:val="nil"/>
            </w:tcBorders>
            <w:shd w:val="clear" w:color="auto" w:fill="auto"/>
            <w:hideMark/>
          </w:tcPr>
          <w:p w14:paraId="45FF989F"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2 634.5</w:t>
            </w:r>
          </w:p>
        </w:tc>
        <w:tc>
          <w:tcPr>
            <w:tcW w:w="1600" w:type="dxa"/>
            <w:tcBorders>
              <w:top w:val="nil"/>
              <w:left w:val="nil"/>
              <w:bottom w:val="nil"/>
              <w:right w:val="nil"/>
            </w:tcBorders>
            <w:shd w:val="clear" w:color="auto" w:fill="auto"/>
            <w:hideMark/>
          </w:tcPr>
          <w:p w14:paraId="798EE9A5"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2 669.8</w:t>
            </w:r>
          </w:p>
        </w:tc>
        <w:tc>
          <w:tcPr>
            <w:tcW w:w="1640" w:type="dxa"/>
            <w:tcBorders>
              <w:top w:val="nil"/>
              <w:left w:val="nil"/>
              <w:bottom w:val="nil"/>
              <w:right w:val="nil"/>
            </w:tcBorders>
            <w:shd w:val="clear" w:color="auto" w:fill="auto"/>
            <w:hideMark/>
          </w:tcPr>
          <w:p w14:paraId="7AA64FA1"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5 304.3</w:t>
            </w:r>
          </w:p>
        </w:tc>
      </w:tr>
      <w:tr w:rsidR="00253427" w:rsidRPr="003075B3" w14:paraId="402C1667" w14:textId="77777777" w:rsidTr="00EF0503">
        <w:trPr>
          <w:trHeight w:val="288"/>
        </w:trPr>
        <w:tc>
          <w:tcPr>
            <w:tcW w:w="4520" w:type="dxa"/>
            <w:tcBorders>
              <w:top w:val="nil"/>
              <w:left w:val="nil"/>
              <w:bottom w:val="nil"/>
              <w:right w:val="nil"/>
            </w:tcBorders>
            <w:shd w:val="clear" w:color="auto" w:fill="auto"/>
            <w:hideMark/>
          </w:tcPr>
          <w:p w14:paraId="015EF2A3"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C. Programme of work</w:t>
            </w:r>
          </w:p>
        </w:tc>
        <w:tc>
          <w:tcPr>
            <w:tcW w:w="1360" w:type="dxa"/>
            <w:tcBorders>
              <w:top w:val="nil"/>
              <w:left w:val="nil"/>
              <w:bottom w:val="nil"/>
              <w:right w:val="nil"/>
            </w:tcBorders>
            <w:shd w:val="clear" w:color="auto" w:fill="auto"/>
            <w:hideMark/>
          </w:tcPr>
          <w:p w14:paraId="328F0539"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9 309.4</w:t>
            </w:r>
          </w:p>
        </w:tc>
        <w:tc>
          <w:tcPr>
            <w:tcW w:w="1600" w:type="dxa"/>
            <w:tcBorders>
              <w:top w:val="nil"/>
              <w:left w:val="nil"/>
              <w:bottom w:val="nil"/>
              <w:right w:val="nil"/>
            </w:tcBorders>
            <w:shd w:val="clear" w:color="auto" w:fill="auto"/>
            <w:hideMark/>
          </w:tcPr>
          <w:p w14:paraId="33C8236A"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9 243.1</w:t>
            </w:r>
          </w:p>
        </w:tc>
        <w:tc>
          <w:tcPr>
            <w:tcW w:w="1640" w:type="dxa"/>
            <w:tcBorders>
              <w:top w:val="nil"/>
              <w:left w:val="nil"/>
              <w:bottom w:val="nil"/>
              <w:right w:val="nil"/>
            </w:tcBorders>
            <w:shd w:val="clear" w:color="auto" w:fill="auto"/>
            <w:hideMark/>
          </w:tcPr>
          <w:p w14:paraId="20037855"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18 552.5</w:t>
            </w:r>
          </w:p>
        </w:tc>
      </w:tr>
      <w:tr w:rsidR="00253427" w:rsidRPr="003075B3" w14:paraId="2A5C751D" w14:textId="77777777" w:rsidTr="00EF0503">
        <w:trPr>
          <w:trHeight w:val="300"/>
        </w:trPr>
        <w:tc>
          <w:tcPr>
            <w:tcW w:w="4520" w:type="dxa"/>
            <w:tcBorders>
              <w:top w:val="nil"/>
              <w:left w:val="nil"/>
              <w:bottom w:val="single" w:sz="8" w:space="0" w:color="auto"/>
              <w:right w:val="nil"/>
            </w:tcBorders>
            <w:shd w:val="clear" w:color="auto" w:fill="auto"/>
            <w:hideMark/>
          </w:tcPr>
          <w:p w14:paraId="7664547B"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D. Administrative support</w:t>
            </w:r>
          </w:p>
        </w:tc>
        <w:tc>
          <w:tcPr>
            <w:tcW w:w="1360" w:type="dxa"/>
            <w:tcBorders>
              <w:top w:val="nil"/>
              <w:left w:val="nil"/>
              <w:bottom w:val="single" w:sz="8" w:space="0" w:color="auto"/>
              <w:right w:val="nil"/>
            </w:tcBorders>
            <w:shd w:val="clear" w:color="auto" w:fill="auto"/>
            <w:hideMark/>
          </w:tcPr>
          <w:p w14:paraId="0209D9CA"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2 886.0</w:t>
            </w:r>
          </w:p>
        </w:tc>
        <w:tc>
          <w:tcPr>
            <w:tcW w:w="1600" w:type="dxa"/>
            <w:tcBorders>
              <w:top w:val="nil"/>
              <w:left w:val="nil"/>
              <w:bottom w:val="single" w:sz="8" w:space="0" w:color="auto"/>
              <w:right w:val="nil"/>
            </w:tcBorders>
            <w:shd w:val="clear" w:color="auto" w:fill="auto"/>
            <w:hideMark/>
          </w:tcPr>
          <w:p w14:paraId="4EF4CB76"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3 093.7</w:t>
            </w:r>
          </w:p>
        </w:tc>
        <w:tc>
          <w:tcPr>
            <w:tcW w:w="1640" w:type="dxa"/>
            <w:tcBorders>
              <w:top w:val="nil"/>
              <w:left w:val="nil"/>
              <w:bottom w:val="single" w:sz="8" w:space="0" w:color="auto"/>
              <w:right w:val="nil"/>
            </w:tcBorders>
            <w:shd w:val="clear" w:color="auto" w:fill="auto"/>
            <w:hideMark/>
          </w:tcPr>
          <w:p w14:paraId="202E46BD"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5 979.7</w:t>
            </w:r>
          </w:p>
        </w:tc>
      </w:tr>
      <w:tr w:rsidR="00253427" w:rsidRPr="003075B3" w14:paraId="7A389330" w14:textId="77777777" w:rsidTr="00EF0503">
        <w:trPr>
          <w:trHeight w:val="300"/>
        </w:trPr>
        <w:tc>
          <w:tcPr>
            <w:tcW w:w="4520" w:type="dxa"/>
            <w:tcBorders>
              <w:top w:val="nil"/>
              <w:left w:val="nil"/>
              <w:bottom w:val="single" w:sz="12" w:space="0" w:color="auto"/>
              <w:right w:val="nil"/>
            </w:tcBorders>
            <w:shd w:val="clear" w:color="auto" w:fill="auto"/>
            <w:hideMark/>
          </w:tcPr>
          <w:p w14:paraId="380592B5" w14:textId="77777777" w:rsidR="00253427" w:rsidRPr="003075B3" w:rsidRDefault="00253427" w:rsidP="00EF0503">
            <w:pPr>
              <w:suppressLineNumbers/>
              <w:suppressAutoHyphens/>
              <w:rPr>
                <w:b/>
                <w:bCs/>
                <w:color w:val="000000"/>
                <w:kern w:val="22"/>
                <w:sz w:val="17"/>
                <w:szCs w:val="17"/>
                <w:lang w:eastAsia="en-CA"/>
              </w:rPr>
            </w:pPr>
            <w:r w:rsidRPr="003075B3">
              <w:rPr>
                <w:b/>
                <w:bCs/>
                <w:color w:val="000000"/>
                <w:kern w:val="22"/>
                <w:sz w:val="17"/>
                <w:szCs w:val="17"/>
                <w:lang w:eastAsia="en-CA"/>
              </w:rPr>
              <w:t>Subtotal</w:t>
            </w:r>
          </w:p>
        </w:tc>
        <w:tc>
          <w:tcPr>
            <w:tcW w:w="1360" w:type="dxa"/>
            <w:tcBorders>
              <w:top w:val="nil"/>
              <w:left w:val="nil"/>
              <w:bottom w:val="single" w:sz="12" w:space="0" w:color="auto"/>
              <w:right w:val="nil"/>
            </w:tcBorders>
            <w:shd w:val="clear" w:color="auto" w:fill="auto"/>
            <w:hideMark/>
          </w:tcPr>
          <w:p w14:paraId="48D9F3EF" w14:textId="77777777" w:rsidR="00253427" w:rsidRPr="003075B3" w:rsidRDefault="00253427" w:rsidP="00EF0503">
            <w:pPr>
              <w:suppressLineNumbers/>
              <w:suppressAutoHyphens/>
              <w:jc w:val="right"/>
              <w:rPr>
                <w:b/>
                <w:bCs/>
                <w:color w:val="000000"/>
                <w:kern w:val="22"/>
                <w:sz w:val="17"/>
                <w:szCs w:val="17"/>
                <w:lang w:eastAsia="en-CA"/>
              </w:rPr>
            </w:pPr>
            <w:r w:rsidRPr="003075B3">
              <w:rPr>
                <w:b/>
                <w:bCs/>
                <w:color w:val="000000"/>
                <w:kern w:val="22"/>
                <w:sz w:val="17"/>
                <w:szCs w:val="17"/>
                <w:lang w:eastAsia="en-CA"/>
              </w:rPr>
              <w:t>16 718.9</w:t>
            </w:r>
          </w:p>
        </w:tc>
        <w:tc>
          <w:tcPr>
            <w:tcW w:w="1600" w:type="dxa"/>
            <w:tcBorders>
              <w:top w:val="nil"/>
              <w:left w:val="nil"/>
              <w:bottom w:val="single" w:sz="12" w:space="0" w:color="auto"/>
              <w:right w:val="nil"/>
            </w:tcBorders>
            <w:shd w:val="clear" w:color="auto" w:fill="auto"/>
            <w:hideMark/>
          </w:tcPr>
          <w:p w14:paraId="6C6FEAEB" w14:textId="77777777" w:rsidR="00253427" w:rsidRPr="003075B3" w:rsidRDefault="00253427" w:rsidP="00EF0503">
            <w:pPr>
              <w:suppressLineNumbers/>
              <w:suppressAutoHyphens/>
              <w:jc w:val="right"/>
              <w:rPr>
                <w:b/>
                <w:bCs/>
                <w:color w:val="000000"/>
                <w:kern w:val="22"/>
                <w:sz w:val="17"/>
                <w:szCs w:val="17"/>
                <w:lang w:eastAsia="en-CA"/>
              </w:rPr>
            </w:pPr>
            <w:r w:rsidRPr="003075B3">
              <w:rPr>
                <w:b/>
                <w:bCs/>
                <w:color w:val="000000"/>
                <w:kern w:val="22"/>
                <w:sz w:val="17"/>
                <w:szCs w:val="17"/>
                <w:lang w:eastAsia="en-CA"/>
              </w:rPr>
              <w:t>17 490.6</w:t>
            </w:r>
          </w:p>
        </w:tc>
        <w:tc>
          <w:tcPr>
            <w:tcW w:w="1640" w:type="dxa"/>
            <w:tcBorders>
              <w:top w:val="nil"/>
              <w:left w:val="nil"/>
              <w:bottom w:val="single" w:sz="12" w:space="0" w:color="auto"/>
              <w:right w:val="nil"/>
            </w:tcBorders>
            <w:shd w:val="clear" w:color="auto" w:fill="auto"/>
            <w:hideMark/>
          </w:tcPr>
          <w:p w14:paraId="1C942412" w14:textId="77777777" w:rsidR="00253427" w:rsidRPr="003075B3" w:rsidRDefault="00253427" w:rsidP="00EF0503">
            <w:pPr>
              <w:suppressLineNumbers/>
              <w:suppressAutoHyphens/>
              <w:jc w:val="right"/>
              <w:rPr>
                <w:b/>
                <w:bCs/>
                <w:color w:val="000000"/>
                <w:kern w:val="22"/>
                <w:sz w:val="17"/>
                <w:szCs w:val="17"/>
                <w:lang w:eastAsia="en-CA"/>
              </w:rPr>
            </w:pPr>
            <w:r w:rsidRPr="003075B3">
              <w:rPr>
                <w:b/>
                <w:bCs/>
                <w:color w:val="000000"/>
                <w:kern w:val="22"/>
                <w:sz w:val="17"/>
                <w:szCs w:val="17"/>
                <w:lang w:eastAsia="en-CA"/>
              </w:rPr>
              <w:t>34 209.5</w:t>
            </w:r>
          </w:p>
        </w:tc>
      </w:tr>
      <w:tr w:rsidR="00253427" w:rsidRPr="003075B3" w14:paraId="7CC84BC0" w14:textId="77777777" w:rsidTr="00EF0503">
        <w:trPr>
          <w:trHeight w:val="300"/>
        </w:trPr>
        <w:tc>
          <w:tcPr>
            <w:tcW w:w="4520" w:type="dxa"/>
            <w:tcBorders>
              <w:top w:val="nil"/>
              <w:left w:val="nil"/>
              <w:bottom w:val="nil"/>
              <w:right w:val="nil"/>
            </w:tcBorders>
            <w:shd w:val="clear" w:color="auto" w:fill="auto"/>
            <w:hideMark/>
          </w:tcPr>
          <w:p w14:paraId="677391AB"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Programme support costs</w:t>
            </w:r>
          </w:p>
        </w:tc>
        <w:tc>
          <w:tcPr>
            <w:tcW w:w="1360" w:type="dxa"/>
            <w:tcBorders>
              <w:top w:val="nil"/>
              <w:left w:val="nil"/>
              <w:bottom w:val="nil"/>
              <w:right w:val="nil"/>
            </w:tcBorders>
            <w:shd w:val="clear" w:color="auto" w:fill="auto"/>
            <w:noWrap/>
            <w:hideMark/>
          </w:tcPr>
          <w:p w14:paraId="57A8496D"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2 173.5</w:t>
            </w:r>
          </w:p>
        </w:tc>
        <w:tc>
          <w:tcPr>
            <w:tcW w:w="1600" w:type="dxa"/>
            <w:tcBorders>
              <w:top w:val="nil"/>
              <w:left w:val="nil"/>
              <w:bottom w:val="nil"/>
              <w:right w:val="nil"/>
            </w:tcBorders>
            <w:shd w:val="clear" w:color="auto" w:fill="auto"/>
            <w:hideMark/>
          </w:tcPr>
          <w:p w14:paraId="6E15C18C"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2 273.8</w:t>
            </w:r>
          </w:p>
        </w:tc>
        <w:tc>
          <w:tcPr>
            <w:tcW w:w="1640" w:type="dxa"/>
            <w:tcBorders>
              <w:top w:val="nil"/>
              <w:left w:val="nil"/>
              <w:bottom w:val="nil"/>
              <w:right w:val="nil"/>
            </w:tcBorders>
            <w:shd w:val="clear" w:color="auto" w:fill="auto"/>
            <w:hideMark/>
          </w:tcPr>
          <w:p w14:paraId="53AF07BA"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4 447.2</w:t>
            </w:r>
          </w:p>
        </w:tc>
      </w:tr>
      <w:tr w:rsidR="00253427" w:rsidRPr="003075B3" w14:paraId="5489C2C9" w14:textId="77777777" w:rsidTr="00EF0503">
        <w:trPr>
          <w:trHeight w:val="300"/>
        </w:trPr>
        <w:tc>
          <w:tcPr>
            <w:tcW w:w="4520" w:type="dxa"/>
            <w:tcBorders>
              <w:top w:val="nil"/>
              <w:left w:val="nil"/>
              <w:bottom w:val="single" w:sz="8" w:space="0" w:color="auto"/>
              <w:right w:val="nil"/>
            </w:tcBorders>
            <w:shd w:val="clear" w:color="auto" w:fill="auto"/>
            <w:hideMark/>
          </w:tcPr>
          <w:p w14:paraId="2B0EF525"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Working Capital Reserve</w:t>
            </w:r>
          </w:p>
        </w:tc>
        <w:tc>
          <w:tcPr>
            <w:tcW w:w="1360" w:type="dxa"/>
            <w:tcBorders>
              <w:top w:val="nil"/>
              <w:left w:val="nil"/>
              <w:bottom w:val="single" w:sz="8" w:space="0" w:color="auto"/>
              <w:right w:val="nil"/>
            </w:tcBorders>
            <w:shd w:val="clear" w:color="auto" w:fill="auto"/>
            <w:noWrap/>
            <w:hideMark/>
          </w:tcPr>
          <w:p w14:paraId="77DF5199"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56.6</w:t>
            </w:r>
          </w:p>
        </w:tc>
        <w:tc>
          <w:tcPr>
            <w:tcW w:w="1600" w:type="dxa"/>
            <w:tcBorders>
              <w:top w:val="nil"/>
              <w:left w:val="nil"/>
              <w:bottom w:val="single" w:sz="8" w:space="0" w:color="auto"/>
              <w:right w:val="nil"/>
            </w:tcBorders>
            <w:shd w:val="clear" w:color="auto" w:fill="auto"/>
            <w:noWrap/>
            <w:hideMark/>
          </w:tcPr>
          <w:p w14:paraId="4D4A4D86"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130.7</w:t>
            </w:r>
          </w:p>
        </w:tc>
        <w:tc>
          <w:tcPr>
            <w:tcW w:w="1640" w:type="dxa"/>
            <w:tcBorders>
              <w:top w:val="nil"/>
              <w:left w:val="nil"/>
              <w:bottom w:val="single" w:sz="8" w:space="0" w:color="auto"/>
              <w:right w:val="nil"/>
            </w:tcBorders>
            <w:shd w:val="clear" w:color="auto" w:fill="auto"/>
            <w:hideMark/>
          </w:tcPr>
          <w:p w14:paraId="368CD9BC"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187.4</w:t>
            </w:r>
          </w:p>
        </w:tc>
      </w:tr>
      <w:tr w:rsidR="00253427" w:rsidRPr="003075B3" w14:paraId="48E097D0" w14:textId="77777777" w:rsidTr="00EF0503">
        <w:trPr>
          <w:trHeight w:val="300"/>
        </w:trPr>
        <w:tc>
          <w:tcPr>
            <w:tcW w:w="4520" w:type="dxa"/>
            <w:tcBorders>
              <w:top w:val="nil"/>
              <w:left w:val="nil"/>
              <w:bottom w:val="single" w:sz="8" w:space="0" w:color="auto"/>
              <w:right w:val="nil"/>
            </w:tcBorders>
            <w:shd w:val="clear" w:color="auto" w:fill="auto"/>
            <w:hideMark/>
          </w:tcPr>
          <w:p w14:paraId="4402696B" w14:textId="77777777" w:rsidR="00253427" w:rsidRPr="003075B3" w:rsidRDefault="00253427" w:rsidP="00EF0503">
            <w:pPr>
              <w:suppressLineNumbers/>
              <w:suppressAutoHyphens/>
              <w:rPr>
                <w:b/>
                <w:bCs/>
                <w:color w:val="000000"/>
                <w:kern w:val="22"/>
                <w:sz w:val="17"/>
                <w:szCs w:val="17"/>
                <w:lang w:eastAsia="en-CA"/>
              </w:rPr>
            </w:pPr>
            <w:r w:rsidRPr="003075B3">
              <w:rPr>
                <w:b/>
                <w:bCs/>
                <w:color w:val="000000"/>
                <w:kern w:val="22"/>
                <w:sz w:val="17"/>
                <w:szCs w:val="17"/>
                <w:lang w:eastAsia="en-CA"/>
              </w:rPr>
              <w:t>Total</w:t>
            </w:r>
          </w:p>
        </w:tc>
        <w:tc>
          <w:tcPr>
            <w:tcW w:w="1360" w:type="dxa"/>
            <w:tcBorders>
              <w:top w:val="nil"/>
              <w:left w:val="nil"/>
              <w:bottom w:val="single" w:sz="8" w:space="0" w:color="auto"/>
              <w:right w:val="nil"/>
            </w:tcBorders>
            <w:shd w:val="clear" w:color="auto" w:fill="auto"/>
            <w:noWrap/>
            <w:hideMark/>
          </w:tcPr>
          <w:p w14:paraId="2B9303E4" w14:textId="77777777" w:rsidR="00253427" w:rsidRPr="003075B3" w:rsidRDefault="00253427" w:rsidP="00EF0503">
            <w:pPr>
              <w:suppressLineNumbers/>
              <w:suppressAutoHyphens/>
              <w:jc w:val="right"/>
              <w:rPr>
                <w:b/>
                <w:bCs/>
                <w:color w:val="000000"/>
                <w:kern w:val="22"/>
                <w:sz w:val="17"/>
                <w:szCs w:val="17"/>
                <w:lang w:eastAsia="en-CA"/>
              </w:rPr>
            </w:pPr>
            <w:r w:rsidRPr="003075B3">
              <w:rPr>
                <w:b/>
                <w:bCs/>
                <w:color w:val="000000"/>
                <w:kern w:val="22"/>
                <w:sz w:val="17"/>
                <w:szCs w:val="17"/>
                <w:lang w:eastAsia="en-CA"/>
              </w:rPr>
              <w:t>18 949.0</w:t>
            </w:r>
          </w:p>
        </w:tc>
        <w:tc>
          <w:tcPr>
            <w:tcW w:w="1600" w:type="dxa"/>
            <w:tcBorders>
              <w:top w:val="nil"/>
              <w:left w:val="nil"/>
              <w:bottom w:val="single" w:sz="8" w:space="0" w:color="auto"/>
              <w:right w:val="nil"/>
            </w:tcBorders>
            <w:shd w:val="clear" w:color="auto" w:fill="auto"/>
            <w:noWrap/>
            <w:hideMark/>
          </w:tcPr>
          <w:p w14:paraId="42090963" w14:textId="77777777" w:rsidR="00253427" w:rsidRPr="003075B3" w:rsidRDefault="00253427" w:rsidP="00EF0503">
            <w:pPr>
              <w:suppressLineNumbers/>
              <w:suppressAutoHyphens/>
              <w:jc w:val="right"/>
              <w:rPr>
                <w:b/>
                <w:bCs/>
                <w:color w:val="000000"/>
                <w:kern w:val="22"/>
                <w:sz w:val="17"/>
                <w:szCs w:val="17"/>
                <w:lang w:eastAsia="en-CA"/>
              </w:rPr>
            </w:pPr>
            <w:r w:rsidRPr="003075B3">
              <w:rPr>
                <w:b/>
                <w:bCs/>
                <w:color w:val="000000"/>
                <w:kern w:val="22"/>
                <w:sz w:val="17"/>
                <w:szCs w:val="17"/>
                <w:lang w:eastAsia="en-CA"/>
              </w:rPr>
              <w:t>19 895.1</w:t>
            </w:r>
          </w:p>
        </w:tc>
        <w:tc>
          <w:tcPr>
            <w:tcW w:w="1640" w:type="dxa"/>
            <w:tcBorders>
              <w:top w:val="nil"/>
              <w:left w:val="nil"/>
              <w:bottom w:val="single" w:sz="8" w:space="0" w:color="auto"/>
              <w:right w:val="nil"/>
            </w:tcBorders>
            <w:shd w:val="clear" w:color="auto" w:fill="auto"/>
            <w:noWrap/>
            <w:hideMark/>
          </w:tcPr>
          <w:p w14:paraId="6FB9E059" w14:textId="77777777" w:rsidR="00253427" w:rsidRPr="003075B3" w:rsidRDefault="00253427" w:rsidP="00EF0503">
            <w:pPr>
              <w:suppressLineNumbers/>
              <w:suppressAutoHyphens/>
              <w:jc w:val="right"/>
              <w:rPr>
                <w:b/>
                <w:bCs/>
                <w:color w:val="000000"/>
                <w:kern w:val="22"/>
                <w:sz w:val="17"/>
                <w:szCs w:val="17"/>
                <w:lang w:eastAsia="en-CA"/>
              </w:rPr>
            </w:pPr>
            <w:r w:rsidRPr="003075B3">
              <w:rPr>
                <w:b/>
                <w:bCs/>
                <w:color w:val="000000"/>
                <w:kern w:val="22"/>
                <w:sz w:val="17"/>
                <w:szCs w:val="17"/>
                <w:lang w:eastAsia="en-CA"/>
              </w:rPr>
              <w:t>38 844.1</w:t>
            </w:r>
          </w:p>
        </w:tc>
      </w:tr>
      <w:tr w:rsidR="00253427" w:rsidRPr="003075B3" w14:paraId="48693D91" w14:textId="77777777" w:rsidTr="00EF0503">
        <w:trPr>
          <w:trHeight w:val="288"/>
        </w:trPr>
        <w:tc>
          <w:tcPr>
            <w:tcW w:w="4520" w:type="dxa"/>
            <w:tcBorders>
              <w:top w:val="nil"/>
              <w:left w:val="nil"/>
              <w:bottom w:val="single" w:sz="4" w:space="0" w:color="auto"/>
              <w:right w:val="nil"/>
            </w:tcBorders>
            <w:shd w:val="clear" w:color="auto" w:fill="auto"/>
            <w:vAlign w:val="center"/>
            <w:hideMark/>
          </w:tcPr>
          <w:p w14:paraId="6B2CEC8A" w14:textId="77777777" w:rsidR="00253427" w:rsidRPr="003075B3" w:rsidRDefault="00253427" w:rsidP="00EF0503">
            <w:pPr>
              <w:suppressLineNumbers/>
              <w:suppressAutoHyphens/>
              <w:rPr>
                <w:kern w:val="22"/>
                <w:sz w:val="17"/>
                <w:szCs w:val="17"/>
                <w:lang w:eastAsia="en-CA"/>
              </w:rPr>
            </w:pPr>
            <w:r w:rsidRPr="003075B3">
              <w:rPr>
                <w:kern w:val="22"/>
                <w:sz w:val="17"/>
                <w:szCs w:val="17"/>
                <w:lang w:eastAsia="en-CA"/>
              </w:rPr>
              <w:t>Cartagena Protocol share of the integrated budget (15%)</w:t>
            </w:r>
          </w:p>
        </w:tc>
        <w:tc>
          <w:tcPr>
            <w:tcW w:w="1360" w:type="dxa"/>
            <w:tcBorders>
              <w:top w:val="nil"/>
              <w:left w:val="nil"/>
              <w:bottom w:val="single" w:sz="4" w:space="0" w:color="auto"/>
              <w:right w:val="nil"/>
            </w:tcBorders>
            <w:shd w:val="clear" w:color="auto" w:fill="auto"/>
            <w:vAlign w:val="center"/>
            <w:hideMark/>
          </w:tcPr>
          <w:p w14:paraId="357B4C24"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2 842.4</w:t>
            </w:r>
          </w:p>
        </w:tc>
        <w:tc>
          <w:tcPr>
            <w:tcW w:w="1600" w:type="dxa"/>
            <w:tcBorders>
              <w:top w:val="nil"/>
              <w:left w:val="nil"/>
              <w:bottom w:val="single" w:sz="4" w:space="0" w:color="auto"/>
              <w:right w:val="nil"/>
            </w:tcBorders>
            <w:shd w:val="clear" w:color="auto" w:fill="auto"/>
            <w:vAlign w:val="center"/>
            <w:hideMark/>
          </w:tcPr>
          <w:p w14:paraId="5624CB08"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2 984.3</w:t>
            </w:r>
          </w:p>
        </w:tc>
        <w:tc>
          <w:tcPr>
            <w:tcW w:w="1640" w:type="dxa"/>
            <w:tcBorders>
              <w:top w:val="nil"/>
              <w:left w:val="nil"/>
              <w:bottom w:val="single" w:sz="4" w:space="0" w:color="auto"/>
              <w:right w:val="nil"/>
            </w:tcBorders>
            <w:shd w:val="clear" w:color="auto" w:fill="auto"/>
            <w:noWrap/>
            <w:hideMark/>
          </w:tcPr>
          <w:p w14:paraId="5C8DD675" w14:textId="77777777" w:rsidR="00253427" w:rsidRPr="003075B3" w:rsidRDefault="00253427" w:rsidP="00EF0503">
            <w:pPr>
              <w:suppressLineNumbers/>
              <w:suppressAutoHyphens/>
              <w:jc w:val="right"/>
              <w:rPr>
                <w:b/>
                <w:bCs/>
                <w:color w:val="000000"/>
                <w:kern w:val="22"/>
                <w:sz w:val="17"/>
                <w:szCs w:val="17"/>
                <w:lang w:eastAsia="en-CA"/>
              </w:rPr>
            </w:pPr>
            <w:r w:rsidRPr="003075B3">
              <w:rPr>
                <w:b/>
                <w:bCs/>
                <w:color w:val="000000"/>
                <w:kern w:val="22"/>
                <w:sz w:val="17"/>
                <w:szCs w:val="17"/>
                <w:lang w:eastAsia="en-CA"/>
              </w:rPr>
              <w:t>5 826.7</w:t>
            </w:r>
          </w:p>
        </w:tc>
      </w:tr>
      <w:tr w:rsidR="00253427" w:rsidRPr="003075B3" w14:paraId="3A0973FC" w14:textId="77777777" w:rsidTr="00EF0503">
        <w:trPr>
          <w:trHeight w:val="288"/>
        </w:trPr>
        <w:tc>
          <w:tcPr>
            <w:tcW w:w="4520" w:type="dxa"/>
            <w:tcBorders>
              <w:top w:val="nil"/>
              <w:left w:val="nil"/>
              <w:bottom w:val="nil"/>
              <w:right w:val="nil"/>
            </w:tcBorders>
            <w:shd w:val="clear" w:color="auto" w:fill="auto"/>
            <w:hideMark/>
          </w:tcPr>
          <w:p w14:paraId="086BAF35"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u w:val="single"/>
                <w:lang w:eastAsia="en-CA"/>
              </w:rPr>
              <w:t>Less</w:t>
            </w:r>
            <w:r w:rsidRPr="003075B3">
              <w:rPr>
                <w:color w:val="000000"/>
                <w:kern w:val="22"/>
                <w:sz w:val="17"/>
                <w:szCs w:val="17"/>
                <w:lang w:eastAsia="en-CA"/>
              </w:rPr>
              <w:t>:  Contribution from host country</w:t>
            </w:r>
          </w:p>
        </w:tc>
        <w:tc>
          <w:tcPr>
            <w:tcW w:w="1360" w:type="dxa"/>
            <w:tcBorders>
              <w:top w:val="nil"/>
              <w:left w:val="nil"/>
              <w:bottom w:val="nil"/>
              <w:right w:val="nil"/>
            </w:tcBorders>
            <w:shd w:val="clear" w:color="auto" w:fill="auto"/>
            <w:vAlign w:val="center"/>
            <w:hideMark/>
          </w:tcPr>
          <w:p w14:paraId="262D3B54"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(184.4)</w:t>
            </w:r>
          </w:p>
        </w:tc>
        <w:tc>
          <w:tcPr>
            <w:tcW w:w="1600" w:type="dxa"/>
            <w:tcBorders>
              <w:top w:val="nil"/>
              <w:left w:val="nil"/>
              <w:bottom w:val="nil"/>
              <w:right w:val="nil"/>
            </w:tcBorders>
            <w:shd w:val="clear" w:color="auto" w:fill="auto"/>
            <w:vAlign w:val="center"/>
            <w:hideMark/>
          </w:tcPr>
          <w:p w14:paraId="3049CC66"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(213.5)</w:t>
            </w:r>
          </w:p>
        </w:tc>
        <w:tc>
          <w:tcPr>
            <w:tcW w:w="1640" w:type="dxa"/>
            <w:tcBorders>
              <w:top w:val="nil"/>
              <w:left w:val="nil"/>
              <w:bottom w:val="nil"/>
              <w:right w:val="nil"/>
            </w:tcBorders>
            <w:shd w:val="clear" w:color="auto" w:fill="auto"/>
            <w:vAlign w:val="center"/>
            <w:hideMark/>
          </w:tcPr>
          <w:p w14:paraId="1A333874"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(397.9)</w:t>
            </w:r>
          </w:p>
        </w:tc>
      </w:tr>
      <w:tr w:rsidR="00253427" w:rsidRPr="003075B3" w14:paraId="2DEEAF54" w14:textId="77777777" w:rsidTr="00EF0503">
        <w:trPr>
          <w:trHeight w:val="288"/>
        </w:trPr>
        <w:tc>
          <w:tcPr>
            <w:tcW w:w="4520" w:type="dxa"/>
            <w:tcBorders>
              <w:top w:val="nil"/>
              <w:left w:val="nil"/>
              <w:bottom w:val="nil"/>
              <w:right w:val="nil"/>
            </w:tcBorders>
            <w:shd w:val="clear" w:color="auto" w:fill="auto"/>
            <w:hideMark/>
          </w:tcPr>
          <w:p w14:paraId="17B36D15"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u w:val="single"/>
                <w:lang w:eastAsia="en-CA"/>
              </w:rPr>
              <w:t>Less</w:t>
            </w:r>
            <w:r w:rsidRPr="003075B3">
              <w:rPr>
                <w:color w:val="000000"/>
                <w:kern w:val="22"/>
                <w:sz w:val="17"/>
                <w:szCs w:val="17"/>
                <w:lang w:eastAsia="en-CA"/>
              </w:rPr>
              <w:t>:  Use of reserves for extraordinary meetings</w:t>
            </w:r>
          </w:p>
        </w:tc>
        <w:tc>
          <w:tcPr>
            <w:tcW w:w="1360" w:type="dxa"/>
            <w:tcBorders>
              <w:top w:val="nil"/>
              <w:left w:val="nil"/>
              <w:bottom w:val="nil"/>
              <w:right w:val="nil"/>
            </w:tcBorders>
            <w:shd w:val="clear" w:color="auto" w:fill="auto"/>
            <w:vAlign w:val="center"/>
            <w:hideMark/>
          </w:tcPr>
          <w:p w14:paraId="596C6CA2"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(127.1)</w:t>
            </w:r>
          </w:p>
        </w:tc>
        <w:tc>
          <w:tcPr>
            <w:tcW w:w="1600" w:type="dxa"/>
            <w:tcBorders>
              <w:top w:val="nil"/>
              <w:left w:val="nil"/>
              <w:bottom w:val="nil"/>
              <w:right w:val="nil"/>
            </w:tcBorders>
            <w:shd w:val="clear" w:color="auto" w:fill="auto"/>
            <w:vAlign w:val="center"/>
            <w:hideMark/>
          </w:tcPr>
          <w:p w14:paraId="2F9070EC"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(94.9)</w:t>
            </w:r>
          </w:p>
        </w:tc>
        <w:tc>
          <w:tcPr>
            <w:tcW w:w="1640" w:type="dxa"/>
            <w:tcBorders>
              <w:top w:val="nil"/>
              <w:left w:val="nil"/>
              <w:bottom w:val="nil"/>
              <w:right w:val="nil"/>
            </w:tcBorders>
            <w:shd w:val="clear" w:color="auto" w:fill="auto"/>
            <w:vAlign w:val="center"/>
            <w:hideMark/>
          </w:tcPr>
          <w:p w14:paraId="5348E10E"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(222.0)</w:t>
            </w:r>
          </w:p>
        </w:tc>
      </w:tr>
      <w:tr w:rsidR="00253427" w:rsidRPr="003075B3" w14:paraId="296AC82A" w14:textId="77777777" w:rsidTr="00EF0503">
        <w:trPr>
          <w:trHeight w:val="288"/>
        </w:trPr>
        <w:tc>
          <w:tcPr>
            <w:tcW w:w="4520" w:type="dxa"/>
            <w:tcBorders>
              <w:top w:val="nil"/>
              <w:left w:val="nil"/>
              <w:bottom w:val="nil"/>
              <w:right w:val="nil"/>
            </w:tcBorders>
            <w:shd w:val="clear" w:color="auto" w:fill="auto"/>
            <w:hideMark/>
          </w:tcPr>
          <w:p w14:paraId="38C8E9CE"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u w:val="single"/>
                <w:lang w:eastAsia="en-CA"/>
              </w:rPr>
              <w:t>Less</w:t>
            </w:r>
            <w:r w:rsidRPr="003075B3">
              <w:rPr>
                <w:color w:val="000000"/>
                <w:kern w:val="22"/>
                <w:sz w:val="17"/>
                <w:szCs w:val="17"/>
                <w:lang w:eastAsia="en-CA"/>
              </w:rPr>
              <w:t>:  Use of reserves from previous years</w:t>
            </w:r>
          </w:p>
        </w:tc>
        <w:tc>
          <w:tcPr>
            <w:tcW w:w="1360" w:type="dxa"/>
            <w:tcBorders>
              <w:top w:val="nil"/>
              <w:left w:val="nil"/>
              <w:bottom w:val="nil"/>
              <w:right w:val="nil"/>
            </w:tcBorders>
            <w:shd w:val="clear" w:color="auto" w:fill="auto"/>
            <w:vAlign w:val="center"/>
            <w:hideMark/>
          </w:tcPr>
          <w:p w14:paraId="0EBE57D5"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(129.5)</w:t>
            </w:r>
          </w:p>
        </w:tc>
        <w:tc>
          <w:tcPr>
            <w:tcW w:w="1600" w:type="dxa"/>
            <w:tcBorders>
              <w:top w:val="nil"/>
              <w:left w:val="nil"/>
              <w:bottom w:val="nil"/>
              <w:right w:val="nil"/>
            </w:tcBorders>
            <w:shd w:val="clear" w:color="auto" w:fill="auto"/>
            <w:vAlign w:val="center"/>
            <w:hideMark/>
          </w:tcPr>
          <w:p w14:paraId="373C519C"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(129.5)</w:t>
            </w:r>
          </w:p>
        </w:tc>
        <w:tc>
          <w:tcPr>
            <w:tcW w:w="1640" w:type="dxa"/>
            <w:tcBorders>
              <w:top w:val="nil"/>
              <w:left w:val="nil"/>
              <w:bottom w:val="nil"/>
              <w:right w:val="nil"/>
            </w:tcBorders>
            <w:shd w:val="clear" w:color="auto" w:fill="auto"/>
            <w:vAlign w:val="center"/>
            <w:hideMark/>
          </w:tcPr>
          <w:p w14:paraId="20138F3D"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(259.0)</w:t>
            </w:r>
          </w:p>
        </w:tc>
      </w:tr>
      <w:tr w:rsidR="00253427" w:rsidRPr="003075B3" w14:paraId="6C5C6E35" w14:textId="77777777" w:rsidTr="00EF0503">
        <w:trPr>
          <w:trHeight w:val="300"/>
        </w:trPr>
        <w:tc>
          <w:tcPr>
            <w:tcW w:w="4520" w:type="dxa"/>
            <w:tcBorders>
              <w:top w:val="single" w:sz="4" w:space="0" w:color="auto"/>
              <w:left w:val="nil"/>
              <w:bottom w:val="single" w:sz="8" w:space="0" w:color="auto"/>
              <w:right w:val="nil"/>
            </w:tcBorders>
            <w:shd w:val="clear" w:color="auto" w:fill="auto"/>
            <w:hideMark/>
          </w:tcPr>
          <w:p w14:paraId="008DC529" w14:textId="77777777" w:rsidR="00253427" w:rsidRPr="003075B3" w:rsidRDefault="00253427" w:rsidP="00EF0503">
            <w:pPr>
              <w:suppressLineNumbers/>
              <w:suppressAutoHyphens/>
              <w:rPr>
                <w:b/>
                <w:bCs/>
                <w:color w:val="000000"/>
                <w:kern w:val="22"/>
                <w:sz w:val="17"/>
                <w:szCs w:val="17"/>
                <w:lang w:eastAsia="en-CA"/>
              </w:rPr>
            </w:pPr>
            <w:r w:rsidRPr="003075B3">
              <w:rPr>
                <w:b/>
                <w:bCs/>
                <w:color w:val="000000"/>
                <w:kern w:val="22"/>
                <w:sz w:val="17"/>
                <w:szCs w:val="17"/>
                <w:lang w:eastAsia="en-CA"/>
              </w:rPr>
              <w:t>Net total (amount to be shared by Parties)</w:t>
            </w:r>
          </w:p>
        </w:tc>
        <w:tc>
          <w:tcPr>
            <w:tcW w:w="1360" w:type="dxa"/>
            <w:tcBorders>
              <w:top w:val="single" w:sz="4" w:space="0" w:color="auto"/>
              <w:left w:val="nil"/>
              <w:bottom w:val="single" w:sz="8" w:space="0" w:color="auto"/>
              <w:right w:val="nil"/>
            </w:tcBorders>
            <w:shd w:val="clear" w:color="auto" w:fill="auto"/>
            <w:hideMark/>
          </w:tcPr>
          <w:p w14:paraId="59D15776"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2 401.4</w:t>
            </w:r>
          </w:p>
        </w:tc>
        <w:tc>
          <w:tcPr>
            <w:tcW w:w="1600" w:type="dxa"/>
            <w:tcBorders>
              <w:top w:val="single" w:sz="4" w:space="0" w:color="auto"/>
              <w:left w:val="nil"/>
              <w:bottom w:val="single" w:sz="8" w:space="0" w:color="auto"/>
              <w:right w:val="nil"/>
            </w:tcBorders>
            <w:shd w:val="clear" w:color="auto" w:fill="auto"/>
            <w:hideMark/>
          </w:tcPr>
          <w:p w14:paraId="4F153218"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2 546.4</w:t>
            </w:r>
          </w:p>
        </w:tc>
        <w:tc>
          <w:tcPr>
            <w:tcW w:w="1640" w:type="dxa"/>
            <w:tcBorders>
              <w:top w:val="single" w:sz="4" w:space="0" w:color="auto"/>
              <w:left w:val="nil"/>
              <w:bottom w:val="single" w:sz="8" w:space="0" w:color="auto"/>
              <w:right w:val="nil"/>
            </w:tcBorders>
            <w:shd w:val="clear" w:color="auto" w:fill="auto"/>
            <w:hideMark/>
          </w:tcPr>
          <w:p w14:paraId="7B2F9B0E"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4 947.8</w:t>
            </w:r>
          </w:p>
        </w:tc>
      </w:tr>
      <w:tr w:rsidR="00253427" w:rsidRPr="003075B3" w14:paraId="1FED3DE1" w14:textId="77777777" w:rsidTr="00EF0503">
        <w:trPr>
          <w:trHeight w:val="300"/>
        </w:trPr>
        <w:tc>
          <w:tcPr>
            <w:tcW w:w="4520" w:type="dxa"/>
            <w:tcBorders>
              <w:top w:val="nil"/>
              <w:left w:val="nil"/>
              <w:bottom w:val="nil"/>
              <w:right w:val="nil"/>
            </w:tcBorders>
            <w:shd w:val="clear" w:color="auto" w:fill="auto"/>
            <w:noWrap/>
            <w:vAlign w:val="bottom"/>
            <w:hideMark/>
          </w:tcPr>
          <w:p w14:paraId="30FCC67D" w14:textId="77777777" w:rsidR="00253427" w:rsidRPr="003075B3" w:rsidRDefault="00253427" w:rsidP="00EF0503">
            <w:pPr>
              <w:suppressLineNumbers/>
              <w:suppressAutoHyphens/>
              <w:rPr>
                <w:color w:val="000000"/>
                <w:kern w:val="22"/>
                <w:sz w:val="17"/>
                <w:szCs w:val="17"/>
                <w:lang w:eastAsia="en-CA"/>
              </w:rPr>
            </w:pPr>
          </w:p>
        </w:tc>
        <w:tc>
          <w:tcPr>
            <w:tcW w:w="1360" w:type="dxa"/>
            <w:tcBorders>
              <w:top w:val="nil"/>
              <w:left w:val="nil"/>
              <w:bottom w:val="nil"/>
              <w:right w:val="nil"/>
            </w:tcBorders>
            <w:shd w:val="clear" w:color="auto" w:fill="auto"/>
            <w:noWrap/>
            <w:vAlign w:val="bottom"/>
            <w:hideMark/>
          </w:tcPr>
          <w:p w14:paraId="6C577E27" w14:textId="77777777" w:rsidR="00253427" w:rsidRPr="003075B3" w:rsidRDefault="00253427" w:rsidP="00EF0503">
            <w:pPr>
              <w:suppressLineNumbers/>
              <w:suppressAutoHyphens/>
              <w:rPr>
                <w:color w:val="000000"/>
                <w:kern w:val="22"/>
                <w:sz w:val="17"/>
                <w:szCs w:val="17"/>
                <w:lang w:eastAsia="en-CA"/>
              </w:rPr>
            </w:pPr>
          </w:p>
        </w:tc>
        <w:tc>
          <w:tcPr>
            <w:tcW w:w="1600" w:type="dxa"/>
            <w:tcBorders>
              <w:top w:val="nil"/>
              <w:left w:val="nil"/>
              <w:bottom w:val="nil"/>
              <w:right w:val="nil"/>
            </w:tcBorders>
            <w:shd w:val="clear" w:color="auto" w:fill="auto"/>
            <w:noWrap/>
            <w:vAlign w:val="bottom"/>
            <w:hideMark/>
          </w:tcPr>
          <w:p w14:paraId="738F88B7" w14:textId="77777777" w:rsidR="00253427" w:rsidRPr="003075B3" w:rsidRDefault="00253427" w:rsidP="00EF0503">
            <w:pPr>
              <w:suppressLineNumbers/>
              <w:suppressAutoHyphens/>
              <w:rPr>
                <w:color w:val="000000"/>
                <w:kern w:val="22"/>
                <w:sz w:val="17"/>
                <w:szCs w:val="17"/>
                <w:lang w:eastAsia="en-CA"/>
              </w:rPr>
            </w:pPr>
          </w:p>
        </w:tc>
        <w:tc>
          <w:tcPr>
            <w:tcW w:w="1640" w:type="dxa"/>
            <w:tcBorders>
              <w:top w:val="nil"/>
              <w:left w:val="nil"/>
              <w:bottom w:val="nil"/>
              <w:right w:val="nil"/>
            </w:tcBorders>
            <w:shd w:val="clear" w:color="auto" w:fill="auto"/>
            <w:noWrap/>
            <w:vAlign w:val="bottom"/>
            <w:hideMark/>
          </w:tcPr>
          <w:p w14:paraId="647CB9B5" w14:textId="77777777" w:rsidR="00253427" w:rsidRPr="003075B3" w:rsidRDefault="00253427" w:rsidP="00EF0503">
            <w:pPr>
              <w:suppressLineNumbers/>
              <w:suppressAutoHyphens/>
              <w:rPr>
                <w:color w:val="000000"/>
                <w:kern w:val="22"/>
                <w:sz w:val="17"/>
                <w:szCs w:val="17"/>
                <w:lang w:eastAsia="en-CA"/>
              </w:rPr>
            </w:pPr>
          </w:p>
        </w:tc>
      </w:tr>
      <w:tr w:rsidR="00253427" w:rsidRPr="003075B3" w14:paraId="7D3B7286" w14:textId="77777777" w:rsidTr="00EF0503">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14:paraId="6B6BB481" w14:textId="4DAD6AD6" w:rsidR="00253427" w:rsidRPr="003075B3" w:rsidRDefault="00253427" w:rsidP="00EF0503">
            <w:pPr>
              <w:suppressLineNumbers/>
              <w:suppressAutoHyphens/>
              <w:rPr>
                <w:i/>
                <w:iCs/>
                <w:color w:val="000000"/>
                <w:kern w:val="22"/>
                <w:sz w:val="15"/>
                <w:szCs w:val="15"/>
                <w:lang w:eastAsia="en-CA"/>
              </w:rPr>
            </w:pP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1DF8BBEA" w14:textId="77777777" w:rsidR="00253427" w:rsidRPr="003075B3" w:rsidRDefault="00253427" w:rsidP="00EF0503">
            <w:pPr>
              <w:suppressLineNumbers/>
              <w:suppressAutoHyphens/>
              <w:jc w:val="center"/>
              <w:rPr>
                <w:i/>
                <w:iCs/>
                <w:color w:val="000000"/>
                <w:kern w:val="22"/>
                <w:sz w:val="15"/>
                <w:szCs w:val="15"/>
                <w:lang w:eastAsia="en-CA"/>
              </w:rPr>
            </w:pPr>
            <w:r w:rsidRPr="003075B3">
              <w:rPr>
                <w:i/>
                <w:iCs/>
                <w:color w:val="000000"/>
                <w:kern w:val="22"/>
                <w:sz w:val="15"/>
                <w:szCs w:val="15"/>
                <w:lang w:eastAsia="en-CA"/>
              </w:rPr>
              <w:t>2019</w:t>
            </w:r>
            <w:r w:rsidRPr="003075B3">
              <w:rPr>
                <w:i/>
                <w:iCs/>
                <w:color w:val="000000"/>
                <w:kern w:val="22"/>
                <w:sz w:val="15"/>
                <w:szCs w:val="15"/>
                <w:lang w:eastAsia="en-CA"/>
              </w:rPr>
              <w:br/>
              <w:t>(Thousands of United States dollars)</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6A4DCE02" w14:textId="77777777" w:rsidR="00253427" w:rsidRPr="003075B3" w:rsidRDefault="00253427" w:rsidP="00EF0503">
            <w:pPr>
              <w:suppressLineNumbers/>
              <w:suppressAutoHyphens/>
              <w:jc w:val="center"/>
              <w:rPr>
                <w:i/>
                <w:iCs/>
                <w:color w:val="000000"/>
                <w:kern w:val="22"/>
                <w:sz w:val="15"/>
                <w:szCs w:val="15"/>
                <w:lang w:eastAsia="en-CA"/>
              </w:rPr>
            </w:pPr>
            <w:r w:rsidRPr="003075B3">
              <w:rPr>
                <w:i/>
                <w:iCs/>
                <w:color w:val="000000"/>
                <w:kern w:val="22"/>
                <w:sz w:val="15"/>
                <w:szCs w:val="15"/>
                <w:lang w:eastAsia="en-CA"/>
              </w:rPr>
              <w:t>2020</w:t>
            </w:r>
            <w:r w:rsidRPr="003075B3">
              <w:rPr>
                <w:i/>
                <w:iCs/>
                <w:color w:val="000000"/>
                <w:kern w:val="22"/>
                <w:sz w:val="15"/>
                <w:szCs w:val="15"/>
                <w:lang w:eastAsia="en-CA"/>
              </w:rPr>
              <w:br/>
              <w:t>(Thousands of United States dollars)</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45E4FFF0" w14:textId="77777777" w:rsidR="00253427" w:rsidRPr="003075B3" w:rsidRDefault="00253427" w:rsidP="00EF0503">
            <w:pPr>
              <w:suppressLineNumbers/>
              <w:suppressAutoHyphens/>
              <w:jc w:val="center"/>
              <w:rPr>
                <w:i/>
                <w:iCs/>
                <w:color w:val="000000"/>
                <w:kern w:val="22"/>
                <w:sz w:val="15"/>
                <w:szCs w:val="15"/>
                <w:lang w:eastAsia="en-CA"/>
              </w:rPr>
            </w:pPr>
            <w:r w:rsidRPr="003075B3">
              <w:rPr>
                <w:i/>
                <w:iCs/>
                <w:color w:val="000000"/>
                <w:kern w:val="22"/>
                <w:sz w:val="15"/>
                <w:szCs w:val="15"/>
                <w:lang w:eastAsia="en-CA"/>
              </w:rPr>
              <w:t>Total</w:t>
            </w:r>
            <w:r w:rsidRPr="003075B3">
              <w:rPr>
                <w:i/>
                <w:iCs/>
                <w:color w:val="000000"/>
                <w:kern w:val="22"/>
                <w:sz w:val="15"/>
                <w:szCs w:val="15"/>
                <w:lang w:eastAsia="en-CA"/>
              </w:rPr>
              <w:br/>
              <w:t>(Thousands of United States dollars)</w:t>
            </w:r>
          </w:p>
        </w:tc>
      </w:tr>
      <w:tr w:rsidR="00253427" w:rsidRPr="003075B3" w14:paraId="673F53CD" w14:textId="77777777" w:rsidTr="00EF0503">
        <w:trPr>
          <w:trHeight w:val="288"/>
        </w:trPr>
        <w:tc>
          <w:tcPr>
            <w:tcW w:w="4520" w:type="dxa"/>
            <w:vMerge/>
            <w:tcBorders>
              <w:top w:val="single" w:sz="8" w:space="0" w:color="auto"/>
              <w:left w:val="nil"/>
              <w:bottom w:val="single" w:sz="12" w:space="0" w:color="000000"/>
              <w:right w:val="nil"/>
            </w:tcBorders>
            <w:vAlign w:val="center"/>
            <w:hideMark/>
          </w:tcPr>
          <w:p w14:paraId="6CA584CD" w14:textId="77777777" w:rsidR="00253427" w:rsidRPr="003075B3" w:rsidRDefault="00253427" w:rsidP="00EF0503">
            <w:pPr>
              <w:suppressLineNumbers/>
              <w:suppressAutoHyphens/>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24E48BB5" w14:textId="77777777" w:rsidR="00253427" w:rsidRPr="003075B3" w:rsidRDefault="00253427" w:rsidP="00EF0503">
            <w:pPr>
              <w:suppressLineNumbers/>
              <w:suppressAutoHyphens/>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6ED0737F" w14:textId="77777777" w:rsidR="00253427" w:rsidRPr="003075B3" w:rsidRDefault="00253427" w:rsidP="00EF0503">
            <w:pPr>
              <w:suppressLineNumbers/>
              <w:suppressAutoHyphens/>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4DEBB9AF" w14:textId="77777777" w:rsidR="00253427" w:rsidRPr="003075B3" w:rsidRDefault="00253427" w:rsidP="00EF0503">
            <w:pPr>
              <w:suppressLineNumbers/>
              <w:suppressAutoHyphens/>
              <w:rPr>
                <w:i/>
                <w:iCs/>
                <w:color w:val="000000"/>
                <w:kern w:val="22"/>
                <w:sz w:val="15"/>
                <w:szCs w:val="15"/>
                <w:lang w:eastAsia="en-CA"/>
              </w:rPr>
            </w:pPr>
          </w:p>
        </w:tc>
      </w:tr>
      <w:tr w:rsidR="00253427" w:rsidRPr="003075B3" w14:paraId="0AE390EC" w14:textId="77777777" w:rsidTr="00EF0503">
        <w:trPr>
          <w:trHeight w:val="300"/>
        </w:trPr>
        <w:tc>
          <w:tcPr>
            <w:tcW w:w="4520" w:type="dxa"/>
            <w:vMerge/>
            <w:tcBorders>
              <w:top w:val="single" w:sz="8" w:space="0" w:color="auto"/>
              <w:left w:val="nil"/>
              <w:bottom w:val="single" w:sz="12" w:space="0" w:color="000000"/>
              <w:right w:val="nil"/>
            </w:tcBorders>
            <w:vAlign w:val="center"/>
            <w:hideMark/>
          </w:tcPr>
          <w:p w14:paraId="037EC887" w14:textId="77777777" w:rsidR="00253427" w:rsidRPr="003075B3" w:rsidRDefault="00253427" w:rsidP="00EF0503">
            <w:pPr>
              <w:suppressLineNumbers/>
              <w:suppressAutoHyphens/>
              <w:rPr>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31DF897B" w14:textId="77777777" w:rsidR="00253427" w:rsidRPr="003075B3" w:rsidRDefault="00253427" w:rsidP="00EF0503">
            <w:pPr>
              <w:suppressLineNumbers/>
              <w:suppressAutoHyphens/>
              <w:rPr>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67AA147D" w14:textId="77777777" w:rsidR="00253427" w:rsidRPr="003075B3" w:rsidRDefault="00253427" w:rsidP="00EF0503">
            <w:pPr>
              <w:suppressLineNumbers/>
              <w:suppressAutoHyphens/>
              <w:rPr>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02E0F354" w14:textId="77777777" w:rsidR="00253427" w:rsidRPr="003075B3" w:rsidRDefault="00253427" w:rsidP="00EF0503">
            <w:pPr>
              <w:suppressLineNumbers/>
              <w:suppressAutoHyphens/>
              <w:rPr>
                <w:i/>
                <w:iCs/>
                <w:color w:val="000000"/>
                <w:kern w:val="22"/>
                <w:sz w:val="15"/>
                <w:szCs w:val="15"/>
                <w:lang w:eastAsia="en-CA"/>
              </w:rPr>
            </w:pPr>
          </w:p>
        </w:tc>
      </w:tr>
      <w:tr w:rsidR="00253427" w:rsidRPr="003075B3" w14:paraId="4D81B1C3" w14:textId="77777777" w:rsidTr="00EF0503">
        <w:trPr>
          <w:trHeight w:val="300"/>
        </w:trPr>
        <w:tc>
          <w:tcPr>
            <w:tcW w:w="4520" w:type="dxa"/>
            <w:tcBorders>
              <w:top w:val="nil"/>
              <w:left w:val="nil"/>
              <w:bottom w:val="nil"/>
              <w:right w:val="nil"/>
            </w:tcBorders>
            <w:shd w:val="clear" w:color="auto" w:fill="auto"/>
            <w:hideMark/>
          </w:tcPr>
          <w:p w14:paraId="573B5213" w14:textId="77777777" w:rsidR="00253427" w:rsidRPr="003075B3" w:rsidRDefault="00253427" w:rsidP="00EF0503">
            <w:pPr>
              <w:suppressLineNumbers/>
              <w:suppressAutoHyphens/>
              <w:rPr>
                <w:b/>
                <w:bCs/>
                <w:color w:val="000000"/>
                <w:kern w:val="22"/>
                <w:sz w:val="17"/>
                <w:szCs w:val="17"/>
                <w:lang w:eastAsia="en-CA"/>
              </w:rPr>
            </w:pPr>
            <w:r w:rsidRPr="003075B3">
              <w:rPr>
                <w:b/>
                <w:bCs/>
                <w:color w:val="000000"/>
                <w:kern w:val="22"/>
                <w:sz w:val="17"/>
                <w:szCs w:val="17"/>
                <w:lang w:eastAsia="en-CA"/>
              </w:rPr>
              <w:t>I. Programmes:</w:t>
            </w:r>
          </w:p>
        </w:tc>
        <w:tc>
          <w:tcPr>
            <w:tcW w:w="1360" w:type="dxa"/>
            <w:tcBorders>
              <w:top w:val="nil"/>
              <w:left w:val="nil"/>
              <w:bottom w:val="nil"/>
              <w:right w:val="nil"/>
            </w:tcBorders>
            <w:shd w:val="clear" w:color="auto" w:fill="auto"/>
            <w:vAlign w:val="center"/>
            <w:hideMark/>
          </w:tcPr>
          <w:p w14:paraId="19C89769" w14:textId="77777777" w:rsidR="00253427" w:rsidRPr="003075B3" w:rsidRDefault="00253427" w:rsidP="00EF0503">
            <w:pPr>
              <w:suppressLineNumbers/>
              <w:suppressAutoHyphens/>
              <w:rPr>
                <w:color w:val="000000"/>
                <w:kern w:val="22"/>
                <w:sz w:val="17"/>
                <w:szCs w:val="17"/>
                <w:lang w:eastAsia="en-CA"/>
              </w:rPr>
            </w:pPr>
          </w:p>
        </w:tc>
        <w:tc>
          <w:tcPr>
            <w:tcW w:w="1600" w:type="dxa"/>
            <w:tcBorders>
              <w:top w:val="nil"/>
              <w:left w:val="nil"/>
              <w:bottom w:val="nil"/>
              <w:right w:val="nil"/>
            </w:tcBorders>
            <w:shd w:val="clear" w:color="auto" w:fill="auto"/>
            <w:vAlign w:val="center"/>
            <w:hideMark/>
          </w:tcPr>
          <w:p w14:paraId="3F654CA5" w14:textId="77777777" w:rsidR="00253427" w:rsidRPr="003075B3" w:rsidRDefault="00253427" w:rsidP="00EF0503">
            <w:pPr>
              <w:suppressLineNumbers/>
              <w:suppressAutoHyphens/>
              <w:jc w:val="right"/>
              <w:rPr>
                <w:color w:val="000000"/>
                <w:kern w:val="22"/>
                <w:sz w:val="17"/>
                <w:szCs w:val="17"/>
                <w:lang w:eastAsia="en-CA"/>
              </w:rPr>
            </w:pPr>
          </w:p>
        </w:tc>
        <w:tc>
          <w:tcPr>
            <w:tcW w:w="1640" w:type="dxa"/>
            <w:tcBorders>
              <w:top w:val="nil"/>
              <w:left w:val="nil"/>
              <w:bottom w:val="nil"/>
              <w:right w:val="nil"/>
            </w:tcBorders>
            <w:shd w:val="clear" w:color="auto" w:fill="auto"/>
            <w:vAlign w:val="center"/>
            <w:hideMark/>
          </w:tcPr>
          <w:p w14:paraId="2C3A23F1" w14:textId="77777777" w:rsidR="00253427" w:rsidRPr="003075B3" w:rsidRDefault="00253427" w:rsidP="00EF0503">
            <w:pPr>
              <w:suppressLineNumbers/>
              <w:suppressAutoHyphens/>
              <w:jc w:val="right"/>
              <w:rPr>
                <w:color w:val="000000"/>
                <w:kern w:val="22"/>
                <w:sz w:val="17"/>
                <w:szCs w:val="17"/>
                <w:lang w:eastAsia="en-CA"/>
              </w:rPr>
            </w:pPr>
          </w:p>
        </w:tc>
      </w:tr>
      <w:tr w:rsidR="00253427" w:rsidRPr="003075B3" w14:paraId="006D9A60" w14:textId="77777777" w:rsidTr="00EF0503">
        <w:trPr>
          <w:trHeight w:val="288"/>
        </w:trPr>
        <w:tc>
          <w:tcPr>
            <w:tcW w:w="4520" w:type="dxa"/>
            <w:tcBorders>
              <w:top w:val="nil"/>
              <w:left w:val="nil"/>
              <w:bottom w:val="nil"/>
              <w:right w:val="nil"/>
            </w:tcBorders>
            <w:shd w:val="clear" w:color="auto" w:fill="auto"/>
            <w:hideMark/>
          </w:tcPr>
          <w:p w14:paraId="038D5E2F"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 xml:space="preserve">  Office of the Executive Secretary</w:t>
            </w:r>
          </w:p>
        </w:tc>
        <w:tc>
          <w:tcPr>
            <w:tcW w:w="1360" w:type="dxa"/>
            <w:tcBorders>
              <w:top w:val="nil"/>
              <w:left w:val="nil"/>
              <w:bottom w:val="nil"/>
              <w:right w:val="nil"/>
            </w:tcBorders>
            <w:shd w:val="clear" w:color="auto" w:fill="auto"/>
            <w:hideMark/>
          </w:tcPr>
          <w:p w14:paraId="6162EA78"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3 534.0</w:t>
            </w:r>
          </w:p>
        </w:tc>
        <w:tc>
          <w:tcPr>
            <w:tcW w:w="1600" w:type="dxa"/>
            <w:tcBorders>
              <w:top w:val="nil"/>
              <w:left w:val="nil"/>
              <w:bottom w:val="nil"/>
              <w:right w:val="nil"/>
            </w:tcBorders>
            <w:shd w:val="clear" w:color="auto" w:fill="auto"/>
            <w:hideMark/>
          </w:tcPr>
          <w:p w14:paraId="2AC9DCAE"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3 444.8</w:t>
            </w:r>
          </w:p>
        </w:tc>
        <w:tc>
          <w:tcPr>
            <w:tcW w:w="1640" w:type="dxa"/>
            <w:tcBorders>
              <w:top w:val="nil"/>
              <w:left w:val="nil"/>
              <w:bottom w:val="nil"/>
              <w:right w:val="nil"/>
            </w:tcBorders>
            <w:shd w:val="clear" w:color="auto" w:fill="auto"/>
            <w:hideMark/>
          </w:tcPr>
          <w:p w14:paraId="1D23C5F2"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6 978.8</w:t>
            </w:r>
          </w:p>
        </w:tc>
      </w:tr>
      <w:tr w:rsidR="00253427" w:rsidRPr="003075B3" w14:paraId="49FBE158" w14:textId="77777777" w:rsidTr="00EF0503">
        <w:trPr>
          <w:trHeight w:val="288"/>
        </w:trPr>
        <w:tc>
          <w:tcPr>
            <w:tcW w:w="4520" w:type="dxa"/>
            <w:tcBorders>
              <w:top w:val="nil"/>
              <w:left w:val="nil"/>
              <w:bottom w:val="nil"/>
              <w:right w:val="nil"/>
            </w:tcBorders>
            <w:shd w:val="clear" w:color="auto" w:fill="auto"/>
            <w:hideMark/>
          </w:tcPr>
          <w:p w14:paraId="07C816F7"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 xml:space="preserve">  ABS and BS Protocols</w:t>
            </w:r>
          </w:p>
        </w:tc>
        <w:tc>
          <w:tcPr>
            <w:tcW w:w="1360" w:type="dxa"/>
            <w:tcBorders>
              <w:top w:val="nil"/>
              <w:left w:val="nil"/>
              <w:bottom w:val="nil"/>
              <w:right w:val="nil"/>
            </w:tcBorders>
            <w:shd w:val="clear" w:color="auto" w:fill="auto"/>
            <w:hideMark/>
          </w:tcPr>
          <w:p w14:paraId="2225BD27"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2 322.6</w:t>
            </w:r>
          </w:p>
        </w:tc>
        <w:tc>
          <w:tcPr>
            <w:tcW w:w="1600" w:type="dxa"/>
            <w:tcBorders>
              <w:top w:val="nil"/>
              <w:left w:val="nil"/>
              <w:bottom w:val="nil"/>
              <w:right w:val="nil"/>
            </w:tcBorders>
            <w:shd w:val="clear" w:color="auto" w:fill="auto"/>
            <w:hideMark/>
          </w:tcPr>
          <w:p w14:paraId="1CD641B9"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2 375.9</w:t>
            </w:r>
          </w:p>
        </w:tc>
        <w:tc>
          <w:tcPr>
            <w:tcW w:w="1640" w:type="dxa"/>
            <w:tcBorders>
              <w:top w:val="nil"/>
              <w:left w:val="nil"/>
              <w:bottom w:val="nil"/>
              <w:right w:val="nil"/>
            </w:tcBorders>
            <w:shd w:val="clear" w:color="auto" w:fill="auto"/>
            <w:hideMark/>
          </w:tcPr>
          <w:p w14:paraId="62A4090B"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4 698.5</w:t>
            </w:r>
          </w:p>
        </w:tc>
      </w:tr>
      <w:tr w:rsidR="00253427" w:rsidRPr="003075B3" w14:paraId="78205D56" w14:textId="77777777" w:rsidTr="00EF0503">
        <w:trPr>
          <w:trHeight w:val="288"/>
        </w:trPr>
        <w:tc>
          <w:tcPr>
            <w:tcW w:w="4520" w:type="dxa"/>
            <w:tcBorders>
              <w:top w:val="nil"/>
              <w:left w:val="nil"/>
              <w:bottom w:val="nil"/>
              <w:right w:val="nil"/>
            </w:tcBorders>
            <w:shd w:val="clear" w:color="auto" w:fill="auto"/>
            <w:hideMark/>
          </w:tcPr>
          <w:p w14:paraId="5F00D62B"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 xml:space="preserve">  Science, Society and Sustainable Futures Division</w:t>
            </w:r>
          </w:p>
        </w:tc>
        <w:tc>
          <w:tcPr>
            <w:tcW w:w="1360" w:type="dxa"/>
            <w:tcBorders>
              <w:top w:val="nil"/>
              <w:left w:val="nil"/>
              <w:bottom w:val="nil"/>
              <w:right w:val="nil"/>
            </w:tcBorders>
            <w:shd w:val="clear" w:color="auto" w:fill="auto"/>
            <w:hideMark/>
          </w:tcPr>
          <w:p w14:paraId="3E250A5C"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3 912.3</w:t>
            </w:r>
          </w:p>
        </w:tc>
        <w:tc>
          <w:tcPr>
            <w:tcW w:w="1600" w:type="dxa"/>
            <w:tcBorders>
              <w:top w:val="nil"/>
              <w:left w:val="nil"/>
              <w:bottom w:val="nil"/>
              <w:right w:val="nil"/>
            </w:tcBorders>
            <w:shd w:val="clear" w:color="auto" w:fill="auto"/>
            <w:hideMark/>
          </w:tcPr>
          <w:p w14:paraId="2E0B43FD"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3 909.0</w:t>
            </w:r>
          </w:p>
        </w:tc>
        <w:tc>
          <w:tcPr>
            <w:tcW w:w="1640" w:type="dxa"/>
            <w:tcBorders>
              <w:top w:val="nil"/>
              <w:left w:val="nil"/>
              <w:bottom w:val="nil"/>
              <w:right w:val="nil"/>
            </w:tcBorders>
            <w:shd w:val="clear" w:color="auto" w:fill="auto"/>
            <w:hideMark/>
          </w:tcPr>
          <w:p w14:paraId="013C0F37"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7 821.3</w:t>
            </w:r>
          </w:p>
        </w:tc>
      </w:tr>
      <w:tr w:rsidR="00253427" w:rsidRPr="003075B3" w14:paraId="7AE69CA2" w14:textId="77777777" w:rsidTr="00EF0503">
        <w:trPr>
          <w:trHeight w:val="300"/>
        </w:trPr>
        <w:tc>
          <w:tcPr>
            <w:tcW w:w="4520" w:type="dxa"/>
            <w:tcBorders>
              <w:top w:val="nil"/>
              <w:left w:val="nil"/>
              <w:bottom w:val="single" w:sz="8" w:space="0" w:color="auto"/>
              <w:right w:val="nil"/>
            </w:tcBorders>
            <w:shd w:val="clear" w:color="auto" w:fill="auto"/>
            <w:hideMark/>
          </w:tcPr>
          <w:p w14:paraId="0CA99A77"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 xml:space="preserve">  Implementation Support Division</w:t>
            </w:r>
          </w:p>
        </w:tc>
        <w:tc>
          <w:tcPr>
            <w:tcW w:w="1360" w:type="dxa"/>
            <w:tcBorders>
              <w:top w:val="nil"/>
              <w:left w:val="nil"/>
              <w:bottom w:val="single" w:sz="8" w:space="0" w:color="auto"/>
              <w:right w:val="nil"/>
            </w:tcBorders>
            <w:shd w:val="clear" w:color="auto" w:fill="auto"/>
            <w:hideMark/>
          </w:tcPr>
          <w:p w14:paraId="61978DBC"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3 105.0</w:t>
            </w:r>
          </w:p>
        </w:tc>
        <w:tc>
          <w:tcPr>
            <w:tcW w:w="1600" w:type="dxa"/>
            <w:tcBorders>
              <w:top w:val="nil"/>
              <w:left w:val="nil"/>
              <w:bottom w:val="single" w:sz="8" w:space="0" w:color="auto"/>
              <w:right w:val="nil"/>
            </w:tcBorders>
            <w:shd w:val="clear" w:color="auto" w:fill="auto"/>
            <w:hideMark/>
          </w:tcPr>
          <w:p w14:paraId="0E256295"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3 708.2</w:t>
            </w:r>
          </w:p>
        </w:tc>
        <w:tc>
          <w:tcPr>
            <w:tcW w:w="1640" w:type="dxa"/>
            <w:tcBorders>
              <w:top w:val="nil"/>
              <w:left w:val="nil"/>
              <w:bottom w:val="single" w:sz="8" w:space="0" w:color="auto"/>
              <w:right w:val="nil"/>
            </w:tcBorders>
            <w:shd w:val="clear" w:color="auto" w:fill="auto"/>
            <w:hideMark/>
          </w:tcPr>
          <w:p w14:paraId="4B439637"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6 813.2</w:t>
            </w:r>
          </w:p>
        </w:tc>
      </w:tr>
      <w:tr w:rsidR="00253427" w:rsidRPr="003075B3" w14:paraId="4F8362FF" w14:textId="77777777" w:rsidTr="00EF0503">
        <w:trPr>
          <w:trHeight w:val="300"/>
        </w:trPr>
        <w:tc>
          <w:tcPr>
            <w:tcW w:w="4520" w:type="dxa"/>
            <w:tcBorders>
              <w:top w:val="nil"/>
              <w:left w:val="nil"/>
              <w:bottom w:val="single" w:sz="8" w:space="0" w:color="auto"/>
              <w:right w:val="nil"/>
            </w:tcBorders>
            <w:shd w:val="clear" w:color="auto" w:fill="auto"/>
            <w:hideMark/>
          </w:tcPr>
          <w:p w14:paraId="7C13FF30" w14:textId="77777777" w:rsidR="00253427" w:rsidRPr="003075B3" w:rsidRDefault="00253427" w:rsidP="00EF0503">
            <w:pPr>
              <w:suppressLineNumbers/>
              <w:suppressAutoHyphens/>
              <w:rPr>
                <w:b/>
                <w:bCs/>
                <w:color w:val="000000"/>
                <w:kern w:val="22"/>
                <w:sz w:val="17"/>
                <w:szCs w:val="17"/>
                <w:lang w:eastAsia="en-CA"/>
              </w:rPr>
            </w:pPr>
            <w:r w:rsidRPr="003075B3">
              <w:rPr>
                <w:b/>
                <w:bCs/>
                <w:color w:val="000000"/>
                <w:kern w:val="22"/>
                <w:sz w:val="17"/>
                <w:szCs w:val="17"/>
                <w:lang w:eastAsia="en-CA"/>
              </w:rPr>
              <w:t>II. Administration, Finance and Conference Services</w:t>
            </w:r>
          </w:p>
        </w:tc>
        <w:tc>
          <w:tcPr>
            <w:tcW w:w="1360" w:type="dxa"/>
            <w:tcBorders>
              <w:top w:val="nil"/>
              <w:left w:val="nil"/>
              <w:bottom w:val="single" w:sz="8" w:space="0" w:color="auto"/>
              <w:right w:val="nil"/>
            </w:tcBorders>
            <w:shd w:val="clear" w:color="auto" w:fill="auto"/>
            <w:hideMark/>
          </w:tcPr>
          <w:p w14:paraId="2631DCE2"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3 845.0</w:t>
            </w:r>
          </w:p>
        </w:tc>
        <w:tc>
          <w:tcPr>
            <w:tcW w:w="1600" w:type="dxa"/>
            <w:tcBorders>
              <w:top w:val="nil"/>
              <w:left w:val="nil"/>
              <w:bottom w:val="single" w:sz="8" w:space="0" w:color="auto"/>
              <w:right w:val="nil"/>
            </w:tcBorders>
            <w:shd w:val="clear" w:color="auto" w:fill="auto"/>
            <w:hideMark/>
          </w:tcPr>
          <w:p w14:paraId="61F39B19"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4 052.6</w:t>
            </w:r>
          </w:p>
        </w:tc>
        <w:tc>
          <w:tcPr>
            <w:tcW w:w="1640" w:type="dxa"/>
            <w:tcBorders>
              <w:top w:val="nil"/>
              <w:left w:val="nil"/>
              <w:bottom w:val="single" w:sz="8" w:space="0" w:color="auto"/>
              <w:right w:val="nil"/>
            </w:tcBorders>
            <w:shd w:val="clear" w:color="auto" w:fill="auto"/>
            <w:hideMark/>
          </w:tcPr>
          <w:p w14:paraId="5991F57B"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7 897.6</w:t>
            </w:r>
          </w:p>
        </w:tc>
      </w:tr>
      <w:tr w:rsidR="00253427" w:rsidRPr="003075B3" w14:paraId="7910B423" w14:textId="77777777" w:rsidTr="00EF0503">
        <w:trPr>
          <w:trHeight w:val="300"/>
        </w:trPr>
        <w:tc>
          <w:tcPr>
            <w:tcW w:w="4520" w:type="dxa"/>
            <w:tcBorders>
              <w:top w:val="nil"/>
              <w:left w:val="nil"/>
              <w:bottom w:val="single" w:sz="12" w:space="0" w:color="auto"/>
              <w:right w:val="nil"/>
            </w:tcBorders>
            <w:shd w:val="clear" w:color="auto" w:fill="auto"/>
            <w:hideMark/>
          </w:tcPr>
          <w:p w14:paraId="7E79BF61" w14:textId="77777777" w:rsidR="00253427" w:rsidRPr="003075B3" w:rsidRDefault="00253427" w:rsidP="00EF0503">
            <w:pPr>
              <w:suppressLineNumbers/>
              <w:suppressAutoHyphens/>
              <w:rPr>
                <w:b/>
                <w:bCs/>
                <w:color w:val="000000"/>
                <w:kern w:val="22"/>
                <w:sz w:val="17"/>
                <w:szCs w:val="17"/>
                <w:lang w:eastAsia="en-CA"/>
              </w:rPr>
            </w:pPr>
            <w:r w:rsidRPr="003075B3">
              <w:rPr>
                <w:b/>
                <w:bCs/>
                <w:color w:val="000000"/>
                <w:kern w:val="22"/>
                <w:sz w:val="17"/>
                <w:szCs w:val="17"/>
                <w:lang w:eastAsia="en-CA"/>
              </w:rPr>
              <w:t>Subtotal</w:t>
            </w:r>
          </w:p>
        </w:tc>
        <w:tc>
          <w:tcPr>
            <w:tcW w:w="1360" w:type="dxa"/>
            <w:tcBorders>
              <w:top w:val="nil"/>
              <w:left w:val="nil"/>
              <w:bottom w:val="single" w:sz="12" w:space="0" w:color="auto"/>
              <w:right w:val="nil"/>
            </w:tcBorders>
            <w:shd w:val="clear" w:color="auto" w:fill="auto"/>
            <w:hideMark/>
          </w:tcPr>
          <w:p w14:paraId="1FAFD7EA" w14:textId="77777777" w:rsidR="00253427" w:rsidRPr="003075B3" w:rsidRDefault="00253427" w:rsidP="00EF0503">
            <w:pPr>
              <w:suppressLineNumbers/>
              <w:suppressAutoHyphens/>
              <w:jc w:val="right"/>
              <w:rPr>
                <w:b/>
                <w:bCs/>
                <w:color w:val="000000"/>
                <w:kern w:val="22"/>
                <w:sz w:val="17"/>
                <w:szCs w:val="17"/>
                <w:lang w:eastAsia="en-CA"/>
              </w:rPr>
            </w:pPr>
            <w:r w:rsidRPr="003075B3">
              <w:rPr>
                <w:b/>
                <w:bCs/>
                <w:color w:val="000000"/>
                <w:kern w:val="22"/>
                <w:sz w:val="17"/>
                <w:szCs w:val="17"/>
                <w:lang w:eastAsia="en-CA"/>
              </w:rPr>
              <w:t>16 718.9</w:t>
            </w:r>
          </w:p>
        </w:tc>
        <w:tc>
          <w:tcPr>
            <w:tcW w:w="1600" w:type="dxa"/>
            <w:tcBorders>
              <w:top w:val="nil"/>
              <w:left w:val="nil"/>
              <w:bottom w:val="single" w:sz="12" w:space="0" w:color="auto"/>
              <w:right w:val="nil"/>
            </w:tcBorders>
            <w:shd w:val="clear" w:color="auto" w:fill="auto"/>
            <w:hideMark/>
          </w:tcPr>
          <w:p w14:paraId="37FAE03C" w14:textId="77777777" w:rsidR="00253427" w:rsidRPr="003075B3" w:rsidRDefault="00253427" w:rsidP="00EF0503">
            <w:pPr>
              <w:suppressLineNumbers/>
              <w:suppressAutoHyphens/>
              <w:jc w:val="right"/>
              <w:rPr>
                <w:b/>
                <w:bCs/>
                <w:color w:val="000000"/>
                <w:kern w:val="22"/>
                <w:sz w:val="17"/>
                <w:szCs w:val="17"/>
                <w:lang w:eastAsia="en-CA"/>
              </w:rPr>
            </w:pPr>
            <w:r w:rsidRPr="003075B3">
              <w:rPr>
                <w:b/>
                <w:bCs/>
                <w:color w:val="000000"/>
                <w:kern w:val="22"/>
                <w:sz w:val="17"/>
                <w:szCs w:val="17"/>
                <w:lang w:eastAsia="en-CA"/>
              </w:rPr>
              <w:t>17 490.5</w:t>
            </w:r>
          </w:p>
        </w:tc>
        <w:tc>
          <w:tcPr>
            <w:tcW w:w="1640" w:type="dxa"/>
            <w:tcBorders>
              <w:top w:val="nil"/>
              <w:left w:val="nil"/>
              <w:bottom w:val="single" w:sz="12" w:space="0" w:color="auto"/>
              <w:right w:val="nil"/>
            </w:tcBorders>
            <w:shd w:val="clear" w:color="auto" w:fill="auto"/>
            <w:hideMark/>
          </w:tcPr>
          <w:p w14:paraId="2E79286D" w14:textId="77777777" w:rsidR="00253427" w:rsidRPr="003075B3" w:rsidRDefault="00253427" w:rsidP="00EF0503">
            <w:pPr>
              <w:suppressLineNumbers/>
              <w:suppressAutoHyphens/>
              <w:jc w:val="right"/>
              <w:rPr>
                <w:b/>
                <w:bCs/>
                <w:color w:val="000000"/>
                <w:kern w:val="22"/>
                <w:sz w:val="17"/>
                <w:szCs w:val="17"/>
                <w:lang w:eastAsia="en-CA"/>
              </w:rPr>
            </w:pPr>
            <w:r w:rsidRPr="003075B3">
              <w:rPr>
                <w:b/>
                <w:bCs/>
                <w:color w:val="000000"/>
                <w:kern w:val="22"/>
                <w:sz w:val="17"/>
                <w:szCs w:val="17"/>
                <w:lang w:eastAsia="en-CA"/>
              </w:rPr>
              <w:t>34 209.4</w:t>
            </w:r>
          </w:p>
        </w:tc>
      </w:tr>
      <w:tr w:rsidR="00253427" w:rsidRPr="003075B3" w14:paraId="6BB12836" w14:textId="77777777" w:rsidTr="00EF0503">
        <w:trPr>
          <w:trHeight w:val="300"/>
        </w:trPr>
        <w:tc>
          <w:tcPr>
            <w:tcW w:w="4520" w:type="dxa"/>
            <w:tcBorders>
              <w:top w:val="nil"/>
              <w:left w:val="nil"/>
              <w:bottom w:val="nil"/>
              <w:right w:val="nil"/>
            </w:tcBorders>
            <w:shd w:val="clear" w:color="auto" w:fill="auto"/>
            <w:hideMark/>
          </w:tcPr>
          <w:p w14:paraId="10DB9B0E"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Programme support costs</w:t>
            </w:r>
          </w:p>
        </w:tc>
        <w:tc>
          <w:tcPr>
            <w:tcW w:w="1360" w:type="dxa"/>
            <w:tcBorders>
              <w:top w:val="nil"/>
              <w:left w:val="nil"/>
              <w:bottom w:val="nil"/>
              <w:right w:val="nil"/>
            </w:tcBorders>
            <w:shd w:val="clear" w:color="auto" w:fill="auto"/>
            <w:noWrap/>
            <w:hideMark/>
          </w:tcPr>
          <w:p w14:paraId="53D810C5"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2 173.4</w:t>
            </w:r>
          </w:p>
        </w:tc>
        <w:tc>
          <w:tcPr>
            <w:tcW w:w="1600" w:type="dxa"/>
            <w:tcBorders>
              <w:top w:val="nil"/>
              <w:left w:val="nil"/>
              <w:bottom w:val="nil"/>
              <w:right w:val="nil"/>
            </w:tcBorders>
            <w:shd w:val="clear" w:color="auto" w:fill="auto"/>
            <w:noWrap/>
            <w:hideMark/>
          </w:tcPr>
          <w:p w14:paraId="2308479C"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2 273.9</w:t>
            </w:r>
          </w:p>
        </w:tc>
        <w:tc>
          <w:tcPr>
            <w:tcW w:w="1640" w:type="dxa"/>
            <w:tcBorders>
              <w:top w:val="nil"/>
              <w:left w:val="nil"/>
              <w:bottom w:val="nil"/>
              <w:right w:val="nil"/>
            </w:tcBorders>
            <w:shd w:val="clear" w:color="auto" w:fill="auto"/>
            <w:hideMark/>
          </w:tcPr>
          <w:p w14:paraId="0FAFF0AF"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4 447.2</w:t>
            </w:r>
          </w:p>
        </w:tc>
      </w:tr>
      <w:tr w:rsidR="00253427" w:rsidRPr="003075B3" w14:paraId="5450A74D" w14:textId="77777777" w:rsidTr="00EF0503">
        <w:trPr>
          <w:trHeight w:val="300"/>
        </w:trPr>
        <w:tc>
          <w:tcPr>
            <w:tcW w:w="4520" w:type="dxa"/>
            <w:tcBorders>
              <w:top w:val="nil"/>
              <w:left w:val="nil"/>
              <w:bottom w:val="single" w:sz="8" w:space="0" w:color="auto"/>
              <w:right w:val="nil"/>
            </w:tcBorders>
            <w:shd w:val="clear" w:color="auto" w:fill="auto"/>
            <w:hideMark/>
          </w:tcPr>
          <w:p w14:paraId="06609A21" w14:textId="77777777" w:rsidR="00253427" w:rsidRPr="003075B3" w:rsidRDefault="00253427" w:rsidP="00EF0503">
            <w:pPr>
              <w:suppressLineNumbers/>
              <w:suppressAutoHyphens/>
              <w:rPr>
                <w:b/>
                <w:bCs/>
                <w:color w:val="000000"/>
                <w:kern w:val="22"/>
                <w:sz w:val="17"/>
                <w:szCs w:val="17"/>
                <w:lang w:eastAsia="en-CA"/>
              </w:rPr>
            </w:pPr>
            <w:r w:rsidRPr="003075B3">
              <w:rPr>
                <w:b/>
                <w:bCs/>
                <w:color w:val="000000"/>
                <w:kern w:val="22"/>
                <w:sz w:val="17"/>
                <w:szCs w:val="17"/>
                <w:lang w:eastAsia="en-CA"/>
              </w:rPr>
              <w:t>III. Working Capital Reserve</w:t>
            </w:r>
          </w:p>
        </w:tc>
        <w:tc>
          <w:tcPr>
            <w:tcW w:w="1360" w:type="dxa"/>
            <w:tcBorders>
              <w:top w:val="nil"/>
              <w:left w:val="nil"/>
              <w:bottom w:val="single" w:sz="8" w:space="0" w:color="auto"/>
              <w:right w:val="nil"/>
            </w:tcBorders>
            <w:shd w:val="clear" w:color="auto" w:fill="auto"/>
            <w:noWrap/>
            <w:hideMark/>
          </w:tcPr>
          <w:p w14:paraId="430596DD"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56.6</w:t>
            </w:r>
          </w:p>
        </w:tc>
        <w:tc>
          <w:tcPr>
            <w:tcW w:w="1600" w:type="dxa"/>
            <w:tcBorders>
              <w:top w:val="nil"/>
              <w:left w:val="nil"/>
              <w:bottom w:val="single" w:sz="8" w:space="0" w:color="auto"/>
              <w:right w:val="nil"/>
            </w:tcBorders>
            <w:shd w:val="clear" w:color="auto" w:fill="auto"/>
            <w:noWrap/>
            <w:hideMark/>
          </w:tcPr>
          <w:p w14:paraId="487982F0"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130.8</w:t>
            </w:r>
          </w:p>
        </w:tc>
        <w:tc>
          <w:tcPr>
            <w:tcW w:w="1640" w:type="dxa"/>
            <w:tcBorders>
              <w:top w:val="nil"/>
              <w:left w:val="nil"/>
              <w:bottom w:val="single" w:sz="8" w:space="0" w:color="auto"/>
              <w:right w:val="nil"/>
            </w:tcBorders>
            <w:shd w:val="clear" w:color="auto" w:fill="auto"/>
            <w:hideMark/>
          </w:tcPr>
          <w:p w14:paraId="78A1052E"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187.5</w:t>
            </w:r>
          </w:p>
        </w:tc>
      </w:tr>
      <w:tr w:rsidR="00253427" w:rsidRPr="003075B3" w14:paraId="1AD61FD4" w14:textId="77777777" w:rsidTr="00EF0503">
        <w:trPr>
          <w:trHeight w:val="300"/>
        </w:trPr>
        <w:tc>
          <w:tcPr>
            <w:tcW w:w="4520" w:type="dxa"/>
            <w:tcBorders>
              <w:top w:val="nil"/>
              <w:left w:val="nil"/>
              <w:bottom w:val="single" w:sz="8" w:space="0" w:color="auto"/>
              <w:right w:val="nil"/>
            </w:tcBorders>
            <w:shd w:val="clear" w:color="auto" w:fill="auto"/>
            <w:hideMark/>
          </w:tcPr>
          <w:p w14:paraId="352F1CE6" w14:textId="77777777" w:rsidR="00253427" w:rsidRPr="003075B3" w:rsidRDefault="00253427" w:rsidP="00EF0503">
            <w:pPr>
              <w:suppressLineNumbers/>
              <w:suppressAutoHyphens/>
              <w:rPr>
                <w:b/>
                <w:bCs/>
                <w:color w:val="000000"/>
                <w:kern w:val="22"/>
                <w:sz w:val="17"/>
                <w:szCs w:val="17"/>
                <w:lang w:eastAsia="en-CA"/>
              </w:rPr>
            </w:pPr>
            <w:r w:rsidRPr="003075B3">
              <w:rPr>
                <w:b/>
                <w:bCs/>
                <w:color w:val="000000"/>
                <w:kern w:val="22"/>
                <w:sz w:val="17"/>
                <w:szCs w:val="17"/>
                <w:lang w:eastAsia="en-CA"/>
              </w:rPr>
              <w:t>Total </w:t>
            </w:r>
          </w:p>
        </w:tc>
        <w:tc>
          <w:tcPr>
            <w:tcW w:w="1360" w:type="dxa"/>
            <w:tcBorders>
              <w:top w:val="nil"/>
              <w:left w:val="nil"/>
              <w:bottom w:val="single" w:sz="8" w:space="0" w:color="auto"/>
              <w:right w:val="nil"/>
            </w:tcBorders>
            <w:shd w:val="clear" w:color="auto" w:fill="auto"/>
            <w:noWrap/>
            <w:hideMark/>
          </w:tcPr>
          <w:p w14:paraId="6B747AEB" w14:textId="77777777" w:rsidR="00253427" w:rsidRPr="003075B3" w:rsidRDefault="00253427" w:rsidP="00EF0503">
            <w:pPr>
              <w:suppressLineNumbers/>
              <w:suppressAutoHyphens/>
              <w:jc w:val="right"/>
              <w:rPr>
                <w:b/>
                <w:bCs/>
                <w:color w:val="000000"/>
                <w:kern w:val="22"/>
                <w:sz w:val="17"/>
                <w:szCs w:val="17"/>
                <w:lang w:eastAsia="en-CA"/>
              </w:rPr>
            </w:pPr>
            <w:r w:rsidRPr="003075B3">
              <w:rPr>
                <w:b/>
                <w:bCs/>
                <w:color w:val="000000"/>
                <w:kern w:val="22"/>
                <w:sz w:val="17"/>
                <w:szCs w:val="17"/>
                <w:lang w:eastAsia="en-CA"/>
              </w:rPr>
              <w:t>18 948.9</w:t>
            </w:r>
          </w:p>
        </w:tc>
        <w:tc>
          <w:tcPr>
            <w:tcW w:w="1600" w:type="dxa"/>
            <w:tcBorders>
              <w:top w:val="nil"/>
              <w:left w:val="nil"/>
              <w:bottom w:val="single" w:sz="8" w:space="0" w:color="auto"/>
              <w:right w:val="nil"/>
            </w:tcBorders>
            <w:shd w:val="clear" w:color="auto" w:fill="auto"/>
            <w:noWrap/>
            <w:hideMark/>
          </w:tcPr>
          <w:p w14:paraId="6E9C81A1" w14:textId="77777777" w:rsidR="00253427" w:rsidRPr="003075B3" w:rsidRDefault="00253427" w:rsidP="00EF0503">
            <w:pPr>
              <w:suppressLineNumbers/>
              <w:suppressAutoHyphens/>
              <w:jc w:val="right"/>
              <w:rPr>
                <w:b/>
                <w:bCs/>
                <w:color w:val="000000"/>
                <w:kern w:val="22"/>
                <w:sz w:val="17"/>
                <w:szCs w:val="17"/>
                <w:lang w:eastAsia="en-CA"/>
              </w:rPr>
            </w:pPr>
            <w:r w:rsidRPr="003075B3">
              <w:rPr>
                <w:b/>
                <w:bCs/>
                <w:color w:val="000000"/>
                <w:kern w:val="22"/>
                <w:sz w:val="17"/>
                <w:szCs w:val="17"/>
                <w:lang w:eastAsia="en-CA"/>
              </w:rPr>
              <w:t>19 895.2</w:t>
            </w:r>
          </w:p>
        </w:tc>
        <w:tc>
          <w:tcPr>
            <w:tcW w:w="1640" w:type="dxa"/>
            <w:tcBorders>
              <w:top w:val="nil"/>
              <w:left w:val="nil"/>
              <w:bottom w:val="single" w:sz="8" w:space="0" w:color="auto"/>
              <w:right w:val="nil"/>
            </w:tcBorders>
            <w:shd w:val="clear" w:color="auto" w:fill="auto"/>
            <w:hideMark/>
          </w:tcPr>
          <w:p w14:paraId="0525EBDD" w14:textId="77777777" w:rsidR="00253427" w:rsidRPr="003075B3" w:rsidRDefault="00253427" w:rsidP="00EF0503">
            <w:pPr>
              <w:suppressLineNumbers/>
              <w:suppressAutoHyphens/>
              <w:jc w:val="right"/>
              <w:rPr>
                <w:b/>
                <w:bCs/>
                <w:color w:val="000000"/>
                <w:kern w:val="22"/>
                <w:sz w:val="17"/>
                <w:szCs w:val="17"/>
                <w:lang w:eastAsia="en-CA"/>
              </w:rPr>
            </w:pPr>
            <w:r w:rsidRPr="003075B3">
              <w:rPr>
                <w:b/>
                <w:bCs/>
                <w:color w:val="000000"/>
                <w:kern w:val="22"/>
                <w:sz w:val="17"/>
                <w:szCs w:val="17"/>
                <w:lang w:eastAsia="en-CA"/>
              </w:rPr>
              <w:t>38 844.1</w:t>
            </w:r>
          </w:p>
        </w:tc>
      </w:tr>
      <w:tr w:rsidR="00253427" w:rsidRPr="003075B3" w14:paraId="3EB93CAD" w14:textId="77777777" w:rsidTr="00EF0503">
        <w:trPr>
          <w:trHeight w:val="288"/>
        </w:trPr>
        <w:tc>
          <w:tcPr>
            <w:tcW w:w="4520" w:type="dxa"/>
            <w:tcBorders>
              <w:top w:val="nil"/>
              <w:left w:val="nil"/>
              <w:bottom w:val="single" w:sz="4" w:space="0" w:color="auto"/>
              <w:right w:val="nil"/>
            </w:tcBorders>
            <w:shd w:val="clear" w:color="auto" w:fill="auto"/>
            <w:vAlign w:val="center"/>
            <w:hideMark/>
          </w:tcPr>
          <w:p w14:paraId="238FD7BE" w14:textId="77777777" w:rsidR="00253427" w:rsidRPr="003075B3" w:rsidRDefault="00253427" w:rsidP="00EF0503">
            <w:pPr>
              <w:suppressLineNumbers/>
              <w:suppressAutoHyphens/>
              <w:rPr>
                <w:kern w:val="22"/>
                <w:sz w:val="17"/>
                <w:szCs w:val="17"/>
                <w:lang w:eastAsia="en-CA"/>
              </w:rPr>
            </w:pPr>
            <w:r w:rsidRPr="003075B3">
              <w:rPr>
                <w:kern w:val="22"/>
                <w:sz w:val="17"/>
                <w:szCs w:val="17"/>
                <w:lang w:eastAsia="en-CA"/>
              </w:rPr>
              <w:t>Cartagena Protocol share of the integrated budget (15%)</w:t>
            </w:r>
          </w:p>
        </w:tc>
        <w:tc>
          <w:tcPr>
            <w:tcW w:w="1360" w:type="dxa"/>
            <w:tcBorders>
              <w:top w:val="nil"/>
              <w:left w:val="nil"/>
              <w:bottom w:val="single" w:sz="4" w:space="0" w:color="auto"/>
              <w:right w:val="nil"/>
            </w:tcBorders>
            <w:shd w:val="clear" w:color="auto" w:fill="auto"/>
            <w:vAlign w:val="center"/>
            <w:hideMark/>
          </w:tcPr>
          <w:p w14:paraId="605451B0"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2 842.4</w:t>
            </w:r>
          </w:p>
        </w:tc>
        <w:tc>
          <w:tcPr>
            <w:tcW w:w="1600" w:type="dxa"/>
            <w:tcBorders>
              <w:top w:val="nil"/>
              <w:left w:val="nil"/>
              <w:bottom w:val="single" w:sz="4" w:space="0" w:color="auto"/>
              <w:right w:val="nil"/>
            </w:tcBorders>
            <w:shd w:val="clear" w:color="auto" w:fill="auto"/>
            <w:vAlign w:val="center"/>
            <w:hideMark/>
          </w:tcPr>
          <w:p w14:paraId="1DCEB996"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2 984.3</w:t>
            </w:r>
          </w:p>
        </w:tc>
        <w:tc>
          <w:tcPr>
            <w:tcW w:w="1640" w:type="dxa"/>
            <w:tcBorders>
              <w:top w:val="nil"/>
              <w:left w:val="nil"/>
              <w:bottom w:val="single" w:sz="4" w:space="0" w:color="auto"/>
              <w:right w:val="nil"/>
            </w:tcBorders>
            <w:shd w:val="clear" w:color="auto" w:fill="auto"/>
            <w:noWrap/>
            <w:hideMark/>
          </w:tcPr>
          <w:p w14:paraId="1EB27182" w14:textId="77777777" w:rsidR="00253427" w:rsidRPr="003075B3" w:rsidRDefault="00253427" w:rsidP="00EF0503">
            <w:pPr>
              <w:suppressLineNumbers/>
              <w:suppressAutoHyphens/>
              <w:jc w:val="right"/>
              <w:rPr>
                <w:b/>
                <w:bCs/>
                <w:color w:val="000000"/>
                <w:kern w:val="22"/>
                <w:sz w:val="17"/>
                <w:szCs w:val="17"/>
                <w:lang w:eastAsia="en-CA"/>
              </w:rPr>
            </w:pPr>
            <w:r w:rsidRPr="003075B3">
              <w:rPr>
                <w:b/>
                <w:bCs/>
                <w:color w:val="000000"/>
                <w:kern w:val="22"/>
                <w:sz w:val="17"/>
                <w:szCs w:val="17"/>
                <w:lang w:eastAsia="en-CA"/>
              </w:rPr>
              <w:t>5 826.7</w:t>
            </w:r>
          </w:p>
        </w:tc>
      </w:tr>
      <w:tr w:rsidR="00253427" w:rsidRPr="003075B3" w14:paraId="6C3CB04C" w14:textId="77777777" w:rsidTr="00EF0503">
        <w:trPr>
          <w:trHeight w:val="288"/>
        </w:trPr>
        <w:tc>
          <w:tcPr>
            <w:tcW w:w="4520" w:type="dxa"/>
            <w:tcBorders>
              <w:top w:val="nil"/>
              <w:left w:val="nil"/>
              <w:bottom w:val="nil"/>
              <w:right w:val="nil"/>
            </w:tcBorders>
            <w:shd w:val="clear" w:color="auto" w:fill="auto"/>
            <w:hideMark/>
          </w:tcPr>
          <w:p w14:paraId="63599861"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u w:val="single"/>
                <w:lang w:eastAsia="en-CA"/>
              </w:rPr>
              <w:t>Less</w:t>
            </w:r>
            <w:r w:rsidRPr="003075B3">
              <w:rPr>
                <w:color w:val="000000"/>
                <w:kern w:val="22"/>
                <w:sz w:val="17"/>
                <w:szCs w:val="17"/>
                <w:lang w:eastAsia="en-CA"/>
              </w:rPr>
              <w:t>:  Contribution from host country</w:t>
            </w:r>
          </w:p>
        </w:tc>
        <w:tc>
          <w:tcPr>
            <w:tcW w:w="1360" w:type="dxa"/>
            <w:tcBorders>
              <w:top w:val="nil"/>
              <w:left w:val="nil"/>
              <w:bottom w:val="nil"/>
              <w:right w:val="nil"/>
            </w:tcBorders>
            <w:shd w:val="clear" w:color="auto" w:fill="auto"/>
            <w:vAlign w:val="center"/>
            <w:hideMark/>
          </w:tcPr>
          <w:p w14:paraId="7F37B1C7"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 xml:space="preserve"> (184.4)</w:t>
            </w:r>
          </w:p>
        </w:tc>
        <w:tc>
          <w:tcPr>
            <w:tcW w:w="1600" w:type="dxa"/>
            <w:tcBorders>
              <w:top w:val="nil"/>
              <w:left w:val="nil"/>
              <w:bottom w:val="nil"/>
              <w:right w:val="nil"/>
            </w:tcBorders>
            <w:shd w:val="clear" w:color="auto" w:fill="auto"/>
            <w:vAlign w:val="center"/>
            <w:hideMark/>
          </w:tcPr>
          <w:p w14:paraId="16AC18C1"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 xml:space="preserve"> (213.5)</w:t>
            </w:r>
          </w:p>
        </w:tc>
        <w:tc>
          <w:tcPr>
            <w:tcW w:w="1640" w:type="dxa"/>
            <w:tcBorders>
              <w:top w:val="nil"/>
              <w:left w:val="nil"/>
              <w:bottom w:val="nil"/>
              <w:right w:val="nil"/>
            </w:tcBorders>
            <w:shd w:val="clear" w:color="auto" w:fill="auto"/>
            <w:vAlign w:val="center"/>
            <w:hideMark/>
          </w:tcPr>
          <w:p w14:paraId="633E6885"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 xml:space="preserve">  (397.9)</w:t>
            </w:r>
          </w:p>
        </w:tc>
      </w:tr>
      <w:tr w:rsidR="00253427" w:rsidRPr="003075B3" w14:paraId="736BA324" w14:textId="77777777" w:rsidTr="00EF0503">
        <w:trPr>
          <w:trHeight w:val="288"/>
        </w:trPr>
        <w:tc>
          <w:tcPr>
            <w:tcW w:w="4520" w:type="dxa"/>
            <w:tcBorders>
              <w:top w:val="nil"/>
              <w:left w:val="nil"/>
              <w:bottom w:val="nil"/>
              <w:right w:val="nil"/>
            </w:tcBorders>
            <w:shd w:val="clear" w:color="auto" w:fill="auto"/>
            <w:hideMark/>
          </w:tcPr>
          <w:p w14:paraId="6F4448B8"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u w:val="single"/>
                <w:lang w:eastAsia="en-CA"/>
              </w:rPr>
              <w:t>Less</w:t>
            </w:r>
            <w:r w:rsidRPr="003075B3">
              <w:rPr>
                <w:color w:val="000000"/>
                <w:kern w:val="22"/>
                <w:sz w:val="17"/>
                <w:szCs w:val="17"/>
                <w:lang w:eastAsia="en-CA"/>
              </w:rPr>
              <w:t>:  Use of reserves for extraordinary meetings</w:t>
            </w:r>
          </w:p>
        </w:tc>
        <w:tc>
          <w:tcPr>
            <w:tcW w:w="1360" w:type="dxa"/>
            <w:tcBorders>
              <w:top w:val="nil"/>
              <w:left w:val="nil"/>
              <w:bottom w:val="nil"/>
              <w:right w:val="nil"/>
            </w:tcBorders>
            <w:shd w:val="clear" w:color="auto" w:fill="auto"/>
            <w:vAlign w:val="center"/>
            <w:hideMark/>
          </w:tcPr>
          <w:p w14:paraId="29A6B774"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 xml:space="preserve"> (127.1)</w:t>
            </w:r>
          </w:p>
        </w:tc>
        <w:tc>
          <w:tcPr>
            <w:tcW w:w="1600" w:type="dxa"/>
            <w:tcBorders>
              <w:top w:val="nil"/>
              <w:left w:val="nil"/>
              <w:bottom w:val="nil"/>
              <w:right w:val="nil"/>
            </w:tcBorders>
            <w:shd w:val="clear" w:color="auto" w:fill="auto"/>
            <w:vAlign w:val="center"/>
            <w:hideMark/>
          </w:tcPr>
          <w:p w14:paraId="7BD8934F"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 xml:space="preserve">   (94.9)</w:t>
            </w:r>
          </w:p>
        </w:tc>
        <w:tc>
          <w:tcPr>
            <w:tcW w:w="1640" w:type="dxa"/>
            <w:tcBorders>
              <w:top w:val="nil"/>
              <w:left w:val="nil"/>
              <w:bottom w:val="nil"/>
              <w:right w:val="nil"/>
            </w:tcBorders>
            <w:shd w:val="clear" w:color="auto" w:fill="auto"/>
            <w:vAlign w:val="center"/>
            <w:hideMark/>
          </w:tcPr>
          <w:p w14:paraId="3E984A6A"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 xml:space="preserve">  (222.0)</w:t>
            </w:r>
          </w:p>
        </w:tc>
      </w:tr>
      <w:tr w:rsidR="00253427" w:rsidRPr="003075B3" w14:paraId="19EE43D2" w14:textId="77777777" w:rsidTr="00EF0503">
        <w:trPr>
          <w:trHeight w:val="288"/>
        </w:trPr>
        <w:tc>
          <w:tcPr>
            <w:tcW w:w="4520" w:type="dxa"/>
            <w:tcBorders>
              <w:top w:val="nil"/>
              <w:left w:val="nil"/>
              <w:bottom w:val="nil"/>
              <w:right w:val="nil"/>
            </w:tcBorders>
            <w:shd w:val="clear" w:color="auto" w:fill="auto"/>
            <w:hideMark/>
          </w:tcPr>
          <w:p w14:paraId="035E85BB"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u w:val="single"/>
                <w:lang w:eastAsia="en-CA"/>
              </w:rPr>
              <w:t>Less</w:t>
            </w:r>
            <w:r w:rsidRPr="003075B3">
              <w:rPr>
                <w:color w:val="000000"/>
                <w:kern w:val="22"/>
                <w:sz w:val="17"/>
                <w:szCs w:val="17"/>
                <w:lang w:eastAsia="en-CA"/>
              </w:rPr>
              <w:t>:  Use of reserves from previous years</w:t>
            </w:r>
          </w:p>
        </w:tc>
        <w:tc>
          <w:tcPr>
            <w:tcW w:w="1360" w:type="dxa"/>
            <w:tcBorders>
              <w:top w:val="nil"/>
              <w:left w:val="nil"/>
              <w:bottom w:val="nil"/>
              <w:right w:val="nil"/>
            </w:tcBorders>
            <w:shd w:val="clear" w:color="auto" w:fill="auto"/>
            <w:vAlign w:val="center"/>
            <w:hideMark/>
          </w:tcPr>
          <w:p w14:paraId="5C3D0EE7"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 xml:space="preserve"> (129.5)</w:t>
            </w:r>
          </w:p>
        </w:tc>
        <w:tc>
          <w:tcPr>
            <w:tcW w:w="1600" w:type="dxa"/>
            <w:tcBorders>
              <w:top w:val="nil"/>
              <w:left w:val="nil"/>
              <w:bottom w:val="nil"/>
              <w:right w:val="nil"/>
            </w:tcBorders>
            <w:shd w:val="clear" w:color="auto" w:fill="auto"/>
            <w:vAlign w:val="center"/>
            <w:hideMark/>
          </w:tcPr>
          <w:p w14:paraId="2D71A80F"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(129.5)</w:t>
            </w:r>
          </w:p>
        </w:tc>
        <w:tc>
          <w:tcPr>
            <w:tcW w:w="1640" w:type="dxa"/>
            <w:tcBorders>
              <w:top w:val="nil"/>
              <w:left w:val="nil"/>
              <w:bottom w:val="nil"/>
              <w:right w:val="nil"/>
            </w:tcBorders>
            <w:shd w:val="clear" w:color="auto" w:fill="auto"/>
            <w:vAlign w:val="center"/>
            <w:hideMark/>
          </w:tcPr>
          <w:p w14:paraId="7C490FC0"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(259.0)</w:t>
            </w:r>
          </w:p>
        </w:tc>
      </w:tr>
      <w:tr w:rsidR="00253427" w:rsidRPr="003075B3" w14:paraId="7C7DC453" w14:textId="77777777" w:rsidTr="00EF0503">
        <w:trPr>
          <w:trHeight w:val="300"/>
        </w:trPr>
        <w:tc>
          <w:tcPr>
            <w:tcW w:w="4520" w:type="dxa"/>
            <w:tcBorders>
              <w:top w:val="single" w:sz="4" w:space="0" w:color="auto"/>
              <w:left w:val="nil"/>
              <w:bottom w:val="single" w:sz="8" w:space="0" w:color="auto"/>
              <w:right w:val="nil"/>
            </w:tcBorders>
            <w:shd w:val="clear" w:color="auto" w:fill="auto"/>
            <w:hideMark/>
          </w:tcPr>
          <w:p w14:paraId="64AC878F"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Net total (amount to be shared by Parties)</w:t>
            </w:r>
          </w:p>
        </w:tc>
        <w:tc>
          <w:tcPr>
            <w:tcW w:w="1360" w:type="dxa"/>
            <w:tcBorders>
              <w:top w:val="single" w:sz="4" w:space="0" w:color="auto"/>
              <w:left w:val="nil"/>
              <w:bottom w:val="single" w:sz="8" w:space="0" w:color="auto"/>
              <w:right w:val="nil"/>
            </w:tcBorders>
            <w:shd w:val="clear" w:color="auto" w:fill="auto"/>
            <w:hideMark/>
          </w:tcPr>
          <w:p w14:paraId="49D96299"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2 401.4</w:t>
            </w:r>
          </w:p>
        </w:tc>
        <w:tc>
          <w:tcPr>
            <w:tcW w:w="1600" w:type="dxa"/>
            <w:tcBorders>
              <w:top w:val="single" w:sz="4" w:space="0" w:color="auto"/>
              <w:left w:val="nil"/>
              <w:bottom w:val="single" w:sz="8" w:space="0" w:color="auto"/>
              <w:right w:val="nil"/>
            </w:tcBorders>
            <w:shd w:val="clear" w:color="auto" w:fill="auto"/>
            <w:hideMark/>
          </w:tcPr>
          <w:p w14:paraId="33A865C5"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2 546.4</w:t>
            </w:r>
          </w:p>
        </w:tc>
        <w:tc>
          <w:tcPr>
            <w:tcW w:w="1640" w:type="dxa"/>
            <w:tcBorders>
              <w:top w:val="single" w:sz="4" w:space="0" w:color="auto"/>
              <w:left w:val="nil"/>
              <w:bottom w:val="single" w:sz="8" w:space="0" w:color="auto"/>
              <w:right w:val="nil"/>
            </w:tcBorders>
            <w:shd w:val="clear" w:color="auto" w:fill="auto"/>
            <w:hideMark/>
          </w:tcPr>
          <w:p w14:paraId="5E54F667"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4 947.8</w:t>
            </w:r>
          </w:p>
        </w:tc>
      </w:tr>
    </w:tbl>
    <w:p w14:paraId="7FE1AE77" w14:textId="77777777" w:rsidR="00253427" w:rsidRPr="003075B3" w:rsidRDefault="00253427" w:rsidP="00253427">
      <w:pPr>
        <w:suppressLineNumbers/>
        <w:suppressAutoHyphens/>
        <w:rPr>
          <w:kern w:val="22"/>
        </w:rPr>
      </w:pPr>
    </w:p>
    <w:p w14:paraId="0FEF176D" w14:textId="77777777" w:rsidR="00253427" w:rsidRPr="003075B3" w:rsidRDefault="00253427" w:rsidP="00253427">
      <w:pPr>
        <w:suppressLineNumbers/>
        <w:suppressAutoHyphens/>
        <w:rPr>
          <w:kern w:val="22"/>
        </w:rPr>
      </w:pPr>
    </w:p>
    <w:p w14:paraId="62625E61" w14:textId="77777777" w:rsidR="00253427" w:rsidRPr="00237524" w:rsidRDefault="00253427" w:rsidP="00253427">
      <w:pPr>
        <w:keepNext/>
        <w:suppressLineNumbers/>
        <w:suppressAutoHyphens/>
        <w:spacing w:before="120" w:after="120"/>
        <w:ind w:left="990" w:hanging="990"/>
        <w:rPr>
          <w:rFonts w:eastAsia="Malgun Gothic"/>
          <w:b/>
          <w:bCs/>
          <w:iCs/>
          <w:snapToGrid w:val="0"/>
          <w:kern w:val="22"/>
          <w:sz w:val="22"/>
          <w:szCs w:val="22"/>
          <w:lang w:eastAsia="x-none"/>
        </w:rPr>
      </w:pPr>
      <w:r w:rsidRPr="00237524">
        <w:rPr>
          <w:rFonts w:eastAsia="Malgun Gothic"/>
          <w:b/>
          <w:bCs/>
          <w:iCs/>
          <w:snapToGrid w:val="0"/>
          <w:kern w:val="22"/>
          <w:sz w:val="22"/>
          <w:szCs w:val="22"/>
          <w:lang w:eastAsia="x-none"/>
        </w:rPr>
        <w:lastRenderedPageBreak/>
        <w:t>Table 1b.</w:t>
      </w:r>
      <w:r w:rsidRPr="00237524">
        <w:rPr>
          <w:rFonts w:eastAsia="Malgun Gothic"/>
          <w:b/>
          <w:bCs/>
          <w:iCs/>
          <w:snapToGrid w:val="0"/>
          <w:kern w:val="22"/>
          <w:sz w:val="22"/>
          <w:szCs w:val="22"/>
          <w:lang w:eastAsia="x-none"/>
        </w:rPr>
        <w:tab/>
        <w:t>Integrated biennium budget for the Trust Funds of the Convention on Biological Diversity and its Protocols 2019-2020 (by object of expenditure)</w:t>
      </w:r>
    </w:p>
    <w:p w14:paraId="72CB8866" w14:textId="77777777" w:rsidR="00253427" w:rsidRPr="003075B3" w:rsidRDefault="00253427" w:rsidP="00253427">
      <w:pPr>
        <w:keepNext/>
        <w:suppressLineNumbers/>
        <w:suppressAutoHyphens/>
        <w:spacing w:before="120" w:after="120"/>
        <w:ind w:left="990" w:hanging="990"/>
        <w:rPr>
          <w:rFonts w:eastAsia="Malgun Gothic"/>
          <w:b/>
          <w:bCs/>
          <w:iCs/>
          <w:snapToGrid w:val="0"/>
          <w:kern w:val="22"/>
          <w:lang w:eastAsia="x-none"/>
        </w:rPr>
      </w:pPr>
    </w:p>
    <w:tbl>
      <w:tblPr>
        <w:tblW w:w="0" w:type="auto"/>
        <w:tblInd w:w="93" w:type="dxa"/>
        <w:tblLook w:val="04A0" w:firstRow="1" w:lastRow="0" w:firstColumn="1" w:lastColumn="0" w:noHBand="0" w:noVBand="1"/>
      </w:tblPr>
      <w:tblGrid>
        <w:gridCol w:w="347"/>
        <w:gridCol w:w="74"/>
        <w:gridCol w:w="2685"/>
        <w:gridCol w:w="2384"/>
        <w:gridCol w:w="1296"/>
        <w:gridCol w:w="1294"/>
        <w:gridCol w:w="1289"/>
      </w:tblGrid>
      <w:tr w:rsidR="00253427" w:rsidRPr="003075B3" w14:paraId="1B5DC154"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053CB71B" w14:textId="77777777" w:rsidR="00253427" w:rsidRPr="003075B3" w:rsidRDefault="00253427" w:rsidP="00EF0503">
            <w:pPr>
              <w:suppressLineNumbers/>
              <w:suppressAutoHyphens/>
              <w:jc w:val="right"/>
              <w:rPr>
                <w:color w:val="000000"/>
                <w:kern w:val="22"/>
                <w:sz w:val="17"/>
                <w:szCs w:val="17"/>
                <w:lang w:eastAsia="en-CA"/>
              </w:rPr>
            </w:pPr>
          </w:p>
        </w:tc>
        <w:tc>
          <w:tcPr>
            <w:tcW w:w="0" w:type="auto"/>
            <w:gridSpan w:val="2"/>
            <w:vMerge w:val="restart"/>
            <w:tcBorders>
              <w:top w:val="single" w:sz="8" w:space="0" w:color="auto"/>
              <w:left w:val="nil"/>
              <w:bottom w:val="single" w:sz="8" w:space="0" w:color="000000"/>
              <w:right w:val="nil"/>
            </w:tcBorders>
            <w:shd w:val="clear" w:color="auto" w:fill="auto"/>
            <w:vAlign w:val="center"/>
            <w:hideMark/>
          </w:tcPr>
          <w:p w14:paraId="054938A4" w14:textId="77777777" w:rsidR="00253427" w:rsidRPr="003075B3" w:rsidRDefault="00253427" w:rsidP="00EF0503">
            <w:pPr>
              <w:suppressLineNumbers/>
              <w:suppressAutoHyphens/>
              <w:jc w:val="center"/>
              <w:rPr>
                <w:bCs/>
                <w:i/>
                <w:color w:val="000000"/>
                <w:kern w:val="22"/>
                <w:sz w:val="17"/>
                <w:szCs w:val="17"/>
                <w:lang w:eastAsia="en-CA"/>
              </w:rPr>
            </w:pPr>
            <w:r w:rsidRPr="003075B3">
              <w:rPr>
                <w:bCs/>
                <w:i/>
                <w:color w:val="000000"/>
                <w:kern w:val="22"/>
                <w:sz w:val="17"/>
                <w:szCs w:val="17"/>
                <w:lang w:eastAsia="en-CA"/>
              </w:rPr>
              <w:t>Object of expenditure</w:t>
            </w:r>
          </w:p>
        </w:tc>
        <w:tc>
          <w:tcPr>
            <w:tcW w:w="0" w:type="auto"/>
            <w:tcBorders>
              <w:top w:val="single" w:sz="8" w:space="0" w:color="auto"/>
              <w:left w:val="nil"/>
              <w:bottom w:val="nil"/>
              <w:right w:val="nil"/>
            </w:tcBorders>
            <w:shd w:val="clear" w:color="auto" w:fill="auto"/>
            <w:vAlign w:val="center"/>
            <w:hideMark/>
          </w:tcPr>
          <w:p w14:paraId="650E9709" w14:textId="77777777" w:rsidR="00253427" w:rsidRPr="003075B3" w:rsidRDefault="00253427" w:rsidP="00EF0503">
            <w:pPr>
              <w:suppressLineNumbers/>
              <w:suppressAutoHyphens/>
              <w:jc w:val="center"/>
              <w:rPr>
                <w:bCs/>
                <w:i/>
                <w:color w:val="000000"/>
                <w:kern w:val="22"/>
                <w:sz w:val="17"/>
                <w:szCs w:val="17"/>
                <w:lang w:eastAsia="en-CA"/>
              </w:rPr>
            </w:pPr>
            <w:r w:rsidRPr="003075B3">
              <w:rPr>
                <w:bCs/>
                <w:i/>
                <w:color w:val="000000"/>
                <w:kern w:val="22"/>
                <w:sz w:val="17"/>
                <w:szCs w:val="17"/>
                <w:lang w:eastAsia="en-CA"/>
              </w:rPr>
              <w:t>2019</w:t>
            </w:r>
          </w:p>
        </w:tc>
        <w:tc>
          <w:tcPr>
            <w:tcW w:w="0" w:type="auto"/>
            <w:tcBorders>
              <w:top w:val="single" w:sz="8" w:space="0" w:color="auto"/>
              <w:left w:val="nil"/>
              <w:bottom w:val="nil"/>
              <w:right w:val="nil"/>
            </w:tcBorders>
            <w:shd w:val="clear" w:color="auto" w:fill="auto"/>
            <w:vAlign w:val="center"/>
            <w:hideMark/>
          </w:tcPr>
          <w:p w14:paraId="7BC51B98" w14:textId="77777777" w:rsidR="00253427" w:rsidRPr="003075B3" w:rsidRDefault="00253427" w:rsidP="00EF0503">
            <w:pPr>
              <w:suppressLineNumbers/>
              <w:suppressAutoHyphens/>
              <w:jc w:val="center"/>
              <w:rPr>
                <w:bCs/>
                <w:i/>
                <w:color w:val="000000"/>
                <w:kern w:val="22"/>
                <w:sz w:val="17"/>
                <w:szCs w:val="17"/>
                <w:lang w:eastAsia="en-CA"/>
              </w:rPr>
            </w:pPr>
            <w:r w:rsidRPr="003075B3">
              <w:rPr>
                <w:bCs/>
                <w:i/>
                <w:color w:val="000000"/>
                <w:kern w:val="22"/>
                <w:sz w:val="17"/>
                <w:szCs w:val="17"/>
                <w:lang w:eastAsia="en-CA"/>
              </w:rPr>
              <w:t>2020</w:t>
            </w:r>
          </w:p>
        </w:tc>
        <w:tc>
          <w:tcPr>
            <w:tcW w:w="0" w:type="auto"/>
            <w:tcBorders>
              <w:top w:val="single" w:sz="8" w:space="0" w:color="auto"/>
              <w:left w:val="nil"/>
              <w:bottom w:val="nil"/>
              <w:right w:val="nil"/>
            </w:tcBorders>
            <w:shd w:val="clear" w:color="auto" w:fill="auto"/>
            <w:vAlign w:val="center"/>
            <w:hideMark/>
          </w:tcPr>
          <w:p w14:paraId="53C08290" w14:textId="77777777" w:rsidR="00253427" w:rsidRPr="003075B3" w:rsidRDefault="00253427" w:rsidP="00EF0503">
            <w:pPr>
              <w:suppressLineNumbers/>
              <w:suppressAutoHyphens/>
              <w:jc w:val="center"/>
              <w:rPr>
                <w:bCs/>
                <w:i/>
                <w:color w:val="000000"/>
                <w:kern w:val="22"/>
                <w:sz w:val="17"/>
                <w:szCs w:val="17"/>
                <w:lang w:eastAsia="en-CA"/>
              </w:rPr>
            </w:pPr>
            <w:r w:rsidRPr="003075B3">
              <w:rPr>
                <w:bCs/>
                <w:i/>
                <w:color w:val="000000"/>
                <w:kern w:val="22"/>
                <w:sz w:val="17"/>
                <w:szCs w:val="17"/>
                <w:lang w:eastAsia="en-CA"/>
              </w:rPr>
              <w:t>Total</w:t>
            </w:r>
          </w:p>
        </w:tc>
      </w:tr>
      <w:tr w:rsidR="00253427" w:rsidRPr="003075B3" w14:paraId="19EFD378"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76CE8662" w14:textId="77777777" w:rsidR="00253427" w:rsidRPr="003075B3" w:rsidRDefault="00253427" w:rsidP="00EF0503">
            <w:pPr>
              <w:suppressLineNumbers/>
              <w:suppressAutoHyphens/>
              <w:jc w:val="right"/>
              <w:rPr>
                <w:color w:val="000000"/>
                <w:kern w:val="22"/>
                <w:sz w:val="17"/>
                <w:szCs w:val="17"/>
                <w:lang w:eastAsia="en-CA"/>
              </w:rPr>
            </w:pPr>
          </w:p>
        </w:tc>
        <w:tc>
          <w:tcPr>
            <w:tcW w:w="0" w:type="auto"/>
            <w:gridSpan w:val="2"/>
            <w:vMerge/>
            <w:tcBorders>
              <w:top w:val="nil"/>
              <w:left w:val="nil"/>
              <w:bottom w:val="nil"/>
              <w:right w:val="nil"/>
            </w:tcBorders>
            <w:vAlign w:val="center"/>
            <w:hideMark/>
          </w:tcPr>
          <w:p w14:paraId="6C0659C1" w14:textId="77777777" w:rsidR="00253427" w:rsidRPr="003075B3" w:rsidRDefault="00253427" w:rsidP="00EF0503">
            <w:pPr>
              <w:suppressLineNumbers/>
              <w:suppressAutoHyphens/>
              <w:rPr>
                <w:bCs/>
                <w:i/>
                <w:color w:val="000000"/>
                <w:kern w:val="22"/>
                <w:sz w:val="17"/>
                <w:szCs w:val="17"/>
                <w:lang w:eastAsia="en-CA"/>
              </w:rPr>
            </w:pPr>
          </w:p>
        </w:tc>
        <w:tc>
          <w:tcPr>
            <w:tcW w:w="0" w:type="auto"/>
            <w:gridSpan w:val="3"/>
            <w:tcBorders>
              <w:top w:val="nil"/>
              <w:left w:val="nil"/>
              <w:bottom w:val="nil"/>
              <w:right w:val="nil"/>
            </w:tcBorders>
            <w:shd w:val="clear" w:color="auto" w:fill="auto"/>
            <w:vAlign w:val="center"/>
            <w:hideMark/>
          </w:tcPr>
          <w:p w14:paraId="4AAE4091" w14:textId="77777777" w:rsidR="00253427" w:rsidRPr="003075B3" w:rsidRDefault="00253427" w:rsidP="00EF0503">
            <w:pPr>
              <w:suppressLineNumbers/>
              <w:suppressAutoHyphens/>
              <w:jc w:val="center"/>
              <w:rPr>
                <w:i/>
                <w:iCs/>
                <w:color w:val="000000"/>
                <w:kern w:val="22"/>
                <w:sz w:val="17"/>
                <w:szCs w:val="17"/>
                <w:lang w:eastAsia="en-CA"/>
              </w:rPr>
            </w:pPr>
            <w:r w:rsidRPr="003075B3">
              <w:rPr>
                <w:i/>
                <w:iCs/>
                <w:color w:val="000000"/>
                <w:kern w:val="22"/>
                <w:sz w:val="17"/>
                <w:szCs w:val="17"/>
                <w:lang w:eastAsia="en-CA"/>
              </w:rPr>
              <w:t>(Thousands of United States dollars)</w:t>
            </w:r>
          </w:p>
        </w:tc>
      </w:tr>
      <w:tr w:rsidR="00253427" w:rsidRPr="003075B3" w14:paraId="6E5B86F9" w14:textId="77777777" w:rsidTr="00EF0503">
        <w:trPr>
          <w:trHeight w:val="48"/>
        </w:trPr>
        <w:tc>
          <w:tcPr>
            <w:tcW w:w="0" w:type="auto"/>
            <w:gridSpan w:val="2"/>
            <w:tcBorders>
              <w:top w:val="nil"/>
              <w:left w:val="nil"/>
              <w:bottom w:val="nil"/>
              <w:right w:val="nil"/>
            </w:tcBorders>
            <w:shd w:val="clear" w:color="auto" w:fill="auto"/>
            <w:noWrap/>
            <w:vAlign w:val="center"/>
            <w:hideMark/>
          </w:tcPr>
          <w:p w14:paraId="20905F70" w14:textId="77777777" w:rsidR="00253427" w:rsidRPr="003075B3" w:rsidRDefault="00253427" w:rsidP="00EF0503">
            <w:pPr>
              <w:suppressLineNumbers/>
              <w:suppressAutoHyphens/>
              <w:jc w:val="right"/>
              <w:rPr>
                <w:color w:val="000000"/>
                <w:kern w:val="22"/>
                <w:sz w:val="17"/>
                <w:szCs w:val="17"/>
                <w:lang w:eastAsia="en-CA"/>
              </w:rPr>
            </w:pPr>
          </w:p>
        </w:tc>
        <w:tc>
          <w:tcPr>
            <w:tcW w:w="0" w:type="auto"/>
            <w:gridSpan w:val="2"/>
            <w:vMerge/>
            <w:tcBorders>
              <w:top w:val="nil"/>
              <w:left w:val="nil"/>
              <w:bottom w:val="nil"/>
              <w:right w:val="nil"/>
            </w:tcBorders>
            <w:vAlign w:val="center"/>
            <w:hideMark/>
          </w:tcPr>
          <w:p w14:paraId="5DAA120B" w14:textId="77777777" w:rsidR="00253427" w:rsidRPr="003075B3" w:rsidRDefault="00253427" w:rsidP="00EF0503">
            <w:pPr>
              <w:suppressLineNumbers/>
              <w:suppressAutoHyphens/>
              <w:rPr>
                <w:bCs/>
                <w:i/>
                <w:color w:val="000000"/>
                <w:kern w:val="22"/>
                <w:sz w:val="17"/>
                <w:szCs w:val="17"/>
                <w:lang w:eastAsia="en-CA"/>
              </w:rPr>
            </w:pPr>
          </w:p>
        </w:tc>
        <w:tc>
          <w:tcPr>
            <w:tcW w:w="0" w:type="auto"/>
            <w:tcBorders>
              <w:top w:val="nil"/>
              <w:left w:val="nil"/>
              <w:bottom w:val="single" w:sz="8" w:space="0" w:color="auto"/>
              <w:right w:val="nil"/>
            </w:tcBorders>
            <w:shd w:val="clear" w:color="auto" w:fill="auto"/>
            <w:vAlign w:val="center"/>
            <w:hideMark/>
          </w:tcPr>
          <w:p w14:paraId="60831F56" w14:textId="77777777" w:rsidR="00253427" w:rsidRPr="003075B3" w:rsidRDefault="00253427" w:rsidP="00EF0503">
            <w:pPr>
              <w:suppressLineNumbers/>
              <w:suppressAutoHyphens/>
              <w:jc w:val="center"/>
              <w:rPr>
                <w:bCs/>
                <w:color w:val="000000"/>
                <w:kern w:val="22"/>
                <w:sz w:val="17"/>
                <w:szCs w:val="17"/>
                <w:lang w:eastAsia="en-CA"/>
              </w:rPr>
            </w:pPr>
          </w:p>
        </w:tc>
        <w:tc>
          <w:tcPr>
            <w:tcW w:w="0" w:type="auto"/>
            <w:tcBorders>
              <w:top w:val="nil"/>
              <w:left w:val="nil"/>
              <w:bottom w:val="single" w:sz="8" w:space="0" w:color="auto"/>
              <w:right w:val="nil"/>
            </w:tcBorders>
            <w:shd w:val="clear" w:color="auto" w:fill="auto"/>
            <w:vAlign w:val="center"/>
            <w:hideMark/>
          </w:tcPr>
          <w:p w14:paraId="2156234D" w14:textId="77777777" w:rsidR="00253427" w:rsidRPr="003075B3" w:rsidRDefault="00253427" w:rsidP="00EF0503">
            <w:pPr>
              <w:suppressLineNumbers/>
              <w:suppressAutoHyphens/>
              <w:jc w:val="center"/>
              <w:rPr>
                <w:bCs/>
                <w:color w:val="000000"/>
                <w:kern w:val="22"/>
                <w:sz w:val="17"/>
                <w:szCs w:val="17"/>
                <w:lang w:eastAsia="en-CA"/>
              </w:rPr>
            </w:pPr>
          </w:p>
        </w:tc>
        <w:tc>
          <w:tcPr>
            <w:tcW w:w="0" w:type="auto"/>
            <w:tcBorders>
              <w:top w:val="nil"/>
              <w:left w:val="nil"/>
              <w:bottom w:val="single" w:sz="8" w:space="0" w:color="auto"/>
              <w:right w:val="nil"/>
            </w:tcBorders>
            <w:shd w:val="clear" w:color="auto" w:fill="auto"/>
            <w:vAlign w:val="center"/>
            <w:hideMark/>
          </w:tcPr>
          <w:p w14:paraId="0094FA86" w14:textId="77777777" w:rsidR="00253427" w:rsidRPr="003075B3" w:rsidRDefault="00253427" w:rsidP="00EF0503">
            <w:pPr>
              <w:suppressLineNumbers/>
              <w:suppressAutoHyphens/>
              <w:jc w:val="center"/>
              <w:rPr>
                <w:bCs/>
                <w:color w:val="000000"/>
                <w:kern w:val="22"/>
                <w:sz w:val="17"/>
                <w:szCs w:val="17"/>
                <w:lang w:eastAsia="en-CA"/>
              </w:rPr>
            </w:pPr>
          </w:p>
        </w:tc>
      </w:tr>
      <w:tr w:rsidR="00253427" w:rsidRPr="003075B3" w14:paraId="3ECEFD70"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4855E350"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A.</w:t>
            </w:r>
          </w:p>
        </w:tc>
        <w:tc>
          <w:tcPr>
            <w:tcW w:w="0" w:type="auto"/>
            <w:gridSpan w:val="2"/>
            <w:tcBorders>
              <w:top w:val="single" w:sz="8" w:space="0" w:color="auto"/>
              <w:left w:val="nil"/>
              <w:bottom w:val="nil"/>
              <w:right w:val="nil"/>
            </w:tcBorders>
            <w:shd w:val="clear" w:color="auto" w:fill="auto"/>
            <w:vAlign w:val="center"/>
            <w:hideMark/>
          </w:tcPr>
          <w:p w14:paraId="21FE45D0"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Staff costs</w:t>
            </w:r>
          </w:p>
        </w:tc>
        <w:tc>
          <w:tcPr>
            <w:tcW w:w="0" w:type="auto"/>
            <w:tcBorders>
              <w:top w:val="nil"/>
              <w:left w:val="nil"/>
              <w:bottom w:val="nil"/>
              <w:right w:val="nil"/>
            </w:tcBorders>
            <w:shd w:val="clear" w:color="auto" w:fill="auto"/>
            <w:vAlign w:val="center"/>
            <w:hideMark/>
          </w:tcPr>
          <w:p w14:paraId="32C8F68F"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11 453.9</w:t>
            </w:r>
          </w:p>
        </w:tc>
        <w:tc>
          <w:tcPr>
            <w:tcW w:w="0" w:type="auto"/>
            <w:tcBorders>
              <w:top w:val="nil"/>
              <w:left w:val="nil"/>
              <w:bottom w:val="nil"/>
              <w:right w:val="nil"/>
            </w:tcBorders>
            <w:shd w:val="clear" w:color="auto" w:fill="auto"/>
            <w:vAlign w:val="center"/>
            <w:hideMark/>
          </w:tcPr>
          <w:p w14:paraId="62A7960D"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11 626.6</w:t>
            </w:r>
          </w:p>
        </w:tc>
        <w:tc>
          <w:tcPr>
            <w:tcW w:w="0" w:type="auto"/>
            <w:tcBorders>
              <w:top w:val="nil"/>
              <w:left w:val="nil"/>
              <w:bottom w:val="nil"/>
              <w:right w:val="nil"/>
            </w:tcBorders>
            <w:shd w:val="clear" w:color="auto" w:fill="auto"/>
            <w:vAlign w:val="center"/>
            <w:hideMark/>
          </w:tcPr>
          <w:p w14:paraId="52346336"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23 080.5</w:t>
            </w:r>
          </w:p>
        </w:tc>
      </w:tr>
      <w:tr w:rsidR="00253427" w:rsidRPr="003075B3" w14:paraId="0A61F6EC"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25DD7DF7"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B.</w:t>
            </w:r>
          </w:p>
        </w:tc>
        <w:tc>
          <w:tcPr>
            <w:tcW w:w="0" w:type="auto"/>
            <w:gridSpan w:val="2"/>
            <w:tcBorders>
              <w:top w:val="nil"/>
              <w:left w:val="nil"/>
              <w:bottom w:val="nil"/>
              <w:right w:val="nil"/>
            </w:tcBorders>
            <w:shd w:val="clear" w:color="auto" w:fill="auto"/>
            <w:vAlign w:val="center"/>
            <w:hideMark/>
          </w:tcPr>
          <w:p w14:paraId="3D364320"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Bureau meetings</w:t>
            </w:r>
          </w:p>
        </w:tc>
        <w:tc>
          <w:tcPr>
            <w:tcW w:w="0" w:type="auto"/>
            <w:tcBorders>
              <w:top w:val="nil"/>
              <w:left w:val="nil"/>
              <w:bottom w:val="nil"/>
              <w:right w:val="nil"/>
            </w:tcBorders>
            <w:shd w:val="clear" w:color="auto" w:fill="auto"/>
            <w:vAlign w:val="center"/>
            <w:hideMark/>
          </w:tcPr>
          <w:p w14:paraId="65B9E6A8"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150.0</w:t>
            </w:r>
          </w:p>
        </w:tc>
        <w:tc>
          <w:tcPr>
            <w:tcW w:w="0" w:type="auto"/>
            <w:tcBorders>
              <w:top w:val="nil"/>
              <w:left w:val="nil"/>
              <w:bottom w:val="nil"/>
              <w:right w:val="nil"/>
            </w:tcBorders>
            <w:shd w:val="clear" w:color="auto" w:fill="auto"/>
            <w:vAlign w:val="center"/>
            <w:hideMark/>
          </w:tcPr>
          <w:p w14:paraId="27D2B88A"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215.0</w:t>
            </w:r>
          </w:p>
        </w:tc>
        <w:tc>
          <w:tcPr>
            <w:tcW w:w="0" w:type="auto"/>
            <w:tcBorders>
              <w:top w:val="nil"/>
              <w:left w:val="nil"/>
              <w:bottom w:val="nil"/>
              <w:right w:val="nil"/>
            </w:tcBorders>
            <w:shd w:val="clear" w:color="auto" w:fill="auto"/>
            <w:vAlign w:val="center"/>
            <w:hideMark/>
          </w:tcPr>
          <w:p w14:paraId="59FE4320"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365.0</w:t>
            </w:r>
          </w:p>
        </w:tc>
      </w:tr>
      <w:tr w:rsidR="00253427" w:rsidRPr="003075B3" w14:paraId="39A524A4"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6B4A7C78"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C.</w:t>
            </w:r>
          </w:p>
        </w:tc>
        <w:tc>
          <w:tcPr>
            <w:tcW w:w="0" w:type="auto"/>
            <w:gridSpan w:val="2"/>
            <w:tcBorders>
              <w:top w:val="nil"/>
              <w:left w:val="nil"/>
              <w:bottom w:val="nil"/>
              <w:right w:val="nil"/>
            </w:tcBorders>
            <w:shd w:val="clear" w:color="auto" w:fill="auto"/>
            <w:vAlign w:val="center"/>
            <w:hideMark/>
          </w:tcPr>
          <w:p w14:paraId="23960567"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Travel on official business</w:t>
            </w:r>
          </w:p>
        </w:tc>
        <w:tc>
          <w:tcPr>
            <w:tcW w:w="0" w:type="auto"/>
            <w:tcBorders>
              <w:top w:val="nil"/>
              <w:left w:val="nil"/>
              <w:bottom w:val="nil"/>
              <w:right w:val="nil"/>
            </w:tcBorders>
            <w:shd w:val="clear" w:color="auto" w:fill="auto"/>
            <w:vAlign w:val="center"/>
            <w:hideMark/>
          </w:tcPr>
          <w:p w14:paraId="4D59F2FE"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400.0</w:t>
            </w:r>
          </w:p>
        </w:tc>
        <w:tc>
          <w:tcPr>
            <w:tcW w:w="0" w:type="auto"/>
            <w:tcBorders>
              <w:top w:val="nil"/>
              <w:left w:val="nil"/>
              <w:bottom w:val="nil"/>
              <w:right w:val="nil"/>
            </w:tcBorders>
            <w:shd w:val="clear" w:color="auto" w:fill="auto"/>
            <w:vAlign w:val="center"/>
            <w:hideMark/>
          </w:tcPr>
          <w:p w14:paraId="0ECBEB6B"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400.0</w:t>
            </w:r>
          </w:p>
        </w:tc>
        <w:tc>
          <w:tcPr>
            <w:tcW w:w="0" w:type="auto"/>
            <w:tcBorders>
              <w:top w:val="nil"/>
              <w:left w:val="nil"/>
              <w:bottom w:val="nil"/>
              <w:right w:val="nil"/>
            </w:tcBorders>
            <w:shd w:val="clear" w:color="auto" w:fill="auto"/>
            <w:vAlign w:val="center"/>
            <w:hideMark/>
          </w:tcPr>
          <w:p w14:paraId="401325FD"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800.0</w:t>
            </w:r>
          </w:p>
        </w:tc>
      </w:tr>
      <w:tr w:rsidR="00253427" w:rsidRPr="003075B3" w14:paraId="1123CDCA"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0F7B773B"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D.</w:t>
            </w:r>
          </w:p>
        </w:tc>
        <w:tc>
          <w:tcPr>
            <w:tcW w:w="0" w:type="auto"/>
            <w:gridSpan w:val="2"/>
            <w:tcBorders>
              <w:top w:val="nil"/>
              <w:left w:val="nil"/>
              <w:bottom w:val="nil"/>
              <w:right w:val="nil"/>
            </w:tcBorders>
            <w:shd w:val="clear" w:color="auto" w:fill="auto"/>
            <w:vAlign w:val="center"/>
            <w:hideMark/>
          </w:tcPr>
          <w:p w14:paraId="0E99C922" w14:textId="77777777" w:rsidR="00253427" w:rsidRPr="003075B3" w:rsidRDefault="00253427" w:rsidP="00EF0503">
            <w:pPr>
              <w:suppressLineNumbers/>
              <w:suppressAutoHyphens/>
              <w:rPr>
                <w:kern w:val="22"/>
                <w:sz w:val="17"/>
                <w:szCs w:val="17"/>
                <w:lang w:eastAsia="en-CA"/>
              </w:rPr>
            </w:pPr>
            <w:r w:rsidRPr="003075B3">
              <w:rPr>
                <w:kern w:val="22"/>
                <w:sz w:val="17"/>
                <w:szCs w:val="17"/>
                <w:lang w:eastAsia="en-CA"/>
              </w:rPr>
              <w:t>Consultants/ Subcontractors</w:t>
            </w:r>
          </w:p>
        </w:tc>
        <w:tc>
          <w:tcPr>
            <w:tcW w:w="0" w:type="auto"/>
            <w:tcBorders>
              <w:top w:val="nil"/>
              <w:left w:val="nil"/>
              <w:bottom w:val="nil"/>
              <w:right w:val="nil"/>
            </w:tcBorders>
            <w:shd w:val="clear" w:color="auto" w:fill="auto"/>
            <w:vAlign w:val="center"/>
            <w:hideMark/>
          </w:tcPr>
          <w:p w14:paraId="3CC5E7C2"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50.0</w:t>
            </w:r>
          </w:p>
        </w:tc>
        <w:tc>
          <w:tcPr>
            <w:tcW w:w="0" w:type="auto"/>
            <w:tcBorders>
              <w:top w:val="nil"/>
              <w:left w:val="nil"/>
              <w:bottom w:val="nil"/>
              <w:right w:val="nil"/>
            </w:tcBorders>
            <w:shd w:val="clear" w:color="auto" w:fill="auto"/>
            <w:vAlign w:val="center"/>
            <w:hideMark/>
          </w:tcPr>
          <w:p w14:paraId="0F58BF1E"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50.0</w:t>
            </w:r>
          </w:p>
        </w:tc>
        <w:tc>
          <w:tcPr>
            <w:tcW w:w="0" w:type="auto"/>
            <w:tcBorders>
              <w:top w:val="nil"/>
              <w:left w:val="nil"/>
              <w:bottom w:val="nil"/>
              <w:right w:val="nil"/>
            </w:tcBorders>
            <w:shd w:val="clear" w:color="auto" w:fill="auto"/>
            <w:vAlign w:val="center"/>
            <w:hideMark/>
          </w:tcPr>
          <w:p w14:paraId="5AA899DE"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100.0</w:t>
            </w:r>
          </w:p>
        </w:tc>
      </w:tr>
      <w:tr w:rsidR="00253427" w:rsidRPr="003075B3" w14:paraId="778995BD"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259A86B1"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E.</w:t>
            </w:r>
          </w:p>
        </w:tc>
        <w:tc>
          <w:tcPr>
            <w:tcW w:w="0" w:type="auto"/>
            <w:gridSpan w:val="2"/>
            <w:tcBorders>
              <w:top w:val="nil"/>
              <w:left w:val="nil"/>
              <w:bottom w:val="nil"/>
              <w:right w:val="nil"/>
            </w:tcBorders>
            <w:shd w:val="clear" w:color="auto" w:fill="auto"/>
            <w:vAlign w:val="center"/>
            <w:hideMark/>
          </w:tcPr>
          <w:p w14:paraId="342DF2A4" w14:textId="77777777" w:rsidR="00253427" w:rsidRPr="003075B3" w:rsidRDefault="00253427" w:rsidP="00EF0503">
            <w:pPr>
              <w:suppressLineNumbers/>
              <w:suppressAutoHyphens/>
              <w:rPr>
                <w:kern w:val="22"/>
                <w:sz w:val="17"/>
                <w:szCs w:val="17"/>
                <w:lang w:eastAsia="en-CA"/>
              </w:rPr>
            </w:pPr>
            <w:r w:rsidRPr="003075B3">
              <w:rPr>
                <w:kern w:val="22"/>
                <w:sz w:val="17"/>
                <w:szCs w:val="17"/>
                <w:lang w:eastAsia="en-CA"/>
              </w:rPr>
              <w:t>Public awareness material/communications</w:t>
            </w:r>
          </w:p>
        </w:tc>
        <w:tc>
          <w:tcPr>
            <w:tcW w:w="0" w:type="auto"/>
            <w:tcBorders>
              <w:top w:val="nil"/>
              <w:left w:val="nil"/>
              <w:bottom w:val="nil"/>
              <w:right w:val="nil"/>
            </w:tcBorders>
            <w:shd w:val="clear" w:color="auto" w:fill="auto"/>
            <w:vAlign w:val="center"/>
            <w:hideMark/>
          </w:tcPr>
          <w:p w14:paraId="61C25C36"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50.0</w:t>
            </w:r>
          </w:p>
        </w:tc>
        <w:tc>
          <w:tcPr>
            <w:tcW w:w="0" w:type="auto"/>
            <w:tcBorders>
              <w:top w:val="nil"/>
              <w:left w:val="nil"/>
              <w:bottom w:val="nil"/>
              <w:right w:val="nil"/>
            </w:tcBorders>
            <w:shd w:val="clear" w:color="auto" w:fill="auto"/>
            <w:vAlign w:val="center"/>
            <w:hideMark/>
          </w:tcPr>
          <w:p w14:paraId="78586D43"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50.0</w:t>
            </w:r>
          </w:p>
        </w:tc>
        <w:tc>
          <w:tcPr>
            <w:tcW w:w="0" w:type="auto"/>
            <w:tcBorders>
              <w:top w:val="nil"/>
              <w:left w:val="nil"/>
              <w:bottom w:val="nil"/>
              <w:right w:val="nil"/>
            </w:tcBorders>
            <w:shd w:val="clear" w:color="auto" w:fill="auto"/>
            <w:vAlign w:val="center"/>
            <w:hideMark/>
          </w:tcPr>
          <w:p w14:paraId="7364A7E3"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100.0</w:t>
            </w:r>
          </w:p>
        </w:tc>
      </w:tr>
      <w:tr w:rsidR="00253427" w:rsidRPr="003075B3" w14:paraId="371ED50E"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7442719D"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F.</w:t>
            </w:r>
          </w:p>
        </w:tc>
        <w:tc>
          <w:tcPr>
            <w:tcW w:w="0" w:type="auto"/>
            <w:gridSpan w:val="2"/>
            <w:tcBorders>
              <w:top w:val="nil"/>
              <w:left w:val="nil"/>
              <w:bottom w:val="nil"/>
              <w:right w:val="nil"/>
            </w:tcBorders>
            <w:shd w:val="clear" w:color="auto" w:fill="auto"/>
            <w:vAlign w:val="center"/>
            <w:hideMark/>
          </w:tcPr>
          <w:p w14:paraId="340D7AEA"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Temporary assistance/overtime</w:t>
            </w:r>
          </w:p>
        </w:tc>
        <w:tc>
          <w:tcPr>
            <w:tcW w:w="0" w:type="auto"/>
            <w:tcBorders>
              <w:top w:val="nil"/>
              <w:left w:val="nil"/>
              <w:bottom w:val="nil"/>
              <w:right w:val="nil"/>
            </w:tcBorders>
            <w:shd w:val="clear" w:color="auto" w:fill="auto"/>
            <w:vAlign w:val="center"/>
            <w:hideMark/>
          </w:tcPr>
          <w:p w14:paraId="0431259F"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100.0</w:t>
            </w:r>
          </w:p>
        </w:tc>
        <w:tc>
          <w:tcPr>
            <w:tcW w:w="0" w:type="auto"/>
            <w:tcBorders>
              <w:top w:val="nil"/>
              <w:left w:val="nil"/>
              <w:bottom w:val="nil"/>
              <w:right w:val="nil"/>
            </w:tcBorders>
            <w:shd w:val="clear" w:color="auto" w:fill="auto"/>
            <w:vAlign w:val="center"/>
            <w:hideMark/>
          </w:tcPr>
          <w:p w14:paraId="6C7D0A98"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100.0</w:t>
            </w:r>
          </w:p>
        </w:tc>
        <w:tc>
          <w:tcPr>
            <w:tcW w:w="0" w:type="auto"/>
            <w:tcBorders>
              <w:top w:val="nil"/>
              <w:left w:val="nil"/>
              <w:bottom w:val="nil"/>
              <w:right w:val="nil"/>
            </w:tcBorders>
            <w:shd w:val="clear" w:color="auto" w:fill="auto"/>
            <w:vAlign w:val="center"/>
            <w:hideMark/>
          </w:tcPr>
          <w:p w14:paraId="140C4E26"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200.0</w:t>
            </w:r>
          </w:p>
        </w:tc>
      </w:tr>
      <w:tr w:rsidR="00253427" w:rsidRPr="003075B3" w14:paraId="1648076A"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34E05E57"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G.</w:t>
            </w:r>
          </w:p>
        </w:tc>
        <w:tc>
          <w:tcPr>
            <w:tcW w:w="0" w:type="auto"/>
            <w:gridSpan w:val="2"/>
            <w:tcBorders>
              <w:top w:val="nil"/>
              <w:left w:val="nil"/>
              <w:bottom w:val="nil"/>
              <w:right w:val="nil"/>
            </w:tcBorders>
            <w:shd w:val="clear" w:color="auto" w:fill="auto"/>
            <w:vAlign w:val="center"/>
            <w:hideMark/>
          </w:tcPr>
          <w:p w14:paraId="1E900ACC"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Training</w:t>
            </w:r>
          </w:p>
        </w:tc>
        <w:tc>
          <w:tcPr>
            <w:tcW w:w="0" w:type="auto"/>
            <w:tcBorders>
              <w:top w:val="nil"/>
              <w:left w:val="nil"/>
              <w:bottom w:val="nil"/>
              <w:right w:val="nil"/>
            </w:tcBorders>
            <w:shd w:val="clear" w:color="auto" w:fill="auto"/>
            <w:vAlign w:val="center"/>
            <w:hideMark/>
          </w:tcPr>
          <w:p w14:paraId="16FAE9C3"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5.0</w:t>
            </w:r>
          </w:p>
        </w:tc>
        <w:tc>
          <w:tcPr>
            <w:tcW w:w="0" w:type="auto"/>
            <w:tcBorders>
              <w:top w:val="nil"/>
              <w:left w:val="nil"/>
              <w:bottom w:val="nil"/>
              <w:right w:val="nil"/>
            </w:tcBorders>
            <w:shd w:val="clear" w:color="auto" w:fill="auto"/>
            <w:vAlign w:val="center"/>
            <w:hideMark/>
          </w:tcPr>
          <w:p w14:paraId="32E6936A"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5.0</w:t>
            </w:r>
          </w:p>
        </w:tc>
        <w:tc>
          <w:tcPr>
            <w:tcW w:w="0" w:type="auto"/>
            <w:tcBorders>
              <w:top w:val="nil"/>
              <w:left w:val="nil"/>
              <w:bottom w:val="nil"/>
              <w:right w:val="nil"/>
            </w:tcBorders>
            <w:shd w:val="clear" w:color="auto" w:fill="auto"/>
            <w:vAlign w:val="center"/>
            <w:hideMark/>
          </w:tcPr>
          <w:p w14:paraId="52B21E7A"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10.0</w:t>
            </w:r>
          </w:p>
        </w:tc>
      </w:tr>
      <w:tr w:rsidR="00253427" w:rsidRPr="003075B3" w14:paraId="79FAA2B4"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64511FDC"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H.</w:t>
            </w:r>
          </w:p>
        </w:tc>
        <w:tc>
          <w:tcPr>
            <w:tcW w:w="0" w:type="auto"/>
            <w:gridSpan w:val="2"/>
            <w:tcBorders>
              <w:top w:val="nil"/>
              <w:left w:val="nil"/>
              <w:bottom w:val="nil"/>
              <w:right w:val="nil"/>
            </w:tcBorders>
            <w:shd w:val="clear" w:color="auto" w:fill="auto"/>
            <w:vAlign w:val="center"/>
            <w:hideMark/>
          </w:tcPr>
          <w:p w14:paraId="17401729"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Translation of CHM website/website projects</w:t>
            </w:r>
          </w:p>
        </w:tc>
        <w:tc>
          <w:tcPr>
            <w:tcW w:w="0" w:type="auto"/>
            <w:tcBorders>
              <w:top w:val="nil"/>
              <w:left w:val="nil"/>
              <w:bottom w:val="nil"/>
              <w:right w:val="nil"/>
            </w:tcBorders>
            <w:shd w:val="clear" w:color="auto" w:fill="auto"/>
            <w:vAlign w:val="center"/>
            <w:hideMark/>
          </w:tcPr>
          <w:p w14:paraId="10C54A60"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65.0</w:t>
            </w:r>
          </w:p>
        </w:tc>
        <w:tc>
          <w:tcPr>
            <w:tcW w:w="0" w:type="auto"/>
            <w:tcBorders>
              <w:top w:val="nil"/>
              <w:left w:val="nil"/>
              <w:bottom w:val="nil"/>
              <w:right w:val="nil"/>
            </w:tcBorders>
            <w:shd w:val="clear" w:color="auto" w:fill="auto"/>
            <w:vAlign w:val="center"/>
            <w:hideMark/>
          </w:tcPr>
          <w:p w14:paraId="7BC30D7A"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65.0</w:t>
            </w:r>
          </w:p>
        </w:tc>
        <w:tc>
          <w:tcPr>
            <w:tcW w:w="0" w:type="auto"/>
            <w:tcBorders>
              <w:top w:val="nil"/>
              <w:left w:val="nil"/>
              <w:bottom w:val="nil"/>
              <w:right w:val="nil"/>
            </w:tcBorders>
            <w:shd w:val="clear" w:color="auto" w:fill="auto"/>
            <w:vAlign w:val="center"/>
            <w:hideMark/>
          </w:tcPr>
          <w:p w14:paraId="04E901E7"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130.0</w:t>
            </w:r>
          </w:p>
        </w:tc>
      </w:tr>
      <w:tr w:rsidR="00253427" w:rsidRPr="003075B3" w14:paraId="6615B6C0"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1F40BE8A"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I.</w:t>
            </w:r>
          </w:p>
        </w:tc>
        <w:tc>
          <w:tcPr>
            <w:tcW w:w="0" w:type="auto"/>
            <w:gridSpan w:val="2"/>
            <w:tcBorders>
              <w:top w:val="nil"/>
              <w:left w:val="nil"/>
              <w:bottom w:val="nil"/>
              <w:right w:val="nil"/>
            </w:tcBorders>
            <w:shd w:val="clear" w:color="auto" w:fill="auto"/>
            <w:vAlign w:val="center"/>
            <w:hideMark/>
          </w:tcPr>
          <w:p w14:paraId="11DA8462"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Meetings</w:t>
            </w:r>
            <w:r w:rsidRPr="003075B3">
              <w:rPr>
                <w:color w:val="000000"/>
                <w:kern w:val="22"/>
                <w:sz w:val="17"/>
                <w:szCs w:val="17"/>
                <w:vertAlign w:val="superscript"/>
                <w:lang w:eastAsia="en-CA"/>
              </w:rPr>
              <w:t>1/2/3</w:t>
            </w:r>
          </w:p>
        </w:tc>
        <w:tc>
          <w:tcPr>
            <w:tcW w:w="0" w:type="auto"/>
            <w:tcBorders>
              <w:top w:val="nil"/>
              <w:left w:val="nil"/>
              <w:bottom w:val="nil"/>
              <w:right w:val="nil"/>
            </w:tcBorders>
            <w:shd w:val="clear" w:color="auto" w:fill="auto"/>
            <w:vAlign w:val="center"/>
            <w:hideMark/>
          </w:tcPr>
          <w:p w14:paraId="07156BB0"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1 569.0</w:t>
            </w:r>
          </w:p>
        </w:tc>
        <w:tc>
          <w:tcPr>
            <w:tcW w:w="0" w:type="auto"/>
            <w:tcBorders>
              <w:top w:val="nil"/>
              <w:left w:val="nil"/>
              <w:bottom w:val="nil"/>
              <w:right w:val="nil"/>
            </w:tcBorders>
            <w:shd w:val="clear" w:color="auto" w:fill="auto"/>
            <w:vAlign w:val="center"/>
            <w:hideMark/>
          </w:tcPr>
          <w:p w14:paraId="5BD0E85F"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2 119.0</w:t>
            </w:r>
          </w:p>
        </w:tc>
        <w:tc>
          <w:tcPr>
            <w:tcW w:w="0" w:type="auto"/>
            <w:tcBorders>
              <w:top w:val="nil"/>
              <w:left w:val="nil"/>
              <w:bottom w:val="nil"/>
              <w:right w:val="nil"/>
            </w:tcBorders>
            <w:shd w:val="clear" w:color="auto" w:fill="auto"/>
            <w:vAlign w:val="center"/>
            <w:hideMark/>
          </w:tcPr>
          <w:p w14:paraId="786F6F82"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3 688.0</w:t>
            </w:r>
          </w:p>
        </w:tc>
      </w:tr>
      <w:tr w:rsidR="00253427" w:rsidRPr="003075B3" w14:paraId="1D9CA317"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6A10CC93"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J.</w:t>
            </w:r>
          </w:p>
        </w:tc>
        <w:tc>
          <w:tcPr>
            <w:tcW w:w="0" w:type="auto"/>
            <w:gridSpan w:val="2"/>
            <w:tcBorders>
              <w:top w:val="nil"/>
              <w:left w:val="nil"/>
              <w:bottom w:val="nil"/>
              <w:right w:val="nil"/>
            </w:tcBorders>
            <w:shd w:val="clear" w:color="auto" w:fill="auto"/>
            <w:vAlign w:val="center"/>
            <w:hideMark/>
          </w:tcPr>
          <w:p w14:paraId="218501AA"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Expert meetings</w:t>
            </w:r>
          </w:p>
        </w:tc>
        <w:tc>
          <w:tcPr>
            <w:tcW w:w="0" w:type="auto"/>
            <w:tcBorders>
              <w:top w:val="nil"/>
              <w:left w:val="nil"/>
              <w:bottom w:val="nil"/>
              <w:right w:val="nil"/>
            </w:tcBorders>
            <w:shd w:val="clear" w:color="auto" w:fill="auto"/>
            <w:vAlign w:val="center"/>
            <w:hideMark/>
          </w:tcPr>
          <w:p w14:paraId="069D9D92"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170.0</w:t>
            </w:r>
          </w:p>
        </w:tc>
        <w:tc>
          <w:tcPr>
            <w:tcW w:w="0" w:type="auto"/>
            <w:tcBorders>
              <w:top w:val="nil"/>
              <w:left w:val="nil"/>
              <w:bottom w:val="nil"/>
              <w:right w:val="nil"/>
            </w:tcBorders>
            <w:shd w:val="clear" w:color="auto" w:fill="auto"/>
            <w:vAlign w:val="center"/>
            <w:hideMark/>
          </w:tcPr>
          <w:p w14:paraId="67B2901A"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150.0</w:t>
            </w:r>
          </w:p>
        </w:tc>
        <w:tc>
          <w:tcPr>
            <w:tcW w:w="0" w:type="auto"/>
            <w:tcBorders>
              <w:top w:val="nil"/>
              <w:left w:val="nil"/>
              <w:bottom w:val="nil"/>
              <w:right w:val="nil"/>
            </w:tcBorders>
            <w:shd w:val="clear" w:color="auto" w:fill="auto"/>
            <w:vAlign w:val="center"/>
            <w:hideMark/>
          </w:tcPr>
          <w:p w14:paraId="484F19C6"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320.0</w:t>
            </w:r>
          </w:p>
        </w:tc>
      </w:tr>
      <w:tr w:rsidR="00253427" w:rsidRPr="003075B3" w14:paraId="103C4660"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1D295AE3"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K.</w:t>
            </w:r>
          </w:p>
        </w:tc>
        <w:tc>
          <w:tcPr>
            <w:tcW w:w="0" w:type="auto"/>
            <w:gridSpan w:val="2"/>
            <w:tcBorders>
              <w:top w:val="nil"/>
              <w:left w:val="nil"/>
              <w:bottom w:val="nil"/>
              <w:right w:val="nil"/>
            </w:tcBorders>
            <w:shd w:val="clear" w:color="auto" w:fill="auto"/>
            <w:vAlign w:val="center"/>
            <w:hideMark/>
          </w:tcPr>
          <w:p w14:paraId="56906C6A"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Extraordinary meetings on post-2020</w:t>
            </w:r>
            <w:r w:rsidRPr="003075B3">
              <w:rPr>
                <w:color w:val="000000"/>
                <w:kern w:val="22"/>
                <w:sz w:val="17"/>
                <w:szCs w:val="17"/>
                <w:vertAlign w:val="superscript"/>
                <w:lang w:eastAsia="en-CA"/>
              </w:rPr>
              <w:t>4/</w:t>
            </w:r>
          </w:p>
        </w:tc>
        <w:tc>
          <w:tcPr>
            <w:tcW w:w="0" w:type="auto"/>
            <w:tcBorders>
              <w:top w:val="nil"/>
              <w:left w:val="nil"/>
              <w:bottom w:val="nil"/>
              <w:right w:val="nil"/>
            </w:tcBorders>
            <w:shd w:val="clear" w:color="auto" w:fill="auto"/>
            <w:vAlign w:val="center"/>
            <w:hideMark/>
          </w:tcPr>
          <w:p w14:paraId="7D9BEFF4"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750.0</w:t>
            </w:r>
          </w:p>
        </w:tc>
        <w:tc>
          <w:tcPr>
            <w:tcW w:w="0" w:type="auto"/>
            <w:tcBorders>
              <w:top w:val="nil"/>
              <w:left w:val="nil"/>
              <w:bottom w:val="nil"/>
              <w:right w:val="nil"/>
            </w:tcBorders>
            <w:shd w:val="clear" w:color="auto" w:fill="auto"/>
            <w:vAlign w:val="center"/>
            <w:hideMark/>
          </w:tcPr>
          <w:p w14:paraId="62514E7D"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560.0</w:t>
            </w:r>
          </w:p>
        </w:tc>
        <w:tc>
          <w:tcPr>
            <w:tcW w:w="0" w:type="auto"/>
            <w:tcBorders>
              <w:top w:val="nil"/>
              <w:left w:val="nil"/>
              <w:bottom w:val="nil"/>
              <w:right w:val="nil"/>
            </w:tcBorders>
            <w:shd w:val="clear" w:color="auto" w:fill="auto"/>
            <w:vAlign w:val="center"/>
            <w:hideMark/>
          </w:tcPr>
          <w:p w14:paraId="643CEC25"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1 310.0</w:t>
            </w:r>
          </w:p>
        </w:tc>
      </w:tr>
      <w:tr w:rsidR="00253427" w:rsidRPr="003075B3" w14:paraId="328ABEC6"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736478CF"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L.</w:t>
            </w:r>
          </w:p>
        </w:tc>
        <w:tc>
          <w:tcPr>
            <w:tcW w:w="0" w:type="auto"/>
            <w:gridSpan w:val="2"/>
            <w:tcBorders>
              <w:top w:val="nil"/>
              <w:left w:val="nil"/>
              <w:bottom w:val="nil"/>
              <w:right w:val="nil"/>
            </w:tcBorders>
            <w:shd w:val="clear" w:color="auto" w:fill="auto"/>
            <w:vAlign w:val="center"/>
            <w:hideMark/>
          </w:tcPr>
          <w:p w14:paraId="707B9648"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Rent and associated costs</w:t>
            </w:r>
            <w:r w:rsidRPr="003075B3">
              <w:rPr>
                <w:color w:val="000000"/>
                <w:kern w:val="22"/>
                <w:sz w:val="17"/>
                <w:szCs w:val="17"/>
                <w:vertAlign w:val="superscript"/>
                <w:lang w:eastAsia="en-CA"/>
              </w:rPr>
              <w:t>5/</w:t>
            </w:r>
          </w:p>
        </w:tc>
        <w:tc>
          <w:tcPr>
            <w:tcW w:w="0" w:type="auto"/>
            <w:tcBorders>
              <w:top w:val="nil"/>
              <w:left w:val="nil"/>
              <w:bottom w:val="nil"/>
              <w:right w:val="nil"/>
            </w:tcBorders>
            <w:shd w:val="clear" w:color="auto" w:fill="auto"/>
            <w:vAlign w:val="center"/>
            <w:hideMark/>
          </w:tcPr>
          <w:p w14:paraId="50413660"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1 229.5</w:t>
            </w:r>
          </w:p>
        </w:tc>
        <w:tc>
          <w:tcPr>
            <w:tcW w:w="0" w:type="auto"/>
            <w:tcBorders>
              <w:top w:val="nil"/>
              <w:left w:val="nil"/>
              <w:bottom w:val="nil"/>
              <w:right w:val="nil"/>
            </w:tcBorders>
            <w:shd w:val="clear" w:color="auto" w:fill="auto"/>
            <w:vAlign w:val="center"/>
            <w:hideMark/>
          </w:tcPr>
          <w:p w14:paraId="70CFE234"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1 423.4</w:t>
            </w:r>
          </w:p>
        </w:tc>
        <w:tc>
          <w:tcPr>
            <w:tcW w:w="0" w:type="auto"/>
            <w:tcBorders>
              <w:top w:val="nil"/>
              <w:left w:val="nil"/>
              <w:bottom w:val="nil"/>
              <w:right w:val="nil"/>
            </w:tcBorders>
            <w:shd w:val="clear" w:color="auto" w:fill="auto"/>
            <w:vAlign w:val="center"/>
            <w:hideMark/>
          </w:tcPr>
          <w:p w14:paraId="7225E338"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2 652.9</w:t>
            </w:r>
          </w:p>
        </w:tc>
      </w:tr>
      <w:tr w:rsidR="00253427" w:rsidRPr="003075B3" w14:paraId="36C64083"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0FC58D45"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M.</w:t>
            </w:r>
          </w:p>
        </w:tc>
        <w:tc>
          <w:tcPr>
            <w:tcW w:w="0" w:type="auto"/>
            <w:gridSpan w:val="2"/>
            <w:tcBorders>
              <w:top w:val="nil"/>
              <w:left w:val="nil"/>
              <w:bottom w:val="single" w:sz="4" w:space="0" w:color="auto"/>
              <w:right w:val="nil"/>
            </w:tcBorders>
            <w:shd w:val="clear" w:color="auto" w:fill="auto"/>
            <w:vAlign w:val="center"/>
            <w:hideMark/>
          </w:tcPr>
          <w:p w14:paraId="28C953A7" w14:textId="77777777" w:rsidR="00253427" w:rsidRPr="003075B3" w:rsidRDefault="00253427" w:rsidP="00EF0503">
            <w:pPr>
              <w:suppressLineNumbers/>
              <w:suppressAutoHyphens/>
              <w:rPr>
                <w:color w:val="000000"/>
                <w:kern w:val="22"/>
                <w:sz w:val="17"/>
                <w:szCs w:val="17"/>
                <w:lang w:eastAsia="en-CA"/>
              </w:rPr>
            </w:pPr>
            <w:r w:rsidRPr="003075B3">
              <w:rPr>
                <w:color w:val="000000"/>
                <w:kern w:val="22"/>
                <w:sz w:val="17"/>
                <w:szCs w:val="17"/>
                <w:lang w:eastAsia="en-CA"/>
              </w:rPr>
              <w:t>General operating expenses</w:t>
            </w:r>
          </w:p>
        </w:tc>
        <w:tc>
          <w:tcPr>
            <w:tcW w:w="0" w:type="auto"/>
            <w:tcBorders>
              <w:top w:val="nil"/>
              <w:left w:val="nil"/>
              <w:bottom w:val="nil"/>
              <w:right w:val="nil"/>
            </w:tcBorders>
            <w:shd w:val="clear" w:color="auto" w:fill="auto"/>
            <w:vAlign w:val="center"/>
            <w:hideMark/>
          </w:tcPr>
          <w:p w14:paraId="4E9B015D"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726.6</w:t>
            </w:r>
          </w:p>
        </w:tc>
        <w:tc>
          <w:tcPr>
            <w:tcW w:w="0" w:type="auto"/>
            <w:tcBorders>
              <w:top w:val="nil"/>
              <w:left w:val="nil"/>
              <w:bottom w:val="nil"/>
              <w:right w:val="nil"/>
            </w:tcBorders>
            <w:shd w:val="clear" w:color="auto" w:fill="auto"/>
            <w:vAlign w:val="center"/>
            <w:hideMark/>
          </w:tcPr>
          <w:p w14:paraId="2B902281"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726.6</w:t>
            </w:r>
          </w:p>
        </w:tc>
        <w:tc>
          <w:tcPr>
            <w:tcW w:w="0" w:type="auto"/>
            <w:tcBorders>
              <w:top w:val="nil"/>
              <w:left w:val="nil"/>
              <w:bottom w:val="nil"/>
              <w:right w:val="nil"/>
            </w:tcBorders>
            <w:shd w:val="clear" w:color="auto" w:fill="auto"/>
            <w:vAlign w:val="center"/>
            <w:hideMark/>
          </w:tcPr>
          <w:p w14:paraId="538880E9" w14:textId="77777777" w:rsidR="00253427" w:rsidRPr="003075B3" w:rsidRDefault="00253427" w:rsidP="00EF0503">
            <w:pPr>
              <w:suppressLineNumbers/>
              <w:suppressAutoHyphens/>
              <w:jc w:val="right"/>
              <w:rPr>
                <w:color w:val="000000"/>
                <w:kern w:val="22"/>
                <w:sz w:val="17"/>
                <w:szCs w:val="17"/>
                <w:lang w:eastAsia="en-CA"/>
              </w:rPr>
            </w:pPr>
            <w:r w:rsidRPr="003075B3">
              <w:rPr>
                <w:color w:val="000000"/>
                <w:kern w:val="22"/>
                <w:sz w:val="17"/>
                <w:szCs w:val="17"/>
                <w:lang w:eastAsia="en-CA"/>
              </w:rPr>
              <w:t>1 453.2</w:t>
            </w:r>
          </w:p>
        </w:tc>
      </w:tr>
      <w:tr w:rsidR="00253427" w:rsidRPr="003075B3" w14:paraId="05F4B02C"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6EA5C192" w14:textId="77777777" w:rsidR="00253427" w:rsidRPr="003075B3" w:rsidRDefault="00253427" w:rsidP="00EF0503">
            <w:pPr>
              <w:suppressLineNumbers/>
              <w:suppressAutoHyphens/>
              <w:jc w:val="right"/>
              <w:rPr>
                <w:b/>
                <w:bCs/>
                <w:color w:val="000000"/>
                <w:kern w:val="22"/>
                <w:sz w:val="17"/>
                <w:szCs w:val="17"/>
                <w:lang w:eastAsia="en-CA"/>
              </w:rPr>
            </w:pPr>
          </w:p>
        </w:tc>
        <w:tc>
          <w:tcPr>
            <w:tcW w:w="0" w:type="auto"/>
            <w:gridSpan w:val="2"/>
            <w:tcBorders>
              <w:top w:val="single" w:sz="4" w:space="0" w:color="auto"/>
              <w:left w:val="nil"/>
              <w:bottom w:val="single" w:sz="4" w:space="0" w:color="auto"/>
              <w:right w:val="nil"/>
            </w:tcBorders>
            <w:shd w:val="clear" w:color="auto" w:fill="auto"/>
            <w:vAlign w:val="center"/>
            <w:hideMark/>
          </w:tcPr>
          <w:p w14:paraId="67FFF207" w14:textId="77777777" w:rsidR="00253427" w:rsidRPr="003075B3" w:rsidRDefault="00253427" w:rsidP="00EF0503">
            <w:pPr>
              <w:suppressLineNumbers/>
              <w:suppressAutoHyphens/>
              <w:rPr>
                <w:b/>
                <w:bCs/>
                <w:kern w:val="22"/>
                <w:sz w:val="17"/>
                <w:szCs w:val="17"/>
                <w:lang w:eastAsia="en-CA"/>
              </w:rPr>
            </w:pPr>
            <w:r w:rsidRPr="003075B3">
              <w:rPr>
                <w:b/>
                <w:bCs/>
                <w:kern w:val="22"/>
                <w:sz w:val="17"/>
                <w:szCs w:val="17"/>
                <w:lang w:eastAsia="en-CA"/>
              </w:rPr>
              <w:t>Sub-total (I)</w:t>
            </w:r>
          </w:p>
        </w:tc>
        <w:tc>
          <w:tcPr>
            <w:tcW w:w="0" w:type="auto"/>
            <w:tcBorders>
              <w:top w:val="single" w:sz="4" w:space="0" w:color="auto"/>
              <w:left w:val="nil"/>
              <w:bottom w:val="single" w:sz="4" w:space="0" w:color="auto"/>
              <w:right w:val="nil"/>
            </w:tcBorders>
            <w:shd w:val="clear" w:color="auto" w:fill="auto"/>
            <w:vAlign w:val="center"/>
            <w:hideMark/>
          </w:tcPr>
          <w:p w14:paraId="60F4D746" w14:textId="77777777" w:rsidR="00253427" w:rsidRPr="003075B3" w:rsidRDefault="00253427" w:rsidP="00EF0503">
            <w:pPr>
              <w:suppressLineNumbers/>
              <w:suppressAutoHyphens/>
              <w:jc w:val="right"/>
              <w:rPr>
                <w:b/>
                <w:bCs/>
                <w:kern w:val="22"/>
                <w:sz w:val="17"/>
                <w:szCs w:val="17"/>
                <w:lang w:eastAsia="en-CA"/>
              </w:rPr>
            </w:pPr>
            <w:r w:rsidRPr="003075B3">
              <w:rPr>
                <w:b/>
                <w:bCs/>
                <w:kern w:val="22"/>
                <w:sz w:val="17"/>
                <w:szCs w:val="17"/>
                <w:lang w:eastAsia="en-CA"/>
              </w:rPr>
              <w:t>16 719.0</w:t>
            </w:r>
          </w:p>
        </w:tc>
        <w:tc>
          <w:tcPr>
            <w:tcW w:w="0" w:type="auto"/>
            <w:tcBorders>
              <w:top w:val="single" w:sz="4" w:space="0" w:color="auto"/>
              <w:left w:val="nil"/>
              <w:bottom w:val="single" w:sz="4" w:space="0" w:color="auto"/>
              <w:right w:val="nil"/>
            </w:tcBorders>
            <w:shd w:val="clear" w:color="auto" w:fill="auto"/>
            <w:vAlign w:val="center"/>
            <w:hideMark/>
          </w:tcPr>
          <w:p w14:paraId="2BF38561" w14:textId="77777777" w:rsidR="00253427" w:rsidRPr="003075B3" w:rsidRDefault="00253427" w:rsidP="00EF0503">
            <w:pPr>
              <w:suppressLineNumbers/>
              <w:suppressAutoHyphens/>
              <w:jc w:val="right"/>
              <w:rPr>
                <w:b/>
                <w:bCs/>
                <w:kern w:val="22"/>
                <w:sz w:val="17"/>
                <w:szCs w:val="17"/>
                <w:lang w:eastAsia="en-CA"/>
              </w:rPr>
            </w:pPr>
            <w:r w:rsidRPr="003075B3">
              <w:rPr>
                <w:b/>
                <w:bCs/>
                <w:kern w:val="22"/>
                <w:sz w:val="17"/>
                <w:szCs w:val="17"/>
                <w:lang w:eastAsia="en-CA"/>
              </w:rPr>
              <w:t>17 490.6</w:t>
            </w:r>
          </w:p>
        </w:tc>
        <w:tc>
          <w:tcPr>
            <w:tcW w:w="0" w:type="auto"/>
            <w:tcBorders>
              <w:top w:val="single" w:sz="4" w:space="0" w:color="auto"/>
              <w:left w:val="nil"/>
              <w:bottom w:val="single" w:sz="4" w:space="0" w:color="auto"/>
              <w:right w:val="nil"/>
            </w:tcBorders>
            <w:shd w:val="clear" w:color="auto" w:fill="auto"/>
            <w:vAlign w:val="center"/>
            <w:hideMark/>
          </w:tcPr>
          <w:p w14:paraId="385091C3" w14:textId="77777777" w:rsidR="00253427" w:rsidRPr="003075B3" w:rsidRDefault="00253427" w:rsidP="00EF0503">
            <w:pPr>
              <w:suppressLineNumbers/>
              <w:suppressAutoHyphens/>
              <w:jc w:val="right"/>
              <w:rPr>
                <w:b/>
                <w:bCs/>
                <w:kern w:val="22"/>
                <w:sz w:val="17"/>
                <w:szCs w:val="17"/>
                <w:lang w:eastAsia="en-CA"/>
              </w:rPr>
            </w:pPr>
            <w:r w:rsidRPr="003075B3">
              <w:rPr>
                <w:b/>
                <w:bCs/>
                <w:kern w:val="22"/>
                <w:sz w:val="17"/>
                <w:szCs w:val="17"/>
                <w:lang w:eastAsia="en-CA"/>
              </w:rPr>
              <w:t>34 209.6</w:t>
            </w:r>
          </w:p>
        </w:tc>
      </w:tr>
      <w:tr w:rsidR="00253427" w:rsidRPr="003075B3" w14:paraId="425C2A28"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171742A8" w14:textId="77777777" w:rsidR="00253427" w:rsidRPr="003075B3" w:rsidRDefault="00253427" w:rsidP="00EF0503">
            <w:pPr>
              <w:suppressLineNumbers/>
              <w:suppressAutoHyphens/>
              <w:jc w:val="right"/>
              <w:rPr>
                <w:b/>
                <w:bCs/>
                <w:color w:val="000000"/>
                <w:kern w:val="22"/>
                <w:sz w:val="17"/>
                <w:szCs w:val="17"/>
                <w:lang w:eastAsia="en-CA"/>
              </w:rPr>
            </w:pPr>
            <w:r w:rsidRPr="003075B3">
              <w:rPr>
                <w:b/>
                <w:bCs/>
                <w:color w:val="000000"/>
                <w:kern w:val="22"/>
                <w:sz w:val="17"/>
                <w:szCs w:val="17"/>
                <w:lang w:eastAsia="en-CA"/>
              </w:rPr>
              <w:t>II</w:t>
            </w:r>
          </w:p>
        </w:tc>
        <w:tc>
          <w:tcPr>
            <w:tcW w:w="0" w:type="auto"/>
            <w:gridSpan w:val="2"/>
            <w:tcBorders>
              <w:top w:val="single" w:sz="4" w:space="0" w:color="auto"/>
              <w:left w:val="nil"/>
              <w:bottom w:val="nil"/>
              <w:right w:val="nil"/>
            </w:tcBorders>
            <w:shd w:val="clear" w:color="auto" w:fill="auto"/>
            <w:vAlign w:val="center"/>
            <w:hideMark/>
          </w:tcPr>
          <w:p w14:paraId="7264E31F" w14:textId="77777777" w:rsidR="00253427" w:rsidRPr="003075B3" w:rsidRDefault="00253427" w:rsidP="00EF0503">
            <w:pPr>
              <w:suppressLineNumbers/>
              <w:suppressAutoHyphens/>
              <w:rPr>
                <w:b/>
                <w:bCs/>
                <w:kern w:val="22"/>
                <w:sz w:val="17"/>
                <w:szCs w:val="17"/>
                <w:lang w:eastAsia="en-CA"/>
              </w:rPr>
            </w:pPr>
            <w:r w:rsidRPr="003075B3">
              <w:rPr>
                <w:b/>
                <w:bCs/>
                <w:kern w:val="22"/>
                <w:sz w:val="17"/>
                <w:szCs w:val="17"/>
                <w:lang w:eastAsia="en-CA"/>
              </w:rPr>
              <w:t>Programme support costs (13%)</w:t>
            </w:r>
          </w:p>
        </w:tc>
        <w:tc>
          <w:tcPr>
            <w:tcW w:w="0" w:type="auto"/>
            <w:tcBorders>
              <w:top w:val="nil"/>
              <w:left w:val="nil"/>
              <w:bottom w:val="nil"/>
              <w:right w:val="nil"/>
            </w:tcBorders>
            <w:shd w:val="clear" w:color="auto" w:fill="auto"/>
            <w:vAlign w:val="center"/>
            <w:hideMark/>
          </w:tcPr>
          <w:p w14:paraId="236A1007"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2 173.5</w:t>
            </w:r>
          </w:p>
        </w:tc>
        <w:tc>
          <w:tcPr>
            <w:tcW w:w="0" w:type="auto"/>
            <w:tcBorders>
              <w:top w:val="nil"/>
              <w:left w:val="nil"/>
              <w:bottom w:val="nil"/>
              <w:right w:val="nil"/>
            </w:tcBorders>
            <w:shd w:val="clear" w:color="auto" w:fill="auto"/>
            <w:vAlign w:val="center"/>
            <w:hideMark/>
          </w:tcPr>
          <w:p w14:paraId="36F5A872"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2 273.8</w:t>
            </w:r>
          </w:p>
        </w:tc>
        <w:tc>
          <w:tcPr>
            <w:tcW w:w="0" w:type="auto"/>
            <w:tcBorders>
              <w:top w:val="nil"/>
              <w:left w:val="nil"/>
              <w:bottom w:val="nil"/>
              <w:right w:val="nil"/>
            </w:tcBorders>
            <w:shd w:val="clear" w:color="auto" w:fill="auto"/>
            <w:vAlign w:val="center"/>
            <w:hideMark/>
          </w:tcPr>
          <w:p w14:paraId="094BF755"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4 447.2</w:t>
            </w:r>
          </w:p>
        </w:tc>
      </w:tr>
      <w:tr w:rsidR="00253427" w:rsidRPr="003075B3" w14:paraId="630B1188"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64CA15CC" w14:textId="77777777" w:rsidR="00253427" w:rsidRPr="003075B3" w:rsidRDefault="00253427" w:rsidP="00EF0503">
            <w:pPr>
              <w:suppressLineNumbers/>
              <w:suppressAutoHyphens/>
              <w:jc w:val="right"/>
              <w:rPr>
                <w:b/>
                <w:bCs/>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14:paraId="37B32813" w14:textId="77777777" w:rsidR="00253427" w:rsidRPr="003075B3" w:rsidRDefault="00253427" w:rsidP="00EF0503">
            <w:pPr>
              <w:suppressLineNumbers/>
              <w:suppressAutoHyphens/>
              <w:rPr>
                <w:b/>
                <w:bCs/>
                <w:kern w:val="22"/>
                <w:sz w:val="17"/>
                <w:szCs w:val="17"/>
                <w:lang w:eastAsia="en-CA"/>
              </w:rPr>
            </w:pPr>
            <w:r w:rsidRPr="003075B3">
              <w:rPr>
                <w:b/>
                <w:bCs/>
                <w:kern w:val="22"/>
                <w:sz w:val="17"/>
                <w:szCs w:val="17"/>
                <w:lang w:eastAsia="en-CA"/>
              </w:rPr>
              <w:t>Sub-total (I + II)</w:t>
            </w:r>
          </w:p>
        </w:tc>
        <w:tc>
          <w:tcPr>
            <w:tcW w:w="0" w:type="auto"/>
            <w:tcBorders>
              <w:top w:val="nil"/>
              <w:left w:val="nil"/>
              <w:bottom w:val="single" w:sz="4" w:space="0" w:color="auto"/>
              <w:right w:val="nil"/>
            </w:tcBorders>
            <w:shd w:val="clear" w:color="auto" w:fill="auto"/>
            <w:vAlign w:val="center"/>
            <w:hideMark/>
          </w:tcPr>
          <w:p w14:paraId="6F152921" w14:textId="77777777" w:rsidR="00253427" w:rsidRPr="003075B3" w:rsidRDefault="00253427" w:rsidP="00EF0503">
            <w:pPr>
              <w:suppressLineNumbers/>
              <w:suppressAutoHyphens/>
              <w:jc w:val="right"/>
              <w:rPr>
                <w:b/>
                <w:bCs/>
                <w:kern w:val="22"/>
                <w:sz w:val="17"/>
                <w:szCs w:val="17"/>
                <w:lang w:eastAsia="en-CA"/>
              </w:rPr>
            </w:pPr>
            <w:r w:rsidRPr="003075B3">
              <w:rPr>
                <w:b/>
                <w:bCs/>
                <w:kern w:val="22"/>
                <w:sz w:val="17"/>
                <w:szCs w:val="17"/>
                <w:lang w:eastAsia="en-CA"/>
              </w:rPr>
              <w:t>18 892.4</w:t>
            </w:r>
          </w:p>
        </w:tc>
        <w:tc>
          <w:tcPr>
            <w:tcW w:w="0" w:type="auto"/>
            <w:tcBorders>
              <w:top w:val="nil"/>
              <w:left w:val="nil"/>
              <w:bottom w:val="single" w:sz="4" w:space="0" w:color="auto"/>
              <w:right w:val="nil"/>
            </w:tcBorders>
            <w:shd w:val="clear" w:color="auto" w:fill="auto"/>
            <w:vAlign w:val="center"/>
            <w:hideMark/>
          </w:tcPr>
          <w:p w14:paraId="19D7DB17" w14:textId="77777777" w:rsidR="00253427" w:rsidRPr="003075B3" w:rsidRDefault="00253427" w:rsidP="00EF0503">
            <w:pPr>
              <w:suppressLineNumbers/>
              <w:suppressAutoHyphens/>
              <w:jc w:val="right"/>
              <w:rPr>
                <w:b/>
                <w:bCs/>
                <w:kern w:val="22"/>
                <w:sz w:val="17"/>
                <w:szCs w:val="17"/>
                <w:lang w:eastAsia="en-CA"/>
              </w:rPr>
            </w:pPr>
            <w:r w:rsidRPr="003075B3">
              <w:rPr>
                <w:b/>
                <w:bCs/>
                <w:kern w:val="22"/>
                <w:sz w:val="17"/>
                <w:szCs w:val="17"/>
                <w:lang w:eastAsia="en-CA"/>
              </w:rPr>
              <w:t>19 764.4</w:t>
            </w:r>
          </w:p>
        </w:tc>
        <w:tc>
          <w:tcPr>
            <w:tcW w:w="0" w:type="auto"/>
            <w:tcBorders>
              <w:top w:val="nil"/>
              <w:left w:val="nil"/>
              <w:bottom w:val="single" w:sz="4" w:space="0" w:color="auto"/>
              <w:right w:val="nil"/>
            </w:tcBorders>
            <w:shd w:val="clear" w:color="auto" w:fill="auto"/>
            <w:vAlign w:val="center"/>
            <w:hideMark/>
          </w:tcPr>
          <w:p w14:paraId="08FCBDD4" w14:textId="77777777" w:rsidR="00253427" w:rsidRPr="003075B3" w:rsidRDefault="00253427" w:rsidP="00EF0503">
            <w:pPr>
              <w:suppressLineNumbers/>
              <w:suppressAutoHyphens/>
              <w:jc w:val="right"/>
              <w:rPr>
                <w:b/>
                <w:bCs/>
                <w:kern w:val="22"/>
                <w:sz w:val="17"/>
                <w:szCs w:val="17"/>
                <w:lang w:eastAsia="en-CA"/>
              </w:rPr>
            </w:pPr>
            <w:r w:rsidRPr="003075B3">
              <w:rPr>
                <w:b/>
                <w:bCs/>
                <w:kern w:val="22"/>
                <w:sz w:val="17"/>
                <w:szCs w:val="17"/>
                <w:lang w:eastAsia="en-CA"/>
              </w:rPr>
              <w:t>38 656.8</w:t>
            </w:r>
          </w:p>
        </w:tc>
      </w:tr>
      <w:tr w:rsidR="00253427" w:rsidRPr="003075B3" w14:paraId="4951CCA7"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3AAC6BFE" w14:textId="77777777" w:rsidR="00253427" w:rsidRPr="003075B3" w:rsidRDefault="00253427" w:rsidP="00EF0503">
            <w:pPr>
              <w:suppressLineNumbers/>
              <w:suppressAutoHyphens/>
              <w:jc w:val="right"/>
              <w:rPr>
                <w:b/>
                <w:bCs/>
                <w:color w:val="000000"/>
                <w:kern w:val="22"/>
                <w:sz w:val="17"/>
                <w:szCs w:val="17"/>
                <w:lang w:eastAsia="en-CA"/>
              </w:rPr>
            </w:pPr>
            <w:r w:rsidRPr="003075B3">
              <w:rPr>
                <w:b/>
                <w:bCs/>
                <w:color w:val="000000"/>
                <w:kern w:val="22"/>
                <w:sz w:val="17"/>
                <w:szCs w:val="17"/>
                <w:lang w:eastAsia="en-CA"/>
              </w:rPr>
              <w:t>III</w:t>
            </w:r>
          </w:p>
        </w:tc>
        <w:tc>
          <w:tcPr>
            <w:tcW w:w="0" w:type="auto"/>
            <w:gridSpan w:val="2"/>
            <w:tcBorders>
              <w:top w:val="single" w:sz="4" w:space="0" w:color="auto"/>
              <w:left w:val="nil"/>
              <w:bottom w:val="nil"/>
              <w:right w:val="nil"/>
            </w:tcBorders>
            <w:shd w:val="clear" w:color="auto" w:fill="auto"/>
            <w:vAlign w:val="center"/>
            <w:hideMark/>
          </w:tcPr>
          <w:p w14:paraId="03B7C419" w14:textId="77777777" w:rsidR="00253427" w:rsidRPr="003075B3" w:rsidRDefault="00253427" w:rsidP="00EF0503">
            <w:pPr>
              <w:suppressLineNumbers/>
              <w:suppressAutoHyphens/>
              <w:rPr>
                <w:kern w:val="22"/>
                <w:sz w:val="17"/>
                <w:szCs w:val="17"/>
                <w:lang w:eastAsia="en-CA"/>
              </w:rPr>
            </w:pPr>
            <w:r w:rsidRPr="003075B3">
              <w:rPr>
                <w:kern w:val="22"/>
                <w:sz w:val="17"/>
                <w:szCs w:val="17"/>
                <w:lang w:eastAsia="en-CA"/>
              </w:rPr>
              <w:t>Working Capital Reserve</w:t>
            </w:r>
          </w:p>
        </w:tc>
        <w:tc>
          <w:tcPr>
            <w:tcW w:w="0" w:type="auto"/>
            <w:tcBorders>
              <w:top w:val="nil"/>
              <w:left w:val="nil"/>
              <w:bottom w:val="nil"/>
              <w:right w:val="nil"/>
            </w:tcBorders>
            <w:shd w:val="clear" w:color="auto" w:fill="auto"/>
            <w:vAlign w:val="center"/>
            <w:hideMark/>
          </w:tcPr>
          <w:p w14:paraId="3BEA97DF"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 xml:space="preserve">56.6 </w:t>
            </w:r>
          </w:p>
        </w:tc>
        <w:tc>
          <w:tcPr>
            <w:tcW w:w="0" w:type="auto"/>
            <w:tcBorders>
              <w:top w:val="nil"/>
              <w:left w:val="nil"/>
              <w:bottom w:val="nil"/>
              <w:right w:val="nil"/>
            </w:tcBorders>
            <w:shd w:val="clear" w:color="auto" w:fill="auto"/>
            <w:vAlign w:val="center"/>
            <w:hideMark/>
          </w:tcPr>
          <w:p w14:paraId="31D126F8"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130.8</w:t>
            </w:r>
          </w:p>
        </w:tc>
        <w:tc>
          <w:tcPr>
            <w:tcW w:w="0" w:type="auto"/>
            <w:tcBorders>
              <w:top w:val="nil"/>
              <w:left w:val="nil"/>
              <w:bottom w:val="nil"/>
              <w:right w:val="nil"/>
            </w:tcBorders>
            <w:shd w:val="clear" w:color="auto" w:fill="auto"/>
            <w:vAlign w:val="center"/>
            <w:hideMark/>
          </w:tcPr>
          <w:p w14:paraId="3FD0D395"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187.3</w:t>
            </w:r>
          </w:p>
        </w:tc>
      </w:tr>
      <w:tr w:rsidR="00253427" w:rsidRPr="003075B3" w14:paraId="38B30352"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6224EE1E" w14:textId="77777777" w:rsidR="00253427" w:rsidRPr="003075B3" w:rsidRDefault="00253427" w:rsidP="00EF0503">
            <w:pPr>
              <w:suppressLineNumbers/>
              <w:suppressAutoHyphens/>
              <w:jc w:val="right"/>
              <w:rPr>
                <w:b/>
                <w:bCs/>
                <w:color w:val="000000"/>
                <w:kern w:val="22"/>
                <w:sz w:val="17"/>
                <w:szCs w:val="17"/>
                <w:lang w:eastAsia="en-CA"/>
              </w:rPr>
            </w:pPr>
          </w:p>
        </w:tc>
        <w:tc>
          <w:tcPr>
            <w:tcW w:w="0" w:type="auto"/>
            <w:gridSpan w:val="2"/>
            <w:tcBorders>
              <w:top w:val="nil"/>
              <w:left w:val="nil"/>
              <w:bottom w:val="single" w:sz="8" w:space="0" w:color="auto"/>
              <w:right w:val="nil"/>
            </w:tcBorders>
            <w:shd w:val="clear" w:color="auto" w:fill="auto"/>
            <w:vAlign w:val="center"/>
            <w:hideMark/>
          </w:tcPr>
          <w:p w14:paraId="3DCFF1BB" w14:textId="77777777" w:rsidR="00253427" w:rsidRPr="003075B3" w:rsidRDefault="00253427" w:rsidP="00EF0503">
            <w:pPr>
              <w:suppressLineNumbers/>
              <w:suppressAutoHyphens/>
              <w:rPr>
                <w:b/>
                <w:bCs/>
                <w:color w:val="000000"/>
                <w:kern w:val="22"/>
                <w:sz w:val="17"/>
                <w:szCs w:val="17"/>
                <w:lang w:eastAsia="en-CA"/>
              </w:rPr>
            </w:pPr>
            <w:r w:rsidRPr="003075B3">
              <w:rPr>
                <w:b/>
                <w:bCs/>
                <w:color w:val="000000"/>
                <w:kern w:val="22"/>
                <w:sz w:val="17"/>
                <w:szCs w:val="17"/>
                <w:lang w:eastAsia="en-CA"/>
              </w:rPr>
              <w:t>Grand Total (II + III)</w:t>
            </w:r>
          </w:p>
        </w:tc>
        <w:tc>
          <w:tcPr>
            <w:tcW w:w="0" w:type="auto"/>
            <w:tcBorders>
              <w:top w:val="nil"/>
              <w:left w:val="nil"/>
              <w:bottom w:val="single" w:sz="8" w:space="0" w:color="auto"/>
              <w:right w:val="nil"/>
            </w:tcBorders>
            <w:shd w:val="clear" w:color="auto" w:fill="auto"/>
            <w:vAlign w:val="center"/>
            <w:hideMark/>
          </w:tcPr>
          <w:p w14:paraId="6D795DEF" w14:textId="77777777" w:rsidR="00253427" w:rsidRPr="003075B3" w:rsidRDefault="00253427" w:rsidP="00EF0503">
            <w:pPr>
              <w:suppressLineNumbers/>
              <w:suppressAutoHyphens/>
              <w:jc w:val="right"/>
              <w:rPr>
                <w:b/>
                <w:bCs/>
                <w:color w:val="000000"/>
                <w:kern w:val="22"/>
                <w:sz w:val="17"/>
                <w:szCs w:val="17"/>
                <w:lang w:eastAsia="en-CA"/>
              </w:rPr>
            </w:pPr>
            <w:r w:rsidRPr="003075B3">
              <w:rPr>
                <w:b/>
                <w:bCs/>
                <w:color w:val="000000"/>
                <w:kern w:val="22"/>
                <w:sz w:val="17"/>
                <w:szCs w:val="17"/>
                <w:lang w:eastAsia="en-CA"/>
              </w:rPr>
              <w:t>18 949.0</w:t>
            </w:r>
          </w:p>
        </w:tc>
        <w:tc>
          <w:tcPr>
            <w:tcW w:w="0" w:type="auto"/>
            <w:tcBorders>
              <w:top w:val="nil"/>
              <w:left w:val="nil"/>
              <w:bottom w:val="single" w:sz="8" w:space="0" w:color="auto"/>
              <w:right w:val="nil"/>
            </w:tcBorders>
            <w:shd w:val="clear" w:color="auto" w:fill="auto"/>
            <w:vAlign w:val="center"/>
            <w:hideMark/>
          </w:tcPr>
          <w:p w14:paraId="64159335" w14:textId="77777777" w:rsidR="00253427" w:rsidRPr="003075B3" w:rsidRDefault="00253427" w:rsidP="00EF0503">
            <w:pPr>
              <w:suppressLineNumbers/>
              <w:suppressAutoHyphens/>
              <w:jc w:val="right"/>
              <w:rPr>
                <w:b/>
                <w:bCs/>
                <w:color w:val="000000"/>
                <w:kern w:val="22"/>
                <w:sz w:val="17"/>
                <w:szCs w:val="17"/>
                <w:lang w:eastAsia="en-CA"/>
              </w:rPr>
            </w:pPr>
            <w:r w:rsidRPr="003075B3">
              <w:rPr>
                <w:b/>
                <w:bCs/>
                <w:color w:val="000000"/>
                <w:kern w:val="22"/>
                <w:sz w:val="17"/>
                <w:szCs w:val="17"/>
                <w:lang w:eastAsia="en-CA"/>
              </w:rPr>
              <w:t>19 895.1</w:t>
            </w:r>
          </w:p>
        </w:tc>
        <w:tc>
          <w:tcPr>
            <w:tcW w:w="0" w:type="auto"/>
            <w:tcBorders>
              <w:top w:val="nil"/>
              <w:left w:val="nil"/>
              <w:bottom w:val="single" w:sz="8" w:space="0" w:color="auto"/>
              <w:right w:val="nil"/>
            </w:tcBorders>
            <w:shd w:val="clear" w:color="auto" w:fill="auto"/>
            <w:vAlign w:val="center"/>
            <w:hideMark/>
          </w:tcPr>
          <w:p w14:paraId="2ABD3BFC" w14:textId="77777777" w:rsidR="00253427" w:rsidRPr="003075B3" w:rsidRDefault="00253427" w:rsidP="00EF0503">
            <w:pPr>
              <w:suppressLineNumbers/>
              <w:suppressAutoHyphens/>
              <w:jc w:val="right"/>
              <w:rPr>
                <w:b/>
                <w:bCs/>
                <w:color w:val="000000"/>
                <w:kern w:val="22"/>
                <w:sz w:val="17"/>
                <w:szCs w:val="17"/>
                <w:lang w:eastAsia="en-CA"/>
              </w:rPr>
            </w:pPr>
            <w:r w:rsidRPr="003075B3">
              <w:rPr>
                <w:b/>
                <w:bCs/>
                <w:color w:val="000000"/>
                <w:kern w:val="22"/>
                <w:sz w:val="17"/>
                <w:szCs w:val="17"/>
                <w:lang w:eastAsia="en-CA"/>
              </w:rPr>
              <w:t>38 844.1</w:t>
            </w:r>
          </w:p>
        </w:tc>
      </w:tr>
      <w:tr w:rsidR="00253427" w:rsidRPr="003075B3" w14:paraId="55FFDB39" w14:textId="77777777" w:rsidTr="00EF0503">
        <w:trPr>
          <w:trHeight w:val="396"/>
        </w:trPr>
        <w:tc>
          <w:tcPr>
            <w:tcW w:w="0" w:type="auto"/>
            <w:gridSpan w:val="2"/>
            <w:tcBorders>
              <w:top w:val="nil"/>
              <w:left w:val="nil"/>
              <w:bottom w:val="nil"/>
              <w:right w:val="nil"/>
            </w:tcBorders>
            <w:shd w:val="clear" w:color="auto" w:fill="auto"/>
            <w:noWrap/>
            <w:vAlign w:val="center"/>
            <w:hideMark/>
          </w:tcPr>
          <w:p w14:paraId="46933349" w14:textId="77777777" w:rsidR="00253427" w:rsidRPr="003075B3" w:rsidRDefault="00253427" w:rsidP="00EF0503">
            <w:pPr>
              <w:suppressLineNumbers/>
              <w:suppressAutoHyphens/>
              <w:jc w:val="right"/>
              <w:rPr>
                <w:color w:val="000000"/>
                <w:kern w:val="22"/>
                <w:sz w:val="17"/>
                <w:szCs w:val="17"/>
                <w:lang w:eastAsia="en-CA"/>
              </w:rPr>
            </w:pPr>
          </w:p>
        </w:tc>
        <w:tc>
          <w:tcPr>
            <w:tcW w:w="0" w:type="auto"/>
            <w:gridSpan w:val="2"/>
            <w:tcBorders>
              <w:top w:val="single" w:sz="8" w:space="0" w:color="auto"/>
              <w:left w:val="nil"/>
              <w:bottom w:val="single" w:sz="8" w:space="0" w:color="auto"/>
              <w:right w:val="nil"/>
            </w:tcBorders>
            <w:shd w:val="clear" w:color="auto" w:fill="auto"/>
            <w:vAlign w:val="center"/>
            <w:hideMark/>
          </w:tcPr>
          <w:p w14:paraId="182350D6" w14:textId="77777777" w:rsidR="00253427" w:rsidRPr="003075B3" w:rsidRDefault="00253427" w:rsidP="00EF0503">
            <w:pPr>
              <w:suppressLineNumbers/>
              <w:suppressAutoHyphens/>
              <w:rPr>
                <w:kern w:val="22"/>
                <w:sz w:val="17"/>
                <w:szCs w:val="17"/>
                <w:lang w:eastAsia="en-CA"/>
              </w:rPr>
            </w:pPr>
            <w:r w:rsidRPr="003075B3">
              <w:rPr>
                <w:kern w:val="22"/>
                <w:sz w:val="17"/>
                <w:szCs w:val="17"/>
                <w:lang w:eastAsia="en-CA"/>
              </w:rPr>
              <w:t>Cartagena Protocol share of the integrated budget (15%)</w:t>
            </w:r>
          </w:p>
        </w:tc>
        <w:tc>
          <w:tcPr>
            <w:tcW w:w="0" w:type="auto"/>
            <w:tcBorders>
              <w:top w:val="nil"/>
              <w:left w:val="nil"/>
              <w:bottom w:val="single" w:sz="8" w:space="0" w:color="auto"/>
              <w:right w:val="nil"/>
            </w:tcBorders>
            <w:shd w:val="clear" w:color="auto" w:fill="auto"/>
            <w:vAlign w:val="center"/>
            <w:hideMark/>
          </w:tcPr>
          <w:p w14:paraId="1DE0E900"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2 842.3</w:t>
            </w:r>
          </w:p>
        </w:tc>
        <w:tc>
          <w:tcPr>
            <w:tcW w:w="0" w:type="auto"/>
            <w:tcBorders>
              <w:top w:val="nil"/>
              <w:left w:val="nil"/>
              <w:bottom w:val="single" w:sz="8" w:space="0" w:color="auto"/>
              <w:right w:val="nil"/>
            </w:tcBorders>
            <w:shd w:val="clear" w:color="auto" w:fill="auto"/>
            <w:vAlign w:val="center"/>
            <w:hideMark/>
          </w:tcPr>
          <w:p w14:paraId="585774DF"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2 984.3</w:t>
            </w:r>
          </w:p>
        </w:tc>
        <w:tc>
          <w:tcPr>
            <w:tcW w:w="0" w:type="auto"/>
            <w:tcBorders>
              <w:top w:val="nil"/>
              <w:left w:val="nil"/>
              <w:bottom w:val="single" w:sz="8" w:space="0" w:color="auto"/>
              <w:right w:val="nil"/>
            </w:tcBorders>
            <w:shd w:val="clear" w:color="auto" w:fill="auto"/>
            <w:vAlign w:val="center"/>
            <w:hideMark/>
          </w:tcPr>
          <w:p w14:paraId="2E2B80FB"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5 826.6</w:t>
            </w:r>
          </w:p>
        </w:tc>
      </w:tr>
      <w:tr w:rsidR="00253427" w:rsidRPr="003075B3" w14:paraId="37D8F86B"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538A02D5" w14:textId="77777777" w:rsidR="00253427" w:rsidRPr="003075B3" w:rsidRDefault="00253427" w:rsidP="00EF0503">
            <w:pPr>
              <w:suppressLineNumbers/>
              <w:suppressAutoHyphens/>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709B7925" w14:textId="77777777" w:rsidR="00253427" w:rsidRPr="003075B3" w:rsidRDefault="00253427" w:rsidP="00EF0503">
            <w:pPr>
              <w:suppressLineNumbers/>
              <w:suppressAutoHyphens/>
              <w:rPr>
                <w:kern w:val="22"/>
                <w:sz w:val="17"/>
                <w:szCs w:val="17"/>
                <w:lang w:eastAsia="en-CA"/>
              </w:rPr>
            </w:pPr>
            <w:r w:rsidRPr="003075B3">
              <w:rPr>
                <w:kern w:val="22"/>
                <w:sz w:val="17"/>
                <w:szCs w:val="17"/>
                <w:u w:val="single"/>
                <w:lang w:eastAsia="en-CA"/>
              </w:rPr>
              <w:t>Less</w:t>
            </w:r>
            <w:r w:rsidRPr="003075B3">
              <w:rPr>
                <w:kern w:val="22"/>
                <w:sz w:val="17"/>
                <w:szCs w:val="17"/>
                <w:lang w:eastAsia="en-CA"/>
              </w:rPr>
              <w:t xml:space="preserve"> contribution from host country</w:t>
            </w:r>
            <w:r w:rsidRPr="003075B3">
              <w:rPr>
                <w:kern w:val="22"/>
                <w:sz w:val="17"/>
                <w:szCs w:val="17"/>
                <w:vertAlign w:val="superscript"/>
                <w:lang w:eastAsia="en-CA"/>
              </w:rPr>
              <w:t>5/</w:t>
            </w:r>
          </w:p>
        </w:tc>
        <w:tc>
          <w:tcPr>
            <w:tcW w:w="0" w:type="auto"/>
            <w:tcBorders>
              <w:top w:val="nil"/>
              <w:left w:val="nil"/>
              <w:bottom w:val="nil"/>
              <w:right w:val="nil"/>
            </w:tcBorders>
            <w:shd w:val="clear" w:color="auto" w:fill="auto"/>
            <w:vAlign w:val="center"/>
            <w:hideMark/>
          </w:tcPr>
          <w:p w14:paraId="1783837E"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(184.4)</w:t>
            </w:r>
          </w:p>
        </w:tc>
        <w:tc>
          <w:tcPr>
            <w:tcW w:w="0" w:type="auto"/>
            <w:tcBorders>
              <w:top w:val="nil"/>
              <w:left w:val="nil"/>
              <w:bottom w:val="nil"/>
              <w:right w:val="nil"/>
            </w:tcBorders>
            <w:shd w:val="clear" w:color="auto" w:fill="auto"/>
            <w:vAlign w:val="center"/>
            <w:hideMark/>
          </w:tcPr>
          <w:p w14:paraId="2B5846C6"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(213.5)</w:t>
            </w:r>
          </w:p>
        </w:tc>
        <w:tc>
          <w:tcPr>
            <w:tcW w:w="0" w:type="auto"/>
            <w:tcBorders>
              <w:top w:val="nil"/>
              <w:left w:val="nil"/>
              <w:bottom w:val="nil"/>
              <w:right w:val="nil"/>
            </w:tcBorders>
            <w:shd w:val="clear" w:color="auto" w:fill="auto"/>
            <w:vAlign w:val="center"/>
            <w:hideMark/>
          </w:tcPr>
          <w:p w14:paraId="749FF723"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(397.9)</w:t>
            </w:r>
          </w:p>
        </w:tc>
      </w:tr>
      <w:tr w:rsidR="00253427" w:rsidRPr="003075B3" w14:paraId="30F0A003"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19BF00B5" w14:textId="77777777" w:rsidR="00253427" w:rsidRPr="003075B3" w:rsidRDefault="00253427" w:rsidP="00EF0503">
            <w:pPr>
              <w:suppressLineNumbers/>
              <w:suppressAutoHyphens/>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4F8ADF71" w14:textId="77777777" w:rsidR="00253427" w:rsidRPr="003075B3" w:rsidRDefault="00253427" w:rsidP="00EF0503">
            <w:pPr>
              <w:suppressLineNumbers/>
              <w:suppressAutoHyphens/>
              <w:rPr>
                <w:kern w:val="22"/>
                <w:sz w:val="17"/>
                <w:szCs w:val="17"/>
                <w:lang w:eastAsia="en-CA"/>
              </w:rPr>
            </w:pPr>
            <w:r w:rsidRPr="003075B3">
              <w:rPr>
                <w:kern w:val="22"/>
                <w:sz w:val="17"/>
                <w:szCs w:val="17"/>
                <w:u w:val="single"/>
                <w:lang w:eastAsia="en-CA"/>
              </w:rPr>
              <w:t>Less</w:t>
            </w:r>
            <w:r w:rsidRPr="003075B3">
              <w:rPr>
                <w:kern w:val="22"/>
                <w:sz w:val="17"/>
                <w:szCs w:val="17"/>
                <w:lang w:eastAsia="en-CA"/>
              </w:rPr>
              <w:t xml:space="preserve"> use of reserves for extraordinary meetings</w:t>
            </w:r>
            <w:r w:rsidRPr="003075B3">
              <w:rPr>
                <w:kern w:val="22"/>
                <w:sz w:val="17"/>
                <w:szCs w:val="17"/>
                <w:vertAlign w:val="superscript"/>
                <w:lang w:eastAsia="en-CA"/>
              </w:rPr>
              <w:t>/4</w:t>
            </w:r>
          </w:p>
        </w:tc>
        <w:tc>
          <w:tcPr>
            <w:tcW w:w="0" w:type="auto"/>
            <w:tcBorders>
              <w:top w:val="nil"/>
              <w:left w:val="nil"/>
              <w:bottom w:val="nil"/>
              <w:right w:val="nil"/>
            </w:tcBorders>
            <w:shd w:val="clear" w:color="auto" w:fill="auto"/>
            <w:vAlign w:val="center"/>
            <w:hideMark/>
          </w:tcPr>
          <w:p w14:paraId="1DAADB07"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(127.1)</w:t>
            </w:r>
          </w:p>
        </w:tc>
        <w:tc>
          <w:tcPr>
            <w:tcW w:w="0" w:type="auto"/>
            <w:tcBorders>
              <w:top w:val="nil"/>
              <w:left w:val="nil"/>
              <w:bottom w:val="nil"/>
              <w:right w:val="nil"/>
            </w:tcBorders>
            <w:shd w:val="clear" w:color="auto" w:fill="auto"/>
            <w:vAlign w:val="center"/>
            <w:hideMark/>
          </w:tcPr>
          <w:p w14:paraId="3EA16160"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(94.9)</w:t>
            </w:r>
          </w:p>
        </w:tc>
        <w:tc>
          <w:tcPr>
            <w:tcW w:w="0" w:type="auto"/>
            <w:tcBorders>
              <w:top w:val="nil"/>
              <w:left w:val="nil"/>
              <w:bottom w:val="nil"/>
              <w:right w:val="nil"/>
            </w:tcBorders>
            <w:shd w:val="clear" w:color="auto" w:fill="auto"/>
            <w:vAlign w:val="center"/>
            <w:hideMark/>
          </w:tcPr>
          <w:p w14:paraId="502184CE"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(222.0)</w:t>
            </w:r>
          </w:p>
        </w:tc>
      </w:tr>
      <w:tr w:rsidR="00253427" w:rsidRPr="003075B3" w14:paraId="50CE9B09"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1A377061" w14:textId="77777777" w:rsidR="00253427" w:rsidRPr="003075B3" w:rsidRDefault="00253427" w:rsidP="00EF0503">
            <w:pPr>
              <w:suppressLineNumbers/>
              <w:suppressAutoHyphens/>
              <w:jc w:val="right"/>
              <w:rPr>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5BDEF22F" w14:textId="77777777" w:rsidR="00253427" w:rsidRPr="003075B3" w:rsidRDefault="00253427" w:rsidP="00EF0503">
            <w:pPr>
              <w:suppressLineNumbers/>
              <w:suppressAutoHyphens/>
              <w:rPr>
                <w:kern w:val="22"/>
                <w:sz w:val="17"/>
                <w:szCs w:val="17"/>
                <w:lang w:eastAsia="en-CA"/>
              </w:rPr>
            </w:pPr>
            <w:r w:rsidRPr="003075B3">
              <w:rPr>
                <w:kern w:val="22"/>
                <w:sz w:val="17"/>
                <w:szCs w:val="17"/>
                <w:u w:val="single"/>
                <w:lang w:eastAsia="en-CA"/>
              </w:rPr>
              <w:t>Less</w:t>
            </w:r>
            <w:r w:rsidRPr="003075B3">
              <w:rPr>
                <w:kern w:val="22"/>
                <w:sz w:val="17"/>
                <w:szCs w:val="17"/>
                <w:lang w:eastAsia="en-CA"/>
              </w:rPr>
              <w:t xml:space="preserve"> use of reserves from previous years</w:t>
            </w:r>
          </w:p>
        </w:tc>
        <w:tc>
          <w:tcPr>
            <w:tcW w:w="0" w:type="auto"/>
            <w:tcBorders>
              <w:top w:val="nil"/>
              <w:left w:val="nil"/>
              <w:bottom w:val="nil"/>
              <w:right w:val="nil"/>
            </w:tcBorders>
            <w:shd w:val="clear" w:color="auto" w:fill="auto"/>
            <w:vAlign w:val="center"/>
            <w:hideMark/>
          </w:tcPr>
          <w:p w14:paraId="12FDD0B7"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(129.5)</w:t>
            </w:r>
          </w:p>
        </w:tc>
        <w:tc>
          <w:tcPr>
            <w:tcW w:w="0" w:type="auto"/>
            <w:tcBorders>
              <w:top w:val="nil"/>
              <w:left w:val="nil"/>
              <w:bottom w:val="nil"/>
              <w:right w:val="nil"/>
            </w:tcBorders>
            <w:shd w:val="clear" w:color="auto" w:fill="auto"/>
            <w:vAlign w:val="center"/>
            <w:hideMark/>
          </w:tcPr>
          <w:p w14:paraId="2E3CB594"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(129.5)</w:t>
            </w:r>
          </w:p>
        </w:tc>
        <w:tc>
          <w:tcPr>
            <w:tcW w:w="0" w:type="auto"/>
            <w:tcBorders>
              <w:top w:val="nil"/>
              <w:left w:val="nil"/>
              <w:bottom w:val="nil"/>
              <w:right w:val="nil"/>
            </w:tcBorders>
            <w:shd w:val="clear" w:color="auto" w:fill="auto"/>
            <w:vAlign w:val="center"/>
            <w:hideMark/>
          </w:tcPr>
          <w:p w14:paraId="6A0EB1F9" w14:textId="77777777" w:rsidR="00253427" w:rsidRPr="003075B3" w:rsidRDefault="00253427" w:rsidP="00EF0503">
            <w:pPr>
              <w:suppressLineNumbers/>
              <w:suppressAutoHyphens/>
              <w:jc w:val="right"/>
              <w:rPr>
                <w:kern w:val="22"/>
                <w:sz w:val="17"/>
                <w:szCs w:val="17"/>
                <w:lang w:eastAsia="en-CA"/>
              </w:rPr>
            </w:pPr>
            <w:r w:rsidRPr="003075B3">
              <w:rPr>
                <w:kern w:val="22"/>
                <w:sz w:val="17"/>
                <w:szCs w:val="17"/>
                <w:lang w:eastAsia="en-CA"/>
              </w:rPr>
              <w:t>(258.9)</w:t>
            </w:r>
          </w:p>
        </w:tc>
      </w:tr>
      <w:tr w:rsidR="00253427" w:rsidRPr="003075B3" w14:paraId="31107858" w14:textId="77777777" w:rsidTr="00EF0503">
        <w:trPr>
          <w:trHeight w:val="261"/>
        </w:trPr>
        <w:tc>
          <w:tcPr>
            <w:tcW w:w="0" w:type="auto"/>
            <w:gridSpan w:val="2"/>
            <w:tcBorders>
              <w:top w:val="nil"/>
              <w:left w:val="nil"/>
              <w:bottom w:val="nil"/>
              <w:right w:val="nil"/>
            </w:tcBorders>
            <w:shd w:val="clear" w:color="auto" w:fill="auto"/>
            <w:noWrap/>
            <w:vAlign w:val="center"/>
            <w:hideMark/>
          </w:tcPr>
          <w:p w14:paraId="211E9298" w14:textId="77777777" w:rsidR="00253427" w:rsidRPr="003075B3" w:rsidRDefault="00253427" w:rsidP="00EF0503">
            <w:pPr>
              <w:suppressLineNumbers/>
              <w:suppressAutoHyphens/>
              <w:jc w:val="right"/>
              <w:rPr>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14:paraId="2CEAA165" w14:textId="77777777" w:rsidR="00253427" w:rsidRPr="003075B3" w:rsidRDefault="00253427" w:rsidP="00EF0503">
            <w:pPr>
              <w:suppressLineNumbers/>
              <w:suppressAutoHyphens/>
              <w:rPr>
                <w:b/>
                <w:bCs/>
                <w:kern w:val="22"/>
                <w:sz w:val="17"/>
                <w:szCs w:val="17"/>
                <w:lang w:eastAsia="en-CA"/>
              </w:rPr>
            </w:pPr>
            <w:r w:rsidRPr="003075B3">
              <w:rPr>
                <w:b/>
                <w:bCs/>
                <w:kern w:val="22"/>
                <w:sz w:val="17"/>
                <w:szCs w:val="17"/>
                <w:lang w:eastAsia="en-CA"/>
              </w:rPr>
              <w:t>Net total (amount to be shared by Parties)</w:t>
            </w:r>
          </w:p>
        </w:tc>
        <w:tc>
          <w:tcPr>
            <w:tcW w:w="0" w:type="auto"/>
            <w:tcBorders>
              <w:top w:val="nil"/>
              <w:left w:val="nil"/>
              <w:bottom w:val="single" w:sz="4" w:space="0" w:color="auto"/>
              <w:right w:val="nil"/>
            </w:tcBorders>
            <w:shd w:val="clear" w:color="auto" w:fill="auto"/>
            <w:vAlign w:val="center"/>
            <w:hideMark/>
          </w:tcPr>
          <w:p w14:paraId="403E60CE" w14:textId="77777777" w:rsidR="00253427" w:rsidRPr="003075B3" w:rsidRDefault="00253427" w:rsidP="00EF0503">
            <w:pPr>
              <w:suppressLineNumbers/>
              <w:suppressAutoHyphens/>
              <w:jc w:val="right"/>
              <w:rPr>
                <w:b/>
                <w:bCs/>
                <w:kern w:val="22"/>
                <w:sz w:val="17"/>
                <w:szCs w:val="17"/>
                <w:lang w:eastAsia="en-CA"/>
              </w:rPr>
            </w:pPr>
            <w:r w:rsidRPr="003075B3">
              <w:rPr>
                <w:b/>
                <w:bCs/>
                <w:kern w:val="22"/>
                <w:sz w:val="17"/>
                <w:szCs w:val="17"/>
                <w:lang w:eastAsia="en-CA"/>
              </w:rPr>
              <w:t>2 401.3</w:t>
            </w:r>
          </w:p>
        </w:tc>
        <w:tc>
          <w:tcPr>
            <w:tcW w:w="0" w:type="auto"/>
            <w:tcBorders>
              <w:top w:val="nil"/>
              <w:left w:val="nil"/>
              <w:bottom w:val="single" w:sz="4" w:space="0" w:color="auto"/>
              <w:right w:val="nil"/>
            </w:tcBorders>
            <w:shd w:val="clear" w:color="auto" w:fill="auto"/>
            <w:vAlign w:val="center"/>
            <w:hideMark/>
          </w:tcPr>
          <w:p w14:paraId="341492C2" w14:textId="77777777" w:rsidR="00253427" w:rsidRPr="003075B3" w:rsidRDefault="00253427" w:rsidP="00EF0503">
            <w:pPr>
              <w:suppressLineNumbers/>
              <w:suppressAutoHyphens/>
              <w:jc w:val="right"/>
              <w:rPr>
                <w:b/>
                <w:bCs/>
                <w:kern w:val="22"/>
                <w:sz w:val="17"/>
                <w:szCs w:val="17"/>
                <w:lang w:eastAsia="en-CA"/>
              </w:rPr>
            </w:pPr>
            <w:r w:rsidRPr="003075B3">
              <w:rPr>
                <w:b/>
                <w:bCs/>
                <w:kern w:val="22"/>
                <w:sz w:val="17"/>
                <w:szCs w:val="17"/>
                <w:lang w:eastAsia="en-CA"/>
              </w:rPr>
              <w:t>2 546.4</w:t>
            </w:r>
          </w:p>
        </w:tc>
        <w:tc>
          <w:tcPr>
            <w:tcW w:w="0" w:type="auto"/>
            <w:tcBorders>
              <w:top w:val="nil"/>
              <w:left w:val="nil"/>
              <w:bottom w:val="single" w:sz="4" w:space="0" w:color="auto"/>
              <w:right w:val="nil"/>
            </w:tcBorders>
            <w:shd w:val="clear" w:color="auto" w:fill="auto"/>
            <w:vAlign w:val="center"/>
            <w:hideMark/>
          </w:tcPr>
          <w:p w14:paraId="144EE0BD" w14:textId="77777777" w:rsidR="00253427" w:rsidRPr="003075B3" w:rsidRDefault="00253427" w:rsidP="00EF0503">
            <w:pPr>
              <w:suppressLineNumbers/>
              <w:suppressAutoHyphens/>
              <w:jc w:val="right"/>
              <w:rPr>
                <w:b/>
                <w:bCs/>
                <w:kern w:val="22"/>
                <w:sz w:val="17"/>
                <w:szCs w:val="17"/>
                <w:lang w:eastAsia="en-CA"/>
              </w:rPr>
            </w:pPr>
            <w:r w:rsidRPr="003075B3">
              <w:rPr>
                <w:b/>
                <w:bCs/>
                <w:kern w:val="22"/>
                <w:sz w:val="17"/>
                <w:szCs w:val="17"/>
                <w:lang w:eastAsia="en-CA"/>
              </w:rPr>
              <w:t>4 947.7</w:t>
            </w:r>
          </w:p>
        </w:tc>
      </w:tr>
      <w:tr w:rsidR="00253427" w:rsidRPr="003075B3" w14:paraId="5C2E7F97" w14:textId="77777777" w:rsidTr="00EF0503">
        <w:trPr>
          <w:trHeight w:val="288"/>
        </w:trPr>
        <w:tc>
          <w:tcPr>
            <w:tcW w:w="0" w:type="auto"/>
            <w:gridSpan w:val="2"/>
            <w:tcBorders>
              <w:top w:val="nil"/>
              <w:left w:val="nil"/>
              <w:bottom w:val="nil"/>
              <w:right w:val="nil"/>
            </w:tcBorders>
            <w:shd w:val="clear" w:color="auto" w:fill="auto"/>
            <w:noWrap/>
            <w:vAlign w:val="center"/>
            <w:hideMark/>
          </w:tcPr>
          <w:p w14:paraId="5FE59EF5" w14:textId="77777777" w:rsidR="00253427" w:rsidRPr="003075B3" w:rsidRDefault="00253427" w:rsidP="00EF0503">
            <w:pPr>
              <w:suppressLineNumbers/>
              <w:suppressAutoHyphens/>
              <w:jc w:val="right"/>
              <w:rPr>
                <w:color w:val="000000"/>
                <w:kern w:val="22"/>
                <w:sz w:val="17"/>
                <w:szCs w:val="17"/>
                <w:lang w:eastAsia="en-CA"/>
              </w:rPr>
            </w:pPr>
          </w:p>
        </w:tc>
        <w:tc>
          <w:tcPr>
            <w:tcW w:w="0" w:type="auto"/>
            <w:tcBorders>
              <w:top w:val="nil"/>
              <w:left w:val="nil"/>
              <w:bottom w:val="nil"/>
              <w:right w:val="nil"/>
            </w:tcBorders>
            <w:shd w:val="clear" w:color="auto" w:fill="auto"/>
            <w:noWrap/>
            <w:vAlign w:val="center"/>
            <w:hideMark/>
          </w:tcPr>
          <w:p w14:paraId="071018CA" w14:textId="77777777" w:rsidR="00253427" w:rsidRPr="003075B3" w:rsidRDefault="00253427" w:rsidP="00EF0503">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0F93B38F" w14:textId="77777777" w:rsidR="00253427" w:rsidRPr="003075B3" w:rsidRDefault="00253427" w:rsidP="00EF0503">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305C34F0" w14:textId="77777777" w:rsidR="00253427" w:rsidRPr="003075B3" w:rsidRDefault="00253427" w:rsidP="00EF0503">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5C67B9AC" w14:textId="77777777" w:rsidR="00253427" w:rsidRPr="003075B3" w:rsidRDefault="00253427" w:rsidP="00EF0503">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124AD733" w14:textId="77777777" w:rsidR="00253427" w:rsidRPr="003075B3" w:rsidRDefault="00253427" w:rsidP="00EF0503">
            <w:pPr>
              <w:suppressLineNumbers/>
              <w:suppressAutoHyphens/>
              <w:rPr>
                <w:color w:val="000000"/>
                <w:kern w:val="22"/>
                <w:sz w:val="16"/>
                <w:szCs w:val="16"/>
                <w:lang w:eastAsia="en-CA"/>
              </w:rPr>
            </w:pPr>
          </w:p>
        </w:tc>
      </w:tr>
      <w:tr w:rsidR="00253427" w:rsidRPr="003075B3" w14:paraId="6CD5E4C2" w14:textId="77777777" w:rsidTr="00EF0503">
        <w:trPr>
          <w:trHeight w:val="216"/>
        </w:trPr>
        <w:tc>
          <w:tcPr>
            <w:tcW w:w="0" w:type="auto"/>
            <w:gridSpan w:val="2"/>
            <w:tcBorders>
              <w:top w:val="nil"/>
              <w:left w:val="nil"/>
              <w:bottom w:val="nil"/>
              <w:right w:val="nil"/>
            </w:tcBorders>
            <w:shd w:val="clear" w:color="auto" w:fill="auto"/>
            <w:noWrap/>
            <w:hideMark/>
          </w:tcPr>
          <w:p w14:paraId="7EE1A94E" w14:textId="77777777" w:rsidR="00253427" w:rsidRPr="003075B3" w:rsidRDefault="00253427" w:rsidP="00EF0503">
            <w:pPr>
              <w:suppressLineNumbers/>
              <w:suppressAutoHyphens/>
              <w:rPr>
                <w:color w:val="000000"/>
                <w:kern w:val="22"/>
                <w:sz w:val="17"/>
                <w:szCs w:val="17"/>
                <w:lang w:eastAsia="en-CA"/>
              </w:rPr>
            </w:pPr>
          </w:p>
        </w:tc>
        <w:tc>
          <w:tcPr>
            <w:tcW w:w="0" w:type="auto"/>
            <w:gridSpan w:val="5"/>
            <w:tcBorders>
              <w:top w:val="nil"/>
              <w:left w:val="nil"/>
              <w:bottom w:val="nil"/>
              <w:right w:val="nil"/>
            </w:tcBorders>
            <w:shd w:val="clear" w:color="auto" w:fill="auto"/>
            <w:hideMark/>
          </w:tcPr>
          <w:p w14:paraId="3229134B" w14:textId="77777777" w:rsidR="00253427" w:rsidRPr="003075B3" w:rsidRDefault="00253427" w:rsidP="00EF0503">
            <w:pPr>
              <w:suppressLineNumbers/>
              <w:suppressAutoHyphens/>
              <w:rPr>
                <w:color w:val="000000"/>
                <w:kern w:val="22"/>
                <w:sz w:val="16"/>
                <w:szCs w:val="16"/>
                <w:lang w:eastAsia="en-CA"/>
              </w:rPr>
            </w:pPr>
            <w:r w:rsidRPr="003075B3">
              <w:rPr>
                <w:color w:val="000000"/>
                <w:kern w:val="22"/>
                <w:sz w:val="16"/>
                <w:szCs w:val="16"/>
                <w:lang w:eastAsia="en-CA"/>
              </w:rPr>
              <w:t>1/ Regular meetings to be funded from the core budget:</w:t>
            </w:r>
          </w:p>
        </w:tc>
      </w:tr>
      <w:tr w:rsidR="00253427" w:rsidRPr="003075B3" w14:paraId="3E3C7D7F" w14:textId="77777777" w:rsidTr="00EF0503">
        <w:trPr>
          <w:trHeight w:val="216"/>
        </w:trPr>
        <w:tc>
          <w:tcPr>
            <w:tcW w:w="0" w:type="auto"/>
            <w:gridSpan w:val="2"/>
            <w:tcBorders>
              <w:top w:val="nil"/>
              <w:left w:val="nil"/>
              <w:bottom w:val="nil"/>
              <w:right w:val="nil"/>
            </w:tcBorders>
            <w:shd w:val="clear" w:color="auto" w:fill="auto"/>
            <w:noWrap/>
            <w:hideMark/>
          </w:tcPr>
          <w:p w14:paraId="64B5CF60" w14:textId="77777777" w:rsidR="00253427" w:rsidRPr="003075B3" w:rsidRDefault="00253427" w:rsidP="00EF0503">
            <w:pPr>
              <w:suppressLineNumbers/>
              <w:suppressAutoHyphens/>
              <w:rPr>
                <w:color w:val="000000"/>
                <w:kern w:val="22"/>
                <w:sz w:val="17"/>
                <w:szCs w:val="17"/>
                <w:lang w:eastAsia="en-CA"/>
              </w:rPr>
            </w:pPr>
          </w:p>
        </w:tc>
        <w:tc>
          <w:tcPr>
            <w:tcW w:w="0" w:type="auto"/>
            <w:gridSpan w:val="5"/>
            <w:tcBorders>
              <w:top w:val="nil"/>
              <w:left w:val="nil"/>
              <w:bottom w:val="nil"/>
              <w:right w:val="nil"/>
            </w:tcBorders>
            <w:shd w:val="clear" w:color="auto" w:fill="auto"/>
            <w:noWrap/>
            <w:hideMark/>
          </w:tcPr>
          <w:p w14:paraId="2DE17B1B" w14:textId="77777777" w:rsidR="00253427" w:rsidRPr="003075B3" w:rsidRDefault="00253427" w:rsidP="00EF0503">
            <w:pPr>
              <w:suppressLineNumbers/>
              <w:suppressAutoHyphens/>
              <w:rPr>
                <w:color w:val="000000"/>
                <w:kern w:val="22"/>
                <w:sz w:val="16"/>
                <w:szCs w:val="16"/>
                <w:lang w:eastAsia="en-CA"/>
              </w:rPr>
            </w:pPr>
            <w:r w:rsidRPr="003075B3">
              <w:rPr>
                <w:color w:val="000000"/>
                <w:kern w:val="22"/>
                <w:sz w:val="16"/>
                <w:szCs w:val="16"/>
                <w:lang w:eastAsia="en-CA"/>
              </w:rPr>
              <w:t>- Eleventh meeting of the Ad Hoc Working Group on Article 8(j) and Related Provisions.</w:t>
            </w:r>
          </w:p>
        </w:tc>
      </w:tr>
      <w:tr w:rsidR="00253427" w:rsidRPr="003075B3" w14:paraId="33330430" w14:textId="77777777" w:rsidTr="00EF0503">
        <w:tc>
          <w:tcPr>
            <w:tcW w:w="0" w:type="auto"/>
            <w:tcBorders>
              <w:top w:val="nil"/>
              <w:left w:val="nil"/>
              <w:bottom w:val="nil"/>
              <w:right w:val="nil"/>
            </w:tcBorders>
            <w:shd w:val="clear" w:color="auto" w:fill="auto"/>
            <w:noWrap/>
            <w:hideMark/>
          </w:tcPr>
          <w:p w14:paraId="31A73DF0" w14:textId="77777777" w:rsidR="00253427" w:rsidRPr="003075B3" w:rsidRDefault="00253427" w:rsidP="00EF0503">
            <w:pPr>
              <w:suppressLineNumbers/>
              <w:suppressAutoHyphens/>
              <w:rPr>
                <w:color w:val="000000"/>
                <w:kern w:val="22"/>
                <w:sz w:val="17"/>
                <w:szCs w:val="17"/>
                <w:lang w:eastAsia="en-CA"/>
              </w:rPr>
            </w:pPr>
          </w:p>
        </w:tc>
        <w:tc>
          <w:tcPr>
            <w:tcW w:w="0" w:type="auto"/>
            <w:gridSpan w:val="6"/>
            <w:tcBorders>
              <w:top w:val="nil"/>
              <w:left w:val="nil"/>
              <w:bottom w:val="nil"/>
              <w:right w:val="nil"/>
            </w:tcBorders>
            <w:shd w:val="clear" w:color="auto" w:fill="auto"/>
            <w:noWrap/>
            <w:hideMark/>
          </w:tcPr>
          <w:p w14:paraId="780000FE" w14:textId="77777777" w:rsidR="00253427" w:rsidRPr="003075B3" w:rsidRDefault="00253427" w:rsidP="00EF0503">
            <w:pPr>
              <w:suppressLineNumbers/>
              <w:suppressAutoHyphens/>
              <w:rPr>
                <w:color w:val="000000"/>
                <w:kern w:val="22"/>
                <w:sz w:val="16"/>
                <w:szCs w:val="16"/>
                <w:lang w:eastAsia="en-CA"/>
              </w:rPr>
            </w:pPr>
            <w:r w:rsidRPr="003075B3">
              <w:rPr>
                <w:color w:val="000000"/>
                <w:kern w:val="22"/>
                <w:sz w:val="16"/>
                <w:szCs w:val="16"/>
                <w:lang w:eastAsia="en-CA"/>
              </w:rPr>
              <w:t xml:space="preserve">  - Twenty-third and twenty-fourth meetings of the Subsidiary Body on Scientific Technical and Technological Advice.</w:t>
            </w:r>
          </w:p>
        </w:tc>
      </w:tr>
      <w:tr w:rsidR="00253427" w:rsidRPr="003075B3" w14:paraId="58FCE69E" w14:textId="77777777" w:rsidTr="00EF0503">
        <w:trPr>
          <w:trHeight w:val="216"/>
        </w:trPr>
        <w:tc>
          <w:tcPr>
            <w:tcW w:w="0" w:type="auto"/>
            <w:gridSpan w:val="2"/>
            <w:tcBorders>
              <w:top w:val="nil"/>
              <w:left w:val="nil"/>
              <w:bottom w:val="nil"/>
              <w:right w:val="nil"/>
            </w:tcBorders>
            <w:shd w:val="clear" w:color="auto" w:fill="auto"/>
            <w:noWrap/>
            <w:hideMark/>
          </w:tcPr>
          <w:p w14:paraId="47347F47" w14:textId="77777777" w:rsidR="00253427" w:rsidRPr="003075B3" w:rsidRDefault="00253427" w:rsidP="00EF0503">
            <w:pPr>
              <w:suppressLineNumbers/>
              <w:suppressAutoHyphens/>
              <w:rPr>
                <w:color w:val="000000"/>
                <w:kern w:val="22"/>
                <w:sz w:val="17"/>
                <w:szCs w:val="17"/>
                <w:lang w:eastAsia="en-CA"/>
              </w:rPr>
            </w:pPr>
          </w:p>
        </w:tc>
        <w:tc>
          <w:tcPr>
            <w:tcW w:w="0" w:type="auto"/>
            <w:gridSpan w:val="5"/>
            <w:tcBorders>
              <w:top w:val="nil"/>
              <w:left w:val="nil"/>
              <w:bottom w:val="nil"/>
              <w:right w:val="nil"/>
            </w:tcBorders>
            <w:shd w:val="clear" w:color="auto" w:fill="auto"/>
            <w:noWrap/>
            <w:hideMark/>
          </w:tcPr>
          <w:p w14:paraId="44039877" w14:textId="77777777" w:rsidR="00253427" w:rsidRPr="003075B3" w:rsidRDefault="00253427" w:rsidP="00EF0503">
            <w:pPr>
              <w:suppressLineNumbers/>
              <w:suppressAutoHyphens/>
              <w:rPr>
                <w:color w:val="000000"/>
                <w:kern w:val="22"/>
                <w:sz w:val="16"/>
                <w:szCs w:val="16"/>
                <w:lang w:eastAsia="en-CA"/>
              </w:rPr>
            </w:pPr>
            <w:r w:rsidRPr="003075B3">
              <w:rPr>
                <w:color w:val="000000"/>
                <w:kern w:val="22"/>
                <w:sz w:val="16"/>
                <w:szCs w:val="16"/>
                <w:lang w:eastAsia="en-CA"/>
              </w:rPr>
              <w:t>- Third meeting of the Subsidiary Body on Implementation.</w:t>
            </w:r>
          </w:p>
        </w:tc>
      </w:tr>
      <w:tr w:rsidR="00253427" w:rsidRPr="003075B3" w14:paraId="5FAFEDCF" w14:textId="77777777" w:rsidTr="00EF0503">
        <w:trPr>
          <w:trHeight w:val="216"/>
        </w:trPr>
        <w:tc>
          <w:tcPr>
            <w:tcW w:w="0" w:type="auto"/>
            <w:gridSpan w:val="2"/>
            <w:tcBorders>
              <w:top w:val="nil"/>
              <w:left w:val="nil"/>
              <w:bottom w:val="nil"/>
              <w:right w:val="nil"/>
            </w:tcBorders>
            <w:shd w:val="clear" w:color="auto" w:fill="auto"/>
            <w:noWrap/>
            <w:hideMark/>
          </w:tcPr>
          <w:p w14:paraId="79282FFC" w14:textId="77777777" w:rsidR="00253427" w:rsidRPr="003075B3" w:rsidRDefault="00253427" w:rsidP="00EF0503">
            <w:pPr>
              <w:suppressLineNumbers/>
              <w:suppressAutoHyphens/>
              <w:rPr>
                <w:color w:val="000000"/>
                <w:kern w:val="22"/>
                <w:sz w:val="17"/>
                <w:szCs w:val="17"/>
                <w:lang w:eastAsia="en-CA"/>
              </w:rPr>
            </w:pPr>
          </w:p>
        </w:tc>
        <w:tc>
          <w:tcPr>
            <w:tcW w:w="0" w:type="auto"/>
            <w:gridSpan w:val="5"/>
            <w:tcBorders>
              <w:top w:val="nil"/>
              <w:left w:val="nil"/>
              <w:bottom w:val="nil"/>
              <w:right w:val="nil"/>
            </w:tcBorders>
            <w:shd w:val="clear" w:color="auto" w:fill="auto"/>
            <w:noWrap/>
            <w:hideMark/>
          </w:tcPr>
          <w:p w14:paraId="15C5C8AA" w14:textId="77777777" w:rsidR="00253427" w:rsidRPr="003075B3" w:rsidRDefault="00253427" w:rsidP="00EF0503">
            <w:pPr>
              <w:suppressLineNumbers/>
              <w:suppressAutoHyphens/>
              <w:rPr>
                <w:color w:val="000000"/>
                <w:kern w:val="22"/>
                <w:sz w:val="16"/>
                <w:szCs w:val="16"/>
                <w:lang w:eastAsia="en-CA"/>
              </w:rPr>
            </w:pPr>
            <w:r w:rsidRPr="003075B3">
              <w:rPr>
                <w:color w:val="000000"/>
                <w:kern w:val="22"/>
                <w:sz w:val="16"/>
                <w:szCs w:val="16"/>
                <w:lang w:eastAsia="en-CA"/>
              </w:rPr>
              <w:t>- Fifteenth meeting of the Conference of the Parties to the Convention / Tenth meeting of the Parties to the Cartagena Protocol / Fourth meeting of the Parties to the Nagoya Protocol held concurrently.</w:t>
            </w:r>
          </w:p>
        </w:tc>
      </w:tr>
      <w:tr w:rsidR="00253427" w:rsidRPr="003075B3" w14:paraId="62E0959F" w14:textId="77777777" w:rsidTr="00EF0503">
        <w:trPr>
          <w:trHeight w:val="99"/>
        </w:trPr>
        <w:tc>
          <w:tcPr>
            <w:tcW w:w="0" w:type="auto"/>
            <w:gridSpan w:val="2"/>
            <w:tcBorders>
              <w:top w:val="nil"/>
              <w:left w:val="nil"/>
              <w:bottom w:val="nil"/>
              <w:right w:val="nil"/>
            </w:tcBorders>
            <w:shd w:val="clear" w:color="auto" w:fill="auto"/>
            <w:noWrap/>
            <w:hideMark/>
          </w:tcPr>
          <w:p w14:paraId="7B43060C" w14:textId="77777777" w:rsidR="00253427" w:rsidRPr="003075B3" w:rsidRDefault="00253427" w:rsidP="00EF0503">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hideMark/>
          </w:tcPr>
          <w:p w14:paraId="554BF11F" w14:textId="77777777" w:rsidR="00253427" w:rsidRPr="003075B3" w:rsidRDefault="00253427" w:rsidP="00EF0503">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hideMark/>
          </w:tcPr>
          <w:p w14:paraId="5D6E085A" w14:textId="77777777" w:rsidR="00253427" w:rsidRPr="003075B3" w:rsidRDefault="00253427" w:rsidP="00EF0503">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hideMark/>
          </w:tcPr>
          <w:p w14:paraId="61435995" w14:textId="77777777" w:rsidR="00253427" w:rsidRPr="003075B3" w:rsidRDefault="00253427" w:rsidP="00EF0503">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hideMark/>
          </w:tcPr>
          <w:p w14:paraId="6FD090C1" w14:textId="77777777" w:rsidR="00253427" w:rsidRPr="003075B3" w:rsidRDefault="00253427" w:rsidP="00EF0503">
            <w:pPr>
              <w:suppressLineNumbers/>
              <w:suppressAutoHyphens/>
              <w:rPr>
                <w:color w:val="000000"/>
                <w:kern w:val="22"/>
                <w:sz w:val="16"/>
                <w:szCs w:val="16"/>
                <w:lang w:eastAsia="en-CA"/>
              </w:rPr>
            </w:pPr>
          </w:p>
        </w:tc>
        <w:tc>
          <w:tcPr>
            <w:tcW w:w="0" w:type="auto"/>
            <w:tcBorders>
              <w:top w:val="nil"/>
              <w:left w:val="nil"/>
              <w:bottom w:val="nil"/>
              <w:right w:val="nil"/>
            </w:tcBorders>
            <w:shd w:val="clear" w:color="auto" w:fill="auto"/>
            <w:noWrap/>
            <w:hideMark/>
          </w:tcPr>
          <w:p w14:paraId="2F4E1DF9" w14:textId="77777777" w:rsidR="00253427" w:rsidRPr="003075B3" w:rsidRDefault="00253427" w:rsidP="00EF0503">
            <w:pPr>
              <w:suppressLineNumbers/>
              <w:suppressAutoHyphens/>
              <w:rPr>
                <w:color w:val="000000"/>
                <w:kern w:val="22"/>
                <w:sz w:val="16"/>
                <w:szCs w:val="16"/>
                <w:lang w:eastAsia="en-CA"/>
              </w:rPr>
            </w:pPr>
          </w:p>
        </w:tc>
      </w:tr>
      <w:tr w:rsidR="00253427" w:rsidRPr="003075B3" w14:paraId="0E3C0BCB" w14:textId="77777777" w:rsidTr="00EF0503">
        <w:tc>
          <w:tcPr>
            <w:tcW w:w="0" w:type="auto"/>
            <w:gridSpan w:val="2"/>
            <w:tcBorders>
              <w:top w:val="nil"/>
              <w:left w:val="nil"/>
              <w:bottom w:val="nil"/>
              <w:right w:val="nil"/>
            </w:tcBorders>
            <w:shd w:val="clear" w:color="auto" w:fill="auto"/>
            <w:noWrap/>
            <w:hideMark/>
          </w:tcPr>
          <w:p w14:paraId="5CD8EF7E" w14:textId="77777777" w:rsidR="00253427" w:rsidRPr="003075B3" w:rsidRDefault="00253427" w:rsidP="00EF0503">
            <w:pPr>
              <w:suppressLineNumbers/>
              <w:suppressAutoHyphens/>
              <w:rPr>
                <w:color w:val="000000"/>
                <w:kern w:val="22"/>
                <w:sz w:val="16"/>
                <w:szCs w:val="16"/>
                <w:lang w:eastAsia="en-CA"/>
              </w:rPr>
            </w:pPr>
          </w:p>
        </w:tc>
        <w:tc>
          <w:tcPr>
            <w:tcW w:w="0" w:type="auto"/>
            <w:gridSpan w:val="5"/>
            <w:tcBorders>
              <w:top w:val="nil"/>
              <w:left w:val="nil"/>
              <w:bottom w:val="nil"/>
              <w:right w:val="nil"/>
            </w:tcBorders>
            <w:shd w:val="clear" w:color="auto" w:fill="auto"/>
            <w:hideMark/>
          </w:tcPr>
          <w:p w14:paraId="0968A2D9" w14:textId="77777777" w:rsidR="00253427" w:rsidRPr="003075B3" w:rsidRDefault="00253427" w:rsidP="00EF0503">
            <w:pPr>
              <w:suppressLineNumbers/>
              <w:suppressAutoHyphens/>
              <w:rPr>
                <w:color w:val="000000"/>
                <w:kern w:val="22"/>
                <w:sz w:val="16"/>
                <w:szCs w:val="16"/>
                <w:lang w:eastAsia="en-CA"/>
              </w:rPr>
            </w:pPr>
            <w:r w:rsidRPr="003075B3">
              <w:rPr>
                <w:color w:val="000000"/>
                <w:kern w:val="22"/>
                <w:sz w:val="16"/>
                <w:szCs w:val="16"/>
                <w:lang w:eastAsia="en-CA"/>
              </w:rPr>
              <w:t>2/ SBSTTA-23 (3 days), Art. 8(j)-11 (3 days) back-to-back in 2019. SBSTTA-24 (6days), SBI-3 (5 days) back-to-back in 2020.</w:t>
            </w:r>
          </w:p>
        </w:tc>
      </w:tr>
      <w:tr w:rsidR="00253427" w:rsidRPr="003075B3" w14:paraId="37D50D81" w14:textId="77777777" w:rsidTr="00EF0503">
        <w:tc>
          <w:tcPr>
            <w:tcW w:w="0" w:type="auto"/>
            <w:gridSpan w:val="2"/>
            <w:tcBorders>
              <w:top w:val="nil"/>
              <w:left w:val="nil"/>
              <w:bottom w:val="nil"/>
              <w:right w:val="nil"/>
            </w:tcBorders>
            <w:shd w:val="clear" w:color="auto" w:fill="auto"/>
            <w:noWrap/>
            <w:hideMark/>
          </w:tcPr>
          <w:p w14:paraId="309D1DA0" w14:textId="77777777" w:rsidR="00253427" w:rsidRPr="003075B3" w:rsidRDefault="00253427" w:rsidP="00EF0503">
            <w:pPr>
              <w:suppressLineNumbers/>
              <w:suppressAutoHyphens/>
              <w:rPr>
                <w:color w:val="000000"/>
                <w:kern w:val="22"/>
                <w:sz w:val="16"/>
                <w:szCs w:val="16"/>
                <w:lang w:eastAsia="en-CA"/>
              </w:rPr>
            </w:pPr>
          </w:p>
        </w:tc>
        <w:tc>
          <w:tcPr>
            <w:tcW w:w="0" w:type="auto"/>
            <w:gridSpan w:val="5"/>
            <w:tcBorders>
              <w:top w:val="nil"/>
              <w:left w:val="nil"/>
              <w:bottom w:val="nil"/>
              <w:right w:val="nil"/>
            </w:tcBorders>
            <w:shd w:val="clear" w:color="auto" w:fill="auto"/>
            <w:hideMark/>
          </w:tcPr>
          <w:p w14:paraId="1686436B" w14:textId="77777777" w:rsidR="00253427" w:rsidRPr="003075B3" w:rsidRDefault="00253427" w:rsidP="00EF0503">
            <w:pPr>
              <w:suppressLineNumbers/>
              <w:suppressAutoHyphens/>
              <w:rPr>
                <w:color w:val="000000"/>
                <w:kern w:val="22"/>
                <w:sz w:val="16"/>
                <w:szCs w:val="16"/>
                <w:lang w:eastAsia="en-CA"/>
              </w:rPr>
            </w:pPr>
            <w:r w:rsidRPr="003075B3">
              <w:rPr>
                <w:color w:val="000000"/>
                <w:kern w:val="22"/>
                <w:sz w:val="16"/>
                <w:szCs w:val="16"/>
                <w:lang w:eastAsia="en-CA"/>
              </w:rPr>
              <w:t>3/ Budget for COP-15/COP-MOP 10 and COP-MOP 4 divided equally between both years of the biennium.</w:t>
            </w:r>
          </w:p>
        </w:tc>
      </w:tr>
      <w:tr w:rsidR="00253427" w:rsidRPr="003075B3" w14:paraId="018EB487" w14:textId="77777777" w:rsidTr="00EF0503">
        <w:tc>
          <w:tcPr>
            <w:tcW w:w="0" w:type="auto"/>
            <w:gridSpan w:val="2"/>
            <w:tcBorders>
              <w:top w:val="nil"/>
              <w:left w:val="nil"/>
              <w:bottom w:val="nil"/>
              <w:right w:val="nil"/>
            </w:tcBorders>
            <w:shd w:val="clear" w:color="auto" w:fill="auto"/>
            <w:noWrap/>
            <w:hideMark/>
          </w:tcPr>
          <w:p w14:paraId="0373D918" w14:textId="77777777" w:rsidR="00253427" w:rsidRPr="003075B3" w:rsidRDefault="00253427" w:rsidP="00EF0503">
            <w:pPr>
              <w:suppressLineNumbers/>
              <w:suppressAutoHyphens/>
              <w:rPr>
                <w:color w:val="000000"/>
                <w:kern w:val="22"/>
                <w:sz w:val="16"/>
                <w:szCs w:val="16"/>
                <w:lang w:eastAsia="en-CA"/>
              </w:rPr>
            </w:pPr>
          </w:p>
        </w:tc>
        <w:tc>
          <w:tcPr>
            <w:tcW w:w="0" w:type="auto"/>
            <w:gridSpan w:val="5"/>
            <w:tcBorders>
              <w:top w:val="nil"/>
              <w:left w:val="nil"/>
              <w:bottom w:val="nil"/>
              <w:right w:val="nil"/>
            </w:tcBorders>
            <w:shd w:val="clear" w:color="auto" w:fill="auto"/>
            <w:hideMark/>
          </w:tcPr>
          <w:p w14:paraId="0E5C2F49" w14:textId="77777777" w:rsidR="00253427" w:rsidRPr="003075B3" w:rsidRDefault="00253427" w:rsidP="00EF0503">
            <w:pPr>
              <w:suppressLineNumbers/>
              <w:suppressAutoHyphens/>
              <w:rPr>
                <w:color w:val="000000"/>
                <w:kern w:val="22"/>
                <w:sz w:val="16"/>
                <w:szCs w:val="16"/>
                <w:lang w:eastAsia="en-CA"/>
              </w:rPr>
            </w:pPr>
            <w:r w:rsidRPr="003075B3">
              <w:rPr>
                <w:color w:val="000000"/>
                <w:kern w:val="22"/>
                <w:sz w:val="16"/>
                <w:szCs w:val="16"/>
                <w:lang w:eastAsia="en-CA"/>
              </w:rPr>
              <w:t>4/ Two stand-alone meetings of the Extraordinary meetings, 5 days each, plus 2 days extension for SBSTTA-23</w:t>
            </w:r>
          </w:p>
        </w:tc>
      </w:tr>
      <w:tr w:rsidR="00253427" w:rsidRPr="003075B3" w14:paraId="3844BB5B" w14:textId="77777777" w:rsidTr="00EF0503">
        <w:tc>
          <w:tcPr>
            <w:tcW w:w="0" w:type="auto"/>
            <w:gridSpan w:val="2"/>
            <w:tcBorders>
              <w:top w:val="nil"/>
              <w:left w:val="nil"/>
              <w:bottom w:val="nil"/>
              <w:right w:val="nil"/>
            </w:tcBorders>
            <w:shd w:val="clear" w:color="auto" w:fill="auto"/>
            <w:noWrap/>
            <w:hideMark/>
          </w:tcPr>
          <w:p w14:paraId="5AB04A93" w14:textId="77777777" w:rsidR="00253427" w:rsidRPr="003075B3" w:rsidRDefault="00253427" w:rsidP="00EF0503">
            <w:pPr>
              <w:suppressLineNumbers/>
              <w:suppressAutoHyphens/>
              <w:rPr>
                <w:color w:val="000000"/>
                <w:kern w:val="22"/>
                <w:sz w:val="16"/>
                <w:szCs w:val="16"/>
                <w:lang w:eastAsia="en-CA"/>
              </w:rPr>
            </w:pPr>
          </w:p>
        </w:tc>
        <w:tc>
          <w:tcPr>
            <w:tcW w:w="0" w:type="auto"/>
            <w:gridSpan w:val="5"/>
            <w:tcBorders>
              <w:top w:val="nil"/>
              <w:left w:val="nil"/>
              <w:bottom w:val="nil"/>
              <w:right w:val="nil"/>
            </w:tcBorders>
            <w:shd w:val="clear" w:color="auto" w:fill="auto"/>
            <w:hideMark/>
          </w:tcPr>
          <w:p w14:paraId="3829D7B3" w14:textId="77777777" w:rsidR="00253427" w:rsidRPr="003075B3" w:rsidRDefault="00253427" w:rsidP="00EF0503">
            <w:pPr>
              <w:suppressLineNumbers/>
              <w:suppressAutoHyphens/>
              <w:rPr>
                <w:color w:val="000000"/>
                <w:kern w:val="22"/>
                <w:sz w:val="16"/>
                <w:szCs w:val="16"/>
                <w:lang w:eastAsia="en-CA"/>
              </w:rPr>
            </w:pPr>
            <w:r w:rsidRPr="003075B3">
              <w:rPr>
                <w:color w:val="000000"/>
                <w:kern w:val="22"/>
                <w:sz w:val="16"/>
                <w:szCs w:val="16"/>
                <w:lang w:eastAsia="en-CA"/>
              </w:rPr>
              <w:t>5/ Indicative.</w:t>
            </w:r>
          </w:p>
        </w:tc>
      </w:tr>
    </w:tbl>
    <w:p w14:paraId="332FF8B9" w14:textId="77777777" w:rsidR="00253427" w:rsidRPr="003075B3" w:rsidRDefault="00253427" w:rsidP="00253427">
      <w:pPr>
        <w:suppressLineNumbers/>
        <w:suppressAutoHyphens/>
        <w:rPr>
          <w:kern w:val="22"/>
        </w:rPr>
        <w:sectPr w:rsidR="00253427" w:rsidRPr="003075B3" w:rsidSect="00253427">
          <w:headerReference w:type="even" r:id="rId33"/>
          <w:headerReference w:type="default" r:id="rId34"/>
          <w:type w:val="continuous"/>
          <w:pgSz w:w="12240" w:h="15840"/>
          <w:pgMar w:top="567" w:right="1389" w:bottom="1134" w:left="1389" w:header="709" w:footer="709" w:gutter="0"/>
          <w:cols w:space="708"/>
          <w:titlePg/>
          <w:docGrid w:linePitch="360"/>
        </w:sectPr>
      </w:pPr>
    </w:p>
    <w:p w14:paraId="3FD456EB" w14:textId="0F651053" w:rsidR="00253427" w:rsidRPr="003075B3" w:rsidRDefault="00253427" w:rsidP="00253427">
      <w:pPr>
        <w:suppressLineNumbers/>
        <w:suppressAutoHyphens/>
        <w:rPr>
          <w:kern w:val="22"/>
        </w:rPr>
      </w:pPr>
    </w:p>
    <w:p w14:paraId="50174C70" w14:textId="77777777" w:rsidR="00253427" w:rsidRPr="003075B3" w:rsidRDefault="00253427" w:rsidP="00253427">
      <w:pPr>
        <w:suppressLineNumbers/>
        <w:suppressAutoHyphens/>
        <w:rPr>
          <w:kern w:val="22"/>
        </w:rPr>
      </w:pPr>
    </w:p>
    <w:p w14:paraId="28DC4113" w14:textId="77777777" w:rsidR="00253427" w:rsidRPr="003075B3" w:rsidRDefault="00253427" w:rsidP="00253427">
      <w:pPr>
        <w:suppressLineNumbers/>
        <w:suppressAutoHyphens/>
        <w:rPr>
          <w:kern w:val="22"/>
        </w:rPr>
        <w:sectPr w:rsidR="00253427" w:rsidRPr="003075B3" w:rsidSect="00253427">
          <w:type w:val="continuous"/>
          <w:pgSz w:w="12240" w:h="15840"/>
          <w:pgMar w:top="567" w:right="1389" w:bottom="1134" w:left="1389" w:header="709" w:footer="709" w:gutter="0"/>
          <w:cols w:space="708"/>
          <w:titlePg/>
          <w:docGrid w:linePitch="360"/>
        </w:sectPr>
      </w:pPr>
    </w:p>
    <w:p w14:paraId="24B94E52" w14:textId="77777777" w:rsidR="00253427" w:rsidRPr="00237524" w:rsidRDefault="00253427" w:rsidP="00253427">
      <w:pPr>
        <w:suppressLineNumbers/>
        <w:suppressAutoHyphens/>
        <w:rPr>
          <w:b/>
          <w:kern w:val="22"/>
          <w:sz w:val="22"/>
          <w:szCs w:val="22"/>
        </w:rPr>
      </w:pPr>
      <w:r w:rsidRPr="00237524">
        <w:rPr>
          <w:b/>
          <w:kern w:val="22"/>
          <w:sz w:val="22"/>
          <w:szCs w:val="22"/>
        </w:rPr>
        <w:lastRenderedPageBreak/>
        <w:t>Table 2. Contributions to the Trust Fund for the Cartagena Protocol on Biosafety for the biennium 2019-2020</w:t>
      </w:r>
      <w:r w:rsidRPr="00237524">
        <w:rPr>
          <w:rStyle w:val="FootnoteReference"/>
          <w:b/>
          <w:kern w:val="22"/>
          <w:sz w:val="22"/>
          <w:szCs w:val="22"/>
          <w:u w:val="none"/>
          <w:vertAlign w:val="superscript"/>
        </w:rPr>
        <w:footnoteReference w:id="25"/>
      </w:r>
    </w:p>
    <w:p w14:paraId="73FE6026" w14:textId="77777777" w:rsidR="00253427" w:rsidRPr="003075B3" w:rsidRDefault="00253427" w:rsidP="00253427">
      <w:pPr>
        <w:suppressLineNumbers/>
        <w:suppressAutoHyphens/>
        <w:rPr>
          <w:kern w:val="22"/>
        </w:rPr>
      </w:pPr>
    </w:p>
    <w:tbl>
      <w:tblPr>
        <w:tblW w:w="0" w:type="auto"/>
        <w:jc w:val="center"/>
        <w:tblLook w:val="04A0" w:firstRow="1" w:lastRow="0" w:firstColumn="1" w:lastColumn="0" w:noHBand="0" w:noVBand="1"/>
      </w:tblPr>
      <w:tblGrid>
        <w:gridCol w:w="2387"/>
        <w:gridCol w:w="2288"/>
        <w:gridCol w:w="3376"/>
        <w:gridCol w:w="2079"/>
        <w:gridCol w:w="2079"/>
        <w:gridCol w:w="1466"/>
      </w:tblGrid>
      <w:tr w:rsidR="00253427" w:rsidRPr="00653977" w14:paraId="576FA198" w14:textId="77777777" w:rsidTr="00EF0503">
        <w:trPr>
          <w:cantSplit/>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B9323" w14:textId="77777777" w:rsidR="00253427" w:rsidRPr="00653977" w:rsidRDefault="00253427" w:rsidP="00EF0503">
            <w:pPr>
              <w:jc w:val="center"/>
              <w:rPr>
                <w:b/>
                <w:bCs/>
                <w:sz w:val="22"/>
                <w:szCs w:val="22"/>
                <w:lang w:eastAsia="en-CA"/>
              </w:rPr>
            </w:pPr>
            <w:r w:rsidRPr="00653977">
              <w:rPr>
                <w:b/>
                <w:bCs/>
                <w:sz w:val="22"/>
                <w:szCs w:val="22"/>
                <w:lang w:eastAsia="en-CA"/>
              </w:rPr>
              <w:t>Party</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3708469C" w14:textId="77777777" w:rsidR="00253427" w:rsidRPr="00653977" w:rsidRDefault="00253427" w:rsidP="00EF0503">
            <w:pPr>
              <w:jc w:val="center"/>
              <w:rPr>
                <w:b/>
                <w:bCs/>
                <w:sz w:val="22"/>
                <w:szCs w:val="22"/>
                <w:lang w:eastAsia="en-CA"/>
              </w:rPr>
            </w:pPr>
            <w:r w:rsidRPr="00653977">
              <w:rPr>
                <w:b/>
                <w:bCs/>
                <w:sz w:val="22"/>
                <w:szCs w:val="22"/>
                <w:lang w:eastAsia="en-CA"/>
              </w:rPr>
              <w:t>Scale of assessments 2016-2018</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3899E8C" w14:textId="77777777" w:rsidR="00253427" w:rsidRPr="00653977" w:rsidRDefault="00253427" w:rsidP="00EF0503">
            <w:pPr>
              <w:jc w:val="center"/>
              <w:rPr>
                <w:b/>
                <w:bCs/>
                <w:sz w:val="22"/>
                <w:szCs w:val="22"/>
                <w:lang w:eastAsia="en-CA"/>
              </w:rPr>
            </w:pPr>
            <w:r w:rsidRPr="00653977">
              <w:rPr>
                <w:b/>
                <w:bCs/>
                <w:sz w:val="22"/>
                <w:szCs w:val="22"/>
                <w:lang w:eastAsia="en-CA"/>
              </w:rPr>
              <w:t>Scale with 22% ceiling, no least developed country paying more than 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19437ED" w14:textId="77777777" w:rsidR="00253427" w:rsidRPr="00653977" w:rsidRDefault="00253427" w:rsidP="00EF0503">
            <w:pPr>
              <w:jc w:val="center"/>
              <w:rPr>
                <w:b/>
                <w:bCs/>
                <w:sz w:val="22"/>
                <w:szCs w:val="22"/>
                <w:lang w:eastAsia="en-CA"/>
              </w:rPr>
            </w:pPr>
            <w:r w:rsidRPr="00653977">
              <w:rPr>
                <w:b/>
                <w:bCs/>
                <w:sz w:val="22"/>
                <w:szCs w:val="22"/>
                <w:lang w:eastAsia="en-CA"/>
              </w:rPr>
              <w:t>Contribution due as of 1 January 2019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E325B7D" w14:textId="77777777" w:rsidR="00253427" w:rsidRPr="00653977" w:rsidRDefault="00253427" w:rsidP="00EF0503">
            <w:pPr>
              <w:jc w:val="center"/>
              <w:rPr>
                <w:b/>
                <w:bCs/>
                <w:sz w:val="22"/>
                <w:szCs w:val="22"/>
                <w:lang w:eastAsia="en-CA"/>
              </w:rPr>
            </w:pPr>
            <w:r w:rsidRPr="00653977">
              <w:rPr>
                <w:b/>
                <w:bCs/>
                <w:sz w:val="22"/>
                <w:szCs w:val="22"/>
                <w:lang w:eastAsia="en-CA"/>
              </w:rPr>
              <w:t>Contribution due as of 1 January 2020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CEC7C76" w14:textId="77777777" w:rsidR="00253427" w:rsidRPr="00653977" w:rsidRDefault="00253427" w:rsidP="00EF0503">
            <w:pPr>
              <w:jc w:val="center"/>
              <w:rPr>
                <w:b/>
                <w:bCs/>
                <w:sz w:val="22"/>
                <w:szCs w:val="22"/>
                <w:lang w:eastAsia="en-CA"/>
              </w:rPr>
            </w:pPr>
            <w:r w:rsidRPr="00653977">
              <w:rPr>
                <w:b/>
                <w:bCs/>
                <w:sz w:val="22"/>
                <w:szCs w:val="22"/>
                <w:lang w:eastAsia="en-CA"/>
              </w:rPr>
              <w:t>Total 2019-2020</w:t>
            </w:r>
          </w:p>
        </w:tc>
      </w:tr>
      <w:tr w:rsidR="00253427" w:rsidRPr="00653977" w14:paraId="3336FB7E"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971F2E" w14:textId="77777777" w:rsidR="00253427" w:rsidRPr="00653977" w:rsidRDefault="00253427" w:rsidP="00EF0503">
            <w:pPr>
              <w:rPr>
                <w:sz w:val="22"/>
                <w:szCs w:val="22"/>
                <w:lang w:eastAsia="en-CA"/>
              </w:rPr>
            </w:pPr>
            <w:r w:rsidRPr="00653977">
              <w:rPr>
                <w:sz w:val="22"/>
                <w:szCs w:val="22"/>
                <w:lang w:eastAsia="en-CA"/>
              </w:rPr>
              <w:t>Afghanistan</w:t>
            </w:r>
          </w:p>
        </w:tc>
        <w:tc>
          <w:tcPr>
            <w:tcW w:w="2288" w:type="dxa"/>
            <w:tcBorders>
              <w:top w:val="nil"/>
              <w:left w:val="nil"/>
              <w:bottom w:val="single" w:sz="4" w:space="0" w:color="auto"/>
              <w:right w:val="single" w:sz="4" w:space="0" w:color="auto"/>
            </w:tcBorders>
            <w:shd w:val="clear" w:color="auto" w:fill="auto"/>
            <w:vAlign w:val="center"/>
            <w:hideMark/>
          </w:tcPr>
          <w:p w14:paraId="7094152E" w14:textId="77777777" w:rsidR="00253427" w:rsidRPr="00653977" w:rsidRDefault="00253427" w:rsidP="00EF0503">
            <w:pPr>
              <w:ind w:right="770"/>
              <w:jc w:val="right"/>
              <w:rPr>
                <w:sz w:val="22"/>
                <w:szCs w:val="22"/>
                <w:lang w:eastAsia="en-CA"/>
              </w:rPr>
            </w:pPr>
            <w:r w:rsidRPr="00653977">
              <w:rPr>
                <w:sz w:val="22"/>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7BFD6E15" w14:textId="77777777" w:rsidR="00253427" w:rsidRPr="00653977" w:rsidRDefault="00253427" w:rsidP="00EF0503">
            <w:pPr>
              <w:ind w:right="1144"/>
              <w:jc w:val="right"/>
              <w:rPr>
                <w:sz w:val="22"/>
                <w:szCs w:val="22"/>
                <w:lang w:eastAsia="en-CA"/>
              </w:rPr>
            </w:pPr>
            <w:r w:rsidRPr="00653977">
              <w:rPr>
                <w:sz w:val="22"/>
                <w:szCs w:val="22"/>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44751CE1" w14:textId="77777777" w:rsidR="00253427" w:rsidRPr="00653977" w:rsidRDefault="00253427" w:rsidP="00EF0503">
            <w:pPr>
              <w:ind w:right="276"/>
              <w:jc w:val="right"/>
              <w:rPr>
                <w:sz w:val="22"/>
                <w:szCs w:val="22"/>
                <w:lang w:eastAsia="en-CA"/>
              </w:rPr>
            </w:pPr>
            <w:r w:rsidRPr="00653977">
              <w:rPr>
                <w:sz w:val="22"/>
                <w:szCs w:val="22"/>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5BE1CA50" w14:textId="77777777" w:rsidR="00253427" w:rsidRPr="00653977" w:rsidRDefault="00253427" w:rsidP="00EF0503">
            <w:pPr>
              <w:ind w:right="276"/>
              <w:jc w:val="right"/>
              <w:rPr>
                <w:sz w:val="22"/>
                <w:szCs w:val="22"/>
                <w:lang w:eastAsia="en-CA"/>
              </w:rPr>
            </w:pPr>
            <w:r w:rsidRPr="00653977">
              <w:rPr>
                <w:sz w:val="22"/>
                <w:szCs w:val="22"/>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001B5275" w14:textId="77777777" w:rsidR="00253427" w:rsidRPr="00653977" w:rsidRDefault="00253427" w:rsidP="00EF0503">
            <w:pPr>
              <w:ind w:right="276"/>
              <w:jc w:val="right"/>
              <w:rPr>
                <w:sz w:val="22"/>
                <w:szCs w:val="22"/>
                <w:lang w:eastAsia="en-CA"/>
              </w:rPr>
            </w:pPr>
            <w:r w:rsidRPr="00653977">
              <w:rPr>
                <w:sz w:val="22"/>
                <w:szCs w:val="22"/>
                <w:lang w:eastAsia="en-CA"/>
              </w:rPr>
              <w:t>430</w:t>
            </w:r>
          </w:p>
        </w:tc>
      </w:tr>
      <w:tr w:rsidR="00253427" w:rsidRPr="00653977" w14:paraId="78F17C89"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5AD1F6" w14:textId="77777777" w:rsidR="00253427" w:rsidRPr="00653977" w:rsidRDefault="00253427" w:rsidP="00EF0503">
            <w:pPr>
              <w:rPr>
                <w:sz w:val="22"/>
                <w:szCs w:val="22"/>
                <w:lang w:eastAsia="en-CA"/>
              </w:rPr>
            </w:pPr>
            <w:r w:rsidRPr="00653977">
              <w:rPr>
                <w:sz w:val="22"/>
                <w:szCs w:val="22"/>
                <w:lang w:eastAsia="en-CA"/>
              </w:rPr>
              <w:t>Albania</w:t>
            </w:r>
          </w:p>
        </w:tc>
        <w:tc>
          <w:tcPr>
            <w:tcW w:w="2288" w:type="dxa"/>
            <w:tcBorders>
              <w:top w:val="nil"/>
              <w:left w:val="nil"/>
              <w:bottom w:val="single" w:sz="4" w:space="0" w:color="auto"/>
              <w:right w:val="single" w:sz="4" w:space="0" w:color="auto"/>
            </w:tcBorders>
            <w:shd w:val="clear" w:color="auto" w:fill="auto"/>
            <w:vAlign w:val="center"/>
            <w:hideMark/>
          </w:tcPr>
          <w:p w14:paraId="3A35B3A4" w14:textId="77777777" w:rsidR="00253427" w:rsidRPr="00653977" w:rsidRDefault="00253427" w:rsidP="00EF0503">
            <w:pPr>
              <w:ind w:right="770"/>
              <w:jc w:val="right"/>
              <w:rPr>
                <w:sz w:val="22"/>
                <w:szCs w:val="22"/>
                <w:lang w:eastAsia="en-CA"/>
              </w:rPr>
            </w:pPr>
            <w:r w:rsidRPr="00653977">
              <w:rPr>
                <w:sz w:val="22"/>
                <w:szCs w:val="22"/>
                <w:lang w:eastAsia="en-CA"/>
              </w:rPr>
              <w:t>0.008</w:t>
            </w:r>
          </w:p>
        </w:tc>
        <w:tc>
          <w:tcPr>
            <w:tcW w:w="0" w:type="auto"/>
            <w:tcBorders>
              <w:top w:val="nil"/>
              <w:left w:val="nil"/>
              <w:bottom w:val="single" w:sz="4" w:space="0" w:color="auto"/>
              <w:right w:val="single" w:sz="4" w:space="0" w:color="auto"/>
            </w:tcBorders>
            <w:shd w:val="clear" w:color="auto" w:fill="auto"/>
            <w:noWrap/>
            <w:vAlign w:val="center"/>
            <w:hideMark/>
          </w:tcPr>
          <w:p w14:paraId="39397C49" w14:textId="77777777" w:rsidR="00253427" w:rsidRPr="00653977" w:rsidRDefault="00253427" w:rsidP="00EF0503">
            <w:pPr>
              <w:ind w:right="1144"/>
              <w:jc w:val="right"/>
              <w:rPr>
                <w:sz w:val="22"/>
                <w:szCs w:val="22"/>
                <w:lang w:eastAsia="en-CA"/>
              </w:rPr>
            </w:pPr>
            <w:r w:rsidRPr="00653977">
              <w:rPr>
                <w:sz w:val="22"/>
                <w:szCs w:val="22"/>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6D61D0F6" w14:textId="77777777" w:rsidR="00253427" w:rsidRPr="00653977" w:rsidRDefault="00253427" w:rsidP="00EF0503">
            <w:pPr>
              <w:ind w:right="276"/>
              <w:jc w:val="right"/>
              <w:rPr>
                <w:sz w:val="22"/>
                <w:szCs w:val="22"/>
                <w:lang w:eastAsia="en-CA"/>
              </w:rPr>
            </w:pPr>
            <w:r w:rsidRPr="00653977">
              <w:rPr>
                <w:sz w:val="22"/>
                <w:szCs w:val="22"/>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14:paraId="5C9A6267" w14:textId="77777777" w:rsidR="00253427" w:rsidRPr="00653977" w:rsidRDefault="00253427" w:rsidP="00EF0503">
            <w:pPr>
              <w:ind w:right="276"/>
              <w:jc w:val="right"/>
              <w:rPr>
                <w:sz w:val="22"/>
                <w:szCs w:val="22"/>
                <w:lang w:eastAsia="en-CA"/>
              </w:rPr>
            </w:pPr>
            <w:r w:rsidRPr="00653977">
              <w:rPr>
                <w:sz w:val="22"/>
                <w:szCs w:val="22"/>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14:paraId="29BDFF22" w14:textId="77777777" w:rsidR="00253427" w:rsidRPr="00653977" w:rsidRDefault="00253427" w:rsidP="00EF0503">
            <w:pPr>
              <w:ind w:right="276"/>
              <w:jc w:val="right"/>
              <w:rPr>
                <w:sz w:val="22"/>
                <w:szCs w:val="22"/>
                <w:lang w:eastAsia="en-CA"/>
              </w:rPr>
            </w:pPr>
            <w:r w:rsidRPr="00653977">
              <w:rPr>
                <w:sz w:val="22"/>
                <w:szCs w:val="22"/>
                <w:lang w:eastAsia="en-CA"/>
              </w:rPr>
              <w:t>573</w:t>
            </w:r>
          </w:p>
        </w:tc>
      </w:tr>
      <w:tr w:rsidR="00253427" w:rsidRPr="00653977" w14:paraId="03D2FA87"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439505" w14:textId="77777777" w:rsidR="00253427" w:rsidRPr="00653977" w:rsidRDefault="00253427" w:rsidP="00EF0503">
            <w:pPr>
              <w:rPr>
                <w:sz w:val="22"/>
                <w:szCs w:val="22"/>
                <w:lang w:eastAsia="en-CA"/>
              </w:rPr>
            </w:pPr>
            <w:r w:rsidRPr="00653977">
              <w:rPr>
                <w:sz w:val="22"/>
                <w:szCs w:val="22"/>
                <w:lang w:eastAsia="en-CA"/>
              </w:rPr>
              <w:t>Algeria</w:t>
            </w:r>
          </w:p>
        </w:tc>
        <w:tc>
          <w:tcPr>
            <w:tcW w:w="2288" w:type="dxa"/>
            <w:tcBorders>
              <w:top w:val="nil"/>
              <w:left w:val="nil"/>
              <w:bottom w:val="single" w:sz="4" w:space="0" w:color="auto"/>
              <w:right w:val="single" w:sz="4" w:space="0" w:color="auto"/>
            </w:tcBorders>
            <w:shd w:val="clear" w:color="auto" w:fill="auto"/>
            <w:vAlign w:val="center"/>
            <w:hideMark/>
          </w:tcPr>
          <w:p w14:paraId="32B8C765" w14:textId="77777777" w:rsidR="00253427" w:rsidRPr="00653977" w:rsidRDefault="00253427" w:rsidP="00EF0503">
            <w:pPr>
              <w:ind w:right="770"/>
              <w:jc w:val="right"/>
              <w:rPr>
                <w:sz w:val="22"/>
                <w:szCs w:val="22"/>
                <w:lang w:eastAsia="en-CA"/>
              </w:rPr>
            </w:pPr>
            <w:r w:rsidRPr="00653977">
              <w:rPr>
                <w:sz w:val="22"/>
                <w:szCs w:val="22"/>
                <w:lang w:eastAsia="en-CA"/>
              </w:rPr>
              <w:t>0.161</w:t>
            </w:r>
          </w:p>
        </w:tc>
        <w:tc>
          <w:tcPr>
            <w:tcW w:w="0" w:type="auto"/>
            <w:tcBorders>
              <w:top w:val="nil"/>
              <w:left w:val="nil"/>
              <w:bottom w:val="single" w:sz="4" w:space="0" w:color="auto"/>
              <w:right w:val="single" w:sz="4" w:space="0" w:color="auto"/>
            </w:tcBorders>
            <w:shd w:val="clear" w:color="auto" w:fill="auto"/>
            <w:noWrap/>
            <w:vAlign w:val="center"/>
            <w:hideMark/>
          </w:tcPr>
          <w:p w14:paraId="75C63AB7" w14:textId="77777777" w:rsidR="00253427" w:rsidRPr="00653977" w:rsidRDefault="00253427" w:rsidP="00EF0503">
            <w:pPr>
              <w:ind w:right="1144"/>
              <w:jc w:val="right"/>
              <w:rPr>
                <w:sz w:val="22"/>
                <w:szCs w:val="22"/>
                <w:lang w:eastAsia="en-CA"/>
              </w:rPr>
            </w:pPr>
            <w:r w:rsidRPr="00653977">
              <w:rPr>
                <w:sz w:val="22"/>
                <w:szCs w:val="22"/>
                <w:lang w:eastAsia="en-CA"/>
              </w:rPr>
              <w:t>0.233</w:t>
            </w:r>
          </w:p>
        </w:tc>
        <w:tc>
          <w:tcPr>
            <w:tcW w:w="0" w:type="auto"/>
            <w:tcBorders>
              <w:top w:val="nil"/>
              <w:left w:val="nil"/>
              <w:bottom w:val="single" w:sz="4" w:space="0" w:color="auto"/>
              <w:right w:val="single" w:sz="4" w:space="0" w:color="auto"/>
            </w:tcBorders>
            <w:shd w:val="clear" w:color="auto" w:fill="auto"/>
            <w:noWrap/>
            <w:vAlign w:val="center"/>
            <w:hideMark/>
          </w:tcPr>
          <w:p w14:paraId="50C77431" w14:textId="77777777" w:rsidR="00253427" w:rsidRPr="00653977" w:rsidRDefault="00253427" w:rsidP="00EF0503">
            <w:pPr>
              <w:ind w:right="276"/>
              <w:jc w:val="right"/>
              <w:rPr>
                <w:sz w:val="22"/>
                <w:szCs w:val="22"/>
                <w:lang w:eastAsia="en-CA"/>
              </w:rPr>
            </w:pPr>
            <w:r w:rsidRPr="00653977">
              <w:rPr>
                <w:sz w:val="22"/>
                <w:szCs w:val="22"/>
                <w:lang w:eastAsia="en-CA"/>
              </w:rPr>
              <w:t>5 598</w:t>
            </w:r>
          </w:p>
        </w:tc>
        <w:tc>
          <w:tcPr>
            <w:tcW w:w="0" w:type="auto"/>
            <w:tcBorders>
              <w:top w:val="nil"/>
              <w:left w:val="nil"/>
              <w:bottom w:val="single" w:sz="4" w:space="0" w:color="auto"/>
              <w:right w:val="single" w:sz="4" w:space="0" w:color="auto"/>
            </w:tcBorders>
            <w:shd w:val="clear" w:color="auto" w:fill="auto"/>
            <w:noWrap/>
            <w:vAlign w:val="center"/>
            <w:hideMark/>
          </w:tcPr>
          <w:p w14:paraId="0EC1636E" w14:textId="77777777" w:rsidR="00253427" w:rsidRPr="00653977" w:rsidRDefault="00253427" w:rsidP="00EF0503">
            <w:pPr>
              <w:ind w:right="276"/>
              <w:jc w:val="right"/>
              <w:rPr>
                <w:sz w:val="22"/>
                <w:szCs w:val="22"/>
                <w:lang w:eastAsia="en-CA"/>
              </w:rPr>
            </w:pPr>
            <w:r w:rsidRPr="00653977">
              <w:rPr>
                <w:sz w:val="22"/>
                <w:szCs w:val="22"/>
                <w:lang w:eastAsia="en-CA"/>
              </w:rPr>
              <w:t>5 936</w:t>
            </w:r>
          </w:p>
        </w:tc>
        <w:tc>
          <w:tcPr>
            <w:tcW w:w="0" w:type="auto"/>
            <w:tcBorders>
              <w:top w:val="nil"/>
              <w:left w:val="nil"/>
              <w:bottom w:val="single" w:sz="4" w:space="0" w:color="auto"/>
              <w:right w:val="single" w:sz="4" w:space="0" w:color="auto"/>
            </w:tcBorders>
            <w:shd w:val="clear" w:color="auto" w:fill="auto"/>
            <w:noWrap/>
            <w:vAlign w:val="center"/>
            <w:hideMark/>
          </w:tcPr>
          <w:p w14:paraId="2C102E75" w14:textId="77777777" w:rsidR="00253427" w:rsidRPr="00653977" w:rsidRDefault="00253427" w:rsidP="00EF0503">
            <w:pPr>
              <w:ind w:right="276"/>
              <w:jc w:val="right"/>
              <w:rPr>
                <w:sz w:val="22"/>
                <w:szCs w:val="22"/>
                <w:lang w:eastAsia="en-CA"/>
              </w:rPr>
            </w:pPr>
            <w:r w:rsidRPr="00653977">
              <w:rPr>
                <w:sz w:val="22"/>
                <w:szCs w:val="22"/>
                <w:lang w:eastAsia="en-CA"/>
              </w:rPr>
              <w:t>11 534</w:t>
            </w:r>
          </w:p>
        </w:tc>
      </w:tr>
      <w:tr w:rsidR="00253427" w:rsidRPr="00653977" w14:paraId="60657D3A"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E1AD1D" w14:textId="77777777" w:rsidR="00253427" w:rsidRPr="00653977" w:rsidRDefault="00253427" w:rsidP="00EF0503">
            <w:pPr>
              <w:rPr>
                <w:sz w:val="22"/>
                <w:szCs w:val="22"/>
                <w:lang w:eastAsia="en-CA"/>
              </w:rPr>
            </w:pPr>
            <w:r w:rsidRPr="00653977">
              <w:rPr>
                <w:sz w:val="22"/>
                <w:szCs w:val="22"/>
                <w:lang w:eastAsia="en-CA"/>
              </w:rPr>
              <w:t>Angola</w:t>
            </w:r>
          </w:p>
        </w:tc>
        <w:tc>
          <w:tcPr>
            <w:tcW w:w="2288" w:type="dxa"/>
            <w:tcBorders>
              <w:top w:val="nil"/>
              <w:left w:val="nil"/>
              <w:bottom w:val="single" w:sz="4" w:space="0" w:color="auto"/>
              <w:right w:val="single" w:sz="4" w:space="0" w:color="auto"/>
            </w:tcBorders>
            <w:shd w:val="clear" w:color="auto" w:fill="auto"/>
            <w:vAlign w:val="center"/>
            <w:hideMark/>
          </w:tcPr>
          <w:p w14:paraId="1FBB017C" w14:textId="77777777" w:rsidR="00253427" w:rsidRPr="00653977" w:rsidRDefault="00253427" w:rsidP="00EF0503">
            <w:pPr>
              <w:ind w:right="770"/>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6434C49E" w14:textId="77777777" w:rsidR="00253427" w:rsidRPr="00653977" w:rsidRDefault="00253427" w:rsidP="00EF0503">
            <w:pPr>
              <w:ind w:right="1144"/>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767C1AE" w14:textId="77777777" w:rsidR="00253427" w:rsidRPr="00653977" w:rsidRDefault="00253427" w:rsidP="00EF0503">
            <w:pPr>
              <w:ind w:right="276"/>
              <w:jc w:val="right"/>
              <w:rPr>
                <w:sz w:val="22"/>
                <w:szCs w:val="22"/>
                <w:lang w:eastAsia="en-CA"/>
              </w:rPr>
            </w:pPr>
            <w:r w:rsidRPr="00653977">
              <w:rPr>
                <w:sz w:val="22"/>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427E19B6" w14:textId="77777777" w:rsidR="00253427" w:rsidRPr="00653977" w:rsidRDefault="00253427" w:rsidP="00EF0503">
            <w:pPr>
              <w:ind w:right="276"/>
              <w:jc w:val="right"/>
              <w:rPr>
                <w:sz w:val="22"/>
                <w:szCs w:val="22"/>
                <w:lang w:eastAsia="en-CA"/>
              </w:rPr>
            </w:pPr>
            <w:r w:rsidRPr="00653977">
              <w:rPr>
                <w:sz w:val="22"/>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7AAD2B5D" w14:textId="77777777" w:rsidR="00253427" w:rsidRPr="00653977" w:rsidRDefault="00253427" w:rsidP="00EF0503">
            <w:pPr>
              <w:ind w:right="276"/>
              <w:jc w:val="right"/>
              <w:rPr>
                <w:sz w:val="22"/>
                <w:szCs w:val="22"/>
                <w:lang w:eastAsia="en-CA"/>
              </w:rPr>
            </w:pPr>
            <w:r w:rsidRPr="00653977">
              <w:rPr>
                <w:sz w:val="22"/>
                <w:szCs w:val="22"/>
                <w:lang w:eastAsia="en-CA"/>
              </w:rPr>
              <w:t>495</w:t>
            </w:r>
          </w:p>
        </w:tc>
      </w:tr>
      <w:tr w:rsidR="00253427" w:rsidRPr="00653977" w14:paraId="158B64B2"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821062" w14:textId="77777777" w:rsidR="00253427" w:rsidRPr="00653977" w:rsidRDefault="00253427" w:rsidP="00EF0503">
            <w:pPr>
              <w:rPr>
                <w:sz w:val="22"/>
                <w:szCs w:val="22"/>
                <w:lang w:eastAsia="en-CA"/>
              </w:rPr>
            </w:pPr>
            <w:r w:rsidRPr="00653977">
              <w:rPr>
                <w:sz w:val="22"/>
                <w:szCs w:val="22"/>
                <w:lang w:eastAsia="en-CA"/>
              </w:rPr>
              <w:t>Antigua and Barbuda</w:t>
            </w:r>
          </w:p>
        </w:tc>
        <w:tc>
          <w:tcPr>
            <w:tcW w:w="2288" w:type="dxa"/>
            <w:tcBorders>
              <w:top w:val="nil"/>
              <w:left w:val="nil"/>
              <w:bottom w:val="single" w:sz="4" w:space="0" w:color="auto"/>
              <w:right w:val="single" w:sz="4" w:space="0" w:color="auto"/>
            </w:tcBorders>
            <w:shd w:val="clear" w:color="auto" w:fill="auto"/>
            <w:vAlign w:val="center"/>
            <w:hideMark/>
          </w:tcPr>
          <w:p w14:paraId="08BB522D" w14:textId="77777777" w:rsidR="00253427" w:rsidRPr="00653977" w:rsidRDefault="00253427" w:rsidP="00EF0503">
            <w:pPr>
              <w:ind w:right="770"/>
              <w:jc w:val="right"/>
              <w:rPr>
                <w:sz w:val="22"/>
                <w:szCs w:val="22"/>
                <w:lang w:eastAsia="en-CA"/>
              </w:rPr>
            </w:pPr>
            <w:r w:rsidRPr="00653977">
              <w:rPr>
                <w:sz w:val="22"/>
                <w:szCs w:val="22"/>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154C4245" w14:textId="77777777" w:rsidR="00253427" w:rsidRPr="00653977" w:rsidRDefault="00253427" w:rsidP="00EF0503">
            <w:pPr>
              <w:ind w:right="1144"/>
              <w:jc w:val="right"/>
              <w:rPr>
                <w:sz w:val="22"/>
                <w:szCs w:val="22"/>
                <w:lang w:eastAsia="en-CA"/>
              </w:rPr>
            </w:pPr>
            <w:r w:rsidRPr="00653977">
              <w:rPr>
                <w:sz w:val="22"/>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29971434" w14:textId="77777777" w:rsidR="00253427" w:rsidRPr="00653977" w:rsidRDefault="00253427" w:rsidP="00EF0503">
            <w:pPr>
              <w:ind w:right="276"/>
              <w:jc w:val="right"/>
              <w:rPr>
                <w:sz w:val="22"/>
                <w:szCs w:val="22"/>
                <w:lang w:eastAsia="en-CA"/>
              </w:rPr>
            </w:pPr>
            <w:r w:rsidRPr="00653977">
              <w:rPr>
                <w:sz w:val="22"/>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23EEDF24" w14:textId="77777777" w:rsidR="00253427" w:rsidRPr="00653977" w:rsidRDefault="00253427" w:rsidP="00EF0503">
            <w:pPr>
              <w:ind w:right="276"/>
              <w:jc w:val="right"/>
              <w:rPr>
                <w:sz w:val="22"/>
                <w:szCs w:val="22"/>
                <w:lang w:eastAsia="en-CA"/>
              </w:rPr>
            </w:pPr>
            <w:r w:rsidRPr="00653977">
              <w:rPr>
                <w:sz w:val="22"/>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1DF33029" w14:textId="77777777" w:rsidR="00253427" w:rsidRPr="00653977" w:rsidRDefault="00253427" w:rsidP="00EF0503">
            <w:pPr>
              <w:ind w:right="276"/>
              <w:jc w:val="right"/>
              <w:rPr>
                <w:sz w:val="22"/>
                <w:szCs w:val="22"/>
                <w:lang w:eastAsia="en-CA"/>
              </w:rPr>
            </w:pPr>
            <w:r w:rsidRPr="00653977">
              <w:rPr>
                <w:sz w:val="22"/>
                <w:szCs w:val="22"/>
                <w:lang w:eastAsia="en-CA"/>
              </w:rPr>
              <w:t>143</w:t>
            </w:r>
          </w:p>
        </w:tc>
      </w:tr>
      <w:tr w:rsidR="00253427" w:rsidRPr="00653977" w14:paraId="5557C322"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A2C54D" w14:textId="77777777" w:rsidR="00253427" w:rsidRPr="00653977" w:rsidRDefault="00253427" w:rsidP="00EF0503">
            <w:pPr>
              <w:rPr>
                <w:sz w:val="22"/>
                <w:szCs w:val="22"/>
                <w:lang w:eastAsia="en-CA"/>
              </w:rPr>
            </w:pPr>
            <w:r w:rsidRPr="00653977">
              <w:rPr>
                <w:sz w:val="22"/>
                <w:szCs w:val="22"/>
                <w:lang w:eastAsia="en-CA"/>
              </w:rPr>
              <w:t>Armenia</w:t>
            </w:r>
          </w:p>
        </w:tc>
        <w:tc>
          <w:tcPr>
            <w:tcW w:w="2288" w:type="dxa"/>
            <w:tcBorders>
              <w:top w:val="nil"/>
              <w:left w:val="nil"/>
              <w:bottom w:val="single" w:sz="4" w:space="0" w:color="auto"/>
              <w:right w:val="single" w:sz="4" w:space="0" w:color="auto"/>
            </w:tcBorders>
            <w:shd w:val="clear" w:color="auto" w:fill="auto"/>
            <w:vAlign w:val="center"/>
            <w:hideMark/>
          </w:tcPr>
          <w:p w14:paraId="4277DD22" w14:textId="77777777" w:rsidR="00253427" w:rsidRPr="00653977" w:rsidRDefault="00253427" w:rsidP="00EF0503">
            <w:pPr>
              <w:ind w:right="770"/>
              <w:jc w:val="right"/>
              <w:rPr>
                <w:sz w:val="22"/>
                <w:szCs w:val="22"/>
                <w:lang w:eastAsia="en-CA"/>
              </w:rPr>
            </w:pPr>
            <w:r w:rsidRPr="00653977">
              <w:rPr>
                <w:sz w:val="22"/>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0B6B4A1B" w14:textId="77777777" w:rsidR="00253427" w:rsidRPr="00653977" w:rsidRDefault="00253427" w:rsidP="00EF0503">
            <w:pPr>
              <w:ind w:right="1144"/>
              <w:jc w:val="right"/>
              <w:rPr>
                <w:sz w:val="22"/>
                <w:szCs w:val="22"/>
                <w:lang w:eastAsia="en-CA"/>
              </w:rPr>
            </w:pPr>
            <w:r w:rsidRPr="00653977">
              <w:rPr>
                <w:sz w:val="22"/>
                <w:szCs w:val="22"/>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2E069EBD" w14:textId="77777777" w:rsidR="00253427" w:rsidRPr="00653977" w:rsidRDefault="00253427" w:rsidP="00EF0503">
            <w:pPr>
              <w:ind w:right="276"/>
              <w:jc w:val="right"/>
              <w:rPr>
                <w:sz w:val="22"/>
                <w:szCs w:val="22"/>
                <w:lang w:eastAsia="en-CA"/>
              </w:rPr>
            </w:pPr>
            <w:r w:rsidRPr="00653977">
              <w:rPr>
                <w:sz w:val="22"/>
                <w:szCs w:val="22"/>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4F048396" w14:textId="77777777" w:rsidR="00253427" w:rsidRPr="00653977" w:rsidRDefault="00253427" w:rsidP="00EF0503">
            <w:pPr>
              <w:ind w:right="276"/>
              <w:jc w:val="right"/>
              <w:rPr>
                <w:sz w:val="22"/>
                <w:szCs w:val="22"/>
                <w:lang w:eastAsia="en-CA"/>
              </w:rPr>
            </w:pPr>
            <w:r w:rsidRPr="00653977">
              <w:rPr>
                <w:sz w:val="22"/>
                <w:szCs w:val="22"/>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7B3903E8" w14:textId="77777777" w:rsidR="00253427" w:rsidRPr="00653977" w:rsidRDefault="00253427" w:rsidP="00EF0503">
            <w:pPr>
              <w:ind w:right="276"/>
              <w:jc w:val="right"/>
              <w:rPr>
                <w:sz w:val="22"/>
                <w:szCs w:val="22"/>
                <w:lang w:eastAsia="en-CA"/>
              </w:rPr>
            </w:pPr>
            <w:r w:rsidRPr="00653977">
              <w:rPr>
                <w:sz w:val="22"/>
                <w:szCs w:val="22"/>
                <w:lang w:eastAsia="en-CA"/>
              </w:rPr>
              <w:t>430</w:t>
            </w:r>
          </w:p>
        </w:tc>
      </w:tr>
      <w:tr w:rsidR="00253427" w:rsidRPr="00653977" w14:paraId="3C236AE1"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E5BFE7" w14:textId="77777777" w:rsidR="00253427" w:rsidRPr="00653977" w:rsidRDefault="00253427" w:rsidP="00EF0503">
            <w:pPr>
              <w:rPr>
                <w:sz w:val="22"/>
                <w:szCs w:val="22"/>
                <w:lang w:eastAsia="en-CA"/>
              </w:rPr>
            </w:pPr>
            <w:r w:rsidRPr="00653977">
              <w:rPr>
                <w:sz w:val="22"/>
                <w:szCs w:val="22"/>
                <w:lang w:eastAsia="en-CA"/>
              </w:rPr>
              <w:t>Austria</w:t>
            </w:r>
          </w:p>
        </w:tc>
        <w:tc>
          <w:tcPr>
            <w:tcW w:w="2288" w:type="dxa"/>
            <w:tcBorders>
              <w:top w:val="nil"/>
              <w:left w:val="nil"/>
              <w:bottom w:val="single" w:sz="4" w:space="0" w:color="auto"/>
              <w:right w:val="single" w:sz="4" w:space="0" w:color="auto"/>
            </w:tcBorders>
            <w:shd w:val="clear" w:color="auto" w:fill="auto"/>
            <w:vAlign w:val="center"/>
            <w:hideMark/>
          </w:tcPr>
          <w:p w14:paraId="62FFBE82" w14:textId="77777777" w:rsidR="00253427" w:rsidRPr="00653977" w:rsidRDefault="00253427" w:rsidP="00EF0503">
            <w:pPr>
              <w:ind w:right="770"/>
              <w:jc w:val="right"/>
              <w:rPr>
                <w:sz w:val="22"/>
                <w:szCs w:val="22"/>
                <w:lang w:eastAsia="en-CA"/>
              </w:rPr>
            </w:pPr>
            <w:r w:rsidRPr="00653977">
              <w:rPr>
                <w:sz w:val="22"/>
                <w:szCs w:val="22"/>
                <w:lang w:eastAsia="en-CA"/>
              </w:rPr>
              <w:t>0.720</w:t>
            </w:r>
          </w:p>
        </w:tc>
        <w:tc>
          <w:tcPr>
            <w:tcW w:w="0" w:type="auto"/>
            <w:tcBorders>
              <w:top w:val="nil"/>
              <w:left w:val="nil"/>
              <w:bottom w:val="single" w:sz="4" w:space="0" w:color="auto"/>
              <w:right w:val="single" w:sz="4" w:space="0" w:color="auto"/>
            </w:tcBorders>
            <w:shd w:val="clear" w:color="auto" w:fill="auto"/>
            <w:noWrap/>
            <w:vAlign w:val="center"/>
            <w:hideMark/>
          </w:tcPr>
          <w:p w14:paraId="083C66E8" w14:textId="77777777" w:rsidR="00253427" w:rsidRPr="00653977" w:rsidRDefault="00253427" w:rsidP="00EF0503">
            <w:pPr>
              <w:ind w:right="1144"/>
              <w:jc w:val="right"/>
              <w:rPr>
                <w:sz w:val="22"/>
                <w:szCs w:val="22"/>
                <w:lang w:eastAsia="en-CA"/>
              </w:rPr>
            </w:pPr>
            <w:r w:rsidRPr="00653977">
              <w:rPr>
                <w:sz w:val="22"/>
                <w:szCs w:val="22"/>
                <w:lang w:eastAsia="en-CA"/>
              </w:rPr>
              <w:t>1.042</w:t>
            </w:r>
          </w:p>
        </w:tc>
        <w:tc>
          <w:tcPr>
            <w:tcW w:w="0" w:type="auto"/>
            <w:tcBorders>
              <w:top w:val="nil"/>
              <w:left w:val="nil"/>
              <w:bottom w:val="single" w:sz="4" w:space="0" w:color="auto"/>
              <w:right w:val="single" w:sz="4" w:space="0" w:color="auto"/>
            </w:tcBorders>
            <w:shd w:val="clear" w:color="auto" w:fill="auto"/>
            <w:noWrap/>
            <w:vAlign w:val="center"/>
            <w:hideMark/>
          </w:tcPr>
          <w:p w14:paraId="1044986B" w14:textId="77777777" w:rsidR="00253427" w:rsidRPr="00653977" w:rsidRDefault="00253427" w:rsidP="00EF0503">
            <w:pPr>
              <w:ind w:right="276"/>
              <w:jc w:val="right"/>
              <w:rPr>
                <w:sz w:val="22"/>
                <w:szCs w:val="22"/>
                <w:lang w:eastAsia="en-CA"/>
              </w:rPr>
            </w:pPr>
            <w:r w:rsidRPr="00653977">
              <w:rPr>
                <w:sz w:val="22"/>
                <w:szCs w:val="22"/>
                <w:lang w:eastAsia="en-CA"/>
              </w:rPr>
              <w:t>25 034</w:t>
            </w:r>
          </w:p>
        </w:tc>
        <w:tc>
          <w:tcPr>
            <w:tcW w:w="0" w:type="auto"/>
            <w:tcBorders>
              <w:top w:val="nil"/>
              <w:left w:val="nil"/>
              <w:bottom w:val="single" w:sz="4" w:space="0" w:color="auto"/>
              <w:right w:val="single" w:sz="4" w:space="0" w:color="auto"/>
            </w:tcBorders>
            <w:shd w:val="clear" w:color="auto" w:fill="auto"/>
            <w:noWrap/>
            <w:vAlign w:val="center"/>
            <w:hideMark/>
          </w:tcPr>
          <w:p w14:paraId="3297F4F3" w14:textId="77777777" w:rsidR="00253427" w:rsidRPr="00653977" w:rsidRDefault="00253427" w:rsidP="00EF0503">
            <w:pPr>
              <w:ind w:right="276"/>
              <w:jc w:val="right"/>
              <w:rPr>
                <w:sz w:val="22"/>
                <w:szCs w:val="22"/>
                <w:lang w:eastAsia="en-CA"/>
              </w:rPr>
            </w:pPr>
            <w:r w:rsidRPr="00653977">
              <w:rPr>
                <w:sz w:val="22"/>
                <w:szCs w:val="22"/>
                <w:lang w:eastAsia="en-CA"/>
              </w:rPr>
              <w:t>26 546</w:t>
            </w:r>
          </w:p>
        </w:tc>
        <w:tc>
          <w:tcPr>
            <w:tcW w:w="0" w:type="auto"/>
            <w:tcBorders>
              <w:top w:val="nil"/>
              <w:left w:val="nil"/>
              <w:bottom w:val="single" w:sz="4" w:space="0" w:color="auto"/>
              <w:right w:val="single" w:sz="4" w:space="0" w:color="auto"/>
            </w:tcBorders>
            <w:shd w:val="clear" w:color="auto" w:fill="auto"/>
            <w:noWrap/>
            <w:vAlign w:val="center"/>
            <w:hideMark/>
          </w:tcPr>
          <w:p w14:paraId="0A9CCAF9" w14:textId="77777777" w:rsidR="00253427" w:rsidRPr="00653977" w:rsidRDefault="00253427" w:rsidP="00EF0503">
            <w:pPr>
              <w:ind w:right="276"/>
              <w:jc w:val="right"/>
              <w:rPr>
                <w:sz w:val="22"/>
                <w:szCs w:val="22"/>
                <w:lang w:eastAsia="en-CA"/>
              </w:rPr>
            </w:pPr>
            <w:r w:rsidRPr="00653977">
              <w:rPr>
                <w:sz w:val="22"/>
                <w:szCs w:val="22"/>
                <w:lang w:eastAsia="en-CA"/>
              </w:rPr>
              <w:t>51 580</w:t>
            </w:r>
          </w:p>
        </w:tc>
      </w:tr>
      <w:tr w:rsidR="00253427" w:rsidRPr="00653977" w14:paraId="4DD6DFF0"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C80AF6" w14:textId="77777777" w:rsidR="00253427" w:rsidRPr="00653977" w:rsidRDefault="00253427" w:rsidP="00EF0503">
            <w:pPr>
              <w:rPr>
                <w:sz w:val="22"/>
                <w:szCs w:val="22"/>
                <w:lang w:eastAsia="en-CA"/>
              </w:rPr>
            </w:pPr>
            <w:r w:rsidRPr="00653977">
              <w:rPr>
                <w:sz w:val="22"/>
                <w:szCs w:val="22"/>
                <w:lang w:eastAsia="en-CA"/>
              </w:rPr>
              <w:t>Azerbaijan</w:t>
            </w:r>
          </w:p>
        </w:tc>
        <w:tc>
          <w:tcPr>
            <w:tcW w:w="2288" w:type="dxa"/>
            <w:tcBorders>
              <w:top w:val="nil"/>
              <w:left w:val="nil"/>
              <w:bottom w:val="single" w:sz="4" w:space="0" w:color="auto"/>
              <w:right w:val="single" w:sz="4" w:space="0" w:color="auto"/>
            </w:tcBorders>
            <w:shd w:val="clear" w:color="auto" w:fill="auto"/>
            <w:vAlign w:val="center"/>
            <w:hideMark/>
          </w:tcPr>
          <w:p w14:paraId="5659554F" w14:textId="77777777" w:rsidR="00253427" w:rsidRPr="00653977" w:rsidRDefault="00253427" w:rsidP="00EF0503">
            <w:pPr>
              <w:ind w:right="770"/>
              <w:jc w:val="right"/>
              <w:rPr>
                <w:sz w:val="22"/>
                <w:szCs w:val="22"/>
                <w:lang w:eastAsia="en-CA"/>
              </w:rPr>
            </w:pPr>
            <w:r w:rsidRPr="00653977">
              <w:rPr>
                <w:sz w:val="22"/>
                <w:szCs w:val="22"/>
                <w:lang w:eastAsia="en-CA"/>
              </w:rPr>
              <w:t>0.060</w:t>
            </w:r>
          </w:p>
        </w:tc>
        <w:tc>
          <w:tcPr>
            <w:tcW w:w="0" w:type="auto"/>
            <w:tcBorders>
              <w:top w:val="nil"/>
              <w:left w:val="nil"/>
              <w:bottom w:val="single" w:sz="4" w:space="0" w:color="auto"/>
              <w:right w:val="single" w:sz="4" w:space="0" w:color="auto"/>
            </w:tcBorders>
            <w:shd w:val="clear" w:color="auto" w:fill="auto"/>
            <w:noWrap/>
            <w:vAlign w:val="center"/>
            <w:hideMark/>
          </w:tcPr>
          <w:p w14:paraId="3C2A9EA7" w14:textId="77777777" w:rsidR="00253427" w:rsidRPr="00653977" w:rsidRDefault="00253427" w:rsidP="00EF0503">
            <w:pPr>
              <w:ind w:right="1144"/>
              <w:jc w:val="right"/>
              <w:rPr>
                <w:sz w:val="22"/>
                <w:szCs w:val="22"/>
                <w:lang w:eastAsia="en-CA"/>
              </w:rPr>
            </w:pPr>
            <w:r w:rsidRPr="00653977">
              <w:rPr>
                <w:sz w:val="22"/>
                <w:szCs w:val="22"/>
                <w:lang w:eastAsia="en-CA"/>
              </w:rPr>
              <w:t>0.087</w:t>
            </w:r>
          </w:p>
        </w:tc>
        <w:tc>
          <w:tcPr>
            <w:tcW w:w="0" w:type="auto"/>
            <w:tcBorders>
              <w:top w:val="nil"/>
              <w:left w:val="nil"/>
              <w:bottom w:val="single" w:sz="4" w:space="0" w:color="auto"/>
              <w:right w:val="single" w:sz="4" w:space="0" w:color="auto"/>
            </w:tcBorders>
            <w:shd w:val="clear" w:color="auto" w:fill="auto"/>
            <w:noWrap/>
            <w:vAlign w:val="center"/>
            <w:hideMark/>
          </w:tcPr>
          <w:p w14:paraId="4A15362C" w14:textId="77777777" w:rsidR="00253427" w:rsidRPr="00653977" w:rsidRDefault="00253427" w:rsidP="00EF0503">
            <w:pPr>
              <w:ind w:right="276"/>
              <w:jc w:val="right"/>
              <w:rPr>
                <w:sz w:val="22"/>
                <w:szCs w:val="22"/>
                <w:lang w:eastAsia="en-CA"/>
              </w:rPr>
            </w:pPr>
            <w:r w:rsidRPr="00653977">
              <w:rPr>
                <w:sz w:val="22"/>
                <w:szCs w:val="22"/>
                <w:lang w:eastAsia="en-CA"/>
              </w:rPr>
              <w:t>2 086</w:t>
            </w:r>
          </w:p>
        </w:tc>
        <w:tc>
          <w:tcPr>
            <w:tcW w:w="0" w:type="auto"/>
            <w:tcBorders>
              <w:top w:val="nil"/>
              <w:left w:val="nil"/>
              <w:bottom w:val="single" w:sz="4" w:space="0" w:color="auto"/>
              <w:right w:val="single" w:sz="4" w:space="0" w:color="auto"/>
            </w:tcBorders>
            <w:shd w:val="clear" w:color="auto" w:fill="auto"/>
            <w:noWrap/>
            <w:vAlign w:val="center"/>
            <w:hideMark/>
          </w:tcPr>
          <w:p w14:paraId="2ACC1718" w14:textId="77777777" w:rsidR="00253427" w:rsidRPr="00653977" w:rsidRDefault="00253427" w:rsidP="00EF0503">
            <w:pPr>
              <w:ind w:right="276"/>
              <w:jc w:val="right"/>
              <w:rPr>
                <w:sz w:val="22"/>
                <w:szCs w:val="22"/>
                <w:lang w:eastAsia="en-CA"/>
              </w:rPr>
            </w:pPr>
            <w:r w:rsidRPr="00653977">
              <w:rPr>
                <w:sz w:val="22"/>
                <w:szCs w:val="22"/>
                <w:lang w:eastAsia="en-CA"/>
              </w:rPr>
              <w:t>2 212</w:t>
            </w:r>
          </w:p>
        </w:tc>
        <w:tc>
          <w:tcPr>
            <w:tcW w:w="0" w:type="auto"/>
            <w:tcBorders>
              <w:top w:val="nil"/>
              <w:left w:val="nil"/>
              <w:bottom w:val="single" w:sz="4" w:space="0" w:color="auto"/>
              <w:right w:val="single" w:sz="4" w:space="0" w:color="auto"/>
            </w:tcBorders>
            <w:shd w:val="clear" w:color="auto" w:fill="auto"/>
            <w:noWrap/>
            <w:vAlign w:val="center"/>
            <w:hideMark/>
          </w:tcPr>
          <w:p w14:paraId="729EB6C7" w14:textId="77777777" w:rsidR="00253427" w:rsidRPr="00653977" w:rsidRDefault="00253427" w:rsidP="00EF0503">
            <w:pPr>
              <w:ind w:right="276"/>
              <w:jc w:val="right"/>
              <w:rPr>
                <w:sz w:val="22"/>
                <w:szCs w:val="22"/>
                <w:lang w:eastAsia="en-CA"/>
              </w:rPr>
            </w:pPr>
            <w:r w:rsidRPr="00653977">
              <w:rPr>
                <w:sz w:val="22"/>
                <w:szCs w:val="22"/>
                <w:lang w:eastAsia="en-CA"/>
              </w:rPr>
              <w:t>4 298</w:t>
            </w:r>
          </w:p>
        </w:tc>
      </w:tr>
      <w:tr w:rsidR="00253427" w:rsidRPr="00653977" w14:paraId="50EA5120"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59C68A" w14:textId="77777777" w:rsidR="00253427" w:rsidRPr="00653977" w:rsidRDefault="00253427" w:rsidP="00EF0503">
            <w:pPr>
              <w:rPr>
                <w:sz w:val="22"/>
                <w:szCs w:val="22"/>
                <w:lang w:eastAsia="en-CA"/>
              </w:rPr>
            </w:pPr>
            <w:r w:rsidRPr="00653977">
              <w:rPr>
                <w:sz w:val="22"/>
                <w:szCs w:val="22"/>
                <w:lang w:eastAsia="en-CA"/>
              </w:rPr>
              <w:t>Bahamas</w:t>
            </w:r>
          </w:p>
        </w:tc>
        <w:tc>
          <w:tcPr>
            <w:tcW w:w="2288" w:type="dxa"/>
            <w:tcBorders>
              <w:top w:val="nil"/>
              <w:left w:val="nil"/>
              <w:bottom w:val="single" w:sz="4" w:space="0" w:color="auto"/>
              <w:right w:val="single" w:sz="4" w:space="0" w:color="auto"/>
            </w:tcBorders>
            <w:shd w:val="clear" w:color="auto" w:fill="auto"/>
            <w:vAlign w:val="center"/>
            <w:hideMark/>
          </w:tcPr>
          <w:p w14:paraId="5A22797E" w14:textId="77777777" w:rsidR="00253427" w:rsidRPr="00653977" w:rsidRDefault="00253427" w:rsidP="00EF0503">
            <w:pPr>
              <w:ind w:right="770"/>
              <w:jc w:val="right"/>
              <w:rPr>
                <w:sz w:val="22"/>
                <w:szCs w:val="22"/>
                <w:lang w:eastAsia="en-CA"/>
              </w:rPr>
            </w:pPr>
            <w:r w:rsidRPr="00653977">
              <w:rPr>
                <w:sz w:val="22"/>
                <w:szCs w:val="22"/>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779BBD0C" w14:textId="77777777" w:rsidR="00253427" w:rsidRPr="00653977" w:rsidRDefault="00253427" w:rsidP="00EF0503">
            <w:pPr>
              <w:ind w:right="1144"/>
              <w:jc w:val="right"/>
              <w:rPr>
                <w:sz w:val="22"/>
                <w:szCs w:val="22"/>
                <w:lang w:eastAsia="en-CA"/>
              </w:rPr>
            </w:pPr>
            <w:r w:rsidRPr="00653977">
              <w:rPr>
                <w:sz w:val="22"/>
                <w:szCs w:val="22"/>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2CB0733E" w14:textId="77777777" w:rsidR="00253427" w:rsidRPr="00653977" w:rsidRDefault="00253427" w:rsidP="00EF0503">
            <w:pPr>
              <w:ind w:right="276"/>
              <w:jc w:val="right"/>
              <w:rPr>
                <w:sz w:val="22"/>
                <w:szCs w:val="22"/>
                <w:lang w:eastAsia="en-CA"/>
              </w:rPr>
            </w:pPr>
            <w:r w:rsidRPr="00653977">
              <w:rPr>
                <w:sz w:val="22"/>
                <w:szCs w:val="22"/>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0841CAFF" w14:textId="77777777" w:rsidR="00253427" w:rsidRPr="00653977" w:rsidRDefault="00253427" w:rsidP="00EF0503">
            <w:pPr>
              <w:ind w:right="276"/>
              <w:jc w:val="right"/>
              <w:rPr>
                <w:sz w:val="22"/>
                <w:szCs w:val="22"/>
                <w:lang w:eastAsia="en-CA"/>
              </w:rPr>
            </w:pPr>
            <w:r w:rsidRPr="00653977">
              <w:rPr>
                <w:sz w:val="22"/>
                <w:szCs w:val="22"/>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5F155853" w14:textId="77777777" w:rsidR="00253427" w:rsidRPr="00653977" w:rsidRDefault="00253427" w:rsidP="00EF0503">
            <w:pPr>
              <w:ind w:right="276"/>
              <w:jc w:val="right"/>
              <w:rPr>
                <w:sz w:val="22"/>
                <w:szCs w:val="22"/>
                <w:lang w:eastAsia="en-CA"/>
              </w:rPr>
            </w:pPr>
            <w:r w:rsidRPr="00653977">
              <w:rPr>
                <w:sz w:val="22"/>
                <w:szCs w:val="22"/>
                <w:lang w:eastAsia="en-CA"/>
              </w:rPr>
              <w:t>1 003</w:t>
            </w:r>
          </w:p>
        </w:tc>
      </w:tr>
      <w:tr w:rsidR="00253427" w:rsidRPr="00653977" w14:paraId="2EE36BB6"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3724D2" w14:textId="77777777" w:rsidR="00253427" w:rsidRPr="00653977" w:rsidRDefault="00253427" w:rsidP="00EF0503">
            <w:pPr>
              <w:rPr>
                <w:sz w:val="22"/>
                <w:szCs w:val="22"/>
                <w:lang w:eastAsia="en-CA"/>
              </w:rPr>
            </w:pPr>
            <w:r w:rsidRPr="00653977">
              <w:rPr>
                <w:sz w:val="22"/>
                <w:szCs w:val="22"/>
                <w:lang w:eastAsia="en-CA"/>
              </w:rPr>
              <w:t>Bahrain</w:t>
            </w:r>
          </w:p>
        </w:tc>
        <w:tc>
          <w:tcPr>
            <w:tcW w:w="2288" w:type="dxa"/>
            <w:tcBorders>
              <w:top w:val="nil"/>
              <w:left w:val="nil"/>
              <w:bottom w:val="single" w:sz="4" w:space="0" w:color="auto"/>
              <w:right w:val="single" w:sz="4" w:space="0" w:color="auto"/>
            </w:tcBorders>
            <w:shd w:val="clear" w:color="auto" w:fill="auto"/>
            <w:vAlign w:val="center"/>
            <w:hideMark/>
          </w:tcPr>
          <w:p w14:paraId="068C7139" w14:textId="77777777" w:rsidR="00253427" w:rsidRPr="00653977" w:rsidRDefault="00253427" w:rsidP="00EF0503">
            <w:pPr>
              <w:ind w:right="770"/>
              <w:jc w:val="right"/>
              <w:rPr>
                <w:sz w:val="22"/>
                <w:szCs w:val="22"/>
                <w:lang w:eastAsia="en-CA"/>
              </w:rPr>
            </w:pPr>
            <w:r w:rsidRPr="00653977">
              <w:rPr>
                <w:sz w:val="22"/>
                <w:szCs w:val="22"/>
                <w:lang w:eastAsia="en-CA"/>
              </w:rPr>
              <w:t>0.044</w:t>
            </w:r>
          </w:p>
        </w:tc>
        <w:tc>
          <w:tcPr>
            <w:tcW w:w="0" w:type="auto"/>
            <w:tcBorders>
              <w:top w:val="nil"/>
              <w:left w:val="nil"/>
              <w:bottom w:val="single" w:sz="4" w:space="0" w:color="auto"/>
              <w:right w:val="single" w:sz="4" w:space="0" w:color="auto"/>
            </w:tcBorders>
            <w:shd w:val="clear" w:color="auto" w:fill="auto"/>
            <w:noWrap/>
            <w:vAlign w:val="center"/>
            <w:hideMark/>
          </w:tcPr>
          <w:p w14:paraId="54E03E85" w14:textId="77777777" w:rsidR="00253427" w:rsidRPr="00653977" w:rsidRDefault="00253427" w:rsidP="00EF0503">
            <w:pPr>
              <w:ind w:right="1144"/>
              <w:jc w:val="right"/>
              <w:rPr>
                <w:sz w:val="22"/>
                <w:szCs w:val="22"/>
                <w:lang w:eastAsia="en-CA"/>
              </w:rPr>
            </w:pPr>
            <w:r w:rsidRPr="00653977">
              <w:rPr>
                <w:sz w:val="22"/>
                <w:szCs w:val="22"/>
                <w:lang w:eastAsia="en-CA"/>
              </w:rPr>
              <w:t>0.064</w:t>
            </w:r>
          </w:p>
        </w:tc>
        <w:tc>
          <w:tcPr>
            <w:tcW w:w="0" w:type="auto"/>
            <w:tcBorders>
              <w:top w:val="nil"/>
              <w:left w:val="nil"/>
              <w:bottom w:val="single" w:sz="4" w:space="0" w:color="auto"/>
              <w:right w:val="single" w:sz="4" w:space="0" w:color="auto"/>
            </w:tcBorders>
            <w:shd w:val="clear" w:color="auto" w:fill="auto"/>
            <w:noWrap/>
            <w:vAlign w:val="center"/>
            <w:hideMark/>
          </w:tcPr>
          <w:p w14:paraId="39CB519A" w14:textId="77777777" w:rsidR="00253427" w:rsidRPr="00653977" w:rsidRDefault="00253427" w:rsidP="00EF0503">
            <w:pPr>
              <w:ind w:right="276"/>
              <w:jc w:val="right"/>
              <w:rPr>
                <w:sz w:val="22"/>
                <w:szCs w:val="22"/>
                <w:lang w:eastAsia="en-CA"/>
              </w:rPr>
            </w:pPr>
            <w:r w:rsidRPr="00653977">
              <w:rPr>
                <w:sz w:val="22"/>
                <w:szCs w:val="22"/>
                <w:lang w:eastAsia="en-CA"/>
              </w:rPr>
              <w:t>1 530</w:t>
            </w:r>
          </w:p>
        </w:tc>
        <w:tc>
          <w:tcPr>
            <w:tcW w:w="0" w:type="auto"/>
            <w:tcBorders>
              <w:top w:val="nil"/>
              <w:left w:val="nil"/>
              <w:bottom w:val="single" w:sz="4" w:space="0" w:color="auto"/>
              <w:right w:val="single" w:sz="4" w:space="0" w:color="auto"/>
            </w:tcBorders>
            <w:shd w:val="clear" w:color="auto" w:fill="auto"/>
            <w:noWrap/>
            <w:vAlign w:val="center"/>
            <w:hideMark/>
          </w:tcPr>
          <w:p w14:paraId="48066041" w14:textId="77777777" w:rsidR="00253427" w:rsidRPr="00653977" w:rsidRDefault="00253427" w:rsidP="00EF0503">
            <w:pPr>
              <w:ind w:right="276"/>
              <w:jc w:val="right"/>
              <w:rPr>
                <w:sz w:val="22"/>
                <w:szCs w:val="22"/>
                <w:lang w:eastAsia="en-CA"/>
              </w:rPr>
            </w:pPr>
            <w:r w:rsidRPr="00653977">
              <w:rPr>
                <w:sz w:val="22"/>
                <w:szCs w:val="22"/>
                <w:lang w:eastAsia="en-CA"/>
              </w:rPr>
              <w:t>1 622</w:t>
            </w:r>
          </w:p>
        </w:tc>
        <w:tc>
          <w:tcPr>
            <w:tcW w:w="0" w:type="auto"/>
            <w:tcBorders>
              <w:top w:val="nil"/>
              <w:left w:val="nil"/>
              <w:bottom w:val="single" w:sz="4" w:space="0" w:color="auto"/>
              <w:right w:val="single" w:sz="4" w:space="0" w:color="auto"/>
            </w:tcBorders>
            <w:shd w:val="clear" w:color="auto" w:fill="auto"/>
            <w:noWrap/>
            <w:vAlign w:val="center"/>
            <w:hideMark/>
          </w:tcPr>
          <w:p w14:paraId="37A77940" w14:textId="77777777" w:rsidR="00253427" w:rsidRPr="00653977" w:rsidRDefault="00253427" w:rsidP="00EF0503">
            <w:pPr>
              <w:ind w:right="276"/>
              <w:jc w:val="right"/>
              <w:rPr>
                <w:sz w:val="22"/>
                <w:szCs w:val="22"/>
                <w:lang w:eastAsia="en-CA"/>
              </w:rPr>
            </w:pPr>
            <w:r w:rsidRPr="00653977">
              <w:rPr>
                <w:sz w:val="22"/>
                <w:szCs w:val="22"/>
                <w:lang w:eastAsia="en-CA"/>
              </w:rPr>
              <w:t>3 152</w:t>
            </w:r>
          </w:p>
        </w:tc>
      </w:tr>
      <w:tr w:rsidR="00253427" w:rsidRPr="00653977" w14:paraId="1A7C9FBB"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A7E853" w14:textId="77777777" w:rsidR="00253427" w:rsidRPr="00653977" w:rsidRDefault="00253427" w:rsidP="00EF0503">
            <w:pPr>
              <w:rPr>
                <w:sz w:val="22"/>
                <w:szCs w:val="22"/>
                <w:lang w:eastAsia="en-CA"/>
              </w:rPr>
            </w:pPr>
            <w:r w:rsidRPr="00653977">
              <w:rPr>
                <w:sz w:val="22"/>
                <w:szCs w:val="22"/>
                <w:lang w:eastAsia="en-CA"/>
              </w:rPr>
              <w:t>Bangladesh</w:t>
            </w:r>
          </w:p>
        </w:tc>
        <w:tc>
          <w:tcPr>
            <w:tcW w:w="2288" w:type="dxa"/>
            <w:tcBorders>
              <w:top w:val="nil"/>
              <w:left w:val="nil"/>
              <w:bottom w:val="single" w:sz="4" w:space="0" w:color="auto"/>
              <w:right w:val="single" w:sz="4" w:space="0" w:color="auto"/>
            </w:tcBorders>
            <w:shd w:val="clear" w:color="auto" w:fill="auto"/>
            <w:vAlign w:val="center"/>
            <w:hideMark/>
          </w:tcPr>
          <w:p w14:paraId="7588B5BB" w14:textId="77777777" w:rsidR="00253427" w:rsidRPr="00653977" w:rsidRDefault="00253427" w:rsidP="00EF0503">
            <w:pPr>
              <w:ind w:right="770"/>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18B0B142" w14:textId="77777777" w:rsidR="00253427" w:rsidRPr="00653977" w:rsidRDefault="00253427" w:rsidP="00EF0503">
            <w:pPr>
              <w:ind w:right="1144"/>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4D8D0139" w14:textId="77777777" w:rsidR="00253427" w:rsidRPr="00653977" w:rsidRDefault="00253427" w:rsidP="00EF0503">
            <w:pPr>
              <w:ind w:right="276"/>
              <w:jc w:val="right"/>
              <w:rPr>
                <w:sz w:val="22"/>
                <w:szCs w:val="22"/>
                <w:lang w:eastAsia="en-CA"/>
              </w:rPr>
            </w:pPr>
            <w:r w:rsidRPr="00653977">
              <w:rPr>
                <w:sz w:val="22"/>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3574D627" w14:textId="77777777" w:rsidR="00253427" w:rsidRPr="00653977" w:rsidRDefault="00253427" w:rsidP="00EF0503">
            <w:pPr>
              <w:ind w:right="276"/>
              <w:jc w:val="right"/>
              <w:rPr>
                <w:sz w:val="22"/>
                <w:szCs w:val="22"/>
                <w:lang w:eastAsia="en-CA"/>
              </w:rPr>
            </w:pPr>
            <w:r w:rsidRPr="00653977">
              <w:rPr>
                <w:sz w:val="22"/>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5E4865F7" w14:textId="77777777" w:rsidR="00253427" w:rsidRPr="00653977" w:rsidRDefault="00253427" w:rsidP="00EF0503">
            <w:pPr>
              <w:ind w:right="276"/>
              <w:jc w:val="right"/>
              <w:rPr>
                <w:sz w:val="22"/>
                <w:szCs w:val="22"/>
                <w:lang w:eastAsia="en-CA"/>
              </w:rPr>
            </w:pPr>
            <w:r w:rsidRPr="00653977">
              <w:rPr>
                <w:sz w:val="22"/>
                <w:szCs w:val="22"/>
                <w:lang w:eastAsia="en-CA"/>
              </w:rPr>
              <w:t>495</w:t>
            </w:r>
          </w:p>
        </w:tc>
      </w:tr>
      <w:tr w:rsidR="00253427" w:rsidRPr="00653977" w14:paraId="37BF56DE"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088B19" w14:textId="77777777" w:rsidR="00253427" w:rsidRPr="00653977" w:rsidRDefault="00253427" w:rsidP="00EF0503">
            <w:pPr>
              <w:rPr>
                <w:sz w:val="22"/>
                <w:szCs w:val="22"/>
                <w:lang w:eastAsia="en-CA"/>
              </w:rPr>
            </w:pPr>
            <w:r w:rsidRPr="00653977">
              <w:rPr>
                <w:sz w:val="22"/>
                <w:szCs w:val="22"/>
                <w:lang w:eastAsia="en-CA"/>
              </w:rPr>
              <w:t>Barbados</w:t>
            </w:r>
          </w:p>
        </w:tc>
        <w:tc>
          <w:tcPr>
            <w:tcW w:w="2288" w:type="dxa"/>
            <w:tcBorders>
              <w:top w:val="nil"/>
              <w:left w:val="nil"/>
              <w:bottom w:val="single" w:sz="4" w:space="0" w:color="auto"/>
              <w:right w:val="single" w:sz="4" w:space="0" w:color="auto"/>
            </w:tcBorders>
            <w:shd w:val="clear" w:color="auto" w:fill="auto"/>
            <w:vAlign w:val="center"/>
            <w:hideMark/>
          </w:tcPr>
          <w:p w14:paraId="74CD0077" w14:textId="77777777" w:rsidR="00253427" w:rsidRPr="00653977" w:rsidRDefault="00253427" w:rsidP="00EF0503">
            <w:pPr>
              <w:ind w:right="770"/>
              <w:jc w:val="right"/>
              <w:rPr>
                <w:sz w:val="22"/>
                <w:szCs w:val="22"/>
                <w:lang w:eastAsia="en-CA"/>
              </w:rPr>
            </w:pPr>
            <w:r w:rsidRPr="00653977">
              <w:rPr>
                <w:sz w:val="22"/>
                <w:szCs w:val="22"/>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7797D2E2" w14:textId="77777777" w:rsidR="00253427" w:rsidRPr="00653977" w:rsidRDefault="00253427" w:rsidP="00EF0503">
            <w:pPr>
              <w:ind w:right="1144"/>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16821979" w14:textId="77777777" w:rsidR="00253427" w:rsidRPr="00653977" w:rsidRDefault="00253427" w:rsidP="00EF0503">
            <w:pPr>
              <w:ind w:right="276"/>
              <w:jc w:val="right"/>
              <w:rPr>
                <w:sz w:val="22"/>
                <w:szCs w:val="22"/>
                <w:lang w:eastAsia="en-CA"/>
              </w:rPr>
            </w:pPr>
            <w:r w:rsidRPr="00653977">
              <w:rPr>
                <w:sz w:val="22"/>
                <w:szCs w:val="22"/>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1817E3B1" w14:textId="77777777" w:rsidR="00253427" w:rsidRPr="00653977" w:rsidRDefault="00253427" w:rsidP="00EF0503">
            <w:pPr>
              <w:ind w:right="276"/>
              <w:jc w:val="right"/>
              <w:rPr>
                <w:sz w:val="22"/>
                <w:szCs w:val="22"/>
                <w:lang w:eastAsia="en-CA"/>
              </w:rPr>
            </w:pPr>
            <w:r w:rsidRPr="00653977">
              <w:rPr>
                <w:sz w:val="22"/>
                <w:szCs w:val="22"/>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6786C1A2" w14:textId="77777777" w:rsidR="00253427" w:rsidRPr="00653977" w:rsidRDefault="00253427" w:rsidP="00EF0503">
            <w:pPr>
              <w:ind w:right="276"/>
              <w:jc w:val="right"/>
              <w:rPr>
                <w:sz w:val="22"/>
                <w:szCs w:val="22"/>
                <w:lang w:eastAsia="en-CA"/>
              </w:rPr>
            </w:pPr>
            <w:r w:rsidRPr="00653977">
              <w:rPr>
                <w:sz w:val="22"/>
                <w:szCs w:val="22"/>
                <w:lang w:eastAsia="en-CA"/>
              </w:rPr>
              <w:t>501</w:t>
            </w:r>
          </w:p>
        </w:tc>
      </w:tr>
      <w:tr w:rsidR="00253427" w:rsidRPr="00653977" w14:paraId="26C291D5"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745585" w14:textId="77777777" w:rsidR="00253427" w:rsidRPr="00653977" w:rsidRDefault="00253427" w:rsidP="00EF0503">
            <w:pPr>
              <w:rPr>
                <w:sz w:val="22"/>
                <w:szCs w:val="22"/>
                <w:lang w:eastAsia="en-CA"/>
              </w:rPr>
            </w:pPr>
            <w:r w:rsidRPr="00653977">
              <w:rPr>
                <w:sz w:val="22"/>
                <w:szCs w:val="22"/>
                <w:lang w:eastAsia="en-CA"/>
              </w:rPr>
              <w:t>Belarus</w:t>
            </w:r>
          </w:p>
        </w:tc>
        <w:tc>
          <w:tcPr>
            <w:tcW w:w="2288" w:type="dxa"/>
            <w:tcBorders>
              <w:top w:val="nil"/>
              <w:left w:val="nil"/>
              <w:bottom w:val="single" w:sz="4" w:space="0" w:color="auto"/>
              <w:right w:val="single" w:sz="4" w:space="0" w:color="auto"/>
            </w:tcBorders>
            <w:shd w:val="clear" w:color="auto" w:fill="auto"/>
            <w:vAlign w:val="center"/>
            <w:hideMark/>
          </w:tcPr>
          <w:p w14:paraId="0401A51D" w14:textId="77777777" w:rsidR="00253427" w:rsidRPr="00653977" w:rsidRDefault="00253427" w:rsidP="00EF0503">
            <w:pPr>
              <w:ind w:right="770"/>
              <w:jc w:val="right"/>
              <w:rPr>
                <w:sz w:val="22"/>
                <w:szCs w:val="22"/>
                <w:lang w:eastAsia="en-CA"/>
              </w:rPr>
            </w:pPr>
            <w:r w:rsidRPr="00653977">
              <w:rPr>
                <w:sz w:val="22"/>
                <w:szCs w:val="22"/>
                <w:lang w:eastAsia="en-CA"/>
              </w:rPr>
              <w:t>0.056</w:t>
            </w:r>
          </w:p>
        </w:tc>
        <w:tc>
          <w:tcPr>
            <w:tcW w:w="0" w:type="auto"/>
            <w:tcBorders>
              <w:top w:val="nil"/>
              <w:left w:val="nil"/>
              <w:bottom w:val="single" w:sz="4" w:space="0" w:color="auto"/>
              <w:right w:val="single" w:sz="4" w:space="0" w:color="auto"/>
            </w:tcBorders>
            <w:shd w:val="clear" w:color="auto" w:fill="auto"/>
            <w:noWrap/>
            <w:vAlign w:val="center"/>
            <w:hideMark/>
          </w:tcPr>
          <w:p w14:paraId="4E27FC30" w14:textId="77777777" w:rsidR="00253427" w:rsidRPr="00653977" w:rsidRDefault="00253427" w:rsidP="00EF0503">
            <w:pPr>
              <w:ind w:right="1144"/>
              <w:jc w:val="right"/>
              <w:rPr>
                <w:sz w:val="22"/>
                <w:szCs w:val="22"/>
                <w:lang w:eastAsia="en-CA"/>
              </w:rPr>
            </w:pPr>
            <w:r w:rsidRPr="00653977">
              <w:rPr>
                <w:sz w:val="22"/>
                <w:szCs w:val="22"/>
                <w:lang w:eastAsia="en-CA"/>
              </w:rPr>
              <w:t>0.081</w:t>
            </w:r>
          </w:p>
        </w:tc>
        <w:tc>
          <w:tcPr>
            <w:tcW w:w="0" w:type="auto"/>
            <w:tcBorders>
              <w:top w:val="nil"/>
              <w:left w:val="nil"/>
              <w:bottom w:val="single" w:sz="4" w:space="0" w:color="auto"/>
              <w:right w:val="single" w:sz="4" w:space="0" w:color="auto"/>
            </w:tcBorders>
            <w:shd w:val="clear" w:color="auto" w:fill="auto"/>
            <w:noWrap/>
            <w:vAlign w:val="center"/>
            <w:hideMark/>
          </w:tcPr>
          <w:p w14:paraId="6F028F2F" w14:textId="77777777" w:rsidR="00253427" w:rsidRPr="00653977" w:rsidRDefault="00253427" w:rsidP="00EF0503">
            <w:pPr>
              <w:ind w:right="276"/>
              <w:jc w:val="right"/>
              <w:rPr>
                <w:sz w:val="22"/>
                <w:szCs w:val="22"/>
                <w:lang w:eastAsia="en-CA"/>
              </w:rPr>
            </w:pPr>
            <w:r w:rsidRPr="00653977">
              <w:rPr>
                <w:sz w:val="22"/>
                <w:szCs w:val="22"/>
                <w:lang w:eastAsia="en-CA"/>
              </w:rPr>
              <w:t>1 947</w:t>
            </w:r>
          </w:p>
        </w:tc>
        <w:tc>
          <w:tcPr>
            <w:tcW w:w="0" w:type="auto"/>
            <w:tcBorders>
              <w:top w:val="nil"/>
              <w:left w:val="nil"/>
              <w:bottom w:val="single" w:sz="4" w:space="0" w:color="auto"/>
              <w:right w:val="single" w:sz="4" w:space="0" w:color="auto"/>
            </w:tcBorders>
            <w:shd w:val="clear" w:color="auto" w:fill="auto"/>
            <w:noWrap/>
            <w:vAlign w:val="center"/>
            <w:hideMark/>
          </w:tcPr>
          <w:p w14:paraId="503BDE6E" w14:textId="77777777" w:rsidR="00253427" w:rsidRPr="00653977" w:rsidRDefault="00253427" w:rsidP="00EF0503">
            <w:pPr>
              <w:ind w:right="276"/>
              <w:jc w:val="right"/>
              <w:rPr>
                <w:sz w:val="22"/>
                <w:szCs w:val="22"/>
                <w:lang w:eastAsia="en-CA"/>
              </w:rPr>
            </w:pPr>
            <w:r w:rsidRPr="00653977">
              <w:rPr>
                <w:sz w:val="22"/>
                <w:szCs w:val="22"/>
                <w:lang w:eastAsia="en-CA"/>
              </w:rPr>
              <w:t>2 065</w:t>
            </w:r>
          </w:p>
        </w:tc>
        <w:tc>
          <w:tcPr>
            <w:tcW w:w="0" w:type="auto"/>
            <w:tcBorders>
              <w:top w:val="nil"/>
              <w:left w:val="nil"/>
              <w:bottom w:val="single" w:sz="4" w:space="0" w:color="auto"/>
              <w:right w:val="single" w:sz="4" w:space="0" w:color="auto"/>
            </w:tcBorders>
            <w:shd w:val="clear" w:color="auto" w:fill="auto"/>
            <w:noWrap/>
            <w:vAlign w:val="center"/>
            <w:hideMark/>
          </w:tcPr>
          <w:p w14:paraId="23D11295" w14:textId="77777777" w:rsidR="00253427" w:rsidRPr="00653977" w:rsidRDefault="00253427" w:rsidP="00EF0503">
            <w:pPr>
              <w:ind w:right="276"/>
              <w:jc w:val="right"/>
              <w:rPr>
                <w:sz w:val="22"/>
                <w:szCs w:val="22"/>
                <w:lang w:eastAsia="en-CA"/>
              </w:rPr>
            </w:pPr>
            <w:r w:rsidRPr="00653977">
              <w:rPr>
                <w:sz w:val="22"/>
                <w:szCs w:val="22"/>
                <w:lang w:eastAsia="en-CA"/>
              </w:rPr>
              <w:t>4 012</w:t>
            </w:r>
          </w:p>
        </w:tc>
      </w:tr>
      <w:tr w:rsidR="00253427" w:rsidRPr="00653977" w14:paraId="1483FAE5"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615898" w14:textId="77777777" w:rsidR="00253427" w:rsidRPr="00653977" w:rsidRDefault="00253427" w:rsidP="00EF0503">
            <w:pPr>
              <w:rPr>
                <w:sz w:val="22"/>
                <w:szCs w:val="22"/>
                <w:lang w:eastAsia="en-CA"/>
              </w:rPr>
            </w:pPr>
            <w:r w:rsidRPr="00653977">
              <w:rPr>
                <w:sz w:val="22"/>
                <w:szCs w:val="22"/>
                <w:lang w:eastAsia="en-CA"/>
              </w:rPr>
              <w:t>Belgium</w:t>
            </w:r>
          </w:p>
        </w:tc>
        <w:tc>
          <w:tcPr>
            <w:tcW w:w="2288" w:type="dxa"/>
            <w:tcBorders>
              <w:top w:val="nil"/>
              <w:left w:val="nil"/>
              <w:bottom w:val="single" w:sz="4" w:space="0" w:color="auto"/>
              <w:right w:val="single" w:sz="4" w:space="0" w:color="auto"/>
            </w:tcBorders>
            <w:shd w:val="clear" w:color="auto" w:fill="auto"/>
            <w:vAlign w:val="center"/>
            <w:hideMark/>
          </w:tcPr>
          <w:p w14:paraId="5E908C3E" w14:textId="77777777" w:rsidR="00253427" w:rsidRPr="00653977" w:rsidRDefault="00253427" w:rsidP="00EF0503">
            <w:pPr>
              <w:ind w:right="770"/>
              <w:jc w:val="right"/>
              <w:rPr>
                <w:sz w:val="22"/>
                <w:szCs w:val="22"/>
                <w:lang w:eastAsia="en-CA"/>
              </w:rPr>
            </w:pPr>
            <w:r w:rsidRPr="00653977">
              <w:rPr>
                <w:sz w:val="22"/>
                <w:szCs w:val="22"/>
                <w:lang w:eastAsia="en-CA"/>
              </w:rPr>
              <w:t>0.885</w:t>
            </w:r>
          </w:p>
        </w:tc>
        <w:tc>
          <w:tcPr>
            <w:tcW w:w="0" w:type="auto"/>
            <w:tcBorders>
              <w:top w:val="nil"/>
              <w:left w:val="nil"/>
              <w:bottom w:val="single" w:sz="4" w:space="0" w:color="auto"/>
              <w:right w:val="single" w:sz="4" w:space="0" w:color="auto"/>
            </w:tcBorders>
            <w:shd w:val="clear" w:color="auto" w:fill="auto"/>
            <w:noWrap/>
            <w:vAlign w:val="center"/>
            <w:hideMark/>
          </w:tcPr>
          <w:p w14:paraId="6A611C3C" w14:textId="77777777" w:rsidR="00253427" w:rsidRPr="00653977" w:rsidRDefault="00253427" w:rsidP="00EF0503">
            <w:pPr>
              <w:ind w:right="1144"/>
              <w:jc w:val="right"/>
              <w:rPr>
                <w:sz w:val="22"/>
                <w:szCs w:val="22"/>
                <w:lang w:eastAsia="en-CA"/>
              </w:rPr>
            </w:pPr>
            <w:r w:rsidRPr="00653977">
              <w:rPr>
                <w:sz w:val="22"/>
                <w:szCs w:val="22"/>
                <w:lang w:eastAsia="en-CA"/>
              </w:rPr>
              <w:t>1.281</w:t>
            </w:r>
          </w:p>
        </w:tc>
        <w:tc>
          <w:tcPr>
            <w:tcW w:w="0" w:type="auto"/>
            <w:tcBorders>
              <w:top w:val="nil"/>
              <w:left w:val="nil"/>
              <w:bottom w:val="single" w:sz="4" w:space="0" w:color="auto"/>
              <w:right w:val="single" w:sz="4" w:space="0" w:color="auto"/>
            </w:tcBorders>
            <w:shd w:val="clear" w:color="auto" w:fill="auto"/>
            <w:noWrap/>
            <w:vAlign w:val="center"/>
            <w:hideMark/>
          </w:tcPr>
          <w:p w14:paraId="2A851159" w14:textId="77777777" w:rsidR="00253427" w:rsidRPr="00653977" w:rsidRDefault="00253427" w:rsidP="00EF0503">
            <w:pPr>
              <w:ind w:right="276"/>
              <w:jc w:val="right"/>
              <w:rPr>
                <w:sz w:val="22"/>
                <w:szCs w:val="22"/>
                <w:lang w:eastAsia="en-CA"/>
              </w:rPr>
            </w:pPr>
            <w:r w:rsidRPr="00653977">
              <w:rPr>
                <w:sz w:val="22"/>
                <w:szCs w:val="22"/>
                <w:lang w:eastAsia="en-CA"/>
              </w:rPr>
              <w:t>30 771</w:t>
            </w:r>
          </w:p>
        </w:tc>
        <w:tc>
          <w:tcPr>
            <w:tcW w:w="0" w:type="auto"/>
            <w:tcBorders>
              <w:top w:val="nil"/>
              <w:left w:val="nil"/>
              <w:bottom w:val="single" w:sz="4" w:space="0" w:color="auto"/>
              <w:right w:val="single" w:sz="4" w:space="0" w:color="auto"/>
            </w:tcBorders>
            <w:shd w:val="clear" w:color="auto" w:fill="auto"/>
            <w:noWrap/>
            <w:vAlign w:val="center"/>
            <w:hideMark/>
          </w:tcPr>
          <w:p w14:paraId="4DF75E38" w14:textId="77777777" w:rsidR="00253427" w:rsidRPr="00653977" w:rsidRDefault="00253427" w:rsidP="00EF0503">
            <w:pPr>
              <w:ind w:right="276"/>
              <w:jc w:val="right"/>
              <w:rPr>
                <w:sz w:val="22"/>
                <w:szCs w:val="22"/>
                <w:lang w:eastAsia="en-CA"/>
              </w:rPr>
            </w:pPr>
            <w:r w:rsidRPr="00653977">
              <w:rPr>
                <w:sz w:val="22"/>
                <w:szCs w:val="22"/>
                <w:lang w:eastAsia="en-CA"/>
              </w:rPr>
              <w:t>32 629</w:t>
            </w:r>
          </w:p>
        </w:tc>
        <w:tc>
          <w:tcPr>
            <w:tcW w:w="0" w:type="auto"/>
            <w:tcBorders>
              <w:top w:val="nil"/>
              <w:left w:val="nil"/>
              <w:bottom w:val="single" w:sz="4" w:space="0" w:color="auto"/>
              <w:right w:val="single" w:sz="4" w:space="0" w:color="auto"/>
            </w:tcBorders>
            <w:shd w:val="clear" w:color="auto" w:fill="auto"/>
            <w:noWrap/>
            <w:vAlign w:val="center"/>
            <w:hideMark/>
          </w:tcPr>
          <w:p w14:paraId="25E670D9" w14:textId="77777777" w:rsidR="00253427" w:rsidRPr="00653977" w:rsidRDefault="00253427" w:rsidP="00EF0503">
            <w:pPr>
              <w:ind w:right="276"/>
              <w:jc w:val="right"/>
              <w:rPr>
                <w:sz w:val="22"/>
                <w:szCs w:val="22"/>
                <w:lang w:eastAsia="en-CA"/>
              </w:rPr>
            </w:pPr>
            <w:r w:rsidRPr="00653977">
              <w:rPr>
                <w:sz w:val="22"/>
                <w:szCs w:val="22"/>
                <w:lang w:eastAsia="en-CA"/>
              </w:rPr>
              <w:t>63 400</w:t>
            </w:r>
          </w:p>
        </w:tc>
      </w:tr>
      <w:tr w:rsidR="00253427" w:rsidRPr="00653977" w14:paraId="4327E18F"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3CD04D" w14:textId="77777777" w:rsidR="00253427" w:rsidRPr="00653977" w:rsidRDefault="00253427" w:rsidP="00EF0503">
            <w:pPr>
              <w:rPr>
                <w:sz w:val="22"/>
                <w:szCs w:val="22"/>
                <w:lang w:eastAsia="en-CA"/>
              </w:rPr>
            </w:pPr>
            <w:r w:rsidRPr="00653977">
              <w:rPr>
                <w:sz w:val="22"/>
                <w:szCs w:val="22"/>
                <w:lang w:eastAsia="en-CA"/>
              </w:rPr>
              <w:t>Belize</w:t>
            </w:r>
          </w:p>
        </w:tc>
        <w:tc>
          <w:tcPr>
            <w:tcW w:w="2288" w:type="dxa"/>
            <w:tcBorders>
              <w:top w:val="nil"/>
              <w:left w:val="nil"/>
              <w:bottom w:val="single" w:sz="4" w:space="0" w:color="auto"/>
              <w:right w:val="single" w:sz="4" w:space="0" w:color="auto"/>
            </w:tcBorders>
            <w:shd w:val="clear" w:color="auto" w:fill="auto"/>
            <w:vAlign w:val="center"/>
            <w:hideMark/>
          </w:tcPr>
          <w:p w14:paraId="060FDACA"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9492F6E"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7AD63B4"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1D6DAF0"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3A9A0E6B"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7598D8E0"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04F7C0" w14:textId="77777777" w:rsidR="00253427" w:rsidRPr="00653977" w:rsidRDefault="00253427" w:rsidP="00EF0503">
            <w:pPr>
              <w:rPr>
                <w:sz w:val="22"/>
                <w:szCs w:val="22"/>
                <w:lang w:eastAsia="en-CA"/>
              </w:rPr>
            </w:pPr>
            <w:r w:rsidRPr="00653977">
              <w:rPr>
                <w:sz w:val="22"/>
                <w:szCs w:val="22"/>
                <w:lang w:eastAsia="en-CA"/>
              </w:rPr>
              <w:t>Benin</w:t>
            </w:r>
          </w:p>
        </w:tc>
        <w:tc>
          <w:tcPr>
            <w:tcW w:w="2288" w:type="dxa"/>
            <w:tcBorders>
              <w:top w:val="nil"/>
              <w:left w:val="nil"/>
              <w:bottom w:val="single" w:sz="4" w:space="0" w:color="auto"/>
              <w:right w:val="single" w:sz="4" w:space="0" w:color="auto"/>
            </w:tcBorders>
            <w:shd w:val="clear" w:color="auto" w:fill="auto"/>
            <w:vAlign w:val="center"/>
            <w:hideMark/>
          </w:tcPr>
          <w:p w14:paraId="15A1618F" w14:textId="77777777" w:rsidR="00253427" w:rsidRPr="00653977" w:rsidRDefault="00253427" w:rsidP="00EF0503">
            <w:pPr>
              <w:ind w:right="770"/>
              <w:jc w:val="right"/>
              <w:rPr>
                <w:sz w:val="22"/>
                <w:szCs w:val="22"/>
                <w:lang w:eastAsia="en-CA"/>
              </w:rPr>
            </w:pPr>
            <w:r w:rsidRPr="00653977">
              <w:rPr>
                <w:sz w:val="22"/>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6B28787F" w14:textId="77777777" w:rsidR="00253427" w:rsidRPr="00653977" w:rsidRDefault="00253427" w:rsidP="00EF0503">
            <w:pPr>
              <w:ind w:right="1144"/>
              <w:jc w:val="right"/>
              <w:rPr>
                <w:sz w:val="22"/>
                <w:szCs w:val="22"/>
                <w:lang w:eastAsia="en-CA"/>
              </w:rPr>
            </w:pPr>
            <w:r w:rsidRPr="00653977">
              <w:rPr>
                <w:sz w:val="22"/>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0AA3A045" w14:textId="77777777" w:rsidR="00253427" w:rsidRPr="00653977" w:rsidRDefault="00253427" w:rsidP="00EF0503">
            <w:pPr>
              <w:ind w:right="276"/>
              <w:jc w:val="right"/>
              <w:rPr>
                <w:sz w:val="22"/>
                <w:szCs w:val="22"/>
                <w:lang w:eastAsia="en-CA"/>
              </w:rPr>
            </w:pPr>
            <w:r w:rsidRPr="00653977">
              <w:rPr>
                <w:sz w:val="22"/>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42481B8F" w14:textId="77777777" w:rsidR="00253427" w:rsidRPr="00653977" w:rsidRDefault="00253427" w:rsidP="00EF0503">
            <w:pPr>
              <w:ind w:right="276"/>
              <w:jc w:val="right"/>
              <w:rPr>
                <w:sz w:val="22"/>
                <w:szCs w:val="22"/>
                <w:lang w:eastAsia="en-CA"/>
              </w:rPr>
            </w:pPr>
            <w:r w:rsidRPr="00653977">
              <w:rPr>
                <w:sz w:val="22"/>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63560208" w14:textId="77777777" w:rsidR="00253427" w:rsidRPr="00653977" w:rsidRDefault="00253427" w:rsidP="00EF0503">
            <w:pPr>
              <w:ind w:right="276"/>
              <w:jc w:val="right"/>
              <w:rPr>
                <w:sz w:val="22"/>
                <w:szCs w:val="22"/>
                <w:lang w:eastAsia="en-CA"/>
              </w:rPr>
            </w:pPr>
            <w:r w:rsidRPr="00653977">
              <w:rPr>
                <w:sz w:val="22"/>
                <w:szCs w:val="22"/>
                <w:lang w:eastAsia="en-CA"/>
              </w:rPr>
              <w:t>215</w:t>
            </w:r>
          </w:p>
        </w:tc>
      </w:tr>
      <w:tr w:rsidR="00253427" w:rsidRPr="00653977" w14:paraId="101EE38B"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C4FFC4" w14:textId="77777777" w:rsidR="00253427" w:rsidRPr="00653977" w:rsidRDefault="00253427" w:rsidP="00EF0503">
            <w:pPr>
              <w:rPr>
                <w:sz w:val="22"/>
                <w:szCs w:val="22"/>
                <w:lang w:eastAsia="en-CA"/>
              </w:rPr>
            </w:pPr>
            <w:r w:rsidRPr="00653977">
              <w:rPr>
                <w:sz w:val="22"/>
                <w:szCs w:val="22"/>
                <w:lang w:eastAsia="en-CA"/>
              </w:rPr>
              <w:t>Bhutan</w:t>
            </w:r>
          </w:p>
        </w:tc>
        <w:tc>
          <w:tcPr>
            <w:tcW w:w="2288" w:type="dxa"/>
            <w:tcBorders>
              <w:top w:val="nil"/>
              <w:left w:val="nil"/>
              <w:bottom w:val="single" w:sz="4" w:space="0" w:color="auto"/>
              <w:right w:val="single" w:sz="4" w:space="0" w:color="auto"/>
            </w:tcBorders>
            <w:shd w:val="clear" w:color="auto" w:fill="auto"/>
            <w:vAlign w:val="center"/>
            <w:hideMark/>
          </w:tcPr>
          <w:p w14:paraId="3794B561"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EFF2666"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D7100ED"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733D772F"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8124647"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4F938C00"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0C057E" w14:textId="77777777" w:rsidR="00253427" w:rsidRPr="00653977" w:rsidRDefault="00253427" w:rsidP="00EF0503">
            <w:pPr>
              <w:rPr>
                <w:sz w:val="22"/>
                <w:szCs w:val="22"/>
                <w:lang w:eastAsia="en-CA"/>
              </w:rPr>
            </w:pPr>
            <w:r w:rsidRPr="00653977">
              <w:rPr>
                <w:sz w:val="22"/>
                <w:szCs w:val="22"/>
                <w:lang w:eastAsia="en-CA"/>
              </w:rPr>
              <w:t>Bolivia (</w:t>
            </w:r>
            <w:proofErr w:type="spellStart"/>
            <w:r w:rsidRPr="00653977">
              <w:rPr>
                <w:sz w:val="22"/>
                <w:szCs w:val="22"/>
                <w:lang w:eastAsia="en-CA"/>
              </w:rPr>
              <w:t>Plurinational</w:t>
            </w:r>
            <w:proofErr w:type="spellEnd"/>
            <w:r w:rsidRPr="00653977">
              <w:rPr>
                <w:sz w:val="22"/>
                <w:szCs w:val="22"/>
                <w:lang w:eastAsia="en-CA"/>
              </w:rPr>
              <w:t xml:space="preserve"> State of)</w:t>
            </w:r>
          </w:p>
        </w:tc>
        <w:tc>
          <w:tcPr>
            <w:tcW w:w="2288" w:type="dxa"/>
            <w:tcBorders>
              <w:top w:val="nil"/>
              <w:left w:val="nil"/>
              <w:bottom w:val="single" w:sz="4" w:space="0" w:color="auto"/>
              <w:right w:val="single" w:sz="4" w:space="0" w:color="auto"/>
            </w:tcBorders>
            <w:shd w:val="clear" w:color="auto" w:fill="auto"/>
            <w:vAlign w:val="center"/>
            <w:hideMark/>
          </w:tcPr>
          <w:p w14:paraId="443B7CE1" w14:textId="77777777" w:rsidR="00253427" w:rsidRPr="00653977" w:rsidRDefault="00253427" w:rsidP="00EF0503">
            <w:pPr>
              <w:ind w:right="770"/>
              <w:jc w:val="right"/>
              <w:rPr>
                <w:sz w:val="22"/>
                <w:szCs w:val="22"/>
                <w:lang w:eastAsia="en-CA"/>
              </w:rPr>
            </w:pPr>
            <w:r w:rsidRPr="00653977">
              <w:rPr>
                <w:sz w:val="22"/>
                <w:szCs w:val="22"/>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39328FDE" w14:textId="77777777" w:rsidR="00253427" w:rsidRPr="00653977" w:rsidRDefault="00253427" w:rsidP="00EF0503">
            <w:pPr>
              <w:ind w:right="1144"/>
              <w:jc w:val="right"/>
              <w:rPr>
                <w:sz w:val="22"/>
                <w:szCs w:val="22"/>
                <w:lang w:eastAsia="en-CA"/>
              </w:rPr>
            </w:pPr>
            <w:r w:rsidRPr="00653977">
              <w:rPr>
                <w:sz w:val="22"/>
                <w:szCs w:val="22"/>
                <w:lang w:eastAsia="en-CA"/>
              </w:rPr>
              <w:t>0.017</w:t>
            </w:r>
          </w:p>
        </w:tc>
        <w:tc>
          <w:tcPr>
            <w:tcW w:w="0" w:type="auto"/>
            <w:tcBorders>
              <w:top w:val="nil"/>
              <w:left w:val="nil"/>
              <w:bottom w:val="single" w:sz="4" w:space="0" w:color="auto"/>
              <w:right w:val="single" w:sz="4" w:space="0" w:color="auto"/>
            </w:tcBorders>
            <w:shd w:val="clear" w:color="auto" w:fill="auto"/>
            <w:noWrap/>
            <w:vAlign w:val="center"/>
            <w:hideMark/>
          </w:tcPr>
          <w:p w14:paraId="63C6001A" w14:textId="77777777" w:rsidR="00253427" w:rsidRPr="00653977" w:rsidRDefault="00253427" w:rsidP="00EF0503">
            <w:pPr>
              <w:ind w:right="276"/>
              <w:jc w:val="right"/>
              <w:rPr>
                <w:sz w:val="22"/>
                <w:szCs w:val="22"/>
                <w:lang w:eastAsia="en-CA"/>
              </w:rPr>
            </w:pPr>
            <w:r w:rsidRPr="00653977">
              <w:rPr>
                <w:sz w:val="22"/>
                <w:szCs w:val="22"/>
                <w:lang w:eastAsia="en-CA"/>
              </w:rPr>
              <w:t>417</w:t>
            </w:r>
          </w:p>
        </w:tc>
        <w:tc>
          <w:tcPr>
            <w:tcW w:w="0" w:type="auto"/>
            <w:tcBorders>
              <w:top w:val="nil"/>
              <w:left w:val="nil"/>
              <w:bottom w:val="single" w:sz="4" w:space="0" w:color="auto"/>
              <w:right w:val="single" w:sz="4" w:space="0" w:color="auto"/>
            </w:tcBorders>
            <w:shd w:val="clear" w:color="auto" w:fill="auto"/>
            <w:noWrap/>
            <w:vAlign w:val="center"/>
            <w:hideMark/>
          </w:tcPr>
          <w:p w14:paraId="3DFED816" w14:textId="77777777" w:rsidR="00253427" w:rsidRPr="00653977" w:rsidRDefault="00253427" w:rsidP="00EF0503">
            <w:pPr>
              <w:ind w:right="276"/>
              <w:jc w:val="right"/>
              <w:rPr>
                <w:sz w:val="22"/>
                <w:szCs w:val="22"/>
                <w:lang w:eastAsia="en-CA"/>
              </w:rPr>
            </w:pPr>
            <w:r w:rsidRPr="00653977">
              <w:rPr>
                <w:sz w:val="22"/>
                <w:szCs w:val="22"/>
                <w:lang w:eastAsia="en-CA"/>
              </w:rPr>
              <w:t>442</w:t>
            </w:r>
          </w:p>
        </w:tc>
        <w:tc>
          <w:tcPr>
            <w:tcW w:w="0" w:type="auto"/>
            <w:tcBorders>
              <w:top w:val="nil"/>
              <w:left w:val="nil"/>
              <w:bottom w:val="single" w:sz="4" w:space="0" w:color="auto"/>
              <w:right w:val="single" w:sz="4" w:space="0" w:color="auto"/>
            </w:tcBorders>
            <w:shd w:val="clear" w:color="auto" w:fill="auto"/>
            <w:noWrap/>
            <w:vAlign w:val="center"/>
            <w:hideMark/>
          </w:tcPr>
          <w:p w14:paraId="74B49A62" w14:textId="77777777" w:rsidR="00253427" w:rsidRPr="00653977" w:rsidRDefault="00253427" w:rsidP="00EF0503">
            <w:pPr>
              <w:ind w:right="276"/>
              <w:jc w:val="right"/>
              <w:rPr>
                <w:sz w:val="22"/>
                <w:szCs w:val="22"/>
                <w:lang w:eastAsia="en-CA"/>
              </w:rPr>
            </w:pPr>
            <w:r w:rsidRPr="00653977">
              <w:rPr>
                <w:sz w:val="22"/>
                <w:szCs w:val="22"/>
                <w:lang w:eastAsia="en-CA"/>
              </w:rPr>
              <w:t>860</w:t>
            </w:r>
          </w:p>
        </w:tc>
      </w:tr>
      <w:tr w:rsidR="00253427" w:rsidRPr="00653977" w14:paraId="022974D6"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6EB324" w14:textId="77777777" w:rsidR="00253427" w:rsidRPr="00653977" w:rsidRDefault="00253427" w:rsidP="00EF0503">
            <w:pPr>
              <w:rPr>
                <w:sz w:val="22"/>
                <w:szCs w:val="22"/>
                <w:lang w:eastAsia="en-CA"/>
              </w:rPr>
            </w:pPr>
            <w:r w:rsidRPr="00653977">
              <w:rPr>
                <w:sz w:val="22"/>
                <w:szCs w:val="22"/>
                <w:lang w:eastAsia="en-CA"/>
              </w:rPr>
              <w:t>Bosnia and Herzegovina</w:t>
            </w:r>
          </w:p>
        </w:tc>
        <w:tc>
          <w:tcPr>
            <w:tcW w:w="2288" w:type="dxa"/>
            <w:tcBorders>
              <w:top w:val="nil"/>
              <w:left w:val="nil"/>
              <w:bottom w:val="single" w:sz="4" w:space="0" w:color="auto"/>
              <w:right w:val="single" w:sz="4" w:space="0" w:color="auto"/>
            </w:tcBorders>
            <w:shd w:val="clear" w:color="auto" w:fill="auto"/>
            <w:vAlign w:val="center"/>
            <w:hideMark/>
          </w:tcPr>
          <w:p w14:paraId="33DB4F6F" w14:textId="77777777" w:rsidR="00253427" w:rsidRPr="00653977" w:rsidRDefault="00253427" w:rsidP="00EF0503">
            <w:pPr>
              <w:ind w:right="770"/>
              <w:jc w:val="right"/>
              <w:rPr>
                <w:sz w:val="22"/>
                <w:szCs w:val="22"/>
                <w:lang w:eastAsia="en-CA"/>
              </w:rPr>
            </w:pPr>
            <w:r w:rsidRPr="00653977">
              <w:rPr>
                <w:sz w:val="22"/>
                <w:szCs w:val="22"/>
                <w:lang w:eastAsia="en-CA"/>
              </w:rPr>
              <w:t>0.013</w:t>
            </w:r>
          </w:p>
        </w:tc>
        <w:tc>
          <w:tcPr>
            <w:tcW w:w="0" w:type="auto"/>
            <w:tcBorders>
              <w:top w:val="nil"/>
              <w:left w:val="nil"/>
              <w:bottom w:val="single" w:sz="4" w:space="0" w:color="auto"/>
              <w:right w:val="single" w:sz="4" w:space="0" w:color="auto"/>
            </w:tcBorders>
            <w:shd w:val="clear" w:color="auto" w:fill="auto"/>
            <w:noWrap/>
            <w:vAlign w:val="center"/>
            <w:hideMark/>
          </w:tcPr>
          <w:p w14:paraId="7F83299D" w14:textId="77777777" w:rsidR="00253427" w:rsidRPr="00653977" w:rsidRDefault="00253427" w:rsidP="00EF0503">
            <w:pPr>
              <w:ind w:right="1144"/>
              <w:jc w:val="right"/>
              <w:rPr>
                <w:sz w:val="22"/>
                <w:szCs w:val="22"/>
                <w:lang w:eastAsia="en-CA"/>
              </w:rPr>
            </w:pPr>
            <w:r w:rsidRPr="00653977">
              <w:rPr>
                <w:sz w:val="22"/>
                <w:szCs w:val="22"/>
                <w:lang w:eastAsia="en-CA"/>
              </w:rPr>
              <w:t>0.019</w:t>
            </w:r>
          </w:p>
        </w:tc>
        <w:tc>
          <w:tcPr>
            <w:tcW w:w="0" w:type="auto"/>
            <w:tcBorders>
              <w:top w:val="nil"/>
              <w:left w:val="nil"/>
              <w:bottom w:val="single" w:sz="4" w:space="0" w:color="auto"/>
              <w:right w:val="single" w:sz="4" w:space="0" w:color="auto"/>
            </w:tcBorders>
            <w:shd w:val="clear" w:color="auto" w:fill="auto"/>
            <w:noWrap/>
            <w:vAlign w:val="center"/>
            <w:hideMark/>
          </w:tcPr>
          <w:p w14:paraId="65E0797F" w14:textId="77777777" w:rsidR="00253427" w:rsidRPr="00653977" w:rsidRDefault="00253427" w:rsidP="00EF0503">
            <w:pPr>
              <w:ind w:right="276"/>
              <w:jc w:val="right"/>
              <w:rPr>
                <w:sz w:val="22"/>
                <w:szCs w:val="22"/>
                <w:lang w:eastAsia="en-CA"/>
              </w:rPr>
            </w:pPr>
            <w:r w:rsidRPr="00653977">
              <w:rPr>
                <w:sz w:val="22"/>
                <w:szCs w:val="22"/>
                <w:lang w:eastAsia="en-CA"/>
              </w:rPr>
              <w:t>452</w:t>
            </w:r>
          </w:p>
        </w:tc>
        <w:tc>
          <w:tcPr>
            <w:tcW w:w="0" w:type="auto"/>
            <w:tcBorders>
              <w:top w:val="nil"/>
              <w:left w:val="nil"/>
              <w:bottom w:val="single" w:sz="4" w:space="0" w:color="auto"/>
              <w:right w:val="single" w:sz="4" w:space="0" w:color="auto"/>
            </w:tcBorders>
            <w:shd w:val="clear" w:color="auto" w:fill="auto"/>
            <w:noWrap/>
            <w:vAlign w:val="center"/>
            <w:hideMark/>
          </w:tcPr>
          <w:p w14:paraId="6FA1FAF0" w14:textId="77777777" w:rsidR="00253427" w:rsidRPr="00653977" w:rsidRDefault="00253427" w:rsidP="00EF0503">
            <w:pPr>
              <w:ind w:right="276"/>
              <w:jc w:val="right"/>
              <w:rPr>
                <w:sz w:val="22"/>
                <w:szCs w:val="22"/>
                <w:lang w:eastAsia="en-CA"/>
              </w:rPr>
            </w:pPr>
            <w:r w:rsidRPr="00653977">
              <w:rPr>
                <w:sz w:val="22"/>
                <w:szCs w:val="22"/>
                <w:lang w:eastAsia="en-CA"/>
              </w:rPr>
              <w:t>479</w:t>
            </w:r>
          </w:p>
        </w:tc>
        <w:tc>
          <w:tcPr>
            <w:tcW w:w="0" w:type="auto"/>
            <w:tcBorders>
              <w:top w:val="nil"/>
              <w:left w:val="nil"/>
              <w:bottom w:val="single" w:sz="4" w:space="0" w:color="auto"/>
              <w:right w:val="single" w:sz="4" w:space="0" w:color="auto"/>
            </w:tcBorders>
            <w:shd w:val="clear" w:color="auto" w:fill="auto"/>
            <w:noWrap/>
            <w:vAlign w:val="center"/>
            <w:hideMark/>
          </w:tcPr>
          <w:p w14:paraId="3424C86B" w14:textId="77777777" w:rsidR="00253427" w:rsidRPr="00653977" w:rsidRDefault="00253427" w:rsidP="00EF0503">
            <w:pPr>
              <w:ind w:right="276"/>
              <w:jc w:val="right"/>
              <w:rPr>
                <w:sz w:val="22"/>
                <w:szCs w:val="22"/>
                <w:lang w:eastAsia="en-CA"/>
              </w:rPr>
            </w:pPr>
            <w:r w:rsidRPr="00653977">
              <w:rPr>
                <w:sz w:val="22"/>
                <w:szCs w:val="22"/>
                <w:lang w:eastAsia="en-CA"/>
              </w:rPr>
              <w:t>931</w:t>
            </w:r>
          </w:p>
        </w:tc>
      </w:tr>
      <w:tr w:rsidR="00253427" w:rsidRPr="00653977" w14:paraId="4EA9C251"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73DF8E" w14:textId="77777777" w:rsidR="00253427" w:rsidRPr="00653977" w:rsidRDefault="00253427" w:rsidP="00EF0503">
            <w:pPr>
              <w:rPr>
                <w:sz w:val="22"/>
                <w:szCs w:val="22"/>
                <w:lang w:eastAsia="en-CA"/>
              </w:rPr>
            </w:pPr>
            <w:r w:rsidRPr="00653977">
              <w:rPr>
                <w:sz w:val="22"/>
                <w:szCs w:val="22"/>
                <w:lang w:eastAsia="en-CA"/>
              </w:rPr>
              <w:t>Botswana</w:t>
            </w:r>
          </w:p>
        </w:tc>
        <w:tc>
          <w:tcPr>
            <w:tcW w:w="2288" w:type="dxa"/>
            <w:tcBorders>
              <w:top w:val="nil"/>
              <w:left w:val="nil"/>
              <w:bottom w:val="single" w:sz="4" w:space="0" w:color="auto"/>
              <w:right w:val="single" w:sz="4" w:space="0" w:color="auto"/>
            </w:tcBorders>
            <w:shd w:val="clear" w:color="auto" w:fill="auto"/>
            <w:vAlign w:val="center"/>
            <w:hideMark/>
          </w:tcPr>
          <w:p w14:paraId="77540BB3" w14:textId="77777777" w:rsidR="00253427" w:rsidRPr="00653977" w:rsidRDefault="00253427" w:rsidP="00EF0503">
            <w:pPr>
              <w:ind w:right="770"/>
              <w:jc w:val="right"/>
              <w:rPr>
                <w:sz w:val="22"/>
                <w:szCs w:val="22"/>
                <w:lang w:eastAsia="en-CA"/>
              </w:rPr>
            </w:pPr>
            <w:r w:rsidRPr="00653977">
              <w:rPr>
                <w:sz w:val="22"/>
                <w:szCs w:val="22"/>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6E51BCF0" w14:textId="77777777" w:rsidR="00253427" w:rsidRPr="00653977" w:rsidRDefault="00253427" w:rsidP="00EF0503">
            <w:pPr>
              <w:ind w:right="1144"/>
              <w:jc w:val="right"/>
              <w:rPr>
                <w:sz w:val="22"/>
                <w:szCs w:val="22"/>
                <w:lang w:eastAsia="en-CA"/>
              </w:rPr>
            </w:pPr>
            <w:r w:rsidRPr="00653977">
              <w:rPr>
                <w:sz w:val="22"/>
                <w:szCs w:val="22"/>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50CA3BE5" w14:textId="77777777" w:rsidR="00253427" w:rsidRPr="00653977" w:rsidRDefault="00253427" w:rsidP="00EF0503">
            <w:pPr>
              <w:ind w:right="276"/>
              <w:jc w:val="right"/>
              <w:rPr>
                <w:sz w:val="22"/>
                <w:szCs w:val="22"/>
                <w:lang w:eastAsia="en-CA"/>
              </w:rPr>
            </w:pPr>
            <w:r w:rsidRPr="00653977">
              <w:rPr>
                <w:sz w:val="22"/>
                <w:szCs w:val="22"/>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7968B201" w14:textId="77777777" w:rsidR="00253427" w:rsidRPr="00653977" w:rsidRDefault="00253427" w:rsidP="00EF0503">
            <w:pPr>
              <w:ind w:right="276"/>
              <w:jc w:val="right"/>
              <w:rPr>
                <w:sz w:val="22"/>
                <w:szCs w:val="22"/>
                <w:lang w:eastAsia="en-CA"/>
              </w:rPr>
            </w:pPr>
            <w:r w:rsidRPr="00653977">
              <w:rPr>
                <w:sz w:val="22"/>
                <w:szCs w:val="22"/>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4081CD32" w14:textId="77777777" w:rsidR="00253427" w:rsidRPr="00653977" w:rsidRDefault="00253427" w:rsidP="00EF0503">
            <w:pPr>
              <w:ind w:right="276"/>
              <w:jc w:val="right"/>
              <w:rPr>
                <w:sz w:val="22"/>
                <w:szCs w:val="22"/>
                <w:lang w:eastAsia="en-CA"/>
              </w:rPr>
            </w:pPr>
            <w:r w:rsidRPr="00653977">
              <w:rPr>
                <w:sz w:val="22"/>
                <w:szCs w:val="22"/>
                <w:lang w:eastAsia="en-CA"/>
              </w:rPr>
              <w:t>1 003</w:t>
            </w:r>
          </w:p>
        </w:tc>
      </w:tr>
      <w:tr w:rsidR="00253427" w:rsidRPr="00653977" w14:paraId="66DD3C8F" w14:textId="77777777" w:rsidTr="00EF0503">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907E62" w14:textId="77777777" w:rsidR="00253427" w:rsidRPr="00653977" w:rsidRDefault="00253427" w:rsidP="00EF0503">
            <w:pPr>
              <w:rPr>
                <w:sz w:val="22"/>
                <w:szCs w:val="22"/>
                <w:lang w:eastAsia="en-CA"/>
              </w:rPr>
            </w:pPr>
            <w:r w:rsidRPr="00653977">
              <w:rPr>
                <w:sz w:val="22"/>
                <w:szCs w:val="22"/>
                <w:lang w:eastAsia="en-CA"/>
              </w:rPr>
              <w:t>Brazil</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7F4D5116" w14:textId="77777777" w:rsidR="00253427" w:rsidRPr="00653977" w:rsidRDefault="00253427" w:rsidP="00EF0503">
            <w:pPr>
              <w:ind w:right="770"/>
              <w:jc w:val="right"/>
              <w:rPr>
                <w:sz w:val="22"/>
                <w:szCs w:val="22"/>
                <w:lang w:eastAsia="en-CA"/>
              </w:rPr>
            </w:pPr>
            <w:r w:rsidRPr="00653977">
              <w:rPr>
                <w:sz w:val="22"/>
                <w:szCs w:val="22"/>
                <w:lang w:eastAsia="en-CA"/>
              </w:rPr>
              <w:t>3.823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2CB0E0" w14:textId="77777777" w:rsidR="00253427" w:rsidRPr="00653977" w:rsidRDefault="00253427" w:rsidP="00EF0503">
            <w:pPr>
              <w:ind w:right="1144"/>
              <w:jc w:val="right"/>
              <w:rPr>
                <w:sz w:val="22"/>
                <w:szCs w:val="22"/>
                <w:lang w:eastAsia="en-CA"/>
              </w:rPr>
            </w:pPr>
            <w:r w:rsidRPr="00653977">
              <w:rPr>
                <w:sz w:val="22"/>
                <w:szCs w:val="22"/>
                <w:lang w:eastAsia="en-CA"/>
              </w:rPr>
              <w:t>5.535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18A7331" w14:textId="77777777" w:rsidR="00253427" w:rsidRPr="00653977" w:rsidRDefault="00253427" w:rsidP="00EF0503">
            <w:pPr>
              <w:ind w:right="276"/>
              <w:jc w:val="right"/>
              <w:rPr>
                <w:sz w:val="22"/>
                <w:szCs w:val="22"/>
                <w:lang w:eastAsia="en-CA"/>
              </w:rPr>
            </w:pPr>
            <w:r w:rsidRPr="00653977">
              <w:rPr>
                <w:sz w:val="22"/>
                <w:szCs w:val="22"/>
                <w:lang w:eastAsia="en-CA"/>
              </w:rPr>
              <w:t>132 922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771F545" w14:textId="77777777" w:rsidR="00253427" w:rsidRPr="00653977" w:rsidRDefault="00253427" w:rsidP="00EF0503">
            <w:pPr>
              <w:ind w:right="276"/>
              <w:jc w:val="right"/>
              <w:rPr>
                <w:sz w:val="22"/>
                <w:szCs w:val="22"/>
                <w:lang w:eastAsia="en-CA"/>
              </w:rPr>
            </w:pPr>
            <w:r w:rsidRPr="00653977">
              <w:rPr>
                <w:sz w:val="22"/>
                <w:szCs w:val="22"/>
                <w:lang w:eastAsia="en-CA"/>
              </w:rPr>
              <w:t>140 951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9DB2311" w14:textId="77777777" w:rsidR="00253427" w:rsidRPr="00653977" w:rsidRDefault="00253427" w:rsidP="00EF0503">
            <w:pPr>
              <w:ind w:right="276"/>
              <w:jc w:val="right"/>
              <w:rPr>
                <w:sz w:val="22"/>
                <w:szCs w:val="22"/>
                <w:lang w:eastAsia="en-CA"/>
              </w:rPr>
            </w:pPr>
            <w:r w:rsidRPr="00653977">
              <w:rPr>
                <w:sz w:val="22"/>
                <w:szCs w:val="22"/>
                <w:lang w:eastAsia="en-CA"/>
              </w:rPr>
              <w:t>273 874</w:t>
            </w:r>
          </w:p>
        </w:tc>
      </w:tr>
      <w:tr w:rsidR="00253427" w:rsidRPr="00653977" w14:paraId="201B7B91"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91DAE" w14:textId="77777777" w:rsidR="00253427" w:rsidRPr="00653977" w:rsidRDefault="00253427" w:rsidP="00EF0503">
            <w:pPr>
              <w:rPr>
                <w:sz w:val="22"/>
                <w:szCs w:val="22"/>
                <w:lang w:eastAsia="en-CA"/>
              </w:rPr>
            </w:pPr>
            <w:r w:rsidRPr="00653977">
              <w:rPr>
                <w:sz w:val="22"/>
                <w:szCs w:val="22"/>
                <w:lang w:eastAsia="en-CA"/>
              </w:rPr>
              <w:t>Bulgaria</w:t>
            </w:r>
          </w:p>
        </w:tc>
        <w:tc>
          <w:tcPr>
            <w:tcW w:w="2288" w:type="dxa"/>
            <w:tcBorders>
              <w:top w:val="nil"/>
              <w:left w:val="nil"/>
              <w:bottom w:val="single" w:sz="4" w:space="0" w:color="auto"/>
              <w:right w:val="single" w:sz="4" w:space="0" w:color="auto"/>
            </w:tcBorders>
            <w:shd w:val="clear" w:color="auto" w:fill="auto"/>
            <w:vAlign w:val="center"/>
            <w:hideMark/>
          </w:tcPr>
          <w:p w14:paraId="6BA46CFB" w14:textId="77777777" w:rsidR="00253427" w:rsidRPr="00653977" w:rsidRDefault="00253427" w:rsidP="00EF0503">
            <w:pPr>
              <w:ind w:right="770"/>
              <w:jc w:val="right"/>
              <w:rPr>
                <w:sz w:val="22"/>
                <w:szCs w:val="22"/>
                <w:lang w:eastAsia="en-CA"/>
              </w:rPr>
            </w:pPr>
            <w:r w:rsidRPr="00653977">
              <w:rPr>
                <w:sz w:val="22"/>
                <w:szCs w:val="22"/>
                <w:lang w:eastAsia="en-CA"/>
              </w:rPr>
              <w:t>0.045</w:t>
            </w:r>
          </w:p>
        </w:tc>
        <w:tc>
          <w:tcPr>
            <w:tcW w:w="0" w:type="auto"/>
            <w:tcBorders>
              <w:top w:val="nil"/>
              <w:left w:val="nil"/>
              <w:bottom w:val="single" w:sz="4" w:space="0" w:color="auto"/>
              <w:right w:val="single" w:sz="4" w:space="0" w:color="auto"/>
            </w:tcBorders>
            <w:shd w:val="clear" w:color="auto" w:fill="auto"/>
            <w:noWrap/>
            <w:vAlign w:val="center"/>
            <w:hideMark/>
          </w:tcPr>
          <w:p w14:paraId="1DF5D20C" w14:textId="77777777" w:rsidR="00253427" w:rsidRPr="00653977" w:rsidRDefault="00253427" w:rsidP="00EF0503">
            <w:pPr>
              <w:ind w:right="1144"/>
              <w:jc w:val="right"/>
              <w:rPr>
                <w:sz w:val="22"/>
                <w:szCs w:val="22"/>
                <w:lang w:eastAsia="en-CA"/>
              </w:rPr>
            </w:pPr>
            <w:r w:rsidRPr="00653977">
              <w:rPr>
                <w:sz w:val="22"/>
                <w:szCs w:val="22"/>
                <w:lang w:eastAsia="en-CA"/>
              </w:rPr>
              <w:t>0.065</w:t>
            </w:r>
          </w:p>
        </w:tc>
        <w:tc>
          <w:tcPr>
            <w:tcW w:w="0" w:type="auto"/>
            <w:tcBorders>
              <w:top w:val="nil"/>
              <w:left w:val="nil"/>
              <w:bottom w:val="single" w:sz="4" w:space="0" w:color="auto"/>
              <w:right w:val="single" w:sz="4" w:space="0" w:color="auto"/>
            </w:tcBorders>
            <w:shd w:val="clear" w:color="auto" w:fill="auto"/>
            <w:noWrap/>
            <w:vAlign w:val="center"/>
            <w:hideMark/>
          </w:tcPr>
          <w:p w14:paraId="7A87C962" w14:textId="77777777" w:rsidR="00253427" w:rsidRPr="00653977" w:rsidRDefault="00253427" w:rsidP="00EF0503">
            <w:pPr>
              <w:ind w:right="276"/>
              <w:jc w:val="right"/>
              <w:rPr>
                <w:sz w:val="22"/>
                <w:szCs w:val="22"/>
                <w:lang w:eastAsia="en-CA"/>
              </w:rPr>
            </w:pPr>
            <w:r w:rsidRPr="00653977">
              <w:rPr>
                <w:sz w:val="22"/>
                <w:szCs w:val="22"/>
                <w:lang w:eastAsia="en-CA"/>
              </w:rPr>
              <w:t>1 565</w:t>
            </w:r>
          </w:p>
        </w:tc>
        <w:tc>
          <w:tcPr>
            <w:tcW w:w="0" w:type="auto"/>
            <w:tcBorders>
              <w:top w:val="nil"/>
              <w:left w:val="nil"/>
              <w:bottom w:val="single" w:sz="4" w:space="0" w:color="auto"/>
              <w:right w:val="single" w:sz="4" w:space="0" w:color="auto"/>
            </w:tcBorders>
            <w:shd w:val="clear" w:color="auto" w:fill="auto"/>
            <w:noWrap/>
            <w:vAlign w:val="center"/>
            <w:hideMark/>
          </w:tcPr>
          <w:p w14:paraId="4645A931" w14:textId="77777777" w:rsidR="00253427" w:rsidRPr="00653977" w:rsidRDefault="00253427" w:rsidP="00EF0503">
            <w:pPr>
              <w:ind w:right="276"/>
              <w:jc w:val="right"/>
              <w:rPr>
                <w:sz w:val="22"/>
                <w:szCs w:val="22"/>
                <w:lang w:eastAsia="en-CA"/>
              </w:rPr>
            </w:pPr>
            <w:r w:rsidRPr="00653977">
              <w:rPr>
                <w:sz w:val="22"/>
                <w:szCs w:val="22"/>
                <w:lang w:eastAsia="en-CA"/>
              </w:rPr>
              <w:t>1 659</w:t>
            </w:r>
          </w:p>
        </w:tc>
        <w:tc>
          <w:tcPr>
            <w:tcW w:w="0" w:type="auto"/>
            <w:tcBorders>
              <w:top w:val="nil"/>
              <w:left w:val="nil"/>
              <w:bottom w:val="single" w:sz="4" w:space="0" w:color="auto"/>
              <w:right w:val="single" w:sz="4" w:space="0" w:color="auto"/>
            </w:tcBorders>
            <w:shd w:val="clear" w:color="auto" w:fill="auto"/>
            <w:noWrap/>
            <w:vAlign w:val="center"/>
            <w:hideMark/>
          </w:tcPr>
          <w:p w14:paraId="7978888D" w14:textId="77777777" w:rsidR="00253427" w:rsidRPr="00653977" w:rsidRDefault="00253427" w:rsidP="00EF0503">
            <w:pPr>
              <w:ind w:right="276"/>
              <w:jc w:val="right"/>
              <w:rPr>
                <w:sz w:val="22"/>
                <w:szCs w:val="22"/>
                <w:lang w:eastAsia="en-CA"/>
              </w:rPr>
            </w:pPr>
            <w:r w:rsidRPr="00653977">
              <w:rPr>
                <w:sz w:val="22"/>
                <w:szCs w:val="22"/>
                <w:lang w:eastAsia="en-CA"/>
              </w:rPr>
              <w:t>3 224</w:t>
            </w:r>
          </w:p>
        </w:tc>
      </w:tr>
      <w:tr w:rsidR="00253427" w:rsidRPr="00653977" w14:paraId="5EF09FE1"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602458" w14:textId="77777777" w:rsidR="00253427" w:rsidRPr="00653977" w:rsidRDefault="00253427" w:rsidP="00EF0503">
            <w:pPr>
              <w:rPr>
                <w:sz w:val="22"/>
                <w:szCs w:val="22"/>
                <w:lang w:eastAsia="en-CA"/>
              </w:rPr>
            </w:pPr>
            <w:r w:rsidRPr="00653977">
              <w:rPr>
                <w:sz w:val="22"/>
                <w:szCs w:val="22"/>
                <w:lang w:eastAsia="en-CA"/>
              </w:rPr>
              <w:t>Burkina Faso</w:t>
            </w:r>
          </w:p>
        </w:tc>
        <w:tc>
          <w:tcPr>
            <w:tcW w:w="2288" w:type="dxa"/>
            <w:tcBorders>
              <w:top w:val="nil"/>
              <w:left w:val="nil"/>
              <w:bottom w:val="single" w:sz="4" w:space="0" w:color="auto"/>
              <w:right w:val="single" w:sz="4" w:space="0" w:color="auto"/>
            </w:tcBorders>
            <w:shd w:val="clear" w:color="auto" w:fill="auto"/>
            <w:vAlign w:val="center"/>
            <w:hideMark/>
          </w:tcPr>
          <w:p w14:paraId="585F266C" w14:textId="77777777" w:rsidR="00253427" w:rsidRPr="00653977" w:rsidRDefault="00253427" w:rsidP="00EF0503">
            <w:pPr>
              <w:ind w:right="770"/>
              <w:jc w:val="right"/>
              <w:rPr>
                <w:sz w:val="22"/>
                <w:szCs w:val="22"/>
                <w:lang w:eastAsia="en-CA"/>
              </w:rPr>
            </w:pPr>
            <w:r w:rsidRPr="00653977">
              <w:rPr>
                <w:sz w:val="22"/>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5551F0FF" w14:textId="77777777" w:rsidR="00253427" w:rsidRPr="00653977" w:rsidRDefault="00253427" w:rsidP="00EF0503">
            <w:pPr>
              <w:ind w:right="1144"/>
              <w:jc w:val="right"/>
              <w:rPr>
                <w:sz w:val="22"/>
                <w:szCs w:val="22"/>
                <w:lang w:eastAsia="en-CA"/>
              </w:rPr>
            </w:pPr>
            <w:r w:rsidRPr="00653977">
              <w:rPr>
                <w:sz w:val="22"/>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439758D4" w14:textId="77777777" w:rsidR="00253427" w:rsidRPr="00653977" w:rsidRDefault="00253427" w:rsidP="00EF0503">
            <w:pPr>
              <w:ind w:right="276"/>
              <w:jc w:val="right"/>
              <w:rPr>
                <w:sz w:val="22"/>
                <w:szCs w:val="22"/>
                <w:lang w:eastAsia="en-CA"/>
              </w:rPr>
            </w:pPr>
            <w:r w:rsidRPr="00653977">
              <w:rPr>
                <w:sz w:val="22"/>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20378FF7" w14:textId="77777777" w:rsidR="00253427" w:rsidRPr="00653977" w:rsidRDefault="00253427" w:rsidP="00EF0503">
            <w:pPr>
              <w:ind w:right="276"/>
              <w:jc w:val="right"/>
              <w:rPr>
                <w:sz w:val="22"/>
                <w:szCs w:val="22"/>
                <w:lang w:eastAsia="en-CA"/>
              </w:rPr>
            </w:pPr>
            <w:r w:rsidRPr="00653977">
              <w:rPr>
                <w:sz w:val="22"/>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0E9AAD22" w14:textId="77777777" w:rsidR="00253427" w:rsidRPr="00653977" w:rsidRDefault="00253427" w:rsidP="00EF0503">
            <w:pPr>
              <w:ind w:right="276"/>
              <w:jc w:val="right"/>
              <w:rPr>
                <w:sz w:val="22"/>
                <w:szCs w:val="22"/>
                <w:lang w:eastAsia="en-CA"/>
              </w:rPr>
            </w:pPr>
            <w:r w:rsidRPr="00653977">
              <w:rPr>
                <w:sz w:val="22"/>
                <w:szCs w:val="22"/>
                <w:lang w:eastAsia="en-CA"/>
              </w:rPr>
              <w:t>287</w:t>
            </w:r>
          </w:p>
        </w:tc>
      </w:tr>
      <w:tr w:rsidR="00253427" w:rsidRPr="00653977" w14:paraId="6A8089DF"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327339" w14:textId="77777777" w:rsidR="00253427" w:rsidRPr="00653977" w:rsidRDefault="00253427" w:rsidP="00EF0503">
            <w:pPr>
              <w:rPr>
                <w:sz w:val="22"/>
                <w:szCs w:val="22"/>
                <w:lang w:eastAsia="en-CA"/>
              </w:rPr>
            </w:pPr>
            <w:r w:rsidRPr="00653977">
              <w:rPr>
                <w:sz w:val="22"/>
                <w:szCs w:val="22"/>
                <w:lang w:eastAsia="en-CA"/>
              </w:rPr>
              <w:t>Burundi</w:t>
            </w:r>
          </w:p>
        </w:tc>
        <w:tc>
          <w:tcPr>
            <w:tcW w:w="2288" w:type="dxa"/>
            <w:tcBorders>
              <w:top w:val="nil"/>
              <w:left w:val="nil"/>
              <w:bottom w:val="single" w:sz="4" w:space="0" w:color="auto"/>
              <w:right w:val="single" w:sz="4" w:space="0" w:color="auto"/>
            </w:tcBorders>
            <w:shd w:val="clear" w:color="auto" w:fill="auto"/>
            <w:vAlign w:val="center"/>
            <w:hideMark/>
          </w:tcPr>
          <w:p w14:paraId="3A7B2E8B"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2B5665C"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424A56D"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CEAFD72"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E09D6C1"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7709A958"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360F18" w14:textId="77777777" w:rsidR="00253427" w:rsidRPr="00653977" w:rsidRDefault="00253427" w:rsidP="00EF0503">
            <w:pPr>
              <w:rPr>
                <w:sz w:val="22"/>
                <w:szCs w:val="22"/>
                <w:lang w:eastAsia="en-CA"/>
              </w:rPr>
            </w:pPr>
            <w:r w:rsidRPr="00653977">
              <w:rPr>
                <w:sz w:val="22"/>
                <w:szCs w:val="22"/>
                <w:lang w:eastAsia="en-CA"/>
              </w:rPr>
              <w:t>Cabo Verde</w:t>
            </w:r>
          </w:p>
        </w:tc>
        <w:tc>
          <w:tcPr>
            <w:tcW w:w="2288" w:type="dxa"/>
            <w:tcBorders>
              <w:top w:val="nil"/>
              <w:left w:val="nil"/>
              <w:bottom w:val="single" w:sz="4" w:space="0" w:color="auto"/>
              <w:right w:val="single" w:sz="4" w:space="0" w:color="auto"/>
            </w:tcBorders>
            <w:shd w:val="clear" w:color="auto" w:fill="auto"/>
            <w:vAlign w:val="center"/>
            <w:hideMark/>
          </w:tcPr>
          <w:p w14:paraId="14EDF8D1"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86F2F63"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C79AB0E"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2A3F381"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6C17746"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53B38771"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B28AFB" w14:textId="77777777" w:rsidR="00253427" w:rsidRPr="00653977" w:rsidRDefault="00253427" w:rsidP="00EF0503">
            <w:pPr>
              <w:rPr>
                <w:sz w:val="22"/>
                <w:szCs w:val="22"/>
                <w:lang w:eastAsia="en-CA"/>
              </w:rPr>
            </w:pPr>
            <w:r w:rsidRPr="00653977">
              <w:rPr>
                <w:sz w:val="22"/>
                <w:szCs w:val="22"/>
                <w:lang w:eastAsia="en-CA"/>
              </w:rPr>
              <w:t>Cambodia</w:t>
            </w:r>
          </w:p>
        </w:tc>
        <w:tc>
          <w:tcPr>
            <w:tcW w:w="2288" w:type="dxa"/>
            <w:tcBorders>
              <w:top w:val="nil"/>
              <w:left w:val="nil"/>
              <w:bottom w:val="single" w:sz="4" w:space="0" w:color="auto"/>
              <w:right w:val="single" w:sz="4" w:space="0" w:color="auto"/>
            </w:tcBorders>
            <w:shd w:val="clear" w:color="auto" w:fill="auto"/>
            <w:vAlign w:val="center"/>
            <w:hideMark/>
          </w:tcPr>
          <w:p w14:paraId="048A9C53" w14:textId="77777777" w:rsidR="00253427" w:rsidRPr="00653977" w:rsidRDefault="00253427" w:rsidP="00EF0503">
            <w:pPr>
              <w:ind w:right="770"/>
              <w:jc w:val="right"/>
              <w:rPr>
                <w:sz w:val="22"/>
                <w:szCs w:val="22"/>
                <w:lang w:eastAsia="en-CA"/>
              </w:rPr>
            </w:pPr>
            <w:r w:rsidRPr="00653977">
              <w:rPr>
                <w:sz w:val="22"/>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549BC729" w14:textId="77777777" w:rsidR="00253427" w:rsidRPr="00653977" w:rsidRDefault="00253427" w:rsidP="00EF0503">
            <w:pPr>
              <w:ind w:right="1144"/>
              <w:jc w:val="right"/>
              <w:rPr>
                <w:sz w:val="22"/>
                <w:szCs w:val="22"/>
                <w:lang w:eastAsia="en-CA"/>
              </w:rPr>
            </w:pPr>
            <w:r w:rsidRPr="00653977">
              <w:rPr>
                <w:sz w:val="22"/>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773453C5" w14:textId="77777777" w:rsidR="00253427" w:rsidRPr="00653977" w:rsidRDefault="00253427" w:rsidP="00EF0503">
            <w:pPr>
              <w:ind w:right="276"/>
              <w:jc w:val="right"/>
              <w:rPr>
                <w:sz w:val="22"/>
                <w:szCs w:val="22"/>
                <w:lang w:eastAsia="en-CA"/>
              </w:rPr>
            </w:pPr>
            <w:r w:rsidRPr="00653977">
              <w:rPr>
                <w:sz w:val="22"/>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2D7EB1A4" w14:textId="77777777" w:rsidR="00253427" w:rsidRPr="00653977" w:rsidRDefault="00253427" w:rsidP="00EF0503">
            <w:pPr>
              <w:ind w:right="276"/>
              <w:jc w:val="right"/>
              <w:rPr>
                <w:sz w:val="22"/>
                <w:szCs w:val="22"/>
                <w:lang w:eastAsia="en-CA"/>
              </w:rPr>
            </w:pPr>
            <w:r w:rsidRPr="00653977">
              <w:rPr>
                <w:sz w:val="22"/>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7071AAD4" w14:textId="77777777" w:rsidR="00253427" w:rsidRPr="00653977" w:rsidRDefault="00253427" w:rsidP="00EF0503">
            <w:pPr>
              <w:ind w:right="276"/>
              <w:jc w:val="right"/>
              <w:rPr>
                <w:sz w:val="22"/>
                <w:szCs w:val="22"/>
                <w:lang w:eastAsia="en-CA"/>
              </w:rPr>
            </w:pPr>
            <w:r w:rsidRPr="00653977">
              <w:rPr>
                <w:sz w:val="22"/>
                <w:szCs w:val="22"/>
                <w:lang w:eastAsia="en-CA"/>
              </w:rPr>
              <w:t>287</w:t>
            </w:r>
          </w:p>
        </w:tc>
      </w:tr>
      <w:tr w:rsidR="00253427" w:rsidRPr="00653977" w14:paraId="09BD1415"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5FE0C7" w14:textId="77777777" w:rsidR="00253427" w:rsidRPr="00653977" w:rsidRDefault="00253427" w:rsidP="00EF0503">
            <w:pPr>
              <w:rPr>
                <w:sz w:val="22"/>
                <w:szCs w:val="22"/>
                <w:lang w:eastAsia="en-CA"/>
              </w:rPr>
            </w:pPr>
            <w:r w:rsidRPr="00653977">
              <w:rPr>
                <w:sz w:val="22"/>
                <w:szCs w:val="22"/>
                <w:lang w:eastAsia="en-CA"/>
              </w:rPr>
              <w:lastRenderedPageBreak/>
              <w:t>Cameroon</w:t>
            </w:r>
          </w:p>
        </w:tc>
        <w:tc>
          <w:tcPr>
            <w:tcW w:w="2288" w:type="dxa"/>
            <w:tcBorders>
              <w:top w:val="nil"/>
              <w:left w:val="nil"/>
              <w:bottom w:val="single" w:sz="4" w:space="0" w:color="auto"/>
              <w:right w:val="single" w:sz="4" w:space="0" w:color="auto"/>
            </w:tcBorders>
            <w:shd w:val="clear" w:color="auto" w:fill="auto"/>
            <w:vAlign w:val="center"/>
            <w:hideMark/>
          </w:tcPr>
          <w:p w14:paraId="5E3F0D41" w14:textId="77777777" w:rsidR="00253427" w:rsidRPr="00653977" w:rsidRDefault="00253427" w:rsidP="00EF0503">
            <w:pPr>
              <w:ind w:right="770"/>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3EC6416" w14:textId="77777777" w:rsidR="00253427" w:rsidRPr="00653977" w:rsidRDefault="00253427" w:rsidP="00EF0503">
            <w:pPr>
              <w:ind w:right="1144"/>
              <w:jc w:val="right"/>
              <w:rPr>
                <w:sz w:val="22"/>
                <w:szCs w:val="22"/>
                <w:lang w:eastAsia="en-CA"/>
              </w:rPr>
            </w:pPr>
            <w:r w:rsidRPr="00653977">
              <w:rPr>
                <w:sz w:val="22"/>
                <w:szCs w:val="22"/>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0EC861EF" w14:textId="77777777" w:rsidR="00253427" w:rsidRPr="00653977" w:rsidRDefault="00253427" w:rsidP="00EF0503">
            <w:pPr>
              <w:ind w:right="276"/>
              <w:jc w:val="right"/>
              <w:rPr>
                <w:sz w:val="22"/>
                <w:szCs w:val="22"/>
                <w:lang w:eastAsia="en-CA"/>
              </w:rPr>
            </w:pPr>
            <w:r w:rsidRPr="00653977">
              <w:rPr>
                <w:sz w:val="22"/>
                <w:szCs w:val="22"/>
                <w:lang w:eastAsia="en-CA"/>
              </w:rPr>
              <w:t>348</w:t>
            </w:r>
          </w:p>
        </w:tc>
        <w:tc>
          <w:tcPr>
            <w:tcW w:w="0" w:type="auto"/>
            <w:tcBorders>
              <w:top w:val="nil"/>
              <w:left w:val="nil"/>
              <w:bottom w:val="single" w:sz="4" w:space="0" w:color="auto"/>
              <w:right w:val="single" w:sz="4" w:space="0" w:color="auto"/>
            </w:tcBorders>
            <w:shd w:val="clear" w:color="auto" w:fill="auto"/>
            <w:noWrap/>
            <w:vAlign w:val="center"/>
            <w:hideMark/>
          </w:tcPr>
          <w:p w14:paraId="3861BB4E" w14:textId="77777777" w:rsidR="00253427" w:rsidRPr="00653977" w:rsidRDefault="00253427" w:rsidP="00EF0503">
            <w:pPr>
              <w:ind w:right="276"/>
              <w:jc w:val="right"/>
              <w:rPr>
                <w:sz w:val="22"/>
                <w:szCs w:val="22"/>
                <w:lang w:eastAsia="en-CA"/>
              </w:rPr>
            </w:pPr>
            <w:r w:rsidRPr="00653977">
              <w:rPr>
                <w:sz w:val="22"/>
                <w:szCs w:val="22"/>
                <w:lang w:eastAsia="en-CA"/>
              </w:rPr>
              <w:t>369</w:t>
            </w:r>
          </w:p>
        </w:tc>
        <w:tc>
          <w:tcPr>
            <w:tcW w:w="0" w:type="auto"/>
            <w:tcBorders>
              <w:top w:val="nil"/>
              <w:left w:val="nil"/>
              <w:bottom w:val="single" w:sz="4" w:space="0" w:color="auto"/>
              <w:right w:val="single" w:sz="4" w:space="0" w:color="auto"/>
            </w:tcBorders>
            <w:shd w:val="clear" w:color="auto" w:fill="auto"/>
            <w:noWrap/>
            <w:vAlign w:val="center"/>
            <w:hideMark/>
          </w:tcPr>
          <w:p w14:paraId="185B82FE" w14:textId="77777777" w:rsidR="00253427" w:rsidRPr="00653977" w:rsidRDefault="00253427" w:rsidP="00EF0503">
            <w:pPr>
              <w:ind w:right="276"/>
              <w:jc w:val="right"/>
              <w:rPr>
                <w:sz w:val="22"/>
                <w:szCs w:val="22"/>
                <w:lang w:eastAsia="en-CA"/>
              </w:rPr>
            </w:pPr>
            <w:r w:rsidRPr="00653977">
              <w:rPr>
                <w:sz w:val="22"/>
                <w:szCs w:val="22"/>
                <w:lang w:eastAsia="en-CA"/>
              </w:rPr>
              <w:t>716</w:t>
            </w:r>
          </w:p>
        </w:tc>
      </w:tr>
      <w:tr w:rsidR="00253427" w:rsidRPr="00653977" w14:paraId="7F9CE962"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B819E2" w14:textId="77777777" w:rsidR="00253427" w:rsidRPr="00653977" w:rsidRDefault="00253427" w:rsidP="00EF0503">
            <w:pPr>
              <w:rPr>
                <w:sz w:val="22"/>
                <w:szCs w:val="22"/>
                <w:lang w:eastAsia="en-CA"/>
              </w:rPr>
            </w:pPr>
            <w:r w:rsidRPr="00653977">
              <w:rPr>
                <w:sz w:val="22"/>
                <w:szCs w:val="22"/>
                <w:lang w:eastAsia="en-CA"/>
              </w:rPr>
              <w:t>Central African Republic</w:t>
            </w:r>
          </w:p>
        </w:tc>
        <w:tc>
          <w:tcPr>
            <w:tcW w:w="2288" w:type="dxa"/>
            <w:tcBorders>
              <w:top w:val="nil"/>
              <w:left w:val="nil"/>
              <w:bottom w:val="single" w:sz="4" w:space="0" w:color="auto"/>
              <w:right w:val="single" w:sz="4" w:space="0" w:color="auto"/>
            </w:tcBorders>
            <w:shd w:val="clear" w:color="auto" w:fill="auto"/>
            <w:vAlign w:val="center"/>
            <w:hideMark/>
          </w:tcPr>
          <w:p w14:paraId="72C5CC0A"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9318CC7"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CF26C8E"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B3B819E"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24E851F5"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04D5831A"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B25C72" w14:textId="77777777" w:rsidR="00253427" w:rsidRPr="00653977" w:rsidRDefault="00253427" w:rsidP="00EF0503">
            <w:pPr>
              <w:rPr>
                <w:sz w:val="22"/>
                <w:szCs w:val="22"/>
                <w:lang w:eastAsia="en-CA"/>
              </w:rPr>
            </w:pPr>
            <w:r w:rsidRPr="00653977">
              <w:rPr>
                <w:sz w:val="22"/>
                <w:szCs w:val="22"/>
                <w:lang w:eastAsia="en-CA"/>
              </w:rPr>
              <w:t>Chad</w:t>
            </w:r>
          </w:p>
        </w:tc>
        <w:tc>
          <w:tcPr>
            <w:tcW w:w="2288" w:type="dxa"/>
            <w:tcBorders>
              <w:top w:val="nil"/>
              <w:left w:val="nil"/>
              <w:bottom w:val="single" w:sz="4" w:space="0" w:color="auto"/>
              <w:right w:val="single" w:sz="4" w:space="0" w:color="auto"/>
            </w:tcBorders>
            <w:shd w:val="clear" w:color="auto" w:fill="auto"/>
            <w:vAlign w:val="center"/>
            <w:hideMark/>
          </w:tcPr>
          <w:p w14:paraId="72916764" w14:textId="77777777" w:rsidR="00253427" w:rsidRPr="00653977" w:rsidRDefault="00253427" w:rsidP="00EF0503">
            <w:pPr>
              <w:ind w:right="770"/>
              <w:jc w:val="right"/>
              <w:rPr>
                <w:sz w:val="22"/>
                <w:szCs w:val="22"/>
                <w:lang w:eastAsia="en-CA"/>
              </w:rPr>
            </w:pPr>
            <w:r w:rsidRPr="00653977">
              <w:rPr>
                <w:sz w:val="22"/>
                <w:szCs w:val="22"/>
                <w:lang w:eastAsia="en-CA"/>
              </w:rPr>
              <w:t>0.005</w:t>
            </w:r>
          </w:p>
        </w:tc>
        <w:tc>
          <w:tcPr>
            <w:tcW w:w="0" w:type="auto"/>
            <w:tcBorders>
              <w:top w:val="nil"/>
              <w:left w:val="nil"/>
              <w:bottom w:val="single" w:sz="4" w:space="0" w:color="auto"/>
              <w:right w:val="single" w:sz="4" w:space="0" w:color="auto"/>
            </w:tcBorders>
            <w:shd w:val="clear" w:color="auto" w:fill="auto"/>
            <w:noWrap/>
            <w:vAlign w:val="center"/>
            <w:hideMark/>
          </w:tcPr>
          <w:p w14:paraId="4F384955" w14:textId="77777777" w:rsidR="00253427" w:rsidRPr="00653977" w:rsidRDefault="00253427" w:rsidP="00EF0503">
            <w:pPr>
              <w:ind w:right="1144"/>
              <w:jc w:val="right"/>
              <w:rPr>
                <w:sz w:val="22"/>
                <w:szCs w:val="22"/>
                <w:lang w:eastAsia="en-CA"/>
              </w:rPr>
            </w:pPr>
            <w:r w:rsidRPr="00653977">
              <w:rPr>
                <w:sz w:val="22"/>
                <w:szCs w:val="22"/>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3D623232" w14:textId="77777777" w:rsidR="00253427" w:rsidRPr="00653977" w:rsidRDefault="00253427" w:rsidP="00EF0503">
            <w:pPr>
              <w:ind w:right="276"/>
              <w:jc w:val="right"/>
              <w:rPr>
                <w:sz w:val="22"/>
                <w:szCs w:val="22"/>
                <w:lang w:eastAsia="en-CA"/>
              </w:rPr>
            </w:pPr>
            <w:r w:rsidRPr="00653977">
              <w:rPr>
                <w:sz w:val="22"/>
                <w:szCs w:val="22"/>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7B2C8CB7" w14:textId="77777777" w:rsidR="00253427" w:rsidRPr="00653977" w:rsidRDefault="00253427" w:rsidP="00EF0503">
            <w:pPr>
              <w:ind w:right="276"/>
              <w:jc w:val="right"/>
              <w:rPr>
                <w:sz w:val="22"/>
                <w:szCs w:val="22"/>
                <w:lang w:eastAsia="en-CA"/>
              </w:rPr>
            </w:pPr>
            <w:r w:rsidRPr="00653977">
              <w:rPr>
                <w:sz w:val="22"/>
                <w:szCs w:val="22"/>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771F3F8A" w14:textId="77777777" w:rsidR="00253427" w:rsidRPr="00653977" w:rsidRDefault="00253427" w:rsidP="00EF0503">
            <w:pPr>
              <w:ind w:right="276"/>
              <w:jc w:val="right"/>
              <w:rPr>
                <w:sz w:val="22"/>
                <w:szCs w:val="22"/>
                <w:lang w:eastAsia="en-CA"/>
              </w:rPr>
            </w:pPr>
            <w:r w:rsidRPr="00653977">
              <w:rPr>
                <w:sz w:val="22"/>
                <w:szCs w:val="22"/>
                <w:lang w:eastAsia="en-CA"/>
              </w:rPr>
              <w:t>358</w:t>
            </w:r>
          </w:p>
        </w:tc>
      </w:tr>
      <w:tr w:rsidR="00253427" w:rsidRPr="00653977" w14:paraId="5DC3EC18"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133A90" w14:textId="77777777" w:rsidR="00253427" w:rsidRPr="00653977" w:rsidRDefault="00253427" w:rsidP="00EF0503">
            <w:pPr>
              <w:rPr>
                <w:sz w:val="22"/>
                <w:szCs w:val="22"/>
                <w:lang w:eastAsia="en-CA"/>
              </w:rPr>
            </w:pPr>
            <w:r w:rsidRPr="00653977">
              <w:rPr>
                <w:sz w:val="22"/>
                <w:szCs w:val="22"/>
                <w:lang w:eastAsia="en-CA"/>
              </w:rPr>
              <w:t>China</w:t>
            </w:r>
          </w:p>
        </w:tc>
        <w:tc>
          <w:tcPr>
            <w:tcW w:w="2288" w:type="dxa"/>
            <w:tcBorders>
              <w:top w:val="nil"/>
              <w:left w:val="nil"/>
              <w:bottom w:val="single" w:sz="4" w:space="0" w:color="auto"/>
              <w:right w:val="single" w:sz="4" w:space="0" w:color="auto"/>
            </w:tcBorders>
            <w:shd w:val="clear" w:color="auto" w:fill="auto"/>
            <w:vAlign w:val="center"/>
            <w:hideMark/>
          </w:tcPr>
          <w:p w14:paraId="12BA700C" w14:textId="77777777" w:rsidR="00253427" w:rsidRPr="00653977" w:rsidRDefault="00253427" w:rsidP="00EF0503">
            <w:pPr>
              <w:ind w:right="770"/>
              <w:jc w:val="right"/>
              <w:rPr>
                <w:sz w:val="22"/>
                <w:szCs w:val="22"/>
                <w:lang w:eastAsia="en-CA"/>
              </w:rPr>
            </w:pPr>
            <w:r w:rsidRPr="00653977">
              <w:rPr>
                <w:sz w:val="22"/>
                <w:szCs w:val="22"/>
                <w:lang w:eastAsia="en-CA"/>
              </w:rPr>
              <w:t>7.921</w:t>
            </w:r>
          </w:p>
        </w:tc>
        <w:tc>
          <w:tcPr>
            <w:tcW w:w="0" w:type="auto"/>
            <w:tcBorders>
              <w:top w:val="nil"/>
              <w:left w:val="nil"/>
              <w:bottom w:val="single" w:sz="4" w:space="0" w:color="auto"/>
              <w:right w:val="single" w:sz="4" w:space="0" w:color="auto"/>
            </w:tcBorders>
            <w:shd w:val="clear" w:color="auto" w:fill="auto"/>
            <w:noWrap/>
            <w:vAlign w:val="center"/>
            <w:hideMark/>
          </w:tcPr>
          <w:p w14:paraId="156925A6" w14:textId="77777777" w:rsidR="00253427" w:rsidRPr="00653977" w:rsidRDefault="00253427" w:rsidP="00EF0503">
            <w:pPr>
              <w:ind w:right="1144"/>
              <w:jc w:val="right"/>
              <w:rPr>
                <w:sz w:val="22"/>
                <w:szCs w:val="22"/>
                <w:lang w:eastAsia="en-CA"/>
              </w:rPr>
            </w:pPr>
            <w:r w:rsidRPr="00653977">
              <w:rPr>
                <w:sz w:val="22"/>
                <w:szCs w:val="22"/>
                <w:lang w:eastAsia="en-CA"/>
              </w:rPr>
              <w:t>11.469</w:t>
            </w:r>
          </w:p>
        </w:tc>
        <w:tc>
          <w:tcPr>
            <w:tcW w:w="0" w:type="auto"/>
            <w:tcBorders>
              <w:top w:val="nil"/>
              <w:left w:val="nil"/>
              <w:bottom w:val="single" w:sz="4" w:space="0" w:color="auto"/>
              <w:right w:val="single" w:sz="4" w:space="0" w:color="auto"/>
            </w:tcBorders>
            <w:shd w:val="clear" w:color="auto" w:fill="auto"/>
            <w:noWrap/>
            <w:vAlign w:val="center"/>
            <w:hideMark/>
          </w:tcPr>
          <w:p w14:paraId="7DD60800" w14:textId="77777777" w:rsidR="00253427" w:rsidRPr="00653977" w:rsidRDefault="00253427" w:rsidP="00EF0503">
            <w:pPr>
              <w:ind w:right="276"/>
              <w:jc w:val="right"/>
              <w:rPr>
                <w:sz w:val="22"/>
                <w:szCs w:val="22"/>
                <w:lang w:eastAsia="en-CA"/>
              </w:rPr>
            </w:pPr>
            <w:r w:rsidRPr="00653977">
              <w:rPr>
                <w:sz w:val="22"/>
                <w:szCs w:val="22"/>
                <w:lang w:eastAsia="en-CA"/>
              </w:rPr>
              <w:t>275 406</w:t>
            </w:r>
          </w:p>
        </w:tc>
        <w:tc>
          <w:tcPr>
            <w:tcW w:w="0" w:type="auto"/>
            <w:tcBorders>
              <w:top w:val="nil"/>
              <w:left w:val="nil"/>
              <w:bottom w:val="single" w:sz="4" w:space="0" w:color="auto"/>
              <w:right w:val="single" w:sz="4" w:space="0" w:color="auto"/>
            </w:tcBorders>
            <w:shd w:val="clear" w:color="auto" w:fill="auto"/>
            <w:noWrap/>
            <w:vAlign w:val="center"/>
            <w:hideMark/>
          </w:tcPr>
          <w:p w14:paraId="16FDD8C5" w14:textId="77777777" w:rsidR="00253427" w:rsidRPr="00653977" w:rsidRDefault="00253427" w:rsidP="00EF0503">
            <w:pPr>
              <w:ind w:right="276"/>
              <w:jc w:val="right"/>
              <w:rPr>
                <w:sz w:val="22"/>
                <w:szCs w:val="22"/>
                <w:lang w:eastAsia="en-CA"/>
              </w:rPr>
            </w:pPr>
            <w:r w:rsidRPr="00653977">
              <w:rPr>
                <w:sz w:val="22"/>
                <w:szCs w:val="22"/>
                <w:lang w:eastAsia="en-CA"/>
              </w:rPr>
              <w:t>292 042</w:t>
            </w:r>
          </w:p>
        </w:tc>
        <w:tc>
          <w:tcPr>
            <w:tcW w:w="0" w:type="auto"/>
            <w:tcBorders>
              <w:top w:val="nil"/>
              <w:left w:val="nil"/>
              <w:bottom w:val="single" w:sz="4" w:space="0" w:color="auto"/>
              <w:right w:val="single" w:sz="4" w:space="0" w:color="auto"/>
            </w:tcBorders>
            <w:shd w:val="clear" w:color="auto" w:fill="auto"/>
            <w:noWrap/>
            <w:vAlign w:val="center"/>
            <w:hideMark/>
          </w:tcPr>
          <w:p w14:paraId="2371BF48" w14:textId="77777777" w:rsidR="00253427" w:rsidRPr="00653977" w:rsidRDefault="00253427" w:rsidP="00EF0503">
            <w:pPr>
              <w:ind w:right="276"/>
              <w:jc w:val="right"/>
              <w:rPr>
                <w:sz w:val="22"/>
                <w:szCs w:val="22"/>
                <w:lang w:eastAsia="en-CA"/>
              </w:rPr>
            </w:pPr>
            <w:r w:rsidRPr="00653977">
              <w:rPr>
                <w:sz w:val="22"/>
                <w:szCs w:val="22"/>
                <w:lang w:eastAsia="en-CA"/>
              </w:rPr>
              <w:t>567 448</w:t>
            </w:r>
          </w:p>
        </w:tc>
      </w:tr>
      <w:tr w:rsidR="00253427" w:rsidRPr="00653977" w14:paraId="1CB1F1EF"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4544BD" w14:textId="77777777" w:rsidR="00253427" w:rsidRPr="00653977" w:rsidRDefault="00253427" w:rsidP="00EF0503">
            <w:pPr>
              <w:rPr>
                <w:sz w:val="22"/>
                <w:szCs w:val="22"/>
                <w:lang w:eastAsia="en-CA"/>
              </w:rPr>
            </w:pPr>
            <w:r w:rsidRPr="00653977">
              <w:rPr>
                <w:sz w:val="22"/>
                <w:szCs w:val="22"/>
                <w:lang w:eastAsia="en-CA"/>
              </w:rPr>
              <w:t>Colombia</w:t>
            </w:r>
          </w:p>
        </w:tc>
        <w:tc>
          <w:tcPr>
            <w:tcW w:w="2288" w:type="dxa"/>
            <w:tcBorders>
              <w:top w:val="nil"/>
              <w:left w:val="nil"/>
              <w:bottom w:val="single" w:sz="4" w:space="0" w:color="auto"/>
              <w:right w:val="single" w:sz="4" w:space="0" w:color="auto"/>
            </w:tcBorders>
            <w:shd w:val="clear" w:color="auto" w:fill="auto"/>
            <w:vAlign w:val="center"/>
            <w:hideMark/>
          </w:tcPr>
          <w:p w14:paraId="3C6ACF57" w14:textId="77777777" w:rsidR="00253427" w:rsidRPr="00653977" w:rsidRDefault="00253427" w:rsidP="00EF0503">
            <w:pPr>
              <w:ind w:right="770"/>
              <w:jc w:val="right"/>
              <w:rPr>
                <w:sz w:val="22"/>
                <w:szCs w:val="22"/>
                <w:lang w:eastAsia="en-CA"/>
              </w:rPr>
            </w:pPr>
            <w:r w:rsidRPr="00653977">
              <w:rPr>
                <w:sz w:val="22"/>
                <w:szCs w:val="22"/>
                <w:lang w:eastAsia="en-CA"/>
              </w:rPr>
              <w:t>0.322</w:t>
            </w:r>
          </w:p>
        </w:tc>
        <w:tc>
          <w:tcPr>
            <w:tcW w:w="0" w:type="auto"/>
            <w:tcBorders>
              <w:top w:val="nil"/>
              <w:left w:val="nil"/>
              <w:bottom w:val="single" w:sz="4" w:space="0" w:color="auto"/>
              <w:right w:val="single" w:sz="4" w:space="0" w:color="auto"/>
            </w:tcBorders>
            <w:shd w:val="clear" w:color="auto" w:fill="auto"/>
            <w:noWrap/>
            <w:vAlign w:val="center"/>
            <w:hideMark/>
          </w:tcPr>
          <w:p w14:paraId="68A11DC9" w14:textId="77777777" w:rsidR="00253427" w:rsidRPr="00653977" w:rsidRDefault="00253427" w:rsidP="00EF0503">
            <w:pPr>
              <w:ind w:right="1144"/>
              <w:jc w:val="right"/>
              <w:rPr>
                <w:sz w:val="22"/>
                <w:szCs w:val="22"/>
                <w:lang w:eastAsia="en-CA"/>
              </w:rPr>
            </w:pPr>
            <w:r w:rsidRPr="00653977">
              <w:rPr>
                <w:sz w:val="22"/>
                <w:szCs w:val="22"/>
                <w:lang w:eastAsia="en-CA"/>
              </w:rPr>
              <w:t>0.466</w:t>
            </w:r>
          </w:p>
        </w:tc>
        <w:tc>
          <w:tcPr>
            <w:tcW w:w="0" w:type="auto"/>
            <w:tcBorders>
              <w:top w:val="nil"/>
              <w:left w:val="nil"/>
              <w:bottom w:val="single" w:sz="4" w:space="0" w:color="auto"/>
              <w:right w:val="single" w:sz="4" w:space="0" w:color="auto"/>
            </w:tcBorders>
            <w:shd w:val="clear" w:color="auto" w:fill="auto"/>
            <w:noWrap/>
            <w:vAlign w:val="center"/>
            <w:hideMark/>
          </w:tcPr>
          <w:p w14:paraId="0800986A" w14:textId="77777777" w:rsidR="00253427" w:rsidRPr="00653977" w:rsidRDefault="00253427" w:rsidP="00EF0503">
            <w:pPr>
              <w:ind w:right="276"/>
              <w:jc w:val="right"/>
              <w:rPr>
                <w:sz w:val="22"/>
                <w:szCs w:val="22"/>
                <w:lang w:eastAsia="en-CA"/>
              </w:rPr>
            </w:pPr>
            <w:r w:rsidRPr="00653977">
              <w:rPr>
                <w:sz w:val="22"/>
                <w:szCs w:val="22"/>
                <w:lang w:eastAsia="en-CA"/>
              </w:rPr>
              <w:t>11 196</w:t>
            </w:r>
          </w:p>
        </w:tc>
        <w:tc>
          <w:tcPr>
            <w:tcW w:w="0" w:type="auto"/>
            <w:tcBorders>
              <w:top w:val="nil"/>
              <w:left w:val="nil"/>
              <w:bottom w:val="single" w:sz="4" w:space="0" w:color="auto"/>
              <w:right w:val="single" w:sz="4" w:space="0" w:color="auto"/>
            </w:tcBorders>
            <w:shd w:val="clear" w:color="auto" w:fill="auto"/>
            <w:noWrap/>
            <w:vAlign w:val="center"/>
            <w:hideMark/>
          </w:tcPr>
          <w:p w14:paraId="19E3DFAB" w14:textId="77777777" w:rsidR="00253427" w:rsidRPr="00653977" w:rsidRDefault="00253427" w:rsidP="00EF0503">
            <w:pPr>
              <w:ind w:right="276"/>
              <w:jc w:val="right"/>
              <w:rPr>
                <w:sz w:val="22"/>
                <w:szCs w:val="22"/>
                <w:lang w:eastAsia="en-CA"/>
              </w:rPr>
            </w:pPr>
            <w:r w:rsidRPr="00653977">
              <w:rPr>
                <w:sz w:val="22"/>
                <w:szCs w:val="22"/>
                <w:lang w:eastAsia="en-CA"/>
              </w:rPr>
              <w:t>11 872</w:t>
            </w:r>
          </w:p>
        </w:tc>
        <w:tc>
          <w:tcPr>
            <w:tcW w:w="0" w:type="auto"/>
            <w:tcBorders>
              <w:top w:val="nil"/>
              <w:left w:val="nil"/>
              <w:bottom w:val="single" w:sz="4" w:space="0" w:color="auto"/>
              <w:right w:val="single" w:sz="4" w:space="0" w:color="auto"/>
            </w:tcBorders>
            <w:shd w:val="clear" w:color="auto" w:fill="auto"/>
            <w:noWrap/>
            <w:vAlign w:val="center"/>
            <w:hideMark/>
          </w:tcPr>
          <w:p w14:paraId="56086FB2" w14:textId="77777777" w:rsidR="00253427" w:rsidRPr="00653977" w:rsidRDefault="00253427" w:rsidP="00EF0503">
            <w:pPr>
              <w:ind w:right="276"/>
              <w:jc w:val="right"/>
              <w:rPr>
                <w:sz w:val="22"/>
                <w:szCs w:val="22"/>
                <w:lang w:eastAsia="en-CA"/>
              </w:rPr>
            </w:pPr>
            <w:r w:rsidRPr="00653977">
              <w:rPr>
                <w:sz w:val="22"/>
                <w:szCs w:val="22"/>
                <w:lang w:eastAsia="en-CA"/>
              </w:rPr>
              <w:t>23 068</w:t>
            </w:r>
          </w:p>
        </w:tc>
      </w:tr>
      <w:tr w:rsidR="00253427" w:rsidRPr="00653977" w14:paraId="1CBCE04B"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9B115F" w14:textId="77777777" w:rsidR="00253427" w:rsidRPr="00653977" w:rsidRDefault="00253427" w:rsidP="00EF0503">
            <w:pPr>
              <w:rPr>
                <w:sz w:val="22"/>
                <w:szCs w:val="22"/>
                <w:lang w:eastAsia="en-CA"/>
              </w:rPr>
            </w:pPr>
            <w:r w:rsidRPr="00653977">
              <w:rPr>
                <w:sz w:val="22"/>
                <w:szCs w:val="22"/>
                <w:lang w:eastAsia="en-CA"/>
              </w:rPr>
              <w:t>Comoros</w:t>
            </w:r>
          </w:p>
        </w:tc>
        <w:tc>
          <w:tcPr>
            <w:tcW w:w="2288" w:type="dxa"/>
            <w:tcBorders>
              <w:top w:val="nil"/>
              <w:left w:val="nil"/>
              <w:bottom w:val="single" w:sz="4" w:space="0" w:color="auto"/>
              <w:right w:val="single" w:sz="4" w:space="0" w:color="auto"/>
            </w:tcBorders>
            <w:shd w:val="clear" w:color="auto" w:fill="auto"/>
            <w:vAlign w:val="center"/>
            <w:hideMark/>
          </w:tcPr>
          <w:p w14:paraId="64F66883"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C14654C"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57EEA2E"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40EAAAD2"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5A81867"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38E36FBB"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F54B8E" w14:textId="77777777" w:rsidR="00253427" w:rsidRPr="00653977" w:rsidRDefault="00253427" w:rsidP="00EF0503">
            <w:pPr>
              <w:rPr>
                <w:sz w:val="22"/>
                <w:szCs w:val="22"/>
                <w:lang w:eastAsia="en-CA"/>
              </w:rPr>
            </w:pPr>
            <w:r w:rsidRPr="00653977">
              <w:rPr>
                <w:sz w:val="22"/>
                <w:szCs w:val="22"/>
                <w:lang w:eastAsia="en-CA"/>
              </w:rPr>
              <w:t>Congo</w:t>
            </w:r>
          </w:p>
        </w:tc>
        <w:tc>
          <w:tcPr>
            <w:tcW w:w="2288" w:type="dxa"/>
            <w:tcBorders>
              <w:top w:val="nil"/>
              <w:left w:val="nil"/>
              <w:bottom w:val="single" w:sz="4" w:space="0" w:color="auto"/>
              <w:right w:val="single" w:sz="4" w:space="0" w:color="auto"/>
            </w:tcBorders>
            <w:shd w:val="clear" w:color="auto" w:fill="auto"/>
            <w:vAlign w:val="center"/>
            <w:hideMark/>
          </w:tcPr>
          <w:p w14:paraId="216043CE" w14:textId="77777777" w:rsidR="00253427" w:rsidRPr="00653977" w:rsidRDefault="00253427" w:rsidP="00EF0503">
            <w:pPr>
              <w:ind w:right="770"/>
              <w:jc w:val="right"/>
              <w:rPr>
                <w:sz w:val="22"/>
                <w:szCs w:val="22"/>
                <w:lang w:eastAsia="en-CA"/>
              </w:rPr>
            </w:pPr>
            <w:r w:rsidRPr="00653977">
              <w:rPr>
                <w:sz w:val="22"/>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0515F8AD" w14:textId="77777777" w:rsidR="00253427" w:rsidRPr="00653977" w:rsidRDefault="00253427" w:rsidP="00EF0503">
            <w:pPr>
              <w:ind w:right="1144"/>
              <w:jc w:val="right"/>
              <w:rPr>
                <w:sz w:val="22"/>
                <w:szCs w:val="22"/>
                <w:lang w:eastAsia="en-CA"/>
              </w:rPr>
            </w:pPr>
            <w:r w:rsidRPr="00653977">
              <w:rPr>
                <w:sz w:val="22"/>
                <w:szCs w:val="22"/>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36F1B939" w14:textId="77777777" w:rsidR="00253427" w:rsidRPr="00653977" w:rsidRDefault="00253427" w:rsidP="00EF0503">
            <w:pPr>
              <w:ind w:right="276"/>
              <w:jc w:val="right"/>
              <w:rPr>
                <w:sz w:val="22"/>
                <w:szCs w:val="22"/>
                <w:lang w:eastAsia="en-CA"/>
              </w:rPr>
            </w:pPr>
            <w:r w:rsidRPr="00653977">
              <w:rPr>
                <w:sz w:val="22"/>
                <w:szCs w:val="22"/>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725B9845" w14:textId="77777777" w:rsidR="00253427" w:rsidRPr="00653977" w:rsidRDefault="00253427" w:rsidP="00EF0503">
            <w:pPr>
              <w:ind w:right="276"/>
              <w:jc w:val="right"/>
              <w:rPr>
                <w:sz w:val="22"/>
                <w:szCs w:val="22"/>
                <w:lang w:eastAsia="en-CA"/>
              </w:rPr>
            </w:pPr>
            <w:r w:rsidRPr="00653977">
              <w:rPr>
                <w:sz w:val="22"/>
                <w:szCs w:val="22"/>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3EED83BB" w14:textId="77777777" w:rsidR="00253427" w:rsidRPr="00653977" w:rsidRDefault="00253427" w:rsidP="00EF0503">
            <w:pPr>
              <w:ind w:right="276"/>
              <w:jc w:val="right"/>
              <w:rPr>
                <w:sz w:val="22"/>
                <w:szCs w:val="22"/>
                <w:lang w:eastAsia="en-CA"/>
              </w:rPr>
            </w:pPr>
            <w:r w:rsidRPr="00653977">
              <w:rPr>
                <w:sz w:val="22"/>
                <w:szCs w:val="22"/>
                <w:lang w:eastAsia="en-CA"/>
              </w:rPr>
              <w:t>430</w:t>
            </w:r>
          </w:p>
        </w:tc>
      </w:tr>
      <w:tr w:rsidR="00253427" w:rsidRPr="00653977" w14:paraId="461CE719"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4227C3" w14:textId="77777777" w:rsidR="00253427" w:rsidRPr="00653977" w:rsidRDefault="00253427" w:rsidP="00EF0503">
            <w:pPr>
              <w:rPr>
                <w:sz w:val="22"/>
                <w:szCs w:val="22"/>
                <w:lang w:eastAsia="en-CA"/>
              </w:rPr>
            </w:pPr>
            <w:r w:rsidRPr="00653977">
              <w:rPr>
                <w:sz w:val="22"/>
                <w:szCs w:val="22"/>
                <w:lang w:eastAsia="en-CA"/>
              </w:rPr>
              <w:t>Costa Rica</w:t>
            </w:r>
          </w:p>
        </w:tc>
        <w:tc>
          <w:tcPr>
            <w:tcW w:w="2288" w:type="dxa"/>
            <w:tcBorders>
              <w:top w:val="nil"/>
              <w:left w:val="nil"/>
              <w:bottom w:val="single" w:sz="4" w:space="0" w:color="auto"/>
              <w:right w:val="single" w:sz="4" w:space="0" w:color="auto"/>
            </w:tcBorders>
            <w:shd w:val="clear" w:color="auto" w:fill="auto"/>
            <w:vAlign w:val="center"/>
            <w:hideMark/>
          </w:tcPr>
          <w:p w14:paraId="6CFC1A9C" w14:textId="77777777" w:rsidR="00253427" w:rsidRPr="00653977" w:rsidRDefault="00253427" w:rsidP="00EF0503">
            <w:pPr>
              <w:ind w:right="770"/>
              <w:jc w:val="right"/>
              <w:rPr>
                <w:sz w:val="22"/>
                <w:szCs w:val="22"/>
                <w:lang w:eastAsia="en-CA"/>
              </w:rPr>
            </w:pPr>
            <w:r w:rsidRPr="00653977">
              <w:rPr>
                <w:sz w:val="22"/>
                <w:szCs w:val="22"/>
                <w:lang w:eastAsia="en-CA"/>
              </w:rPr>
              <w:t>0.047</w:t>
            </w:r>
          </w:p>
        </w:tc>
        <w:tc>
          <w:tcPr>
            <w:tcW w:w="0" w:type="auto"/>
            <w:tcBorders>
              <w:top w:val="nil"/>
              <w:left w:val="nil"/>
              <w:bottom w:val="single" w:sz="4" w:space="0" w:color="auto"/>
              <w:right w:val="single" w:sz="4" w:space="0" w:color="auto"/>
            </w:tcBorders>
            <w:shd w:val="clear" w:color="auto" w:fill="auto"/>
            <w:noWrap/>
            <w:vAlign w:val="center"/>
            <w:hideMark/>
          </w:tcPr>
          <w:p w14:paraId="1E95CA69" w14:textId="77777777" w:rsidR="00253427" w:rsidRPr="00653977" w:rsidRDefault="00253427" w:rsidP="00EF0503">
            <w:pPr>
              <w:ind w:right="1144"/>
              <w:jc w:val="right"/>
              <w:rPr>
                <w:sz w:val="22"/>
                <w:szCs w:val="22"/>
                <w:lang w:eastAsia="en-CA"/>
              </w:rPr>
            </w:pPr>
            <w:r w:rsidRPr="00653977">
              <w:rPr>
                <w:sz w:val="22"/>
                <w:szCs w:val="22"/>
                <w:lang w:eastAsia="en-CA"/>
              </w:rPr>
              <w:t>0.068</w:t>
            </w:r>
          </w:p>
        </w:tc>
        <w:tc>
          <w:tcPr>
            <w:tcW w:w="0" w:type="auto"/>
            <w:tcBorders>
              <w:top w:val="nil"/>
              <w:left w:val="nil"/>
              <w:bottom w:val="single" w:sz="4" w:space="0" w:color="auto"/>
              <w:right w:val="single" w:sz="4" w:space="0" w:color="auto"/>
            </w:tcBorders>
            <w:shd w:val="clear" w:color="auto" w:fill="auto"/>
            <w:noWrap/>
            <w:vAlign w:val="center"/>
            <w:hideMark/>
          </w:tcPr>
          <w:p w14:paraId="7382DBCF" w14:textId="77777777" w:rsidR="00253427" w:rsidRPr="00653977" w:rsidRDefault="00253427" w:rsidP="00EF0503">
            <w:pPr>
              <w:ind w:right="276"/>
              <w:jc w:val="right"/>
              <w:rPr>
                <w:sz w:val="22"/>
                <w:szCs w:val="22"/>
                <w:lang w:eastAsia="en-CA"/>
              </w:rPr>
            </w:pPr>
            <w:r w:rsidRPr="00653977">
              <w:rPr>
                <w:sz w:val="22"/>
                <w:szCs w:val="22"/>
                <w:lang w:eastAsia="en-CA"/>
              </w:rPr>
              <w:t>1 634</w:t>
            </w:r>
          </w:p>
        </w:tc>
        <w:tc>
          <w:tcPr>
            <w:tcW w:w="0" w:type="auto"/>
            <w:tcBorders>
              <w:top w:val="nil"/>
              <w:left w:val="nil"/>
              <w:bottom w:val="single" w:sz="4" w:space="0" w:color="auto"/>
              <w:right w:val="single" w:sz="4" w:space="0" w:color="auto"/>
            </w:tcBorders>
            <w:shd w:val="clear" w:color="auto" w:fill="auto"/>
            <w:noWrap/>
            <w:vAlign w:val="center"/>
            <w:hideMark/>
          </w:tcPr>
          <w:p w14:paraId="7E3780D7" w14:textId="77777777" w:rsidR="00253427" w:rsidRPr="00653977" w:rsidRDefault="00253427" w:rsidP="00EF0503">
            <w:pPr>
              <w:ind w:right="276"/>
              <w:jc w:val="right"/>
              <w:rPr>
                <w:sz w:val="22"/>
                <w:szCs w:val="22"/>
                <w:lang w:eastAsia="en-CA"/>
              </w:rPr>
            </w:pPr>
            <w:r w:rsidRPr="00653977">
              <w:rPr>
                <w:sz w:val="22"/>
                <w:szCs w:val="22"/>
                <w:lang w:eastAsia="en-CA"/>
              </w:rPr>
              <w:t>1 733</w:t>
            </w:r>
          </w:p>
        </w:tc>
        <w:tc>
          <w:tcPr>
            <w:tcW w:w="0" w:type="auto"/>
            <w:tcBorders>
              <w:top w:val="nil"/>
              <w:left w:val="nil"/>
              <w:bottom w:val="single" w:sz="4" w:space="0" w:color="auto"/>
              <w:right w:val="single" w:sz="4" w:space="0" w:color="auto"/>
            </w:tcBorders>
            <w:shd w:val="clear" w:color="auto" w:fill="auto"/>
            <w:noWrap/>
            <w:vAlign w:val="center"/>
            <w:hideMark/>
          </w:tcPr>
          <w:p w14:paraId="3256C6FF" w14:textId="77777777" w:rsidR="00253427" w:rsidRPr="00653977" w:rsidRDefault="00253427" w:rsidP="00EF0503">
            <w:pPr>
              <w:ind w:right="276"/>
              <w:jc w:val="right"/>
              <w:rPr>
                <w:sz w:val="22"/>
                <w:szCs w:val="22"/>
                <w:lang w:eastAsia="en-CA"/>
              </w:rPr>
            </w:pPr>
            <w:r w:rsidRPr="00653977">
              <w:rPr>
                <w:sz w:val="22"/>
                <w:szCs w:val="22"/>
                <w:lang w:eastAsia="en-CA"/>
              </w:rPr>
              <w:t>3 367</w:t>
            </w:r>
          </w:p>
        </w:tc>
      </w:tr>
      <w:tr w:rsidR="00253427" w:rsidRPr="00653977" w14:paraId="58C3B325"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DA8857" w14:textId="77777777" w:rsidR="00253427" w:rsidRPr="00653977" w:rsidRDefault="00253427" w:rsidP="00EF0503">
            <w:pPr>
              <w:rPr>
                <w:sz w:val="22"/>
                <w:szCs w:val="22"/>
                <w:lang w:eastAsia="en-CA"/>
              </w:rPr>
            </w:pPr>
            <w:r w:rsidRPr="00653977">
              <w:rPr>
                <w:sz w:val="22"/>
                <w:szCs w:val="22"/>
                <w:lang w:eastAsia="en-CA"/>
              </w:rPr>
              <w:t>Cote d’Ivoire</w:t>
            </w:r>
          </w:p>
        </w:tc>
        <w:tc>
          <w:tcPr>
            <w:tcW w:w="2288" w:type="dxa"/>
            <w:tcBorders>
              <w:top w:val="nil"/>
              <w:left w:val="nil"/>
              <w:bottom w:val="single" w:sz="4" w:space="0" w:color="auto"/>
              <w:right w:val="single" w:sz="4" w:space="0" w:color="auto"/>
            </w:tcBorders>
            <w:shd w:val="clear" w:color="auto" w:fill="auto"/>
            <w:vAlign w:val="center"/>
            <w:hideMark/>
          </w:tcPr>
          <w:p w14:paraId="23AD5EC7" w14:textId="77777777" w:rsidR="00253427" w:rsidRPr="00653977" w:rsidRDefault="00253427" w:rsidP="00EF0503">
            <w:pPr>
              <w:ind w:right="770"/>
              <w:jc w:val="right"/>
              <w:rPr>
                <w:sz w:val="22"/>
                <w:szCs w:val="22"/>
                <w:lang w:eastAsia="en-CA"/>
              </w:rPr>
            </w:pPr>
            <w:r w:rsidRPr="00653977">
              <w:rPr>
                <w:sz w:val="22"/>
                <w:szCs w:val="22"/>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4D19C4B8" w14:textId="77777777" w:rsidR="00253427" w:rsidRPr="00653977" w:rsidRDefault="00253427" w:rsidP="00EF0503">
            <w:pPr>
              <w:ind w:right="1144"/>
              <w:jc w:val="right"/>
              <w:rPr>
                <w:sz w:val="22"/>
                <w:szCs w:val="22"/>
                <w:lang w:eastAsia="en-CA"/>
              </w:rPr>
            </w:pPr>
            <w:r w:rsidRPr="00653977">
              <w:rPr>
                <w:sz w:val="22"/>
                <w:szCs w:val="22"/>
                <w:lang w:eastAsia="en-CA"/>
              </w:rPr>
              <w:t>0.013</w:t>
            </w:r>
          </w:p>
        </w:tc>
        <w:tc>
          <w:tcPr>
            <w:tcW w:w="0" w:type="auto"/>
            <w:tcBorders>
              <w:top w:val="nil"/>
              <w:left w:val="nil"/>
              <w:bottom w:val="single" w:sz="4" w:space="0" w:color="auto"/>
              <w:right w:val="single" w:sz="4" w:space="0" w:color="auto"/>
            </w:tcBorders>
            <w:shd w:val="clear" w:color="auto" w:fill="auto"/>
            <w:noWrap/>
            <w:vAlign w:val="center"/>
            <w:hideMark/>
          </w:tcPr>
          <w:p w14:paraId="709CAB2C" w14:textId="77777777" w:rsidR="00253427" w:rsidRPr="00653977" w:rsidRDefault="00253427" w:rsidP="00EF0503">
            <w:pPr>
              <w:ind w:right="276"/>
              <w:jc w:val="right"/>
              <w:rPr>
                <w:sz w:val="22"/>
                <w:szCs w:val="22"/>
                <w:lang w:eastAsia="en-CA"/>
              </w:rPr>
            </w:pPr>
            <w:r w:rsidRPr="00653977">
              <w:rPr>
                <w:sz w:val="22"/>
                <w:szCs w:val="22"/>
                <w:lang w:eastAsia="en-CA"/>
              </w:rPr>
              <w:t>313</w:t>
            </w:r>
          </w:p>
        </w:tc>
        <w:tc>
          <w:tcPr>
            <w:tcW w:w="0" w:type="auto"/>
            <w:tcBorders>
              <w:top w:val="nil"/>
              <w:left w:val="nil"/>
              <w:bottom w:val="single" w:sz="4" w:space="0" w:color="auto"/>
              <w:right w:val="single" w:sz="4" w:space="0" w:color="auto"/>
            </w:tcBorders>
            <w:shd w:val="clear" w:color="auto" w:fill="auto"/>
            <w:noWrap/>
            <w:vAlign w:val="center"/>
            <w:hideMark/>
          </w:tcPr>
          <w:p w14:paraId="455F9924" w14:textId="77777777" w:rsidR="00253427" w:rsidRPr="00653977" w:rsidRDefault="00253427" w:rsidP="00EF0503">
            <w:pPr>
              <w:ind w:right="276"/>
              <w:jc w:val="right"/>
              <w:rPr>
                <w:sz w:val="22"/>
                <w:szCs w:val="22"/>
                <w:lang w:eastAsia="en-CA"/>
              </w:rPr>
            </w:pPr>
            <w:r w:rsidRPr="00653977">
              <w:rPr>
                <w:sz w:val="22"/>
                <w:szCs w:val="22"/>
                <w:lang w:eastAsia="en-CA"/>
              </w:rPr>
              <w:t>332</w:t>
            </w:r>
          </w:p>
        </w:tc>
        <w:tc>
          <w:tcPr>
            <w:tcW w:w="0" w:type="auto"/>
            <w:tcBorders>
              <w:top w:val="nil"/>
              <w:left w:val="nil"/>
              <w:bottom w:val="single" w:sz="4" w:space="0" w:color="auto"/>
              <w:right w:val="single" w:sz="4" w:space="0" w:color="auto"/>
            </w:tcBorders>
            <w:shd w:val="clear" w:color="auto" w:fill="auto"/>
            <w:noWrap/>
            <w:vAlign w:val="center"/>
            <w:hideMark/>
          </w:tcPr>
          <w:p w14:paraId="7F82D21E" w14:textId="77777777" w:rsidR="00253427" w:rsidRPr="00653977" w:rsidRDefault="00253427" w:rsidP="00EF0503">
            <w:pPr>
              <w:ind w:right="276"/>
              <w:jc w:val="right"/>
              <w:rPr>
                <w:sz w:val="22"/>
                <w:szCs w:val="22"/>
                <w:lang w:eastAsia="en-CA"/>
              </w:rPr>
            </w:pPr>
            <w:r w:rsidRPr="00653977">
              <w:rPr>
                <w:sz w:val="22"/>
                <w:szCs w:val="22"/>
                <w:lang w:eastAsia="en-CA"/>
              </w:rPr>
              <w:t>645</w:t>
            </w:r>
          </w:p>
        </w:tc>
      </w:tr>
      <w:tr w:rsidR="00253427" w:rsidRPr="00653977" w14:paraId="514A2840"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BC8228" w14:textId="77777777" w:rsidR="00253427" w:rsidRPr="00653977" w:rsidRDefault="00253427" w:rsidP="00EF0503">
            <w:pPr>
              <w:rPr>
                <w:sz w:val="22"/>
                <w:szCs w:val="22"/>
                <w:lang w:eastAsia="en-CA"/>
              </w:rPr>
            </w:pPr>
            <w:r w:rsidRPr="00653977">
              <w:rPr>
                <w:sz w:val="22"/>
                <w:szCs w:val="22"/>
                <w:lang w:eastAsia="en-CA"/>
              </w:rPr>
              <w:t>Croatia</w:t>
            </w:r>
          </w:p>
        </w:tc>
        <w:tc>
          <w:tcPr>
            <w:tcW w:w="2288" w:type="dxa"/>
            <w:tcBorders>
              <w:top w:val="nil"/>
              <w:left w:val="nil"/>
              <w:bottom w:val="single" w:sz="4" w:space="0" w:color="auto"/>
              <w:right w:val="single" w:sz="4" w:space="0" w:color="auto"/>
            </w:tcBorders>
            <w:shd w:val="clear" w:color="auto" w:fill="auto"/>
            <w:vAlign w:val="center"/>
            <w:hideMark/>
          </w:tcPr>
          <w:p w14:paraId="68DA3210" w14:textId="77777777" w:rsidR="00253427" w:rsidRPr="00653977" w:rsidRDefault="00253427" w:rsidP="00EF0503">
            <w:pPr>
              <w:ind w:right="770"/>
              <w:jc w:val="right"/>
              <w:rPr>
                <w:sz w:val="22"/>
                <w:szCs w:val="22"/>
                <w:lang w:eastAsia="en-CA"/>
              </w:rPr>
            </w:pPr>
            <w:r w:rsidRPr="00653977">
              <w:rPr>
                <w:sz w:val="22"/>
                <w:szCs w:val="22"/>
                <w:lang w:eastAsia="en-CA"/>
              </w:rPr>
              <w:t>0.099</w:t>
            </w:r>
          </w:p>
        </w:tc>
        <w:tc>
          <w:tcPr>
            <w:tcW w:w="0" w:type="auto"/>
            <w:tcBorders>
              <w:top w:val="nil"/>
              <w:left w:val="nil"/>
              <w:bottom w:val="single" w:sz="4" w:space="0" w:color="auto"/>
              <w:right w:val="single" w:sz="4" w:space="0" w:color="auto"/>
            </w:tcBorders>
            <w:shd w:val="clear" w:color="auto" w:fill="auto"/>
            <w:noWrap/>
            <w:vAlign w:val="center"/>
            <w:hideMark/>
          </w:tcPr>
          <w:p w14:paraId="15BF817B" w14:textId="77777777" w:rsidR="00253427" w:rsidRPr="00653977" w:rsidRDefault="00253427" w:rsidP="00EF0503">
            <w:pPr>
              <w:ind w:right="1144"/>
              <w:jc w:val="right"/>
              <w:rPr>
                <w:sz w:val="22"/>
                <w:szCs w:val="22"/>
                <w:lang w:eastAsia="en-CA"/>
              </w:rPr>
            </w:pPr>
            <w:r w:rsidRPr="00653977">
              <w:rPr>
                <w:sz w:val="22"/>
                <w:szCs w:val="22"/>
                <w:lang w:eastAsia="en-CA"/>
              </w:rPr>
              <w:t>0.143</w:t>
            </w:r>
          </w:p>
        </w:tc>
        <w:tc>
          <w:tcPr>
            <w:tcW w:w="0" w:type="auto"/>
            <w:tcBorders>
              <w:top w:val="nil"/>
              <w:left w:val="nil"/>
              <w:bottom w:val="single" w:sz="4" w:space="0" w:color="auto"/>
              <w:right w:val="single" w:sz="4" w:space="0" w:color="auto"/>
            </w:tcBorders>
            <w:shd w:val="clear" w:color="auto" w:fill="auto"/>
            <w:noWrap/>
            <w:vAlign w:val="center"/>
            <w:hideMark/>
          </w:tcPr>
          <w:p w14:paraId="6ED71436" w14:textId="77777777" w:rsidR="00253427" w:rsidRPr="00653977" w:rsidRDefault="00253427" w:rsidP="00EF0503">
            <w:pPr>
              <w:ind w:right="276"/>
              <w:jc w:val="right"/>
              <w:rPr>
                <w:sz w:val="22"/>
                <w:szCs w:val="22"/>
                <w:lang w:eastAsia="en-CA"/>
              </w:rPr>
            </w:pPr>
            <w:r w:rsidRPr="00653977">
              <w:rPr>
                <w:sz w:val="22"/>
                <w:szCs w:val="22"/>
                <w:lang w:eastAsia="en-CA"/>
              </w:rPr>
              <w:t>3 442</w:t>
            </w:r>
          </w:p>
        </w:tc>
        <w:tc>
          <w:tcPr>
            <w:tcW w:w="0" w:type="auto"/>
            <w:tcBorders>
              <w:top w:val="nil"/>
              <w:left w:val="nil"/>
              <w:bottom w:val="single" w:sz="4" w:space="0" w:color="auto"/>
              <w:right w:val="single" w:sz="4" w:space="0" w:color="auto"/>
            </w:tcBorders>
            <w:shd w:val="clear" w:color="auto" w:fill="auto"/>
            <w:noWrap/>
            <w:vAlign w:val="center"/>
            <w:hideMark/>
          </w:tcPr>
          <w:p w14:paraId="4C2F553A" w14:textId="77777777" w:rsidR="00253427" w:rsidRPr="00653977" w:rsidRDefault="00253427" w:rsidP="00EF0503">
            <w:pPr>
              <w:ind w:right="276"/>
              <w:jc w:val="right"/>
              <w:rPr>
                <w:sz w:val="22"/>
                <w:szCs w:val="22"/>
                <w:lang w:eastAsia="en-CA"/>
              </w:rPr>
            </w:pPr>
            <w:r w:rsidRPr="00653977">
              <w:rPr>
                <w:sz w:val="22"/>
                <w:szCs w:val="22"/>
                <w:lang w:eastAsia="en-CA"/>
              </w:rPr>
              <w:t>3 650</w:t>
            </w:r>
          </w:p>
        </w:tc>
        <w:tc>
          <w:tcPr>
            <w:tcW w:w="0" w:type="auto"/>
            <w:tcBorders>
              <w:top w:val="nil"/>
              <w:left w:val="nil"/>
              <w:bottom w:val="single" w:sz="4" w:space="0" w:color="auto"/>
              <w:right w:val="single" w:sz="4" w:space="0" w:color="auto"/>
            </w:tcBorders>
            <w:shd w:val="clear" w:color="auto" w:fill="auto"/>
            <w:noWrap/>
            <w:vAlign w:val="center"/>
            <w:hideMark/>
          </w:tcPr>
          <w:p w14:paraId="4EE5646A" w14:textId="77777777" w:rsidR="00253427" w:rsidRPr="00653977" w:rsidRDefault="00253427" w:rsidP="00EF0503">
            <w:pPr>
              <w:ind w:right="276"/>
              <w:jc w:val="right"/>
              <w:rPr>
                <w:sz w:val="22"/>
                <w:szCs w:val="22"/>
                <w:lang w:eastAsia="en-CA"/>
              </w:rPr>
            </w:pPr>
            <w:r w:rsidRPr="00653977">
              <w:rPr>
                <w:sz w:val="22"/>
                <w:szCs w:val="22"/>
                <w:lang w:eastAsia="en-CA"/>
              </w:rPr>
              <w:t>7 092</w:t>
            </w:r>
          </w:p>
        </w:tc>
      </w:tr>
      <w:tr w:rsidR="00253427" w:rsidRPr="00653977" w14:paraId="5617762D"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F6EEC0" w14:textId="77777777" w:rsidR="00253427" w:rsidRPr="00653977" w:rsidRDefault="00253427" w:rsidP="00EF0503">
            <w:pPr>
              <w:rPr>
                <w:sz w:val="22"/>
                <w:szCs w:val="22"/>
                <w:lang w:eastAsia="en-CA"/>
              </w:rPr>
            </w:pPr>
            <w:r w:rsidRPr="00653977">
              <w:rPr>
                <w:sz w:val="22"/>
                <w:szCs w:val="22"/>
                <w:lang w:eastAsia="en-CA"/>
              </w:rPr>
              <w:t>Cuba</w:t>
            </w:r>
          </w:p>
        </w:tc>
        <w:tc>
          <w:tcPr>
            <w:tcW w:w="2288" w:type="dxa"/>
            <w:tcBorders>
              <w:top w:val="nil"/>
              <w:left w:val="nil"/>
              <w:bottom w:val="single" w:sz="4" w:space="0" w:color="auto"/>
              <w:right w:val="single" w:sz="4" w:space="0" w:color="auto"/>
            </w:tcBorders>
            <w:shd w:val="clear" w:color="auto" w:fill="auto"/>
            <w:vAlign w:val="center"/>
            <w:hideMark/>
          </w:tcPr>
          <w:p w14:paraId="30320AE0" w14:textId="77777777" w:rsidR="00253427" w:rsidRPr="00653977" w:rsidRDefault="00253427" w:rsidP="00EF0503">
            <w:pPr>
              <w:ind w:right="770"/>
              <w:jc w:val="right"/>
              <w:rPr>
                <w:sz w:val="22"/>
                <w:szCs w:val="22"/>
                <w:lang w:eastAsia="en-CA"/>
              </w:rPr>
            </w:pPr>
            <w:r w:rsidRPr="00653977">
              <w:rPr>
                <w:sz w:val="22"/>
                <w:szCs w:val="22"/>
                <w:lang w:eastAsia="en-CA"/>
              </w:rPr>
              <w:t>0.065</w:t>
            </w:r>
          </w:p>
        </w:tc>
        <w:tc>
          <w:tcPr>
            <w:tcW w:w="0" w:type="auto"/>
            <w:tcBorders>
              <w:top w:val="nil"/>
              <w:left w:val="nil"/>
              <w:bottom w:val="single" w:sz="4" w:space="0" w:color="auto"/>
              <w:right w:val="single" w:sz="4" w:space="0" w:color="auto"/>
            </w:tcBorders>
            <w:shd w:val="clear" w:color="auto" w:fill="auto"/>
            <w:noWrap/>
            <w:vAlign w:val="center"/>
            <w:hideMark/>
          </w:tcPr>
          <w:p w14:paraId="0AD80606" w14:textId="77777777" w:rsidR="00253427" w:rsidRPr="00653977" w:rsidRDefault="00253427" w:rsidP="00EF0503">
            <w:pPr>
              <w:ind w:right="1144"/>
              <w:jc w:val="right"/>
              <w:rPr>
                <w:sz w:val="22"/>
                <w:szCs w:val="22"/>
                <w:lang w:eastAsia="en-CA"/>
              </w:rPr>
            </w:pPr>
            <w:r w:rsidRPr="00653977">
              <w:rPr>
                <w:sz w:val="22"/>
                <w:szCs w:val="22"/>
                <w:lang w:eastAsia="en-CA"/>
              </w:rPr>
              <w:t>0.094</w:t>
            </w:r>
          </w:p>
        </w:tc>
        <w:tc>
          <w:tcPr>
            <w:tcW w:w="0" w:type="auto"/>
            <w:tcBorders>
              <w:top w:val="nil"/>
              <w:left w:val="nil"/>
              <w:bottom w:val="single" w:sz="4" w:space="0" w:color="auto"/>
              <w:right w:val="single" w:sz="4" w:space="0" w:color="auto"/>
            </w:tcBorders>
            <w:shd w:val="clear" w:color="auto" w:fill="auto"/>
            <w:noWrap/>
            <w:vAlign w:val="center"/>
            <w:hideMark/>
          </w:tcPr>
          <w:p w14:paraId="1C6BD512" w14:textId="77777777" w:rsidR="00253427" w:rsidRPr="00653977" w:rsidRDefault="00253427" w:rsidP="00EF0503">
            <w:pPr>
              <w:ind w:right="276"/>
              <w:jc w:val="right"/>
              <w:rPr>
                <w:sz w:val="22"/>
                <w:szCs w:val="22"/>
                <w:lang w:eastAsia="en-CA"/>
              </w:rPr>
            </w:pPr>
            <w:r w:rsidRPr="00653977">
              <w:rPr>
                <w:sz w:val="22"/>
                <w:szCs w:val="22"/>
                <w:lang w:eastAsia="en-CA"/>
              </w:rPr>
              <w:t>2 260</w:t>
            </w:r>
          </w:p>
        </w:tc>
        <w:tc>
          <w:tcPr>
            <w:tcW w:w="0" w:type="auto"/>
            <w:tcBorders>
              <w:top w:val="nil"/>
              <w:left w:val="nil"/>
              <w:bottom w:val="single" w:sz="4" w:space="0" w:color="auto"/>
              <w:right w:val="single" w:sz="4" w:space="0" w:color="auto"/>
            </w:tcBorders>
            <w:shd w:val="clear" w:color="auto" w:fill="auto"/>
            <w:noWrap/>
            <w:vAlign w:val="center"/>
            <w:hideMark/>
          </w:tcPr>
          <w:p w14:paraId="6FD9D28D" w14:textId="77777777" w:rsidR="00253427" w:rsidRPr="00653977" w:rsidRDefault="00253427" w:rsidP="00EF0503">
            <w:pPr>
              <w:ind w:right="276"/>
              <w:jc w:val="right"/>
              <w:rPr>
                <w:sz w:val="22"/>
                <w:szCs w:val="22"/>
                <w:lang w:eastAsia="en-CA"/>
              </w:rPr>
            </w:pPr>
            <w:r w:rsidRPr="00653977">
              <w:rPr>
                <w:sz w:val="22"/>
                <w:szCs w:val="22"/>
                <w:lang w:eastAsia="en-CA"/>
              </w:rPr>
              <w:t>2 397</w:t>
            </w:r>
          </w:p>
        </w:tc>
        <w:tc>
          <w:tcPr>
            <w:tcW w:w="0" w:type="auto"/>
            <w:tcBorders>
              <w:top w:val="nil"/>
              <w:left w:val="nil"/>
              <w:bottom w:val="single" w:sz="4" w:space="0" w:color="auto"/>
              <w:right w:val="single" w:sz="4" w:space="0" w:color="auto"/>
            </w:tcBorders>
            <w:shd w:val="clear" w:color="auto" w:fill="auto"/>
            <w:noWrap/>
            <w:vAlign w:val="center"/>
            <w:hideMark/>
          </w:tcPr>
          <w:p w14:paraId="126F6236" w14:textId="77777777" w:rsidR="00253427" w:rsidRPr="00653977" w:rsidRDefault="00253427" w:rsidP="00EF0503">
            <w:pPr>
              <w:ind w:right="276"/>
              <w:jc w:val="right"/>
              <w:rPr>
                <w:sz w:val="22"/>
                <w:szCs w:val="22"/>
                <w:lang w:eastAsia="en-CA"/>
              </w:rPr>
            </w:pPr>
            <w:r w:rsidRPr="00653977">
              <w:rPr>
                <w:sz w:val="22"/>
                <w:szCs w:val="22"/>
                <w:lang w:eastAsia="en-CA"/>
              </w:rPr>
              <w:t>4 656</w:t>
            </w:r>
          </w:p>
        </w:tc>
      </w:tr>
      <w:tr w:rsidR="00253427" w:rsidRPr="00653977" w14:paraId="6003E2D7"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1D7DE7" w14:textId="77777777" w:rsidR="00253427" w:rsidRPr="00653977" w:rsidRDefault="00253427" w:rsidP="00EF0503">
            <w:pPr>
              <w:rPr>
                <w:sz w:val="22"/>
                <w:szCs w:val="22"/>
                <w:lang w:eastAsia="en-CA"/>
              </w:rPr>
            </w:pPr>
            <w:r w:rsidRPr="00653977">
              <w:rPr>
                <w:sz w:val="22"/>
                <w:szCs w:val="22"/>
                <w:lang w:eastAsia="en-CA"/>
              </w:rPr>
              <w:t>Cyprus</w:t>
            </w:r>
          </w:p>
        </w:tc>
        <w:tc>
          <w:tcPr>
            <w:tcW w:w="2288" w:type="dxa"/>
            <w:tcBorders>
              <w:top w:val="nil"/>
              <w:left w:val="nil"/>
              <w:bottom w:val="single" w:sz="4" w:space="0" w:color="auto"/>
              <w:right w:val="single" w:sz="4" w:space="0" w:color="auto"/>
            </w:tcBorders>
            <w:shd w:val="clear" w:color="auto" w:fill="auto"/>
            <w:vAlign w:val="center"/>
            <w:hideMark/>
          </w:tcPr>
          <w:p w14:paraId="4F73F3CA" w14:textId="77777777" w:rsidR="00253427" w:rsidRPr="00653977" w:rsidRDefault="00253427" w:rsidP="00EF0503">
            <w:pPr>
              <w:ind w:right="770"/>
              <w:jc w:val="right"/>
              <w:rPr>
                <w:sz w:val="22"/>
                <w:szCs w:val="22"/>
                <w:lang w:eastAsia="en-CA"/>
              </w:rPr>
            </w:pPr>
            <w:r w:rsidRPr="00653977">
              <w:rPr>
                <w:sz w:val="22"/>
                <w:szCs w:val="22"/>
                <w:lang w:eastAsia="en-CA"/>
              </w:rPr>
              <w:t>0.043</w:t>
            </w:r>
          </w:p>
        </w:tc>
        <w:tc>
          <w:tcPr>
            <w:tcW w:w="0" w:type="auto"/>
            <w:tcBorders>
              <w:top w:val="nil"/>
              <w:left w:val="nil"/>
              <w:bottom w:val="single" w:sz="4" w:space="0" w:color="auto"/>
              <w:right w:val="single" w:sz="4" w:space="0" w:color="auto"/>
            </w:tcBorders>
            <w:shd w:val="clear" w:color="auto" w:fill="auto"/>
            <w:noWrap/>
            <w:vAlign w:val="center"/>
            <w:hideMark/>
          </w:tcPr>
          <w:p w14:paraId="2E5C634D" w14:textId="77777777" w:rsidR="00253427" w:rsidRPr="00653977" w:rsidRDefault="00253427" w:rsidP="00EF0503">
            <w:pPr>
              <w:ind w:right="1144"/>
              <w:jc w:val="right"/>
              <w:rPr>
                <w:sz w:val="22"/>
                <w:szCs w:val="22"/>
                <w:lang w:eastAsia="en-CA"/>
              </w:rPr>
            </w:pPr>
            <w:r w:rsidRPr="00653977">
              <w:rPr>
                <w:sz w:val="22"/>
                <w:szCs w:val="22"/>
                <w:lang w:eastAsia="en-CA"/>
              </w:rPr>
              <w:t>0.062</w:t>
            </w:r>
          </w:p>
        </w:tc>
        <w:tc>
          <w:tcPr>
            <w:tcW w:w="0" w:type="auto"/>
            <w:tcBorders>
              <w:top w:val="nil"/>
              <w:left w:val="nil"/>
              <w:bottom w:val="single" w:sz="4" w:space="0" w:color="auto"/>
              <w:right w:val="single" w:sz="4" w:space="0" w:color="auto"/>
            </w:tcBorders>
            <w:shd w:val="clear" w:color="auto" w:fill="auto"/>
            <w:noWrap/>
            <w:vAlign w:val="center"/>
            <w:hideMark/>
          </w:tcPr>
          <w:p w14:paraId="295A4F6D" w14:textId="77777777" w:rsidR="00253427" w:rsidRPr="00653977" w:rsidRDefault="00253427" w:rsidP="00EF0503">
            <w:pPr>
              <w:ind w:right="276"/>
              <w:jc w:val="right"/>
              <w:rPr>
                <w:sz w:val="22"/>
                <w:szCs w:val="22"/>
                <w:lang w:eastAsia="en-CA"/>
              </w:rPr>
            </w:pPr>
            <w:r w:rsidRPr="00653977">
              <w:rPr>
                <w:sz w:val="22"/>
                <w:szCs w:val="22"/>
                <w:lang w:eastAsia="en-CA"/>
              </w:rPr>
              <w:t>1 495</w:t>
            </w:r>
          </w:p>
        </w:tc>
        <w:tc>
          <w:tcPr>
            <w:tcW w:w="0" w:type="auto"/>
            <w:tcBorders>
              <w:top w:val="nil"/>
              <w:left w:val="nil"/>
              <w:bottom w:val="single" w:sz="4" w:space="0" w:color="auto"/>
              <w:right w:val="single" w:sz="4" w:space="0" w:color="auto"/>
            </w:tcBorders>
            <w:shd w:val="clear" w:color="auto" w:fill="auto"/>
            <w:noWrap/>
            <w:vAlign w:val="center"/>
            <w:hideMark/>
          </w:tcPr>
          <w:p w14:paraId="08A5C2E5" w14:textId="77777777" w:rsidR="00253427" w:rsidRPr="00653977" w:rsidRDefault="00253427" w:rsidP="00EF0503">
            <w:pPr>
              <w:ind w:right="276"/>
              <w:jc w:val="right"/>
              <w:rPr>
                <w:sz w:val="22"/>
                <w:szCs w:val="22"/>
                <w:lang w:eastAsia="en-CA"/>
              </w:rPr>
            </w:pPr>
            <w:r w:rsidRPr="00653977">
              <w:rPr>
                <w:sz w:val="22"/>
                <w:szCs w:val="22"/>
                <w:lang w:eastAsia="en-CA"/>
              </w:rPr>
              <w:t>1 585</w:t>
            </w:r>
          </w:p>
        </w:tc>
        <w:tc>
          <w:tcPr>
            <w:tcW w:w="0" w:type="auto"/>
            <w:tcBorders>
              <w:top w:val="nil"/>
              <w:left w:val="nil"/>
              <w:bottom w:val="single" w:sz="4" w:space="0" w:color="auto"/>
              <w:right w:val="single" w:sz="4" w:space="0" w:color="auto"/>
            </w:tcBorders>
            <w:shd w:val="clear" w:color="auto" w:fill="auto"/>
            <w:noWrap/>
            <w:vAlign w:val="center"/>
            <w:hideMark/>
          </w:tcPr>
          <w:p w14:paraId="5A328ACE" w14:textId="77777777" w:rsidR="00253427" w:rsidRPr="00653977" w:rsidRDefault="00253427" w:rsidP="00EF0503">
            <w:pPr>
              <w:ind w:right="276"/>
              <w:jc w:val="right"/>
              <w:rPr>
                <w:sz w:val="22"/>
                <w:szCs w:val="22"/>
                <w:lang w:eastAsia="en-CA"/>
              </w:rPr>
            </w:pPr>
            <w:r w:rsidRPr="00653977">
              <w:rPr>
                <w:sz w:val="22"/>
                <w:szCs w:val="22"/>
                <w:lang w:eastAsia="en-CA"/>
              </w:rPr>
              <w:t>3 080</w:t>
            </w:r>
          </w:p>
        </w:tc>
      </w:tr>
      <w:tr w:rsidR="00253427" w:rsidRPr="00653977" w14:paraId="6BE9215D"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22426D" w14:textId="77777777" w:rsidR="00253427" w:rsidRPr="00653977" w:rsidRDefault="00253427" w:rsidP="00EF0503">
            <w:pPr>
              <w:rPr>
                <w:sz w:val="22"/>
                <w:szCs w:val="22"/>
                <w:lang w:eastAsia="en-CA"/>
              </w:rPr>
            </w:pPr>
            <w:r w:rsidRPr="00653977">
              <w:rPr>
                <w:sz w:val="22"/>
                <w:szCs w:val="22"/>
                <w:lang w:eastAsia="en-CA"/>
              </w:rPr>
              <w:t>Czechia</w:t>
            </w:r>
          </w:p>
        </w:tc>
        <w:tc>
          <w:tcPr>
            <w:tcW w:w="2288" w:type="dxa"/>
            <w:tcBorders>
              <w:top w:val="nil"/>
              <w:left w:val="nil"/>
              <w:bottom w:val="single" w:sz="4" w:space="0" w:color="auto"/>
              <w:right w:val="single" w:sz="4" w:space="0" w:color="auto"/>
            </w:tcBorders>
            <w:shd w:val="clear" w:color="auto" w:fill="auto"/>
            <w:vAlign w:val="center"/>
            <w:hideMark/>
          </w:tcPr>
          <w:p w14:paraId="0D5B0DCB" w14:textId="77777777" w:rsidR="00253427" w:rsidRPr="00653977" w:rsidRDefault="00253427" w:rsidP="00EF0503">
            <w:pPr>
              <w:ind w:right="770"/>
              <w:jc w:val="right"/>
              <w:rPr>
                <w:sz w:val="22"/>
                <w:szCs w:val="22"/>
                <w:lang w:eastAsia="en-CA"/>
              </w:rPr>
            </w:pPr>
            <w:r w:rsidRPr="00653977">
              <w:rPr>
                <w:sz w:val="22"/>
                <w:szCs w:val="22"/>
                <w:lang w:eastAsia="en-CA"/>
              </w:rPr>
              <w:t>0.344</w:t>
            </w:r>
          </w:p>
        </w:tc>
        <w:tc>
          <w:tcPr>
            <w:tcW w:w="0" w:type="auto"/>
            <w:tcBorders>
              <w:top w:val="nil"/>
              <w:left w:val="nil"/>
              <w:bottom w:val="single" w:sz="4" w:space="0" w:color="auto"/>
              <w:right w:val="single" w:sz="4" w:space="0" w:color="auto"/>
            </w:tcBorders>
            <w:shd w:val="clear" w:color="auto" w:fill="auto"/>
            <w:noWrap/>
            <w:vAlign w:val="center"/>
            <w:hideMark/>
          </w:tcPr>
          <w:p w14:paraId="792CCF14" w14:textId="77777777" w:rsidR="00253427" w:rsidRPr="00653977" w:rsidRDefault="00253427" w:rsidP="00EF0503">
            <w:pPr>
              <w:ind w:right="1144"/>
              <w:jc w:val="right"/>
              <w:rPr>
                <w:sz w:val="22"/>
                <w:szCs w:val="22"/>
                <w:lang w:eastAsia="en-CA"/>
              </w:rPr>
            </w:pPr>
            <w:r w:rsidRPr="00653977">
              <w:rPr>
                <w:sz w:val="22"/>
                <w:szCs w:val="22"/>
                <w:lang w:eastAsia="en-CA"/>
              </w:rPr>
              <w:t>0.498</w:t>
            </w:r>
          </w:p>
        </w:tc>
        <w:tc>
          <w:tcPr>
            <w:tcW w:w="0" w:type="auto"/>
            <w:tcBorders>
              <w:top w:val="nil"/>
              <w:left w:val="nil"/>
              <w:bottom w:val="single" w:sz="4" w:space="0" w:color="auto"/>
              <w:right w:val="single" w:sz="4" w:space="0" w:color="auto"/>
            </w:tcBorders>
            <w:shd w:val="clear" w:color="auto" w:fill="auto"/>
            <w:noWrap/>
            <w:vAlign w:val="center"/>
            <w:hideMark/>
          </w:tcPr>
          <w:p w14:paraId="47112428" w14:textId="77777777" w:rsidR="00253427" w:rsidRPr="00653977" w:rsidRDefault="00253427" w:rsidP="00EF0503">
            <w:pPr>
              <w:ind w:right="276"/>
              <w:jc w:val="right"/>
              <w:rPr>
                <w:sz w:val="22"/>
                <w:szCs w:val="22"/>
                <w:lang w:eastAsia="en-CA"/>
              </w:rPr>
            </w:pPr>
            <w:r w:rsidRPr="00653977">
              <w:rPr>
                <w:sz w:val="22"/>
                <w:szCs w:val="22"/>
                <w:lang w:eastAsia="en-CA"/>
              </w:rPr>
              <w:t>11 961</w:t>
            </w:r>
          </w:p>
        </w:tc>
        <w:tc>
          <w:tcPr>
            <w:tcW w:w="0" w:type="auto"/>
            <w:tcBorders>
              <w:top w:val="nil"/>
              <w:left w:val="nil"/>
              <w:bottom w:val="single" w:sz="4" w:space="0" w:color="auto"/>
              <w:right w:val="single" w:sz="4" w:space="0" w:color="auto"/>
            </w:tcBorders>
            <w:shd w:val="clear" w:color="auto" w:fill="auto"/>
            <w:noWrap/>
            <w:vAlign w:val="center"/>
            <w:hideMark/>
          </w:tcPr>
          <w:p w14:paraId="77A4EFF7" w14:textId="77777777" w:rsidR="00253427" w:rsidRPr="00653977" w:rsidRDefault="00253427" w:rsidP="00EF0503">
            <w:pPr>
              <w:ind w:right="276"/>
              <w:jc w:val="right"/>
              <w:rPr>
                <w:sz w:val="22"/>
                <w:szCs w:val="22"/>
                <w:lang w:eastAsia="en-CA"/>
              </w:rPr>
            </w:pPr>
            <w:r w:rsidRPr="00653977">
              <w:rPr>
                <w:sz w:val="22"/>
                <w:szCs w:val="22"/>
                <w:lang w:eastAsia="en-CA"/>
              </w:rPr>
              <w:t>12 683</w:t>
            </w:r>
          </w:p>
        </w:tc>
        <w:tc>
          <w:tcPr>
            <w:tcW w:w="0" w:type="auto"/>
            <w:tcBorders>
              <w:top w:val="nil"/>
              <w:left w:val="nil"/>
              <w:bottom w:val="single" w:sz="4" w:space="0" w:color="auto"/>
              <w:right w:val="single" w:sz="4" w:space="0" w:color="auto"/>
            </w:tcBorders>
            <w:shd w:val="clear" w:color="auto" w:fill="auto"/>
            <w:noWrap/>
            <w:vAlign w:val="center"/>
            <w:hideMark/>
          </w:tcPr>
          <w:p w14:paraId="0D96C3FB" w14:textId="77777777" w:rsidR="00253427" w:rsidRPr="00653977" w:rsidRDefault="00253427" w:rsidP="00EF0503">
            <w:pPr>
              <w:ind w:right="276"/>
              <w:jc w:val="right"/>
              <w:rPr>
                <w:sz w:val="22"/>
                <w:szCs w:val="22"/>
                <w:lang w:eastAsia="en-CA"/>
              </w:rPr>
            </w:pPr>
            <w:r w:rsidRPr="00653977">
              <w:rPr>
                <w:sz w:val="22"/>
                <w:szCs w:val="22"/>
                <w:lang w:eastAsia="en-CA"/>
              </w:rPr>
              <w:t>24 644</w:t>
            </w:r>
          </w:p>
        </w:tc>
      </w:tr>
      <w:tr w:rsidR="00253427" w:rsidRPr="00653977" w14:paraId="7C755D8A"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B1DAED" w14:textId="77777777" w:rsidR="00253427" w:rsidRPr="00653977" w:rsidRDefault="00253427" w:rsidP="00EF0503">
            <w:pPr>
              <w:rPr>
                <w:sz w:val="22"/>
                <w:szCs w:val="22"/>
                <w:lang w:eastAsia="en-CA"/>
              </w:rPr>
            </w:pPr>
            <w:r w:rsidRPr="00653977">
              <w:rPr>
                <w:sz w:val="22"/>
                <w:szCs w:val="22"/>
                <w:lang w:eastAsia="en-CA"/>
              </w:rPr>
              <w:t>Democratic People’s Republic of Korea</w:t>
            </w:r>
          </w:p>
        </w:tc>
        <w:tc>
          <w:tcPr>
            <w:tcW w:w="2288" w:type="dxa"/>
            <w:tcBorders>
              <w:top w:val="nil"/>
              <w:left w:val="nil"/>
              <w:bottom w:val="single" w:sz="4" w:space="0" w:color="auto"/>
              <w:right w:val="single" w:sz="4" w:space="0" w:color="auto"/>
            </w:tcBorders>
            <w:shd w:val="clear" w:color="auto" w:fill="auto"/>
            <w:vAlign w:val="center"/>
            <w:hideMark/>
          </w:tcPr>
          <w:p w14:paraId="6728B6E6" w14:textId="77777777" w:rsidR="00253427" w:rsidRPr="00653977" w:rsidRDefault="00253427" w:rsidP="00EF0503">
            <w:pPr>
              <w:ind w:right="770"/>
              <w:jc w:val="right"/>
              <w:rPr>
                <w:sz w:val="22"/>
                <w:szCs w:val="22"/>
                <w:lang w:eastAsia="en-CA"/>
              </w:rPr>
            </w:pPr>
            <w:r w:rsidRPr="00653977">
              <w:rPr>
                <w:sz w:val="22"/>
                <w:szCs w:val="22"/>
                <w:lang w:eastAsia="en-CA"/>
              </w:rPr>
              <w:t>0.005</w:t>
            </w:r>
          </w:p>
        </w:tc>
        <w:tc>
          <w:tcPr>
            <w:tcW w:w="0" w:type="auto"/>
            <w:tcBorders>
              <w:top w:val="nil"/>
              <w:left w:val="nil"/>
              <w:bottom w:val="single" w:sz="4" w:space="0" w:color="auto"/>
              <w:right w:val="single" w:sz="4" w:space="0" w:color="auto"/>
            </w:tcBorders>
            <w:shd w:val="clear" w:color="auto" w:fill="auto"/>
            <w:noWrap/>
            <w:vAlign w:val="center"/>
            <w:hideMark/>
          </w:tcPr>
          <w:p w14:paraId="1FFD789D" w14:textId="77777777" w:rsidR="00253427" w:rsidRPr="00653977" w:rsidRDefault="00253427" w:rsidP="00EF0503">
            <w:pPr>
              <w:ind w:right="1144"/>
              <w:jc w:val="right"/>
              <w:rPr>
                <w:sz w:val="22"/>
                <w:szCs w:val="22"/>
                <w:lang w:eastAsia="en-CA"/>
              </w:rPr>
            </w:pPr>
            <w:r w:rsidRPr="00653977">
              <w:rPr>
                <w:sz w:val="22"/>
                <w:szCs w:val="22"/>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5A08D774" w14:textId="77777777" w:rsidR="00253427" w:rsidRPr="00653977" w:rsidRDefault="00253427" w:rsidP="00EF0503">
            <w:pPr>
              <w:ind w:right="276"/>
              <w:jc w:val="right"/>
              <w:rPr>
                <w:sz w:val="22"/>
                <w:szCs w:val="22"/>
                <w:lang w:eastAsia="en-CA"/>
              </w:rPr>
            </w:pPr>
            <w:r w:rsidRPr="00653977">
              <w:rPr>
                <w:sz w:val="22"/>
                <w:szCs w:val="22"/>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203E74BA" w14:textId="77777777" w:rsidR="00253427" w:rsidRPr="00653977" w:rsidRDefault="00253427" w:rsidP="00EF0503">
            <w:pPr>
              <w:ind w:right="276"/>
              <w:jc w:val="right"/>
              <w:rPr>
                <w:sz w:val="22"/>
                <w:szCs w:val="22"/>
                <w:lang w:eastAsia="en-CA"/>
              </w:rPr>
            </w:pPr>
            <w:r w:rsidRPr="00653977">
              <w:rPr>
                <w:sz w:val="22"/>
                <w:szCs w:val="22"/>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1710D984" w14:textId="77777777" w:rsidR="00253427" w:rsidRPr="00653977" w:rsidRDefault="00253427" w:rsidP="00EF0503">
            <w:pPr>
              <w:ind w:right="276"/>
              <w:jc w:val="right"/>
              <w:rPr>
                <w:sz w:val="22"/>
                <w:szCs w:val="22"/>
                <w:lang w:eastAsia="en-CA"/>
              </w:rPr>
            </w:pPr>
            <w:r w:rsidRPr="00653977">
              <w:rPr>
                <w:sz w:val="22"/>
                <w:szCs w:val="22"/>
                <w:lang w:eastAsia="en-CA"/>
              </w:rPr>
              <w:t>358</w:t>
            </w:r>
          </w:p>
        </w:tc>
      </w:tr>
      <w:tr w:rsidR="00253427" w:rsidRPr="00653977" w14:paraId="3084F09F"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926700" w14:textId="77777777" w:rsidR="00253427" w:rsidRPr="00653977" w:rsidRDefault="00253427" w:rsidP="00EF0503">
            <w:pPr>
              <w:rPr>
                <w:sz w:val="22"/>
                <w:szCs w:val="22"/>
                <w:lang w:eastAsia="en-CA"/>
              </w:rPr>
            </w:pPr>
            <w:r w:rsidRPr="00653977">
              <w:rPr>
                <w:sz w:val="22"/>
                <w:szCs w:val="22"/>
                <w:lang w:eastAsia="en-CA"/>
              </w:rPr>
              <w:t>Democratic Republic of the Congo</w:t>
            </w:r>
          </w:p>
        </w:tc>
        <w:tc>
          <w:tcPr>
            <w:tcW w:w="2288" w:type="dxa"/>
            <w:tcBorders>
              <w:top w:val="nil"/>
              <w:left w:val="nil"/>
              <w:bottom w:val="single" w:sz="4" w:space="0" w:color="auto"/>
              <w:right w:val="single" w:sz="4" w:space="0" w:color="auto"/>
            </w:tcBorders>
            <w:shd w:val="clear" w:color="auto" w:fill="auto"/>
            <w:vAlign w:val="center"/>
            <w:hideMark/>
          </w:tcPr>
          <w:p w14:paraId="34864C2F" w14:textId="77777777" w:rsidR="00253427" w:rsidRPr="00653977" w:rsidRDefault="00253427" w:rsidP="00EF0503">
            <w:pPr>
              <w:ind w:right="770"/>
              <w:jc w:val="right"/>
              <w:rPr>
                <w:sz w:val="22"/>
                <w:szCs w:val="22"/>
                <w:lang w:eastAsia="en-CA"/>
              </w:rPr>
            </w:pPr>
            <w:r w:rsidRPr="00653977">
              <w:rPr>
                <w:sz w:val="22"/>
                <w:szCs w:val="22"/>
                <w:lang w:eastAsia="en-CA"/>
              </w:rPr>
              <w:t>0.008</w:t>
            </w:r>
          </w:p>
        </w:tc>
        <w:tc>
          <w:tcPr>
            <w:tcW w:w="0" w:type="auto"/>
            <w:tcBorders>
              <w:top w:val="nil"/>
              <w:left w:val="nil"/>
              <w:bottom w:val="single" w:sz="4" w:space="0" w:color="auto"/>
              <w:right w:val="single" w:sz="4" w:space="0" w:color="auto"/>
            </w:tcBorders>
            <w:shd w:val="clear" w:color="auto" w:fill="auto"/>
            <w:noWrap/>
            <w:vAlign w:val="center"/>
            <w:hideMark/>
          </w:tcPr>
          <w:p w14:paraId="1F25711B" w14:textId="77777777" w:rsidR="00253427" w:rsidRPr="00653977" w:rsidRDefault="00253427" w:rsidP="00EF0503">
            <w:pPr>
              <w:ind w:right="1144"/>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7A70DDF7" w14:textId="77777777" w:rsidR="00253427" w:rsidRPr="00653977" w:rsidRDefault="00253427" w:rsidP="00EF0503">
            <w:pPr>
              <w:ind w:right="276"/>
              <w:jc w:val="right"/>
              <w:rPr>
                <w:sz w:val="22"/>
                <w:szCs w:val="22"/>
                <w:lang w:eastAsia="en-CA"/>
              </w:rPr>
            </w:pPr>
            <w:r w:rsidRPr="00653977">
              <w:rPr>
                <w:sz w:val="22"/>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57003FAB" w14:textId="77777777" w:rsidR="00253427" w:rsidRPr="00653977" w:rsidRDefault="00253427" w:rsidP="00EF0503">
            <w:pPr>
              <w:ind w:right="276"/>
              <w:jc w:val="right"/>
              <w:rPr>
                <w:sz w:val="22"/>
                <w:szCs w:val="22"/>
                <w:lang w:eastAsia="en-CA"/>
              </w:rPr>
            </w:pPr>
            <w:r w:rsidRPr="00653977">
              <w:rPr>
                <w:sz w:val="22"/>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3F977589" w14:textId="77777777" w:rsidR="00253427" w:rsidRPr="00653977" w:rsidRDefault="00253427" w:rsidP="00EF0503">
            <w:pPr>
              <w:ind w:right="276"/>
              <w:jc w:val="right"/>
              <w:rPr>
                <w:sz w:val="22"/>
                <w:szCs w:val="22"/>
                <w:lang w:eastAsia="en-CA"/>
              </w:rPr>
            </w:pPr>
            <w:r w:rsidRPr="00653977">
              <w:rPr>
                <w:sz w:val="22"/>
                <w:szCs w:val="22"/>
                <w:lang w:eastAsia="en-CA"/>
              </w:rPr>
              <w:t>495</w:t>
            </w:r>
          </w:p>
        </w:tc>
      </w:tr>
      <w:tr w:rsidR="00253427" w:rsidRPr="00653977" w14:paraId="753838D2"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0FD428" w14:textId="77777777" w:rsidR="00253427" w:rsidRPr="00653977" w:rsidRDefault="00253427" w:rsidP="00EF0503">
            <w:pPr>
              <w:rPr>
                <w:sz w:val="22"/>
                <w:szCs w:val="22"/>
                <w:lang w:eastAsia="en-CA"/>
              </w:rPr>
            </w:pPr>
            <w:r w:rsidRPr="00653977">
              <w:rPr>
                <w:sz w:val="22"/>
                <w:szCs w:val="22"/>
                <w:lang w:eastAsia="en-CA"/>
              </w:rPr>
              <w:t>Denmark</w:t>
            </w:r>
          </w:p>
        </w:tc>
        <w:tc>
          <w:tcPr>
            <w:tcW w:w="2288" w:type="dxa"/>
            <w:tcBorders>
              <w:top w:val="nil"/>
              <w:left w:val="nil"/>
              <w:bottom w:val="single" w:sz="4" w:space="0" w:color="auto"/>
              <w:right w:val="single" w:sz="4" w:space="0" w:color="auto"/>
            </w:tcBorders>
            <w:shd w:val="clear" w:color="auto" w:fill="auto"/>
            <w:vAlign w:val="center"/>
            <w:hideMark/>
          </w:tcPr>
          <w:p w14:paraId="354AFEEA" w14:textId="77777777" w:rsidR="00253427" w:rsidRPr="00653977" w:rsidRDefault="00253427" w:rsidP="00EF0503">
            <w:pPr>
              <w:ind w:right="770"/>
              <w:jc w:val="right"/>
              <w:rPr>
                <w:sz w:val="22"/>
                <w:szCs w:val="22"/>
                <w:lang w:eastAsia="en-CA"/>
              </w:rPr>
            </w:pPr>
            <w:r w:rsidRPr="00653977">
              <w:rPr>
                <w:sz w:val="22"/>
                <w:szCs w:val="22"/>
                <w:lang w:eastAsia="en-CA"/>
              </w:rPr>
              <w:t>0.584</w:t>
            </w:r>
          </w:p>
        </w:tc>
        <w:tc>
          <w:tcPr>
            <w:tcW w:w="0" w:type="auto"/>
            <w:tcBorders>
              <w:top w:val="nil"/>
              <w:left w:val="nil"/>
              <w:bottom w:val="single" w:sz="4" w:space="0" w:color="auto"/>
              <w:right w:val="single" w:sz="4" w:space="0" w:color="auto"/>
            </w:tcBorders>
            <w:shd w:val="clear" w:color="auto" w:fill="auto"/>
            <w:noWrap/>
            <w:vAlign w:val="center"/>
            <w:hideMark/>
          </w:tcPr>
          <w:p w14:paraId="19221E91" w14:textId="77777777" w:rsidR="00253427" w:rsidRPr="00653977" w:rsidRDefault="00253427" w:rsidP="00EF0503">
            <w:pPr>
              <w:ind w:right="1144"/>
              <w:jc w:val="right"/>
              <w:rPr>
                <w:sz w:val="22"/>
                <w:szCs w:val="22"/>
                <w:lang w:eastAsia="en-CA"/>
              </w:rPr>
            </w:pPr>
            <w:r w:rsidRPr="00653977">
              <w:rPr>
                <w:sz w:val="22"/>
                <w:szCs w:val="22"/>
                <w:lang w:eastAsia="en-CA"/>
              </w:rPr>
              <w:t>0.846</w:t>
            </w:r>
          </w:p>
        </w:tc>
        <w:tc>
          <w:tcPr>
            <w:tcW w:w="0" w:type="auto"/>
            <w:tcBorders>
              <w:top w:val="nil"/>
              <w:left w:val="nil"/>
              <w:bottom w:val="single" w:sz="4" w:space="0" w:color="auto"/>
              <w:right w:val="single" w:sz="4" w:space="0" w:color="auto"/>
            </w:tcBorders>
            <w:shd w:val="clear" w:color="auto" w:fill="auto"/>
            <w:noWrap/>
            <w:vAlign w:val="center"/>
            <w:hideMark/>
          </w:tcPr>
          <w:p w14:paraId="4CFB660F" w14:textId="77777777" w:rsidR="00253427" w:rsidRPr="00653977" w:rsidRDefault="00253427" w:rsidP="00EF0503">
            <w:pPr>
              <w:ind w:right="276"/>
              <w:jc w:val="right"/>
              <w:rPr>
                <w:sz w:val="22"/>
                <w:szCs w:val="22"/>
                <w:lang w:eastAsia="en-CA"/>
              </w:rPr>
            </w:pPr>
            <w:r w:rsidRPr="00653977">
              <w:rPr>
                <w:sz w:val="22"/>
                <w:szCs w:val="22"/>
                <w:lang w:eastAsia="en-CA"/>
              </w:rPr>
              <w:t>20 305</w:t>
            </w:r>
          </w:p>
        </w:tc>
        <w:tc>
          <w:tcPr>
            <w:tcW w:w="0" w:type="auto"/>
            <w:tcBorders>
              <w:top w:val="nil"/>
              <w:left w:val="nil"/>
              <w:bottom w:val="single" w:sz="4" w:space="0" w:color="auto"/>
              <w:right w:val="single" w:sz="4" w:space="0" w:color="auto"/>
            </w:tcBorders>
            <w:shd w:val="clear" w:color="auto" w:fill="auto"/>
            <w:noWrap/>
            <w:vAlign w:val="center"/>
            <w:hideMark/>
          </w:tcPr>
          <w:p w14:paraId="63872EEE" w14:textId="77777777" w:rsidR="00253427" w:rsidRPr="00653977" w:rsidRDefault="00253427" w:rsidP="00EF0503">
            <w:pPr>
              <w:ind w:right="276"/>
              <w:jc w:val="right"/>
              <w:rPr>
                <w:sz w:val="22"/>
                <w:szCs w:val="22"/>
                <w:lang w:eastAsia="en-CA"/>
              </w:rPr>
            </w:pPr>
            <w:r w:rsidRPr="00653977">
              <w:rPr>
                <w:sz w:val="22"/>
                <w:szCs w:val="22"/>
                <w:lang w:eastAsia="en-CA"/>
              </w:rPr>
              <w:t>21 532</w:t>
            </w:r>
          </w:p>
        </w:tc>
        <w:tc>
          <w:tcPr>
            <w:tcW w:w="0" w:type="auto"/>
            <w:tcBorders>
              <w:top w:val="nil"/>
              <w:left w:val="nil"/>
              <w:bottom w:val="single" w:sz="4" w:space="0" w:color="auto"/>
              <w:right w:val="single" w:sz="4" w:space="0" w:color="auto"/>
            </w:tcBorders>
            <w:shd w:val="clear" w:color="auto" w:fill="auto"/>
            <w:noWrap/>
            <w:vAlign w:val="center"/>
            <w:hideMark/>
          </w:tcPr>
          <w:p w14:paraId="5420465D" w14:textId="77777777" w:rsidR="00253427" w:rsidRPr="00653977" w:rsidRDefault="00253427" w:rsidP="00EF0503">
            <w:pPr>
              <w:ind w:right="276"/>
              <w:jc w:val="right"/>
              <w:rPr>
                <w:sz w:val="22"/>
                <w:szCs w:val="22"/>
                <w:lang w:eastAsia="en-CA"/>
              </w:rPr>
            </w:pPr>
            <w:r w:rsidRPr="00653977">
              <w:rPr>
                <w:sz w:val="22"/>
                <w:szCs w:val="22"/>
                <w:lang w:eastAsia="en-CA"/>
              </w:rPr>
              <w:t>41 837</w:t>
            </w:r>
          </w:p>
        </w:tc>
      </w:tr>
      <w:tr w:rsidR="00253427" w:rsidRPr="00653977" w14:paraId="027E721E"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E8C4BB" w14:textId="77777777" w:rsidR="00253427" w:rsidRPr="00653977" w:rsidRDefault="00253427" w:rsidP="00EF0503">
            <w:pPr>
              <w:rPr>
                <w:sz w:val="22"/>
                <w:szCs w:val="22"/>
                <w:lang w:eastAsia="en-CA"/>
              </w:rPr>
            </w:pPr>
            <w:r w:rsidRPr="00653977">
              <w:rPr>
                <w:sz w:val="22"/>
                <w:szCs w:val="22"/>
                <w:lang w:eastAsia="en-CA"/>
              </w:rPr>
              <w:t>Djibouti</w:t>
            </w:r>
          </w:p>
        </w:tc>
        <w:tc>
          <w:tcPr>
            <w:tcW w:w="2288" w:type="dxa"/>
            <w:tcBorders>
              <w:top w:val="nil"/>
              <w:left w:val="nil"/>
              <w:bottom w:val="single" w:sz="4" w:space="0" w:color="auto"/>
              <w:right w:val="single" w:sz="4" w:space="0" w:color="auto"/>
            </w:tcBorders>
            <w:shd w:val="clear" w:color="auto" w:fill="auto"/>
            <w:vAlign w:val="center"/>
            <w:hideMark/>
          </w:tcPr>
          <w:p w14:paraId="64CFF7E6"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96614B7"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C356201"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6FDC30A"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0302814"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66B795C1"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EC9D46" w14:textId="77777777" w:rsidR="00253427" w:rsidRPr="00653977" w:rsidRDefault="00253427" w:rsidP="00EF0503">
            <w:pPr>
              <w:rPr>
                <w:sz w:val="22"/>
                <w:szCs w:val="22"/>
                <w:lang w:eastAsia="en-CA"/>
              </w:rPr>
            </w:pPr>
            <w:r w:rsidRPr="00653977">
              <w:rPr>
                <w:sz w:val="22"/>
                <w:szCs w:val="22"/>
                <w:lang w:eastAsia="en-CA"/>
              </w:rPr>
              <w:t>Dominica</w:t>
            </w:r>
          </w:p>
        </w:tc>
        <w:tc>
          <w:tcPr>
            <w:tcW w:w="2288" w:type="dxa"/>
            <w:tcBorders>
              <w:top w:val="nil"/>
              <w:left w:val="nil"/>
              <w:bottom w:val="single" w:sz="4" w:space="0" w:color="auto"/>
              <w:right w:val="single" w:sz="4" w:space="0" w:color="auto"/>
            </w:tcBorders>
            <w:shd w:val="clear" w:color="auto" w:fill="auto"/>
            <w:vAlign w:val="center"/>
            <w:hideMark/>
          </w:tcPr>
          <w:p w14:paraId="5B5A5EFF"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4FB41F1"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61D8435"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565ADEF"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38CE8B02"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16AFDA67"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F8F8A3" w14:textId="77777777" w:rsidR="00253427" w:rsidRPr="00653977" w:rsidRDefault="00253427" w:rsidP="00EF0503">
            <w:pPr>
              <w:rPr>
                <w:sz w:val="22"/>
                <w:szCs w:val="22"/>
                <w:lang w:eastAsia="en-CA"/>
              </w:rPr>
            </w:pPr>
            <w:r w:rsidRPr="00653977">
              <w:rPr>
                <w:sz w:val="22"/>
                <w:szCs w:val="22"/>
                <w:lang w:eastAsia="en-CA"/>
              </w:rPr>
              <w:t>Dominican Republic</w:t>
            </w:r>
          </w:p>
        </w:tc>
        <w:tc>
          <w:tcPr>
            <w:tcW w:w="2288" w:type="dxa"/>
            <w:tcBorders>
              <w:top w:val="nil"/>
              <w:left w:val="nil"/>
              <w:bottom w:val="single" w:sz="4" w:space="0" w:color="auto"/>
              <w:right w:val="single" w:sz="4" w:space="0" w:color="auto"/>
            </w:tcBorders>
            <w:shd w:val="clear" w:color="auto" w:fill="auto"/>
            <w:vAlign w:val="center"/>
            <w:hideMark/>
          </w:tcPr>
          <w:p w14:paraId="096751CC" w14:textId="77777777" w:rsidR="00253427" w:rsidRPr="00653977" w:rsidRDefault="00253427" w:rsidP="00EF0503">
            <w:pPr>
              <w:ind w:right="770"/>
              <w:jc w:val="right"/>
              <w:rPr>
                <w:sz w:val="22"/>
                <w:szCs w:val="22"/>
                <w:lang w:eastAsia="en-CA"/>
              </w:rPr>
            </w:pPr>
            <w:r w:rsidRPr="00653977">
              <w:rPr>
                <w:sz w:val="22"/>
                <w:szCs w:val="22"/>
                <w:lang w:eastAsia="en-CA"/>
              </w:rPr>
              <w:t>0.046</w:t>
            </w:r>
          </w:p>
        </w:tc>
        <w:tc>
          <w:tcPr>
            <w:tcW w:w="0" w:type="auto"/>
            <w:tcBorders>
              <w:top w:val="nil"/>
              <w:left w:val="nil"/>
              <w:bottom w:val="single" w:sz="4" w:space="0" w:color="auto"/>
              <w:right w:val="single" w:sz="4" w:space="0" w:color="auto"/>
            </w:tcBorders>
            <w:shd w:val="clear" w:color="auto" w:fill="auto"/>
            <w:noWrap/>
            <w:vAlign w:val="center"/>
            <w:hideMark/>
          </w:tcPr>
          <w:p w14:paraId="5BB9A4A6" w14:textId="77777777" w:rsidR="00253427" w:rsidRPr="00653977" w:rsidRDefault="00253427" w:rsidP="00EF0503">
            <w:pPr>
              <w:ind w:right="1144"/>
              <w:jc w:val="right"/>
              <w:rPr>
                <w:sz w:val="22"/>
                <w:szCs w:val="22"/>
                <w:lang w:eastAsia="en-CA"/>
              </w:rPr>
            </w:pPr>
            <w:r w:rsidRPr="00653977">
              <w:rPr>
                <w:sz w:val="22"/>
                <w:szCs w:val="22"/>
                <w:lang w:eastAsia="en-CA"/>
              </w:rPr>
              <w:t>0.067</w:t>
            </w:r>
          </w:p>
        </w:tc>
        <w:tc>
          <w:tcPr>
            <w:tcW w:w="0" w:type="auto"/>
            <w:tcBorders>
              <w:top w:val="nil"/>
              <w:left w:val="nil"/>
              <w:bottom w:val="single" w:sz="4" w:space="0" w:color="auto"/>
              <w:right w:val="single" w:sz="4" w:space="0" w:color="auto"/>
            </w:tcBorders>
            <w:shd w:val="clear" w:color="auto" w:fill="auto"/>
            <w:noWrap/>
            <w:vAlign w:val="center"/>
            <w:hideMark/>
          </w:tcPr>
          <w:p w14:paraId="7BEE4E37" w14:textId="77777777" w:rsidR="00253427" w:rsidRPr="00653977" w:rsidRDefault="00253427" w:rsidP="00EF0503">
            <w:pPr>
              <w:ind w:right="276"/>
              <w:jc w:val="right"/>
              <w:rPr>
                <w:sz w:val="22"/>
                <w:szCs w:val="22"/>
                <w:lang w:eastAsia="en-CA"/>
              </w:rPr>
            </w:pPr>
            <w:r w:rsidRPr="00653977">
              <w:rPr>
                <w:sz w:val="22"/>
                <w:szCs w:val="22"/>
                <w:lang w:eastAsia="en-CA"/>
              </w:rPr>
              <w:t>1 599</w:t>
            </w:r>
          </w:p>
        </w:tc>
        <w:tc>
          <w:tcPr>
            <w:tcW w:w="0" w:type="auto"/>
            <w:tcBorders>
              <w:top w:val="nil"/>
              <w:left w:val="nil"/>
              <w:bottom w:val="single" w:sz="4" w:space="0" w:color="auto"/>
              <w:right w:val="single" w:sz="4" w:space="0" w:color="auto"/>
            </w:tcBorders>
            <w:shd w:val="clear" w:color="auto" w:fill="auto"/>
            <w:noWrap/>
            <w:vAlign w:val="center"/>
            <w:hideMark/>
          </w:tcPr>
          <w:p w14:paraId="003B92FD" w14:textId="77777777" w:rsidR="00253427" w:rsidRPr="00653977" w:rsidRDefault="00253427" w:rsidP="00EF0503">
            <w:pPr>
              <w:ind w:right="276"/>
              <w:jc w:val="right"/>
              <w:rPr>
                <w:sz w:val="22"/>
                <w:szCs w:val="22"/>
                <w:lang w:eastAsia="en-CA"/>
              </w:rPr>
            </w:pPr>
            <w:r w:rsidRPr="00653977">
              <w:rPr>
                <w:sz w:val="22"/>
                <w:szCs w:val="22"/>
                <w:lang w:eastAsia="en-CA"/>
              </w:rPr>
              <w:t>1 696</w:t>
            </w:r>
          </w:p>
        </w:tc>
        <w:tc>
          <w:tcPr>
            <w:tcW w:w="0" w:type="auto"/>
            <w:tcBorders>
              <w:top w:val="nil"/>
              <w:left w:val="nil"/>
              <w:bottom w:val="single" w:sz="4" w:space="0" w:color="auto"/>
              <w:right w:val="single" w:sz="4" w:space="0" w:color="auto"/>
            </w:tcBorders>
            <w:shd w:val="clear" w:color="auto" w:fill="auto"/>
            <w:noWrap/>
            <w:vAlign w:val="center"/>
            <w:hideMark/>
          </w:tcPr>
          <w:p w14:paraId="0882A2E5" w14:textId="77777777" w:rsidR="00253427" w:rsidRPr="00653977" w:rsidRDefault="00253427" w:rsidP="00EF0503">
            <w:pPr>
              <w:ind w:right="276"/>
              <w:jc w:val="right"/>
              <w:rPr>
                <w:sz w:val="22"/>
                <w:szCs w:val="22"/>
                <w:lang w:eastAsia="en-CA"/>
              </w:rPr>
            </w:pPr>
            <w:r w:rsidRPr="00653977">
              <w:rPr>
                <w:sz w:val="22"/>
                <w:szCs w:val="22"/>
                <w:lang w:eastAsia="en-CA"/>
              </w:rPr>
              <w:t>3 295</w:t>
            </w:r>
          </w:p>
        </w:tc>
      </w:tr>
      <w:tr w:rsidR="00253427" w:rsidRPr="00653977" w14:paraId="314246DF" w14:textId="77777777" w:rsidTr="00EF0503">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5A4D8A" w14:textId="77777777" w:rsidR="00253427" w:rsidRPr="00653977" w:rsidRDefault="00253427" w:rsidP="00EF0503">
            <w:pPr>
              <w:rPr>
                <w:sz w:val="22"/>
                <w:szCs w:val="22"/>
                <w:lang w:eastAsia="en-CA"/>
              </w:rPr>
            </w:pPr>
            <w:r w:rsidRPr="00653977">
              <w:rPr>
                <w:sz w:val="22"/>
                <w:szCs w:val="22"/>
                <w:lang w:eastAsia="en-CA"/>
              </w:rPr>
              <w:t>Ecuador</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6A5D978F" w14:textId="77777777" w:rsidR="00253427" w:rsidRPr="00653977" w:rsidRDefault="00253427" w:rsidP="00EF0503">
            <w:pPr>
              <w:ind w:right="770"/>
              <w:jc w:val="right"/>
              <w:rPr>
                <w:sz w:val="22"/>
                <w:szCs w:val="22"/>
                <w:lang w:eastAsia="en-CA"/>
              </w:rPr>
            </w:pPr>
            <w:r w:rsidRPr="00653977">
              <w:rPr>
                <w:sz w:val="22"/>
                <w:szCs w:val="22"/>
                <w:lang w:eastAsia="en-CA"/>
              </w:rPr>
              <w:t>0.067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38C4B40" w14:textId="77777777" w:rsidR="00253427" w:rsidRPr="00653977" w:rsidRDefault="00253427" w:rsidP="00EF0503">
            <w:pPr>
              <w:ind w:right="1144"/>
              <w:jc w:val="right"/>
              <w:rPr>
                <w:sz w:val="22"/>
                <w:szCs w:val="22"/>
                <w:lang w:eastAsia="en-CA"/>
              </w:rPr>
            </w:pPr>
            <w:r w:rsidRPr="00653977">
              <w:rPr>
                <w:sz w:val="22"/>
                <w:szCs w:val="22"/>
                <w:lang w:eastAsia="en-CA"/>
              </w:rPr>
              <w:t>0.097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82FAB38" w14:textId="77777777" w:rsidR="00253427" w:rsidRPr="00653977" w:rsidRDefault="00253427" w:rsidP="00EF0503">
            <w:pPr>
              <w:ind w:right="276"/>
              <w:jc w:val="right"/>
              <w:rPr>
                <w:sz w:val="22"/>
                <w:szCs w:val="22"/>
                <w:lang w:eastAsia="en-CA"/>
              </w:rPr>
            </w:pPr>
            <w:r w:rsidRPr="00653977">
              <w:rPr>
                <w:sz w:val="22"/>
                <w:szCs w:val="22"/>
                <w:lang w:eastAsia="en-CA"/>
              </w:rPr>
              <w:t>2 330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7C85C6F" w14:textId="77777777" w:rsidR="00253427" w:rsidRPr="00653977" w:rsidRDefault="00253427" w:rsidP="00EF0503">
            <w:pPr>
              <w:ind w:right="276"/>
              <w:jc w:val="right"/>
              <w:rPr>
                <w:sz w:val="22"/>
                <w:szCs w:val="22"/>
                <w:lang w:eastAsia="en-CA"/>
              </w:rPr>
            </w:pPr>
            <w:r w:rsidRPr="00653977">
              <w:rPr>
                <w:sz w:val="22"/>
                <w:szCs w:val="22"/>
                <w:lang w:eastAsia="en-CA"/>
              </w:rPr>
              <w:t>2 470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C8EE70B" w14:textId="77777777" w:rsidR="00253427" w:rsidRPr="00653977" w:rsidRDefault="00253427" w:rsidP="00EF0503">
            <w:pPr>
              <w:ind w:right="276"/>
              <w:jc w:val="right"/>
              <w:rPr>
                <w:sz w:val="22"/>
                <w:szCs w:val="22"/>
                <w:lang w:eastAsia="en-CA"/>
              </w:rPr>
            </w:pPr>
            <w:r w:rsidRPr="00653977">
              <w:rPr>
                <w:sz w:val="22"/>
                <w:szCs w:val="22"/>
                <w:lang w:eastAsia="en-CA"/>
              </w:rPr>
              <w:t>4 800</w:t>
            </w:r>
          </w:p>
        </w:tc>
      </w:tr>
      <w:tr w:rsidR="00253427" w:rsidRPr="00653977" w14:paraId="56FC7FB0"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A5A37D" w14:textId="77777777" w:rsidR="00253427" w:rsidRPr="00653977" w:rsidRDefault="00253427" w:rsidP="00EF0503">
            <w:pPr>
              <w:rPr>
                <w:sz w:val="22"/>
                <w:szCs w:val="22"/>
                <w:lang w:eastAsia="en-CA"/>
              </w:rPr>
            </w:pPr>
            <w:r w:rsidRPr="00653977">
              <w:rPr>
                <w:sz w:val="22"/>
                <w:szCs w:val="22"/>
                <w:lang w:eastAsia="en-CA"/>
              </w:rPr>
              <w:t>Egypt</w:t>
            </w:r>
          </w:p>
        </w:tc>
        <w:tc>
          <w:tcPr>
            <w:tcW w:w="2288" w:type="dxa"/>
            <w:tcBorders>
              <w:top w:val="nil"/>
              <w:left w:val="nil"/>
              <w:bottom w:val="single" w:sz="4" w:space="0" w:color="auto"/>
              <w:right w:val="single" w:sz="4" w:space="0" w:color="auto"/>
            </w:tcBorders>
            <w:shd w:val="clear" w:color="auto" w:fill="auto"/>
            <w:vAlign w:val="center"/>
            <w:hideMark/>
          </w:tcPr>
          <w:p w14:paraId="2B7DE161" w14:textId="77777777" w:rsidR="00253427" w:rsidRPr="00653977" w:rsidRDefault="00253427" w:rsidP="00EF0503">
            <w:pPr>
              <w:ind w:right="770"/>
              <w:jc w:val="right"/>
              <w:rPr>
                <w:sz w:val="22"/>
                <w:szCs w:val="22"/>
                <w:lang w:eastAsia="en-CA"/>
              </w:rPr>
            </w:pPr>
            <w:r w:rsidRPr="00653977">
              <w:rPr>
                <w:sz w:val="22"/>
                <w:szCs w:val="22"/>
                <w:lang w:eastAsia="en-CA"/>
              </w:rPr>
              <w:t>0.152</w:t>
            </w:r>
          </w:p>
        </w:tc>
        <w:tc>
          <w:tcPr>
            <w:tcW w:w="0" w:type="auto"/>
            <w:tcBorders>
              <w:top w:val="nil"/>
              <w:left w:val="nil"/>
              <w:bottom w:val="single" w:sz="4" w:space="0" w:color="auto"/>
              <w:right w:val="single" w:sz="4" w:space="0" w:color="auto"/>
            </w:tcBorders>
            <w:shd w:val="clear" w:color="auto" w:fill="auto"/>
            <w:noWrap/>
            <w:vAlign w:val="center"/>
            <w:hideMark/>
          </w:tcPr>
          <w:p w14:paraId="173C2074" w14:textId="77777777" w:rsidR="00253427" w:rsidRPr="00653977" w:rsidRDefault="00253427" w:rsidP="00EF0503">
            <w:pPr>
              <w:ind w:right="1144"/>
              <w:jc w:val="right"/>
              <w:rPr>
                <w:sz w:val="22"/>
                <w:szCs w:val="22"/>
                <w:lang w:eastAsia="en-CA"/>
              </w:rPr>
            </w:pPr>
            <w:r w:rsidRPr="00653977">
              <w:rPr>
                <w:sz w:val="22"/>
                <w:szCs w:val="22"/>
                <w:lang w:eastAsia="en-CA"/>
              </w:rPr>
              <w:t>0.220</w:t>
            </w:r>
          </w:p>
        </w:tc>
        <w:tc>
          <w:tcPr>
            <w:tcW w:w="0" w:type="auto"/>
            <w:tcBorders>
              <w:top w:val="nil"/>
              <w:left w:val="nil"/>
              <w:bottom w:val="single" w:sz="4" w:space="0" w:color="auto"/>
              <w:right w:val="single" w:sz="4" w:space="0" w:color="auto"/>
            </w:tcBorders>
            <w:shd w:val="clear" w:color="auto" w:fill="auto"/>
            <w:noWrap/>
            <w:vAlign w:val="center"/>
            <w:hideMark/>
          </w:tcPr>
          <w:p w14:paraId="78B5D04A" w14:textId="77777777" w:rsidR="00253427" w:rsidRPr="00653977" w:rsidRDefault="00253427" w:rsidP="00EF0503">
            <w:pPr>
              <w:ind w:right="276"/>
              <w:jc w:val="right"/>
              <w:rPr>
                <w:sz w:val="22"/>
                <w:szCs w:val="22"/>
                <w:lang w:eastAsia="en-CA"/>
              </w:rPr>
            </w:pPr>
            <w:r w:rsidRPr="00653977">
              <w:rPr>
                <w:sz w:val="22"/>
                <w:szCs w:val="22"/>
                <w:lang w:eastAsia="en-CA"/>
              </w:rPr>
              <w:t>5 285</w:t>
            </w:r>
          </w:p>
        </w:tc>
        <w:tc>
          <w:tcPr>
            <w:tcW w:w="0" w:type="auto"/>
            <w:tcBorders>
              <w:top w:val="nil"/>
              <w:left w:val="nil"/>
              <w:bottom w:val="single" w:sz="4" w:space="0" w:color="auto"/>
              <w:right w:val="single" w:sz="4" w:space="0" w:color="auto"/>
            </w:tcBorders>
            <w:shd w:val="clear" w:color="auto" w:fill="auto"/>
            <w:noWrap/>
            <w:vAlign w:val="center"/>
            <w:hideMark/>
          </w:tcPr>
          <w:p w14:paraId="72049207" w14:textId="77777777" w:rsidR="00253427" w:rsidRPr="00653977" w:rsidRDefault="00253427" w:rsidP="00EF0503">
            <w:pPr>
              <w:ind w:right="276"/>
              <w:jc w:val="right"/>
              <w:rPr>
                <w:sz w:val="22"/>
                <w:szCs w:val="22"/>
                <w:lang w:eastAsia="en-CA"/>
              </w:rPr>
            </w:pPr>
            <w:r w:rsidRPr="00653977">
              <w:rPr>
                <w:sz w:val="22"/>
                <w:szCs w:val="22"/>
                <w:lang w:eastAsia="en-CA"/>
              </w:rPr>
              <w:t>5 604</w:t>
            </w:r>
          </w:p>
        </w:tc>
        <w:tc>
          <w:tcPr>
            <w:tcW w:w="0" w:type="auto"/>
            <w:tcBorders>
              <w:top w:val="nil"/>
              <w:left w:val="nil"/>
              <w:bottom w:val="single" w:sz="4" w:space="0" w:color="auto"/>
              <w:right w:val="single" w:sz="4" w:space="0" w:color="auto"/>
            </w:tcBorders>
            <w:shd w:val="clear" w:color="auto" w:fill="auto"/>
            <w:noWrap/>
            <w:vAlign w:val="center"/>
            <w:hideMark/>
          </w:tcPr>
          <w:p w14:paraId="34630D28" w14:textId="77777777" w:rsidR="00253427" w:rsidRPr="00653977" w:rsidRDefault="00253427" w:rsidP="00EF0503">
            <w:pPr>
              <w:ind w:right="276"/>
              <w:jc w:val="right"/>
              <w:rPr>
                <w:sz w:val="22"/>
                <w:szCs w:val="22"/>
                <w:lang w:eastAsia="en-CA"/>
              </w:rPr>
            </w:pPr>
            <w:r w:rsidRPr="00653977">
              <w:rPr>
                <w:sz w:val="22"/>
                <w:szCs w:val="22"/>
                <w:lang w:eastAsia="en-CA"/>
              </w:rPr>
              <w:t>10 889</w:t>
            </w:r>
          </w:p>
        </w:tc>
      </w:tr>
      <w:tr w:rsidR="00253427" w:rsidRPr="00653977" w14:paraId="21910159"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BB59B5" w14:textId="77777777" w:rsidR="00253427" w:rsidRPr="00653977" w:rsidRDefault="00253427" w:rsidP="00EF0503">
            <w:pPr>
              <w:rPr>
                <w:sz w:val="22"/>
                <w:szCs w:val="22"/>
                <w:lang w:eastAsia="en-CA"/>
              </w:rPr>
            </w:pPr>
            <w:r w:rsidRPr="00653977">
              <w:rPr>
                <w:sz w:val="22"/>
                <w:szCs w:val="22"/>
                <w:lang w:eastAsia="en-CA"/>
              </w:rPr>
              <w:t>El Salvador</w:t>
            </w:r>
          </w:p>
        </w:tc>
        <w:tc>
          <w:tcPr>
            <w:tcW w:w="2288" w:type="dxa"/>
            <w:tcBorders>
              <w:top w:val="nil"/>
              <w:left w:val="nil"/>
              <w:bottom w:val="single" w:sz="4" w:space="0" w:color="auto"/>
              <w:right w:val="single" w:sz="4" w:space="0" w:color="auto"/>
            </w:tcBorders>
            <w:shd w:val="clear" w:color="auto" w:fill="auto"/>
            <w:vAlign w:val="center"/>
            <w:hideMark/>
          </w:tcPr>
          <w:p w14:paraId="416D3544" w14:textId="77777777" w:rsidR="00253427" w:rsidRPr="00653977" w:rsidRDefault="00253427" w:rsidP="00EF0503">
            <w:pPr>
              <w:ind w:right="770"/>
              <w:jc w:val="right"/>
              <w:rPr>
                <w:sz w:val="22"/>
                <w:szCs w:val="22"/>
                <w:lang w:eastAsia="en-CA"/>
              </w:rPr>
            </w:pPr>
            <w:r w:rsidRPr="00653977">
              <w:rPr>
                <w:sz w:val="22"/>
                <w:szCs w:val="22"/>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15A15A9B" w14:textId="77777777" w:rsidR="00253427" w:rsidRPr="00653977" w:rsidRDefault="00253427" w:rsidP="00EF0503">
            <w:pPr>
              <w:ind w:right="1144"/>
              <w:jc w:val="right"/>
              <w:rPr>
                <w:sz w:val="22"/>
                <w:szCs w:val="22"/>
                <w:lang w:eastAsia="en-CA"/>
              </w:rPr>
            </w:pPr>
            <w:r w:rsidRPr="00653977">
              <w:rPr>
                <w:sz w:val="22"/>
                <w:szCs w:val="22"/>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6A1DAB2C" w14:textId="77777777" w:rsidR="00253427" w:rsidRPr="00653977" w:rsidRDefault="00253427" w:rsidP="00EF0503">
            <w:pPr>
              <w:ind w:right="276"/>
              <w:jc w:val="right"/>
              <w:rPr>
                <w:sz w:val="22"/>
                <w:szCs w:val="22"/>
                <w:lang w:eastAsia="en-CA"/>
              </w:rPr>
            </w:pPr>
            <w:r w:rsidRPr="00653977">
              <w:rPr>
                <w:sz w:val="22"/>
                <w:szCs w:val="22"/>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0F3CA00A" w14:textId="77777777" w:rsidR="00253427" w:rsidRPr="00653977" w:rsidRDefault="00253427" w:rsidP="00EF0503">
            <w:pPr>
              <w:ind w:right="276"/>
              <w:jc w:val="right"/>
              <w:rPr>
                <w:sz w:val="22"/>
                <w:szCs w:val="22"/>
                <w:lang w:eastAsia="en-CA"/>
              </w:rPr>
            </w:pPr>
            <w:r w:rsidRPr="00653977">
              <w:rPr>
                <w:sz w:val="22"/>
                <w:szCs w:val="22"/>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23D44613" w14:textId="77777777" w:rsidR="00253427" w:rsidRPr="00653977" w:rsidRDefault="00253427" w:rsidP="00EF0503">
            <w:pPr>
              <w:ind w:right="276"/>
              <w:jc w:val="right"/>
              <w:rPr>
                <w:sz w:val="22"/>
                <w:szCs w:val="22"/>
                <w:lang w:eastAsia="en-CA"/>
              </w:rPr>
            </w:pPr>
            <w:r w:rsidRPr="00653977">
              <w:rPr>
                <w:sz w:val="22"/>
                <w:szCs w:val="22"/>
                <w:lang w:eastAsia="en-CA"/>
              </w:rPr>
              <w:t>1 003</w:t>
            </w:r>
          </w:p>
        </w:tc>
      </w:tr>
      <w:tr w:rsidR="00253427" w:rsidRPr="00653977" w14:paraId="5996C86A"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ED80E2" w14:textId="77777777" w:rsidR="00253427" w:rsidRPr="00653977" w:rsidRDefault="00253427" w:rsidP="00EF0503">
            <w:pPr>
              <w:rPr>
                <w:sz w:val="22"/>
                <w:szCs w:val="22"/>
                <w:lang w:eastAsia="en-CA"/>
              </w:rPr>
            </w:pPr>
            <w:r w:rsidRPr="00653977">
              <w:rPr>
                <w:sz w:val="22"/>
                <w:szCs w:val="22"/>
                <w:lang w:eastAsia="en-CA"/>
              </w:rPr>
              <w:t>Eritrea</w:t>
            </w:r>
          </w:p>
        </w:tc>
        <w:tc>
          <w:tcPr>
            <w:tcW w:w="2288" w:type="dxa"/>
            <w:tcBorders>
              <w:top w:val="nil"/>
              <w:left w:val="nil"/>
              <w:bottom w:val="single" w:sz="4" w:space="0" w:color="auto"/>
              <w:right w:val="single" w:sz="4" w:space="0" w:color="auto"/>
            </w:tcBorders>
            <w:shd w:val="clear" w:color="auto" w:fill="auto"/>
            <w:vAlign w:val="center"/>
            <w:hideMark/>
          </w:tcPr>
          <w:p w14:paraId="7C7637DD"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E4A0A5A"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97BFC48"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048A2AFB"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39F83F9"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42527C1E"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936600" w14:textId="77777777" w:rsidR="00253427" w:rsidRPr="00653977" w:rsidRDefault="00253427" w:rsidP="00EF0503">
            <w:pPr>
              <w:rPr>
                <w:sz w:val="22"/>
                <w:szCs w:val="22"/>
                <w:lang w:eastAsia="en-CA"/>
              </w:rPr>
            </w:pPr>
            <w:r w:rsidRPr="00653977">
              <w:rPr>
                <w:sz w:val="22"/>
                <w:szCs w:val="22"/>
                <w:lang w:eastAsia="en-CA"/>
              </w:rPr>
              <w:t>Estonia</w:t>
            </w:r>
          </w:p>
        </w:tc>
        <w:tc>
          <w:tcPr>
            <w:tcW w:w="2288" w:type="dxa"/>
            <w:tcBorders>
              <w:top w:val="nil"/>
              <w:left w:val="nil"/>
              <w:bottom w:val="single" w:sz="4" w:space="0" w:color="auto"/>
              <w:right w:val="single" w:sz="4" w:space="0" w:color="auto"/>
            </w:tcBorders>
            <w:shd w:val="clear" w:color="auto" w:fill="auto"/>
            <w:vAlign w:val="center"/>
            <w:hideMark/>
          </w:tcPr>
          <w:p w14:paraId="19BCB929" w14:textId="77777777" w:rsidR="00253427" w:rsidRPr="00653977" w:rsidRDefault="00253427" w:rsidP="00EF0503">
            <w:pPr>
              <w:ind w:right="770"/>
              <w:jc w:val="right"/>
              <w:rPr>
                <w:sz w:val="22"/>
                <w:szCs w:val="22"/>
                <w:lang w:eastAsia="en-CA"/>
              </w:rPr>
            </w:pPr>
            <w:r w:rsidRPr="00653977">
              <w:rPr>
                <w:sz w:val="22"/>
                <w:szCs w:val="22"/>
                <w:lang w:eastAsia="en-CA"/>
              </w:rPr>
              <w:t>0.038</w:t>
            </w:r>
          </w:p>
        </w:tc>
        <w:tc>
          <w:tcPr>
            <w:tcW w:w="0" w:type="auto"/>
            <w:tcBorders>
              <w:top w:val="nil"/>
              <w:left w:val="nil"/>
              <w:bottom w:val="single" w:sz="4" w:space="0" w:color="auto"/>
              <w:right w:val="single" w:sz="4" w:space="0" w:color="auto"/>
            </w:tcBorders>
            <w:shd w:val="clear" w:color="auto" w:fill="auto"/>
            <w:noWrap/>
            <w:vAlign w:val="center"/>
            <w:hideMark/>
          </w:tcPr>
          <w:p w14:paraId="78182558" w14:textId="77777777" w:rsidR="00253427" w:rsidRPr="00653977" w:rsidRDefault="00253427" w:rsidP="00EF0503">
            <w:pPr>
              <w:ind w:right="1144"/>
              <w:jc w:val="right"/>
              <w:rPr>
                <w:sz w:val="22"/>
                <w:szCs w:val="22"/>
                <w:lang w:eastAsia="en-CA"/>
              </w:rPr>
            </w:pPr>
            <w:r w:rsidRPr="00653977">
              <w:rPr>
                <w:sz w:val="22"/>
                <w:szCs w:val="22"/>
                <w:lang w:eastAsia="en-CA"/>
              </w:rPr>
              <w:t>0.055</w:t>
            </w:r>
          </w:p>
        </w:tc>
        <w:tc>
          <w:tcPr>
            <w:tcW w:w="0" w:type="auto"/>
            <w:tcBorders>
              <w:top w:val="nil"/>
              <w:left w:val="nil"/>
              <w:bottom w:val="single" w:sz="4" w:space="0" w:color="auto"/>
              <w:right w:val="single" w:sz="4" w:space="0" w:color="auto"/>
            </w:tcBorders>
            <w:shd w:val="clear" w:color="auto" w:fill="auto"/>
            <w:noWrap/>
            <w:vAlign w:val="center"/>
            <w:hideMark/>
          </w:tcPr>
          <w:p w14:paraId="515D9DCC" w14:textId="77777777" w:rsidR="00253427" w:rsidRPr="00653977" w:rsidRDefault="00253427" w:rsidP="00EF0503">
            <w:pPr>
              <w:ind w:right="276"/>
              <w:jc w:val="right"/>
              <w:rPr>
                <w:sz w:val="22"/>
                <w:szCs w:val="22"/>
                <w:lang w:eastAsia="en-CA"/>
              </w:rPr>
            </w:pPr>
            <w:r w:rsidRPr="00653977">
              <w:rPr>
                <w:sz w:val="22"/>
                <w:szCs w:val="22"/>
                <w:lang w:eastAsia="en-CA"/>
              </w:rPr>
              <w:t>1 321</w:t>
            </w:r>
          </w:p>
        </w:tc>
        <w:tc>
          <w:tcPr>
            <w:tcW w:w="0" w:type="auto"/>
            <w:tcBorders>
              <w:top w:val="nil"/>
              <w:left w:val="nil"/>
              <w:bottom w:val="single" w:sz="4" w:space="0" w:color="auto"/>
              <w:right w:val="single" w:sz="4" w:space="0" w:color="auto"/>
            </w:tcBorders>
            <w:shd w:val="clear" w:color="auto" w:fill="auto"/>
            <w:noWrap/>
            <w:vAlign w:val="center"/>
            <w:hideMark/>
          </w:tcPr>
          <w:p w14:paraId="0F7B8CA1" w14:textId="77777777" w:rsidR="00253427" w:rsidRPr="00653977" w:rsidRDefault="00253427" w:rsidP="00EF0503">
            <w:pPr>
              <w:ind w:right="276"/>
              <w:jc w:val="right"/>
              <w:rPr>
                <w:sz w:val="22"/>
                <w:szCs w:val="22"/>
                <w:lang w:eastAsia="en-CA"/>
              </w:rPr>
            </w:pPr>
            <w:r w:rsidRPr="00653977">
              <w:rPr>
                <w:sz w:val="22"/>
                <w:szCs w:val="22"/>
                <w:lang w:eastAsia="en-CA"/>
              </w:rPr>
              <w:t>1 401</w:t>
            </w:r>
          </w:p>
        </w:tc>
        <w:tc>
          <w:tcPr>
            <w:tcW w:w="0" w:type="auto"/>
            <w:tcBorders>
              <w:top w:val="nil"/>
              <w:left w:val="nil"/>
              <w:bottom w:val="single" w:sz="4" w:space="0" w:color="auto"/>
              <w:right w:val="single" w:sz="4" w:space="0" w:color="auto"/>
            </w:tcBorders>
            <w:shd w:val="clear" w:color="auto" w:fill="auto"/>
            <w:noWrap/>
            <w:vAlign w:val="center"/>
            <w:hideMark/>
          </w:tcPr>
          <w:p w14:paraId="11CEB716" w14:textId="77777777" w:rsidR="00253427" w:rsidRPr="00653977" w:rsidRDefault="00253427" w:rsidP="00EF0503">
            <w:pPr>
              <w:ind w:right="276"/>
              <w:jc w:val="right"/>
              <w:rPr>
                <w:sz w:val="22"/>
                <w:szCs w:val="22"/>
                <w:lang w:eastAsia="en-CA"/>
              </w:rPr>
            </w:pPr>
            <w:r w:rsidRPr="00653977">
              <w:rPr>
                <w:sz w:val="22"/>
                <w:szCs w:val="22"/>
                <w:lang w:eastAsia="en-CA"/>
              </w:rPr>
              <w:t>2 722</w:t>
            </w:r>
          </w:p>
        </w:tc>
      </w:tr>
      <w:tr w:rsidR="00253427" w:rsidRPr="00653977" w14:paraId="1E0BAF06"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705C6B" w14:textId="77777777" w:rsidR="00253427" w:rsidRPr="00653977" w:rsidRDefault="00253427" w:rsidP="00EF0503">
            <w:pPr>
              <w:rPr>
                <w:sz w:val="22"/>
                <w:szCs w:val="22"/>
                <w:lang w:eastAsia="en-CA"/>
              </w:rPr>
            </w:pPr>
            <w:proofErr w:type="spellStart"/>
            <w:r w:rsidRPr="00653977">
              <w:rPr>
                <w:sz w:val="22"/>
                <w:szCs w:val="22"/>
                <w:lang w:eastAsia="en-CA"/>
              </w:rPr>
              <w:t>Eswatini</w:t>
            </w:r>
            <w:proofErr w:type="spellEnd"/>
          </w:p>
        </w:tc>
        <w:tc>
          <w:tcPr>
            <w:tcW w:w="2288" w:type="dxa"/>
            <w:tcBorders>
              <w:top w:val="nil"/>
              <w:left w:val="nil"/>
              <w:bottom w:val="single" w:sz="4" w:space="0" w:color="auto"/>
              <w:right w:val="single" w:sz="4" w:space="0" w:color="auto"/>
            </w:tcBorders>
            <w:shd w:val="clear" w:color="auto" w:fill="auto"/>
            <w:vAlign w:val="center"/>
            <w:hideMark/>
          </w:tcPr>
          <w:p w14:paraId="7E9666AF" w14:textId="77777777" w:rsidR="00253427" w:rsidRPr="00653977" w:rsidRDefault="00253427" w:rsidP="00EF0503">
            <w:pPr>
              <w:ind w:right="770"/>
              <w:jc w:val="right"/>
              <w:rPr>
                <w:sz w:val="22"/>
                <w:szCs w:val="22"/>
                <w:lang w:eastAsia="en-CA"/>
              </w:rPr>
            </w:pPr>
            <w:r w:rsidRPr="00653977">
              <w:rPr>
                <w:sz w:val="22"/>
                <w:szCs w:val="22"/>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6AEE447A" w14:textId="77777777" w:rsidR="00253427" w:rsidRPr="00653977" w:rsidRDefault="00253427" w:rsidP="00EF0503">
            <w:pPr>
              <w:ind w:right="1144"/>
              <w:jc w:val="right"/>
              <w:rPr>
                <w:sz w:val="22"/>
                <w:szCs w:val="22"/>
                <w:lang w:eastAsia="en-CA"/>
              </w:rPr>
            </w:pPr>
            <w:r w:rsidRPr="00653977">
              <w:rPr>
                <w:sz w:val="22"/>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51C5F4BB" w14:textId="77777777" w:rsidR="00253427" w:rsidRPr="00653977" w:rsidRDefault="00253427" w:rsidP="00EF0503">
            <w:pPr>
              <w:ind w:right="276"/>
              <w:jc w:val="right"/>
              <w:rPr>
                <w:sz w:val="22"/>
                <w:szCs w:val="22"/>
                <w:lang w:eastAsia="en-CA"/>
              </w:rPr>
            </w:pPr>
            <w:r w:rsidRPr="00653977">
              <w:rPr>
                <w:sz w:val="22"/>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324A7FE1" w14:textId="77777777" w:rsidR="00253427" w:rsidRPr="00653977" w:rsidRDefault="00253427" w:rsidP="00EF0503">
            <w:pPr>
              <w:ind w:right="276"/>
              <w:jc w:val="right"/>
              <w:rPr>
                <w:sz w:val="22"/>
                <w:szCs w:val="22"/>
                <w:lang w:eastAsia="en-CA"/>
              </w:rPr>
            </w:pPr>
            <w:r w:rsidRPr="00653977">
              <w:rPr>
                <w:sz w:val="22"/>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6F189B53" w14:textId="77777777" w:rsidR="00253427" w:rsidRPr="00653977" w:rsidRDefault="00253427" w:rsidP="00EF0503">
            <w:pPr>
              <w:ind w:right="276"/>
              <w:jc w:val="right"/>
              <w:rPr>
                <w:sz w:val="22"/>
                <w:szCs w:val="22"/>
                <w:lang w:eastAsia="en-CA"/>
              </w:rPr>
            </w:pPr>
            <w:r w:rsidRPr="00653977">
              <w:rPr>
                <w:sz w:val="22"/>
                <w:szCs w:val="22"/>
                <w:lang w:eastAsia="en-CA"/>
              </w:rPr>
              <w:t>143</w:t>
            </w:r>
          </w:p>
        </w:tc>
      </w:tr>
      <w:tr w:rsidR="00253427" w:rsidRPr="00653977" w14:paraId="412F73CA"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463400" w14:textId="77777777" w:rsidR="00253427" w:rsidRPr="00653977" w:rsidRDefault="00253427" w:rsidP="00EF0503">
            <w:pPr>
              <w:rPr>
                <w:sz w:val="22"/>
                <w:szCs w:val="22"/>
                <w:lang w:eastAsia="en-CA"/>
              </w:rPr>
            </w:pPr>
            <w:r w:rsidRPr="00653977">
              <w:rPr>
                <w:sz w:val="22"/>
                <w:szCs w:val="22"/>
                <w:lang w:eastAsia="en-CA"/>
              </w:rPr>
              <w:t>Ethiopia</w:t>
            </w:r>
          </w:p>
        </w:tc>
        <w:tc>
          <w:tcPr>
            <w:tcW w:w="2288" w:type="dxa"/>
            <w:tcBorders>
              <w:top w:val="nil"/>
              <w:left w:val="nil"/>
              <w:bottom w:val="single" w:sz="4" w:space="0" w:color="auto"/>
              <w:right w:val="single" w:sz="4" w:space="0" w:color="auto"/>
            </w:tcBorders>
            <w:shd w:val="clear" w:color="auto" w:fill="auto"/>
            <w:vAlign w:val="center"/>
            <w:hideMark/>
          </w:tcPr>
          <w:p w14:paraId="3D45AE08" w14:textId="77777777" w:rsidR="00253427" w:rsidRPr="00653977" w:rsidRDefault="00253427" w:rsidP="00EF0503">
            <w:pPr>
              <w:ind w:right="770"/>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5322E11" w14:textId="77777777" w:rsidR="00253427" w:rsidRPr="00653977" w:rsidRDefault="00253427" w:rsidP="00EF0503">
            <w:pPr>
              <w:ind w:right="1144"/>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611E0EC0" w14:textId="77777777" w:rsidR="00253427" w:rsidRPr="00653977" w:rsidRDefault="00253427" w:rsidP="00EF0503">
            <w:pPr>
              <w:ind w:right="276"/>
              <w:jc w:val="right"/>
              <w:rPr>
                <w:sz w:val="22"/>
                <w:szCs w:val="22"/>
                <w:lang w:eastAsia="en-CA"/>
              </w:rPr>
            </w:pPr>
            <w:r w:rsidRPr="00653977">
              <w:rPr>
                <w:sz w:val="22"/>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5928CE04" w14:textId="77777777" w:rsidR="00253427" w:rsidRPr="00653977" w:rsidRDefault="00253427" w:rsidP="00EF0503">
            <w:pPr>
              <w:ind w:right="276"/>
              <w:jc w:val="right"/>
              <w:rPr>
                <w:sz w:val="22"/>
                <w:szCs w:val="22"/>
                <w:lang w:eastAsia="en-CA"/>
              </w:rPr>
            </w:pPr>
            <w:r w:rsidRPr="00653977">
              <w:rPr>
                <w:sz w:val="22"/>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0D74495F" w14:textId="77777777" w:rsidR="00253427" w:rsidRPr="00653977" w:rsidRDefault="00253427" w:rsidP="00EF0503">
            <w:pPr>
              <w:ind w:right="276"/>
              <w:jc w:val="right"/>
              <w:rPr>
                <w:sz w:val="22"/>
                <w:szCs w:val="22"/>
                <w:lang w:eastAsia="en-CA"/>
              </w:rPr>
            </w:pPr>
            <w:r w:rsidRPr="00653977">
              <w:rPr>
                <w:sz w:val="22"/>
                <w:szCs w:val="22"/>
                <w:lang w:eastAsia="en-CA"/>
              </w:rPr>
              <w:t>495</w:t>
            </w:r>
          </w:p>
        </w:tc>
      </w:tr>
      <w:tr w:rsidR="00253427" w:rsidRPr="00653977" w14:paraId="2A740A64"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79E1A6" w14:textId="77777777" w:rsidR="00253427" w:rsidRPr="00653977" w:rsidRDefault="00253427" w:rsidP="00EF0503">
            <w:pPr>
              <w:rPr>
                <w:sz w:val="22"/>
                <w:szCs w:val="22"/>
                <w:lang w:eastAsia="en-CA"/>
              </w:rPr>
            </w:pPr>
            <w:r w:rsidRPr="00653977">
              <w:rPr>
                <w:sz w:val="22"/>
                <w:szCs w:val="22"/>
                <w:lang w:eastAsia="en-CA"/>
              </w:rPr>
              <w:t>European Union</w:t>
            </w:r>
          </w:p>
        </w:tc>
        <w:tc>
          <w:tcPr>
            <w:tcW w:w="2288" w:type="dxa"/>
            <w:tcBorders>
              <w:top w:val="nil"/>
              <w:left w:val="nil"/>
              <w:bottom w:val="single" w:sz="4" w:space="0" w:color="auto"/>
              <w:right w:val="single" w:sz="4" w:space="0" w:color="auto"/>
            </w:tcBorders>
            <w:shd w:val="clear" w:color="auto" w:fill="auto"/>
            <w:vAlign w:val="center"/>
            <w:hideMark/>
          </w:tcPr>
          <w:p w14:paraId="62D29244" w14:textId="77777777" w:rsidR="00253427" w:rsidRPr="00653977" w:rsidRDefault="00253427" w:rsidP="00EF0503">
            <w:pPr>
              <w:ind w:right="770"/>
              <w:rPr>
                <w:sz w:val="22"/>
                <w:szCs w:val="22"/>
                <w:lang w:eastAsia="en-CA"/>
              </w:rPr>
            </w:pPr>
          </w:p>
        </w:tc>
        <w:tc>
          <w:tcPr>
            <w:tcW w:w="0" w:type="auto"/>
            <w:tcBorders>
              <w:top w:val="nil"/>
              <w:left w:val="nil"/>
              <w:bottom w:val="single" w:sz="4" w:space="0" w:color="auto"/>
              <w:right w:val="single" w:sz="4" w:space="0" w:color="auto"/>
            </w:tcBorders>
            <w:shd w:val="clear" w:color="auto" w:fill="auto"/>
            <w:noWrap/>
            <w:vAlign w:val="center"/>
            <w:hideMark/>
          </w:tcPr>
          <w:p w14:paraId="4342294C" w14:textId="77777777" w:rsidR="00253427" w:rsidRPr="00653977" w:rsidRDefault="00253427" w:rsidP="00EF0503">
            <w:pPr>
              <w:ind w:right="1144"/>
              <w:jc w:val="right"/>
              <w:rPr>
                <w:sz w:val="22"/>
                <w:szCs w:val="22"/>
                <w:lang w:eastAsia="en-CA"/>
              </w:rPr>
            </w:pPr>
            <w:r w:rsidRPr="00653977">
              <w:rPr>
                <w:sz w:val="22"/>
                <w:szCs w:val="22"/>
                <w:lang w:eastAsia="en-CA"/>
              </w:rPr>
              <w:t>2.500</w:t>
            </w:r>
          </w:p>
        </w:tc>
        <w:tc>
          <w:tcPr>
            <w:tcW w:w="0" w:type="auto"/>
            <w:tcBorders>
              <w:top w:val="nil"/>
              <w:left w:val="nil"/>
              <w:bottom w:val="single" w:sz="4" w:space="0" w:color="auto"/>
              <w:right w:val="single" w:sz="4" w:space="0" w:color="auto"/>
            </w:tcBorders>
            <w:shd w:val="clear" w:color="auto" w:fill="auto"/>
            <w:noWrap/>
            <w:vAlign w:val="center"/>
            <w:hideMark/>
          </w:tcPr>
          <w:p w14:paraId="5C372658" w14:textId="77777777" w:rsidR="00253427" w:rsidRPr="00653977" w:rsidRDefault="00253427" w:rsidP="00EF0503">
            <w:pPr>
              <w:ind w:right="276"/>
              <w:jc w:val="right"/>
              <w:rPr>
                <w:sz w:val="22"/>
                <w:szCs w:val="22"/>
                <w:lang w:eastAsia="en-CA"/>
              </w:rPr>
            </w:pPr>
            <w:r w:rsidRPr="00653977">
              <w:rPr>
                <w:sz w:val="22"/>
                <w:szCs w:val="22"/>
                <w:lang w:eastAsia="en-CA"/>
              </w:rPr>
              <w:t>60 033</w:t>
            </w:r>
          </w:p>
        </w:tc>
        <w:tc>
          <w:tcPr>
            <w:tcW w:w="0" w:type="auto"/>
            <w:tcBorders>
              <w:top w:val="nil"/>
              <w:left w:val="nil"/>
              <w:bottom w:val="single" w:sz="4" w:space="0" w:color="auto"/>
              <w:right w:val="single" w:sz="4" w:space="0" w:color="auto"/>
            </w:tcBorders>
            <w:shd w:val="clear" w:color="auto" w:fill="auto"/>
            <w:noWrap/>
            <w:vAlign w:val="center"/>
            <w:hideMark/>
          </w:tcPr>
          <w:p w14:paraId="4AC6E0B9" w14:textId="77777777" w:rsidR="00253427" w:rsidRPr="00653977" w:rsidRDefault="00253427" w:rsidP="00EF0503">
            <w:pPr>
              <w:ind w:right="276"/>
              <w:jc w:val="right"/>
              <w:rPr>
                <w:sz w:val="22"/>
                <w:szCs w:val="22"/>
                <w:lang w:eastAsia="en-CA"/>
              </w:rPr>
            </w:pPr>
            <w:r w:rsidRPr="00653977">
              <w:rPr>
                <w:sz w:val="22"/>
                <w:szCs w:val="22"/>
                <w:lang w:eastAsia="en-CA"/>
              </w:rPr>
              <w:t>63 659</w:t>
            </w:r>
          </w:p>
        </w:tc>
        <w:tc>
          <w:tcPr>
            <w:tcW w:w="0" w:type="auto"/>
            <w:tcBorders>
              <w:top w:val="nil"/>
              <w:left w:val="nil"/>
              <w:bottom w:val="single" w:sz="4" w:space="0" w:color="auto"/>
              <w:right w:val="single" w:sz="4" w:space="0" w:color="auto"/>
            </w:tcBorders>
            <w:shd w:val="clear" w:color="auto" w:fill="auto"/>
            <w:noWrap/>
            <w:vAlign w:val="center"/>
            <w:hideMark/>
          </w:tcPr>
          <w:p w14:paraId="4AA8027B" w14:textId="77777777" w:rsidR="00253427" w:rsidRPr="00653977" w:rsidRDefault="00253427" w:rsidP="00EF0503">
            <w:pPr>
              <w:ind w:right="276"/>
              <w:jc w:val="right"/>
              <w:rPr>
                <w:sz w:val="22"/>
                <w:szCs w:val="22"/>
                <w:lang w:eastAsia="en-CA"/>
              </w:rPr>
            </w:pPr>
            <w:r w:rsidRPr="00653977">
              <w:rPr>
                <w:sz w:val="22"/>
                <w:szCs w:val="22"/>
                <w:lang w:eastAsia="en-CA"/>
              </w:rPr>
              <w:t>123 692</w:t>
            </w:r>
          </w:p>
        </w:tc>
      </w:tr>
      <w:tr w:rsidR="00253427" w:rsidRPr="00653977" w14:paraId="281C219F"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BF72C6" w14:textId="77777777" w:rsidR="00253427" w:rsidRPr="00653977" w:rsidRDefault="00253427" w:rsidP="00EF0503">
            <w:pPr>
              <w:rPr>
                <w:sz w:val="22"/>
                <w:szCs w:val="22"/>
                <w:lang w:eastAsia="en-CA"/>
              </w:rPr>
            </w:pPr>
            <w:r w:rsidRPr="00653977">
              <w:rPr>
                <w:sz w:val="22"/>
                <w:szCs w:val="22"/>
                <w:lang w:eastAsia="en-CA"/>
              </w:rPr>
              <w:t>Fiji</w:t>
            </w:r>
          </w:p>
        </w:tc>
        <w:tc>
          <w:tcPr>
            <w:tcW w:w="2288" w:type="dxa"/>
            <w:tcBorders>
              <w:top w:val="nil"/>
              <w:left w:val="nil"/>
              <w:bottom w:val="single" w:sz="4" w:space="0" w:color="auto"/>
              <w:right w:val="single" w:sz="4" w:space="0" w:color="auto"/>
            </w:tcBorders>
            <w:shd w:val="clear" w:color="auto" w:fill="auto"/>
            <w:vAlign w:val="center"/>
            <w:hideMark/>
          </w:tcPr>
          <w:p w14:paraId="0BA2E49C" w14:textId="77777777" w:rsidR="00253427" w:rsidRPr="00653977" w:rsidRDefault="00253427" w:rsidP="00EF0503">
            <w:pPr>
              <w:ind w:right="770"/>
              <w:jc w:val="right"/>
              <w:rPr>
                <w:sz w:val="22"/>
                <w:szCs w:val="22"/>
                <w:lang w:eastAsia="en-CA"/>
              </w:rPr>
            </w:pPr>
            <w:r w:rsidRPr="00653977">
              <w:rPr>
                <w:sz w:val="22"/>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0328DD83" w14:textId="77777777" w:rsidR="00253427" w:rsidRPr="00653977" w:rsidRDefault="00253427" w:rsidP="00EF0503">
            <w:pPr>
              <w:ind w:right="1144"/>
              <w:jc w:val="right"/>
              <w:rPr>
                <w:sz w:val="22"/>
                <w:szCs w:val="22"/>
                <w:lang w:eastAsia="en-CA"/>
              </w:rPr>
            </w:pPr>
            <w:r w:rsidRPr="00653977">
              <w:rPr>
                <w:sz w:val="22"/>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51C69DD7" w14:textId="77777777" w:rsidR="00253427" w:rsidRPr="00653977" w:rsidRDefault="00253427" w:rsidP="00EF0503">
            <w:pPr>
              <w:ind w:right="276"/>
              <w:jc w:val="right"/>
              <w:rPr>
                <w:sz w:val="22"/>
                <w:szCs w:val="22"/>
                <w:lang w:eastAsia="en-CA"/>
              </w:rPr>
            </w:pPr>
            <w:r w:rsidRPr="00653977">
              <w:rPr>
                <w:sz w:val="22"/>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4BA2243D" w14:textId="77777777" w:rsidR="00253427" w:rsidRPr="00653977" w:rsidRDefault="00253427" w:rsidP="00EF0503">
            <w:pPr>
              <w:ind w:right="276"/>
              <w:jc w:val="right"/>
              <w:rPr>
                <w:sz w:val="22"/>
                <w:szCs w:val="22"/>
                <w:lang w:eastAsia="en-CA"/>
              </w:rPr>
            </w:pPr>
            <w:r w:rsidRPr="00653977">
              <w:rPr>
                <w:sz w:val="22"/>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26550E8E" w14:textId="77777777" w:rsidR="00253427" w:rsidRPr="00653977" w:rsidRDefault="00253427" w:rsidP="00EF0503">
            <w:pPr>
              <w:ind w:right="276"/>
              <w:jc w:val="right"/>
              <w:rPr>
                <w:sz w:val="22"/>
                <w:szCs w:val="22"/>
                <w:lang w:eastAsia="en-CA"/>
              </w:rPr>
            </w:pPr>
            <w:r w:rsidRPr="00653977">
              <w:rPr>
                <w:sz w:val="22"/>
                <w:szCs w:val="22"/>
                <w:lang w:eastAsia="en-CA"/>
              </w:rPr>
              <w:t>215</w:t>
            </w:r>
          </w:p>
        </w:tc>
      </w:tr>
      <w:tr w:rsidR="00253427" w:rsidRPr="00653977" w14:paraId="3209CBBA"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42A7E7" w14:textId="77777777" w:rsidR="00253427" w:rsidRPr="00653977" w:rsidRDefault="00253427" w:rsidP="00EF0503">
            <w:pPr>
              <w:rPr>
                <w:sz w:val="22"/>
                <w:szCs w:val="22"/>
                <w:lang w:eastAsia="en-CA"/>
              </w:rPr>
            </w:pPr>
            <w:r w:rsidRPr="00653977">
              <w:rPr>
                <w:sz w:val="22"/>
                <w:szCs w:val="22"/>
                <w:lang w:eastAsia="en-CA"/>
              </w:rPr>
              <w:t>Finland</w:t>
            </w:r>
          </w:p>
        </w:tc>
        <w:tc>
          <w:tcPr>
            <w:tcW w:w="2288" w:type="dxa"/>
            <w:tcBorders>
              <w:top w:val="nil"/>
              <w:left w:val="nil"/>
              <w:bottom w:val="single" w:sz="4" w:space="0" w:color="auto"/>
              <w:right w:val="single" w:sz="4" w:space="0" w:color="auto"/>
            </w:tcBorders>
            <w:shd w:val="clear" w:color="auto" w:fill="auto"/>
            <w:vAlign w:val="center"/>
            <w:hideMark/>
          </w:tcPr>
          <w:p w14:paraId="4A302C46" w14:textId="77777777" w:rsidR="00253427" w:rsidRPr="00653977" w:rsidRDefault="00253427" w:rsidP="00EF0503">
            <w:pPr>
              <w:ind w:right="770"/>
              <w:jc w:val="right"/>
              <w:rPr>
                <w:sz w:val="22"/>
                <w:szCs w:val="22"/>
                <w:lang w:eastAsia="en-CA"/>
              </w:rPr>
            </w:pPr>
            <w:r w:rsidRPr="00653977">
              <w:rPr>
                <w:sz w:val="22"/>
                <w:szCs w:val="22"/>
                <w:lang w:eastAsia="en-CA"/>
              </w:rPr>
              <w:t>0.456</w:t>
            </w:r>
          </w:p>
        </w:tc>
        <w:tc>
          <w:tcPr>
            <w:tcW w:w="0" w:type="auto"/>
            <w:tcBorders>
              <w:top w:val="nil"/>
              <w:left w:val="nil"/>
              <w:bottom w:val="single" w:sz="4" w:space="0" w:color="auto"/>
              <w:right w:val="single" w:sz="4" w:space="0" w:color="auto"/>
            </w:tcBorders>
            <w:shd w:val="clear" w:color="auto" w:fill="auto"/>
            <w:noWrap/>
            <w:vAlign w:val="center"/>
            <w:hideMark/>
          </w:tcPr>
          <w:p w14:paraId="351F4DBA" w14:textId="77777777" w:rsidR="00253427" w:rsidRPr="00653977" w:rsidRDefault="00253427" w:rsidP="00EF0503">
            <w:pPr>
              <w:ind w:right="1144"/>
              <w:jc w:val="right"/>
              <w:rPr>
                <w:sz w:val="22"/>
                <w:szCs w:val="22"/>
                <w:lang w:eastAsia="en-CA"/>
              </w:rPr>
            </w:pPr>
            <w:r w:rsidRPr="00653977">
              <w:rPr>
                <w:sz w:val="22"/>
                <w:szCs w:val="22"/>
                <w:lang w:eastAsia="en-CA"/>
              </w:rPr>
              <w:t>0.660</w:t>
            </w:r>
          </w:p>
        </w:tc>
        <w:tc>
          <w:tcPr>
            <w:tcW w:w="0" w:type="auto"/>
            <w:tcBorders>
              <w:top w:val="nil"/>
              <w:left w:val="nil"/>
              <w:bottom w:val="single" w:sz="4" w:space="0" w:color="auto"/>
              <w:right w:val="single" w:sz="4" w:space="0" w:color="auto"/>
            </w:tcBorders>
            <w:shd w:val="clear" w:color="auto" w:fill="auto"/>
            <w:noWrap/>
            <w:vAlign w:val="center"/>
            <w:hideMark/>
          </w:tcPr>
          <w:p w14:paraId="0CF59950" w14:textId="77777777" w:rsidR="00253427" w:rsidRPr="00653977" w:rsidRDefault="00253427" w:rsidP="00EF0503">
            <w:pPr>
              <w:ind w:right="276"/>
              <w:jc w:val="right"/>
              <w:rPr>
                <w:sz w:val="22"/>
                <w:szCs w:val="22"/>
                <w:lang w:eastAsia="en-CA"/>
              </w:rPr>
            </w:pPr>
            <w:r w:rsidRPr="00653977">
              <w:rPr>
                <w:sz w:val="22"/>
                <w:szCs w:val="22"/>
                <w:lang w:eastAsia="en-CA"/>
              </w:rPr>
              <w:t>15 855</w:t>
            </w:r>
          </w:p>
        </w:tc>
        <w:tc>
          <w:tcPr>
            <w:tcW w:w="0" w:type="auto"/>
            <w:tcBorders>
              <w:top w:val="nil"/>
              <w:left w:val="nil"/>
              <w:bottom w:val="single" w:sz="4" w:space="0" w:color="auto"/>
              <w:right w:val="single" w:sz="4" w:space="0" w:color="auto"/>
            </w:tcBorders>
            <w:shd w:val="clear" w:color="auto" w:fill="auto"/>
            <w:noWrap/>
            <w:vAlign w:val="center"/>
            <w:hideMark/>
          </w:tcPr>
          <w:p w14:paraId="45074324" w14:textId="77777777" w:rsidR="00253427" w:rsidRPr="00653977" w:rsidRDefault="00253427" w:rsidP="00EF0503">
            <w:pPr>
              <w:ind w:right="276"/>
              <w:jc w:val="right"/>
              <w:rPr>
                <w:sz w:val="22"/>
                <w:szCs w:val="22"/>
                <w:lang w:eastAsia="en-CA"/>
              </w:rPr>
            </w:pPr>
            <w:r w:rsidRPr="00653977">
              <w:rPr>
                <w:sz w:val="22"/>
                <w:szCs w:val="22"/>
                <w:lang w:eastAsia="en-CA"/>
              </w:rPr>
              <w:t>16 812</w:t>
            </w:r>
          </w:p>
        </w:tc>
        <w:tc>
          <w:tcPr>
            <w:tcW w:w="0" w:type="auto"/>
            <w:tcBorders>
              <w:top w:val="nil"/>
              <w:left w:val="nil"/>
              <w:bottom w:val="single" w:sz="4" w:space="0" w:color="auto"/>
              <w:right w:val="single" w:sz="4" w:space="0" w:color="auto"/>
            </w:tcBorders>
            <w:shd w:val="clear" w:color="auto" w:fill="auto"/>
            <w:noWrap/>
            <w:vAlign w:val="center"/>
            <w:hideMark/>
          </w:tcPr>
          <w:p w14:paraId="42A794F1" w14:textId="77777777" w:rsidR="00253427" w:rsidRPr="00653977" w:rsidRDefault="00253427" w:rsidP="00EF0503">
            <w:pPr>
              <w:ind w:right="276"/>
              <w:jc w:val="right"/>
              <w:rPr>
                <w:sz w:val="22"/>
                <w:szCs w:val="22"/>
                <w:lang w:eastAsia="en-CA"/>
              </w:rPr>
            </w:pPr>
            <w:r w:rsidRPr="00653977">
              <w:rPr>
                <w:sz w:val="22"/>
                <w:szCs w:val="22"/>
                <w:lang w:eastAsia="en-CA"/>
              </w:rPr>
              <w:t>32 667</w:t>
            </w:r>
          </w:p>
        </w:tc>
      </w:tr>
      <w:tr w:rsidR="00253427" w:rsidRPr="00653977" w14:paraId="1D824A41"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D960CF" w14:textId="77777777" w:rsidR="00253427" w:rsidRPr="00653977" w:rsidRDefault="00253427" w:rsidP="00EF0503">
            <w:pPr>
              <w:rPr>
                <w:sz w:val="22"/>
                <w:szCs w:val="22"/>
                <w:lang w:eastAsia="en-CA"/>
              </w:rPr>
            </w:pPr>
            <w:r w:rsidRPr="00653977">
              <w:rPr>
                <w:sz w:val="22"/>
                <w:szCs w:val="22"/>
                <w:lang w:eastAsia="en-CA"/>
              </w:rPr>
              <w:lastRenderedPageBreak/>
              <w:t>France</w:t>
            </w:r>
          </w:p>
        </w:tc>
        <w:tc>
          <w:tcPr>
            <w:tcW w:w="2288" w:type="dxa"/>
            <w:tcBorders>
              <w:top w:val="nil"/>
              <w:left w:val="nil"/>
              <w:bottom w:val="single" w:sz="4" w:space="0" w:color="auto"/>
              <w:right w:val="single" w:sz="4" w:space="0" w:color="auto"/>
            </w:tcBorders>
            <w:shd w:val="clear" w:color="auto" w:fill="auto"/>
            <w:vAlign w:val="center"/>
            <w:hideMark/>
          </w:tcPr>
          <w:p w14:paraId="7A63AE8D" w14:textId="77777777" w:rsidR="00253427" w:rsidRPr="00653977" w:rsidRDefault="00253427" w:rsidP="00EF0503">
            <w:pPr>
              <w:ind w:right="770"/>
              <w:jc w:val="right"/>
              <w:rPr>
                <w:sz w:val="22"/>
                <w:szCs w:val="22"/>
                <w:lang w:eastAsia="en-CA"/>
              </w:rPr>
            </w:pPr>
            <w:r w:rsidRPr="00653977">
              <w:rPr>
                <w:sz w:val="22"/>
                <w:szCs w:val="22"/>
                <w:lang w:eastAsia="en-CA"/>
              </w:rPr>
              <w:t>4.859</w:t>
            </w:r>
          </w:p>
        </w:tc>
        <w:tc>
          <w:tcPr>
            <w:tcW w:w="0" w:type="auto"/>
            <w:tcBorders>
              <w:top w:val="nil"/>
              <w:left w:val="nil"/>
              <w:bottom w:val="single" w:sz="4" w:space="0" w:color="auto"/>
              <w:right w:val="single" w:sz="4" w:space="0" w:color="auto"/>
            </w:tcBorders>
            <w:shd w:val="clear" w:color="auto" w:fill="auto"/>
            <w:noWrap/>
            <w:vAlign w:val="center"/>
            <w:hideMark/>
          </w:tcPr>
          <w:p w14:paraId="5D2C50C1" w14:textId="77777777" w:rsidR="00253427" w:rsidRPr="00653977" w:rsidRDefault="00253427" w:rsidP="00EF0503">
            <w:pPr>
              <w:ind w:right="1144"/>
              <w:jc w:val="right"/>
              <w:rPr>
                <w:sz w:val="22"/>
                <w:szCs w:val="22"/>
                <w:lang w:eastAsia="en-CA"/>
              </w:rPr>
            </w:pPr>
            <w:r w:rsidRPr="00653977">
              <w:rPr>
                <w:sz w:val="22"/>
                <w:szCs w:val="22"/>
                <w:lang w:eastAsia="en-CA"/>
              </w:rPr>
              <w:t>7.035</w:t>
            </w:r>
          </w:p>
        </w:tc>
        <w:tc>
          <w:tcPr>
            <w:tcW w:w="0" w:type="auto"/>
            <w:tcBorders>
              <w:top w:val="nil"/>
              <w:left w:val="nil"/>
              <w:bottom w:val="single" w:sz="4" w:space="0" w:color="auto"/>
              <w:right w:val="single" w:sz="4" w:space="0" w:color="auto"/>
            </w:tcBorders>
            <w:shd w:val="clear" w:color="auto" w:fill="auto"/>
            <w:noWrap/>
            <w:vAlign w:val="center"/>
            <w:hideMark/>
          </w:tcPr>
          <w:p w14:paraId="0822EDEF" w14:textId="77777777" w:rsidR="00253427" w:rsidRPr="00653977" w:rsidRDefault="00253427" w:rsidP="00EF0503">
            <w:pPr>
              <w:ind w:right="276"/>
              <w:jc w:val="right"/>
              <w:rPr>
                <w:sz w:val="22"/>
                <w:szCs w:val="22"/>
                <w:lang w:eastAsia="en-CA"/>
              </w:rPr>
            </w:pPr>
            <w:r w:rsidRPr="00653977">
              <w:rPr>
                <w:sz w:val="22"/>
                <w:szCs w:val="22"/>
                <w:lang w:eastAsia="en-CA"/>
              </w:rPr>
              <w:t>168 943</w:t>
            </w:r>
          </w:p>
        </w:tc>
        <w:tc>
          <w:tcPr>
            <w:tcW w:w="0" w:type="auto"/>
            <w:tcBorders>
              <w:top w:val="nil"/>
              <w:left w:val="nil"/>
              <w:bottom w:val="single" w:sz="4" w:space="0" w:color="auto"/>
              <w:right w:val="single" w:sz="4" w:space="0" w:color="auto"/>
            </w:tcBorders>
            <w:shd w:val="clear" w:color="auto" w:fill="auto"/>
            <w:noWrap/>
            <w:vAlign w:val="center"/>
            <w:hideMark/>
          </w:tcPr>
          <w:p w14:paraId="3F0E99EE" w14:textId="77777777" w:rsidR="00253427" w:rsidRPr="00653977" w:rsidRDefault="00253427" w:rsidP="00EF0503">
            <w:pPr>
              <w:ind w:right="276"/>
              <w:jc w:val="right"/>
              <w:rPr>
                <w:sz w:val="22"/>
                <w:szCs w:val="22"/>
                <w:lang w:eastAsia="en-CA"/>
              </w:rPr>
            </w:pPr>
            <w:r w:rsidRPr="00653977">
              <w:rPr>
                <w:sz w:val="22"/>
                <w:szCs w:val="22"/>
                <w:lang w:eastAsia="en-CA"/>
              </w:rPr>
              <w:t>179 148</w:t>
            </w:r>
          </w:p>
        </w:tc>
        <w:tc>
          <w:tcPr>
            <w:tcW w:w="0" w:type="auto"/>
            <w:tcBorders>
              <w:top w:val="nil"/>
              <w:left w:val="nil"/>
              <w:bottom w:val="single" w:sz="4" w:space="0" w:color="auto"/>
              <w:right w:val="single" w:sz="4" w:space="0" w:color="auto"/>
            </w:tcBorders>
            <w:shd w:val="clear" w:color="auto" w:fill="auto"/>
            <w:noWrap/>
            <w:vAlign w:val="center"/>
            <w:hideMark/>
          </w:tcPr>
          <w:p w14:paraId="2E340A77" w14:textId="77777777" w:rsidR="00253427" w:rsidRPr="00653977" w:rsidRDefault="00253427" w:rsidP="00EF0503">
            <w:pPr>
              <w:ind w:right="276"/>
              <w:jc w:val="right"/>
              <w:rPr>
                <w:sz w:val="22"/>
                <w:szCs w:val="22"/>
                <w:lang w:eastAsia="en-CA"/>
              </w:rPr>
            </w:pPr>
            <w:r w:rsidRPr="00653977">
              <w:rPr>
                <w:sz w:val="22"/>
                <w:szCs w:val="22"/>
                <w:lang w:eastAsia="en-CA"/>
              </w:rPr>
              <w:t>348 091</w:t>
            </w:r>
          </w:p>
        </w:tc>
      </w:tr>
      <w:tr w:rsidR="00253427" w:rsidRPr="00653977" w14:paraId="3912E9E1" w14:textId="77777777" w:rsidTr="00237524">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675CFB" w14:textId="77777777" w:rsidR="00253427" w:rsidRPr="00653977" w:rsidRDefault="00253427" w:rsidP="00EF0503">
            <w:pPr>
              <w:rPr>
                <w:sz w:val="22"/>
                <w:szCs w:val="22"/>
                <w:lang w:eastAsia="en-CA"/>
              </w:rPr>
            </w:pPr>
            <w:r w:rsidRPr="00653977">
              <w:rPr>
                <w:sz w:val="22"/>
                <w:szCs w:val="22"/>
                <w:lang w:eastAsia="en-CA"/>
              </w:rPr>
              <w:t>Gabon</w:t>
            </w:r>
          </w:p>
        </w:tc>
        <w:tc>
          <w:tcPr>
            <w:tcW w:w="2288" w:type="dxa"/>
            <w:tcBorders>
              <w:top w:val="nil"/>
              <w:left w:val="nil"/>
              <w:bottom w:val="single" w:sz="4" w:space="0" w:color="auto"/>
              <w:right w:val="single" w:sz="4" w:space="0" w:color="auto"/>
            </w:tcBorders>
            <w:shd w:val="clear" w:color="auto" w:fill="auto"/>
            <w:vAlign w:val="center"/>
            <w:hideMark/>
          </w:tcPr>
          <w:p w14:paraId="5A66D9F4" w14:textId="77777777" w:rsidR="00253427" w:rsidRPr="00653977" w:rsidRDefault="00253427" w:rsidP="00EF0503">
            <w:pPr>
              <w:ind w:right="770"/>
              <w:jc w:val="right"/>
              <w:rPr>
                <w:sz w:val="22"/>
                <w:szCs w:val="22"/>
                <w:lang w:eastAsia="en-CA"/>
              </w:rPr>
            </w:pPr>
            <w:r w:rsidRPr="00653977">
              <w:rPr>
                <w:sz w:val="22"/>
                <w:szCs w:val="22"/>
                <w:lang w:eastAsia="en-CA"/>
              </w:rPr>
              <w:t>0.017</w:t>
            </w:r>
          </w:p>
        </w:tc>
        <w:tc>
          <w:tcPr>
            <w:tcW w:w="0" w:type="auto"/>
            <w:tcBorders>
              <w:top w:val="nil"/>
              <w:left w:val="nil"/>
              <w:bottom w:val="single" w:sz="4" w:space="0" w:color="auto"/>
              <w:right w:val="single" w:sz="4" w:space="0" w:color="auto"/>
            </w:tcBorders>
            <w:shd w:val="clear" w:color="auto" w:fill="auto"/>
            <w:noWrap/>
            <w:vAlign w:val="center"/>
            <w:hideMark/>
          </w:tcPr>
          <w:p w14:paraId="36C45E80" w14:textId="77777777" w:rsidR="00253427" w:rsidRPr="00653977" w:rsidRDefault="00253427" w:rsidP="00EF0503">
            <w:pPr>
              <w:ind w:right="1144"/>
              <w:jc w:val="right"/>
              <w:rPr>
                <w:sz w:val="22"/>
                <w:szCs w:val="22"/>
                <w:lang w:eastAsia="en-CA"/>
              </w:rPr>
            </w:pPr>
            <w:r w:rsidRPr="00653977">
              <w:rPr>
                <w:sz w:val="22"/>
                <w:szCs w:val="22"/>
                <w:lang w:eastAsia="en-CA"/>
              </w:rPr>
              <w:t>0.025</w:t>
            </w:r>
          </w:p>
        </w:tc>
        <w:tc>
          <w:tcPr>
            <w:tcW w:w="0" w:type="auto"/>
            <w:tcBorders>
              <w:top w:val="nil"/>
              <w:left w:val="nil"/>
              <w:bottom w:val="single" w:sz="4" w:space="0" w:color="auto"/>
              <w:right w:val="single" w:sz="4" w:space="0" w:color="auto"/>
            </w:tcBorders>
            <w:shd w:val="clear" w:color="auto" w:fill="auto"/>
            <w:noWrap/>
            <w:vAlign w:val="center"/>
            <w:hideMark/>
          </w:tcPr>
          <w:p w14:paraId="266A2DD1" w14:textId="77777777" w:rsidR="00253427" w:rsidRPr="00653977" w:rsidRDefault="00253427" w:rsidP="00EF0503">
            <w:pPr>
              <w:ind w:right="276"/>
              <w:jc w:val="right"/>
              <w:rPr>
                <w:sz w:val="22"/>
                <w:szCs w:val="22"/>
                <w:lang w:eastAsia="en-CA"/>
              </w:rPr>
            </w:pPr>
            <w:r w:rsidRPr="00653977">
              <w:rPr>
                <w:sz w:val="22"/>
                <w:szCs w:val="22"/>
                <w:lang w:eastAsia="en-CA"/>
              </w:rPr>
              <w:t>591</w:t>
            </w:r>
          </w:p>
        </w:tc>
        <w:tc>
          <w:tcPr>
            <w:tcW w:w="0" w:type="auto"/>
            <w:tcBorders>
              <w:top w:val="nil"/>
              <w:left w:val="nil"/>
              <w:bottom w:val="single" w:sz="4" w:space="0" w:color="auto"/>
              <w:right w:val="single" w:sz="4" w:space="0" w:color="auto"/>
            </w:tcBorders>
            <w:shd w:val="clear" w:color="auto" w:fill="auto"/>
            <w:noWrap/>
            <w:vAlign w:val="center"/>
            <w:hideMark/>
          </w:tcPr>
          <w:p w14:paraId="526C722F" w14:textId="77777777" w:rsidR="00253427" w:rsidRPr="00653977" w:rsidRDefault="00253427" w:rsidP="00EF0503">
            <w:pPr>
              <w:ind w:right="276"/>
              <w:jc w:val="right"/>
              <w:rPr>
                <w:sz w:val="22"/>
                <w:szCs w:val="22"/>
                <w:lang w:eastAsia="en-CA"/>
              </w:rPr>
            </w:pPr>
            <w:r w:rsidRPr="00653977">
              <w:rPr>
                <w:sz w:val="22"/>
                <w:szCs w:val="22"/>
                <w:lang w:eastAsia="en-CA"/>
              </w:rPr>
              <w:t>627</w:t>
            </w:r>
          </w:p>
        </w:tc>
        <w:tc>
          <w:tcPr>
            <w:tcW w:w="0" w:type="auto"/>
            <w:tcBorders>
              <w:top w:val="nil"/>
              <w:left w:val="nil"/>
              <w:bottom w:val="single" w:sz="4" w:space="0" w:color="auto"/>
              <w:right w:val="single" w:sz="4" w:space="0" w:color="auto"/>
            </w:tcBorders>
            <w:shd w:val="clear" w:color="auto" w:fill="auto"/>
            <w:noWrap/>
            <w:vAlign w:val="center"/>
            <w:hideMark/>
          </w:tcPr>
          <w:p w14:paraId="256544F3" w14:textId="77777777" w:rsidR="00253427" w:rsidRPr="00653977" w:rsidRDefault="00253427" w:rsidP="00EF0503">
            <w:pPr>
              <w:ind w:right="276"/>
              <w:jc w:val="right"/>
              <w:rPr>
                <w:sz w:val="22"/>
                <w:szCs w:val="22"/>
                <w:lang w:eastAsia="en-CA"/>
              </w:rPr>
            </w:pPr>
            <w:r w:rsidRPr="00653977">
              <w:rPr>
                <w:sz w:val="22"/>
                <w:szCs w:val="22"/>
                <w:lang w:eastAsia="en-CA"/>
              </w:rPr>
              <w:t>1 218</w:t>
            </w:r>
          </w:p>
        </w:tc>
      </w:tr>
      <w:tr w:rsidR="00253427" w:rsidRPr="00653977" w14:paraId="48DE6EE9" w14:textId="77777777" w:rsidTr="00237524">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A34125" w14:textId="77777777" w:rsidR="00253427" w:rsidRPr="00653977" w:rsidRDefault="00253427" w:rsidP="00EF0503">
            <w:pPr>
              <w:rPr>
                <w:sz w:val="22"/>
                <w:szCs w:val="22"/>
                <w:lang w:eastAsia="en-CA"/>
              </w:rPr>
            </w:pPr>
            <w:r w:rsidRPr="00653977">
              <w:rPr>
                <w:sz w:val="22"/>
                <w:szCs w:val="22"/>
                <w:lang w:eastAsia="en-CA"/>
              </w:rPr>
              <w:t>Gambia</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0306EB35"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B79FDA9"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2051915"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8A01F8F"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E77E21"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3EA9C9B5"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51BFF5" w14:textId="77777777" w:rsidR="00253427" w:rsidRPr="00653977" w:rsidRDefault="00253427" w:rsidP="00EF0503">
            <w:pPr>
              <w:rPr>
                <w:sz w:val="22"/>
                <w:szCs w:val="22"/>
                <w:lang w:eastAsia="en-CA"/>
              </w:rPr>
            </w:pPr>
            <w:r w:rsidRPr="00653977">
              <w:rPr>
                <w:sz w:val="22"/>
                <w:szCs w:val="22"/>
                <w:lang w:eastAsia="en-CA"/>
              </w:rPr>
              <w:t>Georgia</w:t>
            </w:r>
          </w:p>
        </w:tc>
        <w:tc>
          <w:tcPr>
            <w:tcW w:w="2288" w:type="dxa"/>
            <w:tcBorders>
              <w:top w:val="nil"/>
              <w:left w:val="nil"/>
              <w:bottom w:val="single" w:sz="4" w:space="0" w:color="auto"/>
              <w:right w:val="single" w:sz="4" w:space="0" w:color="auto"/>
            </w:tcBorders>
            <w:shd w:val="clear" w:color="auto" w:fill="auto"/>
            <w:vAlign w:val="center"/>
            <w:hideMark/>
          </w:tcPr>
          <w:p w14:paraId="133DCF48" w14:textId="77777777" w:rsidR="00253427" w:rsidRPr="00653977" w:rsidRDefault="00253427" w:rsidP="00EF0503">
            <w:pPr>
              <w:ind w:right="770"/>
              <w:jc w:val="right"/>
              <w:rPr>
                <w:sz w:val="22"/>
                <w:szCs w:val="22"/>
                <w:lang w:eastAsia="en-CA"/>
              </w:rPr>
            </w:pPr>
            <w:r w:rsidRPr="00653977">
              <w:rPr>
                <w:sz w:val="22"/>
                <w:szCs w:val="22"/>
                <w:lang w:eastAsia="en-CA"/>
              </w:rPr>
              <w:t>0.008</w:t>
            </w:r>
          </w:p>
        </w:tc>
        <w:tc>
          <w:tcPr>
            <w:tcW w:w="0" w:type="auto"/>
            <w:tcBorders>
              <w:top w:val="nil"/>
              <w:left w:val="nil"/>
              <w:bottom w:val="single" w:sz="4" w:space="0" w:color="auto"/>
              <w:right w:val="single" w:sz="4" w:space="0" w:color="auto"/>
            </w:tcBorders>
            <w:shd w:val="clear" w:color="auto" w:fill="auto"/>
            <w:noWrap/>
            <w:vAlign w:val="center"/>
            <w:hideMark/>
          </w:tcPr>
          <w:p w14:paraId="4545B640" w14:textId="77777777" w:rsidR="00253427" w:rsidRPr="00653977" w:rsidRDefault="00253427" w:rsidP="00EF0503">
            <w:pPr>
              <w:ind w:right="1144"/>
              <w:jc w:val="right"/>
              <w:rPr>
                <w:sz w:val="22"/>
                <w:szCs w:val="22"/>
                <w:lang w:eastAsia="en-CA"/>
              </w:rPr>
            </w:pPr>
            <w:r w:rsidRPr="00653977">
              <w:rPr>
                <w:sz w:val="22"/>
                <w:szCs w:val="22"/>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1E6D9ED4" w14:textId="77777777" w:rsidR="00253427" w:rsidRPr="00653977" w:rsidRDefault="00253427" w:rsidP="00EF0503">
            <w:pPr>
              <w:ind w:right="276"/>
              <w:jc w:val="right"/>
              <w:rPr>
                <w:sz w:val="22"/>
                <w:szCs w:val="22"/>
                <w:lang w:eastAsia="en-CA"/>
              </w:rPr>
            </w:pPr>
            <w:r w:rsidRPr="00653977">
              <w:rPr>
                <w:sz w:val="22"/>
                <w:szCs w:val="22"/>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14:paraId="6E72DBDE" w14:textId="77777777" w:rsidR="00253427" w:rsidRPr="00653977" w:rsidRDefault="00253427" w:rsidP="00EF0503">
            <w:pPr>
              <w:ind w:right="276"/>
              <w:jc w:val="right"/>
              <w:rPr>
                <w:sz w:val="22"/>
                <w:szCs w:val="22"/>
                <w:lang w:eastAsia="en-CA"/>
              </w:rPr>
            </w:pPr>
            <w:r w:rsidRPr="00653977">
              <w:rPr>
                <w:sz w:val="22"/>
                <w:szCs w:val="22"/>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14:paraId="4769BDF9" w14:textId="77777777" w:rsidR="00253427" w:rsidRPr="00653977" w:rsidRDefault="00253427" w:rsidP="00EF0503">
            <w:pPr>
              <w:ind w:right="276"/>
              <w:jc w:val="right"/>
              <w:rPr>
                <w:sz w:val="22"/>
                <w:szCs w:val="22"/>
                <w:lang w:eastAsia="en-CA"/>
              </w:rPr>
            </w:pPr>
            <w:r w:rsidRPr="00653977">
              <w:rPr>
                <w:sz w:val="22"/>
                <w:szCs w:val="22"/>
                <w:lang w:eastAsia="en-CA"/>
              </w:rPr>
              <w:t>573</w:t>
            </w:r>
          </w:p>
        </w:tc>
      </w:tr>
      <w:tr w:rsidR="00253427" w:rsidRPr="00653977" w14:paraId="3042403A"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ABECD7" w14:textId="77777777" w:rsidR="00253427" w:rsidRPr="00653977" w:rsidRDefault="00253427" w:rsidP="00EF0503">
            <w:pPr>
              <w:rPr>
                <w:sz w:val="22"/>
                <w:szCs w:val="22"/>
                <w:lang w:eastAsia="en-CA"/>
              </w:rPr>
            </w:pPr>
            <w:r w:rsidRPr="00653977">
              <w:rPr>
                <w:sz w:val="22"/>
                <w:szCs w:val="22"/>
                <w:lang w:eastAsia="en-CA"/>
              </w:rPr>
              <w:t>Germany</w:t>
            </w:r>
          </w:p>
        </w:tc>
        <w:tc>
          <w:tcPr>
            <w:tcW w:w="2288" w:type="dxa"/>
            <w:tcBorders>
              <w:top w:val="nil"/>
              <w:left w:val="nil"/>
              <w:bottom w:val="single" w:sz="4" w:space="0" w:color="auto"/>
              <w:right w:val="single" w:sz="4" w:space="0" w:color="auto"/>
            </w:tcBorders>
            <w:shd w:val="clear" w:color="auto" w:fill="auto"/>
            <w:vAlign w:val="center"/>
            <w:hideMark/>
          </w:tcPr>
          <w:p w14:paraId="68A99D8A" w14:textId="77777777" w:rsidR="00253427" w:rsidRPr="00653977" w:rsidRDefault="00253427" w:rsidP="00EF0503">
            <w:pPr>
              <w:ind w:right="770"/>
              <w:jc w:val="right"/>
              <w:rPr>
                <w:sz w:val="22"/>
                <w:szCs w:val="22"/>
                <w:lang w:eastAsia="en-CA"/>
              </w:rPr>
            </w:pPr>
            <w:r w:rsidRPr="00653977">
              <w:rPr>
                <w:sz w:val="22"/>
                <w:szCs w:val="22"/>
                <w:lang w:eastAsia="en-CA"/>
              </w:rPr>
              <w:t>6.389</w:t>
            </w:r>
          </w:p>
        </w:tc>
        <w:tc>
          <w:tcPr>
            <w:tcW w:w="0" w:type="auto"/>
            <w:tcBorders>
              <w:top w:val="nil"/>
              <w:left w:val="nil"/>
              <w:bottom w:val="single" w:sz="4" w:space="0" w:color="auto"/>
              <w:right w:val="single" w:sz="4" w:space="0" w:color="auto"/>
            </w:tcBorders>
            <w:shd w:val="clear" w:color="auto" w:fill="auto"/>
            <w:noWrap/>
            <w:vAlign w:val="center"/>
            <w:hideMark/>
          </w:tcPr>
          <w:p w14:paraId="4E0DA221" w14:textId="77777777" w:rsidR="00253427" w:rsidRPr="00653977" w:rsidRDefault="00253427" w:rsidP="00EF0503">
            <w:pPr>
              <w:ind w:right="1144"/>
              <w:jc w:val="right"/>
              <w:rPr>
                <w:sz w:val="22"/>
                <w:szCs w:val="22"/>
                <w:lang w:eastAsia="en-CA"/>
              </w:rPr>
            </w:pPr>
            <w:r w:rsidRPr="00653977">
              <w:rPr>
                <w:sz w:val="22"/>
                <w:szCs w:val="22"/>
                <w:lang w:eastAsia="en-CA"/>
              </w:rPr>
              <w:t>9.251</w:t>
            </w:r>
          </w:p>
        </w:tc>
        <w:tc>
          <w:tcPr>
            <w:tcW w:w="0" w:type="auto"/>
            <w:tcBorders>
              <w:top w:val="nil"/>
              <w:left w:val="nil"/>
              <w:bottom w:val="single" w:sz="4" w:space="0" w:color="auto"/>
              <w:right w:val="single" w:sz="4" w:space="0" w:color="auto"/>
            </w:tcBorders>
            <w:shd w:val="clear" w:color="auto" w:fill="auto"/>
            <w:noWrap/>
            <w:vAlign w:val="center"/>
            <w:hideMark/>
          </w:tcPr>
          <w:p w14:paraId="7C11B483" w14:textId="77777777" w:rsidR="00253427" w:rsidRPr="00653977" w:rsidRDefault="00253427" w:rsidP="00EF0503">
            <w:pPr>
              <w:ind w:right="276"/>
              <w:jc w:val="right"/>
              <w:rPr>
                <w:sz w:val="22"/>
                <w:szCs w:val="22"/>
                <w:lang w:eastAsia="en-CA"/>
              </w:rPr>
            </w:pPr>
            <w:r w:rsidRPr="00653977">
              <w:rPr>
                <w:sz w:val="22"/>
                <w:szCs w:val="22"/>
                <w:lang w:eastAsia="en-CA"/>
              </w:rPr>
              <w:t>222 140</w:t>
            </w:r>
          </w:p>
        </w:tc>
        <w:tc>
          <w:tcPr>
            <w:tcW w:w="0" w:type="auto"/>
            <w:tcBorders>
              <w:top w:val="nil"/>
              <w:left w:val="nil"/>
              <w:bottom w:val="single" w:sz="4" w:space="0" w:color="auto"/>
              <w:right w:val="single" w:sz="4" w:space="0" w:color="auto"/>
            </w:tcBorders>
            <w:shd w:val="clear" w:color="auto" w:fill="auto"/>
            <w:noWrap/>
            <w:vAlign w:val="center"/>
            <w:hideMark/>
          </w:tcPr>
          <w:p w14:paraId="4E46EE57" w14:textId="77777777" w:rsidR="00253427" w:rsidRPr="00653977" w:rsidRDefault="00253427" w:rsidP="00EF0503">
            <w:pPr>
              <w:ind w:right="276"/>
              <w:jc w:val="right"/>
              <w:rPr>
                <w:sz w:val="22"/>
                <w:szCs w:val="22"/>
                <w:lang w:eastAsia="en-CA"/>
              </w:rPr>
            </w:pPr>
            <w:r w:rsidRPr="00653977">
              <w:rPr>
                <w:sz w:val="22"/>
                <w:szCs w:val="22"/>
                <w:lang w:eastAsia="en-CA"/>
              </w:rPr>
              <w:t>235 558</w:t>
            </w:r>
          </w:p>
        </w:tc>
        <w:tc>
          <w:tcPr>
            <w:tcW w:w="0" w:type="auto"/>
            <w:tcBorders>
              <w:top w:val="nil"/>
              <w:left w:val="nil"/>
              <w:bottom w:val="single" w:sz="4" w:space="0" w:color="auto"/>
              <w:right w:val="single" w:sz="4" w:space="0" w:color="auto"/>
            </w:tcBorders>
            <w:shd w:val="clear" w:color="auto" w:fill="auto"/>
            <w:noWrap/>
            <w:vAlign w:val="center"/>
            <w:hideMark/>
          </w:tcPr>
          <w:p w14:paraId="1232570D" w14:textId="77777777" w:rsidR="00253427" w:rsidRPr="00653977" w:rsidRDefault="00253427" w:rsidP="00EF0503">
            <w:pPr>
              <w:ind w:right="276"/>
              <w:jc w:val="right"/>
              <w:rPr>
                <w:sz w:val="22"/>
                <w:szCs w:val="22"/>
                <w:lang w:eastAsia="en-CA"/>
              </w:rPr>
            </w:pPr>
            <w:r w:rsidRPr="00653977">
              <w:rPr>
                <w:sz w:val="22"/>
                <w:szCs w:val="22"/>
                <w:lang w:eastAsia="en-CA"/>
              </w:rPr>
              <w:t>457 698</w:t>
            </w:r>
          </w:p>
        </w:tc>
      </w:tr>
      <w:tr w:rsidR="00253427" w:rsidRPr="00653977" w14:paraId="37EA47CE"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A6B4E1" w14:textId="77777777" w:rsidR="00253427" w:rsidRPr="00653977" w:rsidRDefault="00253427" w:rsidP="00EF0503">
            <w:pPr>
              <w:rPr>
                <w:sz w:val="22"/>
                <w:szCs w:val="22"/>
                <w:lang w:eastAsia="en-CA"/>
              </w:rPr>
            </w:pPr>
            <w:r w:rsidRPr="00653977">
              <w:rPr>
                <w:sz w:val="22"/>
                <w:szCs w:val="22"/>
                <w:lang w:eastAsia="en-CA"/>
              </w:rPr>
              <w:t>Ghana</w:t>
            </w:r>
          </w:p>
        </w:tc>
        <w:tc>
          <w:tcPr>
            <w:tcW w:w="2288" w:type="dxa"/>
            <w:tcBorders>
              <w:top w:val="nil"/>
              <w:left w:val="nil"/>
              <w:bottom w:val="single" w:sz="4" w:space="0" w:color="auto"/>
              <w:right w:val="single" w:sz="4" w:space="0" w:color="auto"/>
            </w:tcBorders>
            <w:shd w:val="clear" w:color="auto" w:fill="auto"/>
            <w:vAlign w:val="center"/>
            <w:hideMark/>
          </w:tcPr>
          <w:p w14:paraId="2E760457" w14:textId="77777777" w:rsidR="00253427" w:rsidRPr="00653977" w:rsidRDefault="00253427" w:rsidP="00EF0503">
            <w:pPr>
              <w:ind w:right="770"/>
              <w:jc w:val="right"/>
              <w:rPr>
                <w:sz w:val="22"/>
                <w:szCs w:val="22"/>
                <w:lang w:eastAsia="en-CA"/>
              </w:rPr>
            </w:pPr>
            <w:r w:rsidRPr="00653977">
              <w:rPr>
                <w:sz w:val="22"/>
                <w:szCs w:val="22"/>
                <w:lang w:eastAsia="en-CA"/>
              </w:rPr>
              <w:t>0.016</w:t>
            </w:r>
          </w:p>
        </w:tc>
        <w:tc>
          <w:tcPr>
            <w:tcW w:w="0" w:type="auto"/>
            <w:tcBorders>
              <w:top w:val="nil"/>
              <w:left w:val="nil"/>
              <w:bottom w:val="single" w:sz="4" w:space="0" w:color="auto"/>
              <w:right w:val="single" w:sz="4" w:space="0" w:color="auto"/>
            </w:tcBorders>
            <w:shd w:val="clear" w:color="auto" w:fill="auto"/>
            <w:noWrap/>
            <w:vAlign w:val="center"/>
            <w:hideMark/>
          </w:tcPr>
          <w:p w14:paraId="009146F7" w14:textId="77777777" w:rsidR="00253427" w:rsidRPr="00653977" w:rsidRDefault="00253427" w:rsidP="00EF0503">
            <w:pPr>
              <w:ind w:right="1144"/>
              <w:jc w:val="right"/>
              <w:rPr>
                <w:sz w:val="22"/>
                <w:szCs w:val="22"/>
                <w:lang w:eastAsia="en-CA"/>
              </w:rPr>
            </w:pPr>
            <w:r w:rsidRPr="00653977">
              <w:rPr>
                <w:sz w:val="22"/>
                <w:szCs w:val="22"/>
                <w:lang w:eastAsia="en-CA"/>
              </w:rPr>
              <w:t>0.023</w:t>
            </w:r>
          </w:p>
        </w:tc>
        <w:tc>
          <w:tcPr>
            <w:tcW w:w="0" w:type="auto"/>
            <w:tcBorders>
              <w:top w:val="nil"/>
              <w:left w:val="nil"/>
              <w:bottom w:val="single" w:sz="4" w:space="0" w:color="auto"/>
              <w:right w:val="single" w:sz="4" w:space="0" w:color="auto"/>
            </w:tcBorders>
            <w:shd w:val="clear" w:color="auto" w:fill="auto"/>
            <w:noWrap/>
            <w:vAlign w:val="center"/>
            <w:hideMark/>
          </w:tcPr>
          <w:p w14:paraId="605C1E89" w14:textId="77777777" w:rsidR="00253427" w:rsidRPr="00653977" w:rsidRDefault="00253427" w:rsidP="00EF0503">
            <w:pPr>
              <w:ind w:right="276"/>
              <w:jc w:val="right"/>
              <w:rPr>
                <w:sz w:val="22"/>
                <w:szCs w:val="22"/>
                <w:lang w:eastAsia="en-CA"/>
              </w:rPr>
            </w:pPr>
            <w:r w:rsidRPr="00653977">
              <w:rPr>
                <w:sz w:val="22"/>
                <w:szCs w:val="22"/>
                <w:lang w:eastAsia="en-CA"/>
              </w:rPr>
              <w:t>556</w:t>
            </w:r>
          </w:p>
        </w:tc>
        <w:tc>
          <w:tcPr>
            <w:tcW w:w="0" w:type="auto"/>
            <w:tcBorders>
              <w:top w:val="nil"/>
              <w:left w:val="nil"/>
              <w:bottom w:val="single" w:sz="4" w:space="0" w:color="auto"/>
              <w:right w:val="single" w:sz="4" w:space="0" w:color="auto"/>
            </w:tcBorders>
            <w:shd w:val="clear" w:color="auto" w:fill="auto"/>
            <w:noWrap/>
            <w:vAlign w:val="center"/>
            <w:hideMark/>
          </w:tcPr>
          <w:p w14:paraId="490C5F70" w14:textId="77777777" w:rsidR="00253427" w:rsidRPr="00653977" w:rsidRDefault="00253427" w:rsidP="00EF0503">
            <w:pPr>
              <w:ind w:right="276"/>
              <w:jc w:val="right"/>
              <w:rPr>
                <w:sz w:val="22"/>
                <w:szCs w:val="22"/>
                <w:lang w:eastAsia="en-CA"/>
              </w:rPr>
            </w:pPr>
            <w:r w:rsidRPr="00653977">
              <w:rPr>
                <w:sz w:val="22"/>
                <w:szCs w:val="22"/>
                <w:lang w:eastAsia="en-CA"/>
              </w:rPr>
              <w:t>590</w:t>
            </w:r>
          </w:p>
        </w:tc>
        <w:tc>
          <w:tcPr>
            <w:tcW w:w="0" w:type="auto"/>
            <w:tcBorders>
              <w:top w:val="nil"/>
              <w:left w:val="nil"/>
              <w:bottom w:val="single" w:sz="4" w:space="0" w:color="auto"/>
              <w:right w:val="single" w:sz="4" w:space="0" w:color="auto"/>
            </w:tcBorders>
            <w:shd w:val="clear" w:color="auto" w:fill="auto"/>
            <w:noWrap/>
            <w:vAlign w:val="center"/>
            <w:hideMark/>
          </w:tcPr>
          <w:p w14:paraId="7AB61FAE" w14:textId="77777777" w:rsidR="00253427" w:rsidRPr="00653977" w:rsidRDefault="00253427" w:rsidP="00EF0503">
            <w:pPr>
              <w:ind w:right="276"/>
              <w:jc w:val="right"/>
              <w:rPr>
                <w:sz w:val="22"/>
                <w:szCs w:val="22"/>
                <w:lang w:eastAsia="en-CA"/>
              </w:rPr>
            </w:pPr>
            <w:r w:rsidRPr="00653977">
              <w:rPr>
                <w:sz w:val="22"/>
                <w:szCs w:val="22"/>
                <w:lang w:eastAsia="en-CA"/>
              </w:rPr>
              <w:t>1 146</w:t>
            </w:r>
          </w:p>
        </w:tc>
      </w:tr>
      <w:tr w:rsidR="00253427" w:rsidRPr="00653977" w14:paraId="42E621F8"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D16B66" w14:textId="77777777" w:rsidR="00253427" w:rsidRPr="00653977" w:rsidRDefault="00253427" w:rsidP="00EF0503">
            <w:pPr>
              <w:rPr>
                <w:sz w:val="22"/>
                <w:szCs w:val="22"/>
                <w:lang w:eastAsia="en-CA"/>
              </w:rPr>
            </w:pPr>
            <w:r w:rsidRPr="00653977">
              <w:rPr>
                <w:sz w:val="22"/>
                <w:szCs w:val="22"/>
                <w:lang w:eastAsia="en-CA"/>
              </w:rPr>
              <w:t>Greece</w:t>
            </w:r>
          </w:p>
        </w:tc>
        <w:tc>
          <w:tcPr>
            <w:tcW w:w="2288" w:type="dxa"/>
            <w:tcBorders>
              <w:top w:val="nil"/>
              <w:left w:val="nil"/>
              <w:bottom w:val="single" w:sz="4" w:space="0" w:color="auto"/>
              <w:right w:val="single" w:sz="4" w:space="0" w:color="auto"/>
            </w:tcBorders>
            <w:shd w:val="clear" w:color="auto" w:fill="auto"/>
            <w:vAlign w:val="center"/>
            <w:hideMark/>
          </w:tcPr>
          <w:p w14:paraId="4A11FF6C" w14:textId="77777777" w:rsidR="00253427" w:rsidRPr="00653977" w:rsidRDefault="00253427" w:rsidP="00EF0503">
            <w:pPr>
              <w:ind w:right="770"/>
              <w:jc w:val="right"/>
              <w:rPr>
                <w:sz w:val="22"/>
                <w:szCs w:val="22"/>
                <w:lang w:eastAsia="en-CA"/>
              </w:rPr>
            </w:pPr>
            <w:r w:rsidRPr="00653977">
              <w:rPr>
                <w:sz w:val="22"/>
                <w:szCs w:val="22"/>
                <w:lang w:eastAsia="en-CA"/>
              </w:rPr>
              <w:t>0.471</w:t>
            </w:r>
          </w:p>
        </w:tc>
        <w:tc>
          <w:tcPr>
            <w:tcW w:w="0" w:type="auto"/>
            <w:tcBorders>
              <w:top w:val="nil"/>
              <w:left w:val="nil"/>
              <w:bottom w:val="single" w:sz="4" w:space="0" w:color="auto"/>
              <w:right w:val="single" w:sz="4" w:space="0" w:color="auto"/>
            </w:tcBorders>
            <w:shd w:val="clear" w:color="auto" w:fill="auto"/>
            <w:noWrap/>
            <w:vAlign w:val="center"/>
            <w:hideMark/>
          </w:tcPr>
          <w:p w14:paraId="2F80A422" w14:textId="77777777" w:rsidR="00253427" w:rsidRPr="00653977" w:rsidRDefault="00253427" w:rsidP="00EF0503">
            <w:pPr>
              <w:ind w:right="1144"/>
              <w:jc w:val="right"/>
              <w:rPr>
                <w:sz w:val="22"/>
                <w:szCs w:val="22"/>
                <w:lang w:eastAsia="en-CA"/>
              </w:rPr>
            </w:pPr>
            <w:r w:rsidRPr="00653977">
              <w:rPr>
                <w:sz w:val="22"/>
                <w:szCs w:val="22"/>
                <w:lang w:eastAsia="en-CA"/>
              </w:rPr>
              <w:t>0.682</w:t>
            </w:r>
          </w:p>
        </w:tc>
        <w:tc>
          <w:tcPr>
            <w:tcW w:w="0" w:type="auto"/>
            <w:tcBorders>
              <w:top w:val="nil"/>
              <w:left w:val="nil"/>
              <w:bottom w:val="single" w:sz="4" w:space="0" w:color="auto"/>
              <w:right w:val="single" w:sz="4" w:space="0" w:color="auto"/>
            </w:tcBorders>
            <w:shd w:val="clear" w:color="auto" w:fill="auto"/>
            <w:noWrap/>
            <w:vAlign w:val="center"/>
            <w:hideMark/>
          </w:tcPr>
          <w:p w14:paraId="75257448" w14:textId="77777777" w:rsidR="00253427" w:rsidRPr="00653977" w:rsidRDefault="00253427" w:rsidP="00EF0503">
            <w:pPr>
              <w:ind w:right="276"/>
              <w:jc w:val="right"/>
              <w:rPr>
                <w:sz w:val="22"/>
                <w:szCs w:val="22"/>
                <w:lang w:eastAsia="en-CA"/>
              </w:rPr>
            </w:pPr>
            <w:r w:rsidRPr="00653977">
              <w:rPr>
                <w:sz w:val="22"/>
                <w:szCs w:val="22"/>
                <w:lang w:eastAsia="en-CA"/>
              </w:rPr>
              <w:t>16 376</w:t>
            </w:r>
          </w:p>
        </w:tc>
        <w:tc>
          <w:tcPr>
            <w:tcW w:w="0" w:type="auto"/>
            <w:tcBorders>
              <w:top w:val="nil"/>
              <w:left w:val="nil"/>
              <w:bottom w:val="single" w:sz="4" w:space="0" w:color="auto"/>
              <w:right w:val="single" w:sz="4" w:space="0" w:color="auto"/>
            </w:tcBorders>
            <w:shd w:val="clear" w:color="auto" w:fill="auto"/>
            <w:noWrap/>
            <w:vAlign w:val="center"/>
            <w:hideMark/>
          </w:tcPr>
          <w:p w14:paraId="38EAD662" w14:textId="77777777" w:rsidR="00253427" w:rsidRPr="00653977" w:rsidRDefault="00253427" w:rsidP="00EF0503">
            <w:pPr>
              <w:ind w:right="276"/>
              <w:jc w:val="right"/>
              <w:rPr>
                <w:sz w:val="22"/>
                <w:szCs w:val="22"/>
                <w:lang w:eastAsia="en-CA"/>
              </w:rPr>
            </w:pPr>
            <w:r w:rsidRPr="00653977">
              <w:rPr>
                <w:sz w:val="22"/>
                <w:szCs w:val="22"/>
                <w:lang w:eastAsia="en-CA"/>
              </w:rPr>
              <w:t>17 365</w:t>
            </w:r>
          </w:p>
        </w:tc>
        <w:tc>
          <w:tcPr>
            <w:tcW w:w="0" w:type="auto"/>
            <w:tcBorders>
              <w:top w:val="nil"/>
              <w:left w:val="nil"/>
              <w:bottom w:val="single" w:sz="4" w:space="0" w:color="auto"/>
              <w:right w:val="single" w:sz="4" w:space="0" w:color="auto"/>
            </w:tcBorders>
            <w:shd w:val="clear" w:color="auto" w:fill="auto"/>
            <w:noWrap/>
            <w:vAlign w:val="center"/>
            <w:hideMark/>
          </w:tcPr>
          <w:p w14:paraId="242F3A8E" w14:textId="77777777" w:rsidR="00253427" w:rsidRPr="00653977" w:rsidRDefault="00253427" w:rsidP="00EF0503">
            <w:pPr>
              <w:ind w:right="276"/>
              <w:jc w:val="right"/>
              <w:rPr>
                <w:sz w:val="22"/>
                <w:szCs w:val="22"/>
                <w:lang w:eastAsia="en-CA"/>
              </w:rPr>
            </w:pPr>
            <w:r w:rsidRPr="00653977">
              <w:rPr>
                <w:sz w:val="22"/>
                <w:szCs w:val="22"/>
                <w:lang w:eastAsia="en-CA"/>
              </w:rPr>
              <w:t>33 742</w:t>
            </w:r>
          </w:p>
        </w:tc>
      </w:tr>
      <w:tr w:rsidR="00253427" w:rsidRPr="00653977" w14:paraId="2C7F5F5C"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B1EC68" w14:textId="77777777" w:rsidR="00253427" w:rsidRPr="00653977" w:rsidRDefault="00253427" w:rsidP="00EF0503">
            <w:pPr>
              <w:rPr>
                <w:sz w:val="22"/>
                <w:szCs w:val="22"/>
                <w:lang w:eastAsia="en-CA"/>
              </w:rPr>
            </w:pPr>
            <w:r w:rsidRPr="00653977">
              <w:rPr>
                <w:sz w:val="22"/>
                <w:szCs w:val="22"/>
                <w:lang w:eastAsia="en-CA"/>
              </w:rPr>
              <w:t>Grenada</w:t>
            </w:r>
          </w:p>
        </w:tc>
        <w:tc>
          <w:tcPr>
            <w:tcW w:w="2288" w:type="dxa"/>
            <w:tcBorders>
              <w:top w:val="nil"/>
              <w:left w:val="nil"/>
              <w:bottom w:val="single" w:sz="4" w:space="0" w:color="auto"/>
              <w:right w:val="single" w:sz="4" w:space="0" w:color="auto"/>
            </w:tcBorders>
            <w:shd w:val="clear" w:color="auto" w:fill="auto"/>
            <w:vAlign w:val="center"/>
            <w:hideMark/>
          </w:tcPr>
          <w:p w14:paraId="71C705EE"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B3B657B"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0B120C9"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64397AA"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3A1E03AA"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2499D07F"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7A14A7" w14:textId="77777777" w:rsidR="00253427" w:rsidRPr="00653977" w:rsidRDefault="00253427" w:rsidP="00EF0503">
            <w:pPr>
              <w:rPr>
                <w:sz w:val="22"/>
                <w:szCs w:val="22"/>
                <w:lang w:eastAsia="en-CA"/>
              </w:rPr>
            </w:pPr>
            <w:r w:rsidRPr="00653977">
              <w:rPr>
                <w:sz w:val="22"/>
                <w:szCs w:val="22"/>
                <w:lang w:eastAsia="en-CA"/>
              </w:rPr>
              <w:t>Guatemala</w:t>
            </w:r>
          </w:p>
        </w:tc>
        <w:tc>
          <w:tcPr>
            <w:tcW w:w="2288" w:type="dxa"/>
            <w:tcBorders>
              <w:top w:val="nil"/>
              <w:left w:val="nil"/>
              <w:bottom w:val="single" w:sz="4" w:space="0" w:color="auto"/>
              <w:right w:val="single" w:sz="4" w:space="0" w:color="auto"/>
            </w:tcBorders>
            <w:shd w:val="clear" w:color="auto" w:fill="auto"/>
            <w:vAlign w:val="center"/>
            <w:hideMark/>
          </w:tcPr>
          <w:p w14:paraId="3F772867" w14:textId="77777777" w:rsidR="00253427" w:rsidRPr="00653977" w:rsidRDefault="00253427" w:rsidP="00EF0503">
            <w:pPr>
              <w:ind w:right="770"/>
              <w:jc w:val="right"/>
              <w:rPr>
                <w:sz w:val="22"/>
                <w:szCs w:val="22"/>
                <w:lang w:eastAsia="en-CA"/>
              </w:rPr>
            </w:pPr>
            <w:r w:rsidRPr="00653977">
              <w:rPr>
                <w:sz w:val="22"/>
                <w:szCs w:val="22"/>
                <w:lang w:eastAsia="en-CA"/>
              </w:rPr>
              <w:t>0.028</w:t>
            </w:r>
          </w:p>
        </w:tc>
        <w:tc>
          <w:tcPr>
            <w:tcW w:w="0" w:type="auto"/>
            <w:tcBorders>
              <w:top w:val="nil"/>
              <w:left w:val="nil"/>
              <w:bottom w:val="single" w:sz="4" w:space="0" w:color="auto"/>
              <w:right w:val="single" w:sz="4" w:space="0" w:color="auto"/>
            </w:tcBorders>
            <w:shd w:val="clear" w:color="auto" w:fill="auto"/>
            <w:noWrap/>
            <w:vAlign w:val="center"/>
            <w:hideMark/>
          </w:tcPr>
          <w:p w14:paraId="5955DA2C" w14:textId="77777777" w:rsidR="00253427" w:rsidRPr="00653977" w:rsidRDefault="00253427" w:rsidP="00EF0503">
            <w:pPr>
              <w:ind w:right="1144"/>
              <w:jc w:val="right"/>
              <w:rPr>
                <w:sz w:val="22"/>
                <w:szCs w:val="22"/>
                <w:lang w:eastAsia="en-CA"/>
              </w:rPr>
            </w:pPr>
            <w:r w:rsidRPr="00653977">
              <w:rPr>
                <w:sz w:val="22"/>
                <w:szCs w:val="22"/>
                <w:lang w:eastAsia="en-CA"/>
              </w:rPr>
              <w:t>0.041</w:t>
            </w:r>
          </w:p>
        </w:tc>
        <w:tc>
          <w:tcPr>
            <w:tcW w:w="0" w:type="auto"/>
            <w:tcBorders>
              <w:top w:val="nil"/>
              <w:left w:val="nil"/>
              <w:bottom w:val="single" w:sz="4" w:space="0" w:color="auto"/>
              <w:right w:val="single" w:sz="4" w:space="0" w:color="auto"/>
            </w:tcBorders>
            <w:shd w:val="clear" w:color="auto" w:fill="auto"/>
            <w:noWrap/>
            <w:vAlign w:val="center"/>
            <w:hideMark/>
          </w:tcPr>
          <w:p w14:paraId="4D9FB342" w14:textId="77777777" w:rsidR="00253427" w:rsidRPr="00653977" w:rsidRDefault="00253427" w:rsidP="00EF0503">
            <w:pPr>
              <w:ind w:right="276"/>
              <w:jc w:val="right"/>
              <w:rPr>
                <w:sz w:val="22"/>
                <w:szCs w:val="22"/>
                <w:lang w:eastAsia="en-CA"/>
              </w:rPr>
            </w:pPr>
            <w:r w:rsidRPr="00653977">
              <w:rPr>
                <w:sz w:val="22"/>
                <w:szCs w:val="22"/>
                <w:lang w:eastAsia="en-CA"/>
              </w:rPr>
              <w:t>974</w:t>
            </w:r>
          </w:p>
        </w:tc>
        <w:tc>
          <w:tcPr>
            <w:tcW w:w="0" w:type="auto"/>
            <w:tcBorders>
              <w:top w:val="nil"/>
              <w:left w:val="nil"/>
              <w:bottom w:val="single" w:sz="4" w:space="0" w:color="auto"/>
              <w:right w:val="single" w:sz="4" w:space="0" w:color="auto"/>
            </w:tcBorders>
            <w:shd w:val="clear" w:color="auto" w:fill="auto"/>
            <w:noWrap/>
            <w:vAlign w:val="center"/>
            <w:hideMark/>
          </w:tcPr>
          <w:p w14:paraId="02ACCCB0" w14:textId="77777777" w:rsidR="00253427" w:rsidRPr="00653977" w:rsidRDefault="00253427" w:rsidP="00EF0503">
            <w:pPr>
              <w:ind w:right="276"/>
              <w:jc w:val="right"/>
              <w:rPr>
                <w:sz w:val="22"/>
                <w:szCs w:val="22"/>
                <w:lang w:eastAsia="en-CA"/>
              </w:rPr>
            </w:pPr>
            <w:r w:rsidRPr="00653977">
              <w:rPr>
                <w:sz w:val="22"/>
                <w:szCs w:val="22"/>
                <w:lang w:eastAsia="en-CA"/>
              </w:rPr>
              <w:t>1 032</w:t>
            </w:r>
          </w:p>
        </w:tc>
        <w:tc>
          <w:tcPr>
            <w:tcW w:w="0" w:type="auto"/>
            <w:tcBorders>
              <w:top w:val="nil"/>
              <w:left w:val="nil"/>
              <w:bottom w:val="single" w:sz="4" w:space="0" w:color="auto"/>
              <w:right w:val="single" w:sz="4" w:space="0" w:color="auto"/>
            </w:tcBorders>
            <w:shd w:val="clear" w:color="auto" w:fill="auto"/>
            <w:noWrap/>
            <w:vAlign w:val="center"/>
            <w:hideMark/>
          </w:tcPr>
          <w:p w14:paraId="3A352A05" w14:textId="77777777" w:rsidR="00253427" w:rsidRPr="00653977" w:rsidRDefault="00253427" w:rsidP="00EF0503">
            <w:pPr>
              <w:ind w:right="276"/>
              <w:jc w:val="right"/>
              <w:rPr>
                <w:sz w:val="22"/>
                <w:szCs w:val="22"/>
                <w:lang w:eastAsia="en-CA"/>
              </w:rPr>
            </w:pPr>
            <w:r w:rsidRPr="00653977">
              <w:rPr>
                <w:sz w:val="22"/>
                <w:szCs w:val="22"/>
                <w:lang w:eastAsia="en-CA"/>
              </w:rPr>
              <w:t>2 006</w:t>
            </w:r>
          </w:p>
        </w:tc>
      </w:tr>
      <w:tr w:rsidR="00253427" w:rsidRPr="00653977" w14:paraId="69613DF4"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E057FA" w14:textId="77777777" w:rsidR="00253427" w:rsidRPr="00653977" w:rsidRDefault="00253427" w:rsidP="00EF0503">
            <w:pPr>
              <w:rPr>
                <w:sz w:val="22"/>
                <w:szCs w:val="22"/>
                <w:lang w:eastAsia="en-CA"/>
              </w:rPr>
            </w:pPr>
            <w:r w:rsidRPr="00653977">
              <w:rPr>
                <w:sz w:val="22"/>
                <w:szCs w:val="22"/>
                <w:lang w:eastAsia="en-CA"/>
              </w:rPr>
              <w:t>Guinea</w:t>
            </w:r>
          </w:p>
        </w:tc>
        <w:tc>
          <w:tcPr>
            <w:tcW w:w="2288" w:type="dxa"/>
            <w:tcBorders>
              <w:top w:val="nil"/>
              <w:left w:val="nil"/>
              <w:bottom w:val="single" w:sz="4" w:space="0" w:color="auto"/>
              <w:right w:val="single" w:sz="4" w:space="0" w:color="auto"/>
            </w:tcBorders>
            <w:shd w:val="clear" w:color="auto" w:fill="auto"/>
            <w:vAlign w:val="center"/>
            <w:hideMark/>
          </w:tcPr>
          <w:p w14:paraId="289BE25F" w14:textId="77777777" w:rsidR="00253427" w:rsidRPr="00653977" w:rsidRDefault="00253427" w:rsidP="00EF0503">
            <w:pPr>
              <w:ind w:right="770"/>
              <w:jc w:val="right"/>
              <w:rPr>
                <w:sz w:val="22"/>
                <w:szCs w:val="22"/>
                <w:lang w:eastAsia="en-CA"/>
              </w:rPr>
            </w:pPr>
            <w:r w:rsidRPr="00653977">
              <w:rPr>
                <w:sz w:val="22"/>
                <w:szCs w:val="22"/>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7F481419" w14:textId="77777777" w:rsidR="00253427" w:rsidRPr="00653977" w:rsidRDefault="00253427" w:rsidP="00EF0503">
            <w:pPr>
              <w:ind w:right="1144"/>
              <w:jc w:val="right"/>
              <w:rPr>
                <w:sz w:val="22"/>
                <w:szCs w:val="22"/>
                <w:lang w:eastAsia="en-CA"/>
              </w:rPr>
            </w:pPr>
            <w:r w:rsidRPr="00653977">
              <w:rPr>
                <w:sz w:val="22"/>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0B380F20" w14:textId="77777777" w:rsidR="00253427" w:rsidRPr="00653977" w:rsidRDefault="00253427" w:rsidP="00EF0503">
            <w:pPr>
              <w:ind w:right="276"/>
              <w:jc w:val="right"/>
              <w:rPr>
                <w:sz w:val="22"/>
                <w:szCs w:val="22"/>
                <w:lang w:eastAsia="en-CA"/>
              </w:rPr>
            </w:pPr>
            <w:r w:rsidRPr="00653977">
              <w:rPr>
                <w:sz w:val="22"/>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00A904D6" w14:textId="77777777" w:rsidR="00253427" w:rsidRPr="00653977" w:rsidRDefault="00253427" w:rsidP="00EF0503">
            <w:pPr>
              <w:ind w:right="276"/>
              <w:jc w:val="right"/>
              <w:rPr>
                <w:sz w:val="22"/>
                <w:szCs w:val="22"/>
                <w:lang w:eastAsia="en-CA"/>
              </w:rPr>
            </w:pPr>
            <w:r w:rsidRPr="00653977">
              <w:rPr>
                <w:sz w:val="22"/>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6F2B40C8" w14:textId="77777777" w:rsidR="00253427" w:rsidRPr="00653977" w:rsidRDefault="00253427" w:rsidP="00EF0503">
            <w:pPr>
              <w:ind w:right="276"/>
              <w:jc w:val="right"/>
              <w:rPr>
                <w:sz w:val="22"/>
                <w:szCs w:val="22"/>
                <w:lang w:eastAsia="en-CA"/>
              </w:rPr>
            </w:pPr>
            <w:r w:rsidRPr="00653977">
              <w:rPr>
                <w:sz w:val="22"/>
                <w:szCs w:val="22"/>
                <w:lang w:eastAsia="en-CA"/>
              </w:rPr>
              <w:t>143</w:t>
            </w:r>
          </w:p>
        </w:tc>
      </w:tr>
      <w:tr w:rsidR="00253427" w:rsidRPr="00653977" w14:paraId="1F30022B"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92A46A" w14:textId="77777777" w:rsidR="00253427" w:rsidRPr="00653977" w:rsidRDefault="00253427" w:rsidP="00EF0503">
            <w:pPr>
              <w:rPr>
                <w:sz w:val="22"/>
                <w:szCs w:val="22"/>
                <w:lang w:eastAsia="en-CA"/>
              </w:rPr>
            </w:pPr>
            <w:r w:rsidRPr="00653977">
              <w:rPr>
                <w:sz w:val="22"/>
                <w:szCs w:val="22"/>
                <w:lang w:eastAsia="en-CA"/>
              </w:rPr>
              <w:t>Guinea-Bissau</w:t>
            </w:r>
          </w:p>
        </w:tc>
        <w:tc>
          <w:tcPr>
            <w:tcW w:w="2288" w:type="dxa"/>
            <w:tcBorders>
              <w:top w:val="nil"/>
              <w:left w:val="nil"/>
              <w:bottom w:val="single" w:sz="4" w:space="0" w:color="auto"/>
              <w:right w:val="single" w:sz="4" w:space="0" w:color="auto"/>
            </w:tcBorders>
            <w:shd w:val="clear" w:color="auto" w:fill="auto"/>
            <w:vAlign w:val="center"/>
            <w:hideMark/>
          </w:tcPr>
          <w:p w14:paraId="5EBA4A20"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BBAA2BD"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20202D4"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2335483"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563DE2BB"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26D52BC7"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CFE41F" w14:textId="77777777" w:rsidR="00253427" w:rsidRPr="00653977" w:rsidRDefault="00253427" w:rsidP="00EF0503">
            <w:pPr>
              <w:rPr>
                <w:sz w:val="22"/>
                <w:szCs w:val="22"/>
                <w:lang w:eastAsia="en-CA"/>
              </w:rPr>
            </w:pPr>
            <w:r w:rsidRPr="00653977">
              <w:rPr>
                <w:sz w:val="22"/>
                <w:szCs w:val="22"/>
                <w:lang w:eastAsia="en-CA"/>
              </w:rPr>
              <w:t>Guyana</w:t>
            </w:r>
          </w:p>
        </w:tc>
        <w:tc>
          <w:tcPr>
            <w:tcW w:w="2288" w:type="dxa"/>
            <w:tcBorders>
              <w:top w:val="nil"/>
              <w:left w:val="nil"/>
              <w:bottom w:val="single" w:sz="4" w:space="0" w:color="auto"/>
              <w:right w:val="single" w:sz="4" w:space="0" w:color="auto"/>
            </w:tcBorders>
            <w:shd w:val="clear" w:color="auto" w:fill="auto"/>
            <w:vAlign w:val="center"/>
            <w:hideMark/>
          </w:tcPr>
          <w:p w14:paraId="356F2B17" w14:textId="77777777" w:rsidR="00253427" w:rsidRPr="00653977" w:rsidRDefault="00253427" w:rsidP="00EF0503">
            <w:pPr>
              <w:ind w:right="770"/>
              <w:jc w:val="right"/>
              <w:rPr>
                <w:sz w:val="22"/>
                <w:szCs w:val="22"/>
                <w:lang w:eastAsia="en-CA"/>
              </w:rPr>
            </w:pPr>
            <w:r w:rsidRPr="00653977">
              <w:rPr>
                <w:sz w:val="22"/>
                <w:szCs w:val="22"/>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04D4E32E" w14:textId="77777777" w:rsidR="00253427" w:rsidRPr="00653977" w:rsidRDefault="00253427" w:rsidP="00EF0503">
            <w:pPr>
              <w:ind w:right="1144"/>
              <w:jc w:val="right"/>
              <w:rPr>
                <w:sz w:val="22"/>
                <w:szCs w:val="22"/>
                <w:lang w:eastAsia="en-CA"/>
              </w:rPr>
            </w:pPr>
            <w:r w:rsidRPr="00653977">
              <w:rPr>
                <w:sz w:val="22"/>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761C1CAC" w14:textId="77777777" w:rsidR="00253427" w:rsidRPr="00653977" w:rsidRDefault="00253427" w:rsidP="00EF0503">
            <w:pPr>
              <w:ind w:right="276"/>
              <w:jc w:val="right"/>
              <w:rPr>
                <w:sz w:val="22"/>
                <w:szCs w:val="22"/>
                <w:lang w:eastAsia="en-CA"/>
              </w:rPr>
            </w:pPr>
            <w:r w:rsidRPr="00653977">
              <w:rPr>
                <w:sz w:val="22"/>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2F84DED5" w14:textId="77777777" w:rsidR="00253427" w:rsidRPr="00653977" w:rsidRDefault="00253427" w:rsidP="00EF0503">
            <w:pPr>
              <w:ind w:right="276"/>
              <w:jc w:val="right"/>
              <w:rPr>
                <w:sz w:val="22"/>
                <w:szCs w:val="22"/>
                <w:lang w:eastAsia="en-CA"/>
              </w:rPr>
            </w:pPr>
            <w:r w:rsidRPr="00653977">
              <w:rPr>
                <w:sz w:val="22"/>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17655E09" w14:textId="77777777" w:rsidR="00253427" w:rsidRPr="00653977" w:rsidRDefault="00253427" w:rsidP="00EF0503">
            <w:pPr>
              <w:ind w:right="276"/>
              <w:jc w:val="right"/>
              <w:rPr>
                <w:sz w:val="22"/>
                <w:szCs w:val="22"/>
                <w:lang w:eastAsia="en-CA"/>
              </w:rPr>
            </w:pPr>
            <w:r w:rsidRPr="00653977">
              <w:rPr>
                <w:sz w:val="22"/>
                <w:szCs w:val="22"/>
                <w:lang w:eastAsia="en-CA"/>
              </w:rPr>
              <w:t>143</w:t>
            </w:r>
          </w:p>
        </w:tc>
      </w:tr>
      <w:tr w:rsidR="00253427" w:rsidRPr="00653977" w14:paraId="05E4763B"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FD4716" w14:textId="77777777" w:rsidR="00253427" w:rsidRPr="00653977" w:rsidRDefault="00253427" w:rsidP="00EF0503">
            <w:pPr>
              <w:rPr>
                <w:sz w:val="22"/>
                <w:szCs w:val="22"/>
                <w:lang w:eastAsia="en-CA"/>
              </w:rPr>
            </w:pPr>
            <w:r w:rsidRPr="00653977">
              <w:rPr>
                <w:sz w:val="22"/>
                <w:szCs w:val="22"/>
                <w:lang w:eastAsia="en-CA"/>
              </w:rPr>
              <w:t>Honduras</w:t>
            </w:r>
          </w:p>
        </w:tc>
        <w:tc>
          <w:tcPr>
            <w:tcW w:w="2288" w:type="dxa"/>
            <w:tcBorders>
              <w:top w:val="nil"/>
              <w:left w:val="nil"/>
              <w:bottom w:val="single" w:sz="4" w:space="0" w:color="auto"/>
              <w:right w:val="single" w:sz="4" w:space="0" w:color="auto"/>
            </w:tcBorders>
            <w:shd w:val="clear" w:color="auto" w:fill="auto"/>
            <w:vAlign w:val="center"/>
            <w:hideMark/>
          </w:tcPr>
          <w:p w14:paraId="419CF002" w14:textId="77777777" w:rsidR="00253427" w:rsidRPr="00653977" w:rsidRDefault="00253427" w:rsidP="00EF0503">
            <w:pPr>
              <w:ind w:right="770"/>
              <w:jc w:val="right"/>
              <w:rPr>
                <w:sz w:val="22"/>
                <w:szCs w:val="22"/>
                <w:lang w:eastAsia="en-CA"/>
              </w:rPr>
            </w:pPr>
            <w:r w:rsidRPr="00653977">
              <w:rPr>
                <w:sz w:val="22"/>
                <w:szCs w:val="22"/>
                <w:lang w:eastAsia="en-CA"/>
              </w:rPr>
              <w:t>0.008</w:t>
            </w:r>
          </w:p>
        </w:tc>
        <w:tc>
          <w:tcPr>
            <w:tcW w:w="0" w:type="auto"/>
            <w:tcBorders>
              <w:top w:val="nil"/>
              <w:left w:val="nil"/>
              <w:bottom w:val="single" w:sz="4" w:space="0" w:color="auto"/>
              <w:right w:val="single" w:sz="4" w:space="0" w:color="auto"/>
            </w:tcBorders>
            <w:shd w:val="clear" w:color="auto" w:fill="auto"/>
            <w:noWrap/>
            <w:vAlign w:val="center"/>
            <w:hideMark/>
          </w:tcPr>
          <w:p w14:paraId="3CB04E79" w14:textId="77777777" w:rsidR="00253427" w:rsidRPr="00653977" w:rsidRDefault="00253427" w:rsidP="00EF0503">
            <w:pPr>
              <w:ind w:right="1144"/>
              <w:jc w:val="right"/>
              <w:rPr>
                <w:sz w:val="22"/>
                <w:szCs w:val="22"/>
                <w:lang w:eastAsia="en-CA"/>
              </w:rPr>
            </w:pPr>
            <w:r w:rsidRPr="00653977">
              <w:rPr>
                <w:sz w:val="22"/>
                <w:szCs w:val="22"/>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52BF5850" w14:textId="77777777" w:rsidR="00253427" w:rsidRPr="00653977" w:rsidRDefault="00253427" w:rsidP="00EF0503">
            <w:pPr>
              <w:ind w:right="276"/>
              <w:jc w:val="right"/>
              <w:rPr>
                <w:sz w:val="22"/>
                <w:szCs w:val="22"/>
                <w:lang w:eastAsia="en-CA"/>
              </w:rPr>
            </w:pPr>
            <w:r w:rsidRPr="00653977">
              <w:rPr>
                <w:sz w:val="22"/>
                <w:szCs w:val="22"/>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14:paraId="11ABE588" w14:textId="77777777" w:rsidR="00253427" w:rsidRPr="00653977" w:rsidRDefault="00253427" w:rsidP="00EF0503">
            <w:pPr>
              <w:ind w:right="276"/>
              <w:jc w:val="right"/>
              <w:rPr>
                <w:sz w:val="22"/>
                <w:szCs w:val="22"/>
                <w:lang w:eastAsia="en-CA"/>
              </w:rPr>
            </w:pPr>
            <w:r w:rsidRPr="00653977">
              <w:rPr>
                <w:sz w:val="22"/>
                <w:szCs w:val="22"/>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14:paraId="0A915E89" w14:textId="77777777" w:rsidR="00253427" w:rsidRPr="00653977" w:rsidRDefault="00253427" w:rsidP="00EF0503">
            <w:pPr>
              <w:ind w:right="276"/>
              <w:jc w:val="right"/>
              <w:rPr>
                <w:sz w:val="22"/>
                <w:szCs w:val="22"/>
                <w:lang w:eastAsia="en-CA"/>
              </w:rPr>
            </w:pPr>
            <w:r w:rsidRPr="00653977">
              <w:rPr>
                <w:sz w:val="22"/>
                <w:szCs w:val="22"/>
                <w:lang w:eastAsia="en-CA"/>
              </w:rPr>
              <w:t>573</w:t>
            </w:r>
          </w:p>
        </w:tc>
      </w:tr>
      <w:tr w:rsidR="00253427" w:rsidRPr="00653977" w14:paraId="1F53BB0C"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985B59" w14:textId="77777777" w:rsidR="00253427" w:rsidRPr="00653977" w:rsidRDefault="00253427" w:rsidP="00EF0503">
            <w:pPr>
              <w:rPr>
                <w:sz w:val="22"/>
                <w:szCs w:val="22"/>
                <w:lang w:eastAsia="en-CA"/>
              </w:rPr>
            </w:pPr>
            <w:r w:rsidRPr="00653977">
              <w:rPr>
                <w:sz w:val="22"/>
                <w:szCs w:val="22"/>
                <w:lang w:eastAsia="en-CA"/>
              </w:rPr>
              <w:t>Hungary</w:t>
            </w:r>
          </w:p>
        </w:tc>
        <w:tc>
          <w:tcPr>
            <w:tcW w:w="2288" w:type="dxa"/>
            <w:tcBorders>
              <w:top w:val="nil"/>
              <w:left w:val="nil"/>
              <w:bottom w:val="single" w:sz="4" w:space="0" w:color="auto"/>
              <w:right w:val="single" w:sz="4" w:space="0" w:color="auto"/>
            </w:tcBorders>
            <w:shd w:val="clear" w:color="auto" w:fill="auto"/>
            <w:vAlign w:val="center"/>
            <w:hideMark/>
          </w:tcPr>
          <w:p w14:paraId="77F53BB9" w14:textId="77777777" w:rsidR="00253427" w:rsidRPr="00653977" w:rsidRDefault="00253427" w:rsidP="00EF0503">
            <w:pPr>
              <w:ind w:right="770"/>
              <w:jc w:val="right"/>
              <w:rPr>
                <w:sz w:val="22"/>
                <w:szCs w:val="22"/>
                <w:lang w:eastAsia="en-CA"/>
              </w:rPr>
            </w:pPr>
            <w:r w:rsidRPr="00653977">
              <w:rPr>
                <w:sz w:val="22"/>
                <w:szCs w:val="22"/>
                <w:lang w:eastAsia="en-CA"/>
              </w:rPr>
              <w:t>0.161</w:t>
            </w:r>
          </w:p>
        </w:tc>
        <w:tc>
          <w:tcPr>
            <w:tcW w:w="0" w:type="auto"/>
            <w:tcBorders>
              <w:top w:val="nil"/>
              <w:left w:val="nil"/>
              <w:bottom w:val="single" w:sz="4" w:space="0" w:color="auto"/>
              <w:right w:val="single" w:sz="4" w:space="0" w:color="auto"/>
            </w:tcBorders>
            <w:shd w:val="clear" w:color="auto" w:fill="auto"/>
            <w:noWrap/>
            <w:vAlign w:val="center"/>
            <w:hideMark/>
          </w:tcPr>
          <w:p w14:paraId="1601129C" w14:textId="77777777" w:rsidR="00253427" w:rsidRPr="00653977" w:rsidRDefault="00253427" w:rsidP="00EF0503">
            <w:pPr>
              <w:ind w:right="1144"/>
              <w:jc w:val="right"/>
              <w:rPr>
                <w:sz w:val="22"/>
                <w:szCs w:val="22"/>
                <w:lang w:eastAsia="en-CA"/>
              </w:rPr>
            </w:pPr>
            <w:r w:rsidRPr="00653977">
              <w:rPr>
                <w:sz w:val="22"/>
                <w:szCs w:val="22"/>
                <w:lang w:eastAsia="en-CA"/>
              </w:rPr>
              <w:t>0.233</w:t>
            </w:r>
          </w:p>
        </w:tc>
        <w:tc>
          <w:tcPr>
            <w:tcW w:w="0" w:type="auto"/>
            <w:tcBorders>
              <w:top w:val="nil"/>
              <w:left w:val="nil"/>
              <w:bottom w:val="single" w:sz="4" w:space="0" w:color="auto"/>
              <w:right w:val="single" w:sz="4" w:space="0" w:color="auto"/>
            </w:tcBorders>
            <w:shd w:val="clear" w:color="auto" w:fill="auto"/>
            <w:noWrap/>
            <w:vAlign w:val="center"/>
            <w:hideMark/>
          </w:tcPr>
          <w:p w14:paraId="42339B73" w14:textId="77777777" w:rsidR="00253427" w:rsidRPr="00653977" w:rsidRDefault="00253427" w:rsidP="00EF0503">
            <w:pPr>
              <w:ind w:right="276"/>
              <w:jc w:val="right"/>
              <w:rPr>
                <w:sz w:val="22"/>
                <w:szCs w:val="22"/>
                <w:lang w:eastAsia="en-CA"/>
              </w:rPr>
            </w:pPr>
            <w:r w:rsidRPr="00653977">
              <w:rPr>
                <w:sz w:val="22"/>
                <w:szCs w:val="22"/>
                <w:lang w:eastAsia="en-CA"/>
              </w:rPr>
              <w:t>5 598</w:t>
            </w:r>
          </w:p>
        </w:tc>
        <w:tc>
          <w:tcPr>
            <w:tcW w:w="0" w:type="auto"/>
            <w:tcBorders>
              <w:top w:val="nil"/>
              <w:left w:val="nil"/>
              <w:bottom w:val="single" w:sz="4" w:space="0" w:color="auto"/>
              <w:right w:val="single" w:sz="4" w:space="0" w:color="auto"/>
            </w:tcBorders>
            <w:shd w:val="clear" w:color="auto" w:fill="auto"/>
            <w:noWrap/>
            <w:vAlign w:val="center"/>
            <w:hideMark/>
          </w:tcPr>
          <w:p w14:paraId="50DF6E22" w14:textId="77777777" w:rsidR="00253427" w:rsidRPr="00653977" w:rsidRDefault="00253427" w:rsidP="00EF0503">
            <w:pPr>
              <w:ind w:right="276"/>
              <w:jc w:val="right"/>
              <w:rPr>
                <w:sz w:val="22"/>
                <w:szCs w:val="22"/>
                <w:lang w:eastAsia="en-CA"/>
              </w:rPr>
            </w:pPr>
            <w:r w:rsidRPr="00653977">
              <w:rPr>
                <w:sz w:val="22"/>
                <w:szCs w:val="22"/>
                <w:lang w:eastAsia="en-CA"/>
              </w:rPr>
              <w:t>5 936</w:t>
            </w:r>
          </w:p>
        </w:tc>
        <w:tc>
          <w:tcPr>
            <w:tcW w:w="0" w:type="auto"/>
            <w:tcBorders>
              <w:top w:val="nil"/>
              <w:left w:val="nil"/>
              <w:bottom w:val="single" w:sz="4" w:space="0" w:color="auto"/>
              <w:right w:val="single" w:sz="4" w:space="0" w:color="auto"/>
            </w:tcBorders>
            <w:shd w:val="clear" w:color="auto" w:fill="auto"/>
            <w:noWrap/>
            <w:vAlign w:val="center"/>
            <w:hideMark/>
          </w:tcPr>
          <w:p w14:paraId="2690E2A6" w14:textId="77777777" w:rsidR="00253427" w:rsidRPr="00653977" w:rsidRDefault="00253427" w:rsidP="00EF0503">
            <w:pPr>
              <w:ind w:right="276"/>
              <w:jc w:val="right"/>
              <w:rPr>
                <w:sz w:val="22"/>
                <w:szCs w:val="22"/>
                <w:lang w:eastAsia="en-CA"/>
              </w:rPr>
            </w:pPr>
            <w:r w:rsidRPr="00653977">
              <w:rPr>
                <w:sz w:val="22"/>
                <w:szCs w:val="22"/>
                <w:lang w:eastAsia="en-CA"/>
              </w:rPr>
              <w:t>11 534</w:t>
            </w:r>
          </w:p>
        </w:tc>
      </w:tr>
      <w:tr w:rsidR="00253427" w:rsidRPr="00653977" w14:paraId="1044B634"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3B6C6F" w14:textId="77777777" w:rsidR="00253427" w:rsidRPr="00653977" w:rsidRDefault="00253427" w:rsidP="00EF0503">
            <w:pPr>
              <w:rPr>
                <w:sz w:val="22"/>
                <w:szCs w:val="22"/>
                <w:lang w:eastAsia="en-CA"/>
              </w:rPr>
            </w:pPr>
            <w:r w:rsidRPr="00653977">
              <w:rPr>
                <w:sz w:val="22"/>
                <w:szCs w:val="22"/>
                <w:lang w:eastAsia="en-CA"/>
              </w:rPr>
              <w:t>India</w:t>
            </w:r>
          </w:p>
        </w:tc>
        <w:tc>
          <w:tcPr>
            <w:tcW w:w="2288" w:type="dxa"/>
            <w:tcBorders>
              <w:top w:val="nil"/>
              <w:left w:val="nil"/>
              <w:bottom w:val="single" w:sz="4" w:space="0" w:color="auto"/>
              <w:right w:val="single" w:sz="4" w:space="0" w:color="auto"/>
            </w:tcBorders>
            <w:shd w:val="clear" w:color="auto" w:fill="auto"/>
            <w:vAlign w:val="center"/>
            <w:hideMark/>
          </w:tcPr>
          <w:p w14:paraId="04BBDD8E" w14:textId="77777777" w:rsidR="00253427" w:rsidRPr="00653977" w:rsidRDefault="00253427" w:rsidP="00EF0503">
            <w:pPr>
              <w:ind w:right="770"/>
              <w:jc w:val="right"/>
              <w:rPr>
                <w:sz w:val="22"/>
                <w:szCs w:val="22"/>
                <w:lang w:eastAsia="en-CA"/>
              </w:rPr>
            </w:pPr>
            <w:r w:rsidRPr="00653977">
              <w:rPr>
                <w:sz w:val="22"/>
                <w:szCs w:val="22"/>
                <w:lang w:eastAsia="en-CA"/>
              </w:rPr>
              <w:t>0.737</w:t>
            </w:r>
          </w:p>
        </w:tc>
        <w:tc>
          <w:tcPr>
            <w:tcW w:w="0" w:type="auto"/>
            <w:tcBorders>
              <w:top w:val="nil"/>
              <w:left w:val="nil"/>
              <w:bottom w:val="single" w:sz="4" w:space="0" w:color="auto"/>
              <w:right w:val="single" w:sz="4" w:space="0" w:color="auto"/>
            </w:tcBorders>
            <w:shd w:val="clear" w:color="auto" w:fill="auto"/>
            <w:noWrap/>
            <w:vAlign w:val="center"/>
            <w:hideMark/>
          </w:tcPr>
          <w:p w14:paraId="362F5466" w14:textId="77777777" w:rsidR="00253427" w:rsidRPr="00653977" w:rsidRDefault="00253427" w:rsidP="00EF0503">
            <w:pPr>
              <w:ind w:right="1144"/>
              <w:jc w:val="right"/>
              <w:rPr>
                <w:sz w:val="22"/>
                <w:szCs w:val="22"/>
                <w:lang w:eastAsia="en-CA"/>
              </w:rPr>
            </w:pPr>
            <w:r w:rsidRPr="00653977">
              <w:rPr>
                <w:sz w:val="22"/>
                <w:szCs w:val="22"/>
                <w:lang w:eastAsia="en-CA"/>
              </w:rPr>
              <w:t>1.067</w:t>
            </w:r>
          </w:p>
        </w:tc>
        <w:tc>
          <w:tcPr>
            <w:tcW w:w="0" w:type="auto"/>
            <w:tcBorders>
              <w:top w:val="nil"/>
              <w:left w:val="nil"/>
              <w:bottom w:val="single" w:sz="4" w:space="0" w:color="auto"/>
              <w:right w:val="single" w:sz="4" w:space="0" w:color="auto"/>
            </w:tcBorders>
            <w:shd w:val="clear" w:color="auto" w:fill="auto"/>
            <w:noWrap/>
            <w:vAlign w:val="center"/>
            <w:hideMark/>
          </w:tcPr>
          <w:p w14:paraId="50C58F4A" w14:textId="77777777" w:rsidR="00253427" w:rsidRPr="00653977" w:rsidRDefault="00253427" w:rsidP="00EF0503">
            <w:pPr>
              <w:ind w:right="276"/>
              <w:jc w:val="right"/>
              <w:rPr>
                <w:sz w:val="22"/>
                <w:szCs w:val="22"/>
                <w:lang w:eastAsia="en-CA"/>
              </w:rPr>
            </w:pPr>
            <w:r w:rsidRPr="00653977">
              <w:rPr>
                <w:sz w:val="22"/>
                <w:szCs w:val="22"/>
                <w:lang w:eastAsia="en-CA"/>
              </w:rPr>
              <w:t>25 625</w:t>
            </w:r>
          </w:p>
        </w:tc>
        <w:tc>
          <w:tcPr>
            <w:tcW w:w="0" w:type="auto"/>
            <w:tcBorders>
              <w:top w:val="nil"/>
              <w:left w:val="nil"/>
              <w:bottom w:val="single" w:sz="4" w:space="0" w:color="auto"/>
              <w:right w:val="single" w:sz="4" w:space="0" w:color="auto"/>
            </w:tcBorders>
            <w:shd w:val="clear" w:color="auto" w:fill="auto"/>
            <w:noWrap/>
            <w:vAlign w:val="center"/>
            <w:hideMark/>
          </w:tcPr>
          <w:p w14:paraId="4616F99A" w14:textId="77777777" w:rsidR="00253427" w:rsidRPr="00653977" w:rsidRDefault="00253427" w:rsidP="00EF0503">
            <w:pPr>
              <w:ind w:right="276"/>
              <w:jc w:val="right"/>
              <w:rPr>
                <w:sz w:val="22"/>
                <w:szCs w:val="22"/>
                <w:lang w:eastAsia="en-CA"/>
              </w:rPr>
            </w:pPr>
            <w:r w:rsidRPr="00653977">
              <w:rPr>
                <w:sz w:val="22"/>
                <w:szCs w:val="22"/>
                <w:lang w:eastAsia="en-CA"/>
              </w:rPr>
              <w:t>27 173</w:t>
            </w:r>
          </w:p>
        </w:tc>
        <w:tc>
          <w:tcPr>
            <w:tcW w:w="0" w:type="auto"/>
            <w:tcBorders>
              <w:top w:val="nil"/>
              <w:left w:val="nil"/>
              <w:bottom w:val="single" w:sz="4" w:space="0" w:color="auto"/>
              <w:right w:val="single" w:sz="4" w:space="0" w:color="auto"/>
            </w:tcBorders>
            <w:shd w:val="clear" w:color="auto" w:fill="auto"/>
            <w:noWrap/>
            <w:vAlign w:val="center"/>
            <w:hideMark/>
          </w:tcPr>
          <w:p w14:paraId="7A725C1D" w14:textId="77777777" w:rsidR="00253427" w:rsidRPr="00653977" w:rsidRDefault="00253427" w:rsidP="00EF0503">
            <w:pPr>
              <w:ind w:right="276"/>
              <w:jc w:val="right"/>
              <w:rPr>
                <w:sz w:val="22"/>
                <w:szCs w:val="22"/>
                <w:lang w:eastAsia="en-CA"/>
              </w:rPr>
            </w:pPr>
            <w:r w:rsidRPr="00653977">
              <w:rPr>
                <w:sz w:val="22"/>
                <w:szCs w:val="22"/>
                <w:lang w:eastAsia="en-CA"/>
              </w:rPr>
              <w:t>52 797</w:t>
            </w:r>
          </w:p>
        </w:tc>
      </w:tr>
      <w:tr w:rsidR="00253427" w:rsidRPr="00653977" w14:paraId="24FE58FC"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0EB17F" w14:textId="77777777" w:rsidR="00253427" w:rsidRPr="00653977" w:rsidRDefault="00253427" w:rsidP="00EF0503">
            <w:pPr>
              <w:rPr>
                <w:sz w:val="22"/>
                <w:szCs w:val="22"/>
                <w:lang w:eastAsia="en-CA"/>
              </w:rPr>
            </w:pPr>
            <w:r w:rsidRPr="00653977">
              <w:rPr>
                <w:sz w:val="22"/>
                <w:szCs w:val="22"/>
                <w:lang w:eastAsia="en-CA"/>
              </w:rPr>
              <w:t>Indonesia</w:t>
            </w:r>
          </w:p>
        </w:tc>
        <w:tc>
          <w:tcPr>
            <w:tcW w:w="2288" w:type="dxa"/>
            <w:tcBorders>
              <w:top w:val="nil"/>
              <w:left w:val="nil"/>
              <w:bottom w:val="single" w:sz="4" w:space="0" w:color="auto"/>
              <w:right w:val="single" w:sz="4" w:space="0" w:color="auto"/>
            </w:tcBorders>
            <w:shd w:val="clear" w:color="auto" w:fill="auto"/>
            <w:vAlign w:val="center"/>
            <w:hideMark/>
          </w:tcPr>
          <w:p w14:paraId="49BC2F5A" w14:textId="77777777" w:rsidR="00253427" w:rsidRPr="00653977" w:rsidRDefault="00253427" w:rsidP="00EF0503">
            <w:pPr>
              <w:ind w:right="770"/>
              <w:jc w:val="right"/>
              <w:rPr>
                <w:sz w:val="22"/>
                <w:szCs w:val="22"/>
                <w:lang w:eastAsia="en-CA"/>
              </w:rPr>
            </w:pPr>
            <w:r w:rsidRPr="00653977">
              <w:rPr>
                <w:sz w:val="22"/>
                <w:szCs w:val="22"/>
                <w:lang w:eastAsia="en-CA"/>
              </w:rPr>
              <w:t>0.504</w:t>
            </w:r>
          </w:p>
        </w:tc>
        <w:tc>
          <w:tcPr>
            <w:tcW w:w="0" w:type="auto"/>
            <w:tcBorders>
              <w:top w:val="nil"/>
              <w:left w:val="nil"/>
              <w:bottom w:val="single" w:sz="4" w:space="0" w:color="auto"/>
              <w:right w:val="single" w:sz="4" w:space="0" w:color="auto"/>
            </w:tcBorders>
            <w:shd w:val="clear" w:color="auto" w:fill="auto"/>
            <w:noWrap/>
            <w:vAlign w:val="center"/>
            <w:hideMark/>
          </w:tcPr>
          <w:p w14:paraId="53715DD8" w14:textId="77777777" w:rsidR="00253427" w:rsidRPr="00653977" w:rsidRDefault="00253427" w:rsidP="00EF0503">
            <w:pPr>
              <w:ind w:right="1144"/>
              <w:jc w:val="right"/>
              <w:rPr>
                <w:sz w:val="22"/>
                <w:szCs w:val="22"/>
                <w:lang w:eastAsia="en-CA"/>
              </w:rPr>
            </w:pPr>
            <w:r w:rsidRPr="00653977">
              <w:rPr>
                <w:sz w:val="22"/>
                <w:szCs w:val="22"/>
                <w:lang w:eastAsia="en-CA"/>
              </w:rPr>
              <w:t>0.730</w:t>
            </w:r>
          </w:p>
        </w:tc>
        <w:tc>
          <w:tcPr>
            <w:tcW w:w="0" w:type="auto"/>
            <w:tcBorders>
              <w:top w:val="nil"/>
              <w:left w:val="nil"/>
              <w:bottom w:val="single" w:sz="4" w:space="0" w:color="auto"/>
              <w:right w:val="single" w:sz="4" w:space="0" w:color="auto"/>
            </w:tcBorders>
            <w:shd w:val="clear" w:color="auto" w:fill="auto"/>
            <w:noWrap/>
            <w:vAlign w:val="center"/>
            <w:hideMark/>
          </w:tcPr>
          <w:p w14:paraId="3F2A129E" w14:textId="77777777" w:rsidR="00253427" w:rsidRPr="00653977" w:rsidRDefault="00253427" w:rsidP="00EF0503">
            <w:pPr>
              <w:ind w:right="276"/>
              <w:jc w:val="right"/>
              <w:rPr>
                <w:sz w:val="22"/>
                <w:szCs w:val="22"/>
                <w:lang w:eastAsia="en-CA"/>
              </w:rPr>
            </w:pPr>
            <w:r w:rsidRPr="00653977">
              <w:rPr>
                <w:sz w:val="22"/>
                <w:szCs w:val="22"/>
                <w:lang w:eastAsia="en-CA"/>
              </w:rPr>
              <w:t>17 524</w:t>
            </w:r>
          </w:p>
        </w:tc>
        <w:tc>
          <w:tcPr>
            <w:tcW w:w="0" w:type="auto"/>
            <w:tcBorders>
              <w:top w:val="nil"/>
              <w:left w:val="nil"/>
              <w:bottom w:val="single" w:sz="4" w:space="0" w:color="auto"/>
              <w:right w:val="single" w:sz="4" w:space="0" w:color="auto"/>
            </w:tcBorders>
            <w:shd w:val="clear" w:color="auto" w:fill="auto"/>
            <w:noWrap/>
            <w:vAlign w:val="center"/>
            <w:hideMark/>
          </w:tcPr>
          <w:p w14:paraId="4C19077F" w14:textId="77777777" w:rsidR="00253427" w:rsidRPr="00653977" w:rsidRDefault="00253427" w:rsidP="00EF0503">
            <w:pPr>
              <w:ind w:right="276"/>
              <w:jc w:val="right"/>
              <w:rPr>
                <w:sz w:val="22"/>
                <w:szCs w:val="22"/>
                <w:lang w:eastAsia="en-CA"/>
              </w:rPr>
            </w:pPr>
            <w:r w:rsidRPr="00653977">
              <w:rPr>
                <w:sz w:val="22"/>
                <w:szCs w:val="22"/>
                <w:lang w:eastAsia="en-CA"/>
              </w:rPr>
              <w:t>18 582</w:t>
            </w:r>
          </w:p>
        </w:tc>
        <w:tc>
          <w:tcPr>
            <w:tcW w:w="0" w:type="auto"/>
            <w:tcBorders>
              <w:top w:val="nil"/>
              <w:left w:val="nil"/>
              <w:bottom w:val="single" w:sz="4" w:space="0" w:color="auto"/>
              <w:right w:val="single" w:sz="4" w:space="0" w:color="auto"/>
            </w:tcBorders>
            <w:shd w:val="clear" w:color="auto" w:fill="auto"/>
            <w:noWrap/>
            <w:vAlign w:val="center"/>
            <w:hideMark/>
          </w:tcPr>
          <w:p w14:paraId="774173A4" w14:textId="77777777" w:rsidR="00253427" w:rsidRPr="00653977" w:rsidRDefault="00253427" w:rsidP="00EF0503">
            <w:pPr>
              <w:ind w:right="276"/>
              <w:jc w:val="right"/>
              <w:rPr>
                <w:sz w:val="22"/>
                <w:szCs w:val="22"/>
                <w:lang w:eastAsia="en-CA"/>
              </w:rPr>
            </w:pPr>
            <w:r w:rsidRPr="00653977">
              <w:rPr>
                <w:sz w:val="22"/>
                <w:szCs w:val="22"/>
                <w:lang w:eastAsia="en-CA"/>
              </w:rPr>
              <w:t>36 106</w:t>
            </w:r>
          </w:p>
        </w:tc>
      </w:tr>
      <w:tr w:rsidR="00253427" w:rsidRPr="00653977" w14:paraId="41BA3204"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A87F82" w14:textId="77777777" w:rsidR="00253427" w:rsidRPr="00653977" w:rsidRDefault="00253427" w:rsidP="00EF0503">
            <w:pPr>
              <w:rPr>
                <w:sz w:val="22"/>
                <w:szCs w:val="22"/>
                <w:lang w:eastAsia="en-CA"/>
              </w:rPr>
            </w:pPr>
            <w:r w:rsidRPr="00653977">
              <w:rPr>
                <w:sz w:val="22"/>
                <w:szCs w:val="22"/>
                <w:lang w:eastAsia="en-CA"/>
              </w:rPr>
              <w:t>Iran (Islamic Republic of)</w:t>
            </w:r>
          </w:p>
        </w:tc>
        <w:tc>
          <w:tcPr>
            <w:tcW w:w="2288" w:type="dxa"/>
            <w:tcBorders>
              <w:top w:val="nil"/>
              <w:left w:val="nil"/>
              <w:bottom w:val="single" w:sz="4" w:space="0" w:color="auto"/>
              <w:right w:val="single" w:sz="4" w:space="0" w:color="auto"/>
            </w:tcBorders>
            <w:shd w:val="clear" w:color="auto" w:fill="auto"/>
            <w:vAlign w:val="center"/>
            <w:hideMark/>
          </w:tcPr>
          <w:p w14:paraId="77306E66" w14:textId="77777777" w:rsidR="00253427" w:rsidRPr="00653977" w:rsidRDefault="00253427" w:rsidP="00EF0503">
            <w:pPr>
              <w:ind w:right="770"/>
              <w:jc w:val="right"/>
              <w:rPr>
                <w:sz w:val="22"/>
                <w:szCs w:val="22"/>
                <w:lang w:eastAsia="en-CA"/>
              </w:rPr>
            </w:pPr>
            <w:r w:rsidRPr="00653977">
              <w:rPr>
                <w:sz w:val="22"/>
                <w:szCs w:val="22"/>
                <w:lang w:eastAsia="en-CA"/>
              </w:rPr>
              <w:t>0.471</w:t>
            </w:r>
          </w:p>
        </w:tc>
        <w:tc>
          <w:tcPr>
            <w:tcW w:w="0" w:type="auto"/>
            <w:tcBorders>
              <w:top w:val="nil"/>
              <w:left w:val="nil"/>
              <w:bottom w:val="single" w:sz="4" w:space="0" w:color="auto"/>
              <w:right w:val="single" w:sz="4" w:space="0" w:color="auto"/>
            </w:tcBorders>
            <w:shd w:val="clear" w:color="auto" w:fill="auto"/>
            <w:noWrap/>
            <w:vAlign w:val="center"/>
            <w:hideMark/>
          </w:tcPr>
          <w:p w14:paraId="18082689" w14:textId="77777777" w:rsidR="00253427" w:rsidRPr="00653977" w:rsidRDefault="00253427" w:rsidP="00EF0503">
            <w:pPr>
              <w:ind w:right="1144"/>
              <w:jc w:val="right"/>
              <w:rPr>
                <w:sz w:val="22"/>
                <w:szCs w:val="22"/>
                <w:lang w:eastAsia="en-CA"/>
              </w:rPr>
            </w:pPr>
            <w:r w:rsidRPr="00653977">
              <w:rPr>
                <w:sz w:val="22"/>
                <w:szCs w:val="22"/>
                <w:lang w:eastAsia="en-CA"/>
              </w:rPr>
              <w:t>0.682</w:t>
            </w:r>
          </w:p>
        </w:tc>
        <w:tc>
          <w:tcPr>
            <w:tcW w:w="0" w:type="auto"/>
            <w:tcBorders>
              <w:top w:val="nil"/>
              <w:left w:val="nil"/>
              <w:bottom w:val="single" w:sz="4" w:space="0" w:color="auto"/>
              <w:right w:val="single" w:sz="4" w:space="0" w:color="auto"/>
            </w:tcBorders>
            <w:shd w:val="clear" w:color="auto" w:fill="auto"/>
            <w:noWrap/>
            <w:vAlign w:val="center"/>
            <w:hideMark/>
          </w:tcPr>
          <w:p w14:paraId="0BBB0368" w14:textId="77777777" w:rsidR="00253427" w:rsidRPr="00653977" w:rsidRDefault="00253427" w:rsidP="00EF0503">
            <w:pPr>
              <w:ind w:right="276"/>
              <w:jc w:val="right"/>
              <w:rPr>
                <w:sz w:val="22"/>
                <w:szCs w:val="22"/>
                <w:lang w:eastAsia="en-CA"/>
              </w:rPr>
            </w:pPr>
            <w:r w:rsidRPr="00653977">
              <w:rPr>
                <w:sz w:val="22"/>
                <w:szCs w:val="22"/>
                <w:lang w:eastAsia="en-CA"/>
              </w:rPr>
              <w:t>16 376</w:t>
            </w:r>
          </w:p>
        </w:tc>
        <w:tc>
          <w:tcPr>
            <w:tcW w:w="0" w:type="auto"/>
            <w:tcBorders>
              <w:top w:val="nil"/>
              <w:left w:val="nil"/>
              <w:bottom w:val="single" w:sz="4" w:space="0" w:color="auto"/>
              <w:right w:val="single" w:sz="4" w:space="0" w:color="auto"/>
            </w:tcBorders>
            <w:shd w:val="clear" w:color="auto" w:fill="auto"/>
            <w:noWrap/>
            <w:vAlign w:val="center"/>
            <w:hideMark/>
          </w:tcPr>
          <w:p w14:paraId="207E51A6" w14:textId="77777777" w:rsidR="00253427" w:rsidRPr="00653977" w:rsidRDefault="00253427" w:rsidP="00EF0503">
            <w:pPr>
              <w:ind w:right="276"/>
              <w:jc w:val="right"/>
              <w:rPr>
                <w:sz w:val="22"/>
                <w:szCs w:val="22"/>
                <w:lang w:eastAsia="en-CA"/>
              </w:rPr>
            </w:pPr>
            <w:r w:rsidRPr="00653977">
              <w:rPr>
                <w:sz w:val="22"/>
                <w:szCs w:val="22"/>
                <w:lang w:eastAsia="en-CA"/>
              </w:rPr>
              <w:t>17 365</w:t>
            </w:r>
          </w:p>
        </w:tc>
        <w:tc>
          <w:tcPr>
            <w:tcW w:w="0" w:type="auto"/>
            <w:tcBorders>
              <w:top w:val="nil"/>
              <w:left w:val="nil"/>
              <w:bottom w:val="single" w:sz="4" w:space="0" w:color="auto"/>
              <w:right w:val="single" w:sz="4" w:space="0" w:color="auto"/>
            </w:tcBorders>
            <w:shd w:val="clear" w:color="auto" w:fill="auto"/>
            <w:noWrap/>
            <w:vAlign w:val="center"/>
            <w:hideMark/>
          </w:tcPr>
          <w:p w14:paraId="290F0EDE" w14:textId="77777777" w:rsidR="00253427" w:rsidRPr="00653977" w:rsidRDefault="00253427" w:rsidP="00EF0503">
            <w:pPr>
              <w:ind w:right="276"/>
              <w:jc w:val="right"/>
              <w:rPr>
                <w:sz w:val="22"/>
                <w:szCs w:val="22"/>
                <w:lang w:eastAsia="en-CA"/>
              </w:rPr>
            </w:pPr>
            <w:r w:rsidRPr="00653977">
              <w:rPr>
                <w:sz w:val="22"/>
                <w:szCs w:val="22"/>
                <w:lang w:eastAsia="en-CA"/>
              </w:rPr>
              <w:t>33 742</w:t>
            </w:r>
          </w:p>
        </w:tc>
      </w:tr>
      <w:tr w:rsidR="00253427" w:rsidRPr="00653977" w14:paraId="4AE3C432" w14:textId="77777777" w:rsidTr="00EF0503">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1D955A" w14:textId="77777777" w:rsidR="00253427" w:rsidRPr="00653977" w:rsidRDefault="00253427" w:rsidP="00EF0503">
            <w:pPr>
              <w:rPr>
                <w:sz w:val="22"/>
                <w:szCs w:val="22"/>
                <w:lang w:eastAsia="en-CA"/>
              </w:rPr>
            </w:pPr>
            <w:r w:rsidRPr="00653977">
              <w:rPr>
                <w:sz w:val="22"/>
                <w:szCs w:val="22"/>
                <w:lang w:eastAsia="en-CA"/>
              </w:rPr>
              <w:t>Iraq</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4CF765A0" w14:textId="77777777" w:rsidR="00253427" w:rsidRPr="00653977" w:rsidRDefault="00253427" w:rsidP="00EF0503">
            <w:pPr>
              <w:ind w:right="770"/>
              <w:jc w:val="right"/>
              <w:rPr>
                <w:sz w:val="22"/>
                <w:szCs w:val="22"/>
                <w:lang w:eastAsia="en-CA"/>
              </w:rPr>
            </w:pPr>
            <w:r w:rsidRPr="00653977">
              <w:rPr>
                <w:sz w:val="22"/>
                <w:szCs w:val="22"/>
                <w:lang w:eastAsia="en-CA"/>
              </w:rPr>
              <w:t>0.129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A02935A" w14:textId="77777777" w:rsidR="00253427" w:rsidRPr="00653977" w:rsidRDefault="00253427" w:rsidP="00EF0503">
            <w:pPr>
              <w:ind w:right="1144"/>
              <w:jc w:val="right"/>
              <w:rPr>
                <w:sz w:val="22"/>
                <w:szCs w:val="22"/>
                <w:lang w:eastAsia="en-CA"/>
              </w:rPr>
            </w:pPr>
            <w:r w:rsidRPr="00653977">
              <w:rPr>
                <w:sz w:val="22"/>
                <w:szCs w:val="22"/>
                <w:lang w:eastAsia="en-CA"/>
              </w:rPr>
              <w:t>0.187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FDBB092" w14:textId="77777777" w:rsidR="00253427" w:rsidRPr="00653977" w:rsidRDefault="00253427" w:rsidP="00EF0503">
            <w:pPr>
              <w:ind w:right="276"/>
              <w:jc w:val="right"/>
              <w:rPr>
                <w:sz w:val="22"/>
                <w:szCs w:val="22"/>
                <w:lang w:eastAsia="en-CA"/>
              </w:rPr>
            </w:pPr>
            <w:r w:rsidRPr="00653977">
              <w:rPr>
                <w:sz w:val="22"/>
                <w:szCs w:val="22"/>
                <w:lang w:eastAsia="en-CA"/>
              </w:rPr>
              <w:t>4 485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A11B8D2" w14:textId="77777777" w:rsidR="00253427" w:rsidRPr="00653977" w:rsidRDefault="00253427" w:rsidP="00EF0503">
            <w:pPr>
              <w:ind w:right="276"/>
              <w:jc w:val="right"/>
              <w:rPr>
                <w:sz w:val="22"/>
                <w:szCs w:val="22"/>
                <w:lang w:eastAsia="en-CA"/>
              </w:rPr>
            </w:pPr>
            <w:r w:rsidRPr="00653977">
              <w:rPr>
                <w:sz w:val="22"/>
                <w:szCs w:val="22"/>
                <w:lang w:eastAsia="en-CA"/>
              </w:rPr>
              <w:t>4 756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4EBF35B" w14:textId="77777777" w:rsidR="00253427" w:rsidRPr="00653977" w:rsidRDefault="00253427" w:rsidP="00EF0503">
            <w:pPr>
              <w:ind w:right="276"/>
              <w:jc w:val="right"/>
              <w:rPr>
                <w:sz w:val="22"/>
                <w:szCs w:val="22"/>
                <w:lang w:eastAsia="en-CA"/>
              </w:rPr>
            </w:pPr>
            <w:r w:rsidRPr="00653977">
              <w:rPr>
                <w:sz w:val="22"/>
                <w:szCs w:val="22"/>
                <w:lang w:eastAsia="en-CA"/>
              </w:rPr>
              <w:t>9 241</w:t>
            </w:r>
          </w:p>
        </w:tc>
      </w:tr>
      <w:tr w:rsidR="00253427" w:rsidRPr="00653977" w14:paraId="3D5203F8"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EA9FB6" w14:textId="77777777" w:rsidR="00253427" w:rsidRPr="00653977" w:rsidRDefault="00253427" w:rsidP="00EF0503">
            <w:pPr>
              <w:rPr>
                <w:sz w:val="22"/>
                <w:szCs w:val="22"/>
                <w:lang w:eastAsia="en-CA"/>
              </w:rPr>
            </w:pPr>
            <w:r w:rsidRPr="00653977">
              <w:rPr>
                <w:sz w:val="22"/>
                <w:szCs w:val="22"/>
                <w:lang w:eastAsia="en-CA"/>
              </w:rPr>
              <w:t>Ireland</w:t>
            </w:r>
          </w:p>
        </w:tc>
        <w:tc>
          <w:tcPr>
            <w:tcW w:w="2288" w:type="dxa"/>
            <w:tcBorders>
              <w:top w:val="nil"/>
              <w:left w:val="nil"/>
              <w:bottom w:val="single" w:sz="4" w:space="0" w:color="auto"/>
              <w:right w:val="single" w:sz="4" w:space="0" w:color="auto"/>
            </w:tcBorders>
            <w:shd w:val="clear" w:color="auto" w:fill="auto"/>
            <w:vAlign w:val="center"/>
            <w:hideMark/>
          </w:tcPr>
          <w:p w14:paraId="29FDD206" w14:textId="77777777" w:rsidR="00253427" w:rsidRPr="00653977" w:rsidRDefault="00253427" w:rsidP="00EF0503">
            <w:pPr>
              <w:ind w:right="770"/>
              <w:jc w:val="right"/>
              <w:rPr>
                <w:sz w:val="22"/>
                <w:szCs w:val="22"/>
                <w:lang w:eastAsia="en-CA"/>
              </w:rPr>
            </w:pPr>
            <w:r w:rsidRPr="00653977">
              <w:rPr>
                <w:sz w:val="22"/>
                <w:szCs w:val="22"/>
                <w:lang w:eastAsia="en-CA"/>
              </w:rPr>
              <w:t>0.335</w:t>
            </w:r>
          </w:p>
        </w:tc>
        <w:tc>
          <w:tcPr>
            <w:tcW w:w="0" w:type="auto"/>
            <w:tcBorders>
              <w:top w:val="nil"/>
              <w:left w:val="nil"/>
              <w:bottom w:val="single" w:sz="4" w:space="0" w:color="auto"/>
              <w:right w:val="single" w:sz="4" w:space="0" w:color="auto"/>
            </w:tcBorders>
            <w:shd w:val="clear" w:color="auto" w:fill="auto"/>
            <w:noWrap/>
            <w:vAlign w:val="center"/>
            <w:hideMark/>
          </w:tcPr>
          <w:p w14:paraId="096EFFE8" w14:textId="77777777" w:rsidR="00253427" w:rsidRPr="00653977" w:rsidRDefault="00253427" w:rsidP="00EF0503">
            <w:pPr>
              <w:ind w:right="1144"/>
              <w:jc w:val="right"/>
              <w:rPr>
                <w:sz w:val="22"/>
                <w:szCs w:val="22"/>
                <w:lang w:eastAsia="en-CA"/>
              </w:rPr>
            </w:pPr>
            <w:r w:rsidRPr="00653977">
              <w:rPr>
                <w:sz w:val="22"/>
                <w:szCs w:val="22"/>
                <w:lang w:eastAsia="en-CA"/>
              </w:rPr>
              <w:t>0.485</w:t>
            </w:r>
          </w:p>
        </w:tc>
        <w:tc>
          <w:tcPr>
            <w:tcW w:w="0" w:type="auto"/>
            <w:tcBorders>
              <w:top w:val="nil"/>
              <w:left w:val="nil"/>
              <w:bottom w:val="single" w:sz="4" w:space="0" w:color="auto"/>
              <w:right w:val="single" w:sz="4" w:space="0" w:color="auto"/>
            </w:tcBorders>
            <w:shd w:val="clear" w:color="auto" w:fill="auto"/>
            <w:noWrap/>
            <w:vAlign w:val="center"/>
            <w:hideMark/>
          </w:tcPr>
          <w:p w14:paraId="025C24F4" w14:textId="77777777" w:rsidR="00253427" w:rsidRPr="00653977" w:rsidRDefault="00253427" w:rsidP="00EF0503">
            <w:pPr>
              <w:ind w:right="276"/>
              <w:jc w:val="right"/>
              <w:rPr>
                <w:sz w:val="22"/>
                <w:szCs w:val="22"/>
                <w:lang w:eastAsia="en-CA"/>
              </w:rPr>
            </w:pPr>
            <w:r w:rsidRPr="00653977">
              <w:rPr>
                <w:sz w:val="22"/>
                <w:szCs w:val="22"/>
                <w:lang w:eastAsia="en-CA"/>
              </w:rPr>
              <w:t>11 648</w:t>
            </w:r>
          </w:p>
        </w:tc>
        <w:tc>
          <w:tcPr>
            <w:tcW w:w="0" w:type="auto"/>
            <w:tcBorders>
              <w:top w:val="nil"/>
              <w:left w:val="nil"/>
              <w:bottom w:val="single" w:sz="4" w:space="0" w:color="auto"/>
              <w:right w:val="single" w:sz="4" w:space="0" w:color="auto"/>
            </w:tcBorders>
            <w:shd w:val="clear" w:color="auto" w:fill="auto"/>
            <w:noWrap/>
            <w:vAlign w:val="center"/>
            <w:hideMark/>
          </w:tcPr>
          <w:p w14:paraId="24024490" w14:textId="77777777" w:rsidR="00253427" w:rsidRPr="00653977" w:rsidRDefault="00253427" w:rsidP="00EF0503">
            <w:pPr>
              <w:ind w:right="276"/>
              <w:jc w:val="right"/>
              <w:rPr>
                <w:sz w:val="22"/>
                <w:szCs w:val="22"/>
                <w:lang w:eastAsia="en-CA"/>
              </w:rPr>
            </w:pPr>
            <w:r w:rsidRPr="00653977">
              <w:rPr>
                <w:sz w:val="22"/>
                <w:szCs w:val="22"/>
                <w:lang w:eastAsia="en-CA"/>
              </w:rPr>
              <w:t>12 351</w:t>
            </w:r>
          </w:p>
        </w:tc>
        <w:tc>
          <w:tcPr>
            <w:tcW w:w="0" w:type="auto"/>
            <w:tcBorders>
              <w:top w:val="nil"/>
              <w:left w:val="nil"/>
              <w:bottom w:val="single" w:sz="4" w:space="0" w:color="auto"/>
              <w:right w:val="single" w:sz="4" w:space="0" w:color="auto"/>
            </w:tcBorders>
            <w:shd w:val="clear" w:color="auto" w:fill="auto"/>
            <w:noWrap/>
            <w:vAlign w:val="center"/>
            <w:hideMark/>
          </w:tcPr>
          <w:p w14:paraId="060D0A55" w14:textId="77777777" w:rsidR="00253427" w:rsidRPr="00653977" w:rsidRDefault="00253427" w:rsidP="00EF0503">
            <w:pPr>
              <w:ind w:right="276"/>
              <w:jc w:val="right"/>
              <w:rPr>
                <w:sz w:val="22"/>
                <w:szCs w:val="22"/>
                <w:lang w:eastAsia="en-CA"/>
              </w:rPr>
            </w:pPr>
            <w:r w:rsidRPr="00653977">
              <w:rPr>
                <w:sz w:val="22"/>
                <w:szCs w:val="22"/>
                <w:lang w:eastAsia="en-CA"/>
              </w:rPr>
              <w:t>23 999</w:t>
            </w:r>
          </w:p>
        </w:tc>
      </w:tr>
      <w:tr w:rsidR="00253427" w:rsidRPr="00653977" w14:paraId="2A1412A3"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6F1790" w14:textId="77777777" w:rsidR="00253427" w:rsidRPr="00653977" w:rsidRDefault="00253427" w:rsidP="00EF0503">
            <w:pPr>
              <w:rPr>
                <w:sz w:val="22"/>
                <w:szCs w:val="22"/>
                <w:lang w:eastAsia="en-CA"/>
              </w:rPr>
            </w:pPr>
            <w:r w:rsidRPr="00653977">
              <w:rPr>
                <w:sz w:val="22"/>
                <w:szCs w:val="22"/>
                <w:lang w:eastAsia="en-CA"/>
              </w:rPr>
              <w:t>Italy</w:t>
            </w:r>
          </w:p>
        </w:tc>
        <w:tc>
          <w:tcPr>
            <w:tcW w:w="2288" w:type="dxa"/>
            <w:tcBorders>
              <w:top w:val="nil"/>
              <w:left w:val="nil"/>
              <w:bottom w:val="single" w:sz="4" w:space="0" w:color="auto"/>
              <w:right w:val="single" w:sz="4" w:space="0" w:color="auto"/>
            </w:tcBorders>
            <w:shd w:val="clear" w:color="auto" w:fill="auto"/>
            <w:vAlign w:val="center"/>
            <w:hideMark/>
          </w:tcPr>
          <w:p w14:paraId="56E7BA51" w14:textId="77777777" w:rsidR="00253427" w:rsidRPr="00653977" w:rsidRDefault="00253427" w:rsidP="00EF0503">
            <w:pPr>
              <w:ind w:right="770"/>
              <w:jc w:val="right"/>
              <w:rPr>
                <w:sz w:val="22"/>
                <w:szCs w:val="22"/>
                <w:lang w:eastAsia="en-CA"/>
              </w:rPr>
            </w:pPr>
            <w:r w:rsidRPr="00653977">
              <w:rPr>
                <w:sz w:val="22"/>
                <w:szCs w:val="22"/>
                <w:lang w:eastAsia="en-CA"/>
              </w:rPr>
              <w:t>3.748</w:t>
            </w:r>
          </w:p>
        </w:tc>
        <w:tc>
          <w:tcPr>
            <w:tcW w:w="0" w:type="auto"/>
            <w:tcBorders>
              <w:top w:val="nil"/>
              <w:left w:val="nil"/>
              <w:bottom w:val="single" w:sz="4" w:space="0" w:color="auto"/>
              <w:right w:val="single" w:sz="4" w:space="0" w:color="auto"/>
            </w:tcBorders>
            <w:shd w:val="clear" w:color="auto" w:fill="auto"/>
            <w:noWrap/>
            <w:vAlign w:val="center"/>
            <w:hideMark/>
          </w:tcPr>
          <w:p w14:paraId="12E38873" w14:textId="77777777" w:rsidR="00253427" w:rsidRPr="00653977" w:rsidRDefault="00253427" w:rsidP="00EF0503">
            <w:pPr>
              <w:ind w:right="1144"/>
              <w:jc w:val="right"/>
              <w:rPr>
                <w:sz w:val="22"/>
                <w:szCs w:val="22"/>
                <w:lang w:eastAsia="en-CA"/>
              </w:rPr>
            </w:pPr>
            <w:r w:rsidRPr="00653977">
              <w:rPr>
                <w:sz w:val="22"/>
                <w:szCs w:val="22"/>
                <w:lang w:eastAsia="en-CA"/>
              </w:rPr>
              <w:t>5.427</w:t>
            </w:r>
          </w:p>
        </w:tc>
        <w:tc>
          <w:tcPr>
            <w:tcW w:w="0" w:type="auto"/>
            <w:tcBorders>
              <w:top w:val="nil"/>
              <w:left w:val="nil"/>
              <w:bottom w:val="single" w:sz="4" w:space="0" w:color="auto"/>
              <w:right w:val="single" w:sz="4" w:space="0" w:color="auto"/>
            </w:tcBorders>
            <w:shd w:val="clear" w:color="auto" w:fill="auto"/>
            <w:noWrap/>
            <w:vAlign w:val="center"/>
            <w:hideMark/>
          </w:tcPr>
          <w:p w14:paraId="3DF66125" w14:textId="77777777" w:rsidR="00253427" w:rsidRPr="00653977" w:rsidRDefault="00253427" w:rsidP="00EF0503">
            <w:pPr>
              <w:ind w:right="276"/>
              <w:jc w:val="right"/>
              <w:rPr>
                <w:sz w:val="22"/>
                <w:szCs w:val="22"/>
                <w:lang w:eastAsia="en-CA"/>
              </w:rPr>
            </w:pPr>
            <w:r w:rsidRPr="00653977">
              <w:rPr>
                <w:sz w:val="22"/>
                <w:szCs w:val="22"/>
                <w:lang w:eastAsia="en-CA"/>
              </w:rPr>
              <w:t>130 315</w:t>
            </w:r>
          </w:p>
        </w:tc>
        <w:tc>
          <w:tcPr>
            <w:tcW w:w="0" w:type="auto"/>
            <w:tcBorders>
              <w:top w:val="nil"/>
              <w:left w:val="nil"/>
              <w:bottom w:val="single" w:sz="4" w:space="0" w:color="auto"/>
              <w:right w:val="single" w:sz="4" w:space="0" w:color="auto"/>
            </w:tcBorders>
            <w:shd w:val="clear" w:color="auto" w:fill="auto"/>
            <w:noWrap/>
            <w:vAlign w:val="center"/>
            <w:hideMark/>
          </w:tcPr>
          <w:p w14:paraId="2FF99937" w14:textId="77777777" w:rsidR="00253427" w:rsidRPr="00653977" w:rsidRDefault="00253427" w:rsidP="00EF0503">
            <w:pPr>
              <w:ind w:right="276"/>
              <w:jc w:val="right"/>
              <w:rPr>
                <w:sz w:val="22"/>
                <w:szCs w:val="22"/>
                <w:lang w:eastAsia="en-CA"/>
              </w:rPr>
            </w:pPr>
            <w:r w:rsidRPr="00653977">
              <w:rPr>
                <w:sz w:val="22"/>
                <w:szCs w:val="22"/>
                <w:lang w:eastAsia="en-CA"/>
              </w:rPr>
              <w:t>138 186</w:t>
            </w:r>
          </w:p>
        </w:tc>
        <w:tc>
          <w:tcPr>
            <w:tcW w:w="0" w:type="auto"/>
            <w:tcBorders>
              <w:top w:val="nil"/>
              <w:left w:val="nil"/>
              <w:bottom w:val="single" w:sz="4" w:space="0" w:color="auto"/>
              <w:right w:val="single" w:sz="4" w:space="0" w:color="auto"/>
            </w:tcBorders>
            <w:shd w:val="clear" w:color="auto" w:fill="auto"/>
            <w:noWrap/>
            <w:vAlign w:val="center"/>
            <w:hideMark/>
          </w:tcPr>
          <w:p w14:paraId="1577A57B" w14:textId="77777777" w:rsidR="00253427" w:rsidRPr="00653977" w:rsidRDefault="00253427" w:rsidP="00EF0503">
            <w:pPr>
              <w:ind w:right="276"/>
              <w:jc w:val="right"/>
              <w:rPr>
                <w:sz w:val="22"/>
                <w:szCs w:val="22"/>
                <w:lang w:eastAsia="en-CA"/>
              </w:rPr>
            </w:pPr>
            <w:r w:rsidRPr="00653977">
              <w:rPr>
                <w:sz w:val="22"/>
                <w:szCs w:val="22"/>
                <w:lang w:eastAsia="en-CA"/>
              </w:rPr>
              <w:t>268 501</w:t>
            </w:r>
          </w:p>
        </w:tc>
      </w:tr>
      <w:tr w:rsidR="00253427" w:rsidRPr="00653977" w14:paraId="1791AC4F"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1BBE78" w14:textId="77777777" w:rsidR="00253427" w:rsidRPr="00653977" w:rsidRDefault="00253427" w:rsidP="00EF0503">
            <w:pPr>
              <w:rPr>
                <w:sz w:val="22"/>
                <w:szCs w:val="22"/>
                <w:lang w:eastAsia="en-CA"/>
              </w:rPr>
            </w:pPr>
            <w:r w:rsidRPr="00653977">
              <w:rPr>
                <w:sz w:val="22"/>
                <w:szCs w:val="22"/>
                <w:lang w:eastAsia="en-CA"/>
              </w:rPr>
              <w:t>Jamaica</w:t>
            </w:r>
          </w:p>
        </w:tc>
        <w:tc>
          <w:tcPr>
            <w:tcW w:w="2288" w:type="dxa"/>
            <w:tcBorders>
              <w:top w:val="nil"/>
              <w:left w:val="nil"/>
              <w:bottom w:val="single" w:sz="4" w:space="0" w:color="auto"/>
              <w:right w:val="single" w:sz="4" w:space="0" w:color="auto"/>
            </w:tcBorders>
            <w:shd w:val="clear" w:color="auto" w:fill="auto"/>
            <w:vAlign w:val="center"/>
            <w:hideMark/>
          </w:tcPr>
          <w:p w14:paraId="4666F7D5" w14:textId="77777777" w:rsidR="00253427" w:rsidRPr="00653977" w:rsidRDefault="00253427" w:rsidP="00EF0503">
            <w:pPr>
              <w:ind w:right="770"/>
              <w:jc w:val="right"/>
              <w:rPr>
                <w:sz w:val="22"/>
                <w:szCs w:val="22"/>
                <w:lang w:eastAsia="en-CA"/>
              </w:rPr>
            </w:pPr>
            <w:r w:rsidRPr="00653977">
              <w:rPr>
                <w:sz w:val="22"/>
                <w:szCs w:val="22"/>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773E71FA" w14:textId="77777777" w:rsidR="00253427" w:rsidRPr="00653977" w:rsidRDefault="00253427" w:rsidP="00EF0503">
            <w:pPr>
              <w:ind w:right="1144"/>
              <w:jc w:val="right"/>
              <w:rPr>
                <w:sz w:val="22"/>
                <w:szCs w:val="22"/>
                <w:lang w:eastAsia="en-CA"/>
              </w:rPr>
            </w:pPr>
            <w:r w:rsidRPr="00653977">
              <w:rPr>
                <w:sz w:val="22"/>
                <w:szCs w:val="22"/>
                <w:lang w:eastAsia="en-CA"/>
              </w:rPr>
              <w:t>0.013</w:t>
            </w:r>
          </w:p>
        </w:tc>
        <w:tc>
          <w:tcPr>
            <w:tcW w:w="0" w:type="auto"/>
            <w:tcBorders>
              <w:top w:val="nil"/>
              <w:left w:val="nil"/>
              <w:bottom w:val="single" w:sz="4" w:space="0" w:color="auto"/>
              <w:right w:val="single" w:sz="4" w:space="0" w:color="auto"/>
            </w:tcBorders>
            <w:shd w:val="clear" w:color="auto" w:fill="auto"/>
            <w:noWrap/>
            <w:vAlign w:val="center"/>
            <w:hideMark/>
          </w:tcPr>
          <w:p w14:paraId="31A78E97" w14:textId="77777777" w:rsidR="00253427" w:rsidRPr="00653977" w:rsidRDefault="00253427" w:rsidP="00EF0503">
            <w:pPr>
              <w:ind w:right="276"/>
              <w:jc w:val="right"/>
              <w:rPr>
                <w:sz w:val="22"/>
                <w:szCs w:val="22"/>
                <w:lang w:eastAsia="en-CA"/>
              </w:rPr>
            </w:pPr>
            <w:r w:rsidRPr="00653977">
              <w:rPr>
                <w:sz w:val="22"/>
                <w:szCs w:val="22"/>
                <w:lang w:eastAsia="en-CA"/>
              </w:rPr>
              <w:t>313</w:t>
            </w:r>
          </w:p>
        </w:tc>
        <w:tc>
          <w:tcPr>
            <w:tcW w:w="0" w:type="auto"/>
            <w:tcBorders>
              <w:top w:val="nil"/>
              <w:left w:val="nil"/>
              <w:bottom w:val="single" w:sz="4" w:space="0" w:color="auto"/>
              <w:right w:val="single" w:sz="4" w:space="0" w:color="auto"/>
            </w:tcBorders>
            <w:shd w:val="clear" w:color="auto" w:fill="auto"/>
            <w:noWrap/>
            <w:vAlign w:val="center"/>
            <w:hideMark/>
          </w:tcPr>
          <w:p w14:paraId="0415F99F" w14:textId="77777777" w:rsidR="00253427" w:rsidRPr="00653977" w:rsidRDefault="00253427" w:rsidP="00EF0503">
            <w:pPr>
              <w:ind w:right="276"/>
              <w:jc w:val="right"/>
              <w:rPr>
                <w:sz w:val="22"/>
                <w:szCs w:val="22"/>
                <w:lang w:eastAsia="en-CA"/>
              </w:rPr>
            </w:pPr>
            <w:r w:rsidRPr="00653977">
              <w:rPr>
                <w:sz w:val="22"/>
                <w:szCs w:val="22"/>
                <w:lang w:eastAsia="en-CA"/>
              </w:rPr>
              <w:t>332</w:t>
            </w:r>
          </w:p>
        </w:tc>
        <w:tc>
          <w:tcPr>
            <w:tcW w:w="0" w:type="auto"/>
            <w:tcBorders>
              <w:top w:val="nil"/>
              <w:left w:val="nil"/>
              <w:bottom w:val="single" w:sz="4" w:space="0" w:color="auto"/>
              <w:right w:val="single" w:sz="4" w:space="0" w:color="auto"/>
            </w:tcBorders>
            <w:shd w:val="clear" w:color="auto" w:fill="auto"/>
            <w:noWrap/>
            <w:vAlign w:val="center"/>
            <w:hideMark/>
          </w:tcPr>
          <w:p w14:paraId="5A15F62B" w14:textId="77777777" w:rsidR="00253427" w:rsidRPr="00653977" w:rsidRDefault="00253427" w:rsidP="00EF0503">
            <w:pPr>
              <w:ind w:right="276"/>
              <w:jc w:val="right"/>
              <w:rPr>
                <w:sz w:val="22"/>
                <w:szCs w:val="22"/>
                <w:lang w:eastAsia="en-CA"/>
              </w:rPr>
            </w:pPr>
            <w:r w:rsidRPr="00653977">
              <w:rPr>
                <w:sz w:val="22"/>
                <w:szCs w:val="22"/>
                <w:lang w:eastAsia="en-CA"/>
              </w:rPr>
              <w:t>645</w:t>
            </w:r>
          </w:p>
        </w:tc>
      </w:tr>
      <w:tr w:rsidR="00253427" w:rsidRPr="00653977" w14:paraId="08208950"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8C20A0" w14:textId="77777777" w:rsidR="00253427" w:rsidRPr="00653977" w:rsidRDefault="00253427" w:rsidP="00EF0503">
            <w:pPr>
              <w:rPr>
                <w:sz w:val="22"/>
                <w:szCs w:val="22"/>
                <w:lang w:eastAsia="en-CA"/>
              </w:rPr>
            </w:pPr>
            <w:r w:rsidRPr="00653977">
              <w:rPr>
                <w:sz w:val="22"/>
                <w:szCs w:val="22"/>
                <w:lang w:eastAsia="en-CA"/>
              </w:rPr>
              <w:t>Japan</w:t>
            </w:r>
          </w:p>
        </w:tc>
        <w:tc>
          <w:tcPr>
            <w:tcW w:w="2288" w:type="dxa"/>
            <w:tcBorders>
              <w:top w:val="nil"/>
              <w:left w:val="nil"/>
              <w:bottom w:val="single" w:sz="4" w:space="0" w:color="auto"/>
              <w:right w:val="single" w:sz="4" w:space="0" w:color="auto"/>
            </w:tcBorders>
            <w:shd w:val="clear" w:color="auto" w:fill="auto"/>
            <w:noWrap/>
            <w:vAlign w:val="center"/>
            <w:hideMark/>
          </w:tcPr>
          <w:p w14:paraId="7CCC705D" w14:textId="77777777" w:rsidR="00253427" w:rsidRPr="00653977" w:rsidRDefault="00253427" w:rsidP="00EF0503">
            <w:pPr>
              <w:ind w:right="770"/>
              <w:jc w:val="right"/>
              <w:rPr>
                <w:sz w:val="22"/>
                <w:szCs w:val="22"/>
                <w:lang w:eastAsia="en-CA"/>
              </w:rPr>
            </w:pPr>
            <w:r w:rsidRPr="00653977">
              <w:rPr>
                <w:sz w:val="22"/>
                <w:szCs w:val="22"/>
                <w:lang w:eastAsia="en-CA"/>
              </w:rPr>
              <w:t>9.680</w:t>
            </w:r>
          </w:p>
        </w:tc>
        <w:tc>
          <w:tcPr>
            <w:tcW w:w="0" w:type="auto"/>
            <w:tcBorders>
              <w:top w:val="nil"/>
              <w:left w:val="nil"/>
              <w:bottom w:val="single" w:sz="4" w:space="0" w:color="auto"/>
              <w:right w:val="single" w:sz="4" w:space="0" w:color="auto"/>
            </w:tcBorders>
            <w:shd w:val="clear" w:color="auto" w:fill="auto"/>
            <w:noWrap/>
            <w:vAlign w:val="center"/>
            <w:hideMark/>
          </w:tcPr>
          <w:p w14:paraId="49FFA29C" w14:textId="77777777" w:rsidR="00253427" w:rsidRPr="00653977" w:rsidRDefault="00253427" w:rsidP="00EF0503">
            <w:pPr>
              <w:ind w:right="1144"/>
              <w:jc w:val="right"/>
              <w:rPr>
                <w:sz w:val="22"/>
                <w:szCs w:val="22"/>
                <w:lang w:eastAsia="en-CA"/>
              </w:rPr>
            </w:pPr>
            <w:r w:rsidRPr="00653977">
              <w:rPr>
                <w:sz w:val="22"/>
                <w:szCs w:val="22"/>
                <w:lang w:eastAsia="en-CA"/>
              </w:rPr>
              <w:t>14.016</w:t>
            </w:r>
          </w:p>
        </w:tc>
        <w:tc>
          <w:tcPr>
            <w:tcW w:w="0" w:type="auto"/>
            <w:tcBorders>
              <w:top w:val="nil"/>
              <w:left w:val="nil"/>
              <w:bottom w:val="single" w:sz="4" w:space="0" w:color="auto"/>
              <w:right w:val="single" w:sz="4" w:space="0" w:color="auto"/>
            </w:tcBorders>
            <w:shd w:val="clear" w:color="auto" w:fill="auto"/>
            <w:noWrap/>
            <w:vAlign w:val="center"/>
            <w:hideMark/>
          </w:tcPr>
          <w:p w14:paraId="6F0E1A34" w14:textId="77777777" w:rsidR="00253427" w:rsidRPr="00653977" w:rsidRDefault="00253427" w:rsidP="00EF0503">
            <w:pPr>
              <w:ind w:right="276"/>
              <w:jc w:val="right"/>
              <w:rPr>
                <w:sz w:val="22"/>
                <w:szCs w:val="22"/>
                <w:lang w:eastAsia="en-CA"/>
              </w:rPr>
            </w:pPr>
            <w:r w:rsidRPr="00653977">
              <w:rPr>
                <w:sz w:val="22"/>
                <w:szCs w:val="22"/>
                <w:lang w:eastAsia="en-CA"/>
              </w:rPr>
              <w:t>336 565</w:t>
            </w:r>
          </w:p>
        </w:tc>
        <w:tc>
          <w:tcPr>
            <w:tcW w:w="0" w:type="auto"/>
            <w:tcBorders>
              <w:top w:val="nil"/>
              <w:left w:val="nil"/>
              <w:bottom w:val="single" w:sz="4" w:space="0" w:color="auto"/>
              <w:right w:val="single" w:sz="4" w:space="0" w:color="auto"/>
            </w:tcBorders>
            <w:shd w:val="clear" w:color="auto" w:fill="auto"/>
            <w:noWrap/>
            <w:vAlign w:val="center"/>
            <w:hideMark/>
          </w:tcPr>
          <w:p w14:paraId="0B102D70" w14:textId="77777777" w:rsidR="00253427" w:rsidRPr="00653977" w:rsidRDefault="00253427" w:rsidP="00EF0503">
            <w:pPr>
              <w:ind w:right="276"/>
              <w:jc w:val="right"/>
              <w:rPr>
                <w:sz w:val="22"/>
                <w:szCs w:val="22"/>
                <w:lang w:eastAsia="en-CA"/>
              </w:rPr>
            </w:pPr>
            <w:r w:rsidRPr="00653977">
              <w:rPr>
                <w:sz w:val="22"/>
                <w:szCs w:val="22"/>
                <w:lang w:eastAsia="en-CA"/>
              </w:rPr>
              <w:t>356 895</w:t>
            </w:r>
          </w:p>
        </w:tc>
        <w:tc>
          <w:tcPr>
            <w:tcW w:w="0" w:type="auto"/>
            <w:tcBorders>
              <w:top w:val="nil"/>
              <w:left w:val="nil"/>
              <w:bottom w:val="single" w:sz="4" w:space="0" w:color="auto"/>
              <w:right w:val="single" w:sz="4" w:space="0" w:color="auto"/>
            </w:tcBorders>
            <w:shd w:val="clear" w:color="auto" w:fill="auto"/>
            <w:noWrap/>
            <w:vAlign w:val="center"/>
            <w:hideMark/>
          </w:tcPr>
          <w:p w14:paraId="06ABCE93" w14:textId="77777777" w:rsidR="00253427" w:rsidRPr="00653977" w:rsidRDefault="00253427" w:rsidP="00EF0503">
            <w:pPr>
              <w:ind w:right="276"/>
              <w:jc w:val="right"/>
              <w:rPr>
                <w:sz w:val="22"/>
                <w:szCs w:val="22"/>
                <w:lang w:eastAsia="en-CA"/>
              </w:rPr>
            </w:pPr>
            <w:r w:rsidRPr="00653977">
              <w:rPr>
                <w:sz w:val="22"/>
                <w:szCs w:val="22"/>
                <w:lang w:eastAsia="en-CA"/>
              </w:rPr>
              <w:t>693 460</w:t>
            </w:r>
          </w:p>
        </w:tc>
      </w:tr>
      <w:tr w:rsidR="00253427" w:rsidRPr="00653977" w14:paraId="6DA245A1"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408678" w14:textId="77777777" w:rsidR="00253427" w:rsidRPr="00653977" w:rsidRDefault="00253427" w:rsidP="00EF0503">
            <w:pPr>
              <w:rPr>
                <w:sz w:val="22"/>
                <w:szCs w:val="22"/>
                <w:lang w:eastAsia="en-CA"/>
              </w:rPr>
            </w:pPr>
            <w:r w:rsidRPr="00653977">
              <w:rPr>
                <w:sz w:val="22"/>
                <w:szCs w:val="22"/>
                <w:lang w:eastAsia="en-CA"/>
              </w:rPr>
              <w:t>Jordan</w:t>
            </w:r>
          </w:p>
        </w:tc>
        <w:tc>
          <w:tcPr>
            <w:tcW w:w="2288" w:type="dxa"/>
            <w:tcBorders>
              <w:top w:val="nil"/>
              <w:left w:val="nil"/>
              <w:bottom w:val="single" w:sz="4" w:space="0" w:color="auto"/>
              <w:right w:val="single" w:sz="4" w:space="0" w:color="auto"/>
            </w:tcBorders>
            <w:shd w:val="clear" w:color="auto" w:fill="auto"/>
            <w:vAlign w:val="center"/>
            <w:hideMark/>
          </w:tcPr>
          <w:p w14:paraId="3D73A394" w14:textId="77777777" w:rsidR="00253427" w:rsidRPr="00653977" w:rsidRDefault="00253427" w:rsidP="00EF0503">
            <w:pPr>
              <w:ind w:right="770"/>
              <w:jc w:val="right"/>
              <w:rPr>
                <w:sz w:val="22"/>
                <w:szCs w:val="22"/>
                <w:lang w:eastAsia="en-CA"/>
              </w:rPr>
            </w:pPr>
            <w:r w:rsidRPr="00653977">
              <w:rPr>
                <w:sz w:val="22"/>
                <w:szCs w:val="22"/>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18573385" w14:textId="77777777" w:rsidR="00253427" w:rsidRPr="00653977" w:rsidRDefault="00253427" w:rsidP="00EF0503">
            <w:pPr>
              <w:ind w:right="1144"/>
              <w:jc w:val="right"/>
              <w:rPr>
                <w:sz w:val="22"/>
                <w:szCs w:val="22"/>
                <w:lang w:eastAsia="en-CA"/>
              </w:rPr>
            </w:pPr>
            <w:r w:rsidRPr="00653977">
              <w:rPr>
                <w:sz w:val="22"/>
                <w:szCs w:val="22"/>
                <w:lang w:eastAsia="en-CA"/>
              </w:rPr>
              <w:t>0.029</w:t>
            </w:r>
          </w:p>
        </w:tc>
        <w:tc>
          <w:tcPr>
            <w:tcW w:w="0" w:type="auto"/>
            <w:tcBorders>
              <w:top w:val="nil"/>
              <w:left w:val="nil"/>
              <w:bottom w:val="single" w:sz="4" w:space="0" w:color="auto"/>
              <w:right w:val="single" w:sz="4" w:space="0" w:color="auto"/>
            </w:tcBorders>
            <w:shd w:val="clear" w:color="auto" w:fill="auto"/>
            <w:noWrap/>
            <w:vAlign w:val="center"/>
            <w:hideMark/>
          </w:tcPr>
          <w:p w14:paraId="6460251E" w14:textId="77777777" w:rsidR="00253427" w:rsidRPr="00653977" w:rsidRDefault="00253427" w:rsidP="00EF0503">
            <w:pPr>
              <w:ind w:right="276"/>
              <w:jc w:val="right"/>
              <w:rPr>
                <w:sz w:val="22"/>
                <w:szCs w:val="22"/>
                <w:lang w:eastAsia="en-CA"/>
              </w:rPr>
            </w:pPr>
            <w:r w:rsidRPr="00653977">
              <w:rPr>
                <w:sz w:val="22"/>
                <w:szCs w:val="22"/>
                <w:lang w:eastAsia="en-CA"/>
              </w:rPr>
              <w:t>695</w:t>
            </w:r>
          </w:p>
        </w:tc>
        <w:tc>
          <w:tcPr>
            <w:tcW w:w="0" w:type="auto"/>
            <w:tcBorders>
              <w:top w:val="nil"/>
              <w:left w:val="nil"/>
              <w:bottom w:val="single" w:sz="4" w:space="0" w:color="auto"/>
              <w:right w:val="single" w:sz="4" w:space="0" w:color="auto"/>
            </w:tcBorders>
            <w:shd w:val="clear" w:color="auto" w:fill="auto"/>
            <w:noWrap/>
            <w:vAlign w:val="center"/>
            <w:hideMark/>
          </w:tcPr>
          <w:p w14:paraId="577CEBC1" w14:textId="77777777" w:rsidR="00253427" w:rsidRPr="00653977" w:rsidRDefault="00253427" w:rsidP="00EF0503">
            <w:pPr>
              <w:ind w:right="276"/>
              <w:jc w:val="right"/>
              <w:rPr>
                <w:sz w:val="22"/>
                <w:szCs w:val="22"/>
                <w:lang w:eastAsia="en-CA"/>
              </w:rPr>
            </w:pPr>
            <w:r w:rsidRPr="00653977">
              <w:rPr>
                <w:sz w:val="22"/>
                <w:szCs w:val="22"/>
                <w:lang w:eastAsia="en-CA"/>
              </w:rPr>
              <w:t>737</w:t>
            </w:r>
          </w:p>
        </w:tc>
        <w:tc>
          <w:tcPr>
            <w:tcW w:w="0" w:type="auto"/>
            <w:tcBorders>
              <w:top w:val="nil"/>
              <w:left w:val="nil"/>
              <w:bottom w:val="single" w:sz="4" w:space="0" w:color="auto"/>
              <w:right w:val="single" w:sz="4" w:space="0" w:color="auto"/>
            </w:tcBorders>
            <w:shd w:val="clear" w:color="auto" w:fill="auto"/>
            <w:noWrap/>
            <w:vAlign w:val="center"/>
            <w:hideMark/>
          </w:tcPr>
          <w:p w14:paraId="6E6D2E9E" w14:textId="77777777" w:rsidR="00253427" w:rsidRPr="00653977" w:rsidRDefault="00253427" w:rsidP="00EF0503">
            <w:pPr>
              <w:ind w:right="276"/>
              <w:jc w:val="right"/>
              <w:rPr>
                <w:sz w:val="22"/>
                <w:szCs w:val="22"/>
                <w:lang w:eastAsia="en-CA"/>
              </w:rPr>
            </w:pPr>
            <w:r w:rsidRPr="00653977">
              <w:rPr>
                <w:sz w:val="22"/>
                <w:szCs w:val="22"/>
                <w:lang w:eastAsia="en-CA"/>
              </w:rPr>
              <w:t>1 433</w:t>
            </w:r>
          </w:p>
        </w:tc>
      </w:tr>
      <w:tr w:rsidR="00253427" w:rsidRPr="00653977" w14:paraId="55421ABF"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56106D" w14:textId="77777777" w:rsidR="00253427" w:rsidRPr="00653977" w:rsidRDefault="00253427" w:rsidP="00EF0503">
            <w:pPr>
              <w:rPr>
                <w:sz w:val="22"/>
                <w:szCs w:val="22"/>
                <w:lang w:eastAsia="en-CA"/>
              </w:rPr>
            </w:pPr>
            <w:r w:rsidRPr="00653977">
              <w:rPr>
                <w:sz w:val="22"/>
                <w:szCs w:val="22"/>
                <w:lang w:eastAsia="en-CA"/>
              </w:rPr>
              <w:t>Kazakhstan</w:t>
            </w:r>
          </w:p>
        </w:tc>
        <w:tc>
          <w:tcPr>
            <w:tcW w:w="2288" w:type="dxa"/>
            <w:tcBorders>
              <w:top w:val="nil"/>
              <w:left w:val="nil"/>
              <w:bottom w:val="single" w:sz="4" w:space="0" w:color="auto"/>
              <w:right w:val="single" w:sz="4" w:space="0" w:color="auto"/>
            </w:tcBorders>
            <w:shd w:val="clear" w:color="auto" w:fill="auto"/>
            <w:vAlign w:val="center"/>
            <w:hideMark/>
          </w:tcPr>
          <w:p w14:paraId="51C0DE78" w14:textId="77777777" w:rsidR="00253427" w:rsidRPr="00653977" w:rsidRDefault="00253427" w:rsidP="00EF0503">
            <w:pPr>
              <w:ind w:right="770"/>
              <w:jc w:val="right"/>
              <w:rPr>
                <w:sz w:val="22"/>
                <w:szCs w:val="22"/>
                <w:lang w:eastAsia="en-CA"/>
              </w:rPr>
            </w:pPr>
            <w:r w:rsidRPr="00653977">
              <w:rPr>
                <w:sz w:val="22"/>
                <w:szCs w:val="22"/>
                <w:lang w:eastAsia="en-CA"/>
              </w:rPr>
              <w:t>0.191</w:t>
            </w:r>
          </w:p>
        </w:tc>
        <w:tc>
          <w:tcPr>
            <w:tcW w:w="0" w:type="auto"/>
            <w:tcBorders>
              <w:top w:val="nil"/>
              <w:left w:val="nil"/>
              <w:bottom w:val="single" w:sz="4" w:space="0" w:color="auto"/>
              <w:right w:val="single" w:sz="4" w:space="0" w:color="auto"/>
            </w:tcBorders>
            <w:shd w:val="clear" w:color="auto" w:fill="auto"/>
            <w:noWrap/>
            <w:vAlign w:val="center"/>
            <w:hideMark/>
          </w:tcPr>
          <w:p w14:paraId="6F237643" w14:textId="77777777" w:rsidR="00253427" w:rsidRPr="00653977" w:rsidRDefault="00253427" w:rsidP="00EF0503">
            <w:pPr>
              <w:ind w:right="1144"/>
              <w:jc w:val="right"/>
              <w:rPr>
                <w:sz w:val="22"/>
                <w:szCs w:val="22"/>
                <w:lang w:eastAsia="en-CA"/>
              </w:rPr>
            </w:pPr>
            <w:r w:rsidRPr="00653977">
              <w:rPr>
                <w:sz w:val="22"/>
                <w:szCs w:val="22"/>
                <w:lang w:eastAsia="en-CA"/>
              </w:rPr>
              <w:t>0.277</w:t>
            </w:r>
          </w:p>
        </w:tc>
        <w:tc>
          <w:tcPr>
            <w:tcW w:w="0" w:type="auto"/>
            <w:tcBorders>
              <w:top w:val="nil"/>
              <w:left w:val="nil"/>
              <w:bottom w:val="single" w:sz="4" w:space="0" w:color="auto"/>
              <w:right w:val="single" w:sz="4" w:space="0" w:color="auto"/>
            </w:tcBorders>
            <w:shd w:val="clear" w:color="auto" w:fill="auto"/>
            <w:noWrap/>
            <w:vAlign w:val="center"/>
            <w:hideMark/>
          </w:tcPr>
          <w:p w14:paraId="3E7CCBEC" w14:textId="77777777" w:rsidR="00253427" w:rsidRPr="00653977" w:rsidRDefault="00253427" w:rsidP="00EF0503">
            <w:pPr>
              <w:ind w:right="276"/>
              <w:jc w:val="right"/>
              <w:rPr>
                <w:sz w:val="22"/>
                <w:szCs w:val="22"/>
                <w:lang w:eastAsia="en-CA"/>
              </w:rPr>
            </w:pPr>
            <w:r w:rsidRPr="00653977">
              <w:rPr>
                <w:sz w:val="22"/>
                <w:szCs w:val="22"/>
                <w:lang w:eastAsia="en-CA"/>
              </w:rPr>
              <w:t>6 641</w:t>
            </w:r>
          </w:p>
        </w:tc>
        <w:tc>
          <w:tcPr>
            <w:tcW w:w="0" w:type="auto"/>
            <w:tcBorders>
              <w:top w:val="nil"/>
              <w:left w:val="nil"/>
              <w:bottom w:val="single" w:sz="4" w:space="0" w:color="auto"/>
              <w:right w:val="single" w:sz="4" w:space="0" w:color="auto"/>
            </w:tcBorders>
            <w:shd w:val="clear" w:color="auto" w:fill="auto"/>
            <w:noWrap/>
            <w:vAlign w:val="center"/>
            <w:hideMark/>
          </w:tcPr>
          <w:p w14:paraId="54A7DFA5" w14:textId="77777777" w:rsidR="00253427" w:rsidRPr="00653977" w:rsidRDefault="00253427" w:rsidP="00EF0503">
            <w:pPr>
              <w:ind w:right="276"/>
              <w:jc w:val="right"/>
              <w:rPr>
                <w:sz w:val="22"/>
                <w:szCs w:val="22"/>
                <w:lang w:eastAsia="en-CA"/>
              </w:rPr>
            </w:pPr>
            <w:r w:rsidRPr="00653977">
              <w:rPr>
                <w:sz w:val="22"/>
                <w:szCs w:val="22"/>
                <w:lang w:eastAsia="en-CA"/>
              </w:rPr>
              <w:t>7 042</w:t>
            </w:r>
          </w:p>
        </w:tc>
        <w:tc>
          <w:tcPr>
            <w:tcW w:w="0" w:type="auto"/>
            <w:tcBorders>
              <w:top w:val="nil"/>
              <w:left w:val="nil"/>
              <w:bottom w:val="single" w:sz="4" w:space="0" w:color="auto"/>
              <w:right w:val="single" w:sz="4" w:space="0" w:color="auto"/>
            </w:tcBorders>
            <w:shd w:val="clear" w:color="auto" w:fill="auto"/>
            <w:noWrap/>
            <w:vAlign w:val="center"/>
            <w:hideMark/>
          </w:tcPr>
          <w:p w14:paraId="473B9EA6" w14:textId="77777777" w:rsidR="00253427" w:rsidRPr="00653977" w:rsidRDefault="00253427" w:rsidP="00EF0503">
            <w:pPr>
              <w:ind w:right="276"/>
              <w:jc w:val="right"/>
              <w:rPr>
                <w:sz w:val="22"/>
                <w:szCs w:val="22"/>
                <w:lang w:eastAsia="en-CA"/>
              </w:rPr>
            </w:pPr>
            <w:r w:rsidRPr="00653977">
              <w:rPr>
                <w:sz w:val="22"/>
                <w:szCs w:val="22"/>
                <w:lang w:eastAsia="en-CA"/>
              </w:rPr>
              <w:t>13 683</w:t>
            </w:r>
          </w:p>
        </w:tc>
      </w:tr>
      <w:tr w:rsidR="00253427" w:rsidRPr="00653977" w14:paraId="11A602DF"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09066C" w14:textId="77777777" w:rsidR="00253427" w:rsidRPr="00653977" w:rsidRDefault="00253427" w:rsidP="00EF0503">
            <w:pPr>
              <w:rPr>
                <w:sz w:val="22"/>
                <w:szCs w:val="22"/>
                <w:lang w:eastAsia="en-CA"/>
              </w:rPr>
            </w:pPr>
            <w:r w:rsidRPr="00653977">
              <w:rPr>
                <w:sz w:val="22"/>
                <w:szCs w:val="22"/>
                <w:lang w:eastAsia="en-CA"/>
              </w:rPr>
              <w:t>Kenya</w:t>
            </w:r>
          </w:p>
        </w:tc>
        <w:tc>
          <w:tcPr>
            <w:tcW w:w="2288" w:type="dxa"/>
            <w:tcBorders>
              <w:top w:val="nil"/>
              <w:left w:val="nil"/>
              <w:bottom w:val="single" w:sz="4" w:space="0" w:color="auto"/>
              <w:right w:val="single" w:sz="4" w:space="0" w:color="auto"/>
            </w:tcBorders>
            <w:shd w:val="clear" w:color="auto" w:fill="auto"/>
            <w:vAlign w:val="center"/>
            <w:hideMark/>
          </w:tcPr>
          <w:p w14:paraId="494852CC" w14:textId="77777777" w:rsidR="00253427" w:rsidRPr="00653977" w:rsidRDefault="00253427" w:rsidP="00EF0503">
            <w:pPr>
              <w:ind w:right="770"/>
              <w:jc w:val="right"/>
              <w:rPr>
                <w:sz w:val="22"/>
                <w:szCs w:val="22"/>
                <w:lang w:eastAsia="en-CA"/>
              </w:rPr>
            </w:pPr>
            <w:r w:rsidRPr="00653977">
              <w:rPr>
                <w:sz w:val="22"/>
                <w:szCs w:val="22"/>
                <w:lang w:eastAsia="en-CA"/>
              </w:rPr>
              <w:t>0.018</w:t>
            </w:r>
          </w:p>
        </w:tc>
        <w:tc>
          <w:tcPr>
            <w:tcW w:w="0" w:type="auto"/>
            <w:tcBorders>
              <w:top w:val="nil"/>
              <w:left w:val="nil"/>
              <w:bottom w:val="single" w:sz="4" w:space="0" w:color="auto"/>
              <w:right w:val="single" w:sz="4" w:space="0" w:color="auto"/>
            </w:tcBorders>
            <w:shd w:val="clear" w:color="auto" w:fill="auto"/>
            <w:noWrap/>
            <w:vAlign w:val="center"/>
            <w:hideMark/>
          </w:tcPr>
          <w:p w14:paraId="769D35B8" w14:textId="77777777" w:rsidR="00253427" w:rsidRPr="00653977" w:rsidRDefault="00253427" w:rsidP="00EF0503">
            <w:pPr>
              <w:ind w:right="1144"/>
              <w:jc w:val="right"/>
              <w:rPr>
                <w:sz w:val="22"/>
                <w:szCs w:val="22"/>
                <w:lang w:eastAsia="en-CA"/>
              </w:rPr>
            </w:pPr>
            <w:r w:rsidRPr="00653977">
              <w:rPr>
                <w:sz w:val="22"/>
                <w:szCs w:val="22"/>
                <w:lang w:eastAsia="en-CA"/>
              </w:rPr>
              <w:t>0.026</w:t>
            </w:r>
          </w:p>
        </w:tc>
        <w:tc>
          <w:tcPr>
            <w:tcW w:w="0" w:type="auto"/>
            <w:tcBorders>
              <w:top w:val="nil"/>
              <w:left w:val="nil"/>
              <w:bottom w:val="single" w:sz="4" w:space="0" w:color="auto"/>
              <w:right w:val="single" w:sz="4" w:space="0" w:color="auto"/>
            </w:tcBorders>
            <w:shd w:val="clear" w:color="auto" w:fill="auto"/>
            <w:noWrap/>
            <w:vAlign w:val="center"/>
            <w:hideMark/>
          </w:tcPr>
          <w:p w14:paraId="0822DD57" w14:textId="77777777" w:rsidR="00253427" w:rsidRPr="00653977" w:rsidRDefault="00253427" w:rsidP="00EF0503">
            <w:pPr>
              <w:ind w:right="276"/>
              <w:jc w:val="right"/>
              <w:rPr>
                <w:sz w:val="22"/>
                <w:szCs w:val="22"/>
                <w:lang w:eastAsia="en-CA"/>
              </w:rPr>
            </w:pPr>
            <w:r w:rsidRPr="00653977">
              <w:rPr>
                <w:sz w:val="22"/>
                <w:szCs w:val="22"/>
                <w:lang w:eastAsia="en-CA"/>
              </w:rPr>
              <w:t>626</w:t>
            </w:r>
          </w:p>
        </w:tc>
        <w:tc>
          <w:tcPr>
            <w:tcW w:w="0" w:type="auto"/>
            <w:tcBorders>
              <w:top w:val="nil"/>
              <w:left w:val="nil"/>
              <w:bottom w:val="single" w:sz="4" w:space="0" w:color="auto"/>
              <w:right w:val="single" w:sz="4" w:space="0" w:color="auto"/>
            </w:tcBorders>
            <w:shd w:val="clear" w:color="auto" w:fill="auto"/>
            <w:noWrap/>
            <w:vAlign w:val="center"/>
            <w:hideMark/>
          </w:tcPr>
          <w:p w14:paraId="3C921212" w14:textId="77777777" w:rsidR="00253427" w:rsidRPr="00653977" w:rsidRDefault="00253427" w:rsidP="00EF0503">
            <w:pPr>
              <w:ind w:right="276"/>
              <w:jc w:val="right"/>
              <w:rPr>
                <w:sz w:val="22"/>
                <w:szCs w:val="22"/>
                <w:lang w:eastAsia="en-CA"/>
              </w:rPr>
            </w:pPr>
            <w:r w:rsidRPr="00653977">
              <w:rPr>
                <w:sz w:val="22"/>
                <w:szCs w:val="22"/>
                <w:lang w:eastAsia="en-CA"/>
              </w:rPr>
              <w:t>664</w:t>
            </w:r>
          </w:p>
        </w:tc>
        <w:tc>
          <w:tcPr>
            <w:tcW w:w="0" w:type="auto"/>
            <w:tcBorders>
              <w:top w:val="nil"/>
              <w:left w:val="nil"/>
              <w:bottom w:val="single" w:sz="4" w:space="0" w:color="auto"/>
              <w:right w:val="single" w:sz="4" w:space="0" w:color="auto"/>
            </w:tcBorders>
            <w:shd w:val="clear" w:color="auto" w:fill="auto"/>
            <w:noWrap/>
            <w:vAlign w:val="center"/>
            <w:hideMark/>
          </w:tcPr>
          <w:p w14:paraId="4ACC109C" w14:textId="77777777" w:rsidR="00253427" w:rsidRPr="00653977" w:rsidRDefault="00253427" w:rsidP="00EF0503">
            <w:pPr>
              <w:ind w:right="276"/>
              <w:jc w:val="right"/>
              <w:rPr>
                <w:sz w:val="22"/>
                <w:szCs w:val="22"/>
                <w:lang w:eastAsia="en-CA"/>
              </w:rPr>
            </w:pPr>
            <w:r w:rsidRPr="00653977">
              <w:rPr>
                <w:sz w:val="22"/>
                <w:szCs w:val="22"/>
                <w:lang w:eastAsia="en-CA"/>
              </w:rPr>
              <w:t>1 289</w:t>
            </w:r>
          </w:p>
        </w:tc>
      </w:tr>
      <w:tr w:rsidR="00253427" w:rsidRPr="00653977" w14:paraId="5E0E90FE"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C8E274" w14:textId="77777777" w:rsidR="00253427" w:rsidRPr="00653977" w:rsidRDefault="00253427" w:rsidP="00EF0503">
            <w:pPr>
              <w:rPr>
                <w:sz w:val="22"/>
                <w:szCs w:val="22"/>
                <w:lang w:eastAsia="en-CA"/>
              </w:rPr>
            </w:pPr>
            <w:r w:rsidRPr="00653977">
              <w:rPr>
                <w:sz w:val="22"/>
                <w:szCs w:val="22"/>
                <w:lang w:eastAsia="en-CA"/>
              </w:rPr>
              <w:t>Kiribati</w:t>
            </w:r>
          </w:p>
        </w:tc>
        <w:tc>
          <w:tcPr>
            <w:tcW w:w="2288" w:type="dxa"/>
            <w:tcBorders>
              <w:top w:val="nil"/>
              <w:left w:val="nil"/>
              <w:bottom w:val="single" w:sz="4" w:space="0" w:color="auto"/>
              <w:right w:val="single" w:sz="4" w:space="0" w:color="auto"/>
            </w:tcBorders>
            <w:shd w:val="clear" w:color="auto" w:fill="auto"/>
            <w:vAlign w:val="center"/>
            <w:hideMark/>
          </w:tcPr>
          <w:p w14:paraId="3DA453E2"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432D37A"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CE7C903"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33173BD3"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D5EEF49"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7927B94A"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DD596E" w14:textId="77777777" w:rsidR="00253427" w:rsidRPr="00653977" w:rsidRDefault="00253427" w:rsidP="00EF0503">
            <w:pPr>
              <w:rPr>
                <w:sz w:val="22"/>
                <w:szCs w:val="22"/>
                <w:lang w:eastAsia="en-CA"/>
              </w:rPr>
            </w:pPr>
            <w:r w:rsidRPr="00653977">
              <w:rPr>
                <w:sz w:val="22"/>
                <w:szCs w:val="22"/>
                <w:lang w:eastAsia="en-CA"/>
              </w:rPr>
              <w:t>Kuwait</w:t>
            </w:r>
          </w:p>
        </w:tc>
        <w:tc>
          <w:tcPr>
            <w:tcW w:w="2288" w:type="dxa"/>
            <w:tcBorders>
              <w:top w:val="nil"/>
              <w:left w:val="nil"/>
              <w:bottom w:val="single" w:sz="4" w:space="0" w:color="auto"/>
              <w:right w:val="single" w:sz="4" w:space="0" w:color="auto"/>
            </w:tcBorders>
            <w:shd w:val="clear" w:color="auto" w:fill="auto"/>
            <w:vAlign w:val="center"/>
            <w:hideMark/>
          </w:tcPr>
          <w:p w14:paraId="19BCC627" w14:textId="77777777" w:rsidR="00253427" w:rsidRPr="00653977" w:rsidRDefault="00253427" w:rsidP="00EF0503">
            <w:pPr>
              <w:ind w:right="770"/>
              <w:jc w:val="right"/>
              <w:rPr>
                <w:sz w:val="22"/>
                <w:szCs w:val="22"/>
                <w:lang w:eastAsia="en-CA"/>
              </w:rPr>
            </w:pPr>
            <w:r w:rsidRPr="00653977">
              <w:rPr>
                <w:sz w:val="22"/>
                <w:szCs w:val="22"/>
                <w:lang w:eastAsia="en-CA"/>
              </w:rPr>
              <w:t>0.285</w:t>
            </w:r>
          </w:p>
        </w:tc>
        <w:tc>
          <w:tcPr>
            <w:tcW w:w="0" w:type="auto"/>
            <w:tcBorders>
              <w:top w:val="nil"/>
              <w:left w:val="nil"/>
              <w:bottom w:val="single" w:sz="4" w:space="0" w:color="auto"/>
              <w:right w:val="single" w:sz="4" w:space="0" w:color="auto"/>
            </w:tcBorders>
            <w:shd w:val="clear" w:color="auto" w:fill="auto"/>
            <w:noWrap/>
            <w:vAlign w:val="center"/>
            <w:hideMark/>
          </w:tcPr>
          <w:p w14:paraId="7A0A7CF0" w14:textId="77777777" w:rsidR="00253427" w:rsidRPr="00653977" w:rsidRDefault="00253427" w:rsidP="00EF0503">
            <w:pPr>
              <w:ind w:right="1144"/>
              <w:jc w:val="right"/>
              <w:rPr>
                <w:sz w:val="22"/>
                <w:szCs w:val="22"/>
                <w:lang w:eastAsia="en-CA"/>
              </w:rPr>
            </w:pPr>
            <w:r w:rsidRPr="00653977">
              <w:rPr>
                <w:sz w:val="22"/>
                <w:szCs w:val="22"/>
                <w:lang w:eastAsia="en-CA"/>
              </w:rPr>
              <w:t>0.413</w:t>
            </w:r>
          </w:p>
        </w:tc>
        <w:tc>
          <w:tcPr>
            <w:tcW w:w="0" w:type="auto"/>
            <w:tcBorders>
              <w:top w:val="nil"/>
              <w:left w:val="nil"/>
              <w:bottom w:val="single" w:sz="4" w:space="0" w:color="auto"/>
              <w:right w:val="single" w:sz="4" w:space="0" w:color="auto"/>
            </w:tcBorders>
            <w:shd w:val="clear" w:color="auto" w:fill="auto"/>
            <w:noWrap/>
            <w:vAlign w:val="center"/>
            <w:hideMark/>
          </w:tcPr>
          <w:p w14:paraId="7F67FAEB" w14:textId="77777777" w:rsidR="00253427" w:rsidRPr="00653977" w:rsidRDefault="00253427" w:rsidP="00EF0503">
            <w:pPr>
              <w:ind w:right="276"/>
              <w:jc w:val="right"/>
              <w:rPr>
                <w:sz w:val="22"/>
                <w:szCs w:val="22"/>
                <w:lang w:eastAsia="en-CA"/>
              </w:rPr>
            </w:pPr>
            <w:r w:rsidRPr="00653977">
              <w:rPr>
                <w:sz w:val="22"/>
                <w:szCs w:val="22"/>
                <w:lang w:eastAsia="en-CA"/>
              </w:rPr>
              <w:t>9 909</w:t>
            </w:r>
          </w:p>
        </w:tc>
        <w:tc>
          <w:tcPr>
            <w:tcW w:w="0" w:type="auto"/>
            <w:tcBorders>
              <w:top w:val="nil"/>
              <w:left w:val="nil"/>
              <w:bottom w:val="single" w:sz="4" w:space="0" w:color="auto"/>
              <w:right w:val="single" w:sz="4" w:space="0" w:color="auto"/>
            </w:tcBorders>
            <w:shd w:val="clear" w:color="auto" w:fill="auto"/>
            <w:noWrap/>
            <w:vAlign w:val="center"/>
            <w:hideMark/>
          </w:tcPr>
          <w:p w14:paraId="531213C3" w14:textId="77777777" w:rsidR="00253427" w:rsidRPr="00653977" w:rsidRDefault="00253427" w:rsidP="00EF0503">
            <w:pPr>
              <w:ind w:right="276"/>
              <w:jc w:val="right"/>
              <w:rPr>
                <w:sz w:val="22"/>
                <w:szCs w:val="22"/>
                <w:lang w:eastAsia="en-CA"/>
              </w:rPr>
            </w:pPr>
            <w:r w:rsidRPr="00653977">
              <w:rPr>
                <w:sz w:val="22"/>
                <w:szCs w:val="22"/>
                <w:lang w:eastAsia="en-CA"/>
              </w:rPr>
              <w:t>10 508</w:t>
            </w:r>
          </w:p>
        </w:tc>
        <w:tc>
          <w:tcPr>
            <w:tcW w:w="0" w:type="auto"/>
            <w:tcBorders>
              <w:top w:val="nil"/>
              <w:left w:val="nil"/>
              <w:bottom w:val="single" w:sz="4" w:space="0" w:color="auto"/>
              <w:right w:val="single" w:sz="4" w:space="0" w:color="auto"/>
            </w:tcBorders>
            <w:shd w:val="clear" w:color="auto" w:fill="auto"/>
            <w:noWrap/>
            <w:vAlign w:val="center"/>
            <w:hideMark/>
          </w:tcPr>
          <w:p w14:paraId="778D0C8F" w14:textId="77777777" w:rsidR="00253427" w:rsidRPr="00653977" w:rsidRDefault="00253427" w:rsidP="00EF0503">
            <w:pPr>
              <w:ind w:right="276"/>
              <w:jc w:val="right"/>
              <w:rPr>
                <w:sz w:val="22"/>
                <w:szCs w:val="22"/>
                <w:lang w:eastAsia="en-CA"/>
              </w:rPr>
            </w:pPr>
            <w:r w:rsidRPr="00653977">
              <w:rPr>
                <w:sz w:val="22"/>
                <w:szCs w:val="22"/>
                <w:lang w:eastAsia="en-CA"/>
              </w:rPr>
              <w:t>20 417</w:t>
            </w:r>
          </w:p>
        </w:tc>
      </w:tr>
      <w:tr w:rsidR="00253427" w:rsidRPr="00653977" w14:paraId="49171173"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FC4918" w14:textId="77777777" w:rsidR="00253427" w:rsidRPr="00653977" w:rsidRDefault="00253427" w:rsidP="00EF0503">
            <w:pPr>
              <w:rPr>
                <w:sz w:val="22"/>
                <w:szCs w:val="22"/>
                <w:lang w:eastAsia="en-CA"/>
              </w:rPr>
            </w:pPr>
            <w:r w:rsidRPr="00653977">
              <w:rPr>
                <w:sz w:val="22"/>
                <w:szCs w:val="22"/>
                <w:lang w:eastAsia="en-CA"/>
              </w:rPr>
              <w:t>Kyrgyzstan</w:t>
            </w:r>
          </w:p>
        </w:tc>
        <w:tc>
          <w:tcPr>
            <w:tcW w:w="2288" w:type="dxa"/>
            <w:tcBorders>
              <w:top w:val="nil"/>
              <w:left w:val="nil"/>
              <w:bottom w:val="single" w:sz="4" w:space="0" w:color="auto"/>
              <w:right w:val="single" w:sz="4" w:space="0" w:color="auto"/>
            </w:tcBorders>
            <w:shd w:val="clear" w:color="auto" w:fill="auto"/>
            <w:vAlign w:val="center"/>
            <w:hideMark/>
          </w:tcPr>
          <w:p w14:paraId="008CBEEB" w14:textId="77777777" w:rsidR="00253427" w:rsidRPr="00653977" w:rsidRDefault="00253427" w:rsidP="00EF0503">
            <w:pPr>
              <w:ind w:right="770"/>
              <w:jc w:val="right"/>
              <w:rPr>
                <w:sz w:val="22"/>
                <w:szCs w:val="22"/>
                <w:lang w:eastAsia="en-CA"/>
              </w:rPr>
            </w:pPr>
            <w:r w:rsidRPr="00653977">
              <w:rPr>
                <w:sz w:val="22"/>
                <w:szCs w:val="22"/>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3284DC64" w14:textId="77777777" w:rsidR="00253427" w:rsidRPr="00653977" w:rsidRDefault="00253427" w:rsidP="00EF0503">
            <w:pPr>
              <w:ind w:right="1144"/>
              <w:jc w:val="right"/>
              <w:rPr>
                <w:sz w:val="22"/>
                <w:szCs w:val="22"/>
                <w:lang w:eastAsia="en-CA"/>
              </w:rPr>
            </w:pPr>
            <w:r w:rsidRPr="00653977">
              <w:rPr>
                <w:sz w:val="22"/>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2E07C9D0" w14:textId="77777777" w:rsidR="00253427" w:rsidRPr="00653977" w:rsidRDefault="00253427" w:rsidP="00EF0503">
            <w:pPr>
              <w:ind w:right="276"/>
              <w:jc w:val="right"/>
              <w:rPr>
                <w:sz w:val="22"/>
                <w:szCs w:val="22"/>
                <w:lang w:eastAsia="en-CA"/>
              </w:rPr>
            </w:pPr>
            <w:r w:rsidRPr="00653977">
              <w:rPr>
                <w:sz w:val="22"/>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7BD5FB9A" w14:textId="77777777" w:rsidR="00253427" w:rsidRPr="00653977" w:rsidRDefault="00253427" w:rsidP="00EF0503">
            <w:pPr>
              <w:ind w:right="276"/>
              <w:jc w:val="right"/>
              <w:rPr>
                <w:sz w:val="22"/>
                <w:szCs w:val="22"/>
                <w:lang w:eastAsia="en-CA"/>
              </w:rPr>
            </w:pPr>
            <w:r w:rsidRPr="00653977">
              <w:rPr>
                <w:sz w:val="22"/>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5B222CA1" w14:textId="77777777" w:rsidR="00253427" w:rsidRPr="00653977" w:rsidRDefault="00253427" w:rsidP="00EF0503">
            <w:pPr>
              <w:ind w:right="276"/>
              <w:jc w:val="right"/>
              <w:rPr>
                <w:sz w:val="22"/>
                <w:szCs w:val="22"/>
                <w:lang w:eastAsia="en-CA"/>
              </w:rPr>
            </w:pPr>
            <w:r w:rsidRPr="00653977">
              <w:rPr>
                <w:sz w:val="22"/>
                <w:szCs w:val="22"/>
                <w:lang w:eastAsia="en-CA"/>
              </w:rPr>
              <w:t>143</w:t>
            </w:r>
          </w:p>
        </w:tc>
      </w:tr>
      <w:tr w:rsidR="00253427" w:rsidRPr="00653977" w14:paraId="3100D476"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055760" w14:textId="77777777" w:rsidR="00253427" w:rsidRPr="00653977" w:rsidRDefault="00253427" w:rsidP="00EF0503">
            <w:pPr>
              <w:rPr>
                <w:sz w:val="22"/>
                <w:szCs w:val="22"/>
                <w:lang w:eastAsia="en-CA"/>
              </w:rPr>
            </w:pPr>
            <w:r w:rsidRPr="00653977">
              <w:rPr>
                <w:sz w:val="22"/>
                <w:szCs w:val="22"/>
                <w:lang w:eastAsia="en-CA"/>
              </w:rPr>
              <w:t>Lao People’s Democratic Republic</w:t>
            </w:r>
          </w:p>
        </w:tc>
        <w:tc>
          <w:tcPr>
            <w:tcW w:w="2288" w:type="dxa"/>
            <w:tcBorders>
              <w:top w:val="nil"/>
              <w:left w:val="nil"/>
              <w:bottom w:val="single" w:sz="4" w:space="0" w:color="auto"/>
              <w:right w:val="single" w:sz="4" w:space="0" w:color="auto"/>
            </w:tcBorders>
            <w:shd w:val="clear" w:color="auto" w:fill="auto"/>
            <w:vAlign w:val="center"/>
            <w:hideMark/>
          </w:tcPr>
          <w:p w14:paraId="08F5B540" w14:textId="77777777" w:rsidR="00253427" w:rsidRPr="00653977" w:rsidRDefault="00253427" w:rsidP="00EF0503">
            <w:pPr>
              <w:ind w:right="770"/>
              <w:jc w:val="right"/>
              <w:rPr>
                <w:sz w:val="22"/>
                <w:szCs w:val="22"/>
                <w:lang w:eastAsia="en-CA"/>
              </w:rPr>
            </w:pPr>
            <w:r w:rsidRPr="00653977">
              <w:rPr>
                <w:sz w:val="22"/>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553714A4" w14:textId="77777777" w:rsidR="00253427" w:rsidRPr="00653977" w:rsidRDefault="00253427" w:rsidP="00EF0503">
            <w:pPr>
              <w:ind w:right="1144"/>
              <w:jc w:val="right"/>
              <w:rPr>
                <w:sz w:val="22"/>
                <w:szCs w:val="22"/>
                <w:lang w:eastAsia="en-CA"/>
              </w:rPr>
            </w:pPr>
            <w:r w:rsidRPr="00653977">
              <w:rPr>
                <w:sz w:val="22"/>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3D1FC0DA" w14:textId="77777777" w:rsidR="00253427" w:rsidRPr="00653977" w:rsidRDefault="00253427" w:rsidP="00EF0503">
            <w:pPr>
              <w:ind w:right="276"/>
              <w:jc w:val="right"/>
              <w:rPr>
                <w:sz w:val="22"/>
                <w:szCs w:val="22"/>
                <w:lang w:eastAsia="en-CA"/>
              </w:rPr>
            </w:pPr>
            <w:r w:rsidRPr="00653977">
              <w:rPr>
                <w:sz w:val="22"/>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06364CE8" w14:textId="77777777" w:rsidR="00253427" w:rsidRPr="00653977" w:rsidRDefault="00253427" w:rsidP="00EF0503">
            <w:pPr>
              <w:ind w:right="276"/>
              <w:jc w:val="right"/>
              <w:rPr>
                <w:sz w:val="22"/>
                <w:szCs w:val="22"/>
                <w:lang w:eastAsia="en-CA"/>
              </w:rPr>
            </w:pPr>
            <w:r w:rsidRPr="00653977">
              <w:rPr>
                <w:sz w:val="22"/>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6C310E5C" w14:textId="77777777" w:rsidR="00253427" w:rsidRPr="00653977" w:rsidRDefault="00253427" w:rsidP="00EF0503">
            <w:pPr>
              <w:ind w:right="276"/>
              <w:jc w:val="right"/>
              <w:rPr>
                <w:sz w:val="22"/>
                <w:szCs w:val="22"/>
                <w:lang w:eastAsia="en-CA"/>
              </w:rPr>
            </w:pPr>
            <w:r w:rsidRPr="00653977">
              <w:rPr>
                <w:sz w:val="22"/>
                <w:szCs w:val="22"/>
                <w:lang w:eastAsia="en-CA"/>
              </w:rPr>
              <w:t>215</w:t>
            </w:r>
          </w:p>
        </w:tc>
      </w:tr>
      <w:tr w:rsidR="00253427" w:rsidRPr="00653977" w14:paraId="5A11A02B"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E38238" w14:textId="77777777" w:rsidR="00253427" w:rsidRPr="00653977" w:rsidRDefault="00253427" w:rsidP="00EF0503">
            <w:pPr>
              <w:rPr>
                <w:sz w:val="22"/>
                <w:szCs w:val="22"/>
                <w:lang w:eastAsia="en-CA"/>
              </w:rPr>
            </w:pPr>
            <w:r w:rsidRPr="00653977">
              <w:rPr>
                <w:sz w:val="22"/>
                <w:szCs w:val="22"/>
                <w:lang w:eastAsia="en-CA"/>
              </w:rPr>
              <w:t>Latvia</w:t>
            </w:r>
          </w:p>
        </w:tc>
        <w:tc>
          <w:tcPr>
            <w:tcW w:w="2288" w:type="dxa"/>
            <w:tcBorders>
              <w:top w:val="nil"/>
              <w:left w:val="nil"/>
              <w:bottom w:val="single" w:sz="4" w:space="0" w:color="auto"/>
              <w:right w:val="single" w:sz="4" w:space="0" w:color="auto"/>
            </w:tcBorders>
            <w:shd w:val="clear" w:color="auto" w:fill="auto"/>
            <w:vAlign w:val="center"/>
            <w:hideMark/>
          </w:tcPr>
          <w:p w14:paraId="3E075F88" w14:textId="77777777" w:rsidR="00253427" w:rsidRPr="00653977" w:rsidRDefault="00253427" w:rsidP="00EF0503">
            <w:pPr>
              <w:ind w:right="770"/>
              <w:jc w:val="right"/>
              <w:rPr>
                <w:sz w:val="22"/>
                <w:szCs w:val="22"/>
                <w:lang w:eastAsia="en-CA"/>
              </w:rPr>
            </w:pPr>
            <w:r w:rsidRPr="00653977">
              <w:rPr>
                <w:sz w:val="22"/>
                <w:szCs w:val="22"/>
                <w:lang w:eastAsia="en-CA"/>
              </w:rPr>
              <w:t>0.050</w:t>
            </w:r>
          </w:p>
        </w:tc>
        <w:tc>
          <w:tcPr>
            <w:tcW w:w="0" w:type="auto"/>
            <w:tcBorders>
              <w:top w:val="nil"/>
              <w:left w:val="nil"/>
              <w:bottom w:val="single" w:sz="4" w:space="0" w:color="auto"/>
              <w:right w:val="single" w:sz="4" w:space="0" w:color="auto"/>
            </w:tcBorders>
            <w:shd w:val="clear" w:color="auto" w:fill="auto"/>
            <w:noWrap/>
            <w:vAlign w:val="center"/>
            <w:hideMark/>
          </w:tcPr>
          <w:p w14:paraId="3BE8BF4B" w14:textId="77777777" w:rsidR="00253427" w:rsidRPr="00653977" w:rsidRDefault="00253427" w:rsidP="00EF0503">
            <w:pPr>
              <w:ind w:right="1144"/>
              <w:jc w:val="right"/>
              <w:rPr>
                <w:sz w:val="22"/>
                <w:szCs w:val="22"/>
                <w:lang w:eastAsia="en-CA"/>
              </w:rPr>
            </w:pPr>
            <w:r w:rsidRPr="00653977">
              <w:rPr>
                <w:sz w:val="22"/>
                <w:szCs w:val="22"/>
                <w:lang w:eastAsia="en-CA"/>
              </w:rPr>
              <w:t>0.072</w:t>
            </w:r>
          </w:p>
        </w:tc>
        <w:tc>
          <w:tcPr>
            <w:tcW w:w="0" w:type="auto"/>
            <w:tcBorders>
              <w:top w:val="nil"/>
              <w:left w:val="nil"/>
              <w:bottom w:val="single" w:sz="4" w:space="0" w:color="auto"/>
              <w:right w:val="single" w:sz="4" w:space="0" w:color="auto"/>
            </w:tcBorders>
            <w:shd w:val="clear" w:color="auto" w:fill="auto"/>
            <w:noWrap/>
            <w:vAlign w:val="center"/>
            <w:hideMark/>
          </w:tcPr>
          <w:p w14:paraId="6AFF86BF" w14:textId="77777777" w:rsidR="00253427" w:rsidRPr="00653977" w:rsidRDefault="00253427" w:rsidP="00EF0503">
            <w:pPr>
              <w:ind w:right="276"/>
              <w:jc w:val="right"/>
              <w:rPr>
                <w:sz w:val="22"/>
                <w:szCs w:val="22"/>
                <w:lang w:eastAsia="en-CA"/>
              </w:rPr>
            </w:pPr>
            <w:r w:rsidRPr="00653977">
              <w:rPr>
                <w:sz w:val="22"/>
                <w:szCs w:val="22"/>
                <w:lang w:eastAsia="en-CA"/>
              </w:rPr>
              <w:t>1 738</w:t>
            </w:r>
          </w:p>
        </w:tc>
        <w:tc>
          <w:tcPr>
            <w:tcW w:w="0" w:type="auto"/>
            <w:tcBorders>
              <w:top w:val="nil"/>
              <w:left w:val="nil"/>
              <w:bottom w:val="single" w:sz="4" w:space="0" w:color="auto"/>
              <w:right w:val="single" w:sz="4" w:space="0" w:color="auto"/>
            </w:tcBorders>
            <w:shd w:val="clear" w:color="auto" w:fill="auto"/>
            <w:noWrap/>
            <w:vAlign w:val="center"/>
            <w:hideMark/>
          </w:tcPr>
          <w:p w14:paraId="67E139CE" w14:textId="77777777" w:rsidR="00253427" w:rsidRPr="00653977" w:rsidRDefault="00253427" w:rsidP="00EF0503">
            <w:pPr>
              <w:ind w:right="276"/>
              <w:jc w:val="right"/>
              <w:rPr>
                <w:sz w:val="22"/>
                <w:szCs w:val="22"/>
                <w:lang w:eastAsia="en-CA"/>
              </w:rPr>
            </w:pPr>
            <w:r w:rsidRPr="00653977">
              <w:rPr>
                <w:sz w:val="22"/>
                <w:szCs w:val="22"/>
                <w:lang w:eastAsia="en-CA"/>
              </w:rPr>
              <w:t>1 843</w:t>
            </w:r>
          </w:p>
        </w:tc>
        <w:tc>
          <w:tcPr>
            <w:tcW w:w="0" w:type="auto"/>
            <w:tcBorders>
              <w:top w:val="nil"/>
              <w:left w:val="nil"/>
              <w:bottom w:val="single" w:sz="4" w:space="0" w:color="auto"/>
              <w:right w:val="single" w:sz="4" w:space="0" w:color="auto"/>
            </w:tcBorders>
            <w:shd w:val="clear" w:color="auto" w:fill="auto"/>
            <w:noWrap/>
            <w:vAlign w:val="center"/>
            <w:hideMark/>
          </w:tcPr>
          <w:p w14:paraId="46738DBF" w14:textId="77777777" w:rsidR="00253427" w:rsidRPr="00653977" w:rsidRDefault="00253427" w:rsidP="00EF0503">
            <w:pPr>
              <w:ind w:right="276"/>
              <w:jc w:val="right"/>
              <w:rPr>
                <w:sz w:val="22"/>
                <w:szCs w:val="22"/>
                <w:lang w:eastAsia="en-CA"/>
              </w:rPr>
            </w:pPr>
            <w:r w:rsidRPr="00653977">
              <w:rPr>
                <w:sz w:val="22"/>
                <w:szCs w:val="22"/>
                <w:lang w:eastAsia="en-CA"/>
              </w:rPr>
              <w:t>3 582</w:t>
            </w:r>
          </w:p>
        </w:tc>
      </w:tr>
      <w:tr w:rsidR="00253427" w:rsidRPr="00653977" w14:paraId="4D2EBBA0"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3A6BE8" w14:textId="77777777" w:rsidR="00253427" w:rsidRPr="00653977" w:rsidRDefault="00253427" w:rsidP="00EF0503">
            <w:pPr>
              <w:rPr>
                <w:sz w:val="22"/>
                <w:szCs w:val="22"/>
                <w:lang w:eastAsia="en-CA"/>
              </w:rPr>
            </w:pPr>
            <w:r w:rsidRPr="00653977">
              <w:rPr>
                <w:sz w:val="22"/>
                <w:szCs w:val="22"/>
                <w:lang w:eastAsia="en-CA"/>
              </w:rPr>
              <w:lastRenderedPageBreak/>
              <w:t>Lebanon</w:t>
            </w:r>
          </w:p>
        </w:tc>
        <w:tc>
          <w:tcPr>
            <w:tcW w:w="2288" w:type="dxa"/>
            <w:tcBorders>
              <w:top w:val="nil"/>
              <w:left w:val="nil"/>
              <w:bottom w:val="single" w:sz="4" w:space="0" w:color="auto"/>
              <w:right w:val="single" w:sz="4" w:space="0" w:color="auto"/>
            </w:tcBorders>
            <w:shd w:val="clear" w:color="auto" w:fill="auto"/>
            <w:vAlign w:val="center"/>
            <w:hideMark/>
          </w:tcPr>
          <w:p w14:paraId="694A9EC3" w14:textId="77777777" w:rsidR="00253427" w:rsidRPr="00653977" w:rsidRDefault="00253427" w:rsidP="00EF0503">
            <w:pPr>
              <w:ind w:right="770"/>
              <w:jc w:val="right"/>
              <w:rPr>
                <w:sz w:val="22"/>
                <w:szCs w:val="22"/>
                <w:lang w:eastAsia="en-CA"/>
              </w:rPr>
            </w:pPr>
            <w:r w:rsidRPr="00653977">
              <w:rPr>
                <w:sz w:val="22"/>
                <w:szCs w:val="22"/>
                <w:lang w:eastAsia="en-CA"/>
              </w:rPr>
              <w:t>0.046</w:t>
            </w:r>
          </w:p>
        </w:tc>
        <w:tc>
          <w:tcPr>
            <w:tcW w:w="0" w:type="auto"/>
            <w:tcBorders>
              <w:top w:val="nil"/>
              <w:left w:val="nil"/>
              <w:bottom w:val="single" w:sz="4" w:space="0" w:color="auto"/>
              <w:right w:val="single" w:sz="4" w:space="0" w:color="auto"/>
            </w:tcBorders>
            <w:shd w:val="clear" w:color="auto" w:fill="auto"/>
            <w:noWrap/>
            <w:vAlign w:val="center"/>
            <w:hideMark/>
          </w:tcPr>
          <w:p w14:paraId="6EB985DD" w14:textId="77777777" w:rsidR="00253427" w:rsidRPr="00653977" w:rsidRDefault="00253427" w:rsidP="00EF0503">
            <w:pPr>
              <w:ind w:right="1144"/>
              <w:jc w:val="right"/>
              <w:rPr>
                <w:sz w:val="22"/>
                <w:szCs w:val="22"/>
                <w:lang w:eastAsia="en-CA"/>
              </w:rPr>
            </w:pPr>
            <w:r w:rsidRPr="00653977">
              <w:rPr>
                <w:sz w:val="22"/>
                <w:szCs w:val="22"/>
                <w:lang w:eastAsia="en-CA"/>
              </w:rPr>
              <w:t>0.067</w:t>
            </w:r>
          </w:p>
        </w:tc>
        <w:tc>
          <w:tcPr>
            <w:tcW w:w="0" w:type="auto"/>
            <w:tcBorders>
              <w:top w:val="nil"/>
              <w:left w:val="nil"/>
              <w:bottom w:val="single" w:sz="4" w:space="0" w:color="auto"/>
              <w:right w:val="single" w:sz="4" w:space="0" w:color="auto"/>
            </w:tcBorders>
            <w:shd w:val="clear" w:color="auto" w:fill="auto"/>
            <w:noWrap/>
            <w:vAlign w:val="center"/>
            <w:hideMark/>
          </w:tcPr>
          <w:p w14:paraId="5E51661F" w14:textId="77777777" w:rsidR="00253427" w:rsidRPr="00653977" w:rsidRDefault="00253427" w:rsidP="00EF0503">
            <w:pPr>
              <w:ind w:right="276"/>
              <w:jc w:val="right"/>
              <w:rPr>
                <w:sz w:val="22"/>
                <w:szCs w:val="22"/>
                <w:lang w:eastAsia="en-CA"/>
              </w:rPr>
            </w:pPr>
            <w:r w:rsidRPr="00653977">
              <w:rPr>
                <w:sz w:val="22"/>
                <w:szCs w:val="22"/>
                <w:lang w:eastAsia="en-CA"/>
              </w:rPr>
              <w:t>1 599</w:t>
            </w:r>
          </w:p>
        </w:tc>
        <w:tc>
          <w:tcPr>
            <w:tcW w:w="0" w:type="auto"/>
            <w:tcBorders>
              <w:top w:val="nil"/>
              <w:left w:val="nil"/>
              <w:bottom w:val="single" w:sz="4" w:space="0" w:color="auto"/>
              <w:right w:val="single" w:sz="4" w:space="0" w:color="auto"/>
            </w:tcBorders>
            <w:shd w:val="clear" w:color="auto" w:fill="auto"/>
            <w:noWrap/>
            <w:vAlign w:val="center"/>
            <w:hideMark/>
          </w:tcPr>
          <w:p w14:paraId="73C79065" w14:textId="77777777" w:rsidR="00253427" w:rsidRPr="00653977" w:rsidRDefault="00253427" w:rsidP="00EF0503">
            <w:pPr>
              <w:ind w:right="276"/>
              <w:jc w:val="right"/>
              <w:rPr>
                <w:sz w:val="22"/>
                <w:szCs w:val="22"/>
                <w:lang w:eastAsia="en-CA"/>
              </w:rPr>
            </w:pPr>
            <w:r w:rsidRPr="00653977">
              <w:rPr>
                <w:sz w:val="22"/>
                <w:szCs w:val="22"/>
                <w:lang w:eastAsia="en-CA"/>
              </w:rPr>
              <w:t>1 696</w:t>
            </w:r>
          </w:p>
        </w:tc>
        <w:tc>
          <w:tcPr>
            <w:tcW w:w="0" w:type="auto"/>
            <w:tcBorders>
              <w:top w:val="nil"/>
              <w:left w:val="nil"/>
              <w:bottom w:val="single" w:sz="4" w:space="0" w:color="auto"/>
              <w:right w:val="single" w:sz="4" w:space="0" w:color="auto"/>
            </w:tcBorders>
            <w:shd w:val="clear" w:color="auto" w:fill="auto"/>
            <w:noWrap/>
            <w:vAlign w:val="center"/>
            <w:hideMark/>
          </w:tcPr>
          <w:p w14:paraId="49FB6A6D" w14:textId="77777777" w:rsidR="00253427" w:rsidRPr="00653977" w:rsidRDefault="00253427" w:rsidP="00EF0503">
            <w:pPr>
              <w:ind w:right="276"/>
              <w:jc w:val="right"/>
              <w:rPr>
                <w:sz w:val="22"/>
                <w:szCs w:val="22"/>
                <w:lang w:eastAsia="en-CA"/>
              </w:rPr>
            </w:pPr>
            <w:r w:rsidRPr="00653977">
              <w:rPr>
                <w:sz w:val="22"/>
                <w:szCs w:val="22"/>
                <w:lang w:eastAsia="en-CA"/>
              </w:rPr>
              <w:t>3 295</w:t>
            </w:r>
          </w:p>
        </w:tc>
      </w:tr>
      <w:tr w:rsidR="00253427" w:rsidRPr="00653977" w14:paraId="1FDA2923"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E0D5C6" w14:textId="77777777" w:rsidR="00253427" w:rsidRPr="00653977" w:rsidRDefault="00253427" w:rsidP="00EF0503">
            <w:pPr>
              <w:rPr>
                <w:sz w:val="22"/>
                <w:szCs w:val="22"/>
                <w:lang w:eastAsia="en-CA"/>
              </w:rPr>
            </w:pPr>
            <w:r w:rsidRPr="00653977">
              <w:rPr>
                <w:sz w:val="22"/>
                <w:szCs w:val="22"/>
                <w:lang w:eastAsia="en-CA"/>
              </w:rPr>
              <w:t>Lesotho</w:t>
            </w:r>
          </w:p>
        </w:tc>
        <w:tc>
          <w:tcPr>
            <w:tcW w:w="2288" w:type="dxa"/>
            <w:tcBorders>
              <w:top w:val="nil"/>
              <w:left w:val="nil"/>
              <w:bottom w:val="single" w:sz="4" w:space="0" w:color="auto"/>
              <w:right w:val="single" w:sz="4" w:space="0" w:color="auto"/>
            </w:tcBorders>
            <w:shd w:val="clear" w:color="auto" w:fill="auto"/>
            <w:vAlign w:val="center"/>
            <w:hideMark/>
          </w:tcPr>
          <w:p w14:paraId="1075CEF2"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290CE5E"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849A551"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C5804F8"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7C37130"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3F990FEE"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68F05F" w14:textId="77777777" w:rsidR="00253427" w:rsidRPr="00653977" w:rsidRDefault="00253427" w:rsidP="00EF0503">
            <w:pPr>
              <w:rPr>
                <w:sz w:val="22"/>
                <w:szCs w:val="22"/>
                <w:lang w:eastAsia="en-CA"/>
              </w:rPr>
            </w:pPr>
            <w:r w:rsidRPr="00653977">
              <w:rPr>
                <w:sz w:val="22"/>
                <w:szCs w:val="22"/>
                <w:lang w:eastAsia="en-CA"/>
              </w:rPr>
              <w:t>Liberia</w:t>
            </w:r>
          </w:p>
        </w:tc>
        <w:tc>
          <w:tcPr>
            <w:tcW w:w="2288" w:type="dxa"/>
            <w:tcBorders>
              <w:top w:val="nil"/>
              <w:left w:val="nil"/>
              <w:bottom w:val="single" w:sz="4" w:space="0" w:color="auto"/>
              <w:right w:val="single" w:sz="4" w:space="0" w:color="auto"/>
            </w:tcBorders>
            <w:shd w:val="clear" w:color="auto" w:fill="auto"/>
            <w:vAlign w:val="center"/>
            <w:hideMark/>
          </w:tcPr>
          <w:p w14:paraId="47DA1905"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4FEAA9D"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8E3FBB1"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D3B60B0"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59F8F9EE"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550D19D0"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04E996" w14:textId="77777777" w:rsidR="00253427" w:rsidRPr="00653977" w:rsidRDefault="00253427" w:rsidP="00EF0503">
            <w:pPr>
              <w:rPr>
                <w:sz w:val="22"/>
                <w:szCs w:val="22"/>
                <w:lang w:eastAsia="en-CA"/>
              </w:rPr>
            </w:pPr>
            <w:r w:rsidRPr="00653977">
              <w:rPr>
                <w:sz w:val="22"/>
                <w:szCs w:val="22"/>
                <w:lang w:eastAsia="en-CA"/>
              </w:rPr>
              <w:t>Libya</w:t>
            </w:r>
          </w:p>
        </w:tc>
        <w:tc>
          <w:tcPr>
            <w:tcW w:w="2288" w:type="dxa"/>
            <w:tcBorders>
              <w:top w:val="nil"/>
              <w:left w:val="nil"/>
              <w:bottom w:val="single" w:sz="4" w:space="0" w:color="auto"/>
              <w:right w:val="single" w:sz="4" w:space="0" w:color="auto"/>
            </w:tcBorders>
            <w:shd w:val="clear" w:color="auto" w:fill="auto"/>
            <w:vAlign w:val="center"/>
            <w:hideMark/>
          </w:tcPr>
          <w:p w14:paraId="4D820E50" w14:textId="77777777" w:rsidR="00253427" w:rsidRPr="00653977" w:rsidRDefault="00253427" w:rsidP="00EF0503">
            <w:pPr>
              <w:ind w:right="770"/>
              <w:jc w:val="right"/>
              <w:rPr>
                <w:sz w:val="22"/>
                <w:szCs w:val="22"/>
                <w:lang w:eastAsia="en-CA"/>
              </w:rPr>
            </w:pPr>
            <w:r w:rsidRPr="00653977">
              <w:rPr>
                <w:sz w:val="22"/>
                <w:szCs w:val="22"/>
                <w:lang w:eastAsia="en-CA"/>
              </w:rPr>
              <w:t>0.125</w:t>
            </w:r>
          </w:p>
        </w:tc>
        <w:tc>
          <w:tcPr>
            <w:tcW w:w="0" w:type="auto"/>
            <w:tcBorders>
              <w:top w:val="nil"/>
              <w:left w:val="nil"/>
              <w:bottom w:val="single" w:sz="4" w:space="0" w:color="auto"/>
              <w:right w:val="single" w:sz="4" w:space="0" w:color="auto"/>
            </w:tcBorders>
            <w:shd w:val="clear" w:color="auto" w:fill="auto"/>
            <w:noWrap/>
            <w:vAlign w:val="center"/>
            <w:hideMark/>
          </w:tcPr>
          <w:p w14:paraId="116BDF6B" w14:textId="77777777" w:rsidR="00253427" w:rsidRPr="00653977" w:rsidRDefault="00253427" w:rsidP="00EF0503">
            <w:pPr>
              <w:ind w:right="1144"/>
              <w:jc w:val="right"/>
              <w:rPr>
                <w:sz w:val="22"/>
                <w:szCs w:val="22"/>
                <w:lang w:eastAsia="en-CA"/>
              </w:rPr>
            </w:pPr>
            <w:r w:rsidRPr="00653977">
              <w:rPr>
                <w:sz w:val="22"/>
                <w:szCs w:val="22"/>
                <w:lang w:eastAsia="en-CA"/>
              </w:rPr>
              <w:t>0.181</w:t>
            </w:r>
          </w:p>
        </w:tc>
        <w:tc>
          <w:tcPr>
            <w:tcW w:w="0" w:type="auto"/>
            <w:tcBorders>
              <w:top w:val="nil"/>
              <w:left w:val="nil"/>
              <w:bottom w:val="single" w:sz="4" w:space="0" w:color="auto"/>
              <w:right w:val="single" w:sz="4" w:space="0" w:color="auto"/>
            </w:tcBorders>
            <w:shd w:val="clear" w:color="auto" w:fill="auto"/>
            <w:noWrap/>
            <w:vAlign w:val="center"/>
            <w:hideMark/>
          </w:tcPr>
          <w:p w14:paraId="7266C2DE" w14:textId="77777777" w:rsidR="00253427" w:rsidRPr="00653977" w:rsidRDefault="00253427" w:rsidP="00EF0503">
            <w:pPr>
              <w:ind w:right="276"/>
              <w:jc w:val="right"/>
              <w:rPr>
                <w:sz w:val="22"/>
                <w:szCs w:val="22"/>
                <w:lang w:eastAsia="en-CA"/>
              </w:rPr>
            </w:pPr>
            <w:r w:rsidRPr="00653977">
              <w:rPr>
                <w:sz w:val="22"/>
                <w:szCs w:val="22"/>
                <w:lang w:eastAsia="en-CA"/>
              </w:rPr>
              <w:t>4 346</w:t>
            </w:r>
          </w:p>
        </w:tc>
        <w:tc>
          <w:tcPr>
            <w:tcW w:w="0" w:type="auto"/>
            <w:tcBorders>
              <w:top w:val="nil"/>
              <w:left w:val="nil"/>
              <w:bottom w:val="single" w:sz="4" w:space="0" w:color="auto"/>
              <w:right w:val="single" w:sz="4" w:space="0" w:color="auto"/>
            </w:tcBorders>
            <w:shd w:val="clear" w:color="auto" w:fill="auto"/>
            <w:noWrap/>
            <w:vAlign w:val="center"/>
            <w:hideMark/>
          </w:tcPr>
          <w:p w14:paraId="6B4EA4EC" w14:textId="77777777" w:rsidR="00253427" w:rsidRPr="00653977" w:rsidRDefault="00253427" w:rsidP="00EF0503">
            <w:pPr>
              <w:ind w:right="276"/>
              <w:jc w:val="right"/>
              <w:rPr>
                <w:sz w:val="22"/>
                <w:szCs w:val="22"/>
                <w:lang w:eastAsia="en-CA"/>
              </w:rPr>
            </w:pPr>
            <w:r w:rsidRPr="00653977">
              <w:rPr>
                <w:sz w:val="22"/>
                <w:szCs w:val="22"/>
                <w:lang w:eastAsia="en-CA"/>
              </w:rPr>
              <w:t>4 609</w:t>
            </w:r>
          </w:p>
        </w:tc>
        <w:tc>
          <w:tcPr>
            <w:tcW w:w="0" w:type="auto"/>
            <w:tcBorders>
              <w:top w:val="nil"/>
              <w:left w:val="nil"/>
              <w:bottom w:val="single" w:sz="4" w:space="0" w:color="auto"/>
              <w:right w:val="single" w:sz="4" w:space="0" w:color="auto"/>
            </w:tcBorders>
            <w:shd w:val="clear" w:color="auto" w:fill="auto"/>
            <w:noWrap/>
            <w:vAlign w:val="center"/>
            <w:hideMark/>
          </w:tcPr>
          <w:p w14:paraId="4319EFB0" w14:textId="77777777" w:rsidR="00253427" w:rsidRPr="00653977" w:rsidRDefault="00253427" w:rsidP="00EF0503">
            <w:pPr>
              <w:ind w:right="276"/>
              <w:jc w:val="right"/>
              <w:rPr>
                <w:sz w:val="22"/>
                <w:szCs w:val="22"/>
                <w:lang w:eastAsia="en-CA"/>
              </w:rPr>
            </w:pPr>
            <w:r w:rsidRPr="00653977">
              <w:rPr>
                <w:sz w:val="22"/>
                <w:szCs w:val="22"/>
                <w:lang w:eastAsia="en-CA"/>
              </w:rPr>
              <w:t>8 955</w:t>
            </w:r>
          </w:p>
        </w:tc>
      </w:tr>
      <w:tr w:rsidR="00253427" w:rsidRPr="00653977" w14:paraId="28BEE297"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A42976" w14:textId="77777777" w:rsidR="00253427" w:rsidRPr="00653977" w:rsidRDefault="00253427" w:rsidP="00EF0503">
            <w:pPr>
              <w:rPr>
                <w:sz w:val="22"/>
                <w:szCs w:val="22"/>
                <w:lang w:eastAsia="en-CA"/>
              </w:rPr>
            </w:pPr>
            <w:r w:rsidRPr="00653977">
              <w:rPr>
                <w:sz w:val="22"/>
                <w:szCs w:val="22"/>
                <w:lang w:eastAsia="en-CA"/>
              </w:rPr>
              <w:t>Lithuania</w:t>
            </w:r>
          </w:p>
        </w:tc>
        <w:tc>
          <w:tcPr>
            <w:tcW w:w="2288" w:type="dxa"/>
            <w:tcBorders>
              <w:top w:val="nil"/>
              <w:left w:val="nil"/>
              <w:bottom w:val="single" w:sz="4" w:space="0" w:color="auto"/>
              <w:right w:val="single" w:sz="4" w:space="0" w:color="auto"/>
            </w:tcBorders>
            <w:shd w:val="clear" w:color="auto" w:fill="auto"/>
            <w:vAlign w:val="center"/>
            <w:hideMark/>
          </w:tcPr>
          <w:p w14:paraId="1ED77919" w14:textId="77777777" w:rsidR="00253427" w:rsidRPr="00653977" w:rsidRDefault="00253427" w:rsidP="00EF0503">
            <w:pPr>
              <w:ind w:right="770"/>
              <w:jc w:val="right"/>
              <w:rPr>
                <w:sz w:val="22"/>
                <w:szCs w:val="22"/>
                <w:lang w:eastAsia="en-CA"/>
              </w:rPr>
            </w:pPr>
            <w:r w:rsidRPr="00653977">
              <w:rPr>
                <w:sz w:val="22"/>
                <w:szCs w:val="22"/>
                <w:lang w:eastAsia="en-CA"/>
              </w:rPr>
              <w:t>0.072</w:t>
            </w:r>
          </w:p>
        </w:tc>
        <w:tc>
          <w:tcPr>
            <w:tcW w:w="0" w:type="auto"/>
            <w:tcBorders>
              <w:top w:val="nil"/>
              <w:left w:val="nil"/>
              <w:bottom w:val="single" w:sz="4" w:space="0" w:color="auto"/>
              <w:right w:val="single" w:sz="4" w:space="0" w:color="auto"/>
            </w:tcBorders>
            <w:shd w:val="clear" w:color="auto" w:fill="auto"/>
            <w:noWrap/>
            <w:vAlign w:val="center"/>
            <w:hideMark/>
          </w:tcPr>
          <w:p w14:paraId="4B4D76D8" w14:textId="77777777" w:rsidR="00253427" w:rsidRPr="00653977" w:rsidRDefault="00253427" w:rsidP="00EF0503">
            <w:pPr>
              <w:ind w:right="1144"/>
              <w:jc w:val="right"/>
              <w:rPr>
                <w:sz w:val="22"/>
                <w:szCs w:val="22"/>
                <w:lang w:eastAsia="en-CA"/>
              </w:rPr>
            </w:pPr>
            <w:r w:rsidRPr="00653977">
              <w:rPr>
                <w:sz w:val="22"/>
                <w:szCs w:val="22"/>
                <w:lang w:eastAsia="en-CA"/>
              </w:rPr>
              <w:t>0.104</w:t>
            </w:r>
          </w:p>
        </w:tc>
        <w:tc>
          <w:tcPr>
            <w:tcW w:w="0" w:type="auto"/>
            <w:tcBorders>
              <w:top w:val="nil"/>
              <w:left w:val="nil"/>
              <w:bottom w:val="single" w:sz="4" w:space="0" w:color="auto"/>
              <w:right w:val="single" w:sz="4" w:space="0" w:color="auto"/>
            </w:tcBorders>
            <w:shd w:val="clear" w:color="auto" w:fill="auto"/>
            <w:noWrap/>
            <w:vAlign w:val="center"/>
            <w:hideMark/>
          </w:tcPr>
          <w:p w14:paraId="75D5103C" w14:textId="77777777" w:rsidR="00253427" w:rsidRPr="00653977" w:rsidRDefault="00253427" w:rsidP="00EF0503">
            <w:pPr>
              <w:ind w:right="276"/>
              <w:jc w:val="right"/>
              <w:rPr>
                <w:sz w:val="22"/>
                <w:szCs w:val="22"/>
                <w:lang w:eastAsia="en-CA"/>
              </w:rPr>
            </w:pPr>
            <w:r w:rsidRPr="00653977">
              <w:rPr>
                <w:sz w:val="22"/>
                <w:szCs w:val="22"/>
                <w:lang w:eastAsia="en-CA"/>
              </w:rPr>
              <w:t>2 503</w:t>
            </w:r>
          </w:p>
        </w:tc>
        <w:tc>
          <w:tcPr>
            <w:tcW w:w="0" w:type="auto"/>
            <w:tcBorders>
              <w:top w:val="nil"/>
              <w:left w:val="nil"/>
              <w:bottom w:val="single" w:sz="4" w:space="0" w:color="auto"/>
              <w:right w:val="single" w:sz="4" w:space="0" w:color="auto"/>
            </w:tcBorders>
            <w:shd w:val="clear" w:color="auto" w:fill="auto"/>
            <w:noWrap/>
            <w:vAlign w:val="center"/>
            <w:hideMark/>
          </w:tcPr>
          <w:p w14:paraId="09DCD0DA" w14:textId="77777777" w:rsidR="00253427" w:rsidRPr="00653977" w:rsidRDefault="00253427" w:rsidP="00EF0503">
            <w:pPr>
              <w:ind w:right="276"/>
              <w:jc w:val="right"/>
              <w:rPr>
                <w:sz w:val="22"/>
                <w:szCs w:val="22"/>
                <w:lang w:eastAsia="en-CA"/>
              </w:rPr>
            </w:pPr>
            <w:r w:rsidRPr="00653977">
              <w:rPr>
                <w:sz w:val="22"/>
                <w:szCs w:val="22"/>
                <w:lang w:eastAsia="en-CA"/>
              </w:rPr>
              <w:t>2 655</w:t>
            </w:r>
          </w:p>
        </w:tc>
        <w:tc>
          <w:tcPr>
            <w:tcW w:w="0" w:type="auto"/>
            <w:tcBorders>
              <w:top w:val="nil"/>
              <w:left w:val="nil"/>
              <w:bottom w:val="single" w:sz="4" w:space="0" w:color="auto"/>
              <w:right w:val="single" w:sz="4" w:space="0" w:color="auto"/>
            </w:tcBorders>
            <w:shd w:val="clear" w:color="auto" w:fill="auto"/>
            <w:noWrap/>
            <w:vAlign w:val="center"/>
            <w:hideMark/>
          </w:tcPr>
          <w:p w14:paraId="7744E2D4" w14:textId="77777777" w:rsidR="00253427" w:rsidRPr="00653977" w:rsidRDefault="00253427" w:rsidP="00EF0503">
            <w:pPr>
              <w:ind w:right="276"/>
              <w:jc w:val="right"/>
              <w:rPr>
                <w:sz w:val="22"/>
                <w:szCs w:val="22"/>
                <w:lang w:eastAsia="en-CA"/>
              </w:rPr>
            </w:pPr>
            <w:r w:rsidRPr="00653977">
              <w:rPr>
                <w:sz w:val="22"/>
                <w:szCs w:val="22"/>
                <w:lang w:eastAsia="en-CA"/>
              </w:rPr>
              <w:t>5 158</w:t>
            </w:r>
          </w:p>
        </w:tc>
      </w:tr>
      <w:tr w:rsidR="00253427" w:rsidRPr="00653977" w14:paraId="5E3C2AB0"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079332" w14:textId="77777777" w:rsidR="00253427" w:rsidRPr="00653977" w:rsidRDefault="00253427" w:rsidP="00EF0503">
            <w:pPr>
              <w:rPr>
                <w:sz w:val="22"/>
                <w:szCs w:val="22"/>
                <w:lang w:eastAsia="en-CA"/>
              </w:rPr>
            </w:pPr>
            <w:r w:rsidRPr="00653977">
              <w:rPr>
                <w:sz w:val="22"/>
                <w:szCs w:val="22"/>
                <w:lang w:eastAsia="en-CA"/>
              </w:rPr>
              <w:t>Luxembourg</w:t>
            </w:r>
          </w:p>
        </w:tc>
        <w:tc>
          <w:tcPr>
            <w:tcW w:w="2288" w:type="dxa"/>
            <w:tcBorders>
              <w:top w:val="nil"/>
              <w:left w:val="nil"/>
              <w:bottom w:val="single" w:sz="4" w:space="0" w:color="auto"/>
              <w:right w:val="single" w:sz="4" w:space="0" w:color="auto"/>
            </w:tcBorders>
            <w:shd w:val="clear" w:color="auto" w:fill="auto"/>
            <w:vAlign w:val="center"/>
            <w:hideMark/>
          </w:tcPr>
          <w:p w14:paraId="43A6C4EC" w14:textId="77777777" w:rsidR="00253427" w:rsidRPr="00653977" w:rsidRDefault="00253427" w:rsidP="00EF0503">
            <w:pPr>
              <w:ind w:right="770"/>
              <w:jc w:val="right"/>
              <w:rPr>
                <w:sz w:val="22"/>
                <w:szCs w:val="22"/>
                <w:lang w:eastAsia="en-CA"/>
              </w:rPr>
            </w:pPr>
            <w:r w:rsidRPr="00653977">
              <w:rPr>
                <w:sz w:val="22"/>
                <w:szCs w:val="22"/>
                <w:lang w:eastAsia="en-CA"/>
              </w:rPr>
              <w:t>0.064</w:t>
            </w:r>
          </w:p>
        </w:tc>
        <w:tc>
          <w:tcPr>
            <w:tcW w:w="0" w:type="auto"/>
            <w:tcBorders>
              <w:top w:val="nil"/>
              <w:left w:val="nil"/>
              <w:bottom w:val="single" w:sz="4" w:space="0" w:color="auto"/>
              <w:right w:val="single" w:sz="4" w:space="0" w:color="auto"/>
            </w:tcBorders>
            <w:shd w:val="clear" w:color="auto" w:fill="auto"/>
            <w:noWrap/>
            <w:vAlign w:val="center"/>
            <w:hideMark/>
          </w:tcPr>
          <w:p w14:paraId="6FDD70D1" w14:textId="77777777" w:rsidR="00253427" w:rsidRPr="00653977" w:rsidRDefault="00253427" w:rsidP="00EF0503">
            <w:pPr>
              <w:ind w:right="1144"/>
              <w:jc w:val="right"/>
              <w:rPr>
                <w:sz w:val="22"/>
                <w:szCs w:val="22"/>
                <w:lang w:eastAsia="en-CA"/>
              </w:rPr>
            </w:pPr>
            <w:r w:rsidRPr="00653977">
              <w:rPr>
                <w:sz w:val="22"/>
                <w:szCs w:val="22"/>
                <w:lang w:eastAsia="en-CA"/>
              </w:rPr>
              <w:t>0.093</w:t>
            </w:r>
          </w:p>
        </w:tc>
        <w:tc>
          <w:tcPr>
            <w:tcW w:w="0" w:type="auto"/>
            <w:tcBorders>
              <w:top w:val="nil"/>
              <w:left w:val="nil"/>
              <w:bottom w:val="single" w:sz="4" w:space="0" w:color="auto"/>
              <w:right w:val="single" w:sz="4" w:space="0" w:color="auto"/>
            </w:tcBorders>
            <w:shd w:val="clear" w:color="auto" w:fill="auto"/>
            <w:noWrap/>
            <w:vAlign w:val="center"/>
            <w:hideMark/>
          </w:tcPr>
          <w:p w14:paraId="1D3DEF06" w14:textId="77777777" w:rsidR="00253427" w:rsidRPr="00653977" w:rsidRDefault="00253427" w:rsidP="00EF0503">
            <w:pPr>
              <w:ind w:right="276"/>
              <w:jc w:val="right"/>
              <w:rPr>
                <w:sz w:val="22"/>
                <w:szCs w:val="22"/>
                <w:lang w:eastAsia="en-CA"/>
              </w:rPr>
            </w:pPr>
            <w:r w:rsidRPr="00653977">
              <w:rPr>
                <w:sz w:val="22"/>
                <w:szCs w:val="22"/>
                <w:lang w:eastAsia="en-CA"/>
              </w:rPr>
              <w:t>2 225</w:t>
            </w:r>
          </w:p>
        </w:tc>
        <w:tc>
          <w:tcPr>
            <w:tcW w:w="0" w:type="auto"/>
            <w:tcBorders>
              <w:top w:val="nil"/>
              <w:left w:val="nil"/>
              <w:bottom w:val="single" w:sz="4" w:space="0" w:color="auto"/>
              <w:right w:val="single" w:sz="4" w:space="0" w:color="auto"/>
            </w:tcBorders>
            <w:shd w:val="clear" w:color="auto" w:fill="auto"/>
            <w:noWrap/>
            <w:vAlign w:val="center"/>
            <w:hideMark/>
          </w:tcPr>
          <w:p w14:paraId="6C077EA3" w14:textId="77777777" w:rsidR="00253427" w:rsidRPr="00653977" w:rsidRDefault="00253427" w:rsidP="00EF0503">
            <w:pPr>
              <w:ind w:right="276"/>
              <w:jc w:val="right"/>
              <w:rPr>
                <w:sz w:val="22"/>
                <w:szCs w:val="22"/>
                <w:lang w:eastAsia="en-CA"/>
              </w:rPr>
            </w:pPr>
            <w:r w:rsidRPr="00653977">
              <w:rPr>
                <w:sz w:val="22"/>
                <w:szCs w:val="22"/>
                <w:lang w:eastAsia="en-CA"/>
              </w:rPr>
              <w:t>2 360</w:t>
            </w:r>
          </w:p>
        </w:tc>
        <w:tc>
          <w:tcPr>
            <w:tcW w:w="0" w:type="auto"/>
            <w:tcBorders>
              <w:top w:val="nil"/>
              <w:left w:val="nil"/>
              <w:bottom w:val="single" w:sz="4" w:space="0" w:color="auto"/>
              <w:right w:val="single" w:sz="4" w:space="0" w:color="auto"/>
            </w:tcBorders>
            <w:shd w:val="clear" w:color="auto" w:fill="auto"/>
            <w:noWrap/>
            <w:vAlign w:val="center"/>
            <w:hideMark/>
          </w:tcPr>
          <w:p w14:paraId="76921BA9" w14:textId="77777777" w:rsidR="00253427" w:rsidRPr="00653977" w:rsidRDefault="00253427" w:rsidP="00EF0503">
            <w:pPr>
              <w:ind w:right="276"/>
              <w:jc w:val="right"/>
              <w:rPr>
                <w:sz w:val="22"/>
                <w:szCs w:val="22"/>
                <w:lang w:eastAsia="en-CA"/>
              </w:rPr>
            </w:pPr>
            <w:r w:rsidRPr="00653977">
              <w:rPr>
                <w:sz w:val="22"/>
                <w:szCs w:val="22"/>
                <w:lang w:eastAsia="en-CA"/>
              </w:rPr>
              <w:t>4 585</w:t>
            </w:r>
          </w:p>
        </w:tc>
      </w:tr>
      <w:tr w:rsidR="00253427" w:rsidRPr="00653977" w14:paraId="16BDEECF"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3E8B5D" w14:textId="77777777" w:rsidR="00253427" w:rsidRPr="00653977" w:rsidRDefault="00253427" w:rsidP="00EF0503">
            <w:pPr>
              <w:rPr>
                <w:sz w:val="22"/>
                <w:szCs w:val="22"/>
                <w:lang w:eastAsia="en-CA"/>
              </w:rPr>
            </w:pPr>
            <w:r w:rsidRPr="00653977">
              <w:rPr>
                <w:sz w:val="22"/>
                <w:szCs w:val="22"/>
                <w:lang w:eastAsia="en-CA"/>
              </w:rPr>
              <w:t>Madagascar</w:t>
            </w:r>
          </w:p>
        </w:tc>
        <w:tc>
          <w:tcPr>
            <w:tcW w:w="2288" w:type="dxa"/>
            <w:tcBorders>
              <w:top w:val="nil"/>
              <w:left w:val="nil"/>
              <w:bottom w:val="single" w:sz="4" w:space="0" w:color="auto"/>
              <w:right w:val="single" w:sz="4" w:space="0" w:color="auto"/>
            </w:tcBorders>
            <w:shd w:val="clear" w:color="auto" w:fill="auto"/>
            <w:vAlign w:val="center"/>
            <w:hideMark/>
          </w:tcPr>
          <w:p w14:paraId="0B753812" w14:textId="77777777" w:rsidR="00253427" w:rsidRPr="00653977" w:rsidRDefault="00253427" w:rsidP="00EF0503">
            <w:pPr>
              <w:ind w:right="770"/>
              <w:jc w:val="right"/>
              <w:rPr>
                <w:sz w:val="22"/>
                <w:szCs w:val="22"/>
                <w:lang w:eastAsia="en-CA"/>
              </w:rPr>
            </w:pPr>
            <w:r w:rsidRPr="00653977">
              <w:rPr>
                <w:sz w:val="22"/>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2AF4B061" w14:textId="77777777" w:rsidR="00253427" w:rsidRPr="00653977" w:rsidRDefault="00253427" w:rsidP="00EF0503">
            <w:pPr>
              <w:ind w:right="1144"/>
              <w:jc w:val="right"/>
              <w:rPr>
                <w:sz w:val="22"/>
                <w:szCs w:val="22"/>
                <w:lang w:eastAsia="en-CA"/>
              </w:rPr>
            </w:pPr>
            <w:r w:rsidRPr="00653977">
              <w:rPr>
                <w:sz w:val="22"/>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081F48AA" w14:textId="77777777" w:rsidR="00253427" w:rsidRPr="00653977" w:rsidRDefault="00253427" w:rsidP="00EF0503">
            <w:pPr>
              <w:ind w:right="276"/>
              <w:jc w:val="right"/>
              <w:rPr>
                <w:sz w:val="22"/>
                <w:szCs w:val="22"/>
                <w:lang w:eastAsia="en-CA"/>
              </w:rPr>
            </w:pPr>
            <w:r w:rsidRPr="00653977">
              <w:rPr>
                <w:sz w:val="22"/>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333369EA" w14:textId="77777777" w:rsidR="00253427" w:rsidRPr="00653977" w:rsidRDefault="00253427" w:rsidP="00EF0503">
            <w:pPr>
              <w:ind w:right="276"/>
              <w:jc w:val="right"/>
              <w:rPr>
                <w:sz w:val="22"/>
                <w:szCs w:val="22"/>
                <w:lang w:eastAsia="en-CA"/>
              </w:rPr>
            </w:pPr>
            <w:r w:rsidRPr="00653977">
              <w:rPr>
                <w:sz w:val="22"/>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56730CC6" w14:textId="77777777" w:rsidR="00253427" w:rsidRPr="00653977" w:rsidRDefault="00253427" w:rsidP="00EF0503">
            <w:pPr>
              <w:ind w:right="276"/>
              <w:jc w:val="right"/>
              <w:rPr>
                <w:sz w:val="22"/>
                <w:szCs w:val="22"/>
                <w:lang w:eastAsia="en-CA"/>
              </w:rPr>
            </w:pPr>
            <w:r w:rsidRPr="00653977">
              <w:rPr>
                <w:sz w:val="22"/>
                <w:szCs w:val="22"/>
                <w:lang w:eastAsia="en-CA"/>
              </w:rPr>
              <w:t>215</w:t>
            </w:r>
          </w:p>
        </w:tc>
      </w:tr>
      <w:tr w:rsidR="00253427" w:rsidRPr="00653977" w14:paraId="44570630"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7F3DBD" w14:textId="77777777" w:rsidR="00253427" w:rsidRPr="00653977" w:rsidRDefault="00253427" w:rsidP="00EF0503">
            <w:pPr>
              <w:rPr>
                <w:sz w:val="22"/>
                <w:szCs w:val="22"/>
                <w:lang w:eastAsia="en-CA"/>
              </w:rPr>
            </w:pPr>
            <w:r w:rsidRPr="00653977">
              <w:rPr>
                <w:sz w:val="22"/>
                <w:szCs w:val="22"/>
                <w:lang w:eastAsia="en-CA"/>
              </w:rPr>
              <w:t>Malawi</w:t>
            </w:r>
          </w:p>
        </w:tc>
        <w:tc>
          <w:tcPr>
            <w:tcW w:w="2288" w:type="dxa"/>
            <w:tcBorders>
              <w:top w:val="nil"/>
              <w:left w:val="nil"/>
              <w:bottom w:val="single" w:sz="4" w:space="0" w:color="auto"/>
              <w:right w:val="single" w:sz="4" w:space="0" w:color="auto"/>
            </w:tcBorders>
            <w:shd w:val="clear" w:color="auto" w:fill="auto"/>
            <w:vAlign w:val="center"/>
            <w:hideMark/>
          </w:tcPr>
          <w:p w14:paraId="1F703A87" w14:textId="77777777" w:rsidR="00253427" w:rsidRPr="00653977" w:rsidRDefault="00253427" w:rsidP="00EF0503">
            <w:pPr>
              <w:ind w:right="770"/>
              <w:jc w:val="right"/>
              <w:rPr>
                <w:sz w:val="22"/>
                <w:szCs w:val="22"/>
                <w:lang w:eastAsia="en-CA"/>
              </w:rPr>
            </w:pPr>
            <w:r w:rsidRPr="00653977">
              <w:rPr>
                <w:sz w:val="22"/>
                <w:szCs w:val="22"/>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2F820FBB" w14:textId="77777777" w:rsidR="00253427" w:rsidRPr="00653977" w:rsidRDefault="00253427" w:rsidP="00EF0503">
            <w:pPr>
              <w:ind w:right="1144"/>
              <w:jc w:val="right"/>
              <w:rPr>
                <w:sz w:val="22"/>
                <w:szCs w:val="22"/>
                <w:lang w:eastAsia="en-CA"/>
              </w:rPr>
            </w:pPr>
            <w:r w:rsidRPr="00653977">
              <w:rPr>
                <w:sz w:val="22"/>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2BA245BD" w14:textId="77777777" w:rsidR="00253427" w:rsidRPr="00653977" w:rsidRDefault="00253427" w:rsidP="00EF0503">
            <w:pPr>
              <w:ind w:right="276"/>
              <w:jc w:val="right"/>
              <w:rPr>
                <w:sz w:val="22"/>
                <w:szCs w:val="22"/>
                <w:lang w:eastAsia="en-CA"/>
              </w:rPr>
            </w:pPr>
            <w:r w:rsidRPr="00653977">
              <w:rPr>
                <w:sz w:val="22"/>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0B5A1E1C" w14:textId="77777777" w:rsidR="00253427" w:rsidRPr="00653977" w:rsidRDefault="00253427" w:rsidP="00EF0503">
            <w:pPr>
              <w:ind w:right="276"/>
              <w:jc w:val="right"/>
              <w:rPr>
                <w:sz w:val="22"/>
                <w:szCs w:val="22"/>
                <w:lang w:eastAsia="en-CA"/>
              </w:rPr>
            </w:pPr>
            <w:r w:rsidRPr="00653977">
              <w:rPr>
                <w:sz w:val="22"/>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1B41BF5D" w14:textId="77777777" w:rsidR="00253427" w:rsidRPr="00653977" w:rsidRDefault="00253427" w:rsidP="00EF0503">
            <w:pPr>
              <w:ind w:right="276"/>
              <w:jc w:val="right"/>
              <w:rPr>
                <w:sz w:val="22"/>
                <w:szCs w:val="22"/>
                <w:lang w:eastAsia="en-CA"/>
              </w:rPr>
            </w:pPr>
            <w:r w:rsidRPr="00653977">
              <w:rPr>
                <w:sz w:val="22"/>
                <w:szCs w:val="22"/>
                <w:lang w:eastAsia="en-CA"/>
              </w:rPr>
              <w:t>143</w:t>
            </w:r>
          </w:p>
        </w:tc>
      </w:tr>
      <w:tr w:rsidR="00253427" w:rsidRPr="00653977" w14:paraId="3DFF84C3"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952A24" w14:textId="77777777" w:rsidR="00253427" w:rsidRPr="00653977" w:rsidRDefault="00253427" w:rsidP="00EF0503">
            <w:pPr>
              <w:rPr>
                <w:sz w:val="22"/>
                <w:szCs w:val="22"/>
                <w:lang w:eastAsia="en-CA"/>
              </w:rPr>
            </w:pPr>
            <w:r w:rsidRPr="00653977">
              <w:rPr>
                <w:sz w:val="22"/>
                <w:szCs w:val="22"/>
                <w:lang w:eastAsia="en-CA"/>
              </w:rPr>
              <w:t>Malaysia</w:t>
            </w:r>
          </w:p>
        </w:tc>
        <w:tc>
          <w:tcPr>
            <w:tcW w:w="2288" w:type="dxa"/>
            <w:tcBorders>
              <w:top w:val="nil"/>
              <w:left w:val="nil"/>
              <w:bottom w:val="single" w:sz="4" w:space="0" w:color="auto"/>
              <w:right w:val="single" w:sz="4" w:space="0" w:color="auto"/>
            </w:tcBorders>
            <w:shd w:val="clear" w:color="auto" w:fill="auto"/>
            <w:vAlign w:val="center"/>
            <w:hideMark/>
          </w:tcPr>
          <w:p w14:paraId="4A7E8497" w14:textId="77777777" w:rsidR="00253427" w:rsidRPr="00653977" w:rsidRDefault="00253427" w:rsidP="00EF0503">
            <w:pPr>
              <w:ind w:right="770"/>
              <w:jc w:val="right"/>
              <w:rPr>
                <w:sz w:val="22"/>
                <w:szCs w:val="22"/>
                <w:lang w:eastAsia="en-CA"/>
              </w:rPr>
            </w:pPr>
            <w:r w:rsidRPr="00653977">
              <w:rPr>
                <w:sz w:val="22"/>
                <w:szCs w:val="22"/>
                <w:lang w:eastAsia="en-CA"/>
              </w:rPr>
              <w:t>0.322</w:t>
            </w:r>
          </w:p>
        </w:tc>
        <w:tc>
          <w:tcPr>
            <w:tcW w:w="0" w:type="auto"/>
            <w:tcBorders>
              <w:top w:val="nil"/>
              <w:left w:val="nil"/>
              <w:bottom w:val="single" w:sz="4" w:space="0" w:color="auto"/>
              <w:right w:val="single" w:sz="4" w:space="0" w:color="auto"/>
            </w:tcBorders>
            <w:shd w:val="clear" w:color="auto" w:fill="auto"/>
            <w:noWrap/>
            <w:vAlign w:val="center"/>
            <w:hideMark/>
          </w:tcPr>
          <w:p w14:paraId="72B162B4" w14:textId="77777777" w:rsidR="00253427" w:rsidRPr="00653977" w:rsidRDefault="00253427" w:rsidP="00EF0503">
            <w:pPr>
              <w:ind w:right="1144"/>
              <w:jc w:val="right"/>
              <w:rPr>
                <w:sz w:val="22"/>
                <w:szCs w:val="22"/>
                <w:lang w:eastAsia="en-CA"/>
              </w:rPr>
            </w:pPr>
            <w:r w:rsidRPr="00653977">
              <w:rPr>
                <w:sz w:val="22"/>
                <w:szCs w:val="22"/>
                <w:lang w:eastAsia="en-CA"/>
              </w:rPr>
              <w:t>0.466</w:t>
            </w:r>
          </w:p>
        </w:tc>
        <w:tc>
          <w:tcPr>
            <w:tcW w:w="0" w:type="auto"/>
            <w:tcBorders>
              <w:top w:val="nil"/>
              <w:left w:val="nil"/>
              <w:bottom w:val="single" w:sz="4" w:space="0" w:color="auto"/>
              <w:right w:val="single" w:sz="4" w:space="0" w:color="auto"/>
            </w:tcBorders>
            <w:shd w:val="clear" w:color="auto" w:fill="auto"/>
            <w:noWrap/>
            <w:vAlign w:val="center"/>
            <w:hideMark/>
          </w:tcPr>
          <w:p w14:paraId="1A248908" w14:textId="77777777" w:rsidR="00253427" w:rsidRPr="00653977" w:rsidRDefault="00253427" w:rsidP="00EF0503">
            <w:pPr>
              <w:ind w:right="276"/>
              <w:jc w:val="right"/>
              <w:rPr>
                <w:sz w:val="22"/>
                <w:szCs w:val="22"/>
                <w:lang w:eastAsia="en-CA"/>
              </w:rPr>
            </w:pPr>
            <w:r w:rsidRPr="00653977">
              <w:rPr>
                <w:sz w:val="22"/>
                <w:szCs w:val="22"/>
                <w:lang w:eastAsia="en-CA"/>
              </w:rPr>
              <w:t>11 196</w:t>
            </w:r>
          </w:p>
        </w:tc>
        <w:tc>
          <w:tcPr>
            <w:tcW w:w="0" w:type="auto"/>
            <w:tcBorders>
              <w:top w:val="nil"/>
              <w:left w:val="nil"/>
              <w:bottom w:val="single" w:sz="4" w:space="0" w:color="auto"/>
              <w:right w:val="single" w:sz="4" w:space="0" w:color="auto"/>
            </w:tcBorders>
            <w:shd w:val="clear" w:color="auto" w:fill="auto"/>
            <w:noWrap/>
            <w:vAlign w:val="center"/>
            <w:hideMark/>
          </w:tcPr>
          <w:p w14:paraId="06A9B247" w14:textId="77777777" w:rsidR="00253427" w:rsidRPr="00653977" w:rsidRDefault="00253427" w:rsidP="00EF0503">
            <w:pPr>
              <w:ind w:right="276"/>
              <w:jc w:val="right"/>
              <w:rPr>
                <w:sz w:val="22"/>
                <w:szCs w:val="22"/>
                <w:lang w:eastAsia="en-CA"/>
              </w:rPr>
            </w:pPr>
            <w:r w:rsidRPr="00653977">
              <w:rPr>
                <w:sz w:val="22"/>
                <w:szCs w:val="22"/>
                <w:lang w:eastAsia="en-CA"/>
              </w:rPr>
              <w:t>11 872</w:t>
            </w:r>
          </w:p>
        </w:tc>
        <w:tc>
          <w:tcPr>
            <w:tcW w:w="0" w:type="auto"/>
            <w:tcBorders>
              <w:top w:val="nil"/>
              <w:left w:val="nil"/>
              <w:bottom w:val="single" w:sz="4" w:space="0" w:color="auto"/>
              <w:right w:val="single" w:sz="4" w:space="0" w:color="auto"/>
            </w:tcBorders>
            <w:shd w:val="clear" w:color="auto" w:fill="auto"/>
            <w:noWrap/>
            <w:vAlign w:val="center"/>
            <w:hideMark/>
          </w:tcPr>
          <w:p w14:paraId="37291460" w14:textId="77777777" w:rsidR="00253427" w:rsidRPr="00653977" w:rsidRDefault="00253427" w:rsidP="00EF0503">
            <w:pPr>
              <w:ind w:right="276"/>
              <w:jc w:val="right"/>
              <w:rPr>
                <w:sz w:val="22"/>
                <w:szCs w:val="22"/>
                <w:lang w:eastAsia="en-CA"/>
              </w:rPr>
            </w:pPr>
            <w:r w:rsidRPr="00653977">
              <w:rPr>
                <w:sz w:val="22"/>
                <w:szCs w:val="22"/>
                <w:lang w:eastAsia="en-CA"/>
              </w:rPr>
              <w:t>23 068</w:t>
            </w:r>
          </w:p>
        </w:tc>
      </w:tr>
      <w:tr w:rsidR="00253427" w:rsidRPr="00653977" w14:paraId="486CAF44"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94F72C" w14:textId="77777777" w:rsidR="00253427" w:rsidRPr="00653977" w:rsidRDefault="00253427" w:rsidP="00EF0503">
            <w:pPr>
              <w:rPr>
                <w:sz w:val="22"/>
                <w:szCs w:val="22"/>
                <w:lang w:eastAsia="en-CA"/>
              </w:rPr>
            </w:pPr>
            <w:r w:rsidRPr="00653977">
              <w:rPr>
                <w:sz w:val="22"/>
                <w:szCs w:val="22"/>
                <w:lang w:eastAsia="en-CA"/>
              </w:rPr>
              <w:t>Maldives</w:t>
            </w:r>
          </w:p>
        </w:tc>
        <w:tc>
          <w:tcPr>
            <w:tcW w:w="2288" w:type="dxa"/>
            <w:tcBorders>
              <w:top w:val="nil"/>
              <w:left w:val="nil"/>
              <w:bottom w:val="single" w:sz="4" w:space="0" w:color="auto"/>
              <w:right w:val="single" w:sz="4" w:space="0" w:color="auto"/>
            </w:tcBorders>
            <w:shd w:val="clear" w:color="auto" w:fill="auto"/>
            <w:vAlign w:val="center"/>
            <w:hideMark/>
          </w:tcPr>
          <w:p w14:paraId="03DB0DA8" w14:textId="77777777" w:rsidR="00253427" w:rsidRPr="00653977" w:rsidRDefault="00253427" w:rsidP="00EF0503">
            <w:pPr>
              <w:ind w:right="770"/>
              <w:jc w:val="right"/>
              <w:rPr>
                <w:sz w:val="22"/>
                <w:szCs w:val="22"/>
                <w:lang w:eastAsia="en-CA"/>
              </w:rPr>
            </w:pPr>
            <w:r w:rsidRPr="00653977">
              <w:rPr>
                <w:sz w:val="22"/>
                <w:szCs w:val="22"/>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05A7A221" w14:textId="77777777" w:rsidR="00253427" w:rsidRPr="00653977" w:rsidRDefault="00253427" w:rsidP="00EF0503">
            <w:pPr>
              <w:ind w:right="1144"/>
              <w:jc w:val="right"/>
              <w:rPr>
                <w:sz w:val="22"/>
                <w:szCs w:val="22"/>
                <w:lang w:eastAsia="en-CA"/>
              </w:rPr>
            </w:pPr>
            <w:r w:rsidRPr="00653977">
              <w:rPr>
                <w:sz w:val="22"/>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0B037308" w14:textId="77777777" w:rsidR="00253427" w:rsidRPr="00653977" w:rsidRDefault="00253427" w:rsidP="00EF0503">
            <w:pPr>
              <w:ind w:right="276"/>
              <w:jc w:val="right"/>
              <w:rPr>
                <w:sz w:val="22"/>
                <w:szCs w:val="22"/>
                <w:lang w:eastAsia="en-CA"/>
              </w:rPr>
            </w:pPr>
            <w:r w:rsidRPr="00653977">
              <w:rPr>
                <w:sz w:val="22"/>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1E609F5F" w14:textId="77777777" w:rsidR="00253427" w:rsidRPr="00653977" w:rsidRDefault="00253427" w:rsidP="00EF0503">
            <w:pPr>
              <w:ind w:right="276"/>
              <w:jc w:val="right"/>
              <w:rPr>
                <w:sz w:val="22"/>
                <w:szCs w:val="22"/>
                <w:lang w:eastAsia="en-CA"/>
              </w:rPr>
            </w:pPr>
            <w:r w:rsidRPr="00653977">
              <w:rPr>
                <w:sz w:val="22"/>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7BCED274" w14:textId="77777777" w:rsidR="00253427" w:rsidRPr="00653977" w:rsidRDefault="00253427" w:rsidP="00EF0503">
            <w:pPr>
              <w:ind w:right="276"/>
              <w:jc w:val="right"/>
              <w:rPr>
                <w:sz w:val="22"/>
                <w:szCs w:val="22"/>
                <w:lang w:eastAsia="en-CA"/>
              </w:rPr>
            </w:pPr>
            <w:r w:rsidRPr="00653977">
              <w:rPr>
                <w:sz w:val="22"/>
                <w:szCs w:val="22"/>
                <w:lang w:eastAsia="en-CA"/>
              </w:rPr>
              <w:t>143</w:t>
            </w:r>
          </w:p>
        </w:tc>
      </w:tr>
      <w:tr w:rsidR="00253427" w:rsidRPr="00653977" w14:paraId="7D9930CD"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8C98C0" w14:textId="77777777" w:rsidR="00253427" w:rsidRPr="00653977" w:rsidRDefault="00253427" w:rsidP="00EF0503">
            <w:pPr>
              <w:rPr>
                <w:sz w:val="22"/>
                <w:szCs w:val="22"/>
                <w:lang w:eastAsia="en-CA"/>
              </w:rPr>
            </w:pPr>
            <w:r w:rsidRPr="00653977">
              <w:rPr>
                <w:sz w:val="22"/>
                <w:szCs w:val="22"/>
                <w:lang w:eastAsia="en-CA"/>
              </w:rPr>
              <w:t>Mali</w:t>
            </w:r>
          </w:p>
        </w:tc>
        <w:tc>
          <w:tcPr>
            <w:tcW w:w="2288" w:type="dxa"/>
            <w:tcBorders>
              <w:top w:val="nil"/>
              <w:left w:val="nil"/>
              <w:bottom w:val="single" w:sz="4" w:space="0" w:color="auto"/>
              <w:right w:val="single" w:sz="4" w:space="0" w:color="auto"/>
            </w:tcBorders>
            <w:shd w:val="clear" w:color="auto" w:fill="auto"/>
            <w:vAlign w:val="center"/>
            <w:hideMark/>
          </w:tcPr>
          <w:p w14:paraId="08CCB773" w14:textId="77777777" w:rsidR="00253427" w:rsidRPr="00653977" w:rsidRDefault="00253427" w:rsidP="00EF0503">
            <w:pPr>
              <w:ind w:right="770"/>
              <w:jc w:val="right"/>
              <w:rPr>
                <w:sz w:val="22"/>
                <w:szCs w:val="22"/>
                <w:lang w:eastAsia="en-CA"/>
              </w:rPr>
            </w:pPr>
            <w:r w:rsidRPr="00653977">
              <w:rPr>
                <w:sz w:val="22"/>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30A66502" w14:textId="77777777" w:rsidR="00253427" w:rsidRPr="00653977" w:rsidRDefault="00253427" w:rsidP="00EF0503">
            <w:pPr>
              <w:ind w:right="1144"/>
              <w:jc w:val="right"/>
              <w:rPr>
                <w:sz w:val="22"/>
                <w:szCs w:val="22"/>
                <w:lang w:eastAsia="en-CA"/>
              </w:rPr>
            </w:pPr>
            <w:r w:rsidRPr="00653977">
              <w:rPr>
                <w:sz w:val="22"/>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7A7DDA56" w14:textId="77777777" w:rsidR="00253427" w:rsidRPr="00653977" w:rsidRDefault="00253427" w:rsidP="00EF0503">
            <w:pPr>
              <w:ind w:right="276"/>
              <w:jc w:val="right"/>
              <w:rPr>
                <w:sz w:val="22"/>
                <w:szCs w:val="22"/>
                <w:lang w:eastAsia="en-CA"/>
              </w:rPr>
            </w:pPr>
            <w:r w:rsidRPr="00653977">
              <w:rPr>
                <w:sz w:val="22"/>
                <w:szCs w:val="22"/>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492E0290" w14:textId="77777777" w:rsidR="00253427" w:rsidRPr="00653977" w:rsidRDefault="00253427" w:rsidP="00EF0503">
            <w:pPr>
              <w:ind w:right="276"/>
              <w:jc w:val="right"/>
              <w:rPr>
                <w:sz w:val="22"/>
                <w:szCs w:val="22"/>
                <w:lang w:eastAsia="en-CA"/>
              </w:rPr>
            </w:pPr>
            <w:r w:rsidRPr="00653977">
              <w:rPr>
                <w:sz w:val="22"/>
                <w:szCs w:val="22"/>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052528C1" w14:textId="77777777" w:rsidR="00253427" w:rsidRPr="00653977" w:rsidRDefault="00253427" w:rsidP="00EF0503">
            <w:pPr>
              <w:ind w:right="276"/>
              <w:jc w:val="right"/>
              <w:rPr>
                <w:sz w:val="22"/>
                <w:szCs w:val="22"/>
                <w:lang w:eastAsia="en-CA"/>
              </w:rPr>
            </w:pPr>
            <w:r w:rsidRPr="00653977">
              <w:rPr>
                <w:sz w:val="22"/>
                <w:szCs w:val="22"/>
                <w:lang w:eastAsia="en-CA"/>
              </w:rPr>
              <w:t>215</w:t>
            </w:r>
          </w:p>
        </w:tc>
      </w:tr>
      <w:tr w:rsidR="00253427" w:rsidRPr="00653977" w14:paraId="481385D0"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22D9E" w14:textId="77777777" w:rsidR="00253427" w:rsidRPr="00653977" w:rsidRDefault="00253427" w:rsidP="00EF0503">
            <w:pPr>
              <w:rPr>
                <w:sz w:val="22"/>
                <w:szCs w:val="22"/>
                <w:lang w:eastAsia="en-CA"/>
              </w:rPr>
            </w:pPr>
            <w:r w:rsidRPr="00653977">
              <w:rPr>
                <w:sz w:val="22"/>
                <w:szCs w:val="22"/>
                <w:lang w:eastAsia="en-CA"/>
              </w:rPr>
              <w:t>Malta</w:t>
            </w:r>
          </w:p>
        </w:tc>
        <w:tc>
          <w:tcPr>
            <w:tcW w:w="2288" w:type="dxa"/>
            <w:tcBorders>
              <w:top w:val="nil"/>
              <w:left w:val="nil"/>
              <w:bottom w:val="single" w:sz="4" w:space="0" w:color="auto"/>
              <w:right w:val="single" w:sz="4" w:space="0" w:color="auto"/>
            </w:tcBorders>
            <w:shd w:val="clear" w:color="auto" w:fill="auto"/>
            <w:vAlign w:val="center"/>
            <w:hideMark/>
          </w:tcPr>
          <w:p w14:paraId="7DCCFE0E" w14:textId="77777777" w:rsidR="00253427" w:rsidRPr="00653977" w:rsidRDefault="00253427" w:rsidP="00EF0503">
            <w:pPr>
              <w:ind w:right="770"/>
              <w:jc w:val="right"/>
              <w:rPr>
                <w:sz w:val="22"/>
                <w:szCs w:val="22"/>
                <w:lang w:eastAsia="en-CA"/>
              </w:rPr>
            </w:pPr>
            <w:r w:rsidRPr="00653977">
              <w:rPr>
                <w:sz w:val="22"/>
                <w:szCs w:val="22"/>
                <w:lang w:eastAsia="en-CA"/>
              </w:rPr>
              <w:t>0.016</w:t>
            </w:r>
          </w:p>
        </w:tc>
        <w:tc>
          <w:tcPr>
            <w:tcW w:w="0" w:type="auto"/>
            <w:tcBorders>
              <w:top w:val="nil"/>
              <w:left w:val="nil"/>
              <w:bottom w:val="single" w:sz="4" w:space="0" w:color="auto"/>
              <w:right w:val="single" w:sz="4" w:space="0" w:color="auto"/>
            </w:tcBorders>
            <w:shd w:val="clear" w:color="auto" w:fill="auto"/>
            <w:noWrap/>
            <w:vAlign w:val="center"/>
            <w:hideMark/>
          </w:tcPr>
          <w:p w14:paraId="3C3B6270" w14:textId="77777777" w:rsidR="00253427" w:rsidRPr="00653977" w:rsidRDefault="00253427" w:rsidP="00EF0503">
            <w:pPr>
              <w:ind w:right="1144"/>
              <w:jc w:val="right"/>
              <w:rPr>
                <w:sz w:val="22"/>
                <w:szCs w:val="22"/>
                <w:lang w:eastAsia="en-CA"/>
              </w:rPr>
            </w:pPr>
            <w:r w:rsidRPr="00653977">
              <w:rPr>
                <w:sz w:val="22"/>
                <w:szCs w:val="22"/>
                <w:lang w:eastAsia="en-CA"/>
              </w:rPr>
              <w:t>0.023</w:t>
            </w:r>
          </w:p>
        </w:tc>
        <w:tc>
          <w:tcPr>
            <w:tcW w:w="0" w:type="auto"/>
            <w:tcBorders>
              <w:top w:val="nil"/>
              <w:left w:val="nil"/>
              <w:bottom w:val="single" w:sz="4" w:space="0" w:color="auto"/>
              <w:right w:val="single" w:sz="4" w:space="0" w:color="auto"/>
            </w:tcBorders>
            <w:shd w:val="clear" w:color="auto" w:fill="auto"/>
            <w:noWrap/>
            <w:vAlign w:val="center"/>
            <w:hideMark/>
          </w:tcPr>
          <w:p w14:paraId="4D3C2633" w14:textId="77777777" w:rsidR="00253427" w:rsidRPr="00653977" w:rsidRDefault="00253427" w:rsidP="00EF0503">
            <w:pPr>
              <w:ind w:right="276"/>
              <w:jc w:val="right"/>
              <w:rPr>
                <w:sz w:val="22"/>
                <w:szCs w:val="22"/>
                <w:lang w:eastAsia="en-CA"/>
              </w:rPr>
            </w:pPr>
            <w:r w:rsidRPr="00653977">
              <w:rPr>
                <w:sz w:val="22"/>
                <w:szCs w:val="22"/>
                <w:lang w:eastAsia="en-CA"/>
              </w:rPr>
              <w:t>556</w:t>
            </w:r>
          </w:p>
        </w:tc>
        <w:tc>
          <w:tcPr>
            <w:tcW w:w="0" w:type="auto"/>
            <w:tcBorders>
              <w:top w:val="nil"/>
              <w:left w:val="nil"/>
              <w:bottom w:val="single" w:sz="4" w:space="0" w:color="auto"/>
              <w:right w:val="single" w:sz="4" w:space="0" w:color="auto"/>
            </w:tcBorders>
            <w:shd w:val="clear" w:color="auto" w:fill="auto"/>
            <w:noWrap/>
            <w:vAlign w:val="center"/>
            <w:hideMark/>
          </w:tcPr>
          <w:p w14:paraId="17923F42" w14:textId="77777777" w:rsidR="00253427" w:rsidRPr="00653977" w:rsidRDefault="00253427" w:rsidP="00EF0503">
            <w:pPr>
              <w:ind w:right="276"/>
              <w:jc w:val="right"/>
              <w:rPr>
                <w:sz w:val="22"/>
                <w:szCs w:val="22"/>
                <w:lang w:eastAsia="en-CA"/>
              </w:rPr>
            </w:pPr>
            <w:r w:rsidRPr="00653977">
              <w:rPr>
                <w:sz w:val="22"/>
                <w:szCs w:val="22"/>
                <w:lang w:eastAsia="en-CA"/>
              </w:rPr>
              <w:t>590</w:t>
            </w:r>
          </w:p>
        </w:tc>
        <w:tc>
          <w:tcPr>
            <w:tcW w:w="0" w:type="auto"/>
            <w:tcBorders>
              <w:top w:val="nil"/>
              <w:left w:val="nil"/>
              <w:bottom w:val="single" w:sz="4" w:space="0" w:color="auto"/>
              <w:right w:val="single" w:sz="4" w:space="0" w:color="auto"/>
            </w:tcBorders>
            <w:shd w:val="clear" w:color="auto" w:fill="auto"/>
            <w:noWrap/>
            <w:vAlign w:val="center"/>
            <w:hideMark/>
          </w:tcPr>
          <w:p w14:paraId="60917A73" w14:textId="77777777" w:rsidR="00253427" w:rsidRPr="00653977" w:rsidRDefault="00253427" w:rsidP="00EF0503">
            <w:pPr>
              <w:ind w:right="276"/>
              <w:jc w:val="right"/>
              <w:rPr>
                <w:sz w:val="22"/>
                <w:szCs w:val="22"/>
                <w:lang w:eastAsia="en-CA"/>
              </w:rPr>
            </w:pPr>
            <w:r w:rsidRPr="00653977">
              <w:rPr>
                <w:sz w:val="22"/>
                <w:szCs w:val="22"/>
                <w:lang w:eastAsia="en-CA"/>
              </w:rPr>
              <w:t>1 146</w:t>
            </w:r>
          </w:p>
        </w:tc>
      </w:tr>
      <w:tr w:rsidR="00253427" w:rsidRPr="00653977" w14:paraId="072EA762"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0155F4" w14:textId="77777777" w:rsidR="00253427" w:rsidRPr="00653977" w:rsidRDefault="00253427" w:rsidP="00EF0503">
            <w:pPr>
              <w:rPr>
                <w:sz w:val="22"/>
                <w:szCs w:val="22"/>
                <w:lang w:eastAsia="en-CA"/>
              </w:rPr>
            </w:pPr>
            <w:r w:rsidRPr="00653977">
              <w:rPr>
                <w:sz w:val="22"/>
                <w:szCs w:val="22"/>
                <w:lang w:eastAsia="en-CA"/>
              </w:rPr>
              <w:t>Marshall Islands</w:t>
            </w:r>
          </w:p>
        </w:tc>
        <w:tc>
          <w:tcPr>
            <w:tcW w:w="2288" w:type="dxa"/>
            <w:tcBorders>
              <w:top w:val="nil"/>
              <w:left w:val="nil"/>
              <w:bottom w:val="single" w:sz="4" w:space="0" w:color="auto"/>
              <w:right w:val="single" w:sz="4" w:space="0" w:color="auto"/>
            </w:tcBorders>
            <w:shd w:val="clear" w:color="auto" w:fill="auto"/>
            <w:vAlign w:val="center"/>
            <w:hideMark/>
          </w:tcPr>
          <w:p w14:paraId="3E4B3FDE"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7DDF366"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8CF8265"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BCA3D93"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8A904EB"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3BDD89ED" w14:textId="77777777" w:rsidTr="00EF0503">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D7FF65" w14:textId="77777777" w:rsidR="00253427" w:rsidRPr="00653977" w:rsidRDefault="00253427" w:rsidP="00EF0503">
            <w:pPr>
              <w:rPr>
                <w:sz w:val="22"/>
                <w:szCs w:val="22"/>
                <w:lang w:eastAsia="en-CA"/>
              </w:rPr>
            </w:pPr>
            <w:r w:rsidRPr="00653977">
              <w:rPr>
                <w:sz w:val="22"/>
                <w:szCs w:val="22"/>
                <w:lang w:eastAsia="en-CA"/>
              </w:rPr>
              <w:t>Mauritania</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306D8049" w14:textId="77777777" w:rsidR="00253427" w:rsidRPr="00653977" w:rsidRDefault="00253427" w:rsidP="00EF0503">
            <w:pPr>
              <w:ind w:right="770"/>
              <w:jc w:val="right"/>
              <w:rPr>
                <w:sz w:val="22"/>
                <w:szCs w:val="22"/>
                <w:lang w:eastAsia="en-CA"/>
              </w:rPr>
            </w:pPr>
            <w:r w:rsidRPr="00653977">
              <w:rPr>
                <w:sz w:val="22"/>
                <w:szCs w:val="22"/>
                <w:lang w:eastAsia="en-CA"/>
              </w:rPr>
              <w:t>0.002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3DF4C01" w14:textId="77777777" w:rsidR="00253427" w:rsidRPr="00653977" w:rsidRDefault="00253427" w:rsidP="00EF0503">
            <w:pPr>
              <w:ind w:right="1144"/>
              <w:jc w:val="right"/>
              <w:rPr>
                <w:sz w:val="22"/>
                <w:szCs w:val="22"/>
                <w:lang w:eastAsia="en-CA"/>
              </w:rPr>
            </w:pPr>
            <w:r w:rsidRPr="00653977">
              <w:rPr>
                <w:sz w:val="22"/>
                <w:szCs w:val="22"/>
                <w:lang w:eastAsia="en-CA"/>
              </w:rPr>
              <w:t>0.003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873BA3F" w14:textId="77777777" w:rsidR="00253427" w:rsidRPr="00653977" w:rsidRDefault="00253427" w:rsidP="00EF0503">
            <w:pPr>
              <w:ind w:right="276"/>
              <w:jc w:val="right"/>
              <w:rPr>
                <w:sz w:val="22"/>
                <w:szCs w:val="22"/>
                <w:lang w:eastAsia="en-CA"/>
              </w:rPr>
            </w:pPr>
            <w:r w:rsidRPr="00653977">
              <w:rPr>
                <w:sz w:val="22"/>
                <w:szCs w:val="22"/>
                <w:lang w:eastAsia="en-CA"/>
              </w:rPr>
              <w:t>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BCF4B3" w14:textId="77777777" w:rsidR="00253427" w:rsidRPr="00653977" w:rsidRDefault="00253427" w:rsidP="00EF0503">
            <w:pPr>
              <w:ind w:right="276"/>
              <w:jc w:val="right"/>
              <w:rPr>
                <w:sz w:val="22"/>
                <w:szCs w:val="22"/>
                <w:lang w:eastAsia="en-CA"/>
              </w:rPr>
            </w:pPr>
            <w:r w:rsidRPr="00653977">
              <w:rPr>
                <w:sz w:val="22"/>
                <w:szCs w:val="22"/>
                <w:lang w:eastAsia="en-CA"/>
              </w:rPr>
              <w:t>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0473DB" w14:textId="77777777" w:rsidR="00253427" w:rsidRPr="00653977" w:rsidRDefault="00253427" w:rsidP="00EF0503">
            <w:pPr>
              <w:ind w:right="276"/>
              <w:jc w:val="right"/>
              <w:rPr>
                <w:sz w:val="22"/>
                <w:szCs w:val="22"/>
                <w:lang w:eastAsia="en-CA"/>
              </w:rPr>
            </w:pPr>
            <w:r w:rsidRPr="00653977">
              <w:rPr>
                <w:sz w:val="22"/>
                <w:szCs w:val="22"/>
                <w:lang w:eastAsia="en-CA"/>
              </w:rPr>
              <w:t>143</w:t>
            </w:r>
          </w:p>
        </w:tc>
      </w:tr>
      <w:tr w:rsidR="00253427" w:rsidRPr="00653977" w14:paraId="320333FC"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011C32" w14:textId="77777777" w:rsidR="00253427" w:rsidRPr="00653977" w:rsidRDefault="00253427" w:rsidP="00EF0503">
            <w:pPr>
              <w:rPr>
                <w:sz w:val="22"/>
                <w:szCs w:val="22"/>
                <w:lang w:eastAsia="en-CA"/>
              </w:rPr>
            </w:pPr>
            <w:r w:rsidRPr="00653977">
              <w:rPr>
                <w:sz w:val="22"/>
                <w:szCs w:val="22"/>
                <w:lang w:eastAsia="en-CA"/>
              </w:rPr>
              <w:t>Mauritius</w:t>
            </w:r>
          </w:p>
        </w:tc>
        <w:tc>
          <w:tcPr>
            <w:tcW w:w="2288" w:type="dxa"/>
            <w:tcBorders>
              <w:top w:val="nil"/>
              <w:left w:val="nil"/>
              <w:bottom w:val="single" w:sz="4" w:space="0" w:color="auto"/>
              <w:right w:val="single" w:sz="4" w:space="0" w:color="auto"/>
            </w:tcBorders>
            <w:shd w:val="clear" w:color="auto" w:fill="auto"/>
            <w:vAlign w:val="center"/>
            <w:hideMark/>
          </w:tcPr>
          <w:p w14:paraId="6EA36E7F" w14:textId="77777777" w:rsidR="00253427" w:rsidRPr="00653977" w:rsidRDefault="00253427" w:rsidP="00EF0503">
            <w:pPr>
              <w:ind w:right="770"/>
              <w:jc w:val="right"/>
              <w:rPr>
                <w:sz w:val="22"/>
                <w:szCs w:val="22"/>
                <w:lang w:eastAsia="en-CA"/>
              </w:rPr>
            </w:pPr>
            <w:r w:rsidRPr="00653977">
              <w:rPr>
                <w:sz w:val="22"/>
                <w:szCs w:val="22"/>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0ED2F128" w14:textId="77777777" w:rsidR="00253427" w:rsidRPr="00653977" w:rsidRDefault="00253427" w:rsidP="00EF0503">
            <w:pPr>
              <w:ind w:right="1144"/>
              <w:jc w:val="right"/>
              <w:rPr>
                <w:sz w:val="22"/>
                <w:szCs w:val="22"/>
                <w:lang w:eastAsia="en-CA"/>
              </w:rPr>
            </w:pPr>
            <w:r w:rsidRPr="00653977">
              <w:rPr>
                <w:sz w:val="22"/>
                <w:szCs w:val="22"/>
                <w:lang w:eastAsia="en-CA"/>
              </w:rPr>
              <w:t>0.017</w:t>
            </w:r>
          </w:p>
        </w:tc>
        <w:tc>
          <w:tcPr>
            <w:tcW w:w="0" w:type="auto"/>
            <w:tcBorders>
              <w:top w:val="nil"/>
              <w:left w:val="nil"/>
              <w:bottom w:val="single" w:sz="4" w:space="0" w:color="auto"/>
              <w:right w:val="single" w:sz="4" w:space="0" w:color="auto"/>
            </w:tcBorders>
            <w:shd w:val="clear" w:color="auto" w:fill="auto"/>
            <w:noWrap/>
            <w:vAlign w:val="center"/>
            <w:hideMark/>
          </w:tcPr>
          <w:p w14:paraId="4D7A381D" w14:textId="77777777" w:rsidR="00253427" w:rsidRPr="00653977" w:rsidRDefault="00253427" w:rsidP="00EF0503">
            <w:pPr>
              <w:ind w:right="276"/>
              <w:jc w:val="right"/>
              <w:rPr>
                <w:sz w:val="22"/>
                <w:szCs w:val="22"/>
                <w:lang w:eastAsia="en-CA"/>
              </w:rPr>
            </w:pPr>
            <w:r w:rsidRPr="00653977">
              <w:rPr>
                <w:sz w:val="22"/>
                <w:szCs w:val="22"/>
                <w:lang w:eastAsia="en-CA"/>
              </w:rPr>
              <w:t>417</w:t>
            </w:r>
          </w:p>
        </w:tc>
        <w:tc>
          <w:tcPr>
            <w:tcW w:w="0" w:type="auto"/>
            <w:tcBorders>
              <w:top w:val="nil"/>
              <w:left w:val="nil"/>
              <w:bottom w:val="single" w:sz="4" w:space="0" w:color="auto"/>
              <w:right w:val="single" w:sz="4" w:space="0" w:color="auto"/>
            </w:tcBorders>
            <w:shd w:val="clear" w:color="auto" w:fill="auto"/>
            <w:noWrap/>
            <w:vAlign w:val="center"/>
            <w:hideMark/>
          </w:tcPr>
          <w:p w14:paraId="64C78D4B" w14:textId="77777777" w:rsidR="00253427" w:rsidRPr="00653977" w:rsidRDefault="00253427" w:rsidP="00EF0503">
            <w:pPr>
              <w:ind w:right="276"/>
              <w:jc w:val="right"/>
              <w:rPr>
                <w:sz w:val="22"/>
                <w:szCs w:val="22"/>
                <w:lang w:eastAsia="en-CA"/>
              </w:rPr>
            </w:pPr>
            <w:r w:rsidRPr="00653977">
              <w:rPr>
                <w:sz w:val="22"/>
                <w:szCs w:val="22"/>
                <w:lang w:eastAsia="en-CA"/>
              </w:rPr>
              <w:t>442</w:t>
            </w:r>
          </w:p>
        </w:tc>
        <w:tc>
          <w:tcPr>
            <w:tcW w:w="0" w:type="auto"/>
            <w:tcBorders>
              <w:top w:val="nil"/>
              <w:left w:val="nil"/>
              <w:bottom w:val="single" w:sz="4" w:space="0" w:color="auto"/>
              <w:right w:val="single" w:sz="4" w:space="0" w:color="auto"/>
            </w:tcBorders>
            <w:shd w:val="clear" w:color="auto" w:fill="auto"/>
            <w:noWrap/>
            <w:vAlign w:val="center"/>
            <w:hideMark/>
          </w:tcPr>
          <w:p w14:paraId="56847181" w14:textId="77777777" w:rsidR="00253427" w:rsidRPr="00653977" w:rsidRDefault="00253427" w:rsidP="00EF0503">
            <w:pPr>
              <w:ind w:right="276"/>
              <w:jc w:val="right"/>
              <w:rPr>
                <w:sz w:val="22"/>
                <w:szCs w:val="22"/>
                <w:lang w:eastAsia="en-CA"/>
              </w:rPr>
            </w:pPr>
            <w:r w:rsidRPr="00653977">
              <w:rPr>
                <w:sz w:val="22"/>
                <w:szCs w:val="22"/>
                <w:lang w:eastAsia="en-CA"/>
              </w:rPr>
              <w:t>860</w:t>
            </w:r>
          </w:p>
        </w:tc>
      </w:tr>
      <w:tr w:rsidR="00253427" w:rsidRPr="00653977" w14:paraId="6E520C17"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EE2762" w14:textId="77777777" w:rsidR="00253427" w:rsidRPr="00653977" w:rsidRDefault="00253427" w:rsidP="00EF0503">
            <w:pPr>
              <w:rPr>
                <w:sz w:val="22"/>
                <w:szCs w:val="22"/>
                <w:lang w:eastAsia="en-CA"/>
              </w:rPr>
            </w:pPr>
            <w:r w:rsidRPr="00653977">
              <w:rPr>
                <w:sz w:val="22"/>
                <w:szCs w:val="22"/>
                <w:lang w:eastAsia="en-CA"/>
              </w:rPr>
              <w:t>Mexico</w:t>
            </w:r>
          </w:p>
        </w:tc>
        <w:tc>
          <w:tcPr>
            <w:tcW w:w="2288" w:type="dxa"/>
            <w:tcBorders>
              <w:top w:val="nil"/>
              <w:left w:val="nil"/>
              <w:bottom w:val="single" w:sz="4" w:space="0" w:color="auto"/>
              <w:right w:val="single" w:sz="4" w:space="0" w:color="auto"/>
            </w:tcBorders>
            <w:shd w:val="clear" w:color="auto" w:fill="auto"/>
            <w:vAlign w:val="center"/>
            <w:hideMark/>
          </w:tcPr>
          <w:p w14:paraId="2E69B677" w14:textId="77777777" w:rsidR="00253427" w:rsidRPr="00653977" w:rsidRDefault="00253427" w:rsidP="00EF0503">
            <w:pPr>
              <w:ind w:right="770"/>
              <w:jc w:val="right"/>
              <w:rPr>
                <w:sz w:val="22"/>
                <w:szCs w:val="22"/>
                <w:lang w:eastAsia="en-CA"/>
              </w:rPr>
            </w:pPr>
            <w:r w:rsidRPr="00653977">
              <w:rPr>
                <w:sz w:val="22"/>
                <w:szCs w:val="22"/>
                <w:lang w:eastAsia="en-CA"/>
              </w:rPr>
              <w:t>1.435</w:t>
            </w:r>
          </w:p>
        </w:tc>
        <w:tc>
          <w:tcPr>
            <w:tcW w:w="0" w:type="auto"/>
            <w:tcBorders>
              <w:top w:val="nil"/>
              <w:left w:val="nil"/>
              <w:bottom w:val="single" w:sz="4" w:space="0" w:color="auto"/>
              <w:right w:val="single" w:sz="4" w:space="0" w:color="auto"/>
            </w:tcBorders>
            <w:shd w:val="clear" w:color="auto" w:fill="auto"/>
            <w:noWrap/>
            <w:vAlign w:val="center"/>
            <w:hideMark/>
          </w:tcPr>
          <w:p w14:paraId="2889C13C" w14:textId="77777777" w:rsidR="00253427" w:rsidRPr="00653977" w:rsidRDefault="00253427" w:rsidP="00EF0503">
            <w:pPr>
              <w:ind w:right="1144"/>
              <w:jc w:val="right"/>
              <w:rPr>
                <w:sz w:val="22"/>
                <w:szCs w:val="22"/>
                <w:lang w:eastAsia="en-CA"/>
              </w:rPr>
            </w:pPr>
            <w:r w:rsidRPr="00653977">
              <w:rPr>
                <w:sz w:val="22"/>
                <w:szCs w:val="22"/>
                <w:lang w:eastAsia="en-CA"/>
              </w:rPr>
              <w:t>2.078</w:t>
            </w:r>
          </w:p>
        </w:tc>
        <w:tc>
          <w:tcPr>
            <w:tcW w:w="0" w:type="auto"/>
            <w:tcBorders>
              <w:top w:val="nil"/>
              <w:left w:val="nil"/>
              <w:bottom w:val="single" w:sz="4" w:space="0" w:color="auto"/>
              <w:right w:val="single" w:sz="4" w:space="0" w:color="auto"/>
            </w:tcBorders>
            <w:shd w:val="clear" w:color="auto" w:fill="auto"/>
            <w:noWrap/>
            <w:vAlign w:val="center"/>
            <w:hideMark/>
          </w:tcPr>
          <w:p w14:paraId="47C6D1A5" w14:textId="77777777" w:rsidR="00253427" w:rsidRPr="00653977" w:rsidRDefault="00253427" w:rsidP="00EF0503">
            <w:pPr>
              <w:ind w:right="276"/>
              <w:jc w:val="right"/>
              <w:rPr>
                <w:sz w:val="22"/>
                <w:szCs w:val="22"/>
                <w:lang w:eastAsia="en-CA"/>
              </w:rPr>
            </w:pPr>
            <w:r w:rsidRPr="00653977">
              <w:rPr>
                <w:sz w:val="22"/>
                <w:szCs w:val="22"/>
                <w:lang w:eastAsia="en-CA"/>
              </w:rPr>
              <w:t>49 894</w:t>
            </w:r>
          </w:p>
        </w:tc>
        <w:tc>
          <w:tcPr>
            <w:tcW w:w="0" w:type="auto"/>
            <w:tcBorders>
              <w:top w:val="nil"/>
              <w:left w:val="nil"/>
              <w:bottom w:val="single" w:sz="4" w:space="0" w:color="auto"/>
              <w:right w:val="single" w:sz="4" w:space="0" w:color="auto"/>
            </w:tcBorders>
            <w:shd w:val="clear" w:color="auto" w:fill="auto"/>
            <w:noWrap/>
            <w:vAlign w:val="center"/>
            <w:hideMark/>
          </w:tcPr>
          <w:p w14:paraId="31657F48" w14:textId="77777777" w:rsidR="00253427" w:rsidRPr="00653977" w:rsidRDefault="00253427" w:rsidP="00EF0503">
            <w:pPr>
              <w:ind w:right="276"/>
              <w:jc w:val="right"/>
              <w:rPr>
                <w:sz w:val="22"/>
                <w:szCs w:val="22"/>
                <w:lang w:eastAsia="en-CA"/>
              </w:rPr>
            </w:pPr>
            <w:r w:rsidRPr="00653977">
              <w:rPr>
                <w:sz w:val="22"/>
                <w:szCs w:val="22"/>
                <w:lang w:eastAsia="en-CA"/>
              </w:rPr>
              <w:t>52 907</w:t>
            </w:r>
          </w:p>
        </w:tc>
        <w:tc>
          <w:tcPr>
            <w:tcW w:w="0" w:type="auto"/>
            <w:tcBorders>
              <w:top w:val="nil"/>
              <w:left w:val="nil"/>
              <w:bottom w:val="single" w:sz="4" w:space="0" w:color="auto"/>
              <w:right w:val="single" w:sz="4" w:space="0" w:color="auto"/>
            </w:tcBorders>
            <w:shd w:val="clear" w:color="auto" w:fill="auto"/>
            <w:noWrap/>
            <w:vAlign w:val="center"/>
            <w:hideMark/>
          </w:tcPr>
          <w:p w14:paraId="1DD0CCEB" w14:textId="77777777" w:rsidR="00253427" w:rsidRPr="00653977" w:rsidRDefault="00253427" w:rsidP="00EF0503">
            <w:pPr>
              <w:ind w:right="276"/>
              <w:jc w:val="right"/>
              <w:rPr>
                <w:sz w:val="22"/>
                <w:szCs w:val="22"/>
                <w:lang w:eastAsia="en-CA"/>
              </w:rPr>
            </w:pPr>
            <w:r w:rsidRPr="00653977">
              <w:rPr>
                <w:sz w:val="22"/>
                <w:szCs w:val="22"/>
                <w:lang w:eastAsia="en-CA"/>
              </w:rPr>
              <w:t>102 801</w:t>
            </w:r>
          </w:p>
        </w:tc>
      </w:tr>
      <w:tr w:rsidR="00253427" w:rsidRPr="00653977" w14:paraId="6A90FCD2"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A6BB73" w14:textId="77777777" w:rsidR="00253427" w:rsidRPr="00653977" w:rsidRDefault="00253427" w:rsidP="00EF0503">
            <w:pPr>
              <w:rPr>
                <w:sz w:val="22"/>
                <w:szCs w:val="22"/>
                <w:lang w:eastAsia="en-CA"/>
              </w:rPr>
            </w:pPr>
            <w:r w:rsidRPr="00653977">
              <w:rPr>
                <w:sz w:val="22"/>
                <w:szCs w:val="22"/>
                <w:lang w:eastAsia="en-CA"/>
              </w:rPr>
              <w:t>Mongolia</w:t>
            </w:r>
          </w:p>
        </w:tc>
        <w:tc>
          <w:tcPr>
            <w:tcW w:w="2288" w:type="dxa"/>
            <w:tcBorders>
              <w:top w:val="nil"/>
              <w:left w:val="nil"/>
              <w:bottom w:val="single" w:sz="4" w:space="0" w:color="auto"/>
              <w:right w:val="single" w:sz="4" w:space="0" w:color="auto"/>
            </w:tcBorders>
            <w:shd w:val="clear" w:color="auto" w:fill="auto"/>
            <w:vAlign w:val="center"/>
            <w:hideMark/>
          </w:tcPr>
          <w:p w14:paraId="0372169A" w14:textId="77777777" w:rsidR="00253427" w:rsidRPr="00653977" w:rsidRDefault="00253427" w:rsidP="00EF0503">
            <w:pPr>
              <w:ind w:right="770"/>
              <w:jc w:val="right"/>
              <w:rPr>
                <w:sz w:val="22"/>
                <w:szCs w:val="22"/>
                <w:lang w:eastAsia="en-CA"/>
              </w:rPr>
            </w:pPr>
            <w:r w:rsidRPr="00653977">
              <w:rPr>
                <w:sz w:val="22"/>
                <w:szCs w:val="22"/>
                <w:lang w:eastAsia="en-CA"/>
              </w:rPr>
              <w:t>0.005</w:t>
            </w:r>
          </w:p>
        </w:tc>
        <w:tc>
          <w:tcPr>
            <w:tcW w:w="0" w:type="auto"/>
            <w:tcBorders>
              <w:top w:val="nil"/>
              <w:left w:val="nil"/>
              <w:bottom w:val="single" w:sz="4" w:space="0" w:color="auto"/>
              <w:right w:val="single" w:sz="4" w:space="0" w:color="auto"/>
            </w:tcBorders>
            <w:shd w:val="clear" w:color="auto" w:fill="auto"/>
            <w:noWrap/>
            <w:vAlign w:val="center"/>
            <w:hideMark/>
          </w:tcPr>
          <w:p w14:paraId="4AD9D408" w14:textId="77777777" w:rsidR="00253427" w:rsidRPr="00653977" w:rsidRDefault="00253427" w:rsidP="00EF0503">
            <w:pPr>
              <w:ind w:right="1144"/>
              <w:jc w:val="right"/>
              <w:rPr>
                <w:sz w:val="22"/>
                <w:szCs w:val="22"/>
                <w:lang w:eastAsia="en-CA"/>
              </w:rPr>
            </w:pPr>
            <w:r w:rsidRPr="00653977">
              <w:rPr>
                <w:sz w:val="22"/>
                <w:szCs w:val="22"/>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21A818B1" w14:textId="77777777" w:rsidR="00253427" w:rsidRPr="00653977" w:rsidRDefault="00253427" w:rsidP="00EF0503">
            <w:pPr>
              <w:ind w:right="276"/>
              <w:jc w:val="right"/>
              <w:rPr>
                <w:sz w:val="22"/>
                <w:szCs w:val="22"/>
                <w:lang w:eastAsia="en-CA"/>
              </w:rPr>
            </w:pPr>
            <w:r w:rsidRPr="00653977">
              <w:rPr>
                <w:sz w:val="22"/>
                <w:szCs w:val="22"/>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48C7F35A" w14:textId="77777777" w:rsidR="00253427" w:rsidRPr="00653977" w:rsidRDefault="00253427" w:rsidP="00EF0503">
            <w:pPr>
              <w:ind w:right="276"/>
              <w:jc w:val="right"/>
              <w:rPr>
                <w:sz w:val="22"/>
                <w:szCs w:val="22"/>
                <w:lang w:eastAsia="en-CA"/>
              </w:rPr>
            </w:pPr>
            <w:r w:rsidRPr="00653977">
              <w:rPr>
                <w:sz w:val="22"/>
                <w:szCs w:val="22"/>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39CF8E40" w14:textId="77777777" w:rsidR="00253427" w:rsidRPr="00653977" w:rsidRDefault="00253427" w:rsidP="00EF0503">
            <w:pPr>
              <w:ind w:right="276"/>
              <w:jc w:val="right"/>
              <w:rPr>
                <w:sz w:val="22"/>
                <w:szCs w:val="22"/>
                <w:lang w:eastAsia="en-CA"/>
              </w:rPr>
            </w:pPr>
            <w:r w:rsidRPr="00653977">
              <w:rPr>
                <w:sz w:val="22"/>
                <w:szCs w:val="22"/>
                <w:lang w:eastAsia="en-CA"/>
              </w:rPr>
              <w:t>358</w:t>
            </w:r>
          </w:p>
        </w:tc>
      </w:tr>
      <w:tr w:rsidR="00253427" w:rsidRPr="00653977" w14:paraId="682250D3"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4000BE" w14:textId="77777777" w:rsidR="00253427" w:rsidRPr="00653977" w:rsidRDefault="00253427" w:rsidP="00EF0503">
            <w:pPr>
              <w:rPr>
                <w:sz w:val="22"/>
                <w:szCs w:val="22"/>
                <w:lang w:eastAsia="en-CA"/>
              </w:rPr>
            </w:pPr>
            <w:r w:rsidRPr="00653977">
              <w:rPr>
                <w:sz w:val="22"/>
                <w:szCs w:val="22"/>
                <w:lang w:eastAsia="en-CA"/>
              </w:rPr>
              <w:t>Montenegro</w:t>
            </w:r>
          </w:p>
        </w:tc>
        <w:tc>
          <w:tcPr>
            <w:tcW w:w="2288" w:type="dxa"/>
            <w:tcBorders>
              <w:top w:val="nil"/>
              <w:left w:val="nil"/>
              <w:bottom w:val="single" w:sz="4" w:space="0" w:color="auto"/>
              <w:right w:val="single" w:sz="4" w:space="0" w:color="auto"/>
            </w:tcBorders>
            <w:shd w:val="clear" w:color="auto" w:fill="auto"/>
            <w:vAlign w:val="center"/>
            <w:hideMark/>
          </w:tcPr>
          <w:p w14:paraId="4D696DE9" w14:textId="77777777" w:rsidR="00253427" w:rsidRPr="00653977" w:rsidRDefault="00253427" w:rsidP="00EF0503">
            <w:pPr>
              <w:ind w:right="770"/>
              <w:jc w:val="right"/>
              <w:rPr>
                <w:sz w:val="22"/>
                <w:szCs w:val="22"/>
                <w:lang w:eastAsia="en-CA"/>
              </w:rPr>
            </w:pPr>
            <w:r w:rsidRPr="00653977">
              <w:rPr>
                <w:sz w:val="22"/>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60AA6B45" w14:textId="77777777" w:rsidR="00253427" w:rsidRPr="00653977" w:rsidRDefault="00253427" w:rsidP="00EF0503">
            <w:pPr>
              <w:ind w:right="1144"/>
              <w:jc w:val="right"/>
              <w:rPr>
                <w:sz w:val="22"/>
                <w:szCs w:val="22"/>
                <w:lang w:eastAsia="en-CA"/>
              </w:rPr>
            </w:pPr>
            <w:r w:rsidRPr="00653977">
              <w:rPr>
                <w:sz w:val="22"/>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04E217ED" w14:textId="77777777" w:rsidR="00253427" w:rsidRPr="00653977" w:rsidRDefault="00253427" w:rsidP="00EF0503">
            <w:pPr>
              <w:ind w:right="276"/>
              <w:jc w:val="right"/>
              <w:rPr>
                <w:sz w:val="22"/>
                <w:szCs w:val="22"/>
                <w:lang w:eastAsia="en-CA"/>
              </w:rPr>
            </w:pPr>
            <w:r w:rsidRPr="00653977">
              <w:rPr>
                <w:sz w:val="22"/>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70BC9B1D" w14:textId="77777777" w:rsidR="00253427" w:rsidRPr="00653977" w:rsidRDefault="00253427" w:rsidP="00EF0503">
            <w:pPr>
              <w:ind w:right="276"/>
              <w:jc w:val="right"/>
              <w:rPr>
                <w:sz w:val="22"/>
                <w:szCs w:val="22"/>
                <w:lang w:eastAsia="en-CA"/>
              </w:rPr>
            </w:pPr>
            <w:r w:rsidRPr="00653977">
              <w:rPr>
                <w:sz w:val="22"/>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0E979456" w14:textId="77777777" w:rsidR="00253427" w:rsidRPr="00653977" w:rsidRDefault="00253427" w:rsidP="00EF0503">
            <w:pPr>
              <w:ind w:right="276"/>
              <w:jc w:val="right"/>
              <w:rPr>
                <w:sz w:val="22"/>
                <w:szCs w:val="22"/>
                <w:lang w:eastAsia="en-CA"/>
              </w:rPr>
            </w:pPr>
            <w:r w:rsidRPr="00653977">
              <w:rPr>
                <w:sz w:val="22"/>
                <w:szCs w:val="22"/>
                <w:lang w:eastAsia="en-CA"/>
              </w:rPr>
              <w:t>287</w:t>
            </w:r>
          </w:p>
        </w:tc>
      </w:tr>
      <w:tr w:rsidR="00253427" w:rsidRPr="00653977" w14:paraId="1EB0FC65"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83A797" w14:textId="77777777" w:rsidR="00253427" w:rsidRPr="00653977" w:rsidRDefault="00253427" w:rsidP="00EF0503">
            <w:pPr>
              <w:rPr>
                <w:sz w:val="22"/>
                <w:szCs w:val="22"/>
                <w:lang w:eastAsia="en-CA"/>
              </w:rPr>
            </w:pPr>
            <w:r w:rsidRPr="00653977">
              <w:rPr>
                <w:sz w:val="22"/>
                <w:szCs w:val="22"/>
                <w:lang w:eastAsia="en-CA"/>
              </w:rPr>
              <w:t>Morocco</w:t>
            </w:r>
          </w:p>
        </w:tc>
        <w:tc>
          <w:tcPr>
            <w:tcW w:w="2288" w:type="dxa"/>
            <w:tcBorders>
              <w:top w:val="nil"/>
              <w:left w:val="nil"/>
              <w:bottom w:val="single" w:sz="4" w:space="0" w:color="auto"/>
              <w:right w:val="single" w:sz="4" w:space="0" w:color="auto"/>
            </w:tcBorders>
            <w:shd w:val="clear" w:color="auto" w:fill="auto"/>
            <w:vAlign w:val="center"/>
            <w:hideMark/>
          </w:tcPr>
          <w:p w14:paraId="60C105C6" w14:textId="77777777" w:rsidR="00253427" w:rsidRPr="00653977" w:rsidRDefault="00253427" w:rsidP="00EF0503">
            <w:pPr>
              <w:ind w:right="770"/>
              <w:jc w:val="right"/>
              <w:rPr>
                <w:sz w:val="22"/>
                <w:szCs w:val="22"/>
                <w:lang w:eastAsia="en-CA"/>
              </w:rPr>
            </w:pPr>
            <w:r w:rsidRPr="00653977">
              <w:rPr>
                <w:sz w:val="22"/>
                <w:szCs w:val="22"/>
                <w:lang w:eastAsia="en-CA"/>
              </w:rPr>
              <w:t>0.054</w:t>
            </w:r>
          </w:p>
        </w:tc>
        <w:tc>
          <w:tcPr>
            <w:tcW w:w="0" w:type="auto"/>
            <w:tcBorders>
              <w:top w:val="nil"/>
              <w:left w:val="nil"/>
              <w:bottom w:val="single" w:sz="4" w:space="0" w:color="auto"/>
              <w:right w:val="single" w:sz="4" w:space="0" w:color="auto"/>
            </w:tcBorders>
            <w:shd w:val="clear" w:color="auto" w:fill="auto"/>
            <w:noWrap/>
            <w:vAlign w:val="center"/>
            <w:hideMark/>
          </w:tcPr>
          <w:p w14:paraId="6807666D" w14:textId="77777777" w:rsidR="00253427" w:rsidRPr="00653977" w:rsidRDefault="00253427" w:rsidP="00EF0503">
            <w:pPr>
              <w:ind w:right="1144"/>
              <w:jc w:val="right"/>
              <w:rPr>
                <w:sz w:val="22"/>
                <w:szCs w:val="22"/>
                <w:lang w:eastAsia="en-CA"/>
              </w:rPr>
            </w:pPr>
            <w:r w:rsidRPr="00653977">
              <w:rPr>
                <w:sz w:val="22"/>
                <w:szCs w:val="22"/>
                <w:lang w:eastAsia="en-CA"/>
              </w:rPr>
              <w:t>0.078</w:t>
            </w:r>
          </w:p>
        </w:tc>
        <w:tc>
          <w:tcPr>
            <w:tcW w:w="0" w:type="auto"/>
            <w:tcBorders>
              <w:top w:val="nil"/>
              <w:left w:val="nil"/>
              <w:bottom w:val="single" w:sz="4" w:space="0" w:color="auto"/>
              <w:right w:val="single" w:sz="4" w:space="0" w:color="auto"/>
            </w:tcBorders>
            <w:shd w:val="clear" w:color="auto" w:fill="auto"/>
            <w:noWrap/>
            <w:vAlign w:val="center"/>
            <w:hideMark/>
          </w:tcPr>
          <w:p w14:paraId="7EF15A35" w14:textId="77777777" w:rsidR="00253427" w:rsidRPr="00653977" w:rsidRDefault="00253427" w:rsidP="00EF0503">
            <w:pPr>
              <w:ind w:right="276"/>
              <w:jc w:val="right"/>
              <w:rPr>
                <w:sz w:val="22"/>
                <w:szCs w:val="22"/>
                <w:lang w:eastAsia="en-CA"/>
              </w:rPr>
            </w:pPr>
            <w:r w:rsidRPr="00653977">
              <w:rPr>
                <w:sz w:val="22"/>
                <w:szCs w:val="22"/>
                <w:lang w:eastAsia="en-CA"/>
              </w:rPr>
              <w:t>1 878</w:t>
            </w:r>
          </w:p>
        </w:tc>
        <w:tc>
          <w:tcPr>
            <w:tcW w:w="0" w:type="auto"/>
            <w:tcBorders>
              <w:top w:val="nil"/>
              <w:left w:val="nil"/>
              <w:bottom w:val="single" w:sz="4" w:space="0" w:color="auto"/>
              <w:right w:val="single" w:sz="4" w:space="0" w:color="auto"/>
            </w:tcBorders>
            <w:shd w:val="clear" w:color="auto" w:fill="auto"/>
            <w:noWrap/>
            <w:vAlign w:val="center"/>
            <w:hideMark/>
          </w:tcPr>
          <w:p w14:paraId="0C1E91B4" w14:textId="77777777" w:rsidR="00253427" w:rsidRPr="00653977" w:rsidRDefault="00253427" w:rsidP="00EF0503">
            <w:pPr>
              <w:ind w:right="276"/>
              <w:jc w:val="right"/>
              <w:rPr>
                <w:sz w:val="22"/>
                <w:szCs w:val="22"/>
                <w:lang w:eastAsia="en-CA"/>
              </w:rPr>
            </w:pPr>
            <w:r w:rsidRPr="00653977">
              <w:rPr>
                <w:sz w:val="22"/>
                <w:szCs w:val="22"/>
                <w:lang w:eastAsia="en-CA"/>
              </w:rPr>
              <w:t>1 991</w:t>
            </w:r>
          </w:p>
        </w:tc>
        <w:tc>
          <w:tcPr>
            <w:tcW w:w="0" w:type="auto"/>
            <w:tcBorders>
              <w:top w:val="nil"/>
              <w:left w:val="nil"/>
              <w:bottom w:val="single" w:sz="4" w:space="0" w:color="auto"/>
              <w:right w:val="single" w:sz="4" w:space="0" w:color="auto"/>
            </w:tcBorders>
            <w:shd w:val="clear" w:color="auto" w:fill="auto"/>
            <w:noWrap/>
            <w:vAlign w:val="center"/>
            <w:hideMark/>
          </w:tcPr>
          <w:p w14:paraId="0BC84FFB" w14:textId="77777777" w:rsidR="00253427" w:rsidRPr="00653977" w:rsidRDefault="00253427" w:rsidP="00EF0503">
            <w:pPr>
              <w:ind w:right="276"/>
              <w:jc w:val="right"/>
              <w:rPr>
                <w:sz w:val="22"/>
                <w:szCs w:val="22"/>
                <w:lang w:eastAsia="en-CA"/>
              </w:rPr>
            </w:pPr>
            <w:r w:rsidRPr="00653977">
              <w:rPr>
                <w:sz w:val="22"/>
                <w:szCs w:val="22"/>
                <w:lang w:eastAsia="en-CA"/>
              </w:rPr>
              <w:t>3 868</w:t>
            </w:r>
          </w:p>
        </w:tc>
      </w:tr>
      <w:tr w:rsidR="00253427" w:rsidRPr="00653977" w14:paraId="4FB2EF82"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CF689D" w14:textId="77777777" w:rsidR="00253427" w:rsidRPr="00653977" w:rsidRDefault="00253427" w:rsidP="00EF0503">
            <w:pPr>
              <w:rPr>
                <w:sz w:val="22"/>
                <w:szCs w:val="22"/>
                <w:lang w:eastAsia="en-CA"/>
              </w:rPr>
            </w:pPr>
            <w:r w:rsidRPr="00653977">
              <w:rPr>
                <w:sz w:val="22"/>
                <w:szCs w:val="22"/>
                <w:lang w:eastAsia="en-CA"/>
              </w:rPr>
              <w:t>Mozambique</w:t>
            </w:r>
          </w:p>
        </w:tc>
        <w:tc>
          <w:tcPr>
            <w:tcW w:w="2288" w:type="dxa"/>
            <w:tcBorders>
              <w:top w:val="nil"/>
              <w:left w:val="nil"/>
              <w:bottom w:val="single" w:sz="4" w:space="0" w:color="auto"/>
              <w:right w:val="single" w:sz="4" w:space="0" w:color="auto"/>
            </w:tcBorders>
            <w:shd w:val="clear" w:color="auto" w:fill="auto"/>
            <w:vAlign w:val="center"/>
            <w:hideMark/>
          </w:tcPr>
          <w:p w14:paraId="5DED122B" w14:textId="77777777" w:rsidR="00253427" w:rsidRPr="00653977" w:rsidRDefault="00253427" w:rsidP="00EF0503">
            <w:pPr>
              <w:ind w:right="770"/>
              <w:jc w:val="right"/>
              <w:rPr>
                <w:sz w:val="22"/>
                <w:szCs w:val="22"/>
                <w:lang w:eastAsia="en-CA"/>
              </w:rPr>
            </w:pPr>
            <w:r w:rsidRPr="00653977">
              <w:rPr>
                <w:sz w:val="22"/>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6ADEF23B" w14:textId="77777777" w:rsidR="00253427" w:rsidRPr="00653977" w:rsidRDefault="00253427" w:rsidP="00EF0503">
            <w:pPr>
              <w:ind w:right="1144"/>
              <w:jc w:val="right"/>
              <w:rPr>
                <w:sz w:val="22"/>
                <w:szCs w:val="22"/>
                <w:lang w:eastAsia="en-CA"/>
              </w:rPr>
            </w:pPr>
            <w:r w:rsidRPr="00653977">
              <w:rPr>
                <w:sz w:val="22"/>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05FFAFE2" w14:textId="77777777" w:rsidR="00253427" w:rsidRPr="00653977" w:rsidRDefault="00253427" w:rsidP="00EF0503">
            <w:pPr>
              <w:ind w:right="276"/>
              <w:jc w:val="right"/>
              <w:rPr>
                <w:sz w:val="22"/>
                <w:szCs w:val="22"/>
                <w:lang w:eastAsia="en-CA"/>
              </w:rPr>
            </w:pPr>
            <w:r w:rsidRPr="00653977">
              <w:rPr>
                <w:sz w:val="22"/>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3D0B1AB0" w14:textId="77777777" w:rsidR="00253427" w:rsidRPr="00653977" w:rsidRDefault="00253427" w:rsidP="00EF0503">
            <w:pPr>
              <w:ind w:right="276"/>
              <w:jc w:val="right"/>
              <w:rPr>
                <w:sz w:val="22"/>
                <w:szCs w:val="22"/>
                <w:lang w:eastAsia="en-CA"/>
              </w:rPr>
            </w:pPr>
            <w:r w:rsidRPr="00653977">
              <w:rPr>
                <w:sz w:val="22"/>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6E0BA482" w14:textId="77777777" w:rsidR="00253427" w:rsidRPr="00653977" w:rsidRDefault="00253427" w:rsidP="00EF0503">
            <w:pPr>
              <w:ind w:right="276"/>
              <w:jc w:val="right"/>
              <w:rPr>
                <w:sz w:val="22"/>
                <w:szCs w:val="22"/>
                <w:lang w:eastAsia="en-CA"/>
              </w:rPr>
            </w:pPr>
            <w:r w:rsidRPr="00653977">
              <w:rPr>
                <w:sz w:val="22"/>
                <w:szCs w:val="22"/>
                <w:lang w:eastAsia="en-CA"/>
              </w:rPr>
              <w:t>287</w:t>
            </w:r>
          </w:p>
        </w:tc>
      </w:tr>
      <w:tr w:rsidR="00253427" w:rsidRPr="00653977" w14:paraId="0D626258"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9B37CE" w14:textId="77777777" w:rsidR="00253427" w:rsidRPr="00653977" w:rsidRDefault="00253427" w:rsidP="00EF0503">
            <w:pPr>
              <w:rPr>
                <w:sz w:val="22"/>
                <w:szCs w:val="22"/>
                <w:lang w:eastAsia="en-CA"/>
              </w:rPr>
            </w:pPr>
            <w:r w:rsidRPr="00653977">
              <w:rPr>
                <w:sz w:val="22"/>
                <w:szCs w:val="22"/>
                <w:lang w:eastAsia="en-CA"/>
              </w:rPr>
              <w:t>Myanmar</w:t>
            </w:r>
          </w:p>
        </w:tc>
        <w:tc>
          <w:tcPr>
            <w:tcW w:w="2288" w:type="dxa"/>
            <w:tcBorders>
              <w:top w:val="nil"/>
              <w:left w:val="nil"/>
              <w:bottom w:val="single" w:sz="4" w:space="0" w:color="auto"/>
              <w:right w:val="single" w:sz="4" w:space="0" w:color="auto"/>
            </w:tcBorders>
            <w:shd w:val="clear" w:color="auto" w:fill="auto"/>
            <w:vAlign w:val="center"/>
            <w:hideMark/>
          </w:tcPr>
          <w:p w14:paraId="43B88AB0" w14:textId="77777777" w:rsidR="00253427" w:rsidRPr="00653977" w:rsidRDefault="00253427" w:rsidP="00EF0503">
            <w:pPr>
              <w:ind w:right="770"/>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19AD6C43" w14:textId="77777777" w:rsidR="00253427" w:rsidRPr="00653977" w:rsidRDefault="00253427" w:rsidP="00EF0503">
            <w:pPr>
              <w:ind w:right="1144"/>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2D1F1684" w14:textId="77777777" w:rsidR="00253427" w:rsidRPr="00653977" w:rsidRDefault="00253427" w:rsidP="00EF0503">
            <w:pPr>
              <w:ind w:right="276"/>
              <w:jc w:val="right"/>
              <w:rPr>
                <w:sz w:val="22"/>
                <w:szCs w:val="22"/>
                <w:lang w:eastAsia="en-CA"/>
              </w:rPr>
            </w:pPr>
            <w:r w:rsidRPr="00653977">
              <w:rPr>
                <w:sz w:val="22"/>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1CAF8711" w14:textId="77777777" w:rsidR="00253427" w:rsidRPr="00653977" w:rsidRDefault="00253427" w:rsidP="00EF0503">
            <w:pPr>
              <w:ind w:right="276"/>
              <w:jc w:val="right"/>
              <w:rPr>
                <w:sz w:val="22"/>
                <w:szCs w:val="22"/>
                <w:lang w:eastAsia="en-CA"/>
              </w:rPr>
            </w:pPr>
            <w:r w:rsidRPr="00653977">
              <w:rPr>
                <w:sz w:val="22"/>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14DD6B19" w14:textId="77777777" w:rsidR="00253427" w:rsidRPr="00653977" w:rsidRDefault="00253427" w:rsidP="00EF0503">
            <w:pPr>
              <w:ind w:right="276"/>
              <w:jc w:val="right"/>
              <w:rPr>
                <w:sz w:val="22"/>
                <w:szCs w:val="22"/>
                <w:lang w:eastAsia="en-CA"/>
              </w:rPr>
            </w:pPr>
            <w:r w:rsidRPr="00653977">
              <w:rPr>
                <w:sz w:val="22"/>
                <w:szCs w:val="22"/>
                <w:lang w:eastAsia="en-CA"/>
              </w:rPr>
              <w:t>495</w:t>
            </w:r>
          </w:p>
        </w:tc>
      </w:tr>
      <w:tr w:rsidR="00253427" w:rsidRPr="00653977" w14:paraId="26634DEA"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638FA8" w14:textId="77777777" w:rsidR="00253427" w:rsidRPr="00653977" w:rsidRDefault="00253427" w:rsidP="00EF0503">
            <w:pPr>
              <w:rPr>
                <w:sz w:val="22"/>
                <w:szCs w:val="22"/>
                <w:lang w:eastAsia="en-CA"/>
              </w:rPr>
            </w:pPr>
            <w:r w:rsidRPr="00653977">
              <w:rPr>
                <w:sz w:val="22"/>
                <w:szCs w:val="22"/>
                <w:lang w:eastAsia="en-CA"/>
              </w:rPr>
              <w:t>Namibia</w:t>
            </w:r>
          </w:p>
        </w:tc>
        <w:tc>
          <w:tcPr>
            <w:tcW w:w="2288" w:type="dxa"/>
            <w:tcBorders>
              <w:top w:val="nil"/>
              <w:left w:val="nil"/>
              <w:bottom w:val="single" w:sz="4" w:space="0" w:color="auto"/>
              <w:right w:val="single" w:sz="4" w:space="0" w:color="auto"/>
            </w:tcBorders>
            <w:shd w:val="clear" w:color="auto" w:fill="auto"/>
            <w:vAlign w:val="center"/>
            <w:hideMark/>
          </w:tcPr>
          <w:p w14:paraId="108AD0AA" w14:textId="77777777" w:rsidR="00253427" w:rsidRPr="00653977" w:rsidRDefault="00253427" w:rsidP="00EF0503">
            <w:pPr>
              <w:ind w:right="770"/>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873B8D0" w14:textId="77777777" w:rsidR="00253427" w:rsidRPr="00653977" w:rsidRDefault="00253427" w:rsidP="00EF0503">
            <w:pPr>
              <w:ind w:right="1144"/>
              <w:jc w:val="right"/>
              <w:rPr>
                <w:sz w:val="22"/>
                <w:szCs w:val="22"/>
                <w:lang w:eastAsia="en-CA"/>
              </w:rPr>
            </w:pPr>
            <w:r w:rsidRPr="00653977">
              <w:rPr>
                <w:sz w:val="22"/>
                <w:szCs w:val="22"/>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4A85E019" w14:textId="77777777" w:rsidR="00253427" w:rsidRPr="00653977" w:rsidRDefault="00253427" w:rsidP="00EF0503">
            <w:pPr>
              <w:ind w:right="276"/>
              <w:jc w:val="right"/>
              <w:rPr>
                <w:sz w:val="22"/>
                <w:szCs w:val="22"/>
                <w:lang w:eastAsia="en-CA"/>
              </w:rPr>
            </w:pPr>
            <w:r w:rsidRPr="00653977">
              <w:rPr>
                <w:sz w:val="22"/>
                <w:szCs w:val="22"/>
                <w:lang w:eastAsia="en-CA"/>
              </w:rPr>
              <w:t>348</w:t>
            </w:r>
          </w:p>
        </w:tc>
        <w:tc>
          <w:tcPr>
            <w:tcW w:w="0" w:type="auto"/>
            <w:tcBorders>
              <w:top w:val="nil"/>
              <w:left w:val="nil"/>
              <w:bottom w:val="single" w:sz="4" w:space="0" w:color="auto"/>
              <w:right w:val="single" w:sz="4" w:space="0" w:color="auto"/>
            </w:tcBorders>
            <w:shd w:val="clear" w:color="auto" w:fill="auto"/>
            <w:noWrap/>
            <w:vAlign w:val="center"/>
            <w:hideMark/>
          </w:tcPr>
          <w:p w14:paraId="0CF30570" w14:textId="77777777" w:rsidR="00253427" w:rsidRPr="00653977" w:rsidRDefault="00253427" w:rsidP="00EF0503">
            <w:pPr>
              <w:ind w:right="276"/>
              <w:jc w:val="right"/>
              <w:rPr>
                <w:sz w:val="22"/>
                <w:szCs w:val="22"/>
                <w:lang w:eastAsia="en-CA"/>
              </w:rPr>
            </w:pPr>
            <w:r w:rsidRPr="00653977">
              <w:rPr>
                <w:sz w:val="22"/>
                <w:szCs w:val="22"/>
                <w:lang w:eastAsia="en-CA"/>
              </w:rPr>
              <w:t>369</w:t>
            </w:r>
          </w:p>
        </w:tc>
        <w:tc>
          <w:tcPr>
            <w:tcW w:w="0" w:type="auto"/>
            <w:tcBorders>
              <w:top w:val="nil"/>
              <w:left w:val="nil"/>
              <w:bottom w:val="single" w:sz="4" w:space="0" w:color="auto"/>
              <w:right w:val="single" w:sz="4" w:space="0" w:color="auto"/>
            </w:tcBorders>
            <w:shd w:val="clear" w:color="auto" w:fill="auto"/>
            <w:noWrap/>
            <w:vAlign w:val="center"/>
            <w:hideMark/>
          </w:tcPr>
          <w:p w14:paraId="622451CF" w14:textId="77777777" w:rsidR="00253427" w:rsidRPr="00653977" w:rsidRDefault="00253427" w:rsidP="00EF0503">
            <w:pPr>
              <w:ind w:right="276"/>
              <w:jc w:val="right"/>
              <w:rPr>
                <w:sz w:val="22"/>
                <w:szCs w:val="22"/>
                <w:lang w:eastAsia="en-CA"/>
              </w:rPr>
            </w:pPr>
            <w:r w:rsidRPr="00653977">
              <w:rPr>
                <w:sz w:val="22"/>
                <w:szCs w:val="22"/>
                <w:lang w:eastAsia="en-CA"/>
              </w:rPr>
              <w:t>716</w:t>
            </w:r>
          </w:p>
        </w:tc>
      </w:tr>
      <w:tr w:rsidR="00253427" w:rsidRPr="00653977" w14:paraId="1B60B382"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B0CA12" w14:textId="77777777" w:rsidR="00253427" w:rsidRPr="00653977" w:rsidRDefault="00253427" w:rsidP="00EF0503">
            <w:pPr>
              <w:rPr>
                <w:sz w:val="22"/>
                <w:szCs w:val="22"/>
                <w:lang w:eastAsia="en-CA"/>
              </w:rPr>
            </w:pPr>
            <w:r w:rsidRPr="00653977">
              <w:rPr>
                <w:sz w:val="22"/>
                <w:szCs w:val="22"/>
                <w:lang w:eastAsia="en-CA"/>
              </w:rPr>
              <w:t>Nauru</w:t>
            </w:r>
          </w:p>
        </w:tc>
        <w:tc>
          <w:tcPr>
            <w:tcW w:w="2288" w:type="dxa"/>
            <w:tcBorders>
              <w:top w:val="nil"/>
              <w:left w:val="nil"/>
              <w:bottom w:val="single" w:sz="4" w:space="0" w:color="auto"/>
              <w:right w:val="single" w:sz="4" w:space="0" w:color="auto"/>
            </w:tcBorders>
            <w:shd w:val="clear" w:color="auto" w:fill="auto"/>
            <w:vAlign w:val="center"/>
            <w:hideMark/>
          </w:tcPr>
          <w:p w14:paraId="7B44F9FD"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0375CDE"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6F2712A"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DEC1ACC"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5CCC2FA"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1F8EEEAF"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D34F07" w14:textId="77777777" w:rsidR="00253427" w:rsidRPr="00653977" w:rsidRDefault="00253427" w:rsidP="00EF0503">
            <w:pPr>
              <w:rPr>
                <w:sz w:val="22"/>
                <w:szCs w:val="22"/>
                <w:lang w:eastAsia="en-CA"/>
              </w:rPr>
            </w:pPr>
            <w:r w:rsidRPr="00653977">
              <w:rPr>
                <w:sz w:val="22"/>
                <w:szCs w:val="22"/>
                <w:lang w:eastAsia="en-CA"/>
              </w:rPr>
              <w:t>Netherlands</w:t>
            </w:r>
          </w:p>
        </w:tc>
        <w:tc>
          <w:tcPr>
            <w:tcW w:w="2288" w:type="dxa"/>
            <w:tcBorders>
              <w:top w:val="nil"/>
              <w:left w:val="nil"/>
              <w:bottom w:val="single" w:sz="4" w:space="0" w:color="auto"/>
              <w:right w:val="single" w:sz="4" w:space="0" w:color="auto"/>
            </w:tcBorders>
            <w:shd w:val="clear" w:color="auto" w:fill="auto"/>
            <w:vAlign w:val="center"/>
            <w:hideMark/>
          </w:tcPr>
          <w:p w14:paraId="308BA05A" w14:textId="77777777" w:rsidR="00253427" w:rsidRPr="00653977" w:rsidRDefault="00253427" w:rsidP="00EF0503">
            <w:pPr>
              <w:ind w:right="770"/>
              <w:jc w:val="right"/>
              <w:rPr>
                <w:sz w:val="22"/>
                <w:szCs w:val="22"/>
                <w:lang w:eastAsia="en-CA"/>
              </w:rPr>
            </w:pPr>
            <w:r w:rsidRPr="00653977">
              <w:rPr>
                <w:sz w:val="22"/>
                <w:szCs w:val="22"/>
                <w:lang w:eastAsia="en-CA"/>
              </w:rPr>
              <w:t>1.482</w:t>
            </w:r>
          </w:p>
        </w:tc>
        <w:tc>
          <w:tcPr>
            <w:tcW w:w="0" w:type="auto"/>
            <w:tcBorders>
              <w:top w:val="nil"/>
              <w:left w:val="nil"/>
              <w:bottom w:val="single" w:sz="4" w:space="0" w:color="auto"/>
              <w:right w:val="single" w:sz="4" w:space="0" w:color="auto"/>
            </w:tcBorders>
            <w:shd w:val="clear" w:color="auto" w:fill="auto"/>
            <w:noWrap/>
            <w:vAlign w:val="center"/>
            <w:hideMark/>
          </w:tcPr>
          <w:p w14:paraId="77936A3E" w14:textId="77777777" w:rsidR="00253427" w:rsidRPr="00653977" w:rsidRDefault="00253427" w:rsidP="00EF0503">
            <w:pPr>
              <w:ind w:right="1144"/>
              <w:jc w:val="right"/>
              <w:rPr>
                <w:sz w:val="22"/>
                <w:szCs w:val="22"/>
                <w:lang w:eastAsia="en-CA"/>
              </w:rPr>
            </w:pPr>
            <w:r w:rsidRPr="00653977">
              <w:rPr>
                <w:sz w:val="22"/>
                <w:szCs w:val="22"/>
                <w:lang w:eastAsia="en-CA"/>
              </w:rPr>
              <w:t>2.146</w:t>
            </w:r>
          </w:p>
        </w:tc>
        <w:tc>
          <w:tcPr>
            <w:tcW w:w="0" w:type="auto"/>
            <w:tcBorders>
              <w:top w:val="nil"/>
              <w:left w:val="nil"/>
              <w:bottom w:val="single" w:sz="4" w:space="0" w:color="auto"/>
              <w:right w:val="single" w:sz="4" w:space="0" w:color="auto"/>
            </w:tcBorders>
            <w:shd w:val="clear" w:color="auto" w:fill="auto"/>
            <w:noWrap/>
            <w:vAlign w:val="center"/>
            <w:hideMark/>
          </w:tcPr>
          <w:p w14:paraId="6D5FCCA6" w14:textId="77777777" w:rsidR="00253427" w:rsidRPr="00653977" w:rsidRDefault="00253427" w:rsidP="00EF0503">
            <w:pPr>
              <w:ind w:right="276"/>
              <w:jc w:val="right"/>
              <w:rPr>
                <w:sz w:val="22"/>
                <w:szCs w:val="22"/>
                <w:lang w:eastAsia="en-CA"/>
              </w:rPr>
            </w:pPr>
            <w:r w:rsidRPr="00653977">
              <w:rPr>
                <w:sz w:val="22"/>
                <w:szCs w:val="22"/>
                <w:lang w:eastAsia="en-CA"/>
              </w:rPr>
              <w:t>51 528</w:t>
            </w:r>
          </w:p>
        </w:tc>
        <w:tc>
          <w:tcPr>
            <w:tcW w:w="0" w:type="auto"/>
            <w:tcBorders>
              <w:top w:val="nil"/>
              <w:left w:val="nil"/>
              <w:bottom w:val="single" w:sz="4" w:space="0" w:color="auto"/>
              <w:right w:val="single" w:sz="4" w:space="0" w:color="auto"/>
            </w:tcBorders>
            <w:shd w:val="clear" w:color="auto" w:fill="auto"/>
            <w:noWrap/>
            <w:vAlign w:val="center"/>
            <w:hideMark/>
          </w:tcPr>
          <w:p w14:paraId="0F3AED86" w14:textId="77777777" w:rsidR="00253427" w:rsidRPr="00653977" w:rsidRDefault="00253427" w:rsidP="00EF0503">
            <w:pPr>
              <w:ind w:right="276"/>
              <w:jc w:val="right"/>
              <w:rPr>
                <w:sz w:val="22"/>
                <w:szCs w:val="22"/>
                <w:lang w:eastAsia="en-CA"/>
              </w:rPr>
            </w:pPr>
            <w:r w:rsidRPr="00653977">
              <w:rPr>
                <w:sz w:val="22"/>
                <w:szCs w:val="22"/>
                <w:lang w:eastAsia="en-CA"/>
              </w:rPr>
              <w:t>54 640</w:t>
            </w:r>
          </w:p>
        </w:tc>
        <w:tc>
          <w:tcPr>
            <w:tcW w:w="0" w:type="auto"/>
            <w:tcBorders>
              <w:top w:val="nil"/>
              <w:left w:val="nil"/>
              <w:bottom w:val="single" w:sz="4" w:space="0" w:color="auto"/>
              <w:right w:val="single" w:sz="4" w:space="0" w:color="auto"/>
            </w:tcBorders>
            <w:shd w:val="clear" w:color="auto" w:fill="auto"/>
            <w:noWrap/>
            <w:vAlign w:val="center"/>
            <w:hideMark/>
          </w:tcPr>
          <w:p w14:paraId="62B6F2D6" w14:textId="77777777" w:rsidR="00253427" w:rsidRPr="00653977" w:rsidRDefault="00253427" w:rsidP="00EF0503">
            <w:pPr>
              <w:ind w:right="276"/>
              <w:jc w:val="right"/>
              <w:rPr>
                <w:sz w:val="22"/>
                <w:szCs w:val="22"/>
                <w:lang w:eastAsia="en-CA"/>
              </w:rPr>
            </w:pPr>
            <w:r w:rsidRPr="00653977">
              <w:rPr>
                <w:sz w:val="22"/>
                <w:szCs w:val="22"/>
                <w:lang w:eastAsia="en-CA"/>
              </w:rPr>
              <w:t>106 168</w:t>
            </w:r>
          </w:p>
        </w:tc>
      </w:tr>
      <w:tr w:rsidR="00253427" w:rsidRPr="00653977" w14:paraId="6596D6BD"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677B7A" w14:textId="77777777" w:rsidR="00253427" w:rsidRPr="00653977" w:rsidRDefault="00253427" w:rsidP="00EF0503">
            <w:pPr>
              <w:rPr>
                <w:sz w:val="22"/>
                <w:szCs w:val="22"/>
                <w:lang w:eastAsia="en-CA"/>
              </w:rPr>
            </w:pPr>
            <w:r w:rsidRPr="00653977">
              <w:rPr>
                <w:sz w:val="22"/>
                <w:szCs w:val="22"/>
                <w:lang w:eastAsia="en-CA"/>
              </w:rPr>
              <w:t>New Zealand</w:t>
            </w:r>
          </w:p>
        </w:tc>
        <w:tc>
          <w:tcPr>
            <w:tcW w:w="2288" w:type="dxa"/>
            <w:tcBorders>
              <w:top w:val="nil"/>
              <w:left w:val="nil"/>
              <w:bottom w:val="single" w:sz="4" w:space="0" w:color="auto"/>
              <w:right w:val="single" w:sz="4" w:space="0" w:color="auto"/>
            </w:tcBorders>
            <w:shd w:val="clear" w:color="auto" w:fill="auto"/>
            <w:vAlign w:val="center"/>
            <w:hideMark/>
          </w:tcPr>
          <w:p w14:paraId="21F8D13D" w14:textId="77777777" w:rsidR="00253427" w:rsidRPr="00653977" w:rsidRDefault="00253427" w:rsidP="00EF0503">
            <w:pPr>
              <w:ind w:right="770"/>
              <w:jc w:val="right"/>
              <w:rPr>
                <w:sz w:val="22"/>
                <w:szCs w:val="22"/>
                <w:lang w:eastAsia="en-CA"/>
              </w:rPr>
            </w:pPr>
            <w:r w:rsidRPr="00653977">
              <w:rPr>
                <w:sz w:val="22"/>
                <w:szCs w:val="22"/>
                <w:lang w:eastAsia="en-CA"/>
              </w:rPr>
              <w:t>0.268</w:t>
            </w:r>
          </w:p>
        </w:tc>
        <w:tc>
          <w:tcPr>
            <w:tcW w:w="0" w:type="auto"/>
            <w:tcBorders>
              <w:top w:val="nil"/>
              <w:left w:val="nil"/>
              <w:bottom w:val="single" w:sz="4" w:space="0" w:color="auto"/>
              <w:right w:val="single" w:sz="4" w:space="0" w:color="auto"/>
            </w:tcBorders>
            <w:shd w:val="clear" w:color="auto" w:fill="auto"/>
            <w:noWrap/>
            <w:vAlign w:val="center"/>
            <w:hideMark/>
          </w:tcPr>
          <w:p w14:paraId="617FC36F" w14:textId="77777777" w:rsidR="00253427" w:rsidRPr="00653977" w:rsidRDefault="00253427" w:rsidP="00EF0503">
            <w:pPr>
              <w:ind w:right="1144"/>
              <w:jc w:val="right"/>
              <w:rPr>
                <w:sz w:val="22"/>
                <w:szCs w:val="22"/>
                <w:lang w:eastAsia="en-CA"/>
              </w:rPr>
            </w:pPr>
            <w:r w:rsidRPr="00653977">
              <w:rPr>
                <w:sz w:val="22"/>
                <w:szCs w:val="22"/>
                <w:lang w:eastAsia="en-CA"/>
              </w:rPr>
              <w:t>0.388</w:t>
            </w:r>
          </w:p>
        </w:tc>
        <w:tc>
          <w:tcPr>
            <w:tcW w:w="0" w:type="auto"/>
            <w:tcBorders>
              <w:top w:val="nil"/>
              <w:left w:val="nil"/>
              <w:bottom w:val="single" w:sz="4" w:space="0" w:color="auto"/>
              <w:right w:val="single" w:sz="4" w:space="0" w:color="auto"/>
            </w:tcBorders>
            <w:shd w:val="clear" w:color="auto" w:fill="auto"/>
            <w:noWrap/>
            <w:vAlign w:val="center"/>
            <w:hideMark/>
          </w:tcPr>
          <w:p w14:paraId="7D7974F4" w14:textId="77777777" w:rsidR="00253427" w:rsidRPr="00653977" w:rsidRDefault="00253427" w:rsidP="00EF0503">
            <w:pPr>
              <w:ind w:right="276"/>
              <w:jc w:val="right"/>
              <w:rPr>
                <w:sz w:val="22"/>
                <w:szCs w:val="22"/>
                <w:lang w:eastAsia="en-CA"/>
              </w:rPr>
            </w:pPr>
            <w:r w:rsidRPr="00653977">
              <w:rPr>
                <w:sz w:val="22"/>
                <w:szCs w:val="22"/>
                <w:lang w:eastAsia="en-CA"/>
              </w:rPr>
              <w:t>9 318</w:t>
            </w:r>
          </w:p>
        </w:tc>
        <w:tc>
          <w:tcPr>
            <w:tcW w:w="0" w:type="auto"/>
            <w:tcBorders>
              <w:top w:val="nil"/>
              <w:left w:val="nil"/>
              <w:bottom w:val="single" w:sz="4" w:space="0" w:color="auto"/>
              <w:right w:val="single" w:sz="4" w:space="0" w:color="auto"/>
            </w:tcBorders>
            <w:shd w:val="clear" w:color="auto" w:fill="auto"/>
            <w:noWrap/>
            <w:vAlign w:val="center"/>
            <w:hideMark/>
          </w:tcPr>
          <w:p w14:paraId="3788A99B" w14:textId="77777777" w:rsidR="00253427" w:rsidRPr="00653977" w:rsidRDefault="00253427" w:rsidP="00EF0503">
            <w:pPr>
              <w:ind w:right="276"/>
              <w:jc w:val="right"/>
              <w:rPr>
                <w:sz w:val="22"/>
                <w:szCs w:val="22"/>
                <w:lang w:eastAsia="en-CA"/>
              </w:rPr>
            </w:pPr>
            <w:r w:rsidRPr="00653977">
              <w:rPr>
                <w:sz w:val="22"/>
                <w:szCs w:val="22"/>
                <w:lang w:eastAsia="en-CA"/>
              </w:rPr>
              <w:t>9 881</w:t>
            </w:r>
          </w:p>
        </w:tc>
        <w:tc>
          <w:tcPr>
            <w:tcW w:w="0" w:type="auto"/>
            <w:tcBorders>
              <w:top w:val="nil"/>
              <w:left w:val="nil"/>
              <w:bottom w:val="single" w:sz="4" w:space="0" w:color="auto"/>
              <w:right w:val="single" w:sz="4" w:space="0" w:color="auto"/>
            </w:tcBorders>
            <w:shd w:val="clear" w:color="auto" w:fill="auto"/>
            <w:noWrap/>
            <w:vAlign w:val="center"/>
            <w:hideMark/>
          </w:tcPr>
          <w:p w14:paraId="10DF679E" w14:textId="77777777" w:rsidR="00253427" w:rsidRPr="00653977" w:rsidRDefault="00253427" w:rsidP="00EF0503">
            <w:pPr>
              <w:ind w:right="276"/>
              <w:jc w:val="right"/>
              <w:rPr>
                <w:sz w:val="22"/>
                <w:szCs w:val="22"/>
                <w:lang w:eastAsia="en-CA"/>
              </w:rPr>
            </w:pPr>
            <w:r w:rsidRPr="00653977">
              <w:rPr>
                <w:sz w:val="22"/>
                <w:szCs w:val="22"/>
                <w:lang w:eastAsia="en-CA"/>
              </w:rPr>
              <w:t>19 199</w:t>
            </w:r>
          </w:p>
        </w:tc>
      </w:tr>
      <w:tr w:rsidR="00253427" w:rsidRPr="00653977" w14:paraId="0C19F8A2"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B8EF4B" w14:textId="77777777" w:rsidR="00253427" w:rsidRPr="00653977" w:rsidRDefault="00253427" w:rsidP="00EF0503">
            <w:pPr>
              <w:rPr>
                <w:sz w:val="22"/>
                <w:szCs w:val="22"/>
                <w:lang w:eastAsia="en-CA"/>
              </w:rPr>
            </w:pPr>
            <w:r w:rsidRPr="00653977">
              <w:rPr>
                <w:sz w:val="22"/>
                <w:szCs w:val="22"/>
                <w:lang w:eastAsia="en-CA"/>
              </w:rPr>
              <w:t>Nicaragua</w:t>
            </w:r>
          </w:p>
        </w:tc>
        <w:tc>
          <w:tcPr>
            <w:tcW w:w="2288" w:type="dxa"/>
            <w:tcBorders>
              <w:top w:val="nil"/>
              <w:left w:val="nil"/>
              <w:bottom w:val="single" w:sz="4" w:space="0" w:color="auto"/>
              <w:right w:val="single" w:sz="4" w:space="0" w:color="auto"/>
            </w:tcBorders>
            <w:shd w:val="clear" w:color="auto" w:fill="auto"/>
            <w:vAlign w:val="center"/>
            <w:hideMark/>
          </w:tcPr>
          <w:p w14:paraId="5FC0F9E5" w14:textId="77777777" w:rsidR="00253427" w:rsidRPr="00653977" w:rsidRDefault="00253427" w:rsidP="00EF0503">
            <w:pPr>
              <w:ind w:right="770"/>
              <w:jc w:val="right"/>
              <w:rPr>
                <w:sz w:val="22"/>
                <w:szCs w:val="22"/>
                <w:lang w:eastAsia="en-CA"/>
              </w:rPr>
            </w:pPr>
            <w:r w:rsidRPr="00653977">
              <w:rPr>
                <w:sz w:val="22"/>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093FA461" w14:textId="77777777" w:rsidR="00253427" w:rsidRPr="00653977" w:rsidRDefault="00253427" w:rsidP="00EF0503">
            <w:pPr>
              <w:ind w:right="1144"/>
              <w:jc w:val="right"/>
              <w:rPr>
                <w:sz w:val="22"/>
                <w:szCs w:val="22"/>
                <w:lang w:eastAsia="en-CA"/>
              </w:rPr>
            </w:pPr>
            <w:r w:rsidRPr="00653977">
              <w:rPr>
                <w:sz w:val="22"/>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6991DD13" w14:textId="77777777" w:rsidR="00253427" w:rsidRPr="00653977" w:rsidRDefault="00253427" w:rsidP="00EF0503">
            <w:pPr>
              <w:ind w:right="276"/>
              <w:jc w:val="right"/>
              <w:rPr>
                <w:sz w:val="22"/>
                <w:szCs w:val="22"/>
                <w:lang w:eastAsia="en-CA"/>
              </w:rPr>
            </w:pPr>
            <w:r w:rsidRPr="00653977">
              <w:rPr>
                <w:sz w:val="22"/>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1BDB18D1" w14:textId="77777777" w:rsidR="00253427" w:rsidRPr="00653977" w:rsidRDefault="00253427" w:rsidP="00EF0503">
            <w:pPr>
              <w:ind w:right="276"/>
              <w:jc w:val="right"/>
              <w:rPr>
                <w:sz w:val="22"/>
                <w:szCs w:val="22"/>
                <w:lang w:eastAsia="en-CA"/>
              </w:rPr>
            </w:pPr>
            <w:r w:rsidRPr="00653977">
              <w:rPr>
                <w:sz w:val="22"/>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3F53C784" w14:textId="77777777" w:rsidR="00253427" w:rsidRPr="00653977" w:rsidRDefault="00253427" w:rsidP="00EF0503">
            <w:pPr>
              <w:ind w:right="276"/>
              <w:jc w:val="right"/>
              <w:rPr>
                <w:sz w:val="22"/>
                <w:szCs w:val="22"/>
                <w:lang w:eastAsia="en-CA"/>
              </w:rPr>
            </w:pPr>
            <w:r w:rsidRPr="00653977">
              <w:rPr>
                <w:sz w:val="22"/>
                <w:szCs w:val="22"/>
                <w:lang w:eastAsia="en-CA"/>
              </w:rPr>
              <w:t>287</w:t>
            </w:r>
          </w:p>
        </w:tc>
      </w:tr>
      <w:tr w:rsidR="00253427" w:rsidRPr="00653977" w14:paraId="144FF8E9"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6424FC" w14:textId="77777777" w:rsidR="00253427" w:rsidRPr="00653977" w:rsidRDefault="00253427" w:rsidP="00EF0503">
            <w:pPr>
              <w:rPr>
                <w:sz w:val="22"/>
                <w:szCs w:val="22"/>
                <w:lang w:eastAsia="en-CA"/>
              </w:rPr>
            </w:pPr>
            <w:r w:rsidRPr="00653977">
              <w:rPr>
                <w:sz w:val="22"/>
                <w:szCs w:val="22"/>
                <w:lang w:eastAsia="en-CA"/>
              </w:rPr>
              <w:t>Niger</w:t>
            </w:r>
          </w:p>
        </w:tc>
        <w:tc>
          <w:tcPr>
            <w:tcW w:w="2288" w:type="dxa"/>
            <w:tcBorders>
              <w:top w:val="nil"/>
              <w:left w:val="nil"/>
              <w:bottom w:val="single" w:sz="4" w:space="0" w:color="auto"/>
              <w:right w:val="single" w:sz="4" w:space="0" w:color="auto"/>
            </w:tcBorders>
            <w:shd w:val="clear" w:color="auto" w:fill="auto"/>
            <w:vAlign w:val="center"/>
            <w:hideMark/>
          </w:tcPr>
          <w:p w14:paraId="2BEBB1FD" w14:textId="77777777" w:rsidR="00253427" w:rsidRPr="00653977" w:rsidRDefault="00253427" w:rsidP="00EF0503">
            <w:pPr>
              <w:ind w:right="770"/>
              <w:jc w:val="right"/>
              <w:rPr>
                <w:sz w:val="22"/>
                <w:szCs w:val="22"/>
                <w:lang w:eastAsia="en-CA"/>
              </w:rPr>
            </w:pPr>
            <w:r w:rsidRPr="00653977">
              <w:rPr>
                <w:sz w:val="22"/>
                <w:szCs w:val="22"/>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0C17F39B" w14:textId="77777777" w:rsidR="00253427" w:rsidRPr="00653977" w:rsidRDefault="00253427" w:rsidP="00EF0503">
            <w:pPr>
              <w:ind w:right="1144"/>
              <w:jc w:val="right"/>
              <w:rPr>
                <w:sz w:val="22"/>
                <w:szCs w:val="22"/>
                <w:lang w:eastAsia="en-CA"/>
              </w:rPr>
            </w:pPr>
            <w:r w:rsidRPr="00653977">
              <w:rPr>
                <w:sz w:val="22"/>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0DE939BC" w14:textId="77777777" w:rsidR="00253427" w:rsidRPr="00653977" w:rsidRDefault="00253427" w:rsidP="00EF0503">
            <w:pPr>
              <w:ind w:right="276"/>
              <w:jc w:val="right"/>
              <w:rPr>
                <w:sz w:val="22"/>
                <w:szCs w:val="22"/>
                <w:lang w:eastAsia="en-CA"/>
              </w:rPr>
            </w:pPr>
            <w:r w:rsidRPr="00653977">
              <w:rPr>
                <w:sz w:val="22"/>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47588C28" w14:textId="77777777" w:rsidR="00253427" w:rsidRPr="00653977" w:rsidRDefault="00253427" w:rsidP="00EF0503">
            <w:pPr>
              <w:ind w:right="276"/>
              <w:jc w:val="right"/>
              <w:rPr>
                <w:sz w:val="22"/>
                <w:szCs w:val="22"/>
                <w:lang w:eastAsia="en-CA"/>
              </w:rPr>
            </w:pPr>
            <w:r w:rsidRPr="00653977">
              <w:rPr>
                <w:sz w:val="22"/>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2B05B07A" w14:textId="77777777" w:rsidR="00253427" w:rsidRPr="00653977" w:rsidRDefault="00253427" w:rsidP="00EF0503">
            <w:pPr>
              <w:ind w:right="276"/>
              <w:jc w:val="right"/>
              <w:rPr>
                <w:sz w:val="22"/>
                <w:szCs w:val="22"/>
                <w:lang w:eastAsia="en-CA"/>
              </w:rPr>
            </w:pPr>
            <w:r w:rsidRPr="00653977">
              <w:rPr>
                <w:sz w:val="22"/>
                <w:szCs w:val="22"/>
                <w:lang w:eastAsia="en-CA"/>
              </w:rPr>
              <w:t>143</w:t>
            </w:r>
          </w:p>
        </w:tc>
      </w:tr>
      <w:tr w:rsidR="00253427" w:rsidRPr="00653977" w14:paraId="0FF9AEB0"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0CCC26" w14:textId="77777777" w:rsidR="00253427" w:rsidRPr="00653977" w:rsidRDefault="00253427" w:rsidP="00EF0503">
            <w:pPr>
              <w:rPr>
                <w:sz w:val="22"/>
                <w:szCs w:val="22"/>
                <w:lang w:eastAsia="en-CA"/>
              </w:rPr>
            </w:pPr>
            <w:r w:rsidRPr="00653977">
              <w:rPr>
                <w:sz w:val="22"/>
                <w:szCs w:val="22"/>
                <w:lang w:eastAsia="en-CA"/>
              </w:rPr>
              <w:t>Nigeria</w:t>
            </w:r>
          </w:p>
        </w:tc>
        <w:tc>
          <w:tcPr>
            <w:tcW w:w="2288" w:type="dxa"/>
            <w:tcBorders>
              <w:top w:val="nil"/>
              <w:left w:val="nil"/>
              <w:bottom w:val="single" w:sz="4" w:space="0" w:color="auto"/>
              <w:right w:val="single" w:sz="4" w:space="0" w:color="auto"/>
            </w:tcBorders>
            <w:shd w:val="clear" w:color="auto" w:fill="auto"/>
            <w:vAlign w:val="center"/>
            <w:hideMark/>
          </w:tcPr>
          <w:p w14:paraId="1500AEEA" w14:textId="77777777" w:rsidR="00253427" w:rsidRPr="00653977" w:rsidRDefault="00253427" w:rsidP="00EF0503">
            <w:pPr>
              <w:ind w:right="770"/>
              <w:jc w:val="right"/>
              <w:rPr>
                <w:sz w:val="22"/>
                <w:szCs w:val="22"/>
                <w:lang w:eastAsia="en-CA"/>
              </w:rPr>
            </w:pPr>
            <w:r w:rsidRPr="00653977">
              <w:rPr>
                <w:sz w:val="22"/>
                <w:szCs w:val="22"/>
                <w:lang w:eastAsia="en-CA"/>
              </w:rPr>
              <w:t>0.209</w:t>
            </w:r>
          </w:p>
        </w:tc>
        <w:tc>
          <w:tcPr>
            <w:tcW w:w="0" w:type="auto"/>
            <w:tcBorders>
              <w:top w:val="nil"/>
              <w:left w:val="nil"/>
              <w:bottom w:val="single" w:sz="4" w:space="0" w:color="auto"/>
              <w:right w:val="single" w:sz="4" w:space="0" w:color="auto"/>
            </w:tcBorders>
            <w:shd w:val="clear" w:color="auto" w:fill="auto"/>
            <w:noWrap/>
            <w:vAlign w:val="center"/>
            <w:hideMark/>
          </w:tcPr>
          <w:p w14:paraId="56430A11" w14:textId="77777777" w:rsidR="00253427" w:rsidRPr="00653977" w:rsidRDefault="00253427" w:rsidP="00EF0503">
            <w:pPr>
              <w:ind w:right="1144"/>
              <w:jc w:val="right"/>
              <w:rPr>
                <w:sz w:val="22"/>
                <w:szCs w:val="22"/>
                <w:lang w:eastAsia="en-CA"/>
              </w:rPr>
            </w:pPr>
            <w:r w:rsidRPr="00653977">
              <w:rPr>
                <w:sz w:val="22"/>
                <w:szCs w:val="22"/>
                <w:lang w:eastAsia="en-CA"/>
              </w:rPr>
              <w:t>0.303</w:t>
            </w:r>
          </w:p>
        </w:tc>
        <w:tc>
          <w:tcPr>
            <w:tcW w:w="0" w:type="auto"/>
            <w:tcBorders>
              <w:top w:val="nil"/>
              <w:left w:val="nil"/>
              <w:bottom w:val="single" w:sz="4" w:space="0" w:color="auto"/>
              <w:right w:val="single" w:sz="4" w:space="0" w:color="auto"/>
            </w:tcBorders>
            <w:shd w:val="clear" w:color="auto" w:fill="auto"/>
            <w:noWrap/>
            <w:vAlign w:val="center"/>
            <w:hideMark/>
          </w:tcPr>
          <w:p w14:paraId="64E61DD1" w14:textId="77777777" w:rsidR="00253427" w:rsidRPr="00653977" w:rsidRDefault="00253427" w:rsidP="00EF0503">
            <w:pPr>
              <w:ind w:right="276"/>
              <w:jc w:val="right"/>
              <w:rPr>
                <w:sz w:val="22"/>
                <w:szCs w:val="22"/>
                <w:lang w:eastAsia="en-CA"/>
              </w:rPr>
            </w:pPr>
            <w:r w:rsidRPr="00653977">
              <w:rPr>
                <w:sz w:val="22"/>
                <w:szCs w:val="22"/>
                <w:lang w:eastAsia="en-CA"/>
              </w:rPr>
              <w:t>7 267</w:t>
            </w:r>
          </w:p>
        </w:tc>
        <w:tc>
          <w:tcPr>
            <w:tcW w:w="0" w:type="auto"/>
            <w:tcBorders>
              <w:top w:val="nil"/>
              <w:left w:val="nil"/>
              <w:bottom w:val="single" w:sz="4" w:space="0" w:color="auto"/>
              <w:right w:val="single" w:sz="4" w:space="0" w:color="auto"/>
            </w:tcBorders>
            <w:shd w:val="clear" w:color="auto" w:fill="auto"/>
            <w:noWrap/>
            <w:vAlign w:val="center"/>
            <w:hideMark/>
          </w:tcPr>
          <w:p w14:paraId="6B12CD7D" w14:textId="77777777" w:rsidR="00253427" w:rsidRPr="00653977" w:rsidRDefault="00253427" w:rsidP="00EF0503">
            <w:pPr>
              <w:ind w:right="276"/>
              <w:jc w:val="right"/>
              <w:rPr>
                <w:sz w:val="22"/>
                <w:szCs w:val="22"/>
                <w:lang w:eastAsia="en-CA"/>
              </w:rPr>
            </w:pPr>
            <w:r w:rsidRPr="00653977">
              <w:rPr>
                <w:sz w:val="22"/>
                <w:szCs w:val="22"/>
                <w:lang w:eastAsia="en-CA"/>
              </w:rPr>
              <w:t>7 706</w:t>
            </w:r>
          </w:p>
        </w:tc>
        <w:tc>
          <w:tcPr>
            <w:tcW w:w="0" w:type="auto"/>
            <w:tcBorders>
              <w:top w:val="nil"/>
              <w:left w:val="nil"/>
              <w:bottom w:val="single" w:sz="4" w:space="0" w:color="auto"/>
              <w:right w:val="single" w:sz="4" w:space="0" w:color="auto"/>
            </w:tcBorders>
            <w:shd w:val="clear" w:color="auto" w:fill="auto"/>
            <w:noWrap/>
            <w:vAlign w:val="center"/>
            <w:hideMark/>
          </w:tcPr>
          <w:p w14:paraId="4B622A32" w14:textId="77777777" w:rsidR="00253427" w:rsidRPr="00653977" w:rsidRDefault="00253427" w:rsidP="00EF0503">
            <w:pPr>
              <w:ind w:right="276"/>
              <w:jc w:val="right"/>
              <w:rPr>
                <w:sz w:val="22"/>
                <w:szCs w:val="22"/>
                <w:lang w:eastAsia="en-CA"/>
              </w:rPr>
            </w:pPr>
            <w:r w:rsidRPr="00653977">
              <w:rPr>
                <w:sz w:val="22"/>
                <w:szCs w:val="22"/>
                <w:lang w:eastAsia="en-CA"/>
              </w:rPr>
              <w:t>14 972</w:t>
            </w:r>
          </w:p>
        </w:tc>
      </w:tr>
      <w:tr w:rsidR="00253427" w:rsidRPr="00653977" w14:paraId="5043B4D6"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AF4657" w14:textId="77777777" w:rsidR="00253427" w:rsidRPr="00653977" w:rsidRDefault="00253427" w:rsidP="00EF0503">
            <w:pPr>
              <w:rPr>
                <w:sz w:val="22"/>
                <w:szCs w:val="22"/>
                <w:lang w:eastAsia="en-CA"/>
              </w:rPr>
            </w:pPr>
            <w:r w:rsidRPr="00653977">
              <w:rPr>
                <w:sz w:val="22"/>
                <w:szCs w:val="22"/>
                <w:lang w:eastAsia="en-CA"/>
              </w:rPr>
              <w:t>Niue</w:t>
            </w:r>
          </w:p>
        </w:tc>
        <w:tc>
          <w:tcPr>
            <w:tcW w:w="2288" w:type="dxa"/>
            <w:tcBorders>
              <w:top w:val="nil"/>
              <w:left w:val="nil"/>
              <w:bottom w:val="single" w:sz="4" w:space="0" w:color="auto"/>
              <w:right w:val="single" w:sz="4" w:space="0" w:color="auto"/>
            </w:tcBorders>
            <w:shd w:val="clear" w:color="auto" w:fill="auto"/>
            <w:vAlign w:val="center"/>
            <w:hideMark/>
          </w:tcPr>
          <w:p w14:paraId="772A5E7B"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F777DA9"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61C824E"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EBFAFDE"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ACAC710"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66B33252"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7D51AE" w14:textId="77777777" w:rsidR="00253427" w:rsidRPr="00653977" w:rsidRDefault="00253427" w:rsidP="00EF0503">
            <w:pPr>
              <w:rPr>
                <w:sz w:val="22"/>
                <w:szCs w:val="22"/>
                <w:lang w:eastAsia="en-CA"/>
              </w:rPr>
            </w:pPr>
            <w:r w:rsidRPr="00653977">
              <w:rPr>
                <w:sz w:val="22"/>
                <w:szCs w:val="22"/>
                <w:lang w:eastAsia="en-CA"/>
              </w:rPr>
              <w:t>Norway</w:t>
            </w:r>
          </w:p>
        </w:tc>
        <w:tc>
          <w:tcPr>
            <w:tcW w:w="2288" w:type="dxa"/>
            <w:tcBorders>
              <w:top w:val="nil"/>
              <w:left w:val="nil"/>
              <w:bottom w:val="single" w:sz="4" w:space="0" w:color="auto"/>
              <w:right w:val="single" w:sz="4" w:space="0" w:color="auto"/>
            </w:tcBorders>
            <w:shd w:val="clear" w:color="auto" w:fill="auto"/>
            <w:vAlign w:val="center"/>
            <w:hideMark/>
          </w:tcPr>
          <w:p w14:paraId="72B3552D" w14:textId="77777777" w:rsidR="00253427" w:rsidRPr="00653977" w:rsidRDefault="00253427" w:rsidP="00EF0503">
            <w:pPr>
              <w:ind w:right="770"/>
              <w:jc w:val="right"/>
              <w:rPr>
                <w:sz w:val="22"/>
                <w:szCs w:val="22"/>
                <w:lang w:eastAsia="en-CA"/>
              </w:rPr>
            </w:pPr>
            <w:r w:rsidRPr="00653977">
              <w:rPr>
                <w:sz w:val="22"/>
                <w:szCs w:val="22"/>
                <w:lang w:eastAsia="en-CA"/>
              </w:rPr>
              <w:t>0.849</w:t>
            </w:r>
          </w:p>
        </w:tc>
        <w:tc>
          <w:tcPr>
            <w:tcW w:w="0" w:type="auto"/>
            <w:tcBorders>
              <w:top w:val="nil"/>
              <w:left w:val="nil"/>
              <w:bottom w:val="single" w:sz="4" w:space="0" w:color="auto"/>
              <w:right w:val="single" w:sz="4" w:space="0" w:color="auto"/>
            </w:tcBorders>
            <w:shd w:val="clear" w:color="auto" w:fill="auto"/>
            <w:noWrap/>
            <w:vAlign w:val="center"/>
            <w:hideMark/>
          </w:tcPr>
          <w:p w14:paraId="64D79ECC" w14:textId="77777777" w:rsidR="00253427" w:rsidRPr="00653977" w:rsidRDefault="00253427" w:rsidP="00EF0503">
            <w:pPr>
              <w:ind w:right="1144"/>
              <w:jc w:val="right"/>
              <w:rPr>
                <w:sz w:val="22"/>
                <w:szCs w:val="22"/>
                <w:lang w:eastAsia="en-CA"/>
              </w:rPr>
            </w:pPr>
            <w:r w:rsidRPr="00653977">
              <w:rPr>
                <w:sz w:val="22"/>
                <w:szCs w:val="22"/>
                <w:lang w:eastAsia="en-CA"/>
              </w:rPr>
              <w:t>1.229</w:t>
            </w:r>
          </w:p>
        </w:tc>
        <w:tc>
          <w:tcPr>
            <w:tcW w:w="0" w:type="auto"/>
            <w:tcBorders>
              <w:top w:val="nil"/>
              <w:left w:val="nil"/>
              <w:bottom w:val="single" w:sz="4" w:space="0" w:color="auto"/>
              <w:right w:val="single" w:sz="4" w:space="0" w:color="auto"/>
            </w:tcBorders>
            <w:shd w:val="clear" w:color="auto" w:fill="auto"/>
            <w:noWrap/>
            <w:vAlign w:val="center"/>
            <w:hideMark/>
          </w:tcPr>
          <w:p w14:paraId="3EF3F743" w14:textId="77777777" w:rsidR="00253427" w:rsidRPr="00653977" w:rsidRDefault="00253427" w:rsidP="00EF0503">
            <w:pPr>
              <w:ind w:right="276"/>
              <w:jc w:val="right"/>
              <w:rPr>
                <w:sz w:val="22"/>
                <w:szCs w:val="22"/>
                <w:lang w:eastAsia="en-CA"/>
              </w:rPr>
            </w:pPr>
            <w:r w:rsidRPr="00653977">
              <w:rPr>
                <w:sz w:val="22"/>
                <w:szCs w:val="22"/>
                <w:lang w:eastAsia="en-CA"/>
              </w:rPr>
              <w:t>29 519</w:t>
            </w:r>
          </w:p>
        </w:tc>
        <w:tc>
          <w:tcPr>
            <w:tcW w:w="0" w:type="auto"/>
            <w:tcBorders>
              <w:top w:val="nil"/>
              <w:left w:val="nil"/>
              <w:bottom w:val="single" w:sz="4" w:space="0" w:color="auto"/>
              <w:right w:val="single" w:sz="4" w:space="0" w:color="auto"/>
            </w:tcBorders>
            <w:shd w:val="clear" w:color="auto" w:fill="auto"/>
            <w:noWrap/>
            <w:vAlign w:val="center"/>
            <w:hideMark/>
          </w:tcPr>
          <w:p w14:paraId="3061A88C" w14:textId="77777777" w:rsidR="00253427" w:rsidRPr="00653977" w:rsidRDefault="00253427" w:rsidP="00EF0503">
            <w:pPr>
              <w:ind w:right="276"/>
              <w:jc w:val="right"/>
              <w:rPr>
                <w:sz w:val="22"/>
                <w:szCs w:val="22"/>
                <w:lang w:eastAsia="en-CA"/>
              </w:rPr>
            </w:pPr>
            <w:r w:rsidRPr="00653977">
              <w:rPr>
                <w:sz w:val="22"/>
                <w:szCs w:val="22"/>
                <w:lang w:eastAsia="en-CA"/>
              </w:rPr>
              <w:t>31 302</w:t>
            </w:r>
          </w:p>
        </w:tc>
        <w:tc>
          <w:tcPr>
            <w:tcW w:w="0" w:type="auto"/>
            <w:tcBorders>
              <w:top w:val="nil"/>
              <w:left w:val="nil"/>
              <w:bottom w:val="single" w:sz="4" w:space="0" w:color="auto"/>
              <w:right w:val="single" w:sz="4" w:space="0" w:color="auto"/>
            </w:tcBorders>
            <w:shd w:val="clear" w:color="auto" w:fill="auto"/>
            <w:noWrap/>
            <w:vAlign w:val="center"/>
            <w:hideMark/>
          </w:tcPr>
          <w:p w14:paraId="2D8BC938" w14:textId="77777777" w:rsidR="00253427" w:rsidRPr="00653977" w:rsidRDefault="00253427" w:rsidP="00EF0503">
            <w:pPr>
              <w:ind w:right="276"/>
              <w:jc w:val="right"/>
              <w:rPr>
                <w:sz w:val="22"/>
                <w:szCs w:val="22"/>
                <w:lang w:eastAsia="en-CA"/>
              </w:rPr>
            </w:pPr>
            <w:r w:rsidRPr="00653977">
              <w:rPr>
                <w:sz w:val="22"/>
                <w:szCs w:val="22"/>
                <w:lang w:eastAsia="en-CA"/>
              </w:rPr>
              <w:t>60 821</w:t>
            </w:r>
          </w:p>
        </w:tc>
      </w:tr>
      <w:tr w:rsidR="00253427" w:rsidRPr="00653977" w14:paraId="416585C4"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9E70D9" w14:textId="77777777" w:rsidR="00253427" w:rsidRPr="00653977" w:rsidRDefault="00253427" w:rsidP="00EF0503">
            <w:pPr>
              <w:rPr>
                <w:sz w:val="22"/>
                <w:szCs w:val="22"/>
                <w:lang w:eastAsia="en-CA"/>
              </w:rPr>
            </w:pPr>
            <w:r w:rsidRPr="00653977">
              <w:rPr>
                <w:sz w:val="22"/>
                <w:szCs w:val="22"/>
                <w:lang w:eastAsia="en-CA"/>
              </w:rPr>
              <w:t>Oman</w:t>
            </w:r>
          </w:p>
        </w:tc>
        <w:tc>
          <w:tcPr>
            <w:tcW w:w="2288" w:type="dxa"/>
            <w:tcBorders>
              <w:top w:val="nil"/>
              <w:left w:val="nil"/>
              <w:bottom w:val="single" w:sz="4" w:space="0" w:color="auto"/>
              <w:right w:val="single" w:sz="4" w:space="0" w:color="auto"/>
            </w:tcBorders>
            <w:shd w:val="clear" w:color="auto" w:fill="auto"/>
            <w:vAlign w:val="center"/>
            <w:hideMark/>
          </w:tcPr>
          <w:p w14:paraId="705BEE60" w14:textId="77777777" w:rsidR="00253427" w:rsidRPr="00653977" w:rsidRDefault="00253427" w:rsidP="00EF0503">
            <w:pPr>
              <w:ind w:right="770"/>
              <w:jc w:val="right"/>
              <w:rPr>
                <w:sz w:val="22"/>
                <w:szCs w:val="22"/>
                <w:lang w:eastAsia="en-CA"/>
              </w:rPr>
            </w:pPr>
            <w:r w:rsidRPr="00653977">
              <w:rPr>
                <w:sz w:val="22"/>
                <w:szCs w:val="22"/>
                <w:lang w:eastAsia="en-CA"/>
              </w:rPr>
              <w:t>0.113</w:t>
            </w:r>
          </w:p>
        </w:tc>
        <w:tc>
          <w:tcPr>
            <w:tcW w:w="0" w:type="auto"/>
            <w:tcBorders>
              <w:top w:val="nil"/>
              <w:left w:val="nil"/>
              <w:bottom w:val="single" w:sz="4" w:space="0" w:color="auto"/>
              <w:right w:val="single" w:sz="4" w:space="0" w:color="auto"/>
            </w:tcBorders>
            <w:shd w:val="clear" w:color="auto" w:fill="auto"/>
            <w:noWrap/>
            <w:vAlign w:val="center"/>
            <w:hideMark/>
          </w:tcPr>
          <w:p w14:paraId="11D4C5E6" w14:textId="77777777" w:rsidR="00253427" w:rsidRPr="00653977" w:rsidRDefault="00253427" w:rsidP="00EF0503">
            <w:pPr>
              <w:ind w:right="1144"/>
              <w:jc w:val="right"/>
              <w:rPr>
                <w:sz w:val="22"/>
                <w:szCs w:val="22"/>
                <w:lang w:eastAsia="en-CA"/>
              </w:rPr>
            </w:pPr>
            <w:r w:rsidRPr="00653977">
              <w:rPr>
                <w:sz w:val="22"/>
                <w:szCs w:val="22"/>
                <w:lang w:eastAsia="en-CA"/>
              </w:rPr>
              <w:t>0.164</w:t>
            </w:r>
          </w:p>
        </w:tc>
        <w:tc>
          <w:tcPr>
            <w:tcW w:w="0" w:type="auto"/>
            <w:tcBorders>
              <w:top w:val="nil"/>
              <w:left w:val="nil"/>
              <w:bottom w:val="single" w:sz="4" w:space="0" w:color="auto"/>
              <w:right w:val="single" w:sz="4" w:space="0" w:color="auto"/>
            </w:tcBorders>
            <w:shd w:val="clear" w:color="auto" w:fill="auto"/>
            <w:noWrap/>
            <w:vAlign w:val="center"/>
            <w:hideMark/>
          </w:tcPr>
          <w:p w14:paraId="2AB8C71F" w14:textId="77777777" w:rsidR="00253427" w:rsidRPr="00653977" w:rsidRDefault="00253427" w:rsidP="00EF0503">
            <w:pPr>
              <w:ind w:right="276"/>
              <w:jc w:val="right"/>
              <w:rPr>
                <w:sz w:val="22"/>
                <w:szCs w:val="22"/>
                <w:lang w:eastAsia="en-CA"/>
              </w:rPr>
            </w:pPr>
            <w:r w:rsidRPr="00653977">
              <w:rPr>
                <w:sz w:val="22"/>
                <w:szCs w:val="22"/>
                <w:lang w:eastAsia="en-CA"/>
              </w:rPr>
              <w:t>3 929</w:t>
            </w:r>
          </w:p>
        </w:tc>
        <w:tc>
          <w:tcPr>
            <w:tcW w:w="0" w:type="auto"/>
            <w:tcBorders>
              <w:top w:val="nil"/>
              <w:left w:val="nil"/>
              <w:bottom w:val="single" w:sz="4" w:space="0" w:color="auto"/>
              <w:right w:val="single" w:sz="4" w:space="0" w:color="auto"/>
            </w:tcBorders>
            <w:shd w:val="clear" w:color="auto" w:fill="auto"/>
            <w:noWrap/>
            <w:vAlign w:val="center"/>
            <w:hideMark/>
          </w:tcPr>
          <w:p w14:paraId="0DBBBD71" w14:textId="77777777" w:rsidR="00253427" w:rsidRPr="00653977" w:rsidRDefault="00253427" w:rsidP="00EF0503">
            <w:pPr>
              <w:ind w:right="276"/>
              <w:jc w:val="right"/>
              <w:rPr>
                <w:sz w:val="22"/>
                <w:szCs w:val="22"/>
                <w:lang w:eastAsia="en-CA"/>
              </w:rPr>
            </w:pPr>
            <w:r w:rsidRPr="00653977">
              <w:rPr>
                <w:sz w:val="22"/>
                <w:szCs w:val="22"/>
                <w:lang w:eastAsia="en-CA"/>
              </w:rPr>
              <w:t>4 166</w:t>
            </w:r>
          </w:p>
        </w:tc>
        <w:tc>
          <w:tcPr>
            <w:tcW w:w="0" w:type="auto"/>
            <w:tcBorders>
              <w:top w:val="nil"/>
              <w:left w:val="nil"/>
              <w:bottom w:val="single" w:sz="4" w:space="0" w:color="auto"/>
              <w:right w:val="single" w:sz="4" w:space="0" w:color="auto"/>
            </w:tcBorders>
            <w:shd w:val="clear" w:color="auto" w:fill="auto"/>
            <w:noWrap/>
            <w:vAlign w:val="center"/>
            <w:hideMark/>
          </w:tcPr>
          <w:p w14:paraId="765F4EF8" w14:textId="77777777" w:rsidR="00253427" w:rsidRPr="00653977" w:rsidRDefault="00253427" w:rsidP="00EF0503">
            <w:pPr>
              <w:ind w:right="276"/>
              <w:jc w:val="right"/>
              <w:rPr>
                <w:sz w:val="22"/>
                <w:szCs w:val="22"/>
                <w:lang w:eastAsia="en-CA"/>
              </w:rPr>
            </w:pPr>
            <w:r w:rsidRPr="00653977">
              <w:rPr>
                <w:sz w:val="22"/>
                <w:szCs w:val="22"/>
                <w:lang w:eastAsia="en-CA"/>
              </w:rPr>
              <w:t>8 095</w:t>
            </w:r>
          </w:p>
        </w:tc>
      </w:tr>
      <w:tr w:rsidR="00253427" w:rsidRPr="00653977" w14:paraId="509525C4"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C98BD7" w14:textId="77777777" w:rsidR="00253427" w:rsidRPr="00653977" w:rsidRDefault="00253427" w:rsidP="00EF0503">
            <w:pPr>
              <w:rPr>
                <w:sz w:val="22"/>
                <w:szCs w:val="22"/>
                <w:lang w:eastAsia="en-CA"/>
              </w:rPr>
            </w:pPr>
            <w:r w:rsidRPr="00653977">
              <w:rPr>
                <w:sz w:val="22"/>
                <w:szCs w:val="22"/>
                <w:lang w:eastAsia="en-CA"/>
              </w:rPr>
              <w:t>Pakistan</w:t>
            </w:r>
          </w:p>
        </w:tc>
        <w:tc>
          <w:tcPr>
            <w:tcW w:w="2288" w:type="dxa"/>
            <w:tcBorders>
              <w:top w:val="nil"/>
              <w:left w:val="nil"/>
              <w:bottom w:val="single" w:sz="4" w:space="0" w:color="auto"/>
              <w:right w:val="single" w:sz="4" w:space="0" w:color="auto"/>
            </w:tcBorders>
            <w:shd w:val="clear" w:color="auto" w:fill="auto"/>
            <w:vAlign w:val="center"/>
            <w:hideMark/>
          </w:tcPr>
          <w:p w14:paraId="45069690" w14:textId="77777777" w:rsidR="00253427" w:rsidRPr="00653977" w:rsidRDefault="00253427" w:rsidP="00EF0503">
            <w:pPr>
              <w:ind w:right="770"/>
              <w:jc w:val="right"/>
              <w:rPr>
                <w:sz w:val="22"/>
                <w:szCs w:val="22"/>
                <w:lang w:eastAsia="en-CA"/>
              </w:rPr>
            </w:pPr>
            <w:r w:rsidRPr="00653977">
              <w:rPr>
                <w:sz w:val="22"/>
                <w:szCs w:val="22"/>
                <w:lang w:eastAsia="en-CA"/>
              </w:rPr>
              <w:t>0.093</w:t>
            </w:r>
          </w:p>
        </w:tc>
        <w:tc>
          <w:tcPr>
            <w:tcW w:w="0" w:type="auto"/>
            <w:tcBorders>
              <w:top w:val="nil"/>
              <w:left w:val="nil"/>
              <w:bottom w:val="single" w:sz="4" w:space="0" w:color="auto"/>
              <w:right w:val="single" w:sz="4" w:space="0" w:color="auto"/>
            </w:tcBorders>
            <w:shd w:val="clear" w:color="auto" w:fill="auto"/>
            <w:noWrap/>
            <w:vAlign w:val="center"/>
            <w:hideMark/>
          </w:tcPr>
          <w:p w14:paraId="28CAFC0A" w14:textId="77777777" w:rsidR="00253427" w:rsidRPr="00653977" w:rsidRDefault="00253427" w:rsidP="00EF0503">
            <w:pPr>
              <w:ind w:right="1144"/>
              <w:jc w:val="right"/>
              <w:rPr>
                <w:sz w:val="22"/>
                <w:szCs w:val="22"/>
                <w:lang w:eastAsia="en-CA"/>
              </w:rPr>
            </w:pPr>
            <w:r w:rsidRPr="00653977">
              <w:rPr>
                <w:sz w:val="22"/>
                <w:szCs w:val="22"/>
                <w:lang w:eastAsia="en-CA"/>
              </w:rPr>
              <w:t>0.135</w:t>
            </w:r>
          </w:p>
        </w:tc>
        <w:tc>
          <w:tcPr>
            <w:tcW w:w="0" w:type="auto"/>
            <w:tcBorders>
              <w:top w:val="nil"/>
              <w:left w:val="nil"/>
              <w:bottom w:val="single" w:sz="4" w:space="0" w:color="auto"/>
              <w:right w:val="single" w:sz="4" w:space="0" w:color="auto"/>
            </w:tcBorders>
            <w:shd w:val="clear" w:color="auto" w:fill="auto"/>
            <w:noWrap/>
            <w:vAlign w:val="center"/>
            <w:hideMark/>
          </w:tcPr>
          <w:p w14:paraId="0E33CA6D" w14:textId="77777777" w:rsidR="00253427" w:rsidRPr="00653977" w:rsidRDefault="00253427" w:rsidP="00EF0503">
            <w:pPr>
              <w:ind w:right="276"/>
              <w:jc w:val="right"/>
              <w:rPr>
                <w:sz w:val="22"/>
                <w:szCs w:val="22"/>
                <w:lang w:eastAsia="en-CA"/>
              </w:rPr>
            </w:pPr>
            <w:r w:rsidRPr="00653977">
              <w:rPr>
                <w:sz w:val="22"/>
                <w:szCs w:val="22"/>
                <w:lang w:eastAsia="en-CA"/>
              </w:rPr>
              <w:t>3 234</w:t>
            </w:r>
          </w:p>
        </w:tc>
        <w:tc>
          <w:tcPr>
            <w:tcW w:w="0" w:type="auto"/>
            <w:tcBorders>
              <w:top w:val="nil"/>
              <w:left w:val="nil"/>
              <w:bottom w:val="single" w:sz="4" w:space="0" w:color="auto"/>
              <w:right w:val="single" w:sz="4" w:space="0" w:color="auto"/>
            </w:tcBorders>
            <w:shd w:val="clear" w:color="auto" w:fill="auto"/>
            <w:noWrap/>
            <w:vAlign w:val="center"/>
            <w:hideMark/>
          </w:tcPr>
          <w:p w14:paraId="73E97350" w14:textId="77777777" w:rsidR="00253427" w:rsidRPr="00653977" w:rsidRDefault="00253427" w:rsidP="00EF0503">
            <w:pPr>
              <w:ind w:right="276"/>
              <w:jc w:val="right"/>
              <w:rPr>
                <w:sz w:val="22"/>
                <w:szCs w:val="22"/>
                <w:lang w:eastAsia="en-CA"/>
              </w:rPr>
            </w:pPr>
            <w:r w:rsidRPr="00653977">
              <w:rPr>
                <w:sz w:val="22"/>
                <w:szCs w:val="22"/>
                <w:lang w:eastAsia="en-CA"/>
              </w:rPr>
              <w:t>3 429</w:t>
            </w:r>
          </w:p>
        </w:tc>
        <w:tc>
          <w:tcPr>
            <w:tcW w:w="0" w:type="auto"/>
            <w:tcBorders>
              <w:top w:val="nil"/>
              <w:left w:val="nil"/>
              <w:bottom w:val="single" w:sz="4" w:space="0" w:color="auto"/>
              <w:right w:val="single" w:sz="4" w:space="0" w:color="auto"/>
            </w:tcBorders>
            <w:shd w:val="clear" w:color="auto" w:fill="auto"/>
            <w:noWrap/>
            <w:vAlign w:val="center"/>
            <w:hideMark/>
          </w:tcPr>
          <w:p w14:paraId="5DF9BB59" w14:textId="77777777" w:rsidR="00253427" w:rsidRPr="00653977" w:rsidRDefault="00253427" w:rsidP="00EF0503">
            <w:pPr>
              <w:ind w:right="276"/>
              <w:jc w:val="right"/>
              <w:rPr>
                <w:sz w:val="22"/>
                <w:szCs w:val="22"/>
                <w:lang w:eastAsia="en-CA"/>
              </w:rPr>
            </w:pPr>
            <w:r w:rsidRPr="00653977">
              <w:rPr>
                <w:sz w:val="22"/>
                <w:szCs w:val="22"/>
                <w:lang w:eastAsia="en-CA"/>
              </w:rPr>
              <w:t>6 662</w:t>
            </w:r>
          </w:p>
        </w:tc>
      </w:tr>
      <w:tr w:rsidR="00253427" w:rsidRPr="00653977" w14:paraId="6A2DC13F"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D6A148" w14:textId="77777777" w:rsidR="00253427" w:rsidRPr="00653977" w:rsidRDefault="00253427" w:rsidP="00EF0503">
            <w:pPr>
              <w:rPr>
                <w:sz w:val="22"/>
                <w:szCs w:val="22"/>
                <w:lang w:eastAsia="en-CA"/>
              </w:rPr>
            </w:pPr>
            <w:r w:rsidRPr="00653977">
              <w:rPr>
                <w:sz w:val="22"/>
                <w:szCs w:val="22"/>
                <w:lang w:eastAsia="en-CA"/>
              </w:rPr>
              <w:lastRenderedPageBreak/>
              <w:t>Palau</w:t>
            </w:r>
          </w:p>
        </w:tc>
        <w:tc>
          <w:tcPr>
            <w:tcW w:w="2288" w:type="dxa"/>
            <w:tcBorders>
              <w:top w:val="nil"/>
              <w:left w:val="nil"/>
              <w:bottom w:val="single" w:sz="4" w:space="0" w:color="auto"/>
              <w:right w:val="single" w:sz="4" w:space="0" w:color="auto"/>
            </w:tcBorders>
            <w:shd w:val="clear" w:color="auto" w:fill="auto"/>
            <w:vAlign w:val="center"/>
            <w:hideMark/>
          </w:tcPr>
          <w:p w14:paraId="38F5E8CD"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CF0C94D"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C677E17"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395D2082"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4B4E122"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514324A1"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5B7D4D" w14:textId="77777777" w:rsidR="00253427" w:rsidRPr="00653977" w:rsidRDefault="00253427" w:rsidP="00EF0503">
            <w:pPr>
              <w:rPr>
                <w:sz w:val="22"/>
                <w:szCs w:val="22"/>
                <w:lang w:eastAsia="en-CA"/>
              </w:rPr>
            </w:pPr>
            <w:r w:rsidRPr="00653977">
              <w:rPr>
                <w:sz w:val="22"/>
                <w:szCs w:val="22"/>
                <w:lang w:eastAsia="en-CA"/>
              </w:rPr>
              <w:t>Panama</w:t>
            </w:r>
          </w:p>
        </w:tc>
        <w:tc>
          <w:tcPr>
            <w:tcW w:w="2288" w:type="dxa"/>
            <w:tcBorders>
              <w:top w:val="nil"/>
              <w:left w:val="nil"/>
              <w:bottom w:val="single" w:sz="4" w:space="0" w:color="auto"/>
              <w:right w:val="single" w:sz="4" w:space="0" w:color="auto"/>
            </w:tcBorders>
            <w:shd w:val="clear" w:color="auto" w:fill="auto"/>
            <w:vAlign w:val="center"/>
            <w:hideMark/>
          </w:tcPr>
          <w:p w14:paraId="68E2F6FF" w14:textId="77777777" w:rsidR="00253427" w:rsidRPr="00653977" w:rsidRDefault="00253427" w:rsidP="00EF0503">
            <w:pPr>
              <w:ind w:right="770"/>
              <w:jc w:val="right"/>
              <w:rPr>
                <w:sz w:val="22"/>
                <w:szCs w:val="22"/>
                <w:lang w:eastAsia="en-CA"/>
              </w:rPr>
            </w:pPr>
            <w:r w:rsidRPr="00653977">
              <w:rPr>
                <w:sz w:val="22"/>
                <w:szCs w:val="22"/>
                <w:lang w:eastAsia="en-CA"/>
              </w:rPr>
              <w:t>0.034</w:t>
            </w:r>
          </w:p>
        </w:tc>
        <w:tc>
          <w:tcPr>
            <w:tcW w:w="0" w:type="auto"/>
            <w:tcBorders>
              <w:top w:val="nil"/>
              <w:left w:val="nil"/>
              <w:bottom w:val="single" w:sz="4" w:space="0" w:color="auto"/>
              <w:right w:val="single" w:sz="4" w:space="0" w:color="auto"/>
            </w:tcBorders>
            <w:shd w:val="clear" w:color="auto" w:fill="auto"/>
            <w:noWrap/>
            <w:vAlign w:val="center"/>
            <w:hideMark/>
          </w:tcPr>
          <w:p w14:paraId="662A7092" w14:textId="77777777" w:rsidR="00253427" w:rsidRPr="00653977" w:rsidRDefault="00253427" w:rsidP="00EF0503">
            <w:pPr>
              <w:ind w:right="1144"/>
              <w:jc w:val="right"/>
              <w:rPr>
                <w:sz w:val="22"/>
                <w:szCs w:val="22"/>
                <w:lang w:eastAsia="en-CA"/>
              </w:rPr>
            </w:pPr>
            <w:r w:rsidRPr="00653977">
              <w:rPr>
                <w:sz w:val="22"/>
                <w:szCs w:val="22"/>
                <w:lang w:eastAsia="en-CA"/>
              </w:rPr>
              <w:t>0.049</w:t>
            </w:r>
          </w:p>
        </w:tc>
        <w:tc>
          <w:tcPr>
            <w:tcW w:w="0" w:type="auto"/>
            <w:tcBorders>
              <w:top w:val="nil"/>
              <w:left w:val="nil"/>
              <w:bottom w:val="single" w:sz="4" w:space="0" w:color="auto"/>
              <w:right w:val="single" w:sz="4" w:space="0" w:color="auto"/>
            </w:tcBorders>
            <w:shd w:val="clear" w:color="auto" w:fill="auto"/>
            <w:noWrap/>
            <w:vAlign w:val="center"/>
            <w:hideMark/>
          </w:tcPr>
          <w:p w14:paraId="052D8C60" w14:textId="77777777" w:rsidR="00253427" w:rsidRPr="00653977" w:rsidRDefault="00253427" w:rsidP="00EF0503">
            <w:pPr>
              <w:ind w:right="276"/>
              <w:jc w:val="right"/>
              <w:rPr>
                <w:sz w:val="22"/>
                <w:szCs w:val="22"/>
                <w:lang w:eastAsia="en-CA"/>
              </w:rPr>
            </w:pPr>
            <w:r w:rsidRPr="00653977">
              <w:rPr>
                <w:sz w:val="22"/>
                <w:szCs w:val="22"/>
                <w:lang w:eastAsia="en-CA"/>
              </w:rPr>
              <w:t>1 182</w:t>
            </w:r>
          </w:p>
        </w:tc>
        <w:tc>
          <w:tcPr>
            <w:tcW w:w="0" w:type="auto"/>
            <w:tcBorders>
              <w:top w:val="nil"/>
              <w:left w:val="nil"/>
              <w:bottom w:val="single" w:sz="4" w:space="0" w:color="auto"/>
              <w:right w:val="single" w:sz="4" w:space="0" w:color="auto"/>
            </w:tcBorders>
            <w:shd w:val="clear" w:color="auto" w:fill="auto"/>
            <w:noWrap/>
            <w:vAlign w:val="center"/>
            <w:hideMark/>
          </w:tcPr>
          <w:p w14:paraId="3F6EF19A" w14:textId="77777777" w:rsidR="00253427" w:rsidRPr="00653977" w:rsidRDefault="00253427" w:rsidP="00EF0503">
            <w:pPr>
              <w:ind w:right="276"/>
              <w:jc w:val="right"/>
              <w:rPr>
                <w:sz w:val="22"/>
                <w:szCs w:val="22"/>
                <w:lang w:eastAsia="en-CA"/>
              </w:rPr>
            </w:pPr>
            <w:r w:rsidRPr="00653977">
              <w:rPr>
                <w:sz w:val="22"/>
                <w:szCs w:val="22"/>
                <w:lang w:eastAsia="en-CA"/>
              </w:rPr>
              <w:t>1 254</w:t>
            </w:r>
          </w:p>
        </w:tc>
        <w:tc>
          <w:tcPr>
            <w:tcW w:w="0" w:type="auto"/>
            <w:tcBorders>
              <w:top w:val="nil"/>
              <w:left w:val="nil"/>
              <w:bottom w:val="single" w:sz="4" w:space="0" w:color="auto"/>
              <w:right w:val="single" w:sz="4" w:space="0" w:color="auto"/>
            </w:tcBorders>
            <w:shd w:val="clear" w:color="auto" w:fill="auto"/>
            <w:noWrap/>
            <w:vAlign w:val="center"/>
            <w:hideMark/>
          </w:tcPr>
          <w:p w14:paraId="1E3779AA" w14:textId="77777777" w:rsidR="00253427" w:rsidRPr="00653977" w:rsidRDefault="00253427" w:rsidP="00EF0503">
            <w:pPr>
              <w:ind w:right="276"/>
              <w:jc w:val="right"/>
              <w:rPr>
                <w:sz w:val="22"/>
                <w:szCs w:val="22"/>
                <w:lang w:eastAsia="en-CA"/>
              </w:rPr>
            </w:pPr>
            <w:r w:rsidRPr="00653977">
              <w:rPr>
                <w:sz w:val="22"/>
                <w:szCs w:val="22"/>
                <w:lang w:eastAsia="en-CA"/>
              </w:rPr>
              <w:t>2 436</w:t>
            </w:r>
          </w:p>
        </w:tc>
      </w:tr>
      <w:tr w:rsidR="00253427" w:rsidRPr="00653977" w14:paraId="57F81DF1"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E12555" w14:textId="77777777" w:rsidR="00253427" w:rsidRPr="00653977" w:rsidRDefault="00253427" w:rsidP="00EF0503">
            <w:pPr>
              <w:rPr>
                <w:sz w:val="22"/>
                <w:szCs w:val="22"/>
                <w:lang w:eastAsia="en-CA"/>
              </w:rPr>
            </w:pPr>
            <w:r w:rsidRPr="00653977">
              <w:rPr>
                <w:sz w:val="22"/>
                <w:szCs w:val="22"/>
                <w:lang w:eastAsia="en-CA"/>
              </w:rPr>
              <w:t>Papua New Guinea</w:t>
            </w:r>
          </w:p>
        </w:tc>
        <w:tc>
          <w:tcPr>
            <w:tcW w:w="2288" w:type="dxa"/>
            <w:tcBorders>
              <w:top w:val="nil"/>
              <w:left w:val="nil"/>
              <w:bottom w:val="single" w:sz="4" w:space="0" w:color="auto"/>
              <w:right w:val="single" w:sz="4" w:space="0" w:color="auto"/>
            </w:tcBorders>
            <w:shd w:val="clear" w:color="auto" w:fill="auto"/>
            <w:vAlign w:val="center"/>
            <w:hideMark/>
          </w:tcPr>
          <w:p w14:paraId="3361F67C" w14:textId="77777777" w:rsidR="00253427" w:rsidRPr="00653977" w:rsidRDefault="00253427" w:rsidP="00EF0503">
            <w:pPr>
              <w:ind w:right="770"/>
              <w:jc w:val="right"/>
              <w:rPr>
                <w:sz w:val="22"/>
                <w:szCs w:val="22"/>
                <w:lang w:eastAsia="en-CA"/>
              </w:rPr>
            </w:pPr>
            <w:r w:rsidRPr="00653977">
              <w:rPr>
                <w:sz w:val="22"/>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5039CD43" w14:textId="77777777" w:rsidR="00253427" w:rsidRPr="00653977" w:rsidRDefault="00253427" w:rsidP="00EF0503">
            <w:pPr>
              <w:ind w:right="1144"/>
              <w:jc w:val="right"/>
              <w:rPr>
                <w:sz w:val="22"/>
                <w:szCs w:val="22"/>
                <w:lang w:eastAsia="en-CA"/>
              </w:rPr>
            </w:pPr>
            <w:r w:rsidRPr="00653977">
              <w:rPr>
                <w:sz w:val="22"/>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5484517D" w14:textId="77777777" w:rsidR="00253427" w:rsidRPr="00653977" w:rsidRDefault="00253427" w:rsidP="00EF0503">
            <w:pPr>
              <w:ind w:right="276"/>
              <w:jc w:val="right"/>
              <w:rPr>
                <w:sz w:val="22"/>
                <w:szCs w:val="22"/>
                <w:lang w:eastAsia="en-CA"/>
              </w:rPr>
            </w:pPr>
            <w:r w:rsidRPr="00653977">
              <w:rPr>
                <w:sz w:val="22"/>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7337138E" w14:textId="77777777" w:rsidR="00253427" w:rsidRPr="00653977" w:rsidRDefault="00253427" w:rsidP="00EF0503">
            <w:pPr>
              <w:ind w:right="276"/>
              <w:jc w:val="right"/>
              <w:rPr>
                <w:sz w:val="22"/>
                <w:szCs w:val="22"/>
                <w:lang w:eastAsia="en-CA"/>
              </w:rPr>
            </w:pPr>
            <w:r w:rsidRPr="00653977">
              <w:rPr>
                <w:sz w:val="22"/>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22F6250D" w14:textId="77777777" w:rsidR="00253427" w:rsidRPr="00653977" w:rsidRDefault="00253427" w:rsidP="00EF0503">
            <w:pPr>
              <w:ind w:right="276"/>
              <w:jc w:val="right"/>
              <w:rPr>
                <w:sz w:val="22"/>
                <w:szCs w:val="22"/>
                <w:lang w:eastAsia="en-CA"/>
              </w:rPr>
            </w:pPr>
            <w:r w:rsidRPr="00653977">
              <w:rPr>
                <w:sz w:val="22"/>
                <w:szCs w:val="22"/>
                <w:lang w:eastAsia="en-CA"/>
              </w:rPr>
              <w:t>287</w:t>
            </w:r>
          </w:p>
        </w:tc>
      </w:tr>
      <w:tr w:rsidR="00253427" w:rsidRPr="00653977" w14:paraId="48759CAB"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A1858F" w14:textId="77777777" w:rsidR="00253427" w:rsidRPr="00653977" w:rsidRDefault="00253427" w:rsidP="00EF0503">
            <w:pPr>
              <w:rPr>
                <w:sz w:val="22"/>
                <w:szCs w:val="22"/>
                <w:lang w:eastAsia="en-CA"/>
              </w:rPr>
            </w:pPr>
            <w:r w:rsidRPr="00653977">
              <w:rPr>
                <w:sz w:val="22"/>
                <w:szCs w:val="22"/>
                <w:lang w:eastAsia="en-CA"/>
              </w:rPr>
              <w:t>Paraguay</w:t>
            </w:r>
          </w:p>
        </w:tc>
        <w:tc>
          <w:tcPr>
            <w:tcW w:w="2288" w:type="dxa"/>
            <w:tcBorders>
              <w:top w:val="nil"/>
              <w:left w:val="nil"/>
              <w:bottom w:val="single" w:sz="4" w:space="0" w:color="auto"/>
              <w:right w:val="single" w:sz="4" w:space="0" w:color="auto"/>
            </w:tcBorders>
            <w:shd w:val="clear" w:color="auto" w:fill="auto"/>
            <w:vAlign w:val="center"/>
            <w:hideMark/>
          </w:tcPr>
          <w:p w14:paraId="238DA514" w14:textId="77777777" w:rsidR="00253427" w:rsidRPr="00653977" w:rsidRDefault="00253427" w:rsidP="00EF0503">
            <w:pPr>
              <w:ind w:right="770"/>
              <w:jc w:val="right"/>
              <w:rPr>
                <w:sz w:val="22"/>
                <w:szCs w:val="22"/>
                <w:lang w:eastAsia="en-CA"/>
              </w:rPr>
            </w:pPr>
            <w:r w:rsidRPr="00653977">
              <w:rPr>
                <w:sz w:val="22"/>
                <w:szCs w:val="22"/>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0C02B9D9" w14:textId="77777777" w:rsidR="00253427" w:rsidRPr="00653977" w:rsidRDefault="00253427" w:rsidP="00EF0503">
            <w:pPr>
              <w:ind w:right="1144"/>
              <w:jc w:val="right"/>
              <w:rPr>
                <w:sz w:val="22"/>
                <w:szCs w:val="22"/>
                <w:lang w:eastAsia="en-CA"/>
              </w:rPr>
            </w:pPr>
            <w:r w:rsidRPr="00653977">
              <w:rPr>
                <w:sz w:val="22"/>
                <w:szCs w:val="22"/>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5FA07B8B" w14:textId="77777777" w:rsidR="00253427" w:rsidRPr="00653977" w:rsidRDefault="00253427" w:rsidP="00EF0503">
            <w:pPr>
              <w:ind w:right="276"/>
              <w:jc w:val="right"/>
              <w:rPr>
                <w:sz w:val="22"/>
                <w:szCs w:val="22"/>
                <w:lang w:eastAsia="en-CA"/>
              </w:rPr>
            </w:pPr>
            <w:r w:rsidRPr="00653977">
              <w:rPr>
                <w:sz w:val="22"/>
                <w:szCs w:val="22"/>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2AB068CD" w14:textId="77777777" w:rsidR="00253427" w:rsidRPr="00653977" w:rsidRDefault="00253427" w:rsidP="00EF0503">
            <w:pPr>
              <w:ind w:right="276"/>
              <w:jc w:val="right"/>
              <w:rPr>
                <w:sz w:val="22"/>
                <w:szCs w:val="22"/>
                <w:lang w:eastAsia="en-CA"/>
              </w:rPr>
            </w:pPr>
            <w:r w:rsidRPr="00653977">
              <w:rPr>
                <w:sz w:val="22"/>
                <w:szCs w:val="22"/>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4CB14A20" w14:textId="77777777" w:rsidR="00253427" w:rsidRPr="00653977" w:rsidRDefault="00253427" w:rsidP="00EF0503">
            <w:pPr>
              <w:ind w:right="276"/>
              <w:jc w:val="right"/>
              <w:rPr>
                <w:sz w:val="22"/>
                <w:szCs w:val="22"/>
                <w:lang w:eastAsia="en-CA"/>
              </w:rPr>
            </w:pPr>
            <w:r w:rsidRPr="00653977">
              <w:rPr>
                <w:sz w:val="22"/>
                <w:szCs w:val="22"/>
                <w:lang w:eastAsia="en-CA"/>
              </w:rPr>
              <w:t>1 003</w:t>
            </w:r>
          </w:p>
        </w:tc>
      </w:tr>
      <w:tr w:rsidR="00253427" w:rsidRPr="00653977" w14:paraId="31C30030"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082D4D" w14:textId="77777777" w:rsidR="00253427" w:rsidRPr="00653977" w:rsidRDefault="00253427" w:rsidP="00EF0503">
            <w:pPr>
              <w:rPr>
                <w:sz w:val="22"/>
                <w:szCs w:val="22"/>
                <w:lang w:eastAsia="en-CA"/>
              </w:rPr>
            </w:pPr>
            <w:r w:rsidRPr="00653977">
              <w:rPr>
                <w:sz w:val="22"/>
                <w:szCs w:val="22"/>
                <w:lang w:eastAsia="en-CA"/>
              </w:rPr>
              <w:t>Peru</w:t>
            </w:r>
          </w:p>
        </w:tc>
        <w:tc>
          <w:tcPr>
            <w:tcW w:w="2288" w:type="dxa"/>
            <w:tcBorders>
              <w:top w:val="nil"/>
              <w:left w:val="nil"/>
              <w:bottom w:val="single" w:sz="4" w:space="0" w:color="auto"/>
              <w:right w:val="single" w:sz="4" w:space="0" w:color="auto"/>
            </w:tcBorders>
            <w:shd w:val="clear" w:color="auto" w:fill="auto"/>
            <w:vAlign w:val="center"/>
            <w:hideMark/>
          </w:tcPr>
          <w:p w14:paraId="4BBED35D" w14:textId="77777777" w:rsidR="00253427" w:rsidRPr="00653977" w:rsidRDefault="00253427" w:rsidP="00EF0503">
            <w:pPr>
              <w:ind w:right="770"/>
              <w:jc w:val="right"/>
              <w:rPr>
                <w:sz w:val="22"/>
                <w:szCs w:val="22"/>
                <w:lang w:eastAsia="en-CA"/>
              </w:rPr>
            </w:pPr>
            <w:r w:rsidRPr="00653977">
              <w:rPr>
                <w:sz w:val="22"/>
                <w:szCs w:val="22"/>
                <w:lang w:eastAsia="en-CA"/>
              </w:rPr>
              <w:t>0.136</w:t>
            </w:r>
          </w:p>
        </w:tc>
        <w:tc>
          <w:tcPr>
            <w:tcW w:w="0" w:type="auto"/>
            <w:tcBorders>
              <w:top w:val="nil"/>
              <w:left w:val="nil"/>
              <w:bottom w:val="single" w:sz="4" w:space="0" w:color="auto"/>
              <w:right w:val="single" w:sz="4" w:space="0" w:color="auto"/>
            </w:tcBorders>
            <w:shd w:val="clear" w:color="auto" w:fill="auto"/>
            <w:noWrap/>
            <w:vAlign w:val="center"/>
            <w:hideMark/>
          </w:tcPr>
          <w:p w14:paraId="72BF824E" w14:textId="77777777" w:rsidR="00253427" w:rsidRPr="00653977" w:rsidRDefault="00253427" w:rsidP="00EF0503">
            <w:pPr>
              <w:ind w:right="1144"/>
              <w:jc w:val="right"/>
              <w:rPr>
                <w:sz w:val="22"/>
                <w:szCs w:val="22"/>
                <w:lang w:eastAsia="en-CA"/>
              </w:rPr>
            </w:pPr>
            <w:r w:rsidRPr="00653977">
              <w:rPr>
                <w:sz w:val="22"/>
                <w:szCs w:val="22"/>
                <w:lang w:eastAsia="en-CA"/>
              </w:rPr>
              <w:t>0.197</w:t>
            </w:r>
          </w:p>
        </w:tc>
        <w:tc>
          <w:tcPr>
            <w:tcW w:w="0" w:type="auto"/>
            <w:tcBorders>
              <w:top w:val="nil"/>
              <w:left w:val="nil"/>
              <w:bottom w:val="single" w:sz="4" w:space="0" w:color="auto"/>
              <w:right w:val="single" w:sz="4" w:space="0" w:color="auto"/>
            </w:tcBorders>
            <w:shd w:val="clear" w:color="auto" w:fill="auto"/>
            <w:noWrap/>
            <w:vAlign w:val="center"/>
            <w:hideMark/>
          </w:tcPr>
          <w:p w14:paraId="37F6DD47" w14:textId="77777777" w:rsidR="00253427" w:rsidRPr="00653977" w:rsidRDefault="00253427" w:rsidP="00EF0503">
            <w:pPr>
              <w:ind w:right="276"/>
              <w:jc w:val="right"/>
              <w:rPr>
                <w:sz w:val="22"/>
                <w:szCs w:val="22"/>
                <w:lang w:eastAsia="en-CA"/>
              </w:rPr>
            </w:pPr>
            <w:r w:rsidRPr="00653977">
              <w:rPr>
                <w:sz w:val="22"/>
                <w:szCs w:val="22"/>
                <w:lang w:eastAsia="en-CA"/>
              </w:rPr>
              <w:t>4 729</w:t>
            </w:r>
          </w:p>
        </w:tc>
        <w:tc>
          <w:tcPr>
            <w:tcW w:w="0" w:type="auto"/>
            <w:tcBorders>
              <w:top w:val="nil"/>
              <w:left w:val="nil"/>
              <w:bottom w:val="single" w:sz="4" w:space="0" w:color="auto"/>
              <w:right w:val="single" w:sz="4" w:space="0" w:color="auto"/>
            </w:tcBorders>
            <w:shd w:val="clear" w:color="auto" w:fill="auto"/>
            <w:noWrap/>
            <w:vAlign w:val="center"/>
            <w:hideMark/>
          </w:tcPr>
          <w:p w14:paraId="1493B8D9" w14:textId="77777777" w:rsidR="00253427" w:rsidRPr="00653977" w:rsidRDefault="00253427" w:rsidP="00EF0503">
            <w:pPr>
              <w:ind w:right="276"/>
              <w:jc w:val="right"/>
              <w:rPr>
                <w:sz w:val="22"/>
                <w:szCs w:val="22"/>
                <w:lang w:eastAsia="en-CA"/>
              </w:rPr>
            </w:pPr>
            <w:r w:rsidRPr="00653977">
              <w:rPr>
                <w:sz w:val="22"/>
                <w:szCs w:val="22"/>
                <w:lang w:eastAsia="en-CA"/>
              </w:rPr>
              <w:t>5 014</w:t>
            </w:r>
          </w:p>
        </w:tc>
        <w:tc>
          <w:tcPr>
            <w:tcW w:w="0" w:type="auto"/>
            <w:tcBorders>
              <w:top w:val="nil"/>
              <w:left w:val="nil"/>
              <w:bottom w:val="single" w:sz="4" w:space="0" w:color="auto"/>
              <w:right w:val="single" w:sz="4" w:space="0" w:color="auto"/>
            </w:tcBorders>
            <w:shd w:val="clear" w:color="auto" w:fill="auto"/>
            <w:noWrap/>
            <w:vAlign w:val="center"/>
            <w:hideMark/>
          </w:tcPr>
          <w:p w14:paraId="02271E53" w14:textId="77777777" w:rsidR="00253427" w:rsidRPr="00653977" w:rsidRDefault="00253427" w:rsidP="00EF0503">
            <w:pPr>
              <w:ind w:right="276"/>
              <w:jc w:val="right"/>
              <w:rPr>
                <w:sz w:val="22"/>
                <w:szCs w:val="22"/>
                <w:lang w:eastAsia="en-CA"/>
              </w:rPr>
            </w:pPr>
            <w:r w:rsidRPr="00653977">
              <w:rPr>
                <w:sz w:val="22"/>
                <w:szCs w:val="22"/>
                <w:lang w:eastAsia="en-CA"/>
              </w:rPr>
              <w:t>9 743</w:t>
            </w:r>
          </w:p>
        </w:tc>
      </w:tr>
      <w:tr w:rsidR="00253427" w:rsidRPr="00653977" w14:paraId="1CA016C9"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EB0776" w14:textId="77777777" w:rsidR="00253427" w:rsidRPr="00653977" w:rsidRDefault="00253427" w:rsidP="00EF0503">
            <w:pPr>
              <w:rPr>
                <w:sz w:val="22"/>
                <w:szCs w:val="22"/>
                <w:lang w:eastAsia="en-CA"/>
              </w:rPr>
            </w:pPr>
            <w:r w:rsidRPr="00653977">
              <w:rPr>
                <w:sz w:val="22"/>
                <w:szCs w:val="22"/>
                <w:lang w:eastAsia="en-CA"/>
              </w:rPr>
              <w:t>Philippines</w:t>
            </w:r>
          </w:p>
        </w:tc>
        <w:tc>
          <w:tcPr>
            <w:tcW w:w="2288" w:type="dxa"/>
            <w:tcBorders>
              <w:top w:val="nil"/>
              <w:left w:val="nil"/>
              <w:bottom w:val="single" w:sz="4" w:space="0" w:color="auto"/>
              <w:right w:val="single" w:sz="4" w:space="0" w:color="auto"/>
            </w:tcBorders>
            <w:shd w:val="clear" w:color="auto" w:fill="auto"/>
            <w:vAlign w:val="center"/>
            <w:hideMark/>
          </w:tcPr>
          <w:p w14:paraId="7389F210" w14:textId="77777777" w:rsidR="00253427" w:rsidRPr="00653977" w:rsidRDefault="00253427" w:rsidP="00EF0503">
            <w:pPr>
              <w:ind w:right="770"/>
              <w:jc w:val="right"/>
              <w:rPr>
                <w:sz w:val="22"/>
                <w:szCs w:val="22"/>
                <w:lang w:eastAsia="en-CA"/>
              </w:rPr>
            </w:pPr>
            <w:r w:rsidRPr="00653977">
              <w:rPr>
                <w:sz w:val="22"/>
                <w:szCs w:val="22"/>
                <w:lang w:eastAsia="en-CA"/>
              </w:rPr>
              <w:t>0.165</w:t>
            </w:r>
          </w:p>
        </w:tc>
        <w:tc>
          <w:tcPr>
            <w:tcW w:w="0" w:type="auto"/>
            <w:tcBorders>
              <w:top w:val="nil"/>
              <w:left w:val="nil"/>
              <w:bottom w:val="single" w:sz="4" w:space="0" w:color="auto"/>
              <w:right w:val="single" w:sz="4" w:space="0" w:color="auto"/>
            </w:tcBorders>
            <w:shd w:val="clear" w:color="auto" w:fill="auto"/>
            <w:noWrap/>
            <w:vAlign w:val="center"/>
            <w:hideMark/>
          </w:tcPr>
          <w:p w14:paraId="0E18327F" w14:textId="77777777" w:rsidR="00253427" w:rsidRPr="00653977" w:rsidRDefault="00253427" w:rsidP="00EF0503">
            <w:pPr>
              <w:ind w:right="1144"/>
              <w:jc w:val="right"/>
              <w:rPr>
                <w:sz w:val="22"/>
                <w:szCs w:val="22"/>
                <w:lang w:eastAsia="en-CA"/>
              </w:rPr>
            </w:pPr>
            <w:r w:rsidRPr="00653977">
              <w:rPr>
                <w:sz w:val="22"/>
                <w:szCs w:val="22"/>
                <w:lang w:eastAsia="en-CA"/>
              </w:rPr>
              <w:t>0.239</w:t>
            </w:r>
          </w:p>
        </w:tc>
        <w:tc>
          <w:tcPr>
            <w:tcW w:w="0" w:type="auto"/>
            <w:tcBorders>
              <w:top w:val="nil"/>
              <w:left w:val="nil"/>
              <w:bottom w:val="single" w:sz="4" w:space="0" w:color="auto"/>
              <w:right w:val="single" w:sz="4" w:space="0" w:color="auto"/>
            </w:tcBorders>
            <w:shd w:val="clear" w:color="auto" w:fill="auto"/>
            <w:noWrap/>
            <w:vAlign w:val="center"/>
            <w:hideMark/>
          </w:tcPr>
          <w:p w14:paraId="5155EE27" w14:textId="77777777" w:rsidR="00253427" w:rsidRPr="00653977" w:rsidRDefault="00253427" w:rsidP="00EF0503">
            <w:pPr>
              <w:ind w:right="276"/>
              <w:jc w:val="right"/>
              <w:rPr>
                <w:sz w:val="22"/>
                <w:szCs w:val="22"/>
                <w:lang w:eastAsia="en-CA"/>
              </w:rPr>
            </w:pPr>
            <w:r w:rsidRPr="00653977">
              <w:rPr>
                <w:sz w:val="22"/>
                <w:szCs w:val="22"/>
                <w:lang w:eastAsia="en-CA"/>
              </w:rPr>
              <w:t>5 737</w:t>
            </w:r>
          </w:p>
        </w:tc>
        <w:tc>
          <w:tcPr>
            <w:tcW w:w="0" w:type="auto"/>
            <w:tcBorders>
              <w:top w:val="nil"/>
              <w:left w:val="nil"/>
              <w:bottom w:val="single" w:sz="4" w:space="0" w:color="auto"/>
              <w:right w:val="single" w:sz="4" w:space="0" w:color="auto"/>
            </w:tcBorders>
            <w:shd w:val="clear" w:color="auto" w:fill="auto"/>
            <w:noWrap/>
            <w:vAlign w:val="center"/>
            <w:hideMark/>
          </w:tcPr>
          <w:p w14:paraId="689E3AF6" w14:textId="77777777" w:rsidR="00253427" w:rsidRPr="00653977" w:rsidRDefault="00253427" w:rsidP="00EF0503">
            <w:pPr>
              <w:ind w:right="276"/>
              <w:jc w:val="right"/>
              <w:rPr>
                <w:sz w:val="22"/>
                <w:szCs w:val="22"/>
                <w:lang w:eastAsia="en-CA"/>
              </w:rPr>
            </w:pPr>
            <w:r w:rsidRPr="00653977">
              <w:rPr>
                <w:sz w:val="22"/>
                <w:szCs w:val="22"/>
                <w:lang w:eastAsia="en-CA"/>
              </w:rPr>
              <w:t>6 083</w:t>
            </w:r>
          </w:p>
        </w:tc>
        <w:tc>
          <w:tcPr>
            <w:tcW w:w="0" w:type="auto"/>
            <w:tcBorders>
              <w:top w:val="nil"/>
              <w:left w:val="nil"/>
              <w:bottom w:val="single" w:sz="4" w:space="0" w:color="auto"/>
              <w:right w:val="single" w:sz="4" w:space="0" w:color="auto"/>
            </w:tcBorders>
            <w:shd w:val="clear" w:color="auto" w:fill="auto"/>
            <w:noWrap/>
            <w:vAlign w:val="center"/>
            <w:hideMark/>
          </w:tcPr>
          <w:p w14:paraId="1948E5AF" w14:textId="77777777" w:rsidR="00253427" w:rsidRPr="00653977" w:rsidRDefault="00253427" w:rsidP="00EF0503">
            <w:pPr>
              <w:ind w:right="276"/>
              <w:jc w:val="right"/>
              <w:rPr>
                <w:sz w:val="22"/>
                <w:szCs w:val="22"/>
                <w:lang w:eastAsia="en-CA"/>
              </w:rPr>
            </w:pPr>
            <w:r w:rsidRPr="00653977">
              <w:rPr>
                <w:sz w:val="22"/>
                <w:szCs w:val="22"/>
                <w:lang w:eastAsia="en-CA"/>
              </w:rPr>
              <w:t>11 820</w:t>
            </w:r>
          </w:p>
        </w:tc>
      </w:tr>
      <w:tr w:rsidR="00253427" w:rsidRPr="00653977" w14:paraId="46E821EE"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96D6F0" w14:textId="77777777" w:rsidR="00253427" w:rsidRPr="00653977" w:rsidRDefault="00253427" w:rsidP="00EF0503">
            <w:pPr>
              <w:rPr>
                <w:sz w:val="22"/>
                <w:szCs w:val="22"/>
                <w:lang w:eastAsia="en-CA"/>
              </w:rPr>
            </w:pPr>
            <w:r w:rsidRPr="00653977">
              <w:rPr>
                <w:sz w:val="22"/>
                <w:szCs w:val="22"/>
                <w:lang w:eastAsia="en-CA"/>
              </w:rPr>
              <w:t>Poland</w:t>
            </w:r>
          </w:p>
        </w:tc>
        <w:tc>
          <w:tcPr>
            <w:tcW w:w="2288" w:type="dxa"/>
            <w:tcBorders>
              <w:top w:val="nil"/>
              <w:left w:val="nil"/>
              <w:bottom w:val="single" w:sz="4" w:space="0" w:color="auto"/>
              <w:right w:val="single" w:sz="4" w:space="0" w:color="auto"/>
            </w:tcBorders>
            <w:shd w:val="clear" w:color="auto" w:fill="auto"/>
            <w:vAlign w:val="center"/>
            <w:hideMark/>
          </w:tcPr>
          <w:p w14:paraId="69C09EAF" w14:textId="77777777" w:rsidR="00253427" w:rsidRPr="00653977" w:rsidRDefault="00253427" w:rsidP="00EF0503">
            <w:pPr>
              <w:ind w:right="770"/>
              <w:jc w:val="right"/>
              <w:rPr>
                <w:sz w:val="22"/>
                <w:szCs w:val="22"/>
                <w:lang w:eastAsia="en-CA"/>
              </w:rPr>
            </w:pPr>
            <w:r w:rsidRPr="00653977">
              <w:rPr>
                <w:sz w:val="22"/>
                <w:szCs w:val="22"/>
                <w:lang w:eastAsia="en-CA"/>
              </w:rPr>
              <w:t>0.841</w:t>
            </w:r>
          </w:p>
        </w:tc>
        <w:tc>
          <w:tcPr>
            <w:tcW w:w="0" w:type="auto"/>
            <w:tcBorders>
              <w:top w:val="nil"/>
              <w:left w:val="nil"/>
              <w:bottom w:val="single" w:sz="4" w:space="0" w:color="auto"/>
              <w:right w:val="single" w:sz="4" w:space="0" w:color="auto"/>
            </w:tcBorders>
            <w:shd w:val="clear" w:color="auto" w:fill="auto"/>
            <w:noWrap/>
            <w:vAlign w:val="center"/>
            <w:hideMark/>
          </w:tcPr>
          <w:p w14:paraId="1D949630" w14:textId="77777777" w:rsidR="00253427" w:rsidRPr="00653977" w:rsidRDefault="00253427" w:rsidP="00EF0503">
            <w:pPr>
              <w:ind w:right="1144"/>
              <w:jc w:val="right"/>
              <w:rPr>
                <w:sz w:val="22"/>
                <w:szCs w:val="22"/>
                <w:lang w:eastAsia="en-CA"/>
              </w:rPr>
            </w:pPr>
            <w:r w:rsidRPr="00653977">
              <w:rPr>
                <w:sz w:val="22"/>
                <w:szCs w:val="22"/>
                <w:lang w:eastAsia="en-CA"/>
              </w:rPr>
              <w:t>1.218</w:t>
            </w:r>
          </w:p>
        </w:tc>
        <w:tc>
          <w:tcPr>
            <w:tcW w:w="0" w:type="auto"/>
            <w:tcBorders>
              <w:top w:val="nil"/>
              <w:left w:val="nil"/>
              <w:bottom w:val="single" w:sz="4" w:space="0" w:color="auto"/>
              <w:right w:val="single" w:sz="4" w:space="0" w:color="auto"/>
            </w:tcBorders>
            <w:shd w:val="clear" w:color="auto" w:fill="auto"/>
            <w:noWrap/>
            <w:vAlign w:val="center"/>
            <w:hideMark/>
          </w:tcPr>
          <w:p w14:paraId="68527784" w14:textId="77777777" w:rsidR="00253427" w:rsidRPr="00653977" w:rsidRDefault="00253427" w:rsidP="00EF0503">
            <w:pPr>
              <w:ind w:right="276"/>
              <w:jc w:val="right"/>
              <w:rPr>
                <w:sz w:val="22"/>
                <w:szCs w:val="22"/>
                <w:lang w:eastAsia="en-CA"/>
              </w:rPr>
            </w:pPr>
            <w:r w:rsidRPr="00653977">
              <w:rPr>
                <w:sz w:val="22"/>
                <w:szCs w:val="22"/>
                <w:lang w:eastAsia="en-CA"/>
              </w:rPr>
              <w:t>29 241</w:t>
            </w:r>
          </w:p>
        </w:tc>
        <w:tc>
          <w:tcPr>
            <w:tcW w:w="0" w:type="auto"/>
            <w:tcBorders>
              <w:top w:val="nil"/>
              <w:left w:val="nil"/>
              <w:bottom w:val="single" w:sz="4" w:space="0" w:color="auto"/>
              <w:right w:val="single" w:sz="4" w:space="0" w:color="auto"/>
            </w:tcBorders>
            <w:shd w:val="clear" w:color="auto" w:fill="auto"/>
            <w:noWrap/>
            <w:vAlign w:val="center"/>
            <w:hideMark/>
          </w:tcPr>
          <w:p w14:paraId="3EBFF91E" w14:textId="77777777" w:rsidR="00253427" w:rsidRPr="00653977" w:rsidRDefault="00253427" w:rsidP="00EF0503">
            <w:pPr>
              <w:ind w:right="276"/>
              <w:jc w:val="right"/>
              <w:rPr>
                <w:sz w:val="22"/>
                <w:szCs w:val="22"/>
                <w:lang w:eastAsia="en-CA"/>
              </w:rPr>
            </w:pPr>
            <w:r w:rsidRPr="00653977">
              <w:rPr>
                <w:sz w:val="22"/>
                <w:szCs w:val="22"/>
                <w:lang w:eastAsia="en-CA"/>
              </w:rPr>
              <w:t>31 007</w:t>
            </w:r>
          </w:p>
        </w:tc>
        <w:tc>
          <w:tcPr>
            <w:tcW w:w="0" w:type="auto"/>
            <w:tcBorders>
              <w:top w:val="nil"/>
              <w:left w:val="nil"/>
              <w:bottom w:val="single" w:sz="4" w:space="0" w:color="auto"/>
              <w:right w:val="single" w:sz="4" w:space="0" w:color="auto"/>
            </w:tcBorders>
            <w:shd w:val="clear" w:color="auto" w:fill="auto"/>
            <w:noWrap/>
            <w:vAlign w:val="center"/>
            <w:hideMark/>
          </w:tcPr>
          <w:p w14:paraId="65C4B888" w14:textId="77777777" w:rsidR="00253427" w:rsidRPr="00653977" w:rsidRDefault="00253427" w:rsidP="00EF0503">
            <w:pPr>
              <w:ind w:right="276"/>
              <w:jc w:val="right"/>
              <w:rPr>
                <w:sz w:val="22"/>
                <w:szCs w:val="22"/>
                <w:lang w:eastAsia="en-CA"/>
              </w:rPr>
            </w:pPr>
            <w:r w:rsidRPr="00653977">
              <w:rPr>
                <w:sz w:val="22"/>
                <w:szCs w:val="22"/>
                <w:lang w:eastAsia="en-CA"/>
              </w:rPr>
              <w:t>60 248</w:t>
            </w:r>
          </w:p>
        </w:tc>
      </w:tr>
      <w:tr w:rsidR="00253427" w:rsidRPr="00653977" w14:paraId="776A9793"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6A9036" w14:textId="77777777" w:rsidR="00253427" w:rsidRPr="00653977" w:rsidRDefault="00253427" w:rsidP="00EF0503">
            <w:pPr>
              <w:rPr>
                <w:sz w:val="22"/>
                <w:szCs w:val="22"/>
                <w:lang w:eastAsia="en-CA"/>
              </w:rPr>
            </w:pPr>
            <w:r w:rsidRPr="00653977">
              <w:rPr>
                <w:sz w:val="22"/>
                <w:szCs w:val="22"/>
                <w:lang w:eastAsia="en-CA"/>
              </w:rPr>
              <w:t>Portugal</w:t>
            </w:r>
          </w:p>
        </w:tc>
        <w:tc>
          <w:tcPr>
            <w:tcW w:w="2288" w:type="dxa"/>
            <w:tcBorders>
              <w:top w:val="nil"/>
              <w:left w:val="nil"/>
              <w:bottom w:val="single" w:sz="4" w:space="0" w:color="auto"/>
              <w:right w:val="single" w:sz="4" w:space="0" w:color="auto"/>
            </w:tcBorders>
            <w:shd w:val="clear" w:color="auto" w:fill="auto"/>
            <w:vAlign w:val="center"/>
            <w:hideMark/>
          </w:tcPr>
          <w:p w14:paraId="5D2B3EE8" w14:textId="77777777" w:rsidR="00253427" w:rsidRPr="00653977" w:rsidRDefault="00253427" w:rsidP="00EF0503">
            <w:pPr>
              <w:ind w:right="770"/>
              <w:jc w:val="right"/>
              <w:rPr>
                <w:sz w:val="22"/>
                <w:szCs w:val="22"/>
                <w:lang w:eastAsia="en-CA"/>
              </w:rPr>
            </w:pPr>
            <w:r w:rsidRPr="00653977">
              <w:rPr>
                <w:sz w:val="22"/>
                <w:szCs w:val="22"/>
                <w:lang w:eastAsia="en-CA"/>
              </w:rPr>
              <w:t>0.392</w:t>
            </w:r>
          </w:p>
        </w:tc>
        <w:tc>
          <w:tcPr>
            <w:tcW w:w="0" w:type="auto"/>
            <w:tcBorders>
              <w:top w:val="nil"/>
              <w:left w:val="nil"/>
              <w:bottom w:val="single" w:sz="4" w:space="0" w:color="auto"/>
              <w:right w:val="single" w:sz="4" w:space="0" w:color="auto"/>
            </w:tcBorders>
            <w:shd w:val="clear" w:color="auto" w:fill="auto"/>
            <w:noWrap/>
            <w:vAlign w:val="center"/>
            <w:hideMark/>
          </w:tcPr>
          <w:p w14:paraId="5F193B92" w14:textId="77777777" w:rsidR="00253427" w:rsidRPr="00653977" w:rsidRDefault="00253427" w:rsidP="00EF0503">
            <w:pPr>
              <w:ind w:right="1144"/>
              <w:jc w:val="right"/>
              <w:rPr>
                <w:sz w:val="22"/>
                <w:szCs w:val="22"/>
                <w:lang w:eastAsia="en-CA"/>
              </w:rPr>
            </w:pPr>
            <w:r w:rsidRPr="00653977">
              <w:rPr>
                <w:sz w:val="22"/>
                <w:szCs w:val="22"/>
                <w:lang w:eastAsia="en-CA"/>
              </w:rPr>
              <w:t>0.568</w:t>
            </w:r>
          </w:p>
        </w:tc>
        <w:tc>
          <w:tcPr>
            <w:tcW w:w="0" w:type="auto"/>
            <w:tcBorders>
              <w:top w:val="nil"/>
              <w:left w:val="nil"/>
              <w:bottom w:val="single" w:sz="4" w:space="0" w:color="auto"/>
              <w:right w:val="single" w:sz="4" w:space="0" w:color="auto"/>
            </w:tcBorders>
            <w:shd w:val="clear" w:color="auto" w:fill="auto"/>
            <w:noWrap/>
            <w:vAlign w:val="center"/>
            <w:hideMark/>
          </w:tcPr>
          <w:p w14:paraId="660F4274" w14:textId="77777777" w:rsidR="00253427" w:rsidRPr="00653977" w:rsidRDefault="00253427" w:rsidP="00EF0503">
            <w:pPr>
              <w:ind w:right="276"/>
              <w:jc w:val="right"/>
              <w:rPr>
                <w:sz w:val="22"/>
                <w:szCs w:val="22"/>
                <w:lang w:eastAsia="en-CA"/>
              </w:rPr>
            </w:pPr>
            <w:r w:rsidRPr="00653977">
              <w:rPr>
                <w:sz w:val="22"/>
                <w:szCs w:val="22"/>
                <w:lang w:eastAsia="en-CA"/>
              </w:rPr>
              <w:t>13 629</w:t>
            </w:r>
          </w:p>
        </w:tc>
        <w:tc>
          <w:tcPr>
            <w:tcW w:w="0" w:type="auto"/>
            <w:tcBorders>
              <w:top w:val="nil"/>
              <w:left w:val="nil"/>
              <w:bottom w:val="single" w:sz="4" w:space="0" w:color="auto"/>
              <w:right w:val="single" w:sz="4" w:space="0" w:color="auto"/>
            </w:tcBorders>
            <w:shd w:val="clear" w:color="auto" w:fill="auto"/>
            <w:noWrap/>
            <w:vAlign w:val="center"/>
            <w:hideMark/>
          </w:tcPr>
          <w:p w14:paraId="727543FD" w14:textId="77777777" w:rsidR="00253427" w:rsidRPr="00653977" w:rsidRDefault="00253427" w:rsidP="00EF0503">
            <w:pPr>
              <w:ind w:right="276"/>
              <w:jc w:val="right"/>
              <w:rPr>
                <w:sz w:val="22"/>
                <w:szCs w:val="22"/>
                <w:lang w:eastAsia="en-CA"/>
              </w:rPr>
            </w:pPr>
            <w:r w:rsidRPr="00653977">
              <w:rPr>
                <w:sz w:val="22"/>
                <w:szCs w:val="22"/>
                <w:lang w:eastAsia="en-CA"/>
              </w:rPr>
              <w:t>14 453</w:t>
            </w:r>
          </w:p>
        </w:tc>
        <w:tc>
          <w:tcPr>
            <w:tcW w:w="0" w:type="auto"/>
            <w:tcBorders>
              <w:top w:val="nil"/>
              <w:left w:val="nil"/>
              <w:bottom w:val="single" w:sz="4" w:space="0" w:color="auto"/>
              <w:right w:val="single" w:sz="4" w:space="0" w:color="auto"/>
            </w:tcBorders>
            <w:shd w:val="clear" w:color="auto" w:fill="auto"/>
            <w:noWrap/>
            <w:vAlign w:val="center"/>
            <w:hideMark/>
          </w:tcPr>
          <w:p w14:paraId="17BE37AD" w14:textId="77777777" w:rsidR="00253427" w:rsidRPr="00653977" w:rsidRDefault="00253427" w:rsidP="00EF0503">
            <w:pPr>
              <w:ind w:right="276"/>
              <w:jc w:val="right"/>
              <w:rPr>
                <w:sz w:val="22"/>
                <w:szCs w:val="22"/>
                <w:lang w:eastAsia="en-CA"/>
              </w:rPr>
            </w:pPr>
            <w:r w:rsidRPr="00653977">
              <w:rPr>
                <w:sz w:val="22"/>
                <w:szCs w:val="22"/>
                <w:lang w:eastAsia="en-CA"/>
              </w:rPr>
              <w:t>28 082</w:t>
            </w:r>
          </w:p>
        </w:tc>
      </w:tr>
      <w:tr w:rsidR="00253427" w:rsidRPr="00653977" w14:paraId="570DC20F" w14:textId="77777777" w:rsidTr="00EF0503">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45D74A" w14:textId="77777777" w:rsidR="00253427" w:rsidRPr="00653977" w:rsidRDefault="00253427" w:rsidP="00EF0503">
            <w:pPr>
              <w:rPr>
                <w:sz w:val="22"/>
                <w:szCs w:val="22"/>
                <w:lang w:eastAsia="en-CA"/>
              </w:rPr>
            </w:pPr>
            <w:r w:rsidRPr="00653977">
              <w:rPr>
                <w:sz w:val="22"/>
                <w:szCs w:val="22"/>
                <w:lang w:eastAsia="en-CA"/>
              </w:rPr>
              <w:t>Qatar</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45611982" w14:textId="77777777" w:rsidR="00253427" w:rsidRPr="00653977" w:rsidRDefault="00253427" w:rsidP="00EF0503">
            <w:pPr>
              <w:ind w:right="770"/>
              <w:jc w:val="right"/>
              <w:rPr>
                <w:sz w:val="22"/>
                <w:szCs w:val="22"/>
                <w:lang w:eastAsia="en-CA"/>
              </w:rPr>
            </w:pPr>
            <w:r w:rsidRPr="00653977">
              <w:rPr>
                <w:sz w:val="22"/>
                <w:szCs w:val="22"/>
                <w:lang w:eastAsia="en-CA"/>
              </w:rPr>
              <w:t>0.269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91C7215" w14:textId="77777777" w:rsidR="00253427" w:rsidRPr="00653977" w:rsidRDefault="00253427" w:rsidP="00EF0503">
            <w:pPr>
              <w:ind w:right="1144"/>
              <w:jc w:val="right"/>
              <w:rPr>
                <w:sz w:val="22"/>
                <w:szCs w:val="22"/>
                <w:lang w:eastAsia="en-CA"/>
              </w:rPr>
            </w:pPr>
            <w:r w:rsidRPr="00653977">
              <w:rPr>
                <w:sz w:val="22"/>
                <w:szCs w:val="22"/>
                <w:lang w:eastAsia="en-CA"/>
              </w:rPr>
              <w:t>0.389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3517203" w14:textId="77777777" w:rsidR="00253427" w:rsidRPr="00653977" w:rsidRDefault="00253427" w:rsidP="00EF0503">
            <w:pPr>
              <w:ind w:right="276"/>
              <w:jc w:val="right"/>
              <w:rPr>
                <w:sz w:val="22"/>
                <w:szCs w:val="22"/>
                <w:lang w:eastAsia="en-CA"/>
              </w:rPr>
            </w:pPr>
            <w:r w:rsidRPr="00653977">
              <w:rPr>
                <w:sz w:val="22"/>
                <w:szCs w:val="22"/>
                <w:lang w:eastAsia="en-CA"/>
              </w:rPr>
              <w:t>9 353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68FA386" w14:textId="77777777" w:rsidR="00253427" w:rsidRPr="00653977" w:rsidRDefault="00253427" w:rsidP="00EF0503">
            <w:pPr>
              <w:ind w:right="276"/>
              <w:jc w:val="right"/>
              <w:rPr>
                <w:sz w:val="22"/>
                <w:szCs w:val="22"/>
                <w:lang w:eastAsia="en-CA"/>
              </w:rPr>
            </w:pPr>
            <w:r w:rsidRPr="00653977">
              <w:rPr>
                <w:sz w:val="22"/>
                <w:szCs w:val="22"/>
                <w:lang w:eastAsia="en-CA"/>
              </w:rPr>
              <w:t>9 918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F811BA1" w14:textId="77777777" w:rsidR="00253427" w:rsidRPr="00653977" w:rsidRDefault="00253427" w:rsidP="00EF0503">
            <w:pPr>
              <w:ind w:right="276"/>
              <w:jc w:val="right"/>
              <w:rPr>
                <w:sz w:val="22"/>
                <w:szCs w:val="22"/>
                <w:lang w:eastAsia="en-CA"/>
              </w:rPr>
            </w:pPr>
            <w:r w:rsidRPr="00653977">
              <w:rPr>
                <w:sz w:val="22"/>
                <w:szCs w:val="22"/>
                <w:lang w:eastAsia="en-CA"/>
              </w:rPr>
              <w:t>19 271</w:t>
            </w:r>
          </w:p>
        </w:tc>
      </w:tr>
      <w:tr w:rsidR="00253427" w:rsidRPr="00653977" w14:paraId="5DD7B1B8"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DA99BB" w14:textId="77777777" w:rsidR="00253427" w:rsidRPr="00653977" w:rsidRDefault="00253427" w:rsidP="00EF0503">
            <w:pPr>
              <w:rPr>
                <w:sz w:val="22"/>
                <w:szCs w:val="22"/>
                <w:lang w:eastAsia="en-CA"/>
              </w:rPr>
            </w:pPr>
            <w:r w:rsidRPr="00653977">
              <w:rPr>
                <w:sz w:val="22"/>
                <w:szCs w:val="22"/>
                <w:lang w:eastAsia="en-CA"/>
              </w:rPr>
              <w:t>Republic of Korea</w:t>
            </w:r>
          </w:p>
        </w:tc>
        <w:tc>
          <w:tcPr>
            <w:tcW w:w="2288" w:type="dxa"/>
            <w:tcBorders>
              <w:top w:val="nil"/>
              <w:left w:val="nil"/>
              <w:bottom w:val="single" w:sz="4" w:space="0" w:color="auto"/>
              <w:right w:val="single" w:sz="4" w:space="0" w:color="auto"/>
            </w:tcBorders>
            <w:shd w:val="clear" w:color="auto" w:fill="auto"/>
            <w:vAlign w:val="center"/>
            <w:hideMark/>
          </w:tcPr>
          <w:p w14:paraId="6E48846E" w14:textId="77777777" w:rsidR="00253427" w:rsidRPr="00653977" w:rsidRDefault="00253427" w:rsidP="00EF0503">
            <w:pPr>
              <w:ind w:right="770"/>
              <w:jc w:val="right"/>
              <w:rPr>
                <w:sz w:val="22"/>
                <w:szCs w:val="22"/>
                <w:lang w:eastAsia="en-CA"/>
              </w:rPr>
            </w:pPr>
            <w:r w:rsidRPr="00653977">
              <w:rPr>
                <w:sz w:val="22"/>
                <w:szCs w:val="22"/>
                <w:lang w:eastAsia="en-CA"/>
              </w:rPr>
              <w:t>2.039</w:t>
            </w:r>
          </w:p>
        </w:tc>
        <w:tc>
          <w:tcPr>
            <w:tcW w:w="0" w:type="auto"/>
            <w:tcBorders>
              <w:top w:val="nil"/>
              <w:left w:val="nil"/>
              <w:bottom w:val="single" w:sz="4" w:space="0" w:color="auto"/>
              <w:right w:val="single" w:sz="4" w:space="0" w:color="auto"/>
            </w:tcBorders>
            <w:shd w:val="clear" w:color="auto" w:fill="auto"/>
            <w:noWrap/>
            <w:vAlign w:val="center"/>
            <w:hideMark/>
          </w:tcPr>
          <w:p w14:paraId="6F0D6692" w14:textId="77777777" w:rsidR="00253427" w:rsidRPr="00653977" w:rsidRDefault="00253427" w:rsidP="00EF0503">
            <w:pPr>
              <w:ind w:right="1144"/>
              <w:jc w:val="right"/>
              <w:rPr>
                <w:sz w:val="22"/>
                <w:szCs w:val="22"/>
                <w:lang w:eastAsia="en-CA"/>
              </w:rPr>
            </w:pPr>
            <w:r w:rsidRPr="00653977">
              <w:rPr>
                <w:sz w:val="22"/>
                <w:szCs w:val="22"/>
                <w:lang w:eastAsia="en-CA"/>
              </w:rPr>
              <w:t>2.952</w:t>
            </w:r>
          </w:p>
        </w:tc>
        <w:tc>
          <w:tcPr>
            <w:tcW w:w="0" w:type="auto"/>
            <w:tcBorders>
              <w:top w:val="nil"/>
              <w:left w:val="nil"/>
              <w:bottom w:val="single" w:sz="4" w:space="0" w:color="auto"/>
              <w:right w:val="single" w:sz="4" w:space="0" w:color="auto"/>
            </w:tcBorders>
            <w:shd w:val="clear" w:color="auto" w:fill="auto"/>
            <w:noWrap/>
            <w:vAlign w:val="center"/>
            <w:hideMark/>
          </w:tcPr>
          <w:p w14:paraId="7024DD8E" w14:textId="77777777" w:rsidR="00253427" w:rsidRPr="00653977" w:rsidRDefault="00253427" w:rsidP="00EF0503">
            <w:pPr>
              <w:ind w:right="276"/>
              <w:jc w:val="right"/>
              <w:rPr>
                <w:sz w:val="22"/>
                <w:szCs w:val="22"/>
                <w:lang w:eastAsia="en-CA"/>
              </w:rPr>
            </w:pPr>
            <w:r w:rsidRPr="00653977">
              <w:rPr>
                <w:sz w:val="22"/>
                <w:szCs w:val="22"/>
                <w:lang w:eastAsia="en-CA"/>
              </w:rPr>
              <w:t>70 894</w:t>
            </w:r>
          </w:p>
        </w:tc>
        <w:tc>
          <w:tcPr>
            <w:tcW w:w="0" w:type="auto"/>
            <w:tcBorders>
              <w:top w:val="nil"/>
              <w:left w:val="nil"/>
              <w:bottom w:val="single" w:sz="4" w:space="0" w:color="auto"/>
              <w:right w:val="single" w:sz="4" w:space="0" w:color="auto"/>
            </w:tcBorders>
            <w:shd w:val="clear" w:color="auto" w:fill="auto"/>
            <w:noWrap/>
            <w:vAlign w:val="center"/>
            <w:hideMark/>
          </w:tcPr>
          <w:p w14:paraId="51548DCA" w14:textId="77777777" w:rsidR="00253427" w:rsidRPr="00653977" w:rsidRDefault="00253427" w:rsidP="00EF0503">
            <w:pPr>
              <w:ind w:right="276"/>
              <w:jc w:val="right"/>
              <w:rPr>
                <w:sz w:val="22"/>
                <w:szCs w:val="22"/>
                <w:lang w:eastAsia="en-CA"/>
              </w:rPr>
            </w:pPr>
            <w:r w:rsidRPr="00653977">
              <w:rPr>
                <w:sz w:val="22"/>
                <w:szCs w:val="22"/>
                <w:lang w:eastAsia="en-CA"/>
              </w:rPr>
              <w:t>75 177</w:t>
            </w:r>
          </w:p>
        </w:tc>
        <w:tc>
          <w:tcPr>
            <w:tcW w:w="0" w:type="auto"/>
            <w:tcBorders>
              <w:top w:val="nil"/>
              <w:left w:val="nil"/>
              <w:bottom w:val="single" w:sz="4" w:space="0" w:color="auto"/>
              <w:right w:val="single" w:sz="4" w:space="0" w:color="auto"/>
            </w:tcBorders>
            <w:shd w:val="clear" w:color="auto" w:fill="auto"/>
            <w:noWrap/>
            <w:vAlign w:val="center"/>
            <w:hideMark/>
          </w:tcPr>
          <w:p w14:paraId="33D06C4E" w14:textId="77777777" w:rsidR="00253427" w:rsidRPr="00653977" w:rsidRDefault="00253427" w:rsidP="00EF0503">
            <w:pPr>
              <w:ind w:right="276"/>
              <w:jc w:val="right"/>
              <w:rPr>
                <w:sz w:val="22"/>
                <w:szCs w:val="22"/>
                <w:lang w:eastAsia="en-CA"/>
              </w:rPr>
            </w:pPr>
            <w:r w:rsidRPr="00653977">
              <w:rPr>
                <w:sz w:val="22"/>
                <w:szCs w:val="22"/>
                <w:lang w:eastAsia="en-CA"/>
              </w:rPr>
              <w:t>146 071</w:t>
            </w:r>
          </w:p>
        </w:tc>
      </w:tr>
      <w:tr w:rsidR="00253427" w:rsidRPr="00653977" w14:paraId="65E03A4A"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C9C154" w14:textId="77777777" w:rsidR="00253427" w:rsidRPr="00653977" w:rsidRDefault="00253427" w:rsidP="00EF0503">
            <w:pPr>
              <w:rPr>
                <w:sz w:val="22"/>
                <w:szCs w:val="22"/>
                <w:lang w:eastAsia="en-CA"/>
              </w:rPr>
            </w:pPr>
            <w:r w:rsidRPr="00653977">
              <w:rPr>
                <w:sz w:val="22"/>
                <w:szCs w:val="22"/>
                <w:lang w:eastAsia="en-CA"/>
              </w:rPr>
              <w:t>Republic of Moldova</w:t>
            </w:r>
          </w:p>
        </w:tc>
        <w:tc>
          <w:tcPr>
            <w:tcW w:w="2288" w:type="dxa"/>
            <w:tcBorders>
              <w:top w:val="nil"/>
              <w:left w:val="nil"/>
              <w:bottom w:val="single" w:sz="4" w:space="0" w:color="auto"/>
              <w:right w:val="single" w:sz="4" w:space="0" w:color="auto"/>
            </w:tcBorders>
            <w:shd w:val="clear" w:color="auto" w:fill="auto"/>
            <w:vAlign w:val="center"/>
            <w:hideMark/>
          </w:tcPr>
          <w:p w14:paraId="750A730D" w14:textId="77777777" w:rsidR="00253427" w:rsidRPr="00653977" w:rsidRDefault="00253427" w:rsidP="00EF0503">
            <w:pPr>
              <w:ind w:right="770"/>
              <w:jc w:val="right"/>
              <w:rPr>
                <w:sz w:val="22"/>
                <w:szCs w:val="22"/>
                <w:lang w:eastAsia="en-CA"/>
              </w:rPr>
            </w:pPr>
            <w:r w:rsidRPr="00653977">
              <w:rPr>
                <w:sz w:val="22"/>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2CECBB20" w14:textId="77777777" w:rsidR="00253427" w:rsidRPr="00653977" w:rsidRDefault="00253427" w:rsidP="00EF0503">
            <w:pPr>
              <w:ind w:right="1144"/>
              <w:jc w:val="right"/>
              <w:rPr>
                <w:sz w:val="22"/>
                <w:szCs w:val="22"/>
                <w:lang w:eastAsia="en-CA"/>
              </w:rPr>
            </w:pPr>
            <w:r w:rsidRPr="00653977">
              <w:rPr>
                <w:sz w:val="22"/>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10D388C7" w14:textId="77777777" w:rsidR="00253427" w:rsidRPr="00653977" w:rsidRDefault="00253427" w:rsidP="00EF0503">
            <w:pPr>
              <w:ind w:right="276"/>
              <w:jc w:val="right"/>
              <w:rPr>
                <w:sz w:val="22"/>
                <w:szCs w:val="22"/>
                <w:lang w:eastAsia="en-CA"/>
              </w:rPr>
            </w:pPr>
            <w:r w:rsidRPr="00653977">
              <w:rPr>
                <w:sz w:val="22"/>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1E32FF14" w14:textId="77777777" w:rsidR="00253427" w:rsidRPr="00653977" w:rsidRDefault="00253427" w:rsidP="00EF0503">
            <w:pPr>
              <w:ind w:right="276"/>
              <w:jc w:val="right"/>
              <w:rPr>
                <w:sz w:val="22"/>
                <w:szCs w:val="22"/>
                <w:lang w:eastAsia="en-CA"/>
              </w:rPr>
            </w:pPr>
            <w:r w:rsidRPr="00653977">
              <w:rPr>
                <w:sz w:val="22"/>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2570725E" w14:textId="77777777" w:rsidR="00253427" w:rsidRPr="00653977" w:rsidRDefault="00253427" w:rsidP="00EF0503">
            <w:pPr>
              <w:ind w:right="276"/>
              <w:jc w:val="right"/>
              <w:rPr>
                <w:sz w:val="22"/>
                <w:szCs w:val="22"/>
                <w:lang w:eastAsia="en-CA"/>
              </w:rPr>
            </w:pPr>
            <w:r w:rsidRPr="00653977">
              <w:rPr>
                <w:sz w:val="22"/>
                <w:szCs w:val="22"/>
                <w:lang w:eastAsia="en-CA"/>
              </w:rPr>
              <w:t>287</w:t>
            </w:r>
          </w:p>
        </w:tc>
      </w:tr>
      <w:tr w:rsidR="00253427" w:rsidRPr="00653977" w14:paraId="6DB5E7AF"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292749" w14:textId="77777777" w:rsidR="00253427" w:rsidRPr="00653977" w:rsidRDefault="00253427" w:rsidP="00EF0503">
            <w:pPr>
              <w:rPr>
                <w:sz w:val="22"/>
                <w:szCs w:val="22"/>
                <w:lang w:eastAsia="en-CA"/>
              </w:rPr>
            </w:pPr>
            <w:r w:rsidRPr="00653977">
              <w:rPr>
                <w:sz w:val="22"/>
                <w:szCs w:val="22"/>
                <w:lang w:eastAsia="en-CA"/>
              </w:rPr>
              <w:t>Romania</w:t>
            </w:r>
          </w:p>
        </w:tc>
        <w:tc>
          <w:tcPr>
            <w:tcW w:w="2288" w:type="dxa"/>
            <w:tcBorders>
              <w:top w:val="nil"/>
              <w:left w:val="nil"/>
              <w:bottom w:val="single" w:sz="4" w:space="0" w:color="auto"/>
              <w:right w:val="single" w:sz="4" w:space="0" w:color="auto"/>
            </w:tcBorders>
            <w:shd w:val="clear" w:color="auto" w:fill="auto"/>
            <w:vAlign w:val="center"/>
            <w:hideMark/>
          </w:tcPr>
          <w:p w14:paraId="53D505C4" w14:textId="77777777" w:rsidR="00253427" w:rsidRPr="00653977" w:rsidRDefault="00253427" w:rsidP="00EF0503">
            <w:pPr>
              <w:ind w:right="770"/>
              <w:jc w:val="right"/>
              <w:rPr>
                <w:sz w:val="22"/>
                <w:szCs w:val="22"/>
                <w:lang w:eastAsia="en-CA"/>
              </w:rPr>
            </w:pPr>
            <w:r w:rsidRPr="00653977">
              <w:rPr>
                <w:sz w:val="22"/>
                <w:szCs w:val="22"/>
                <w:lang w:eastAsia="en-CA"/>
              </w:rPr>
              <w:t>0.184</w:t>
            </w:r>
          </w:p>
        </w:tc>
        <w:tc>
          <w:tcPr>
            <w:tcW w:w="0" w:type="auto"/>
            <w:tcBorders>
              <w:top w:val="nil"/>
              <w:left w:val="nil"/>
              <w:bottom w:val="single" w:sz="4" w:space="0" w:color="auto"/>
              <w:right w:val="single" w:sz="4" w:space="0" w:color="auto"/>
            </w:tcBorders>
            <w:shd w:val="clear" w:color="auto" w:fill="auto"/>
            <w:noWrap/>
            <w:vAlign w:val="center"/>
            <w:hideMark/>
          </w:tcPr>
          <w:p w14:paraId="2E4B1FC6" w14:textId="77777777" w:rsidR="00253427" w:rsidRPr="00653977" w:rsidRDefault="00253427" w:rsidP="00EF0503">
            <w:pPr>
              <w:ind w:right="1144"/>
              <w:jc w:val="right"/>
              <w:rPr>
                <w:sz w:val="22"/>
                <w:szCs w:val="22"/>
                <w:lang w:eastAsia="en-CA"/>
              </w:rPr>
            </w:pPr>
            <w:r w:rsidRPr="00653977">
              <w:rPr>
                <w:sz w:val="22"/>
                <w:szCs w:val="22"/>
                <w:lang w:eastAsia="en-CA"/>
              </w:rPr>
              <w:t>0.266</w:t>
            </w:r>
          </w:p>
        </w:tc>
        <w:tc>
          <w:tcPr>
            <w:tcW w:w="0" w:type="auto"/>
            <w:tcBorders>
              <w:top w:val="nil"/>
              <w:left w:val="nil"/>
              <w:bottom w:val="single" w:sz="4" w:space="0" w:color="auto"/>
              <w:right w:val="single" w:sz="4" w:space="0" w:color="auto"/>
            </w:tcBorders>
            <w:shd w:val="clear" w:color="auto" w:fill="auto"/>
            <w:noWrap/>
            <w:vAlign w:val="center"/>
            <w:hideMark/>
          </w:tcPr>
          <w:p w14:paraId="130EB42B" w14:textId="77777777" w:rsidR="00253427" w:rsidRPr="00653977" w:rsidRDefault="00253427" w:rsidP="00EF0503">
            <w:pPr>
              <w:ind w:right="276"/>
              <w:jc w:val="right"/>
              <w:rPr>
                <w:sz w:val="22"/>
                <w:szCs w:val="22"/>
                <w:lang w:eastAsia="en-CA"/>
              </w:rPr>
            </w:pPr>
            <w:r w:rsidRPr="00653977">
              <w:rPr>
                <w:sz w:val="22"/>
                <w:szCs w:val="22"/>
                <w:lang w:eastAsia="en-CA"/>
              </w:rPr>
              <w:t>6 398</w:t>
            </w:r>
          </w:p>
        </w:tc>
        <w:tc>
          <w:tcPr>
            <w:tcW w:w="0" w:type="auto"/>
            <w:tcBorders>
              <w:top w:val="nil"/>
              <w:left w:val="nil"/>
              <w:bottom w:val="single" w:sz="4" w:space="0" w:color="auto"/>
              <w:right w:val="single" w:sz="4" w:space="0" w:color="auto"/>
            </w:tcBorders>
            <w:shd w:val="clear" w:color="auto" w:fill="auto"/>
            <w:noWrap/>
            <w:vAlign w:val="center"/>
            <w:hideMark/>
          </w:tcPr>
          <w:p w14:paraId="362282CE" w14:textId="77777777" w:rsidR="00253427" w:rsidRPr="00653977" w:rsidRDefault="00253427" w:rsidP="00EF0503">
            <w:pPr>
              <w:ind w:right="276"/>
              <w:jc w:val="right"/>
              <w:rPr>
                <w:sz w:val="22"/>
                <w:szCs w:val="22"/>
                <w:lang w:eastAsia="en-CA"/>
              </w:rPr>
            </w:pPr>
            <w:r w:rsidRPr="00653977">
              <w:rPr>
                <w:sz w:val="22"/>
                <w:szCs w:val="22"/>
                <w:lang w:eastAsia="en-CA"/>
              </w:rPr>
              <w:t>6 784</w:t>
            </w:r>
          </w:p>
        </w:tc>
        <w:tc>
          <w:tcPr>
            <w:tcW w:w="0" w:type="auto"/>
            <w:tcBorders>
              <w:top w:val="nil"/>
              <w:left w:val="nil"/>
              <w:bottom w:val="single" w:sz="4" w:space="0" w:color="auto"/>
              <w:right w:val="single" w:sz="4" w:space="0" w:color="auto"/>
            </w:tcBorders>
            <w:shd w:val="clear" w:color="auto" w:fill="auto"/>
            <w:noWrap/>
            <w:vAlign w:val="center"/>
            <w:hideMark/>
          </w:tcPr>
          <w:p w14:paraId="6500E09E" w14:textId="77777777" w:rsidR="00253427" w:rsidRPr="00653977" w:rsidRDefault="00253427" w:rsidP="00EF0503">
            <w:pPr>
              <w:ind w:right="276"/>
              <w:jc w:val="right"/>
              <w:rPr>
                <w:sz w:val="22"/>
                <w:szCs w:val="22"/>
                <w:lang w:eastAsia="en-CA"/>
              </w:rPr>
            </w:pPr>
            <w:r w:rsidRPr="00653977">
              <w:rPr>
                <w:sz w:val="22"/>
                <w:szCs w:val="22"/>
                <w:lang w:eastAsia="en-CA"/>
              </w:rPr>
              <w:t>13 181</w:t>
            </w:r>
          </w:p>
        </w:tc>
      </w:tr>
      <w:tr w:rsidR="00253427" w:rsidRPr="00653977" w14:paraId="28B6DD52"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86200E" w14:textId="77777777" w:rsidR="00253427" w:rsidRPr="00653977" w:rsidRDefault="00253427" w:rsidP="00EF0503">
            <w:pPr>
              <w:rPr>
                <w:sz w:val="22"/>
                <w:szCs w:val="22"/>
                <w:lang w:eastAsia="en-CA"/>
              </w:rPr>
            </w:pPr>
            <w:r w:rsidRPr="00653977">
              <w:rPr>
                <w:sz w:val="22"/>
                <w:szCs w:val="22"/>
                <w:lang w:eastAsia="en-CA"/>
              </w:rPr>
              <w:t>Rwanda</w:t>
            </w:r>
          </w:p>
        </w:tc>
        <w:tc>
          <w:tcPr>
            <w:tcW w:w="2288" w:type="dxa"/>
            <w:tcBorders>
              <w:top w:val="nil"/>
              <w:left w:val="nil"/>
              <w:bottom w:val="single" w:sz="4" w:space="0" w:color="auto"/>
              <w:right w:val="single" w:sz="4" w:space="0" w:color="auto"/>
            </w:tcBorders>
            <w:shd w:val="clear" w:color="auto" w:fill="auto"/>
            <w:vAlign w:val="center"/>
            <w:hideMark/>
          </w:tcPr>
          <w:p w14:paraId="1288A01E" w14:textId="77777777" w:rsidR="00253427" w:rsidRPr="00653977" w:rsidRDefault="00253427" w:rsidP="00EF0503">
            <w:pPr>
              <w:ind w:right="770"/>
              <w:jc w:val="right"/>
              <w:rPr>
                <w:sz w:val="22"/>
                <w:szCs w:val="22"/>
                <w:lang w:eastAsia="en-CA"/>
              </w:rPr>
            </w:pPr>
            <w:r w:rsidRPr="00653977">
              <w:rPr>
                <w:sz w:val="22"/>
                <w:szCs w:val="22"/>
                <w:lang w:eastAsia="en-CA"/>
              </w:rPr>
              <w:t>0.002</w:t>
            </w:r>
          </w:p>
        </w:tc>
        <w:tc>
          <w:tcPr>
            <w:tcW w:w="0" w:type="auto"/>
            <w:tcBorders>
              <w:top w:val="nil"/>
              <w:left w:val="nil"/>
              <w:bottom w:val="single" w:sz="4" w:space="0" w:color="auto"/>
              <w:right w:val="single" w:sz="4" w:space="0" w:color="auto"/>
            </w:tcBorders>
            <w:shd w:val="clear" w:color="auto" w:fill="auto"/>
            <w:noWrap/>
            <w:vAlign w:val="center"/>
            <w:hideMark/>
          </w:tcPr>
          <w:p w14:paraId="1E734916" w14:textId="77777777" w:rsidR="00253427" w:rsidRPr="00653977" w:rsidRDefault="00253427" w:rsidP="00EF0503">
            <w:pPr>
              <w:ind w:right="1144"/>
              <w:jc w:val="right"/>
              <w:rPr>
                <w:sz w:val="22"/>
                <w:szCs w:val="22"/>
                <w:lang w:eastAsia="en-CA"/>
              </w:rPr>
            </w:pPr>
            <w:r w:rsidRPr="00653977">
              <w:rPr>
                <w:sz w:val="22"/>
                <w:szCs w:val="22"/>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47C78E95" w14:textId="77777777" w:rsidR="00253427" w:rsidRPr="00653977" w:rsidRDefault="00253427" w:rsidP="00EF0503">
            <w:pPr>
              <w:ind w:right="276"/>
              <w:jc w:val="right"/>
              <w:rPr>
                <w:sz w:val="22"/>
                <w:szCs w:val="22"/>
                <w:lang w:eastAsia="en-CA"/>
              </w:rPr>
            </w:pPr>
            <w:r w:rsidRPr="00653977">
              <w:rPr>
                <w:sz w:val="22"/>
                <w:szCs w:val="22"/>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4DB5CFCE" w14:textId="77777777" w:rsidR="00253427" w:rsidRPr="00653977" w:rsidRDefault="00253427" w:rsidP="00EF0503">
            <w:pPr>
              <w:ind w:right="276"/>
              <w:jc w:val="right"/>
              <w:rPr>
                <w:sz w:val="22"/>
                <w:szCs w:val="22"/>
                <w:lang w:eastAsia="en-CA"/>
              </w:rPr>
            </w:pPr>
            <w:r w:rsidRPr="00653977">
              <w:rPr>
                <w:sz w:val="22"/>
                <w:szCs w:val="22"/>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52F1FE55" w14:textId="77777777" w:rsidR="00253427" w:rsidRPr="00653977" w:rsidRDefault="00253427" w:rsidP="00EF0503">
            <w:pPr>
              <w:ind w:right="276"/>
              <w:jc w:val="right"/>
              <w:rPr>
                <w:sz w:val="22"/>
                <w:szCs w:val="22"/>
                <w:lang w:eastAsia="en-CA"/>
              </w:rPr>
            </w:pPr>
            <w:r w:rsidRPr="00653977">
              <w:rPr>
                <w:sz w:val="22"/>
                <w:szCs w:val="22"/>
                <w:lang w:eastAsia="en-CA"/>
              </w:rPr>
              <w:t>143</w:t>
            </w:r>
          </w:p>
        </w:tc>
      </w:tr>
      <w:tr w:rsidR="00253427" w:rsidRPr="00653977" w14:paraId="4B8A77E2"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554F7C" w14:textId="77777777" w:rsidR="00253427" w:rsidRPr="00653977" w:rsidRDefault="00253427" w:rsidP="00EF0503">
            <w:pPr>
              <w:rPr>
                <w:sz w:val="22"/>
                <w:szCs w:val="22"/>
                <w:lang w:eastAsia="en-CA"/>
              </w:rPr>
            </w:pPr>
            <w:r w:rsidRPr="00653977">
              <w:rPr>
                <w:sz w:val="22"/>
                <w:szCs w:val="22"/>
                <w:lang w:eastAsia="en-CA"/>
              </w:rPr>
              <w:t>Saint Kitts and Nevis</w:t>
            </w:r>
          </w:p>
        </w:tc>
        <w:tc>
          <w:tcPr>
            <w:tcW w:w="2288" w:type="dxa"/>
            <w:tcBorders>
              <w:top w:val="nil"/>
              <w:left w:val="nil"/>
              <w:bottom w:val="single" w:sz="4" w:space="0" w:color="auto"/>
              <w:right w:val="single" w:sz="4" w:space="0" w:color="auto"/>
            </w:tcBorders>
            <w:shd w:val="clear" w:color="auto" w:fill="auto"/>
            <w:vAlign w:val="center"/>
            <w:hideMark/>
          </w:tcPr>
          <w:p w14:paraId="05D70079"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439CCD1"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87343DE"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8FF8299"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5D421773"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52FCB1E8"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260287" w14:textId="77777777" w:rsidR="00253427" w:rsidRPr="00653977" w:rsidRDefault="00253427" w:rsidP="00EF0503">
            <w:pPr>
              <w:rPr>
                <w:sz w:val="22"/>
                <w:szCs w:val="22"/>
                <w:lang w:eastAsia="en-CA"/>
              </w:rPr>
            </w:pPr>
            <w:r w:rsidRPr="00653977">
              <w:rPr>
                <w:sz w:val="22"/>
                <w:szCs w:val="22"/>
                <w:lang w:eastAsia="en-CA"/>
              </w:rPr>
              <w:t>Saint Lucia</w:t>
            </w:r>
          </w:p>
        </w:tc>
        <w:tc>
          <w:tcPr>
            <w:tcW w:w="2288" w:type="dxa"/>
            <w:tcBorders>
              <w:top w:val="nil"/>
              <w:left w:val="nil"/>
              <w:bottom w:val="single" w:sz="4" w:space="0" w:color="auto"/>
              <w:right w:val="single" w:sz="4" w:space="0" w:color="auto"/>
            </w:tcBorders>
            <w:shd w:val="clear" w:color="auto" w:fill="auto"/>
            <w:vAlign w:val="center"/>
            <w:hideMark/>
          </w:tcPr>
          <w:p w14:paraId="3F3BBE53"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201425A"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55B6C7C"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0F5D9935"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4CB36A9"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38FB5715"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41FA2E" w14:textId="77777777" w:rsidR="00253427" w:rsidRPr="00653977" w:rsidRDefault="00253427" w:rsidP="00EF0503">
            <w:pPr>
              <w:rPr>
                <w:sz w:val="22"/>
                <w:szCs w:val="22"/>
                <w:lang w:eastAsia="en-CA"/>
              </w:rPr>
            </w:pPr>
            <w:r w:rsidRPr="00653977">
              <w:rPr>
                <w:sz w:val="22"/>
                <w:szCs w:val="22"/>
                <w:lang w:eastAsia="en-CA"/>
              </w:rPr>
              <w:t>Saint Vincent and the Grenadines</w:t>
            </w:r>
          </w:p>
        </w:tc>
        <w:tc>
          <w:tcPr>
            <w:tcW w:w="2288" w:type="dxa"/>
            <w:tcBorders>
              <w:top w:val="nil"/>
              <w:left w:val="nil"/>
              <w:bottom w:val="single" w:sz="4" w:space="0" w:color="auto"/>
              <w:right w:val="single" w:sz="4" w:space="0" w:color="auto"/>
            </w:tcBorders>
            <w:shd w:val="clear" w:color="auto" w:fill="auto"/>
            <w:vAlign w:val="center"/>
            <w:hideMark/>
          </w:tcPr>
          <w:p w14:paraId="55279BF0"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B962F3C"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B9F03F5"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E67D540"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06CCCD9"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6A0DDD5D"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488797" w14:textId="77777777" w:rsidR="00253427" w:rsidRPr="00653977" w:rsidRDefault="00253427" w:rsidP="00EF0503">
            <w:pPr>
              <w:rPr>
                <w:sz w:val="22"/>
                <w:szCs w:val="22"/>
                <w:lang w:eastAsia="en-CA"/>
              </w:rPr>
            </w:pPr>
            <w:r w:rsidRPr="00653977">
              <w:rPr>
                <w:sz w:val="22"/>
                <w:szCs w:val="22"/>
                <w:lang w:eastAsia="en-CA"/>
              </w:rPr>
              <w:t>Samoa</w:t>
            </w:r>
          </w:p>
        </w:tc>
        <w:tc>
          <w:tcPr>
            <w:tcW w:w="2288" w:type="dxa"/>
            <w:tcBorders>
              <w:top w:val="nil"/>
              <w:left w:val="nil"/>
              <w:bottom w:val="single" w:sz="4" w:space="0" w:color="auto"/>
              <w:right w:val="single" w:sz="4" w:space="0" w:color="auto"/>
            </w:tcBorders>
            <w:shd w:val="clear" w:color="auto" w:fill="auto"/>
            <w:vAlign w:val="center"/>
            <w:hideMark/>
          </w:tcPr>
          <w:p w14:paraId="02865FDC"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81830A4"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30F0CD9"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036CC8C3"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F5E91D7"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0BEE8432"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F22728" w14:textId="77777777" w:rsidR="00253427" w:rsidRPr="00653977" w:rsidRDefault="00253427" w:rsidP="00EF0503">
            <w:pPr>
              <w:rPr>
                <w:sz w:val="22"/>
                <w:szCs w:val="22"/>
                <w:lang w:eastAsia="en-CA"/>
              </w:rPr>
            </w:pPr>
            <w:r w:rsidRPr="00653977">
              <w:rPr>
                <w:sz w:val="22"/>
                <w:szCs w:val="22"/>
                <w:lang w:eastAsia="en-CA"/>
              </w:rPr>
              <w:t>Saudi Arabia</w:t>
            </w:r>
          </w:p>
        </w:tc>
        <w:tc>
          <w:tcPr>
            <w:tcW w:w="2288" w:type="dxa"/>
            <w:tcBorders>
              <w:top w:val="nil"/>
              <w:left w:val="nil"/>
              <w:bottom w:val="single" w:sz="4" w:space="0" w:color="auto"/>
              <w:right w:val="single" w:sz="4" w:space="0" w:color="auto"/>
            </w:tcBorders>
            <w:shd w:val="clear" w:color="auto" w:fill="auto"/>
            <w:vAlign w:val="center"/>
            <w:hideMark/>
          </w:tcPr>
          <w:p w14:paraId="54D4F25C" w14:textId="77777777" w:rsidR="00253427" w:rsidRPr="00653977" w:rsidRDefault="00253427" w:rsidP="00EF0503">
            <w:pPr>
              <w:ind w:right="770"/>
              <w:jc w:val="right"/>
              <w:rPr>
                <w:sz w:val="22"/>
                <w:szCs w:val="22"/>
                <w:lang w:eastAsia="en-CA"/>
              </w:rPr>
            </w:pPr>
            <w:r w:rsidRPr="00653977">
              <w:rPr>
                <w:sz w:val="22"/>
                <w:szCs w:val="22"/>
                <w:lang w:eastAsia="en-CA"/>
              </w:rPr>
              <w:t>1.146</w:t>
            </w:r>
          </w:p>
        </w:tc>
        <w:tc>
          <w:tcPr>
            <w:tcW w:w="0" w:type="auto"/>
            <w:tcBorders>
              <w:top w:val="nil"/>
              <w:left w:val="nil"/>
              <w:bottom w:val="single" w:sz="4" w:space="0" w:color="auto"/>
              <w:right w:val="single" w:sz="4" w:space="0" w:color="auto"/>
            </w:tcBorders>
            <w:shd w:val="clear" w:color="auto" w:fill="auto"/>
            <w:noWrap/>
            <w:vAlign w:val="center"/>
            <w:hideMark/>
          </w:tcPr>
          <w:p w14:paraId="0862A28B" w14:textId="77777777" w:rsidR="00253427" w:rsidRPr="00653977" w:rsidRDefault="00253427" w:rsidP="00EF0503">
            <w:pPr>
              <w:ind w:right="1144"/>
              <w:jc w:val="right"/>
              <w:rPr>
                <w:sz w:val="22"/>
                <w:szCs w:val="22"/>
                <w:lang w:eastAsia="en-CA"/>
              </w:rPr>
            </w:pPr>
            <w:r w:rsidRPr="00653977">
              <w:rPr>
                <w:sz w:val="22"/>
                <w:szCs w:val="22"/>
                <w:lang w:eastAsia="en-CA"/>
              </w:rPr>
              <w:t>1.659</w:t>
            </w:r>
          </w:p>
        </w:tc>
        <w:tc>
          <w:tcPr>
            <w:tcW w:w="0" w:type="auto"/>
            <w:tcBorders>
              <w:top w:val="nil"/>
              <w:left w:val="nil"/>
              <w:bottom w:val="single" w:sz="4" w:space="0" w:color="auto"/>
              <w:right w:val="single" w:sz="4" w:space="0" w:color="auto"/>
            </w:tcBorders>
            <w:shd w:val="clear" w:color="auto" w:fill="auto"/>
            <w:noWrap/>
            <w:vAlign w:val="center"/>
            <w:hideMark/>
          </w:tcPr>
          <w:p w14:paraId="4B027048" w14:textId="77777777" w:rsidR="00253427" w:rsidRPr="00653977" w:rsidRDefault="00253427" w:rsidP="00EF0503">
            <w:pPr>
              <w:ind w:right="276"/>
              <w:jc w:val="right"/>
              <w:rPr>
                <w:sz w:val="22"/>
                <w:szCs w:val="22"/>
                <w:lang w:eastAsia="en-CA"/>
              </w:rPr>
            </w:pPr>
            <w:r w:rsidRPr="00653977">
              <w:rPr>
                <w:sz w:val="22"/>
                <w:szCs w:val="22"/>
                <w:lang w:eastAsia="en-CA"/>
              </w:rPr>
              <w:t>39 845</w:t>
            </w:r>
          </w:p>
        </w:tc>
        <w:tc>
          <w:tcPr>
            <w:tcW w:w="0" w:type="auto"/>
            <w:tcBorders>
              <w:top w:val="nil"/>
              <w:left w:val="nil"/>
              <w:bottom w:val="single" w:sz="4" w:space="0" w:color="auto"/>
              <w:right w:val="single" w:sz="4" w:space="0" w:color="auto"/>
            </w:tcBorders>
            <w:shd w:val="clear" w:color="auto" w:fill="auto"/>
            <w:noWrap/>
            <w:vAlign w:val="center"/>
            <w:hideMark/>
          </w:tcPr>
          <w:p w14:paraId="379A666E" w14:textId="77777777" w:rsidR="00253427" w:rsidRPr="00653977" w:rsidRDefault="00253427" w:rsidP="00EF0503">
            <w:pPr>
              <w:ind w:right="276"/>
              <w:jc w:val="right"/>
              <w:rPr>
                <w:sz w:val="22"/>
                <w:szCs w:val="22"/>
                <w:lang w:eastAsia="en-CA"/>
              </w:rPr>
            </w:pPr>
            <w:r w:rsidRPr="00653977">
              <w:rPr>
                <w:sz w:val="22"/>
                <w:szCs w:val="22"/>
                <w:lang w:eastAsia="en-CA"/>
              </w:rPr>
              <w:t>42 252</w:t>
            </w:r>
          </w:p>
        </w:tc>
        <w:tc>
          <w:tcPr>
            <w:tcW w:w="0" w:type="auto"/>
            <w:tcBorders>
              <w:top w:val="nil"/>
              <w:left w:val="nil"/>
              <w:bottom w:val="single" w:sz="4" w:space="0" w:color="auto"/>
              <w:right w:val="single" w:sz="4" w:space="0" w:color="auto"/>
            </w:tcBorders>
            <w:shd w:val="clear" w:color="auto" w:fill="auto"/>
            <w:noWrap/>
            <w:vAlign w:val="center"/>
            <w:hideMark/>
          </w:tcPr>
          <w:p w14:paraId="39584F7F" w14:textId="77777777" w:rsidR="00253427" w:rsidRPr="00653977" w:rsidRDefault="00253427" w:rsidP="00EF0503">
            <w:pPr>
              <w:ind w:right="276"/>
              <w:jc w:val="right"/>
              <w:rPr>
                <w:sz w:val="22"/>
                <w:szCs w:val="22"/>
                <w:lang w:eastAsia="en-CA"/>
              </w:rPr>
            </w:pPr>
            <w:r w:rsidRPr="00653977">
              <w:rPr>
                <w:sz w:val="22"/>
                <w:szCs w:val="22"/>
                <w:lang w:eastAsia="en-CA"/>
              </w:rPr>
              <w:t>82 098</w:t>
            </w:r>
          </w:p>
        </w:tc>
      </w:tr>
      <w:tr w:rsidR="00253427" w:rsidRPr="00653977" w14:paraId="4DC43D24"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522976" w14:textId="77777777" w:rsidR="00253427" w:rsidRPr="00653977" w:rsidRDefault="00253427" w:rsidP="00EF0503">
            <w:pPr>
              <w:rPr>
                <w:sz w:val="22"/>
                <w:szCs w:val="22"/>
                <w:lang w:eastAsia="en-CA"/>
              </w:rPr>
            </w:pPr>
            <w:r w:rsidRPr="00653977">
              <w:rPr>
                <w:sz w:val="22"/>
                <w:szCs w:val="22"/>
                <w:lang w:eastAsia="en-CA"/>
              </w:rPr>
              <w:t>Senegal</w:t>
            </w:r>
          </w:p>
        </w:tc>
        <w:tc>
          <w:tcPr>
            <w:tcW w:w="2288" w:type="dxa"/>
            <w:tcBorders>
              <w:top w:val="nil"/>
              <w:left w:val="nil"/>
              <w:bottom w:val="single" w:sz="4" w:space="0" w:color="auto"/>
              <w:right w:val="single" w:sz="4" w:space="0" w:color="auto"/>
            </w:tcBorders>
            <w:shd w:val="clear" w:color="auto" w:fill="auto"/>
            <w:vAlign w:val="center"/>
            <w:hideMark/>
          </w:tcPr>
          <w:p w14:paraId="630D6FA7" w14:textId="77777777" w:rsidR="00253427" w:rsidRPr="00653977" w:rsidRDefault="00253427" w:rsidP="00EF0503">
            <w:pPr>
              <w:ind w:right="770"/>
              <w:jc w:val="right"/>
              <w:rPr>
                <w:sz w:val="22"/>
                <w:szCs w:val="22"/>
                <w:lang w:eastAsia="en-CA"/>
              </w:rPr>
            </w:pPr>
            <w:r w:rsidRPr="00653977">
              <w:rPr>
                <w:sz w:val="22"/>
                <w:szCs w:val="22"/>
                <w:lang w:eastAsia="en-CA"/>
              </w:rPr>
              <w:t>0.005</w:t>
            </w:r>
          </w:p>
        </w:tc>
        <w:tc>
          <w:tcPr>
            <w:tcW w:w="0" w:type="auto"/>
            <w:tcBorders>
              <w:top w:val="nil"/>
              <w:left w:val="nil"/>
              <w:bottom w:val="single" w:sz="4" w:space="0" w:color="auto"/>
              <w:right w:val="single" w:sz="4" w:space="0" w:color="auto"/>
            </w:tcBorders>
            <w:shd w:val="clear" w:color="auto" w:fill="auto"/>
            <w:noWrap/>
            <w:vAlign w:val="center"/>
            <w:hideMark/>
          </w:tcPr>
          <w:p w14:paraId="15814711" w14:textId="77777777" w:rsidR="00253427" w:rsidRPr="00653977" w:rsidRDefault="00253427" w:rsidP="00EF0503">
            <w:pPr>
              <w:ind w:right="1144"/>
              <w:jc w:val="right"/>
              <w:rPr>
                <w:sz w:val="22"/>
                <w:szCs w:val="22"/>
                <w:lang w:eastAsia="en-CA"/>
              </w:rPr>
            </w:pPr>
            <w:r w:rsidRPr="00653977">
              <w:rPr>
                <w:sz w:val="22"/>
                <w:szCs w:val="22"/>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1B901226" w14:textId="77777777" w:rsidR="00253427" w:rsidRPr="00653977" w:rsidRDefault="00253427" w:rsidP="00EF0503">
            <w:pPr>
              <w:ind w:right="276"/>
              <w:jc w:val="right"/>
              <w:rPr>
                <w:sz w:val="22"/>
                <w:szCs w:val="22"/>
                <w:lang w:eastAsia="en-CA"/>
              </w:rPr>
            </w:pPr>
            <w:r w:rsidRPr="00653977">
              <w:rPr>
                <w:sz w:val="22"/>
                <w:szCs w:val="22"/>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0114ED69" w14:textId="77777777" w:rsidR="00253427" w:rsidRPr="00653977" w:rsidRDefault="00253427" w:rsidP="00EF0503">
            <w:pPr>
              <w:ind w:right="276"/>
              <w:jc w:val="right"/>
              <w:rPr>
                <w:sz w:val="22"/>
                <w:szCs w:val="22"/>
                <w:lang w:eastAsia="en-CA"/>
              </w:rPr>
            </w:pPr>
            <w:r w:rsidRPr="00653977">
              <w:rPr>
                <w:sz w:val="22"/>
                <w:szCs w:val="22"/>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1AE49210" w14:textId="77777777" w:rsidR="00253427" w:rsidRPr="00653977" w:rsidRDefault="00253427" w:rsidP="00EF0503">
            <w:pPr>
              <w:ind w:right="276"/>
              <w:jc w:val="right"/>
              <w:rPr>
                <w:sz w:val="22"/>
                <w:szCs w:val="22"/>
                <w:lang w:eastAsia="en-CA"/>
              </w:rPr>
            </w:pPr>
            <w:r w:rsidRPr="00653977">
              <w:rPr>
                <w:sz w:val="22"/>
                <w:szCs w:val="22"/>
                <w:lang w:eastAsia="en-CA"/>
              </w:rPr>
              <w:t>358</w:t>
            </w:r>
          </w:p>
        </w:tc>
      </w:tr>
      <w:tr w:rsidR="00253427" w:rsidRPr="00653977" w14:paraId="6770FAD8"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6A5E6F" w14:textId="77777777" w:rsidR="00253427" w:rsidRPr="00653977" w:rsidRDefault="00253427" w:rsidP="00EF0503">
            <w:pPr>
              <w:rPr>
                <w:sz w:val="22"/>
                <w:szCs w:val="22"/>
                <w:lang w:eastAsia="en-CA"/>
              </w:rPr>
            </w:pPr>
            <w:r w:rsidRPr="00653977">
              <w:rPr>
                <w:sz w:val="22"/>
                <w:szCs w:val="22"/>
                <w:lang w:eastAsia="en-CA"/>
              </w:rPr>
              <w:t>Serbia</w:t>
            </w:r>
          </w:p>
        </w:tc>
        <w:tc>
          <w:tcPr>
            <w:tcW w:w="2288" w:type="dxa"/>
            <w:tcBorders>
              <w:top w:val="nil"/>
              <w:left w:val="nil"/>
              <w:bottom w:val="single" w:sz="4" w:space="0" w:color="auto"/>
              <w:right w:val="single" w:sz="4" w:space="0" w:color="auto"/>
            </w:tcBorders>
            <w:shd w:val="clear" w:color="auto" w:fill="auto"/>
            <w:vAlign w:val="center"/>
            <w:hideMark/>
          </w:tcPr>
          <w:p w14:paraId="17B5D471" w14:textId="77777777" w:rsidR="00253427" w:rsidRPr="00653977" w:rsidRDefault="00253427" w:rsidP="00EF0503">
            <w:pPr>
              <w:ind w:right="770"/>
              <w:jc w:val="right"/>
              <w:rPr>
                <w:sz w:val="22"/>
                <w:szCs w:val="22"/>
                <w:lang w:eastAsia="en-CA"/>
              </w:rPr>
            </w:pPr>
            <w:r w:rsidRPr="00653977">
              <w:rPr>
                <w:sz w:val="22"/>
                <w:szCs w:val="22"/>
                <w:lang w:eastAsia="en-CA"/>
              </w:rPr>
              <w:t>0.032</w:t>
            </w:r>
          </w:p>
        </w:tc>
        <w:tc>
          <w:tcPr>
            <w:tcW w:w="0" w:type="auto"/>
            <w:tcBorders>
              <w:top w:val="nil"/>
              <w:left w:val="nil"/>
              <w:bottom w:val="single" w:sz="4" w:space="0" w:color="auto"/>
              <w:right w:val="single" w:sz="4" w:space="0" w:color="auto"/>
            </w:tcBorders>
            <w:shd w:val="clear" w:color="auto" w:fill="auto"/>
            <w:noWrap/>
            <w:vAlign w:val="center"/>
            <w:hideMark/>
          </w:tcPr>
          <w:p w14:paraId="35A3C04E" w14:textId="77777777" w:rsidR="00253427" w:rsidRPr="00653977" w:rsidRDefault="00253427" w:rsidP="00EF0503">
            <w:pPr>
              <w:ind w:right="1144"/>
              <w:jc w:val="right"/>
              <w:rPr>
                <w:sz w:val="22"/>
                <w:szCs w:val="22"/>
                <w:lang w:eastAsia="en-CA"/>
              </w:rPr>
            </w:pPr>
            <w:r w:rsidRPr="00653977">
              <w:rPr>
                <w:sz w:val="22"/>
                <w:szCs w:val="22"/>
                <w:lang w:eastAsia="en-CA"/>
              </w:rPr>
              <w:t>0.046</w:t>
            </w:r>
          </w:p>
        </w:tc>
        <w:tc>
          <w:tcPr>
            <w:tcW w:w="0" w:type="auto"/>
            <w:tcBorders>
              <w:top w:val="nil"/>
              <w:left w:val="nil"/>
              <w:bottom w:val="single" w:sz="4" w:space="0" w:color="auto"/>
              <w:right w:val="single" w:sz="4" w:space="0" w:color="auto"/>
            </w:tcBorders>
            <w:shd w:val="clear" w:color="auto" w:fill="auto"/>
            <w:noWrap/>
            <w:vAlign w:val="center"/>
            <w:hideMark/>
          </w:tcPr>
          <w:p w14:paraId="66152E3A" w14:textId="77777777" w:rsidR="00253427" w:rsidRPr="00653977" w:rsidRDefault="00253427" w:rsidP="00EF0503">
            <w:pPr>
              <w:ind w:right="276"/>
              <w:jc w:val="right"/>
              <w:rPr>
                <w:sz w:val="22"/>
                <w:szCs w:val="22"/>
                <w:lang w:eastAsia="en-CA"/>
              </w:rPr>
            </w:pPr>
            <w:r w:rsidRPr="00653977">
              <w:rPr>
                <w:sz w:val="22"/>
                <w:szCs w:val="22"/>
                <w:lang w:eastAsia="en-CA"/>
              </w:rPr>
              <w:t>1 113</w:t>
            </w:r>
          </w:p>
        </w:tc>
        <w:tc>
          <w:tcPr>
            <w:tcW w:w="0" w:type="auto"/>
            <w:tcBorders>
              <w:top w:val="nil"/>
              <w:left w:val="nil"/>
              <w:bottom w:val="single" w:sz="4" w:space="0" w:color="auto"/>
              <w:right w:val="single" w:sz="4" w:space="0" w:color="auto"/>
            </w:tcBorders>
            <w:shd w:val="clear" w:color="auto" w:fill="auto"/>
            <w:noWrap/>
            <w:vAlign w:val="center"/>
            <w:hideMark/>
          </w:tcPr>
          <w:p w14:paraId="559B4242" w14:textId="77777777" w:rsidR="00253427" w:rsidRPr="00653977" w:rsidRDefault="00253427" w:rsidP="00EF0503">
            <w:pPr>
              <w:ind w:right="276"/>
              <w:jc w:val="right"/>
              <w:rPr>
                <w:sz w:val="22"/>
                <w:szCs w:val="22"/>
                <w:lang w:eastAsia="en-CA"/>
              </w:rPr>
            </w:pPr>
            <w:r w:rsidRPr="00653977">
              <w:rPr>
                <w:sz w:val="22"/>
                <w:szCs w:val="22"/>
                <w:lang w:eastAsia="en-CA"/>
              </w:rPr>
              <w:t>1 180</w:t>
            </w:r>
          </w:p>
        </w:tc>
        <w:tc>
          <w:tcPr>
            <w:tcW w:w="0" w:type="auto"/>
            <w:tcBorders>
              <w:top w:val="nil"/>
              <w:left w:val="nil"/>
              <w:bottom w:val="single" w:sz="4" w:space="0" w:color="auto"/>
              <w:right w:val="single" w:sz="4" w:space="0" w:color="auto"/>
            </w:tcBorders>
            <w:shd w:val="clear" w:color="auto" w:fill="auto"/>
            <w:noWrap/>
            <w:vAlign w:val="center"/>
            <w:hideMark/>
          </w:tcPr>
          <w:p w14:paraId="4049B9FD" w14:textId="77777777" w:rsidR="00253427" w:rsidRPr="00653977" w:rsidRDefault="00253427" w:rsidP="00EF0503">
            <w:pPr>
              <w:ind w:right="276"/>
              <w:jc w:val="right"/>
              <w:rPr>
                <w:sz w:val="22"/>
                <w:szCs w:val="22"/>
                <w:lang w:eastAsia="en-CA"/>
              </w:rPr>
            </w:pPr>
            <w:r w:rsidRPr="00653977">
              <w:rPr>
                <w:sz w:val="22"/>
                <w:szCs w:val="22"/>
                <w:lang w:eastAsia="en-CA"/>
              </w:rPr>
              <w:t>2 292</w:t>
            </w:r>
          </w:p>
        </w:tc>
      </w:tr>
      <w:tr w:rsidR="00253427" w:rsidRPr="00653977" w14:paraId="11777D8B"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542BCC" w14:textId="77777777" w:rsidR="00253427" w:rsidRPr="00653977" w:rsidRDefault="00253427" w:rsidP="00EF0503">
            <w:pPr>
              <w:rPr>
                <w:sz w:val="22"/>
                <w:szCs w:val="22"/>
                <w:lang w:eastAsia="en-CA"/>
              </w:rPr>
            </w:pPr>
            <w:r w:rsidRPr="00653977">
              <w:rPr>
                <w:sz w:val="22"/>
                <w:szCs w:val="22"/>
                <w:lang w:eastAsia="en-CA"/>
              </w:rPr>
              <w:t>Seychelles</w:t>
            </w:r>
          </w:p>
        </w:tc>
        <w:tc>
          <w:tcPr>
            <w:tcW w:w="2288" w:type="dxa"/>
            <w:tcBorders>
              <w:top w:val="nil"/>
              <w:left w:val="nil"/>
              <w:bottom w:val="single" w:sz="4" w:space="0" w:color="auto"/>
              <w:right w:val="single" w:sz="4" w:space="0" w:color="auto"/>
            </w:tcBorders>
            <w:shd w:val="clear" w:color="auto" w:fill="auto"/>
            <w:vAlign w:val="center"/>
            <w:hideMark/>
          </w:tcPr>
          <w:p w14:paraId="5C213090"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050DD1B"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93F11A7"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4394FA07"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548B5E9"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3071CABB"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18056E" w14:textId="77777777" w:rsidR="00253427" w:rsidRPr="00653977" w:rsidRDefault="00253427" w:rsidP="00EF0503">
            <w:pPr>
              <w:rPr>
                <w:sz w:val="22"/>
                <w:szCs w:val="22"/>
                <w:lang w:eastAsia="en-CA"/>
              </w:rPr>
            </w:pPr>
            <w:r w:rsidRPr="00653977">
              <w:rPr>
                <w:sz w:val="22"/>
                <w:szCs w:val="22"/>
                <w:lang w:eastAsia="en-CA"/>
              </w:rPr>
              <w:t>Slovakia</w:t>
            </w:r>
          </w:p>
        </w:tc>
        <w:tc>
          <w:tcPr>
            <w:tcW w:w="2288" w:type="dxa"/>
            <w:tcBorders>
              <w:top w:val="nil"/>
              <w:left w:val="nil"/>
              <w:bottom w:val="single" w:sz="4" w:space="0" w:color="auto"/>
              <w:right w:val="single" w:sz="4" w:space="0" w:color="auto"/>
            </w:tcBorders>
            <w:shd w:val="clear" w:color="auto" w:fill="auto"/>
            <w:vAlign w:val="center"/>
            <w:hideMark/>
          </w:tcPr>
          <w:p w14:paraId="24950ED3" w14:textId="77777777" w:rsidR="00253427" w:rsidRPr="00653977" w:rsidRDefault="00253427" w:rsidP="00EF0503">
            <w:pPr>
              <w:ind w:right="770"/>
              <w:jc w:val="right"/>
              <w:rPr>
                <w:sz w:val="22"/>
                <w:szCs w:val="22"/>
                <w:lang w:eastAsia="en-CA"/>
              </w:rPr>
            </w:pPr>
            <w:r w:rsidRPr="00653977">
              <w:rPr>
                <w:sz w:val="22"/>
                <w:szCs w:val="22"/>
                <w:lang w:eastAsia="en-CA"/>
              </w:rPr>
              <w:t>0.160</w:t>
            </w:r>
          </w:p>
        </w:tc>
        <w:tc>
          <w:tcPr>
            <w:tcW w:w="0" w:type="auto"/>
            <w:tcBorders>
              <w:top w:val="nil"/>
              <w:left w:val="nil"/>
              <w:bottom w:val="single" w:sz="4" w:space="0" w:color="auto"/>
              <w:right w:val="single" w:sz="4" w:space="0" w:color="auto"/>
            </w:tcBorders>
            <w:shd w:val="clear" w:color="auto" w:fill="auto"/>
            <w:noWrap/>
            <w:vAlign w:val="center"/>
            <w:hideMark/>
          </w:tcPr>
          <w:p w14:paraId="05668188" w14:textId="77777777" w:rsidR="00253427" w:rsidRPr="00653977" w:rsidRDefault="00253427" w:rsidP="00EF0503">
            <w:pPr>
              <w:ind w:right="1144"/>
              <w:jc w:val="right"/>
              <w:rPr>
                <w:sz w:val="22"/>
                <w:szCs w:val="22"/>
                <w:lang w:eastAsia="en-CA"/>
              </w:rPr>
            </w:pPr>
            <w:r w:rsidRPr="00653977">
              <w:rPr>
                <w:sz w:val="22"/>
                <w:szCs w:val="22"/>
                <w:lang w:eastAsia="en-CA"/>
              </w:rPr>
              <w:t>0.232</w:t>
            </w:r>
          </w:p>
        </w:tc>
        <w:tc>
          <w:tcPr>
            <w:tcW w:w="0" w:type="auto"/>
            <w:tcBorders>
              <w:top w:val="nil"/>
              <w:left w:val="nil"/>
              <w:bottom w:val="single" w:sz="4" w:space="0" w:color="auto"/>
              <w:right w:val="single" w:sz="4" w:space="0" w:color="auto"/>
            </w:tcBorders>
            <w:shd w:val="clear" w:color="auto" w:fill="auto"/>
            <w:noWrap/>
            <w:vAlign w:val="center"/>
            <w:hideMark/>
          </w:tcPr>
          <w:p w14:paraId="4883FFD2" w14:textId="77777777" w:rsidR="00253427" w:rsidRPr="00653977" w:rsidRDefault="00253427" w:rsidP="00EF0503">
            <w:pPr>
              <w:ind w:right="276"/>
              <w:jc w:val="right"/>
              <w:rPr>
                <w:sz w:val="22"/>
                <w:szCs w:val="22"/>
                <w:lang w:eastAsia="en-CA"/>
              </w:rPr>
            </w:pPr>
            <w:r w:rsidRPr="00653977">
              <w:rPr>
                <w:sz w:val="22"/>
                <w:szCs w:val="22"/>
                <w:lang w:eastAsia="en-CA"/>
              </w:rPr>
              <w:t>5 563</w:t>
            </w:r>
          </w:p>
        </w:tc>
        <w:tc>
          <w:tcPr>
            <w:tcW w:w="0" w:type="auto"/>
            <w:tcBorders>
              <w:top w:val="nil"/>
              <w:left w:val="nil"/>
              <w:bottom w:val="single" w:sz="4" w:space="0" w:color="auto"/>
              <w:right w:val="single" w:sz="4" w:space="0" w:color="auto"/>
            </w:tcBorders>
            <w:shd w:val="clear" w:color="auto" w:fill="auto"/>
            <w:noWrap/>
            <w:vAlign w:val="center"/>
            <w:hideMark/>
          </w:tcPr>
          <w:p w14:paraId="0AF9E4B9" w14:textId="77777777" w:rsidR="00253427" w:rsidRPr="00653977" w:rsidRDefault="00253427" w:rsidP="00EF0503">
            <w:pPr>
              <w:ind w:right="276"/>
              <w:jc w:val="right"/>
              <w:rPr>
                <w:sz w:val="22"/>
                <w:szCs w:val="22"/>
                <w:lang w:eastAsia="en-CA"/>
              </w:rPr>
            </w:pPr>
            <w:r w:rsidRPr="00653977">
              <w:rPr>
                <w:sz w:val="22"/>
                <w:szCs w:val="22"/>
                <w:lang w:eastAsia="en-CA"/>
              </w:rPr>
              <w:t>5 899</w:t>
            </w:r>
          </w:p>
        </w:tc>
        <w:tc>
          <w:tcPr>
            <w:tcW w:w="0" w:type="auto"/>
            <w:tcBorders>
              <w:top w:val="nil"/>
              <w:left w:val="nil"/>
              <w:bottom w:val="single" w:sz="4" w:space="0" w:color="auto"/>
              <w:right w:val="single" w:sz="4" w:space="0" w:color="auto"/>
            </w:tcBorders>
            <w:shd w:val="clear" w:color="auto" w:fill="auto"/>
            <w:noWrap/>
            <w:vAlign w:val="center"/>
            <w:hideMark/>
          </w:tcPr>
          <w:p w14:paraId="2FC840FC" w14:textId="77777777" w:rsidR="00253427" w:rsidRPr="00653977" w:rsidRDefault="00253427" w:rsidP="00EF0503">
            <w:pPr>
              <w:ind w:right="276"/>
              <w:jc w:val="right"/>
              <w:rPr>
                <w:sz w:val="22"/>
                <w:szCs w:val="22"/>
                <w:lang w:eastAsia="en-CA"/>
              </w:rPr>
            </w:pPr>
            <w:r w:rsidRPr="00653977">
              <w:rPr>
                <w:sz w:val="22"/>
                <w:szCs w:val="22"/>
                <w:lang w:eastAsia="en-CA"/>
              </w:rPr>
              <w:t>11 462</w:t>
            </w:r>
          </w:p>
        </w:tc>
      </w:tr>
      <w:tr w:rsidR="00253427" w:rsidRPr="00653977" w14:paraId="00D9B1AE"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7B30D7" w14:textId="77777777" w:rsidR="00253427" w:rsidRPr="00653977" w:rsidRDefault="00253427" w:rsidP="00EF0503">
            <w:pPr>
              <w:rPr>
                <w:sz w:val="22"/>
                <w:szCs w:val="22"/>
                <w:lang w:eastAsia="en-CA"/>
              </w:rPr>
            </w:pPr>
            <w:r w:rsidRPr="00653977">
              <w:rPr>
                <w:sz w:val="22"/>
                <w:szCs w:val="22"/>
                <w:lang w:eastAsia="en-CA"/>
              </w:rPr>
              <w:t>Slovenia</w:t>
            </w:r>
          </w:p>
        </w:tc>
        <w:tc>
          <w:tcPr>
            <w:tcW w:w="2288" w:type="dxa"/>
            <w:tcBorders>
              <w:top w:val="nil"/>
              <w:left w:val="nil"/>
              <w:bottom w:val="single" w:sz="4" w:space="0" w:color="auto"/>
              <w:right w:val="single" w:sz="4" w:space="0" w:color="auto"/>
            </w:tcBorders>
            <w:shd w:val="clear" w:color="auto" w:fill="auto"/>
            <w:vAlign w:val="center"/>
            <w:hideMark/>
          </w:tcPr>
          <w:p w14:paraId="490D77D4" w14:textId="77777777" w:rsidR="00253427" w:rsidRPr="00653977" w:rsidRDefault="00253427" w:rsidP="00EF0503">
            <w:pPr>
              <w:ind w:right="770"/>
              <w:jc w:val="right"/>
              <w:rPr>
                <w:sz w:val="22"/>
                <w:szCs w:val="22"/>
                <w:lang w:eastAsia="en-CA"/>
              </w:rPr>
            </w:pPr>
            <w:r w:rsidRPr="00653977">
              <w:rPr>
                <w:sz w:val="22"/>
                <w:szCs w:val="22"/>
                <w:lang w:eastAsia="en-CA"/>
              </w:rPr>
              <w:t>0.084</w:t>
            </w:r>
          </w:p>
        </w:tc>
        <w:tc>
          <w:tcPr>
            <w:tcW w:w="0" w:type="auto"/>
            <w:tcBorders>
              <w:top w:val="nil"/>
              <w:left w:val="nil"/>
              <w:bottom w:val="single" w:sz="4" w:space="0" w:color="auto"/>
              <w:right w:val="single" w:sz="4" w:space="0" w:color="auto"/>
            </w:tcBorders>
            <w:shd w:val="clear" w:color="auto" w:fill="auto"/>
            <w:noWrap/>
            <w:vAlign w:val="center"/>
            <w:hideMark/>
          </w:tcPr>
          <w:p w14:paraId="24BAE40C" w14:textId="77777777" w:rsidR="00253427" w:rsidRPr="00653977" w:rsidRDefault="00253427" w:rsidP="00EF0503">
            <w:pPr>
              <w:ind w:right="1144"/>
              <w:jc w:val="right"/>
              <w:rPr>
                <w:sz w:val="22"/>
                <w:szCs w:val="22"/>
                <w:lang w:eastAsia="en-CA"/>
              </w:rPr>
            </w:pPr>
            <w:r w:rsidRPr="00653977">
              <w:rPr>
                <w:sz w:val="22"/>
                <w:szCs w:val="22"/>
                <w:lang w:eastAsia="en-CA"/>
              </w:rPr>
              <w:t>0.122</w:t>
            </w:r>
          </w:p>
        </w:tc>
        <w:tc>
          <w:tcPr>
            <w:tcW w:w="0" w:type="auto"/>
            <w:tcBorders>
              <w:top w:val="nil"/>
              <w:left w:val="nil"/>
              <w:bottom w:val="single" w:sz="4" w:space="0" w:color="auto"/>
              <w:right w:val="single" w:sz="4" w:space="0" w:color="auto"/>
            </w:tcBorders>
            <w:shd w:val="clear" w:color="auto" w:fill="auto"/>
            <w:noWrap/>
            <w:vAlign w:val="center"/>
            <w:hideMark/>
          </w:tcPr>
          <w:p w14:paraId="30CB66A5" w14:textId="77777777" w:rsidR="00253427" w:rsidRPr="00653977" w:rsidRDefault="00253427" w:rsidP="00EF0503">
            <w:pPr>
              <w:ind w:right="276"/>
              <w:jc w:val="right"/>
              <w:rPr>
                <w:sz w:val="22"/>
                <w:szCs w:val="22"/>
                <w:lang w:eastAsia="en-CA"/>
              </w:rPr>
            </w:pPr>
            <w:r w:rsidRPr="00653977">
              <w:rPr>
                <w:sz w:val="22"/>
                <w:szCs w:val="22"/>
                <w:lang w:eastAsia="en-CA"/>
              </w:rPr>
              <w:t>2 921</w:t>
            </w:r>
          </w:p>
        </w:tc>
        <w:tc>
          <w:tcPr>
            <w:tcW w:w="0" w:type="auto"/>
            <w:tcBorders>
              <w:top w:val="nil"/>
              <w:left w:val="nil"/>
              <w:bottom w:val="single" w:sz="4" w:space="0" w:color="auto"/>
              <w:right w:val="single" w:sz="4" w:space="0" w:color="auto"/>
            </w:tcBorders>
            <w:shd w:val="clear" w:color="auto" w:fill="auto"/>
            <w:noWrap/>
            <w:vAlign w:val="center"/>
            <w:hideMark/>
          </w:tcPr>
          <w:p w14:paraId="062D89F5" w14:textId="77777777" w:rsidR="00253427" w:rsidRPr="00653977" w:rsidRDefault="00253427" w:rsidP="00EF0503">
            <w:pPr>
              <w:ind w:right="276"/>
              <w:jc w:val="right"/>
              <w:rPr>
                <w:sz w:val="22"/>
                <w:szCs w:val="22"/>
                <w:lang w:eastAsia="en-CA"/>
              </w:rPr>
            </w:pPr>
            <w:r w:rsidRPr="00653977">
              <w:rPr>
                <w:sz w:val="22"/>
                <w:szCs w:val="22"/>
                <w:lang w:eastAsia="en-CA"/>
              </w:rPr>
              <w:t>3 097</w:t>
            </w:r>
          </w:p>
        </w:tc>
        <w:tc>
          <w:tcPr>
            <w:tcW w:w="0" w:type="auto"/>
            <w:tcBorders>
              <w:top w:val="nil"/>
              <w:left w:val="nil"/>
              <w:bottom w:val="single" w:sz="4" w:space="0" w:color="auto"/>
              <w:right w:val="single" w:sz="4" w:space="0" w:color="auto"/>
            </w:tcBorders>
            <w:shd w:val="clear" w:color="auto" w:fill="auto"/>
            <w:noWrap/>
            <w:vAlign w:val="center"/>
            <w:hideMark/>
          </w:tcPr>
          <w:p w14:paraId="1C123075" w14:textId="77777777" w:rsidR="00253427" w:rsidRPr="00653977" w:rsidRDefault="00253427" w:rsidP="00EF0503">
            <w:pPr>
              <w:ind w:right="276"/>
              <w:jc w:val="right"/>
              <w:rPr>
                <w:sz w:val="22"/>
                <w:szCs w:val="22"/>
                <w:lang w:eastAsia="en-CA"/>
              </w:rPr>
            </w:pPr>
            <w:r w:rsidRPr="00653977">
              <w:rPr>
                <w:sz w:val="22"/>
                <w:szCs w:val="22"/>
                <w:lang w:eastAsia="en-CA"/>
              </w:rPr>
              <w:t>6 018</w:t>
            </w:r>
          </w:p>
        </w:tc>
      </w:tr>
      <w:tr w:rsidR="00253427" w:rsidRPr="00653977" w14:paraId="0725CB9D"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820407" w14:textId="77777777" w:rsidR="00253427" w:rsidRPr="00653977" w:rsidRDefault="00253427" w:rsidP="00EF0503">
            <w:pPr>
              <w:rPr>
                <w:sz w:val="22"/>
                <w:szCs w:val="22"/>
                <w:lang w:eastAsia="en-CA"/>
              </w:rPr>
            </w:pPr>
            <w:r w:rsidRPr="00653977">
              <w:rPr>
                <w:sz w:val="22"/>
                <w:szCs w:val="22"/>
                <w:lang w:eastAsia="en-CA"/>
              </w:rPr>
              <w:t>Solomon Islands</w:t>
            </w:r>
          </w:p>
        </w:tc>
        <w:tc>
          <w:tcPr>
            <w:tcW w:w="2288" w:type="dxa"/>
            <w:tcBorders>
              <w:top w:val="nil"/>
              <w:left w:val="nil"/>
              <w:bottom w:val="single" w:sz="4" w:space="0" w:color="auto"/>
              <w:right w:val="single" w:sz="4" w:space="0" w:color="auto"/>
            </w:tcBorders>
            <w:shd w:val="clear" w:color="auto" w:fill="auto"/>
            <w:vAlign w:val="center"/>
            <w:hideMark/>
          </w:tcPr>
          <w:p w14:paraId="28E153A4"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7528A60"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4936FDF"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0737A68A"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CFCBE84"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19A83775"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00EAAD" w14:textId="77777777" w:rsidR="00253427" w:rsidRPr="00653977" w:rsidRDefault="00253427" w:rsidP="00EF0503">
            <w:pPr>
              <w:rPr>
                <w:sz w:val="22"/>
                <w:szCs w:val="22"/>
                <w:lang w:eastAsia="en-CA"/>
              </w:rPr>
            </w:pPr>
            <w:r w:rsidRPr="00653977">
              <w:rPr>
                <w:sz w:val="22"/>
                <w:szCs w:val="22"/>
                <w:lang w:eastAsia="en-CA"/>
              </w:rPr>
              <w:t>Somalia</w:t>
            </w:r>
          </w:p>
        </w:tc>
        <w:tc>
          <w:tcPr>
            <w:tcW w:w="2288" w:type="dxa"/>
            <w:tcBorders>
              <w:top w:val="nil"/>
              <w:left w:val="nil"/>
              <w:bottom w:val="single" w:sz="4" w:space="0" w:color="auto"/>
              <w:right w:val="single" w:sz="4" w:space="0" w:color="auto"/>
            </w:tcBorders>
            <w:shd w:val="clear" w:color="auto" w:fill="auto"/>
            <w:vAlign w:val="center"/>
            <w:hideMark/>
          </w:tcPr>
          <w:p w14:paraId="4E37C1DE"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C154561"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7136B02"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EFD2495"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07167D0"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38095B1F"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645360" w14:textId="77777777" w:rsidR="00253427" w:rsidRPr="00653977" w:rsidRDefault="00253427" w:rsidP="00EF0503">
            <w:pPr>
              <w:rPr>
                <w:sz w:val="22"/>
                <w:szCs w:val="22"/>
                <w:lang w:eastAsia="en-CA"/>
              </w:rPr>
            </w:pPr>
            <w:r w:rsidRPr="00653977">
              <w:rPr>
                <w:sz w:val="22"/>
                <w:szCs w:val="22"/>
                <w:lang w:eastAsia="en-CA"/>
              </w:rPr>
              <w:t>South Africa</w:t>
            </w:r>
          </w:p>
        </w:tc>
        <w:tc>
          <w:tcPr>
            <w:tcW w:w="2288" w:type="dxa"/>
            <w:tcBorders>
              <w:top w:val="nil"/>
              <w:left w:val="nil"/>
              <w:bottom w:val="single" w:sz="4" w:space="0" w:color="auto"/>
              <w:right w:val="single" w:sz="4" w:space="0" w:color="auto"/>
            </w:tcBorders>
            <w:shd w:val="clear" w:color="auto" w:fill="auto"/>
            <w:vAlign w:val="center"/>
            <w:hideMark/>
          </w:tcPr>
          <w:p w14:paraId="54DF8757" w14:textId="77777777" w:rsidR="00253427" w:rsidRPr="00653977" w:rsidRDefault="00253427" w:rsidP="00EF0503">
            <w:pPr>
              <w:ind w:right="770"/>
              <w:jc w:val="right"/>
              <w:rPr>
                <w:sz w:val="22"/>
                <w:szCs w:val="22"/>
                <w:lang w:eastAsia="en-CA"/>
              </w:rPr>
            </w:pPr>
            <w:r w:rsidRPr="00653977">
              <w:rPr>
                <w:sz w:val="22"/>
                <w:szCs w:val="22"/>
                <w:lang w:eastAsia="en-CA"/>
              </w:rPr>
              <w:t>0.364</w:t>
            </w:r>
          </w:p>
        </w:tc>
        <w:tc>
          <w:tcPr>
            <w:tcW w:w="0" w:type="auto"/>
            <w:tcBorders>
              <w:top w:val="nil"/>
              <w:left w:val="nil"/>
              <w:bottom w:val="single" w:sz="4" w:space="0" w:color="auto"/>
              <w:right w:val="single" w:sz="4" w:space="0" w:color="auto"/>
            </w:tcBorders>
            <w:shd w:val="clear" w:color="auto" w:fill="auto"/>
            <w:noWrap/>
            <w:vAlign w:val="center"/>
            <w:hideMark/>
          </w:tcPr>
          <w:p w14:paraId="1E5807B3" w14:textId="77777777" w:rsidR="00253427" w:rsidRPr="00653977" w:rsidRDefault="00253427" w:rsidP="00EF0503">
            <w:pPr>
              <w:ind w:right="1144"/>
              <w:jc w:val="right"/>
              <w:rPr>
                <w:sz w:val="22"/>
                <w:szCs w:val="22"/>
                <w:lang w:eastAsia="en-CA"/>
              </w:rPr>
            </w:pPr>
            <w:r w:rsidRPr="00653977">
              <w:rPr>
                <w:sz w:val="22"/>
                <w:szCs w:val="22"/>
                <w:lang w:eastAsia="en-CA"/>
              </w:rPr>
              <w:t>0.527</w:t>
            </w:r>
          </w:p>
        </w:tc>
        <w:tc>
          <w:tcPr>
            <w:tcW w:w="0" w:type="auto"/>
            <w:tcBorders>
              <w:top w:val="nil"/>
              <w:left w:val="nil"/>
              <w:bottom w:val="single" w:sz="4" w:space="0" w:color="auto"/>
              <w:right w:val="single" w:sz="4" w:space="0" w:color="auto"/>
            </w:tcBorders>
            <w:shd w:val="clear" w:color="auto" w:fill="auto"/>
            <w:noWrap/>
            <w:vAlign w:val="center"/>
            <w:hideMark/>
          </w:tcPr>
          <w:p w14:paraId="322C1181" w14:textId="77777777" w:rsidR="00253427" w:rsidRPr="00653977" w:rsidRDefault="00253427" w:rsidP="00EF0503">
            <w:pPr>
              <w:ind w:right="276"/>
              <w:jc w:val="right"/>
              <w:rPr>
                <w:sz w:val="22"/>
                <w:szCs w:val="22"/>
                <w:lang w:eastAsia="en-CA"/>
              </w:rPr>
            </w:pPr>
            <w:r w:rsidRPr="00653977">
              <w:rPr>
                <w:sz w:val="22"/>
                <w:szCs w:val="22"/>
                <w:lang w:eastAsia="en-CA"/>
              </w:rPr>
              <w:t>12 656</w:t>
            </w:r>
          </w:p>
        </w:tc>
        <w:tc>
          <w:tcPr>
            <w:tcW w:w="0" w:type="auto"/>
            <w:tcBorders>
              <w:top w:val="nil"/>
              <w:left w:val="nil"/>
              <w:bottom w:val="single" w:sz="4" w:space="0" w:color="auto"/>
              <w:right w:val="single" w:sz="4" w:space="0" w:color="auto"/>
            </w:tcBorders>
            <w:shd w:val="clear" w:color="auto" w:fill="auto"/>
            <w:noWrap/>
            <w:vAlign w:val="center"/>
            <w:hideMark/>
          </w:tcPr>
          <w:p w14:paraId="5FA85389" w14:textId="77777777" w:rsidR="00253427" w:rsidRPr="00653977" w:rsidRDefault="00253427" w:rsidP="00EF0503">
            <w:pPr>
              <w:ind w:right="276"/>
              <w:jc w:val="right"/>
              <w:rPr>
                <w:sz w:val="22"/>
                <w:szCs w:val="22"/>
                <w:lang w:eastAsia="en-CA"/>
              </w:rPr>
            </w:pPr>
            <w:r w:rsidRPr="00653977">
              <w:rPr>
                <w:sz w:val="22"/>
                <w:szCs w:val="22"/>
                <w:lang w:eastAsia="en-CA"/>
              </w:rPr>
              <w:t>13 420</w:t>
            </w:r>
          </w:p>
        </w:tc>
        <w:tc>
          <w:tcPr>
            <w:tcW w:w="0" w:type="auto"/>
            <w:tcBorders>
              <w:top w:val="nil"/>
              <w:left w:val="nil"/>
              <w:bottom w:val="single" w:sz="4" w:space="0" w:color="auto"/>
              <w:right w:val="single" w:sz="4" w:space="0" w:color="auto"/>
            </w:tcBorders>
            <w:shd w:val="clear" w:color="auto" w:fill="auto"/>
            <w:noWrap/>
            <w:vAlign w:val="center"/>
            <w:hideMark/>
          </w:tcPr>
          <w:p w14:paraId="57998828" w14:textId="77777777" w:rsidR="00253427" w:rsidRPr="00653977" w:rsidRDefault="00253427" w:rsidP="00EF0503">
            <w:pPr>
              <w:ind w:right="276"/>
              <w:jc w:val="right"/>
              <w:rPr>
                <w:sz w:val="22"/>
                <w:szCs w:val="22"/>
                <w:lang w:eastAsia="en-CA"/>
              </w:rPr>
            </w:pPr>
            <w:r w:rsidRPr="00653977">
              <w:rPr>
                <w:sz w:val="22"/>
                <w:szCs w:val="22"/>
                <w:lang w:eastAsia="en-CA"/>
              </w:rPr>
              <w:t>26 076</w:t>
            </w:r>
          </w:p>
        </w:tc>
      </w:tr>
      <w:tr w:rsidR="00253427" w:rsidRPr="00653977" w14:paraId="60EECB9E"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F98003" w14:textId="77777777" w:rsidR="00253427" w:rsidRPr="00653977" w:rsidRDefault="00253427" w:rsidP="00EF0503">
            <w:pPr>
              <w:rPr>
                <w:sz w:val="22"/>
                <w:szCs w:val="22"/>
                <w:lang w:eastAsia="en-CA"/>
              </w:rPr>
            </w:pPr>
            <w:r w:rsidRPr="00653977">
              <w:rPr>
                <w:sz w:val="22"/>
                <w:szCs w:val="22"/>
                <w:lang w:eastAsia="en-CA"/>
              </w:rPr>
              <w:t>Spain</w:t>
            </w:r>
          </w:p>
        </w:tc>
        <w:tc>
          <w:tcPr>
            <w:tcW w:w="2288" w:type="dxa"/>
            <w:tcBorders>
              <w:top w:val="nil"/>
              <w:left w:val="nil"/>
              <w:bottom w:val="single" w:sz="4" w:space="0" w:color="auto"/>
              <w:right w:val="single" w:sz="4" w:space="0" w:color="auto"/>
            </w:tcBorders>
            <w:shd w:val="clear" w:color="auto" w:fill="auto"/>
            <w:vAlign w:val="center"/>
            <w:hideMark/>
          </w:tcPr>
          <w:p w14:paraId="53B0E56E" w14:textId="77777777" w:rsidR="00253427" w:rsidRPr="00653977" w:rsidRDefault="00253427" w:rsidP="00EF0503">
            <w:pPr>
              <w:ind w:right="770"/>
              <w:jc w:val="right"/>
              <w:rPr>
                <w:sz w:val="22"/>
                <w:szCs w:val="22"/>
                <w:lang w:eastAsia="en-CA"/>
              </w:rPr>
            </w:pPr>
            <w:r w:rsidRPr="00653977">
              <w:rPr>
                <w:sz w:val="22"/>
                <w:szCs w:val="22"/>
                <w:lang w:eastAsia="en-CA"/>
              </w:rPr>
              <w:t>2.443</w:t>
            </w:r>
          </w:p>
        </w:tc>
        <w:tc>
          <w:tcPr>
            <w:tcW w:w="0" w:type="auto"/>
            <w:tcBorders>
              <w:top w:val="nil"/>
              <w:left w:val="nil"/>
              <w:bottom w:val="single" w:sz="4" w:space="0" w:color="auto"/>
              <w:right w:val="single" w:sz="4" w:space="0" w:color="auto"/>
            </w:tcBorders>
            <w:shd w:val="clear" w:color="auto" w:fill="auto"/>
            <w:noWrap/>
            <w:vAlign w:val="center"/>
            <w:hideMark/>
          </w:tcPr>
          <w:p w14:paraId="445E8DD8" w14:textId="77777777" w:rsidR="00253427" w:rsidRPr="00653977" w:rsidRDefault="00253427" w:rsidP="00EF0503">
            <w:pPr>
              <w:ind w:right="1144"/>
              <w:jc w:val="right"/>
              <w:rPr>
                <w:sz w:val="22"/>
                <w:szCs w:val="22"/>
                <w:lang w:eastAsia="en-CA"/>
              </w:rPr>
            </w:pPr>
            <w:r w:rsidRPr="00653977">
              <w:rPr>
                <w:sz w:val="22"/>
                <w:szCs w:val="22"/>
                <w:lang w:eastAsia="en-CA"/>
              </w:rPr>
              <w:t>3.537</w:t>
            </w:r>
          </w:p>
        </w:tc>
        <w:tc>
          <w:tcPr>
            <w:tcW w:w="0" w:type="auto"/>
            <w:tcBorders>
              <w:top w:val="nil"/>
              <w:left w:val="nil"/>
              <w:bottom w:val="single" w:sz="4" w:space="0" w:color="auto"/>
              <w:right w:val="single" w:sz="4" w:space="0" w:color="auto"/>
            </w:tcBorders>
            <w:shd w:val="clear" w:color="auto" w:fill="auto"/>
            <w:noWrap/>
            <w:vAlign w:val="center"/>
            <w:hideMark/>
          </w:tcPr>
          <w:p w14:paraId="7A746BFC" w14:textId="77777777" w:rsidR="00253427" w:rsidRPr="00653977" w:rsidRDefault="00253427" w:rsidP="00EF0503">
            <w:pPr>
              <w:ind w:right="276"/>
              <w:jc w:val="right"/>
              <w:rPr>
                <w:sz w:val="22"/>
                <w:szCs w:val="22"/>
                <w:lang w:eastAsia="en-CA"/>
              </w:rPr>
            </w:pPr>
            <w:r w:rsidRPr="00653977">
              <w:rPr>
                <w:sz w:val="22"/>
                <w:szCs w:val="22"/>
                <w:lang w:eastAsia="en-CA"/>
              </w:rPr>
              <w:t>84 941</w:t>
            </w:r>
          </w:p>
        </w:tc>
        <w:tc>
          <w:tcPr>
            <w:tcW w:w="0" w:type="auto"/>
            <w:tcBorders>
              <w:top w:val="nil"/>
              <w:left w:val="nil"/>
              <w:bottom w:val="single" w:sz="4" w:space="0" w:color="auto"/>
              <w:right w:val="single" w:sz="4" w:space="0" w:color="auto"/>
            </w:tcBorders>
            <w:shd w:val="clear" w:color="auto" w:fill="auto"/>
            <w:noWrap/>
            <w:vAlign w:val="center"/>
            <w:hideMark/>
          </w:tcPr>
          <w:p w14:paraId="5F5F9E8D" w14:textId="77777777" w:rsidR="00253427" w:rsidRPr="00653977" w:rsidRDefault="00253427" w:rsidP="00EF0503">
            <w:pPr>
              <w:ind w:right="276"/>
              <w:jc w:val="right"/>
              <w:rPr>
                <w:sz w:val="22"/>
                <w:szCs w:val="22"/>
                <w:lang w:eastAsia="en-CA"/>
              </w:rPr>
            </w:pPr>
            <w:r w:rsidRPr="00653977">
              <w:rPr>
                <w:sz w:val="22"/>
                <w:szCs w:val="22"/>
                <w:lang w:eastAsia="en-CA"/>
              </w:rPr>
              <w:t>90 072</w:t>
            </w:r>
          </w:p>
        </w:tc>
        <w:tc>
          <w:tcPr>
            <w:tcW w:w="0" w:type="auto"/>
            <w:tcBorders>
              <w:top w:val="nil"/>
              <w:left w:val="nil"/>
              <w:bottom w:val="single" w:sz="4" w:space="0" w:color="auto"/>
              <w:right w:val="single" w:sz="4" w:space="0" w:color="auto"/>
            </w:tcBorders>
            <w:shd w:val="clear" w:color="auto" w:fill="auto"/>
            <w:noWrap/>
            <w:vAlign w:val="center"/>
            <w:hideMark/>
          </w:tcPr>
          <w:p w14:paraId="725278BC" w14:textId="77777777" w:rsidR="00253427" w:rsidRPr="00653977" w:rsidRDefault="00253427" w:rsidP="00EF0503">
            <w:pPr>
              <w:ind w:right="276"/>
              <w:jc w:val="right"/>
              <w:rPr>
                <w:sz w:val="22"/>
                <w:szCs w:val="22"/>
                <w:lang w:eastAsia="en-CA"/>
              </w:rPr>
            </w:pPr>
            <w:r w:rsidRPr="00653977">
              <w:rPr>
                <w:sz w:val="22"/>
                <w:szCs w:val="22"/>
                <w:lang w:eastAsia="en-CA"/>
              </w:rPr>
              <w:t>175 013</w:t>
            </w:r>
          </w:p>
        </w:tc>
      </w:tr>
      <w:tr w:rsidR="00253427" w:rsidRPr="00653977" w14:paraId="0D247810"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064809" w14:textId="77777777" w:rsidR="00253427" w:rsidRPr="00653977" w:rsidRDefault="00253427" w:rsidP="00EF0503">
            <w:pPr>
              <w:rPr>
                <w:sz w:val="22"/>
                <w:szCs w:val="22"/>
                <w:lang w:eastAsia="en-CA"/>
              </w:rPr>
            </w:pPr>
            <w:r w:rsidRPr="00653977">
              <w:rPr>
                <w:sz w:val="22"/>
                <w:szCs w:val="22"/>
                <w:lang w:eastAsia="en-CA"/>
              </w:rPr>
              <w:t>Sri Lanka</w:t>
            </w:r>
          </w:p>
        </w:tc>
        <w:tc>
          <w:tcPr>
            <w:tcW w:w="2288" w:type="dxa"/>
            <w:tcBorders>
              <w:top w:val="nil"/>
              <w:left w:val="nil"/>
              <w:bottom w:val="single" w:sz="4" w:space="0" w:color="auto"/>
              <w:right w:val="single" w:sz="4" w:space="0" w:color="auto"/>
            </w:tcBorders>
            <w:shd w:val="clear" w:color="auto" w:fill="auto"/>
            <w:vAlign w:val="center"/>
            <w:hideMark/>
          </w:tcPr>
          <w:p w14:paraId="400660BA" w14:textId="77777777" w:rsidR="00253427" w:rsidRPr="00653977" w:rsidRDefault="00253427" w:rsidP="00EF0503">
            <w:pPr>
              <w:ind w:right="770"/>
              <w:jc w:val="right"/>
              <w:rPr>
                <w:sz w:val="22"/>
                <w:szCs w:val="22"/>
                <w:lang w:eastAsia="en-CA"/>
              </w:rPr>
            </w:pPr>
            <w:r w:rsidRPr="00653977">
              <w:rPr>
                <w:sz w:val="22"/>
                <w:szCs w:val="22"/>
                <w:lang w:eastAsia="en-CA"/>
              </w:rPr>
              <w:t>0.031</w:t>
            </w:r>
          </w:p>
        </w:tc>
        <w:tc>
          <w:tcPr>
            <w:tcW w:w="0" w:type="auto"/>
            <w:tcBorders>
              <w:top w:val="nil"/>
              <w:left w:val="nil"/>
              <w:bottom w:val="single" w:sz="4" w:space="0" w:color="auto"/>
              <w:right w:val="single" w:sz="4" w:space="0" w:color="auto"/>
            </w:tcBorders>
            <w:shd w:val="clear" w:color="auto" w:fill="auto"/>
            <w:noWrap/>
            <w:vAlign w:val="center"/>
            <w:hideMark/>
          </w:tcPr>
          <w:p w14:paraId="4FB9A925" w14:textId="77777777" w:rsidR="00253427" w:rsidRPr="00653977" w:rsidRDefault="00253427" w:rsidP="00EF0503">
            <w:pPr>
              <w:ind w:right="1144"/>
              <w:jc w:val="right"/>
              <w:rPr>
                <w:sz w:val="22"/>
                <w:szCs w:val="22"/>
                <w:lang w:eastAsia="en-CA"/>
              </w:rPr>
            </w:pPr>
            <w:r w:rsidRPr="00653977">
              <w:rPr>
                <w:sz w:val="22"/>
                <w:szCs w:val="22"/>
                <w:lang w:eastAsia="en-CA"/>
              </w:rPr>
              <w:t>0.045</w:t>
            </w:r>
          </w:p>
        </w:tc>
        <w:tc>
          <w:tcPr>
            <w:tcW w:w="0" w:type="auto"/>
            <w:tcBorders>
              <w:top w:val="nil"/>
              <w:left w:val="nil"/>
              <w:bottom w:val="single" w:sz="4" w:space="0" w:color="auto"/>
              <w:right w:val="single" w:sz="4" w:space="0" w:color="auto"/>
            </w:tcBorders>
            <w:shd w:val="clear" w:color="auto" w:fill="auto"/>
            <w:noWrap/>
            <w:vAlign w:val="center"/>
            <w:hideMark/>
          </w:tcPr>
          <w:p w14:paraId="209AC7A9" w14:textId="77777777" w:rsidR="00253427" w:rsidRPr="00653977" w:rsidRDefault="00253427" w:rsidP="00EF0503">
            <w:pPr>
              <w:ind w:right="276"/>
              <w:jc w:val="right"/>
              <w:rPr>
                <w:sz w:val="22"/>
                <w:szCs w:val="22"/>
                <w:lang w:eastAsia="en-CA"/>
              </w:rPr>
            </w:pPr>
            <w:r w:rsidRPr="00653977">
              <w:rPr>
                <w:sz w:val="22"/>
                <w:szCs w:val="22"/>
                <w:lang w:eastAsia="en-CA"/>
              </w:rPr>
              <w:t>1 078</w:t>
            </w:r>
          </w:p>
        </w:tc>
        <w:tc>
          <w:tcPr>
            <w:tcW w:w="0" w:type="auto"/>
            <w:tcBorders>
              <w:top w:val="nil"/>
              <w:left w:val="nil"/>
              <w:bottom w:val="single" w:sz="4" w:space="0" w:color="auto"/>
              <w:right w:val="single" w:sz="4" w:space="0" w:color="auto"/>
            </w:tcBorders>
            <w:shd w:val="clear" w:color="auto" w:fill="auto"/>
            <w:noWrap/>
            <w:vAlign w:val="center"/>
            <w:hideMark/>
          </w:tcPr>
          <w:p w14:paraId="6CEA625A" w14:textId="77777777" w:rsidR="00253427" w:rsidRPr="00653977" w:rsidRDefault="00253427" w:rsidP="00EF0503">
            <w:pPr>
              <w:ind w:right="276"/>
              <w:jc w:val="right"/>
              <w:rPr>
                <w:sz w:val="22"/>
                <w:szCs w:val="22"/>
                <w:lang w:eastAsia="en-CA"/>
              </w:rPr>
            </w:pPr>
            <w:r w:rsidRPr="00653977">
              <w:rPr>
                <w:sz w:val="22"/>
                <w:szCs w:val="22"/>
                <w:lang w:eastAsia="en-CA"/>
              </w:rPr>
              <w:t>1 143</w:t>
            </w:r>
          </w:p>
        </w:tc>
        <w:tc>
          <w:tcPr>
            <w:tcW w:w="0" w:type="auto"/>
            <w:tcBorders>
              <w:top w:val="nil"/>
              <w:left w:val="nil"/>
              <w:bottom w:val="single" w:sz="4" w:space="0" w:color="auto"/>
              <w:right w:val="single" w:sz="4" w:space="0" w:color="auto"/>
            </w:tcBorders>
            <w:shd w:val="clear" w:color="auto" w:fill="auto"/>
            <w:noWrap/>
            <w:vAlign w:val="center"/>
            <w:hideMark/>
          </w:tcPr>
          <w:p w14:paraId="76CC0D3B" w14:textId="77777777" w:rsidR="00253427" w:rsidRPr="00653977" w:rsidRDefault="00253427" w:rsidP="00EF0503">
            <w:pPr>
              <w:ind w:right="276"/>
              <w:jc w:val="right"/>
              <w:rPr>
                <w:sz w:val="22"/>
                <w:szCs w:val="22"/>
                <w:lang w:eastAsia="en-CA"/>
              </w:rPr>
            </w:pPr>
            <w:r w:rsidRPr="00653977">
              <w:rPr>
                <w:sz w:val="22"/>
                <w:szCs w:val="22"/>
                <w:lang w:eastAsia="en-CA"/>
              </w:rPr>
              <w:t>2 221</w:t>
            </w:r>
          </w:p>
        </w:tc>
      </w:tr>
      <w:tr w:rsidR="00253427" w:rsidRPr="00653977" w14:paraId="755DD95A"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1EB961" w14:textId="77777777" w:rsidR="00253427" w:rsidRPr="00653977" w:rsidRDefault="00253427" w:rsidP="00EF0503">
            <w:pPr>
              <w:rPr>
                <w:sz w:val="22"/>
                <w:szCs w:val="22"/>
                <w:lang w:eastAsia="en-CA"/>
              </w:rPr>
            </w:pPr>
            <w:r w:rsidRPr="00653977">
              <w:rPr>
                <w:sz w:val="22"/>
                <w:szCs w:val="22"/>
                <w:lang w:eastAsia="en-CA"/>
              </w:rPr>
              <w:t>State of Palestine</w:t>
            </w:r>
          </w:p>
        </w:tc>
        <w:tc>
          <w:tcPr>
            <w:tcW w:w="2288" w:type="dxa"/>
            <w:tcBorders>
              <w:top w:val="nil"/>
              <w:left w:val="nil"/>
              <w:bottom w:val="single" w:sz="4" w:space="0" w:color="auto"/>
              <w:right w:val="single" w:sz="4" w:space="0" w:color="auto"/>
            </w:tcBorders>
            <w:shd w:val="clear" w:color="auto" w:fill="auto"/>
            <w:vAlign w:val="center"/>
            <w:hideMark/>
          </w:tcPr>
          <w:p w14:paraId="74BAA796" w14:textId="77777777" w:rsidR="00253427" w:rsidRPr="00653977" w:rsidRDefault="00253427" w:rsidP="00EF0503">
            <w:pPr>
              <w:ind w:right="770"/>
              <w:jc w:val="right"/>
              <w:rPr>
                <w:sz w:val="22"/>
                <w:szCs w:val="22"/>
                <w:lang w:eastAsia="en-CA"/>
              </w:rPr>
            </w:pPr>
            <w:r w:rsidRPr="00653977">
              <w:rPr>
                <w:sz w:val="22"/>
                <w:szCs w:val="22"/>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37BC0E2B" w14:textId="77777777" w:rsidR="00253427" w:rsidRPr="00653977" w:rsidRDefault="00253427" w:rsidP="00EF0503">
            <w:pPr>
              <w:ind w:right="1144"/>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44785805" w14:textId="77777777" w:rsidR="00253427" w:rsidRPr="00653977" w:rsidRDefault="00253427" w:rsidP="00EF0503">
            <w:pPr>
              <w:ind w:right="276"/>
              <w:jc w:val="right"/>
              <w:rPr>
                <w:sz w:val="22"/>
                <w:szCs w:val="22"/>
                <w:lang w:eastAsia="en-CA"/>
              </w:rPr>
            </w:pPr>
            <w:r w:rsidRPr="00653977">
              <w:rPr>
                <w:sz w:val="22"/>
                <w:szCs w:val="22"/>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57D58DD5" w14:textId="77777777" w:rsidR="00253427" w:rsidRPr="00653977" w:rsidRDefault="00253427" w:rsidP="00EF0503">
            <w:pPr>
              <w:ind w:right="276"/>
              <w:jc w:val="right"/>
              <w:rPr>
                <w:sz w:val="22"/>
                <w:szCs w:val="22"/>
                <w:lang w:eastAsia="en-CA"/>
              </w:rPr>
            </w:pPr>
            <w:r w:rsidRPr="00653977">
              <w:rPr>
                <w:sz w:val="22"/>
                <w:szCs w:val="22"/>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36AF124D" w14:textId="77777777" w:rsidR="00253427" w:rsidRPr="00653977" w:rsidRDefault="00253427" w:rsidP="00EF0503">
            <w:pPr>
              <w:ind w:right="276"/>
              <w:jc w:val="right"/>
              <w:rPr>
                <w:sz w:val="22"/>
                <w:szCs w:val="22"/>
                <w:lang w:eastAsia="en-CA"/>
              </w:rPr>
            </w:pPr>
            <w:r w:rsidRPr="00653977">
              <w:rPr>
                <w:sz w:val="22"/>
                <w:szCs w:val="22"/>
                <w:lang w:eastAsia="en-CA"/>
              </w:rPr>
              <w:t>501</w:t>
            </w:r>
          </w:p>
        </w:tc>
      </w:tr>
      <w:tr w:rsidR="00253427" w:rsidRPr="00653977" w14:paraId="6BB6BA5D"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68598B" w14:textId="77777777" w:rsidR="00253427" w:rsidRPr="00653977" w:rsidRDefault="00253427" w:rsidP="00EF0503">
            <w:pPr>
              <w:rPr>
                <w:sz w:val="22"/>
                <w:szCs w:val="22"/>
                <w:lang w:eastAsia="en-CA"/>
              </w:rPr>
            </w:pPr>
            <w:r w:rsidRPr="00653977">
              <w:rPr>
                <w:sz w:val="22"/>
                <w:szCs w:val="22"/>
                <w:lang w:eastAsia="en-CA"/>
              </w:rPr>
              <w:t>Sudan</w:t>
            </w:r>
          </w:p>
        </w:tc>
        <w:tc>
          <w:tcPr>
            <w:tcW w:w="2288" w:type="dxa"/>
            <w:tcBorders>
              <w:top w:val="nil"/>
              <w:left w:val="nil"/>
              <w:bottom w:val="single" w:sz="4" w:space="0" w:color="auto"/>
              <w:right w:val="single" w:sz="4" w:space="0" w:color="auto"/>
            </w:tcBorders>
            <w:shd w:val="clear" w:color="auto" w:fill="auto"/>
            <w:vAlign w:val="center"/>
            <w:hideMark/>
          </w:tcPr>
          <w:p w14:paraId="3A3FE91C" w14:textId="77777777" w:rsidR="00253427" w:rsidRPr="00653977" w:rsidRDefault="00253427" w:rsidP="00EF0503">
            <w:pPr>
              <w:ind w:right="770"/>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40DEB92E" w14:textId="77777777" w:rsidR="00253427" w:rsidRPr="00653977" w:rsidRDefault="00253427" w:rsidP="00EF0503">
            <w:pPr>
              <w:ind w:right="1144"/>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B72E3AA" w14:textId="77777777" w:rsidR="00253427" w:rsidRPr="00653977" w:rsidRDefault="00253427" w:rsidP="00EF0503">
            <w:pPr>
              <w:ind w:right="276"/>
              <w:jc w:val="right"/>
              <w:rPr>
                <w:sz w:val="22"/>
                <w:szCs w:val="22"/>
                <w:lang w:eastAsia="en-CA"/>
              </w:rPr>
            </w:pPr>
            <w:r w:rsidRPr="00653977">
              <w:rPr>
                <w:sz w:val="22"/>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4194D550" w14:textId="77777777" w:rsidR="00253427" w:rsidRPr="00653977" w:rsidRDefault="00253427" w:rsidP="00EF0503">
            <w:pPr>
              <w:ind w:right="276"/>
              <w:jc w:val="right"/>
              <w:rPr>
                <w:sz w:val="22"/>
                <w:szCs w:val="22"/>
                <w:lang w:eastAsia="en-CA"/>
              </w:rPr>
            </w:pPr>
            <w:r w:rsidRPr="00653977">
              <w:rPr>
                <w:sz w:val="22"/>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05C82EC4" w14:textId="77777777" w:rsidR="00253427" w:rsidRPr="00653977" w:rsidRDefault="00253427" w:rsidP="00EF0503">
            <w:pPr>
              <w:ind w:right="276"/>
              <w:jc w:val="right"/>
              <w:rPr>
                <w:sz w:val="22"/>
                <w:szCs w:val="22"/>
                <w:lang w:eastAsia="en-CA"/>
              </w:rPr>
            </w:pPr>
            <w:r w:rsidRPr="00653977">
              <w:rPr>
                <w:sz w:val="22"/>
                <w:szCs w:val="22"/>
                <w:lang w:eastAsia="en-CA"/>
              </w:rPr>
              <w:t>495</w:t>
            </w:r>
          </w:p>
        </w:tc>
      </w:tr>
      <w:tr w:rsidR="00253427" w:rsidRPr="00653977" w14:paraId="14909447"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188595" w14:textId="77777777" w:rsidR="00253427" w:rsidRPr="00653977" w:rsidRDefault="00253427" w:rsidP="00EF0503">
            <w:pPr>
              <w:rPr>
                <w:sz w:val="22"/>
                <w:szCs w:val="22"/>
                <w:lang w:eastAsia="en-CA"/>
              </w:rPr>
            </w:pPr>
            <w:r w:rsidRPr="00653977">
              <w:rPr>
                <w:sz w:val="22"/>
                <w:szCs w:val="22"/>
                <w:lang w:eastAsia="en-CA"/>
              </w:rPr>
              <w:t>Suriname</w:t>
            </w:r>
          </w:p>
        </w:tc>
        <w:tc>
          <w:tcPr>
            <w:tcW w:w="2288" w:type="dxa"/>
            <w:tcBorders>
              <w:top w:val="nil"/>
              <w:left w:val="nil"/>
              <w:bottom w:val="single" w:sz="4" w:space="0" w:color="auto"/>
              <w:right w:val="single" w:sz="4" w:space="0" w:color="auto"/>
            </w:tcBorders>
            <w:shd w:val="clear" w:color="auto" w:fill="auto"/>
            <w:vAlign w:val="center"/>
            <w:hideMark/>
          </w:tcPr>
          <w:p w14:paraId="33C99273" w14:textId="77777777" w:rsidR="00253427" w:rsidRPr="00653977" w:rsidRDefault="00253427" w:rsidP="00EF0503">
            <w:pPr>
              <w:ind w:right="770"/>
              <w:jc w:val="right"/>
              <w:rPr>
                <w:sz w:val="22"/>
                <w:szCs w:val="22"/>
                <w:lang w:eastAsia="en-CA"/>
              </w:rPr>
            </w:pPr>
            <w:r w:rsidRPr="00653977">
              <w:rPr>
                <w:sz w:val="22"/>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57042024" w14:textId="77777777" w:rsidR="00253427" w:rsidRPr="00653977" w:rsidRDefault="00253427" w:rsidP="00EF0503">
            <w:pPr>
              <w:ind w:right="1144"/>
              <w:jc w:val="right"/>
              <w:rPr>
                <w:sz w:val="22"/>
                <w:szCs w:val="22"/>
                <w:lang w:eastAsia="en-CA"/>
              </w:rPr>
            </w:pPr>
            <w:r w:rsidRPr="00653977">
              <w:rPr>
                <w:sz w:val="22"/>
                <w:szCs w:val="22"/>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5451E12A" w14:textId="77777777" w:rsidR="00253427" w:rsidRPr="00653977" w:rsidRDefault="00253427" w:rsidP="00EF0503">
            <w:pPr>
              <w:ind w:right="276"/>
              <w:jc w:val="right"/>
              <w:rPr>
                <w:sz w:val="22"/>
                <w:szCs w:val="22"/>
                <w:lang w:eastAsia="en-CA"/>
              </w:rPr>
            </w:pPr>
            <w:r w:rsidRPr="00653977">
              <w:rPr>
                <w:sz w:val="22"/>
                <w:szCs w:val="22"/>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6437EB29" w14:textId="77777777" w:rsidR="00253427" w:rsidRPr="00653977" w:rsidRDefault="00253427" w:rsidP="00EF0503">
            <w:pPr>
              <w:ind w:right="276"/>
              <w:jc w:val="right"/>
              <w:rPr>
                <w:sz w:val="22"/>
                <w:szCs w:val="22"/>
                <w:lang w:eastAsia="en-CA"/>
              </w:rPr>
            </w:pPr>
            <w:r w:rsidRPr="00653977">
              <w:rPr>
                <w:sz w:val="22"/>
                <w:szCs w:val="22"/>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50457B1B" w14:textId="77777777" w:rsidR="00253427" w:rsidRPr="00653977" w:rsidRDefault="00253427" w:rsidP="00EF0503">
            <w:pPr>
              <w:ind w:right="276"/>
              <w:jc w:val="right"/>
              <w:rPr>
                <w:sz w:val="22"/>
                <w:szCs w:val="22"/>
                <w:lang w:eastAsia="en-CA"/>
              </w:rPr>
            </w:pPr>
            <w:r w:rsidRPr="00653977">
              <w:rPr>
                <w:sz w:val="22"/>
                <w:szCs w:val="22"/>
                <w:lang w:eastAsia="en-CA"/>
              </w:rPr>
              <w:t>430</w:t>
            </w:r>
          </w:p>
        </w:tc>
      </w:tr>
      <w:tr w:rsidR="00253427" w:rsidRPr="00653977" w14:paraId="75ECEC0E"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9516A0" w14:textId="77777777" w:rsidR="00253427" w:rsidRPr="00653977" w:rsidRDefault="00253427" w:rsidP="00EF0503">
            <w:pPr>
              <w:rPr>
                <w:sz w:val="22"/>
                <w:szCs w:val="22"/>
                <w:lang w:eastAsia="en-CA"/>
              </w:rPr>
            </w:pPr>
            <w:r w:rsidRPr="00653977">
              <w:rPr>
                <w:sz w:val="22"/>
                <w:szCs w:val="22"/>
                <w:lang w:eastAsia="en-CA"/>
              </w:rPr>
              <w:lastRenderedPageBreak/>
              <w:t>Sweden</w:t>
            </w:r>
          </w:p>
        </w:tc>
        <w:tc>
          <w:tcPr>
            <w:tcW w:w="2288" w:type="dxa"/>
            <w:tcBorders>
              <w:top w:val="nil"/>
              <w:left w:val="nil"/>
              <w:bottom w:val="single" w:sz="4" w:space="0" w:color="auto"/>
              <w:right w:val="single" w:sz="4" w:space="0" w:color="auto"/>
            </w:tcBorders>
            <w:shd w:val="clear" w:color="auto" w:fill="auto"/>
            <w:vAlign w:val="center"/>
            <w:hideMark/>
          </w:tcPr>
          <w:p w14:paraId="3791BFC2" w14:textId="77777777" w:rsidR="00253427" w:rsidRPr="00653977" w:rsidRDefault="00253427" w:rsidP="00EF0503">
            <w:pPr>
              <w:ind w:right="770"/>
              <w:jc w:val="right"/>
              <w:rPr>
                <w:sz w:val="22"/>
                <w:szCs w:val="22"/>
                <w:lang w:eastAsia="en-CA"/>
              </w:rPr>
            </w:pPr>
            <w:r w:rsidRPr="00653977">
              <w:rPr>
                <w:sz w:val="22"/>
                <w:szCs w:val="22"/>
                <w:lang w:eastAsia="en-CA"/>
              </w:rPr>
              <w:t>0.956</w:t>
            </w:r>
          </w:p>
        </w:tc>
        <w:tc>
          <w:tcPr>
            <w:tcW w:w="0" w:type="auto"/>
            <w:tcBorders>
              <w:top w:val="nil"/>
              <w:left w:val="nil"/>
              <w:bottom w:val="single" w:sz="4" w:space="0" w:color="auto"/>
              <w:right w:val="single" w:sz="4" w:space="0" w:color="auto"/>
            </w:tcBorders>
            <w:shd w:val="clear" w:color="auto" w:fill="auto"/>
            <w:noWrap/>
            <w:vAlign w:val="center"/>
            <w:hideMark/>
          </w:tcPr>
          <w:p w14:paraId="6D7641D3" w14:textId="77777777" w:rsidR="00253427" w:rsidRPr="00653977" w:rsidRDefault="00253427" w:rsidP="00EF0503">
            <w:pPr>
              <w:ind w:right="1144"/>
              <w:jc w:val="right"/>
              <w:rPr>
                <w:sz w:val="22"/>
                <w:szCs w:val="22"/>
                <w:lang w:eastAsia="en-CA"/>
              </w:rPr>
            </w:pPr>
            <w:r w:rsidRPr="00653977">
              <w:rPr>
                <w:sz w:val="22"/>
                <w:szCs w:val="22"/>
                <w:lang w:eastAsia="en-CA"/>
              </w:rPr>
              <w:t>1.384</w:t>
            </w:r>
          </w:p>
        </w:tc>
        <w:tc>
          <w:tcPr>
            <w:tcW w:w="0" w:type="auto"/>
            <w:tcBorders>
              <w:top w:val="nil"/>
              <w:left w:val="nil"/>
              <w:bottom w:val="single" w:sz="4" w:space="0" w:color="auto"/>
              <w:right w:val="single" w:sz="4" w:space="0" w:color="auto"/>
            </w:tcBorders>
            <w:shd w:val="clear" w:color="auto" w:fill="auto"/>
            <w:noWrap/>
            <w:vAlign w:val="center"/>
            <w:hideMark/>
          </w:tcPr>
          <w:p w14:paraId="6CC83F60" w14:textId="77777777" w:rsidR="00253427" w:rsidRPr="00653977" w:rsidRDefault="00253427" w:rsidP="00EF0503">
            <w:pPr>
              <w:ind w:right="276"/>
              <w:jc w:val="right"/>
              <w:rPr>
                <w:sz w:val="22"/>
                <w:szCs w:val="22"/>
                <w:lang w:eastAsia="en-CA"/>
              </w:rPr>
            </w:pPr>
            <w:r w:rsidRPr="00653977">
              <w:rPr>
                <w:sz w:val="22"/>
                <w:szCs w:val="22"/>
                <w:lang w:eastAsia="en-CA"/>
              </w:rPr>
              <w:t>33 239</w:t>
            </w:r>
          </w:p>
        </w:tc>
        <w:tc>
          <w:tcPr>
            <w:tcW w:w="0" w:type="auto"/>
            <w:tcBorders>
              <w:top w:val="nil"/>
              <w:left w:val="nil"/>
              <w:bottom w:val="single" w:sz="4" w:space="0" w:color="auto"/>
              <w:right w:val="single" w:sz="4" w:space="0" w:color="auto"/>
            </w:tcBorders>
            <w:shd w:val="clear" w:color="auto" w:fill="auto"/>
            <w:noWrap/>
            <w:vAlign w:val="center"/>
            <w:hideMark/>
          </w:tcPr>
          <w:p w14:paraId="59342C4D" w14:textId="77777777" w:rsidR="00253427" w:rsidRPr="00653977" w:rsidRDefault="00253427" w:rsidP="00EF0503">
            <w:pPr>
              <w:ind w:right="276"/>
              <w:jc w:val="right"/>
              <w:rPr>
                <w:sz w:val="22"/>
                <w:szCs w:val="22"/>
                <w:lang w:eastAsia="en-CA"/>
              </w:rPr>
            </w:pPr>
            <w:r w:rsidRPr="00653977">
              <w:rPr>
                <w:sz w:val="22"/>
                <w:szCs w:val="22"/>
                <w:lang w:eastAsia="en-CA"/>
              </w:rPr>
              <w:t>35 247</w:t>
            </w:r>
          </w:p>
        </w:tc>
        <w:tc>
          <w:tcPr>
            <w:tcW w:w="0" w:type="auto"/>
            <w:tcBorders>
              <w:top w:val="nil"/>
              <w:left w:val="nil"/>
              <w:bottom w:val="single" w:sz="4" w:space="0" w:color="auto"/>
              <w:right w:val="single" w:sz="4" w:space="0" w:color="auto"/>
            </w:tcBorders>
            <w:shd w:val="clear" w:color="auto" w:fill="auto"/>
            <w:noWrap/>
            <w:vAlign w:val="center"/>
            <w:hideMark/>
          </w:tcPr>
          <w:p w14:paraId="41946B80" w14:textId="77777777" w:rsidR="00253427" w:rsidRPr="00653977" w:rsidRDefault="00253427" w:rsidP="00EF0503">
            <w:pPr>
              <w:ind w:right="276"/>
              <w:jc w:val="right"/>
              <w:rPr>
                <w:sz w:val="22"/>
                <w:szCs w:val="22"/>
                <w:lang w:eastAsia="en-CA"/>
              </w:rPr>
            </w:pPr>
            <w:r w:rsidRPr="00653977">
              <w:rPr>
                <w:sz w:val="22"/>
                <w:szCs w:val="22"/>
                <w:lang w:eastAsia="en-CA"/>
              </w:rPr>
              <w:t>68 486</w:t>
            </w:r>
          </w:p>
        </w:tc>
      </w:tr>
      <w:tr w:rsidR="00253427" w:rsidRPr="00653977" w14:paraId="7D84D19A"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8DE22" w14:textId="77777777" w:rsidR="00253427" w:rsidRPr="00653977" w:rsidRDefault="00253427" w:rsidP="00EF0503">
            <w:pPr>
              <w:rPr>
                <w:sz w:val="22"/>
                <w:szCs w:val="22"/>
                <w:lang w:eastAsia="en-CA"/>
              </w:rPr>
            </w:pPr>
            <w:r w:rsidRPr="00653977">
              <w:rPr>
                <w:sz w:val="22"/>
                <w:szCs w:val="22"/>
                <w:lang w:eastAsia="en-CA"/>
              </w:rPr>
              <w:t>Switzerland</w:t>
            </w:r>
          </w:p>
        </w:tc>
        <w:tc>
          <w:tcPr>
            <w:tcW w:w="2288" w:type="dxa"/>
            <w:tcBorders>
              <w:top w:val="nil"/>
              <w:left w:val="nil"/>
              <w:bottom w:val="single" w:sz="4" w:space="0" w:color="auto"/>
              <w:right w:val="single" w:sz="4" w:space="0" w:color="auto"/>
            </w:tcBorders>
            <w:shd w:val="clear" w:color="auto" w:fill="auto"/>
            <w:vAlign w:val="center"/>
            <w:hideMark/>
          </w:tcPr>
          <w:p w14:paraId="43DE7A5F" w14:textId="77777777" w:rsidR="00253427" w:rsidRPr="00653977" w:rsidRDefault="00253427" w:rsidP="00EF0503">
            <w:pPr>
              <w:ind w:right="770"/>
              <w:jc w:val="right"/>
              <w:rPr>
                <w:sz w:val="22"/>
                <w:szCs w:val="22"/>
                <w:lang w:eastAsia="en-CA"/>
              </w:rPr>
            </w:pPr>
            <w:r w:rsidRPr="00653977">
              <w:rPr>
                <w:sz w:val="22"/>
                <w:szCs w:val="22"/>
                <w:lang w:eastAsia="en-CA"/>
              </w:rPr>
              <w:t>1.140</w:t>
            </w:r>
          </w:p>
        </w:tc>
        <w:tc>
          <w:tcPr>
            <w:tcW w:w="0" w:type="auto"/>
            <w:tcBorders>
              <w:top w:val="nil"/>
              <w:left w:val="nil"/>
              <w:bottom w:val="single" w:sz="4" w:space="0" w:color="auto"/>
              <w:right w:val="single" w:sz="4" w:space="0" w:color="auto"/>
            </w:tcBorders>
            <w:shd w:val="clear" w:color="auto" w:fill="auto"/>
            <w:noWrap/>
            <w:vAlign w:val="center"/>
            <w:hideMark/>
          </w:tcPr>
          <w:p w14:paraId="490954F2" w14:textId="77777777" w:rsidR="00253427" w:rsidRPr="00653977" w:rsidRDefault="00253427" w:rsidP="00EF0503">
            <w:pPr>
              <w:ind w:right="1144"/>
              <w:jc w:val="right"/>
              <w:rPr>
                <w:sz w:val="22"/>
                <w:szCs w:val="22"/>
                <w:lang w:eastAsia="en-CA"/>
              </w:rPr>
            </w:pPr>
            <w:r w:rsidRPr="00653977">
              <w:rPr>
                <w:sz w:val="22"/>
                <w:szCs w:val="22"/>
                <w:lang w:eastAsia="en-CA"/>
              </w:rPr>
              <w:t>1.651</w:t>
            </w:r>
          </w:p>
        </w:tc>
        <w:tc>
          <w:tcPr>
            <w:tcW w:w="0" w:type="auto"/>
            <w:tcBorders>
              <w:top w:val="nil"/>
              <w:left w:val="nil"/>
              <w:bottom w:val="single" w:sz="4" w:space="0" w:color="auto"/>
              <w:right w:val="single" w:sz="4" w:space="0" w:color="auto"/>
            </w:tcBorders>
            <w:shd w:val="clear" w:color="auto" w:fill="auto"/>
            <w:noWrap/>
            <w:vAlign w:val="center"/>
            <w:hideMark/>
          </w:tcPr>
          <w:p w14:paraId="060C97DE" w14:textId="77777777" w:rsidR="00253427" w:rsidRPr="00653977" w:rsidRDefault="00253427" w:rsidP="00EF0503">
            <w:pPr>
              <w:ind w:right="276"/>
              <w:jc w:val="right"/>
              <w:rPr>
                <w:sz w:val="22"/>
                <w:szCs w:val="22"/>
                <w:lang w:eastAsia="en-CA"/>
              </w:rPr>
            </w:pPr>
            <w:r w:rsidRPr="00653977">
              <w:rPr>
                <w:sz w:val="22"/>
                <w:szCs w:val="22"/>
                <w:lang w:eastAsia="en-CA"/>
              </w:rPr>
              <w:t>39 637</w:t>
            </w:r>
          </w:p>
        </w:tc>
        <w:tc>
          <w:tcPr>
            <w:tcW w:w="0" w:type="auto"/>
            <w:tcBorders>
              <w:top w:val="nil"/>
              <w:left w:val="nil"/>
              <w:bottom w:val="single" w:sz="4" w:space="0" w:color="auto"/>
              <w:right w:val="single" w:sz="4" w:space="0" w:color="auto"/>
            </w:tcBorders>
            <w:shd w:val="clear" w:color="auto" w:fill="auto"/>
            <w:noWrap/>
            <w:vAlign w:val="center"/>
            <w:hideMark/>
          </w:tcPr>
          <w:p w14:paraId="2C2ACBDC" w14:textId="77777777" w:rsidR="00253427" w:rsidRPr="00653977" w:rsidRDefault="00253427" w:rsidP="00EF0503">
            <w:pPr>
              <w:ind w:right="276"/>
              <w:jc w:val="right"/>
              <w:rPr>
                <w:sz w:val="22"/>
                <w:szCs w:val="22"/>
                <w:lang w:eastAsia="en-CA"/>
              </w:rPr>
            </w:pPr>
            <w:r w:rsidRPr="00653977">
              <w:rPr>
                <w:sz w:val="22"/>
                <w:szCs w:val="22"/>
                <w:lang w:eastAsia="en-CA"/>
              </w:rPr>
              <w:t>42 031</w:t>
            </w:r>
          </w:p>
        </w:tc>
        <w:tc>
          <w:tcPr>
            <w:tcW w:w="0" w:type="auto"/>
            <w:tcBorders>
              <w:top w:val="nil"/>
              <w:left w:val="nil"/>
              <w:bottom w:val="single" w:sz="4" w:space="0" w:color="auto"/>
              <w:right w:val="single" w:sz="4" w:space="0" w:color="auto"/>
            </w:tcBorders>
            <w:shd w:val="clear" w:color="auto" w:fill="auto"/>
            <w:noWrap/>
            <w:vAlign w:val="center"/>
            <w:hideMark/>
          </w:tcPr>
          <w:p w14:paraId="00DB70D8" w14:textId="77777777" w:rsidR="00253427" w:rsidRPr="00653977" w:rsidRDefault="00253427" w:rsidP="00EF0503">
            <w:pPr>
              <w:ind w:right="276"/>
              <w:jc w:val="right"/>
              <w:rPr>
                <w:sz w:val="22"/>
                <w:szCs w:val="22"/>
                <w:lang w:eastAsia="en-CA"/>
              </w:rPr>
            </w:pPr>
            <w:r w:rsidRPr="00653977">
              <w:rPr>
                <w:sz w:val="22"/>
                <w:szCs w:val="22"/>
                <w:lang w:eastAsia="en-CA"/>
              </w:rPr>
              <w:t>81 668</w:t>
            </w:r>
          </w:p>
        </w:tc>
      </w:tr>
      <w:tr w:rsidR="00253427" w:rsidRPr="00653977" w14:paraId="7D054B0D"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69F78E" w14:textId="77777777" w:rsidR="00253427" w:rsidRPr="00653977" w:rsidRDefault="00253427" w:rsidP="00EF0503">
            <w:pPr>
              <w:rPr>
                <w:sz w:val="22"/>
                <w:szCs w:val="22"/>
                <w:lang w:eastAsia="en-CA"/>
              </w:rPr>
            </w:pPr>
            <w:r w:rsidRPr="00653977">
              <w:rPr>
                <w:sz w:val="22"/>
                <w:szCs w:val="22"/>
                <w:lang w:eastAsia="en-CA"/>
              </w:rPr>
              <w:t>Syrian Arab Republic</w:t>
            </w:r>
          </w:p>
        </w:tc>
        <w:tc>
          <w:tcPr>
            <w:tcW w:w="2288" w:type="dxa"/>
            <w:tcBorders>
              <w:top w:val="nil"/>
              <w:left w:val="nil"/>
              <w:bottom w:val="single" w:sz="4" w:space="0" w:color="auto"/>
              <w:right w:val="single" w:sz="4" w:space="0" w:color="auto"/>
            </w:tcBorders>
            <w:shd w:val="clear" w:color="auto" w:fill="auto"/>
            <w:vAlign w:val="center"/>
            <w:hideMark/>
          </w:tcPr>
          <w:p w14:paraId="5B4AFCA5" w14:textId="77777777" w:rsidR="00253427" w:rsidRPr="00653977" w:rsidRDefault="00253427" w:rsidP="00EF0503">
            <w:pPr>
              <w:ind w:right="770"/>
              <w:jc w:val="right"/>
              <w:rPr>
                <w:sz w:val="22"/>
                <w:szCs w:val="22"/>
                <w:lang w:eastAsia="en-CA"/>
              </w:rPr>
            </w:pPr>
            <w:r w:rsidRPr="00653977">
              <w:rPr>
                <w:sz w:val="22"/>
                <w:szCs w:val="22"/>
                <w:lang w:eastAsia="en-CA"/>
              </w:rPr>
              <w:t>0.024</w:t>
            </w:r>
          </w:p>
        </w:tc>
        <w:tc>
          <w:tcPr>
            <w:tcW w:w="0" w:type="auto"/>
            <w:tcBorders>
              <w:top w:val="nil"/>
              <w:left w:val="nil"/>
              <w:bottom w:val="single" w:sz="4" w:space="0" w:color="auto"/>
              <w:right w:val="single" w:sz="4" w:space="0" w:color="auto"/>
            </w:tcBorders>
            <w:shd w:val="clear" w:color="auto" w:fill="auto"/>
            <w:noWrap/>
            <w:vAlign w:val="center"/>
            <w:hideMark/>
          </w:tcPr>
          <w:p w14:paraId="66CB1BBB" w14:textId="77777777" w:rsidR="00253427" w:rsidRPr="00653977" w:rsidRDefault="00253427" w:rsidP="00EF0503">
            <w:pPr>
              <w:ind w:right="1144"/>
              <w:jc w:val="right"/>
              <w:rPr>
                <w:sz w:val="22"/>
                <w:szCs w:val="22"/>
                <w:lang w:eastAsia="en-CA"/>
              </w:rPr>
            </w:pPr>
            <w:r w:rsidRPr="00653977">
              <w:rPr>
                <w:sz w:val="22"/>
                <w:szCs w:val="22"/>
                <w:lang w:eastAsia="en-CA"/>
              </w:rPr>
              <w:t>0.035</w:t>
            </w:r>
          </w:p>
        </w:tc>
        <w:tc>
          <w:tcPr>
            <w:tcW w:w="0" w:type="auto"/>
            <w:tcBorders>
              <w:top w:val="nil"/>
              <w:left w:val="nil"/>
              <w:bottom w:val="single" w:sz="4" w:space="0" w:color="auto"/>
              <w:right w:val="single" w:sz="4" w:space="0" w:color="auto"/>
            </w:tcBorders>
            <w:shd w:val="clear" w:color="auto" w:fill="auto"/>
            <w:noWrap/>
            <w:vAlign w:val="center"/>
            <w:hideMark/>
          </w:tcPr>
          <w:p w14:paraId="18F3D450" w14:textId="77777777" w:rsidR="00253427" w:rsidRPr="00653977" w:rsidRDefault="00253427" w:rsidP="00EF0503">
            <w:pPr>
              <w:ind w:right="276"/>
              <w:jc w:val="right"/>
              <w:rPr>
                <w:sz w:val="22"/>
                <w:szCs w:val="22"/>
                <w:lang w:eastAsia="en-CA"/>
              </w:rPr>
            </w:pPr>
            <w:r w:rsidRPr="00653977">
              <w:rPr>
                <w:sz w:val="22"/>
                <w:szCs w:val="22"/>
                <w:lang w:eastAsia="en-CA"/>
              </w:rPr>
              <w:t>834</w:t>
            </w:r>
          </w:p>
        </w:tc>
        <w:tc>
          <w:tcPr>
            <w:tcW w:w="0" w:type="auto"/>
            <w:tcBorders>
              <w:top w:val="nil"/>
              <w:left w:val="nil"/>
              <w:bottom w:val="single" w:sz="4" w:space="0" w:color="auto"/>
              <w:right w:val="single" w:sz="4" w:space="0" w:color="auto"/>
            </w:tcBorders>
            <w:shd w:val="clear" w:color="auto" w:fill="auto"/>
            <w:noWrap/>
            <w:vAlign w:val="center"/>
            <w:hideMark/>
          </w:tcPr>
          <w:p w14:paraId="5D24D2CF" w14:textId="77777777" w:rsidR="00253427" w:rsidRPr="00653977" w:rsidRDefault="00253427" w:rsidP="00EF0503">
            <w:pPr>
              <w:ind w:right="276"/>
              <w:jc w:val="right"/>
              <w:rPr>
                <w:sz w:val="22"/>
                <w:szCs w:val="22"/>
                <w:lang w:eastAsia="en-CA"/>
              </w:rPr>
            </w:pPr>
            <w:r w:rsidRPr="00653977">
              <w:rPr>
                <w:sz w:val="22"/>
                <w:szCs w:val="22"/>
                <w:lang w:eastAsia="en-CA"/>
              </w:rPr>
              <w:t>885</w:t>
            </w:r>
          </w:p>
        </w:tc>
        <w:tc>
          <w:tcPr>
            <w:tcW w:w="0" w:type="auto"/>
            <w:tcBorders>
              <w:top w:val="nil"/>
              <w:left w:val="nil"/>
              <w:bottom w:val="single" w:sz="4" w:space="0" w:color="auto"/>
              <w:right w:val="single" w:sz="4" w:space="0" w:color="auto"/>
            </w:tcBorders>
            <w:shd w:val="clear" w:color="auto" w:fill="auto"/>
            <w:noWrap/>
            <w:vAlign w:val="center"/>
            <w:hideMark/>
          </w:tcPr>
          <w:p w14:paraId="68B82F8E" w14:textId="77777777" w:rsidR="00253427" w:rsidRPr="00653977" w:rsidRDefault="00253427" w:rsidP="00EF0503">
            <w:pPr>
              <w:ind w:right="276"/>
              <w:jc w:val="right"/>
              <w:rPr>
                <w:sz w:val="22"/>
                <w:szCs w:val="22"/>
                <w:lang w:eastAsia="en-CA"/>
              </w:rPr>
            </w:pPr>
            <w:r w:rsidRPr="00653977">
              <w:rPr>
                <w:sz w:val="22"/>
                <w:szCs w:val="22"/>
                <w:lang w:eastAsia="en-CA"/>
              </w:rPr>
              <w:t>1 719</w:t>
            </w:r>
          </w:p>
        </w:tc>
      </w:tr>
      <w:tr w:rsidR="00253427" w:rsidRPr="00653977" w14:paraId="6E891C1F" w14:textId="77777777" w:rsidTr="00EF0503">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F1D2436" w14:textId="77777777" w:rsidR="00253427" w:rsidRPr="00653977" w:rsidRDefault="00253427" w:rsidP="00EF0503">
            <w:pPr>
              <w:rPr>
                <w:sz w:val="22"/>
                <w:szCs w:val="22"/>
                <w:lang w:eastAsia="en-CA"/>
              </w:rPr>
            </w:pPr>
            <w:r w:rsidRPr="00653977">
              <w:rPr>
                <w:sz w:val="22"/>
                <w:szCs w:val="22"/>
                <w:lang w:eastAsia="en-CA"/>
              </w:rPr>
              <w:t>Tajikistan</w:t>
            </w:r>
          </w:p>
        </w:tc>
        <w:tc>
          <w:tcPr>
            <w:tcW w:w="2288" w:type="dxa"/>
            <w:tcBorders>
              <w:top w:val="single" w:sz="4" w:space="0" w:color="auto"/>
              <w:left w:val="nil"/>
              <w:bottom w:val="single" w:sz="4" w:space="0" w:color="auto"/>
              <w:right w:val="single" w:sz="4" w:space="0" w:color="auto"/>
            </w:tcBorders>
            <w:shd w:val="clear" w:color="auto" w:fill="auto"/>
            <w:vAlign w:val="center"/>
            <w:hideMark/>
          </w:tcPr>
          <w:p w14:paraId="2C031A70" w14:textId="77777777" w:rsidR="00253427" w:rsidRPr="00653977" w:rsidRDefault="00253427" w:rsidP="00EF0503">
            <w:pPr>
              <w:ind w:right="770"/>
              <w:jc w:val="right"/>
              <w:rPr>
                <w:sz w:val="22"/>
                <w:szCs w:val="22"/>
                <w:lang w:eastAsia="en-CA"/>
              </w:rPr>
            </w:pPr>
            <w:r w:rsidRPr="00653977">
              <w:rPr>
                <w:sz w:val="22"/>
                <w:szCs w:val="22"/>
                <w:lang w:eastAsia="en-CA"/>
              </w:rPr>
              <w:t>0.004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E1A06F8" w14:textId="77777777" w:rsidR="00253427" w:rsidRPr="00653977" w:rsidRDefault="00253427" w:rsidP="00EF0503">
            <w:pPr>
              <w:ind w:right="1144"/>
              <w:jc w:val="right"/>
              <w:rPr>
                <w:sz w:val="22"/>
                <w:szCs w:val="22"/>
                <w:lang w:eastAsia="en-CA"/>
              </w:rPr>
            </w:pPr>
            <w:r w:rsidRPr="00653977">
              <w:rPr>
                <w:sz w:val="22"/>
                <w:szCs w:val="22"/>
                <w:lang w:eastAsia="en-CA"/>
              </w:rPr>
              <w:t>0.006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78A0820" w14:textId="77777777" w:rsidR="00253427" w:rsidRPr="00653977" w:rsidRDefault="00253427" w:rsidP="00EF0503">
            <w:pPr>
              <w:ind w:right="276"/>
              <w:jc w:val="right"/>
              <w:rPr>
                <w:sz w:val="22"/>
                <w:szCs w:val="22"/>
                <w:lang w:eastAsia="en-CA"/>
              </w:rPr>
            </w:pPr>
            <w:r w:rsidRPr="00653977">
              <w:rPr>
                <w:sz w:val="22"/>
                <w:szCs w:val="22"/>
                <w:lang w:eastAsia="en-CA"/>
              </w:rPr>
              <w:t>139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56677A9" w14:textId="77777777" w:rsidR="00253427" w:rsidRPr="00653977" w:rsidRDefault="00253427" w:rsidP="00EF0503">
            <w:pPr>
              <w:ind w:right="276"/>
              <w:jc w:val="right"/>
              <w:rPr>
                <w:sz w:val="22"/>
                <w:szCs w:val="22"/>
                <w:lang w:eastAsia="en-CA"/>
              </w:rPr>
            </w:pPr>
            <w:r w:rsidRPr="00653977">
              <w:rPr>
                <w:sz w:val="22"/>
                <w:szCs w:val="22"/>
                <w:lang w:eastAsia="en-CA"/>
              </w:rPr>
              <w:t>147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7096589" w14:textId="77777777" w:rsidR="00253427" w:rsidRPr="00653977" w:rsidRDefault="00253427" w:rsidP="00EF0503">
            <w:pPr>
              <w:ind w:right="276"/>
              <w:jc w:val="right"/>
              <w:rPr>
                <w:sz w:val="22"/>
                <w:szCs w:val="22"/>
                <w:lang w:eastAsia="en-CA"/>
              </w:rPr>
            </w:pPr>
            <w:r w:rsidRPr="00653977">
              <w:rPr>
                <w:sz w:val="22"/>
                <w:szCs w:val="22"/>
                <w:lang w:eastAsia="en-CA"/>
              </w:rPr>
              <w:t>287</w:t>
            </w:r>
          </w:p>
        </w:tc>
      </w:tr>
      <w:tr w:rsidR="00253427" w:rsidRPr="00653977" w14:paraId="071FA417"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08CBEC" w14:textId="77777777" w:rsidR="00253427" w:rsidRPr="00653977" w:rsidRDefault="00253427" w:rsidP="00EF0503">
            <w:pPr>
              <w:rPr>
                <w:sz w:val="22"/>
                <w:szCs w:val="22"/>
                <w:lang w:eastAsia="en-CA"/>
              </w:rPr>
            </w:pPr>
            <w:r w:rsidRPr="00653977">
              <w:rPr>
                <w:sz w:val="22"/>
                <w:szCs w:val="22"/>
                <w:lang w:eastAsia="en-CA"/>
              </w:rPr>
              <w:t>Thailand</w:t>
            </w:r>
          </w:p>
        </w:tc>
        <w:tc>
          <w:tcPr>
            <w:tcW w:w="2288" w:type="dxa"/>
            <w:tcBorders>
              <w:top w:val="nil"/>
              <w:left w:val="nil"/>
              <w:bottom w:val="single" w:sz="4" w:space="0" w:color="auto"/>
              <w:right w:val="single" w:sz="4" w:space="0" w:color="auto"/>
            </w:tcBorders>
            <w:shd w:val="clear" w:color="auto" w:fill="auto"/>
            <w:vAlign w:val="center"/>
            <w:hideMark/>
          </w:tcPr>
          <w:p w14:paraId="7583DD8B" w14:textId="77777777" w:rsidR="00253427" w:rsidRPr="00653977" w:rsidRDefault="00253427" w:rsidP="00EF0503">
            <w:pPr>
              <w:ind w:right="770"/>
              <w:jc w:val="right"/>
              <w:rPr>
                <w:sz w:val="22"/>
                <w:szCs w:val="22"/>
                <w:lang w:eastAsia="en-CA"/>
              </w:rPr>
            </w:pPr>
            <w:r w:rsidRPr="00653977">
              <w:rPr>
                <w:sz w:val="22"/>
                <w:szCs w:val="22"/>
                <w:lang w:eastAsia="en-CA"/>
              </w:rPr>
              <w:t>0.291</w:t>
            </w:r>
          </w:p>
        </w:tc>
        <w:tc>
          <w:tcPr>
            <w:tcW w:w="0" w:type="auto"/>
            <w:tcBorders>
              <w:top w:val="nil"/>
              <w:left w:val="nil"/>
              <w:bottom w:val="single" w:sz="4" w:space="0" w:color="auto"/>
              <w:right w:val="single" w:sz="4" w:space="0" w:color="auto"/>
            </w:tcBorders>
            <w:shd w:val="clear" w:color="auto" w:fill="auto"/>
            <w:noWrap/>
            <w:vAlign w:val="center"/>
            <w:hideMark/>
          </w:tcPr>
          <w:p w14:paraId="5ED72244" w14:textId="77777777" w:rsidR="00253427" w:rsidRPr="00653977" w:rsidRDefault="00253427" w:rsidP="00EF0503">
            <w:pPr>
              <w:ind w:right="1144"/>
              <w:jc w:val="right"/>
              <w:rPr>
                <w:sz w:val="22"/>
                <w:szCs w:val="22"/>
                <w:lang w:eastAsia="en-CA"/>
              </w:rPr>
            </w:pPr>
            <w:r w:rsidRPr="00653977">
              <w:rPr>
                <w:sz w:val="22"/>
                <w:szCs w:val="22"/>
                <w:lang w:eastAsia="en-CA"/>
              </w:rPr>
              <w:t>0.421</w:t>
            </w:r>
          </w:p>
        </w:tc>
        <w:tc>
          <w:tcPr>
            <w:tcW w:w="0" w:type="auto"/>
            <w:tcBorders>
              <w:top w:val="nil"/>
              <w:left w:val="nil"/>
              <w:bottom w:val="single" w:sz="4" w:space="0" w:color="auto"/>
              <w:right w:val="single" w:sz="4" w:space="0" w:color="auto"/>
            </w:tcBorders>
            <w:shd w:val="clear" w:color="auto" w:fill="auto"/>
            <w:noWrap/>
            <w:vAlign w:val="center"/>
            <w:hideMark/>
          </w:tcPr>
          <w:p w14:paraId="7E4A85CF" w14:textId="77777777" w:rsidR="00253427" w:rsidRPr="00653977" w:rsidRDefault="00253427" w:rsidP="00EF0503">
            <w:pPr>
              <w:ind w:right="276"/>
              <w:jc w:val="right"/>
              <w:rPr>
                <w:sz w:val="22"/>
                <w:szCs w:val="22"/>
                <w:lang w:eastAsia="en-CA"/>
              </w:rPr>
            </w:pPr>
            <w:r w:rsidRPr="00653977">
              <w:rPr>
                <w:sz w:val="22"/>
                <w:szCs w:val="22"/>
                <w:lang w:eastAsia="en-CA"/>
              </w:rPr>
              <w:t>10 118</w:t>
            </w:r>
          </w:p>
        </w:tc>
        <w:tc>
          <w:tcPr>
            <w:tcW w:w="0" w:type="auto"/>
            <w:tcBorders>
              <w:top w:val="nil"/>
              <w:left w:val="nil"/>
              <w:bottom w:val="single" w:sz="4" w:space="0" w:color="auto"/>
              <w:right w:val="single" w:sz="4" w:space="0" w:color="auto"/>
            </w:tcBorders>
            <w:shd w:val="clear" w:color="auto" w:fill="auto"/>
            <w:noWrap/>
            <w:vAlign w:val="center"/>
            <w:hideMark/>
          </w:tcPr>
          <w:p w14:paraId="0BFC40C0" w14:textId="77777777" w:rsidR="00253427" w:rsidRPr="00653977" w:rsidRDefault="00253427" w:rsidP="00EF0503">
            <w:pPr>
              <w:ind w:right="276"/>
              <w:jc w:val="right"/>
              <w:rPr>
                <w:sz w:val="22"/>
                <w:szCs w:val="22"/>
                <w:lang w:eastAsia="en-CA"/>
              </w:rPr>
            </w:pPr>
            <w:r w:rsidRPr="00653977">
              <w:rPr>
                <w:sz w:val="22"/>
                <w:szCs w:val="22"/>
                <w:lang w:eastAsia="en-CA"/>
              </w:rPr>
              <w:t>10 729</w:t>
            </w:r>
          </w:p>
        </w:tc>
        <w:tc>
          <w:tcPr>
            <w:tcW w:w="0" w:type="auto"/>
            <w:tcBorders>
              <w:top w:val="nil"/>
              <w:left w:val="nil"/>
              <w:bottom w:val="single" w:sz="4" w:space="0" w:color="auto"/>
              <w:right w:val="single" w:sz="4" w:space="0" w:color="auto"/>
            </w:tcBorders>
            <w:shd w:val="clear" w:color="auto" w:fill="auto"/>
            <w:noWrap/>
            <w:vAlign w:val="center"/>
            <w:hideMark/>
          </w:tcPr>
          <w:p w14:paraId="674CC49D" w14:textId="77777777" w:rsidR="00253427" w:rsidRPr="00653977" w:rsidRDefault="00253427" w:rsidP="00EF0503">
            <w:pPr>
              <w:ind w:right="276"/>
              <w:jc w:val="right"/>
              <w:rPr>
                <w:sz w:val="22"/>
                <w:szCs w:val="22"/>
                <w:lang w:eastAsia="en-CA"/>
              </w:rPr>
            </w:pPr>
            <w:r w:rsidRPr="00653977">
              <w:rPr>
                <w:sz w:val="22"/>
                <w:szCs w:val="22"/>
                <w:lang w:eastAsia="en-CA"/>
              </w:rPr>
              <w:t>20 847</w:t>
            </w:r>
          </w:p>
        </w:tc>
      </w:tr>
      <w:tr w:rsidR="00253427" w:rsidRPr="00653977" w14:paraId="607656D2"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E6ACCB" w14:textId="77777777" w:rsidR="00253427" w:rsidRPr="00653977" w:rsidRDefault="00253427" w:rsidP="00EF0503">
            <w:pPr>
              <w:rPr>
                <w:sz w:val="22"/>
                <w:szCs w:val="22"/>
                <w:lang w:eastAsia="en-CA"/>
              </w:rPr>
            </w:pPr>
            <w:r w:rsidRPr="00653977">
              <w:rPr>
                <w:sz w:val="22"/>
                <w:szCs w:val="22"/>
                <w:lang w:eastAsia="en-CA"/>
              </w:rPr>
              <w:t>The former Yugoslav Republic of Macedonia</w:t>
            </w:r>
          </w:p>
        </w:tc>
        <w:tc>
          <w:tcPr>
            <w:tcW w:w="2288" w:type="dxa"/>
            <w:tcBorders>
              <w:top w:val="nil"/>
              <w:left w:val="nil"/>
              <w:bottom w:val="single" w:sz="4" w:space="0" w:color="auto"/>
              <w:right w:val="single" w:sz="4" w:space="0" w:color="auto"/>
            </w:tcBorders>
            <w:shd w:val="clear" w:color="auto" w:fill="auto"/>
            <w:vAlign w:val="center"/>
            <w:hideMark/>
          </w:tcPr>
          <w:p w14:paraId="237FC88E" w14:textId="77777777" w:rsidR="00253427" w:rsidRPr="00653977" w:rsidRDefault="00253427" w:rsidP="00EF0503">
            <w:pPr>
              <w:ind w:right="770"/>
              <w:jc w:val="right"/>
              <w:rPr>
                <w:sz w:val="22"/>
                <w:szCs w:val="22"/>
                <w:lang w:eastAsia="en-CA"/>
              </w:rPr>
            </w:pPr>
            <w:r w:rsidRPr="00653977">
              <w:rPr>
                <w:sz w:val="22"/>
                <w:szCs w:val="22"/>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783DBD22" w14:textId="77777777" w:rsidR="00253427" w:rsidRPr="00653977" w:rsidRDefault="00253427" w:rsidP="00EF0503">
            <w:pPr>
              <w:ind w:right="1144"/>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738DC17A" w14:textId="77777777" w:rsidR="00253427" w:rsidRPr="00653977" w:rsidRDefault="00253427" w:rsidP="00EF0503">
            <w:pPr>
              <w:ind w:right="276"/>
              <w:jc w:val="right"/>
              <w:rPr>
                <w:sz w:val="22"/>
                <w:szCs w:val="22"/>
                <w:lang w:eastAsia="en-CA"/>
              </w:rPr>
            </w:pPr>
            <w:r w:rsidRPr="00653977">
              <w:rPr>
                <w:sz w:val="22"/>
                <w:szCs w:val="22"/>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2044568A" w14:textId="77777777" w:rsidR="00253427" w:rsidRPr="00653977" w:rsidRDefault="00253427" w:rsidP="00EF0503">
            <w:pPr>
              <w:ind w:right="276"/>
              <w:jc w:val="right"/>
              <w:rPr>
                <w:sz w:val="22"/>
                <w:szCs w:val="22"/>
                <w:lang w:eastAsia="en-CA"/>
              </w:rPr>
            </w:pPr>
            <w:r w:rsidRPr="00653977">
              <w:rPr>
                <w:sz w:val="22"/>
                <w:szCs w:val="22"/>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78B8B14A" w14:textId="77777777" w:rsidR="00253427" w:rsidRPr="00653977" w:rsidRDefault="00253427" w:rsidP="00EF0503">
            <w:pPr>
              <w:ind w:right="276"/>
              <w:jc w:val="right"/>
              <w:rPr>
                <w:sz w:val="22"/>
                <w:szCs w:val="22"/>
                <w:lang w:eastAsia="en-CA"/>
              </w:rPr>
            </w:pPr>
            <w:r w:rsidRPr="00653977">
              <w:rPr>
                <w:sz w:val="22"/>
                <w:szCs w:val="22"/>
                <w:lang w:eastAsia="en-CA"/>
              </w:rPr>
              <w:t>501</w:t>
            </w:r>
          </w:p>
        </w:tc>
      </w:tr>
      <w:tr w:rsidR="00253427" w:rsidRPr="00653977" w14:paraId="6DDC1E21"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EDA8B5" w14:textId="77777777" w:rsidR="00253427" w:rsidRPr="00653977" w:rsidRDefault="00253427" w:rsidP="00EF0503">
            <w:pPr>
              <w:rPr>
                <w:sz w:val="22"/>
                <w:szCs w:val="22"/>
                <w:lang w:eastAsia="en-CA"/>
              </w:rPr>
            </w:pPr>
            <w:r w:rsidRPr="00653977">
              <w:rPr>
                <w:sz w:val="22"/>
                <w:szCs w:val="22"/>
                <w:lang w:eastAsia="en-CA"/>
              </w:rPr>
              <w:t>Togo</w:t>
            </w:r>
          </w:p>
        </w:tc>
        <w:tc>
          <w:tcPr>
            <w:tcW w:w="2288" w:type="dxa"/>
            <w:tcBorders>
              <w:top w:val="nil"/>
              <w:left w:val="nil"/>
              <w:bottom w:val="single" w:sz="4" w:space="0" w:color="auto"/>
              <w:right w:val="single" w:sz="4" w:space="0" w:color="auto"/>
            </w:tcBorders>
            <w:shd w:val="clear" w:color="auto" w:fill="auto"/>
            <w:vAlign w:val="center"/>
            <w:hideMark/>
          </w:tcPr>
          <w:p w14:paraId="566DE93D"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199BFEC"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26496C1"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37F831AC"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79658DE"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73AD7ED0"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7CBDE4" w14:textId="77777777" w:rsidR="00253427" w:rsidRPr="00653977" w:rsidRDefault="00253427" w:rsidP="00EF0503">
            <w:pPr>
              <w:rPr>
                <w:sz w:val="22"/>
                <w:szCs w:val="22"/>
                <w:lang w:eastAsia="en-CA"/>
              </w:rPr>
            </w:pPr>
            <w:r w:rsidRPr="00653977">
              <w:rPr>
                <w:sz w:val="22"/>
                <w:szCs w:val="22"/>
                <w:lang w:eastAsia="en-CA"/>
              </w:rPr>
              <w:t>Tonga</w:t>
            </w:r>
          </w:p>
        </w:tc>
        <w:tc>
          <w:tcPr>
            <w:tcW w:w="2288" w:type="dxa"/>
            <w:tcBorders>
              <w:top w:val="nil"/>
              <w:left w:val="nil"/>
              <w:bottom w:val="single" w:sz="4" w:space="0" w:color="auto"/>
              <w:right w:val="single" w:sz="4" w:space="0" w:color="auto"/>
            </w:tcBorders>
            <w:shd w:val="clear" w:color="auto" w:fill="auto"/>
            <w:vAlign w:val="center"/>
            <w:hideMark/>
          </w:tcPr>
          <w:p w14:paraId="3C8DAEDE" w14:textId="77777777" w:rsidR="00253427" w:rsidRPr="00653977" w:rsidRDefault="00253427" w:rsidP="00EF0503">
            <w:pPr>
              <w:ind w:right="770"/>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27A48BA" w14:textId="77777777" w:rsidR="00253427" w:rsidRPr="00653977" w:rsidRDefault="00253427" w:rsidP="00EF0503">
            <w:pPr>
              <w:ind w:right="1144"/>
              <w:jc w:val="right"/>
              <w:rPr>
                <w:sz w:val="22"/>
                <w:szCs w:val="22"/>
                <w:lang w:eastAsia="en-CA"/>
              </w:rPr>
            </w:pPr>
            <w:r w:rsidRPr="00653977">
              <w:rPr>
                <w:sz w:val="22"/>
                <w:szCs w:val="22"/>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4844C563" w14:textId="77777777" w:rsidR="00253427" w:rsidRPr="00653977" w:rsidRDefault="00253427" w:rsidP="00EF0503">
            <w:pPr>
              <w:ind w:right="276"/>
              <w:jc w:val="right"/>
              <w:rPr>
                <w:sz w:val="22"/>
                <w:szCs w:val="22"/>
                <w:lang w:eastAsia="en-CA"/>
              </w:rPr>
            </w:pPr>
            <w:r w:rsidRPr="00653977">
              <w:rPr>
                <w:sz w:val="22"/>
                <w:szCs w:val="22"/>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11553B30" w14:textId="77777777" w:rsidR="00253427" w:rsidRPr="00653977" w:rsidRDefault="00253427" w:rsidP="00EF0503">
            <w:pPr>
              <w:ind w:right="276"/>
              <w:jc w:val="right"/>
              <w:rPr>
                <w:sz w:val="22"/>
                <w:szCs w:val="22"/>
                <w:lang w:eastAsia="en-CA"/>
              </w:rPr>
            </w:pPr>
            <w:r w:rsidRPr="00653977">
              <w:rPr>
                <w:sz w:val="22"/>
                <w:szCs w:val="22"/>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DCC5A36" w14:textId="77777777" w:rsidR="00253427" w:rsidRPr="00653977" w:rsidRDefault="00253427" w:rsidP="00EF0503">
            <w:pPr>
              <w:ind w:right="276"/>
              <w:jc w:val="right"/>
              <w:rPr>
                <w:sz w:val="22"/>
                <w:szCs w:val="22"/>
                <w:lang w:eastAsia="en-CA"/>
              </w:rPr>
            </w:pPr>
            <w:r w:rsidRPr="00653977">
              <w:rPr>
                <w:sz w:val="22"/>
                <w:szCs w:val="22"/>
                <w:lang w:eastAsia="en-CA"/>
              </w:rPr>
              <w:t>72</w:t>
            </w:r>
          </w:p>
        </w:tc>
      </w:tr>
      <w:tr w:rsidR="00253427" w:rsidRPr="00653977" w14:paraId="4B94A496"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E6F06A" w14:textId="77777777" w:rsidR="00253427" w:rsidRPr="00653977" w:rsidRDefault="00253427" w:rsidP="00EF0503">
            <w:pPr>
              <w:rPr>
                <w:sz w:val="22"/>
                <w:szCs w:val="22"/>
                <w:lang w:eastAsia="en-CA"/>
              </w:rPr>
            </w:pPr>
            <w:r w:rsidRPr="00653977">
              <w:rPr>
                <w:sz w:val="22"/>
                <w:szCs w:val="22"/>
                <w:lang w:eastAsia="en-CA"/>
              </w:rPr>
              <w:t>Trinidad and Tobago</w:t>
            </w:r>
          </w:p>
        </w:tc>
        <w:tc>
          <w:tcPr>
            <w:tcW w:w="2288" w:type="dxa"/>
            <w:tcBorders>
              <w:top w:val="nil"/>
              <w:left w:val="nil"/>
              <w:bottom w:val="single" w:sz="4" w:space="0" w:color="auto"/>
              <w:right w:val="single" w:sz="4" w:space="0" w:color="auto"/>
            </w:tcBorders>
            <w:shd w:val="clear" w:color="auto" w:fill="auto"/>
            <w:vAlign w:val="center"/>
            <w:hideMark/>
          </w:tcPr>
          <w:p w14:paraId="73A20046" w14:textId="77777777" w:rsidR="00253427" w:rsidRPr="00653977" w:rsidRDefault="00253427" w:rsidP="00EF0503">
            <w:pPr>
              <w:ind w:right="770"/>
              <w:jc w:val="right"/>
              <w:rPr>
                <w:sz w:val="22"/>
                <w:szCs w:val="22"/>
                <w:lang w:eastAsia="en-CA"/>
              </w:rPr>
            </w:pPr>
            <w:r w:rsidRPr="00653977">
              <w:rPr>
                <w:sz w:val="22"/>
                <w:szCs w:val="22"/>
                <w:lang w:eastAsia="en-CA"/>
              </w:rPr>
              <w:t>0.034</w:t>
            </w:r>
          </w:p>
        </w:tc>
        <w:tc>
          <w:tcPr>
            <w:tcW w:w="0" w:type="auto"/>
            <w:tcBorders>
              <w:top w:val="nil"/>
              <w:left w:val="nil"/>
              <w:bottom w:val="single" w:sz="4" w:space="0" w:color="auto"/>
              <w:right w:val="single" w:sz="4" w:space="0" w:color="auto"/>
            </w:tcBorders>
            <w:shd w:val="clear" w:color="auto" w:fill="auto"/>
            <w:noWrap/>
            <w:vAlign w:val="center"/>
            <w:hideMark/>
          </w:tcPr>
          <w:p w14:paraId="28F1819B" w14:textId="77777777" w:rsidR="00253427" w:rsidRPr="00653977" w:rsidRDefault="00253427" w:rsidP="00EF0503">
            <w:pPr>
              <w:ind w:right="1144"/>
              <w:jc w:val="right"/>
              <w:rPr>
                <w:sz w:val="22"/>
                <w:szCs w:val="22"/>
                <w:lang w:eastAsia="en-CA"/>
              </w:rPr>
            </w:pPr>
            <w:r w:rsidRPr="00653977">
              <w:rPr>
                <w:sz w:val="22"/>
                <w:szCs w:val="22"/>
                <w:lang w:eastAsia="en-CA"/>
              </w:rPr>
              <w:t>0.049</w:t>
            </w:r>
          </w:p>
        </w:tc>
        <w:tc>
          <w:tcPr>
            <w:tcW w:w="0" w:type="auto"/>
            <w:tcBorders>
              <w:top w:val="nil"/>
              <w:left w:val="nil"/>
              <w:bottom w:val="single" w:sz="4" w:space="0" w:color="auto"/>
              <w:right w:val="single" w:sz="4" w:space="0" w:color="auto"/>
            </w:tcBorders>
            <w:shd w:val="clear" w:color="auto" w:fill="auto"/>
            <w:noWrap/>
            <w:vAlign w:val="center"/>
            <w:hideMark/>
          </w:tcPr>
          <w:p w14:paraId="5405DAAB" w14:textId="77777777" w:rsidR="00253427" w:rsidRPr="00653977" w:rsidRDefault="00253427" w:rsidP="00EF0503">
            <w:pPr>
              <w:ind w:right="276"/>
              <w:jc w:val="right"/>
              <w:rPr>
                <w:sz w:val="22"/>
                <w:szCs w:val="22"/>
                <w:lang w:eastAsia="en-CA"/>
              </w:rPr>
            </w:pPr>
            <w:r w:rsidRPr="00653977">
              <w:rPr>
                <w:sz w:val="22"/>
                <w:szCs w:val="22"/>
                <w:lang w:eastAsia="en-CA"/>
              </w:rPr>
              <w:t>1 182</w:t>
            </w:r>
          </w:p>
        </w:tc>
        <w:tc>
          <w:tcPr>
            <w:tcW w:w="0" w:type="auto"/>
            <w:tcBorders>
              <w:top w:val="nil"/>
              <w:left w:val="nil"/>
              <w:bottom w:val="single" w:sz="4" w:space="0" w:color="auto"/>
              <w:right w:val="single" w:sz="4" w:space="0" w:color="auto"/>
            </w:tcBorders>
            <w:shd w:val="clear" w:color="auto" w:fill="auto"/>
            <w:noWrap/>
            <w:vAlign w:val="center"/>
            <w:hideMark/>
          </w:tcPr>
          <w:p w14:paraId="7FA2B745" w14:textId="77777777" w:rsidR="00253427" w:rsidRPr="00653977" w:rsidRDefault="00253427" w:rsidP="00EF0503">
            <w:pPr>
              <w:ind w:right="276"/>
              <w:jc w:val="right"/>
              <w:rPr>
                <w:sz w:val="22"/>
                <w:szCs w:val="22"/>
                <w:lang w:eastAsia="en-CA"/>
              </w:rPr>
            </w:pPr>
            <w:r w:rsidRPr="00653977">
              <w:rPr>
                <w:sz w:val="22"/>
                <w:szCs w:val="22"/>
                <w:lang w:eastAsia="en-CA"/>
              </w:rPr>
              <w:t>1 254</w:t>
            </w:r>
          </w:p>
        </w:tc>
        <w:tc>
          <w:tcPr>
            <w:tcW w:w="0" w:type="auto"/>
            <w:tcBorders>
              <w:top w:val="nil"/>
              <w:left w:val="nil"/>
              <w:bottom w:val="single" w:sz="4" w:space="0" w:color="auto"/>
              <w:right w:val="single" w:sz="4" w:space="0" w:color="auto"/>
            </w:tcBorders>
            <w:shd w:val="clear" w:color="auto" w:fill="auto"/>
            <w:noWrap/>
            <w:vAlign w:val="center"/>
            <w:hideMark/>
          </w:tcPr>
          <w:p w14:paraId="205DDA83" w14:textId="77777777" w:rsidR="00253427" w:rsidRPr="00653977" w:rsidRDefault="00253427" w:rsidP="00EF0503">
            <w:pPr>
              <w:ind w:right="276"/>
              <w:jc w:val="right"/>
              <w:rPr>
                <w:sz w:val="22"/>
                <w:szCs w:val="22"/>
                <w:lang w:eastAsia="en-CA"/>
              </w:rPr>
            </w:pPr>
            <w:r w:rsidRPr="00653977">
              <w:rPr>
                <w:sz w:val="22"/>
                <w:szCs w:val="22"/>
                <w:lang w:eastAsia="en-CA"/>
              </w:rPr>
              <w:t>2 436</w:t>
            </w:r>
          </w:p>
        </w:tc>
      </w:tr>
      <w:tr w:rsidR="00253427" w:rsidRPr="00653977" w14:paraId="2A6DA494"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7AF5E5" w14:textId="77777777" w:rsidR="00253427" w:rsidRPr="00653977" w:rsidRDefault="00253427" w:rsidP="00EF0503">
            <w:pPr>
              <w:rPr>
                <w:sz w:val="22"/>
                <w:szCs w:val="22"/>
                <w:lang w:eastAsia="en-CA"/>
              </w:rPr>
            </w:pPr>
            <w:r w:rsidRPr="00653977">
              <w:rPr>
                <w:sz w:val="22"/>
                <w:szCs w:val="22"/>
                <w:lang w:eastAsia="en-CA"/>
              </w:rPr>
              <w:t>Tunisia</w:t>
            </w:r>
          </w:p>
        </w:tc>
        <w:tc>
          <w:tcPr>
            <w:tcW w:w="2288" w:type="dxa"/>
            <w:tcBorders>
              <w:top w:val="nil"/>
              <w:left w:val="nil"/>
              <w:bottom w:val="single" w:sz="4" w:space="0" w:color="auto"/>
              <w:right w:val="single" w:sz="4" w:space="0" w:color="auto"/>
            </w:tcBorders>
            <w:shd w:val="clear" w:color="auto" w:fill="auto"/>
            <w:vAlign w:val="center"/>
            <w:hideMark/>
          </w:tcPr>
          <w:p w14:paraId="28381F25" w14:textId="77777777" w:rsidR="00253427" w:rsidRPr="00653977" w:rsidRDefault="00253427" w:rsidP="00EF0503">
            <w:pPr>
              <w:ind w:right="770"/>
              <w:jc w:val="right"/>
              <w:rPr>
                <w:sz w:val="22"/>
                <w:szCs w:val="22"/>
                <w:lang w:eastAsia="en-CA"/>
              </w:rPr>
            </w:pPr>
            <w:r w:rsidRPr="00653977">
              <w:rPr>
                <w:sz w:val="22"/>
                <w:szCs w:val="22"/>
                <w:lang w:eastAsia="en-CA"/>
              </w:rPr>
              <w:t>0.028</w:t>
            </w:r>
          </w:p>
        </w:tc>
        <w:tc>
          <w:tcPr>
            <w:tcW w:w="0" w:type="auto"/>
            <w:tcBorders>
              <w:top w:val="nil"/>
              <w:left w:val="nil"/>
              <w:bottom w:val="single" w:sz="4" w:space="0" w:color="auto"/>
              <w:right w:val="single" w:sz="4" w:space="0" w:color="auto"/>
            </w:tcBorders>
            <w:shd w:val="clear" w:color="auto" w:fill="auto"/>
            <w:noWrap/>
            <w:vAlign w:val="center"/>
            <w:hideMark/>
          </w:tcPr>
          <w:p w14:paraId="0C0F96D3" w14:textId="77777777" w:rsidR="00253427" w:rsidRPr="00653977" w:rsidRDefault="00253427" w:rsidP="00EF0503">
            <w:pPr>
              <w:ind w:right="1144"/>
              <w:jc w:val="right"/>
              <w:rPr>
                <w:sz w:val="22"/>
                <w:szCs w:val="22"/>
                <w:lang w:eastAsia="en-CA"/>
              </w:rPr>
            </w:pPr>
            <w:r w:rsidRPr="00653977">
              <w:rPr>
                <w:sz w:val="22"/>
                <w:szCs w:val="22"/>
                <w:lang w:eastAsia="en-CA"/>
              </w:rPr>
              <w:t>0.041</w:t>
            </w:r>
          </w:p>
        </w:tc>
        <w:tc>
          <w:tcPr>
            <w:tcW w:w="0" w:type="auto"/>
            <w:tcBorders>
              <w:top w:val="nil"/>
              <w:left w:val="nil"/>
              <w:bottom w:val="single" w:sz="4" w:space="0" w:color="auto"/>
              <w:right w:val="single" w:sz="4" w:space="0" w:color="auto"/>
            </w:tcBorders>
            <w:shd w:val="clear" w:color="auto" w:fill="auto"/>
            <w:noWrap/>
            <w:vAlign w:val="center"/>
            <w:hideMark/>
          </w:tcPr>
          <w:p w14:paraId="4D19E1F6" w14:textId="77777777" w:rsidR="00253427" w:rsidRPr="00653977" w:rsidRDefault="00253427" w:rsidP="00EF0503">
            <w:pPr>
              <w:ind w:right="276"/>
              <w:jc w:val="right"/>
              <w:rPr>
                <w:sz w:val="22"/>
                <w:szCs w:val="22"/>
                <w:lang w:eastAsia="en-CA"/>
              </w:rPr>
            </w:pPr>
            <w:r w:rsidRPr="00653977">
              <w:rPr>
                <w:sz w:val="22"/>
                <w:szCs w:val="22"/>
                <w:lang w:eastAsia="en-CA"/>
              </w:rPr>
              <w:t>974</w:t>
            </w:r>
          </w:p>
        </w:tc>
        <w:tc>
          <w:tcPr>
            <w:tcW w:w="0" w:type="auto"/>
            <w:tcBorders>
              <w:top w:val="nil"/>
              <w:left w:val="nil"/>
              <w:bottom w:val="single" w:sz="4" w:space="0" w:color="auto"/>
              <w:right w:val="single" w:sz="4" w:space="0" w:color="auto"/>
            </w:tcBorders>
            <w:shd w:val="clear" w:color="auto" w:fill="auto"/>
            <w:noWrap/>
            <w:vAlign w:val="center"/>
            <w:hideMark/>
          </w:tcPr>
          <w:p w14:paraId="74FE74E1" w14:textId="77777777" w:rsidR="00253427" w:rsidRPr="00653977" w:rsidRDefault="00253427" w:rsidP="00EF0503">
            <w:pPr>
              <w:ind w:right="276"/>
              <w:jc w:val="right"/>
              <w:rPr>
                <w:sz w:val="22"/>
                <w:szCs w:val="22"/>
                <w:lang w:eastAsia="en-CA"/>
              </w:rPr>
            </w:pPr>
            <w:r w:rsidRPr="00653977">
              <w:rPr>
                <w:sz w:val="22"/>
                <w:szCs w:val="22"/>
                <w:lang w:eastAsia="en-CA"/>
              </w:rPr>
              <w:t>1 032</w:t>
            </w:r>
          </w:p>
        </w:tc>
        <w:tc>
          <w:tcPr>
            <w:tcW w:w="0" w:type="auto"/>
            <w:tcBorders>
              <w:top w:val="nil"/>
              <w:left w:val="nil"/>
              <w:bottom w:val="single" w:sz="4" w:space="0" w:color="auto"/>
              <w:right w:val="single" w:sz="4" w:space="0" w:color="auto"/>
            </w:tcBorders>
            <w:shd w:val="clear" w:color="auto" w:fill="auto"/>
            <w:noWrap/>
            <w:vAlign w:val="center"/>
            <w:hideMark/>
          </w:tcPr>
          <w:p w14:paraId="60D6C5C3" w14:textId="77777777" w:rsidR="00253427" w:rsidRPr="00653977" w:rsidRDefault="00253427" w:rsidP="00EF0503">
            <w:pPr>
              <w:ind w:right="276"/>
              <w:jc w:val="right"/>
              <w:rPr>
                <w:sz w:val="22"/>
                <w:szCs w:val="22"/>
                <w:lang w:eastAsia="en-CA"/>
              </w:rPr>
            </w:pPr>
            <w:r w:rsidRPr="00653977">
              <w:rPr>
                <w:sz w:val="22"/>
                <w:szCs w:val="22"/>
                <w:lang w:eastAsia="en-CA"/>
              </w:rPr>
              <w:t>2 006</w:t>
            </w:r>
          </w:p>
        </w:tc>
      </w:tr>
      <w:tr w:rsidR="00253427" w:rsidRPr="00653977" w14:paraId="642D67D4"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4F9A55" w14:textId="77777777" w:rsidR="00253427" w:rsidRPr="00653977" w:rsidRDefault="00253427" w:rsidP="00EF0503">
            <w:pPr>
              <w:rPr>
                <w:sz w:val="22"/>
                <w:szCs w:val="22"/>
                <w:lang w:eastAsia="en-CA"/>
              </w:rPr>
            </w:pPr>
            <w:r w:rsidRPr="00653977">
              <w:rPr>
                <w:sz w:val="22"/>
                <w:szCs w:val="22"/>
                <w:lang w:eastAsia="en-CA"/>
              </w:rPr>
              <w:t>Turkey</w:t>
            </w:r>
          </w:p>
        </w:tc>
        <w:tc>
          <w:tcPr>
            <w:tcW w:w="2288" w:type="dxa"/>
            <w:tcBorders>
              <w:top w:val="nil"/>
              <w:left w:val="nil"/>
              <w:bottom w:val="single" w:sz="4" w:space="0" w:color="auto"/>
              <w:right w:val="single" w:sz="4" w:space="0" w:color="auto"/>
            </w:tcBorders>
            <w:shd w:val="clear" w:color="auto" w:fill="auto"/>
            <w:vAlign w:val="center"/>
            <w:hideMark/>
          </w:tcPr>
          <w:p w14:paraId="47E07D2E" w14:textId="77777777" w:rsidR="00253427" w:rsidRPr="00653977" w:rsidRDefault="00253427" w:rsidP="00EF0503">
            <w:pPr>
              <w:ind w:right="770"/>
              <w:jc w:val="right"/>
              <w:rPr>
                <w:sz w:val="22"/>
                <w:szCs w:val="22"/>
                <w:lang w:eastAsia="en-CA"/>
              </w:rPr>
            </w:pPr>
            <w:r w:rsidRPr="00653977">
              <w:rPr>
                <w:sz w:val="22"/>
                <w:szCs w:val="22"/>
                <w:lang w:eastAsia="en-CA"/>
              </w:rPr>
              <w:t>1.018</w:t>
            </w:r>
          </w:p>
        </w:tc>
        <w:tc>
          <w:tcPr>
            <w:tcW w:w="0" w:type="auto"/>
            <w:tcBorders>
              <w:top w:val="nil"/>
              <w:left w:val="nil"/>
              <w:bottom w:val="single" w:sz="4" w:space="0" w:color="auto"/>
              <w:right w:val="single" w:sz="4" w:space="0" w:color="auto"/>
            </w:tcBorders>
            <w:shd w:val="clear" w:color="auto" w:fill="auto"/>
            <w:noWrap/>
            <w:vAlign w:val="center"/>
            <w:hideMark/>
          </w:tcPr>
          <w:p w14:paraId="0A2F206F" w14:textId="77777777" w:rsidR="00253427" w:rsidRPr="00653977" w:rsidRDefault="00253427" w:rsidP="00EF0503">
            <w:pPr>
              <w:ind w:right="1144"/>
              <w:jc w:val="right"/>
              <w:rPr>
                <w:sz w:val="22"/>
                <w:szCs w:val="22"/>
                <w:lang w:eastAsia="en-CA"/>
              </w:rPr>
            </w:pPr>
            <w:r w:rsidRPr="00653977">
              <w:rPr>
                <w:sz w:val="22"/>
                <w:szCs w:val="22"/>
                <w:lang w:eastAsia="en-CA"/>
              </w:rPr>
              <w:t>1.474</w:t>
            </w:r>
          </w:p>
        </w:tc>
        <w:tc>
          <w:tcPr>
            <w:tcW w:w="0" w:type="auto"/>
            <w:tcBorders>
              <w:top w:val="nil"/>
              <w:left w:val="nil"/>
              <w:bottom w:val="single" w:sz="4" w:space="0" w:color="auto"/>
              <w:right w:val="single" w:sz="4" w:space="0" w:color="auto"/>
            </w:tcBorders>
            <w:shd w:val="clear" w:color="auto" w:fill="auto"/>
            <w:noWrap/>
            <w:vAlign w:val="center"/>
            <w:hideMark/>
          </w:tcPr>
          <w:p w14:paraId="4CFC0A2E" w14:textId="77777777" w:rsidR="00253427" w:rsidRPr="00653977" w:rsidRDefault="00253427" w:rsidP="00EF0503">
            <w:pPr>
              <w:ind w:right="276"/>
              <w:jc w:val="right"/>
              <w:rPr>
                <w:sz w:val="22"/>
                <w:szCs w:val="22"/>
                <w:lang w:eastAsia="en-CA"/>
              </w:rPr>
            </w:pPr>
            <w:r w:rsidRPr="00653977">
              <w:rPr>
                <w:sz w:val="22"/>
                <w:szCs w:val="22"/>
                <w:lang w:eastAsia="en-CA"/>
              </w:rPr>
              <w:t>35 395</w:t>
            </w:r>
          </w:p>
        </w:tc>
        <w:tc>
          <w:tcPr>
            <w:tcW w:w="0" w:type="auto"/>
            <w:tcBorders>
              <w:top w:val="nil"/>
              <w:left w:val="nil"/>
              <w:bottom w:val="single" w:sz="4" w:space="0" w:color="auto"/>
              <w:right w:val="single" w:sz="4" w:space="0" w:color="auto"/>
            </w:tcBorders>
            <w:shd w:val="clear" w:color="auto" w:fill="auto"/>
            <w:noWrap/>
            <w:vAlign w:val="center"/>
            <w:hideMark/>
          </w:tcPr>
          <w:p w14:paraId="7C1F67F7" w14:textId="77777777" w:rsidR="00253427" w:rsidRPr="00653977" w:rsidRDefault="00253427" w:rsidP="00EF0503">
            <w:pPr>
              <w:ind w:right="276"/>
              <w:jc w:val="right"/>
              <w:rPr>
                <w:sz w:val="22"/>
                <w:szCs w:val="22"/>
                <w:lang w:eastAsia="en-CA"/>
              </w:rPr>
            </w:pPr>
            <w:r w:rsidRPr="00653977">
              <w:rPr>
                <w:sz w:val="22"/>
                <w:szCs w:val="22"/>
                <w:lang w:eastAsia="en-CA"/>
              </w:rPr>
              <w:t>37 533</w:t>
            </w:r>
          </w:p>
        </w:tc>
        <w:tc>
          <w:tcPr>
            <w:tcW w:w="0" w:type="auto"/>
            <w:tcBorders>
              <w:top w:val="nil"/>
              <w:left w:val="nil"/>
              <w:bottom w:val="single" w:sz="4" w:space="0" w:color="auto"/>
              <w:right w:val="single" w:sz="4" w:space="0" w:color="auto"/>
            </w:tcBorders>
            <w:shd w:val="clear" w:color="auto" w:fill="auto"/>
            <w:noWrap/>
            <w:vAlign w:val="center"/>
            <w:hideMark/>
          </w:tcPr>
          <w:p w14:paraId="5BE46617" w14:textId="77777777" w:rsidR="00253427" w:rsidRPr="00653977" w:rsidRDefault="00253427" w:rsidP="00EF0503">
            <w:pPr>
              <w:ind w:right="276"/>
              <w:jc w:val="right"/>
              <w:rPr>
                <w:sz w:val="22"/>
                <w:szCs w:val="22"/>
                <w:lang w:eastAsia="en-CA"/>
              </w:rPr>
            </w:pPr>
            <w:r w:rsidRPr="00653977">
              <w:rPr>
                <w:sz w:val="22"/>
                <w:szCs w:val="22"/>
                <w:lang w:eastAsia="en-CA"/>
              </w:rPr>
              <w:t>72 928</w:t>
            </w:r>
          </w:p>
        </w:tc>
      </w:tr>
      <w:tr w:rsidR="00253427" w:rsidRPr="00653977" w14:paraId="08A2F184"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F52A4D" w14:textId="77777777" w:rsidR="00253427" w:rsidRPr="00653977" w:rsidRDefault="00253427" w:rsidP="00EF0503">
            <w:pPr>
              <w:rPr>
                <w:sz w:val="22"/>
                <w:szCs w:val="22"/>
                <w:lang w:eastAsia="en-CA"/>
              </w:rPr>
            </w:pPr>
            <w:r w:rsidRPr="00653977">
              <w:rPr>
                <w:sz w:val="22"/>
                <w:szCs w:val="22"/>
                <w:lang w:eastAsia="en-CA"/>
              </w:rPr>
              <w:t>Turkmenistan</w:t>
            </w:r>
          </w:p>
        </w:tc>
        <w:tc>
          <w:tcPr>
            <w:tcW w:w="2288" w:type="dxa"/>
            <w:tcBorders>
              <w:top w:val="nil"/>
              <w:left w:val="nil"/>
              <w:bottom w:val="single" w:sz="4" w:space="0" w:color="auto"/>
              <w:right w:val="single" w:sz="4" w:space="0" w:color="auto"/>
            </w:tcBorders>
            <w:shd w:val="clear" w:color="auto" w:fill="auto"/>
            <w:vAlign w:val="center"/>
            <w:hideMark/>
          </w:tcPr>
          <w:p w14:paraId="2464903C" w14:textId="77777777" w:rsidR="00253427" w:rsidRPr="00653977" w:rsidRDefault="00253427" w:rsidP="00EF0503">
            <w:pPr>
              <w:ind w:right="770"/>
              <w:jc w:val="right"/>
              <w:rPr>
                <w:sz w:val="22"/>
                <w:szCs w:val="22"/>
                <w:lang w:eastAsia="en-CA"/>
              </w:rPr>
            </w:pPr>
            <w:r w:rsidRPr="00653977">
              <w:rPr>
                <w:sz w:val="22"/>
                <w:szCs w:val="22"/>
                <w:lang w:eastAsia="en-CA"/>
              </w:rPr>
              <w:t>0.026</w:t>
            </w:r>
          </w:p>
        </w:tc>
        <w:tc>
          <w:tcPr>
            <w:tcW w:w="0" w:type="auto"/>
            <w:tcBorders>
              <w:top w:val="nil"/>
              <w:left w:val="nil"/>
              <w:bottom w:val="single" w:sz="4" w:space="0" w:color="auto"/>
              <w:right w:val="single" w:sz="4" w:space="0" w:color="auto"/>
            </w:tcBorders>
            <w:shd w:val="clear" w:color="auto" w:fill="auto"/>
            <w:noWrap/>
            <w:vAlign w:val="center"/>
            <w:hideMark/>
          </w:tcPr>
          <w:p w14:paraId="40FE137B" w14:textId="77777777" w:rsidR="00253427" w:rsidRPr="00653977" w:rsidRDefault="00253427" w:rsidP="00EF0503">
            <w:pPr>
              <w:ind w:right="1144"/>
              <w:jc w:val="right"/>
              <w:rPr>
                <w:sz w:val="22"/>
                <w:szCs w:val="22"/>
                <w:lang w:eastAsia="en-CA"/>
              </w:rPr>
            </w:pPr>
            <w:r w:rsidRPr="00653977">
              <w:rPr>
                <w:sz w:val="22"/>
                <w:szCs w:val="22"/>
                <w:lang w:eastAsia="en-CA"/>
              </w:rPr>
              <w:t>0.038</w:t>
            </w:r>
          </w:p>
        </w:tc>
        <w:tc>
          <w:tcPr>
            <w:tcW w:w="0" w:type="auto"/>
            <w:tcBorders>
              <w:top w:val="nil"/>
              <w:left w:val="nil"/>
              <w:bottom w:val="single" w:sz="4" w:space="0" w:color="auto"/>
              <w:right w:val="single" w:sz="4" w:space="0" w:color="auto"/>
            </w:tcBorders>
            <w:shd w:val="clear" w:color="auto" w:fill="auto"/>
            <w:noWrap/>
            <w:vAlign w:val="center"/>
            <w:hideMark/>
          </w:tcPr>
          <w:p w14:paraId="6E3E2CAC" w14:textId="77777777" w:rsidR="00253427" w:rsidRPr="00653977" w:rsidRDefault="00253427" w:rsidP="00EF0503">
            <w:pPr>
              <w:ind w:right="276"/>
              <w:jc w:val="right"/>
              <w:rPr>
                <w:sz w:val="22"/>
                <w:szCs w:val="22"/>
                <w:lang w:eastAsia="en-CA"/>
              </w:rPr>
            </w:pPr>
            <w:r w:rsidRPr="00653977">
              <w:rPr>
                <w:sz w:val="22"/>
                <w:szCs w:val="22"/>
                <w:lang w:eastAsia="en-CA"/>
              </w:rPr>
              <w:t>904</w:t>
            </w:r>
          </w:p>
        </w:tc>
        <w:tc>
          <w:tcPr>
            <w:tcW w:w="0" w:type="auto"/>
            <w:tcBorders>
              <w:top w:val="nil"/>
              <w:left w:val="nil"/>
              <w:bottom w:val="single" w:sz="4" w:space="0" w:color="auto"/>
              <w:right w:val="single" w:sz="4" w:space="0" w:color="auto"/>
            </w:tcBorders>
            <w:shd w:val="clear" w:color="auto" w:fill="auto"/>
            <w:noWrap/>
            <w:vAlign w:val="center"/>
            <w:hideMark/>
          </w:tcPr>
          <w:p w14:paraId="6244BE44" w14:textId="77777777" w:rsidR="00253427" w:rsidRPr="00653977" w:rsidRDefault="00253427" w:rsidP="00EF0503">
            <w:pPr>
              <w:ind w:right="276"/>
              <w:jc w:val="right"/>
              <w:rPr>
                <w:sz w:val="22"/>
                <w:szCs w:val="22"/>
                <w:lang w:eastAsia="en-CA"/>
              </w:rPr>
            </w:pPr>
            <w:r w:rsidRPr="00653977">
              <w:rPr>
                <w:sz w:val="22"/>
                <w:szCs w:val="22"/>
                <w:lang w:eastAsia="en-CA"/>
              </w:rPr>
              <w:t>959</w:t>
            </w:r>
          </w:p>
        </w:tc>
        <w:tc>
          <w:tcPr>
            <w:tcW w:w="0" w:type="auto"/>
            <w:tcBorders>
              <w:top w:val="nil"/>
              <w:left w:val="nil"/>
              <w:bottom w:val="single" w:sz="4" w:space="0" w:color="auto"/>
              <w:right w:val="single" w:sz="4" w:space="0" w:color="auto"/>
            </w:tcBorders>
            <w:shd w:val="clear" w:color="auto" w:fill="auto"/>
            <w:noWrap/>
            <w:vAlign w:val="center"/>
            <w:hideMark/>
          </w:tcPr>
          <w:p w14:paraId="0244133E" w14:textId="77777777" w:rsidR="00253427" w:rsidRPr="00653977" w:rsidRDefault="00253427" w:rsidP="00EF0503">
            <w:pPr>
              <w:ind w:right="276"/>
              <w:jc w:val="right"/>
              <w:rPr>
                <w:sz w:val="22"/>
                <w:szCs w:val="22"/>
                <w:lang w:eastAsia="en-CA"/>
              </w:rPr>
            </w:pPr>
            <w:r w:rsidRPr="00653977">
              <w:rPr>
                <w:sz w:val="22"/>
                <w:szCs w:val="22"/>
                <w:lang w:eastAsia="en-CA"/>
              </w:rPr>
              <w:t>1 863</w:t>
            </w:r>
          </w:p>
        </w:tc>
      </w:tr>
      <w:tr w:rsidR="00253427" w:rsidRPr="00653977" w14:paraId="58EBBF15"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180D13" w14:textId="77777777" w:rsidR="00253427" w:rsidRPr="00653977" w:rsidRDefault="00253427" w:rsidP="00EF0503">
            <w:pPr>
              <w:rPr>
                <w:sz w:val="22"/>
                <w:szCs w:val="22"/>
                <w:lang w:eastAsia="en-CA"/>
              </w:rPr>
            </w:pPr>
            <w:r w:rsidRPr="00653977">
              <w:rPr>
                <w:sz w:val="22"/>
                <w:szCs w:val="22"/>
                <w:lang w:eastAsia="en-CA"/>
              </w:rPr>
              <w:t>Uganda</w:t>
            </w:r>
          </w:p>
        </w:tc>
        <w:tc>
          <w:tcPr>
            <w:tcW w:w="2288" w:type="dxa"/>
            <w:tcBorders>
              <w:top w:val="nil"/>
              <w:left w:val="nil"/>
              <w:bottom w:val="single" w:sz="4" w:space="0" w:color="auto"/>
              <w:right w:val="single" w:sz="4" w:space="0" w:color="auto"/>
            </w:tcBorders>
            <w:shd w:val="clear" w:color="auto" w:fill="auto"/>
            <w:vAlign w:val="center"/>
            <w:hideMark/>
          </w:tcPr>
          <w:p w14:paraId="2BBA849C" w14:textId="77777777" w:rsidR="00253427" w:rsidRPr="00653977" w:rsidRDefault="00253427" w:rsidP="00EF0503">
            <w:pPr>
              <w:ind w:right="770"/>
              <w:jc w:val="right"/>
              <w:rPr>
                <w:sz w:val="22"/>
                <w:szCs w:val="22"/>
                <w:lang w:eastAsia="en-CA"/>
              </w:rPr>
            </w:pPr>
            <w:r w:rsidRPr="00653977">
              <w:rPr>
                <w:sz w:val="22"/>
                <w:szCs w:val="22"/>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2D7E22D3" w14:textId="77777777" w:rsidR="00253427" w:rsidRPr="00653977" w:rsidRDefault="00253427" w:rsidP="00EF0503">
            <w:pPr>
              <w:ind w:right="1144"/>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B0ABD6F" w14:textId="77777777" w:rsidR="00253427" w:rsidRPr="00653977" w:rsidRDefault="00253427" w:rsidP="00EF0503">
            <w:pPr>
              <w:ind w:right="276"/>
              <w:jc w:val="right"/>
              <w:rPr>
                <w:sz w:val="22"/>
                <w:szCs w:val="22"/>
                <w:lang w:eastAsia="en-CA"/>
              </w:rPr>
            </w:pPr>
            <w:r w:rsidRPr="00653977">
              <w:rPr>
                <w:sz w:val="22"/>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461241C9" w14:textId="77777777" w:rsidR="00253427" w:rsidRPr="00653977" w:rsidRDefault="00253427" w:rsidP="00EF0503">
            <w:pPr>
              <w:ind w:right="276"/>
              <w:jc w:val="right"/>
              <w:rPr>
                <w:sz w:val="22"/>
                <w:szCs w:val="22"/>
                <w:lang w:eastAsia="en-CA"/>
              </w:rPr>
            </w:pPr>
            <w:r w:rsidRPr="00653977">
              <w:rPr>
                <w:sz w:val="22"/>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45729C87" w14:textId="77777777" w:rsidR="00253427" w:rsidRPr="00653977" w:rsidRDefault="00253427" w:rsidP="00EF0503">
            <w:pPr>
              <w:ind w:right="276"/>
              <w:jc w:val="right"/>
              <w:rPr>
                <w:sz w:val="22"/>
                <w:szCs w:val="22"/>
                <w:lang w:eastAsia="en-CA"/>
              </w:rPr>
            </w:pPr>
            <w:r w:rsidRPr="00653977">
              <w:rPr>
                <w:sz w:val="22"/>
                <w:szCs w:val="22"/>
                <w:lang w:eastAsia="en-CA"/>
              </w:rPr>
              <w:t>495</w:t>
            </w:r>
          </w:p>
        </w:tc>
      </w:tr>
      <w:tr w:rsidR="00253427" w:rsidRPr="00653977" w14:paraId="7F5487CA"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0E72E0" w14:textId="77777777" w:rsidR="00253427" w:rsidRPr="00653977" w:rsidRDefault="00253427" w:rsidP="00EF0503">
            <w:pPr>
              <w:rPr>
                <w:sz w:val="22"/>
                <w:szCs w:val="22"/>
                <w:lang w:eastAsia="en-CA"/>
              </w:rPr>
            </w:pPr>
            <w:r w:rsidRPr="00653977">
              <w:rPr>
                <w:sz w:val="22"/>
                <w:szCs w:val="22"/>
                <w:lang w:eastAsia="en-CA"/>
              </w:rPr>
              <w:t>Ukraine</w:t>
            </w:r>
          </w:p>
        </w:tc>
        <w:tc>
          <w:tcPr>
            <w:tcW w:w="2288" w:type="dxa"/>
            <w:tcBorders>
              <w:top w:val="nil"/>
              <w:left w:val="nil"/>
              <w:bottom w:val="single" w:sz="4" w:space="0" w:color="auto"/>
              <w:right w:val="single" w:sz="4" w:space="0" w:color="auto"/>
            </w:tcBorders>
            <w:shd w:val="clear" w:color="auto" w:fill="auto"/>
            <w:vAlign w:val="center"/>
            <w:hideMark/>
          </w:tcPr>
          <w:p w14:paraId="3059EAF2" w14:textId="77777777" w:rsidR="00253427" w:rsidRPr="00653977" w:rsidRDefault="00253427" w:rsidP="00EF0503">
            <w:pPr>
              <w:ind w:right="770"/>
              <w:jc w:val="right"/>
              <w:rPr>
                <w:sz w:val="22"/>
                <w:szCs w:val="22"/>
                <w:lang w:eastAsia="en-CA"/>
              </w:rPr>
            </w:pPr>
            <w:r w:rsidRPr="00653977">
              <w:rPr>
                <w:sz w:val="22"/>
                <w:szCs w:val="22"/>
                <w:lang w:eastAsia="en-CA"/>
              </w:rPr>
              <w:t>0.103</w:t>
            </w:r>
          </w:p>
        </w:tc>
        <w:tc>
          <w:tcPr>
            <w:tcW w:w="0" w:type="auto"/>
            <w:tcBorders>
              <w:top w:val="nil"/>
              <w:left w:val="nil"/>
              <w:bottom w:val="single" w:sz="4" w:space="0" w:color="auto"/>
              <w:right w:val="single" w:sz="4" w:space="0" w:color="auto"/>
            </w:tcBorders>
            <w:shd w:val="clear" w:color="auto" w:fill="auto"/>
            <w:noWrap/>
            <w:vAlign w:val="center"/>
            <w:hideMark/>
          </w:tcPr>
          <w:p w14:paraId="04970B27" w14:textId="77777777" w:rsidR="00253427" w:rsidRPr="00653977" w:rsidRDefault="00253427" w:rsidP="00EF0503">
            <w:pPr>
              <w:ind w:right="1144"/>
              <w:jc w:val="right"/>
              <w:rPr>
                <w:sz w:val="22"/>
                <w:szCs w:val="22"/>
                <w:lang w:eastAsia="en-CA"/>
              </w:rPr>
            </w:pPr>
            <w:r w:rsidRPr="00653977">
              <w:rPr>
                <w:sz w:val="22"/>
                <w:szCs w:val="22"/>
                <w:lang w:eastAsia="en-CA"/>
              </w:rPr>
              <w:t>0.149</w:t>
            </w:r>
          </w:p>
        </w:tc>
        <w:tc>
          <w:tcPr>
            <w:tcW w:w="0" w:type="auto"/>
            <w:tcBorders>
              <w:top w:val="nil"/>
              <w:left w:val="nil"/>
              <w:bottom w:val="single" w:sz="4" w:space="0" w:color="auto"/>
              <w:right w:val="single" w:sz="4" w:space="0" w:color="auto"/>
            </w:tcBorders>
            <w:shd w:val="clear" w:color="auto" w:fill="auto"/>
            <w:noWrap/>
            <w:vAlign w:val="center"/>
            <w:hideMark/>
          </w:tcPr>
          <w:p w14:paraId="3193845A" w14:textId="77777777" w:rsidR="00253427" w:rsidRPr="00653977" w:rsidRDefault="00253427" w:rsidP="00EF0503">
            <w:pPr>
              <w:ind w:right="276"/>
              <w:jc w:val="right"/>
              <w:rPr>
                <w:sz w:val="22"/>
                <w:szCs w:val="22"/>
                <w:lang w:eastAsia="en-CA"/>
              </w:rPr>
            </w:pPr>
            <w:r w:rsidRPr="00653977">
              <w:rPr>
                <w:sz w:val="22"/>
                <w:szCs w:val="22"/>
                <w:lang w:eastAsia="en-CA"/>
              </w:rPr>
              <w:t>3 581</w:t>
            </w:r>
          </w:p>
        </w:tc>
        <w:tc>
          <w:tcPr>
            <w:tcW w:w="0" w:type="auto"/>
            <w:tcBorders>
              <w:top w:val="nil"/>
              <w:left w:val="nil"/>
              <w:bottom w:val="single" w:sz="4" w:space="0" w:color="auto"/>
              <w:right w:val="single" w:sz="4" w:space="0" w:color="auto"/>
            </w:tcBorders>
            <w:shd w:val="clear" w:color="auto" w:fill="auto"/>
            <w:noWrap/>
            <w:vAlign w:val="center"/>
            <w:hideMark/>
          </w:tcPr>
          <w:p w14:paraId="0349387B" w14:textId="77777777" w:rsidR="00253427" w:rsidRPr="00653977" w:rsidRDefault="00253427" w:rsidP="00EF0503">
            <w:pPr>
              <w:ind w:right="276"/>
              <w:jc w:val="right"/>
              <w:rPr>
                <w:sz w:val="22"/>
                <w:szCs w:val="22"/>
                <w:lang w:eastAsia="en-CA"/>
              </w:rPr>
            </w:pPr>
            <w:r w:rsidRPr="00653977">
              <w:rPr>
                <w:sz w:val="22"/>
                <w:szCs w:val="22"/>
                <w:lang w:eastAsia="en-CA"/>
              </w:rPr>
              <w:t>3 798</w:t>
            </w:r>
          </w:p>
        </w:tc>
        <w:tc>
          <w:tcPr>
            <w:tcW w:w="0" w:type="auto"/>
            <w:tcBorders>
              <w:top w:val="nil"/>
              <w:left w:val="nil"/>
              <w:bottom w:val="single" w:sz="4" w:space="0" w:color="auto"/>
              <w:right w:val="single" w:sz="4" w:space="0" w:color="auto"/>
            </w:tcBorders>
            <w:shd w:val="clear" w:color="auto" w:fill="auto"/>
            <w:noWrap/>
            <w:vAlign w:val="center"/>
            <w:hideMark/>
          </w:tcPr>
          <w:p w14:paraId="2B087A9C" w14:textId="77777777" w:rsidR="00253427" w:rsidRPr="00653977" w:rsidRDefault="00253427" w:rsidP="00EF0503">
            <w:pPr>
              <w:ind w:right="276"/>
              <w:jc w:val="right"/>
              <w:rPr>
                <w:sz w:val="22"/>
                <w:szCs w:val="22"/>
                <w:lang w:eastAsia="en-CA"/>
              </w:rPr>
            </w:pPr>
            <w:r w:rsidRPr="00653977">
              <w:rPr>
                <w:sz w:val="22"/>
                <w:szCs w:val="22"/>
                <w:lang w:eastAsia="en-CA"/>
              </w:rPr>
              <w:t>7 379</w:t>
            </w:r>
          </w:p>
        </w:tc>
      </w:tr>
      <w:tr w:rsidR="00253427" w:rsidRPr="00653977" w14:paraId="582828A2"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EA4E69" w14:textId="77777777" w:rsidR="00253427" w:rsidRPr="00653977" w:rsidRDefault="00253427" w:rsidP="00EF0503">
            <w:pPr>
              <w:rPr>
                <w:sz w:val="22"/>
                <w:szCs w:val="22"/>
                <w:lang w:eastAsia="en-CA"/>
              </w:rPr>
            </w:pPr>
            <w:r w:rsidRPr="00653977">
              <w:rPr>
                <w:sz w:val="22"/>
                <w:szCs w:val="22"/>
                <w:lang w:eastAsia="en-CA"/>
              </w:rPr>
              <w:t>United Arab Emirates</w:t>
            </w:r>
          </w:p>
        </w:tc>
        <w:tc>
          <w:tcPr>
            <w:tcW w:w="2288" w:type="dxa"/>
            <w:tcBorders>
              <w:top w:val="nil"/>
              <w:left w:val="nil"/>
              <w:bottom w:val="single" w:sz="4" w:space="0" w:color="auto"/>
              <w:right w:val="single" w:sz="4" w:space="0" w:color="auto"/>
            </w:tcBorders>
            <w:shd w:val="clear" w:color="auto" w:fill="auto"/>
            <w:vAlign w:val="center"/>
            <w:hideMark/>
          </w:tcPr>
          <w:p w14:paraId="7FCF0010" w14:textId="77777777" w:rsidR="00253427" w:rsidRPr="00653977" w:rsidRDefault="00253427" w:rsidP="00EF0503">
            <w:pPr>
              <w:ind w:right="770"/>
              <w:jc w:val="right"/>
              <w:rPr>
                <w:sz w:val="22"/>
                <w:szCs w:val="22"/>
                <w:lang w:eastAsia="en-CA"/>
              </w:rPr>
            </w:pPr>
            <w:r w:rsidRPr="00653977">
              <w:rPr>
                <w:sz w:val="22"/>
                <w:szCs w:val="22"/>
                <w:lang w:eastAsia="en-CA"/>
              </w:rPr>
              <w:t>0.604</w:t>
            </w:r>
          </w:p>
        </w:tc>
        <w:tc>
          <w:tcPr>
            <w:tcW w:w="0" w:type="auto"/>
            <w:tcBorders>
              <w:top w:val="nil"/>
              <w:left w:val="nil"/>
              <w:bottom w:val="single" w:sz="4" w:space="0" w:color="auto"/>
              <w:right w:val="single" w:sz="4" w:space="0" w:color="auto"/>
            </w:tcBorders>
            <w:shd w:val="clear" w:color="auto" w:fill="auto"/>
            <w:noWrap/>
            <w:vAlign w:val="center"/>
            <w:hideMark/>
          </w:tcPr>
          <w:p w14:paraId="4342518F" w14:textId="77777777" w:rsidR="00253427" w:rsidRPr="00653977" w:rsidRDefault="00253427" w:rsidP="00EF0503">
            <w:pPr>
              <w:ind w:right="1144"/>
              <w:jc w:val="right"/>
              <w:rPr>
                <w:sz w:val="22"/>
                <w:szCs w:val="22"/>
                <w:lang w:eastAsia="en-CA"/>
              </w:rPr>
            </w:pPr>
            <w:r w:rsidRPr="00653977">
              <w:rPr>
                <w:sz w:val="22"/>
                <w:szCs w:val="22"/>
                <w:lang w:eastAsia="en-CA"/>
              </w:rPr>
              <w:t>0.875</w:t>
            </w:r>
          </w:p>
        </w:tc>
        <w:tc>
          <w:tcPr>
            <w:tcW w:w="0" w:type="auto"/>
            <w:tcBorders>
              <w:top w:val="nil"/>
              <w:left w:val="nil"/>
              <w:bottom w:val="single" w:sz="4" w:space="0" w:color="auto"/>
              <w:right w:val="single" w:sz="4" w:space="0" w:color="auto"/>
            </w:tcBorders>
            <w:shd w:val="clear" w:color="auto" w:fill="auto"/>
            <w:noWrap/>
            <w:vAlign w:val="center"/>
            <w:hideMark/>
          </w:tcPr>
          <w:p w14:paraId="623FBC94" w14:textId="77777777" w:rsidR="00253427" w:rsidRPr="00653977" w:rsidRDefault="00253427" w:rsidP="00EF0503">
            <w:pPr>
              <w:ind w:right="276"/>
              <w:jc w:val="right"/>
              <w:rPr>
                <w:sz w:val="22"/>
                <w:szCs w:val="22"/>
                <w:lang w:eastAsia="en-CA"/>
              </w:rPr>
            </w:pPr>
            <w:r w:rsidRPr="00653977">
              <w:rPr>
                <w:sz w:val="22"/>
                <w:szCs w:val="22"/>
                <w:lang w:eastAsia="en-CA"/>
              </w:rPr>
              <w:t>21 001</w:t>
            </w:r>
          </w:p>
        </w:tc>
        <w:tc>
          <w:tcPr>
            <w:tcW w:w="0" w:type="auto"/>
            <w:tcBorders>
              <w:top w:val="nil"/>
              <w:left w:val="nil"/>
              <w:bottom w:val="single" w:sz="4" w:space="0" w:color="auto"/>
              <w:right w:val="single" w:sz="4" w:space="0" w:color="auto"/>
            </w:tcBorders>
            <w:shd w:val="clear" w:color="auto" w:fill="auto"/>
            <w:noWrap/>
            <w:vAlign w:val="center"/>
            <w:hideMark/>
          </w:tcPr>
          <w:p w14:paraId="42326D9B" w14:textId="77777777" w:rsidR="00253427" w:rsidRPr="00653977" w:rsidRDefault="00253427" w:rsidP="00EF0503">
            <w:pPr>
              <w:ind w:right="276"/>
              <w:jc w:val="right"/>
              <w:rPr>
                <w:sz w:val="22"/>
                <w:szCs w:val="22"/>
                <w:lang w:eastAsia="en-CA"/>
              </w:rPr>
            </w:pPr>
            <w:r w:rsidRPr="00653977">
              <w:rPr>
                <w:sz w:val="22"/>
                <w:szCs w:val="22"/>
                <w:lang w:eastAsia="en-CA"/>
              </w:rPr>
              <w:t>22 269</w:t>
            </w:r>
          </w:p>
        </w:tc>
        <w:tc>
          <w:tcPr>
            <w:tcW w:w="0" w:type="auto"/>
            <w:tcBorders>
              <w:top w:val="nil"/>
              <w:left w:val="nil"/>
              <w:bottom w:val="single" w:sz="4" w:space="0" w:color="auto"/>
              <w:right w:val="single" w:sz="4" w:space="0" w:color="auto"/>
            </w:tcBorders>
            <w:shd w:val="clear" w:color="auto" w:fill="auto"/>
            <w:noWrap/>
            <w:vAlign w:val="center"/>
            <w:hideMark/>
          </w:tcPr>
          <w:p w14:paraId="23A3A61B" w14:textId="77777777" w:rsidR="00253427" w:rsidRPr="00653977" w:rsidRDefault="00253427" w:rsidP="00EF0503">
            <w:pPr>
              <w:ind w:right="276"/>
              <w:jc w:val="right"/>
              <w:rPr>
                <w:sz w:val="22"/>
                <w:szCs w:val="22"/>
                <w:lang w:eastAsia="en-CA"/>
              </w:rPr>
            </w:pPr>
            <w:r w:rsidRPr="00653977">
              <w:rPr>
                <w:sz w:val="22"/>
                <w:szCs w:val="22"/>
                <w:lang w:eastAsia="en-CA"/>
              </w:rPr>
              <w:t>43 270</w:t>
            </w:r>
          </w:p>
        </w:tc>
      </w:tr>
      <w:tr w:rsidR="00253427" w:rsidRPr="00653977" w14:paraId="4C2C5854"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ABABFD" w14:textId="77777777" w:rsidR="00253427" w:rsidRPr="00653977" w:rsidRDefault="00253427" w:rsidP="00EF0503">
            <w:pPr>
              <w:rPr>
                <w:sz w:val="22"/>
                <w:szCs w:val="22"/>
                <w:lang w:eastAsia="en-CA"/>
              </w:rPr>
            </w:pPr>
            <w:r w:rsidRPr="00653977">
              <w:rPr>
                <w:sz w:val="22"/>
                <w:szCs w:val="22"/>
                <w:lang w:eastAsia="en-CA"/>
              </w:rPr>
              <w:t>United Kingdom of Great Britain and Northern Ireland</w:t>
            </w:r>
          </w:p>
        </w:tc>
        <w:tc>
          <w:tcPr>
            <w:tcW w:w="2288" w:type="dxa"/>
            <w:tcBorders>
              <w:top w:val="nil"/>
              <w:left w:val="nil"/>
              <w:bottom w:val="single" w:sz="4" w:space="0" w:color="auto"/>
              <w:right w:val="single" w:sz="4" w:space="0" w:color="auto"/>
            </w:tcBorders>
            <w:shd w:val="clear" w:color="auto" w:fill="auto"/>
            <w:vAlign w:val="center"/>
            <w:hideMark/>
          </w:tcPr>
          <w:p w14:paraId="2FF1DA49" w14:textId="77777777" w:rsidR="00253427" w:rsidRPr="00653977" w:rsidRDefault="00253427" w:rsidP="00EF0503">
            <w:pPr>
              <w:ind w:right="770"/>
              <w:jc w:val="right"/>
              <w:rPr>
                <w:sz w:val="22"/>
                <w:szCs w:val="22"/>
                <w:lang w:eastAsia="en-CA"/>
              </w:rPr>
            </w:pPr>
            <w:r w:rsidRPr="00653977">
              <w:rPr>
                <w:sz w:val="22"/>
                <w:szCs w:val="22"/>
                <w:lang w:eastAsia="en-CA"/>
              </w:rPr>
              <w:t>4.463</w:t>
            </w:r>
          </w:p>
        </w:tc>
        <w:tc>
          <w:tcPr>
            <w:tcW w:w="0" w:type="auto"/>
            <w:tcBorders>
              <w:top w:val="nil"/>
              <w:left w:val="nil"/>
              <w:bottom w:val="single" w:sz="4" w:space="0" w:color="auto"/>
              <w:right w:val="single" w:sz="4" w:space="0" w:color="auto"/>
            </w:tcBorders>
            <w:shd w:val="clear" w:color="auto" w:fill="auto"/>
            <w:noWrap/>
            <w:vAlign w:val="center"/>
            <w:hideMark/>
          </w:tcPr>
          <w:p w14:paraId="6C4FE009" w14:textId="77777777" w:rsidR="00253427" w:rsidRPr="00653977" w:rsidRDefault="00253427" w:rsidP="00EF0503">
            <w:pPr>
              <w:ind w:right="1144"/>
              <w:jc w:val="right"/>
              <w:rPr>
                <w:sz w:val="22"/>
                <w:szCs w:val="22"/>
                <w:lang w:eastAsia="en-CA"/>
              </w:rPr>
            </w:pPr>
            <w:r w:rsidRPr="00653977">
              <w:rPr>
                <w:sz w:val="22"/>
                <w:szCs w:val="22"/>
                <w:lang w:eastAsia="en-CA"/>
              </w:rPr>
              <w:t>6.462</w:t>
            </w:r>
          </w:p>
        </w:tc>
        <w:tc>
          <w:tcPr>
            <w:tcW w:w="0" w:type="auto"/>
            <w:tcBorders>
              <w:top w:val="nil"/>
              <w:left w:val="nil"/>
              <w:bottom w:val="single" w:sz="4" w:space="0" w:color="auto"/>
              <w:right w:val="single" w:sz="4" w:space="0" w:color="auto"/>
            </w:tcBorders>
            <w:shd w:val="clear" w:color="auto" w:fill="auto"/>
            <w:noWrap/>
            <w:vAlign w:val="center"/>
            <w:hideMark/>
          </w:tcPr>
          <w:p w14:paraId="4F5297FA" w14:textId="77777777" w:rsidR="00253427" w:rsidRPr="00653977" w:rsidRDefault="00253427" w:rsidP="00EF0503">
            <w:pPr>
              <w:ind w:right="276"/>
              <w:jc w:val="right"/>
              <w:rPr>
                <w:sz w:val="22"/>
                <w:szCs w:val="22"/>
                <w:lang w:eastAsia="en-CA"/>
              </w:rPr>
            </w:pPr>
            <w:r w:rsidRPr="00653977">
              <w:rPr>
                <w:sz w:val="22"/>
                <w:szCs w:val="22"/>
                <w:lang w:eastAsia="en-CA"/>
              </w:rPr>
              <w:t>155 174</w:t>
            </w:r>
          </w:p>
        </w:tc>
        <w:tc>
          <w:tcPr>
            <w:tcW w:w="0" w:type="auto"/>
            <w:tcBorders>
              <w:top w:val="nil"/>
              <w:left w:val="nil"/>
              <w:bottom w:val="single" w:sz="4" w:space="0" w:color="auto"/>
              <w:right w:val="single" w:sz="4" w:space="0" w:color="auto"/>
            </w:tcBorders>
            <w:shd w:val="clear" w:color="auto" w:fill="auto"/>
            <w:noWrap/>
            <w:vAlign w:val="center"/>
            <w:hideMark/>
          </w:tcPr>
          <w:p w14:paraId="2E9D4270" w14:textId="77777777" w:rsidR="00253427" w:rsidRPr="00653977" w:rsidRDefault="00253427" w:rsidP="00EF0503">
            <w:pPr>
              <w:ind w:right="276"/>
              <w:jc w:val="right"/>
              <w:rPr>
                <w:sz w:val="22"/>
                <w:szCs w:val="22"/>
                <w:lang w:eastAsia="en-CA"/>
              </w:rPr>
            </w:pPr>
            <w:r w:rsidRPr="00653977">
              <w:rPr>
                <w:sz w:val="22"/>
                <w:szCs w:val="22"/>
                <w:lang w:eastAsia="en-CA"/>
              </w:rPr>
              <w:t>164 548</w:t>
            </w:r>
          </w:p>
        </w:tc>
        <w:tc>
          <w:tcPr>
            <w:tcW w:w="0" w:type="auto"/>
            <w:tcBorders>
              <w:top w:val="nil"/>
              <w:left w:val="nil"/>
              <w:bottom w:val="single" w:sz="4" w:space="0" w:color="auto"/>
              <w:right w:val="single" w:sz="4" w:space="0" w:color="auto"/>
            </w:tcBorders>
            <w:shd w:val="clear" w:color="auto" w:fill="auto"/>
            <w:noWrap/>
            <w:vAlign w:val="center"/>
            <w:hideMark/>
          </w:tcPr>
          <w:p w14:paraId="620A9CC0" w14:textId="77777777" w:rsidR="00253427" w:rsidRPr="00653977" w:rsidRDefault="00253427" w:rsidP="00EF0503">
            <w:pPr>
              <w:ind w:right="276"/>
              <w:jc w:val="right"/>
              <w:rPr>
                <w:sz w:val="22"/>
                <w:szCs w:val="22"/>
                <w:lang w:eastAsia="en-CA"/>
              </w:rPr>
            </w:pPr>
            <w:r w:rsidRPr="00653977">
              <w:rPr>
                <w:sz w:val="22"/>
                <w:szCs w:val="22"/>
                <w:lang w:eastAsia="en-CA"/>
              </w:rPr>
              <w:t>319 722</w:t>
            </w:r>
          </w:p>
        </w:tc>
      </w:tr>
      <w:tr w:rsidR="00253427" w:rsidRPr="00653977" w14:paraId="208F564C"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455B8A" w14:textId="77777777" w:rsidR="00253427" w:rsidRPr="00653977" w:rsidRDefault="00253427" w:rsidP="00EF0503">
            <w:pPr>
              <w:rPr>
                <w:sz w:val="22"/>
                <w:szCs w:val="22"/>
                <w:lang w:eastAsia="en-CA"/>
              </w:rPr>
            </w:pPr>
            <w:r w:rsidRPr="00653977">
              <w:rPr>
                <w:sz w:val="22"/>
                <w:szCs w:val="22"/>
                <w:lang w:eastAsia="en-CA"/>
              </w:rPr>
              <w:t>United Republic of Tanzania</w:t>
            </w:r>
          </w:p>
        </w:tc>
        <w:tc>
          <w:tcPr>
            <w:tcW w:w="2288" w:type="dxa"/>
            <w:tcBorders>
              <w:top w:val="nil"/>
              <w:left w:val="nil"/>
              <w:bottom w:val="single" w:sz="4" w:space="0" w:color="auto"/>
              <w:right w:val="single" w:sz="4" w:space="0" w:color="auto"/>
            </w:tcBorders>
            <w:shd w:val="clear" w:color="auto" w:fill="auto"/>
            <w:vAlign w:val="center"/>
            <w:hideMark/>
          </w:tcPr>
          <w:p w14:paraId="6BD5B2D8" w14:textId="77777777" w:rsidR="00253427" w:rsidRPr="00653977" w:rsidRDefault="00253427" w:rsidP="00EF0503">
            <w:pPr>
              <w:ind w:right="770"/>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003AF006" w14:textId="77777777" w:rsidR="00253427" w:rsidRPr="00653977" w:rsidRDefault="00253427" w:rsidP="00EF0503">
            <w:pPr>
              <w:ind w:right="1144"/>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7016CADA" w14:textId="77777777" w:rsidR="00253427" w:rsidRPr="00653977" w:rsidRDefault="00253427" w:rsidP="00EF0503">
            <w:pPr>
              <w:ind w:right="276"/>
              <w:jc w:val="right"/>
              <w:rPr>
                <w:sz w:val="22"/>
                <w:szCs w:val="22"/>
                <w:lang w:eastAsia="en-CA"/>
              </w:rPr>
            </w:pPr>
            <w:r w:rsidRPr="00653977">
              <w:rPr>
                <w:sz w:val="22"/>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357101A3" w14:textId="77777777" w:rsidR="00253427" w:rsidRPr="00653977" w:rsidRDefault="00253427" w:rsidP="00EF0503">
            <w:pPr>
              <w:ind w:right="276"/>
              <w:jc w:val="right"/>
              <w:rPr>
                <w:sz w:val="22"/>
                <w:szCs w:val="22"/>
                <w:lang w:eastAsia="en-CA"/>
              </w:rPr>
            </w:pPr>
            <w:r w:rsidRPr="00653977">
              <w:rPr>
                <w:sz w:val="22"/>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4B58966B" w14:textId="77777777" w:rsidR="00253427" w:rsidRPr="00653977" w:rsidRDefault="00253427" w:rsidP="00EF0503">
            <w:pPr>
              <w:ind w:right="276"/>
              <w:jc w:val="right"/>
              <w:rPr>
                <w:sz w:val="22"/>
                <w:szCs w:val="22"/>
                <w:lang w:eastAsia="en-CA"/>
              </w:rPr>
            </w:pPr>
            <w:r w:rsidRPr="00653977">
              <w:rPr>
                <w:sz w:val="22"/>
                <w:szCs w:val="22"/>
                <w:lang w:eastAsia="en-CA"/>
              </w:rPr>
              <w:t>495</w:t>
            </w:r>
          </w:p>
        </w:tc>
      </w:tr>
      <w:tr w:rsidR="00253427" w:rsidRPr="00653977" w14:paraId="0408622E"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EE69C4" w14:textId="77777777" w:rsidR="00253427" w:rsidRPr="00653977" w:rsidRDefault="00253427" w:rsidP="00EF0503">
            <w:pPr>
              <w:rPr>
                <w:sz w:val="22"/>
                <w:szCs w:val="22"/>
                <w:lang w:eastAsia="en-CA"/>
              </w:rPr>
            </w:pPr>
            <w:r w:rsidRPr="00653977">
              <w:rPr>
                <w:sz w:val="22"/>
                <w:szCs w:val="22"/>
                <w:lang w:eastAsia="en-CA"/>
              </w:rPr>
              <w:t>Uruguay</w:t>
            </w:r>
          </w:p>
        </w:tc>
        <w:tc>
          <w:tcPr>
            <w:tcW w:w="2288" w:type="dxa"/>
            <w:tcBorders>
              <w:top w:val="nil"/>
              <w:left w:val="nil"/>
              <w:bottom w:val="single" w:sz="4" w:space="0" w:color="auto"/>
              <w:right w:val="single" w:sz="4" w:space="0" w:color="auto"/>
            </w:tcBorders>
            <w:shd w:val="clear" w:color="auto" w:fill="auto"/>
            <w:vAlign w:val="center"/>
            <w:hideMark/>
          </w:tcPr>
          <w:p w14:paraId="165C5AF9" w14:textId="77777777" w:rsidR="00253427" w:rsidRPr="00653977" w:rsidRDefault="00253427" w:rsidP="00EF0503">
            <w:pPr>
              <w:ind w:right="770"/>
              <w:jc w:val="right"/>
              <w:rPr>
                <w:sz w:val="22"/>
                <w:szCs w:val="22"/>
                <w:lang w:eastAsia="en-CA"/>
              </w:rPr>
            </w:pPr>
            <w:r w:rsidRPr="00653977">
              <w:rPr>
                <w:sz w:val="22"/>
                <w:szCs w:val="22"/>
                <w:lang w:eastAsia="en-CA"/>
              </w:rPr>
              <w:t>0.079</w:t>
            </w:r>
          </w:p>
        </w:tc>
        <w:tc>
          <w:tcPr>
            <w:tcW w:w="0" w:type="auto"/>
            <w:tcBorders>
              <w:top w:val="nil"/>
              <w:left w:val="nil"/>
              <w:bottom w:val="single" w:sz="4" w:space="0" w:color="auto"/>
              <w:right w:val="single" w:sz="4" w:space="0" w:color="auto"/>
            </w:tcBorders>
            <w:shd w:val="clear" w:color="auto" w:fill="auto"/>
            <w:noWrap/>
            <w:vAlign w:val="center"/>
            <w:hideMark/>
          </w:tcPr>
          <w:p w14:paraId="701AC2F8" w14:textId="77777777" w:rsidR="00253427" w:rsidRPr="00653977" w:rsidRDefault="00253427" w:rsidP="00EF0503">
            <w:pPr>
              <w:ind w:right="1144"/>
              <w:jc w:val="right"/>
              <w:rPr>
                <w:sz w:val="22"/>
                <w:szCs w:val="22"/>
                <w:lang w:eastAsia="en-CA"/>
              </w:rPr>
            </w:pPr>
            <w:r w:rsidRPr="00653977">
              <w:rPr>
                <w:sz w:val="22"/>
                <w:szCs w:val="22"/>
                <w:lang w:eastAsia="en-CA"/>
              </w:rPr>
              <w:t>0.114</w:t>
            </w:r>
          </w:p>
        </w:tc>
        <w:tc>
          <w:tcPr>
            <w:tcW w:w="0" w:type="auto"/>
            <w:tcBorders>
              <w:top w:val="nil"/>
              <w:left w:val="nil"/>
              <w:bottom w:val="single" w:sz="4" w:space="0" w:color="auto"/>
              <w:right w:val="single" w:sz="4" w:space="0" w:color="auto"/>
            </w:tcBorders>
            <w:shd w:val="clear" w:color="auto" w:fill="auto"/>
            <w:noWrap/>
            <w:vAlign w:val="center"/>
            <w:hideMark/>
          </w:tcPr>
          <w:p w14:paraId="4DB68CFE" w14:textId="77777777" w:rsidR="00253427" w:rsidRPr="00653977" w:rsidRDefault="00253427" w:rsidP="00EF0503">
            <w:pPr>
              <w:ind w:right="276"/>
              <w:jc w:val="right"/>
              <w:rPr>
                <w:sz w:val="22"/>
                <w:szCs w:val="22"/>
                <w:lang w:eastAsia="en-CA"/>
              </w:rPr>
            </w:pPr>
            <w:r w:rsidRPr="00653977">
              <w:rPr>
                <w:sz w:val="22"/>
                <w:szCs w:val="22"/>
                <w:lang w:eastAsia="en-CA"/>
              </w:rPr>
              <w:t>2 747</w:t>
            </w:r>
          </w:p>
        </w:tc>
        <w:tc>
          <w:tcPr>
            <w:tcW w:w="0" w:type="auto"/>
            <w:tcBorders>
              <w:top w:val="nil"/>
              <w:left w:val="nil"/>
              <w:bottom w:val="single" w:sz="4" w:space="0" w:color="auto"/>
              <w:right w:val="single" w:sz="4" w:space="0" w:color="auto"/>
            </w:tcBorders>
            <w:shd w:val="clear" w:color="auto" w:fill="auto"/>
            <w:noWrap/>
            <w:vAlign w:val="center"/>
            <w:hideMark/>
          </w:tcPr>
          <w:p w14:paraId="6F4BD180" w14:textId="77777777" w:rsidR="00253427" w:rsidRPr="00653977" w:rsidRDefault="00253427" w:rsidP="00EF0503">
            <w:pPr>
              <w:ind w:right="276"/>
              <w:jc w:val="right"/>
              <w:rPr>
                <w:sz w:val="22"/>
                <w:szCs w:val="22"/>
                <w:lang w:eastAsia="en-CA"/>
              </w:rPr>
            </w:pPr>
            <w:r w:rsidRPr="00653977">
              <w:rPr>
                <w:sz w:val="22"/>
                <w:szCs w:val="22"/>
                <w:lang w:eastAsia="en-CA"/>
              </w:rPr>
              <w:t>2 913</w:t>
            </w:r>
          </w:p>
        </w:tc>
        <w:tc>
          <w:tcPr>
            <w:tcW w:w="0" w:type="auto"/>
            <w:tcBorders>
              <w:top w:val="nil"/>
              <w:left w:val="nil"/>
              <w:bottom w:val="single" w:sz="4" w:space="0" w:color="auto"/>
              <w:right w:val="single" w:sz="4" w:space="0" w:color="auto"/>
            </w:tcBorders>
            <w:shd w:val="clear" w:color="auto" w:fill="auto"/>
            <w:noWrap/>
            <w:vAlign w:val="center"/>
            <w:hideMark/>
          </w:tcPr>
          <w:p w14:paraId="4AB1048D" w14:textId="77777777" w:rsidR="00253427" w:rsidRPr="00653977" w:rsidRDefault="00253427" w:rsidP="00EF0503">
            <w:pPr>
              <w:ind w:right="276"/>
              <w:jc w:val="right"/>
              <w:rPr>
                <w:sz w:val="22"/>
                <w:szCs w:val="22"/>
                <w:lang w:eastAsia="en-CA"/>
              </w:rPr>
            </w:pPr>
            <w:r w:rsidRPr="00653977">
              <w:rPr>
                <w:sz w:val="22"/>
                <w:szCs w:val="22"/>
                <w:lang w:eastAsia="en-CA"/>
              </w:rPr>
              <w:t>5 659</w:t>
            </w:r>
          </w:p>
        </w:tc>
      </w:tr>
      <w:tr w:rsidR="00253427" w:rsidRPr="00653977" w14:paraId="725F0AF1"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AB20BA" w14:textId="77777777" w:rsidR="00253427" w:rsidRPr="00653977" w:rsidRDefault="00253427" w:rsidP="00EF0503">
            <w:pPr>
              <w:rPr>
                <w:sz w:val="22"/>
                <w:szCs w:val="22"/>
                <w:lang w:eastAsia="en-CA"/>
              </w:rPr>
            </w:pPr>
            <w:r w:rsidRPr="00653977">
              <w:rPr>
                <w:sz w:val="22"/>
                <w:szCs w:val="22"/>
                <w:lang w:eastAsia="en-CA"/>
              </w:rPr>
              <w:t>Venezuela (Bolivarian Republic of)</w:t>
            </w:r>
          </w:p>
        </w:tc>
        <w:tc>
          <w:tcPr>
            <w:tcW w:w="2288" w:type="dxa"/>
            <w:tcBorders>
              <w:top w:val="nil"/>
              <w:left w:val="nil"/>
              <w:bottom w:val="single" w:sz="4" w:space="0" w:color="auto"/>
              <w:right w:val="single" w:sz="4" w:space="0" w:color="auto"/>
            </w:tcBorders>
            <w:shd w:val="clear" w:color="auto" w:fill="auto"/>
            <w:vAlign w:val="center"/>
            <w:hideMark/>
          </w:tcPr>
          <w:p w14:paraId="50136B3E" w14:textId="77777777" w:rsidR="00253427" w:rsidRPr="00653977" w:rsidRDefault="00253427" w:rsidP="00EF0503">
            <w:pPr>
              <w:ind w:right="770"/>
              <w:jc w:val="right"/>
              <w:rPr>
                <w:sz w:val="22"/>
                <w:szCs w:val="22"/>
                <w:lang w:eastAsia="en-CA"/>
              </w:rPr>
            </w:pPr>
            <w:r w:rsidRPr="00653977">
              <w:rPr>
                <w:sz w:val="22"/>
                <w:szCs w:val="22"/>
                <w:lang w:eastAsia="en-CA"/>
              </w:rPr>
              <w:t>0.571</w:t>
            </w:r>
          </w:p>
        </w:tc>
        <w:tc>
          <w:tcPr>
            <w:tcW w:w="0" w:type="auto"/>
            <w:tcBorders>
              <w:top w:val="nil"/>
              <w:left w:val="nil"/>
              <w:bottom w:val="single" w:sz="4" w:space="0" w:color="auto"/>
              <w:right w:val="single" w:sz="4" w:space="0" w:color="auto"/>
            </w:tcBorders>
            <w:shd w:val="clear" w:color="auto" w:fill="auto"/>
            <w:noWrap/>
            <w:vAlign w:val="center"/>
            <w:hideMark/>
          </w:tcPr>
          <w:p w14:paraId="1406040A" w14:textId="77777777" w:rsidR="00253427" w:rsidRPr="00653977" w:rsidRDefault="00253427" w:rsidP="00EF0503">
            <w:pPr>
              <w:ind w:right="1144"/>
              <w:jc w:val="right"/>
              <w:rPr>
                <w:sz w:val="22"/>
                <w:szCs w:val="22"/>
                <w:lang w:eastAsia="en-CA"/>
              </w:rPr>
            </w:pPr>
            <w:r w:rsidRPr="00653977">
              <w:rPr>
                <w:sz w:val="22"/>
                <w:szCs w:val="22"/>
                <w:lang w:eastAsia="en-CA"/>
              </w:rPr>
              <w:t>0.827</w:t>
            </w:r>
          </w:p>
        </w:tc>
        <w:tc>
          <w:tcPr>
            <w:tcW w:w="0" w:type="auto"/>
            <w:tcBorders>
              <w:top w:val="nil"/>
              <w:left w:val="nil"/>
              <w:bottom w:val="single" w:sz="4" w:space="0" w:color="auto"/>
              <w:right w:val="single" w:sz="4" w:space="0" w:color="auto"/>
            </w:tcBorders>
            <w:shd w:val="clear" w:color="auto" w:fill="auto"/>
            <w:noWrap/>
            <w:vAlign w:val="center"/>
            <w:hideMark/>
          </w:tcPr>
          <w:p w14:paraId="45D5B74B" w14:textId="77777777" w:rsidR="00253427" w:rsidRPr="00653977" w:rsidRDefault="00253427" w:rsidP="00EF0503">
            <w:pPr>
              <w:ind w:right="276"/>
              <w:jc w:val="right"/>
              <w:rPr>
                <w:sz w:val="22"/>
                <w:szCs w:val="22"/>
                <w:lang w:eastAsia="en-CA"/>
              </w:rPr>
            </w:pPr>
            <w:r w:rsidRPr="00653977">
              <w:rPr>
                <w:sz w:val="22"/>
                <w:szCs w:val="22"/>
                <w:lang w:eastAsia="en-CA"/>
              </w:rPr>
              <w:t>19 853</w:t>
            </w:r>
          </w:p>
        </w:tc>
        <w:tc>
          <w:tcPr>
            <w:tcW w:w="0" w:type="auto"/>
            <w:tcBorders>
              <w:top w:val="nil"/>
              <w:left w:val="nil"/>
              <w:bottom w:val="single" w:sz="4" w:space="0" w:color="auto"/>
              <w:right w:val="single" w:sz="4" w:space="0" w:color="auto"/>
            </w:tcBorders>
            <w:shd w:val="clear" w:color="auto" w:fill="auto"/>
            <w:noWrap/>
            <w:vAlign w:val="center"/>
            <w:hideMark/>
          </w:tcPr>
          <w:p w14:paraId="32E592E9" w14:textId="77777777" w:rsidR="00253427" w:rsidRPr="00653977" w:rsidRDefault="00253427" w:rsidP="00EF0503">
            <w:pPr>
              <w:ind w:right="276"/>
              <w:jc w:val="right"/>
              <w:rPr>
                <w:sz w:val="22"/>
                <w:szCs w:val="22"/>
                <w:lang w:eastAsia="en-CA"/>
              </w:rPr>
            </w:pPr>
            <w:r w:rsidRPr="00653977">
              <w:rPr>
                <w:sz w:val="22"/>
                <w:szCs w:val="22"/>
                <w:lang w:eastAsia="en-CA"/>
              </w:rPr>
              <w:t>21 052</w:t>
            </w:r>
          </w:p>
        </w:tc>
        <w:tc>
          <w:tcPr>
            <w:tcW w:w="0" w:type="auto"/>
            <w:tcBorders>
              <w:top w:val="nil"/>
              <w:left w:val="nil"/>
              <w:bottom w:val="single" w:sz="4" w:space="0" w:color="auto"/>
              <w:right w:val="single" w:sz="4" w:space="0" w:color="auto"/>
            </w:tcBorders>
            <w:shd w:val="clear" w:color="auto" w:fill="auto"/>
            <w:noWrap/>
            <w:vAlign w:val="center"/>
            <w:hideMark/>
          </w:tcPr>
          <w:p w14:paraId="2C41C63E" w14:textId="77777777" w:rsidR="00253427" w:rsidRPr="00653977" w:rsidRDefault="00253427" w:rsidP="00EF0503">
            <w:pPr>
              <w:ind w:right="276"/>
              <w:jc w:val="right"/>
              <w:rPr>
                <w:sz w:val="22"/>
                <w:szCs w:val="22"/>
                <w:lang w:eastAsia="en-CA"/>
              </w:rPr>
            </w:pPr>
            <w:r w:rsidRPr="00653977">
              <w:rPr>
                <w:sz w:val="22"/>
                <w:szCs w:val="22"/>
                <w:lang w:eastAsia="en-CA"/>
              </w:rPr>
              <w:t>40 906</w:t>
            </w:r>
          </w:p>
        </w:tc>
      </w:tr>
      <w:tr w:rsidR="00253427" w:rsidRPr="00653977" w14:paraId="673DC58D"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33B843" w14:textId="77777777" w:rsidR="00253427" w:rsidRPr="00653977" w:rsidRDefault="00253427" w:rsidP="00EF0503">
            <w:pPr>
              <w:rPr>
                <w:sz w:val="22"/>
                <w:szCs w:val="22"/>
                <w:lang w:eastAsia="en-CA"/>
              </w:rPr>
            </w:pPr>
            <w:r w:rsidRPr="00653977">
              <w:rPr>
                <w:sz w:val="22"/>
                <w:szCs w:val="22"/>
                <w:lang w:eastAsia="en-CA"/>
              </w:rPr>
              <w:t>Viet Nam</w:t>
            </w:r>
          </w:p>
        </w:tc>
        <w:tc>
          <w:tcPr>
            <w:tcW w:w="2288" w:type="dxa"/>
            <w:tcBorders>
              <w:top w:val="nil"/>
              <w:left w:val="nil"/>
              <w:bottom w:val="single" w:sz="4" w:space="0" w:color="auto"/>
              <w:right w:val="single" w:sz="4" w:space="0" w:color="auto"/>
            </w:tcBorders>
            <w:shd w:val="clear" w:color="auto" w:fill="auto"/>
            <w:vAlign w:val="center"/>
            <w:hideMark/>
          </w:tcPr>
          <w:p w14:paraId="3230ADCB" w14:textId="77777777" w:rsidR="00253427" w:rsidRPr="00653977" w:rsidRDefault="00253427" w:rsidP="00EF0503">
            <w:pPr>
              <w:ind w:right="770"/>
              <w:jc w:val="right"/>
              <w:rPr>
                <w:sz w:val="22"/>
                <w:szCs w:val="22"/>
                <w:lang w:eastAsia="en-CA"/>
              </w:rPr>
            </w:pPr>
            <w:r w:rsidRPr="00653977">
              <w:rPr>
                <w:sz w:val="22"/>
                <w:szCs w:val="22"/>
                <w:lang w:eastAsia="en-CA"/>
              </w:rPr>
              <w:t>0.058</w:t>
            </w:r>
          </w:p>
        </w:tc>
        <w:tc>
          <w:tcPr>
            <w:tcW w:w="0" w:type="auto"/>
            <w:tcBorders>
              <w:top w:val="nil"/>
              <w:left w:val="nil"/>
              <w:bottom w:val="single" w:sz="4" w:space="0" w:color="auto"/>
              <w:right w:val="single" w:sz="4" w:space="0" w:color="auto"/>
            </w:tcBorders>
            <w:shd w:val="clear" w:color="auto" w:fill="auto"/>
            <w:noWrap/>
            <w:vAlign w:val="center"/>
            <w:hideMark/>
          </w:tcPr>
          <w:p w14:paraId="10881B37" w14:textId="77777777" w:rsidR="00253427" w:rsidRPr="00653977" w:rsidRDefault="00253427" w:rsidP="00EF0503">
            <w:pPr>
              <w:ind w:right="1144"/>
              <w:jc w:val="right"/>
              <w:rPr>
                <w:sz w:val="22"/>
                <w:szCs w:val="22"/>
                <w:lang w:eastAsia="en-CA"/>
              </w:rPr>
            </w:pPr>
            <w:r w:rsidRPr="00653977">
              <w:rPr>
                <w:sz w:val="22"/>
                <w:szCs w:val="22"/>
                <w:lang w:eastAsia="en-CA"/>
              </w:rPr>
              <w:t>0.084</w:t>
            </w:r>
          </w:p>
        </w:tc>
        <w:tc>
          <w:tcPr>
            <w:tcW w:w="0" w:type="auto"/>
            <w:tcBorders>
              <w:top w:val="nil"/>
              <w:left w:val="nil"/>
              <w:bottom w:val="single" w:sz="4" w:space="0" w:color="auto"/>
              <w:right w:val="single" w:sz="4" w:space="0" w:color="auto"/>
            </w:tcBorders>
            <w:shd w:val="clear" w:color="auto" w:fill="auto"/>
            <w:noWrap/>
            <w:vAlign w:val="center"/>
            <w:hideMark/>
          </w:tcPr>
          <w:p w14:paraId="5088D7FC" w14:textId="77777777" w:rsidR="00253427" w:rsidRPr="00653977" w:rsidRDefault="00253427" w:rsidP="00EF0503">
            <w:pPr>
              <w:ind w:right="276"/>
              <w:jc w:val="right"/>
              <w:rPr>
                <w:sz w:val="22"/>
                <w:szCs w:val="22"/>
                <w:lang w:eastAsia="en-CA"/>
              </w:rPr>
            </w:pPr>
            <w:r w:rsidRPr="00653977">
              <w:rPr>
                <w:sz w:val="22"/>
                <w:szCs w:val="22"/>
                <w:lang w:eastAsia="en-CA"/>
              </w:rPr>
              <w:t>2 017</w:t>
            </w:r>
          </w:p>
        </w:tc>
        <w:tc>
          <w:tcPr>
            <w:tcW w:w="0" w:type="auto"/>
            <w:tcBorders>
              <w:top w:val="nil"/>
              <w:left w:val="nil"/>
              <w:bottom w:val="single" w:sz="4" w:space="0" w:color="auto"/>
              <w:right w:val="single" w:sz="4" w:space="0" w:color="auto"/>
            </w:tcBorders>
            <w:shd w:val="clear" w:color="auto" w:fill="auto"/>
            <w:noWrap/>
            <w:vAlign w:val="center"/>
            <w:hideMark/>
          </w:tcPr>
          <w:p w14:paraId="2CD2B192" w14:textId="77777777" w:rsidR="00253427" w:rsidRPr="00653977" w:rsidRDefault="00253427" w:rsidP="00EF0503">
            <w:pPr>
              <w:ind w:right="276"/>
              <w:jc w:val="right"/>
              <w:rPr>
                <w:sz w:val="22"/>
                <w:szCs w:val="22"/>
                <w:lang w:eastAsia="en-CA"/>
              </w:rPr>
            </w:pPr>
            <w:r w:rsidRPr="00653977">
              <w:rPr>
                <w:sz w:val="22"/>
                <w:szCs w:val="22"/>
                <w:lang w:eastAsia="en-CA"/>
              </w:rPr>
              <w:t>2 138</w:t>
            </w:r>
          </w:p>
        </w:tc>
        <w:tc>
          <w:tcPr>
            <w:tcW w:w="0" w:type="auto"/>
            <w:tcBorders>
              <w:top w:val="nil"/>
              <w:left w:val="nil"/>
              <w:bottom w:val="single" w:sz="4" w:space="0" w:color="auto"/>
              <w:right w:val="single" w:sz="4" w:space="0" w:color="auto"/>
            </w:tcBorders>
            <w:shd w:val="clear" w:color="auto" w:fill="auto"/>
            <w:noWrap/>
            <w:vAlign w:val="center"/>
            <w:hideMark/>
          </w:tcPr>
          <w:p w14:paraId="29F2EB68" w14:textId="77777777" w:rsidR="00253427" w:rsidRPr="00653977" w:rsidRDefault="00253427" w:rsidP="00EF0503">
            <w:pPr>
              <w:ind w:right="276"/>
              <w:jc w:val="right"/>
              <w:rPr>
                <w:sz w:val="22"/>
                <w:szCs w:val="22"/>
                <w:lang w:eastAsia="en-CA"/>
              </w:rPr>
            </w:pPr>
            <w:r w:rsidRPr="00653977">
              <w:rPr>
                <w:sz w:val="22"/>
                <w:szCs w:val="22"/>
                <w:lang w:eastAsia="en-CA"/>
              </w:rPr>
              <w:t>4 155</w:t>
            </w:r>
          </w:p>
        </w:tc>
      </w:tr>
      <w:tr w:rsidR="00253427" w:rsidRPr="00653977" w14:paraId="30DC75C1"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D0AB15" w14:textId="77777777" w:rsidR="00253427" w:rsidRPr="00653977" w:rsidRDefault="00253427" w:rsidP="00EF0503">
            <w:pPr>
              <w:rPr>
                <w:sz w:val="22"/>
                <w:szCs w:val="22"/>
                <w:lang w:eastAsia="en-CA"/>
              </w:rPr>
            </w:pPr>
            <w:r w:rsidRPr="00653977">
              <w:rPr>
                <w:sz w:val="22"/>
                <w:szCs w:val="22"/>
                <w:lang w:eastAsia="en-CA"/>
              </w:rPr>
              <w:t>Yemen</w:t>
            </w:r>
          </w:p>
        </w:tc>
        <w:tc>
          <w:tcPr>
            <w:tcW w:w="2288" w:type="dxa"/>
            <w:tcBorders>
              <w:top w:val="nil"/>
              <w:left w:val="nil"/>
              <w:bottom w:val="single" w:sz="4" w:space="0" w:color="auto"/>
              <w:right w:val="single" w:sz="4" w:space="0" w:color="auto"/>
            </w:tcBorders>
            <w:shd w:val="clear" w:color="auto" w:fill="auto"/>
            <w:vAlign w:val="center"/>
            <w:hideMark/>
          </w:tcPr>
          <w:p w14:paraId="2B401DF2" w14:textId="77777777" w:rsidR="00253427" w:rsidRPr="00653977" w:rsidRDefault="00253427" w:rsidP="00EF0503">
            <w:pPr>
              <w:ind w:right="770"/>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5C9942B" w14:textId="77777777" w:rsidR="00253427" w:rsidRPr="00653977" w:rsidRDefault="00253427" w:rsidP="00EF0503">
            <w:pPr>
              <w:ind w:right="1144"/>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1462BDC" w14:textId="77777777" w:rsidR="00253427" w:rsidRPr="00653977" w:rsidRDefault="00253427" w:rsidP="00EF0503">
            <w:pPr>
              <w:ind w:right="276"/>
              <w:jc w:val="right"/>
              <w:rPr>
                <w:sz w:val="22"/>
                <w:szCs w:val="22"/>
                <w:lang w:eastAsia="en-CA"/>
              </w:rPr>
            </w:pPr>
            <w:r w:rsidRPr="00653977">
              <w:rPr>
                <w:sz w:val="22"/>
                <w:szCs w:val="22"/>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6C0D6286" w14:textId="77777777" w:rsidR="00253427" w:rsidRPr="00653977" w:rsidRDefault="00253427" w:rsidP="00EF0503">
            <w:pPr>
              <w:ind w:right="276"/>
              <w:jc w:val="right"/>
              <w:rPr>
                <w:sz w:val="22"/>
                <w:szCs w:val="22"/>
                <w:lang w:eastAsia="en-CA"/>
              </w:rPr>
            </w:pPr>
            <w:r w:rsidRPr="00653977">
              <w:rPr>
                <w:sz w:val="22"/>
                <w:szCs w:val="22"/>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58899315" w14:textId="77777777" w:rsidR="00253427" w:rsidRPr="00653977" w:rsidRDefault="00253427" w:rsidP="00EF0503">
            <w:pPr>
              <w:ind w:right="276"/>
              <w:jc w:val="right"/>
              <w:rPr>
                <w:sz w:val="22"/>
                <w:szCs w:val="22"/>
                <w:lang w:eastAsia="en-CA"/>
              </w:rPr>
            </w:pPr>
            <w:r w:rsidRPr="00653977">
              <w:rPr>
                <w:sz w:val="22"/>
                <w:szCs w:val="22"/>
                <w:lang w:eastAsia="en-CA"/>
              </w:rPr>
              <w:t>495</w:t>
            </w:r>
          </w:p>
        </w:tc>
      </w:tr>
      <w:tr w:rsidR="00253427" w:rsidRPr="00653977" w14:paraId="24216991"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9E40E3" w14:textId="77777777" w:rsidR="00253427" w:rsidRPr="00653977" w:rsidRDefault="00253427" w:rsidP="00EF0503">
            <w:pPr>
              <w:rPr>
                <w:sz w:val="22"/>
                <w:szCs w:val="22"/>
                <w:lang w:eastAsia="en-CA"/>
              </w:rPr>
            </w:pPr>
            <w:r w:rsidRPr="00653977">
              <w:rPr>
                <w:sz w:val="22"/>
                <w:szCs w:val="22"/>
                <w:lang w:eastAsia="en-CA"/>
              </w:rPr>
              <w:t>Zambia</w:t>
            </w:r>
          </w:p>
        </w:tc>
        <w:tc>
          <w:tcPr>
            <w:tcW w:w="2288" w:type="dxa"/>
            <w:tcBorders>
              <w:top w:val="nil"/>
              <w:left w:val="nil"/>
              <w:bottom w:val="single" w:sz="4" w:space="0" w:color="auto"/>
              <w:right w:val="single" w:sz="4" w:space="0" w:color="auto"/>
            </w:tcBorders>
            <w:shd w:val="clear" w:color="auto" w:fill="auto"/>
            <w:vAlign w:val="center"/>
            <w:hideMark/>
          </w:tcPr>
          <w:p w14:paraId="162BFACA" w14:textId="77777777" w:rsidR="00253427" w:rsidRPr="00653977" w:rsidRDefault="00253427" w:rsidP="00EF0503">
            <w:pPr>
              <w:ind w:right="770"/>
              <w:jc w:val="right"/>
              <w:rPr>
                <w:sz w:val="22"/>
                <w:szCs w:val="22"/>
                <w:lang w:eastAsia="en-CA"/>
              </w:rPr>
            </w:pPr>
            <w:r w:rsidRPr="00653977">
              <w:rPr>
                <w:sz w:val="22"/>
                <w:szCs w:val="22"/>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3040E54F" w14:textId="77777777" w:rsidR="00253427" w:rsidRPr="00653977" w:rsidRDefault="00253427" w:rsidP="00EF0503">
            <w:pPr>
              <w:ind w:right="1144"/>
              <w:jc w:val="right"/>
              <w:rPr>
                <w:sz w:val="22"/>
                <w:szCs w:val="22"/>
                <w:lang w:eastAsia="en-CA"/>
              </w:rPr>
            </w:pPr>
            <w:r w:rsidRPr="00653977">
              <w:rPr>
                <w:sz w:val="22"/>
                <w:szCs w:val="22"/>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44A9DDF1" w14:textId="77777777" w:rsidR="00253427" w:rsidRPr="00653977" w:rsidRDefault="00253427" w:rsidP="00EF0503">
            <w:pPr>
              <w:ind w:right="276"/>
              <w:jc w:val="right"/>
              <w:rPr>
                <w:sz w:val="22"/>
                <w:szCs w:val="22"/>
                <w:lang w:eastAsia="en-CA"/>
              </w:rPr>
            </w:pPr>
            <w:r w:rsidRPr="00653977">
              <w:rPr>
                <w:sz w:val="22"/>
                <w:szCs w:val="22"/>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43B44303" w14:textId="77777777" w:rsidR="00253427" w:rsidRPr="00653977" w:rsidRDefault="00253427" w:rsidP="00EF0503">
            <w:pPr>
              <w:ind w:right="276"/>
              <w:jc w:val="right"/>
              <w:rPr>
                <w:sz w:val="22"/>
                <w:szCs w:val="22"/>
                <w:lang w:eastAsia="en-CA"/>
              </w:rPr>
            </w:pPr>
            <w:r w:rsidRPr="00653977">
              <w:rPr>
                <w:sz w:val="22"/>
                <w:szCs w:val="22"/>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757BA978" w14:textId="77777777" w:rsidR="00253427" w:rsidRPr="00653977" w:rsidRDefault="00253427" w:rsidP="00EF0503">
            <w:pPr>
              <w:ind w:right="276"/>
              <w:jc w:val="right"/>
              <w:rPr>
                <w:sz w:val="22"/>
                <w:szCs w:val="22"/>
                <w:lang w:eastAsia="en-CA"/>
              </w:rPr>
            </w:pPr>
            <w:r w:rsidRPr="00653977">
              <w:rPr>
                <w:sz w:val="22"/>
                <w:szCs w:val="22"/>
                <w:lang w:eastAsia="en-CA"/>
              </w:rPr>
              <w:t>501</w:t>
            </w:r>
          </w:p>
        </w:tc>
      </w:tr>
      <w:tr w:rsidR="00253427" w:rsidRPr="00653977" w14:paraId="6F48D43C"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DB94A7" w14:textId="77777777" w:rsidR="00253427" w:rsidRPr="00653977" w:rsidRDefault="00253427" w:rsidP="00EF0503">
            <w:pPr>
              <w:rPr>
                <w:sz w:val="22"/>
                <w:szCs w:val="22"/>
                <w:lang w:eastAsia="en-CA"/>
              </w:rPr>
            </w:pPr>
            <w:r w:rsidRPr="00653977">
              <w:rPr>
                <w:sz w:val="22"/>
                <w:szCs w:val="22"/>
                <w:lang w:eastAsia="en-CA"/>
              </w:rPr>
              <w:t>Zimbabwe</w:t>
            </w:r>
          </w:p>
        </w:tc>
        <w:tc>
          <w:tcPr>
            <w:tcW w:w="2288" w:type="dxa"/>
            <w:tcBorders>
              <w:top w:val="nil"/>
              <w:left w:val="nil"/>
              <w:bottom w:val="single" w:sz="4" w:space="0" w:color="auto"/>
              <w:right w:val="single" w:sz="4" w:space="0" w:color="auto"/>
            </w:tcBorders>
            <w:shd w:val="clear" w:color="auto" w:fill="auto"/>
            <w:vAlign w:val="center"/>
            <w:hideMark/>
          </w:tcPr>
          <w:p w14:paraId="72E28E40" w14:textId="77777777" w:rsidR="00253427" w:rsidRPr="00653977" w:rsidRDefault="00253427" w:rsidP="00EF0503">
            <w:pPr>
              <w:ind w:right="770"/>
              <w:jc w:val="right"/>
              <w:rPr>
                <w:sz w:val="22"/>
                <w:szCs w:val="22"/>
                <w:lang w:eastAsia="en-CA"/>
              </w:rPr>
            </w:pPr>
            <w:r w:rsidRPr="00653977">
              <w:rPr>
                <w:sz w:val="22"/>
                <w:szCs w:val="22"/>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7878274E" w14:textId="77777777" w:rsidR="00253427" w:rsidRPr="00653977" w:rsidRDefault="00253427" w:rsidP="00EF0503">
            <w:pPr>
              <w:ind w:right="1144"/>
              <w:jc w:val="right"/>
              <w:rPr>
                <w:sz w:val="22"/>
                <w:szCs w:val="22"/>
                <w:lang w:eastAsia="en-CA"/>
              </w:rPr>
            </w:pPr>
            <w:r w:rsidRPr="00653977">
              <w:rPr>
                <w:sz w:val="22"/>
                <w:szCs w:val="22"/>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3488D77E" w14:textId="77777777" w:rsidR="00253427" w:rsidRPr="00653977" w:rsidRDefault="00253427" w:rsidP="00EF0503">
            <w:pPr>
              <w:ind w:right="276"/>
              <w:jc w:val="right"/>
              <w:rPr>
                <w:sz w:val="22"/>
                <w:szCs w:val="22"/>
                <w:lang w:eastAsia="en-CA"/>
              </w:rPr>
            </w:pPr>
            <w:r w:rsidRPr="00653977">
              <w:rPr>
                <w:sz w:val="22"/>
                <w:szCs w:val="22"/>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00BFD5DE" w14:textId="77777777" w:rsidR="00253427" w:rsidRPr="00653977" w:rsidRDefault="00253427" w:rsidP="00EF0503">
            <w:pPr>
              <w:ind w:right="276"/>
              <w:jc w:val="right"/>
              <w:rPr>
                <w:sz w:val="22"/>
                <w:szCs w:val="22"/>
                <w:lang w:eastAsia="en-CA"/>
              </w:rPr>
            </w:pPr>
            <w:r w:rsidRPr="00653977">
              <w:rPr>
                <w:sz w:val="22"/>
                <w:szCs w:val="22"/>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5A7C5800" w14:textId="77777777" w:rsidR="00253427" w:rsidRPr="00653977" w:rsidRDefault="00253427" w:rsidP="00EF0503">
            <w:pPr>
              <w:ind w:right="276"/>
              <w:jc w:val="right"/>
              <w:rPr>
                <w:sz w:val="22"/>
                <w:szCs w:val="22"/>
                <w:lang w:eastAsia="en-CA"/>
              </w:rPr>
            </w:pPr>
            <w:r w:rsidRPr="00653977">
              <w:rPr>
                <w:sz w:val="22"/>
                <w:szCs w:val="22"/>
                <w:lang w:eastAsia="en-CA"/>
              </w:rPr>
              <w:t>287</w:t>
            </w:r>
          </w:p>
        </w:tc>
      </w:tr>
      <w:tr w:rsidR="00253427" w:rsidRPr="00653977" w14:paraId="07ED7520" w14:textId="77777777" w:rsidTr="00EF0503">
        <w:trPr>
          <w:cantSplit/>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02FE1A" w14:textId="77777777" w:rsidR="00253427" w:rsidRPr="00653977" w:rsidRDefault="00253427" w:rsidP="00EF0503">
            <w:pPr>
              <w:rPr>
                <w:b/>
                <w:bCs/>
                <w:sz w:val="22"/>
                <w:szCs w:val="22"/>
                <w:lang w:eastAsia="en-CA"/>
              </w:rPr>
            </w:pPr>
            <w:r w:rsidRPr="00653977">
              <w:rPr>
                <w:b/>
                <w:bCs/>
                <w:sz w:val="22"/>
                <w:szCs w:val="22"/>
                <w:lang w:eastAsia="en-CA"/>
              </w:rPr>
              <w:t>Total</w:t>
            </w:r>
          </w:p>
        </w:tc>
        <w:tc>
          <w:tcPr>
            <w:tcW w:w="2288" w:type="dxa"/>
            <w:tcBorders>
              <w:top w:val="nil"/>
              <w:left w:val="nil"/>
              <w:bottom w:val="single" w:sz="4" w:space="0" w:color="auto"/>
              <w:right w:val="single" w:sz="4" w:space="0" w:color="auto"/>
            </w:tcBorders>
            <w:shd w:val="clear" w:color="auto" w:fill="auto"/>
            <w:noWrap/>
            <w:vAlign w:val="center"/>
            <w:hideMark/>
          </w:tcPr>
          <w:p w14:paraId="05DB127A" w14:textId="77777777" w:rsidR="00253427" w:rsidRPr="00653977" w:rsidRDefault="00253427" w:rsidP="00EF0503">
            <w:pPr>
              <w:ind w:right="770"/>
              <w:jc w:val="right"/>
              <w:rPr>
                <w:b/>
                <w:bCs/>
                <w:sz w:val="22"/>
                <w:szCs w:val="22"/>
                <w:lang w:eastAsia="en-CA"/>
              </w:rPr>
            </w:pPr>
            <w:r w:rsidRPr="00653977">
              <w:rPr>
                <w:b/>
                <w:bCs/>
                <w:sz w:val="22"/>
                <w:szCs w:val="22"/>
                <w:lang w:eastAsia="en-CA"/>
              </w:rPr>
              <w:t>67.363</w:t>
            </w:r>
          </w:p>
        </w:tc>
        <w:tc>
          <w:tcPr>
            <w:tcW w:w="0" w:type="auto"/>
            <w:tcBorders>
              <w:top w:val="nil"/>
              <w:left w:val="nil"/>
              <w:bottom w:val="single" w:sz="4" w:space="0" w:color="auto"/>
              <w:right w:val="single" w:sz="4" w:space="0" w:color="auto"/>
            </w:tcBorders>
            <w:shd w:val="clear" w:color="auto" w:fill="auto"/>
            <w:noWrap/>
            <w:vAlign w:val="center"/>
            <w:hideMark/>
          </w:tcPr>
          <w:p w14:paraId="40607C6E" w14:textId="77777777" w:rsidR="00253427" w:rsidRPr="00653977" w:rsidRDefault="00253427" w:rsidP="00EF0503">
            <w:pPr>
              <w:ind w:right="1144"/>
              <w:jc w:val="right"/>
              <w:rPr>
                <w:b/>
                <w:bCs/>
                <w:sz w:val="22"/>
                <w:szCs w:val="22"/>
                <w:lang w:eastAsia="en-CA"/>
              </w:rPr>
            </w:pPr>
            <w:r w:rsidRPr="00653977">
              <w:rPr>
                <w:b/>
                <w:bCs/>
                <w:sz w:val="22"/>
                <w:szCs w:val="22"/>
                <w:lang w:eastAsia="en-CA"/>
              </w:rPr>
              <w:t>100</w:t>
            </w:r>
          </w:p>
        </w:tc>
        <w:tc>
          <w:tcPr>
            <w:tcW w:w="0" w:type="auto"/>
            <w:tcBorders>
              <w:top w:val="nil"/>
              <w:left w:val="nil"/>
              <w:bottom w:val="single" w:sz="4" w:space="0" w:color="auto"/>
              <w:right w:val="single" w:sz="4" w:space="0" w:color="auto"/>
            </w:tcBorders>
            <w:shd w:val="clear" w:color="auto" w:fill="auto"/>
            <w:noWrap/>
            <w:vAlign w:val="center"/>
            <w:hideMark/>
          </w:tcPr>
          <w:p w14:paraId="509264F2" w14:textId="77777777" w:rsidR="00253427" w:rsidRPr="00653977" w:rsidRDefault="00253427" w:rsidP="00EF0503">
            <w:pPr>
              <w:ind w:right="276"/>
              <w:jc w:val="right"/>
              <w:rPr>
                <w:b/>
                <w:bCs/>
                <w:sz w:val="22"/>
                <w:szCs w:val="22"/>
                <w:lang w:eastAsia="en-CA"/>
              </w:rPr>
            </w:pPr>
            <w:r w:rsidRPr="00653977">
              <w:rPr>
                <w:b/>
                <w:bCs/>
                <w:sz w:val="22"/>
                <w:szCs w:val="22"/>
                <w:lang w:eastAsia="en-CA"/>
              </w:rPr>
              <w:t>2 401 320</w:t>
            </w:r>
          </w:p>
        </w:tc>
        <w:tc>
          <w:tcPr>
            <w:tcW w:w="0" w:type="auto"/>
            <w:tcBorders>
              <w:top w:val="nil"/>
              <w:left w:val="nil"/>
              <w:bottom w:val="single" w:sz="4" w:space="0" w:color="auto"/>
              <w:right w:val="single" w:sz="4" w:space="0" w:color="auto"/>
            </w:tcBorders>
            <w:shd w:val="clear" w:color="auto" w:fill="auto"/>
            <w:noWrap/>
            <w:vAlign w:val="center"/>
            <w:hideMark/>
          </w:tcPr>
          <w:p w14:paraId="1B3781B7" w14:textId="77777777" w:rsidR="00253427" w:rsidRPr="00653977" w:rsidRDefault="00253427" w:rsidP="00EF0503">
            <w:pPr>
              <w:ind w:right="276"/>
              <w:jc w:val="right"/>
              <w:rPr>
                <w:b/>
                <w:bCs/>
                <w:sz w:val="22"/>
                <w:szCs w:val="22"/>
                <w:lang w:eastAsia="en-CA"/>
              </w:rPr>
            </w:pPr>
            <w:r w:rsidRPr="00653977">
              <w:rPr>
                <w:b/>
                <w:bCs/>
                <w:sz w:val="22"/>
                <w:szCs w:val="22"/>
                <w:lang w:eastAsia="en-CA"/>
              </w:rPr>
              <w:t>2 546 370</w:t>
            </w:r>
          </w:p>
        </w:tc>
        <w:tc>
          <w:tcPr>
            <w:tcW w:w="0" w:type="auto"/>
            <w:tcBorders>
              <w:top w:val="nil"/>
              <w:left w:val="nil"/>
              <w:bottom w:val="single" w:sz="4" w:space="0" w:color="auto"/>
              <w:right w:val="single" w:sz="4" w:space="0" w:color="auto"/>
            </w:tcBorders>
            <w:shd w:val="clear" w:color="auto" w:fill="auto"/>
            <w:noWrap/>
            <w:vAlign w:val="center"/>
            <w:hideMark/>
          </w:tcPr>
          <w:p w14:paraId="3B780F3D" w14:textId="77777777" w:rsidR="00253427" w:rsidRPr="00653977" w:rsidRDefault="00253427" w:rsidP="00EF0503">
            <w:pPr>
              <w:ind w:right="276"/>
              <w:jc w:val="right"/>
              <w:rPr>
                <w:b/>
                <w:bCs/>
                <w:sz w:val="22"/>
                <w:szCs w:val="22"/>
                <w:lang w:eastAsia="en-CA"/>
              </w:rPr>
            </w:pPr>
            <w:r w:rsidRPr="00653977">
              <w:rPr>
                <w:b/>
                <w:bCs/>
                <w:sz w:val="22"/>
                <w:szCs w:val="22"/>
                <w:lang w:eastAsia="en-CA"/>
              </w:rPr>
              <w:t>4 947 690</w:t>
            </w:r>
          </w:p>
        </w:tc>
      </w:tr>
    </w:tbl>
    <w:p w14:paraId="1C4B12CE" w14:textId="77777777" w:rsidR="00DF0E08" w:rsidRPr="003075B3" w:rsidRDefault="00DF0E08" w:rsidP="00253427">
      <w:pPr>
        <w:suppressLineNumbers/>
        <w:suppressAutoHyphens/>
        <w:rPr>
          <w:kern w:val="22"/>
        </w:rPr>
        <w:sectPr w:rsidR="00DF0E08" w:rsidRPr="003075B3" w:rsidSect="00253427">
          <w:headerReference w:type="even" r:id="rId35"/>
          <w:headerReference w:type="default" r:id="rId36"/>
          <w:footerReference w:type="even" r:id="rId37"/>
          <w:footerReference w:type="first" r:id="rId38"/>
          <w:pgSz w:w="15840" w:h="12240" w:orient="landscape" w:code="1"/>
          <w:pgMar w:top="1440" w:right="1021" w:bottom="1440" w:left="1134" w:header="459" w:footer="720" w:gutter="0"/>
          <w:cols w:space="720"/>
          <w:docGrid w:linePitch="299"/>
        </w:sectPr>
      </w:pPr>
    </w:p>
    <w:p w14:paraId="3BB2F78F" w14:textId="76A58F89" w:rsidR="00253427" w:rsidRPr="003075B3" w:rsidRDefault="00DF0E08" w:rsidP="00237524">
      <w:pPr>
        <w:pStyle w:val="Heading1report"/>
        <w:numPr>
          <w:ilvl w:val="0"/>
          <w:numId w:val="29"/>
        </w:numPr>
        <w:ind w:left="0" w:firstLine="0"/>
      </w:pPr>
      <w:bookmarkStart w:id="45" w:name="_Toc879829"/>
      <w:bookmarkStart w:id="46" w:name="_Toc5612108"/>
      <w:r w:rsidRPr="003075B3">
        <w:lastRenderedPageBreak/>
        <w:t>ACCOUNT OF PROCEEDINGS</w:t>
      </w:r>
      <w:bookmarkEnd w:id="45"/>
      <w:bookmarkEnd w:id="46"/>
    </w:p>
    <w:p w14:paraId="11B20F2F" w14:textId="6212AEC5" w:rsidR="00D852CD" w:rsidRPr="003075B3" w:rsidRDefault="0050326F" w:rsidP="00237524">
      <w:pPr>
        <w:pStyle w:val="Heading1"/>
        <w:tabs>
          <w:tab w:val="center" w:pos="6842"/>
          <w:tab w:val="left" w:pos="12210"/>
        </w:tabs>
      </w:pPr>
      <w:bookmarkStart w:id="47" w:name="_Toc879830"/>
      <w:r w:rsidRPr="003075B3">
        <w:t>Introduction</w:t>
      </w:r>
      <w:bookmarkEnd w:id="47"/>
    </w:p>
    <w:p w14:paraId="76FD36B8" w14:textId="77777777" w:rsidR="006C59C4" w:rsidRPr="003075B3" w:rsidRDefault="006C59C4" w:rsidP="00B058F4">
      <w:pPr>
        <w:pStyle w:val="Heading2"/>
        <w:rPr>
          <w:color w:val="000000"/>
          <w:kern w:val="22"/>
        </w:rPr>
      </w:pPr>
      <w:bookmarkStart w:id="48" w:name="_Toc879831"/>
      <w:r w:rsidRPr="003075B3">
        <w:t>A.</w:t>
      </w:r>
      <w:r w:rsidRPr="003075B3">
        <w:tab/>
        <w:t>Background</w:t>
      </w:r>
      <w:bookmarkEnd w:id="48"/>
    </w:p>
    <w:p w14:paraId="6B2916F8" w14:textId="2F32F6AA" w:rsidR="001407F3" w:rsidRPr="003075B3" w:rsidRDefault="00C20F5D" w:rsidP="00237524">
      <w:pPr>
        <w:pStyle w:val="Para1"/>
        <w:tabs>
          <w:tab w:val="clear" w:pos="360"/>
        </w:tabs>
      </w:pPr>
      <w:bookmarkStart w:id="49" w:name="_Hlk530336722"/>
      <w:r w:rsidRPr="003075B3">
        <w:rPr>
          <w:color w:val="000000"/>
        </w:rPr>
        <w:t xml:space="preserve">Following </w:t>
      </w:r>
      <w:r w:rsidR="002C6919" w:rsidRPr="003075B3">
        <w:rPr>
          <w:color w:val="000000"/>
        </w:rPr>
        <w:t>an</w:t>
      </w:r>
      <w:r w:rsidRPr="003075B3">
        <w:rPr>
          <w:color w:val="000000"/>
        </w:rPr>
        <w:t xml:space="preserve"> offer </w:t>
      </w:r>
      <w:r w:rsidR="002B6204" w:rsidRPr="003075B3">
        <w:rPr>
          <w:color w:val="000000"/>
        </w:rPr>
        <w:t xml:space="preserve">from </w:t>
      </w:r>
      <w:r w:rsidRPr="003075B3">
        <w:rPr>
          <w:color w:val="000000"/>
        </w:rPr>
        <w:t>the Government of Egypt, which was welcomed by the</w:t>
      </w:r>
      <w:r w:rsidRPr="003075B3">
        <w:t xml:space="preserve"> Conference of the Parties to the Convention on Biological Diversity</w:t>
      </w:r>
      <w:r w:rsidR="00D44825" w:rsidRPr="003075B3">
        <w:t xml:space="preserve"> </w:t>
      </w:r>
      <w:r w:rsidRPr="003075B3">
        <w:t xml:space="preserve">in decision </w:t>
      </w:r>
      <w:hyperlink r:id="rId39" w:history="1">
        <w:r w:rsidRPr="003075B3">
          <w:rPr>
            <w:rStyle w:val="Hyperlink"/>
            <w:color w:val="auto"/>
            <w:u w:val="none"/>
          </w:rPr>
          <w:t>XIII/33</w:t>
        </w:r>
      </w:hyperlink>
      <w:r w:rsidRPr="003075B3">
        <w:t>,</w:t>
      </w:r>
      <w:bookmarkEnd w:id="49"/>
      <w:r w:rsidRPr="003075B3">
        <w:t xml:space="preserve"> </w:t>
      </w:r>
      <w:bookmarkStart w:id="50" w:name="_Hlk530336920"/>
      <w:r w:rsidR="00FB636B" w:rsidRPr="003075B3">
        <w:t>and in accordance with of Article</w:t>
      </w:r>
      <w:r w:rsidR="00304A4B">
        <w:t> </w:t>
      </w:r>
      <w:r w:rsidR="00FB636B" w:rsidRPr="003075B3">
        <w:t>29</w:t>
      </w:r>
      <w:r w:rsidR="00304A4B">
        <w:t>,</w:t>
      </w:r>
      <w:r w:rsidR="00304A4B" w:rsidRPr="00304A4B">
        <w:t xml:space="preserve"> </w:t>
      </w:r>
      <w:r w:rsidR="00304A4B" w:rsidRPr="003075B3">
        <w:t>paragraph</w:t>
      </w:r>
      <w:r w:rsidR="00304A4B">
        <w:t> </w:t>
      </w:r>
      <w:r w:rsidR="00304A4B" w:rsidRPr="003075B3">
        <w:t>6</w:t>
      </w:r>
      <w:r w:rsidR="00304A4B">
        <w:t>,</w:t>
      </w:r>
      <w:r w:rsidR="00FB636B" w:rsidRPr="003075B3">
        <w:t xml:space="preserve"> of the Cartagena Protocol on Biosafety, </w:t>
      </w:r>
      <w:r w:rsidRPr="003075B3">
        <w:t xml:space="preserve">the ninth meeting of the Conference of the Parties serving as the meeting of the Parties to the </w:t>
      </w:r>
      <w:bookmarkEnd w:id="50"/>
      <w:r w:rsidR="00FB636B" w:rsidRPr="003075B3">
        <w:t xml:space="preserve">Cartagena Protocol </w:t>
      </w:r>
      <w:bookmarkStart w:id="51" w:name="_Hlk530395494"/>
      <w:r w:rsidR="001407F3" w:rsidRPr="003075B3">
        <w:t>was</w:t>
      </w:r>
      <w:r w:rsidRPr="003075B3">
        <w:t xml:space="preserve"> held in </w:t>
      </w:r>
      <w:r w:rsidR="009549BF" w:rsidRPr="003075B3">
        <w:t>Sharm El-Sheikh</w:t>
      </w:r>
      <w:r w:rsidRPr="003075B3">
        <w:t>, Egypt, from 1</w:t>
      </w:r>
      <w:r w:rsidR="002A49EF" w:rsidRPr="003075B3">
        <w:t>7</w:t>
      </w:r>
      <w:r w:rsidRPr="003075B3">
        <w:t xml:space="preserve"> to 2</w:t>
      </w:r>
      <w:r w:rsidR="002A49EF" w:rsidRPr="003075B3">
        <w:t>9</w:t>
      </w:r>
      <w:r w:rsidRPr="003075B3">
        <w:t xml:space="preserve"> November 2018, </w:t>
      </w:r>
      <w:bookmarkEnd w:id="51"/>
      <w:r w:rsidRPr="003075B3">
        <w:t>concurrently with the fourteenth meeting of the Conference of the Parties.</w:t>
      </w:r>
    </w:p>
    <w:p w14:paraId="2263181D" w14:textId="77777777" w:rsidR="006C59C4" w:rsidRPr="003075B3" w:rsidRDefault="006C59C4" w:rsidP="00B058F4">
      <w:pPr>
        <w:pStyle w:val="Heading2"/>
      </w:pPr>
      <w:bookmarkStart w:id="52" w:name="_Toc879832"/>
      <w:r w:rsidRPr="003075B3">
        <w:t>B.</w:t>
      </w:r>
      <w:r w:rsidRPr="003075B3">
        <w:tab/>
        <w:t>Attendance</w:t>
      </w:r>
      <w:bookmarkEnd w:id="52"/>
    </w:p>
    <w:p w14:paraId="19C5ED39" w14:textId="77777777" w:rsidR="0044242D" w:rsidRPr="003075B3" w:rsidRDefault="00C8755A">
      <w:pPr>
        <w:pStyle w:val="Para1"/>
        <w:tabs>
          <w:tab w:val="clear" w:pos="360"/>
        </w:tabs>
        <w:sectPr w:rsidR="0044242D" w:rsidRPr="003075B3" w:rsidSect="00DF0E08">
          <w:headerReference w:type="default" r:id="rId40"/>
          <w:pgSz w:w="12240" w:h="15840" w:code="1"/>
          <w:pgMar w:top="1021" w:right="1440" w:bottom="1134" w:left="1440" w:header="459" w:footer="720" w:gutter="0"/>
          <w:cols w:space="720"/>
          <w:docGrid w:linePitch="299"/>
        </w:sectPr>
      </w:pPr>
      <w:r w:rsidRPr="003075B3">
        <w:t xml:space="preserve">All States were </w:t>
      </w:r>
      <w:r w:rsidRPr="003075B3">
        <w:rPr>
          <w:color w:val="000000"/>
        </w:rPr>
        <w:t>invited</w:t>
      </w:r>
      <w:r w:rsidRPr="003075B3">
        <w:t xml:space="preserve"> to participate in the meeting. The following Parties to the Cartagena Protocol attended:</w:t>
      </w:r>
    </w:p>
    <w:p w14:paraId="18C2D534" w14:textId="77777777" w:rsidR="0044242D" w:rsidRPr="003075B3" w:rsidRDefault="0044242D" w:rsidP="00237524">
      <w:pPr>
        <w:pStyle w:val="Para1"/>
        <w:numPr>
          <w:ilvl w:val="0"/>
          <w:numId w:val="0"/>
        </w:numPr>
        <w:spacing w:before="0" w:after="0"/>
        <w:ind w:left="142" w:hanging="142"/>
        <w:jc w:val="left"/>
      </w:pPr>
      <w:r w:rsidRPr="003075B3">
        <w:t>Afghanistan</w:t>
      </w:r>
    </w:p>
    <w:p w14:paraId="0579E969" w14:textId="77777777" w:rsidR="0044242D" w:rsidRPr="003075B3" w:rsidRDefault="0044242D" w:rsidP="00237524">
      <w:pPr>
        <w:pStyle w:val="Para1"/>
        <w:numPr>
          <w:ilvl w:val="0"/>
          <w:numId w:val="0"/>
        </w:numPr>
        <w:spacing w:before="0" w:after="0"/>
        <w:ind w:left="142" w:hanging="142"/>
        <w:jc w:val="left"/>
      </w:pPr>
      <w:r w:rsidRPr="003075B3">
        <w:t>Albania</w:t>
      </w:r>
    </w:p>
    <w:p w14:paraId="30FC197E" w14:textId="77777777" w:rsidR="0044242D" w:rsidRPr="003075B3" w:rsidRDefault="0044242D" w:rsidP="00237524">
      <w:pPr>
        <w:pStyle w:val="Para1"/>
        <w:numPr>
          <w:ilvl w:val="0"/>
          <w:numId w:val="0"/>
        </w:numPr>
        <w:spacing w:before="0" w:after="0"/>
        <w:ind w:left="142" w:hanging="142"/>
        <w:jc w:val="left"/>
      </w:pPr>
      <w:r w:rsidRPr="003075B3">
        <w:t>Algeria</w:t>
      </w:r>
    </w:p>
    <w:p w14:paraId="526AC107" w14:textId="77777777" w:rsidR="0044242D" w:rsidRPr="003075B3" w:rsidRDefault="0044242D" w:rsidP="00237524">
      <w:pPr>
        <w:pStyle w:val="Para1"/>
        <w:numPr>
          <w:ilvl w:val="0"/>
          <w:numId w:val="0"/>
        </w:numPr>
        <w:spacing w:before="0" w:after="0"/>
        <w:ind w:left="142" w:hanging="142"/>
        <w:jc w:val="left"/>
      </w:pPr>
      <w:r w:rsidRPr="003075B3">
        <w:t>Angola</w:t>
      </w:r>
    </w:p>
    <w:p w14:paraId="647C039B" w14:textId="77777777" w:rsidR="0044242D" w:rsidRPr="003075B3" w:rsidRDefault="0044242D" w:rsidP="00237524">
      <w:pPr>
        <w:pStyle w:val="Para1"/>
        <w:numPr>
          <w:ilvl w:val="0"/>
          <w:numId w:val="0"/>
        </w:numPr>
        <w:spacing w:before="0" w:after="0"/>
        <w:ind w:left="142" w:hanging="142"/>
        <w:jc w:val="left"/>
      </w:pPr>
      <w:r w:rsidRPr="003075B3">
        <w:t>Antigua and Barbuda</w:t>
      </w:r>
    </w:p>
    <w:p w14:paraId="04A337E4" w14:textId="77777777" w:rsidR="0044242D" w:rsidRPr="003075B3" w:rsidRDefault="0044242D" w:rsidP="00237524">
      <w:pPr>
        <w:pStyle w:val="Para1"/>
        <w:numPr>
          <w:ilvl w:val="0"/>
          <w:numId w:val="0"/>
        </w:numPr>
        <w:spacing w:before="0" w:after="0"/>
        <w:ind w:left="142" w:hanging="142"/>
        <w:jc w:val="left"/>
      </w:pPr>
      <w:r w:rsidRPr="003075B3">
        <w:t>Armenia</w:t>
      </w:r>
    </w:p>
    <w:p w14:paraId="04A3CC7F" w14:textId="77777777" w:rsidR="0044242D" w:rsidRPr="003075B3" w:rsidRDefault="0044242D" w:rsidP="00237524">
      <w:pPr>
        <w:pStyle w:val="Para1"/>
        <w:numPr>
          <w:ilvl w:val="0"/>
          <w:numId w:val="0"/>
        </w:numPr>
        <w:spacing w:before="0" w:after="0"/>
        <w:ind w:left="142" w:hanging="142"/>
        <w:jc w:val="left"/>
      </w:pPr>
      <w:r w:rsidRPr="003075B3">
        <w:t>Austria</w:t>
      </w:r>
    </w:p>
    <w:p w14:paraId="1AE8CD20" w14:textId="77777777" w:rsidR="0044242D" w:rsidRPr="003075B3" w:rsidRDefault="0044242D" w:rsidP="00237524">
      <w:pPr>
        <w:pStyle w:val="Para1"/>
        <w:numPr>
          <w:ilvl w:val="0"/>
          <w:numId w:val="0"/>
        </w:numPr>
        <w:spacing w:before="0" w:after="0"/>
        <w:ind w:left="142" w:hanging="142"/>
        <w:jc w:val="left"/>
      </w:pPr>
      <w:r w:rsidRPr="003075B3">
        <w:t>Azerbaijan</w:t>
      </w:r>
    </w:p>
    <w:p w14:paraId="701205CF" w14:textId="77777777" w:rsidR="0044242D" w:rsidRPr="003075B3" w:rsidRDefault="0044242D" w:rsidP="00237524">
      <w:pPr>
        <w:pStyle w:val="Para1"/>
        <w:numPr>
          <w:ilvl w:val="0"/>
          <w:numId w:val="0"/>
        </w:numPr>
        <w:spacing w:before="0" w:after="0"/>
        <w:ind w:left="142" w:hanging="142"/>
        <w:jc w:val="left"/>
      </w:pPr>
      <w:r w:rsidRPr="003075B3">
        <w:t>Bahrain</w:t>
      </w:r>
    </w:p>
    <w:p w14:paraId="7E75D772" w14:textId="77777777" w:rsidR="0044242D" w:rsidRPr="003075B3" w:rsidRDefault="0044242D" w:rsidP="00237524">
      <w:pPr>
        <w:pStyle w:val="Para1"/>
        <w:numPr>
          <w:ilvl w:val="0"/>
          <w:numId w:val="0"/>
        </w:numPr>
        <w:spacing w:before="0" w:after="0"/>
        <w:ind w:left="142" w:hanging="142"/>
        <w:jc w:val="left"/>
      </w:pPr>
      <w:r w:rsidRPr="003075B3">
        <w:t>Bangladesh</w:t>
      </w:r>
    </w:p>
    <w:p w14:paraId="09D73D5C" w14:textId="77777777" w:rsidR="0044242D" w:rsidRPr="003075B3" w:rsidRDefault="0044242D" w:rsidP="00237524">
      <w:pPr>
        <w:pStyle w:val="Para1"/>
        <w:numPr>
          <w:ilvl w:val="0"/>
          <w:numId w:val="0"/>
        </w:numPr>
        <w:spacing w:before="0" w:after="0"/>
        <w:ind w:left="142" w:hanging="142"/>
        <w:jc w:val="left"/>
      </w:pPr>
      <w:r w:rsidRPr="003075B3">
        <w:t>Belarus</w:t>
      </w:r>
    </w:p>
    <w:p w14:paraId="21599929" w14:textId="77777777" w:rsidR="0044242D" w:rsidRPr="003075B3" w:rsidRDefault="0044242D" w:rsidP="00237524">
      <w:pPr>
        <w:pStyle w:val="Para1"/>
        <w:numPr>
          <w:ilvl w:val="0"/>
          <w:numId w:val="0"/>
        </w:numPr>
        <w:spacing w:before="0" w:after="0"/>
        <w:ind w:left="142" w:hanging="142"/>
        <w:jc w:val="left"/>
      </w:pPr>
      <w:r w:rsidRPr="003075B3">
        <w:t>Belgium</w:t>
      </w:r>
    </w:p>
    <w:p w14:paraId="05559037" w14:textId="77777777" w:rsidR="0044242D" w:rsidRPr="003075B3" w:rsidRDefault="0044242D" w:rsidP="00237524">
      <w:pPr>
        <w:pStyle w:val="Para1"/>
        <w:numPr>
          <w:ilvl w:val="0"/>
          <w:numId w:val="0"/>
        </w:numPr>
        <w:spacing w:before="0" w:after="0"/>
        <w:ind w:left="142" w:hanging="142"/>
        <w:jc w:val="left"/>
      </w:pPr>
      <w:r w:rsidRPr="003075B3">
        <w:t>Belize</w:t>
      </w:r>
    </w:p>
    <w:p w14:paraId="3E8A4B0C" w14:textId="77777777" w:rsidR="0044242D" w:rsidRPr="003075B3" w:rsidRDefault="0044242D" w:rsidP="00237524">
      <w:pPr>
        <w:pStyle w:val="Para1"/>
        <w:numPr>
          <w:ilvl w:val="0"/>
          <w:numId w:val="0"/>
        </w:numPr>
        <w:spacing w:before="0" w:after="0"/>
        <w:ind w:left="142" w:hanging="142"/>
        <w:jc w:val="left"/>
      </w:pPr>
      <w:r w:rsidRPr="003075B3">
        <w:t>Benin</w:t>
      </w:r>
    </w:p>
    <w:p w14:paraId="5A6DE69F" w14:textId="77777777" w:rsidR="0044242D" w:rsidRPr="003075B3" w:rsidRDefault="0044242D" w:rsidP="00237524">
      <w:pPr>
        <w:pStyle w:val="Para1"/>
        <w:numPr>
          <w:ilvl w:val="0"/>
          <w:numId w:val="0"/>
        </w:numPr>
        <w:spacing w:before="0" w:after="0"/>
        <w:ind w:left="142" w:hanging="142"/>
        <w:jc w:val="left"/>
      </w:pPr>
      <w:r w:rsidRPr="003075B3">
        <w:t>Bhutan</w:t>
      </w:r>
    </w:p>
    <w:p w14:paraId="453544BE" w14:textId="77777777" w:rsidR="0044242D" w:rsidRPr="003075B3" w:rsidRDefault="0044242D" w:rsidP="00237524">
      <w:pPr>
        <w:pStyle w:val="Para1"/>
        <w:numPr>
          <w:ilvl w:val="0"/>
          <w:numId w:val="0"/>
        </w:numPr>
        <w:spacing w:before="0" w:after="0"/>
        <w:ind w:left="142" w:hanging="142"/>
        <w:jc w:val="left"/>
      </w:pPr>
      <w:r w:rsidRPr="003075B3">
        <w:t>Bolivia (</w:t>
      </w:r>
      <w:proofErr w:type="spellStart"/>
      <w:r w:rsidRPr="003075B3">
        <w:t>Plurinational</w:t>
      </w:r>
      <w:proofErr w:type="spellEnd"/>
      <w:r w:rsidRPr="003075B3">
        <w:t xml:space="preserve"> State of)</w:t>
      </w:r>
    </w:p>
    <w:p w14:paraId="279B04D7" w14:textId="77777777" w:rsidR="0044242D" w:rsidRPr="003075B3" w:rsidRDefault="0044242D" w:rsidP="00237524">
      <w:pPr>
        <w:pStyle w:val="Para1"/>
        <w:numPr>
          <w:ilvl w:val="0"/>
          <w:numId w:val="0"/>
        </w:numPr>
        <w:spacing w:before="0" w:after="0"/>
        <w:ind w:left="142" w:hanging="142"/>
        <w:jc w:val="left"/>
      </w:pPr>
      <w:r w:rsidRPr="003075B3">
        <w:t>Bosnia and Herzegovina</w:t>
      </w:r>
    </w:p>
    <w:p w14:paraId="01158174" w14:textId="77777777" w:rsidR="0044242D" w:rsidRPr="003075B3" w:rsidRDefault="0044242D" w:rsidP="00237524">
      <w:pPr>
        <w:pStyle w:val="Para1"/>
        <w:numPr>
          <w:ilvl w:val="0"/>
          <w:numId w:val="0"/>
        </w:numPr>
        <w:spacing w:before="0" w:after="0"/>
        <w:ind w:left="142" w:hanging="142"/>
        <w:jc w:val="left"/>
      </w:pPr>
      <w:r w:rsidRPr="003075B3">
        <w:t>Botswana</w:t>
      </w:r>
    </w:p>
    <w:p w14:paraId="3113EE59" w14:textId="77777777" w:rsidR="0044242D" w:rsidRPr="003075B3" w:rsidRDefault="0044242D" w:rsidP="00237524">
      <w:pPr>
        <w:pStyle w:val="Para1"/>
        <w:numPr>
          <w:ilvl w:val="0"/>
          <w:numId w:val="0"/>
        </w:numPr>
        <w:spacing w:before="0" w:after="0"/>
        <w:ind w:left="142" w:hanging="142"/>
        <w:jc w:val="left"/>
      </w:pPr>
      <w:r w:rsidRPr="003075B3">
        <w:t>Brazil</w:t>
      </w:r>
    </w:p>
    <w:p w14:paraId="64AB9071" w14:textId="77777777" w:rsidR="0044242D" w:rsidRPr="003075B3" w:rsidRDefault="0044242D" w:rsidP="00237524">
      <w:pPr>
        <w:pStyle w:val="Para1"/>
        <w:numPr>
          <w:ilvl w:val="0"/>
          <w:numId w:val="0"/>
        </w:numPr>
        <w:spacing w:before="0" w:after="0"/>
        <w:ind w:left="142" w:hanging="142"/>
        <w:jc w:val="left"/>
      </w:pPr>
      <w:r w:rsidRPr="003075B3">
        <w:t>Bulgaria</w:t>
      </w:r>
    </w:p>
    <w:p w14:paraId="24D128AA" w14:textId="77777777" w:rsidR="0044242D" w:rsidRPr="003075B3" w:rsidRDefault="0044242D" w:rsidP="00237524">
      <w:pPr>
        <w:pStyle w:val="Para1"/>
        <w:numPr>
          <w:ilvl w:val="0"/>
          <w:numId w:val="0"/>
        </w:numPr>
        <w:spacing w:before="0" w:after="0"/>
        <w:ind w:left="142" w:hanging="142"/>
        <w:jc w:val="left"/>
      </w:pPr>
      <w:r w:rsidRPr="003075B3">
        <w:t>Burkina Faso</w:t>
      </w:r>
    </w:p>
    <w:p w14:paraId="0711C93E" w14:textId="77777777" w:rsidR="0044242D" w:rsidRPr="003075B3" w:rsidRDefault="0044242D" w:rsidP="00237524">
      <w:pPr>
        <w:pStyle w:val="Para1"/>
        <w:numPr>
          <w:ilvl w:val="0"/>
          <w:numId w:val="0"/>
        </w:numPr>
        <w:spacing w:before="0" w:after="0"/>
        <w:ind w:left="142" w:hanging="142"/>
        <w:jc w:val="left"/>
      </w:pPr>
      <w:r w:rsidRPr="003075B3">
        <w:t>Burundi</w:t>
      </w:r>
    </w:p>
    <w:p w14:paraId="50620DF0" w14:textId="77777777" w:rsidR="0044242D" w:rsidRPr="003075B3" w:rsidRDefault="0044242D" w:rsidP="00237524">
      <w:pPr>
        <w:pStyle w:val="Para1"/>
        <w:numPr>
          <w:ilvl w:val="0"/>
          <w:numId w:val="0"/>
        </w:numPr>
        <w:spacing w:before="0" w:after="0"/>
        <w:ind w:left="142" w:hanging="142"/>
        <w:jc w:val="left"/>
      </w:pPr>
      <w:r w:rsidRPr="003075B3">
        <w:t>Cabo Verde</w:t>
      </w:r>
    </w:p>
    <w:p w14:paraId="5CBD95CA" w14:textId="77777777" w:rsidR="0044242D" w:rsidRPr="003075B3" w:rsidRDefault="0044242D" w:rsidP="00237524">
      <w:pPr>
        <w:pStyle w:val="Para1"/>
        <w:numPr>
          <w:ilvl w:val="0"/>
          <w:numId w:val="0"/>
        </w:numPr>
        <w:spacing w:before="0" w:after="0"/>
        <w:ind w:left="142" w:hanging="142"/>
        <w:jc w:val="left"/>
      </w:pPr>
      <w:r w:rsidRPr="003075B3">
        <w:t>Cambodia</w:t>
      </w:r>
    </w:p>
    <w:p w14:paraId="70284BE8" w14:textId="77777777" w:rsidR="0044242D" w:rsidRPr="003075B3" w:rsidRDefault="0044242D" w:rsidP="00237524">
      <w:pPr>
        <w:pStyle w:val="Para1"/>
        <w:numPr>
          <w:ilvl w:val="0"/>
          <w:numId w:val="0"/>
        </w:numPr>
        <w:spacing w:before="0" w:after="0"/>
        <w:ind w:left="142" w:hanging="142"/>
        <w:jc w:val="left"/>
      </w:pPr>
      <w:r w:rsidRPr="003075B3">
        <w:t>Cameroon</w:t>
      </w:r>
    </w:p>
    <w:p w14:paraId="54F50834" w14:textId="77777777" w:rsidR="0044242D" w:rsidRPr="003075B3" w:rsidRDefault="0044242D" w:rsidP="00237524">
      <w:pPr>
        <w:pStyle w:val="Para1"/>
        <w:numPr>
          <w:ilvl w:val="0"/>
          <w:numId w:val="0"/>
        </w:numPr>
        <w:spacing w:before="0" w:after="0"/>
        <w:ind w:left="142" w:hanging="142"/>
        <w:jc w:val="left"/>
      </w:pPr>
      <w:r w:rsidRPr="003075B3">
        <w:t>Central African Republic</w:t>
      </w:r>
    </w:p>
    <w:p w14:paraId="574895B8" w14:textId="77777777" w:rsidR="0044242D" w:rsidRPr="003075B3" w:rsidRDefault="0044242D" w:rsidP="00237524">
      <w:pPr>
        <w:pStyle w:val="Para1"/>
        <w:numPr>
          <w:ilvl w:val="0"/>
          <w:numId w:val="0"/>
        </w:numPr>
        <w:spacing w:before="0" w:after="0"/>
        <w:ind w:left="142" w:hanging="142"/>
        <w:jc w:val="left"/>
      </w:pPr>
      <w:r w:rsidRPr="003075B3">
        <w:t>Chad</w:t>
      </w:r>
    </w:p>
    <w:p w14:paraId="16A4A417" w14:textId="77777777" w:rsidR="0044242D" w:rsidRPr="003075B3" w:rsidRDefault="0044242D" w:rsidP="00237524">
      <w:pPr>
        <w:pStyle w:val="Para1"/>
        <w:numPr>
          <w:ilvl w:val="0"/>
          <w:numId w:val="0"/>
        </w:numPr>
        <w:spacing w:before="0" w:after="0"/>
        <w:ind w:left="142" w:hanging="142"/>
        <w:jc w:val="left"/>
      </w:pPr>
      <w:r w:rsidRPr="003075B3">
        <w:t>China</w:t>
      </w:r>
    </w:p>
    <w:p w14:paraId="4537BD94" w14:textId="77777777" w:rsidR="0044242D" w:rsidRPr="003075B3" w:rsidRDefault="0044242D" w:rsidP="00237524">
      <w:pPr>
        <w:pStyle w:val="Para1"/>
        <w:numPr>
          <w:ilvl w:val="0"/>
          <w:numId w:val="0"/>
        </w:numPr>
        <w:spacing w:before="0" w:after="0"/>
        <w:ind w:left="142" w:hanging="142"/>
        <w:jc w:val="left"/>
      </w:pPr>
      <w:r w:rsidRPr="003075B3">
        <w:t>Colombia</w:t>
      </w:r>
    </w:p>
    <w:p w14:paraId="0670AB97" w14:textId="77777777" w:rsidR="0044242D" w:rsidRPr="003075B3" w:rsidRDefault="0044242D" w:rsidP="00237524">
      <w:pPr>
        <w:pStyle w:val="Para1"/>
        <w:numPr>
          <w:ilvl w:val="0"/>
          <w:numId w:val="0"/>
        </w:numPr>
        <w:spacing w:before="0" w:after="0"/>
        <w:ind w:left="142" w:hanging="142"/>
        <w:jc w:val="left"/>
      </w:pPr>
      <w:r w:rsidRPr="003075B3">
        <w:t>Comoros</w:t>
      </w:r>
    </w:p>
    <w:p w14:paraId="2B7364A6" w14:textId="77777777" w:rsidR="0044242D" w:rsidRPr="00ED78BE" w:rsidRDefault="0044242D" w:rsidP="00237524">
      <w:pPr>
        <w:pStyle w:val="Para1"/>
        <w:numPr>
          <w:ilvl w:val="0"/>
          <w:numId w:val="0"/>
        </w:numPr>
        <w:spacing w:before="0" w:after="0"/>
        <w:ind w:left="142" w:hanging="142"/>
        <w:jc w:val="left"/>
      </w:pPr>
      <w:r w:rsidRPr="003075B3">
        <w:t>Congo</w:t>
      </w:r>
    </w:p>
    <w:p w14:paraId="7721C90A" w14:textId="77777777" w:rsidR="0044242D" w:rsidRPr="00ED78BE" w:rsidRDefault="0044242D" w:rsidP="00237524">
      <w:pPr>
        <w:pStyle w:val="Para1"/>
        <w:numPr>
          <w:ilvl w:val="0"/>
          <w:numId w:val="0"/>
        </w:numPr>
        <w:spacing w:before="0" w:after="0"/>
        <w:ind w:left="142" w:hanging="142"/>
        <w:jc w:val="left"/>
      </w:pPr>
      <w:r w:rsidRPr="00ED78BE">
        <w:t>Costa Rica</w:t>
      </w:r>
    </w:p>
    <w:p w14:paraId="662A7C84" w14:textId="77777777" w:rsidR="0044242D" w:rsidRPr="00237524" w:rsidRDefault="0044242D" w:rsidP="00237524">
      <w:pPr>
        <w:pStyle w:val="Para1"/>
        <w:numPr>
          <w:ilvl w:val="0"/>
          <w:numId w:val="0"/>
        </w:numPr>
        <w:spacing w:before="0" w:after="0"/>
        <w:ind w:left="142" w:hanging="142"/>
        <w:jc w:val="left"/>
        <w:rPr>
          <w:lang w:val="fr-FR"/>
        </w:rPr>
      </w:pPr>
      <w:proofErr w:type="spellStart"/>
      <w:r w:rsidRPr="00237524">
        <w:rPr>
          <w:lang w:val="fr-FR"/>
        </w:rPr>
        <w:t>Croatia</w:t>
      </w:r>
      <w:proofErr w:type="spellEnd"/>
    </w:p>
    <w:p w14:paraId="06F7C5C6" w14:textId="77777777" w:rsidR="0044242D" w:rsidRPr="00237524" w:rsidRDefault="0044242D" w:rsidP="00237524">
      <w:pPr>
        <w:pStyle w:val="Para1"/>
        <w:numPr>
          <w:ilvl w:val="0"/>
          <w:numId w:val="0"/>
        </w:numPr>
        <w:spacing w:before="0" w:after="0"/>
        <w:ind w:left="142" w:hanging="142"/>
        <w:jc w:val="left"/>
        <w:rPr>
          <w:lang w:val="fr-FR"/>
        </w:rPr>
      </w:pPr>
      <w:r w:rsidRPr="00237524">
        <w:rPr>
          <w:lang w:val="fr-FR"/>
        </w:rPr>
        <w:t>Cuba</w:t>
      </w:r>
    </w:p>
    <w:p w14:paraId="6A6AED08" w14:textId="77777777" w:rsidR="0044242D" w:rsidRPr="00237524" w:rsidRDefault="0044242D" w:rsidP="00237524">
      <w:pPr>
        <w:pStyle w:val="Para1"/>
        <w:numPr>
          <w:ilvl w:val="0"/>
          <w:numId w:val="0"/>
        </w:numPr>
        <w:spacing w:before="0" w:after="0"/>
        <w:ind w:left="142" w:hanging="142"/>
        <w:jc w:val="left"/>
        <w:rPr>
          <w:lang w:val="fr-FR"/>
        </w:rPr>
      </w:pPr>
      <w:proofErr w:type="spellStart"/>
      <w:r w:rsidRPr="00237524">
        <w:rPr>
          <w:lang w:val="fr-FR"/>
        </w:rPr>
        <w:t>Cyprus</w:t>
      </w:r>
      <w:proofErr w:type="spellEnd"/>
    </w:p>
    <w:p w14:paraId="23143D46" w14:textId="7A03B91F" w:rsidR="0044242D" w:rsidRPr="00237524" w:rsidRDefault="0044242D" w:rsidP="00237524">
      <w:pPr>
        <w:pStyle w:val="Para1"/>
        <w:numPr>
          <w:ilvl w:val="0"/>
          <w:numId w:val="0"/>
        </w:numPr>
        <w:spacing w:before="0" w:after="0"/>
        <w:ind w:left="142" w:hanging="142"/>
        <w:jc w:val="left"/>
        <w:rPr>
          <w:lang w:val="fr-FR"/>
        </w:rPr>
      </w:pPr>
      <w:proofErr w:type="spellStart"/>
      <w:r w:rsidRPr="00237524">
        <w:rPr>
          <w:lang w:val="fr-FR"/>
        </w:rPr>
        <w:t>Czech</w:t>
      </w:r>
      <w:r w:rsidR="00EF58F8" w:rsidRPr="00237524">
        <w:rPr>
          <w:lang w:val="fr-FR"/>
        </w:rPr>
        <w:t>ia</w:t>
      </w:r>
      <w:proofErr w:type="spellEnd"/>
    </w:p>
    <w:p w14:paraId="5A7F7973" w14:textId="77777777" w:rsidR="0044242D" w:rsidRPr="00237524" w:rsidRDefault="0044242D" w:rsidP="00237524">
      <w:pPr>
        <w:pStyle w:val="Para1"/>
        <w:numPr>
          <w:ilvl w:val="0"/>
          <w:numId w:val="0"/>
        </w:numPr>
        <w:spacing w:before="0" w:after="0"/>
        <w:ind w:left="142" w:hanging="142"/>
        <w:jc w:val="left"/>
        <w:rPr>
          <w:lang w:val="fr-FR"/>
        </w:rPr>
      </w:pPr>
      <w:r w:rsidRPr="00237524">
        <w:rPr>
          <w:lang w:val="fr-FR"/>
        </w:rPr>
        <w:t>Côte d'Ivoire</w:t>
      </w:r>
    </w:p>
    <w:p w14:paraId="67631481" w14:textId="7BE1E4CD" w:rsidR="0044242D" w:rsidRPr="00ED78BE" w:rsidRDefault="0044242D" w:rsidP="00237524">
      <w:pPr>
        <w:pStyle w:val="Para1"/>
        <w:numPr>
          <w:ilvl w:val="0"/>
          <w:numId w:val="0"/>
        </w:numPr>
        <w:spacing w:before="0" w:after="0"/>
        <w:ind w:left="142" w:hanging="142"/>
        <w:jc w:val="left"/>
      </w:pPr>
      <w:r w:rsidRPr="00ED78BE">
        <w:t>Democratic People</w:t>
      </w:r>
      <w:r w:rsidR="003D7D4B" w:rsidRPr="00ED78BE">
        <w:t>’</w:t>
      </w:r>
      <w:r w:rsidRPr="00ED78BE">
        <w:t>s Republic of Korea</w:t>
      </w:r>
    </w:p>
    <w:p w14:paraId="5F168FFF" w14:textId="77777777" w:rsidR="0044242D" w:rsidRPr="00ED78BE" w:rsidRDefault="0044242D" w:rsidP="00237524">
      <w:pPr>
        <w:pStyle w:val="Para1"/>
        <w:numPr>
          <w:ilvl w:val="0"/>
          <w:numId w:val="0"/>
        </w:numPr>
        <w:spacing w:before="0" w:after="0"/>
        <w:ind w:left="142" w:hanging="142"/>
        <w:jc w:val="left"/>
      </w:pPr>
      <w:r w:rsidRPr="00ED78BE">
        <w:t>Democratic Republic of the Congo</w:t>
      </w:r>
    </w:p>
    <w:p w14:paraId="7F9F227E" w14:textId="77777777" w:rsidR="0044242D" w:rsidRPr="00ED78BE" w:rsidRDefault="0044242D" w:rsidP="00237524">
      <w:pPr>
        <w:pStyle w:val="Para1"/>
        <w:numPr>
          <w:ilvl w:val="0"/>
          <w:numId w:val="0"/>
        </w:numPr>
        <w:spacing w:before="0" w:after="0"/>
        <w:ind w:left="142" w:hanging="142"/>
        <w:jc w:val="left"/>
      </w:pPr>
      <w:r w:rsidRPr="00ED78BE">
        <w:t>Denmark</w:t>
      </w:r>
    </w:p>
    <w:p w14:paraId="16FB3B74" w14:textId="77777777" w:rsidR="0044242D" w:rsidRPr="00ED78BE" w:rsidRDefault="0044242D" w:rsidP="00237524">
      <w:pPr>
        <w:pStyle w:val="Para1"/>
        <w:numPr>
          <w:ilvl w:val="0"/>
          <w:numId w:val="0"/>
        </w:numPr>
        <w:spacing w:before="0" w:after="0"/>
        <w:ind w:left="142" w:hanging="142"/>
        <w:jc w:val="left"/>
      </w:pPr>
      <w:r w:rsidRPr="00ED78BE">
        <w:t>Djibouti</w:t>
      </w:r>
    </w:p>
    <w:p w14:paraId="3F249866" w14:textId="77777777" w:rsidR="0044242D" w:rsidRPr="00ED78BE" w:rsidRDefault="0044242D" w:rsidP="00237524">
      <w:pPr>
        <w:pStyle w:val="Para1"/>
        <w:numPr>
          <w:ilvl w:val="0"/>
          <w:numId w:val="0"/>
        </w:numPr>
        <w:spacing w:before="0" w:after="0"/>
        <w:ind w:left="142" w:hanging="142"/>
        <w:jc w:val="left"/>
      </w:pPr>
      <w:r w:rsidRPr="00ED78BE">
        <w:t>Dominican Republic</w:t>
      </w:r>
    </w:p>
    <w:p w14:paraId="79F750ED" w14:textId="77777777" w:rsidR="0044242D" w:rsidRPr="00ED78BE" w:rsidRDefault="0044242D" w:rsidP="00237524">
      <w:pPr>
        <w:pStyle w:val="Para1"/>
        <w:numPr>
          <w:ilvl w:val="0"/>
          <w:numId w:val="0"/>
        </w:numPr>
        <w:spacing w:before="0" w:after="0"/>
        <w:ind w:left="142" w:hanging="142"/>
        <w:jc w:val="left"/>
      </w:pPr>
      <w:r w:rsidRPr="00ED78BE">
        <w:t>Ecuador</w:t>
      </w:r>
    </w:p>
    <w:p w14:paraId="1FE88611" w14:textId="77777777" w:rsidR="0044242D" w:rsidRPr="00ED78BE" w:rsidRDefault="0044242D" w:rsidP="00237524">
      <w:pPr>
        <w:pStyle w:val="Para1"/>
        <w:numPr>
          <w:ilvl w:val="0"/>
          <w:numId w:val="0"/>
        </w:numPr>
        <w:spacing w:before="0" w:after="0"/>
        <w:ind w:left="142" w:hanging="142"/>
        <w:jc w:val="left"/>
      </w:pPr>
      <w:r w:rsidRPr="00ED78BE">
        <w:t>Egypt</w:t>
      </w:r>
    </w:p>
    <w:p w14:paraId="366BF84B" w14:textId="77777777" w:rsidR="0044242D" w:rsidRPr="00ED78BE" w:rsidRDefault="0044242D" w:rsidP="00237524">
      <w:pPr>
        <w:pStyle w:val="Para1"/>
        <w:numPr>
          <w:ilvl w:val="0"/>
          <w:numId w:val="0"/>
        </w:numPr>
        <w:spacing w:before="0" w:after="0"/>
        <w:ind w:left="142" w:hanging="142"/>
        <w:jc w:val="left"/>
      </w:pPr>
      <w:r w:rsidRPr="00ED78BE">
        <w:t>El Salvador</w:t>
      </w:r>
    </w:p>
    <w:p w14:paraId="67211EF9" w14:textId="77777777" w:rsidR="0044242D" w:rsidRPr="00ED78BE" w:rsidRDefault="0044242D" w:rsidP="00237524">
      <w:pPr>
        <w:pStyle w:val="Para1"/>
        <w:numPr>
          <w:ilvl w:val="0"/>
          <w:numId w:val="0"/>
        </w:numPr>
        <w:spacing w:before="0" w:after="0"/>
        <w:ind w:left="142" w:hanging="142"/>
        <w:jc w:val="left"/>
      </w:pPr>
      <w:r w:rsidRPr="00ED78BE">
        <w:t>Eritrea</w:t>
      </w:r>
    </w:p>
    <w:p w14:paraId="7CAE2C77" w14:textId="77777777" w:rsidR="0044242D" w:rsidRPr="00ED78BE" w:rsidRDefault="0044242D" w:rsidP="00237524">
      <w:pPr>
        <w:pStyle w:val="Para1"/>
        <w:numPr>
          <w:ilvl w:val="0"/>
          <w:numId w:val="0"/>
        </w:numPr>
        <w:spacing w:before="0" w:after="0"/>
        <w:ind w:left="142" w:hanging="142"/>
        <w:jc w:val="left"/>
      </w:pPr>
      <w:r w:rsidRPr="00ED78BE">
        <w:t>Estonia</w:t>
      </w:r>
    </w:p>
    <w:p w14:paraId="40ECD4A8" w14:textId="77777777" w:rsidR="0044242D" w:rsidRPr="00ED78BE" w:rsidRDefault="0044242D" w:rsidP="00237524">
      <w:pPr>
        <w:pStyle w:val="Para1"/>
        <w:numPr>
          <w:ilvl w:val="0"/>
          <w:numId w:val="0"/>
        </w:numPr>
        <w:spacing w:before="0" w:after="0"/>
        <w:ind w:left="142" w:hanging="142"/>
        <w:jc w:val="left"/>
      </w:pPr>
      <w:proofErr w:type="spellStart"/>
      <w:r w:rsidRPr="00ED78BE">
        <w:t>Eswatini</w:t>
      </w:r>
      <w:proofErr w:type="spellEnd"/>
    </w:p>
    <w:p w14:paraId="58A6FB95" w14:textId="77777777" w:rsidR="0044242D" w:rsidRPr="00ED78BE" w:rsidRDefault="0044242D" w:rsidP="00237524">
      <w:pPr>
        <w:pStyle w:val="Para1"/>
        <w:numPr>
          <w:ilvl w:val="0"/>
          <w:numId w:val="0"/>
        </w:numPr>
        <w:spacing w:before="0" w:after="0"/>
        <w:ind w:left="142" w:hanging="142"/>
        <w:jc w:val="left"/>
      </w:pPr>
      <w:r w:rsidRPr="00ED78BE">
        <w:t>Ethiopia</w:t>
      </w:r>
    </w:p>
    <w:p w14:paraId="190E7912" w14:textId="77777777" w:rsidR="0044242D" w:rsidRPr="00ED78BE" w:rsidRDefault="0044242D" w:rsidP="00237524">
      <w:pPr>
        <w:pStyle w:val="Para1"/>
        <w:numPr>
          <w:ilvl w:val="0"/>
          <w:numId w:val="0"/>
        </w:numPr>
        <w:spacing w:before="0" w:after="0"/>
        <w:ind w:left="142" w:hanging="142"/>
        <w:jc w:val="left"/>
      </w:pPr>
      <w:r w:rsidRPr="00ED78BE">
        <w:t>European Union</w:t>
      </w:r>
    </w:p>
    <w:p w14:paraId="5B475744" w14:textId="77777777" w:rsidR="0044242D" w:rsidRPr="00ED78BE" w:rsidRDefault="0044242D" w:rsidP="00237524">
      <w:pPr>
        <w:pStyle w:val="Para1"/>
        <w:numPr>
          <w:ilvl w:val="0"/>
          <w:numId w:val="0"/>
        </w:numPr>
        <w:spacing w:before="0" w:after="0"/>
        <w:ind w:left="142" w:hanging="142"/>
        <w:jc w:val="left"/>
      </w:pPr>
      <w:r w:rsidRPr="00ED78BE">
        <w:t>Fiji</w:t>
      </w:r>
    </w:p>
    <w:p w14:paraId="5AEBC097" w14:textId="77777777" w:rsidR="0044242D" w:rsidRPr="00ED78BE" w:rsidRDefault="0044242D" w:rsidP="00237524">
      <w:pPr>
        <w:pStyle w:val="Para1"/>
        <w:numPr>
          <w:ilvl w:val="0"/>
          <w:numId w:val="0"/>
        </w:numPr>
        <w:spacing w:before="0" w:after="0"/>
        <w:ind w:left="142" w:hanging="142"/>
        <w:jc w:val="left"/>
      </w:pPr>
      <w:r w:rsidRPr="00ED78BE">
        <w:t>Finland</w:t>
      </w:r>
    </w:p>
    <w:p w14:paraId="2148487C" w14:textId="77777777" w:rsidR="0044242D" w:rsidRPr="00ED78BE" w:rsidRDefault="0044242D" w:rsidP="00237524">
      <w:pPr>
        <w:pStyle w:val="Para1"/>
        <w:numPr>
          <w:ilvl w:val="0"/>
          <w:numId w:val="0"/>
        </w:numPr>
        <w:spacing w:before="0" w:after="0"/>
        <w:ind w:left="142" w:hanging="142"/>
        <w:jc w:val="left"/>
      </w:pPr>
      <w:r w:rsidRPr="00ED78BE">
        <w:t>France</w:t>
      </w:r>
    </w:p>
    <w:p w14:paraId="6D11788A" w14:textId="77777777" w:rsidR="0044242D" w:rsidRPr="00ED78BE" w:rsidRDefault="0044242D" w:rsidP="00237524">
      <w:pPr>
        <w:pStyle w:val="Para1"/>
        <w:numPr>
          <w:ilvl w:val="0"/>
          <w:numId w:val="0"/>
        </w:numPr>
        <w:spacing w:before="0" w:after="0"/>
        <w:ind w:left="142" w:hanging="142"/>
        <w:jc w:val="left"/>
      </w:pPr>
      <w:r w:rsidRPr="00ED78BE">
        <w:t>Gabon</w:t>
      </w:r>
    </w:p>
    <w:p w14:paraId="524A2883" w14:textId="77777777" w:rsidR="0044242D" w:rsidRPr="00ED78BE" w:rsidRDefault="0044242D" w:rsidP="00237524">
      <w:pPr>
        <w:pStyle w:val="Para1"/>
        <w:numPr>
          <w:ilvl w:val="0"/>
          <w:numId w:val="0"/>
        </w:numPr>
        <w:spacing w:before="0" w:after="0"/>
        <w:ind w:left="142" w:hanging="142"/>
        <w:jc w:val="left"/>
      </w:pPr>
      <w:r w:rsidRPr="00ED78BE">
        <w:t>Gambia (the)</w:t>
      </w:r>
    </w:p>
    <w:p w14:paraId="02011677" w14:textId="77777777" w:rsidR="0044242D" w:rsidRPr="00ED78BE" w:rsidRDefault="0044242D" w:rsidP="00237524">
      <w:pPr>
        <w:pStyle w:val="Para1"/>
        <w:numPr>
          <w:ilvl w:val="0"/>
          <w:numId w:val="0"/>
        </w:numPr>
        <w:spacing w:before="0" w:after="0"/>
        <w:ind w:left="142" w:hanging="142"/>
        <w:jc w:val="left"/>
      </w:pPr>
      <w:r w:rsidRPr="00ED78BE">
        <w:t>Georgia</w:t>
      </w:r>
    </w:p>
    <w:p w14:paraId="7EC783C8" w14:textId="77777777" w:rsidR="0044242D" w:rsidRPr="00ED78BE" w:rsidRDefault="0044242D" w:rsidP="00237524">
      <w:pPr>
        <w:pStyle w:val="Para1"/>
        <w:numPr>
          <w:ilvl w:val="0"/>
          <w:numId w:val="0"/>
        </w:numPr>
        <w:spacing w:before="0" w:after="0"/>
        <w:ind w:left="142" w:hanging="142"/>
        <w:jc w:val="left"/>
      </w:pPr>
      <w:r w:rsidRPr="00ED78BE">
        <w:t>Germany</w:t>
      </w:r>
    </w:p>
    <w:p w14:paraId="47178479" w14:textId="77777777" w:rsidR="0044242D" w:rsidRPr="00ED78BE" w:rsidRDefault="0044242D" w:rsidP="00237524">
      <w:pPr>
        <w:pStyle w:val="Para1"/>
        <w:numPr>
          <w:ilvl w:val="0"/>
          <w:numId w:val="0"/>
        </w:numPr>
        <w:spacing w:before="0" w:after="0"/>
        <w:ind w:left="142" w:hanging="142"/>
        <w:jc w:val="left"/>
      </w:pPr>
      <w:r w:rsidRPr="00ED78BE">
        <w:t>Ghana</w:t>
      </w:r>
    </w:p>
    <w:p w14:paraId="6C41E740" w14:textId="77777777" w:rsidR="0044242D" w:rsidRPr="00ED78BE" w:rsidRDefault="0044242D" w:rsidP="00237524">
      <w:pPr>
        <w:pStyle w:val="Para1"/>
        <w:numPr>
          <w:ilvl w:val="0"/>
          <w:numId w:val="0"/>
        </w:numPr>
        <w:spacing w:before="0" w:after="0"/>
        <w:ind w:left="142" w:hanging="142"/>
        <w:jc w:val="left"/>
      </w:pPr>
      <w:r w:rsidRPr="00ED78BE">
        <w:t>Greece</w:t>
      </w:r>
    </w:p>
    <w:p w14:paraId="37518586" w14:textId="77777777" w:rsidR="0044242D" w:rsidRPr="00ED78BE" w:rsidRDefault="0044242D" w:rsidP="00237524">
      <w:pPr>
        <w:pStyle w:val="Para1"/>
        <w:numPr>
          <w:ilvl w:val="0"/>
          <w:numId w:val="0"/>
        </w:numPr>
        <w:spacing w:before="0" w:after="0"/>
        <w:ind w:left="142" w:hanging="142"/>
        <w:jc w:val="left"/>
      </w:pPr>
      <w:r w:rsidRPr="00ED78BE">
        <w:t>Grenada</w:t>
      </w:r>
    </w:p>
    <w:p w14:paraId="4D7C4882" w14:textId="77777777" w:rsidR="0044242D" w:rsidRPr="00ED78BE" w:rsidRDefault="0044242D" w:rsidP="00237524">
      <w:pPr>
        <w:pStyle w:val="Para1"/>
        <w:numPr>
          <w:ilvl w:val="0"/>
          <w:numId w:val="0"/>
        </w:numPr>
        <w:spacing w:before="0" w:after="0"/>
        <w:ind w:left="142" w:hanging="142"/>
        <w:jc w:val="left"/>
      </w:pPr>
      <w:r w:rsidRPr="00ED78BE">
        <w:t>Guatemala</w:t>
      </w:r>
    </w:p>
    <w:p w14:paraId="33F69378" w14:textId="77777777" w:rsidR="0044242D" w:rsidRPr="00ED78BE" w:rsidRDefault="0044242D" w:rsidP="00237524">
      <w:pPr>
        <w:pStyle w:val="Para1"/>
        <w:numPr>
          <w:ilvl w:val="0"/>
          <w:numId w:val="0"/>
        </w:numPr>
        <w:spacing w:before="0" w:after="0"/>
        <w:ind w:left="142" w:hanging="142"/>
        <w:jc w:val="left"/>
      </w:pPr>
      <w:r w:rsidRPr="00ED78BE">
        <w:t>Guinea</w:t>
      </w:r>
    </w:p>
    <w:p w14:paraId="1584402F" w14:textId="77777777" w:rsidR="0044242D" w:rsidRPr="00ED78BE" w:rsidRDefault="0044242D" w:rsidP="00237524">
      <w:pPr>
        <w:pStyle w:val="Para1"/>
        <w:numPr>
          <w:ilvl w:val="0"/>
          <w:numId w:val="0"/>
        </w:numPr>
        <w:spacing w:before="0" w:after="0"/>
        <w:ind w:left="142" w:hanging="142"/>
        <w:jc w:val="left"/>
      </w:pPr>
      <w:r w:rsidRPr="00ED78BE">
        <w:t>Guinea-Bissau</w:t>
      </w:r>
    </w:p>
    <w:p w14:paraId="0D9EF988" w14:textId="77777777" w:rsidR="0044242D" w:rsidRPr="00ED78BE" w:rsidRDefault="0044242D" w:rsidP="00237524">
      <w:pPr>
        <w:pStyle w:val="Para1"/>
        <w:numPr>
          <w:ilvl w:val="0"/>
          <w:numId w:val="0"/>
        </w:numPr>
        <w:spacing w:before="0" w:after="0"/>
        <w:ind w:left="142" w:hanging="142"/>
        <w:jc w:val="left"/>
      </w:pPr>
      <w:r w:rsidRPr="00ED78BE">
        <w:t>Guyana</w:t>
      </w:r>
    </w:p>
    <w:p w14:paraId="26D7A190" w14:textId="77777777" w:rsidR="0044242D" w:rsidRPr="00ED78BE" w:rsidRDefault="0044242D" w:rsidP="00237524">
      <w:pPr>
        <w:pStyle w:val="Para1"/>
        <w:numPr>
          <w:ilvl w:val="0"/>
          <w:numId w:val="0"/>
        </w:numPr>
        <w:spacing w:before="0" w:after="0"/>
        <w:ind w:left="142" w:hanging="142"/>
        <w:jc w:val="left"/>
      </w:pPr>
      <w:r w:rsidRPr="00ED78BE">
        <w:t>Honduras</w:t>
      </w:r>
    </w:p>
    <w:p w14:paraId="395DCBE8" w14:textId="77777777" w:rsidR="0044242D" w:rsidRPr="00ED78BE" w:rsidRDefault="0044242D" w:rsidP="00237524">
      <w:pPr>
        <w:pStyle w:val="Para1"/>
        <w:numPr>
          <w:ilvl w:val="0"/>
          <w:numId w:val="0"/>
        </w:numPr>
        <w:spacing w:before="0" w:after="0"/>
        <w:ind w:left="142" w:hanging="142"/>
        <w:jc w:val="left"/>
      </w:pPr>
      <w:r w:rsidRPr="00ED78BE">
        <w:t>Hungary</w:t>
      </w:r>
    </w:p>
    <w:p w14:paraId="5E645EC4" w14:textId="77777777" w:rsidR="0044242D" w:rsidRPr="00ED78BE" w:rsidRDefault="0044242D" w:rsidP="00237524">
      <w:pPr>
        <w:pStyle w:val="Para1"/>
        <w:numPr>
          <w:ilvl w:val="0"/>
          <w:numId w:val="0"/>
        </w:numPr>
        <w:spacing w:before="0" w:after="0"/>
        <w:ind w:left="142" w:hanging="142"/>
        <w:jc w:val="left"/>
      </w:pPr>
      <w:r w:rsidRPr="00ED78BE">
        <w:t>India</w:t>
      </w:r>
    </w:p>
    <w:p w14:paraId="4B947D17" w14:textId="77777777" w:rsidR="0044242D" w:rsidRPr="00ED78BE" w:rsidRDefault="0044242D" w:rsidP="00237524">
      <w:pPr>
        <w:pStyle w:val="Para1"/>
        <w:numPr>
          <w:ilvl w:val="0"/>
          <w:numId w:val="0"/>
        </w:numPr>
        <w:spacing w:before="0" w:after="0"/>
        <w:ind w:left="142" w:hanging="142"/>
        <w:jc w:val="left"/>
      </w:pPr>
      <w:r w:rsidRPr="00ED78BE">
        <w:t>Indonesia</w:t>
      </w:r>
    </w:p>
    <w:p w14:paraId="1A8FA6D0" w14:textId="77777777" w:rsidR="0044242D" w:rsidRPr="00ED78BE" w:rsidRDefault="0044242D" w:rsidP="00237524">
      <w:pPr>
        <w:pStyle w:val="Para1"/>
        <w:numPr>
          <w:ilvl w:val="0"/>
          <w:numId w:val="0"/>
        </w:numPr>
        <w:spacing w:before="0" w:after="0"/>
        <w:ind w:left="142" w:hanging="142"/>
        <w:jc w:val="left"/>
      </w:pPr>
      <w:r w:rsidRPr="00ED78BE">
        <w:t>Iran (Islamic Republic of)</w:t>
      </w:r>
    </w:p>
    <w:p w14:paraId="13FF29AB" w14:textId="77777777" w:rsidR="0044242D" w:rsidRPr="00237524" w:rsidRDefault="0044242D" w:rsidP="00237524">
      <w:pPr>
        <w:pStyle w:val="Para1"/>
        <w:numPr>
          <w:ilvl w:val="0"/>
          <w:numId w:val="0"/>
        </w:numPr>
        <w:spacing w:before="0" w:after="0"/>
        <w:ind w:left="142" w:hanging="142"/>
        <w:jc w:val="left"/>
        <w:rPr>
          <w:lang w:val="fr-FR"/>
        </w:rPr>
      </w:pPr>
      <w:r w:rsidRPr="00237524">
        <w:rPr>
          <w:lang w:val="fr-FR"/>
        </w:rPr>
        <w:t>Iraq</w:t>
      </w:r>
    </w:p>
    <w:p w14:paraId="3EEE5020" w14:textId="77777777" w:rsidR="0044242D" w:rsidRPr="00237524" w:rsidRDefault="0044242D" w:rsidP="00237524">
      <w:pPr>
        <w:pStyle w:val="Para1"/>
        <w:numPr>
          <w:ilvl w:val="0"/>
          <w:numId w:val="0"/>
        </w:numPr>
        <w:spacing w:before="0" w:after="0"/>
        <w:ind w:left="142" w:hanging="142"/>
        <w:jc w:val="left"/>
        <w:rPr>
          <w:lang w:val="fr-FR"/>
        </w:rPr>
      </w:pPr>
      <w:r w:rsidRPr="00237524">
        <w:rPr>
          <w:lang w:val="fr-FR"/>
        </w:rPr>
        <w:t>Ireland</w:t>
      </w:r>
    </w:p>
    <w:p w14:paraId="5784AEA5" w14:textId="77777777" w:rsidR="0044242D" w:rsidRPr="00237524" w:rsidRDefault="0044242D" w:rsidP="00237524">
      <w:pPr>
        <w:pStyle w:val="Para1"/>
        <w:numPr>
          <w:ilvl w:val="0"/>
          <w:numId w:val="0"/>
        </w:numPr>
        <w:spacing w:before="0" w:after="0"/>
        <w:ind w:left="142" w:hanging="142"/>
        <w:jc w:val="left"/>
        <w:rPr>
          <w:lang w:val="fr-FR"/>
        </w:rPr>
      </w:pPr>
      <w:proofErr w:type="spellStart"/>
      <w:r w:rsidRPr="00237524">
        <w:rPr>
          <w:lang w:val="fr-FR"/>
        </w:rPr>
        <w:t>Italy</w:t>
      </w:r>
      <w:proofErr w:type="spellEnd"/>
    </w:p>
    <w:p w14:paraId="182CD3AC" w14:textId="77777777" w:rsidR="0044242D" w:rsidRPr="00237524" w:rsidRDefault="0044242D" w:rsidP="00237524">
      <w:pPr>
        <w:pStyle w:val="Para1"/>
        <w:numPr>
          <w:ilvl w:val="0"/>
          <w:numId w:val="0"/>
        </w:numPr>
        <w:spacing w:before="0" w:after="0"/>
        <w:ind w:left="142" w:hanging="142"/>
        <w:jc w:val="left"/>
        <w:rPr>
          <w:lang w:val="fr-FR"/>
        </w:rPr>
      </w:pPr>
      <w:proofErr w:type="spellStart"/>
      <w:r w:rsidRPr="00237524">
        <w:rPr>
          <w:lang w:val="fr-FR"/>
        </w:rPr>
        <w:t>Jamaica</w:t>
      </w:r>
      <w:proofErr w:type="spellEnd"/>
    </w:p>
    <w:p w14:paraId="0AC13E43" w14:textId="77777777" w:rsidR="0044242D" w:rsidRPr="00237524" w:rsidRDefault="0044242D" w:rsidP="00237524">
      <w:pPr>
        <w:pStyle w:val="Para1"/>
        <w:numPr>
          <w:ilvl w:val="0"/>
          <w:numId w:val="0"/>
        </w:numPr>
        <w:spacing w:before="0" w:after="0"/>
        <w:ind w:left="142" w:hanging="142"/>
        <w:jc w:val="left"/>
        <w:rPr>
          <w:lang w:val="fr-FR"/>
        </w:rPr>
      </w:pPr>
      <w:r w:rsidRPr="00237524">
        <w:rPr>
          <w:lang w:val="fr-FR"/>
        </w:rPr>
        <w:t>Japan</w:t>
      </w:r>
    </w:p>
    <w:p w14:paraId="327E3C79" w14:textId="77777777" w:rsidR="0044242D" w:rsidRPr="00237524" w:rsidRDefault="0044242D" w:rsidP="00237524">
      <w:pPr>
        <w:pStyle w:val="Para1"/>
        <w:numPr>
          <w:ilvl w:val="0"/>
          <w:numId w:val="0"/>
        </w:numPr>
        <w:spacing w:before="0" w:after="0"/>
        <w:ind w:left="142" w:hanging="142"/>
        <w:jc w:val="left"/>
        <w:rPr>
          <w:lang w:val="fr-FR"/>
        </w:rPr>
      </w:pPr>
      <w:r w:rsidRPr="00237524">
        <w:rPr>
          <w:lang w:val="fr-FR"/>
        </w:rPr>
        <w:t>Jordan</w:t>
      </w:r>
    </w:p>
    <w:p w14:paraId="2FE2C746" w14:textId="77777777" w:rsidR="0044242D" w:rsidRPr="00ED78BE" w:rsidRDefault="0044242D" w:rsidP="00237524">
      <w:pPr>
        <w:pStyle w:val="Para1"/>
        <w:numPr>
          <w:ilvl w:val="0"/>
          <w:numId w:val="0"/>
        </w:numPr>
        <w:spacing w:before="0" w:after="0"/>
        <w:ind w:left="142" w:hanging="142"/>
        <w:jc w:val="left"/>
      </w:pPr>
      <w:r w:rsidRPr="00ED78BE">
        <w:t>Kenya</w:t>
      </w:r>
    </w:p>
    <w:p w14:paraId="2A038FB0" w14:textId="77777777" w:rsidR="0044242D" w:rsidRPr="00ED78BE" w:rsidRDefault="0044242D" w:rsidP="00237524">
      <w:pPr>
        <w:pStyle w:val="Para1"/>
        <w:numPr>
          <w:ilvl w:val="0"/>
          <w:numId w:val="0"/>
        </w:numPr>
        <w:spacing w:before="0" w:after="0"/>
        <w:ind w:left="142" w:hanging="142"/>
        <w:jc w:val="left"/>
      </w:pPr>
      <w:r w:rsidRPr="00ED78BE">
        <w:t>Kiribati</w:t>
      </w:r>
    </w:p>
    <w:p w14:paraId="65AC22CF" w14:textId="77777777" w:rsidR="0044242D" w:rsidRPr="00ED78BE" w:rsidRDefault="0044242D" w:rsidP="00237524">
      <w:pPr>
        <w:pStyle w:val="Para1"/>
        <w:numPr>
          <w:ilvl w:val="0"/>
          <w:numId w:val="0"/>
        </w:numPr>
        <w:spacing w:before="0" w:after="0"/>
        <w:ind w:left="142" w:hanging="142"/>
        <w:jc w:val="left"/>
      </w:pPr>
      <w:r w:rsidRPr="00ED78BE">
        <w:t>Kuwait</w:t>
      </w:r>
    </w:p>
    <w:p w14:paraId="17C0512B" w14:textId="77777777" w:rsidR="0044242D" w:rsidRPr="00ED78BE" w:rsidRDefault="0044242D" w:rsidP="00237524">
      <w:pPr>
        <w:pStyle w:val="Para1"/>
        <w:numPr>
          <w:ilvl w:val="0"/>
          <w:numId w:val="0"/>
        </w:numPr>
        <w:spacing w:before="0" w:after="0"/>
        <w:ind w:left="142" w:hanging="142"/>
        <w:jc w:val="left"/>
      </w:pPr>
      <w:r w:rsidRPr="00ED78BE">
        <w:t>Kyrgyzstan</w:t>
      </w:r>
    </w:p>
    <w:p w14:paraId="47F69CA9" w14:textId="24138722" w:rsidR="0044242D" w:rsidRPr="00ED78BE" w:rsidRDefault="0044242D" w:rsidP="00237524">
      <w:pPr>
        <w:pStyle w:val="Para1"/>
        <w:numPr>
          <w:ilvl w:val="0"/>
          <w:numId w:val="0"/>
        </w:numPr>
        <w:spacing w:before="0" w:after="0"/>
        <w:ind w:left="142" w:hanging="142"/>
        <w:jc w:val="left"/>
      </w:pPr>
      <w:r w:rsidRPr="00ED78BE">
        <w:t>Lao People</w:t>
      </w:r>
      <w:r w:rsidR="00380EFC" w:rsidRPr="00ED78BE">
        <w:t>’</w:t>
      </w:r>
      <w:r w:rsidRPr="00ED78BE">
        <w:t>s Democratic Republic</w:t>
      </w:r>
    </w:p>
    <w:p w14:paraId="5AE4E885" w14:textId="77777777" w:rsidR="0044242D" w:rsidRPr="00ED78BE" w:rsidRDefault="0044242D" w:rsidP="00237524">
      <w:pPr>
        <w:pStyle w:val="Para1"/>
        <w:numPr>
          <w:ilvl w:val="0"/>
          <w:numId w:val="0"/>
        </w:numPr>
        <w:spacing w:before="0" w:after="0"/>
        <w:ind w:left="142" w:hanging="142"/>
        <w:jc w:val="left"/>
      </w:pPr>
      <w:r w:rsidRPr="00ED78BE">
        <w:t>Latvia</w:t>
      </w:r>
    </w:p>
    <w:p w14:paraId="1AB90A17" w14:textId="77777777" w:rsidR="0044242D" w:rsidRPr="00ED78BE" w:rsidRDefault="0044242D" w:rsidP="00237524">
      <w:pPr>
        <w:pStyle w:val="Para1"/>
        <w:numPr>
          <w:ilvl w:val="0"/>
          <w:numId w:val="0"/>
        </w:numPr>
        <w:spacing w:before="0" w:after="0"/>
        <w:ind w:left="142" w:hanging="142"/>
        <w:jc w:val="left"/>
      </w:pPr>
      <w:r w:rsidRPr="00ED78BE">
        <w:t>Lebanon</w:t>
      </w:r>
    </w:p>
    <w:p w14:paraId="47C4CAAE" w14:textId="77777777" w:rsidR="0044242D" w:rsidRPr="00ED78BE" w:rsidRDefault="0044242D" w:rsidP="00237524">
      <w:pPr>
        <w:pStyle w:val="Para1"/>
        <w:numPr>
          <w:ilvl w:val="0"/>
          <w:numId w:val="0"/>
        </w:numPr>
        <w:spacing w:before="0" w:after="0"/>
        <w:ind w:left="142" w:hanging="142"/>
        <w:jc w:val="left"/>
      </w:pPr>
      <w:r w:rsidRPr="00ED78BE">
        <w:t>Lesotho</w:t>
      </w:r>
    </w:p>
    <w:p w14:paraId="63A04322" w14:textId="77777777" w:rsidR="0044242D" w:rsidRPr="00ED78BE" w:rsidRDefault="0044242D" w:rsidP="00237524">
      <w:pPr>
        <w:pStyle w:val="Para1"/>
        <w:numPr>
          <w:ilvl w:val="0"/>
          <w:numId w:val="0"/>
        </w:numPr>
        <w:spacing w:before="0" w:after="0"/>
        <w:ind w:left="142" w:hanging="142"/>
        <w:jc w:val="left"/>
      </w:pPr>
      <w:r w:rsidRPr="00ED78BE">
        <w:t>Liberia</w:t>
      </w:r>
    </w:p>
    <w:p w14:paraId="163C6BF6" w14:textId="77777777" w:rsidR="0044242D" w:rsidRPr="00ED78BE" w:rsidRDefault="0044242D" w:rsidP="00237524">
      <w:pPr>
        <w:pStyle w:val="Para1"/>
        <w:numPr>
          <w:ilvl w:val="0"/>
          <w:numId w:val="0"/>
        </w:numPr>
        <w:spacing w:before="0" w:after="0"/>
        <w:ind w:left="142" w:hanging="142"/>
        <w:jc w:val="left"/>
      </w:pPr>
      <w:r w:rsidRPr="00ED78BE">
        <w:t>Libya</w:t>
      </w:r>
    </w:p>
    <w:p w14:paraId="27067278" w14:textId="77777777" w:rsidR="0044242D" w:rsidRPr="00ED78BE" w:rsidRDefault="0044242D" w:rsidP="00237524">
      <w:pPr>
        <w:pStyle w:val="Para1"/>
        <w:numPr>
          <w:ilvl w:val="0"/>
          <w:numId w:val="0"/>
        </w:numPr>
        <w:spacing w:before="0" w:after="0"/>
        <w:ind w:left="142" w:hanging="142"/>
        <w:jc w:val="left"/>
      </w:pPr>
      <w:r w:rsidRPr="00ED78BE">
        <w:t>Lithuania</w:t>
      </w:r>
    </w:p>
    <w:p w14:paraId="3D621E9D" w14:textId="77777777" w:rsidR="0044242D" w:rsidRPr="00237524" w:rsidRDefault="0044242D" w:rsidP="00237524">
      <w:pPr>
        <w:pStyle w:val="Para1"/>
        <w:numPr>
          <w:ilvl w:val="0"/>
          <w:numId w:val="0"/>
        </w:numPr>
        <w:spacing w:before="0" w:after="0"/>
        <w:ind w:left="142" w:hanging="142"/>
        <w:jc w:val="left"/>
        <w:rPr>
          <w:lang w:val="fr-FR"/>
        </w:rPr>
      </w:pPr>
      <w:r w:rsidRPr="00237524">
        <w:rPr>
          <w:lang w:val="fr-FR"/>
        </w:rPr>
        <w:t>Luxembourg</w:t>
      </w:r>
    </w:p>
    <w:p w14:paraId="783D4FA3" w14:textId="77777777" w:rsidR="0044242D" w:rsidRPr="00237524" w:rsidRDefault="0044242D" w:rsidP="00237524">
      <w:pPr>
        <w:pStyle w:val="Para1"/>
        <w:numPr>
          <w:ilvl w:val="0"/>
          <w:numId w:val="0"/>
        </w:numPr>
        <w:spacing w:before="0" w:after="0"/>
        <w:ind w:left="142" w:hanging="142"/>
        <w:jc w:val="left"/>
        <w:rPr>
          <w:lang w:val="fr-FR"/>
        </w:rPr>
      </w:pPr>
      <w:r w:rsidRPr="00237524">
        <w:rPr>
          <w:lang w:val="fr-FR"/>
        </w:rPr>
        <w:t>Madagascar</w:t>
      </w:r>
    </w:p>
    <w:p w14:paraId="632521EA" w14:textId="77777777" w:rsidR="0044242D" w:rsidRPr="00237524" w:rsidRDefault="0044242D" w:rsidP="00237524">
      <w:pPr>
        <w:pStyle w:val="Para1"/>
        <w:numPr>
          <w:ilvl w:val="0"/>
          <w:numId w:val="0"/>
        </w:numPr>
        <w:spacing w:before="0" w:after="0"/>
        <w:ind w:left="142" w:hanging="142"/>
        <w:jc w:val="left"/>
        <w:rPr>
          <w:lang w:val="fr-FR"/>
        </w:rPr>
      </w:pPr>
      <w:r w:rsidRPr="00237524">
        <w:rPr>
          <w:lang w:val="fr-FR"/>
        </w:rPr>
        <w:t>Malawi</w:t>
      </w:r>
    </w:p>
    <w:p w14:paraId="2292F809" w14:textId="77777777" w:rsidR="0044242D" w:rsidRPr="00237524" w:rsidRDefault="0044242D" w:rsidP="00237524">
      <w:pPr>
        <w:pStyle w:val="Para1"/>
        <w:numPr>
          <w:ilvl w:val="0"/>
          <w:numId w:val="0"/>
        </w:numPr>
        <w:spacing w:before="0" w:after="0"/>
        <w:ind w:left="142" w:hanging="142"/>
        <w:jc w:val="left"/>
        <w:rPr>
          <w:lang w:val="fr-FR"/>
        </w:rPr>
      </w:pPr>
      <w:r w:rsidRPr="00237524">
        <w:rPr>
          <w:lang w:val="fr-FR"/>
        </w:rPr>
        <w:t>Malaysia</w:t>
      </w:r>
    </w:p>
    <w:p w14:paraId="7B422591" w14:textId="77777777" w:rsidR="0044242D" w:rsidRPr="00237524" w:rsidRDefault="0044242D" w:rsidP="00237524">
      <w:pPr>
        <w:pStyle w:val="Para1"/>
        <w:numPr>
          <w:ilvl w:val="0"/>
          <w:numId w:val="0"/>
        </w:numPr>
        <w:spacing w:before="0" w:after="0"/>
        <w:ind w:left="142" w:hanging="142"/>
        <w:jc w:val="left"/>
        <w:rPr>
          <w:lang w:val="fr-FR"/>
        </w:rPr>
      </w:pPr>
      <w:r w:rsidRPr="00237524">
        <w:rPr>
          <w:lang w:val="fr-FR"/>
        </w:rPr>
        <w:t>Maldives</w:t>
      </w:r>
    </w:p>
    <w:p w14:paraId="33A823A3" w14:textId="77777777" w:rsidR="0044242D" w:rsidRPr="00237524" w:rsidRDefault="0044242D" w:rsidP="00237524">
      <w:pPr>
        <w:pStyle w:val="Para1"/>
        <w:numPr>
          <w:ilvl w:val="0"/>
          <w:numId w:val="0"/>
        </w:numPr>
        <w:spacing w:before="0" w:after="0"/>
        <w:ind w:left="142" w:hanging="142"/>
        <w:jc w:val="left"/>
        <w:rPr>
          <w:lang w:val="fr-FR"/>
        </w:rPr>
      </w:pPr>
      <w:r w:rsidRPr="00237524">
        <w:rPr>
          <w:lang w:val="fr-FR"/>
        </w:rPr>
        <w:t>Mali</w:t>
      </w:r>
    </w:p>
    <w:p w14:paraId="546BF6B6" w14:textId="77777777" w:rsidR="0044242D" w:rsidRPr="00ED78BE" w:rsidRDefault="0044242D" w:rsidP="00237524">
      <w:pPr>
        <w:pStyle w:val="Para1"/>
        <w:numPr>
          <w:ilvl w:val="0"/>
          <w:numId w:val="0"/>
        </w:numPr>
        <w:spacing w:before="0" w:after="0"/>
        <w:ind w:left="142" w:hanging="142"/>
        <w:jc w:val="left"/>
      </w:pPr>
      <w:r w:rsidRPr="00ED78BE">
        <w:t>Malta</w:t>
      </w:r>
    </w:p>
    <w:p w14:paraId="4CE47D6E" w14:textId="77777777" w:rsidR="0044242D" w:rsidRPr="00ED78BE" w:rsidRDefault="0044242D" w:rsidP="00237524">
      <w:pPr>
        <w:pStyle w:val="Para1"/>
        <w:numPr>
          <w:ilvl w:val="0"/>
          <w:numId w:val="0"/>
        </w:numPr>
        <w:spacing w:before="0" w:after="0"/>
        <w:ind w:left="142" w:hanging="142"/>
        <w:jc w:val="left"/>
      </w:pPr>
      <w:r w:rsidRPr="00ED78BE">
        <w:t>Marshall Islands</w:t>
      </w:r>
    </w:p>
    <w:p w14:paraId="74ACD294" w14:textId="77777777" w:rsidR="0044242D" w:rsidRPr="00ED78BE" w:rsidRDefault="0044242D" w:rsidP="00237524">
      <w:pPr>
        <w:pStyle w:val="Para1"/>
        <w:numPr>
          <w:ilvl w:val="0"/>
          <w:numId w:val="0"/>
        </w:numPr>
        <w:spacing w:before="0" w:after="0"/>
        <w:ind w:left="142" w:hanging="142"/>
        <w:jc w:val="left"/>
      </w:pPr>
      <w:r w:rsidRPr="00ED78BE">
        <w:t>Mauritania</w:t>
      </w:r>
    </w:p>
    <w:p w14:paraId="25176E01" w14:textId="77777777" w:rsidR="0044242D" w:rsidRPr="00ED78BE" w:rsidRDefault="0044242D" w:rsidP="00237524">
      <w:pPr>
        <w:pStyle w:val="Para1"/>
        <w:numPr>
          <w:ilvl w:val="0"/>
          <w:numId w:val="0"/>
        </w:numPr>
        <w:spacing w:before="0" w:after="0"/>
        <w:ind w:left="142" w:hanging="142"/>
        <w:jc w:val="left"/>
      </w:pPr>
      <w:r w:rsidRPr="00ED78BE">
        <w:t>Mauritius</w:t>
      </w:r>
    </w:p>
    <w:p w14:paraId="0EE3E81E" w14:textId="77777777" w:rsidR="0044242D" w:rsidRPr="00ED78BE" w:rsidRDefault="0044242D" w:rsidP="00237524">
      <w:pPr>
        <w:pStyle w:val="Para1"/>
        <w:numPr>
          <w:ilvl w:val="0"/>
          <w:numId w:val="0"/>
        </w:numPr>
        <w:spacing w:before="0" w:after="0"/>
        <w:ind w:left="142" w:hanging="142"/>
        <w:jc w:val="left"/>
      </w:pPr>
      <w:r w:rsidRPr="00ED78BE">
        <w:t>Mexico</w:t>
      </w:r>
    </w:p>
    <w:p w14:paraId="584C92E0" w14:textId="77777777" w:rsidR="0044242D" w:rsidRPr="00ED78BE" w:rsidRDefault="0044242D" w:rsidP="00237524">
      <w:pPr>
        <w:pStyle w:val="Para1"/>
        <w:numPr>
          <w:ilvl w:val="0"/>
          <w:numId w:val="0"/>
        </w:numPr>
        <w:spacing w:before="0" w:after="0"/>
        <w:ind w:left="142" w:hanging="142"/>
        <w:jc w:val="left"/>
      </w:pPr>
      <w:r w:rsidRPr="00ED78BE">
        <w:t>Mongolia</w:t>
      </w:r>
    </w:p>
    <w:p w14:paraId="0CAB7C43" w14:textId="77777777" w:rsidR="0044242D" w:rsidRPr="00ED78BE" w:rsidRDefault="0044242D" w:rsidP="00237524">
      <w:pPr>
        <w:pStyle w:val="Para1"/>
        <w:numPr>
          <w:ilvl w:val="0"/>
          <w:numId w:val="0"/>
        </w:numPr>
        <w:spacing w:before="0" w:after="0"/>
        <w:ind w:left="142" w:hanging="142"/>
        <w:jc w:val="left"/>
      </w:pPr>
      <w:r w:rsidRPr="00ED78BE">
        <w:t>Morocco</w:t>
      </w:r>
    </w:p>
    <w:p w14:paraId="29CAC47F" w14:textId="77777777" w:rsidR="0044242D" w:rsidRPr="00ED78BE" w:rsidRDefault="0044242D" w:rsidP="00237524">
      <w:pPr>
        <w:pStyle w:val="Para1"/>
        <w:numPr>
          <w:ilvl w:val="0"/>
          <w:numId w:val="0"/>
        </w:numPr>
        <w:spacing w:before="0" w:after="0"/>
        <w:ind w:left="142" w:hanging="142"/>
        <w:jc w:val="left"/>
      </w:pPr>
      <w:r w:rsidRPr="00ED78BE">
        <w:t>Mozambique</w:t>
      </w:r>
    </w:p>
    <w:p w14:paraId="62E111C7" w14:textId="77777777" w:rsidR="0044242D" w:rsidRPr="00ED78BE" w:rsidRDefault="0044242D" w:rsidP="00237524">
      <w:pPr>
        <w:pStyle w:val="Para1"/>
        <w:numPr>
          <w:ilvl w:val="0"/>
          <w:numId w:val="0"/>
        </w:numPr>
        <w:spacing w:before="0" w:after="0"/>
        <w:ind w:left="142" w:hanging="142"/>
        <w:jc w:val="left"/>
      </w:pPr>
      <w:r w:rsidRPr="00ED78BE">
        <w:t>Myanmar</w:t>
      </w:r>
    </w:p>
    <w:p w14:paraId="6F73F0BB" w14:textId="77777777" w:rsidR="0044242D" w:rsidRPr="00ED78BE" w:rsidRDefault="0044242D" w:rsidP="00237524">
      <w:pPr>
        <w:pStyle w:val="Para1"/>
        <w:numPr>
          <w:ilvl w:val="0"/>
          <w:numId w:val="0"/>
        </w:numPr>
        <w:spacing w:before="0" w:after="0"/>
        <w:ind w:left="142" w:hanging="142"/>
        <w:jc w:val="left"/>
      </w:pPr>
      <w:r w:rsidRPr="00ED78BE">
        <w:t>Namibia</w:t>
      </w:r>
    </w:p>
    <w:p w14:paraId="4DE73649" w14:textId="77777777" w:rsidR="0044242D" w:rsidRPr="00ED78BE" w:rsidRDefault="0044242D" w:rsidP="00237524">
      <w:pPr>
        <w:pStyle w:val="Para1"/>
        <w:numPr>
          <w:ilvl w:val="0"/>
          <w:numId w:val="0"/>
        </w:numPr>
        <w:spacing w:before="0" w:after="0"/>
        <w:ind w:left="142" w:hanging="142"/>
        <w:jc w:val="left"/>
      </w:pPr>
      <w:r w:rsidRPr="00ED78BE">
        <w:t>Netherlands</w:t>
      </w:r>
    </w:p>
    <w:p w14:paraId="3A1A6E34" w14:textId="77777777" w:rsidR="0044242D" w:rsidRPr="00ED78BE" w:rsidRDefault="0044242D" w:rsidP="00237524">
      <w:pPr>
        <w:pStyle w:val="Para1"/>
        <w:numPr>
          <w:ilvl w:val="0"/>
          <w:numId w:val="0"/>
        </w:numPr>
        <w:spacing w:before="0" w:after="0"/>
        <w:ind w:left="142" w:hanging="142"/>
        <w:jc w:val="left"/>
      </w:pPr>
      <w:r w:rsidRPr="00ED78BE">
        <w:t>New Zealand</w:t>
      </w:r>
    </w:p>
    <w:p w14:paraId="23029902" w14:textId="77777777" w:rsidR="0044242D" w:rsidRPr="00ED78BE" w:rsidRDefault="0044242D" w:rsidP="00237524">
      <w:pPr>
        <w:pStyle w:val="Para1"/>
        <w:numPr>
          <w:ilvl w:val="0"/>
          <w:numId w:val="0"/>
        </w:numPr>
        <w:spacing w:before="0" w:after="0"/>
        <w:ind w:left="142" w:hanging="142"/>
        <w:jc w:val="left"/>
      </w:pPr>
      <w:r w:rsidRPr="00ED78BE">
        <w:t>Nicaragua</w:t>
      </w:r>
    </w:p>
    <w:p w14:paraId="35B4AC95" w14:textId="77777777" w:rsidR="0044242D" w:rsidRPr="00ED78BE" w:rsidRDefault="0044242D" w:rsidP="00237524">
      <w:pPr>
        <w:pStyle w:val="Para1"/>
        <w:numPr>
          <w:ilvl w:val="0"/>
          <w:numId w:val="0"/>
        </w:numPr>
        <w:spacing w:before="0" w:after="0"/>
        <w:ind w:left="142" w:hanging="142"/>
        <w:jc w:val="left"/>
      </w:pPr>
      <w:r w:rsidRPr="00ED78BE">
        <w:t>Niger</w:t>
      </w:r>
    </w:p>
    <w:p w14:paraId="6F4D9536" w14:textId="77777777" w:rsidR="0044242D" w:rsidRPr="00ED78BE" w:rsidRDefault="0044242D" w:rsidP="00237524">
      <w:pPr>
        <w:pStyle w:val="Para1"/>
        <w:numPr>
          <w:ilvl w:val="0"/>
          <w:numId w:val="0"/>
        </w:numPr>
        <w:spacing w:before="0" w:after="0"/>
        <w:ind w:left="142" w:hanging="142"/>
        <w:jc w:val="left"/>
      </w:pPr>
      <w:r w:rsidRPr="00ED78BE">
        <w:t>Nigeria</w:t>
      </w:r>
    </w:p>
    <w:p w14:paraId="0E622498" w14:textId="77777777" w:rsidR="0044242D" w:rsidRPr="00ED78BE" w:rsidRDefault="0044242D" w:rsidP="00237524">
      <w:pPr>
        <w:pStyle w:val="Para1"/>
        <w:numPr>
          <w:ilvl w:val="0"/>
          <w:numId w:val="0"/>
        </w:numPr>
        <w:spacing w:before="0" w:after="0"/>
        <w:ind w:left="142" w:hanging="142"/>
        <w:jc w:val="left"/>
      </w:pPr>
      <w:r w:rsidRPr="00ED78BE">
        <w:t>Norway</w:t>
      </w:r>
    </w:p>
    <w:p w14:paraId="662284F4" w14:textId="77777777" w:rsidR="0044242D" w:rsidRPr="00ED78BE" w:rsidRDefault="0044242D" w:rsidP="00237524">
      <w:pPr>
        <w:pStyle w:val="Para1"/>
        <w:numPr>
          <w:ilvl w:val="0"/>
          <w:numId w:val="0"/>
        </w:numPr>
        <w:spacing w:before="0" w:after="0"/>
        <w:ind w:left="142" w:hanging="142"/>
        <w:jc w:val="left"/>
      </w:pPr>
      <w:r w:rsidRPr="00ED78BE">
        <w:t>Oman</w:t>
      </w:r>
    </w:p>
    <w:p w14:paraId="55536526" w14:textId="77777777" w:rsidR="0044242D" w:rsidRPr="00ED78BE" w:rsidRDefault="0044242D" w:rsidP="00237524">
      <w:pPr>
        <w:pStyle w:val="Para1"/>
        <w:numPr>
          <w:ilvl w:val="0"/>
          <w:numId w:val="0"/>
        </w:numPr>
        <w:spacing w:before="0" w:after="0"/>
        <w:ind w:left="142" w:hanging="142"/>
        <w:jc w:val="left"/>
      </w:pPr>
      <w:r w:rsidRPr="00ED78BE">
        <w:lastRenderedPageBreak/>
        <w:t>Palau</w:t>
      </w:r>
    </w:p>
    <w:p w14:paraId="7B5C3AD8" w14:textId="77777777" w:rsidR="0044242D" w:rsidRPr="00ED78BE" w:rsidRDefault="0044242D" w:rsidP="00237524">
      <w:pPr>
        <w:pStyle w:val="Para1"/>
        <w:numPr>
          <w:ilvl w:val="0"/>
          <w:numId w:val="0"/>
        </w:numPr>
        <w:spacing w:before="0" w:after="0"/>
        <w:ind w:left="142" w:hanging="142"/>
        <w:jc w:val="left"/>
      </w:pPr>
      <w:r w:rsidRPr="00ED78BE">
        <w:t>Panama</w:t>
      </w:r>
    </w:p>
    <w:p w14:paraId="1C4A5AB8" w14:textId="77777777" w:rsidR="0044242D" w:rsidRPr="00ED78BE" w:rsidRDefault="0044242D" w:rsidP="00237524">
      <w:pPr>
        <w:pStyle w:val="Para1"/>
        <w:numPr>
          <w:ilvl w:val="0"/>
          <w:numId w:val="0"/>
        </w:numPr>
        <w:spacing w:before="0" w:after="0"/>
        <w:ind w:left="142" w:hanging="142"/>
        <w:jc w:val="left"/>
      </w:pPr>
      <w:r w:rsidRPr="00ED78BE">
        <w:t>Papua New Guinea</w:t>
      </w:r>
    </w:p>
    <w:p w14:paraId="6B870E32" w14:textId="77777777" w:rsidR="0044242D" w:rsidRPr="00ED78BE" w:rsidRDefault="0044242D" w:rsidP="00237524">
      <w:pPr>
        <w:pStyle w:val="Para1"/>
        <w:numPr>
          <w:ilvl w:val="0"/>
          <w:numId w:val="0"/>
        </w:numPr>
        <w:spacing w:before="0" w:after="0"/>
        <w:ind w:left="142" w:hanging="142"/>
        <w:jc w:val="left"/>
      </w:pPr>
      <w:r w:rsidRPr="00ED78BE">
        <w:t>Paraguay</w:t>
      </w:r>
    </w:p>
    <w:p w14:paraId="37388DB3" w14:textId="77777777" w:rsidR="0044242D" w:rsidRPr="00ED78BE" w:rsidRDefault="0044242D" w:rsidP="00237524">
      <w:pPr>
        <w:pStyle w:val="Para1"/>
        <w:numPr>
          <w:ilvl w:val="0"/>
          <w:numId w:val="0"/>
        </w:numPr>
        <w:spacing w:before="0" w:after="0"/>
        <w:ind w:left="142" w:hanging="142"/>
        <w:jc w:val="left"/>
      </w:pPr>
      <w:r w:rsidRPr="00ED78BE">
        <w:t>Peru</w:t>
      </w:r>
    </w:p>
    <w:p w14:paraId="0FA0D77C" w14:textId="77777777" w:rsidR="0044242D" w:rsidRPr="00ED78BE" w:rsidRDefault="0044242D" w:rsidP="00237524">
      <w:pPr>
        <w:pStyle w:val="Para1"/>
        <w:numPr>
          <w:ilvl w:val="0"/>
          <w:numId w:val="0"/>
        </w:numPr>
        <w:spacing w:before="0" w:after="0"/>
        <w:ind w:left="142" w:hanging="142"/>
        <w:jc w:val="left"/>
      </w:pPr>
      <w:r w:rsidRPr="00ED78BE">
        <w:t>Philippines</w:t>
      </w:r>
    </w:p>
    <w:p w14:paraId="28776027" w14:textId="77777777" w:rsidR="0044242D" w:rsidRPr="00ED78BE" w:rsidRDefault="0044242D" w:rsidP="00237524">
      <w:pPr>
        <w:pStyle w:val="Para1"/>
        <w:numPr>
          <w:ilvl w:val="0"/>
          <w:numId w:val="0"/>
        </w:numPr>
        <w:spacing w:before="0" w:after="0"/>
        <w:ind w:left="142" w:hanging="142"/>
        <w:jc w:val="left"/>
      </w:pPr>
      <w:r w:rsidRPr="00ED78BE">
        <w:t>Poland</w:t>
      </w:r>
    </w:p>
    <w:p w14:paraId="06B0832D" w14:textId="77777777" w:rsidR="0044242D" w:rsidRPr="00ED78BE" w:rsidRDefault="0044242D" w:rsidP="00237524">
      <w:pPr>
        <w:pStyle w:val="Para1"/>
        <w:numPr>
          <w:ilvl w:val="0"/>
          <w:numId w:val="0"/>
        </w:numPr>
        <w:spacing w:before="0" w:after="0"/>
        <w:ind w:left="142" w:hanging="142"/>
        <w:jc w:val="left"/>
      </w:pPr>
      <w:r w:rsidRPr="00ED78BE">
        <w:t>Portugal</w:t>
      </w:r>
    </w:p>
    <w:p w14:paraId="3CA50201" w14:textId="77777777" w:rsidR="0044242D" w:rsidRPr="00ED78BE" w:rsidRDefault="0044242D" w:rsidP="00237524">
      <w:pPr>
        <w:pStyle w:val="Para1"/>
        <w:numPr>
          <w:ilvl w:val="0"/>
          <w:numId w:val="0"/>
        </w:numPr>
        <w:spacing w:before="0" w:after="0"/>
        <w:ind w:left="142" w:hanging="142"/>
        <w:jc w:val="left"/>
      </w:pPr>
      <w:r w:rsidRPr="00ED78BE">
        <w:t>Qatar</w:t>
      </w:r>
    </w:p>
    <w:p w14:paraId="214AC418" w14:textId="77777777" w:rsidR="0044242D" w:rsidRPr="00ED78BE" w:rsidRDefault="0044242D" w:rsidP="00237524">
      <w:pPr>
        <w:pStyle w:val="Para1"/>
        <w:numPr>
          <w:ilvl w:val="0"/>
          <w:numId w:val="0"/>
        </w:numPr>
        <w:spacing w:before="0" w:after="0"/>
        <w:ind w:left="142" w:hanging="142"/>
        <w:jc w:val="left"/>
      </w:pPr>
      <w:r w:rsidRPr="00ED78BE">
        <w:t>Republic of Korea</w:t>
      </w:r>
    </w:p>
    <w:p w14:paraId="4C519D7E" w14:textId="77777777" w:rsidR="0044242D" w:rsidRPr="00ED78BE" w:rsidRDefault="0044242D" w:rsidP="00237524">
      <w:pPr>
        <w:pStyle w:val="Para1"/>
        <w:numPr>
          <w:ilvl w:val="0"/>
          <w:numId w:val="0"/>
        </w:numPr>
        <w:spacing w:before="0" w:after="0"/>
        <w:ind w:left="142" w:hanging="142"/>
        <w:jc w:val="left"/>
      </w:pPr>
      <w:r w:rsidRPr="00ED78BE">
        <w:t>Republic of Moldova</w:t>
      </w:r>
    </w:p>
    <w:p w14:paraId="7213BD44" w14:textId="77777777" w:rsidR="0044242D" w:rsidRPr="00ED78BE" w:rsidRDefault="0044242D" w:rsidP="00237524">
      <w:pPr>
        <w:pStyle w:val="Para1"/>
        <w:numPr>
          <w:ilvl w:val="0"/>
          <w:numId w:val="0"/>
        </w:numPr>
        <w:spacing w:before="0" w:after="0"/>
        <w:ind w:left="142" w:hanging="142"/>
        <w:jc w:val="left"/>
      </w:pPr>
      <w:r w:rsidRPr="00ED78BE">
        <w:t>Romania</w:t>
      </w:r>
    </w:p>
    <w:p w14:paraId="7A50D961" w14:textId="77777777" w:rsidR="0044242D" w:rsidRPr="00ED78BE" w:rsidRDefault="0044242D" w:rsidP="00237524">
      <w:pPr>
        <w:pStyle w:val="Para1"/>
        <w:numPr>
          <w:ilvl w:val="0"/>
          <w:numId w:val="0"/>
        </w:numPr>
        <w:spacing w:before="0" w:after="0"/>
        <w:ind w:left="142" w:hanging="142"/>
        <w:jc w:val="left"/>
      </w:pPr>
      <w:r w:rsidRPr="00ED78BE">
        <w:t>Rwanda</w:t>
      </w:r>
    </w:p>
    <w:p w14:paraId="0AB04BDD" w14:textId="77777777" w:rsidR="0044242D" w:rsidRPr="00ED78BE" w:rsidRDefault="0044242D" w:rsidP="00237524">
      <w:pPr>
        <w:pStyle w:val="Para1"/>
        <w:numPr>
          <w:ilvl w:val="0"/>
          <w:numId w:val="0"/>
        </w:numPr>
        <w:spacing w:before="0" w:after="0"/>
        <w:ind w:left="142" w:hanging="142"/>
        <w:jc w:val="left"/>
      </w:pPr>
      <w:r w:rsidRPr="00ED78BE">
        <w:t>Saint Kitts and Nevis</w:t>
      </w:r>
    </w:p>
    <w:p w14:paraId="285B06DF" w14:textId="77777777" w:rsidR="0044242D" w:rsidRPr="00ED78BE" w:rsidRDefault="0044242D" w:rsidP="00237524">
      <w:pPr>
        <w:pStyle w:val="Para1"/>
        <w:numPr>
          <w:ilvl w:val="0"/>
          <w:numId w:val="0"/>
        </w:numPr>
        <w:spacing w:before="0" w:after="0"/>
        <w:ind w:left="142" w:hanging="142"/>
        <w:jc w:val="left"/>
      </w:pPr>
      <w:r w:rsidRPr="00ED78BE">
        <w:t>Saint Lucia</w:t>
      </w:r>
    </w:p>
    <w:p w14:paraId="47236B95" w14:textId="77777777" w:rsidR="0044242D" w:rsidRPr="00ED78BE" w:rsidRDefault="0044242D" w:rsidP="00237524">
      <w:pPr>
        <w:pStyle w:val="Para1"/>
        <w:numPr>
          <w:ilvl w:val="0"/>
          <w:numId w:val="0"/>
        </w:numPr>
        <w:spacing w:before="0" w:after="0"/>
        <w:ind w:left="142" w:hanging="142"/>
        <w:jc w:val="left"/>
      </w:pPr>
      <w:r w:rsidRPr="00ED78BE">
        <w:t>Saint Vincent and the Grenadines</w:t>
      </w:r>
    </w:p>
    <w:p w14:paraId="34E3136A" w14:textId="77777777" w:rsidR="0044242D" w:rsidRPr="00ED78BE" w:rsidRDefault="0044242D" w:rsidP="00237524">
      <w:pPr>
        <w:pStyle w:val="Para1"/>
        <w:numPr>
          <w:ilvl w:val="0"/>
          <w:numId w:val="0"/>
        </w:numPr>
        <w:spacing w:before="0" w:after="0"/>
        <w:ind w:left="142" w:hanging="142"/>
        <w:jc w:val="left"/>
      </w:pPr>
      <w:r w:rsidRPr="00ED78BE">
        <w:t>Samoa</w:t>
      </w:r>
    </w:p>
    <w:p w14:paraId="066C8CA6" w14:textId="77777777" w:rsidR="0044242D" w:rsidRPr="00ED78BE" w:rsidRDefault="0044242D" w:rsidP="00237524">
      <w:pPr>
        <w:pStyle w:val="Para1"/>
        <w:numPr>
          <w:ilvl w:val="0"/>
          <w:numId w:val="0"/>
        </w:numPr>
        <w:spacing w:before="0" w:after="0"/>
        <w:ind w:left="142" w:hanging="142"/>
        <w:jc w:val="left"/>
      </w:pPr>
      <w:r w:rsidRPr="00ED78BE">
        <w:t>Saudi Arabia</w:t>
      </w:r>
    </w:p>
    <w:p w14:paraId="0D5C6631" w14:textId="77777777" w:rsidR="0044242D" w:rsidRPr="00ED78BE" w:rsidRDefault="0044242D" w:rsidP="00237524">
      <w:pPr>
        <w:pStyle w:val="Para1"/>
        <w:numPr>
          <w:ilvl w:val="0"/>
          <w:numId w:val="0"/>
        </w:numPr>
        <w:spacing w:before="0" w:after="0"/>
        <w:ind w:left="142" w:hanging="142"/>
        <w:jc w:val="left"/>
      </w:pPr>
      <w:r w:rsidRPr="00ED78BE">
        <w:t>Senegal</w:t>
      </w:r>
    </w:p>
    <w:p w14:paraId="2CC92DE2" w14:textId="77777777" w:rsidR="0044242D" w:rsidRPr="00ED78BE" w:rsidRDefault="0044242D" w:rsidP="00237524">
      <w:pPr>
        <w:pStyle w:val="Para1"/>
        <w:numPr>
          <w:ilvl w:val="0"/>
          <w:numId w:val="0"/>
        </w:numPr>
        <w:spacing w:before="0" w:after="0"/>
        <w:ind w:left="142" w:hanging="142"/>
        <w:jc w:val="left"/>
      </w:pPr>
      <w:r w:rsidRPr="00ED78BE">
        <w:t>Serbia</w:t>
      </w:r>
    </w:p>
    <w:p w14:paraId="3CF206E7" w14:textId="77777777" w:rsidR="0044242D" w:rsidRPr="00ED78BE" w:rsidRDefault="0044242D" w:rsidP="00237524">
      <w:pPr>
        <w:pStyle w:val="Para1"/>
        <w:numPr>
          <w:ilvl w:val="0"/>
          <w:numId w:val="0"/>
        </w:numPr>
        <w:spacing w:before="0" w:after="0"/>
        <w:ind w:left="142" w:hanging="142"/>
        <w:jc w:val="left"/>
      </w:pPr>
      <w:r w:rsidRPr="00ED78BE">
        <w:t>Seychelles</w:t>
      </w:r>
    </w:p>
    <w:p w14:paraId="2BFF908E" w14:textId="77777777" w:rsidR="0044242D" w:rsidRPr="00ED78BE" w:rsidRDefault="0044242D" w:rsidP="00237524">
      <w:pPr>
        <w:pStyle w:val="Para1"/>
        <w:numPr>
          <w:ilvl w:val="0"/>
          <w:numId w:val="0"/>
        </w:numPr>
        <w:spacing w:before="0" w:after="0"/>
        <w:ind w:left="142" w:hanging="142"/>
        <w:jc w:val="left"/>
      </w:pPr>
      <w:r w:rsidRPr="00ED78BE">
        <w:t>Slovakia</w:t>
      </w:r>
    </w:p>
    <w:p w14:paraId="065959C0" w14:textId="77777777" w:rsidR="0044242D" w:rsidRPr="00ED78BE" w:rsidRDefault="0044242D" w:rsidP="00237524">
      <w:pPr>
        <w:pStyle w:val="Para1"/>
        <w:numPr>
          <w:ilvl w:val="0"/>
          <w:numId w:val="0"/>
        </w:numPr>
        <w:spacing w:before="0" w:after="0"/>
        <w:ind w:left="142" w:hanging="142"/>
        <w:jc w:val="left"/>
      </w:pPr>
      <w:r w:rsidRPr="00ED78BE">
        <w:t>Slovenia</w:t>
      </w:r>
    </w:p>
    <w:p w14:paraId="2CD4DD23" w14:textId="77777777" w:rsidR="0044242D" w:rsidRPr="00ED78BE" w:rsidRDefault="0044242D" w:rsidP="00237524">
      <w:pPr>
        <w:pStyle w:val="Para1"/>
        <w:numPr>
          <w:ilvl w:val="0"/>
          <w:numId w:val="0"/>
        </w:numPr>
        <w:spacing w:before="0" w:after="0"/>
        <w:ind w:left="142" w:hanging="142"/>
        <w:jc w:val="left"/>
      </w:pPr>
      <w:r w:rsidRPr="00ED78BE">
        <w:t>Solomon Islands</w:t>
      </w:r>
    </w:p>
    <w:p w14:paraId="7D345F01" w14:textId="77777777" w:rsidR="0044242D" w:rsidRPr="00ED78BE" w:rsidRDefault="0044242D" w:rsidP="00237524">
      <w:pPr>
        <w:pStyle w:val="Para1"/>
        <w:numPr>
          <w:ilvl w:val="0"/>
          <w:numId w:val="0"/>
        </w:numPr>
        <w:spacing w:before="0" w:after="0"/>
        <w:ind w:left="142" w:hanging="142"/>
        <w:jc w:val="left"/>
      </w:pPr>
      <w:r w:rsidRPr="00ED78BE">
        <w:t>Somalia</w:t>
      </w:r>
    </w:p>
    <w:p w14:paraId="5D2D9AA7" w14:textId="77777777" w:rsidR="0044242D" w:rsidRPr="00ED78BE" w:rsidRDefault="0044242D" w:rsidP="00237524">
      <w:pPr>
        <w:pStyle w:val="Para1"/>
        <w:numPr>
          <w:ilvl w:val="0"/>
          <w:numId w:val="0"/>
        </w:numPr>
        <w:spacing w:before="0" w:after="0"/>
        <w:ind w:left="142" w:hanging="142"/>
        <w:jc w:val="left"/>
      </w:pPr>
      <w:r w:rsidRPr="00ED78BE">
        <w:t>South Africa</w:t>
      </w:r>
    </w:p>
    <w:p w14:paraId="3992EB16" w14:textId="77777777" w:rsidR="0044242D" w:rsidRPr="00ED78BE" w:rsidRDefault="0044242D" w:rsidP="00237524">
      <w:pPr>
        <w:pStyle w:val="Para1"/>
        <w:numPr>
          <w:ilvl w:val="0"/>
          <w:numId w:val="0"/>
        </w:numPr>
        <w:spacing w:before="0" w:after="0"/>
        <w:ind w:left="142" w:hanging="142"/>
        <w:jc w:val="left"/>
      </w:pPr>
      <w:r w:rsidRPr="00ED78BE">
        <w:t>Spain</w:t>
      </w:r>
    </w:p>
    <w:p w14:paraId="54516C7B" w14:textId="77777777" w:rsidR="0044242D" w:rsidRPr="00ED78BE" w:rsidRDefault="0044242D" w:rsidP="00237524">
      <w:pPr>
        <w:pStyle w:val="Para1"/>
        <w:numPr>
          <w:ilvl w:val="0"/>
          <w:numId w:val="0"/>
        </w:numPr>
        <w:spacing w:before="0" w:after="0"/>
        <w:ind w:left="142" w:hanging="142"/>
        <w:jc w:val="left"/>
      </w:pPr>
      <w:r w:rsidRPr="00ED78BE">
        <w:t>Sri Lanka</w:t>
      </w:r>
    </w:p>
    <w:p w14:paraId="52BB7B15" w14:textId="77777777" w:rsidR="0044242D" w:rsidRPr="00ED78BE" w:rsidRDefault="0044242D" w:rsidP="00237524">
      <w:pPr>
        <w:pStyle w:val="Para1"/>
        <w:numPr>
          <w:ilvl w:val="0"/>
          <w:numId w:val="0"/>
        </w:numPr>
        <w:spacing w:before="0" w:after="0"/>
        <w:ind w:left="142" w:hanging="142"/>
        <w:jc w:val="left"/>
      </w:pPr>
      <w:r w:rsidRPr="00ED78BE">
        <w:t>State of Palestine</w:t>
      </w:r>
    </w:p>
    <w:p w14:paraId="7D6DAAA5" w14:textId="77777777" w:rsidR="0044242D" w:rsidRPr="00ED78BE" w:rsidRDefault="0044242D" w:rsidP="00237524">
      <w:pPr>
        <w:pStyle w:val="Para1"/>
        <w:numPr>
          <w:ilvl w:val="0"/>
          <w:numId w:val="0"/>
        </w:numPr>
        <w:spacing w:before="0" w:after="0"/>
        <w:ind w:left="142" w:hanging="142"/>
        <w:jc w:val="left"/>
      </w:pPr>
      <w:r w:rsidRPr="00ED78BE">
        <w:t>Sudan</w:t>
      </w:r>
    </w:p>
    <w:p w14:paraId="733869DC" w14:textId="77777777" w:rsidR="0044242D" w:rsidRPr="00ED78BE" w:rsidRDefault="0044242D" w:rsidP="00237524">
      <w:pPr>
        <w:pStyle w:val="Para1"/>
        <w:numPr>
          <w:ilvl w:val="0"/>
          <w:numId w:val="0"/>
        </w:numPr>
        <w:spacing w:before="0" w:after="0"/>
        <w:ind w:left="142" w:hanging="142"/>
        <w:jc w:val="left"/>
      </w:pPr>
      <w:r w:rsidRPr="00ED78BE">
        <w:t>Suriname</w:t>
      </w:r>
    </w:p>
    <w:p w14:paraId="564208BE" w14:textId="77777777" w:rsidR="0044242D" w:rsidRPr="00ED78BE" w:rsidRDefault="0044242D" w:rsidP="00237524">
      <w:pPr>
        <w:pStyle w:val="Para1"/>
        <w:numPr>
          <w:ilvl w:val="0"/>
          <w:numId w:val="0"/>
        </w:numPr>
        <w:spacing w:before="0" w:after="0"/>
        <w:ind w:left="142" w:hanging="142"/>
        <w:jc w:val="left"/>
      </w:pPr>
      <w:r w:rsidRPr="00ED78BE">
        <w:t>Sweden</w:t>
      </w:r>
    </w:p>
    <w:p w14:paraId="3E56498D" w14:textId="77777777" w:rsidR="0044242D" w:rsidRPr="00ED78BE" w:rsidRDefault="0044242D" w:rsidP="00237524">
      <w:pPr>
        <w:pStyle w:val="Para1"/>
        <w:numPr>
          <w:ilvl w:val="0"/>
          <w:numId w:val="0"/>
        </w:numPr>
        <w:spacing w:before="0" w:after="0"/>
        <w:ind w:left="142" w:hanging="142"/>
        <w:jc w:val="left"/>
      </w:pPr>
      <w:r w:rsidRPr="00ED78BE">
        <w:t>Switzerland</w:t>
      </w:r>
    </w:p>
    <w:p w14:paraId="0F50689D" w14:textId="77777777" w:rsidR="0044242D" w:rsidRPr="00ED78BE" w:rsidRDefault="0044242D" w:rsidP="00237524">
      <w:pPr>
        <w:pStyle w:val="Para1"/>
        <w:numPr>
          <w:ilvl w:val="0"/>
          <w:numId w:val="0"/>
        </w:numPr>
        <w:spacing w:before="0" w:after="0"/>
        <w:ind w:left="142" w:hanging="142"/>
        <w:jc w:val="left"/>
      </w:pPr>
      <w:r w:rsidRPr="00ED78BE">
        <w:t>Syrian Arab Republic</w:t>
      </w:r>
    </w:p>
    <w:p w14:paraId="1AC9FFF7" w14:textId="77777777" w:rsidR="0044242D" w:rsidRPr="00ED78BE" w:rsidRDefault="0044242D" w:rsidP="00237524">
      <w:pPr>
        <w:pStyle w:val="Para1"/>
        <w:numPr>
          <w:ilvl w:val="0"/>
          <w:numId w:val="0"/>
        </w:numPr>
        <w:spacing w:before="0" w:after="0"/>
        <w:ind w:left="142" w:hanging="142"/>
        <w:jc w:val="left"/>
      </w:pPr>
      <w:r w:rsidRPr="00ED78BE">
        <w:t>Tajikistan</w:t>
      </w:r>
    </w:p>
    <w:p w14:paraId="526D71A8" w14:textId="77777777" w:rsidR="0044242D" w:rsidRPr="00ED78BE" w:rsidRDefault="0044242D" w:rsidP="00237524">
      <w:pPr>
        <w:pStyle w:val="Para1"/>
        <w:numPr>
          <w:ilvl w:val="0"/>
          <w:numId w:val="0"/>
        </w:numPr>
        <w:spacing w:before="0" w:after="0"/>
        <w:ind w:left="142" w:hanging="142"/>
        <w:jc w:val="left"/>
      </w:pPr>
      <w:r w:rsidRPr="00ED78BE">
        <w:t>Thailand</w:t>
      </w:r>
    </w:p>
    <w:p w14:paraId="4BAE2C72" w14:textId="77777777" w:rsidR="0044242D" w:rsidRPr="00ED78BE" w:rsidRDefault="0044242D" w:rsidP="00237524">
      <w:pPr>
        <w:pStyle w:val="Para1"/>
        <w:numPr>
          <w:ilvl w:val="0"/>
          <w:numId w:val="0"/>
        </w:numPr>
        <w:spacing w:before="0" w:after="0"/>
        <w:ind w:left="142" w:hanging="142"/>
        <w:jc w:val="left"/>
      </w:pPr>
      <w:r w:rsidRPr="00ED78BE">
        <w:t>Togo</w:t>
      </w:r>
    </w:p>
    <w:p w14:paraId="73EBF943" w14:textId="77777777" w:rsidR="0044242D" w:rsidRPr="00ED78BE" w:rsidRDefault="0044242D" w:rsidP="00237524">
      <w:pPr>
        <w:pStyle w:val="Para1"/>
        <w:numPr>
          <w:ilvl w:val="0"/>
          <w:numId w:val="0"/>
        </w:numPr>
        <w:spacing w:before="0" w:after="0"/>
        <w:ind w:left="142" w:hanging="142"/>
        <w:jc w:val="left"/>
      </w:pPr>
      <w:r w:rsidRPr="00ED78BE">
        <w:t>Tonga</w:t>
      </w:r>
    </w:p>
    <w:p w14:paraId="3EC6761A" w14:textId="77777777" w:rsidR="0044242D" w:rsidRPr="00ED78BE" w:rsidRDefault="0044242D" w:rsidP="00237524">
      <w:pPr>
        <w:pStyle w:val="Para1"/>
        <w:numPr>
          <w:ilvl w:val="0"/>
          <w:numId w:val="0"/>
        </w:numPr>
        <w:spacing w:before="0" w:after="0"/>
        <w:ind w:left="142" w:hanging="142"/>
        <w:jc w:val="left"/>
      </w:pPr>
      <w:r w:rsidRPr="00ED78BE">
        <w:t>Trinidad and Tobago</w:t>
      </w:r>
    </w:p>
    <w:p w14:paraId="5EAD9989" w14:textId="77777777" w:rsidR="0044242D" w:rsidRPr="00ED78BE" w:rsidRDefault="0044242D" w:rsidP="00237524">
      <w:pPr>
        <w:pStyle w:val="Para1"/>
        <w:numPr>
          <w:ilvl w:val="0"/>
          <w:numId w:val="0"/>
        </w:numPr>
        <w:spacing w:before="0" w:after="0"/>
        <w:ind w:left="142" w:hanging="142"/>
        <w:jc w:val="left"/>
      </w:pPr>
      <w:r w:rsidRPr="00ED78BE">
        <w:t>Tunisia</w:t>
      </w:r>
    </w:p>
    <w:p w14:paraId="44E811A8" w14:textId="77777777" w:rsidR="0044242D" w:rsidRPr="00ED78BE" w:rsidRDefault="0044242D" w:rsidP="00237524">
      <w:pPr>
        <w:pStyle w:val="Para1"/>
        <w:numPr>
          <w:ilvl w:val="0"/>
          <w:numId w:val="0"/>
        </w:numPr>
        <w:spacing w:before="0" w:after="0"/>
        <w:ind w:left="142" w:hanging="142"/>
        <w:jc w:val="left"/>
      </w:pPr>
      <w:r w:rsidRPr="00ED78BE">
        <w:t>Turkey</w:t>
      </w:r>
    </w:p>
    <w:p w14:paraId="15FA41A9" w14:textId="77777777" w:rsidR="0044242D" w:rsidRPr="00ED78BE" w:rsidRDefault="0044242D" w:rsidP="00237524">
      <w:pPr>
        <w:pStyle w:val="Para1"/>
        <w:numPr>
          <w:ilvl w:val="0"/>
          <w:numId w:val="0"/>
        </w:numPr>
        <w:spacing w:before="0" w:after="0"/>
        <w:ind w:left="142" w:hanging="142"/>
        <w:jc w:val="left"/>
      </w:pPr>
      <w:r w:rsidRPr="00ED78BE">
        <w:t>Turkmenistan</w:t>
      </w:r>
    </w:p>
    <w:p w14:paraId="3CB5ABE3" w14:textId="77777777" w:rsidR="0044242D" w:rsidRPr="00ED78BE" w:rsidRDefault="0044242D" w:rsidP="00237524">
      <w:pPr>
        <w:pStyle w:val="Para1"/>
        <w:numPr>
          <w:ilvl w:val="0"/>
          <w:numId w:val="0"/>
        </w:numPr>
        <w:spacing w:before="0" w:after="0"/>
        <w:ind w:left="142" w:hanging="142"/>
        <w:jc w:val="left"/>
      </w:pPr>
      <w:r w:rsidRPr="00ED78BE">
        <w:t>Uganda</w:t>
      </w:r>
    </w:p>
    <w:p w14:paraId="209005D9" w14:textId="77777777" w:rsidR="0044242D" w:rsidRPr="00ED78BE" w:rsidRDefault="0044242D" w:rsidP="00237524">
      <w:pPr>
        <w:pStyle w:val="Para1"/>
        <w:numPr>
          <w:ilvl w:val="0"/>
          <w:numId w:val="0"/>
        </w:numPr>
        <w:spacing w:before="0" w:after="0"/>
        <w:ind w:left="142" w:hanging="142"/>
        <w:jc w:val="left"/>
      </w:pPr>
      <w:r w:rsidRPr="00ED78BE">
        <w:t>Ukraine</w:t>
      </w:r>
    </w:p>
    <w:p w14:paraId="503D1C44" w14:textId="77777777" w:rsidR="0044242D" w:rsidRPr="00ED78BE" w:rsidRDefault="0044242D" w:rsidP="00237524">
      <w:pPr>
        <w:pStyle w:val="Para1"/>
        <w:numPr>
          <w:ilvl w:val="0"/>
          <w:numId w:val="0"/>
        </w:numPr>
        <w:spacing w:before="0" w:after="0"/>
        <w:ind w:left="142" w:hanging="142"/>
        <w:jc w:val="left"/>
      </w:pPr>
      <w:r w:rsidRPr="00ED78BE">
        <w:t>United Arab Emirates</w:t>
      </w:r>
    </w:p>
    <w:p w14:paraId="53722CA7" w14:textId="77777777" w:rsidR="0044242D" w:rsidRPr="00ED78BE" w:rsidRDefault="0044242D" w:rsidP="00237524">
      <w:pPr>
        <w:pStyle w:val="Para1"/>
        <w:numPr>
          <w:ilvl w:val="0"/>
          <w:numId w:val="0"/>
        </w:numPr>
        <w:spacing w:before="0" w:after="0"/>
        <w:ind w:left="142" w:hanging="142"/>
        <w:jc w:val="left"/>
      </w:pPr>
      <w:r w:rsidRPr="00ED78BE">
        <w:t>United Kingdom of Great Britain and Northern Ireland</w:t>
      </w:r>
    </w:p>
    <w:p w14:paraId="5E27D53D" w14:textId="77777777" w:rsidR="0044242D" w:rsidRPr="00ED78BE" w:rsidRDefault="0044242D" w:rsidP="00237524">
      <w:pPr>
        <w:pStyle w:val="Para1"/>
        <w:numPr>
          <w:ilvl w:val="0"/>
          <w:numId w:val="0"/>
        </w:numPr>
        <w:spacing w:before="0" w:after="0"/>
        <w:ind w:left="142" w:hanging="142"/>
        <w:jc w:val="left"/>
      </w:pPr>
      <w:r w:rsidRPr="00ED78BE">
        <w:t>United Republic of Tanzania</w:t>
      </w:r>
    </w:p>
    <w:p w14:paraId="392C6572" w14:textId="77777777" w:rsidR="0044242D" w:rsidRPr="00ED78BE" w:rsidRDefault="0044242D" w:rsidP="00237524">
      <w:pPr>
        <w:pStyle w:val="Para1"/>
        <w:numPr>
          <w:ilvl w:val="0"/>
          <w:numId w:val="0"/>
        </w:numPr>
        <w:spacing w:before="0" w:after="0"/>
        <w:ind w:left="142" w:hanging="142"/>
        <w:jc w:val="left"/>
      </w:pPr>
      <w:r w:rsidRPr="00ED78BE">
        <w:t>Uruguay</w:t>
      </w:r>
    </w:p>
    <w:p w14:paraId="773C898C" w14:textId="77777777" w:rsidR="0044242D" w:rsidRPr="00ED78BE" w:rsidRDefault="0044242D" w:rsidP="00237524">
      <w:pPr>
        <w:pStyle w:val="Para1"/>
        <w:numPr>
          <w:ilvl w:val="0"/>
          <w:numId w:val="0"/>
        </w:numPr>
        <w:spacing w:before="0" w:after="0"/>
        <w:ind w:left="142" w:hanging="142"/>
        <w:jc w:val="left"/>
      </w:pPr>
      <w:r w:rsidRPr="00ED78BE">
        <w:t>Venezuela (Bolivarian Republic of)</w:t>
      </w:r>
    </w:p>
    <w:p w14:paraId="6875B678" w14:textId="77777777" w:rsidR="0044242D" w:rsidRPr="00ED78BE" w:rsidRDefault="0044242D" w:rsidP="00237524">
      <w:pPr>
        <w:pStyle w:val="Para1"/>
        <w:numPr>
          <w:ilvl w:val="0"/>
          <w:numId w:val="0"/>
        </w:numPr>
        <w:spacing w:before="0" w:after="0"/>
        <w:ind w:left="142" w:hanging="142"/>
        <w:jc w:val="left"/>
      </w:pPr>
      <w:r w:rsidRPr="00ED78BE">
        <w:t>Viet Nam</w:t>
      </w:r>
    </w:p>
    <w:p w14:paraId="06E6081E" w14:textId="77777777" w:rsidR="0044242D" w:rsidRPr="00ED78BE" w:rsidRDefault="0044242D" w:rsidP="00237524">
      <w:pPr>
        <w:pStyle w:val="Para1"/>
        <w:numPr>
          <w:ilvl w:val="0"/>
          <w:numId w:val="0"/>
        </w:numPr>
        <w:spacing w:before="0" w:after="0"/>
        <w:ind w:left="142" w:hanging="142"/>
        <w:jc w:val="left"/>
      </w:pPr>
      <w:r w:rsidRPr="00ED78BE">
        <w:t>Yemen</w:t>
      </w:r>
    </w:p>
    <w:p w14:paraId="41D2174D" w14:textId="77777777" w:rsidR="0044242D" w:rsidRPr="00ED78BE" w:rsidRDefault="0044242D" w:rsidP="00237524">
      <w:pPr>
        <w:pStyle w:val="Para1"/>
        <w:numPr>
          <w:ilvl w:val="0"/>
          <w:numId w:val="0"/>
        </w:numPr>
        <w:spacing w:before="0" w:after="0"/>
        <w:ind w:left="142" w:hanging="142"/>
        <w:jc w:val="left"/>
      </w:pPr>
      <w:r w:rsidRPr="00ED78BE">
        <w:t>Zambia</w:t>
      </w:r>
    </w:p>
    <w:p w14:paraId="55361DAA" w14:textId="77777777" w:rsidR="00757DBF" w:rsidRPr="00ED78BE" w:rsidRDefault="0044242D" w:rsidP="00237524">
      <w:pPr>
        <w:pStyle w:val="Para1"/>
        <w:numPr>
          <w:ilvl w:val="0"/>
          <w:numId w:val="0"/>
        </w:numPr>
        <w:spacing w:before="0" w:after="0"/>
        <w:ind w:left="142" w:hanging="142"/>
        <w:jc w:val="left"/>
        <w:sectPr w:rsidR="00757DBF" w:rsidRPr="00ED78BE" w:rsidSect="00237524">
          <w:type w:val="continuous"/>
          <w:pgSz w:w="12240" w:h="15840" w:code="1"/>
          <w:pgMar w:top="1021" w:right="1440" w:bottom="1134" w:left="1440" w:header="459" w:footer="720" w:gutter="0"/>
          <w:cols w:num="3" w:space="720"/>
          <w:docGrid w:linePitch="299"/>
        </w:sectPr>
      </w:pPr>
      <w:r w:rsidRPr="00ED78BE">
        <w:t>Zimbabwe</w:t>
      </w:r>
    </w:p>
    <w:p w14:paraId="297DC645" w14:textId="77777777" w:rsidR="00757DBF" w:rsidRPr="00ED78BE" w:rsidRDefault="00757DBF" w:rsidP="0044242D">
      <w:pPr>
        <w:pStyle w:val="Para1"/>
        <w:numPr>
          <w:ilvl w:val="0"/>
          <w:numId w:val="0"/>
        </w:numPr>
        <w:spacing w:before="0" w:after="0"/>
        <w:sectPr w:rsidR="00757DBF" w:rsidRPr="00ED78BE" w:rsidSect="0044242D">
          <w:type w:val="continuous"/>
          <w:pgSz w:w="12240" w:h="15840" w:code="1"/>
          <w:pgMar w:top="1021" w:right="1440" w:bottom="1134" w:left="1440" w:header="459" w:footer="720" w:gutter="0"/>
          <w:cols w:space="720"/>
          <w:docGrid w:linePitch="299"/>
        </w:sectPr>
      </w:pPr>
    </w:p>
    <w:p w14:paraId="0BBCD409" w14:textId="4DC6293E" w:rsidR="00C8755A" w:rsidRPr="00BF3BC0" w:rsidRDefault="00C8755A" w:rsidP="00237524">
      <w:pPr>
        <w:pStyle w:val="Para1"/>
        <w:tabs>
          <w:tab w:val="clear" w:pos="360"/>
        </w:tabs>
      </w:pPr>
      <w:bookmarkStart w:id="53" w:name="_Hlk530317937"/>
      <w:bookmarkStart w:id="54" w:name="_Hlk530395224"/>
      <w:r w:rsidRPr="00BF3BC0">
        <w:t xml:space="preserve">The </w:t>
      </w:r>
      <w:r w:rsidRPr="00237524">
        <w:rPr>
          <w:color w:val="000000"/>
        </w:rPr>
        <w:t>following</w:t>
      </w:r>
      <w:r w:rsidRPr="00BF3BC0">
        <w:t xml:space="preserve"> States not party to the Cartagena Protocol were also represented: </w:t>
      </w:r>
      <w:r w:rsidR="00D3778C" w:rsidRPr="00BF3BC0">
        <w:t>Andorra</w:t>
      </w:r>
      <w:r w:rsidR="00DB23B3" w:rsidRPr="00BF3BC0">
        <w:t>;</w:t>
      </w:r>
      <w:r w:rsidR="00D3778C" w:rsidRPr="00BF3BC0">
        <w:t xml:space="preserve"> </w:t>
      </w:r>
      <w:r w:rsidR="0044242D" w:rsidRPr="00BF3BC0">
        <w:t>Argentina</w:t>
      </w:r>
      <w:r w:rsidR="00DB23B3" w:rsidRPr="00BF3BC0">
        <w:t>;</w:t>
      </w:r>
      <w:r w:rsidR="0044242D" w:rsidRPr="00BF3BC0">
        <w:t xml:space="preserve"> Canada</w:t>
      </w:r>
      <w:r w:rsidR="00DB23B3" w:rsidRPr="00BF3BC0">
        <w:t>;</w:t>
      </w:r>
      <w:r w:rsidR="0044242D" w:rsidRPr="00BF3BC0" w:rsidDel="00D3778C">
        <w:t xml:space="preserve"> </w:t>
      </w:r>
      <w:r w:rsidR="0044242D" w:rsidRPr="00BF3BC0">
        <w:t>Chile</w:t>
      </w:r>
      <w:r w:rsidR="00DB23B3" w:rsidRPr="00BF3BC0">
        <w:t>;</w:t>
      </w:r>
      <w:r w:rsidR="0044242D" w:rsidRPr="00BF3BC0" w:rsidDel="00D3778C">
        <w:t xml:space="preserve"> </w:t>
      </w:r>
      <w:r w:rsidR="0044242D" w:rsidRPr="00BF3BC0">
        <w:t>Cook Islands</w:t>
      </w:r>
      <w:r w:rsidR="00DB23B3" w:rsidRPr="00BF3BC0">
        <w:t>;</w:t>
      </w:r>
      <w:r w:rsidR="0044242D" w:rsidRPr="00BF3BC0">
        <w:t xml:space="preserve"> Equatorial Guinea</w:t>
      </w:r>
      <w:r w:rsidR="00DB23B3" w:rsidRPr="00BF3BC0">
        <w:t>;</w:t>
      </w:r>
      <w:r w:rsidR="0044242D" w:rsidRPr="00BF3BC0">
        <w:t xml:space="preserve"> Haiti</w:t>
      </w:r>
      <w:r w:rsidR="00DB23B3" w:rsidRPr="00BF3BC0">
        <w:t>;</w:t>
      </w:r>
      <w:r w:rsidR="0044242D" w:rsidRPr="00BF3BC0">
        <w:t xml:space="preserve"> Holy See</w:t>
      </w:r>
      <w:r w:rsidR="00DB23B3" w:rsidRPr="00BF3BC0">
        <w:t>;</w:t>
      </w:r>
      <w:r w:rsidR="0044242D" w:rsidRPr="00BF3BC0">
        <w:t xml:space="preserve"> Iceland</w:t>
      </w:r>
      <w:r w:rsidR="00DB23B3" w:rsidRPr="00BF3BC0">
        <w:t>;</w:t>
      </w:r>
      <w:r w:rsidR="0044242D" w:rsidRPr="00BF3BC0">
        <w:t xml:space="preserve"> Israel</w:t>
      </w:r>
      <w:r w:rsidR="00DB23B3" w:rsidRPr="00BF3BC0">
        <w:t>;</w:t>
      </w:r>
      <w:r w:rsidR="0044242D" w:rsidRPr="00BF3BC0">
        <w:t xml:space="preserve"> Liechtenstein</w:t>
      </w:r>
      <w:r w:rsidR="00DB23B3" w:rsidRPr="00BF3BC0">
        <w:t>;</w:t>
      </w:r>
      <w:r w:rsidR="0044242D" w:rsidRPr="00BF3BC0">
        <w:t xml:space="preserve"> Micronesia (Federated States of)</w:t>
      </w:r>
      <w:r w:rsidR="00DB23B3" w:rsidRPr="00BF3BC0">
        <w:t>;</w:t>
      </w:r>
      <w:r w:rsidR="0044242D" w:rsidRPr="00BF3BC0">
        <w:t xml:space="preserve"> Monaco</w:t>
      </w:r>
      <w:r w:rsidR="00DB23B3" w:rsidRPr="00BF3BC0">
        <w:t>;</w:t>
      </w:r>
      <w:r w:rsidR="0044242D" w:rsidRPr="00BF3BC0">
        <w:t xml:space="preserve"> Nepal</w:t>
      </w:r>
      <w:r w:rsidR="00DB23B3" w:rsidRPr="00BF3BC0">
        <w:t>;</w:t>
      </w:r>
      <w:r w:rsidR="0044242D" w:rsidRPr="00BF3BC0">
        <w:t xml:space="preserve"> Russian Federation</w:t>
      </w:r>
      <w:r w:rsidR="00DB23B3" w:rsidRPr="00BF3BC0">
        <w:t>;</w:t>
      </w:r>
      <w:r w:rsidR="0044242D" w:rsidRPr="00BF3BC0">
        <w:t xml:space="preserve"> Sao Tome and Principe</w:t>
      </w:r>
      <w:r w:rsidR="00DB23B3" w:rsidRPr="00BF3BC0">
        <w:t>;</w:t>
      </w:r>
      <w:r w:rsidR="0044242D" w:rsidRPr="00BF3BC0">
        <w:t xml:space="preserve"> Sierra Leone</w:t>
      </w:r>
      <w:r w:rsidR="00DB23B3" w:rsidRPr="00BF3BC0">
        <w:t>;</w:t>
      </w:r>
      <w:r w:rsidR="0044242D" w:rsidRPr="00BF3BC0">
        <w:t xml:space="preserve"> Singapore</w:t>
      </w:r>
      <w:r w:rsidR="00DB23B3" w:rsidRPr="00BF3BC0">
        <w:t>;</w:t>
      </w:r>
      <w:r w:rsidR="0044242D" w:rsidRPr="00BF3BC0">
        <w:t xml:space="preserve"> South Sudan</w:t>
      </w:r>
      <w:r w:rsidR="00DB23B3" w:rsidRPr="00BF3BC0">
        <w:t>;</w:t>
      </w:r>
      <w:r w:rsidR="0044242D" w:rsidRPr="00BF3BC0">
        <w:t xml:space="preserve"> Tuvalu</w:t>
      </w:r>
      <w:r w:rsidR="00DB23B3" w:rsidRPr="00BF3BC0">
        <w:t>; and</w:t>
      </w:r>
      <w:r w:rsidR="0044242D" w:rsidRPr="00BF3BC0">
        <w:t xml:space="preserve"> United States of America</w:t>
      </w:r>
      <w:r w:rsidR="00061745" w:rsidRPr="00BF3BC0">
        <w:t>.</w:t>
      </w:r>
    </w:p>
    <w:bookmarkEnd w:id="53"/>
    <w:p w14:paraId="661F232D" w14:textId="2E846708" w:rsidR="00C8755A" w:rsidRPr="00BF3BC0" w:rsidRDefault="00C8755A" w:rsidP="00237524">
      <w:pPr>
        <w:pStyle w:val="Para1"/>
        <w:tabs>
          <w:tab w:val="clear" w:pos="360"/>
        </w:tabs>
      </w:pPr>
      <w:r w:rsidRPr="00BF3BC0">
        <w:t xml:space="preserve">For all other participants, see annex I to the report of the </w:t>
      </w:r>
      <w:r w:rsidR="00895EE2" w:rsidRPr="00BF3BC0">
        <w:t xml:space="preserve">Conference of the Parties </w:t>
      </w:r>
      <w:r w:rsidR="0088490E" w:rsidRPr="00BF3BC0">
        <w:t xml:space="preserve">on its fourteenth meeting </w:t>
      </w:r>
      <w:r w:rsidR="00895EE2" w:rsidRPr="00BF3BC0">
        <w:t>(</w:t>
      </w:r>
      <w:r w:rsidRPr="00BF3BC0">
        <w:t>CBD/COP/1</w:t>
      </w:r>
      <w:r w:rsidR="00C86B79" w:rsidRPr="00BF3BC0">
        <w:t>4</w:t>
      </w:r>
      <w:r w:rsidRPr="00BF3BC0">
        <w:t>/</w:t>
      </w:r>
      <w:r w:rsidR="00757DBF" w:rsidRPr="00BF3BC0">
        <w:t>14</w:t>
      </w:r>
      <w:r w:rsidRPr="00BF3BC0">
        <w:t>).</w:t>
      </w:r>
    </w:p>
    <w:p w14:paraId="5395613E" w14:textId="77777777" w:rsidR="00495B7A" w:rsidRPr="00304A4B" w:rsidRDefault="0050326F" w:rsidP="00237524">
      <w:pPr>
        <w:pStyle w:val="heading2-item0"/>
        <w:tabs>
          <w:tab w:val="clear" w:pos="720"/>
          <w:tab w:val="left" w:pos="993"/>
        </w:tabs>
        <w:rPr>
          <w:i/>
          <w:iCs/>
          <w:szCs w:val="22"/>
        </w:rPr>
      </w:pPr>
      <w:bookmarkStart w:id="55" w:name="_Toc879833"/>
      <w:bookmarkStart w:id="56" w:name="_Toc5612109"/>
      <w:bookmarkEnd w:id="54"/>
      <w:r w:rsidRPr="003179D8">
        <w:rPr>
          <w:szCs w:val="22"/>
        </w:rPr>
        <w:t>Item 1.</w:t>
      </w:r>
      <w:r w:rsidRPr="003179D8">
        <w:rPr>
          <w:szCs w:val="22"/>
        </w:rPr>
        <w:tab/>
        <w:t>Opening of the meeting</w:t>
      </w:r>
      <w:bookmarkEnd w:id="55"/>
      <w:bookmarkEnd w:id="56"/>
    </w:p>
    <w:p w14:paraId="24C076F2" w14:textId="2253DFD9" w:rsidR="006B022F" w:rsidRPr="00BF3BC0" w:rsidRDefault="006C59C4" w:rsidP="00237524">
      <w:pPr>
        <w:pStyle w:val="Para1"/>
        <w:tabs>
          <w:tab w:val="clear" w:pos="360"/>
        </w:tabs>
      </w:pPr>
      <w:r w:rsidRPr="00BF3BC0">
        <w:t xml:space="preserve">The ninth meeting of the Conference of the Parties serving as the meeting of the Parties to the Cartagena Protocol was opened at </w:t>
      </w:r>
      <w:r w:rsidR="006B022F" w:rsidRPr="00BF3BC0">
        <w:t xml:space="preserve">11:00 a.m. on 17 November </w:t>
      </w:r>
      <w:r w:rsidR="00587211" w:rsidRPr="00BF3BC0">
        <w:t xml:space="preserve">2018 </w:t>
      </w:r>
      <w:r w:rsidR="006B022F" w:rsidRPr="00BF3BC0">
        <w:t xml:space="preserve">by Mr. </w:t>
      </w:r>
      <w:r w:rsidR="006B022F" w:rsidRPr="00237524">
        <w:rPr>
          <w:bCs/>
        </w:rPr>
        <w:t>José Octavio</w:t>
      </w:r>
      <w:r w:rsidR="00FA0668" w:rsidRPr="00237524">
        <w:t xml:space="preserve"> </w:t>
      </w:r>
      <w:r w:rsidR="006B022F" w:rsidRPr="00237524">
        <w:t>Tripp Villanueva</w:t>
      </w:r>
      <w:r w:rsidR="006B022F" w:rsidRPr="00BF3BC0">
        <w:t>, Ambassador of Mexico to Egypt,</w:t>
      </w:r>
      <w:r w:rsidR="006B022F" w:rsidRPr="00237524">
        <w:rPr>
          <w:bCs/>
          <w:i/>
        </w:rPr>
        <w:t xml:space="preserve"> </w:t>
      </w:r>
      <w:r w:rsidR="006B022F" w:rsidRPr="00237524">
        <w:rPr>
          <w:bCs/>
        </w:rPr>
        <w:t xml:space="preserve">on behalf of Mr. Rafael </w:t>
      </w:r>
      <w:r w:rsidR="006B022F" w:rsidRPr="00237524">
        <w:rPr>
          <w:bCs/>
          <w:noProof/>
        </w:rPr>
        <w:t>Pacchiano</w:t>
      </w:r>
      <w:r w:rsidR="006B022F" w:rsidRPr="00237524">
        <w:rPr>
          <w:bCs/>
        </w:rPr>
        <w:t xml:space="preserve"> </w:t>
      </w:r>
      <w:r w:rsidR="006B022F" w:rsidRPr="00237524">
        <w:rPr>
          <w:bCs/>
          <w:noProof/>
        </w:rPr>
        <w:t>Alamán</w:t>
      </w:r>
      <w:r w:rsidR="006B022F" w:rsidRPr="00237524">
        <w:rPr>
          <w:bCs/>
        </w:rPr>
        <w:t xml:space="preserve">, Minister of Environment and Natural Resources of Mexico and outgoing President of the Conference of the Parties, </w:t>
      </w:r>
      <w:r w:rsidR="00C86B79" w:rsidRPr="00237524">
        <w:rPr>
          <w:bCs/>
        </w:rPr>
        <w:t xml:space="preserve">who </w:t>
      </w:r>
      <w:r w:rsidR="006B022F" w:rsidRPr="00BF3BC0">
        <w:t>also serv</w:t>
      </w:r>
      <w:r w:rsidR="00C86B79" w:rsidRPr="00BF3BC0">
        <w:t>ed</w:t>
      </w:r>
      <w:r w:rsidR="006B022F" w:rsidRPr="00BF3BC0">
        <w:t xml:space="preserve"> as President of the eight</w:t>
      </w:r>
      <w:r w:rsidR="00D47251" w:rsidRPr="00BF3BC0">
        <w:t>h meeting of the</w:t>
      </w:r>
      <w:r w:rsidR="006B022F" w:rsidRPr="00BF3BC0">
        <w:t xml:space="preserve"> Conference of the Parties serving as the meeting of the Parties to the Cartagena Protocol.</w:t>
      </w:r>
    </w:p>
    <w:p w14:paraId="069FD937" w14:textId="2B0CD202" w:rsidR="006B022F" w:rsidRPr="00BF3BC0" w:rsidRDefault="006B022F" w:rsidP="00237524">
      <w:pPr>
        <w:pStyle w:val="Para1"/>
        <w:tabs>
          <w:tab w:val="clear" w:pos="360"/>
        </w:tabs>
      </w:pPr>
      <w:r w:rsidRPr="00BF3BC0">
        <w:t>Opening statements were made by Ms. Yasmine Fouad, Minister of Environment of Egypt and President of the Conference of the Parties at its fourteenth meeting, also serving as President of the ninth</w:t>
      </w:r>
      <w:r w:rsidR="00844310" w:rsidRPr="00BF3BC0">
        <w:t xml:space="preserve"> meeting of the</w:t>
      </w:r>
      <w:r w:rsidRPr="00BF3BC0">
        <w:t xml:space="preserve"> Conference of the Parties serving as the meeting of the Parties to the Cartagena Protocol; Ms. </w:t>
      </w:r>
      <w:r w:rsidRPr="00BF3BC0">
        <w:rPr>
          <w:noProof/>
        </w:rPr>
        <w:t>Cristiana Paşca Palmer</w:t>
      </w:r>
      <w:r w:rsidRPr="00BF3BC0">
        <w:t>, Executive Secretary of the Convention</w:t>
      </w:r>
      <w:r w:rsidR="00D44825" w:rsidRPr="00BF3BC0">
        <w:t xml:space="preserve"> on Biological Diversity</w:t>
      </w:r>
      <w:r w:rsidRPr="00BF3BC0">
        <w:t xml:space="preserve">; Ms. Maria Fernanda Espinosa, President of the United Nations General Assembly, via video; and </w:t>
      </w:r>
      <w:r w:rsidRPr="00237524">
        <w:t xml:space="preserve">Mr. Abdel Fattah </w:t>
      </w:r>
      <w:r w:rsidR="007960C1" w:rsidRPr="00237524">
        <w:t>E</w:t>
      </w:r>
      <w:r w:rsidRPr="00237524">
        <w:t>l-</w:t>
      </w:r>
      <w:proofErr w:type="spellStart"/>
      <w:r w:rsidRPr="00237524">
        <w:t>Sisi</w:t>
      </w:r>
      <w:proofErr w:type="spellEnd"/>
      <w:r w:rsidRPr="00237524">
        <w:t>, President of Egypt</w:t>
      </w:r>
      <w:r w:rsidRPr="00BF3BC0">
        <w:t>.</w:t>
      </w:r>
    </w:p>
    <w:p w14:paraId="3D5CC868" w14:textId="53EA84E2" w:rsidR="006B022F" w:rsidRPr="00BF3BC0" w:rsidRDefault="006B022F" w:rsidP="00237524">
      <w:pPr>
        <w:pStyle w:val="Para1"/>
        <w:tabs>
          <w:tab w:val="clear" w:pos="360"/>
        </w:tabs>
      </w:pPr>
      <w:bookmarkStart w:id="57" w:name="_Hlk530320314"/>
      <w:r w:rsidRPr="00BF3BC0">
        <w:t xml:space="preserve">In her statement, the President referred to the outcomes of the high-level segment, including the </w:t>
      </w:r>
      <w:r w:rsidR="009549BF" w:rsidRPr="00BF3BC0">
        <w:t xml:space="preserve">Sharm El-Sheikh </w:t>
      </w:r>
      <w:r w:rsidRPr="00BF3BC0">
        <w:t xml:space="preserve">Declaration: Investing in Biodiversity for People and Planet. The </w:t>
      </w:r>
      <w:r w:rsidR="009549BF" w:rsidRPr="00BF3BC0">
        <w:t xml:space="preserve">Sharm El-Sheikh </w:t>
      </w:r>
      <w:r w:rsidRPr="00BF3BC0">
        <w:t xml:space="preserve">Declaration was </w:t>
      </w:r>
      <w:r w:rsidR="002A2B33" w:rsidRPr="00BF3BC0">
        <w:t>issued</w:t>
      </w:r>
      <w:r w:rsidRPr="00BF3BC0">
        <w:t xml:space="preserve"> as document CBD/COP/14/12 and the report </w:t>
      </w:r>
      <w:r w:rsidR="007C6C03" w:rsidRPr="00BF3BC0">
        <w:t xml:space="preserve">on </w:t>
      </w:r>
      <w:r w:rsidRPr="00BF3BC0">
        <w:t>the high</w:t>
      </w:r>
      <w:r w:rsidR="00895EE2" w:rsidRPr="00BF3BC0">
        <w:t xml:space="preserve">-level segment as document </w:t>
      </w:r>
      <w:r w:rsidRPr="00BF3BC0">
        <w:t>CBD/COP/14/12/Add.1.</w:t>
      </w:r>
    </w:p>
    <w:bookmarkEnd w:id="57"/>
    <w:p w14:paraId="2B8104D1" w14:textId="6D5C090C" w:rsidR="006B022F" w:rsidRPr="00BF3BC0" w:rsidRDefault="006B022F" w:rsidP="00237524">
      <w:pPr>
        <w:pStyle w:val="Para1"/>
        <w:tabs>
          <w:tab w:val="clear" w:pos="360"/>
        </w:tabs>
      </w:pPr>
      <w:r w:rsidRPr="00BF3BC0">
        <w:rPr>
          <w:noProof/>
        </w:rPr>
        <w:t xml:space="preserve">Two video presentations were screened, the first prepared by the Government of Mexico on mainstreaming biodiversity and the second by the Government of Egypt on biodiversity and its vital connection with the survival of humanity. </w:t>
      </w:r>
      <w:r w:rsidR="00587211" w:rsidRPr="00BF3BC0">
        <w:rPr>
          <w:noProof/>
        </w:rPr>
        <w:t xml:space="preserve">There was also a performance by schoolchildren </w:t>
      </w:r>
      <w:r w:rsidR="00102778" w:rsidRPr="00BF3BC0">
        <w:rPr>
          <w:noProof/>
        </w:rPr>
        <w:t xml:space="preserve">on </w:t>
      </w:r>
      <w:r w:rsidR="00587211" w:rsidRPr="00BF3BC0">
        <w:rPr>
          <w:noProof/>
        </w:rPr>
        <w:t>the importance of biodiversity</w:t>
      </w:r>
      <w:r w:rsidRPr="00BF3BC0">
        <w:t>.</w:t>
      </w:r>
    </w:p>
    <w:p w14:paraId="0FA280E6" w14:textId="564B2C28" w:rsidR="006B022F" w:rsidRPr="00BF3BC0" w:rsidRDefault="006B022F" w:rsidP="00237524">
      <w:pPr>
        <w:pStyle w:val="Para1"/>
        <w:tabs>
          <w:tab w:val="clear" w:pos="360"/>
        </w:tabs>
      </w:pPr>
      <w:r w:rsidRPr="00BF3BC0">
        <w:t xml:space="preserve">At the 2nd plenary session of the meeting, on 17 November 2018, statements were made by </w:t>
      </w:r>
      <w:r w:rsidR="00C86B79" w:rsidRPr="00BF3BC0">
        <w:t>Ms.</w:t>
      </w:r>
      <w:r w:rsidR="00093D3B" w:rsidRPr="00BF3BC0">
        <w:t> </w:t>
      </w:r>
      <w:r w:rsidRPr="00BF3BC0">
        <w:t>Amina Mohammed, Deputy Secretary</w:t>
      </w:r>
      <w:r w:rsidR="00093D3B" w:rsidRPr="00BF3BC0">
        <w:t>-</w:t>
      </w:r>
      <w:r w:rsidRPr="00BF3BC0">
        <w:t xml:space="preserve">General of the United Nations, via video, and </w:t>
      </w:r>
      <w:r w:rsidRPr="003179D8">
        <w:rPr>
          <w:rFonts w:eastAsiaTheme="minorEastAsia"/>
          <w:bCs/>
          <w:snapToGrid/>
        </w:rPr>
        <w:t xml:space="preserve">Ms. </w:t>
      </w:r>
      <w:proofErr w:type="spellStart"/>
      <w:r w:rsidRPr="003179D8">
        <w:rPr>
          <w:rFonts w:eastAsiaTheme="minorEastAsia"/>
          <w:bCs/>
          <w:snapToGrid/>
        </w:rPr>
        <w:t>Corli</w:t>
      </w:r>
      <w:proofErr w:type="spellEnd"/>
      <w:r w:rsidRPr="003179D8">
        <w:rPr>
          <w:rFonts w:eastAsiaTheme="minorEastAsia"/>
          <w:bCs/>
          <w:snapToGrid/>
        </w:rPr>
        <w:t xml:space="preserve"> </w:t>
      </w:r>
      <w:r w:rsidRPr="003179D8">
        <w:rPr>
          <w:rFonts w:eastAsiaTheme="minorEastAsia"/>
          <w:bCs/>
          <w:snapToGrid/>
        </w:rPr>
        <w:lastRenderedPageBreak/>
        <w:t>Pretorius, Deputy Director of the United Nations Environment Programme (UNEP) World Conservation Monitoring Centre.</w:t>
      </w:r>
    </w:p>
    <w:p w14:paraId="6837A928" w14:textId="77777777" w:rsidR="006B022F" w:rsidRPr="00BF3BC0" w:rsidRDefault="006B022F" w:rsidP="00237524">
      <w:pPr>
        <w:pStyle w:val="Para1"/>
        <w:tabs>
          <w:tab w:val="clear" w:pos="360"/>
        </w:tabs>
      </w:pPr>
      <w:r w:rsidRPr="00BF3BC0">
        <w:t xml:space="preserve">Representatives viewed two films, one by the National Geographic Society and the other by the </w:t>
      </w:r>
      <w:proofErr w:type="gramStart"/>
      <w:r w:rsidRPr="00BF3BC0">
        <w:t>World Wide</w:t>
      </w:r>
      <w:proofErr w:type="gramEnd"/>
      <w:r w:rsidRPr="00BF3BC0">
        <w:t xml:space="preserve"> Fund for Nature (WWF), as well as a video message from Mr. Paul McCartney.</w:t>
      </w:r>
    </w:p>
    <w:p w14:paraId="3A6146D0" w14:textId="1CE9DD24" w:rsidR="006B022F" w:rsidRPr="00BF3BC0" w:rsidRDefault="006B022F" w:rsidP="00237524">
      <w:pPr>
        <w:pStyle w:val="Para1"/>
        <w:tabs>
          <w:tab w:val="clear" w:pos="360"/>
        </w:tabs>
      </w:pPr>
      <w:r w:rsidRPr="00BF3BC0">
        <w:t xml:space="preserve">General statements were made by representatives of Argentina (on behalf of the Latin American and Caribbean Group), Canada (on behalf of a group of non-aligned countries), </w:t>
      </w:r>
      <w:r w:rsidR="002A6F3B">
        <w:t xml:space="preserve">the </w:t>
      </w:r>
      <w:r w:rsidRPr="00BF3BC0">
        <w:t xml:space="preserve">European Union and its </w:t>
      </w:r>
      <w:proofErr w:type="gramStart"/>
      <w:r w:rsidRPr="00BF3BC0">
        <w:t>28 member</w:t>
      </w:r>
      <w:proofErr w:type="gramEnd"/>
      <w:r w:rsidRPr="00BF3BC0">
        <w:t xml:space="preserve"> States, Belarus (on behalf of the countries of Central and Eastern Europe), Rwanda (on behalf of the African Group) and Malaysia (on behalf of the Group of Like-minded Megadiverse Countries).</w:t>
      </w:r>
    </w:p>
    <w:p w14:paraId="40E666E4" w14:textId="77777777" w:rsidR="006B022F" w:rsidRPr="00BF3BC0" w:rsidRDefault="006B022F" w:rsidP="00237524">
      <w:pPr>
        <w:pStyle w:val="Para1"/>
        <w:tabs>
          <w:tab w:val="clear" w:pos="360"/>
        </w:tabs>
      </w:pPr>
      <w:r w:rsidRPr="00BF3BC0">
        <w:t>Statements were also made by representatives of the Indigenous Women’s Biodiversity Network (IWBN), the International Indigenous Forum for Biodiversity (IIFB), the CBD Alliance and the Global Youth Biodiversity Network (GYBN) and the Intergovernmental Science-Policy Platform on Biodiversity and Ecosystem Services (IPBES)</w:t>
      </w:r>
      <w:r w:rsidRPr="00237524">
        <w:t>.</w:t>
      </w:r>
    </w:p>
    <w:p w14:paraId="6205FDAF" w14:textId="52D5630D" w:rsidR="006B022F" w:rsidRPr="00BF3BC0" w:rsidRDefault="006B022F" w:rsidP="00237524">
      <w:pPr>
        <w:pStyle w:val="Para1"/>
        <w:tabs>
          <w:tab w:val="clear" w:pos="360"/>
        </w:tabs>
      </w:pPr>
      <w:r w:rsidRPr="00237524">
        <w:t>The opening statements are summarized in annex II to the report of the Conference of the Parties</w:t>
      </w:r>
      <w:r w:rsidR="00A20517" w:rsidRPr="00237524">
        <w:t xml:space="preserve"> on its fourteenth meeting</w:t>
      </w:r>
      <w:r w:rsidRPr="00237524">
        <w:t>.</w:t>
      </w:r>
    </w:p>
    <w:p w14:paraId="1AE22002" w14:textId="77777777" w:rsidR="00495B7A" w:rsidRPr="00ED78BE" w:rsidRDefault="0050326F" w:rsidP="00237524">
      <w:pPr>
        <w:pStyle w:val="heading2-item0"/>
        <w:tabs>
          <w:tab w:val="clear" w:pos="720"/>
          <w:tab w:val="left" w:pos="993"/>
        </w:tabs>
        <w:adjustRightInd w:val="0"/>
        <w:snapToGrid w:val="0"/>
        <w:spacing w:before="120"/>
      </w:pPr>
      <w:bookmarkStart w:id="58" w:name="_Toc879834"/>
      <w:bookmarkStart w:id="59" w:name="_Toc5612110"/>
      <w:r w:rsidRPr="00ED78BE">
        <w:t>Item 2.</w:t>
      </w:r>
      <w:r w:rsidRPr="00ED78BE">
        <w:tab/>
        <w:t>Organizational matters</w:t>
      </w:r>
      <w:bookmarkEnd w:id="58"/>
      <w:bookmarkEnd w:id="59"/>
    </w:p>
    <w:p w14:paraId="6FF2A2BF" w14:textId="77777777" w:rsidR="00F52DE5" w:rsidRPr="00ED78BE" w:rsidRDefault="00F52DE5" w:rsidP="00237524">
      <w:pPr>
        <w:pStyle w:val="Heading2"/>
        <w:tabs>
          <w:tab w:val="clear" w:pos="720"/>
          <w:tab w:val="left" w:pos="426"/>
        </w:tabs>
        <w:adjustRightInd w:val="0"/>
        <w:snapToGrid w:val="0"/>
        <w:rPr>
          <w:lang w:eastAsia="en-CA"/>
        </w:rPr>
      </w:pPr>
      <w:bookmarkStart w:id="60" w:name="_Toc879835"/>
      <w:r w:rsidRPr="00ED78BE">
        <w:t>2.1</w:t>
      </w:r>
      <w:r w:rsidR="00FB3975" w:rsidRPr="00ED78BE">
        <w:tab/>
      </w:r>
      <w:r w:rsidRPr="00ED78BE">
        <w:t>Election of the President and substitute officers</w:t>
      </w:r>
      <w:bookmarkEnd w:id="60"/>
    </w:p>
    <w:p w14:paraId="4A5A782A" w14:textId="77777777" w:rsidR="00F52DE5" w:rsidRPr="00ED78BE" w:rsidRDefault="00F52DE5" w:rsidP="00237524">
      <w:pPr>
        <w:pStyle w:val="Heading3"/>
        <w:tabs>
          <w:tab w:val="clear" w:pos="567"/>
        </w:tabs>
        <w:adjustRightInd w:val="0"/>
        <w:snapToGrid w:val="0"/>
        <w:rPr>
          <w:snapToGrid w:val="0"/>
          <w:lang w:eastAsia="en-CA"/>
        </w:rPr>
      </w:pPr>
      <w:bookmarkStart w:id="61" w:name="_Toc879836"/>
      <w:r w:rsidRPr="00ED78BE">
        <w:rPr>
          <w:snapToGrid w:val="0"/>
          <w:lang w:eastAsia="en-CA"/>
        </w:rPr>
        <w:t>Election of the President</w:t>
      </w:r>
      <w:bookmarkEnd w:id="61"/>
    </w:p>
    <w:p w14:paraId="0BC0C9FD" w14:textId="14D6412F" w:rsidR="00BF5795" w:rsidRPr="00ED78BE" w:rsidRDefault="002C1136" w:rsidP="00237524">
      <w:pPr>
        <w:pStyle w:val="Para1"/>
        <w:tabs>
          <w:tab w:val="clear" w:pos="360"/>
        </w:tabs>
      </w:pPr>
      <w:bookmarkStart w:id="62" w:name="_Hlk530379600"/>
      <w:r w:rsidRPr="00ED78BE">
        <w:t>Subject to</w:t>
      </w:r>
      <w:r w:rsidR="00BF5795" w:rsidRPr="00ED78BE">
        <w:t xml:space="preserve"> </w:t>
      </w:r>
      <w:r w:rsidRPr="00ED78BE">
        <w:t xml:space="preserve">paragraph 3 of </w:t>
      </w:r>
      <w:r w:rsidR="00BF5795" w:rsidRPr="00ED78BE">
        <w:t xml:space="preserve">Article 29 of the </w:t>
      </w:r>
      <w:r w:rsidRPr="00ED78BE">
        <w:t xml:space="preserve">Cartagena </w:t>
      </w:r>
      <w:r w:rsidR="00BF5795" w:rsidRPr="00ED78BE">
        <w:t>Protocol, the Bureau of the Conference of the Parties also serve</w:t>
      </w:r>
      <w:r w:rsidR="00647C90" w:rsidRPr="00ED78BE">
        <w:t>s</w:t>
      </w:r>
      <w:r w:rsidR="00BF5795" w:rsidRPr="00ED78BE">
        <w:t xml:space="preserve"> as the Bureau of the </w:t>
      </w:r>
      <w:r w:rsidR="00647C90" w:rsidRPr="00ED78BE">
        <w:t xml:space="preserve">Conference of the Parties serving as the </w:t>
      </w:r>
      <w:r w:rsidR="00BF5795" w:rsidRPr="00ED78BE">
        <w:t xml:space="preserve">meeting of the Parties to the Cartagena Protocol. Accordingly, Ms. Fouad, who </w:t>
      </w:r>
      <w:r w:rsidR="00BC5EEA" w:rsidRPr="00ED78BE">
        <w:t>had been</w:t>
      </w:r>
      <w:r w:rsidR="00BF5795" w:rsidRPr="00ED78BE">
        <w:t xml:space="preserve"> elected President of the fourteenth meeting of the Conference of the Parties, also serve</w:t>
      </w:r>
      <w:r w:rsidR="00D47251" w:rsidRPr="00ED78BE">
        <w:t>d</w:t>
      </w:r>
      <w:r w:rsidR="00BF5795" w:rsidRPr="00ED78BE">
        <w:t xml:space="preserve"> as the President of the ninth meeting of the </w:t>
      </w:r>
      <w:bookmarkStart w:id="63" w:name="_Hlk530379052"/>
      <w:r w:rsidR="00BF5795" w:rsidRPr="00ED78BE">
        <w:t>Conference of the Parties serving as the meeting of the Parties to the Cartagena Protocol</w:t>
      </w:r>
      <w:bookmarkEnd w:id="63"/>
      <w:r w:rsidR="00BF5795" w:rsidRPr="00ED78BE">
        <w:t>.</w:t>
      </w:r>
    </w:p>
    <w:p w14:paraId="7E11A382" w14:textId="77777777" w:rsidR="00F52DE5" w:rsidRPr="00ED78BE" w:rsidRDefault="00F52DE5" w:rsidP="00237524">
      <w:pPr>
        <w:keepNext/>
        <w:suppressLineNumbers/>
        <w:suppressAutoHyphens/>
        <w:kinsoku w:val="0"/>
        <w:overflowPunct w:val="0"/>
        <w:autoSpaceDE w:val="0"/>
        <w:autoSpaceDN w:val="0"/>
        <w:spacing w:before="120" w:after="120"/>
        <w:outlineLvl w:val="2"/>
        <w:rPr>
          <w:i/>
          <w:iCs/>
          <w:snapToGrid w:val="0"/>
          <w:kern w:val="22"/>
          <w:szCs w:val="22"/>
          <w:lang w:eastAsia="en-CA"/>
        </w:rPr>
      </w:pPr>
      <w:bookmarkStart w:id="64" w:name="_Toc879837"/>
      <w:bookmarkEnd w:id="62"/>
      <w:r w:rsidRPr="00ED78BE">
        <w:rPr>
          <w:i/>
          <w:iCs/>
          <w:snapToGrid w:val="0"/>
          <w:kern w:val="22"/>
          <w:szCs w:val="22"/>
          <w:lang w:eastAsia="en-CA"/>
        </w:rPr>
        <w:t>Election of substitute officers</w:t>
      </w:r>
      <w:bookmarkEnd w:id="64"/>
    </w:p>
    <w:p w14:paraId="05BA9FB3" w14:textId="1654D213" w:rsidR="00495B7A" w:rsidRPr="00ED78BE" w:rsidRDefault="00D44825" w:rsidP="00237524">
      <w:pPr>
        <w:pStyle w:val="Para1"/>
        <w:tabs>
          <w:tab w:val="clear" w:pos="360"/>
        </w:tabs>
      </w:pPr>
      <w:r w:rsidRPr="00ED78BE">
        <w:t xml:space="preserve">Article </w:t>
      </w:r>
      <w:r w:rsidR="00E030C5" w:rsidRPr="00ED78BE">
        <w:t>29</w:t>
      </w:r>
      <w:r w:rsidR="009F6937">
        <w:t>,</w:t>
      </w:r>
      <w:r w:rsidR="009F6937" w:rsidRPr="009F6937">
        <w:rPr>
          <w:iCs/>
        </w:rPr>
        <w:t xml:space="preserve"> </w:t>
      </w:r>
      <w:r w:rsidR="009F6937">
        <w:rPr>
          <w:iCs/>
        </w:rPr>
        <w:t>p</w:t>
      </w:r>
      <w:r w:rsidR="009F6937" w:rsidRPr="00ED78BE">
        <w:t>aragraph 3</w:t>
      </w:r>
      <w:r w:rsidR="009F6937">
        <w:t>,</w:t>
      </w:r>
      <w:r w:rsidRPr="00ED78BE">
        <w:t xml:space="preserve"> of the Cartagena Protocol</w:t>
      </w:r>
      <w:r w:rsidR="002C1136" w:rsidRPr="00ED78BE">
        <w:t xml:space="preserve"> stipulate</w:t>
      </w:r>
      <w:r w:rsidR="00245A61" w:rsidRPr="00ED78BE">
        <w:t>d</w:t>
      </w:r>
      <w:r w:rsidR="002C1136" w:rsidRPr="00ED78BE">
        <w:t xml:space="preserve"> that</w:t>
      </w:r>
      <w:r w:rsidRPr="00ED78BE">
        <w:t xml:space="preserve"> a</w:t>
      </w:r>
      <w:r w:rsidR="00BF5795" w:rsidRPr="00ED78BE">
        <w:t>ny member of the Bureau of the Conference of the Parties who was representing a Party to the Convention that was not a Party to the Protocol</w:t>
      </w:r>
      <w:r w:rsidRPr="00ED78BE">
        <w:t xml:space="preserve"> must</w:t>
      </w:r>
      <w:r w:rsidR="00BF5795" w:rsidRPr="00ED78BE">
        <w:t xml:space="preserve"> be substituted</w:t>
      </w:r>
      <w:r w:rsidRPr="00ED78BE">
        <w:t xml:space="preserve"> </w:t>
      </w:r>
      <w:r w:rsidR="00BF5795" w:rsidRPr="00ED78BE">
        <w:t>by a member elected by and from among the Parties to the Protocol.</w:t>
      </w:r>
      <w:r w:rsidR="00C63904" w:rsidRPr="00ED78BE">
        <w:t xml:space="preserve"> </w:t>
      </w:r>
      <w:r w:rsidR="0098141B" w:rsidRPr="00ED78BE">
        <w:t>T</w:t>
      </w:r>
      <w:r w:rsidRPr="00ED78BE">
        <w:t>he Conference of the Parties</w:t>
      </w:r>
      <w:r w:rsidR="00245A61" w:rsidRPr="00ED78BE">
        <w:t xml:space="preserve"> at its thirteenth meeting had</w:t>
      </w:r>
      <w:r w:rsidRPr="00ED78BE">
        <w:t xml:space="preserve"> elected 10 </w:t>
      </w:r>
      <w:r w:rsidR="00C17333" w:rsidRPr="00ED78BE">
        <w:t>members</w:t>
      </w:r>
      <w:r w:rsidRPr="00ED78BE">
        <w:t xml:space="preserve"> of the Bureau </w:t>
      </w:r>
      <w:r w:rsidR="0098141B" w:rsidRPr="00ED78BE">
        <w:t xml:space="preserve">to serve until the closure of the fourteenth meeting. </w:t>
      </w:r>
      <w:r w:rsidRPr="00ED78BE">
        <w:t xml:space="preserve">Subsequently, </w:t>
      </w:r>
      <w:r w:rsidR="00AD6692" w:rsidRPr="00ED78BE">
        <w:t xml:space="preserve">at its </w:t>
      </w:r>
      <w:r w:rsidRPr="00ED78BE">
        <w:t>eighth meeting</w:t>
      </w:r>
      <w:r w:rsidR="00AD6692" w:rsidRPr="00ED78BE">
        <w:t>,</w:t>
      </w:r>
      <w:r w:rsidRPr="00ED78BE">
        <w:t xml:space="preserve"> the </w:t>
      </w:r>
      <w:r w:rsidR="00AD6692" w:rsidRPr="00ED78BE">
        <w:t>Conference of the Parties serving as the meeting of the Parties to the Cartagena Protocol</w:t>
      </w:r>
      <w:r w:rsidRPr="00ED78BE">
        <w:t xml:space="preserve"> </w:t>
      </w:r>
      <w:r w:rsidR="00245A61" w:rsidRPr="00ED78BE">
        <w:t xml:space="preserve">had </w:t>
      </w:r>
      <w:r w:rsidRPr="00ED78BE">
        <w:t>elected substitute Bureau members for those regions where the Conference of the Parties</w:t>
      </w:r>
      <w:r w:rsidRPr="00ED78BE" w:rsidDel="002C69D0">
        <w:t xml:space="preserve"> </w:t>
      </w:r>
      <w:r w:rsidRPr="00ED78BE">
        <w:t>Bureau member was representing a Party to the Convention that was not a Party to the</w:t>
      </w:r>
      <w:r w:rsidR="00CA7857" w:rsidRPr="00ED78BE">
        <w:t xml:space="preserve"> </w:t>
      </w:r>
      <w:r w:rsidRPr="00ED78BE">
        <w:t xml:space="preserve">Protocol. Subsequently, two representatives </w:t>
      </w:r>
      <w:r w:rsidR="00245A61" w:rsidRPr="00ED78BE">
        <w:t>had been</w:t>
      </w:r>
      <w:r w:rsidRPr="00ED78BE">
        <w:t xml:space="preserve"> replaced by the Party concerned. Thus, </w:t>
      </w:r>
      <w:r w:rsidR="00C17333" w:rsidRPr="00ED78BE">
        <w:t>in addition to the President</w:t>
      </w:r>
      <w:r w:rsidR="0046488F" w:rsidRPr="00ED78BE">
        <w:t>,</w:t>
      </w:r>
      <w:r w:rsidR="00C17333" w:rsidRPr="00ED78BE">
        <w:t xml:space="preserve"> </w:t>
      </w:r>
      <w:r w:rsidRPr="00ED78BE">
        <w:t xml:space="preserve">the Bureau for the ninth meeting of the </w:t>
      </w:r>
      <w:r w:rsidR="005855A9" w:rsidRPr="00ED78BE">
        <w:t xml:space="preserve">Conference of the Parties serving as the meeting of the </w:t>
      </w:r>
      <w:r w:rsidRPr="00ED78BE">
        <w:t>Parties to the Cartagena Protocol comprise</w:t>
      </w:r>
      <w:r w:rsidR="0046488F" w:rsidRPr="00ED78BE">
        <w:t>d</w:t>
      </w:r>
      <w:r w:rsidR="00C20F5D" w:rsidRPr="00ED78BE">
        <w:t>:</w:t>
      </w:r>
    </w:p>
    <w:p w14:paraId="638D580A" w14:textId="77777777" w:rsidR="00495B7A" w:rsidRPr="00ED78BE" w:rsidRDefault="00C20F5D" w:rsidP="008253D1">
      <w:pPr>
        <w:pStyle w:val="Para1"/>
        <w:numPr>
          <w:ilvl w:val="0"/>
          <w:numId w:val="0"/>
        </w:numPr>
        <w:ind w:left="1440"/>
        <w:contextualSpacing/>
      </w:pPr>
      <w:r w:rsidRPr="00ED78BE">
        <w:t xml:space="preserve">Mr. </w:t>
      </w:r>
      <w:r w:rsidRPr="00ED78BE">
        <w:rPr>
          <w:noProof/>
        </w:rPr>
        <w:t>Mohamed Ali ben Temessek</w:t>
      </w:r>
      <w:r w:rsidRPr="00ED78BE">
        <w:t xml:space="preserve"> (Tunisia)</w:t>
      </w:r>
    </w:p>
    <w:p w14:paraId="40775272" w14:textId="77777777" w:rsidR="00495B7A" w:rsidRPr="00ED78BE" w:rsidRDefault="00C20F5D" w:rsidP="008253D1">
      <w:pPr>
        <w:pStyle w:val="Para1"/>
        <w:numPr>
          <w:ilvl w:val="0"/>
          <w:numId w:val="0"/>
        </w:numPr>
        <w:ind w:left="1440"/>
        <w:contextualSpacing/>
      </w:pPr>
      <w:r w:rsidRPr="00ED78BE">
        <w:t xml:space="preserve">Mr. </w:t>
      </w:r>
      <w:r w:rsidRPr="00ED78BE">
        <w:rPr>
          <w:noProof/>
        </w:rPr>
        <w:t>Samuel Ndayiragije</w:t>
      </w:r>
      <w:r w:rsidRPr="00ED78BE">
        <w:t xml:space="preserve"> (Burundi)</w:t>
      </w:r>
    </w:p>
    <w:p w14:paraId="3CA2BEF3" w14:textId="77777777" w:rsidR="00495B7A" w:rsidRPr="00ED78BE" w:rsidRDefault="00C20F5D" w:rsidP="008253D1">
      <w:pPr>
        <w:pStyle w:val="Para1"/>
        <w:numPr>
          <w:ilvl w:val="0"/>
          <w:numId w:val="0"/>
        </w:numPr>
        <w:ind w:left="1440"/>
        <w:contextualSpacing/>
      </w:pPr>
      <w:r w:rsidRPr="00ED78BE">
        <w:t xml:space="preserve">Ms. </w:t>
      </w:r>
      <w:r w:rsidRPr="00ED78BE">
        <w:rPr>
          <w:noProof/>
        </w:rPr>
        <w:t>Elvana Ramaj</w:t>
      </w:r>
      <w:r w:rsidRPr="00ED78BE">
        <w:t xml:space="preserve"> (Albania)</w:t>
      </w:r>
    </w:p>
    <w:p w14:paraId="4A843A75" w14:textId="77777777" w:rsidR="00495B7A" w:rsidRPr="00ED78BE" w:rsidRDefault="00616C89" w:rsidP="008253D1">
      <w:pPr>
        <w:pStyle w:val="Para1"/>
        <w:numPr>
          <w:ilvl w:val="0"/>
          <w:numId w:val="0"/>
        </w:numPr>
        <w:ind w:left="1440"/>
        <w:contextualSpacing/>
      </w:pPr>
      <w:r w:rsidRPr="00ED78BE">
        <w:t xml:space="preserve">Ms. </w:t>
      </w:r>
      <w:r w:rsidRPr="00ED78BE">
        <w:rPr>
          <w:noProof/>
        </w:rPr>
        <w:t>Elena Makeyeva</w:t>
      </w:r>
      <w:r w:rsidRPr="00ED78BE">
        <w:t xml:space="preserve"> (</w:t>
      </w:r>
      <w:r w:rsidR="00C20F5D" w:rsidRPr="00ED78BE">
        <w:t>Belarus</w:t>
      </w:r>
      <w:r w:rsidRPr="00ED78BE">
        <w:t>)</w:t>
      </w:r>
    </w:p>
    <w:p w14:paraId="4DC36D99" w14:textId="77777777" w:rsidR="00495B7A" w:rsidRPr="00ED78BE" w:rsidRDefault="00C20F5D" w:rsidP="008253D1">
      <w:pPr>
        <w:pStyle w:val="Para1"/>
        <w:numPr>
          <w:ilvl w:val="0"/>
          <w:numId w:val="0"/>
        </w:numPr>
        <w:ind w:left="1440"/>
        <w:contextualSpacing/>
      </w:pPr>
      <w:r w:rsidRPr="00ED78BE">
        <w:t xml:space="preserve">Mr. </w:t>
      </w:r>
      <w:r w:rsidRPr="00ED78BE">
        <w:rPr>
          <w:noProof/>
        </w:rPr>
        <w:t>Randolph Edmead</w:t>
      </w:r>
      <w:r w:rsidRPr="00ED78BE">
        <w:t xml:space="preserve"> (Saint Kitts and Nevis)</w:t>
      </w:r>
    </w:p>
    <w:p w14:paraId="5D507147" w14:textId="77777777" w:rsidR="00495B7A" w:rsidRPr="00ED78BE" w:rsidRDefault="00C20F5D" w:rsidP="008253D1">
      <w:pPr>
        <w:pStyle w:val="Para1"/>
        <w:numPr>
          <w:ilvl w:val="0"/>
          <w:numId w:val="0"/>
        </w:numPr>
        <w:ind w:left="1440"/>
        <w:contextualSpacing/>
      </w:pPr>
      <w:r w:rsidRPr="00ED78BE">
        <w:t xml:space="preserve">Ms. </w:t>
      </w:r>
      <w:r w:rsidRPr="00ED78BE">
        <w:rPr>
          <w:noProof/>
        </w:rPr>
        <w:t>Clarissa Nina</w:t>
      </w:r>
      <w:r w:rsidRPr="00ED78BE">
        <w:t xml:space="preserve"> (Brazil)</w:t>
      </w:r>
    </w:p>
    <w:p w14:paraId="7216A3CE" w14:textId="77777777" w:rsidR="00495B7A" w:rsidRPr="00ED78BE" w:rsidRDefault="00C20F5D" w:rsidP="008253D1">
      <w:pPr>
        <w:pStyle w:val="Para1"/>
        <w:numPr>
          <w:ilvl w:val="0"/>
          <w:numId w:val="0"/>
        </w:numPr>
        <w:ind w:left="1440"/>
        <w:contextualSpacing/>
      </w:pPr>
      <w:r w:rsidRPr="00ED78BE">
        <w:t xml:space="preserve">Mr. </w:t>
      </w:r>
      <w:r w:rsidRPr="00ED78BE">
        <w:rPr>
          <w:noProof/>
        </w:rPr>
        <w:t>Hayo Haanstra</w:t>
      </w:r>
      <w:r w:rsidRPr="00ED78BE">
        <w:t xml:space="preserve"> (Netherlands)</w:t>
      </w:r>
    </w:p>
    <w:p w14:paraId="69970F11" w14:textId="77777777" w:rsidR="00495B7A" w:rsidRPr="00ED78BE" w:rsidRDefault="00C20F5D" w:rsidP="008253D1">
      <w:pPr>
        <w:pStyle w:val="Para1"/>
        <w:numPr>
          <w:ilvl w:val="0"/>
          <w:numId w:val="0"/>
        </w:numPr>
        <w:ind w:left="1440"/>
        <w:contextualSpacing/>
      </w:pPr>
      <w:r w:rsidRPr="00ED78BE">
        <w:t>M</w:t>
      </w:r>
      <w:r w:rsidR="00616C89" w:rsidRPr="00ED78BE">
        <w:t>r</w:t>
      </w:r>
      <w:r w:rsidRPr="00ED78BE">
        <w:t xml:space="preserve">. </w:t>
      </w:r>
      <w:r w:rsidR="00616C89" w:rsidRPr="00237524">
        <w:rPr>
          <w:noProof/>
        </w:rPr>
        <w:t>Gaute</w:t>
      </w:r>
      <w:r w:rsidR="00616C89" w:rsidRPr="00237524">
        <w:t xml:space="preserve"> Voigt-Hanssen</w:t>
      </w:r>
      <w:r w:rsidR="00616C89" w:rsidRPr="003075B3" w:rsidDel="00616C89">
        <w:rPr>
          <w:noProof/>
        </w:rPr>
        <w:t xml:space="preserve"> </w:t>
      </w:r>
      <w:r w:rsidRPr="00ED78BE">
        <w:t>(Norway)</w:t>
      </w:r>
    </w:p>
    <w:p w14:paraId="6329FB7B" w14:textId="77777777" w:rsidR="00495B7A" w:rsidRPr="00ED78BE" w:rsidRDefault="00C20F5D" w:rsidP="008253D1">
      <w:pPr>
        <w:pStyle w:val="Para1"/>
        <w:numPr>
          <w:ilvl w:val="0"/>
          <w:numId w:val="0"/>
        </w:numPr>
        <w:ind w:left="1440"/>
        <w:contextualSpacing/>
      </w:pPr>
      <w:r w:rsidRPr="00ED78BE">
        <w:t xml:space="preserve">Ms. </w:t>
      </w:r>
      <w:r w:rsidRPr="00ED78BE">
        <w:rPr>
          <w:noProof/>
        </w:rPr>
        <w:t>Gwendalyn K. Sisior</w:t>
      </w:r>
      <w:r w:rsidRPr="00ED78BE">
        <w:t xml:space="preserve"> (Palau)</w:t>
      </w:r>
    </w:p>
    <w:p w14:paraId="5CA184A2" w14:textId="77777777" w:rsidR="00495B7A" w:rsidRPr="00ED78BE" w:rsidRDefault="00C20F5D" w:rsidP="004A41D1">
      <w:pPr>
        <w:pStyle w:val="Para1"/>
        <w:numPr>
          <w:ilvl w:val="0"/>
          <w:numId w:val="0"/>
        </w:numPr>
        <w:ind w:left="1440"/>
      </w:pPr>
      <w:r w:rsidRPr="00ED78BE">
        <w:t xml:space="preserve">Mr. </w:t>
      </w:r>
      <w:r w:rsidRPr="00ED78BE">
        <w:rPr>
          <w:noProof/>
        </w:rPr>
        <w:t>Monyrak Meng</w:t>
      </w:r>
      <w:r w:rsidRPr="00ED78BE">
        <w:t xml:space="preserve"> (Cambodia)</w:t>
      </w:r>
    </w:p>
    <w:p w14:paraId="3B6A2AB8" w14:textId="07868CF4" w:rsidR="00F0508D" w:rsidRPr="00ED78BE" w:rsidRDefault="00C74906" w:rsidP="00237524">
      <w:pPr>
        <w:pStyle w:val="Para1"/>
        <w:tabs>
          <w:tab w:val="clear" w:pos="360"/>
        </w:tabs>
      </w:pPr>
      <w:bookmarkStart w:id="65" w:name="_Hlk530375766"/>
      <w:r w:rsidRPr="00ED78BE">
        <w:t xml:space="preserve">At the 2nd plenary session of the meeting, on 17 November 2018, it was agreed that, on the proposal of the Bureau, </w:t>
      </w:r>
      <w:r w:rsidR="00D91A89" w:rsidRPr="00ED78BE">
        <w:rPr>
          <w:rFonts w:eastAsiaTheme="minorEastAsia"/>
          <w:bCs/>
          <w:iCs/>
          <w:szCs w:val="24"/>
        </w:rPr>
        <w:t xml:space="preserve">Mr. </w:t>
      </w:r>
      <w:r w:rsidR="00D91A89" w:rsidRPr="00ED78BE">
        <w:rPr>
          <w:rFonts w:eastAsiaTheme="minorEastAsia"/>
          <w:bCs/>
          <w:iCs/>
          <w:noProof/>
          <w:szCs w:val="24"/>
        </w:rPr>
        <w:t>Monyrak</w:t>
      </w:r>
      <w:r w:rsidR="00D91A89" w:rsidRPr="00ED78BE">
        <w:rPr>
          <w:rFonts w:eastAsiaTheme="minorEastAsia"/>
          <w:bCs/>
          <w:iCs/>
          <w:szCs w:val="24"/>
        </w:rPr>
        <w:t xml:space="preserve"> Meng (Cambodia) </w:t>
      </w:r>
      <w:r w:rsidRPr="00ED78BE">
        <w:t>would serve as Rapporteur for the meeting</w:t>
      </w:r>
      <w:r w:rsidR="00F0508D" w:rsidRPr="00ED78BE">
        <w:t>.</w:t>
      </w:r>
    </w:p>
    <w:bookmarkEnd w:id="65"/>
    <w:p w14:paraId="72F5B5F3" w14:textId="4F0BEC68" w:rsidR="00506210" w:rsidRPr="00ED78BE" w:rsidRDefault="00506210" w:rsidP="00237524">
      <w:pPr>
        <w:pStyle w:val="Para1"/>
        <w:tabs>
          <w:tab w:val="clear" w:pos="360"/>
          <w:tab w:val="left" w:pos="567"/>
        </w:tabs>
      </w:pPr>
      <w:r w:rsidRPr="00ED78BE">
        <w:t>At its 4th plenary session, on 22 November 2018</w:t>
      </w:r>
      <w:r w:rsidRPr="00ED78BE">
        <w:rPr>
          <w:bCs/>
        </w:rPr>
        <w:t xml:space="preserve">, the Conference of the Parties elected 10 representatives to serve as members of the Bureau for a term of office commencing upon the closure of its </w:t>
      </w:r>
      <w:r w:rsidRPr="00ED78BE">
        <w:rPr>
          <w:bCs/>
        </w:rPr>
        <w:lastRenderedPageBreak/>
        <w:t xml:space="preserve">fourteenth meeting and ending at the closure of its fifteenth meeting. </w:t>
      </w:r>
      <w:r w:rsidRPr="00ED78BE">
        <w:t xml:space="preserve">As all 10 members elected were from countries that were also Parties to the Cartagena Protocol, </w:t>
      </w:r>
      <w:r w:rsidR="00507DF8" w:rsidRPr="00ED78BE">
        <w:t>those members</w:t>
      </w:r>
      <w:r w:rsidRPr="00ED78BE">
        <w:t xml:space="preserve"> would also serve as the Bureau </w:t>
      </w:r>
      <w:r w:rsidR="00507DF8" w:rsidRPr="00ED78BE">
        <w:t xml:space="preserve">for </w:t>
      </w:r>
      <w:r w:rsidRPr="00ED78BE">
        <w:t xml:space="preserve">the </w:t>
      </w:r>
      <w:r w:rsidR="00507DF8" w:rsidRPr="00ED78BE">
        <w:t xml:space="preserve">tenth Conference of the Parties serving as the </w:t>
      </w:r>
      <w:r w:rsidRPr="00ED78BE">
        <w:t>meeting of the Parties to the Cartagena Protocol without the need for substitute members.</w:t>
      </w:r>
    </w:p>
    <w:p w14:paraId="575214B3" w14:textId="77777777" w:rsidR="00F52DE5" w:rsidRPr="00ED78BE" w:rsidRDefault="00F52DE5" w:rsidP="00B058F4">
      <w:pPr>
        <w:pStyle w:val="Heading2"/>
      </w:pPr>
      <w:bookmarkStart w:id="66" w:name="_Toc879838"/>
      <w:r w:rsidRPr="00ED78BE">
        <w:t>2.2.</w:t>
      </w:r>
      <w:r w:rsidRPr="00ED78BE">
        <w:tab/>
        <w:t>Adoption of the agenda</w:t>
      </w:r>
      <w:bookmarkEnd w:id="66"/>
    </w:p>
    <w:p w14:paraId="02F106C0" w14:textId="77777777" w:rsidR="006C59C4" w:rsidRPr="00ED78BE" w:rsidRDefault="006C59C4" w:rsidP="00237524">
      <w:pPr>
        <w:pStyle w:val="Para1"/>
        <w:tabs>
          <w:tab w:val="clear" w:pos="360"/>
        </w:tabs>
      </w:pPr>
      <w:r w:rsidRPr="00ED78BE">
        <w:t xml:space="preserve">At the </w:t>
      </w:r>
      <w:r w:rsidR="00C17333" w:rsidRPr="00ED78BE">
        <w:t>2nd plenary</w:t>
      </w:r>
      <w:r w:rsidRPr="00ED78BE">
        <w:t xml:space="preserve"> session of the meeting, the Conference of the Parties serving as the meeting of the Parties to the Cartagena Protocol adopted the following agenda, </w:t>
      </w:r>
      <w:proofErr w:type="gramStart"/>
      <w:r w:rsidRPr="00ED78BE">
        <w:t>on the basis of</w:t>
      </w:r>
      <w:proofErr w:type="gramEnd"/>
      <w:r w:rsidRPr="00ED78BE">
        <w:t xml:space="preserve"> the provisional agenda prepared by the Executive Secretary in consultation with the Bureau (CBD/CP</w:t>
      </w:r>
      <w:r w:rsidR="00C17333" w:rsidRPr="00ED78BE">
        <w:t>/</w:t>
      </w:r>
      <w:r w:rsidRPr="00ED78BE">
        <w:t>MOP/9/1):</w:t>
      </w:r>
    </w:p>
    <w:p w14:paraId="739CA08E" w14:textId="77777777" w:rsidR="006C59C4" w:rsidRPr="00ED78BE"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ED78BE">
        <w:rPr>
          <w:snapToGrid w:val="0"/>
          <w:kern w:val="22"/>
          <w:szCs w:val="22"/>
        </w:rPr>
        <w:t>Opening of the meeting.</w:t>
      </w:r>
    </w:p>
    <w:p w14:paraId="5AC85941" w14:textId="77777777" w:rsidR="006C59C4" w:rsidRPr="00ED78BE"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ED78BE">
        <w:rPr>
          <w:snapToGrid w:val="0"/>
          <w:kern w:val="22"/>
          <w:szCs w:val="22"/>
        </w:rPr>
        <w:t>Organization of the meeting.</w:t>
      </w:r>
    </w:p>
    <w:p w14:paraId="5314F225" w14:textId="77777777" w:rsidR="006C59C4" w:rsidRPr="00ED78BE"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ED78BE">
        <w:rPr>
          <w:snapToGrid w:val="0"/>
          <w:kern w:val="22"/>
          <w:szCs w:val="22"/>
        </w:rPr>
        <w:t>Report on the credentials of representatives to the ninth meeting of the Conference of the Parties serving as the meeting of the Parties to the Cartagena Protocol.</w:t>
      </w:r>
    </w:p>
    <w:p w14:paraId="659A65FB" w14:textId="77777777" w:rsidR="006C59C4" w:rsidRPr="00ED78BE"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ED78BE">
        <w:rPr>
          <w:snapToGrid w:val="0"/>
          <w:kern w:val="22"/>
          <w:szCs w:val="22"/>
        </w:rPr>
        <w:t>Reports of subsidiary bodies.</w:t>
      </w:r>
    </w:p>
    <w:p w14:paraId="6F4747A4" w14:textId="77777777" w:rsidR="006C59C4" w:rsidRPr="00ED78BE"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ED78BE">
        <w:rPr>
          <w:snapToGrid w:val="0"/>
          <w:kern w:val="22"/>
          <w:szCs w:val="22"/>
        </w:rPr>
        <w:t>Report of the Compliance Committee.</w:t>
      </w:r>
    </w:p>
    <w:p w14:paraId="1C944947" w14:textId="77777777" w:rsidR="006C59C4" w:rsidRPr="00ED78BE" w:rsidRDefault="006C59C4" w:rsidP="006C59C4">
      <w:pPr>
        <w:numPr>
          <w:ilvl w:val="0"/>
          <w:numId w:val="25"/>
        </w:numPr>
        <w:tabs>
          <w:tab w:val="clear" w:pos="720"/>
          <w:tab w:val="num" w:pos="770"/>
        </w:tabs>
        <w:kinsoku w:val="0"/>
        <w:overflowPunct w:val="0"/>
        <w:autoSpaceDE w:val="0"/>
        <w:autoSpaceDN w:val="0"/>
        <w:spacing w:before="60" w:after="80"/>
        <w:ind w:left="1701" w:hanging="720"/>
        <w:rPr>
          <w:snapToGrid w:val="0"/>
          <w:kern w:val="22"/>
        </w:rPr>
      </w:pPr>
      <w:r w:rsidRPr="00ED78BE">
        <w:rPr>
          <w:snapToGrid w:val="0"/>
          <w:kern w:val="22"/>
        </w:rPr>
        <w:t>Administration of the Protocol and budget for the trust funds.</w:t>
      </w:r>
    </w:p>
    <w:p w14:paraId="7FCBF571" w14:textId="77777777" w:rsidR="006C59C4" w:rsidRPr="00ED78BE"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ED78BE">
        <w:rPr>
          <w:snapToGrid w:val="0"/>
          <w:kern w:val="22"/>
          <w:szCs w:val="22"/>
        </w:rPr>
        <w:t>Matters related to the financial mechanism and resources (Article 28).</w:t>
      </w:r>
    </w:p>
    <w:p w14:paraId="4E93E949" w14:textId="77777777" w:rsidR="006C59C4" w:rsidRPr="00ED78BE"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ED78BE">
        <w:rPr>
          <w:snapToGrid w:val="0"/>
          <w:kern w:val="22"/>
          <w:szCs w:val="22"/>
        </w:rPr>
        <w:t>Capacity-building (Article 22).</w:t>
      </w:r>
    </w:p>
    <w:p w14:paraId="1B696B77" w14:textId="77777777" w:rsidR="006C59C4" w:rsidRPr="00237524"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ED78BE">
        <w:rPr>
          <w:snapToGrid w:val="0"/>
          <w:kern w:val="22"/>
          <w:szCs w:val="22"/>
        </w:rPr>
        <w:t>Operation and activities of the Biosafety Clearing-House (Article 20).</w:t>
      </w:r>
    </w:p>
    <w:p w14:paraId="364C74D2" w14:textId="77777777" w:rsidR="006C59C4" w:rsidRPr="003075B3"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3075B3">
        <w:rPr>
          <w:snapToGrid w:val="0"/>
          <w:kern w:val="22"/>
          <w:szCs w:val="22"/>
        </w:rPr>
        <w:t>Monitorin</w:t>
      </w:r>
      <w:r w:rsidRPr="00ED78BE">
        <w:rPr>
          <w:snapToGrid w:val="0"/>
          <w:kern w:val="22"/>
          <w:szCs w:val="22"/>
        </w:rPr>
        <w:t xml:space="preserve">g and reporting (Article 33) and assessment and review of </w:t>
      </w:r>
      <w:r w:rsidRPr="00237524">
        <w:rPr>
          <w:snapToGrid w:val="0"/>
          <w:kern w:val="22"/>
        </w:rPr>
        <w:t>the effectiveness of the Protocol (Article 35).</w:t>
      </w:r>
    </w:p>
    <w:p w14:paraId="2E2A65CC" w14:textId="77777777" w:rsidR="006C59C4" w:rsidRPr="00ED78BE"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ED78BE">
        <w:rPr>
          <w:snapToGrid w:val="0"/>
          <w:kern w:val="22"/>
          <w:szCs w:val="22"/>
        </w:rPr>
        <w:t>Enhancing integration under the Convention and its Protocols with respect to biosafety-related provisions.</w:t>
      </w:r>
    </w:p>
    <w:p w14:paraId="2B8FFDDB" w14:textId="77777777" w:rsidR="006C59C4" w:rsidRPr="00ED78BE"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ED78BE">
        <w:rPr>
          <w:snapToGrid w:val="0"/>
          <w:kern w:val="22"/>
          <w:szCs w:val="22"/>
        </w:rPr>
        <w:t>Cooperation with other organizations, conventions and initiatives.</w:t>
      </w:r>
    </w:p>
    <w:p w14:paraId="4E0A7D9E" w14:textId="77777777" w:rsidR="006C59C4" w:rsidRPr="00ED78BE"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ED78BE">
        <w:rPr>
          <w:snapToGrid w:val="0"/>
          <w:kern w:val="22"/>
          <w:szCs w:val="22"/>
        </w:rPr>
        <w:t>Review of effectiveness of structures and processes under the Convention and its Protocols.</w:t>
      </w:r>
    </w:p>
    <w:p w14:paraId="0382060C" w14:textId="77777777" w:rsidR="006C59C4" w:rsidRPr="00ED78BE"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ED78BE">
        <w:rPr>
          <w:snapToGrid w:val="0"/>
          <w:kern w:val="22"/>
          <w:szCs w:val="22"/>
        </w:rPr>
        <w:t>Preparation for the follow-up to the Strategic Plan for Biodiversity 2011-2020 and the Strategic Plan for the Cartagena Protocol on Biosafety (2011-2020).</w:t>
      </w:r>
    </w:p>
    <w:p w14:paraId="2E2EA033" w14:textId="77777777" w:rsidR="006C59C4" w:rsidRPr="00ED78BE"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ED78BE">
        <w:rPr>
          <w:snapToGrid w:val="0"/>
          <w:kern w:val="22"/>
          <w:szCs w:val="22"/>
        </w:rPr>
        <w:t>Risk assessment and risk management (Articles 15 and 16).</w:t>
      </w:r>
    </w:p>
    <w:p w14:paraId="4DC493F3" w14:textId="77777777" w:rsidR="006C59C4" w:rsidRPr="00ED78BE"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ED78BE">
        <w:rPr>
          <w:snapToGrid w:val="0"/>
          <w:kern w:val="22"/>
          <w:szCs w:val="22"/>
        </w:rPr>
        <w:t>Unintentional transboundary movements and emergency measures (Article 17).</w:t>
      </w:r>
    </w:p>
    <w:p w14:paraId="096CBFCD" w14:textId="77777777" w:rsidR="006C59C4" w:rsidRPr="00ED78BE"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ED78BE">
        <w:rPr>
          <w:snapToGrid w:val="0"/>
          <w:kern w:val="22"/>
          <w:szCs w:val="22"/>
        </w:rPr>
        <w:t>Transit and contained use of living modified organisms (Article 6).</w:t>
      </w:r>
    </w:p>
    <w:p w14:paraId="2C06CBE1" w14:textId="77777777" w:rsidR="006C59C4" w:rsidRPr="00ED78BE"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bCs/>
          <w:iCs/>
          <w:snapToGrid w:val="0"/>
          <w:kern w:val="22"/>
          <w:szCs w:val="22"/>
        </w:rPr>
      </w:pPr>
      <w:r w:rsidRPr="00ED78BE">
        <w:rPr>
          <w:bCs/>
          <w:iCs/>
          <w:snapToGrid w:val="0"/>
          <w:kern w:val="22"/>
          <w:szCs w:val="22"/>
        </w:rPr>
        <w:t>Socio-economic considerations (Article 26).</w:t>
      </w:r>
    </w:p>
    <w:p w14:paraId="1BC83741" w14:textId="77777777" w:rsidR="006C59C4" w:rsidRPr="00ED78BE"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ED78BE">
        <w:rPr>
          <w:snapToGrid w:val="0"/>
          <w:kern w:val="22"/>
          <w:szCs w:val="22"/>
        </w:rPr>
        <w:t>Nagoya – Kuala Lumpur Supplementary Protocol on Liability and Redress.</w:t>
      </w:r>
    </w:p>
    <w:p w14:paraId="6AFC7B26" w14:textId="77777777" w:rsidR="006C59C4" w:rsidRPr="00ED78BE"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ED78BE">
        <w:rPr>
          <w:snapToGrid w:val="0"/>
          <w:kern w:val="22"/>
          <w:szCs w:val="22"/>
        </w:rPr>
        <w:t>Other matters.</w:t>
      </w:r>
    </w:p>
    <w:p w14:paraId="730D4608" w14:textId="77777777" w:rsidR="006C59C4" w:rsidRPr="00ED78BE"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ED78BE">
        <w:rPr>
          <w:snapToGrid w:val="0"/>
          <w:kern w:val="22"/>
          <w:szCs w:val="22"/>
        </w:rPr>
        <w:t>Adoption of the report.</w:t>
      </w:r>
    </w:p>
    <w:p w14:paraId="5F448A07" w14:textId="77777777" w:rsidR="006C59C4" w:rsidRPr="00ED78BE" w:rsidRDefault="006C59C4" w:rsidP="006C59C4">
      <w:pPr>
        <w:pStyle w:val="bodytextnoindent"/>
        <w:widowControl/>
        <w:numPr>
          <w:ilvl w:val="0"/>
          <w:numId w:val="25"/>
        </w:numPr>
        <w:tabs>
          <w:tab w:val="clear" w:pos="720"/>
        </w:tabs>
        <w:kinsoku w:val="0"/>
        <w:adjustRightInd/>
        <w:spacing w:before="60" w:after="80"/>
        <w:ind w:left="1701" w:hanging="720"/>
        <w:jc w:val="left"/>
        <w:textAlignment w:val="auto"/>
        <w:rPr>
          <w:snapToGrid w:val="0"/>
          <w:kern w:val="22"/>
          <w:szCs w:val="22"/>
        </w:rPr>
      </w:pPr>
      <w:r w:rsidRPr="00ED78BE">
        <w:rPr>
          <w:snapToGrid w:val="0"/>
          <w:kern w:val="22"/>
          <w:szCs w:val="22"/>
        </w:rPr>
        <w:t>Closure of the meeting.</w:t>
      </w:r>
    </w:p>
    <w:p w14:paraId="637028C0" w14:textId="77777777" w:rsidR="00495B7A" w:rsidRPr="00ED78BE" w:rsidRDefault="00C20F5D" w:rsidP="00B058F4">
      <w:pPr>
        <w:pStyle w:val="Heading2"/>
        <w:spacing w:before="240"/>
      </w:pPr>
      <w:bookmarkStart w:id="67" w:name="_Toc879839"/>
      <w:r w:rsidRPr="00ED78BE">
        <w:t>2.3.</w:t>
      </w:r>
      <w:r w:rsidRPr="00ED78BE">
        <w:tab/>
        <w:t>Organization of work</w:t>
      </w:r>
      <w:bookmarkEnd w:id="67"/>
    </w:p>
    <w:p w14:paraId="60D83167" w14:textId="1FA217E4" w:rsidR="006C59C4" w:rsidRPr="00ED78BE" w:rsidRDefault="006C59C4" w:rsidP="00237524">
      <w:pPr>
        <w:pStyle w:val="Para1"/>
        <w:tabs>
          <w:tab w:val="clear" w:pos="360"/>
        </w:tabs>
      </w:pPr>
      <w:bookmarkStart w:id="68" w:name="_Hlk530378812"/>
      <w:r w:rsidRPr="00ED78BE">
        <w:t xml:space="preserve">At the </w:t>
      </w:r>
      <w:r w:rsidR="00C17333" w:rsidRPr="00ED78BE">
        <w:t>2nd plenary</w:t>
      </w:r>
      <w:r w:rsidRPr="00ED78BE">
        <w:t xml:space="preserve"> session of the meeting, on 17 November 2018, the Conference of the Parties serving as the meeting of the Parties to the Cartagena Protocol </w:t>
      </w:r>
      <w:bookmarkStart w:id="69" w:name="_Hlk530389940"/>
      <w:r w:rsidR="003F57B0" w:rsidRPr="00ED78BE">
        <w:t xml:space="preserve">decided </w:t>
      </w:r>
      <w:r w:rsidR="00F0508D" w:rsidRPr="00ED78BE">
        <w:t>to organize its work as set out in annex II to the proposed organization of work (CBD/COP/14/1/Add.2) and endorsed the establishment of the two working groups by the Conference of the Parties</w:t>
      </w:r>
      <w:bookmarkEnd w:id="69"/>
      <w:r w:rsidR="00F0508D" w:rsidRPr="00ED78BE">
        <w:t>.</w:t>
      </w:r>
    </w:p>
    <w:p w14:paraId="73689750" w14:textId="77777777" w:rsidR="0065410C" w:rsidRPr="00ED78BE" w:rsidRDefault="0065410C" w:rsidP="00237524">
      <w:pPr>
        <w:pStyle w:val="Heading3"/>
        <w:tabs>
          <w:tab w:val="clear" w:pos="567"/>
        </w:tabs>
      </w:pPr>
      <w:bookmarkStart w:id="70" w:name="_Toc879840"/>
      <w:r w:rsidRPr="00ED78BE">
        <w:lastRenderedPageBreak/>
        <w:t>Parallel events and awards</w:t>
      </w:r>
      <w:bookmarkEnd w:id="70"/>
    </w:p>
    <w:p w14:paraId="0E81BCB2" w14:textId="287B4F1C" w:rsidR="0065410C" w:rsidRPr="00ED78BE" w:rsidRDefault="0065410C" w:rsidP="00237524">
      <w:pPr>
        <w:pStyle w:val="Para1"/>
        <w:tabs>
          <w:tab w:val="clear" w:pos="360"/>
        </w:tabs>
      </w:pPr>
      <w:r w:rsidRPr="00ED78BE">
        <w:t xml:space="preserve">During the fourteenth meeting of the Conference of the Parties, three award ceremonies took place. In addition, multiple related events were held in parallel with the meeting. More information on those award ceremonies and parallel events can be found in annex IV to the </w:t>
      </w:r>
      <w:r w:rsidRPr="00237524">
        <w:t>report of the fourteenth meeting of the Conference of the Parties</w:t>
      </w:r>
      <w:r w:rsidRPr="003075B3">
        <w:t>.</w:t>
      </w:r>
    </w:p>
    <w:p w14:paraId="2230AA0B" w14:textId="77777777" w:rsidR="00495B7A" w:rsidRPr="00ED78BE" w:rsidRDefault="00C20F5D" w:rsidP="00237524">
      <w:pPr>
        <w:pStyle w:val="heading2-item0"/>
        <w:ind w:left="1560" w:hanging="1134"/>
        <w:jc w:val="left"/>
      </w:pPr>
      <w:bookmarkStart w:id="71" w:name="_Toc879841"/>
      <w:bookmarkStart w:id="72" w:name="_Toc5612111"/>
      <w:bookmarkEnd w:id="68"/>
      <w:r w:rsidRPr="00ED78BE">
        <w:t>Item 3.</w:t>
      </w:r>
      <w:r w:rsidRPr="00ED78BE">
        <w:tab/>
        <w:t>Report on the credentials of representatives to the ninth meeting of the Conference of the Parties serving as the meeting of the Parties to the Cartagena Protocol</w:t>
      </w:r>
      <w:bookmarkEnd w:id="71"/>
      <w:bookmarkEnd w:id="72"/>
    </w:p>
    <w:p w14:paraId="3FF8365F" w14:textId="391F7F4D" w:rsidR="00D742D9" w:rsidRPr="00ED78BE" w:rsidRDefault="00D742D9" w:rsidP="00237524">
      <w:pPr>
        <w:pStyle w:val="Para1"/>
        <w:tabs>
          <w:tab w:val="clear" w:pos="360"/>
        </w:tabs>
      </w:pPr>
      <w:bookmarkStart w:id="73" w:name="_Hlk530390001"/>
      <w:r w:rsidRPr="00ED78BE">
        <w:t xml:space="preserve">Agenda item 3 was taken up at the </w:t>
      </w:r>
      <w:bookmarkStart w:id="74" w:name="_Hlk530303786"/>
      <w:r w:rsidRPr="00ED78BE">
        <w:t>2nd plenary session of the meeting, on 17 November 2018</w:t>
      </w:r>
      <w:bookmarkEnd w:id="74"/>
      <w:r w:rsidRPr="00ED78BE">
        <w:t xml:space="preserve">. In accordance with rule 19 of the </w:t>
      </w:r>
      <w:r w:rsidR="000C4625">
        <w:t>r</w:t>
      </w:r>
      <w:r w:rsidRPr="00ED78BE">
        <w:t xml:space="preserve">ules of </w:t>
      </w:r>
      <w:r w:rsidR="000C4625">
        <w:t>p</w:t>
      </w:r>
      <w:r w:rsidRPr="00ED78BE">
        <w:t xml:space="preserve">rocedure, the Bureau was to examine and report on the credentials of delegations. Accordingly, the President informed the meeting that the Bureau had designated </w:t>
      </w:r>
      <w:r w:rsidRPr="00ED78BE">
        <w:rPr>
          <w:rFonts w:eastAsiaTheme="minorEastAsia"/>
          <w:bCs/>
          <w:iCs/>
          <w:szCs w:val="24"/>
        </w:rPr>
        <w:t xml:space="preserve">Ms. Elena </w:t>
      </w:r>
      <w:proofErr w:type="spellStart"/>
      <w:r w:rsidRPr="00ED78BE">
        <w:rPr>
          <w:rFonts w:eastAsiaTheme="minorEastAsia"/>
          <w:bCs/>
          <w:iCs/>
          <w:szCs w:val="24"/>
        </w:rPr>
        <w:t>Makeyeva</w:t>
      </w:r>
      <w:proofErr w:type="spellEnd"/>
      <w:r w:rsidRPr="00ED78BE">
        <w:rPr>
          <w:rFonts w:eastAsiaTheme="minorEastAsia"/>
          <w:bCs/>
          <w:iCs/>
          <w:szCs w:val="24"/>
        </w:rPr>
        <w:t xml:space="preserve"> </w:t>
      </w:r>
      <w:r w:rsidRPr="00ED78BE">
        <w:t>(Belarus), a Vice-President of the Bureau, to examine and report on credentials.</w:t>
      </w:r>
    </w:p>
    <w:bookmarkEnd w:id="73"/>
    <w:p w14:paraId="304AB434" w14:textId="08637522" w:rsidR="00DC2F89" w:rsidRPr="00ED78BE" w:rsidRDefault="00DC2F89" w:rsidP="00237524">
      <w:pPr>
        <w:pStyle w:val="Para1"/>
        <w:tabs>
          <w:tab w:val="clear" w:pos="360"/>
        </w:tabs>
      </w:pPr>
      <w:r w:rsidRPr="00ED78BE">
        <w:t xml:space="preserve">At the 4th plenary session of the meeting, on 22 November 2018, Ms. </w:t>
      </w:r>
      <w:proofErr w:type="spellStart"/>
      <w:r w:rsidRPr="00ED78BE">
        <w:t>Makeyeva</w:t>
      </w:r>
      <w:proofErr w:type="spellEnd"/>
      <w:r w:rsidRPr="00ED78BE">
        <w:t xml:space="preserve"> informed the Conference of the Parties serving as the meeting of the Parties to the Cartagena Protocol that 162 Parties were registered as attending the meeting. The Bureau had examined the credentials of the representatives of 139 Parties that were attending the meeting. The credentials of 124 delegations were in full compliance with rule 18 of the rules of procedure. Those of 15 delegations did not fully comply with rule 18 and a further 23 delegations had not presented their credentials to date.</w:t>
      </w:r>
    </w:p>
    <w:p w14:paraId="7FE19701" w14:textId="7A1569A5" w:rsidR="001947D5" w:rsidRPr="00ED78BE" w:rsidRDefault="001947D5" w:rsidP="00237524">
      <w:pPr>
        <w:pStyle w:val="Para1"/>
        <w:tabs>
          <w:tab w:val="clear" w:pos="360"/>
        </w:tabs>
      </w:pPr>
      <w:r w:rsidRPr="00ED78BE">
        <w:t xml:space="preserve">At the 7th plenary session of the meeting, on 29 November 2018, Ms. </w:t>
      </w:r>
      <w:r w:rsidRPr="00ED78BE">
        <w:rPr>
          <w:noProof/>
        </w:rPr>
        <w:t>Mak</w:t>
      </w:r>
      <w:r w:rsidR="00F47C57" w:rsidRPr="00ED78BE">
        <w:rPr>
          <w:noProof/>
        </w:rPr>
        <w:t>e</w:t>
      </w:r>
      <w:r w:rsidRPr="00ED78BE">
        <w:rPr>
          <w:noProof/>
        </w:rPr>
        <w:t>yeva</w:t>
      </w:r>
      <w:r w:rsidRPr="00ED78BE">
        <w:t xml:space="preserve"> informed the Conference of the Parties serving as the meeting of the Parties to the Cartagena Protocol that 162 Parties were registered as attending the meeting. The Bureau had examined the credentials of the representatives of 145 Parties. The credentials of 134 delegations were in full compliance with the provisions of rule 18 of the rules of procedure, those of 11 delegations did not fully comply with the provisions of rule 18, and a further 17 delegations had not presented their credentials. More information is available in document CBD/COP/14/INF/49.</w:t>
      </w:r>
    </w:p>
    <w:p w14:paraId="3CEFF2A0" w14:textId="2A8C836E" w:rsidR="006C5568" w:rsidRPr="00ED78BE" w:rsidRDefault="001947D5" w:rsidP="00237524">
      <w:pPr>
        <w:pStyle w:val="Para1"/>
        <w:tabs>
          <w:tab w:val="clear" w:pos="360"/>
        </w:tabs>
      </w:pPr>
      <w:proofErr w:type="gramStart"/>
      <w:r w:rsidRPr="00ED78BE">
        <w:t>A number of</w:t>
      </w:r>
      <w:proofErr w:type="gramEnd"/>
      <w:r w:rsidRPr="00ED78BE">
        <w:t xml:space="preserve"> heads of delegations had signed a declaration to the effect that they would submit their credentials, in the proper form and in their original version, to the Executive Secretary within 30 days of the closure of the meeting, and no later than 29 December 2018. In keeping with past practice, the Conference of the Parties serving as the meeting of the Parties to the Cartagena Protocol agreed to the Bureau’s proposal that those delegations that had yet to submit their credentials, or whose credentials did not fully comply with the provisions of rule 18, should be allowed to participate fully in the meeting on a provisional basis.</w:t>
      </w:r>
    </w:p>
    <w:p w14:paraId="4594A99B" w14:textId="464102B1" w:rsidR="000534BB" w:rsidRPr="00ED78BE" w:rsidRDefault="000534BB" w:rsidP="00237524">
      <w:pPr>
        <w:pStyle w:val="Para1"/>
        <w:tabs>
          <w:tab w:val="clear" w:pos="360"/>
        </w:tabs>
      </w:pPr>
      <w:r w:rsidRPr="00ED78BE">
        <w:t xml:space="preserve">The President expressed the hope that all delegations that had been requested to present their credentials to the Executive Secretary would do so no later than 29 December 2018. </w:t>
      </w:r>
      <w:r w:rsidR="00F7488C">
        <w:t>Following</w:t>
      </w:r>
      <w:r w:rsidRPr="00ED78BE">
        <w:t xml:space="preserve"> the end of the ninth meeting of the Conference of the Parties serving as the meeting of the Parties to the Cartagena Protocol, credentials from an additional </w:t>
      </w:r>
      <w:r w:rsidR="00447111">
        <w:t>11</w:t>
      </w:r>
      <w:r w:rsidRPr="00ED78BE">
        <w:t xml:space="preserve"> Parties were received.</w:t>
      </w:r>
    </w:p>
    <w:p w14:paraId="1AA2FC63" w14:textId="14E31E58" w:rsidR="000534BB" w:rsidRPr="00237524" w:rsidRDefault="000534BB" w:rsidP="00237524">
      <w:pPr>
        <w:pStyle w:val="Para1"/>
        <w:tabs>
          <w:tab w:val="clear" w:pos="360"/>
        </w:tabs>
        <w:suppressAutoHyphens/>
        <w:rPr>
          <w:rFonts w:eastAsia="Times New Roman"/>
        </w:rPr>
      </w:pPr>
      <w:r w:rsidRPr="00ED78BE">
        <w:rPr>
          <w:rFonts w:eastAsia="Times New Roman"/>
          <w:szCs w:val="18"/>
        </w:rPr>
        <w:t xml:space="preserve">By the date of issuance of the present report, credentials that were fully compliant with rule 18 of the rules of procedure had been received from the following 145 Parties:  </w:t>
      </w:r>
      <w:r w:rsidRPr="00ED78BE">
        <w:rPr>
          <w:rFonts w:eastAsia="Times New Roman"/>
        </w:rPr>
        <w:t xml:space="preserve">Algeria; </w:t>
      </w:r>
      <w:r w:rsidRPr="00ED78BE">
        <w:rPr>
          <w:rFonts w:eastAsia="Times New Roman"/>
          <w:szCs w:val="18"/>
        </w:rPr>
        <w:t xml:space="preserve">Angola; </w:t>
      </w:r>
      <w:r w:rsidRPr="00ED78BE">
        <w:rPr>
          <w:rFonts w:eastAsia="Times New Roman"/>
        </w:rPr>
        <w:t xml:space="preserve">Antigua and Barbuda; Armenia; Austria; Azerbaijan; Bahrain; Bangladesh; Belarus; Belgium; Belize; Benin; Bolivia; Bosnia and Herzegovina; Botswana; Brazil; Bulgaria; Burkina Faso; Burundi; Cabo Verde; Cambodia; Cameroon; Central African Republic; Chad; China; Colombia; Costa Rica; </w:t>
      </w:r>
      <w:r w:rsidRPr="00ED78BE">
        <w:rPr>
          <w:rFonts w:eastAsia="Times New Roman"/>
          <w:szCs w:val="18"/>
        </w:rPr>
        <w:t xml:space="preserve">Cote d’Ivoire; </w:t>
      </w:r>
      <w:r w:rsidRPr="00ED78BE">
        <w:rPr>
          <w:rFonts w:eastAsia="Times New Roman"/>
        </w:rPr>
        <w:t xml:space="preserve">Croatia; Cuba; Czechia; Democratic People’s Republic of Korea; Denmark; Dominican Republic; Ecuador; Egypt; El Salvador; Eritrea; Estonia; </w:t>
      </w:r>
      <w:proofErr w:type="spellStart"/>
      <w:r w:rsidRPr="00ED78BE">
        <w:rPr>
          <w:rFonts w:eastAsia="Times New Roman"/>
        </w:rPr>
        <w:t>Eswatini</w:t>
      </w:r>
      <w:proofErr w:type="spellEnd"/>
      <w:r w:rsidRPr="00ED78BE">
        <w:rPr>
          <w:rFonts w:eastAsia="Times New Roman"/>
        </w:rPr>
        <w:t xml:space="preserve">; Ethiopia; European Union; Fiji; Finland; France; Gabon; Gambia; Georgia; Germany; Ghana; Greece; Grenada; Guatemala; </w:t>
      </w:r>
      <w:r w:rsidRPr="00ED78BE">
        <w:rPr>
          <w:rFonts w:eastAsia="Times New Roman"/>
          <w:szCs w:val="18"/>
        </w:rPr>
        <w:t xml:space="preserve">Guinea; </w:t>
      </w:r>
      <w:r w:rsidRPr="00ED78BE">
        <w:rPr>
          <w:rFonts w:eastAsia="Times New Roman"/>
        </w:rPr>
        <w:t xml:space="preserve">Guinea-Bissau; Guyana; Honduras; Hungary; India; Indonesia; Iran (Islamic Republic of); Italy; Jamaica; Japan; Kenya; Kiribati; </w:t>
      </w:r>
      <w:r w:rsidRPr="00ED78BE">
        <w:rPr>
          <w:rFonts w:eastAsia="Times New Roman"/>
          <w:szCs w:val="18"/>
        </w:rPr>
        <w:t xml:space="preserve">Kuwait; Lao People’s Democratic Republic; </w:t>
      </w:r>
      <w:r w:rsidRPr="00ED78BE">
        <w:rPr>
          <w:rFonts w:eastAsia="Times New Roman"/>
        </w:rPr>
        <w:t>Latvia; Lesotho; Liberia; Lithuania; Luxembourg; Madagascar; Malawi; Malaysia;</w:t>
      </w:r>
      <w:r w:rsidRPr="00ED78BE">
        <w:rPr>
          <w:rFonts w:eastAsia="Times New Roman"/>
          <w:szCs w:val="18"/>
        </w:rPr>
        <w:t xml:space="preserve"> Maldives;</w:t>
      </w:r>
      <w:r w:rsidRPr="00ED78BE">
        <w:rPr>
          <w:rFonts w:eastAsia="Times New Roman"/>
        </w:rPr>
        <w:t xml:space="preserve"> Malta; Marshall Islands; Mauritania; Mauritius; Mexico; Mongolia; Morocco; Mozambique; Myanmar; Namibia; Netherlands; </w:t>
      </w:r>
      <w:r w:rsidRPr="00ED78BE">
        <w:rPr>
          <w:rFonts w:eastAsia="Times New Roman"/>
          <w:szCs w:val="18"/>
        </w:rPr>
        <w:t xml:space="preserve">New Zealand; </w:t>
      </w:r>
      <w:r w:rsidRPr="00ED78BE">
        <w:rPr>
          <w:rFonts w:eastAsia="Times New Roman"/>
        </w:rPr>
        <w:t xml:space="preserve">Nicaragua; Niger; Nigeria; Norway; Oman; Palau; Panama; Papua New Guinea; Paraguay; Peru; Philippines; Poland; Portugal; Qatar; Republic of </w:t>
      </w:r>
      <w:r w:rsidRPr="00ED78BE">
        <w:rPr>
          <w:rFonts w:eastAsia="Times New Roman"/>
        </w:rPr>
        <w:lastRenderedPageBreak/>
        <w:t xml:space="preserve">Korea; Republic of Moldova; Romania; Rwanda; Saint Kitts and Nevis; </w:t>
      </w:r>
      <w:r w:rsidRPr="00ED78BE">
        <w:rPr>
          <w:rFonts w:eastAsia="Times New Roman"/>
          <w:szCs w:val="18"/>
        </w:rPr>
        <w:t xml:space="preserve">Saint Lucia; </w:t>
      </w:r>
      <w:r w:rsidRPr="00ED78BE">
        <w:rPr>
          <w:rFonts w:eastAsia="Times New Roman"/>
        </w:rPr>
        <w:t xml:space="preserve">Saint Vincent and the Grenadines; Samoa; Saudi Arabia; Senegal; </w:t>
      </w:r>
      <w:r w:rsidRPr="00ED78BE">
        <w:rPr>
          <w:rFonts w:eastAsia="Times New Roman"/>
          <w:szCs w:val="18"/>
        </w:rPr>
        <w:t xml:space="preserve">Serbia; </w:t>
      </w:r>
      <w:r w:rsidRPr="00ED78BE">
        <w:rPr>
          <w:rFonts w:eastAsia="Times New Roman"/>
        </w:rPr>
        <w:t xml:space="preserve">Seychelles; Slovakia; Slovenia; Solomon Islands; South Africa; Spain; Sri Lanka; State of Palestine; Sudan; Suriname; Sweden; Switzerland; Syrian Arab Republic; Tajikistan; Thailand; Togo; Tonga; Trinidad and Tobago; Tunisia; Turkey; Uganda; United Arab Emirates; United Kingdom of Great Britain and Northern Ireland; United Republic of Tanzania; </w:t>
      </w:r>
      <w:r w:rsidRPr="00ED78BE">
        <w:rPr>
          <w:rFonts w:eastAsia="Times New Roman"/>
          <w:szCs w:val="18"/>
        </w:rPr>
        <w:t xml:space="preserve">Ukraine; </w:t>
      </w:r>
      <w:r w:rsidRPr="00ED78BE">
        <w:rPr>
          <w:rFonts w:eastAsia="Times New Roman"/>
        </w:rPr>
        <w:t xml:space="preserve">Uruguay; Venezuela (Bolivarian Republic of); Viet Nam; </w:t>
      </w:r>
      <w:r w:rsidRPr="00ED78BE">
        <w:rPr>
          <w:rFonts w:eastAsia="Times New Roman"/>
          <w:szCs w:val="18"/>
        </w:rPr>
        <w:t xml:space="preserve">Yemen; </w:t>
      </w:r>
      <w:r w:rsidRPr="00ED78BE">
        <w:rPr>
          <w:rFonts w:eastAsia="Times New Roman"/>
        </w:rPr>
        <w:t xml:space="preserve">Zambia; </w:t>
      </w:r>
      <w:r w:rsidRPr="00ED78BE">
        <w:t xml:space="preserve">and </w:t>
      </w:r>
      <w:r w:rsidRPr="00ED78BE">
        <w:rPr>
          <w:rFonts w:eastAsia="Times New Roman"/>
        </w:rPr>
        <w:t>Zimbabwe.</w:t>
      </w:r>
    </w:p>
    <w:p w14:paraId="5C3BC5C1" w14:textId="77777777" w:rsidR="00495B7A" w:rsidRPr="00ED78BE" w:rsidRDefault="00C20F5D" w:rsidP="00237524">
      <w:pPr>
        <w:pStyle w:val="heading2-item0"/>
        <w:tabs>
          <w:tab w:val="clear" w:pos="720"/>
          <w:tab w:val="left" w:pos="993"/>
        </w:tabs>
      </w:pPr>
      <w:bookmarkStart w:id="75" w:name="_Toc879842"/>
      <w:bookmarkStart w:id="76" w:name="_Toc5612112"/>
      <w:r w:rsidRPr="00ED78BE">
        <w:t>Item 4.</w:t>
      </w:r>
      <w:r w:rsidRPr="00ED78BE">
        <w:tab/>
        <w:t>Reports of subsidiary bodies</w:t>
      </w:r>
      <w:bookmarkEnd w:id="75"/>
      <w:bookmarkEnd w:id="76"/>
    </w:p>
    <w:p w14:paraId="7C1E70F3" w14:textId="66B926A1" w:rsidR="00495B7A" w:rsidRPr="00ED78BE" w:rsidRDefault="006C59C4" w:rsidP="00237524">
      <w:pPr>
        <w:pStyle w:val="Para1"/>
        <w:tabs>
          <w:tab w:val="clear" w:pos="360"/>
        </w:tabs>
        <w:rPr>
          <w:rFonts w:eastAsia="Times New Roman"/>
          <w:lang w:eastAsia="en-CA"/>
        </w:rPr>
      </w:pPr>
      <w:bookmarkStart w:id="77" w:name="_Hlk530390137"/>
      <w:r w:rsidRPr="00ED78BE">
        <w:t xml:space="preserve">Agenda item 4 was taken up at </w:t>
      </w:r>
      <w:r w:rsidR="00B21E39" w:rsidRPr="00ED78BE">
        <w:t>the 2nd plenary session of the meeting, on 17 November 2018</w:t>
      </w:r>
      <w:r w:rsidRPr="00ED78BE">
        <w:t xml:space="preserve">. In considering the item, the Conference of the Parties serving as the meeting of the Parties </w:t>
      </w:r>
      <w:r w:rsidR="00987E72" w:rsidRPr="00ED78BE">
        <w:t xml:space="preserve">to the Cartagena Protocol </w:t>
      </w:r>
      <w:r w:rsidRPr="00ED78BE">
        <w:t xml:space="preserve">had before it the reports of </w:t>
      </w:r>
      <w:r w:rsidR="00FA166F" w:rsidRPr="00ED78BE">
        <w:rPr>
          <w:rFonts w:eastAsia="Times New Roman"/>
          <w:lang w:eastAsia="en-CA"/>
        </w:rPr>
        <w:t xml:space="preserve">the Subsidiary Body on Scientific, Technical and Technological Advice </w:t>
      </w:r>
      <w:r w:rsidR="00146606">
        <w:rPr>
          <w:rFonts w:eastAsia="Times New Roman"/>
          <w:lang w:eastAsia="en-CA"/>
        </w:rPr>
        <w:t>on its</w:t>
      </w:r>
      <w:r w:rsidR="00146606" w:rsidRPr="00146606">
        <w:t xml:space="preserve"> </w:t>
      </w:r>
      <w:r w:rsidR="00146606" w:rsidRPr="00ED78BE">
        <w:rPr>
          <w:rFonts w:eastAsia="Times New Roman"/>
          <w:lang w:eastAsia="en-CA"/>
        </w:rPr>
        <w:t xml:space="preserve">twenty-second meeting </w:t>
      </w:r>
      <w:r w:rsidR="00FA166F" w:rsidRPr="00ED78BE">
        <w:rPr>
          <w:rFonts w:eastAsia="Times New Roman"/>
          <w:lang w:eastAsia="en-CA"/>
        </w:rPr>
        <w:t>(CBD/</w:t>
      </w:r>
      <w:r w:rsidR="002A49EF" w:rsidRPr="00ED78BE">
        <w:rPr>
          <w:rFonts w:eastAsia="Times New Roman"/>
          <w:lang w:eastAsia="en-CA"/>
        </w:rPr>
        <w:t>SBSTTA/22/12</w:t>
      </w:r>
      <w:r w:rsidRPr="00ED78BE">
        <w:rPr>
          <w:rFonts w:eastAsia="Times New Roman"/>
          <w:lang w:eastAsia="en-CA"/>
        </w:rPr>
        <w:t xml:space="preserve">) and </w:t>
      </w:r>
      <w:r w:rsidR="00FA166F" w:rsidRPr="00ED78BE">
        <w:rPr>
          <w:rFonts w:eastAsia="Times New Roman"/>
          <w:lang w:eastAsia="en-CA"/>
        </w:rPr>
        <w:t>the Subsidiary Body on Implementation (CBD/</w:t>
      </w:r>
      <w:r w:rsidR="002A49EF" w:rsidRPr="00ED78BE">
        <w:rPr>
          <w:rFonts w:eastAsia="Times New Roman"/>
          <w:lang w:eastAsia="en-CA"/>
        </w:rPr>
        <w:t>SBI/2/22</w:t>
      </w:r>
      <w:r w:rsidR="00FA166F" w:rsidRPr="00ED78BE">
        <w:rPr>
          <w:rFonts w:eastAsia="Times New Roman"/>
          <w:lang w:eastAsia="en-CA"/>
        </w:rPr>
        <w:t>)</w:t>
      </w:r>
      <w:r w:rsidR="00146606">
        <w:rPr>
          <w:rFonts w:eastAsia="Times New Roman"/>
          <w:lang w:eastAsia="en-CA"/>
        </w:rPr>
        <w:t xml:space="preserve"> on its</w:t>
      </w:r>
      <w:r w:rsidR="00146606" w:rsidRPr="00146606">
        <w:rPr>
          <w:rFonts w:eastAsia="Times New Roman"/>
          <w:lang w:eastAsia="en-CA"/>
        </w:rPr>
        <w:t xml:space="preserve"> </w:t>
      </w:r>
      <w:r w:rsidR="00146606" w:rsidRPr="00ED78BE">
        <w:rPr>
          <w:rFonts w:eastAsia="Times New Roman"/>
          <w:lang w:eastAsia="en-CA"/>
        </w:rPr>
        <w:t>second meeting</w:t>
      </w:r>
      <w:r w:rsidR="00FA166F" w:rsidRPr="00ED78BE">
        <w:rPr>
          <w:rFonts w:eastAsia="Times New Roman"/>
          <w:lang w:eastAsia="en-CA"/>
        </w:rPr>
        <w:t>.</w:t>
      </w:r>
    </w:p>
    <w:p w14:paraId="36E01370" w14:textId="77777777" w:rsidR="00B21E39" w:rsidRPr="00ED78BE" w:rsidRDefault="00B21E39" w:rsidP="00237524">
      <w:pPr>
        <w:pStyle w:val="Para1"/>
        <w:tabs>
          <w:tab w:val="clear" w:pos="360"/>
        </w:tabs>
      </w:pPr>
      <w:r w:rsidRPr="00ED78BE">
        <w:t xml:space="preserve">The </w:t>
      </w:r>
      <w:r w:rsidR="00987E72" w:rsidRPr="00ED78BE">
        <w:t xml:space="preserve">Conference of the Parties serving as the meeting of the Parties to the Cartagena Protocol </w:t>
      </w:r>
      <w:r w:rsidRPr="00ED78BE">
        <w:t>took note of the reports of intersessional meetings of subsidiary bodies and agreed to consider the recommendations contained in the reports under the relevant agenda items.</w:t>
      </w:r>
    </w:p>
    <w:p w14:paraId="4D567E96" w14:textId="77777777" w:rsidR="00495B7A" w:rsidRPr="00ED78BE" w:rsidRDefault="00C20F5D" w:rsidP="00237524">
      <w:pPr>
        <w:pStyle w:val="heading2-item0"/>
        <w:tabs>
          <w:tab w:val="clear" w:pos="720"/>
          <w:tab w:val="left" w:pos="993"/>
        </w:tabs>
      </w:pPr>
      <w:bookmarkStart w:id="78" w:name="_Toc879843"/>
      <w:bookmarkStart w:id="79" w:name="_Toc5612113"/>
      <w:bookmarkEnd w:id="77"/>
      <w:r w:rsidRPr="00ED78BE">
        <w:t>Item 5.</w:t>
      </w:r>
      <w:r w:rsidRPr="00ED78BE">
        <w:tab/>
      </w:r>
      <w:r w:rsidR="00904CE4" w:rsidRPr="00ED78BE">
        <w:t xml:space="preserve">Report of </w:t>
      </w:r>
      <w:r w:rsidRPr="00ED78BE">
        <w:t>the Compliance Committee</w:t>
      </w:r>
      <w:bookmarkEnd w:id="78"/>
      <w:bookmarkEnd w:id="79"/>
    </w:p>
    <w:p w14:paraId="5F0597DF" w14:textId="680BDDC1" w:rsidR="000E0019" w:rsidRPr="00237524" w:rsidRDefault="00AE6E67" w:rsidP="00237524">
      <w:pPr>
        <w:numPr>
          <w:ilvl w:val="0"/>
          <w:numId w:val="16"/>
        </w:numPr>
        <w:suppressLineNumbers/>
        <w:tabs>
          <w:tab w:val="clear" w:pos="360"/>
        </w:tabs>
        <w:suppressAutoHyphens/>
        <w:kinsoku w:val="0"/>
        <w:overflowPunct w:val="0"/>
        <w:autoSpaceDE w:val="0"/>
        <w:autoSpaceDN w:val="0"/>
        <w:spacing w:before="120" w:after="120"/>
        <w:jc w:val="both"/>
        <w:rPr>
          <w:snapToGrid w:val="0"/>
          <w:color w:val="000000"/>
          <w:kern w:val="22"/>
          <w:sz w:val="22"/>
          <w:szCs w:val="22"/>
        </w:rPr>
      </w:pPr>
      <w:r w:rsidRPr="00237524">
        <w:rPr>
          <w:sz w:val="22"/>
          <w:szCs w:val="22"/>
        </w:rPr>
        <w:t>Agenda item 5 was taken up at the</w:t>
      </w:r>
      <w:r w:rsidR="00D96799" w:rsidRPr="00237524">
        <w:rPr>
          <w:sz w:val="22"/>
          <w:szCs w:val="22"/>
        </w:rPr>
        <w:t xml:space="preserve"> 2nd plenary session </w:t>
      </w:r>
      <w:r w:rsidRPr="00237524">
        <w:rPr>
          <w:sz w:val="22"/>
          <w:szCs w:val="22"/>
        </w:rPr>
        <w:t xml:space="preserve">of the meeting, on </w:t>
      </w:r>
      <w:r w:rsidR="00D96799" w:rsidRPr="00237524">
        <w:rPr>
          <w:sz w:val="22"/>
          <w:szCs w:val="22"/>
        </w:rPr>
        <w:t>17 November 2018</w:t>
      </w:r>
      <w:r w:rsidRPr="00237524">
        <w:rPr>
          <w:sz w:val="22"/>
          <w:szCs w:val="22"/>
        </w:rPr>
        <w:t>.</w:t>
      </w:r>
    </w:p>
    <w:p w14:paraId="4CDFCED5" w14:textId="23572687" w:rsidR="00DA2E03" w:rsidRPr="00237524" w:rsidRDefault="00D96799" w:rsidP="00237524">
      <w:pPr>
        <w:numPr>
          <w:ilvl w:val="0"/>
          <w:numId w:val="16"/>
        </w:numPr>
        <w:suppressLineNumbers/>
        <w:tabs>
          <w:tab w:val="clear" w:pos="360"/>
        </w:tabs>
        <w:suppressAutoHyphens/>
        <w:kinsoku w:val="0"/>
        <w:overflowPunct w:val="0"/>
        <w:autoSpaceDE w:val="0"/>
        <w:autoSpaceDN w:val="0"/>
        <w:spacing w:before="120" w:after="120"/>
        <w:jc w:val="both"/>
        <w:rPr>
          <w:snapToGrid w:val="0"/>
          <w:color w:val="000000"/>
          <w:kern w:val="22"/>
          <w:sz w:val="22"/>
          <w:szCs w:val="22"/>
        </w:rPr>
      </w:pPr>
      <w:r w:rsidRPr="00237524">
        <w:rPr>
          <w:snapToGrid w:val="0"/>
          <w:kern w:val="22"/>
          <w:sz w:val="22"/>
          <w:szCs w:val="22"/>
          <w:lang w:eastAsia="en-CA"/>
        </w:rPr>
        <w:t xml:space="preserve">Ms. </w:t>
      </w:r>
      <w:r w:rsidRPr="00237524">
        <w:rPr>
          <w:snapToGrid w:val="0"/>
          <w:kern w:val="22"/>
          <w:sz w:val="22"/>
          <w:szCs w:val="22"/>
          <w:lang w:val="en-GB" w:eastAsia="en-CA"/>
        </w:rPr>
        <w:t>Clare Hamilton, Chair of the Compliance Committee</w:t>
      </w:r>
      <w:r w:rsidRPr="00237524">
        <w:rPr>
          <w:sz w:val="22"/>
          <w:szCs w:val="22"/>
        </w:rPr>
        <w:t xml:space="preserve">, reported on the work of the Compliance Committee at its fourteenth and fifteenth meetings </w:t>
      </w:r>
      <w:r w:rsidR="00C20F5D" w:rsidRPr="00237524">
        <w:rPr>
          <w:snapToGrid w:val="0"/>
          <w:color w:val="000000"/>
          <w:kern w:val="22"/>
          <w:sz w:val="22"/>
          <w:szCs w:val="22"/>
        </w:rPr>
        <w:t>(CBD/CP/MOP/9/</w:t>
      </w:r>
      <w:r w:rsidR="00863258" w:rsidRPr="00237524">
        <w:rPr>
          <w:snapToGrid w:val="0"/>
          <w:color w:val="000000"/>
          <w:kern w:val="22"/>
          <w:sz w:val="22"/>
          <w:szCs w:val="22"/>
        </w:rPr>
        <w:t>2</w:t>
      </w:r>
      <w:r w:rsidR="00C20F5D" w:rsidRPr="00237524">
        <w:rPr>
          <w:snapToGrid w:val="0"/>
          <w:color w:val="000000"/>
          <w:kern w:val="22"/>
          <w:sz w:val="22"/>
          <w:szCs w:val="22"/>
        </w:rPr>
        <w:t>)</w:t>
      </w:r>
      <w:r w:rsidRPr="00237524">
        <w:rPr>
          <w:snapToGrid w:val="0"/>
          <w:color w:val="000000"/>
          <w:kern w:val="22"/>
          <w:sz w:val="22"/>
          <w:szCs w:val="22"/>
        </w:rPr>
        <w:t xml:space="preserve">. </w:t>
      </w:r>
      <w:r w:rsidR="009765D0" w:rsidRPr="00237524">
        <w:rPr>
          <w:snapToGrid w:val="0"/>
          <w:color w:val="000000"/>
          <w:kern w:val="22"/>
          <w:sz w:val="22"/>
          <w:szCs w:val="22"/>
        </w:rPr>
        <w:t>She</w:t>
      </w:r>
      <w:r w:rsidRPr="00237524">
        <w:rPr>
          <w:snapToGrid w:val="0"/>
          <w:color w:val="000000"/>
          <w:kern w:val="22"/>
          <w:sz w:val="22"/>
          <w:szCs w:val="22"/>
        </w:rPr>
        <w:t xml:space="preserve"> </w:t>
      </w:r>
      <w:r w:rsidR="00AF4E36" w:rsidRPr="00237524">
        <w:rPr>
          <w:snapToGrid w:val="0"/>
          <w:color w:val="000000"/>
          <w:kern w:val="22"/>
          <w:sz w:val="22"/>
          <w:szCs w:val="22"/>
        </w:rPr>
        <w:t>informed the Parties that</w:t>
      </w:r>
      <w:r w:rsidR="00C2362D" w:rsidRPr="00237524">
        <w:rPr>
          <w:snapToGrid w:val="0"/>
          <w:color w:val="000000"/>
          <w:kern w:val="22"/>
          <w:sz w:val="22"/>
          <w:szCs w:val="22"/>
        </w:rPr>
        <w:t>,</w:t>
      </w:r>
      <w:r w:rsidR="00AF4E36" w:rsidRPr="00237524">
        <w:rPr>
          <w:snapToGrid w:val="0"/>
          <w:color w:val="000000"/>
          <w:kern w:val="22"/>
          <w:sz w:val="22"/>
          <w:szCs w:val="22"/>
        </w:rPr>
        <w:t xml:space="preserve"> since the </w:t>
      </w:r>
      <w:r w:rsidR="004D2EBD" w:rsidRPr="00237524">
        <w:rPr>
          <w:snapToGrid w:val="0"/>
          <w:color w:val="000000"/>
          <w:kern w:val="22"/>
          <w:sz w:val="22"/>
          <w:szCs w:val="22"/>
        </w:rPr>
        <w:t>C</w:t>
      </w:r>
      <w:r w:rsidR="00AF4E36" w:rsidRPr="00237524">
        <w:rPr>
          <w:snapToGrid w:val="0"/>
          <w:color w:val="000000"/>
          <w:kern w:val="22"/>
          <w:sz w:val="22"/>
          <w:szCs w:val="22"/>
        </w:rPr>
        <w:t xml:space="preserve">ommittee’s fifteenth meeting, the Comoros, </w:t>
      </w:r>
      <w:r w:rsidR="00AF4E36" w:rsidRPr="00237524">
        <w:rPr>
          <w:bCs/>
          <w:spacing w:val="2"/>
          <w:sz w:val="22"/>
          <w:szCs w:val="22"/>
        </w:rPr>
        <w:t>the Democratic People’s Republic of Korea</w:t>
      </w:r>
      <w:r w:rsidR="00AF4E36" w:rsidRPr="00237524">
        <w:rPr>
          <w:snapToGrid w:val="0"/>
          <w:color w:val="000000"/>
          <w:kern w:val="22"/>
          <w:sz w:val="22"/>
          <w:szCs w:val="22"/>
        </w:rPr>
        <w:t>, Myanmar</w:t>
      </w:r>
      <w:r w:rsidR="00497D1A" w:rsidRPr="00237524">
        <w:rPr>
          <w:snapToGrid w:val="0"/>
          <w:color w:val="000000"/>
          <w:kern w:val="22"/>
          <w:sz w:val="22"/>
          <w:szCs w:val="22"/>
        </w:rPr>
        <w:t>,</w:t>
      </w:r>
      <w:r w:rsidR="00AF4E36" w:rsidRPr="00237524">
        <w:rPr>
          <w:snapToGrid w:val="0"/>
          <w:color w:val="000000"/>
          <w:kern w:val="22"/>
          <w:sz w:val="22"/>
          <w:szCs w:val="22"/>
        </w:rPr>
        <w:t xml:space="preserve"> </w:t>
      </w:r>
      <w:r w:rsidR="00517400" w:rsidRPr="00237524">
        <w:rPr>
          <w:bCs/>
          <w:spacing w:val="2"/>
          <w:sz w:val="22"/>
          <w:szCs w:val="22"/>
        </w:rPr>
        <w:t>the former Yugoslav Republic of Macedonia</w:t>
      </w:r>
      <w:r w:rsidR="00497D1A" w:rsidRPr="00237524">
        <w:rPr>
          <w:bCs/>
          <w:spacing w:val="2"/>
          <w:sz w:val="22"/>
          <w:szCs w:val="22"/>
        </w:rPr>
        <w:t xml:space="preserve"> and Turkmenistan</w:t>
      </w:r>
      <w:r w:rsidR="00AF4E36" w:rsidRPr="00237524">
        <w:rPr>
          <w:snapToGrid w:val="0"/>
          <w:color w:val="000000"/>
          <w:kern w:val="22"/>
          <w:sz w:val="22"/>
          <w:szCs w:val="22"/>
        </w:rPr>
        <w:t xml:space="preserve"> had all submitted their third national reports and </w:t>
      </w:r>
      <w:r w:rsidR="00517400" w:rsidRPr="00237524">
        <w:rPr>
          <w:snapToGrid w:val="0"/>
          <w:color w:val="000000"/>
          <w:kern w:val="22"/>
          <w:sz w:val="22"/>
          <w:szCs w:val="22"/>
        </w:rPr>
        <w:t xml:space="preserve">should </w:t>
      </w:r>
      <w:r w:rsidR="00AF4E36" w:rsidRPr="00237524">
        <w:rPr>
          <w:snapToGrid w:val="0"/>
          <w:color w:val="000000"/>
          <w:kern w:val="22"/>
          <w:sz w:val="22"/>
          <w:szCs w:val="22"/>
        </w:rPr>
        <w:t xml:space="preserve">therefore be removed from the list of </w:t>
      </w:r>
      <w:r w:rsidR="00CC5060" w:rsidRPr="00237524">
        <w:rPr>
          <w:snapToGrid w:val="0"/>
          <w:color w:val="000000"/>
          <w:kern w:val="22"/>
          <w:sz w:val="22"/>
          <w:szCs w:val="22"/>
        </w:rPr>
        <w:t>P</w:t>
      </w:r>
      <w:r w:rsidR="00AF4E36" w:rsidRPr="00237524">
        <w:rPr>
          <w:snapToGrid w:val="0"/>
          <w:color w:val="000000"/>
          <w:kern w:val="22"/>
          <w:sz w:val="22"/>
          <w:szCs w:val="22"/>
        </w:rPr>
        <w:t>arties in the monitoring and reporting section of the recommendation.</w:t>
      </w:r>
      <w:r w:rsidR="009765D0" w:rsidRPr="00237524">
        <w:rPr>
          <w:snapToGrid w:val="0"/>
          <w:color w:val="000000"/>
          <w:kern w:val="22"/>
          <w:sz w:val="22"/>
          <w:szCs w:val="22"/>
        </w:rPr>
        <w:t xml:space="preserve"> She also informed the Parties that</w:t>
      </w:r>
      <w:r w:rsidR="003B4489" w:rsidRPr="00237524">
        <w:rPr>
          <w:snapToGrid w:val="0"/>
          <w:color w:val="000000"/>
          <w:kern w:val="22"/>
          <w:sz w:val="22"/>
          <w:szCs w:val="22"/>
        </w:rPr>
        <w:t>,</w:t>
      </w:r>
      <w:r w:rsidR="009765D0" w:rsidRPr="00237524">
        <w:rPr>
          <w:snapToGrid w:val="0"/>
          <w:color w:val="000000"/>
          <w:kern w:val="22"/>
          <w:sz w:val="22"/>
          <w:szCs w:val="22"/>
        </w:rPr>
        <w:t xml:space="preserve"> </w:t>
      </w:r>
      <w:r w:rsidR="00381999" w:rsidRPr="00237524">
        <w:rPr>
          <w:snapToGrid w:val="0"/>
          <w:color w:val="000000"/>
          <w:kern w:val="22"/>
          <w:sz w:val="22"/>
          <w:szCs w:val="22"/>
        </w:rPr>
        <w:t>in assessing</w:t>
      </w:r>
      <w:r w:rsidR="00381999" w:rsidRPr="00237524">
        <w:rPr>
          <w:kern w:val="22"/>
          <w:sz w:val="22"/>
          <w:szCs w:val="22"/>
        </w:rPr>
        <w:t xml:space="preserve"> the decisions submitted to the Biosafety Clearing</w:t>
      </w:r>
      <w:r w:rsidR="000E0019" w:rsidRPr="00237524">
        <w:rPr>
          <w:kern w:val="22"/>
          <w:sz w:val="22"/>
          <w:szCs w:val="22"/>
        </w:rPr>
        <w:t>-</w:t>
      </w:r>
      <w:r w:rsidR="00381999" w:rsidRPr="00237524">
        <w:rPr>
          <w:kern w:val="22"/>
          <w:sz w:val="22"/>
          <w:szCs w:val="22"/>
        </w:rPr>
        <w:t>House under contained use, the Committee had noted that some records made available under contained use were not fully in accordance with Article 6 of the Cartagena Protocol, with some of th</w:t>
      </w:r>
      <w:r w:rsidR="003B4489" w:rsidRPr="00237524">
        <w:rPr>
          <w:kern w:val="22"/>
          <w:sz w:val="22"/>
          <w:szCs w:val="22"/>
        </w:rPr>
        <w:t>o</w:t>
      </w:r>
      <w:r w:rsidR="00381999" w:rsidRPr="00237524">
        <w:rPr>
          <w:kern w:val="22"/>
          <w:sz w:val="22"/>
          <w:szCs w:val="22"/>
        </w:rPr>
        <w:t xml:space="preserve">se records relating rather to intentional introduction into the environment; more information on the issue was provided in </w:t>
      </w:r>
      <w:r w:rsidR="00244545" w:rsidRPr="00237524">
        <w:rPr>
          <w:kern w:val="22"/>
          <w:sz w:val="22"/>
          <w:szCs w:val="22"/>
        </w:rPr>
        <w:t xml:space="preserve">the note by the Executive Secretary </w:t>
      </w:r>
      <w:r w:rsidR="00381999" w:rsidRPr="00237524">
        <w:rPr>
          <w:kern w:val="22"/>
          <w:sz w:val="22"/>
          <w:szCs w:val="22"/>
        </w:rPr>
        <w:t>on transit and contained use of living modified organisms</w:t>
      </w:r>
      <w:r w:rsidR="00244545" w:rsidRPr="00237524">
        <w:rPr>
          <w:kern w:val="22"/>
          <w:sz w:val="22"/>
          <w:szCs w:val="22"/>
        </w:rPr>
        <w:t xml:space="preserve"> (</w:t>
      </w:r>
      <w:r w:rsidR="00244545" w:rsidRPr="00237524">
        <w:rPr>
          <w:snapToGrid w:val="0"/>
          <w:color w:val="000000"/>
          <w:kern w:val="22"/>
          <w:sz w:val="22"/>
          <w:szCs w:val="22"/>
        </w:rPr>
        <w:t>CBD/CP/MOP/9/9)</w:t>
      </w:r>
      <w:r w:rsidR="00381999" w:rsidRPr="00237524">
        <w:rPr>
          <w:kern w:val="22"/>
          <w:sz w:val="22"/>
          <w:szCs w:val="22"/>
        </w:rPr>
        <w:t>.</w:t>
      </w:r>
    </w:p>
    <w:p w14:paraId="410EA5A2" w14:textId="6931989C" w:rsidR="00495B7A" w:rsidRPr="00237524" w:rsidRDefault="004D2EBD" w:rsidP="00237524">
      <w:pPr>
        <w:numPr>
          <w:ilvl w:val="0"/>
          <w:numId w:val="16"/>
        </w:numPr>
        <w:suppressLineNumbers/>
        <w:tabs>
          <w:tab w:val="clear" w:pos="360"/>
        </w:tabs>
        <w:suppressAutoHyphens/>
        <w:kinsoku w:val="0"/>
        <w:overflowPunct w:val="0"/>
        <w:autoSpaceDE w:val="0"/>
        <w:autoSpaceDN w:val="0"/>
        <w:spacing w:before="120" w:after="120"/>
        <w:jc w:val="both"/>
        <w:rPr>
          <w:snapToGrid w:val="0"/>
          <w:color w:val="000000"/>
          <w:kern w:val="22"/>
          <w:sz w:val="22"/>
          <w:szCs w:val="22"/>
        </w:rPr>
      </w:pPr>
      <w:r w:rsidRPr="00237524">
        <w:rPr>
          <w:snapToGrid w:val="0"/>
          <w:color w:val="000000"/>
          <w:kern w:val="22"/>
          <w:sz w:val="22"/>
          <w:szCs w:val="22"/>
        </w:rPr>
        <w:t xml:space="preserve">With respect to the recommended caution, </w:t>
      </w:r>
      <w:r w:rsidRPr="00237524">
        <w:rPr>
          <w:sz w:val="22"/>
          <w:szCs w:val="22"/>
        </w:rPr>
        <w:t xml:space="preserve">the </w:t>
      </w:r>
      <w:r w:rsidR="00987E72" w:rsidRPr="00237524">
        <w:rPr>
          <w:sz w:val="22"/>
          <w:szCs w:val="22"/>
        </w:rPr>
        <w:t xml:space="preserve">Conference of the Parties serving as the meeting of the Parties to the Cartagena Protocol </w:t>
      </w:r>
      <w:r w:rsidRPr="00237524">
        <w:rPr>
          <w:sz w:val="22"/>
          <w:szCs w:val="22"/>
        </w:rPr>
        <w:t>had before it</w:t>
      </w:r>
      <w:r w:rsidRPr="00237524">
        <w:rPr>
          <w:snapToGrid w:val="0"/>
          <w:color w:val="000000"/>
          <w:kern w:val="22"/>
          <w:sz w:val="22"/>
          <w:szCs w:val="22"/>
        </w:rPr>
        <w:t xml:space="preserve"> an information document to assist it in its consideration (CBD/CP/MOP/9/INF/2).</w:t>
      </w:r>
      <w:r w:rsidR="00DA2E03" w:rsidRPr="00237524">
        <w:rPr>
          <w:snapToGrid w:val="0"/>
          <w:color w:val="000000"/>
          <w:kern w:val="22"/>
          <w:sz w:val="22"/>
          <w:szCs w:val="22"/>
        </w:rPr>
        <w:t xml:space="preserve"> </w:t>
      </w:r>
      <w:r w:rsidRPr="00237524">
        <w:rPr>
          <w:snapToGrid w:val="0"/>
          <w:color w:val="000000"/>
          <w:kern w:val="22"/>
          <w:sz w:val="22"/>
          <w:szCs w:val="22"/>
        </w:rPr>
        <w:t xml:space="preserve">Among other things, the document </w:t>
      </w:r>
      <w:r w:rsidR="00381999" w:rsidRPr="00237524">
        <w:rPr>
          <w:snapToGrid w:val="0"/>
          <w:color w:val="000000"/>
          <w:kern w:val="22"/>
          <w:sz w:val="22"/>
          <w:szCs w:val="22"/>
        </w:rPr>
        <w:t>provided an overview of</w:t>
      </w:r>
      <w:r w:rsidRPr="00237524">
        <w:rPr>
          <w:snapToGrid w:val="0"/>
          <w:color w:val="000000"/>
          <w:kern w:val="22"/>
          <w:sz w:val="22"/>
          <w:szCs w:val="22"/>
        </w:rPr>
        <w:t xml:space="preserve"> the numerous activities undertaken by the Committee leading up to the recommendation to caution individual Parties for failing to submit their national reports. </w:t>
      </w:r>
      <w:r w:rsidR="004C13E7" w:rsidRPr="00237524">
        <w:rPr>
          <w:snapToGrid w:val="0"/>
          <w:color w:val="000000"/>
          <w:kern w:val="22"/>
          <w:sz w:val="22"/>
          <w:szCs w:val="22"/>
        </w:rPr>
        <w:t>Ms. Hamilton</w:t>
      </w:r>
      <w:r w:rsidR="00DA2E03" w:rsidRPr="00237524">
        <w:rPr>
          <w:snapToGrid w:val="0"/>
          <w:color w:val="000000"/>
          <w:kern w:val="22"/>
          <w:sz w:val="22"/>
          <w:szCs w:val="22"/>
        </w:rPr>
        <w:t xml:space="preserve"> </w:t>
      </w:r>
      <w:r w:rsidR="00FA0CE4" w:rsidRPr="00237524">
        <w:rPr>
          <w:snapToGrid w:val="0"/>
          <w:color w:val="000000"/>
          <w:kern w:val="22"/>
          <w:sz w:val="22"/>
          <w:szCs w:val="22"/>
        </w:rPr>
        <w:t xml:space="preserve">emphasized </w:t>
      </w:r>
      <w:r w:rsidR="00D96799" w:rsidRPr="00237524">
        <w:rPr>
          <w:snapToGrid w:val="0"/>
          <w:color w:val="000000"/>
          <w:kern w:val="22"/>
          <w:sz w:val="22"/>
          <w:szCs w:val="22"/>
        </w:rPr>
        <w:t xml:space="preserve">that the </w:t>
      </w:r>
      <w:r w:rsidR="004C13E7" w:rsidRPr="00237524">
        <w:rPr>
          <w:snapToGrid w:val="0"/>
          <w:color w:val="000000"/>
          <w:kern w:val="22"/>
          <w:sz w:val="22"/>
          <w:szCs w:val="22"/>
        </w:rPr>
        <w:t>decision to recommend a caution had been made following</w:t>
      </w:r>
      <w:r w:rsidR="004C13E7" w:rsidRPr="00237524">
        <w:rPr>
          <w:rFonts w:eastAsiaTheme="minorEastAsia"/>
          <w:bCs/>
          <w:sz w:val="22"/>
          <w:szCs w:val="22"/>
          <w:lang w:val="en-GB"/>
        </w:rPr>
        <w:t xml:space="preserve"> lengthy discussion and </w:t>
      </w:r>
      <w:r w:rsidR="00497D1A" w:rsidRPr="00237524">
        <w:rPr>
          <w:rFonts w:eastAsiaTheme="minorEastAsia"/>
          <w:bCs/>
          <w:sz w:val="22"/>
          <w:szCs w:val="22"/>
          <w:lang w:val="en-GB"/>
        </w:rPr>
        <w:t xml:space="preserve">bearing in mind that the Committee’s efforts to address </w:t>
      </w:r>
      <w:proofErr w:type="spellStart"/>
      <w:r w:rsidR="00497D1A" w:rsidRPr="00237524">
        <w:rPr>
          <w:rFonts w:eastAsiaTheme="minorEastAsia"/>
          <w:bCs/>
          <w:sz w:val="22"/>
          <w:szCs w:val="22"/>
          <w:lang w:val="en-GB"/>
        </w:rPr>
        <w:t>th</w:t>
      </w:r>
      <w:proofErr w:type="spellEnd"/>
      <w:r w:rsidR="00531F46" w:rsidRPr="00237524">
        <w:rPr>
          <w:rFonts w:eastAsiaTheme="minorEastAsia"/>
          <w:bCs/>
          <w:sz w:val="22"/>
          <w:szCs w:val="22"/>
        </w:rPr>
        <w:t>e</w:t>
      </w:r>
      <w:r w:rsidR="00497D1A" w:rsidRPr="00237524">
        <w:rPr>
          <w:rFonts w:eastAsiaTheme="minorEastAsia"/>
          <w:bCs/>
          <w:sz w:val="22"/>
          <w:szCs w:val="22"/>
          <w:lang w:val="en-GB"/>
        </w:rPr>
        <w:t xml:space="preserve"> issue on numerous occasions had not resulted in the submission of the national reports by </w:t>
      </w:r>
      <w:proofErr w:type="spellStart"/>
      <w:r w:rsidR="00497D1A" w:rsidRPr="00237524">
        <w:rPr>
          <w:rFonts w:eastAsiaTheme="minorEastAsia"/>
          <w:bCs/>
          <w:sz w:val="22"/>
          <w:szCs w:val="22"/>
          <w:lang w:val="en-GB"/>
        </w:rPr>
        <w:t>th</w:t>
      </w:r>
      <w:proofErr w:type="spellEnd"/>
      <w:r w:rsidR="000D30A1" w:rsidRPr="00237524">
        <w:rPr>
          <w:rFonts w:eastAsiaTheme="minorEastAsia"/>
          <w:bCs/>
          <w:sz w:val="22"/>
          <w:szCs w:val="22"/>
        </w:rPr>
        <w:t>o</w:t>
      </w:r>
      <w:r w:rsidR="00497D1A" w:rsidRPr="00237524">
        <w:rPr>
          <w:rFonts w:eastAsiaTheme="minorEastAsia"/>
          <w:bCs/>
          <w:sz w:val="22"/>
          <w:szCs w:val="22"/>
          <w:lang w:val="en-GB"/>
        </w:rPr>
        <w:t>se Parties</w:t>
      </w:r>
      <w:r w:rsidR="004C13E7" w:rsidRPr="00237524">
        <w:rPr>
          <w:rFonts w:eastAsiaTheme="minorEastAsia"/>
          <w:bCs/>
          <w:sz w:val="22"/>
          <w:szCs w:val="22"/>
          <w:lang w:val="en-GB"/>
        </w:rPr>
        <w:t>. She added that the global community had created the Cartagena Protocol believing its measure</w:t>
      </w:r>
      <w:r w:rsidR="004B1BB2" w:rsidRPr="00237524">
        <w:rPr>
          <w:rFonts w:eastAsiaTheme="minorEastAsia"/>
          <w:bCs/>
          <w:sz w:val="22"/>
          <w:szCs w:val="22"/>
          <w:lang w:val="en-GB"/>
        </w:rPr>
        <w:t>s</w:t>
      </w:r>
      <w:r w:rsidR="004C13E7" w:rsidRPr="00237524">
        <w:rPr>
          <w:rFonts w:eastAsiaTheme="minorEastAsia"/>
          <w:bCs/>
          <w:sz w:val="22"/>
          <w:szCs w:val="22"/>
          <w:lang w:val="en-GB"/>
        </w:rPr>
        <w:t xml:space="preserve"> to be important</w:t>
      </w:r>
      <w:r w:rsidR="00B96443" w:rsidRPr="00237524">
        <w:rPr>
          <w:rFonts w:eastAsiaTheme="minorEastAsia"/>
          <w:bCs/>
          <w:sz w:val="22"/>
          <w:szCs w:val="22"/>
          <w:lang w:val="en-GB"/>
        </w:rPr>
        <w:t>,</w:t>
      </w:r>
      <w:r w:rsidR="004C13E7" w:rsidRPr="00237524">
        <w:rPr>
          <w:rFonts w:eastAsiaTheme="minorEastAsia"/>
          <w:bCs/>
          <w:sz w:val="22"/>
          <w:szCs w:val="22"/>
          <w:lang w:val="en-GB"/>
        </w:rPr>
        <w:t xml:space="preserve"> and </w:t>
      </w:r>
      <w:r w:rsidR="00B96443" w:rsidRPr="00237524">
        <w:rPr>
          <w:rFonts w:eastAsiaTheme="minorEastAsia"/>
          <w:bCs/>
          <w:sz w:val="22"/>
          <w:szCs w:val="22"/>
          <w:lang w:val="en-GB"/>
        </w:rPr>
        <w:t>that its</w:t>
      </w:r>
      <w:r w:rsidR="004C13E7" w:rsidRPr="00237524">
        <w:rPr>
          <w:rFonts w:eastAsiaTheme="minorEastAsia"/>
          <w:bCs/>
          <w:sz w:val="22"/>
          <w:szCs w:val="22"/>
          <w:lang w:val="en-GB"/>
        </w:rPr>
        <w:t xml:space="preserve"> successful operation depended on the sharing of accurate information. </w:t>
      </w:r>
      <w:r w:rsidR="00497D1A" w:rsidRPr="00237524">
        <w:rPr>
          <w:sz w:val="22"/>
          <w:szCs w:val="22"/>
        </w:rPr>
        <w:t>In view of the submission by Turkmenistan of its third national report, Ms. Hamilton indicated that Turkmenistan could be removed from the caution portion of the Committee’s recommendation.</w:t>
      </w:r>
    </w:p>
    <w:p w14:paraId="53EEB04E" w14:textId="0048F707" w:rsidR="002F5AC4" w:rsidRPr="00237524" w:rsidRDefault="002F5AC4" w:rsidP="00237524">
      <w:pPr>
        <w:numPr>
          <w:ilvl w:val="0"/>
          <w:numId w:val="16"/>
        </w:numPr>
        <w:suppressLineNumbers/>
        <w:tabs>
          <w:tab w:val="clear" w:pos="360"/>
        </w:tabs>
        <w:suppressAutoHyphens/>
        <w:kinsoku w:val="0"/>
        <w:overflowPunct w:val="0"/>
        <w:autoSpaceDE w:val="0"/>
        <w:autoSpaceDN w:val="0"/>
        <w:spacing w:before="120" w:after="120"/>
        <w:jc w:val="both"/>
        <w:rPr>
          <w:snapToGrid w:val="0"/>
          <w:color w:val="000000"/>
          <w:kern w:val="22"/>
          <w:sz w:val="22"/>
          <w:szCs w:val="22"/>
        </w:rPr>
      </w:pPr>
      <w:r w:rsidRPr="00237524">
        <w:rPr>
          <w:snapToGrid w:val="0"/>
          <w:color w:val="000000"/>
          <w:kern w:val="22"/>
          <w:sz w:val="22"/>
          <w:szCs w:val="22"/>
        </w:rPr>
        <w:t xml:space="preserve">Following Ms. Hamilton’s report, the Conference of the </w:t>
      </w:r>
      <w:r w:rsidRPr="00237524">
        <w:rPr>
          <w:snapToGrid w:val="0"/>
          <w:kern w:val="22"/>
          <w:sz w:val="22"/>
          <w:szCs w:val="22"/>
          <w:lang w:eastAsia="en-CA"/>
        </w:rPr>
        <w:t xml:space="preserve">Parties </w:t>
      </w:r>
      <w:r w:rsidRPr="00237524">
        <w:rPr>
          <w:sz w:val="22"/>
          <w:szCs w:val="22"/>
        </w:rPr>
        <w:t xml:space="preserve">serving as the meeting of the Parties </w:t>
      </w:r>
      <w:r w:rsidRPr="00237524">
        <w:rPr>
          <w:snapToGrid w:val="0"/>
          <w:kern w:val="22"/>
          <w:sz w:val="22"/>
          <w:szCs w:val="22"/>
          <w:lang w:eastAsia="en-CA"/>
        </w:rPr>
        <w:t>agreed to consider the Committee</w:t>
      </w:r>
      <w:r w:rsidRPr="00237524">
        <w:rPr>
          <w:snapToGrid w:val="0"/>
          <w:kern w:val="22"/>
          <w:sz w:val="22"/>
          <w:szCs w:val="22"/>
          <w:lang w:val="en-GB" w:eastAsia="en-CA"/>
        </w:rPr>
        <w:t>’</w:t>
      </w:r>
      <w:r w:rsidRPr="00237524">
        <w:rPr>
          <w:snapToGrid w:val="0"/>
          <w:kern w:val="22"/>
          <w:sz w:val="22"/>
          <w:szCs w:val="22"/>
          <w:lang w:eastAsia="en-CA"/>
        </w:rPr>
        <w:t xml:space="preserve">s recommendations in the </w:t>
      </w:r>
      <w:r w:rsidR="00030162" w:rsidRPr="00237524">
        <w:rPr>
          <w:snapToGrid w:val="0"/>
          <w:kern w:val="22"/>
          <w:sz w:val="22"/>
          <w:szCs w:val="22"/>
          <w:lang w:eastAsia="en-CA"/>
        </w:rPr>
        <w:t>w</w:t>
      </w:r>
      <w:r w:rsidRPr="00237524">
        <w:rPr>
          <w:snapToGrid w:val="0"/>
          <w:kern w:val="22"/>
          <w:sz w:val="22"/>
          <w:szCs w:val="22"/>
          <w:lang w:eastAsia="en-CA"/>
        </w:rPr>
        <w:t xml:space="preserve">orking </w:t>
      </w:r>
      <w:r w:rsidR="00030162" w:rsidRPr="00237524">
        <w:rPr>
          <w:snapToGrid w:val="0"/>
          <w:kern w:val="22"/>
          <w:sz w:val="22"/>
          <w:szCs w:val="22"/>
          <w:lang w:eastAsia="en-CA"/>
        </w:rPr>
        <w:t>g</w:t>
      </w:r>
      <w:r w:rsidRPr="00237524">
        <w:rPr>
          <w:snapToGrid w:val="0"/>
          <w:kern w:val="22"/>
          <w:sz w:val="22"/>
          <w:szCs w:val="22"/>
          <w:lang w:eastAsia="en-CA"/>
        </w:rPr>
        <w:t xml:space="preserve">roups under the relevant agenda items. </w:t>
      </w:r>
      <w:r w:rsidR="007124B4" w:rsidRPr="00237524">
        <w:rPr>
          <w:snapToGrid w:val="0"/>
          <w:kern w:val="22"/>
          <w:sz w:val="22"/>
          <w:szCs w:val="22"/>
          <w:lang w:eastAsia="en-CA"/>
        </w:rPr>
        <w:t>Agenda item 5 was referred to Working Group I f</w:t>
      </w:r>
      <w:r w:rsidRPr="00237524">
        <w:rPr>
          <w:snapToGrid w:val="0"/>
          <w:kern w:val="22"/>
          <w:sz w:val="22"/>
          <w:szCs w:val="22"/>
          <w:lang w:eastAsia="en-CA"/>
        </w:rPr>
        <w:t>or</w:t>
      </w:r>
      <w:r w:rsidR="007124B4" w:rsidRPr="00237524">
        <w:rPr>
          <w:snapToGrid w:val="0"/>
          <w:kern w:val="22"/>
          <w:sz w:val="22"/>
          <w:szCs w:val="22"/>
          <w:lang w:eastAsia="en-CA"/>
        </w:rPr>
        <w:t xml:space="preserve"> further consideration of</w:t>
      </w:r>
      <w:r w:rsidRPr="00237524">
        <w:rPr>
          <w:snapToGrid w:val="0"/>
          <w:kern w:val="22"/>
          <w:sz w:val="22"/>
          <w:szCs w:val="22"/>
          <w:lang w:eastAsia="en-CA"/>
        </w:rPr>
        <w:t xml:space="preserve"> the Committee’s recommendations contained in section A of the annex to </w:t>
      </w:r>
      <w:r w:rsidR="00DB2EC3" w:rsidRPr="00237524">
        <w:rPr>
          <w:snapToGrid w:val="0"/>
          <w:kern w:val="22"/>
          <w:sz w:val="22"/>
          <w:szCs w:val="22"/>
          <w:lang w:eastAsia="en-CA"/>
        </w:rPr>
        <w:t>its report</w:t>
      </w:r>
      <w:r w:rsidR="00DC063D" w:rsidRPr="00237524">
        <w:rPr>
          <w:bCs/>
          <w:sz w:val="22"/>
          <w:szCs w:val="22"/>
        </w:rPr>
        <w:t xml:space="preserve"> </w:t>
      </w:r>
      <w:proofErr w:type="gramStart"/>
      <w:r w:rsidR="00DC063D" w:rsidRPr="00237524">
        <w:rPr>
          <w:bCs/>
          <w:sz w:val="22"/>
          <w:szCs w:val="22"/>
        </w:rPr>
        <w:t>and also</w:t>
      </w:r>
      <w:proofErr w:type="gramEnd"/>
      <w:r w:rsidR="00DC063D" w:rsidRPr="00237524">
        <w:rPr>
          <w:bCs/>
          <w:sz w:val="22"/>
          <w:szCs w:val="22"/>
        </w:rPr>
        <w:t xml:space="preserve"> contained in the compilation of draft decisions (CBD/CP/MOP/9/1/Add.2)</w:t>
      </w:r>
      <w:r w:rsidR="007124B4" w:rsidRPr="00237524">
        <w:rPr>
          <w:snapToGrid w:val="0"/>
          <w:kern w:val="22"/>
          <w:sz w:val="22"/>
          <w:szCs w:val="22"/>
          <w:lang w:eastAsia="en-CA"/>
        </w:rPr>
        <w:t>.</w:t>
      </w:r>
    </w:p>
    <w:p w14:paraId="6F7D9149" w14:textId="0C35CDBB" w:rsidR="00CB383D" w:rsidRPr="00E02201" w:rsidRDefault="00CB383D" w:rsidP="00237524">
      <w:pPr>
        <w:pStyle w:val="Para1"/>
        <w:tabs>
          <w:tab w:val="clear" w:pos="360"/>
        </w:tabs>
      </w:pPr>
      <w:r w:rsidRPr="00E02201">
        <w:t xml:space="preserve">Working </w:t>
      </w:r>
      <w:proofErr w:type="gramStart"/>
      <w:r w:rsidRPr="00E02201">
        <w:t>Group</w:t>
      </w:r>
      <w:proofErr w:type="gramEnd"/>
      <w:r w:rsidRPr="00E02201">
        <w:t xml:space="preserve"> I took up agenda item 5 at its 6th meeting, on 21 November 2018. In considering the item, the Working Group had before it a draft decision based on the recommendations contained in the report of the Compliance Committee (CBD/CP/MOP/9/2) and a note by the Executive Secretary on the </w:t>
      </w:r>
      <w:r w:rsidRPr="00E02201">
        <w:lastRenderedPageBreak/>
        <w:t xml:space="preserve">activities undertaken by the </w:t>
      </w:r>
      <w:r w:rsidR="00BD036E" w:rsidRPr="00E02201">
        <w:t>C</w:t>
      </w:r>
      <w:r w:rsidRPr="00E02201">
        <w:t xml:space="preserve">ompliance </w:t>
      </w:r>
      <w:r w:rsidR="00BD036E" w:rsidRPr="00E02201">
        <w:t>C</w:t>
      </w:r>
      <w:r w:rsidRPr="00E02201">
        <w:t>ommittee with regard to the obligation to submit national reports leading up to the recommendation to caution individual Parties (CBD/CP/MOP/9/INF/2).</w:t>
      </w:r>
    </w:p>
    <w:p w14:paraId="3F3B9EAF" w14:textId="5500D5DC" w:rsidR="00CB383D" w:rsidRPr="00E02201" w:rsidRDefault="00CB383D" w:rsidP="00237524">
      <w:pPr>
        <w:pStyle w:val="Para1"/>
        <w:tabs>
          <w:tab w:val="clear" w:pos="360"/>
        </w:tabs>
      </w:pPr>
      <w:r w:rsidRPr="00E02201">
        <w:t>Ms. Hamilton introduced the documents. She said that the annex to the report of the Compliance Committee contained, in section A, the general recommendations of the Committee as well as its recommendation with respect to specific cases of non-compliance</w:t>
      </w:r>
      <w:r w:rsidR="00497D1A" w:rsidRPr="00E02201">
        <w:t xml:space="preserve"> and, in section B, the recommendation to caution four Parties for failure to submit national reports over multiple reporting cycles</w:t>
      </w:r>
      <w:r w:rsidRPr="00E02201">
        <w:t xml:space="preserve">. Since the publication of the report, Greece, the Marshall Islands and Turkmenistan had submitted their third national reports and consequently should be removed from the list of Parties to be cautioned for failing to submit those reports. She also said, with respect to the nomination of </w:t>
      </w:r>
      <w:r w:rsidR="003A2921" w:rsidRPr="00E02201">
        <w:t>members of the Committee</w:t>
      </w:r>
      <w:r w:rsidRPr="00E02201">
        <w:t>, that the original intention had been to have a balance between technical experts and legal experts. Currently</w:t>
      </w:r>
      <w:r w:rsidR="00BA33D5" w:rsidRPr="00E02201">
        <w:t>,</w:t>
      </w:r>
      <w:r w:rsidRPr="00E02201">
        <w:t xml:space="preserve"> there remained only two legal experts on the Compliance Committee</w:t>
      </w:r>
      <w:r w:rsidR="00BA33D5" w:rsidRPr="00E02201">
        <w:t>,</w:t>
      </w:r>
      <w:r w:rsidRPr="00E02201">
        <w:t xml:space="preserve"> and she urged the Parties to take that into consideration when nominating </w:t>
      </w:r>
      <w:r w:rsidR="003A2921" w:rsidRPr="00E02201">
        <w:t xml:space="preserve">members </w:t>
      </w:r>
      <w:r w:rsidRPr="00E02201">
        <w:t>to</w:t>
      </w:r>
      <w:r w:rsidR="003A2921" w:rsidRPr="00E02201">
        <w:t xml:space="preserve"> be elected</w:t>
      </w:r>
      <w:r w:rsidR="002B0A56" w:rsidRPr="00E02201">
        <w:t xml:space="preserve"> to</w:t>
      </w:r>
      <w:r w:rsidRPr="00E02201">
        <w:t xml:space="preserve"> the </w:t>
      </w:r>
      <w:r w:rsidR="003A2921" w:rsidRPr="00E02201">
        <w:t>C</w:t>
      </w:r>
      <w:r w:rsidRPr="00E02201">
        <w:t>ommittee.</w:t>
      </w:r>
    </w:p>
    <w:p w14:paraId="6D436854" w14:textId="77777777" w:rsidR="00CB383D" w:rsidRPr="00E02201" w:rsidRDefault="00CB383D" w:rsidP="00237524">
      <w:pPr>
        <w:pStyle w:val="Para1"/>
        <w:tabs>
          <w:tab w:val="clear" w:pos="360"/>
        </w:tabs>
      </w:pPr>
      <w:r w:rsidRPr="00E02201">
        <w:t>Statements were made by representatives of Colombia, Georgia (on behalf of the Central and Eastern European Group), India, Indonesia, Jordan, Mexico and Venezuela (Bolivarian Republic of).</w:t>
      </w:r>
    </w:p>
    <w:p w14:paraId="4E0646AA" w14:textId="77777777" w:rsidR="00CB383D" w:rsidRPr="00E02201" w:rsidRDefault="00CB383D" w:rsidP="00237524">
      <w:pPr>
        <w:pStyle w:val="Para1"/>
        <w:tabs>
          <w:tab w:val="clear" w:pos="360"/>
        </w:tabs>
      </w:pPr>
      <w:r w:rsidRPr="00E02201">
        <w:t>The Chair said that he would prepare a revised draft decision, taking into consideration the views expressed orally and submitted in writing.</w:t>
      </w:r>
    </w:p>
    <w:p w14:paraId="79E842A4" w14:textId="1C1948DE" w:rsidR="002255C8" w:rsidRPr="00E02201" w:rsidRDefault="00CB383D" w:rsidP="00237524">
      <w:pPr>
        <w:pStyle w:val="Para1"/>
        <w:tabs>
          <w:tab w:val="clear" w:pos="360"/>
        </w:tabs>
      </w:pPr>
      <w:r w:rsidRPr="00E02201">
        <w:t>At its 10th meeting, on 25 November 2018, the Working Group considered a revised draft decision submitted by the Chair, which it approved for transmission to the plenary as draft decision CBD/CP</w:t>
      </w:r>
      <w:r w:rsidR="003534DE" w:rsidRPr="00E02201">
        <w:t>/</w:t>
      </w:r>
      <w:r w:rsidRPr="00E02201">
        <w:t>MOP/9/L.11.</w:t>
      </w:r>
    </w:p>
    <w:p w14:paraId="15B696F8" w14:textId="37097B3B" w:rsidR="000E0019" w:rsidRPr="00E02201" w:rsidRDefault="000E0019" w:rsidP="00237524">
      <w:pPr>
        <w:pStyle w:val="Para1"/>
        <w:tabs>
          <w:tab w:val="clear" w:pos="360"/>
        </w:tabs>
      </w:pPr>
      <w:r w:rsidRPr="00E02201">
        <w:t xml:space="preserve">At the 7th plenary session of the meeting, on 28 November 2018, the Conference of the Parties </w:t>
      </w:r>
      <w:r w:rsidR="00F84A19" w:rsidRPr="00E02201">
        <w:t xml:space="preserve">serving as the meeting of the Parties </w:t>
      </w:r>
      <w:r w:rsidRPr="00E02201">
        <w:t>elected the following as members of the Compliance Committee:</w:t>
      </w:r>
    </w:p>
    <w:p w14:paraId="18CA635D" w14:textId="77777777" w:rsidR="000E0019" w:rsidRPr="00E02201" w:rsidRDefault="000E0019" w:rsidP="00E02201">
      <w:pPr>
        <w:pStyle w:val="Para1"/>
        <w:numPr>
          <w:ilvl w:val="0"/>
          <w:numId w:val="0"/>
        </w:numPr>
        <w:spacing w:before="0" w:after="0"/>
        <w:ind w:left="1418"/>
        <w:rPr>
          <w:noProof/>
        </w:rPr>
      </w:pPr>
      <w:r w:rsidRPr="00E02201">
        <w:rPr>
          <w:noProof/>
        </w:rPr>
        <w:t>Mr. Gado Zaki Mahaman (Niger)</w:t>
      </w:r>
    </w:p>
    <w:p w14:paraId="2752B443" w14:textId="77777777" w:rsidR="000E0019" w:rsidRPr="00E02201" w:rsidRDefault="000E0019">
      <w:pPr>
        <w:pStyle w:val="Para1"/>
        <w:numPr>
          <w:ilvl w:val="0"/>
          <w:numId w:val="0"/>
        </w:numPr>
        <w:spacing w:before="0" w:after="0"/>
        <w:ind w:left="1418"/>
        <w:rPr>
          <w:noProof/>
        </w:rPr>
      </w:pPr>
      <w:r w:rsidRPr="00E02201">
        <w:rPr>
          <w:noProof/>
        </w:rPr>
        <w:t>Mr. Achmad Gusman Siswandi (Indonesia)</w:t>
      </w:r>
    </w:p>
    <w:p w14:paraId="2ADA4123" w14:textId="77777777" w:rsidR="000E0019" w:rsidRPr="00E02201" w:rsidRDefault="000E0019">
      <w:pPr>
        <w:pStyle w:val="Para1"/>
        <w:numPr>
          <w:ilvl w:val="0"/>
          <w:numId w:val="0"/>
        </w:numPr>
        <w:spacing w:before="0" w:after="0"/>
        <w:ind w:left="1418"/>
        <w:rPr>
          <w:noProof/>
        </w:rPr>
      </w:pPr>
      <w:r w:rsidRPr="00E02201">
        <w:rPr>
          <w:noProof/>
        </w:rPr>
        <w:t>Mr. Martin Batic (Slovenia)</w:t>
      </w:r>
    </w:p>
    <w:p w14:paraId="1201AA8B" w14:textId="110D2E5D" w:rsidR="000E0019" w:rsidRPr="00E02201" w:rsidRDefault="000E0019">
      <w:pPr>
        <w:pStyle w:val="Para1"/>
        <w:numPr>
          <w:ilvl w:val="0"/>
          <w:numId w:val="0"/>
        </w:numPr>
        <w:spacing w:before="0" w:after="0"/>
        <w:ind w:left="1418"/>
        <w:rPr>
          <w:noProof/>
        </w:rPr>
      </w:pPr>
      <w:r w:rsidRPr="00E02201">
        <w:rPr>
          <w:noProof/>
        </w:rPr>
        <w:t>Mrs. Georgina Catacora-Vargas (Plurinational State of</w:t>
      </w:r>
      <w:r w:rsidR="00A30D94" w:rsidRPr="00E02201">
        <w:rPr>
          <w:noProof/>
        </w:rPr>
        <w:t xml:space="preserve"> Bolivia</w:t>
      </w:r>
      <w:r w:rsidRPr="00E02201">
        <w:rPr>
          <w:noProof/>
        </w:rPr>
        <w:t>)</w:t>
      </w:r>
    </w:p>
    <w:p w14:paraId="47BC1676" w14:textId="2C10E638" w:rsidR="000E0019" w:rsidRPr="00E02201" w:rsidRDefault="000E0019">
      <w:pPr>
        <w:pStyle w:val="Para1"/>
        <w:numPr>
          <w:ilvl w:val="0"/>
          <w:numId w:val="0"/>
        </w:numPr>
        <w:spacing w:before="0" w:after="0"/>
        <w:ind w:left="1418"/>
        <w:rPr>
          <w:noProof/>
        </w:rPr>
      </w:pPr>
      <w:r w:rsidRPr="00E02201">
        <w:rPr>
          <w:noProof/>
        </w:rPr>
        <w:t>Mr. Michelangelo Lombardi (Italy)</w:t>
      </w:r>
    </w:p>
    <w:p w14:paraId="1F5CCC7C" w14:textId="77777777" w:rsidR="000E0019" w:rsidRPr="00E02201" w:rsidRDefault="000E0019" w:rsidP="00237524">
      <w:pPr>
        <w:pStyle w:val="Para1"/>
        <w:numPr>
          <w:ilvl w:val="0"/>
          <w:numId w:val="0"/>
        </w:numPr>
        <w:spacing w:before="0" w:after="0"/>
        <w:ind w:left="1418"/>
      </w:pPr>
    </w:p>
    <w:p w14:paraId="50323E51" w14:textId="41B864BA" w:rsidR="00B9054C" w:rsidRPr="00753814" w:rsidRDefault="00B9054C" w:rsidP="00237524">
      <w:pPr>
        <w:pStyle w:val="Para1"/>
        <w:tabs>
          <w:tab w:val="clear" w:pos="360"/>
        </w:tabs>
      </w:pPr>
      <w:r w:rsidRPr="00753814">
        <w:t xml:space="preserve">At the 7th plenary session of the meeting, on 28 November 2018, the Conference of the Parties </w:t>
      </w:r>
      <w:r w:rsidR="007036F9" w:rsidRPr="00753814">
        <w:t xml:space="preserve">serving as the meeting of the Parties </w:t>
      </w:r>
      <w:r w:rsidRPr="00753814">
        <w:t>considered CBD/CP/MOP/9/L.11.</w:t>
      </w:r>
    </w:p>
    <w:p w14:paraId="5E518FE0" w14:textId="4A35FD83" w:rsidR="006C5568" w:rsidRPr="00753814" w:rsidRDefault="00B9054C" w:rsidP="00237524">
      <w:pPr>
        <w:pStyle w:val="Para1"/>
        <w:tabs>
          <w:tab w:val="clear" w:pos="360"/>
        </w:tabs>
      </w:pPr>
      <w:r w:rsidRPr="00753814">
        <w:t xml:space="preserve">The Conference of the Parties </w:t>
      </w:r>
      <w:r w:rsidR="00BA374D" w:rsidRPr="00753814">
        <w:t xml:space="preserve">serving as the meeting of the Parties </w:t>
      </w:r>
      <w:r w:rsidRPr="00753814">
        <w:t>adopted draft decision CBD/CP/MOP/9/L.11 as decision CP-</w:t>
      </w:r>
      <w:r w:rsidR="00104446">
        <w:t>9</w:t>
      </w:r>
      <w:r w:rsidRPr="00753814">
        <w:t>/</w:t>
      </w:r>
      <w:r w:rsidR="00E61709" w:rsidRPr="00753814">
        <w:t>1</w:t>
      </w:r>
      <w:r w:rsidRPr="00753814">
        <w:t xml:space="preserve"> (for the text, see chap.</w:t>
      </w:r>
      <w:r w:rsidR="00174D43" w:rsidRPr="00237524">
        <w:t> I</w:t>
      </w:r>
      <w:r w:rsidRPr="00753814">
        <w:t>).</w:t>
      </w:r>
    </w:p>
    <w:p w14:paraId="7A097FC7" w14:textId="77777777" w:rsidR="00495B7A" w:rsidRPr="00ED78BE" w:rsidRDefault="00CA0E00" w:rsidP="00237524">
      <w:pPr>
        <w:pStyle w:val="heading2-item0"/>
        <w:ind w:left="1701" w:hanging="992"/>
        <w:jc w:val="left"/>
      </w:pPr>
      <w:bookmarkStart w:id="80" w:name="_Toc879844"/>
      <w:bookmarkStart w:id="81" w:name="_Toc5612114"/>
      <w:r w:rsidRPr="00ED78BE">
        <w:t xml:space="preserve">Item </w:t>
      </w:r>
      <w:r w:rsidR="00C20F5D" w:rsidRPr="00ED78BE">
        <w:t xml:space="preserve">6. </w:t>
      </w:r>
      <w:r w:rsidR="00C20F5D" w:rsidRPr="00ED78BE">
        <w:tab/>
        <w:t>Administration of the Protocol and budget for the trust</w:t>
      </w:r>
      <w:r w:rsidRPr="00ED78BE">
        <w:t> </w:t>
      </w:r>
      <w:r w:rsidR="00C20F5D" w:rsidRPr="00ED78BE">
        <w:t>funds</w:t>
      </w:r>
      <w:bookmarkEnd w:id="80"/>
      <w:bookmarkEnd w:id="81"/>
    </w:p>
    <w:p w14:paraId="5977FBB7" w14:textId="71623084" w:rsidR="00E23785" w:rsidRPr="00ED78BE" w:rsidRDefault="00E23785" w:rsidP="00237524">
      <w:pPr>
        <w:pStyle w:val="Para1"/>
        <w:tabs>
          <w:tab w:val="clear" w:pos="360"/>
        </w:tabs>
        <w:rPr>
          <w:color w:val="000000"/>
        </w:rPr>
      </w:pPr>
      <w:bookmarkStart w:id="82" w:name="_Hlk530397619"/>
      <w:r w:rsidRPr="00ED78BE">
        <w:t xml:space="preserve">Agenda item </w:t>
      </w:r>
      <w:r w:rsidR="00987E72" w:rsidRPr="00ED78BE">
        <w:t>6</w:t>
      </w:r>
      <w:r w:rsidRPr="00ED78BE">
        <w:t xml:space="preserve"> was taken up at the 2nd session of the meeting, on 17 November 2018. In considering the item, the </w:t>
      </w:r>
      <w:r w:rsidR="00987E72" w:rsidRPr="00ED78BE">
        <w:t xml:space="preserve">Conference of the Parties serving as the meeting of the Parties to the Cartagena Protocol </w:t>
      </w:r>
      <w:r w:rsidRPr="00ED78BE">
        <w:t xml:space="preserve">had before it the report of the Executive Secretary on the administration of the Convention and the Cartagena and Nagoya protocols </w:t>
      </w:r>
      <w:r w:rsidRPr="00ED78BE">
        <w:rPr>
          <w:color w:val="000000"/>
        </w:rPr>
        <w:t>for the biennium 2017–2018</w:t>
      </w:r>
      <w:r w:rsidRPr="00ED78BE">
        <w:t xml:space="preserve">, including the budget for the trust funds (CBD/COP/14/3), the </w:t>
      </w:r>
      <w:r w:rsidRPr="00ED78BE">
        <w:rPr>
          <w:color w:val="000000"/>
        </w:rPr>
        <w:t xml:space="preserve">proposed budget for the programme of work of the Convention </w:t>
      </w:r>
      <w:r w:rsidRPr="00ED78BE">
        <w:t>and the Cartagena and Nagoya protocols</w:t>
      </w:r>
      <w:r w:rsidRPr="00ED78BE">
        <w:rPr>
          <w:color w:val="000000"/>
        </w:rPr>
        <w:t xml:space="preserve"> for the biennium 2019–2020</w:t>
      </w:r>
      <w:r w:rsidRPr="00ED78BE">
        <w:t xml:space="preserve"> (CBD/COP/14/4), as well as elements of a draft decision on the matter (</w:t>
      </w:r>
      <w:r w:rsidRPr="00ED78BE">
        <w:rPr>
          <w:color w:val="000000"/>
        </w:rPr>
        <w:t xml:space="preserve">CBD/COP/14/2) and </w:t>
      </w:r>
      <w:r w:rsidR="00C149F9">
        <w:rPr>
          <w:color w:val="000000"/>
        </w:rPr>
        <w:t>an information document</w:t>
      </w:r>
      <w:r w:rsidRPr="00ED78BE">
        <w:t xml:space="preserve"> on the administration of the Convention and the budget for the trust funds of the Convention and the Cartagena and Nagoya protocols (CBD/COP/14/INF/17).</w:t>
      </w:r>
    </w:p>
    <w:p w14:paraId="6B007039" w14:textId="77777777" w:rsidR="00E23785" w:rsidRPr="00ED78BE" w:rsidRDefault="00E23785" w:rsidP="00237524">
      <w:pPr>
        <w:pStyle w:val="Para1"/>
        <w:tabs>
          <w:tab w:val="clear" w:pos="360"/>
        </w:tabs>
      </w:pPr>
      <w:r w:rsidRPr="00ED78BE">
        <w:t>A statement was made by the representative of Japan.</w:t>
      </w:r>
    </w:p>
    <w:p w14:paraId="0ADE2542" w14:textId="415A2227" w:rsidR="00E23785" w:rsidRPr="00ED78BE" w:rsidRDefault="00E23785" w:rsidP="00237524">
      <w:pPr>
        <w:pStyle w:val="Para1"/>
        <w:tabs>
          <w:tab w:val="clear" w:pos="360"/>
        </w:tabs>
      </w:pPr>
      <w:r w:rsidRPr="00ED78BE">
        <w:t xml:space="preserve">The </w:t>
      </w:r>
      <w:r w:rsidR="00987E72" w:rsidRPr="00ED78BE">
        <w:t xml:space="preserve">Conference of the Parties serving as the meeting of the Parties to the Cartagena Protocol </w:t>
      </w:r>
      <w:r w:rsidRPr="00ED78BE">
        <w:t xml:space="preserve">took note of the reports and </w:t>
      </w:r>
      <w:r w:rsidR="005C0FF9">
        <w:t>decided</w:t>
      </w:r>
      <w:r w:rsidR="005C0FF9" w:rsidRPr="00ED78BE">
        <w:t xml:space="preserve"> </w:t>
      </w:r>
      <w:r w:rsidRPr="00ED78BE">
        <w:t xml:space="preserve">to establish a contact group on </w:t>
      </w:r>
      <w:r w:rsidR="009655AA">
        <w:t xml:space="preserve">the </w:t>
      </w:r>
      <w:r w:rsidRPr="00ED78BE">
        <w:t xml:space="preserve">budget with </w:t>
      </w:r>
      <w:r w:rsidR="009655AA">
        <w:t>a</w:t>
      </w:r>
      <w:r w:rsidR="009655AA" w:rsidRPr="00ED78BE">
        <w:t xml:space="preserve"> </w:t>
      </w:r>
      <w:r w:rsidRPr="00ED78BE">
        <w:t>mandate to review the matter and prepare a draft budget for the programme of work for the biennium 2019</w:t>
      </w:r>
      <w:r w:rsidRPr="00ED78BE">
        <w:rPr>
          <w:color w:val="000000"/>
        </w:rPr>
        <w:t>–</w:t>
      </w:r>
      <w:r w:rsidRPr="00ED78BE">
        <w:t xml:space="preserve">2020 for the consideration of the Parties. The contact group would be chaired by Mr. Spencer Thomas (Grenada), would </w:t>
      </w:r>
      <w:r w:rsidRPr="00ED78BE">
        <w:lastRenderedPageBreak/>
        <w:t xml:space="preserve">be open to all Parties and would meet informally at the invitation of its </w:t>
      </w:r>
      <w:r w:rsidR="008D7552" w:rsidRPr="00ED78BE">
        <w:t>c</w:t>
      </w:r>
      <w:r w:rsidRPr="00ED78BE">
        <w:t>hair, with meetings advertised in advance in the daily calendar of meetings.</w:t>
      </w:r>
    </w:p>
    <w:p w14:paraId="3647AAC6" w14:textId="39DCFE4C" w:rsidR="00400007" w:rsidRPr="00ED78BE" w:rsidRDefault="00400007" w:rsidP="00237524">
      <w:pPr>
        <w:pStyle w:val="Para1"/>
        <w:tabs>
          <w:tab w:val="clear" w:pos="360"/>
        </w:tabs>
      </w:pPr>
      <w:r w:rsidRPr="00ED78BE">
        <w:t xml:space="preserve">The Conference of the Parties serving as the meeting of the Parties </w:t>
      </w:r>
      <w:r w:rsidR="00EA5ECD">
        <w:t xml:space="preserve">to the Cartagena Protocol </w:t>
      </w:r>
      <w:r w:rsidRPr="00ED78BE">
        <w:t xml:space="preserve">heard progress reports from the chair of the open-ended contact group on </w:t>
      </w:r>
      <w:r w:rsidR="000937E8">
        <w:t xml:space="preserve">the </w:t>
      </w:r>
      <w:r w:rsidRPr="00ED78BE">
        <w:t xml:space="preserve">budget at the 4th plenary session of </w:t>
      </w:r>
      <w:r w:rsidR="005014DE" w:rsidRPr="00ED78BE">
        <w:t>the</w:t>
      </w:r>
      <w:r w:rsidRPr="00ED78BE">
        <w:t xml:space="preserve"> meeting, on 22</w:t>
      </w:r>
      <w:r w:rsidR="000937E8">
        <w:t> </w:t>
      </w:r>
      <w:r w:rsidRPr="00ED78BE">
        <w:t>November 2018, and at the 5th plenary session of the meeting, on 25 November 2018.</w:t>
      </w:r>
    </w:p>
    <w:p w14:paraId="7B0643F5" w14:textId="2620904F" w:rsidR="009A33D5" w:rsidRPr="00ED78BE" w:rsidRDefault="009A33D5" w:rsidP="00237524">
      <w:pPr>
        <w:pStyle w:val="Para1"/>
        <w:tabs>
          <w:tab w:val="clear" w:pos="360"/>
        </w:tabs>
      </w:pPr>
      <w:r w:rsidRPr="00ED78BE">
        <w:t>At the 8th plenary session, on 29 November 2018, the Conference of the Parties serving as the meeting of the Parties</w:t>
      </w:r>
      <w:r w:rsidR="00EA5ECD" w:rsidRPr="00EA5ECD">
        <w:t xml:space="preserve"> </w:t>
      </w:r>
      <w:r w:rsidR="00EA5ECD">
        <w:t>to the Cartagena Protocol</w:t>
      </w:r>
      <w:r w:rsidRPr="00ED78BE">
        <w:t xml:space="preserve"> took up draft decision CBD/CP/MOP/9/L.17, on the budget for the integrated programme of work of the Secretariat.</w:t>
      </w:r>
    </w:p>
    <w:p w14:paraId="074813D8" w14:textId="4BF81895" w:rsidR="00E23785" w:rsidRPr="005D3803" w:rsidRDefault="009A33D5" w:rsidP="00237524">
      <w:pPr>
        <w:pStyle w:val="Para1"/>
        <w:tabs>
          <w:tab w:val="clear" w:pos="360"/>
        </w:tabs>
      </w:pPr>
      <w:r w:rsidRPr="005D3803">
        <w:t xml:space="preserve">The Conference of the Parties serving as the meeting of the Parties </w:t>
      </w:r>
      <w:r w:rsidR="00EA5ECD">
        <w:t xml:space="preserve">to the Cartagena Protocol </w:t>
      </w:r>
      <w:r w:rsidRPr="005D3803">
        <w:t>adopted the draft decision as decision CP 9/</w:t>
      </w:r>
      <w:r w:rsidR="000E0019" w:rsidRPr="00237524">
        <w:t>16</w:t>
      </w:r>
      <w:r w:rsidRPr="005D3803">
        <w:t xml:space="preserve"> (for the text, see chap.</w:t>
      </w:r>
      <w:r w:rsidR="005D3803">
        <w:t> </w:t>
      </w:r>
      <w:r w:rsidRPr="005D3803">
        <w:t>I)</w:t>
      </w:r>
      <w:r w:rsidR="00E23785" w:rsidRPr="005D3803">
        <w:t>.</w:t>
      </w:r>
    </w:p>
    <w:p w14:paraId="732E0827" w14:textId="77777777" w:rsidR="002255C8" w:rsidRPr="00ED78BE" w:rsidRDefault="00CB5BE7" w:rsidP="00237524">
      <w:pPr>
        <w:pStyle w:val="heading2-item0"/>
        <w:ind w:left="1418" w:hanging="992"/>
        <w:jc w:val="left"/>
      </w:pPr>
      <w:bookmarkStart w:id="83" w:name="_Toc879845"/>
      <w:bookmarkStart w:id="84" w:name="_Toc5612115"/>
      <w:bookmarkEnd w:id="82"/>
      <w:r w:rsidRPr="00ED78BE">
        <w:t>ITEM 7</w:t>
      </w:r>
      <w:r w:rsidR="002255C8" w:rsidRPr="00ED78BE">
        <w:t xml:space="preserve">. </w:t>
      </w:r>
      <w:r w:rsidR="002255C8" w:rsidRPr="00ED78BE">
        <w:tab/>
      </w:r>
      <w:r w:rsidR="00465032" w:rsidRPr="00ED78BE">
        <w:rPr>
          <w:kern w:val="22"/>
          <w:szCs w:val="22"/>
        </w:rPr>
        <w:t xml:space="preserve">Matters </w:t>
      </w:r>
      <w:r w:rsidR="00465032" w:rsidRPr="00237524">
        <w:t>related</w:t>
      </w:r>
      <w:r w:rsidR="00465032" w:rsidRPr="00ED78BE">
        <w:rPr>
          <w:kern w:val="22"/>
          <w:szCs w:val="22"/>
        </w:rPr>
        <w:t xml:space="preserve"> to the financial mechanism and resources (Article 28)</w:t>
      </w:r>
      <w:bookmarkEnd w:id="83"/>
      <w:bookmarkEnd w:id="84"/>
    </w:p>
    <w:p w14:paraId="7062C637" w14:textId="77777777" w:rsidR="00E5632A" w:rsidRPr="00ED78BE" w:rsidRDefault="00E5632A" w:rsidP="00237524">
      <w:pPr>
        <w:pStyle w:val="Para1"/>
        <w:tabs>
          <w:tab w:val="clear" w:pos="360"/>
        </w:tabs>
      </w:pPr>
      <w:r w:rsidRPr="00ED78BE">
        <w:t xml:space="preserve">Working </w:t>
      </w:r>
      <w:proofErr w:type="gramStart"/>
      <w:r w:rsidRPr="00ED78BE">
        <w:t>Group</w:t>
      </w:r>
      <w:proofErr w:type="gramEnd"/>
      <w:r w:rsidRPr="00ED78BE">
        <w:t xml:space="preserve"> I took up agenda item 7 at its 3rd meeting, on 19 November 2018. In considering the item, the Working Group had before it the report of the Council of GEF (CBD/COP/14/7</w:t>
      </w:r>
      <w:r w:rsidRPr="00ED78BE">
        <w:rPr>
          <w:bCs/>
        </w:rPr>
        <w:t>) and</w:t>
      </w:r>
      <w:r w:rsidRPr="00ED78BE">
        <w:t xml:space="preserve"> a note by the Executive Secretary summarizing relevant information regarding GEF support for biosafety (CBD/CP/MOP/9/12). It also had before it a draft decision set out in the compilation of draft decisions (CBD/CP/MOP/9/1/Add.2).</w:t>
      </w:r>
    </w:p>
    <w:p w14:paraId="185B2105" w14:textId="060A44C6" w:rsidR="00E5632A" w:rsidRPr="00ED78BE" w:rsidRDefault="00E5632A" w:rsidP="00237524">
      <w:pPr>
        <w:pStyle w:val="Para1"/>
        <w:tabs>
          <w:tab w:val="clear" w:pos="360"/>
        </w:tabs>
      </w:pPr>
      <w:r w:rsidRPr="00ED78BE">
        <w:t xml:space="preserve">Statements were made by representatives of </w:t>
      </w:r>
      <w:r w:rsidR="00FF496A">
        <w:t xml:space="preserve">the </w:t>
      </w:r>
      <w:r w:rsidRPr="00ED78BE">
        <w:t xml:space="preserve">European Union and its </w:t>
      </w:r>
      <w:proofErr w:type="gramStart"/>
      <w:r w:rsidRPr="00ED78BE">
        <w:t>28 member</w:t>
      </w:r>
      <w:proofErr w:type="gramEnd"/>
      <w:r w:rsidRPr="00ED78BE">
        <w:t xml:space="preserve"> States, India and Mexico.</w:t>
      </w:r>
    </w:p>
    <w:p w14:paraId="7B0E8C2A" w14:textId="77777777" w:rsidR="00E5632A" w:rsidRPr="00345586" w:rsidRDefault="00E5632A" w:rsidP="00237524">
      <w:pPr>
        <w:pStyle w:val="Para1"/>
        <w:tabs>
          <w:tab w:val="clear" w:pos="360"/>
        </w:tabs>
      </w:pPr>
      <w:r w:rsidRPr="00D35C9B">
        <w:t>At i</w:t>
      </w:r>
      <w:r w:rsidRPr="00345586">
        <w:t>ts 4th meeting, on 19 November 2018, the Working Group resumed its consideration of the item.</w:t>
      </w:r>
    </w:p>
    <w:p w14:paraId="78240ECE" w14:textId="7ED03A2A" w:rsidR="00E5632A" w:rsidRPr="00345586" w:rsidRDefault="00E5632A" w:rsidP="00237524">
      <w:pPr>
        <w:pStyle w:val="Para1"/>
        <w:tabs>
          <w:tab w:val="clear" w:pos="360"/>
        </w:tabs>
      </w:pPr>
      <w:r w:rsidRPr="00345586">
        <w:t xml:space="preserve">Statements were made by representatives of </w:t>
      </w:r>
      <w:r w:rsidR="006B006D">
        <w:t xml:space="preserve">the </w:t>
      </w:r>
      <w:r w:rsidRPr="00345586">
        <w:t>Republic of Korea, South Africa, Uganda (on behalf of the African Group) and Venezuela (Bolivarian Republic of).</w:t>
      </w:r>
    </w:p>
    <w:p w14:paraId="1A58F63D" w14:textId="77777777" w:rsidR="00E5632A" w:rsidRPr="00345586" w:rsidRDefault="00E5632A" w:rsidP="00237524">
      <w:pPr>
        <w:pStyle w:val="Para1"/>
        <w:tabs>
          <w:tab w:val="clear" w:pos="360"/>
        </w:tabs>
      </w:pPr>
      <w:r w:rsidRPr="00345586">
        <w:t xml:space="preserve">The Chair said he would prepare a revised draft decision on the matter, </w:t>
      </w:r>
      <w:proofErr w:type="gramStart"/>
      <w:r w:rsidRPr="00345586">
        <w:t>taking into account</w:t>
      </w:r>
      <w:proofErr w:type="gramEnd"/>
      <w:r w:rsidRPr="00345586">
        <w:t xml:space="preserve"> the views expressed orally and submitted in writing.</w:t>
      </w:r>
    </w:p>
    <w:p w14:paraId="47FBB355" w14:textId="07D3D962" w:rsidR="006C5568" w:rsidRPr="00345586" w:rsidRDefault="00E5632A" w:rsidP="00237524">
      <w:pPr>
        <w:pStyle w:val="Para1"/>
        <w:tabs>
          <w:tab w:val="clear" w:pos="360"/>
        </w:tabs>
      </w:pPr>
      <w:r w:rsidRPr="00345586">
        <w:t xml:space="preserve">At its 9th meeting, on 22 November 2018, the Working Group considered the revised draft decision prepared by the Chair and </w:t>
      </w:r>
      <w:r w:rsidRPr="00345586">
        <w:rPr>
          <w:bCs/>
        </w:rPr>
        <w:t>approved it for transmission to the plenary as draft decision CBD/CP/MOP/9/L.3.</w:t>
      </w:r>
    </w:p>
    <w:p w14:paraId="75780B30" w14:textId="6547427E" w:rsidR="006241C9" w:rsidRPr="00345586" w:rsidRDefault="006241C9" w:rsidP="00237524">
      <w:pPr>
        <w:pStyle w:val="Para1"/>
        <w:tabs>
          <w:tab w:val="clear" w:pos="360"/>
        </w:tabs>
      </w:pPr>
      <w:r w:rsidRPr="00345586">
        <w:t>At the 7th plenary session of the meeting, on 28 November 2018, the Conference of the Parties</w:t>
      </w:r>
      <w:r w:rsidR="000E0019" w:rsidRPr="00345586">
        <w:t xml:space="preserve"> serving as the meeting of the Parties</w:t>
      </w:r>
      <w:r w:rsidRPr="00345586">
        <w:t xml:space="preserve"> considered CBD/CP/MOP/9/L.3.</w:t>
      </w:r>
    </w:p>
    <w:p w14:paraId="1E1BA4C3" w14:textId="7CDE1350" w:rsidR="006C5568" w:rsidRPr="00345586" w:rsidRDefault="006241C9" w:rsidP="006241C9">
      <w:pPr>
        <w:pStyle w:val="Para1"/>
      </w:pPr>
      <w:r w:rsidRPr="00345586">
        <w:tab/>
        <w:t xml:space="preserve">The Conference of the Parties </w:t>
      </w:r>
      <w:r w:rsidR="000E0019" w:rsidRPr="00345586">
        <w:t xml:space="preserve">serving as the meeting of the Parties </w:t>
      </w:r>
      <w:r w:rsidR="00A81328">
        <w:t xml:space="preserve">to the Cartagena Protocol </w:t>
      </w:r>
      <w:r w:rsidRPr="00345586">
        <w:t>adopted draft decision CBD/CP/MOP/9/L.3 as decision CP-9/</w:t>
      </w:r>
      <w:r w:rsidR="00E61709" w:rsidRPr="00345586">
        <w:t>4</w:t>
      </w:r>
      <w:r w:rsidRPr="00345586">
        <w:t xml:space="preserve"> (for the text, see chap.</w:t>
      </w:r>
      <w:r w:rsidR="00D35C9B" w:rsidRPr="00237524">
        <w:t> I</w:t>
      </w:r>
      <w:r w:rsidRPr="00345586">
        <w:t>).</w:t>
      </w:r>
    </w:p>
    <w:p w14:paraId="258CA15C" w14:textId="77777777" w:rsidR="00CB5BE7" w:rsidRPr="00ED78BE" w:rsidRDefault="00CB5BE7" w:rsidP="00237524">
      <w:pPr>
        <w:pStyle w:val="heading2-item0"/>
        <w:tabs>
          <w:tab w:val="clear" w:pos="720"/>
          <w:tab w:val="left" w:pos="993"/>
        </w:tabs>
      </w:pPr>
      <w:bookmarkStart w:id="85" w:name="_Toc879846"/>
      <w:bookmarkStart w:id="86" w:name="_Toc5612116"/>
      <w:r w:rsidRPr="00ED78BE">
        <w:t xml:space="preserve">ITEM 8. </w:t>
      </w:r>
      <w:r w:rsidRPr="00ED78BE">
        <w:tab/>
      </w:r>
      <w:r w:rsidR="00465032" w:rsidRPr="00ED78BE">
        <w:rPr>
          <w:kern w:val="22"/>
          <w:szCs w:val="22"/>
        </w:rPr>
        <w:t>Capacity-</w:t>
      </w:r>
      <w:r w:rsidR="00465032" w:rsidRPr="00237524">
        <w:t>building</w:t>
      </w:r>
      <w:r w:rsidR="00465032" w:rsidRPr="00ED78BE">
        <w:rPr>
          <w:kern w:val="22"/>
          <w:szCs w:val="22"/>
        </w:rPr>
        <w:t xml:space="preserve"> (Article 22)</w:t>
      </w:r>
      <w:bookmarkEnd w:id="85"/>
      <w:bookmarkEnd w:id="86"/>
    </w:p>
    <w:p w14:paraId="476A85E6" w14:textId="77777777" w:rsidR="00E5632A" w:rsidRPr="00ED78BE" w:rsidRDefault="00E5632A" w:rsidP="00237524">
      <w:pPr>
        <w:pStyle w:val="Para1"/>
        <w:tabs>
          <w:tab w:val="clear" w:pos="360"/>
        </w:tabs>
      </w:pPr>
      <w:r w:rsidRPr="00ED78BE">
        <w:t xml:space="preserve">Working </w:t>
      </w:r>
      <w:proofErr w:type="gramStart"/>
      <w:r w:rsidRPr="00ED78BE">
        <w:t>Group</w:t>
      </w:r>
      <w:proofErr w:type="gramEnd"/>
      <w:r w:rsidRPr="00ED78BE">
        <w:t xml:space="preserve"> I took up agenda item 8 at its 4th meeting, on 19 November 2018. In considering the item, the Working Group had before it a note by the Executive Secretary on capacity-building (CBD/CP/MOP/9/3); the report of the Liaison Group on Capacity-building for Biosafety at its twelfth meeting (CBD/CP/LG-CB/12/3); a synthesis of submissions on the status of implementation of the Framework and Action Plan for Capacity-building for the Effective Implementation of the Cartagena Protocol on Biosafety (CBD/CP/MOP/9/INF/1); and a progress report on the implementation of the Short</w:t>
      </w:r>
      <w:r w:rsidRPr="00ED78BE">
        <w:noBreakHyphen/>
        <w:t>term Action Plan to Enhance and Support Capacity-Building for the Implementation of the Convention and its Protocols (CBD/COP/14/INF/10). It also had before it a draft decision set out in the compilation of draft decisions (CBD/CP/MOP/9/1/Add.2). Paragraphs 1 and 7 to 11 of the draft decision had been taken from recommendation SBI-2/8, part III, while paragraphs 2 to 6 and 12 to 13 had been drawn from the conclusions set out in the report of the Liaison Group.</w:t>
      </w:r>
    </w:p>
    <w:p w14:paraId="5C9F9894" w14:textId="7CD92F55" w:rsidR="00E5632A" w:rsidRPr="00F42F2F" w:rsidRDefault="00E5632A" w:rsidP="00237524">
      <w:pPr>
        <w:pStyle w:val="Para1"/>
        <w:tabs>
          <w:tab w:val="clear" w:pos="360"/>
        </w:tabs>
      </w:pPr>
      <w:r w:rsidRPr="00F42F2F">
        <w:lastRenderedPageBreak/>
        <w:t xml:space="preserve">Statements were made by representatives of </w:t>
      </w:r>
      <w:r w:rsidR="00292AFA" w:rsidRPr="00F42F2F">
        <w:t xml:space="preserve">the </w:t>
      </w:r>
      <w:r w:rsidRPr="00F42F2F">
        <w:t xml:space="preserve">Central African Republic, Colombia, </w:t>
      </w:r>
      <w:r w:rsidR="00292AFA" w:rsidRPr="00F42F2F">
        <w:t xml:space="preserve">the </w:t>
      </w:r>
      <w:r w:rsidRPr="00F42F2F">
        <w:t xml:space="preserve">European Union and its </w:t>
      </w:r>
      <w:proofErr w:type="gramStart"/>
      <w:r w:rsidRPr="00F42F2F">
        <w:t>28 member</w:t>
      </w:r>
      <w:proofErr w:type="gramEnd"/>
      <w:r w:rsidRPr="00F42F2F">
        <w:t xml:space="preserve"> States, India, Kenya, New Zealand, Malaysia, Maldives, Mexico, South Africa and Thailand.</w:t>
      </w:r>
    </w:p>
    <w:p w14:paraId="71AD3F4D" w14:textId="77777777" w:rsidR="00E5632A" w:rsidRPr="00F42F2F" w:rsidRDefault="00E5632A" w:rsidP="00237524">
      <w:pPr>
        <w:pStyle w:val="Para1"/>
        <w:tabs>
          <w:tab w:val="clear" w:pos="360"/>
        </w:tabs>
      </w:pPr>
      <w:r w:rsidRPr="00F42F2F">
        <w:t>A statement was also made by a representative of Argentina.</w:t>
      </w:r>
    </w:p>
    <w:p w14:paraId="1E626F80" w14:textId="6E97E383" w:rsidR="00E5632A" w:rsidRPr="00F42F2F" w:rsidRDefault="00E5632A" w:rsidP="00237524">
      <w:pPr>
        <w:pStyle w:val="Para1"/>
        <w:tabs>
          <w:tab w:val="clear" w:pos="360"/>
        </w:tabs>
      </w:pPr>
      <w:r w:rsidRPr="00F42F2F">
        <w:t xml:space="preserve">A statement was made by a representative of </w:t>
      </w:r>
      <w:r w:rsidR="007804AF">
        <w:t xml:space="preserve">the </w:t>
      </w:r>
      <w:r w:rsidRPr="00F42F2F">
        <w:t>Third World Network.</w:t>
      </w:r>
    </w:p>
    <w:p w14:paraId="415C4529" w14:textId="540017BE" w:rsidR="00E5632A" w:rsidRPr="00F42F2F" w:rsidRDefault="00E5632A" w:rsidP="00237524">
      <w:pPr>
        <w:pStyle w:val="Para1"/>
        <w:tabs>
          <w:tab w:val="clear" w:pos="360"/>
        </w:tabs>
      </w:pPr>
      <w:r w:rsidRPr="00F42F2F">
        <w:t xml:space="preserve">The Chair said </w:t>
      </w:r>
      <w:r w:rsidR="005F1D9A" w:rsidRPr="00F42F2F">
        <w:t xml:space="preserve">that </w:t>
      </w:r>
      <w:r w:rsidRPr="00F42F2F">
        <w:t xml:space="preserve">he would prepare a revised draft decision, </w:t>
      </w:r>
      <w:proofErr w:type="gramStart"/>
      <w:r w:rsidRPr="00F42F2F">
        <w:t>taking into account</w:t>
      </w:r>
      <w:proofErr w:type="gramEnd"/>
      <w:r w:rsidRPr="00F42F2F">
        <w:t xml:space="preserve"> the views expressed orally and submitted in writing.</w:t>
      </w:r>
    </w:p>
    <w:p w14:paraId="1F171C11" w14:textId="229BB74E" w:rsidR="006C5568" w:rsidRPr="00F42F2F" w:rsidRDefault="00E5632A" w:rsidP="00237524">
      <w:pPr>
        <w:pStyle w:val="Para1"/>
        <w:tabs>
          <w:tab w:val="clear" w:pos="360"/>
        </w:tabs>
      </w:pPr>
      <w:r w:rsidRPr="00F42F2F">
        <w:t>At its 10th meeting, on 25 November 2018, the Working Group considered a revised draft decision submitted by the Chair, which it approved for transmission to the plenary as draft decision CBD/CP/MOP/9/L.10.</w:t>
      </w:r>
    </w:p>
    <w:p w14:paraId="7D6E436B" w14:textId="4AD3F8A9" w:rsidR="00A5281C" w:rsidRPr="00D054CC" w:rsidRDefault="00A5281C" w:rsidP="00237524">
      <w:pPr>
        <w:pStyle w:val="Para1"/>
        <w:tabs>
          <w:tab w:val="clear" w:pos="360"/>
        </w:tabs>
      </w:pPr>
      <w:r w:rsidRPr="00D054CC">
        <w:t xml:space="preserve">At the 7th plenary session of the meeting, on 28 November 2018, the Conference of the Parties </w:t>
      </w:r>
      <w:r w:rsidR="000E0019" w:rsidRPr="00D054CC">
        <w:t xml:space="preserve">serving as the meeting of the Parties </w:t>
      </w:r>
      <w:r w:rsidR="00F17D01" w:rsidRPr="00D054CC">
        <w:t xml:space="preserve">to the Cartagena Protocol </w:t>
      </w:r>
      <w:r w:rsidRPr="00D054CC">
        <w:t>considered CBD/CP/MOP/9/L.10.</w:t>
      </w:r>
    </w:p>
    <w:p w14:paraId="549C8341" w14:textId="144B5BAA" w:rsidR="006C5568" w:rsidRPr="00D054CC" w:rsidRDefault="00A5281C" w:rsidP="00237524">
      <w:pPr>
        <w:pStyle w:val="Para1"/>
        <w:tabs>
          <w:tab w:val="clear" w:pos="360"/>
        </w:tabs>
      </w:pPr>
      <w:r w:rsidRPr="00D054CC">
        <w:t xml:space="preserve">The Conference of the Parties </w:t>
      </w:r>
      <w:r w:rsidR="000E0019" w:rsidRPr="00D054CC">
        <w:t xml:space="preserve">serving as the meeting of the Parties </w:t>
      </w:r>
      <w:r w:rsidR="008C33E3" w:rsidRPr="00D054CC">
        <w:t xml:space="preserve">to the Cartagena Protocol </w:t>
      </w:r>
      <w:r w:rsidRPr="00D054CC">
        <w:t>adopted draft decision CBD/CP/MOP/9/L.10 as decision CP-</w:t>
      </w:r>
      <w:r w:rsidR="000C72EA">
        <w:t>9</w:t>
      </w:r>
      <w:r w:rsidRPr="00D054CC">
        <w:t>/</w:t>
      </w:r>
      <w:r w:rsidR="00E61709" w:rsidRPr="00D054CC">
        <w:t>3</w:t>
      </w:r>
      <w:r w:rsidRPr="00D054CC">
        <w:t xml:space="preserve"> (for the text, see chap.</w:t>
      </w:r>
      <w:r w:rsidR="00F17D01" w:rsidRPr="00237524">
        <w:t> I</w:t>
      </w:r>
      <w:r w:rsidRPr="00D054CC">
        <w:t>).</w:t>
      </w:r>
    </w:p>
    <w:p w14:paraId="13642E9B" w14:textId="427FFF24" w:rsidR="00CB5BE7" w:rsidRPr="00ED78BE" w:rsidRDefault="00CB5BE7" w:rsidP="00237524">
      <w:pPr>
        <w:pStyle w:val="heading2-item0"/>
        <w:tabs>
          <w:tab w:val="clear" w:pos="720"/>
        </w:tabs>
        <w:ind w:left="1560" w:hanging="993"/>
        <w:jc w:val="left"/>
      </w:pPr>
      <w:bookmarkStart w:id="87" w:name="_Toc879847"/>
      <w:bookmarkStart w:id="88" w:name="_Toc5612117"/>
      <w:r w:rsidRPr="00ED78BE">
        <w:t>ITEM 9.</w:t>
      </w:r>
      <w:r w:rsidRPr="00ED78BE">
        <w:tab/>
      </w:r>
      <w:r w:rsidR="00465032" w:rsidRPr="00ED78BE">
        <w:rPr>
          <w:kern w:val="22"/>
          <w:szCs w:val="22"/>
        </w:rPr>
        <w:t xml:space="preserve">Operation and </w:t>
      </w:r>
      <w:r w:rsidR="00465032" w:rsidRPr="00237524">
        <w:t>activities</w:t>
      </w:r>
      <w:r w:rsidR="00465032" w:rsidRPr="00ED78BE">
        <w:rPr>
          <w:kern w:val="22"/>
          <w:szCs w:val="22"/>
        </w:rPr>
        <w:t xml:space="preserve"> of the Biosafety Clearing-House (Article 20)</w:t>
      </w:r>
      <w:bookmarkEnd w:id="87"/>
      <w:bookmarkEnd w:id="88"/>
    </w:p>
    <w:p w14:paraId="5115ADAA" w14:textId="436BED02" w:rsidR="00E5632A" w:rsidRPr="00ED78BE" w:rsidRDefault="00E5632A" w:rsidP="00237524">
      <w:pPr>
        <w:pStyle w:val="Para1"/>
        <w:tabs>
          <w:tab w:val="clear" w:pos="360"/>
        </w:tabs>
      </w:pPr>
      <w:r w:rsidRPr="00ED78BE">
        <w:t xml:space="preserve">Working </w:t>
      </w:r>
      <w:proofErr w:type="gramStart"/>
      <w:r w:rsidRPr="00ED78BE">
        <w:t>Group</w:t>
      </w:r>
      <w:proofErr w:type="gramEnd"/>
      <w:r w:rsidRPr="00ED78BE">
        <w:t xml:space="preserve"> I took up agenda item 9 at its 4th meeting, on 19 November 2018. In considering the item, it had before it a note by the Executive Secretary on the operation and activities of the Biosafety Clearing-House (CBD/CP/MOP/9/4), to which was annexed the joint modalities of operation for the central clearing-house mechanism, the Biosafety Clearing-House and the Access and Benefit-Sharing Clearing-House, as detailed in the annex to the note by the Executive Secretary. The Working Group also had before it a draft decision reproduced from the note by the Executive Secretary, which was set out in the compilation of draft decisions contained in document CBD/CP/MOP/9/1/Add.1.</w:t>
      </w:r>
    </w:p>
    <w:p w14:paraId="47B435BD" w14:textId="7CE4C63B" w:rsidR="00E5632A" w:rsidRPr="00ED78BE" w:rsidRDefault="00E5632A" w:rsidP="00237524">
      <w:pPr>
        <w:pStyle w:val="Para1"/>
        <w:tabs>
          <w:tab w:val="clear" w:pos="360"/>
        </w:tabs>
      </w:pPr>
      <w:r w:rsidRPr="00ED78BE">
        <w:t xml:space="preserve">Statements were made by representatives of </w:t>
      </w:r>
      <w:r w:rsidR="00562179">
        <w:t xml:space="preserve">the </w:t>
      </w:r>
      <w:r w:rsidRPr="00ED78BE">
        <w:t xml:space="preserve">European Union and its </w:t>
      </w:r>
      <w:proofErr w:type="gramStart"/>
      <w:r w:rsidRPr="00ED78BE">
        <w:t>28 member</w:t>
      </w:r>
      <w:proofErr w:type="gramEnd"/>
      <w:r w:rsidRPr="00ED78BE">
        <w:t xml:space="preserve"> States, India, Jordan, Norway, South Africa and Thailand.</w:t>
      </w:r>
    </w:p>
    <w:p w14:paraId="677E6B79" w14:textId="77777777" w:rsidR="00E5632A" w:rsidRPr="00ED78BE" w:rsidRDefault="00E5632A" w:rsidP="00237524">
      <w:pPr>
        <w:pStyle w:val="Para1"/>
        <w:tabs>
          <w:tab w:val="clear" w:pos="360"/>
        </w:tabs>
      </w:pPr>
      <w:r w:rsidRPr="00ED78BE">
        <w:t>A statement was also made by a representative of Canada.</w:t>
      </w:r>
    </w:p>
    <w:p w14:paraId="77EDFCA9" w14:textId="1E7032E8" w:rsidR="00E5632A" w:rsidRPr="00ED78BE" w:rsidRDefault="00E5632A" w:rsidP="00237524">
      <w:pPr>
        <w:pStyle w:val="Para1"/>
        <w:tabs>
          <w:tab w:val="clear" w:pos="360"/>
        </w:tabs>
      </w:pPr>
      <w:r w:rsidRPr="00ED78BE">
        <w:t>The Working Group resumed its consideration of the agenda item at its 5th meeting, on 20</w:t>
      </w:r>
      <w:r w:rsidR="00930FDC">
        <w:t> </w:t>
      </w:r>
      <w:r w:rsidRPr="00ED78BE">
        <w:t>November 2018.</w:t>
      </w:r>
    </w:p>
    <w:p w14:paraId="0002DB55" w14:textId="49D509F9" w:rsidR="00E5632A" w:rsidRPr="00ED78BE" w:rsidRDefault="00E5632A" w:rsidP="00237524">
      <w:pPr>
        <w:pStyle w:val="Para1"/>
        <w:tabs>
          <w:tab w:val="clear" w:pos="360"/>
        </w:tabs>
      </w:pPr>
      <w:r w:rsidRPr="00ED78BE">
        <w:t xml:space="preserve">Statements were made by representatives of Bahrain, Côte d’Ivoire, </w:t>
      </w:r>
      <w:r w:rsidR="00AA41A4">
        <w:t xml:space="preserve">the </w:t>
      </w:r>
      <w:r w:rsidRPr="00ED78BE">
        <w:t xml:space="preserve">European Union and its </w:t>
      </w:r>
      <w:proofErr w:type="gramStart"/>
      <w:r w:rsidRPr="00ED78BE">
        <w:t>28 member</w:t>
      </w:r>
      <w:proofErr w:type="gramEnd"/>
      <w:r w:rsidRPr="00ED78BE">
        <w:t xml:space="preserve"> States, Gambia, Ghana, Guatemala, Jordan, Malaysia, Mexico, Morocco, New Zealand, Niger, Norway, Peru, </w:t>
      </w:r>
      <w:r w:rsidR="00C4788B">
        <w:t xml:space="preserve">the </w:t>
      </w:r>
      <w:r w:rsidRPr="00ED78BE">
        <w:t xml:space="preserve">Republic of Korea, South Africa, Uganda and </w:t>
      </w:r>
      <w:r w:rsidR="00AA41A4">
        <w:t xml:space="preserve">the </w:t>
      </w:r>
      <w:r w:rsidRPr="00ED78BE">
        <w:t>United Republic of Tanzania.</w:t>
      </w:r>
    </w:p>
    <w:p w14:paraId="08A4E9C7" w14:textId="77777777" w:rsidR="00E5632A" w:rsidRPr="00ED78BE" w:rsidRDefault="00E5632A" w:rsidP="00237524">
      <w:pPr>
        <w:pStyle w:val="Para1"/>
        <w:tabs>
          <w:tab w:val="clear" w:pos="360"/>
        </w:tabs>
      </w:pPr>
      <w:r w:rsidRPr="00ED78BE">
        <w:t>A further statement was made by a representative of Argentina.</w:t>
      </w:r>
    </w:p>
    <w:p w14:paraId="39A93CFA" w14:textId="108364D2" w:rsidR="00E5632A" w:rsidRPr="00ED78BE" w:rsidRDefault="00E5632A" w:rsidP="00237524">
      <w:pPr>
        <w:pStyle w:val="Para1"/>
        <w:tabs>
          <w:tab w:val="clear" w:pos="360"/>
        </w:tabs>
      </w:pPr>
      <w:r w:rsidRPr="00ED78BE">
        <w:t xml:space="preserve">A statement was also made by a representative of </w:t>
      </w:r>
      <w:r w:rsidR="00A23BFB">
        <w:t xml:space="preserve">the </w:t>
      </w:r>
      <w:r w:rsidR="00A23BFB" w:rsidRPr="007504FD">
        <w:t>International Service for the Acquisition of Agri-biotech Applications</w:t>
      </w:r>
      <w:r w:rsidR="00A23BFB">
        <w:t xml:space="preserve"> (</w:t>
      </w:r>
      <w:r w:rsidRPr="00ED78BE">
        <w:t>ISAAA</w:t>
      </w:r>
      <w:r w:rsidR="00A23BFB">
        <w:t>)</w:t>
      </w:r>
      <w:r w:rsidRPr="00ED78BE">
        <w:t>.</w:t>
      </w:r>
    </w:p>
    <w:p w14:paraId="2C9527A6" w14:textId="77777777" w:rsidR="00E5632A" w:rsidRPr="00ED78BE" w:rsidRDefault="00E5632A" w:rsidP="00237524">
      <w:pPr>
        <w:pStyle w:val="Para1"/>
        <w:tabs>
          <w:tab w:val="clear" w:pos="360"/>
        </w:tabs>
      </w:pPr>
      <w:r w:rsidRPr="00ED78BE">
        <w:t xml:space="preserve">Following the discussion, the Chair said that he would prepare a </w:t>
      </w:r>
      <w:r w:rsidRPr="00ED78BE">
        <w:rPr>
          <w:bCs/>
        </w:rPr>
        <w:t xml:space="preserve">revised </w:t>
      </w:r>
      <w:r w:rsidRPr="00ED78BE">
        <w:t>draft decision for consideration by the Working Group.</w:t>
      </w:r>
    </w:p>
    <w:p w14:paraId="711ECA18" w14:textId="77777777" w:rsidR="00E5632A" w:rsidRPr="00ED78BE" w:rsidRDefault="00E5632A" w:rsidP="00237524">
      <w:pPr>
        <w:pStyle w:val="Para1"/>
        <w:tabs>
          <w:tab w:val="clear" w:pos="360"/>
        </w:tabs>
      </w:pPr>
      <w:r w:rsidRPr="00ED78BE">
        <w:t>At its 10th meeting, on 25 November 2018, the Working Group considered a</w:t>
      </w:r>
      <w:r w:rsidRPr="00ED78BE">
        <w:rPr>
          <w:bCs/>
        </w:rPr>
        <w:t xml:space="preserve"> revised</w:t>
      </w:r>
      <w:r w:rsidRPr="00ED78BE">
        <w:t xml:space="preserve"> draft decision submitted by the Chair.</w:t>
      </w:r>
    </w:p>
    <w:p w14:paraId="453BDCCD" w14:textId="38E7184B" w:rsidR="00E5632A" w:rsidRPr="00ED78BE" w:rsidRDefault="00E5632A" w:rsidP="00237524">
      <w:pPr>
        <w:pStyle w:val="Para1"/>
        <w:tabs>
          <w:tab w:val="clear" w:pos="360"/>
        </w:tabs>
      </w:pPr>
      <w:r w:rsidRPr="00ED78BE">
        <w:t xml:space="preserve">Statements were made by representatives of </w:t>
      </w:r>
      <w:r w:rsidR="00305918">
        <w:t xml:space="preserve">the </w:t>
      </w:r>
      <w:r w:rsidRPr="00ED78BE">
        <w:t xml:space="preserve">European Union and its </w:t>
      </w:r>
      <w:proofErr w:type="gramStart"/>
      <w:r w:rsidRPr="00ED78BE">
        <w:t>28 member</w:t>
      </w:r>
      <w:proofErr w:type="gramEnd"/>
      <w:r w:rsidRPr="00ED78BE">
        <w:t xml:space="preserve"> States and Mexico.</w:t>
      </w:r>
    </w:p>
    <w:p w14:paraId="055CA98F" w14:textId="515DA534" w:rsidR="006C5568" w:rsidRPr="00ED78BE" w:rsidRDefault="00E5632A" w:rsidP="00237524">
      <w:pPr>
        <w:pStyle w:val="Para1"/>
        <w:tabs>
          <w:tab w:val="clear" w:pos="360"/>
        </w:tabs>
      </w:pPr>
      <w:r w:rsidRPr="00ED78BE">
        <w:t xml:space="preserve">The Working Group approved the </w:t>
      </w:r>
      <w:r w:rsidRPr="00ED78BE">
        <w:rPr>
          <w:bCs/>
        </w:rPr>
        <w:t xml:space="preserve">revised </w:t>
      </w:r>
      <w:r w:rsidRPr="00ED78BE">
        <w:t>draft decision, as orally amended, for transmission to the p</w:t>
      </w:r>
      <w:r w:rsidR="001012CC" w:rsidRPr="00ED78BE">
        <w:t>lenary as draft decision CBD/CP/</w:t>
      </w:r>
      <w:r w:rsidRPr="00ED78BE">
        <w:t>MOP/9/L.8.</w:t>
      </w:r>
    </w:p>
    <w:p w14:paraId="2E4DD88E" w14:textId="10979B34" w:rsidR="00641810" w:rsidRPr="00ED78BE" w:rsidRDefault="00641810" w:rsidP="00237524">
      <w:pPr>
        <w:pStyle w:val="Para1"/>
        <w:tabs>
          <w:tab w:val="clear" w:pos="360"/>
        </w:tabs>
      </w:pPr>
      <w:r w:rsidRPr="00ED78BE">
        <w:lastRenderedPageBreak/>
        <w:t xml:space="preserve">At the 7th plenary session of the meeting, on 28 November 2018, the Conference of the Parties </w:t>
      </w:r>
      <w:r w:rsidR="00EF475F" w:rsidRPr="00ED78BE">
        <w:t xml:space="preserve">serving as the meeting of the Parties </w:t>
      </w:r>
      <w:r w:rsidR="00305918">
        <w:t xml:space="preserve">to the Cartagena Protocol </w:t>
      </w:r>
      <w:r w:rsidRPr="00ED78BE">
        <w:t>considered CBD/CP/MOP/9/L.8.</w:t>
      </w:r>
    </w:p>
    <w:p w14:paraId="4EE17DBC" w14:textId="2A0850C4" w:rsidR="006C5568" w:rsidRPr="00EB4B4B" w:rsidRDefault="00641810" w:rsidP="00237524">
      <w:pPr>
        <w:pStyle w:val="Para1"/>
        <w:tabs>
          <w:tab w:val="clear" w:pos="360"/>
        </w:tabs>
      </w:pPr>
      <w:r w:rsidRPr="00EB4B4B">
        <w:t xml:space="preserve">The Conference of the Parties </w:t>
      </w:r>
      <w:r w:rsidR="00EF475F" w:rsidRPr="00EB4B4B">
        <w:t xml:space="preserve">serving as the meeting of the Parties </w:t>
      </w:r>
      <w:r w:rsidRPr="00EB4B4B">
        <w:t>adopted draft decision CBD/CP/MOP/9/L.8 as decision CP-</w:t>
      </w:r>
      <w:r w:rsidR="000C72EA">
        <w:t>9</w:t>
      </w:r>
      <w:r w:rsidRPr="00EB4B4B">
        <w:t>/</w:t>
      </w:r>
      <w:r w:rsidR="00E61709" w:rsidRPr="00EB4B4B">
        <w:t>2</w:t>
      </w:r>
      <w:r w:rsidRPr="00EB4B4B">
        <w:t xml:space="preserve"> (for the text, see chap.</w:t>
      </w:r>
      <w:r w:rsidR="00433940" w:rsidRPr="00237524">
        <w:t> I</w:t>
      </w:r>
      <w:r w:rsidRPr="00EB4B4B">
        <w:t>).</w:t>
      </w:r>
    </w:p>
    <w:p w14:paraId="3BA16446" w14:textId="56353763" w:rsidR="00CB5BE7" w:rsidRPr="00435982" w:rsidRDefault="00CB5BE7" w:rsidP="00237524">
      <w:pPr>
        <w:pStyle w:val="heading2-item0"/>
        <w:ind w:left="1985" w:hanging="1418"/>
        <w:jc w:val="left"/>
        <w:rPr>
          <w:szCs w:val="22"/>
        </w:rPr>
      </w:pPr>
      <w:bookmarkStart w:id="89" w:name="_Toc879848"/>
      <w:bookmarkStart w:id="90" w:name="_Toc5612118"/>
      <w:r w:rsidRPr="00435982">
        <w:rPr>
          <w:szCs w:val="22"/>
        </w:rPr>
        <w:t>ITEM 10.</w:t>
      </w:r>
      <w:r w:rsidRPr="00435982">
        <w:rPr>
          <w:szCs w:val="22"/>
        </w:rPr>
        <w:tab/>
      </w:r>
      <w:r w:rsidR="005D4C9C" w:rsidRPr="00237524">
        <w:rPr>
          <w:szCs w:val="22"/>
        </w:rPr>
        <w:t>Monitoring and reporting (Article 33) and assessment and review of the effectiveness of the Protocol (Article 35)</w:t>
      </w:r>
      <w:bookmarkEnd w:id="89"/>
      <w:bookmarkEnd w:id="90"/>
    </w:p>
    <w:p w14:paraId="39909624" w14:textId="77777777" w:rsidR="0079069E" w:rsidRPr="00237524" w:rsidRDefault="0079069E" w:rsidP="0079069E">
      <w:pPr>
        <w:suppressLineNumbers/>
        <w:suppressAutoHyphens/>
        <w:kinsoku w:val="0"/>
        <w:overflowPunct w:val="0"/>
        <w:autoSpaceDE w:val="0"/>
        <w:autoSpaceDN w:val="0"/>
        <w:snapToGrid w:val="0"/>
        <w:spacing w:before="120" w:after="120"/>
        <w:rPr>
          <w:snapToGrid w:val="0"/>
          <w:kern w:val="22"/>
          <w:sz w:val="22"/>
          <w:szCs w:val="22"/>
        </w:rPr>
      </w:pPr>
      <w:r w:rsidRPr="00237524">
        <w:rPr>
          <w:i/>
          <w:snapToGrid w:val="0"/>
          <w:kern w:val="22"/>
          <w:sz w:val="22"/>
          <w:szCs w:val="22"/>
        </w:rPr>
        <w:t>Fourth assessment and review of the effectiveness of the Cartagena Protocol and final evaluation of the Strategic Plan for the Cartagena Protocol for the period 2011–2020</w:t>
      </w:r>
    </w:p>
    <w:p w14:paraId="0AD385E4" w14:textId="529AC747" w:rsidR="00E5632A" w:rsidRPr="00435982" w:rsidRDefault="00E5632A" w:rsidP="00237524">
      <w:pPr>
        <w:pStyle w:val="Para1"/>
        <w:tabs>
          <w:tab w:val="clear" w:pos="360"/>
        </w:tabs>
      </w:pPr>
      <w:r w:rsidRPr="00435982">
        <w:t xml:space="preserve">Working </w:t>
      </w:r>
      <w:proofErr w:type="gramStart"/>
      <w:r w:rsidRPr="00435982">
        <w:t>Group</w:t>
      </w:r>
      <w:proofErr w:type="gramEnd"/>
      <w:r w:rsidRPr="00435982">
        <w:t xml:space="preserve"> I took up the first aspect of agenda item 10 at its 5th meeting, on 20 November 2018. In considering the item, the Working Group had before it a draft decision based on recommendation SBI-2/12, set out in the compilation of draft decisions (CBD/CP/MOP/9/1/Add.2).</w:t>
      </w:r>
    </w:p>
    <w:p w14:paraId="565A1DDB" w14:textId="77777777" w:rsidR="00E5632A" w:rsidRPr="00EB4B4B" w:rsidRDefault="00E5632A" w:rsidP="00237524">
      <w:pPr>
        <w:pStyle w:val="Para1"/>
        <w:tabs>
          <w:tab w:val="clear" w:pos="360"/>
        </w:tabs>
      </w:pPr>
      <w:r w:rsidRPr="00EB4B4B">
        <w:t xml:space="preserve">The Working Group considered the </w:t>
      </w:r>
      <w:r w:rsidRPr="00EB4B4B">
        <w:rPr>
          <w:bCs/>
        </w:rPr>
        <w:t xml:space="preserve">revised </w:t>
      </w:r>
      <w:r w:rsidRPr="00EB4B4B">
        <w:t>draft decision prepared by the Chair at its 9th meeting, on 22 November 2018.</w:t>
      </w:r>
    </w:p>
    <w:p w14:paraId="7ADCAC34" w14:textId="32D25319" w:rsidR="0079069E" w:rsidRPr="00EB4B4B" w:rsidRDefault="00E5632A" w:rsidP="00237524">
      <w:pPr>
        <w:pStyle w:val="Para1"/>
        <w:tabs>
          <w:tab w:val="clear" w:pos="360"/>
        </w:tabs>
      </w:pPr>
      <w:r w:rsidRPr="00EB4B4B">
        <w:t>The Working Group approved the revised draft decision for transmission to the plenary as draft decision CBD/CP/MOP/9/L.6.</w:t>
      </w:r>
    </w:p>
    <w:p w14:paraId="7EC751E1" w14:textId="49CAAE2A" w:rsidR="0079069E" w:rsidRPr="00EB4B4B" w:rsidRDefault="0079069E" w:rsidP="00237524">
      <w:pPr>
        <w:pStyle w:val="Para1"/>
        <w:tabs>
          <w:tab w:val="clear" w:pos="360"/>
        </w:tabs>
      </w:pPr>
      <w:r w:rsidRPr="00EB4B4B">
        <w:rPr>
          <w:bCs/>
        </w:rPr>
        <w:t>At the 5th plenary session of the meeting, on 25 November 2018, the Conference of the Parties</w:t>
      </w:r>
      <w:r w:rsidR="00B40D62" w:rsidRPr="00EB4B4B">
        <w:rPr>
          <w:bCs/>
        </w:rPr>
        <w:t xml:space="preserve"> serving as the meeting of the Parties</w:t>
      </w:r>
      <w:r w:rsidRPr="00EB4B4B">
        <w:rPr>
          <w:bCs/>
        </w:rPr>
        <w:t xml:space="preserve"> </w:t>
      </w:r>
      <w:r w:rsidR="00D80A57" w:rsidRPr="00EB4B4B">
        <w:rPr>
          <w:bCs/>
        </w:rPr>
        <w:t xml:space="preserve">adopted </w:t>
      </w:r>
      <w:r w:rsidRPr="00EB4B4B">
        <w:rPr>
          <w:bCs/>
        </w:rPr>
        <w:t>draft decision CBD/CP/MOP/9/L.6 as decision CP-</w:t>
      </w:r>
      <w:r w:rsidR="005F4A61" w:rsidRPr="00EB4B4B">
        <w:rPr>
          <w:bCs/>
        </w:rPr>
        <w:t>9</w:t>
      </w:r>
      <w:r w:rsidRPr="00EB4B4B">
        <w:rPr>
          <w:bCs/>
        </w:rPr>
        <w:t>/</w:t>
      </w:r>
      <w:r w:rsidR="00E61709" w:rsidRPr="00EB4B4B">
        <w:rPr>
          <w:bCs/>
        </w:rPr>
        <w:t>6</w:t>
      </w:r>
      <w:r w:rsidRPr="00EB4B4B">
        <w:rPr>
          <w:bCs/>
        </w:rPr>
        <w:t>.</w:t>
      </w:r>
    </w:p>
    <w:p w14:paraId="3F9D22D8" w14:textId="7F88510E" w:rsidR="0079069E" w:rsidRPr="00237524" w:rsidRDefault="0079069E">
      <w:pPr>
        <w:keepNext/>
        <w:suppressLineNumbers/>
        <w:suppressAutoHyphens/>
        <w:kinsoku w:val="0"/>
        <w:overflowPunct w:val="0"/>
        <w:autoSpaceDE w:val="0"/>
        <w:autoSpaceDN w:val="0"/>
        <w:spacing w:before="60" w:after="60"/>
        <w:rPr>
          <w:i/>
          <w:snapToGrid w:val="0"/>
          <w:kern w:val="22"/>
          <w:sz w:val="22"/>
          <w:szCs w:val="22"/>
        </w:rPr>
      </w:pPr>
      <w:r w:rsidRPr="00237524">
        <w:rPr>
          <w:i/>
          <w:snapToGrid w:val="0"/>
          <w:kern w:val="22"/>
          <w:sz w:val="22"/>
          <w:szCs w:val="22"/>
        </w:rPr>
        <w:t>Monitoring and reporting, including a revised draft format for the fourth national report</w:t>
      </w:r>
    </w:p>
    <w:p w14:paraId="70483786" w14:textId="2DDCA728" w:rsidR="00E5632A" w:rsidRPr="00EB4B4B" w:rsidRDefault="00E5632A" w:rsidP="00237524">
      <w:pPr>
        <w:pStyle w:val="Para1"/>
        <w:tabs>
          <w:tab w:val="clear" w:pos="360"/>
        </w:tabs>
      </w:pPr>
      <w:r w:rsidRPr="00EB4B4B">
        <w:t xml:space="preserve">Working </w:t>
      </w:r>
      <w:proofErr w:type="gramStart"/>
      <w:r w:rsidRPr="00EB4B4B">
        <w:t>Group</w:t>
      </w:r>
      <w:proofErr w:type="gramEnd"/>
      <w:r w:rsidRPr="00EB4B4B">
        <w:t xml:space="preserve"> I took up the second aspect of agenda item 10 at its 5th meeting, on 20 November 2018. In considering the item, the Working Group had before it a draft decision, based on recommendations SBI-2/11 and SBI-2/13,</w:t>
      </w:r>
      <w:r w:rsidR="00B56B4C" w:rsidRPr="00EB4B4B">
        <w:t xml:space="preserve"> and recommendations presented in the </w:t>
      </w:r>
      <w:r w:rsidR="00B56B4C" w:rsidRPr="00237524">
        <w:t>report of the Compliance Committee (</w:t>
      </w:r>
      <w:r w:rsidR="00B56B4C" w:rsidRPr="00EB4B4B">
        <w:t>document CBD/CP/MOP/9/2, annex, section D,</w:t>
      </w:r>
      <w:r w:rsidRPr="00EB4B4B">
        <w:t xml:space="preserve"> set out in the compilation of draft decisions (CBD/CP/MOP/9/1/Add.2), including a revised draft format for the fourth national report. It also had before it a note by the Executive Secretary on the revised draft format (CBD/CP/MOP/9/5) and an information note to assist in cross-referencing questions in the updated draft format for the fourth national report to corresponding questions from the format for the third national report (CBD/CP/MOP/9/INF/5).</w:t>
      </w:r>
    </w:p>
    <w:p w14:paraId="1D8702B2" w14:textId="512BE10C" w:rsidR="00E5632A" w:rsidRPr="00ED78BE" w:rsidRDefault="00E5632A" w:rsidP="00237524">
      <w:pPr>
        <w:pStyle w:val="Para1"/>
        <w:tabs>
          <w:tab w:val="clear" w:pos="360"/>
        </w:tabs>
      </w:pPr>
      <w:r w:rsidRPr="00ED78BE">
        <w:t xml:space="preserve">Statements were made by representatives of Colombia, Egypt, </w:t>
      </w:r>
      <w:proofErr w:type="spellStart"/>
      <w:r w:rsidRPr="00ED78BE">
        <w:t>Eswatini</w:t>
      </w:r>
      <w:proofErr w:type="spellEnd"/>
      <w:r w:rsidRPr="00ED78BE">
        <w:t xml:space="preserve">, </w:t>
      </w:r>
      <w:r w:rsidR="00D77BF2">
        <w:t xml:space="preserve">the </w:t>
      </w:r>
      <w:r w:rsidRPr="00ED78BE">
        <w:t xml:space="preserve">European Union and its </w:t>
      </w:r>
      <w:proofErr w:type="gramStart"/>
      <w:r w:rsidRPr="00ED78BE">
        <w:t>28 member</w:t>
      </w:r>
      <w:proofErr w:type="gramEnd"/>
      <w:r w:rsidRPr="00ED78BE">
        <w:t xml:space="preserve"> States, India, Jordan, Kenya, Lebanon, Malaysia, Mexico, Namibia, New Zealand, Oman, State of Palestine, Switzerland and Uganda.</w:t>
      </w:r>
    </w:p>
    <w:p w14:paraId="5F7F399C" w14:textId="77777777" w:rsidR="00E5632A" w:rsidRPr="00ED78BE" w:rsidRDefault="00E5632A" w:rsidP="00237524">
      <w:pPr>
        <w:pStyle w:val="Para1"/>
        <w:tabs>
          <w:tab w:val="clear" w:pos="360"/>
        </w:tabs>
      </w:pPr>
      <w:r w:rsidRPr="00ED78BE">
        <w:t>Further statements were made by representatives of the Cornell University Alliance for Science and ISAAA.</w:t>
      </w:r>
    </w:p>
    <w:p w14:paraId="2ED1F26F" w14:textId="4329CC6D" w:rsidR="00E5632A" w:rsidRPr="00ED78BE" w:rsidRDefault="00E5632A" w:rsidP="00237524">
      <w:pPr>
        <w:pStyle w:val="Para1"/>
        <w:tabs>
          <w:tab w:val="clear" w:pos="360"/>
        </w:tabs>
      </w:pPr>
      <w:r w:rsidRPr="00ED78BE">
        <w:t>The Chair said that he would prepare a revised draft decision, taking consideration the views expressed orally and submitted in writing</w:t>
      </w:r>
      <w:r w:rsidR="00B56B4C" w:rsidRPr="00ED78BE">
        <w:t xml:space="preserve"> and with an updated footnote to reflect recent submissions of national reports</w:t>
      </w:r>
      <w:r w:rsidRPr="00ED78BE">
        <w:t>.</w:t>
      </w:r>
    </w:p>
    <w:p w14:paraId="474E6138" w14:textId="77777777" w:rsidR="00E5632A" w:rsidRPr="00ED78BE" w:rsidRDefault="00E5632A" w:rsidP="00237524">
      <w:pPr>
        <w:pStyle w:val="Para1"/>
        <w:tabs>
          <w:tab w:val="clear" w:pos="360"/>
        </w:tabs>
      </w:pPr>
      <w:r w:rsidRPr="00ED78BE">
        <w:t>At its 9th meeting, on 22 November 2018, the Working Group considered the revised draft decision prepared by the Chair.</w:t>
      </w:r>
    </w:p>
    <w:p w14:paraId="24F47378" w14:textId="2B9A7116" w:rsidR="00E5632A" w:rsidRPr="00ED78BE" w:rsidRDefault="00E5632A" w:rsidP="00237524">
      <w:pPr>
        <w:pStyle w:val="Para1"/>
        <w:tabs>
          <w:tab w:val="clear" w:pos="360"/>
        </w:tabs>
      </w:pPr>
      <w:r w:rsidRPr="00ED78BE">
        <w:t xml:space="preserve">A representative of the </w:t>
      </w:r>
      <w:r w:rsidR="00F632F2" w:rsidRPr="00ED78BE">
        <w:t>S</w:t>
      </w:r>
      <w:r w:rsidRPr="00ED78BE">
        <w:t>ecretariat drew attention to a section of text that required amendment to reflect earlier comments.</w:t>
      </w:r>
    </w:p>
    <w:p w14:paraId="50FE7911" w14:textId="7A34BDB6" w:rsidR="00E5632A" w:rsidRPr="00ED78BE" w:rsidRDefault="00E5632A" w:rsidP="00237524">
      <w:pPr>
        <w:pStyle w:val="Para1"/>
        <w:tabs>
          <w:tab w:val="clear" w:pos="360"/>
        </w:tabs>
      </w:pPr>
      <w:r w:rsidRPr="00ED78BE">
        <w:t xml:space="preserve">A statement was made by a representative of </w:t>
      </w:r>
      <w:r w:rsidR="00EB4B4B">
        <w:t xml:space="preserve">the </w:t>
      </w:r>
      <w:r w:rsidRPr="00ED78BE">
        <w:t>European Union</w:t>
      </w:r>
      <w:r w:rsidR="00AF61B5" w:rsidRPr="00ED78BE">
        <w:t xml:space="preserve"> and its </w:t>
      </w:r>
      <w:proofErr w:type="gramStart"/>
      <w:r w:rsidR="00AF61B5" w:rsidRPr="00ED78BE">
        <w:t>28 member</w:t>
      </w:r>
      <w:proofErr w:type="gramEnd"/>
      <w:r w:rsidR="00AF61B5" w:rsidRPr="00ED78BE">
        <w:t xml:space="preserve"> States</w:t>
      </w:r>
      <w:r w:rsidRPr="00ED78BE">
        <w:t>.</w:t>
      </w:r>
    </w:p>
    <w:p w14:paraId="0A4E86EC" w14:textId="5EF11B27" w:rsidR="0079069E" w:rsidRPr="00ED78BE" w:rsidRDefault="00E5632A" w:rsidP="00237524">
      <w:pPr>
        <w:pStyle w:val="Para1"/>
        <w:tabs>
          <w:tab w:val="clear" w:pos="360"/>
        </w:tabs>
      </w:pPr>
      <w:r w:rsidRPr="00ED78BE">
        <w:t>The Working Group approved the revised draft decision, as orally amended, for transmission to the plenary as draft decision CBD/CP/MOP/9/L.5.</w:t>
      </w:r>
    </w:p>
    <w:p w14:paraId="019AC608" w14:textId="6FF5A1AF" w:rsidR="007B1618" w:rsidRPr="00894996" w:rsidRDefault="007B1618" w:rsidP="00237524">
      <w:pPr>
        <w:pStyle w:val="Para1"/>
        <w:tabs>
          <w:tab w:val="clear" w:pos="360"/>
        </w:tabs>
      </w:pPr>
      <w:r w:rsidRPr="00894996">
        <w:rPr>
          <w:bCs/>
        </w:rPr>
        <w:lastRenderedPageBreak/>
        <w:t xml:space="preserve">At the 5th plenary session of the meeting, on 25 November 2018, the Conference of the Parties </w:t>
      </w:r>
      <w:r w:rsidR="00D80A57" w:rsidRPr="00894996">
        <w:rPr>
          <w:bCs/>
        </w:rPr>
        <w:t xml:space="preserve">serving as the meeting of the Parties adopted </w:t>
      </w:r>
      <w:r w:rsidRPr="00894996">
        <w:rPr>
          <w:bCs/>
        </w:rPr>
        <w:t>draft decision CBD/CP/MOP/9/L.5 as decision CP-</w:t>
      </w:r>
      <w:r w:rsidR="005F4A61" w:rsidRPr="00894996">
        <w:rPr>
          <w:bCs/>
        </w:rPr>
        <w:t>9</w:t>
      </w:r>
      <w:r w:rsidRPr="00894996">
        <w:rPr>
          <w:bCs/>
        </w:rPr>
        <w:t>/</w:t>
      </w:r>
      <w:r w:rsidR="00E61709" w:rsidRPr="00894996">
        <w:rPr>
          <w:bCs/>
        </w:rPr>
        <w:t>5</w:t>
      </w:r>
      <w:r w:rsidR="00161A3B" w:rsidRPr="00894996">
        <w:rPr>
          <w:bCs/>
        </w:rPr>
        <w:t xml:space="preserve"> </w:t>
      </w:r>
      <w:r w:rsidR="00161A3B" w:rsidRPr="00894996">
        <w:t>(</w:t>
      </w:r>
      <w:r w:rsidR="00161A3B" w:rsidRPr="00237524">
        <w:t>for the text, see chap.</w:t>
      </w:r>
      <w:r w:rsidR="003962A5" w:rsidRPr="00237524">
        <w:t> I</w:t>
      </w:r>
      <w:r w:rsidR="00161A3B" w:rsidRPr="00894996">
        <w:t>)</w:t>
      </w:r>
      <w:r w:rsidR="003962A5" w:rsidRPr="00894996">
        <w:t>.</w:t>
      </w:r>
    </w:p>
    <w:p w14:paraId="29ABE086" w14:textId="77777777" w:rsidR="00CB5BE7" w:rsidRPr="00ED78BE" w:rsidRDefault="00CB5BE7" w:rsidP="00237524">
      <w:pPr>
        <w:pStyle w:val="heading2-item0"/>
        <w:ind w:left="1985" w:hanging="1418"/>
        <w:jc w:val="left"/>
      </w:pPr>
      <w:bookmarkStart w:id="91" w:name="_Toc879849"/>
      <w:bookmarkStart w:id="92" w:name="_Toc5612119"/>
      <w:r w:rsidRPr="00ED78BE">
        <w:t xml:space="preserve">ITEM 11. </w:t>
      </w:r>
      <w:r w:rsidRPr="00ED78BE">
        <w:tab/>
      </w:r>
      <w:r w:rsidR="00636A6E" w:rsidRPr="00237524">
        <w:t>Enhancing integration under the Convention and its Protocols with respect to biosafety-related provisions</w:t>
      </w:r>
      <w:bookmarkEnd w:id="91"/>
      <w:bookmarkEnd w:id="92"/>
    </w:p>
    <w:p w14:paraId="7BC55212" w14:textId="555A6B5D" w:rsidR="00CB383D" w:rsidRPr="00ED78BE" w:rsidRDefault="00CB383D" w:rsidP="00237524">
      <w:pPr>
        <w:pStyle w:val="Para1"/>
        <w:tabs>
          <w:tab w:val="clear" w:pos="360"/>
        </w:tabs>
      </w:pPr>
      <w:r w:rsidRPr="00ED78BE">
        <w:t xml:space="preserve">Working </w:t>
      </w:r>
      <w:proofErr w:type="gramStart"/>
      <w:r w:rsidRPr="00ED78BE">
        <w:t>Group</w:t>
      </w:r>
      <w:proofErr w:type="gramEnd"/>
      <w:r w:rsidRPr="00ED78BE">
        <w:t xml:space="preserve"> I took up agenda item 11 at its 6th meeting, on 21 November 2018</w:t>
      </w:r>
      <w:r w:rsidR="001D0B45" w:rsidRPr="00ED78BE">
        <w:t>, in conjunction with agenda item 13 of the Conference of the Parties and agenda item 13 of the Conference of the Parties serving as the meeting of the Parties to the Nagoya Protocol</w:t>
      </w:r>
      <w:r w:rsidRPr="00ED78BE">
        <w:t>. In considering the item, the Working Group had before it a draft decision based on recommendation SBI-2/14 set out in the compilation of draft decisions (CBD/CP/MOP/9/1/Add.2).</w:t>
      </w:r>
    </w:p>
    <w:p w14:paraId="5BEA6DFB" w14:textId="3D48A8FD" w:rsidR="00CB383D" w:rsidRPr="00B5655E" w:rsidRDefault="00CB383D" w:rsidP="00237524">
      <w:pPr>
        <w:pStyle w:val="Para1"/>
        <w:tabs>
          <w:tab w:val="clear" w:pos="360"/>
        </w:tabs>
      </w:pPr>
      <w:r w:rsidRPr="00B5655E">
        <w:t xml:space="preserve">Statements were made by representatives of Colombia, </w:t>
      </w:r>
      <w:r w:rsidR="0031480C">
        <w:t xml:space="preserve">the </w:t>
      </w:r>
      <w:r w:rsidRPr="00B5655E">
        <w:t xml:space="preserve">European Union and its </w:t>
      </w:r>
      <w:proofErr w:type="gramStart"/>
      <w:r w:rsidRPr="00B5655E">
        <w:t>28 member</w:t>
      </w:r>
      <w:proofErr w:type="gramEnd"/>
      <w:r w:rsidRPr="00B5655E">
        <w:t xml:space="preserve"> States, Gabon, India, Indonesia, Malawi, Morocco and Venezuela (Bolivarian Republic of).</w:t>
      </w:r>
    </w:p>
    <w:p w14:paraId="4B8A1052" w14:textId="77777777" w:rsidR="00CB383D" w:rsidRPr="00B5655E" w:rsidRDefault="00CB383D" w:rsidP="00237524">
      <w:pPr>
        <w:pStyle w:val="Para1"/>
        <w:tabs>
          <w:tab w:val="clear" w:pos="360"/>
        </w:tabs>
      </w:pPr>
      <w:r w:rsidRPr="00B5655E">
        <w:t>A statement was also made by a representative of Argentina.</w:t>
      </w:r>
    </w:p>
    <w:p w14:paraId="0AA10756" w14:textId="77777777" w:rsidR="00CB383D" w:rsidRPr="00B5655E" w:rsidRDefault="00CB383D" w:rsidP="00237524">
      <w:pPr>
        <w:pStyle w:val="Para1"/>
        <w:tabs>
          <w:tab w:val="clear" w:pos="360"/>
        </w:tabs>
      </w:pPr>
      <w:r w:rsidRPr="00B5655E">
        <w:t>A further statement was made by a representative of ISAAA.</w:t>
      </w:r>
    </w:p>
    <w:p w14:paraId="41D13053" w14:textId="2787D9D6" w:rsidR="006C5568" w:rsidRPr="00B5655E" w:rsidRDefault="00CB383D" w:rsidP="00237524">
      <w:pPr>
        <w:pStyle w:val="Para1"/>
        <w:tabs>
          <w:tab w:val="clear" w:pos="360"/>
        </w:tabs>
      </w:pPr>
      <w:r w:rsidRPr="00B5655E">
        <w:t>The Chair said that he would prepare a revised draft decision, taking into consideration the views expressed orally and submitted in writing.</w:t>
      </w:r>
    </w:p>
    <w:p w14:paraId="0D1A579E" w14:textId="21BCBE1C" w:rsidR="005A20F8" w:rsidRPr="00B5655E" w:rsidRDefault="005A20F8" w:rsidP="00237524">
      <w:pPr>
        <w:pStyle w:val="Para1"/>
        <w:tabs>
          <w:tab w:val="clear" w:pos="360"/>
        </w:tabs>
      </w:pPr>
      <w:r w:rsidRPr="00B5655E">
        <w:t>At its 12th meeting, on 28 November 2018, Working Group I considered a revised draft decision submitted by its Chair.</w:t>
      </w:r>
    </w:p>
    <w:p w14:paraId="025DB440" w14:textId="60D60A11" w:rsidR="005A20F8" w:rsidRPr="00B5655E" w:rsidRDefault="005A20F8" w:rsidP="00237524">
      <w:pPr>
        <w:pStyle w:val="Para1"/>
        <w:tabs>
          <w:tab w:val="clear" w:pos="360"/>
        </w:tabs>
      </w:pPr>
      <w:r w:rsidRPr="00B5655E">
        <w:t xml:space="preserve">Statements were made by representatives of Colombia and </w:t>
      </w:r>
      <w:r w:rsidR="00982F71" w:rsidRPr="00B5655E">
        <w:t xml:space="preserve">the </w:t>
      </w:r>
      <w:r w:rsidRPr="00B5655E">
        <w:t xml:space="preserve">European Union and its </w:t>
      </w:r>
      <w:proofErr w:type="gramStart"/>
      <w:r w:rsidRPr="00B5655E">
        <w:t>28 member</w:t>
      </w:r>
      <w:proofErr w:type="gramEnd"/>
      <w:r w:rsidRPr="00B5655E">
        <w:t xml:space="preserve"> States.</w:t>
      </w:r>
    </w:p>
    <w:p w14:paraId="4EBA5532" w14:textId="0E4D1C79" w:rsidR="005A20F8" w:rsidRPr="00B5655E" w:rsidRDefault="005A20F8" w:rsidP="00237524">
      <w:pPr>
        <w:pStyle w:val="Para1"/>
        <w:tabs>
          <w:tab w:val="clear" w:pos="360"/>
        </w:tabs>
      </w:pPr>
      <w:r w:rsidRPr="00B5655E">
        <w:t>The Working Group approved the revised draft decision, as orally amended, for transmission to the plenary as draft decision CBD/COP/14/L.</w:t>
      </w:r>
      <w:r w:rsidR="000C2153" w:rsidRPr="00B5655E">
        <w:t>14.</w:t>
      </w:r>
    </w:p>
    <w:p w14:paraId="35529C40" w14:textId="3F4A0FD2" w:rsidR="002F5E61" w:rsidRPr="00B5655E" w:rsidRDefault="002F5E61" w:rsidP="00237524">
      <w:pPr>
        <w:pStyle w:val="Para1"/>
        <w:tabs>
          <w:tab w:val="clear" w:pos="360"/>
        </w:tabs>
      </w:pPr>
      <w:r w:rsidRPr="00B5655E">
        <w:t xml:space="preserve">At the 7th plenary session of the meeting, on 28 November 2018, the Conference of the Parties </w:t>
      </w:r>
      <w:r w:rsidR="00EF475F" w:rsidRPr="00B5655E">
        <w:t xml:space="preserve">serving as the meeting of the Parties </w:t>
      </w:r>
      <w:r w:rsidRPr="00B5655E">
        <w:t>considered CBD/CP/MOP/9/L.14.</w:t>
      </w:r>
    </w:p>
    <w:p w14:paraId="1137B59C" w14:textId="1C0F3809" w:rsidR="006C5568" w:rsidRPr="00B5655E" w:rsidRDefault="002F5E61" w:rsidP="00237524">
      <w:pPr>
        <w:pStyle w:val="Para1"/>
        <w:tabs>
          <w:tab w:val="clear" w:pos="360"/>
        </w:tabs>
      </w:pPr>
      <w:r w:rsidRPr="00B5655E">
        <w:t xml:space="preserve">The Conference of the Parties </w:t>
      </w:r>
      <w:r w:rsidR="00EF475F" w:rsidRPr="00B5655E">
        <w:t xml:space="preserve">serving as the meeting of the Parties </w:t>
      </w:r>
      <w:r w:rsidRPr="00B5655E">
        <w:t>adopted draft decision CBD/CP/MOP/9/L.14 as decision CP-</w:t>
      </w:r>
      <w:r w:rsidR="000C72EA">
        <w:t>9</w:t>
      </w:r>
      <w:r w:rsidRPr="00B5655E">
        <w:t>/</w:t>
      </w:r>
      <w:r w:rsidR="00E61709" w:rsidRPr="00B5655E">
        <w:t>9</w:t>
      </w:r>
      <w:r w:rsidRPr="00B5655E">
        <w:t xml:space="preserve"> (for the text, see chap.</w:t>
      </w:r>
      <w:r w:rsidR="005D7996" w:rsidRPr="00237524">
        <w:t> I</w:t>
      </w:r>
      <w:r w:rsidRPr="00B5655E">
        <w:t>)</w:t>
      </w:r>
      <w:r w:rsidR="006C5568" w:rsidRPr="00B5655E">
        <w:t>.</w:t>
      </w:r>
    </w:p>
    <w:p w14:paraId="213EEE8D" w14:textId="4310FACE" w:rsidR="00CB5BE7" w:rsidRPr="00ED78BE" w:rsidRDefault="00CB5BE7" w:rsidP="00237524">
      <w:pPr>
        <w:pStyle w:val="heading2-item0"/>
        <w:ind w:left="1985" w:hanging="1418"/>
        <w:jc w:val="left"/>
      </w:pPr>
      <w:bookmarkStart w:id="93" w:name="_Toc879850"/>
      <w:bookmarkStart w:id="94" w:name="_Toc5612120"/>
      <w:r w:rsidRPr="00ED78BE">
        <w:t>ITEM 12.</w:t>
      </w:r>
      <w:r w:rsidRPr="00ED78BE">
        <w:tab/>
      </w:r>
      <w:r w:rsidR="00636A6E" w:rsidRPr="00237524">
        <w:t>Cooperation with other organizations, conventions and initiatives</w:t>
      </w:r>
      <w:bookmarkEnd w:id="93"/>
      <w:bookmarkEnd w:id="94"/>
    </w:p>
    <w:p w14:paraId="6C3C1514" w14:textId="77777777" w:rsidR="00CB383D" w:rsidRPr="00ED78BE" w:rsidRDefault="00CB383D" w:rsidP="00237524">
      <w:pPr>
        <w:pStyle w:val="Para1"/>
        <w:tabs>
          <w:tab w:val="clear" w:pos="360"/>
        </w:tabs>
        <w:rPr>
          <w:i/>
        </w:rPr>
      </w:pPr>
      <w:r w:rsidRPr="00ED78BE">
        <w:t xml:space="preserve">Working </w:t>
      </w:r>
      <w:proofErr w:type="gramStart"/>
      <w:r w:rsidRPr="00ED78BE">
        <w:t>Group</w:t>
      </w:r>
      <w:proofErr w:type="gramEnd"/>
      <w:r w:rsidRPr="00ED78BE">
        <w:t xml:space="preserve"> I took up agenda item 12 at its 6th meeting, on 21 November 2018. In considering the item, the Working Group had before it a note by the Executive Secretary providing an update on cooperative activities between the Secretariat and other conventions, international organizations and initiatives relevant to the implementation of the Protocol (CBD/CP/MOP/9/6).</w:t>
      </w:r>
    </w:p>
    <w:p w14:paraId="58019561" w14:textId="77777777" w:rsidR="00CB383D" w:rsidRPr="00ED78BE" w:rsidRDefault="00CB383D" w:rsidP="00237524">
      <w:pPr>
        <w:pStyle w:val="Para1"/>
        <w:tabs>
          <w:tab w:val="clear" w:pos="360"/>
        </w:tabs>
        <w:rPr>
          <w:i/>
        </w:rPr>
      </w:pPr>
      <w:r w:rsidRPr="00ED78BE">
        <w:t>A statement was made by a representative of the Organization for Economic Cooperation and Development (OECD).</w:t>
      </w:r>
    </w:p>
    <w:p w14:paraId="065258A4" w14:textId="7D7279BD" w:rsidR="006C5568" w:rsidRPr="00ED78BE" w:rsidRDefault="00CB383D" w:rsidP="00237524">
      <w:pPr>
        <w:pStyle w:val="Para1"/>
        <w:tabs>
          <w:tab w:val="clear" w:pos="360"/>
        </w:tabs>
      </w:pPr>
      <w:r w:rsidRPr="00ED78BE">
        <w:t>The Working Group took note of the information contained in document CBD/CP/MOP/9/6.</w:t>
      </w:r>
    </w:p>
    <w:p w14:paraId="674D4A14" w14:textId="2BB53DC0" w:rsidR="00CB5BE7" w:rsidRPr="00ED78BE" w:rsidRDefault="00CB5BE7" w:rsidP="00237524">
      <w:pPr>
        <w:pStyle w:val="heading2-item0"/>
        <w:ind w:left="1985" w:hanging="1418"/>
        <w:jc w:val="left"/>
      </w:pPr>
      <w:bookmarkStart w:id="95" w:name="_Toc879851"/>
      <w:bookmarkStart w:id="96" w:name="_Toc5612121"/>
      <w:r w:rsidRPr="00ED78BE">
        <w:t>ITEM 13.</w:t>
      </w:r>
      <w:r w:rsidRPr="00ED78BE">
        <w:tab/>
      </w:r>
      <w:r w:rsidR="00636A6E" w:rsidRPr="00237524">
        <w:t>Review of effectiveness of structures and processes under the Convention and its Protocols</w:t>
      </w:r>
      <w:bookmarkEnd w:id="95"/>
      <w:bookmarkEnd w:id="96"/>
    </w:p>
    <w:p w14:paraId="13E2C1FC" w14:textId="630EAC6A" w:rsidR="00D72273" w:rsidRPr="00ED78BE" w:rsidRDefault="00D72273" w:rsidP="00237524">
      <w:pPr>
        <w:pStyle w:val="Heading3"/>
        <w:tabs>
          <w:tab w:val="clear" w:pos="567"/>
        </w:tabs>
        <w:rPr>
          <w:color w:val="000000" w:themeColor="text1"/>
        </w:rPr>
      </w:pPr>
      <w:bookmarkStart w:id="97" w:name="_Toc879852"/>
      <w:r w:rsidRPr="00ED78BE">
        <w:rPr>
          <w:color w:val="000000" w:themeColor="text1"/>
        </w:rPr>
        <w:t xml:space="preserve">Review of experience in holding concurrent meetings </w:t>
      </w:r>
      <w:r w:rsidR="00D32C75">
        <w:rPr>
          <w:color w:val="000000" w:themeColor="text1"/>
        </w:rPr>
        <w:t>under</w:t>
      </w:r>
      <w:r w:rsidR="00D32C75" w:rsidRPr="00ED78BE">
        <w:rPr>
          <w:color w:val="000000" w:themeColor="text1"/>
        </w:rPr>
        <w:t xml:space="preserve"> </w:t>
      </w:r>
      <w:r w:rsidRPr="00ED78BE">
        <w:rPr>
          <w:color w:val="000000" w:themeColor="text1"/>
        </w:rPr>
        <w:t xml:space="preserve">the Convention and </w:t>
      </w:r>
      <w:r w:rsidR="00D32C75">
        <w:rPr>
          <w:color w:val="000000" w:themeColor="text1"/>
        </w:rPr>
        <w:t xml:space="preserve">its </w:t>
      </w:r>
      <w:r w:rsidRPr="00ED78BE">
        <w:rPr>
          <w:color w:val="000000" w:themeColor="text1"/>
        </w:rPr>
        <w:t>protocols</w:t>
      </w:r>
      <w:bookmarkEnd w:id="97"/>
    </w:p>
    <w:p w14:paraId="2E0161E0" w14:textId="628C524F" w:rsidR="00CB383D" w:rsidRPr="00ED78BE" w:rsidRDefault="00CB383D" w:rsidP="004934FA">
      <w:pPr>
        <w:pStyle w:val="Para1"/>
      </w:pPr>
      <w:r w:rsidRPr="00ED78BE">
        <w:t xml:space="preserve">Working </w:t>
      </w:r>
      <w:proofErr w:type="gramStart"/>
      <w:r w:rsidRPr="00ED78BE">
        <w:t>Group</w:t>
      </w:r>
      <w:proofErr w:type="gramEnd"/>
      <w:r w:rsidRPr="00ED78BE">
        <w:t xml:space="preserve"> I took up the first aspect of agenda item 13 at its 6th meeting, on 21 November 2018. In considering the item, the Working Group had before it a draft decision based on </w:t>
      </w:r>
      <w:r w:rsidR="00774E2E">
        <w:t>p</w:t>
      </w:r>
      <w:r w:rsidRPr="00ED78BE">
        <w:t>art A of recommendation SBI-2/15, set out in the compilation of draft decisions (CBD/CP/MOP/9/1/Add.2).</w:t>
      </w:r>
    </w:p>
    <w:p w14:paraId="06149D81" w14:textId="3C3E803C" w:rsidR="00CB383D" w:rsidRPr="00ED78BE" w:rsidRDefault="00CB383D" w:rsidP="004934FA">
      <w:pPr>
        <w:pStyle w:val="Para1"/>
        <w:rPr>
          <w:i/>
          <w:color w:val="000000" w:themeColor="text1"/>
        </w:rPr>
      </w:pPr>
      <w:r w:rsidRPr="00ED78BE">
        <w:rPr>
          <w:color w:val="000000" w:themeColor="text1"/>
        </w:rPr>
        <w:lastRenderedPageBreak/>
        <w:t xml:space="preserve">Statements were made by representatives of </w:t>
      </w:r>
      <w:r w:rsidR="00964983">
        <w:rPr>
          <w:color w:val="000000" w:themeColor="text1"/>
        </w:rPr>
        <w:t xml:space="preserve">the </w:t>
      </w:r>
      <w:r w:rsidRPr="00ED78BE">
        <w:rPr>
          <w:color w:val="000000" w:themeColor="text1"/>
        </w:rPr>
        <w:t xml:space="preserve">European Union and its </w:t>
      </w:r>
      <w:proofErr w:type="gramStart"/>
      <w:r w:rsidRPr="00ED78BE">
        <w:rPr>
          <w:color w:val="000000" w:themeColor="text1"/>
        </w:rPr>
        <w:t>28 member</w:t>
      </w:r>
      <w:proofErr w:type="gramEnd"/>
      <w:r w:rsidRPr="00ED78BE">
        <w:rPr>
          <w:color w:val="000000" w:themeColor="text1"/>
        </w:rPr>
        <w:t xml:space="preserve"> States, Honduras, India, Jordan, Mexico, New Zealand, Panama, Paraguay, Switzerland and Uganda (on behalf of the African Group).</w:t>
      </w:r>
    </w:p>
    <w:p w14:paraId="5FEB0A25" w14:textId="77777777" w:rsidR="00CB383D" w:rsidRPr="00ED78BE" w:rsidRDefault="00CB383D" w:rsidP="004934FA">
      <w:pPr>
        <w:pStyle w:val="Para1"/>
        <w:rPr>
          <w:color w:val="000000" w:themeColor="text1"/>
        </w:rPr>
      </w:pPr>
      <w:r w:rsidRPr="00ED78BE">
        <w:rPr>
          <w:color w:val="000000" w:themeColor="text1"/>
        </w:rPr>
        <w:t>Statements were also made by representatives of Argentina and Canada.</w:t>
      </w:r>
    </w:p>
    <w:p w14:paraId="56F114B1" w14:textId="22A394BA" w:rsidR="00CB383D" w:rsidRPr="00237524" w:rsidRDefault="00CB383D" w:rsidP="004934FA">
      <w:pPr>
        <w:pStyle w:val="Para1"/>
      </w:pPr>
      <w:r w:rsidRPr="00435982">
        <w:rPr>
          <w:color w:val="000000" w:themeColor="text1"/>
        </w:rPr>
        <w:t xml:space="preserve">Further statements were made by representatives of the J. Craig Venter Institute, </w:t>
      </w:r>
      <w:r w:rsidR="00FE58DE" w:rsidRPr="00435982">
        <w:rPr>
          <w:color w:val="000000" w:themeColor="text1"/>
        </w:rPr>
        <w:t>the</w:t>
      </w:r>
      <w:r w:rsidR="00FE58DE" w:rsidRPr="00237524">
        <w:rPr>
          <w:color w:val="222222"/>
          <w:shd w:val="clear" w:color="auto" w:fill="FFFFFF"/>
        </w:rPr>
        <w:t xml:space="preserve"> Public Religion Research Institute</w:t>
      </w:r>
      <w:r w:rsidR="00312D83" w:rsidRPr="00237524">
        <w:rPr>
          <w:color w:val="222222"/>
          <w:shd w:val="clear" w:color="auto" w:fill="FFFFFF"/>
        </w:rPr>
        <w:t xml:space="preserve"> (</w:t>
      </w:r>
      <w:r w:rsidRPr="00435982">
        <w:rPr>
          <w:color w:val="000000" w:themeColor="text1"/>
        </w:rPr>
        <w:t>PRRI</w:t>
      </w:r>
      <w:r w:rsidR="00312D83" w:rsidRPr="00435982">
        <w:rPr>
          <w:color w:val="000000" w:themeColor="text1"/>
        </w:rPr>
        <w:t>)</w:t>
      </w:r>
      <w:r w:rsidRPr="0008472F">
        <w:rPr>
          <w:color w:val="000000" w:themeColor="text1"/>
        </w:rPr>
        <w:t xml:space="preserve"> and Third World Network (on behalf of the Corporate Europe Observatory, </w:t>
      </w:r>
      <w:proofErr w:type="spellStart"/>
      <w:r w:rsidRPr="0008472F">
        <w:rPr>
          <w:color w:val="000000" w:themeColor="text1"/>
        </w:rPr>
        <w:t>EcoNexus</w:t>
      </w:r>
      <w:proofErr w:type="spellEnd"/>
      <w:r w:rsidRPr="0008472F">
        <w:rPr>
          <w:color w:val="000000" w:themeColor="text1"/>
        </w:rPr>
        <w:t>, ETC Group, Friends of the Earth International and Pro Natura).</w:t>
      </w:r>
    </w:p>
    <w:p w14:paraId="5147CBD1" w14:textId="79B3AFAD" w:rsidR="00D72273" w:rsidRPr="00ED78BE" w:rsidRDefault="00CB383D" w:rsidP="004934FA">
      <w:pPr>
        <w:pStyle w:val="Para1"/>
      </w:pPr>
      <w:r w:rsidRPr="00ED78BE">
        <w:rPr>
          <w:color w:val="000000" w:themeColor="text1"/>
        </w:rPr>
        <w:t>At its 10th meeting, on 25 November 2018, the Working Group considered a revised draft decision submitted by the Chair, which it approved for transmission to the plenary as draft decision CBD/CP/MOP/9/L.9.</w:t>
      </w:r>
    </w:p>
    <w:p w14:paraId="24FAD12B" w14:textId="44CA47FA" w:rsidR="00641810" w:rsidRPr="00ED78BE" w:rsidRDefault="00641810" w:rsidP="004934FA">
      <w:pPr>
        <w:pStyle w:val="Para1"/>
      </w:pPr>
      <w:r w:rsidRPr="00ED78BE">
        <w:t xml:space="preserve">At the 7th plenary session of the meeting, on 28 November 2018, the Conference of the Parties </w:t>
      </w:r>
      <w:r w:rsidR="00EF475F" w:rsidRPr="00ED78BE">
        <w:t xml:space="preserve">serving as the meeting of the Parties </w:t>
      </w:r>
      <w:r w:rsidR="00CA1784">
        <w:t xml:space="preserve">to the Cartagena Protocol </w:t>
      </w:r>
      <w:r w:rsidRPr="00ED78BE">
        <w:t xml:space="preserve">considered </w:t>
      </w:r>
      <w:r w:rsidR="00342810" w:rsidRPr="000C6BDC">
        <w:t xml:space="preserve">draft decision </w:t>
      </w:r>
      <w:r w:rsidRPr="00ED78BE">
        <w:t>CBD/CP/MOP/9/L.9.</w:t>
      </w:r>
    </w:p>
    <w:p w14:paraId="76C381E0" w14:textId="0EE57A07" w:rsidR="00D72273" w:rsidRPr="000C6BDC" w:rsidRDefault="00641810" w:rsidP="004934FA">
      <w:pPr>
        <w:pStyle w:val="Para1"/>
      </w:pPr>
      <w:r w:rsidRPr="000C6BDC">
        <w:t xml:space="preserve">The Conference of the Parties </w:t>
      </w:r>
      <w:r w:rsidR="00EF475F" w:rsidRPr="000C6BDC">
        <w:t xml:space="preserve">serving as the meeting of the Parties </w:t>
      </w:r>
      <w:r w:rsidR="00CA1784">
        <w:t xml:space="preserve">to the Cartagena Protocol </w:t>
      </w:r>
      <w:r w:rsidRPr="000C6BDC">
        <w:t>adopted draft decision CBD/CP/MOP/9/L.9 as decision CP-</w:t>
      </w:r>
      <w:r w:rsidR="000C72EA">
        <w:t>9</w:t>
      </w:r>
      <w:r w:rsidRPr="000C6BDC">
        <w:t>/</w:t>
      </w:r>
      <w:r w:rsidR="00E61709" w:rsidRPr="000C6BDC">
        <w:t>8</w:t>
      </w:r>
      <w:r w:rsidRPr="000C6BDC">
        <w:t xml:space="preserve"> (for the text, see chap.</w:t>
      </w:r>
      <w:r w:rsidR="00BE4018" w:rsidRPr="00237524">
        <w:t> I</w:t>
      </w:r>
      <w:r w:rsidRPr="000C6BDC">
        <w:t>).</w:t>
      </w:r>
    </w:p>
    <w:p w14:paraId="43D59F00" w14:textId="77777777" w:rsidR="00D72273" w:rsidRPr="00ED78BE" w:rsidRDefault="00D72273" w:rsidP="00D72273">
      <w:pPr>
        <w:pStyle w:val="Heading3"/>
        <w:tabs>
          <w:tab w:val="clear" w:pos="567"/>
        </w:tabs>
        <w:rPr>
          <w:color w:val="000000" w:themeColor="text1"/>
        </w:rPr>
      </w:pPr>
      <w:bookmarkStart w:id="98" w:name="_Toc879853"/>
      <w:r w:rsidRPr="00ED78BE">
        <w:rPr>
          <w:color w:val="000000" w:themeColor="text1"/>
        </w:rPr>
        <w:t>Procedure for avoiding or managing conflicts of interest in expert groups</w:t>
      </w:r>
      <w:bookmarkEnd w:id="98"/>
    </w:p>
    <w:p w14:paraId="282BBCD8" w14:textId="70D551C7" w:rsidR="00CB383D" w:rsidRPr="00DD2E5C" w:rsidRDefault="00CB383D" w:rsidP="00237524">
      <w:pPr>
        <w:pStyle w:val="Para1"/>
        <w:tabs>
          <w:tab w:val="clear" w:pos="360"/>
        </w:tabs>
      </w:pPr>
      <w:r w:rsidRPr="00DD2E5C">
        <w:t xml:space="preserve">Working </w:t>
      </w:r>
      <w:proofErr w:type="gramStart"/>
      <w:r w:rsidRPr="00DD2E5C">
        <w:t>Group</w:t>
      </w:r>
      <w:proofErr w:type="gramEnd"/>
      <w:r w:rsidRPr="00DD2E5C">
        <w:t xml:space="preserve"> I took up the second aspect of agenda item 13 at its 6th meeting, on 21 November 2018. In considering the item, the Working Group had before it a draft decision based on </w:t>
      </w:r>
      <w:r w:rsidR="00E64A20">
        <w:t>p</w:t>
      </w:r>
      <w:r w:rsidRPr="00DD2E5C">
        <w:t>art B of recommendation SBI-2/15, set out in the compilation of draft decisions (CBD/CP/MOP/9/1/Add.2), and a summary of views submitted by Parties and observers on the procedures for avoiding or managing conflicts of interest in expert groups (CBD/COP/14/INF/3).</w:t>
      </w:r>
    </w:p>
    <w:p w14:paraId="30F883EF" w14:textId="42AF2E56" w:rsidR="00CB383D" w:rsidRPr="00ED78BE" w:rsidRDefault="00CB383D" w:rsidP="00237524">
      <w:pPr>
        <w:pStyle w:val="Para1"/>
        <w:tabs>
          <w:tab w:val="clear" w:pos="360"/>
        </w:tabs>
        <w:rPr>
          <w:i/>
        </w:rPr>
      </w:pPr>
      <w:r w:rsidRPr="00ED78BE">
        <w:t xml:space="preserve">Statements were made by representatives of </w:t>
      </w:r>
      <w:r w:rsidR="005F2121">
        <w:t xml:space="preserve">the </w:t>
      </w:r>
      <w:r w:rsidRPr="00ED78BE">
        <w:t xml:space="preserve">European Union and its </w:t>
      </w:r>
      <w:proofErr w:type="gramStart"/>
      <w:r w:rsidRPr="00ED78BE">
        <w:t>28 member</w:t>
      </w:r>
      <w:proofErr w:type="gramEnd"/>
      <w:r w:rsidRPr="00ED78BE">
        <w:t xml:space="preserve"> States, Honduras, India, Jordan, Mexico, New Zealand, Panama, Paraguay, Switzerland and Uganda (on behalf of the African Group).</w:t>
      </w:r>
    </w:p>
    <w:p w14:paraId="48EA3D04" w14:textId="77777777" w:rsidR="00CB383D" w:rsidRPr="00ED78BE" w:rsidRDefault="00CB383D" w:rsidP="00237524">
      <w:pPr>
        <w:pStyle w:val="Para1"/>
        <w:tabs>
          <w:tab w:val="clear" w:pos="360"/>
        </w:tabs>
      </w:pPr>
      <w:r w:rsidRPr="00ED78BE">
        <w:t>Statements were also made by representatives of Argentina and Canada.</w:t>
      </w:r>
    </w:p>
    <w:p w14:paraId="5D33B072" w14:textId="1D68D4E8" w:rsidR="00CB383D" w:rsidRPr="00ED78BE" w:rsidRDefault="00CB383D" w:rsidP="00237524">
      <w:pPr>
        <w:pStyle w:val="Para1"/>
        <w:tabs>
          <w:tab w:val="clear" w:pos="360"/>
        </w:tabs>
      </w:pPr>
      <w:r w:rsidRPr="00ED78BE">
        <w:t xml:space="preserve">Further statements were made by representatives of the J. Craig Venter Institute, PRRI and </w:t>
      </w:r>
      <w:r w:rsidR="00362979">
        <w:t xml:space="preserve">the </w:t>
      </w:r>
      <w:r w:rsidRPr="00ED78BE">
        <w:t xml:space="preserve">Third World Network (on behalf of the Corporate Europe Observatory, </w:t>
      </w:r>
      <w:proofErr w:type="spellStart"/>
      <w:r w:rsidRPr="00ED78BE">
        <w:t>EcoNexus</w:t>
      </w:r>
      <w:proofErr w:type="spellEnd"/>
      <w:r w:rsidRPr="00ED78BE">
        <w:t>, ETC Group, Friends of the Earth International and Pro Natura).</w:t>
      </w:r>
    </w:p>
    <w:p w14:paraId="1B1FCED0" w14:textId="55917A93" w:rsidR="006C5568" w:rsidRPr="00ED78BE" w:rsidRDefault="00CB383D" w:rsidP="00237524">
      <w:pPr>
        <w:pStyle w:val="Para1"/>
        <w:tabs>
          <w:tab w:val="clear" w:pos="360"/>
        </w:tabs>
      </w:pPr>
      <w:r w:rsidRPr="00ED78BE">
        <w:t>Following the exchange of views, the Chair established a group of friends of the Chair to continue discussion of the unresolved issues.</w:t>
      </w:r>
    </w:p>
    <w:p w14:paraId="486C8552" w14:textId="4918315E" w:rsidR="0057070B" w:rsidRPr="00ED78BE" w:rsidRDefault="0057070B" w:rsidP="00237524">
      <w:pPr>
        <w:pStyle w:val="Para1"/>
        <w:tabs>
          <w:tab w:val="clear" w:pos="360"/>
        </w:tabs>
      </w:pPr>
      <w:r w:rsidRPr="00ED78BE">
        <w:t>At its 12th meeting, on 28 November 2018, Working Group I considered a revised draft decision submitted by its Chair.</w:t>
      </w:r>
    </w:p>
    <w:p w14:paraId="678FF71F" w14:textId="3A46877E" w:rsidR="0057070B" w:rsidRPr="00ED78BE" w:rsidRDefault="0057070B" w:rsidP="00237524">
      <w:pPr>
        <w:pStyle w:val="Para1"/>
        <w:tabs>
          <w:tab w:val="clear" w:pos="360"/>
        </w:tabs>
      </w:pPr>
      <w:r w:rsidRPr="00ED78BE">
        <w:t xml:space="preserve">Statements were made by representatives of </w:t>
      </w:r>
      <w:r w:rsidR="00595349">
        <w:t xml:space="preserve">the </w:t>
      </w:r>
      <w:r w:rsidRPr="00ED78BE">
        <w:t xml:space="preserve">European Union and its </w:t>
      </w:r>
      <w:proofErr w:type="gramStart"/>
      <w:r w:rsidRPr="00ED78BE">
        <w:t>28 member</w:t>
      </w:r>
      <w:proofErr w:type="gramEnd"/>
      <w:r w:rsidRPr="00ED78BE">
        <w:t xml:space="preserve"> States and Switzerland.</w:t>
      </w:r>
    </w:p>
    <w:p w14:paraId="2961684E" w14:textId="7D54D6BD" w:rsidR="005A20F8" w:rsidRPr="00ED78BE" w:rsidRDefault="0057070B" w:rsidP="00237524">
      <w:pPr>
        <w:pStyle w:val="Para1"/>
        <w:tabs>
          <w:tab w:val="clear" w:pos="360"/>
        </w:tabs>
      </w:pPr>
      <w:r w:rsidRPr="00ED78BE">
        <w:t>The Working Group approved the revised draft decision, as orally amended, for transmission to the plenary as draft decision CBD/CP/</w:t>
      </w:r>
      <w:r w:rsidR="00CB2D27">
        <w:t>MOP/9</w:t>
      </w:r>
      <w:r w:rsidRPr="00ED78BE">
        <w:t>/L.</w:t>
      </w:r>
      <w:r w:rsidR="0077354A" w:rsidRPr="00ED78BE">
        <w:t>15</w:t>
      </w:r>
      <w:r w:rsidR="005A20F8" w:rsidRPr="00ED78BE">
        <w:t>.</w:t>
      </w:r>
    </w:p>
    <w:p w14:paraId="03B5F301" w14:textId="3ABF0E17" w:rsidR="004E707E" w:rsidRPr="00ED78BE" w:rsidRDefault="004E707E" w:rsidP="00237524">
      <w:pPr>
        <w:pStyle w:val="Para1"/>
        <w:tabs>
          <w:tab w:val="clear" w:pos="360"/>
        </w:tabs>
      </w:pPr>
      <w:r w:rsidRPr="00ED78BE">
        <w:t xml:space="preserve">At the 7th plenary session of the meeting, on 28 November 2018, the Conference of the Parties </w:t>
      </w:r>
      <w:r w:rsidR="00EF475F" w:rsidRPr="00ED78BE">
        <w:t xml:space="preserve">serving as the meeting of the Parties </w:t>
      </w:r>
      <w:r w:rsidR="00655DBA">
        <w:t xml:space="preserve">to the Cartagena Protocol </w:t>
      </w:r>
      <w:r w:rsidRPr="00ED78BE">
        <w:t xml:space="preserve">considered </w:t>
      </w:r>
      <w:r w:rsidR="00655DBA">
        <w:t xml:space="preserve">draft decision </w:t>
      </w:r>
      <w:r w:rsidRPr="00ED78BE">
        <w:t>CBD/CP/MOP/9/L.15.</w:t>
      </w:r>
    </w:p>
    <w:p w14:paraId="2E4DCA78" w14:textId="14872055" w:rsidR="006C5568" w:rsidRPr="009D40EC" w:rsidRDefault="004E707E" w:rsidP="00237524">
      <w:pPr>
        <w:pStyle w:val="Para1"/>
        <w:tabs>
          <w:tab w:val="clear" w:pos="360"/>
        </w:tabs>
      </w:pPr>
      <w:r w:rsidRPr="009D40EC">
        <w:t xml:space="preserve">Following oral corrections by the Secretariat, the Conference of the Parties </w:t>
      </w:r>
      <w:r w:rsidR="00EF475F" w:rsidRPr="009D40EC">
        <w:t xml:space="preserve">serving as the meeting of the Parties </w:t>
      </w:r>
      <w:r w:rsidR="009D40EC" w:rsidRPr="009D40EC">
        <w:t xml:space="preserve">to the Cartagena Protocol </w:t>
      </w:r>
      <w:r w:rsidRPr="009D40EC">
        <w:t>adopted draft decision CBD/CP/MOP/9/L.15 as decision CP-</w:t>
      </w:r>
      <w:r w:rsidR="000C72EA">
        <w:t>9</w:t>
      </w:r>
      <w:r w:rsidRPr="009D40EC">
        <w:t>/</w:t>
      </w:r>
      <w:r w:rsidR="00E61709" w:rsidRPr="009D40EC">
        <w:t>10</w:t>
      </w:r>
      <w:r w:rsidRPr="009D40EC">
        <w:t xml:space="preserve"> (for the text, see chap.</w:t>
      </w:r>
      <w:r w:rsidR="00A95DA2" w:rsidRPr="00237524">
        <w:t> I</w:t>
      </w:r>
      <w:r w:rsidRPr="009D40EC">
        <w:t>).</w:t>
      </w:r>
    </w:p>
    <w:p w14:paraId="795D2D50" w14:textId="77777777" w:rsidR="00495B7A" w:rsidRPr="00ED78BE" w:rsidRDefault="00C20F5D" w:rsidP="00237524">
      <w:pPr>
        <w:pStyle w:val="heading2-item0"/>
        <w:ind w:left="1985" w:hanging="1418"/>
        <w:jc w:val="left"/>
      </w:pPr>
      <w:bookmarkStart w:id="99" w:name="_Toc879854"/>
      <w:bookmarkStart w:id="100" w:name="_Toc5612122"/>
      <w:r w:rsidRPr="00ED78BE">
        <w:lastRenderedPageBreak/>
        <w:t>Item 14.</w:t>
      </w:r>
      <w:r w:rsidRPr="00ED78BE">
        <w:tab/>
        <w:t>Preparation for the follow</w:t>
      </w:r>
      <w:r w:rsidR="0098483F" w:rsidRPr="00ED78BE">
        <w:t>-</w:t>
      </w:r>
      <w:r w:rsidRPr="00ED78BE">
        <w:t>up to the Strategic Plan for Biodiversity 2011-2020 and the Strategic Plan for the Cartagena Protocol on Biosafety 2011-2020</w:t>
      </w:r>
      <w:bookmarkEnd w:id="99"/>
      <w:bookmarkEnd w:id="100"/>
    </w:p>
    <w:p w14:paraId="06A06075" w14:textId="695E9FC1" w:rsidR="00A11E0E" w:rsidRPr="00ED78BE" w:rsidRDefault="00DA581B" w:rsidP="00237524">
      <w:pPr>
        <w:pStyle w:val="Para1"/>
        <w:tabs>
          <w:tab w:val="clear" w:pos="360"/>
        </w:tabs>
      </w:pPr>
      <w:r w:rsidRPr="00ED78BE">
        <w:t xml:space="preserve">Agenda item 14 was taken up at the </w:t>
      </w:r>
      <w:r w:rsidR="002740F2" w:rsidRPr="00ED78BE">
        <w:t xml:space="preserve">3rd </w:t>
      </w:r>
      <w:r w:rsidRPr="00ED78BE">
        <w:t xml:space="preserve">plenary session of the meeting, on </w:t>
      </w:r>
      <w:r w:rsidR="002740F2" w:rsidRPr="00ED78BE">
        <w:t>20 November 2018</w:t>
      </w:r>
      <w:r w:rsidR="00FA5B56" w:rsidRPr="00ED78BE">
        <w:t>, in conjunction with agenda item 17 of the Conference of the Parties and agenda item 16 of the Conference of the Parties serving as the meeting of the Parties to the Nagoya Protocol</w:t>
      </w:r>
      <w:r w:rsidRPr="00ED78BE">
        <w:t xml:space="preserve">. In considering the item, the Conference of the Parties </w:t>
      </w:r>
      <w:r w:rsidR="00953C1E" w:rsidRPr="00ED78BE">
        <w:t xml:space="preserve">serving as the meeting of the Parties </w:t>
      </w:r>
      <w:r w:rsidR="003A1FC1">
        <w:t xml:space="preserve">to the Cartagena Protocol </w:t>
      </w:r>
      <w:r w:rsidRPr="00ED78BE">
        <w:t xml:space="preserve">had before it </w:t>
      </w:r>
      <w:r w:rsidR="00E35F04" w:rsidRPr="00ED78BE">
        <w:t>a note by the Executive Secretary on preparations for the development of a follow-up to the Strategic Plan for the Cartagena Protocol on Biosafety 2011</w:t>
      </w:r>
      <w:r w:rsidR="005C0734" w:rsidRPr="00ED78BE">
        <w:t>–</w:t>
      </w:r>
      <w:r w:rsidR="00E35F04" w:rsidRPr="00ED78BE">
        <w:t>2020</w:t>
      </w:r>
      <w:r w:rsidR="002740F2" w:rsidRPr="00ED78BE">
        <w:t xml:space="preserve"> </w:t>
      </w:r>
      <w:r w:rsidR="002740F2" w:rsidRPr="00ED78BE">
        <w:rPr>
          <w:rFonts w:eastAsia="Times New Roman"/>
        </w:rPr>
        <w:t>(CBD/CP/MOP/9/7)</w:t>
      </w:r>
      <w:r w:rsidR="00E35F04" w:rsidRPr="00ED78BE">
        <w:t xml:space="preserve">, </w:t>
      </w:r>
      <w:r w:rsidR="002740F2" w:rsidRPr="00ED78BE">
        <w:t xml:space="preserve">and a draft decision based on </w:t>
      </w:r>
      <w:r w:rsidR="00456995" w:rsidRPr="00ED78BE">
        <w:rPr>
          <w:rFonts w:eastAsia="Times New Roman"/>
          <w:lang w:eastAsia="en-CA"/>
        </w:rPr>
        <w:t>r</w:t>
      </w:r>
      <w:r w:rsidR="00C20F5D" w:rsidRPr="00ED78BE">
        <w:rPr>
          <w:rFonts w:eastAsia="Times New Roman"/>
          <w:lang w:eastAsia="en-CA"/>
        </w:rPr>
        <w:t>ecommendation</w:t>
      </w:r>
      <w:r w:rsidR="00404C56" w:rsidRPr="00ED78BE">
        <w:rPr>
          <w:rFonts w:eastAsia="Times New Roman"/>
          <w:lang w:eastAsia="en-CA"/>
        </w:rPr>
        <w:t xml:space="preserve"> SBI-2/19</w:t>
      </w:r>
      <w:r w:rsidR="00456995" w:rsidRPr="00ED78BE">
        <w:rPr>
          <w:rFonts w:eastAsia="Times New Roman"/>
          <w:lang w:eastAsia="en-CA"/>
        </w:rPr>
        <w:t xml:space="preserve"> and additional elements from document CBD/</w:t>
      </w:r>
      <w:r w:rsidR="002C6C47" w:rsidRPr="00ED78BE">
        <w:rPr>
          <w:rFonts w:eastAsia="Times New Roman"/>
          <w:lang w:eastAsia="en-CA"/>
        </w:rPr>
        <w:t>CP</w:t>
      </w:r>
      <w:r w:rsidR="00456995" w:rsidRPr="00ED78BE">
        <w:rPr>
          <w:rFonts w:eastAsia="Times New Roman"/>
          <w:lang w:eastAsia="en-CA"/>
        </w:rPr>
        <w:t>/MOP/</w:t>
      </w:r>
      <w:r w:rsidR="002C6C47" w:rsidRPr="00ED78BE">
        <w:rPr>
          <w:rFonts w:eastAsia="Times New Roman"/>
          <w:lang w:eastAsia="en-CA"/>
        </w:rPr>
        <w:t>9</w:t>
      </w:r>
      <w:r w:rsidR="00456995" w:rsidRPr="00ED78BE">
        <w:rPr>
          <w:rFonts w:eastAsia="Times New Roman"/>
          <w:lang w:eastAsia="en-CA"/>
        </w:rPr>
        <w:t>/7</w:t>
      </w:r>
      <w:r w:rsidR="002740F2" w:rsidRPr="00ED78BE">
        <w:rPr>
          <w:rFonts w:eastAsia="Times New Roman"/>
          <w:lang w:eastAsia="en-CA"/>
        </w:rPr>
        <w:t>, set out</w:t>
      </w:r>
      <w:r w:rsidR="00A11E0E" w:rsidRPr="00ED78BE">
        <w:rPr>
          <w:rFonts w:eastAsia="Times New Roman"/>
          <w:lang w:eastAsia="en-CA"/>
        </w:rPr>
        <w:t xml:space="preserve"> in the </w:t>
      </w:r>
      <w:r w:rsidR="00A11E0E" w:rsidRPr="00ED78BE">
        <w:t>compilation of draft decisions (CBD/CP/MOP/9</w:t>
      </w:r>
      <w:r w:rsidR="00B76174" w:rsidRPr="00ED78BE">
        <w:t>/1/Add.2).</w:t>
      </w:r>
    </w:p>
    <w:p w14:paraId="51A12EDC" w14:textId="3BEDE965" w:rsidR="002740F2" w:rsidRPr="00727417" w:rsidRDefault="002740F2" w:rsidP="00237524">
      <w:pPr>
        <w:pStyle w:val="Para1"/>
        <w:tabs>
          <w:tab w:val="clear" w:pos="360"/>
        </w:tabs>
      </w:pPr>
      <w:r w:rsidRPr="00727417">
        <w:t xml:space="preserve">Statements were made by representatives of Algeria, Antigua and Barbuda, Bangladesh, Bosnia and Herzegovina, Botswana, Brazil, Burkina Faso, Cambodia, Cameroon, China, Colombia (on behalf of the </w:t>
      </w:r>
      <w:r w:rsidR="00256AF5" w:rsidRPr="00727417">
        <w:t xml:space="preserve">Group of </w:t>
      </w:r>
      <w:r w:rsidRPr="00727417">
        <w:t>Like</w:t>
      </w:r>
      <w:r w:rsidRPr="00727417">
        <w:noBreakHyphen/>
        <w:t xml:space="preserve">minded Megadiverse Countries), Costa Rica, Côte d’Ivoire, Cuba (on behalf of </w:t>
      </w:r>
      <w:r w:rsidR="0062273F" w:rsidRPr="00237524">
        <w:t xml:space="preserve">the </w:t>
      </w:r>
      <w:r w:rsidRPr="00727417">
        <w:t xml:space="preserve">small island developing States), </w:t>
      </w:r>
      <w:r w:rsidR="0062273F" w:rsidRPr="00237524">
        <w:t xml:space="preserve">the </w:t>
      </w:r>
      <w:r w:rsidRPr="00727417">
        <w:t xml:space="preserve">Dominican Republic, Ecuador, Egypt, Ethiopia, </w:t>
      </w:r>
      <w:r w:rsidR="0062273F" w:rsidRPr="00237524">
        <w:t xml:space="preserve">the </w:t>
      </w:r>
      <w:r w:rsidRPr="00727417">
        <w:t xml:space="preserve">European Union and its 28 member States, Gabon, India, Iraq, Jamaica, Japan, Kenya, Malawi, Mexico, Morocco, New Zealand, Norway, Palau (on behalf of the Pacific island countries), Panama, the Philippines, South Africa (on behalf of the African Group), Saint Kitts and Nevis (on behalf of the Latin American and Caribbean </w:t>
      </w:r>
      <w:r w:rsidR="00480224" w:rsidRPr="00727417">
        <w:t>Group</w:t>
      </w:r>
      <w:r w:rsidRPr="00727417">
        <w:t xml:space="preserve">), Sudan, Switzerland, Turkey, Uganda, </w:t>
      </w:r>
      <w:r w:rsidR="00727417" w:rsidRPr="00237524">
        <w:t xml:space="preserve">the </w:t>
      </w:r>
      <w:r w:rsidRPr="00727417">
        <w:t>United Republic of Tanzania, Uruguay and Venezuela (Bolivarian Republic of).</w:t>
      </w:r>
    </w:p>
    <w:p w14:paraId="2F8F9D44" w14:textId="77777777" w:rsidR="002740F2" w:rsidRPr="00ED78BE" w:rsidRDefault="002740F2" w:rsidP="00237524">
      <w:pPr>
        <w:pStyle w:val="Para1"/>
        <w:tabs>
          <w:tab w:val="clear" w:pos="360"/>
        </w:tabs>
      </w:pPr>
      <w:r w:rsidRPr="00ED78BE">
        <w:t>Statements were also made by representatives of Argentina, Canada and Nepal.</w:t>
      </w:r>
    </w:p>
    <w:p w14:paraId="33911065" w14:textId="158294E5" w:rsidR="002740F2" w:rsidRPr="001516BD" w:rsidRDefault="002740F2" w:rsidP="00237524">
      <w:pPr>
        <w:pStyle w:val="Para1"/>
        <w:tabs>
          <w:tab w:val="clear" w:pos="360"/>
        </w:tabs>
      </w:pPr>
      <w:r w:rsidRPr="001516BD">
        <w:t xml:space="preserve">Additional statements were made by representatives of the Food and Agriculture Organization of the United Nations (FAO) (also on behalf of the International Treaty on Plant and Genetic Resources for Food and Agriculture), </w:t>
      </w:r>
      <w:r w:rsidR="009C3FC3" w:rsidRPr="001516BD">
        <w:t xml:space="preserve">the </w:t>
      </w:r>
      <w:r w:rsidRPr="001516BD">
        <w:t>United Nations Entity for Gender Equality and the Empowerment of Women (UN</w:t>
      </w:r>
      <w:r w:rsidRPr="001516BD">
        <w:noBreakHyphen/>
        <w:t>Women) and the secretariat of the Convention on International Trade in Endangered Species of Wild Fauna and Flora (CITES) (on behalf of the Liaison Group of Biodiversity-related Conventions).</w:t>
      </w:r>
    </w:p>
    <w:p w14:paraId="5F2ED299" w14:textId="42D9D1E7" w:rsidR="002740F2" w:rsidRPr="001516BD" w:rsidRDefault="002740F2" w:rsidP="00237524">
      <w:pPr>
        <w:pStyle w:val="Para1"/>
        <w:tabs>
          <w:tab w:val="clear" w:pos="360"/>
        </w:tabs>
      </w:pPr>
      <w:r w:rsidRPr="001516BD">
        <w:rPr>
          <w:snapToGrid/>
        </w:rPr>
        <w:t xml:space="preserve">Further statements were made by representatives of </w:t>
      </w:r>
      <w:proofErr w:type="spellStart"/>
      <w:r w:rsidRPr="001516BD">
        <w:rPr>
          <w:snapToGrid/>
        </w:rPr>
        <w:t>BirdLife</w:t>
      </w:r>
      <w:proofErr w:type="spellEnd"/>
      <w:r w:rsidRPr="001516BD">
        <w:rPr>
          <w:snapToGrid/>
        </w:rPr>
        <w:t xml:space="preserve"> International (also on behalf of Conservation International, GYBN, the International Fund for Animal Welfare (IFAW)</w:t>
      </w:r>
      <w:r w:rsidRPr="001516BD">
        <w:t xml:space="preserve">, Rare, the Royal Society for the Protection of Birds (RSPB), The Nature Conservancy, The Pew Charitable Trusts, and WWF); Friends of the Earth International (also on behalf of </w:t>
      </w:r>
      <w:proofErr w:type="spellStart"/>
      <w:r w:rsidRPr="001516BD">
        <w:t>EcoNexus</w:t>
      </w:r>
      <w:proofErr w:type="spellEnd"/>
      <w:r w:rsidRPr="001516BD">
        <w:t xml:space="preserve">, the European Network for Ecological Reflection and Action (ECOROPA), Forests of the World, </w:t>
      </w:r>
      <w:r w:rsidRPr="00237524">
        <w:rPr>
          <w:rFonts w:eastAsia="Times New Roman"/>
          <w:bCs/>
          <w:shd w:val="clear" w:color="auto" w:fill="FFFFFF"/>
          <w:lang w:val="es-ES"/>
        </w:rPr>
        <w:t>Fundación</w:t>
      </w:r>
      <w:r w:rsidRPr="00237524">
        <w:rPr>
          <w:rFonts w:eastAsia="Times New Roman"/>
          <w:shd w:val="clear" w:color="auto" w:fill="FFFFFF"/>
          <w:lang w:val="es-ES"/>
        </w:rPr>
        <w:t xml:space="preserve"> Ambiente y </w:t>
      </w:r>
      <w:r w:rsidRPr="00237524">
        <w:rPr>
          <w:rFonts w:eastAsia="Times New Roman"/>
          <w:bCs/>
          <w:shd w:val="clear" w:color="auto" w:fill="FFFFFF"/>
          <w:lang w:val="es-ES"/>
        </w:rPr>
        <w:t>Recursos Naturales</w:t>
      </w:r>
      <w:r w:rsidRPr="001516BD">
        <w:rPr>
          <w:rFonts w:eastAsia="Times New Roman"/>
          <w:bCs/>
          <w:shd w:val="clear" w:color="auto" w:fill="FFFFFF"/>
        </w:rPr>
        <w:t xml:space="preserve"> (FARN)</w:t>
      </w:r>
      <w:r w:rsidRPr="001516BD">
        <w:rPr>
          <w:rFonts w:eastAsia="Times New Roman"/>
          <w:bCs/>
          <w:color w:val="6A6A6A"/>
          <w:shd w:val="clear" w:color="auto" w:fill="FFFFFF"/>
        </w:rPr>
        <w:t xml:space="preserve"> </w:t>
      </w:r>
      <w:r w:rsidRPr="001516BD">
        <w:rPr>
          <w:rFonts w:eastAsia="Times New Roman"/>
        </w:rPr>
        <w:t xml:space="preserve">and </w:t>
      </w:r>
      <w:r w:rsidR="00533DC4" w:rsidRPr="001516BD">
        <w:t>the Global Forest Coalition),</w:t>
      </w:r>
      <w:r w:rsidRPr="001516BD">
        <w:t xml:space="preserve"> the Group on Earth Observations Biodiversity</w:t>
      </w:r>
      <w:r w:rsidR="00533DC4" w:rsidRPr="001516BD">
        <w:t xml:space="preserve"> Observations Network (GEO BON), GYBN,</w:t>
      </w:r>
      <w:r w:rsidRPr="001516BD">
        <w:t xml:space="preserve"> the International</w:t>
      </w:r>
      <w:r w:rsidR="00533DC4" w:rsidRPr="001516BD">
        <w:t xml:space="preserve"> Committee for Food Sovereignty,</w:t>
      </w:r>
      <w:r w:rsidRPr="001516BD">
        <w:t xml:space="preserve"> </w:t>
      </w:r>
      <w:r w:rsidR="00852A8B" w:rsidRPr="001516BD">
        <w:t>IIFB,</w:t>
      </w:r>
      <w:r w:rsidRPr="001516BD">
        <w:rPr>
          <w:snapToGrid/>
        </w:rPr>
        <w:t xml:space="preserve"> </w:t>
      </w:r>
      <w:r w:rsidRPr="001516BD">
        <w:t>the International Union for Conservation of N</w:t>
      </w:r>
      <w:r w:rsidR="00533DC4" w:rsidRPr="001516BD">
        <w:t>ature (IUCN),</w:t>
      </w:r>
      <w:r w:rsidRPr="001516BD">
        <w:t xml:space="preserve"> the United Nations University Institute for the Advanced St</w:t>
      </w:r>
      <w:r w:rsidR="00533DC4" w:rsidRPr="001516BD">
        <w:t>udy of Sustainability (UNU</w:t>
      </w:r>
      <w:r w:rsidR="00533DC4" w:rsidRPr="001516BD">
        <w:noBreakHyphen/>
        <w:t>IAS)</w:t>
      </w:r>
      <w:r w:rsidRPr="001516BD">
        <w:t xml:space="preserve"> and WWF.</w:t>
      </w:r>
    </w:p>
    <w:p w14:paraId="439C761C" w14:textId="4D96D21C" w:rsidR="00593DA5" w:rsidRPr="001516BD" w:rsidRDefault="00593DA5" w:rsidP="00237524">
      <w:pPr>
        <w:pStyle w:val="Para1"/>
        <w:tabs>
          <w:tab w:val="clear" w:pos="360"/>
        </w:tabs>
      </w:pPr>
      <w:r w:rsidRPr="001516BD">
        <w:t xml:space="preserve">Based on the views expressed, the Conference of the Parties serving as the meeting of the Parties agreed to </w:t>
      </w:r>
      <w:bookmarkStart w:id="101" w:name="_Hlk1045867"/>
      <w:r w:rsidRPr="001516BD">
        <w:t xml:space="preserve">establish a contact group, chaired by Ms. </w:t>
      </w:r>
      <w:r w:rsidRPr="00237524">
        <w:rPr>
          <w:noProof/>
          <w:lang w:val="sv-SE"/>
        </w:rPr>
        <w:t>Charlotta</w:t>
      </w:r>
      <w:r w:rsidRPr="001516BD">
        <w:t xml:space="preserve"> </w:t>
      </w:r>
      <w:r w:rsidRPr="00237524">
        <w:rPr>
          <w:noProof/>
          <w:lang w:val="sv-SE"/>
        </w:rPr>
        <w:t>Sörqvist</w:t>
      </w:r>
      <w:r w:rsidRPr="001516BD">
        <w:t xml:space="preserve"> (Sweden)</w:t>
      </w:r>
      <w:r w:rsidR="00B56B4C" w:rsidRPr="001516BD">
        <w:t xml:space="preserve"> and Mr. Francis </w:t>
      </w:r>
      <w:proofErr w:type="spellStart"/>
      <w:r w:rsidR="00B56B4C" w:rsidRPr="001516BD">
        <w:t>Ogwal</w:t>
      </w:r>
      <w:proofErr w:type="spellEnd"/>
      <w:r w:rsidR="00B56B4C" w:rsidRPr="001516BD">
        <w:t xml:space="preserve"> (Uganda)</w:t>
      </w:r>
      <w:r w:rsidRPr="001516BD">
        <w:t>, to discuss the preparatory process for the post-2020 global biodiversity framework</w:t>
      </w:r>
      <w:bookmarkEnd w:id="101"/>
      <w:r w:rsidRPr="001516BD">
        <w:t>.</w:t>
      </w:r>
    </w:p>
    <w:p w14:paraId="78B38428" w14:textId="77777777" w:rsidR="00593DA5" w:rsidRPr="001516BD" w:rsidRDefault="00593DA5" w:rsidP="00237524">
      <w:pPr>
        <w:pStyle w:val="Para1"/>
        <w:tabs>
          <w:tab w:val="clear" w:pos="360"/>
        </w:tabs>
      </w:pPr>
      <w:r w:rsidRPr="001516BD">
        <w:t>At the 4th plenary session of the meeting, on 22 November 2018, the chair of the contact group reported on the progress made in the contact group.</w:t>
      </w:r>
    </w:p>
    <w:p w14:paraId="19E1DFC8" w14:textId="2E074980" w:rsidR="00593DA5" w:rsidRPr="001516BD" w:rsidRDefault="00593DA5" w:rsidP="00237524">
      <w:pPr>
        <w:pStyle w:val="Para1"/>
        <w:tabs>
          <w:tab w:val="clear" w:pos="360"/>
        </w:tabs>
        <w:rPr>
          <w:color w:val="000000"/>
        </w:rPr>
      </w:pPr>
      <w:r w:rsidRPr="001516BD">
        <w:t xml:space="preserve">At the 5th plenary session of the meeting, on 25 November 2018, the Conference of the Parties serving as the meeting of the Parties </w:t>
      </w:r>
      <w:r w:rsidR="007F75A9">
        <w:t xml:space="preserve">to the Cartagena Protocol </w:t>
      </w:r>
      <w:r w:rsidRPr="001516BD">
        <w:t>heard another report by the chair of the contact group.</w:t>
      </w:r>
    </w:p>
    <w:p w14:paraId="0952BFC5" w14:textId="70AB7C12" w:rsidR="00593DA5" w:rsidRPr="00ED78BE" w:rsidRDefault="00593DA5" w:rsidP="00237524">
      <w:pPr>
        <w:pStyle w:val="Para1"/>
        <w:tabs>
          <w:tab w:val="clear" w:pos="360"/>
        </w:tabs>
        <w:rPr>
          <w:color w:val="000000"/>
        </w:rPr>
      </w:pPr>
      <w:r w:rsidRPr="00ED78BE">
        <w:t xml:space="preserve">The representative of Norway informed the Conference of the Parties serving as the meeting of the Parties </w:t>
      </w:r>
      <w:r w:rsidR="00BC57AC">
        <w:t xml:space="preserve">to the Cartagena Protocol </w:t>
      </w:r>
      <w:r w:rsidRPr="00ED78BE">
        <w:t>that, subject to parliamentary approval, Norway would donate $350,000 for regional workshops in Africa, Latin America and Caribbea</w:t>
      </w:r>
      <w:r w:rsidR="00C1558B">
        <w:t>n</w:t>
      </w:r>
      <w:r w:rsidRPr="00ED78BE">
        <w:t xml:space="preserve"> and Asia and </w:t>
      </w:r>
      <w:r w:rsidR="00C1558B">
        <w:t xml:space="preserve">the </w:t>
      </w:r>
      <w:r w:rsidRPr="00ED78BE">
        <w:t xml:space="preserve">Pacific as its contribution to further discussion on the post-2020 framework. He also said that Norway would provide travel support to delegates from developing </w:t>
      </w:r>
      <w:r w:rsidR="00AC2340">
        <w:t>countries</w:t>
      </w:r>
      <w:r w:rsidR="00AC2340" w:rsidRPr="00ED78BE">
        <w:t xml:space="preserve"> </w:t>
      </w:r>
      <w:r w:rsidRPr="00ED78BE">
        <w:t>attending the ninth Trondheim Conference on Biodiversity, to be held in July 2019.</w:t>
      </w:r>
    </w:p>
    <w:p w14:paraId="4D9D151B" w14:textId="17516B44" w:rsidR="00D35EF0" w:rsidRPr="00ED78BE" w:rsidRDefault="00D35EF0" w:rsidP="00237524">
      <w:pPr>
        <w:pStyle w:val="Para1"/>
        <w:tabs>
          <w:tab w:val="clear" w:pos="360"/>
        </w:tabs>
      </w:pPr>
      <w:r w:rsidRPr="00ED78BE">
        <w:lastRenderedPageBreak/>
        <w:t xml:space="preserve">At the 6th plenary session of the meeting, on 28 November 2018, the Conference of the Parties serving as the meeting of the Parties </w:t>
      </w:r>
      <w:r w:rsidR="007508EF">
        <w:t xml:space="preserve">to the Cartagena Protocol </w:t>
      </w:r>
      <w:r w:rsidRPr="00ED78BE">
        <w:t>resumed consideration of the draft decision</w:t>
      </w:r>
      <w:r w:rsidR="009F153E" w:rsidRPr="00ED78BE">
        <w:t xml:space="preserve"> on the matter</w:t>
      </w:r>
      <w:r w:rsidRPr="00ED78BE">
        <w:t>.</w:t>
      </w:r>
    </w:p>
    <w:p w14:paraId="1E3F9496" w14:textId="5E121E78" w:rsidR="00D35EF0" w:rsidRPr="00ED78BE" w:rsidRDefault="00D35EF0" w:rsidP="00237524">
      <w:pPr>
        <w:pStyle w:val="Para1"/>
        <w:tabs>
          <w:tab w:val="clear" w:pos="360"/>
        </w:tabs>
      </w:pPr>
      <w:r w:rsidRPr="00ED78BE">
        <w:t>A statement was made by a representative of South Africa.</w:t>
      </w:r>
    </w:p>
    <w:p w14:paraId="678A0C47" w14:textId="7DC3B8BE" w:rsidR="00D35EF0" w:rsidRPr="00ED78BE" w:rsidRDefault="00D35EF0" w:rsidP="00237524">
      <w:pPr>
        <w:pStyle w:val="Para1"/>
        <w:tabs>
          <w:tab w:val="clear" w:pos="360"/>
        </w:tabs>
      </w:pPr>
      <w:r w:rsidRPr="00ED78BE">
        <w:t xml:space="preserve">The draft decision, as orally amended, was approved for </w:t>
      </w:r>
      <w:r w:rsidR="008D7552" w:rsidRPr="00ED78BE">
        <w:t>formal adoption</w:t>
      </w:r>
      <w:r w:rsidRPr="00ED78BE">
        <w:t xml:space="preserve"> as draft decision </w:t>
      </w:r>
      <w:r w:rsidR="007B2C3A" w:rsidRPr="00ED78BE">
        <w:t>CBD/C</w:t>
      </w:r>
      <w:r w:rsidRPr="00ED78BE">
        <w:t>P</w:t>
      </w:r>
      <w:r w:rsidR="007B2C3A" w:rsidRPr="00ED78BE">
        <w:t>/MOP/9</w:t>
      </w:r>
      <w:r w:rsidRPr="00ED78BE">
        <w:t>/L.16.</w:t>
      </w:r>
    </w:p>
    <w:p w14:paraId="2EF1E096" w14:textId="58935B1D" w:rsidR="00D25699" w:rsidRPr="00ED78BE" w:rsidRDefault="00D25699" w:rsidP="00237524">
      <w:pPr>
        <w:pStyle w:val="Para1"/>
        <w:tabs>
          <w:tab w:val="clear" w:pos="360"/>
        </w:tabs>
      </w:pPr>
      <w:r w:rsidRPr="00ED78BE">
        <w:t xml:space="preserve">At the 7th plenary session of the meeting, on 28 November 2018, the Conference of the Parties </w:t>
      </w:r>
      <w:r w:rsidR="00EF475F" w:rsidRPr="00ED78BE">
        <w:t xml:space="preserve">serving as the meeting of the Parties </w:t>
      </w:r>
      <w:r w:rsidR="005C4016">
        <w:t xml:space="preserve">to the Cartagena Protocol </w:t>
      </w:r>
      <w:r w:rsidRPr="00ED78BE">
        <w:t xml:space="preserve">considered </w:t>
      </w:r>
      <w:r w:rsidR="00A57204">
        <w:t xml:space="preserve">draft decision </w:t>
      </w:r>
      <w:r w:rsidRPr="00ED78BE">
        <w:t>CBD/CP/MOP/9/L.16.</w:t>
      </w:r>
    </w:p>
    <w:p w14:paraId="13A2560E" w14:textId="1EF022CA" w:rsidR="008253D1" w:rsidRPr="00EB7CC8" w:rsidRDefault="00D25699" w:rsidP="00237524">
      <w:pPr>
        <w:pStyle w:val="Para1"/>
        <w:tabs>
          <w:tab w:val="clear" w:pos="360"/>
        </w:tabs>
      </w:pPr>
      <w:r w:rsidRPr="00EB7CC8">
        <w:t xml:space="preserve">The Conference of the Parties </w:t>
      </w:r>
      <w:r w:rsidR="00EF475F" w:rsidRPr="00EB7CC8">
        <w:t xml:space="preserve">serving as the meeting of the Parties </w:t>
      </w:r>
      <w:r w:rsidR="002D238E">
        <w:t xml:space="preserve">to the Cartagena Protocol </w:t>
      </w:r>
      <w:r w:rsidRPr="00EB7CC8">
        <w:t>adopted draft decision CBD/CP/MOP/9/L.16 as decision CP-</w:t>
      </w:r>
      <w:r w:rsidR="000C72EA">
        <w:t>9</w:t>
      </w:r>
      <w:r w:rsidRPr="00EB7CC8">
        <w:t>/</w:t>
      </w:r>
      <w:r w:rsidR="00E61709" w:rsidRPr="00EB7CC8">
        <w:t>7</w:t>
      </w:r>
      <w:r w:rsidRPr="00EB7CC8">
        <w:t xml:space="preserve"> (for the text, see chap.</w:t>
      </w:r>
      <w:r w:rsidR="00EB7CC8" w:rsidRPr="00237524">
        <w:t> I</w:t>
      </w:r>
      <w:r w:rsidRPr="00EB7CC8">
        <w:t>).</w:t>
      </w:r>
    </w:p>
    <w:p w14:paraId="44530CCD" w14:textId="2A40A72B" w:rsidR="00636A6E" w:rsidRPr="00ED78BE" w:rsidRDefault="00636A6E" w:rsidP="00237524">
      <w:pPr>
        <w:pStyle w:val="heading2-item0"/>
        <w:tabs>
          <w:tab w:val="clear" w:pos="720"/>
        </w:tabs>
        <w:ind w:left="1701" w:hanging="1134"/>
        <w:jc w:val="left"/>
      </w:pPr>
      <w:bookmarkStart w:id="102" w:name="_Toc879855"/>
      <w:bookmarkStart w:id="103" w:name="_Toc5612123"/>
      <w:r w:rsidRPr="00ED78BE">
        <w:t>ITEM 15.</w:t>
      </w:r>
      <w:r w:rsidRPr="00ED78BE">
        <w:tab/>
      </w:r>
      <w:r w:rsidRPr="00237524">
        <w:t>Risk assessment and risk management (Articles 15 and</w:t>
      </w:r>
      <w:r w:rsidR="00471A55" w:rsidRPr="00237524">
        <w:t> </w:t>
      </w:r>
      <w:r w:rsidRPr="00237524">
        <w:t>16)</w:t>
      </w:r>
      <w:bookmarkEnd w:id="102"/>
      <w:bookmarkEnd w:id="103"/>
    </w:p>
    <w:p w14:paraId="323E997A" w14:textId="77777777" w:rsidR="008517B4" w:rsidRPr="00560610" w:rsidRDefault="008517B4" w:rsidP="00237524">
      <w:pPr>
        <w:pStyle w:val="Para1"/>
        <w:tabs>
          <w:tab w:val="clear" w:pos="360"/>
        </w:tabs>
      </w:pPr>
      <w:r w:rsidRPr="00560610">
        <w:t>Working Group II took up agenda item 15 at its 1st meeting, on 18 November 2018. In considering the item, the Working Group had before it a draft decision based on recommendation SBSTTA-22/2, set out in the compilation of draft decisions (CBD/CP/MOP/9/1/Add.2), as well as a progress report on capacity-building activities on risk assessment of living modified organisms (CBD/CP/MOP/9/INF/3).</w:t>
      </w:r>
    </w:p>
    <w:p w14:paraId="2692AB9F" w14:textId="23F1B62E" w:rsidR="008517B4" w:rsidRPr="00560610" w:rsidRDefault="008517B4" w:rsidP="00237524">
      <w:pPr>
        <w:pStyle w:val="Para1"/>
        <w:tabs>
          <w:tab w:val="clear" w:pos="360"/>
        </w:tabs>
      </w:pPr>
      <w:r w:rsidRPr="00560610">
        <w:t>Statements were made by the representatives of Bolivia (</w:t>
      </w:r>
      <w:proofErr w:type="spellStart"/>
      <w:r w:rsidRPr="00560610">
        <w:t>Plurinational</w:t>
      </w:r>
      <w:proofErr w:type="spellEnd"/>
      <w:r w:rsidRPr="00560610">
        <w:t xml:space="preserve"> State of), </w:t>
      </w:r>
      <w:r w:rsidR="00E82DA6">
        <w:t xml:space="preserve">the </w:t>
      </w:r>
      <w:r w:rsidRPr="00560610">
        <w:t xml:space="preserve">European Union and its </w:t>
      </w:r>
      <w:proofErr w:type="gramStart"/>
      <w:r w:rsidRPr="00560610">
        <w:t>28 member</w:t>
      </w:r>
      <w:proofErr w:type="gramEnd"/>
      <w:r w:rsidRPr="00560610">
        <w:t xml:space="preserve"> States, Guatemala, Malawi (on behalf of the Africa Group), New Zealand and Thailand.</w:t>
      </w:r>
    </w:p>
    <w:p w14:paraId="63CEC57B" w14:textId="0D59F424" w:rsidR="008517B4" w:rsidRPr="00560610" w:rsidRDefault="008517B4" w:rsidP="00237524">
      <w:pPr>
        <w:pStyle w:val="Para1"/>
        <w:tabs>
          <w:tab w:val="clear" w:pos="360"/>
        </w:tabs>
      </w:pPr>
      <w:r w:rsidRPr="00560610">
        <w:t>At its 2nd meeting, on 18 November 2018, the Working Group resumed its consideration of the item.</w:t>
      </w:r>
    </w:p>
    <w:p w14:paraId="0E7AEDE8" w14:textId="19757960" w:rsidR="008517B4" w:rsidRPr="00560610" w:rsidRDefault="008517B4" w:rsidP="00237524">
      <w:pPr>
        <w:pStyle w:val="Para1"/>
        <w:tabs>
          <w:tab w:val="clear" w:pos="360"/>
        </w:tabs>
      </w:pPr>
      <w:r w:rsidRPr="00560610">
        <w:t xml:space="preserve">Statements were made by representatives of Belarus, Brazil, Chad, China, Colombia, Costa Rica, </w:t>
      </w:r>
      <w:proofErr w:type="spellStart"/>
      <w:r w:rsidRPr="00560610">
        <w:t>Eswatini</w:t>
      </w:r>
      <w:proofErr w:type="spellEnd"/>
      <w:r w:rsidRPr="00560610">
        <w:t xml:space="preserve">, Gabon, Ghana, Honduras, India, Japan, Kenya, Mexico, Morocco, Norway, Paraguay, Peru, </w:t>
      </w:r>
      <w:r w:rsidR="00B00E5B">
        <w:t xml:space="preserve">the </w:t>
      </w:r>
      <w:r w:rsidRPr="00560610">
        <w:t>Philippines, Saudi Arabia, Switzerland, Uganda, Uruguay and Venezuela (Bolivarian Republic of).</w:t>
      </w:r>
    </w:p>
    <w:p w14:paraId="1D05982D" w14:textId="4EF7C28C" w:rsidR="008517B4" w:rsidRPr="00560610" w:rsidRDefault="008517B4" w:rsidP="00237524">
      <w:pPr>
        <w:pStyle w:val="Para1"/>
        <w:tabs>
          <w:tab w:val="clear" w:pos="360"/>
        </w:tabs>
      </w:pPr>
      <w:r w:rsidRPr="00560610">
        <w:t>A statement was also made by a representative of Argentina.</w:t>
      </w:r>
    </w:p>
    <w:p w14:paraId="7AABC758" w14:textId="77777777" w:rsidR="008517B4" w:rsidRPr="00560610" w:rsidRDefault="008517B4" w:rsidP="00237524">
      <w:pPr>
        <w:pStyle w:val="Para1"/>
        <w:tabs>
          <w:tab w:val="clear" w:pos="360"/>
        </w:tabs>
        <w:rPr>
          <w:rFonts w:cs="Tahoma"/>
          <w:bCs/>
        </w:rPr>
      </w:pPr>
      <w:r w:rsidRPr="00560610">
        <w:t>Further statements were made by representatives of the Centre for Support of Indigenous Peoples of the North (CSIPN) (also on behalf of the International Indigenous Forum on Biodiversity (IIFB)), PRRI, Target Malaria and Youth Biotech.</w:t>
      </w:r>
    </w:p>
    <w:p w14:paraId="2B0B625F" w14:textId="267F859F" w:rsidR="008517B4" w:rsidRPr="00560610" w:rsidRDefault="008517B4" w:rsidP="00237524">
      <w:pPr>
        <w:pStyle w:val="Para1"/>
        <w:tabs>
          <w:tab w:val="clear" w:pos="360"/>
        </w:tabs>
        <w:rPr>
          <w:iCs/>
        </w:rPr>
      </w:pPr>
      <w:r w:rsidRPr="00560610">
        <w:t>The Working Group resumed consideration of the item at its eighth session, on 22 November 2018</w:t>
      </w:r>
      <w:r w:rsidR="00042D4B" w:rsidRPr="00560610">
        <w:t>. It was</w:t>
      </w:r>
      <w:r w:rsidRPr="00560610">
        <w:t xml:space="preserve"> agreed that</w:t>
      </w:r>
      <w:r w:rsidR="00042D4B" w:rsidRPr="00560610">
        <w:t>,</w:t>
      </w:r>
      <w:r w:rsidRPr="00560610">
        <w:t xml:space="preserve"> g</w:t>
      </w:r>
      <w:r w:rsidRPr="00237524">
        <w:t>iven the close relation of some elements in the draft decision on risk assessment and risk management with those in the draft decision on synthetic biology being considered by the Conference of the Parties, a contact group chaired by Mr. Horst Korn (Germany), who was also chairing the contact group on synthetic biology</w:t>
      </w:r>
      <w:r w:rsidR="00042D4B" w:rsidRPr="00237524">
        <w:t>, would be established to resolve the text in square brackets in the draft decision</w:t>
      </w:r>
      <w:r w:rsidRPr="00237524">
        <w:t>.</w:t>
      </w:r>
    </w:p>
    <w:p w14:paraId="411EDAAE" w14:textId="0535EA99" w:rsidR="006C5568" w:rsidRPr="00ED78BE" w:rsidRDefault="008517B4" w:rsidP="00237524">
      <w:pPr>
        <w:pStyle w:val="Para1"/>
        <w:tabs>
          <w:tab w:val="clear" w:pos="360"/>
        </w:tabs>
      </w:pPr>
      <w:r w:rsidRPr="00560610">
        <w:rPr>
          <w:lang w:eastAsia="fr-FR"/>
        </w:rPr>
        <w:t xml:space="preserve">At its 17th meeting, on 28 November 2018, the Working Group </w:t>
      </w:r>
      <w:r w:rsidRPr="00560610">
        <w:t xml:space="preserve">approved a revised version of the draft decision </w:t>
      </w:r>
      <w:r w:rsidR="00E915A0" w:rsidRPr="00560610">
        <w:t xml:space="preserve">on </w:t>
      </w:r>
      <w:r w:rsidR="00E915A0" w:rsidRPr="00237524">
        <w:rPr>
          <w:bCs/>
        </w:rPr>
        <w:t xml:space="preserve">risk assessment and risk management </w:t>
      </w:r>
      <w:r w:rsidRPr="00560610">
        <w:t>(Article</w:t>
      </w:r>
      <w:r w:rsidR="00E915A0" w:rsidRPr="00560610">
        <w:t>s 15 and 16</w:t>
      </w:r>
      <w:r w:rsidRPr="00560610">
        <w:t>) for transmission to plenary as</w:t>
      </w:r>
      <w:r w:rsidRPr="00ED78BE">
        <w:t xml:space="preserve"> draft decision CBD/CP/MOP/9/L.13.</w:t>
      </w:r>
    </w:p>
    <w:p w14:paraId="6384C6A7" w14:textId="0075AE27" w:rsidR="00B9054C" w:rsidRPr="00ED78BE" w:rsidRDefault="00B9054C" w:rsidP="00237524">
      <w:pPr>
        <w:pStyle w:val="Para1"/>
        <w:tabs>
          <w:tab w:val="clear" w:pos="360"/>
        </w:tabs>
      </w:pPr>
      <w:r w:rsidRPr="00ED78BE">
        <w:t xml:space="preserve">At the 7th plenary session of the meeting, on 28 November 2018, the Conference of the Parties </w:t>
      </w:r>
      <w:r w:rsidR="00EF475F" w:rsidRPr="00ED78BE">
        <w:t xml:space="preserve">serving as the meeting of the Parties </w:t>
      </w:r>
      <w:r w:rsidR="00DC262F">
        <w:t xml:space="preserve">to the Cartagena Protocol </w:t>
      </w:r>
      <w:r w:rsidRPr="00ED78BE">
        <w:t>considered CBD/CP/MOP/9/L.13.</w:t>
      </w:r>
    </w:p>
    <w:p w14:paraId="57B8269E" w14:textId="7D7364EA" w:rsidR="006C5568" w:rsidRPr="007869D4" w:rsidRDefault="00B9054C" w:rsidP="00237524">
      <w:pPr>
        <w:pStyle w:val="Para1"/>
        <w:tabs>
          <w:tab w:val="clear" w:pos="360"/>
        </w:tabs>
      </w:pPr>
      <w:r w:rsidRPr="007869D4">
        <w:t xml:space="preserve">The Conference of the Parties </w:t>
      </w:r>
      <w:r w:rsidR="00EF475F" w:rsidRPr="007869D4">
        <w:t xml:space="preserve">serving as the meeting of the Parties </w:t>
      </w:r>
      <w:r w:rsidR="007869D4" w:rsidRPr="007869D4">
        <w:t xml:space="preserve">to the Cartagena Protocol </w:t>
      </w:r>
      <w:r w:rsidRPr="007869D4">
        <w:t>adopted draft decision CBD/CP/MOP/9/L.13 as decision CP-</w:t>
      </w:r>
      <w:r w:rsidR="000C72EA">
        <w:t>9</w:t>
      </w:r>
      <w:r w:rsidRPr="007869D4">
        <w:t>/</w:t>
      </w:r>
      <w:r w:rsidR="00E61709" w:rsidRPr="007869D4">
        <w:t>13</w:t>
      </w:r>
      <w:r w:rsidRPr="007869D4">
        <w:t xml:space="preserve"> (for the text, see chap.</w:t>
      </w:r>
      <w:r w:rsidR="007869D4" w:rsidRPr="00237524">
        <w:t> I</w:t>
      </w:r>
      <w:r w:rsidRPr="007869D4">
        <w:t>).</w:t>
      </w:r>
    </w:p>
    <w:p w14:paraId="4EAE5A55" w14:textId="17322AAC" w:rsidR="00636A6E" w:rsidRPr="00ED78BE" w:rsidRDefault="00636A6E" w:rsidP="00237524">
      <w:pPr>
        <w:pStyle w:val="heading2-item0"/>
        <w:tabs>
          <w:tab w:val="clear" w:pos="720"/>
        </w:tabs>
        <w:ind w:left="1985" w:hanging="1418"/>
        <w:jc w:val="left"/>
      </w:pPr>
      <w:bookmarkStart w:id="104" w:name="_Toc879856"/>
      <w:bookmarkStart w:id="105" w:name="_Toc5612124"/>
      <w:r w:rsidRPr="00ED78BE">
        <w:t>ITEM 16.</w:t>
      </w:r>
      <w:r w:rsidRPr="00ED78BE">
        <w:tab/>
      </w:r>
      <w:r w:rsidRPr="00237524">
        <w:t>Unintentional transboundary movements and emergency measures (Article 17)</w:t>
      </w:r>
      <w:bookmarkEnd w:id="104"/>
      <w:bookmarkEnd w:id="105"/>
    </w:p>
    <w:p w14:paraId="4AAD5283" w14:textId="7A9BBE94" w:rsidR="008517B4" w:rsidRPr="00ED78BE" w:rsidRDefault="008517B4" w:rsidP="00237524">
      <w:pPr>
        <w:pStyle w:val="Para1"/>
        <w:tabs>
          <w:tab w:val="clear" w:pos="360"/>
        </w:tabs>
      </w:pPr>
      <w:r w:rsidRPr="00ED78BE">
        <w:t xml:space="preserve">Working Group II took up agenda item 16 at its 2nd meeting, on 18 November 2018. In considering the item, the Working Group had before it a summary report on the activities undertaken in response to </w:t>
      </w:r>
      <w:r w:rsidRPr="00ED78BE">
        <w:lastRenderedPageBreak/>
        <w:t>decision CP</w:t>
      </w:r>
      <w:r w:rsidRPr="00ED78BE">
        <w:noBreakHyphen/>
        <w:t>VIII/16 (CBD/CP/MOP/9/8), including a draft decision; a revised version of the draft manual training manual on detection and identification of living modified organisms (CBD/CP/MOP/9/8/Add.1); and a summary of capacity</w:t>
      </w:r>
      <w:r w:rsidRPr="00ED78BE">
        <w:noBreakHyphen/>
        <w:t>building activities on the detection and identification of living modified organisms (CBD/CP/MOP/9/INF/4).</w:t>
      </w:r>
    </w:p>
    <w:p w14:paraId="7643559C" w14:textId="74A7E43F" w:rsidR="008517B4" w:rsidRPr="00ED78BE" w:rsidRDefault="008517B4" w:rsidP="00237524">
      <w:pPr>
        <w:pStyle w:val="Para1"/>
        <w:tabs>
          <w:tab w:val="clear" w:pos="360"/>
        </w:tabs>
      </w:pPr>
      <w:r w:rsidRPr="00ED78BE">
        <w:t>Statements were made by representatives of Belarus, Bolivia (</w:t>
      </w:r>
      <w:proofErr w:type="spellStart"/>
      <w:r w:rsidRPr="00ED78BE">
        <w:t>Plurinational</w:t>
      </w:r>
      <w:proofErr w:type="spellEnd"/>
      <w:r w:rsidRPr="00ED78BE">
        <w:t xml:space="preserve"> State of), </w:t>
      </w:r>
      <w:r w:rsidR="00AB54B5">
        <w:t xml:space="preserve">the </w:t>
      </w:r>
      <w:r w:rsidRPr="00ED78BE">
        <w:t xml:space="preserve">Central African Republic, Costa Rica, Ecuador, </w:t>
      </w:r>
      <w:r w:rsidR="00AB54B5">
        <w:t xml:space="preserve">the </w:t>
      </w:r>
      <w:r w:rsidRPr="00ED78BE">
        <w:t xml:space="preserve">European Union and its </w:t>
      </w:r>
      <w:proofErr w:type="gramStart"/>
      <w:r w:rsidRPr="00ED78BE">
        <w:t>28 member</w:t>
      </w:r>
      <w:proofErr w:type="gramEnd"/>
      <w:r w:rsidRPr="00ED78BE">
        <w:t xml:space="preserve"> States, Gabon, Ghana, Guatemala, Guinea, Honduras, India, Indonesia, Kenya, Malawi, Mexico, Namibia, Oman, Panama, Paraguay, Peru, </w:t>
      </w:r>
      <w:r w:rsidR="00833DE1">
        <w:t xml:space="preserve">the </w:t>
      </w:r>
      <w:r w:rsidRPr="00ED78BE">
        <w:t>Republic of Korea, South Africa, Sri Lanka, Tajikistan, Thailand and Uruguay.</w:t>
      </w:r>
    </w:p>
    <w:p w14:paraId="103842B4" w14:textId="43EB3983" w:rsidR="008517B4" w:rsidRPr="00ED78BE" w:rsidRDefault="008517B4" w:rsidP="00237524">
      <w:pPr>
        <w:pStyle w:val="Para1"/>
        <w:tabs>
          <w:tab w:val="clear" w:pos="360"/>
        </w:tabs>
        <w:rPr>
          <w:rFonts w:cs="Arial"/>
          <w:color w:val="222222"/>
          <w:shd w:val="clear" w:color="auto" w:fill="FFFFFF"/>
        </w:rPr>
      </w:pPr>
      <w:r w:rsidRPr="00ED78BE">
        <w:t>A statement was also made by a representative of Argentina.</w:t>
      </w:r>
    </w:p>
    <w:p w14:paraId="59639EC6" w14:textId="77777777" w:rsidR="008517B4" w:rsidRPr="00ED78BE" w:rsidRDefault="008517B4" w:rsidP="00237524">
      <w:pPr>
        <w:pStyle w:val="Para1"/>
        <w:tabs>
          <w:tab w:val="clear" w:pos="360"/>
        </w:tabs>
      </w:pPr>
      <w:r w:rsidRPr="00ED78BE">
        <w:t xml:space="preserve">Following the exchange of views, the Chair said that she would prepare a revised draft decision for consideration by the Working Group, </w:t>
      </w:r>
      <w:proofErr w:type="gramStart"/>
      <w:r w:rsidRPr="00ED78BE">
        <w:t>taking into account</w:t>
      </w:r>
      <w:proofErr w:type="gramEnd"/>
      <w:r w:rsidRPr="00ED78BE">
        <w:t xml:space="preserve"> the views expressed orally and submitted in writing.</w:t>
      </w:r>
    </w:p>
    <w:p w14:paraId="5DCEF249" w14:textId="77777777" w:rsidR="008517B4" w:rsidRPr="00ED78BE" w:rsidRDefault="008517B4" w:rsidP="00237524">
      <w:pPr>
        <w:pStyle w:val="Para1"/>
        <w:tabs>
          <w:tab w:val="clear" w:pos="360"/>
        </w:tabs>
      </w:pPr>
      <w:r w:rsidRPr="00ED78BE">
        <w:t>At its 7th meeting, on Wednesday 21 November, the Working Group considered the revised draft decision submitted by the Chair.</w:t>
      </w:r>
    </w:p>
    <w:p w14:paraId="6731CAFC" w14:textId="6329325B" w:rsidR="008517B4" w:rsidRPr="00ED78BE" w:rsidRDefault="008517B4" w:rsidP="00237524">
      <w:pPr>
        <w:pStyle w:val="Para1"/>
        <w:tabs>
          <w:tab w:val="clear" w:pos="360"/>
        </w:tabs>
      </w:pPr>
      <w:r w:rsidRPr="00ED78BE">
        <w:t>Statements were made by representatives of Belarus, Bolivia (</w:t>
      </w:r>
      <w:proofErr w:type="spellStart"/>
      <w:r w:rsidRPr="00ED78BE">
        <w:t>Plurinational</w:t>
      </w:r>
      <w:proofErr w:type="spellEnd"/>
      <w:r w:rsidRPr="00ED78BE">
        <w:t xml:space="preserve"> State of), Brazil, Cameroon, Colombia, Costa Rica, Egypt, </w:t>
      </w:r>
      <w:r w:rsidR="00256463">
        <w:t xml:space="preserve">the </w:t>
      </w:r>
      <w:r w:rsidRPr="00ED78BE">
        <w:t xml:space="preserve">European Union and its </w:t>
      </w:r>
      <w:proofErr w:type="gramStart"/>
      <w:r w:rsidRPr="00ED78BE">
        <w:t>28 member</w:t>
      </w:r>
      <w:proofErr w:type="gramEnd"/>
      <w:r w:rsidRPr="00ED78BE">
        <w:t xml:space="preserve"> States, Gabon, Honduras, Indonesia, Mexico, Namibia, Panama, Paraguay, Saudi Arabia, South Africa, Switzerland, Tajikistan</w:t>
      </w:r>
      <w:r w:rsidR="00042D4B" w:rsidRPr="00ED78BE">
        <w:t>, Uganda</w:t>
      </w:r>
      <w:r w:rsidRPr="00ED78BE">
        <w:t xml:space="preserve"> and Venezuela (Bolivarian Republic of).</w:t>
      </w:r>
    </w:p>
    <w:p w14:paraId="7C451809" w14:textId="4D43EE5F" w:rsidR="008517B4" w:rsidRPr="00ED78BE" w:rsidRDefault="008517B4" w:rsidP="00237524">
      <w:pPr>
        <w:pStyle w:val="Para1"/>
        <w:tabs>
          <w:tab w:val="clear" w:pos="360"/>
        </w:tabs>
        <w:rPr>
          <w:iCs/>
        </w:rPr>
      </w:pPr>
      <w:r w:rsidRPr="00ED78BE">
        <w:t>A further statement was delivered by a representative of Argentina.</w:t>
      </w:r>
    </w:p>
    <w:p w14:paraId="01B80018" w14:textId="77777777" w:rsidR="008517B4" w:rsidRPr="00ED78BE" w:rsidRDefault="008517B4" w:rsidP="00237524">
      <w:pPr>
        <w:pStyle w:val="Para1"/>
        <w:tabs>
          <w:tab w:val="clear" w:pos="360"/>
        </w:tabs>
        <w:rPr>
          <w:iCs/>
        </w:rPr>
      </w:pPr>
      <w:r w:rsidRPr="00ED78BE">
        <w:t>The Working Group agreed to hold informal discussions on unresolved text.</w:t>
      </w:r>
    </w:p>
    <w:p w14:paraId="0AE83EB6" w14:textId="421C9857" w:rsidR="008517B4" w:rsidRPr="00ED78BE" w:rsidRDefault="008517B4" w:rsidP="00237524">
      <w:pPr>
        <w:pStyle w:val="Para1"/>
        <w:tabs>
          <w:tab w:val="clear" w:pos="360"/>
        </w:tabs>
      </w:pPr>
      <w:r w:rsidRPr="00ED78BE">
        <w:t>At its 8th meeting, on 22 November 2018, the Working Group resumed consideration of the revised draft decision, including the amendments proposed based on the informal discussions.</w:t>
      </w:r>
    </w:p>
    <w:p w14:paraId="0ABA831F" w14:textId="77777777" w:rsidR="008517B4" w:rsidRPr="00ED78BE" w:rsidRDefault="008517B4" w:rsidP="00237524">
      <w:pPr>
        <w:pStyle w:val="Para1"/>
        <w:tabs>
          <w:tab w:val="clear" w:pos="360"/>
        </w:tabs>
      </w:pPr>
      <w:r w:rsidRPr="00ED78BE">
        <w:t>Statements were made by the representatives of Brazil, Panama, Paraguay and Uganda.</w:t>
      </w:r>
    </w:p>
    <w:p w14:paraId="11CC4E0A" w14:textId="5E0D15AC" w:rsidR="006C5568" w:rsidRPr="00ED78BE" w:rsidRDefault="008517B4" w:rsidP="00237524">
      <w:pPr>
        <w:pStyle w:val="Para1"/>
        <w:tabs>
          <w:tab w:val="clear" w:pos="360"/>
        </w:tabs>
      </w:pPr>
      <w:r w:rsidRPr="00ED78BE">
        <w:t>Following the exchange of views, the draft decision, as orally amended, was approved for transmission to the plenary as draft decision CBD/CP/MOP/9/L.2.</w:t>
      </w:r>
    </w:p>
    <w:p w14:paraId="65DAA355" w14:textId="62E1B536" w:rsidR="005878B8" w:rsidRPr="00965CA0" w:rsidRDefault="005878B8" w:rsidP="00237524">
      <w:pPr>
        <w:pStyle w:val="Para1"/>
        <w:tabs>
          <w:tab w:val="clear" w:pos="360"/>
        </w:tabs>
      </w:pPr>
      <w:r w:rsidRPr="00965CA0">
        <w:rPr>
          <w:bCs/>
        </w:rPr>
        <w:t xml:space="preserve">At the 5th plenary session of the meeting, on 25 November 2018, the Conference of the Parties </w:t>
      </w:r>
      <w:r w:rsidR="00D80A57" w:rsidRPr="00965CA0">
        <w:rPr>
          <w:bCs/>
        </w:rPr>
        <w:t xml:space="preserve">serving as the meeting of the Parties </w:t>
      </w:r>
      <w:r w:rsidR="00965CA0" w:rsidRPr="00965CA0">
        <w:t xml:space="preserve">to the Cartagena Protocol </w:t>
      </w:r>
      <w:r w:rsidR="00D80A57" w:rsidRPr="00965CA0">
        <w:rPr>
          <w:bCs/>
        </w:rPr>
        <w:t xml:space="preserve">adopted </w:t>
      </w:r>
      <w:r w:rsidRPr="00965CA0">
        <w:rPr>
          <w:bCs/>
        </w:rPr>
        <w:t xml:space="preserve">draft decision </w:t>
      </w:r>
      <w:r w:rsidR="00B33A4A" w:rsidRPr="00965CA0">
        <w:rPr>
          <w:bCs/>
        </w:rPr>
        <w:t>CBD/CP/</w:t>
      </w:r>
      <w:r w:rsidRPr="00965CA0">
        <w:rPr>
          <w:bCs/>
        </w:rPr>
        <w:t xml:space="preserve">MOP/9/L.2, as orally amended, as decision </w:t>
      </w:r>
      <w:r w:rsidR="007B1618" w:rsidRPr="00965CA0">
        <w:rPr>
          <w:bCs/>
        </w:rPr>
        <w:t>CP-</w:t>
      </w:r>
      <w:r w:rsidR="00765EA5" w:rsidRPr="00965CA0">
        <w:rPr>
          <w:bCs/>
        </w:rPr>
        <w:t>9</w:t>
      </w:r>
      <w:r w:rsidRPr="00965CA0">
        <w:rPr>
          <w:bCs/>
        </w:rPr>
        <w:t>/</w:t>
      </w:r>
      <w:r w:rsidR="00E61709" w:rsidRPr="00965CA0">
        <w:rPr>
          <w:bCs/>
        </w:rPr>
        <w:t>11</w:t>
      </w:r>
      <w:r w:rsidR="00161A3B" w:rsidRPr="00965CA0">
        <w:rPr>
          <w:bCs/>
        </w:rPr>
        <w:t xml:space="preserve"> </w:t>
      </w:r>
      <w:r w:rsidR="00161A3B" w:rsidRPr="00965CA0">
        <w:t>(</w:t>
      </w:r>
      <w:r w:rsidR="00161A3B" w:rsidRPr="00237524">
        <w:t>for the text, see chap.</w:t>
      </w:r>
      <w:r w:rsidR="00965CA0" w:rsidRPr="00237524">
        <w:t> I</w:t>
      </w:r>
      <w:r w:rsidR="00161A3B" w:rsidRPr="00965CA0">
        <w:t>)</w:t>
      </w:r>
      <w:r w:rsidR="00965CA0" w:rsidRPr="00965CA0">
        <w:t>.</w:t>
      </w:r>
    </w:p>
    <w:p w14:paraId="0FB8DB95" w14:textId="07F1CD5C" w:rsidR="00636A6E" w:rsidRPr="00ED78BE" w:rsidRDefault="00636A6E" w:rsidP="00237524">
      <w:pPr>
        <w:pStyle w:val="heading2-item0"/>
        <w:tabs>
          <w:tab w:val="clear" w:pos="720"/>
        </w:tabs>
        <w:ind w:left="1701" w:hanging="1134"/>
        <w:jc w:val="left"/>
      </w:pPr>
      <w:bookmarkStart w:id="106" w:name="_Toc879857"/>
      <w:bookmarkStart w:id="107" w:name="_Toc5612125"/>
      <w:r w:rsidRPr="00ED78BE">
        <w:t>ITEM 17.</w:t>
      </w:r>
      <w:r w:rsidRPr="00ED78BE">
        <w:tab/>
      </w:r>
      <w:r w:rsidRPr="00237524">
        <w:t>Transit and contained use of living modified organisms (Article 6)</w:t>
      </w:r>
      <w:bookmarkEnd w:id="106"/>
      <w:bookmarkEnd w:id="107"/>
    </w:p>
    <w:p w14:paraId="466BEA6E" w14:textId="16638A7D" w:rsidR="008517B4" w:rsidRPr="00ED78BE" w:rsidRDefault="008517B4" w:rsidP="00237524">
      <w:pPr>
        <w:pStyle w:val="Para1"/>
        <w:tabs>
          <w:tab w:val="clear" w:pos="360"/>
        </w:tabs>
      </w:pPr>
      <w:r w:rsidRPr="00ED78BE">
        <w:t>Working Group II took up agenda item 17 at its 2nd meeting, on 18 November 2018. In considering the item, the Working Group had before it a document containing a summary of the assessment on information registered in the Biosafety Clearing House under contained use carried out by the Compliance Committee under the Cartagena Protocol; a compilation of submissions on the contained use of living modified organisms received from Parties to the Protocol and other Governments; and suggested elements for a draft decision (CBD/CP/MOP/9/9).</w:t>
      </w:r>
    </w:p>
    <w:p w14:paraId="350D5088" w14:textId="1433365C" w:rsidR="008517B4" w:rsidRPr="00ED78BE" w:rsidRDefault="008517B4" w:rsidP="00237524">
      <w:pPr>
        <w:pStyle w:val="Para1"/>
        <w:tabs>
          <w:tab w:val="clear" w:pos="360"/>
        </w:tabs>
      </w:pPr>
      <w:r w:rsidRPr="00ED78BE">
        <w:t>Statements were made by representatives of Bolivia (</w:t>
      </w:r>
      <w:proofErr w:type="spellStart"/>
      <w:r w:rsidRPr="00ED78BE">
        <w:t>Plurinational</w:t>
      </w:r>
      <w:proofErr w:type="spellEnd"/>
      <w:r w:rsidRPr="00ED78BE">
        <w:t xml:space="preserve"> State of), Burundi, Ecuador, </w:t>
      </w:r>
      <w:proofErr w:type="spellStart"/>
      <w:r w:rsidR="00180A2D">
        <w:t>te</w:t>
      </w:r>
      <w:proofErr w:type="spellEnd"/>
      <w:r w:rsidR="00180A2D">
        <w:t xml:space="preserve"> </w:t>
      </w:r>
      <w:r w:rsidRPr="00ED78BE">
        <w:t xml:space="preserve">European Union and its </w:t>
      </w:r>
      <w:proofErr w:type="gramStart"/>
      <w:r w:rsidRPr="00ED78BE">
        <w:t>28 member</w:t>
      </w:r>
      <w:proofErr w:type="gramEnd"/>
      <w:r w:rsidRPr="00ED78BE">
        <w:t xml:space="preserve"> States, Gabon, Guatemala, Honduras, India, Indonesia, Kenya, Malawi, Mexico, Morocco, Namibia, Niger, Nigeria, Peru, Senegal, Switzerland, Thailand, Togo and </w:t>
      </w:r>
      <w:r w:rsidRPr="00ED78BE">
        <w:rPr>
          <w:bCs/>
          <w:color w:val="333333"/>
        </w:rPr>
        <w:t>Uganda</w:t>
      </w:r>
      <w:r w:rsidRPr="00ED78BE">
        <w:t>.</w:t>
      </w:r>
    </w:p>
    <w:p w14:paraId="5AD751B0" w14:textId="4C40C2C9" w:rsidR="008517B4" w:rsidRPr="00ED78BE" w:rsidRDefault="008517B4" w:rsidP="00237524">
      <w:pPr>
        <w:pStyle w:val="Para1"/>
        <w:tabs>
          <w:tab w:val="clear" w:pos="360"/>
        </w:tabs>
      </w:pPr>
      <w:r w:rsidRPr="00ED78BE">
        <w:t xml:space="preserve">A statement was also made by a representative of </w:t>
      </w:r>
      <w:r w:rsidR="00BE04C1">
        <w:t xml:space="preserve">the </w:t>
      </w:r>
      <w:r w:rsidRPr="00ED78BE">
        <w:t>Third World Network.</w:t>
      </w:r>
    </w:p>
    <w:p w14:paraId="1165B671" w14:textId="77777777" w:rsidR="008517B4" w:rsidRPr="00ED78BE" w:rsidRDefault="008517B4" w:rsidP="00237524">
      <w:pPr>
        <w:pStyle w:val="Para1"/>
        <w:tabs>
          <w:tab w:val="clear" w:pos="360"/>
        </w:tabs>
      </w:pPr>
      <w:r w:rsidRPr="00ED78BE">
        <w:t xml:space="preserve">Following the exchange of views, the Chair said that she would prepare a draft decision for consideration by the Working Group, </w:t>
      </w:r>
      <w:proofErr w:type="gramStart"/>
      <w:r w:rsidRPr="00ED78BE">
        <w:t>taking into account</w:t>
      </w:r>
      <w:proofErr w:type="gramEnd"/>
      <w:r w:rsidRPr="00ED78BE">
        <w:t xml:space="preserve"> the views expressed orally and submitted in writing and possibly in consultation with interested Parties.</w:t>
      </w:r>
    </w:p>
    <w:p w14:paraId="0614B6F1" w14:textId="03C498AF" w:rsidR="008517B4" w:rsidRPr="00ED78BE" w:rsidRDefault="008517B4" w:rsidP="00237524">
      <w:pPr>
        <w:pStyle w:val="Para1"/>
        <w:tabs>
          <w:tab w:val="clear" w:pos="360"/>
        </w:tabs>
      </w:pPr>
      <w:r w:rsidRPr="00ED78BE">
        <w:lastRenderedPageBreak/>
        <w:t>At its 10th meeting, on 25 November</w:t>
      </w:r>
      <w:r w:rsidR="00A12D8F">
        <w:t xml:space="preserve"> 2018</w:t>
      </w:r>
      <w:r w:rsidRPr="00ED78BE">
        <w:t>, the Working Group considered the draft decision submitted by the Chair.</w:t>
      </w:r>
    </w:p>
    <w:p w14:paraId="63BADD44" w14:textId="77777777" w:rsidR="008517B4" w:rsidRPr="00ED78BE" w:rsidRDefault="008517B4" w:rsidP="00237524">
      <w:pPr>
        <w:pStyle w:val="Para1"/>
        <w:tabs>
          <w:tab w:val="clear" w:pos="360"/>
        </w:tabs>
      </w:pPr>
      <w:r w:rsidRPr="00ED78BE">
        <w:t>Statements were made by representatives of Bolivia (</w:t>
      </w:r>
      <w:proofErr w:type="spellStart"/>
      <w:r w:rsidRPr="00ED78BE">
        <w:t>Plurinational</w:t>
      </w:r>
      <w:proofErr w:type="spellEnd"/>
      <w:r w:rsidRPr="00ED78BE">
        <w:t xml:space="preserve"> State of), Gabon, Honduras, Mexico, Panama and Switzerland.</w:t>
      </w:r>
    </w:p>
    <w:p w14:paraId="41CCA597" w14:textId="282218B0" w:rsidR="006C5568" w:rsidRPr="00ED78BE" w:rsidRDefault="008517B4" w:rsidP="00237524">
      <w:pPr>
        <w:pStyle w:val="Para1"/>
        <w:tabs>
          <w:tab w:val="clear" w:pos="360"/>
        </w:tabs>
      </w:pPr>
      <w:r w:rsidRPr="00ED78BE">
        <w:t>Following the exchange of views, the draft decision, as orally amended, was approved for transmission to the plenary as draft decision CBD/CP/MOP/9/L.7.</w:t>
      </w:r>
    </w:p>
    <w:p w14:paraId="2CAAC7A5" w14:textId="3F19EABC" w:rsidR="00641810" w:rsidRPr="00ED78BE" w:rsidRDefault="00641810" w:rsidP="00237524">
      <w:pPr>
        <w:pStyle w:val="Para1"/>
        <w:tabs>
          <w:tab w:val="clear" w:pos="360"/>
        </w:tabs>
      </w:pPr>
      <w:r w:rsidRPr="00ED78BE">
        <w:t xml:space="preserve">At the 7th plenary session of the meeting, on 28 November 2018, the Conference of the Parties </w:t>
      </w:r>
      <w:r w:rsidR="00EF475F" w:rsidRPr="00ED78BE">
        <w:t xml:space="preserve">serving as the meeting of the Parties </w:t>
      </w:r>
      <w:r w:rsidR="00F00E8A">
        <w:t xml:space="preserve">to the Cartagena Protocol </w:t>
      </w:r>
      <w:r w:rsidRPr="00ED78BE">
        <w:t>considered CBD/CP/MOP/9/L.7.</w:t>
      </w:r>
    </w:p>
    <w:p w14:paraId="62F9701D" w14:textId="4EF3546D" w:rsidR="006C5568" w:rsidRPr="00F00E8A" w:rsidRDefault="00641810" w:rsidP="00237524">
      <w:pPr>
        <w:pStyle w:val="Para1"/>
        <w:tabs>
          <w:tab w:val="clear" w:pos="360"/>
        </w:tabs>
      </w:pPr>
      <w:r w:rsidRPr="00F00E8A">
        <w:t xml:space="preserve">The Conference of the Parties </w:t>
      </w:r>
      <w:r w:rsidR="00EF475F" w:rsidRPr="00F00E8A">
        <w:t xml:space="preserve">serving as the meeting of the Parties </w:t>
      </w:r>
      <w:r w:rsidR="00F00E8A" w:rsidRPr="00F00E8A">
        <w:t xml:space="preserve">to the Cartagena Protocol </w:t>
      </w:r>
      <w:r w:rsidRPr="00F00E8A">
        <w:t>adopted draft decision CBD/CP/MOP/9/L.7 as decision CP-</w:t>
      </w:r>
      <w:r w:rsidR="000C72EA">
        <w:t>9</w:t>
      </w:r>
      <w:r w:rsidRPr="00F00E8A">
        <w:t>/</w:t>
      </w:r>
      <w:r w:rsidR="001629EB" w:rsidRPr="00F00E8A">
        <w:t>12</w:t>
      </w:r>
      <w:r w:rsidRPr="00F00E8A">
        <w:t xml:space="preserve"> (for the text, see chap.</w:t>
      </w:r>
      <w:r w:rsidR="00F00E8A" w:rsidRPr="00237524">
        <w:t> I</w:t>
      </w:r>
      <w:r w:rsidRPr="00F00E8A">
        <w:t>).</w:t>
      </w:r>
    </w:p>
    <w:p w14:paraId="164EF5B5" w14:textId="3B6BECF5" w:rsidR="00636A6E" w:rsidRPr="00ED78BE" w:rsidRDefault="00636A6E" w:rsidP="00237524">
      <w:pPr>
        <w:pStyle w:val="heading2-item0"/>
      </w:pPr>
      <w:bookmarkStart w:id="108" w:name="_Toc879858"/>
      <w:bookmarkStart w:id="109" w:name="_Toc5612126"/>
      <w:r w:rsidRPr="00ED78BE">
        <w:t>ITEM 18.</w:t>
      </w:r>
      <w:r w:rsidRPr="00ED78BE">
        <w:tab/>
      </w:r>
      <w:r w:rsidRPr="00237524">
        <w:t>Socio-economic considerations (Article 26)</w:t>
      </w:r>
      <w:bookmarkEnd w:id="108"/>
      <w:bookmarkEnd w:id="109"/>
    </w:p>
    <w:p w14:paraId="459A5901" w14:textId="4914ABE1" w:rsidR="008517B4" w:rsidRPr="00B8279C" w:rsidRDefault="008517B4" w:rsidP="00237524">
      <w:pPr>
        <w:pStyle w:val="Para1"/>
        <w:tabs>
          <w:tab w:val="clear" w:pos="360"/>
        </w:tabs>
      </w:pPr>
      <w:r w:rsidRPr="00B8279C">
        <w:t>Working Group II took up agenda item 18 at its 2nd meeting, on 18 November 2018. In considering the item, the Working Group had before it a document providing a summary of the face-to-face meeting of the Ad Hoc Technical Expert Group on Socio</w:t>
      </w:r>
      <w:r w:rsidRPr="00B8279C">
        <w:noBreakHyphen/>
      </w:r>
      <w:r w:rsidR="00B8279C" w:rsidRPr="00B8279C">
        <w:t>e</w:t>
      </w:r>
      <w:r w:rsidRPr="00B8279C">
        <w:t>conomic Considerations, held in Ljubljana from</w:t>
      </w:r>
      <w:r w:rsidR="00B8279C" w:rsidRPr="00B8279C">
        <w:t xml:space="preserve"> </w:t>
      </w:r>
      <w:r w:rsidRPr="00B8279C">
        <w:t>9 to 13</w:t>
      </w:r>
      <w:r w:rsidR="00B8279C" w:rsidRPr="00B8279C">
        <w:t> </w:t>
      </w:r>
      <w:r w:rsidRPr="00B8279C">
        <w:t>October 2017, and elements of a draft decision (CBD/CP/MOP/9/10). The full report of the meeting of the Ad Hoc Technical Expert Group was set out in document CBD/CP/SEC/AHTEG/2017/1/3.</w:t>
      </w:r>
    </w:p>
    <w:p w14:paraId="4D555E1E" w14:textId="6592605E" w:rsidR="008517B4" w:rsidRPr="00D43E0A" w:rsidRDefault="008517B4" w:rsidP="00237524">
      <w:pPr>
        <w:pStyle w:val="Para1"/>
        <w:tabs>
          <w:tab w:val="clear" w:pos="360"/>
        </w:tabs>
      </w:pPr>
      <w:r w:rsidRPr="00D43E0A">
        <w:t xml:space="preserve">Statements were made by representatives of Brazil, Cameroon, Colombia, </w:t>
      </w:r>
      <w:r w:rsidR="00D95465">
        <w:t xml:space="preserve">the </w:t>
      </w:r>
      <w:r w:rsidRPr="00D43E0A">
        <w:t xml:space="preserve">European Union and its </w:t>
      </w:r>
      <w:proofErr w:type="gramStart"/>
      <w:r w:rsidRPr="00D43E0A">
        <w:t>28 member</w:t>
      </w:r>
      <w:proofErr w:type="gramEnd"/>
      <w:r w:rsidRPr="00D43E0A">
        <w:t xml:space="preserve"> States, Honduras, Kenya, Mexico, Norway, </w:t>
      </w:r>
      <w:r w:rsidR="00D95465">
        <w:t xml:space="preserve">the </w:t>
      </w:r>
      <w:r w:rsidRPr="00D43E0A">
        <w:t>Philippines and South Africa.</w:t>
      </w:r>
    </w:p>
    <w:p w14:paraId="5F088E2C" w14:textId="77777777" w:rsidR="008517B4" w:rsidRPr="00D43E0A" w:rsidRDefault="008517B4" w:rsidP="00237524">
      <w:pPr>
        <w:pStyle w:val="Para1"/>
        <w:tabs>
          <w:tab w:val="clear" w:pos="360"/>
        </w:tabs>
      </w:pPr>
      <w:r w:rsidRPr="00D43E0A">
        <w:t>The Working Group resumed consideration of the item at its 3rd meeting, on 19 November 2018.</w:t>
      </w:r>
    </w:p>
    <w:p w14:paraId="66430FB0" w14:textId="3912BE4A" w:rsidR="008517B4" w:rsidRPr="00D43E0A" w:rsidRDefault="008517B4" w:rsidP="00237524">
      <w:pPr>
        <w:pStyle w:val="Para1"/>
        <w:tabs>
          <w:tab w:val="clear" w:pos="360"/>
        </w:tabs>
      </w:pPr>
      <w:r w:rsidRPr="00D43E0A">
        <w:t>Statements were made by representatives of Bolivia (</w:t>
      </w:r>
      <w:proofErr w:type="spellStart"/>
      <w:r w:rsidRPr="00D43E0A">
        <w:t>Plurinational</w:t>
      </w:r>
      <w:proofErr w:type="spellEnd"/>
      <w:r w:rsidRPr="00D43E0A">
        <w:t xml:space="preserve"> State of), China, Costa Rica, Cuba, </w:t>
      </w:r>
      <w:r w:rsidR="00D130CC">
        <w:t xml:space="preserve">the </w:t>
      </w:r>
      <w:r w:rsidRPr="00D43E0A">
        <w:t xml:space="preserve">Dominican Republic, Ecuador, Ethiopia, Gambia, Guatemala, India, Japan, Malaysia, Mali, Morocco, Namibia, Niger, Panama, Paraguay, Peru, Thailand, </w:t>
      </w:r>
      <w:r w:rsidR="00151A18">
        <w:t xml:space="preserve">the </w:t>
      </w:r>
      <w:r w:rsidRPr="00D43E0A">
        <w:t>United Republic of Tanzania, Uruguay and Venezuela (Bolivarian Republic of).</w:t>
      </w:r>
    </w:p>
    <w:p w14:paraId="1C9A10D9" w14:textId="33B71A9E" w:rsidR="00242445" w:rsidRPr="00D43E0A" w:rsidRDefault="00242445" w:rsidP="00237524">
      <w:pPr>
        <w:pStyle w:val="Para1"/>
        <w:tabs>
          <w:tab w:val="clear" w:pos="360"/>
        </w:tabs>
      </w:pPr>
      <w:r w:rsidRPr="00D43E0A">
        <w:t>A statement was also made by a representative of Argentina.</w:t>
      </w:r>
    </w:p>
    <w:p w14:paraId="35BDCDBF" w14:textId="1F1AF7C6" w:rsidR="008517B4" w:rsidRPr="00D43E0A" w:rsidRDefault="008517B4" w:rsidP="00237524">
      <w:pPr>
        <w:pStyle w:val="Para1"/>
        <w:tabs>
          <w:tab w:val="clear" w:pos="360"/>
        </w:tabs>
      </w:pPr>
      <w:r w:rsidRPr="00D43E0A">
        <w:t xml:space="preserve">Statements were also made by representatives of IIFB, </w:t>
      </w:r>
      <w:r w:rsidR="00AA41A4" w:rsidRPr="00D43E0A">
        <w:t>ISAAA</w:t>
      </w:r>
      <w:r w:rsidRPr="00D43E0A">
        <w:t xml:space="preserve">, </w:t>
      </w:r>
      <w:r w:rsidRPr="00237524">
        <w:rPr>
          <w:noProof/>
          <w:lang w:val="es-ES_tradnl"/>
        </w:rPr>
        <w:t>La Via Campesina</w:t>
      </w:r>
      <w:r w:rsidRPr="00D43E0A">
        <w:t xml:space="preserve"> and PRRI.</w:t>
      </w:r>
    </w:p>
    <w:p w14:paraId="4D8AE710" w14:textId="77777777" w:rsidR="008517B4" w:rsidRPr="00D43E0A" w:rsidRDefault="008517B4" w:rsidP="00237524">
      <w:pPr>
        <w:pStyle w:val="Para1"/>
        <w:tabs>
          <w:tab w:val="clear" w:pos="360"/>
        </w:tabs>
      </w:pPr>
      <w:r w:rsidRPr="00D43E0A">
        <w:t xml:space="preserve">The Working Group agreed to establish a contact group, chaired by Nathalie Campos </w:t>
      </w:r>
      <w:proofErr w:type="spellStart"/>
      <w:r w:rsidRPr="00D43E0A">
        <w:t>Reales</w:t>
      </w:r>
      <w:proofErr w:type="spellEnd"/>
      <w:r w:rsidRPr="00D43E0A">
        <w:t xml:space="preserve"> (Mexico), to pursue the discussion.</w:t>
      </w:r>
    </w:p>
    <w:p w14:paraId="6E34ED2E" w14:textId="68A02711" w:rsidR="006C5568" w:rsidRPr="00ED78BE" w:rsidRDefault="008517B4" w:rsidP="00237524">
      <w:pPr>
        <w:pStyle w:val="Para1"/>
        <w:tabs>
          <w:tab w:val="clear" w:pos="360"/>
        </w:tabs>
      </w:pPr>
      <w:r w:rsidRPr="00ED78BE" w:rsidDel="0003066E">
        <w:t xml:space="preserve"> </w:t>
      </w:r>
      <w:r w:rsidRPr="00ED78BE">
        <w:rPr>
          <w:lang w:eastAsia="fr-FR"/>
        </w:rPr>
        <w:t xml:space="preserve">At its 17th meeting, on 28 November 2018, the Working Group considered </w:t>
      </w:r>
      <w:r w:rsidR="00042D4B" w:rsidRPr="00ED78BE">
        <w:rPr>
          <w:lang w:eastAsia="fr-FR"/>
        </w:rPr>
        <w:t xml:space="preserve">a </w:t>
      </w:r>
      <w:r w:rsidRPr="00ED78BE">
        <w:t>revised version of the draft decision and approved it for transmission to p</w:t>
      </w:r>
      <w:r w:rsidR="001012CC" w:rsidRPr="00ED78BE">
        <w:t>lenary as draft decision CBD/CP/</w:t>
      </w:r>
      <w:r w:rsidRPr="00ED78BE">
        <w:t>MOP/9/L.12.</w:t>
      </w:r>
    </w:p>
    <w:p w14:paraId="0A028504" w14:textId="6307A398" w:rsidR="00B9054C" w:rsidRPr="00ED78BE" w:rsidRDefault="00B9054C" w:rsidP="00237524">
      <w:pPr>
        <w:pStyle w:val="Para1"/>
        <w:tabs>
          <w:tab w:val="clear" w:pos="360"/>
        </w:tabs>
      </w:pPr>
      <w:r w:rsidRPr="00ED78BE">
        <w:t xml:space="preserve">At the 7th plenary session of the meeting, on 28 November 2018, the Conference of the Parties </w:t>
      </w:r>
      <w:r w:rsidR="00EF475F" w:rsidRPr="00ED78BE">
        <w:t xml:space="preserve">serving as the meeting of the Parties </w:t>
      </w:r>
      <w:r w:rsidR="004A64C0">
        <w:t xml:space="preserve">to the Cartagena Protocol </w:t>
      </w:r>
      <w:r w:rsidRPr="00ED78BE">
        <w:t>considered CBD/CP/MOP/9/L.12.</w:t>
      </w:r>
    </w:p>
    <w:p w14:paraId="7F7BE209" w14:textId="67FAB755" w:rsidR="006C5568" w:rsidRPr="00DB2843" w:rsidRDefault="00B9054C" w:rsidP="00237524">
      <w:pPr>
        <w:pStyle w:val="Para1"/>
        <w:tabs>
          <w:tab w:val="clear" w:pos="360"/>
        </w:tabs>
      </w:pPr>
      <w:r w:rsidRPr="00DB2843">
        <w:t xml:space="preserve">The Conference of the Parties </w:t>
      </w:r>
      <w:r w:rsidR="00EF475F" w:rsidRPr="00DB2843">
        <w:t xml:space="preserve">serving as the meeting of the Parties </w:t>
      </w:r>
      <w:r w:rsidR="004A64C0">
        <w:t xml:space="preserve">to the Cartagena Protocol </w:t>
      </w:r>
      <w:r w:rsidRPr="00DB2843">
        <w:t>adopted draft decision CBD/CP/MOP/9/L.12 as decision CP-</w:t>
      </w:r>
      <w:r w:rsidR="000C72EA">
        <w:t>9</w:t>
      </w:r>
      <w:r w:rsidRPr="00DB2843">
        <w:t>/</w:t>
      </w:r>
      <w:r w:rsidR="001629EB" w:rsidRPr="00DB2843">
        <w:t>14</w:t>
      </w:r>
      <w:r w:rsidRPr="00DB2843">
        <w:t xml:space="preserve"> (for the text, see chap.</w:t>
      </w:r>
      <w:r w:rsidR="00DB2843" w:rsidRPr="00237524">
        <w:t> I</w:t>
      </w:r>
      <w:r w:rsidRPr="00DB2843">
        <w:t>).</w:t>
      </w:r>
    </w:p>
    <w:p w14:paraId="4E9B7BDD" w14:textId="2C849368" w:rsidR="00636A6E" w:rsidRPr="00ED78BE" w:rsidRDefault="00636A6E" w:rsidP="00237524">
      <w:pPr>
        <w:pStyle w:val="heading2-item0"/>
        <w:ind w:left="1985" w:hanging="1418"/>
        <w:jc w:val="left"/>
      </w:pPr>
      <w:bookmarkStart w:id="110" w:name="_Toc879859"/>
      <w:bookmarkStart w:id="111" w:name="_Toc5612127"/>
      <w:r w:rsidRPr="00ED78BE">
        <w:t>ITEM 19.</w:t>
      </w:r>
      <w:r w:rsidRPr="00ED78BE">
        <w:tab/>
      </w:r>
      <w:r w:rsidRPr="00237524">
        <w:t>Nagoya – Kuala Lumpur Supplementary Protocol on Liability and Redress</w:t>
      </w:r>
      <w:bookmarkEnd w:id="110"/>
      <w:bookmarkEnd w:id="111"/>
    </w:p>
    <w:p w14:paraId="347497E8" w14:textId="4F9AF07C" w:rsidR="008517B4" w:rsidRPr="00ED78BE" w:rsidRDefault="008517B4" w:rsidP="00237524">
      <w:pPr>
        <w:pStyle w:val="Para1"/>
        <w:tabs>
          <w:tab w:val="clear" w:pos="360"/>
        </w:tabs>
      </w:pPr>
      <w:r w:rsidRPr="00ED78BE">
        <w:t xml:space="preserve">Working Group II took up agenda item 19 at its 2nd meeting, on 18 November 2018. In considering the item, the Working Group had before it a </w:t>
      </w:r>
      <w:r w:rsidR="00771974">
        <w:t>note by the Executive Secretary</w:t>
      </w:r>
      <w:r w:rsidR="00771974" w:rsidRPr="00ED78BE">
        <w:t xml:space="preserve"> </w:t>
      </w:r>
      <w:r w:rsidRPr="00ED78BE">
        <w:t>containing an overview of the current status of the Nagoya</w:t>
      </w:r>
      <w:r w:rsidR="00242445" w:rsidRPr="00ED78BE">
        <w:t xml:space="preserve"> – </w:t>
      </w:r>
      <w:r w:rsidRPr="00ED78BE">
        <w:t>Kuala Lumpur Supplementary Protocol on Liability and Redress</w:t>
      </w:r>
      <w:r w:rsidR="00771974">
        <w:t>,</w:t>
      </w:r>
      <w:r w:rsidRPr="00ED78BE">
        <w:t xml:space="preserve"> a summary of the activities carried out by the </w:t>
      </w:r>
      <w:r w:rsidR="00242445" w:rsidRPr="00ED78BE">
        <w:t>S</w:t>
      </w:r>
      <w:r w:rsidRPr="00ED78BE">
        <w:t>ecretariat to raise awareness and support the implementation of the Supplementary Protocol</w:t>
      </w:r>
      <w:r w:rsidR="00771974">
        <w:t>,</w:t>
      </w:r>
      <w:r w:rsidRPr="00ED78BE">
        <w:t xml:space="preserve"> an outline of the next steps to be taken after its entry into force</w:t>
      </w:r>
      <w:r w:rsidR="00771974">
        <w:t>,</w:t>
      </w:r>
      <w:r w:rsidRPr="00ED78BE">
        <w:t xml:space="preserve"> and elements of a draft decision (CBD/CP/MOP/9/11).</w:t>
      </w:r>
    </w:p>
    <w:p w14:paraId="77F473DF" w14:textId="63C2DB25" w:rsidR="008517B4" w:rsidRPr="00ED78BE" w:rsidRDefault="008517B4" w:rsidP="00237524">
      <w:pPr>
        <w:pStyle w:val="Para1"/>
        <w:tabs>
          <w:tab w:val="clear" w:pos="360"/>
        </w:tabs>
      </w:pPr>
      <w:r w:rsidRPr="00ED78BE">
        <w:t xml:space="preserve">Statements were made by representatives of </w:t>
      </w:r>
      <w:r w:rsidR="004E3659">
        <w:t xml:space="preserve">the </w:t>
      </w:r>
      <w:r w:rsidRPr="00ED78BE">
        <w:t xml:space="preserve">European Union and its </w:t>
      </w:r>
      <w:proofErr w:type="gramStart"/>
      <w:r w:rsidRPr="00ED78BE">
        <w:t>28 member</w:t>
      </w:r>
      <w:proofErr w:type="gramEnd"/>
      <w:r w:rsidRPr="00ED78BE">
        <w:t xml:space="preserve"> States, Mexico and Tajikistan.</w:t>
      </w:r>
    </w:p>
    <w:p w14:paraId="780E34FC" w14:textId="77777777" w:rsidR="008517B4" w:rsidRPr="00ED78BE" w:rsidRDefault="008517B4" w:rsidP="00237524">
      <w:pPr>
        <w:pStyle w:val="Para1"/>
        <w:tabs>
          <w:tab w:val="clear" w:pos="360"/>
        </w:tabs>
      </w:pPr>
      <w:r w:rsidRPr="00ED78BE">
        <w:lastRenderedPageBreak/>
        <w:t xml:space="preserve">Following the exchange of views, the Chair said that she would prepare a draft decision for consideration by the Working Group, </w:t>
      </w:r>
      <w:proofErr w:type="gramStart"/>
      <w:r w:rsidRPr="00ED78BE">
        <w:t>taking into account</w:t>
      </w:r>
      <w:proofErr w:type="gramEnd"/>
      <w:r w:rsidRPr="00ED78BE">
        <w:t xml:space="preserve"> the views expressed orally and submitted in writing.</w:t>
      </w:r>
    </w:p>
    <w:p w14:paraId="541394DE" w14:textId="77777777" w:rsidR="008517B4" w:rsidRPr="00ED78BE" w:rsidRDefault="008517B4" w:rsidP="00237524">
      <w:pPr>
        <w:pStyle w:val="Para1"/>
        <w:tabs>
          <w:tab w:val="clear" w:pos="360"/>
        </w:tabs>
        <w:rPr>
          <w:rStyle w:val="normaltextrun"/>
          <w:szCs w:val="24"/>
        </w:rPr>
      </w:pPr>
      <w:r w:rsidRPr="00ED78BE">
        <w:rPr>
          <w:rStyle w:val="normaltextrun"/>
          <w:szCs w:val="24"/>
        </w:rPr>
        <w:t>At its 7th meeting, on 21 November 2018, the Working Group began its consideration of a draft decision submitted by the Chair.</w:t>
      </w:r>
    </w:p>
    <w:p w14:paraId="0E42E317" w14:textId="77777777" w:rsidR="008517B4" w:rsidRPr="00ED78BE" w:rsidRDefault="008517B4" w:rsidP="00237524">
      <w:pPr>
        <w:pStyle w:val="Para1"/>
        <w:tabs>
          <w:tab w:val="clear" w:pos="360"/>
        </w:tabs>
        <w:rPr>
          <w:rStyle w:val="normaltextrun"/>
          <w:szCs w:val="24"/>
        </w:rPr>
      </w:pPr>
      <w:r w:rsidRPr="00ED78BE">
        <w:rPr>
          <w:rStyle w:val="normaltextrun"/>
          <w:szCs w:val="24"/>
        </w:rPr>
        <w:t>Statements were made by representatives of Brazil and Venezuela (Bolivarian Republic of).</w:t>
      </w:r>
    </w:p>
    <w:p w14:paraId="370EA60C" w14:textId="11F850D5" w:rsidR="008517B4" w:rsidRPr="00ED78BE" w:rsidRDefault="008517B4" w:rsidP="00237524">
      <w:pPr>
        <w:pStyle w:val="Para1"/>
        <w:tabs>
          <w:tab w:val="clear" w:pos="360"/>
        </w:tabs>
        <w:rPr>
          <w:rStyle w:val="normaltextrun"/>
        </w:rPr>
      </w:pPr>
      <w:r w:rsidRPr="00ED78BE">
        <w:rPr>
          <w:rStyle w:val="normaltextrun"/>
          <w:szCs w:val="24"/>
        </w:rPr>
        <w:t>A further statement was made by a representative of Argentina.</w:t>
      </w:r>
    </w:p>
    <w:p w14:paraId="4804F925" w14:textId="77777777" w:rsidR="008517B4" w:rsidRPr="00ED78BE" w:rsidRDefault="008517B4" w:rsidP="00237524">
      <w:pPr>
        <w:pStyle w:val="Para1"/>
        <w:tabs>
          <w:tab w:val="clear" w:pos="360"/>
        </w:tabs>
      </w:pPr>
      <w:r w:rsidRPr="00ED78BE">
        <w:t xml:space="preserve">At its 8th meeting, on 22 November 2018, the Working Group </w:t>
      </w:r>
      <w:r w:rsidRPr="00ED78BE">
        <w:rPr>
          <w:bCs/>
        </w:rPr>
        <w:t>resumed consideration of</w:t>
      </w:r>
      <w:r w:rsidRPr="00ED78BE">
        <w:t xml:space="preserve"> the draft decision.</w:t>
      </w:r>
    </w:p>
    <w:p w14:paraId="01D6D1AB" w14:textId="0CD3C69F" w:rsidR="008517B4" w:rsidRPr="00ED78BE" w:rsidRDefault="008517B4" w:rsidP="00237524">
      <w:pPr>
        <w:pStyle w:val="Para1"/>
        <w:tabs>
          <w:tab w:val="clear" w:pos="360"/>
        </w:tabs>
      </w:pPr>
      <w:r w:rsidRPr="00ED78BE">
        <w:t xml:space="preserve">Comments were made by representatives of Brazil, Cuba, Gabon, </w:t>
      </w:r>
      <w:r w:rsidR="0036509D">
        <w:t xml:space="preserve">the </w:t>
      </w:r>
      <w:r w:rsidRPr="00ED78BE">
        <w:t xml:space="preserve">European Union and its </w:t>
      </w:r>
      <w:proofErr w:type="gramStart"/>
      <w:r w:rsidRPr="00ED78BE">
        <w:t>28 member</w:t>
      </w:r>
      <w:proofErr w:type="gramEnd"/>
      <w:r w:rsidRPr="00ED78BE">
        <w:t xml:space="preserve"> States, Switzerland, Venezuela (Bolivarian Republic of) and Viet Nam.</w:t>
      </w:r>
    </w:p>
    <w:p w14:paraId="29363CB4" w14:textId="7E41B598" w:rsidR="008517B4" w:rsidRPr="00ED78BE" w:rsidRDefault="008517B4" w:rsidP="00237524">
      <w:pPr>
        <w:pStyle w:val="Para1"/>
        <w:tabs>
          <w:tab w:val="clear" w:pos="360"/>
        </w:tabs>
      </w:pPr>
      <w:r w:rsidRPr="00ED78BE">
        <w:t>Comments were also made by representatives of Argentina.</w:t>
      </w:r>
    </w:p>
    <w:p w14:paraId="20C385FC" w14:textId="39E08D98" w:rsidR="008517B4" w:rsidRPr="00ED78BE" w:rsidRDefault="008517B4" w:rsidP="00237524">
      <w:pPr>
        <w:pStyle w:val="Para1"/>
        <w:tabs>
          <w:tab w:val="clear" w:pos="360"/>
        </w:tabs>
      </w:pPr>
      <w:r w:rsidRPr="00ED78BE">
        <w:t xml:space="preserve">The Working Group agreed to hold informal discussions </w:t>
      </w:r>
      <w:r w:rsidR="00DF7280">
        <w:t>regarding</w:t>
      </w:r>
      <w:r w:rsidR="00DF7280" w:rsidRPr="00ED78BE">
        <w:t xml:space="preserve"> </w:t>
      </w:r>
      <w:r w:rsidRPr="00ED78BE">
        <w:t>text on which agreement had not been reached.</w:t>
      </w:r>
    </w:p>
    <w:p w14:paraId="3DEBAC38" w14:textId="76A4BFFB" w:rsidR="006C5568" w:rsidRPr="00ED78BE" w:rsidRDefault="008517B4" w:rsidP="00237524">
      <w:pPr>
        <w:pStyle w:val="Para1"/>
        <w:tabs>
          <w:tab w:val="clear" w:pos="360"/>
        </w:tabs>
      </w:pPr>
      <w:r w:rsidRPr="00ED78BE">
        <w:t>Following the informal discussions, the Working Group approved the draft decision, as orally amended, for transmission to the plenary as draft decision CBD/CP/MOP/9/L.</w:t>
      </w:r>
      <w:r w:rsidR="00E915A0" w:rsidRPr="00ED78BE">
        <w:t>4</w:t>
      </w:r>
      <w:r w:rsidRPr="00ED78BE">
        <w:t>.</w:t>
      </w:r>
    </w:p>
    <w:p w14:paraId="5D8A2E3B" w14:textId="2965F021" w:rsidR="00641810" w:rsidRPr="0072356D" w:rsidRDefault="00641810" w:rsidP="00237524">
      <w:pPr>
        <w:pStyle w:val="Para1"/>
        <w:tabs>
          <w:tab w:val="clear" w:pos="360"/>
        </w:tabs>
      </w:pPr>
      <w:r w:rsidRPr="0072356D">
        <w:t xml:space="preserve">At the 7th plenary session of the meeting, on 28 November 2018, the Conference of the Parties </w:t>
      </w:r>
      <w:r w:rsidR="00EF475F" w:rsidRPr="0072356D">
        <w:t xml:space="preserve">serving as the meeting of the Parties </w:t>
      </w:r>
      <w:r w:rsidR="00DF7280" w:rsidRPr="0072356D">
        <w:t xml:space="preserve">to the Cartagena Protocol </w:t>
      </w:r>
      <w:r w:rsidRPr="0072356D">
        <w:t>considered CBD/CP/MOP/9/L.4.</w:t>
      </w:r>
    </w:p>
    <w:p w14:paraId="153ABF81" w14:textId="18581AA3" w:rsidR="006C5568" w:rsidRPr="0072356D" w:rsidRDefault="00641810" w:rsidP="00237524">
      <w:pPr>
        <w:pStyle w:val="Para1"/>
        <w:tabs>
          <w:tab w:val="clear" w:pos="360"/>
        </w:tabs>
      </w:pPr>
      <w:r w:rsidRPr="0072356D">
        <w:t xml:space="preserve">The Conference of the Parties </w:t>
      </w:r>
      <w:r w:rsidR="00EF475F" w:rsidRPr="0072356D">
        <w:t xml:space="preserve">serving as the meeting of the Parties </w:t>
      </w:r>
      <w:r w:rsidR="001F32A5" w:rsidRPr="0072356D">
        <w:t xml:space="preserve">to the Cartagena Protocol </w:t>
      </w:r>
      <w:r w:rsidRPr="0072356D">
        <w:t>adopted draft decision CBD/CP/MOP/9/L.4 as decision CP-</w:t>
      </w:r>
      <w:r w:rsidR="000C72EA">
        <w:t>9</w:t>
      </w:r>
      <w:r w:rsidRPr="0072356D">
        <w:t>/</w:t>
      </w:r>
      <w:r w:rsidR="00E61709" w:rsidRPr="0072356D">
        <w:t>15</w:t>
      </w:r>
      <w:r w:rsidRPr="0072356D">
        <w:t xml:space="preserve"> (for the text, see chap.</w:t>
      </w:r>
      <w:r w:rsidR="001F32A5" w:rsidRPr="00237524">
        <w:t> I</w:t>
      </w:r>
      <w:r w:rsidRPr="0072356D">
        <w:t>)</w:t>
      </w:r>
      <w:r w:rsidR="006C5568" w:rsidRPr="0072356D">
        <w:t>.</w:t>
      </w:r>
    </w:p>
    <w:p w14:paraId="09D18591" w14:textId="77777777" w:rsidR="00495B7A" w:rsidRPr="00ED78BE" w:rsidRDefault="00F43C9E" w:rsidP="00237524">
      <w:pPr>
        <w:pStyle w:val="heading2-item0"/>
        <w:tabs>
          <w:tab w:val="clear" w:pos="720"/>
          <w:tab w:val="left" w:pos="1134"/>
        </w:tabs>
      </w:pPr>
      <w:bookmarkStart w:id="112" w:name="_Toc879860"/>
      <w:bookmarkStart w:id="113" w:name="_Toc5612128"/>
      <w:r w:rsidRPr="00ED78BE">
        <w:t>Item 20.</w:t>
      </w:r>
      <w:r w:rsidRPr="00ED78BE">
        <w:tab/>
        <w:t>Other matters</w:t>
      </w:r>
      <w:bookmarkEnd w:id="112"/>
      <w:bookmarkEnd w:id="113"/>
    </w:p>
    <w:p w14:paraId="45FDCD03" w14:textId="1A11C573" w:rsidR="006C5568" w:rsidRPr="00ED78BE" w:rsidRDefault="00CA6ECD" w:rsidP="00237524">
      <w:pPr>
        <w:pStyle w:val="Para1"/>
        <w:tabs>
          <w:tab w:val="clear" w:pos="360"/>
        </w:tabs>
      </w:pPr>
      <w:r w:rsidRPr="00ED78BE">
        <w:t>No other matters were considered.</w:t>
      </w:r>
    </w:p>
    <w:p w14:paraId="34AED4EA" w14:textId="77777777" w:rsidR="00495B7A" w:rsidRPr="00ED78BE" w:rsidRDefault="00C20F5D" w:rsidP="00237524">
      <w:pPr>
        <w:pStyle w:val="heading2-item0"/>
        <w:tabs>
          <w:tab w:val="clear" w:pos="720"/>
          <w:tab w:val="left" w:pos="1134"/>
        </w:tabs>
      </w:pPr>
      <w:bookmarkStart w:id="114" w:name="_Toc879861"/>
      <w:bookmarkStart w:id="115" w:name="_Toc5612129"/>
      <w:r w:rsidRPr="00ED78BE">
        <w:t>Item 21.</w:t>
      </w:r>
      <w:r w:rsidRPr="00ED78BE">
        <w:tab/>
        <w:t>Adoption of the report</w:t>
      </w:r>
      <w:bookmarkEnd w:id="114"/>
      <w:bookmarkEnd w:id="115"/>
    </w:p>
    <w:p w14:paraId="322AF345" w14:textId="640406B2" w:rsidR="00975058" w:rsidRPr="00ED78BE" w:rsidRDefault="00975058" w:rsidP="00237524">
      <w:pPr>
        <w:pStyle w:val="Para1"/>
        <w:tabs>
          <w:tab w:val="clear" w:pos="360"/>
        </w:tabs>
      </w:pPr>
      <w:r w:rsidRPr="00ED78BE">
        <w:t xml:space="preserve">The present report was adopted at the </w:t>
      </w:r>
      <w:r w:rsidR="00020F94" w:rsidRPr="00ED78BE">
        <w:t>8th</w:t>
      </w:r>
      <w:r w:rsidRPr="00ED78BE">
        <w:t xml:space="preserve"> plenary session of the meeting, on </w:t>
      </w:r>
      <w:r w:rsidR="00020F94" w:rsidRPr="00ED78BE">
        <w:t>29 November</w:t>
      </w:r>
      <w:r w:rsidR="00953C1E" w:rsidRPr="00ED78BE">
        <w:t xml:space="preserve"> </w:t>
      </w:r>
      <w:r w:rsidRPr="00ED78BE">
        <w:t>201</w:t>
      </w:r>
      <w:r w:rsidR="00953C1E" w:rsidRPr="00ED78BE">
        <w:t>8</w:t>
      </w:r>
      <w:r w:rsidRPr="00ED78BE">
        <w:t xml:space="preserve">, </w:t>
      </w:r>
      <w:proofErr w:type="gramStart"/>
      <w:r w:rsidRPr="00ED78BE">
        <w:t>on the basis of</w:t>
      </w:r>
      <w:proofErr w:type="gramEnd"/>
      <w:r w:rsidRPr="00ED78BE">
        <w:t xml:space="preserve"> the draft report pr</w:t>
      </w:r>
      <w:r w:rsidR="00895EE2" w:rsidRPr="00ED78BE">
        <w:t>esented by the Rapporteur (</w:t>
      </w:r>
      <w:r w:rsidRPr="00ED78BE">
        <w:t>CBD/CP/MOP/9/L.1)</w:t>
      </w:r>
      <w:r w:rsidR="008F469E" w:rsidRPr="00ED78BE">
        <w:t xml:space="preserve">, </w:t>
      </w:r>
      <w:r w:rsidR="007D1281">
        <w:t xml:space="preserve">and </w:t>
      </w:r>
      <w:r w:rsidR="008F469E" w:rsidRPr="00ED78BE">
        <w:t>on the understanding that the Rapporteur would be entrusted with its finalization</w:t>
      </w:r>
      <w:r w:rsidRPr="00ED78BE">
        <w:t>.</w:t>
      </w:r>
    </w:p>
    <w:p w14:paraId="34C364E0" w14:textId="77777777" w:rsidR="00495B7A" w:rsidRPr="00ED78BE" w:rsidRDefault="00C20F5D" w:rsidP="00237524">
      <w:pPr>
        <w:pStyle w:val="heading2-item0"/>
        <w:tabs>
          <w:tab w:val="clear" w:pos="720"/>
          <w:tab w:val="left" w:pos="1134"/>
        </w:tabs>
      </w:pPr>
      <w:bookmarkStart w:id="116" w:name="_Toc879862"/>
      <w:bookmarkStart w:id="117" w:name="_Toc5612130"/>
      <w:r w:rsidRPr="00ED78BE">
        <w:t>Item 22.</w:t>
      </w:r>
      <w:r w:rsidR="004A7881" w:rsidRPr="00ED78BE">
        <w:tab/>
      </w:r>
      <w:r w:rsidRPr="00ED78BE">
        <w:t>Closure of the meeting</w:t>
      </w:r>
      <w:bookmarkEnd w:id="116"/>
      <w:bookmarkEnd w:id="117"/>
    </w:p>
    <w:p w14:paraId="4701B1CD" w14:textId="5F616A73" w:rsidR="00121663" w:rsidRPr="00237524" w:rsidRDefault="00DA581B" w:rsidP="004934FA">
      <w:pPr>
        <w:pStyle w:val="Para1"/>
        <w:tabs>
          <w:tab w:val="clear" w:pos="360"/>
        </w:tabs>
        <w:rPr>
          <w:i/>
        </w:rPr>
      </w:pPr>
      <w:r w:rsidRPr="00ED78BE">
        <w:rPr>
          <w:lang w:eastAsia="en-CA"/>
        </w:rPr>
        <w:t>T</w:t>
      </w:r>
      <w:r w:rsidR="00C20F5D" w:rsidRPr="00ED78BE">
        <w:rPr>
          <w:lang w:eastAsia="en-CA"/>
        </w:rPr>
        <w:t xml:space="preserve">he </w:t>
      </w:r>
      <w:r w:rsidR="008F469E" w:rsidRPr="00ED78BE">
        <w:rPr>
          <w:lang w:eastAsia="en-CA"/>
        </w:rPr>
        <w:t xml:space="preserve">President declared the </w:t>
      </w:r>
      <w:r w:rsidR="00C20F5D" w:rsidRPr="00ED78BE">
        <w:rPr>
          <w:lang w:eastAsia="en-CA"/>
        </w:rPr>
        <w:t xml:space="preserve">ninth meeting of the Conference of the Parties serving as the meeting of the Parties to the Cartagena Protocol closed </w:t>
      </w:r>
      <w:r w:rsidR="008F469E" w:rsidRPr="00ED78BE">
        <w:rPr>
          <w:lang w:eastAsia="en-CA"/>
        </w:rPr>
        <w:t xml:space="preserve">at </w:t>
      </w:r>
      <w:r w:rsidR="00B5628C" w:rsidRPr="00ED78BE">
        <w:t>9 p.m.</w:t>
      </w:r>
      <w:r w:rsidR="008F469E" w:rsidRPr="00ED78BE">
        <w:t xml:space="preserve"> </w:t>
      </w:r>
      <w:r w:rsidR="00C20F5D" w:rsidRPr="00ED78BE">
        <w:rPr>
          <w:lang w:eastAsia="en-CA"/>
        </w:rPr>
        <w:t xml:space="preserve">on </w:t>
      </w:r>
      <w:r w:rsidR="00B5628C" w:rsidRPr="00ED78BE">
        <w:t xml:space="preserve">29 </w:t>
      </w:r>
      <w:r w:rsidR="00C20F5D" w:rsidRPr="00ED78BE">
        <w:rPr>
          <w:lang w:eastAsia="en-CA"/>
        </w:rPr>
        <w:t>November 2018</w:t>
      </w:r>
      <w:r w:rsidR="00C20F5D" w:rsidRPr="00ED78BE">
        <w:t>.</w:t>
      </w:r>
    </w:p>
    <w:p w14:paraId="242CEEC3" w14:textId="03D94830" w:rsidR="00DA6E4C" w:rsidRPr="00DA6E4C" w:rsidRDefault="00DA6E4C" w:rsidP="00237524">
      <w:pPr>
        <w:pStyle w:val="Para1"/>
        <w:numPr>
          <w:ilvl w:val="0"/>
          <w:numId w:val="0"/>
        </w:numPr>
        <w:jc w:val="center"/>
        <w:rPr>
          <w:i/>
        </w:rPr>
      </w:pPr>
      <w:r w:rsidRPr="00DA6E4C">
        <w:t>__________</w:t>
      </w:r>
      <w:bookmarkStart w:id="118" w:name="_GoBack"/>
      <w:bookmarkEnd w:id="118"/>
    </w:p>
    <w:sectPr w:rsidR="00DA6E4C" w:rsidRPr="00DA6E4C" w:rsidSect="00237524">
      <w:type w:val="continuous"/>
      <w:pgSz w:w="12240" w:h="15840" w:code="1"/>
      <w:pgMar w:top="1021" w:right="1440" w:bottom="1134" w:left="1440" w:header="459"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3D567" w14:textId="77777777" w:rsidR="00CF43BA" w:rsidRDefault="00CF43BA">
      <w:r>
        <w:separator/>
      </w:r>
    </w:p>
  </w:endnote>
  <w:endnote w:type="continuationSeparator" w:id="0">
    <w:p w14:paraId="29D6DAF9" w14:textId="77777777" w:rsidR="00CF43BA" w:rsidRDefault="00CF43BA">
      <w:r>
        <w:continuationSeparator/>
      </w:r>
    </w:p>
  </w:endnote>
  <w:endnote w:type="continuationNotice" w:id="1">
    <w:p w14:paraId="0BF8BF51" w14:textId="77777777" w:rsidR="00CF43BA" w:rsidRDefault="00CF4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17F16" w14:textId="77777777" w:rsidR="00CF43BA" w:rsidRDefault="00CF43BA">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FDD9A" w14:textId="77777777" w:rsidR="00CF43BA" w:rsidRDefault="00CF43BA">
    <w:pPr>
      <w:pStyle w:val="Footer"/>
      <w:tabs>
        <w:tab w:val="clear" w:pos="4320"/>
        <w:tab w:val="clear" w:pos="8640"/>
      </w:tabs>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6A853" w14:textId="77777777" w:rsidR="00CF43BA" w:rsidRDefault="00CF43BA">
      <w:r>
        <w:separator/>
      </w:r>
    </w:p>
  </w:footnote>
  <w:footnote w:type="continuationSeparator" w:id="0">
    <w:p w14:paraId="4E2BF3D8" w14:textId="77777777" w:rsidR="00CF43BA" w:rsidRDefault="00CF43BA">
      <w:r>
        <w:continuationSeparator/>
      </w:r>
    </w:p>
  </w:footnote>
  <w:footnote w:type="continuationNotice" w:id="1">
    <w:p w14:paraId="5026723A" w14:textId="77777777" w:rsidR="00CF43BA" w:rsidRDefault="00CF43BA"/>
  </w:footnote>
  <w:footnote w:id="2">
    <w:p w14:paraId="48AE9957" w14:textId="77777777" w:rsidR="00CF43BA" w:rsidRPr="0008472F" w:rsidRDefault="00CF43BA" w:rsidP="0008472F">
      <w:pPr>
        <w:pStyle w:val="FootnoteText"/>
        <w:suppressLineNumbers/>
        <w:suppressAutoHyphens/>
        <w:ind w:firstLine="0"/>
        <w:jc w:val="left"/>
        <w:rPr>
          <w:szCs w:val="18"/>
        </w:rPr>
      </w:pPr>
      <w:r w:rsidRPr="0008472F">
        <w:rPr>
          <w:rStyle w:val="FootnoteReference"/>
          <w:szCs w:val="18"/>
          <w:u w:val="none"/>
          <w:vertAlign w:val="superscript"/>
        </w:rPr>
        <w:footnoteRef/>
      </w:r>
      <w:r w:rsidRPr="00395494">
        <w:rPr>
          <w:szCs w:val="18"/>
        </w:rPr>
        <w:t xml:space="preserve"> </w:t>
      </w:r>
      <w:r w:rsidRPr="0008472F">
        <w:rPr>
          <w:szCs w:val="18"/>
        </w:rPr>
        <w:t>CBD/CP/MOP/9/2.</w:t>
      </w:r>
    </w:p>
  </w:footnote>
  <w:footnote w:id="3">
    <w:p w14:paraId="625A4B4D" w14:textId="77777777" w:rsidR="00CF43BA" w:rsidRPr="00395494" w:rsidRDefault="00CF43BA">
      <w:pPr>
        <w:pStyle w:val="FootnoteText"/>
        <w:suppressLineNumbers/>
        <w:suppressAutoHyphens/>
        <w:kinsoku w:val="0"/>
        <w:overflowPunct w:val="0"/>
        <w:autoSpaceDE w:val="0"/>
        <w:autoSpaceDN w:val="0"/>
        <w:ind w:firstLine="0"/>
        <w:jc w:val="left"/>
        <w:rPr>
          <w:kern w:val="18"/>
          <w:szCs w:val="18"/>
        </w:rPr>
      </w:pPr>
      <w:r w:rsidRPr="0008472F">
        <w:rPr>
          <w:rStyle w:val="FootnoteReference"/>
          <w:kern w:val="18"/>
          <w:szCs w:val="18"/>
          <w:u w:val="none"/>
          <w:vertAlign w:val="superscript"/>
        </w:rPr>
        <w:footnoteRef/>
      </w:r>
      <w:r w:rsidRPr="00395494">
        <w:rPr>
          <w:kern w:val="18"/>
          <w:szCs w:val="18"/>
        </w:rPr>
        <w:t xml:space="preserve"> The updated report is contained in information document CBD/COP/14/INF/10.</w:t>
      </w:r>
    </w:p>
  </w:footnote>
  <w:footnote w:id="4">
    <w:p w14:paraId="3D07C2E2" w14:textId="5A858523" w:rsidR="00CF43BA" w:rsidRPr="0008472F" w:rsidRDefault="00CF43BA">
      <w:pPr>
        <w:pStyle w:val="FootnoteText"/>
        <w:suppressLineNumbers/>
        <w:suppressAutoHyphens/>
        <w:ind w:firstLine="0"/>
        <w:jc w:val="left"/>
        <w:rPr>
          <w:kern w:val="18"/>
          <w:szCs w:val="18"/>
        </w:rPr>
      </w:pPr>
      <w:r w:rsidRPr="0008472F">
        <w:rPr>
          <w:rStyle w:val="FootnoteReference"/>
          <w:kern w:val="18"/>
          <w:szCs w:val="18"/>
          <w:u w:val="none"/>
          <w:vertAlign w:val="superscript"/>
        </w:rPr>
        <w:footnoteRef/>
      </w:r>
      <w:r w:rsidRPr="00395494">
        <w:rPr>
          <w:kern w:val="18"/>
          <w:szCs w:val="18"/>
        </w:rPr>
        <w:t xml:space="preserve"> </w:t>
      </w:r>
      <w:r w:rsidRPr="00395494">
        <w:rPr>
          <w:snapToGrid w:val="0"/>
          <w:color w:val="000000"/>
          <w:kern w:val="18"/>
          <w:szCs w:val="18"/>
        </w:rPr>
        <w:t>CBD/CP/MOP/9/3</w:t>
      </w:r>
      <w:r>
        <w:rPr>
          <w:snapToGrid w:val="0"/>
          <w:color w:val="000000"/>
          <w:kern w:val="18"/>
          <w:szCs w:val="18"/>
        </w:rPr>
        <w:t>,</w:t>
      </w:r>
      <w:r w:rsidRPr="00395494">
        <w:rPr>
          <w:snapToGrid w:val="0"/>
          <w:color w:val="000000"/>
          <w:kern w:val="18"/>
          <w:szCs w:val="18"/>
        </w:rPr>
        <w:t xml:space="preserve"> </w:t>
      </w:r>
      <w:r>
        <w:rPr>
          <w:snapToGrid w:val="0"/>
          <w:color w:val="000000"/>
          <w:kern w:val="18"/>
          <w:szCs w:val="18"/>
        </w:rPr>
        <w:t>s</w:t>
      </w:r>
      <w:r w:rsidRPr="00395494">
        <w:rPr>
          <w:snapToGrid w:val="0"/>
          <w:color w:val="000000"/>
          <w:kern w:val="18"/>
          <w:szCs w:val="18"/>
        </w:rPr>
        <w:t>ect. II.</w:t>
      </w:r>
    </w:p>
  </w:footnote>
  <w:footnote w:id="5">
    <w:p w14:paraId="6DCC1FE1" w14:textId="77777777" w:rsidR="00CF43BA" w:rsidRPr="0008472F" w:rsidRDefault="00CF43BA">
      <w:pPr>
        <w:pStyle w:val="FootnoteText"/>
        <w:suppressLineNumbers/>
        <w:suppressAutoHyphens/>
        <w:ind w:firstLine="0"/>
        <w:jc w:val="left"/>
        <w:rPr>
          <w:szCs w:val="18"/>
        </w:rPr>
      </w:pPr>
      <w:r w:rsidRPr="0008472F">
        <w:rPr>
          <w:rStyle w:val="FootnoteReference"/>
          <w:snapToGrid w:val="0"/>
          <w:color w:val="000000" w:themeColor="text1"/>
          <w:kern w:val="22"/>
          <w:szCs w:val="18"/>
          <w:u w:val="none"/>
          <w:vertAlign w:val="superscript"/>
          <w:lang w:eastAsia="en-US"/>
        </w:rPr>
        <w:footnoteRef/>
      </w:r>
      <w:r w:rsidRPr="00395494">
        <w:rPr>
          <w:szCs w:val="18"/>
        </w:rPr>
        <w:t xml:space="preserve"> </w:t>
      </w:r>
      <w:r w:rsidRPr="0008472F">
        <w:rPr>
          <w:szCs w:val="18"/>
        </w:rPr>
        <w:t xml:space="preserve">Formerly known as the </w:t>
      </w:r>
      <w:r w:rsidRPr="0008472F">
        <w:rPr>
          <w:rStyle w:val="CommentReference"/>
          <w:sz w:val="18"/>
          <w:szCs w:val="18"/>
        </w:rPr>
        <w:t>Liaison Group on Capacity Building.</w:t>
      </w:r>
    </w:p>
  </w:footnote>
  <w:footnote w:id="6">
    <w:p w14:paraId="4AEFFB64" w14:textId="77777777" w:rsidR="00CF43BA" w:rsidRPr="0008472F" w:rsidRDefault="00CF43BA">
      <w:pPr>
        <w:pStyle w:val="FootnoteText"/>
        <w:suppressLineNumbers/>
        <w:suppressAutoHyphens/>
        <w:ind w:firstLine="0"/>
        <w:jc w:val="left"/>
        <w:rPr>
          <w:szCs w:val="18"/>
        </w:rPr>
      </w:pPr>
      <w:r w:rsidRPr="0008472F">
        <w:rPr>
          <w:rStyle w:val="FootnoteReference"/>
          <w:snapToGrid w:val="0"/>
          <w:color w:val="000000" w:themeColor="text1"/>
          <w:kern w:val="22"/>
          <w:szCs w:val="18"/>
          <w:u w:val="none"/>
          <w:vertAlign w:val="superscript"/>
          <w:lang w:eastAsia="en-US"/>
        </w:rPr>
        <w:footnoteRef/>
      </w:r>
      <w:r w:rsidRPr="00395494">
        <w:rPr>
          <w:szCs w:val="18"/>
        </w:rPr>
        <w:t xml:space="preserve"> </w:t>
      </w:r>
      <w:r w:rsidRPr="0008472F">
        <w:rPr>
          <w:szCs w:val="18"/>
        </w:rPr>
        <w:t>See decision 14/24, para. 1(d).</w:t>
      </w:r>
    </w:p>
  </w:footnote>
  <w:footnote w:id="7">
    <w:p w14:paraId="048978C3" w14:textId="77777777" w:rsidR="00CF43BA" w:rsidRPr="00395494" w:rsidRDefault="00CF43BA" w:rsidP="0008472F">
      <w:pPr>
        <w:pStyle w:val="FootnoteText"/>
        <w:suppressLineNumbers/>
        <w:suppressAutoHyphens/>
        <w:ind w:firstLine="0"/>
        <w:jc w:val="left"/>
        <w:rPr>
          <w:kern w:val="18"/>
          <w:szCs w:val="18"/>
        </w:rPr>
      </w:pPr>
      <w:r w:rsidRPr="0008472F">
        <w:rPr>
          <w:rStyle w:val="FootnoteReference"/>
          <w:snapToGrid w:val="0"/>
          <w:kern w:val="22"/>
          <w:szCs w:val="18"/>
          <w:u w:val="none"/>
          <w:vertAlign w:val="superscript"/>
          <w:lang w:eastAsia="en-US"/>
        </w:rPr>
        <w:footnoteRef/>
      </w:r>
      <w:r w:rsidRPr="00395494">
        <w:rPr>
          <w:kern w:val="18"/>
          <w:szCs w:val="18"/>
        </w:rPr>
        <w:t xml:space="preserve"> Decision BS-V/16, annex I.</w:t>
      </w:r>
    </w:p>
  </w:footnote>
  <w:footnote w:id="8">
    <w:p w14:paraId="28EA73D5" w14:textId="77777777" w:rsidR="00CF43BA" w:rsidRPr="00395494" w:rsidRDefault="00CF43BA" w:rsidP="0008472F">
      <w:pPr>
        <w:pStyle w:val="FootnoteText"/>
        <w:suppressLineNumbers/>
        <w:suppressAutoHyphens/>
        <w:ind w:firstLine="0"/>
        <w:jc w:val="left"/>
        <w:rPr>
          <w:kern w:val="18"/>
          <w:szCs w:val="18"/>
        </w:rPr>
      </w:pPr>
      <w:r w:rsidRPr="0008472F">
        <w:rPr>
          <w:rStyle w:val="FootnoteReference"/>
          <w:snapToGrid w:val="0"/>
          <w:kern w:val="22"/>
          <w:szCs w:val="18"/>
          <w:u w:val="none"/>
          <w:vertAlign w:val="superscript"/>
          <w:lang w:eastAsia="en-US"/>
        </w:rPr>
        <w:footnoteRef/>
      </w:r>
      <w:r w:rsidRPr="00395494">
        <w:rPr>
          <w:kern w:val="18"/>
          <w:szCs w:val="18"/>
        </w:rPr>
        <w:t xml:space="preserve"> See CBD/CP/MOP/9/2.</w:t>
      </w:r>
    </w:p>
  </w:footnote>
  <w:footnote w:id="9">
    <w:p w14:paraId="0C799509" w14:textId="77777777" w:rsidR="00CF43BA" w:rsidRPr="00395494" w:rsidRDefault="00CF43BA">
      <w:pPr>
        <w:pStyle w:val="FootnoteText"/>
        <w:suppressLineNumbers/>
        <w:suppressAutoHyphens/>
        <w:ind w:firstLine="0"/>
        <w:jc w:val="left"/>
        <w:rPr>
          <w:kern w:val="18"/>
          <w:szCs w:val="18"/>
        </w:rPr>
      </w:pPr>
      <w:r w:rsidRPr="0008472F">
        <w:rPr>
          <w:rStyle w:val="FootnoteReference"/>
          <w:snapToGrid w:val="0"/>
          <w:kern w:val="22"/>
          <w:szCs w:val="18"/>
          <w:u w:val="none"/>
          <w:vertAlign w:val="superscript"/>
          <w:lang w:eastAsia="en-US"/>
        </w:rPr>
        <w:footnoteRef/>
      </w:r>
      <w:r w:rsidRPr="00395494">
        <w:rPr>
          <w:kern w:val="18"/>
          <w:szCs w:val="18"/>
        </w:rPr>
        <w:t xml:space="preserve"> See </w:t>
      </w:r>
      <w:hyperlink r:id="rId1" w:history="1">
        <w:r w:rsidRPr="00395494">
          <w:rPr>
            <w:rStyle w:val="Hyperlink"/>
            <w:kern w:val="18"/>
            <w:szCs w:val="18"/>
          </w:rPr>
          <w:t>CBD/SBI/2/22</w:t>
        </w:r>
      </w:hyperlink>
      <w:r w:rsidRPr="00395494">
        <w:rPr>
          <w:kern w:val="18"/>
          <w:szCs w:val="18"/>
        </w:rPr>
        <w:t>, sect. I, recommendation 2/13.</w:t>
      </w:r>
    </w:p>
  </w:footnote>
  <w:footnote w:id="10">
    <w:p w14:paraId="2F573670" w14:textId="77777777" w:rsidR="00CF43BA" w:rsidRPr="00395494" w:rsidRDefault="00CF43BA">
      <w:pPr>
        <w:pStyle w:val="FootnoteText"/>
        <w:suppressLineNumbers/>
        <w:suppressAutoHyphens/>
        <w:kinsoku w:val="0"/>
        <w:overflowPunct w:val="0"/>
        <w:autoSpaceDE w:val="0"/>
        <w:autoSpaceDN w:val="0"/>
        <w:ind w:firstLine="0"/>
        <w:jc w:val="left"/>
        <w:rPr>
          <w:kern w:val="18"/>
          <w:szCs w:val="18"/>
        </w:rPr>
      </w:pPr>
      <w:r w:rsidRPr="0008472F">
        <w:rPr>
          <w:rStyle w:val="FootnoteReference"/>
          <w:snapToGrid w:val="0"/>
          <w:kern w:val="22"/>
          <w:szCs w:val="18"/>
          <w:u w:val="none"/>
          <w:vertAlign w:val="superscript"/>
          <w:lang w:eastAsia="en-US"/>
        </w:rPr>
        <w:footnoteRef/>
      </w:r>
      <w:r w:rsidRPr="00395494">
        <w:rPr>
          <w:kern w:val="18"/>
          <w:szCs w:val="18"/>
        </w:rPr>
        <w:t xml:space="preserve"> General Assembly resolution 70/1 of 25 September 2015.</w:t>
      </w:r>
    </w:p>
  </w:footnote>
  <w:footnote w:id="11">
    <w:p w14:paraId="3FD03B0F" w14:textId="77777777" w:rsidR="00CF43BA" w:rsidRPr="00395494" w:rsidRDefault="00CF43BA">
      <w:pPr>
        <w:pStyle w:val="FootnoteText"/>
        <w:suppressLineNumbers/>
        <w:suppressAutoHyphens/>
        <w:ind w:firstLine="0"/>
        <w:jc w:val="left"/>
        <w:rPr>
          <w:kern w:val="18"/>
          <w:szCs w:val="18"/>
        </w:rPr>
      </w:pPr>
      <w:r w:rsidRPr="0008472F">
        <w:rPr>
          <w:rStyle w:val="FootnoteReference"/>
          <w:snapToGrid w:val="0"/>
          <w:kern w:val="22"/>
          <w:szCs w:val="18"/>
          <w:u w:val="none"/>
          <w:vertAlign w:val="superscript"/>
          <w:lang w:eastAsia="en-US"/>
        </w:rPr>
        <w:footnoteRef/>
      </w:r>
      <w:r w:rsidRPr="0008472F">
        <w:rPr>
          <w:rStyle w:val="FootnoteReference"/>
          <w:snapToGrid w:val="0"/>
          <w:kern w:val="22"/>
          <w:szCs w:val="18"/>
          <w:u w:val="none"/>
          <w:vertAlign w:val="superscript"/>
          <w:lang w:eastAsia="en-US"/>
        </w:rPr>
        <w:t xml:space="preserve"> </w:t>
      </w:r>
      <w:r w:rsidRPr="00395494">
        <w:rPr>
          <w:kern w:val="18"/>
          <w:szCs w:val="18"/>
        </w:rPr>
        <w:t>Angola, Azerbaijan, Belize, Cabo Verde, Djibouti, Jordan, Libya, Montenegro, Nauru, Papua New Guinea, Qatar, Saudi Arabia, Serbia, Seychelles, State of Palestine and Syrian Arab Republic.</w:t>
      </w:r>
    </w:p>
  </w:footnote>
  <w:footnote w:id="12">
    <w:p w14:paraId="32767628" w14:textId="77777777" w:rsidR="00CF43BA" w:rsidRPr="00395494" w:rsidRDefault="00CF43BA">
      <w:pPr>
        <w:pStyle w:val="FootnoteText"/>
        <w:suppressLineNumbers/>
        <w:suppressAutoHyphens/>
        <w:kinsoku w:val="0"/>
        <w:overflowPunct w:val="0"/>
        <w:autoSpaceDE w:val="0"/>
        <w:autoSpaceDN w:val="0"/>
        <w:ind w:firstLine="0"/>
        <w:jc w:val="left"/>
        <w:rPr>
          <w:snapToGrid w:val="0"/>
          <w:kern w:val="18"/>
          <w:szCs w:val="18"/>
        </w:rPr>
      </w:pPr>
      <w:r w:rsidRPr="0008472F">
        <w:rPr>
          <w:rStyle w:val="FootnoteReference"/>
          <w:snapToGrid w:val="0"/>
          <w:kern w:val="22"/>
          <w:szCs w:val="18"/>
          <w:u w:val="none"/>
          <w:vertAlign w:val="superscript"/>
          <w:lang w:eastAsia="en-US"/>
        </w:rPr>
        <w:footnoteRef/>
      </w:r>
      <w:r w:rsidRPr="00395494">
        <w:rPr>
          <w:snapToGrid w:val="0"/>
          <w:kern w:val="18"/>
          <w:szCs w:val="18"/>
        </w:rPr>
        <w:t xml:space="preserve"> Decision </w:t>
      </w:r>
      <w:hyperlink r:id="rId2" w:history="1">
        <w:r w:rsidRPr="00395494">
          <w:rPr>
            <w:rStyle w:val="Hyperlink"/>
            <w:rFonts w:eastAsiaTheme="majorEastAsia"/>
            <w:snapToGrid w:val="0"/>
            <w:kern w:val="18"/>
            <w:szCs w:val="18"/>
          </w:rPr>
          <w:t>BS-V/16</w:t>
        </w:r>
      </w:hyperlink>
      <w:r w:rsidRPr="00395494">
        <w:rPr>
          <w:snapToGrid w:val="0"/>
          <w:kern w:val="18"/>
          <w:szCs w:val="18"/>
        </w:rPr>
        <w:t>, annex I.</w:t>
      </w:r>
    </w:p>
  </w:footnote>
  <w:footnote w:id="13">
    <w:p w14:paraId="059FAFDB" w14:textId="77777777" w:rsidR="00CF43BA" w:rsidRPr="00395494" w:rsidRDefault="00CF43BA">
      <w:pPr>
        <w:pStyle w:val="FootnoteText"/>
        <w:suppressLineNumbers/>
        <w:suppressAutoHyphens/>
        <w:kinsoku w:val="0"/>
        <w:overflowPunct w:val="0"/>
        <w:autoSpaceDE w:val="0"/>
        <w:autoSpaceDN w:val="0"/>
        <w:ind w:firstLine="0"/>
        <w:jc w:val="left"/>
        <w:rPr>
          <w:snapToGrid w:val="0"/>
          <w:kern w:val="18"/>
          <w:szCs w:val="18"/>
        </w:rPr>
      </w:pPr>
      <w:r w:rsidRPr="0008472F">
        <w:rPr>
          <w:rStyle w:val="FootnoteReference"/>
          <w:snapToGrid w:val="0"/>
          <w:kern w:val="22"/>
          <w:szCs w:val="18"/>
          <w:u w:val="none"/>
          <w:vertAlign w:val="superscript"/>
          <w:lang w:eastAsia="en-US"/>
        </w:rPr>
        <w:footnoteRef/>
      </w:r>
      <w:r w:rsidRPr="00395494">
        <w:rPr>
          <w:snapToGrid w:val="0"/>
          <w:kern w:val="18"/>
          <w:szCs w:val="18"/>
        </w:rPr>
        <w:t xml:space="preserve"> This document is a protected form in MS Word format to enable further processing of the information contained therein by the CBD Secretariat. Only text entries and checkboxes may be changed. Once you finish filling in the form, please save it and print this first page for signature. This form is also available in the BCH for electronic submission at: [LINK TO BE ADDED]</w:t>
      </w:r>
    </w:p>
    <w:p w14:paraId="5A2A176F" w14:textId="77777777" w:rsidR="00CF43BA" w:rsidRPr="00395494" w:rsidRDefault="00CF43BA">
      <w:pPr>
        <w:pStyle w:val="FootnoteText"/>
        <w:suppressLineNumbers/>
        <w:suppressAutoHyphens/>
        <w:kinsoku w:val="0"/>
        <w:overflowPunct w:val="0"/>
        <w:autoSpaceDE w:val="0"/>
        <w:autoSpaceDN w:val="0"/>
        <w:ind w:firstLine="0"/>
        <w:jc w:val="left"/>
        <w:rPr>
          <w:snapToGrid w:val="0"/>
          <w:kern w:val="18"/>
          <w:szCs w:val="18"/>
        </w:rPr>
      </w:pPr>
    </w:p>
    <w:p w14:paraId="1BD1E3FA" w14:textId="77777777" w:rsidR="00CF43BA" w:rsidRPr="00395494" w:rsidRDefault="00CF43BA">
      <w:pPr>
        <w:pStyle w:val="FootnoteText"/>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ind w:firstLine="0"/>
        <w:jc w:val="left"/>
        <w:rPr>
          <w:b/>
          <w:snapToGrid w:val="0"/>
          <w:kern w:val="18"/>
          <w:szCs w:val="18"/>
        </w:rPr>
      </w:pPr>
      <w:r w:rsidRPr="00395494">
        <w:rPr>
          <w:b/>
          <w:snapToGrid w:val="0"/>
          <w:kern w:val="18"/>
          <w:szCs w:val="18"/>
        </w:rPr>
        <w:t xml:space="preserve">IMPORTANT: To facilitate the analysis of the information contained in this report, it is recommended that Parties submit the report online through the Biosafety Clearing-House or as an attachment to an e-mail in MS Word format, together with a scanned copy of the signed first page, to the Secretariat at: </w:t>
      </w:r>
      <w:hyperlink r:id="rId3" w:history="1">
        <w:r w:rsidRPr="00395494">
          <w:rPr>
            <w:rStyle w:val="Hyperlink"/>
            <w:b/>
            <w:snapToGrid w:val="0"/>
            <w:kern w:val="18"/>
            <w:szCs w:val="18"/>
          </w:rPr>
          <w:t>secretariat@cbd.int</w:t>
        </w:r>
      </w:hyperlink>
      <w:r w:rsidRPr="00395494">
        <w:rPr>
          <w:b/>
          <w:snapToGrid w:val="0"/>
          <w:kern w:val="18"/>
          <w:szCs w:val="18"/>
        </w:rPr>
        <w:t>.</w:t>
      </w:r>
    </w:p>
    <w:p w14:paraId="5E23C1D0" w14:textId="77777777" w:rsidR="00CF43BA" w:rsidRPr="00395494" w:rsidRDefault="00CF43BA">
      <w:pPr>
        <w:pStyle w:val="FootnoteText"/>
        <w:suppressLineNumbers/>
        <w:pBdr>
          <w:top w:val="single" w:sz="4" w:space="1" w:color="auto"/>
          <w:left w:val="single" w:sz="4" w:space="4" w:color="auto"/>
          <w:bottom w:val="single" w:sz="4" w:space="1" w:color="auto"/>
          <w:right w:val="single" w:sz="4" w:space="4" w:color="auto"/>
        </w:pBdr>
        <w:suppressAutoHyphens/>
        <w:kinsoku w:val="0"/>
        <w:overflowPunct w:val="0"/>
        <w:autoSpaceDE w:val="0"/>
        <w:autoSpaceDN w:val="0"/>
        <w:ind w:firstLine="0"/>
        <w:jc w:val="left"/>
        <w:rPr>
          <w:b/>
          <w:snapToGrid w:val="0"/>
          <w:kern w:val="18"/>
          <w:szCs w:val="18"/>
        </w:rPr>
      </w:pPr>
      <w:r w:rsidRPr="00395494">
        <w:rPr>
          <w:b/>
          <w:snapToGrid w:val="0"/>
          <w:kern w:val="18"/>
          <w:szCs w:val="18"/>
        </w:rPr>
        <w:t xml:space="preserve">Please </w:t>
      </w:r>
      <w:r w:rsidRPr="00395494">
        <w:rPr>
          <w:b/>
          <w:i/>
          <w:snapToGrid w:val="0"/>
          <w:kern w:val="18"/>
          <w:szCs w:val="18"/>
        </w:rPr>
        <w:t>do not</w:t>
      </w:r>
      <w:r w:rsidRPr="00395494">
        <w:rPr>
          <w:b/>
          <w:snapToGrid w:val="0"/>
          <w:kern w:val="18"/>
          <w:szCs w:val="18"/>
        </w:rPr>
        <w:t xml:space="preserve"> send this report via fax or postal mail or in electronic formats other than MS Word.</w:t>
      </w:r>
    </w:p>
  </w:footnote>
  <w:footnote w:id="14">
    <w:p w14:paraId="1CCF3A28" w14:textId="77777777" w:rsidR="00CF43BA" w:rsidRPr="00395494" w:rsidRDefault="00CF43BA">
      <w:pPr>
        <w:pStyle w:val="FootnoteText"/>
        <w:suppressLineNumbers/>
        <w:suppressAutoHyphens/>
        <w:kinsoku w:val="0"/>
        <w:overflowPunct w:val="0"/>
        <w:autoSpaceDE w:val="0"/>
        <w:autoSpaceDN w:val="0"/>
        <w:ind w:firstLine="0"/>
        <w:jc w:val="left"/>
        <w:rPr>
          <w:snapToGrid w:val="0"/>
          <w:kern w:val="18"/>
          <w:szCs w:val="18"/>
        </w:rPr>
      </w:pPr>
      <w:r w:rsidRPr="00395494">
        <w:rPr>
          <w:rStyle w:val="FootnoteReference"/>
          <w:snapToGrid w:val="0"/>
          <w:kern w:val="18"/>
          <w:szCs w:val="18"/>
        </w:rPr>
        <w:footnoteRef/>
      </w:r>
      <w:r w:rsidRPr="00395494">
        <w:rPr>
          <w:snapToGrid w:val="0"/>
          <w:kern w:val="18"/>
          <w:szCs w:val="18"/>
        </w:rPr>
        <w:t xml:space="preserve"> In accordance with the operational definition adopted in decision CP-VIII/16, “‘Unintentional transboundary movement’ is a transboundary movement of a living modified organism that has inadvertently crossed the national borders of a Party where the living modified organism was released, and the requirements of Article 17 of the Protocol apply to such transboundary movements only if the living modified organism involved is likely to have significant adverse effects on the conservation and sustainable use of biological diversity, taking also into account risks to human health, in the affected or potentially affected States.”</w:t>
      </w:r>
    </w:p>
  </w:footnote>
  <w:footnote w:id="15">
    <w:p w14:paraId="54F6D218" w14:textId="77777777" w:rsidR="00CF43BA" w:rsidRPr="00395494" w:rsidRDefault="00CF43BA">
      <w:pPr>
        <w:pStyle w:val="FootnoteText"/>
        <w:suppressLineNumbers/>
        <w:suppressAutoHyphens/>
        <w:kinsoku w:val="0"/>
        <w:overflowPunct w:val="0"/>
        <w:autoSpaceDE w:val="0"/>
        <w:autoSpaceDN w:val="0"/>
        <w:ind w:firstLine="0"/>
        <w:jc w:val="left"/>
        <w:rPr>
          <w:snapToGrid w:val="0"/>
          <w:kern w:val="18"/>
          <w:szCs w:val="18"/>
        </w:rPr>
      </w:pPr>
      <w:r w:rsidRPr="0008472F">
        <w:rPr>
          <w:rStyle w:val="FootnoteReference"/>
          <w:snapToGrid w:val="0"/>
          <w:kern w:val="18"/>
          <w:szCs w:val="18"/>
          <w:u w:val="none"/>
          <w:vertAlign w:val="superscript"/>
        </w:rPr>
        <w:footnoteRef/>
      </w:r>
      <w:r w:rsidRPr="0056670D">
        <w:rPr>
          <w:snapToGrid w:val="0"/>
          <w:kern w:val="18"/>
          <w:szCs w:val="18"/>
          <w:vertAlign w:val="superscript"/>
        </w:rPr>
        <w:t xml:space="preserve"> </w:t>
      </w:r>
      <w:r w:rsidRPr="00395494">
        <w:rPr>
          <w:snapToGrid w:val="0"/>
          <w:kern w:val="18"/>
          <w:szCs w:val="18"/>
        </w:rPr>
        <w:t>In accordance with the operational definition adopted in decision CP VIII/16, “‘</w:t>
      </w:r>
      <w:r w:rsidRPr="00395494">
        <w:rPr>
          <w:iCs/>
          <w:snapToGrid w:val="0"/>
          <w:kern w:val="18"/>
          <w:szCs w:val="18"/>
        </w:rPr>
        <w:t>Illegal transboundary movement</w:t>
      </w:r>
      <w:r w:rsidRPr="00395494">
        <w:rPr>
          <w:snapToGrid w:val="0"/>
          <w:kern w:val="18"/>
          <w:szCs w:val="18"/>
        </w:rPr>
        <w:t>’ is a transboundary movement of living modified organisms carried out in contravention of the domestic measures to implement the Protocol that have been adopted by the Party concerned”.</w:t>
      </w:r>
    </w:p>
  </w:footnote>
  <w:footnote w:id="16">
    <w:p w14:paraId="0BC44579" w14:textId="77777777" w:rsidR="00CF43BA" w:rsidRPr="00FC09C3" w:rsidRDefault="00CF43BA" w:rsidP="0076249F">
      <w:pPr>
        <w:pStyle w:val="FootnoteText"/>
        <w:ind w:firstLine="0"/>
        <w:jc w:val="left"/>
        <w:rPr>
          <w:kern w:val="18"/>
          <w:szCs w:val="18"/>
        </w:rPr>
      </w:pPr>
      <w:r w:rsidRPr="00FC09C3">
        <w:rPr>
          <w:rStyle w:val="FootnoteReference"/>
          <w:kern w:val="18"/>
          <w:szCs w:val="18"/>
        </w:rPr>
        <w:footnoteRef/>
      </w:r>
      <w:r w:rsidRPr="00FC09C3">
        <w:rPr>
          <w:kern w:val="18"/>
          <w:szCs w:val="18"/>
        </w:rPr>
        <w:t xml:space="preserve"> Decision 14/</w:t>
      </w:r>
      <w:r>
        <w:rPr>
          <w:kern w:val="18"/>
          <w:szCs w:val="18"/>
        </w:rPr>
        <w:t>34</w:t>
      </w:r>
      <w:r w:rsidRPr="00FC09C3">
        <w:rPr>
          <w:kern w:val="18"/>
          <w:szCs w:val="18"/>
        </w:rPr>
        <w:t>, annex.</w:t>
      </w:r>
    </w:p>
  </w:footnote>
  <w:footnote w:id="17">
    <w:p w14:paraId="6E9D1A77" w14:textId="77777777" w:rsidR="00CF43BA" w:rsidRPr="00395494" w:rsidRDefault="00CF43BA" w:rsidP="0008472F">
      <w:pPr>
        <w:pStyle w:val="FootnoteText"/>
        <w:suppressLineNumbers/>
        <w:suppressAutoHyphens/>
        <w:ind w:firstLine="0"/>
        <w:jc w:val="left"/>
        <w:rPr>
          <w:szCs w:val="18"/>
        </w:rPr>
      </w:pPr>
      <w:r w:rsidRPr="0008472F">
        <w:rPr>
          <w:rStyle w:val="FootnoteReference"/>
          <w:snapToGrid w:val="0"/>
          <w:kern w:val="22"/>
          <w:szCs w:val="18"/>
          <w:u w:val="none"/>
          <w:vertAlign w:val="superscript"/>
          <w:lang w:eastAsia="en-US"/>
        </w:rPr>
        <w:footnoteRef/>
      </w:r>
      <w:r w:rsidRPr="00395494">
        <w:rPr>
          <w:szCs w:val="18"/>
        </w:rPr>
        <w:t xml:space="preserve"> </w:t>
      </w:r>
      <w:hyperlink r:id="rId4" w:history="1">
        <w:r w:rsidRPr="00395494">
          <w:rPr>
            <w:rStyle w:val="Hyperlink"/>
            <w:szCs w:val="18"/>
          </w:rPr>
          <w:t>CBD/SBI/2/16</w:t>
        </w:r>
      </w:hyperlink>
      <w:r w:rsidRPr="00395494">
        <w:rPr>
          <w:szCs w:val="18"/>
        </w:rPr>
        <w:t xml:space="preserve"> and </w:t>
      </w:r>
      <w:hyperlink r:id="rId5" w:history="1">
        <w:r w:rsidRPr="00395494">
          <w:rPr>
            <w:rStyle w:val="Hyperlink"/>
            <w:szCs w:val="18"/>
          </w:rPr>
          <w:t>Add.1</w:t>
        </w:r>
      </w:hyperlink>
      <w:r w:rsidRPr="00395494">
        <w:rPr>
          <w:szCs w:val="18"/>
        </w:rPr>
        <w:t>.</w:t>
      </w:r>
    </w:p>
  </w:footnote>
  <w:footnote w:id="18">
    <w:p w14:paraId="582EE530" w14:textId="77777777" w:rsidR="00CF43BA" w:rsidRPr="00395494" w:rsidRDefault="00CF43BA" w:rsidP="0008472F">
      <w:pPr>
        <w:pStyle w:val="FootnoteText"/>
        <w:suppressLineNumbers/>
        <w:suppressAutoHyphens/>
        <w:ind w:firstLine="0"/>
        <w:jc w:val="left"/>
        <w:rPr>
          <w:kern w:val="18"/>
          <w:szCs w:val="18"/>
        </w:rPr>
      </w:pPr>
      <w:r w:rsidRPr="0008472F">
        <w:rPr>
          <w:rStyle w:val="FootnoteReference"/>
          <w:snapToGrid w:val="0"/>
          <w:kern w:val="22"/>
          <w:szCs w:val="18"/>
          <w:u w:val="none"/>
          <w:vertAlign w:val="superscript"/>
          <w:lang w:eastAsia="en-US"/>
        </w:rPr>
        <w:footnoteRef/>
      </w:r>
      <w:r w:rsidRPr="0008472F">
        <w:rPr>
          <w:rStyle w:val="FootnoteReference"/>
          <w:snapToGrid w:val="0"/>
          <w:kern w:val="22"/>
          <w:szCs w:val="18"/>
          <w:u w:val="none"/>
          <w:vertAlign w:val="superscript"/>
          <w:lang w:eastAsia="en-US"/>
        </w:rPr>
        <w:t xml:space="preserve"> </w:t>
      </w:r>
      <w:r w:rsidRPr="00395494">
        <w:rPr>
          <w:kern w:val="18"/>
          <w:szCs w:val="18"/>
        </w:rPr>
        <w:t xml:space="preserve">As contained in </w:t>
      </w:r>
      <w:r w:rsidRPr="00395494">
        <w:rPr>
          <w:snapToGrid w:val="0"/>
          <w:color w:val="000000"/>
          <w:kern w:val="18"/>
          <w:szCs w:val="18"/>
        </w:rPr>
        <w:t>CBD/CP/MOP/9/8/Add.1.</w:t>
      </w:r>
    </w:p>
  </w:footnote>
  <w:footnote w:id="19">
    <w:p w14:paraId="1A1B3E3A" w14:textId="77777777" w:rsidR="00CF43BA" w:rsidRPr="00395494" w:rsidRDefault="00CF43BA" w:rsidP="0008472F">
      <w:pPr>
        <w:pStyle w:val="FootnoteText"/>
        <w:suppressLineNumbers/>
        <w:suppressAutoHyphens/>
        <w:ind w:firstLine="0"/>
        <w:jc w:val="left"/>
        <w:rPr>
          <w:kern w:val="18"/>
          <w:szCs w:val="18"/>
        </w:rPr>
      </w:pPr>
      <w:r w:rsidRPr="0008472F">
        <w:rPr>
          <w:rStyle w:val="FootnoteReference"/>
          <w:snapToGrid w:val="0"/>
          <w:kern w:val="22"/>
          <w:szCs w:val="18"/>
          <w:u w:val="none"/>
          <w:vertAlign w:val="superscript"/>
          <w:lang w:eastAsia="en-US"/>
        </w:rPr>
        <w:footnoteRef/>
      </w:r>
      <w:r w:rsidRPr="00395494">
        <w:rPr>
          <w:kern w:val="18"/>
          <w:szCs w:val="18"/>
        </w:rPr>
        <w:t xml:space="preserve"> “Operator” means any person in direct and indirect control of the living modified organism which could, as appropriate and as determined by domestic law, include, inter alia, the permit holder, person who placed the living modified organism on the market, developer, producer, notifier, exporter, importer, carrier or supplier.</w:t>
      </w:r>
    </w:p>
  </w:footnote>
  <w:footnote w:id="20">
    <w:p w14:paraId="18DEDA9F" w14:textId="77777777" w:rsidR="00CF43BA" w:rsidRPr="00395494" w:rsidRDefault="00CF43BA" w:rsidP="0008472F">
      <w:pPr>
        <w:pStyle w:val="FootnoteText"/>
        <w:suppressLineNumbers/>
        <w:suppressAutoHyphens/>
        <w:ind w:firstLine="0"/>
        <w:jc w:val="left"/>
        <w:rPr>
          <w:kern w:val="18"/>
          <w:szCs w:val="18"/>
        </w:rPr>
      </w:pPr>
      <w:r w:rsidRPr="0008472F">
        <w:rPr>
          <w:rStyle w:val="FootnoteReference"/>
          <w:kern w:val="18"/>
          <w:szCs w:val="18"/>
          <w:u w:val="none"/>
          <w:vertAlign w:val="superscript"/>
        </w:rPr>
        <w:footnoteRef/>
      </w:r>
      <w:r w:rsidRPr="00395494">
        <w:rPr>
          <w:kern w:val="18"/>
          <w:szCs w:val="18"/>
        </w:rPr>
        <w:t xml:space="preserve"> See CBD/CP/MOP/9/2.</w:t>
      </w:r>
    </w:p>
  </w:footnote>
  <w:footnote w:id="21">
    <w:p w14:paraId="14B2B9B2" w14:textId="77777777" w:rsidR="00CF43BA" w:rsidRPr="0008472F" w:rsidRDefault="00CF43BA" w:rsidP="0008472F">
      <w:pPr>
        <w:pStyle w:val="FootnoteText"/>
        <w:suppressLineNumbers/>
        <w:suppressAutoHyphens/>
        <w:kinsoku w:val="0"/>
        <w:overflowPunct w:val="0"/>
        <w:autoSpaceDE w:val="0"/>
        <w:autoSpaceDN w:val="0"/>
        <w:ind w:firstLine="0"/>
        <w:jc w:val="left"/>
        <w:rPr>
          <w:kern w:val="18"/>
          <w:szCs w:val="18"/>
        </w:rPr>
      </w:pPr>
      <w:r w:rsidRPr="0008472F">
        <w:rPr>
          <w:rStyle w:val="FootnoteReference"/>
          <w:snapToGrid w:val="0"/>
          <w:kern w:val="22"/>
          <w:szCs w:val="18"/>
          <w:u w:val="none"/>
          <w:vertAlign w:val="superscript"/>
          <w:lang w:eastAsia="en-US"/>
        </w:rPr>
        <w:footnoteRef/>
      </w:r>
      <w:r w:rsidRPr="00395494">
        <w:rPr>
          <w:kern w:val="18"/>
          <w:szCs w:val="18"/>
        </w:rPr>
        <w:t xml:space="preserve"> </w:t>
      </w:r>
      <w:hyperlink r:id="rId6" w:history="1">
        <w:r w:rsidRPr="0008472F">
          <w:rPr>
            <w:rStyle w:val="Hyperlink"/>
            <w:kern w:val="18"/>
            <w:szCs w:val="18"/>
          </w:rPr>
          <w:t>Decision VIII/10</w:t>
        </w:r>
      </w:hyperlink>
      <w:r w:rsidRPr="0008472F">
        <w:rPr>
          <w:kern w:val="18"/>
          <w:szCs w:val="18"/>
        </w:rPr>
        <w:t>, annex III.</w:t>
      </w:r>
    </w:p>
  </w:footnote>
  <w:footnote w:id="22">
    <w:p w14:paraId="6551C179" w14:textId="77777777" w:rsidR="00CF43BA" w:rsidRPr="00395494" w:rsidRDefault="00CF43BA" w:rsidP="0008472F">
      <w:pPr>
        <w:pStyle w:val="FootnoteText"/>
        <w:suppressLineNumbers/>
        <w:suppressAutoHyphens/>
        <w:ind w:firstLine="0"/>
        <w:jc w:val="left"/>
        <w:rPr>
          <w:szCs w:val="18"/>
        </w:rPr>
      </w:pPr>
      <w:r w:rsidRPr="00653977">
        <w:rPr>
          <w:rStyle w:val="FootnoteReference"/>
          <w:snapToGrid w:val="0"/>
          <w:kern w:val="22"/>
          <w:szCs w:val="18"/>
          <w:u w:val="none"/>
          <w:vertAlign w:val="superscript"/>
          <w:lang w:eastAsia="en-US"/>
        </w:rPr>
        <w:footnoteRef/>
      </w:r>
      <w:r w:rsidRPr="00395494">
        <w:rPr>
          <w:szCs w:val="18"/>
        </w:rPr>
        <w:t xml:space="preserve"> As contained in </w:t>
      </w:r>
      <w:r w:rsidRPr="00395494">
        <w:rPr>
          <w:snapToGrid w:val="0"/>
          <w:color w:val="000000"/>
          <w:kern w:val="22"/>
          <w:szCs w:val="18"/>
        </w:rPr>
        <w:t>CBD/CP/MOP/9/10, annex.</w:t>
      </w:r>
    </w:p>
  </w:footnote>
  <w:footnote w:id="23">
    <w:p w14:paraId="216B14DA" w14:textId="77777777" w:rsidR="00CF43BA" w:rsidRPr="005A19BD" w:rsidRDefault="00CF43BA" w:rsidP="0008472F">
      <w:pPr>
        <w:pStyle w:val="Para1"/>
        <w:keepLines/>
        <w:numPr>
          <w:ilvl w:val="0"/>
          <w:numId w:val="0"/>
        </w:numPr>
        <w:suppressLineNumbers/>
        <w:suppressAutoHyphens/>
        <w:spacing w:before="0" w:after="60"/>
        <w:jc w:val="left"/>
        <w:rPr>
          <w:kern w:val="18"/>
          <w:sz w:val="18"/>
          <w:szCs w:val="18"/>
        </w:rPr>
      </w:pPr>
      <w:r w:rsidRPr="005A19BD">
        <w:rPr>
          <w:kern w:val="18"/>
          <w:sz w:val="18"/>
          <w:szCs w:val="18"/>
          <w:vertAlign w:val="superscript"/>
        </w:rPr>
        <w:footnoteRef/>
      </w:r>
      <w:r w:rsidRPr="005A19BD">
        <w:rPr>
          <w:snapToGrid/>
          <w:kern w:val="18"/>
          <w:sz w:val="18"/>
          <w:szCs w:val="18"/>
        </w:rPr>
        <w:t xml:space="preserve"> </w:t>
      </w:r>
      <w:r w:rsidRPr="00653977">
        <w:rPr>
          <w:snapToGrid/>
          <w:spacing w:val="-2"/>
          <w:kern w:val="18"/>
          <w:sz w:val="18"/>
          <w:szCs w:val="18"/>
        </w:rPr>
        <w:t>In accordance with article 14, paragraph 1, of the Supplementary Protocol and subject to paragraph 2 of Article 32 of the Convention, the Conference of the Parties serving as the meeting of the Parties to the Protocol shall serve as the meeting of the Parties to the Supplementary Protocol. Consequently, the present decision has been taken by Parties to the Supplementary Protocol.</w:t>
      </w:r>
    </w:p>
  </w:footnote>
  <w:footnote w:id="24">
    <w:p w14:paraId="5BD005DC" w14:textId="77777777" w:rsidR="00CF43BA" w:rsidRPr="00653977" w:rsidRDefault="00CF43BA" w:rsidP="0008472F">
      <w:pPr>
        <w:pStyle w:val="FootnoteText"/>
        <w:suppressLineNumbers/>
        <w:suppressAutoHyphens/>
        <w:ind w:firstLine="0"/>
        <w:jc w:val="left"/>
        <w:rPr>
          <w:kern w:val="18"/>
          <w:szCs w:val="18"/>
        </w:rPr>
      </w:pPr>
      <w:r w:rsidRPr="00653977">
        <w:rPr>
          <w:rStyle w:val="FootnoteReference"/>
          <w:kern w:val="18"/>
          <w:szCs w:val="18"/>
          <w:u w:val="none"/>
          <w:vertAlign w:val="superscript"/>
        </w:rPr>
        <w:footnoteRef/>
      </w:r>
      <w:r w:rsidRPr="00395494">
        <w:rPr>
          <w:kern w:val="18"/>
          <w:szCs w:val="18"/>
        </w:rPr>
        <w:t xml:space="preserve"> Refer to footnote in table 2. As per United Nations General Assembly resolution 70/245.</w:t>
      </w:r>
    </w:p>
  </w:footnote>
  <w:footnote w:id="25">
    <w:p w14:paraId="567DABC0" w14:textId="77777777" w:rsidR="00CF43BA" w:rsidRPr="00237524" w:rsidRDefault="00CF43BA" w:rsidP="0008472F">
      <w:pPr>
        <w:pStyle w:val="FootnoteText"/>
        <w:suppressLineNumbers/>
        <w:suppressAutoHyphens/>
        <w:ind w:firstLine="0"/>
        <w:jc w:val="left"/>
        <w:rPr>
          <w:color w:val="000000" w:themeColor="text1"/>
          <w:kern w:val="18"/>
          <w:szCs w:val="18"/>
        </w:rPr>
      </w:pPr>
      <w:r w:rsidRPr="00237524">
        <w:rPr>
          <w:rStyle w:val="FootnoteReference"/>
          <w:snapToGrid w:val="0"/>
          <w:kern w:val="22"/>
          <w:szCs w:val="18"/>
          <w:u w:val="none"/>
          <w:vertAlign w:val="superscript"/>
          <w:lang w:eastAsia="en-US"/>
        </w:rPr>
        <w:footnoteRef/>
      </w:r>
      <w:r w:rsidRPr="00237524">
        <w:rPr>
          <w:rStyle w:val="FootnoteReference"/>
          <w:snapToGrid w:val="0"/>
          <w:kern w:val="22"/>
          <w:szCs w:val="18"/>
          <w:u w:val="none"/>
          <w:vertAlign w:val="superscript"/>
          <w:lang w:eastAsia="en-US"/>
        </w:rPr>
        <w:t xml:space="preserve"> </w:t>
      </w:r>
      <w:r w:rsidRPr="00395494">
        <w:rPr>
          <w:kern w:val="18"/>
          <w:szCs w:val="18"/>
        </w:rPr>
        <w:t xml:space="preserve">As per United Nations General Assembly resolution 70/245. A revised scale of assessments for the triennium will be applied, when released, to calculate assessed contributions for the biennium 2019-2020 (see </w:t>
      </w:r>
      <w:hyperlink r:id="rId7" w:history="1">
        <w:r w:rsidRPr="00237524">
          <w:rPr>
            <w:rStyle w:val="Hyperlink"/>
            <w:szCs w:val="18"/>
          </w:rPr>
          <w:t>https://www.cbd.int/doc/notifications/2019/ntf-2019-016-budget-cp-en.pdf</w:t>
        </w:r>
      </w:hyperlink>
      <w:r w:rsidRPr="00395494">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D78D5438D86D4A71BBE6089CEEBFFBDE"/>
      </w:placeholder>
      <w:dataBinding w:prefixMappings="xmlns:ns0='http://purl.org/dc/elements/1.1/' xmlns:ns1='http://schemas.openxmlformats.org/package/2006/metadata/core-properties' " w:xpath="/ns1:coreProperties[1]/ns0:subject[1]" w:storeItemID="{6C3C8BC8-F283-45AE-878A-BAB7291924A1}"/>
      <w:text/>
    </w:sdtPr>
    <w:sdtEndPr/>
    <w:sdtContent>
      <w:p w14:paraId="2E32D4FE" w14:textId="39E0B024" w:rsidR="00CF43BA" w:rsidRPr="00F41283" w:rsidRDefault="00CF43BA" w:rsidP="00EF0503">
        <w:pPr>
          <w:pStyle w:val="Header"/>
          <w:tabs>
            <w:tab w:val="clear" w:pos="4320"/>
            <w:tab w:val="clear" w:pos="8640"/>
          </w:tabs>
          <w:jc w:val="left"/>
          <w:rPr>
            <w:noProof/>
            <w:kern w:val="22"/>
          </w:rPr>
        </w:pPr>
        <w:r>
          <w:rPr>
            <w:noProof/>
            <w:kern w:val="22"/>
          </w:rPr>
          <w:t>CBD/CP/MOP/9/13</w:t>
        </w:r>
      </w:p>
    </w:sdtContent>
  </w:sdt>
  <w:p w14:paraId="6F21F1DB" w14:textId="77777777" w:rsidR="00CF43BA" w:rsidRPr="00F41283" w:rsidRDefault="00CF43BA" w:rsidP="00EF0503">
    <w:pPr>
      <w:pStyle w:val="Header"/>
      <w:tabs>
        <w:tab w:val="clear" w:pos="4320"/>
        <w:tab w:val="clear" w:pos="8640"/>
      </w:tabs>
      <w:jc w:val="left"/>
      <w:rPr>
        <w:noProof/>
        <w:kern w:val="22"/>
      </w:rPr>
    </w:pPr>
    <w:r w:rsidRPr="00F41283">
      <w:rPr>
        <w:noProof/>
        <w:kern w:val="22"/>
      </w:rPr>
      <w:t xml:space="preserve">Page </w:t>
    </w:r>
    <w:r w:rsidRPr="00F41283">
      <w:rPr>
        <w:noProof/>
        <w:kern w:val="22"/>
      </w:rPr>
      <w:fldChar w:fldCharType="begin"/>
    </w:r>
    <w:r w:rsidRPr="00F41283">
      <w:rPr>
        <w:noProof/>
        <w:kern w:val="22"/>
      </w:rPr>
      <w:instrText xml:space="preserve"> PAGE   \* MERGEFORMAT </w:instrText>
    </w:r>
    <w:r w:rsidRPr="00F41283">
      <w:rPr>
        <w:noProof/>
        <w:kern w:val="22"/>
      </w:rPr>
      <w:fldChar w:fldCharType="separate"/>
    </w:r>
    <w:r>
      <w:rPr>
        <w:noProof/>
        <w:kern w:val="22"/>
      </w:rPr>
      <w:t>58</w:t>
    </w:r>
    <w:r w:rsidRPr="00F41283">
      <w:rPr>
        <w:noProof/>
        <w:kern w:val="22"/>
      </w:rPr>
      <w:fldChar w:fldCharType="end"/>
    </w:r>
  </w:p>
  <w:p w14:paraId="044859BF" w14:textId="77777777" w:rsidR="00CF43BA" w:rsidRPr="00F41283" w:rsidRDefault="00CF43BA" w:rsidP="00EF0503">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44258BF6970D4CC59FE855240C8C7AF3"/>
      </w:placeholder>
      <w:dataBinding w:prefixMappings="xmlns:ns0='http://purl.org/dc/elements/1.1/' xmlns:ns1='http://schemas.openxmlformats.org/package/2006/metadata/core-properties' " w:xpath="/ns1:coreProperties[1]/ns0:subject[1]" w:storeItemID="{6C3C8BC8-F283-45AE-878A-BAB7291924A1}"/>
      <w:text/>
    </w:sdtPr>
    <w:sdtEndPr/>
    <w:sdtContent>
      <w:p w14:paraId="46AC344E" w14:textId="721C2AC2" w:rsidR="00CF43BA" w:rsidRPr="00F41283" w:rsidRDefault="00CF43BA" w:rsidP="00EF0503">
        <w:pPr>
          <w:pStyle w:val="Header"/>
          <w:tabs>
            <w:tab w:val="clear" w:pos="4320"/>
            <w:tab w:val="clear" w:pos="8640"/>
          </w:tabs>
          <w:jc w:val="right"/>
          <w:rPr>
            <w:noProof/>
            <w:kern w:val="22"/>
          </w:rPr>
        </w:pPr>
        <w:r>
          <w:rPr>
            <w:noProof/>
            <w:kern w:val="22"/>
          </w:rPr>
          <w:t>CBD/CP/MOP/9/13</w:t>
        </w:r>
      </w:p>
    </w:sdtContent>
  </w:sdt>
  <w:p w14:paraId="575F6FD3" w14:textId="77777777" w:rsidR="00CF43BA" w:rsidRPr="00F41283" w:rsidRDefault="00CF43BA" w:rsidP="00EF0503">
    <w:pPr>
      <w:pStyle w:val="Header"/>
      <w:tabs>
        <w:tab w:val="clear" w:pos="4320"/>
        <w:tab w:val="clear" w:pos="8640"/>
      </w:tabs>
      <w:jc w:val="right"/>
      <w:rPr>
        <w:noProof/>
        <w:kern w:val="22"/>
      </w:rPr>
    </w:pPr>
    <w:r w:rsidRPr="00F41283">
      <w:rPr>
        <w:noProof/>
        <w:kern w:val="22"/>
      </w:rPr>
      <w:t xml:space="preserve">Page </w:t>
    </w:r>
    <w:r w:rsidRPr="00F41283">
      <w:rPr>
        <w:noProof/>
        <w:kern w:val="22"/>
      </w:rPr>
      <w:fldChar w:fldCharType="begin"/>
    </w:r>
    <w:r w:rsidRPr="00F41283">
      <w:rPr>
        <w:noProof/>
        <w:kern w:val="22"/>
      </w:rPr>
      <w:instrText xml:space="preserve"> PAGE   \* MERGEFORMAT </w:instrText>
    </w:r>
    <w:r w:rsidRPr="00F41283">
      <w:rPr>
        <w:noProof/>
        <w:kern w:val="22"/>
      </w:rPr>
      <w:fldChar w:fldCharType="separate"/>
    </w:r>
    <w:r>
      <w:rPr>
        <w:noProof/>
        <w:kern w:val="22"/>
      </w:rPr>
      <w:t>57</w:t>
    </w:r>
    <w:r w:rsidRPr="00F41283">
      <w:rPr>
        <w:noProof/>
        <w:kern w:val="22"/>
      </w:rPr>
      <w:fldChar w:fldCharType="end"/>
    </w:r>
  </w:p>
  <w:p w14:paraId="0351C32E" w14:textId="77777777" w:rsidR="00CF43BA" w:rsidRPr="00F41283" w:rsidRDefault="00CF43BA" w:rsidP="00EF0503">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EE9CE" w14:textId="06148983" w:rsidR="00CF43BA" w:rsidRPr="00237524" w:rsidRDefault="00CF43BA">
    <w:pPr>
      <w:pStyle w:val="Header"/>
      <w:tabs>
        <w:tab w:val="clear" w:pos="4320"/>
        <w:tab w:val="clear" w:pos="8640"/>
      </w:tabs>
      <w:jc w:val="left"/>
      <w:rPr>
        <w:kern w:val="22"/>
        <w:szCs w:val="22"/>
      </w:rPr>
    </w:pPr>
    <w:r w:rsidRPr="00237524">
      <w:rPr>
        <w:bCs/>
        <w:szCs w:val="22"/>
      </w:rPr>
      <w:t>CBD/CP/MOP/9/13</w:t>
    </w:r>
  </w:p>
  <w:p w14:paraId="022C3FA2" w14:textId="43667326" w:rsidR="00CF43BA" w:rsidRPr="00237524" w:rsidRDefault="00CF43BA">
    <w:pPr>
      <w:pStyle w:val="Header"/>
      <w:tabs>
        <w:tab w:val="clear" w:pos="4320"/>
        <w:tab w:val="clear" w:pos="8640"/>
      </w:tabs>
      <w:jc w:val="left"/>
      <w:rPr>
        <w:kern w:val="22"/>
        <w:szCs w:val="22"/>
      </w:rPr>
    </w:pPr>
    <w:r w:rsidRPr="00237524">
      <w:rPr>
        <w:kern w:val="22"/>
        <w:szCs w:val="22"/>
      </w:rPr>
      <w:t xml:space="preserve">Page </w:t>
    </w:r>
    <w:r w:rsidRPr="00237524">
      <w:rPr>
        <w:bCs/>
        <w:kern w:val="22"/>
        <w:szCs w:val="22"/>
      </w:rPr>
      <w:fldChar w:fldCharType="begin"/>
    </w:r>
    <w:r w:rsidRPr="00237524">
      <w:rPr>
        <w:bCs/>
        <w:kern w:val="22"/>
        <w:szCs w:val="22"/>
      </w:rPr>
      <w:instrText xml:space="preserve"> PAGE </w:instrText>
    </w:r>
    <w:r w:rsidRPr="00237524">
      <w:rPr>
        <w:bCs/>
        <w:kern w:val="22"/>
        <w:szCs w:val="22"/>
      </w:rPr>
      <w:fldChar w:fldCharType="separate"/>
    </w:r>
    <w:r w:rsidRPr="00237524">
      <w:rPr>
        <w:bCs/>
        <w:kern w:val="22"/>
        <w:szCs w:val="22"/>
      </w:rPr>
      <w:t>78</w:t>
    </w:r>
    <w:r w:rsidRPr="00237524">
      <w:rPr>
        <w:bCs/>
        <w:kern w:val="22"/>
        <w:szCs w:val="22"/>
      </w:rPr>
      <w:fldChar w:fldCharType="end"/>
    </w:r>
  </w:p>
  <w:p w14:paraId="7691DB60" w14:textId="77777777" w:rsidR="00CF43BA" w:rsidRPr="00237524" w:rsidRDefault="00CF43BA">
    <w:pPr>
      <w:pStyle w:val="Header"/>
      <w:tabs>
        <w:tab w:val="clear" w:pos="4320"/>
        <w:tab w:val="clear" w:pos="8640"/>
      </w:tabs>
      <w:jc w:val="left"/>
      <w:rPr>
        <w:kern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ADC0" w14:textId="5CEC1FAF" w:rsidR="00CF43BA" w:rsidRPr="00A77AAD" w:rsidRDefault="00CF43BA">
    <w:pPr>
      <w:pStyle w:val="Header"/>
      <w:tabs>
        <w:tab w:val="clear" w:pos="4320"/>
        <w:tab w:val="clear" w:pos="8640"/>
      </w:tabs>
      <w:jc w:val="right"/>
      <w:rPr>
        <w:noProof/>
        <w:kern w:val="22"/>
        <w:szCs w:val="22"/>
        <w:lang w:val="fr-FR"/>
      </w:rPr>
    </w:pPr>
    <w:r w:rsidRPr="00A77AAD">
      <w:rPr>
        <w:bCs/>
        <w:szCs w:val="22"/>
        <w:lang w:val="fr-FR"/>
      </w:rPr>
      <w:t>CBD/CP/MOP/9/</w:t>
    </w:r>
    <w:r>
      <w:rPr>
        <w:bCs/>
        <w:szCs w:val="22"/>
        <w:lang w:val="fr-FR"/>
      </w:rPr>
      <w:t>13</w:t>
    </w:r>
  </w:p>
  <w:p w14:paraId="25E16123" w14:textId="0A0F95D2" w:rsidR="00CF43BA" w:rsidRPr="00A77AAD" w:rsidRDefault="00CF43BA">
    <w:pPr>
      <w:pStyle w:val="Header"/>
      <w:tabs>
        <w:tab w:val="clear" w:pos="4320"/>
        <w:tab w:val="clear" w:pos="8640"/>
      </w:tabs>
      <w:jc w:val="right"/>
      <w:rPr>
        <w:noProof/>
        <w:kern w:val="22"/>
        <w:szCs w:val="22"/>
        <w:lang w:val="fr-FR"/>
      </w:rPr>
    </w:pPr>
    <w:r w:rsidRPr="00A77AAD">
      <w:rPr>
        <w:noProof/>
        <w:kern w:val="22"/>
        <w:szCs w:val="22"/>
        <w:lang w:val="fr-FR"/>
      </w:rPr>
      <w:t xml:space="preserve">Page </w:t>
    </w:r>
    <w:r>
      <w:rPr>
        <w:bCs/>
        <w:noProof/>
        <w:kern w:val="22"/>
        <w:szCs w:val="22"/>
      </w:rPr>
      <w:fldChar w:fldCharType="begin"/>
    </w:r>
    <w:r w:rsidRPr="00A77AAD">
      <w:rPr>
        <w:bCs/>
        <w:noProof/>
        <w:kern w:val="22"/>
        <w:szCs w:val="22"/>
        <w:lang w:val="fr-FR"/>
      </w:rPr>
      <w:instrText xml:space="preserve"> PAGE </w:instrText>
    </w:r>
    <w:r>
      <w:rPr>
        <w:bCs/>
        <w:noProof/>
        <w:kern w:val="22"/>
        <w:szCs w:val="22"/>
      </w:rPr>
      <w:fldChar w:fldCharType="separate"/>
    </w:r>
    <w:r>
      <w:rPr>
        <w:bCs/>
        <w:noProof/>
        <w:kern w:val="22"/>
        <w:szCs w:val="22"/>
        <w:lang w:val="fr-FR"/>
      </w:rPr>
      <w:t>63</w:t>
    </w:r>
    <w:r>
      <w:rPr>
        <w:bCs/>
        <w:noProof/>
        <w:kern w:val="22"/>
        <w:szCs w:val="22"/>
      </w:rPr>
      <w:fldChar w:fldCharType="end"/>
    </w:r>
  </w:p>
  <w:p w14:paraId="52585301" w14:textId="77777777" w:rsidR="00CF43BA" w:rsidRPr="00A77AAD" w:rsidRDefault="00CF43BA">
    <w:pPr>
      <w:pStyle w:val="Header"/>
      <w:tabs>
        <w:tab w:val="clear" w:pos="4320"/>
        <w:tab w:val="clear" w:pos="8640"/>
      </w:tabs>
      <w:jc w:val="right"/>
      <w:rPr>
        <w:noProof/>
        <w:kern w:val="22"/>
        <w:szCs w:val="22"/>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B0300" w14:textId="69886625" w:rsidR="00CF43BA" w:rsidRPr="00237524" w:rsidRDefault="00CF43BA">
    <w:pPr>
      <w:pStyle w:val="Header"/>
      <w:tabs>
        <w:tab w:val="clear" w:pos="4320"/>
        <w:tab w:val="clear" w:pos="8640"/>
      </w:tabs>
      <w:jc w:val="right"/>
      <w:rPr>
        <w:kern w:val="22"/>
        <w:szCs w:val="22"/>
      </w:rPr>
    </w:pPr>
    <w:r w:rsidRPr="00237524">
      <w:rPr>
        <w:bCs/>
        <w:szCs w:val="22"/>
      </w:rPr>
      <w:t>CBD/CP/MOP/9/13</w:t>
    </w:r>
  </w:p>
  <w:p w14:paraId="1A9F1628" w14:textId="77777777" w:rsidR="00CF43BA" w:rsidRPr="00237524" w:rsidRDefault="00CF43BA">
    <w:pPr>
      <w:pStyle w:val="Header"/>
      <w:tabs>
        <w:tab w:val="clear" w:pos="4320"/>
        <w:tab w:val="clear" w:pos="8640"/>
      </w:tabs>
      <w:jc w:val="right"/>
      <w:rPr>
        <w:kern w:val="22"/>
        <w:szCs w:val="22"/>
      </w:rPr>
    </w:pPr>
    <w:r w:rsidRPr="00237524">
      <w:rPr>
        <w:kern w:val="22"/>
        <w:szCs w:val="22"/>
      </w:rPr>
      <w:t xml:space="preserve">Page </w:t>
    </w:r>
    <w:r w:rsidRPr="00237524">
      <w:rPr>
        <w:bCs/>
        <w:kern w:val="22"/>
        <w:szCs w:val="22"/>
      </w:rPr>
      <w:fldChar w:fldCharType="begin"/>
    </w:r>
    <w:r w:rsidRPr="00237524">
      <w:rPr>
        <w:bCs/>
        <w:kern w:val="22"/>
        <w:szCs w:val="22"/>
      </w:rPr>
      <w:instrText xml:space="preserve"> PAGE </w:instrText>
    </w:r>
    <w:r w:rsidRPr="00237524">
      <w:rPr>
        <w:bCs/>
        <w:kern w:val="22"/>
        <w:szCs w:val="22"/>
      </w:rPr>
      <w:fldChar w:fldCharType="separate"/>
    </w:r>
    <w:r w:rsidRPr="00237524">
      <w:rPr>
        <w:bCs/>
        <w:kern w:val="22"/>
        <w:szCs w:val="22"/>
      </w:rPr>
      <w:t>77</w:t>
    </w:r>
    <w:r w:rsidRPr="00237524">
      <w:rPr>
        <w:bCs/>
        <w:kern w:val="22"/>
        <w:szCs w:val="22"/>
      </w:rPr>
      <w:fldChar w:fldCharType="end"/>
    </w:r>
  </w:p>
  <w:p w14:paraId="6421B972" w14:textId="77777777" w:rsidR="00CF43BA" w:rsidRPr="00237524" w:rsidRDefault="00CF43BA">
    <w:pPr>
      <w:pStyle w:val="Header"/>
      <w:tabs>
        <w:tab w:val="clear" w:pos="4320"/>
        <w:tab w:val="clear" w:pos="8640"/>
      </w:tabs>
      <w:jc w:val="right"/>
      <w:rPr>
        <w:kern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1E3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BEBA1C"/>
    <w:lvl w:ilvl="0">
      <w:start w:val="1"/>
      <w:numFmt w:val="decimal"/>
      <w:lvlText w:val="%1."/>
      <w:lvlJc w:val="left"/>
      <w:pPr>
        <w:tabs>
          <w:tab w:val="num" w:pos="1800"/>
        </w:tabs>
        <w:ind w:left="1800" w:hanging="360"/>
      </w:pPr>
    </w:lvl>
  </w:abstractNum>
  <w:abstractNum w:abstractNumId="2" w15:restartNumberingAfterBreak="0">
    <w:nsid w:val="01567868"/>
    <w:multiLevelType w:val="hybridMultilevel"/>
    <w:tmpl w:val="A5AA06B8"/>
    <w:lvl w:ilvl="0" w:tplc="2456457E">
      <w:start w:val="1"/>
      <w:numFmt w:val="decimal"/>
      <w:lvlText w:val="%1."/>
      <w:lvlJc w:val="left"/>
      <w:pPr>
        <w:ind w:left="644" w:hanging="360"/>
      </w:pPr>
      <w:rPr>
        <w:rFonts w:ascii="Times New Roman" w:eastAsia="Times New Roman" w:hAnsi="Times New Roman" w:cs="Times New Roman"/>
        <w:i w:val="0"/>
      </w:rPr>
    </w:lvl>
    <w:lvl w:ilvl="1" w:tplc="10090019">
      <w:start w:val="1"/>
      <w:numFmt w:val="lowerLetter"/>
      <w:lvlText w:val="%2."/>
      <w:lvlJc w:val="left"/>
      <w:pPr>
        <w:ind w:left="1364" w:hanging="360"/>
      </w:pPr>
    </w:lvl>
    <w:lvl w:ilvl="2" w:tplc="1009001B">
      <w:start w:val="1"/>
      <w:numFmt w:val="lowerRoman"/>
      <w:lvlText w:val="%3."/>
      <w:lvlJc w:val="right"/>
      <w:pPr>
        <w:ind w:left="2084" w:hanging="180"/>
      </w:pPr>
    </w:lvl>
    <w:lvl w:ilvl="3" w:tplc="1009000F">
      <w:start w:val="1"/>
      <w:numFmt w:val="decimal"/>
      <w:lvlText w:val="%4."/>
      <w:lvlJc w:val="left"/>
      <w:pPr>
        <w:ind w:left="2804" w:hanging="360"/>
      </w:pPr>
    </w:lvl>
    <w:lvl w:ilvl="4" w:tplc="10090019">
      <w:start w:val="1"/>
      <w:numFmt w:val="lowerLetter"/>
      <w:lvlText w:val="%5."/>
      <w:lvlJc w:val="left"/>
      <w:pPr>
        <w:ind w:left="3524" w:hanging="360"/>
      </w:pPr>
    </w:lvl>
    <w:lvl w:ilvl="5" w:tplc="1009001B">
      <w:start w:val="1"/>
      <w:numFmt w:val="lowerRoman"/>
      <w:lvlText w:val="%6."/>
      <w:lvlJc w:val="right"/>
      <w:pPr>
        <w:ind w:left="4244" w:hanging="180"/>
      </w:pPr>
    </w:lvl>
    <w:lvl w:ilvl="6" w:tplc="1009000F">
      <w:start w:val="1"/>
      <w:numFmt w:val="decimal"/>
      <w:lvlText w:val="%7."/>
      <w:lvlJc w:val="left"/>
      <w:pPr>
        <w:ind w:left="4964" w:hanging="360"/>
      </w:pPr>
    </w:lvl>
    <w:lvl w:ilvl="7" w:tplc="10090019">
      <w:start w:val="1"/>
      <w:numFmt w:val="lowerLetter"/>
      <w:lvlText w:val="%8."/>
      <w:lvlJc w:val="left"/>
      <w:pPr>
        <w:ind w:left="5684" w:hanging="360"/>
      </w:pPr>
    </w:lvl>
    <w:lvl w:ilvl="8" w:tplc="1009001B">
      <w:start w:val="1"/>
      <w:numFmt w:val="lowerRoman"/>
      <w:lvlText w:val="%9."/>
      <w:lvlJc w:val="right"/>
      <w:pPr>
        <w:ind w:left="6404" w:hanging="180"/>
      </w:pPr>
    </w:lvl>
  </w:abstractNum>
  <w:abstractNum w:abstractNumId="3" w15:restartNumberingAfterBreak="0">
    <w:nsid w:val="0AAC213B"/>
    <w:multiLevelType w:val="multilevel"/>
    <w:tmpl w:val="41D295EA"/>
    <w:lvl w:ilvl="0">
      <w:start w:val="8"/>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15:restartNumberingAfterBreak="0">
    <w:nsid w:val="0D5C3974"/>
    <w:multiLevelType w:val="hybridMultilevel"/>
    <w:tmpl w:val="942CDD84"/>
    <w:lvl w:ilvl="0" w:tplc="E25214E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F3E6D84"/>
    <w:multiLevelType w:val="hybridMultilevel"/>
    <w:tmpl w:val="7D2C9D96"/>
    <w:lvl w:ilvl="0" w:tplc="C458EBAA">
      <w:start w:val="1"/>
      <w:numFmt w:val="lowerLetter"/>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9"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15449EB"/>
    <w:multiLevelType w:val="multilevel"/>
    <w:tmpl w:val="14649F6A"/>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7826887"/>
    <w:multiLevelType w:val="hybridMultilevel"/>
    <w:tmpl w:val="B5B2E116"/>
    <w:lvl w:ilvl="0" w:tplc="9502E0B0">
      <w:start w:val="1"/>
      <w:numFmt w:val="lowerLetter"/>
      <w:lvlText w:val="%1."/>
      <w:lvlJc w:val="left"/>
      <w:pPr>
        <w:tabs>
          <w:tab w:val="num" w:pos="720"/>
        </w:tabs>
        <w:ind w:left="720" w:hanging="72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2C92250A"/>
    <w:multiLevelType w:val="hybridMultilevel"/>
    <w:tmpl w:val="E3D27962"/>
    <w:lvl w:ilvl="0" w:tplc="B136D1EE">
      <w:start w:val="1"/>
      <w:numFmt w:val="decimal"/>
      <w:pStyle w:val="Numberedparagraph"/>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D2F11A0"/>
    <w:multiLevelType w:val="hybridMultilevel"/>
    <w:tmpl w:val="2DA0DC5A"/>
    <w:lvl w:ilvl="0" w:tplc="04090003">
      <w:start w:val="1"/>
      <w:numFmt w:val="bullet"/>
      <w:pStyle w:val="list3"/>
      <w:lvlText w:val="o"/>
      <w:lvlJc w:val="left"/>
      <w:pPr>
        <w:tabs>
          <w:tab w:val="num" w:pos="720"/>
        </w:tabs>
        <w:ind w:left="720" w:hanging="360"/>
      </w:pPr>
      <w:rPr>
        <w:rFonts w:ascii="Courier New" w:hAnsi="Courier New"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EDB318A"/>
    <w:multiLevelType w:val="hybridMultilevel"/>
    <w:tmpl w:val="F00CBA9A"/>
    <w:lvl w:ilvl="0" w:tplc="7DBAE6DC">
      <w:start w:val="1"/>
      <w:numFmt w:val="lowerLetter"/>
      <w:pStyle w:val="Heading4"/>
      <w:lvlText w:val="(%1)"/>
      <w:lvlJc w:val="left"/>
      <w:pPr>
        <w:tabs>
          <w:tab w:val="num" w:pos="1440"/>
        </w:tabs>
        <w:ind w:left="1440" w:hanging="720"/>
      </w:pPr>
      <w:rPr>
        <w:rFonts w:ascii="Times New Roman" w:hAnsi="Times New Roman" w:cs="Times New Roman" w:hint="default"/>
        <w:b w:val="0"/>
        <w:i/>
        <w:sz w:val="22"/>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3A905C9D"/>
    <w:multiLevelType w:val="hybridMultilevel"/>
    <w:tmpl w:val="893AF154"/>
    <w:lvl w:ilvl="0" w:tplc="A47EDF1C">
      <w:start w:val="1"/>
      <w:numFmt w:val="lowerLetter"/>
      <w:lvlText w:val="(%1)"/>
      <w:lvlJc w:val="left"/>
      <w:pPr>
        <w:ind w:left="1004" w:hanging="360"/>
      </w:pPr>
      <w:rPr>
        <w:i w:val="0"/>
      </w:rPr>
    </w:lvl>
    <w:lvl w:ilvl="1" w:tplc="10090019">
      <w:start w:val="1"/>
      <w:numFmt w:val="lowerLetter"/>
      <w:lvlText w:val="%2."/>
      <w:lvlJc w:val="left"/>
      <w:pPr>
        <w:ind w:left="1724" w:hanging="360"/>
      </w:pPr>
    </w:lvl>
    <w:lvl w:ilvl="2" w:tplc="1009001B">
      <w:start w:val="1"/>
      <w:numFmt w:val="lowerRoman"/>
      <w:lvlText w:val="%3."/>
      <w:lvlJc w:val="right"/>
      <w:pPr>
        <w:ind w:left="2444" w:hanging="180"/>
      </w:pPr>
    </w:lvl>
    <w:lvl w:ilvl="3" w:tplc="1009000F">
      <w:start w:val="1"/>
      <w:numFmt w:val="decimal"/>
      <w:lvlText w:val="%4."/>
      <w:lvlJc w:val="left"/>
      <w:pPr>
        <w:ind w:left="3164" w:hanging="360"/>
      </w:pPr>
    </w:lvl>
    <w:lvl w:ilvl="4" w:tplc="10090019">
      <w:start w:val="1"/>
      <w:numFmt w:val="lowerLetter"/>
      <w:lvlText w:val="%5."/>
      <w:lvlJc w:val="left"/>
      <w:pPr>
        <w:ind w:left="3884" w:hanging="360"/>
      </w:pPr>
    </w:lvl>
    <w:lvl w:ilvl="5" w:tplc="1009001B">
      <w:start w:val="1"/>
      <w:numFmt w:val="lowerRoman"/>
      <w:lvlText w:val="%6."/>
      <w:lvlJc w:val="right"/>
      <w:pPr>
        <w:ind w:left="4604" w:hanging="180"/>
      </w:pPr>
    </w:lvl>
    <w:lvl w:ilvl="6" w:tplc="1009000F">
      <w:start w:val="1"/>
      <w:numFmt w:val="decimal"/>
      <w:lvlText w:val="%7."/>
      <w:lvlJc w:val="left"/>
      <w:pPr>
        <w:ind w:left="5324" w:hanging="360"/>
      </w:pPr>
    </w:lvl>
    <w:lvl w:ilvl="7" w:tplc="10090019">
      <w:start w:val="1"/>
      <w:numFmt w:val="lowerLetter"/>
      <w:lvlText w:val="%8."/>
      <w:lvlJc w:val="left"/>
      <w:pPr>
        <w:ind w:left="6044" w:hanging="360"/>
      </w:pPr>
    </w:lvl>
    <w:lvl w:ilvl="8" w:tplc="1009001B">
      <w:start w:val="1"/>
      <w:numFmt w:val="lowerRoman"/>
      <w:lvlText w:val="%9."/>
      <w:lvlJc w:val="right"/>
      <w:pPr>
        <w:ind w:left="6764" w:hanging="180"/>
      </w:pPr>
    </w:lvl>
  </w:abstractNum>
  <w:abstractNum w:abstractNumId="19"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21" w15:restartNumberingAfterBreak="0">
    <w:nsid w:val="3E022188"/>
    <w:multiLevelType w:val="multilevel"/>
    <w:tmpl w:val="075CBF86"/>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decimal"/>
      <w:lvlText w:val="%2."/>
      <w:lvlJc w:val="left"/>
      <w:pPr>
        <w:tabs>
          <w:tab w:val="num" w:pos="1571"/>
        </w:tabs>
        <w:ind w:left="131" w:firstLine="720"/>
      </w:pPr>
      <w:rPr>
        <w:rFonts w:hint="default"/>
        <w:b w:val="0"/>
        <w:bCs/>
        <w:i w:val="0"/>
      </w:rPr>
    </w:lvl>
    <w:lvl w:ilvl="2">
      <w:start w:val="1"/>
      <w:numFmt w:val="lowerRoman"/>
      <w:lvlText w:val="(%3)"/>
      <w:lvlJc w:val="right"/>
      <w:pPr>
        <w:tabs>
          <w:tab w:val="num" w:pos="1440"/>
        </w:tabs>
        <w:ind w:left="1440" w:hanging="360"/>
      </w:pPr>
      <w:rPr>
        <w:rFonts w:cs="Times New Roman" w:hint="default"/>
      </w:rPr>
    </w:lvl>
    <w:lvl w:ilvl="3">
      <w:start w:val="1"/>
      <w:numFmt w:val="lowerRoman"/>
      <w:lvlText w:val="%4."/>
      <w:lvlJc w:val="right"/>
      <w:pPr>
        <w:ind w:left="1800" w:hanging="360"/>
      </w:pPr>
      <w:rPr>
        <w:rFonts w:hint="default"/>
        <w:color w:val="auto"/>
        <w:sz w:val="22"/>
        <w:szCs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3FA01265"/>
    <w:multiLevelType w:val="hybridMultilevel"/>
    <w:tmpl w:val="1BE8D32A"/>
    <w:lvl w:ilvl="0" w:tplc="B6EAE896">
      <w:start w:val="1"/>
      <w:numFmt w:val="decimal"/>
      <w:pStyle w:val="Paranormal"/>
      <w:lvlText w:val="%1."/>
      <w:lvlJc w:val="left"/>
      <w:pPr>
        <w:tabs>
          <w:tab w:val="num" w:pos="36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1C853E3"/>
    <w:multiLevelType w:val="hybridMultilevel"/>
    <w:tmpl w:val="008C40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2074866"/>
    <w:multiLevelType w:val="multilevel"/>
    <w:tmpl w:val="F13059A8"/>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bCs/>
        <w:i w:val="0"/>
      </w:rPr>
    </w:lvl>
    <w:lvl w:ilvl="2">
      <w:start w:val="1"/>
      <w:numFmt w:val="lowerRoman"/>
      <w:lvlText w:val="(%3)"/>
      <w:lvlJc w:val="right"/>
      <w:pPr>
        <w:tabs>
          <w:tab w:val="num" w:pos="1440"/>
        </w:tabs>
        <w:ind w:left="1440" w:hanging="360"/>
      </w:pPr>
      <w:rPr>
        <w:rFonts w:cs="Times New Roman" w:hint="default"/>
      </w:rPr>
    </w:lvl>
    <w:lvl w:ilvl="3">
      <w:start w:val="1"/>
      <w:numFmt w:val="lowerLetter"/>
      <w:lvlText w:val="(%4)"/>
      <w:lvlJc w:val="left"/>
      <w:pPr>
        <w:ind w:left="1800" w:hanging="360"/>
      </w:pPr>
      <w:rPr>
        <w:rFonts w:hint="default"/>
        <w:b w:val="0"/>
        <w:color w:val="auto"/>
        <w:sz w:val="22"/>
        <w:szCs w:val="22"/>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76777F8"/>
    <w:multiLevelType w:val="hybridMultilevel"/>
    <w:tmpl w:val="CE1EDFBE"/>
    <w:lvl w:ilvl="0" w:tplc="380A561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9" w15:restartNumberingAfterBreak="0">
    <w:nsid w:val="4B8F7FB2"/>
    <w:multiLevelType w:val="hybridMultilevel"/>
    <w:tmpl w:val="0D362D94"/>
    <w:lvl w:ilvl="0" w:tplc="111CCE32">
      <w:start w:val="8"/>
      <w:numFmt w:val="decimal"/>
      <w:lvlText w:val="%1."/>
      <w:lvlJc w:val="left"/>
      <w:pPr>
        <w:ind w:left="720" w:hanging="360"/>
      </w:pPr>
      <w:rPr>
        <w:rFonts w:hint="default"/>
        <w:i w:val="0"/>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C2F6BF8"/>
    <w:multiLevelType w:val="hybridMultilevel"/>
    <w:tmpl w:val="CCDCAB5A"/>
    <w:lvl w:ilvl="0" w:tplc="156AED14">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E5D154C"/>
    <w:multiLevelType w:val="multilevel"/>
    <w:tmpl w:val="8982DC1C"/>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Letter"/>
      <w:lvlText w:val="(%3)"/>
      <w:lvlJc w:val="lef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F7C089F"/>
    <w:multiLevelType w:val="hybridMultilevel"/>
    <w:tmpl w:val="03CCE134"/>
    <w:lvl w:ilvl="0" w:tplc="049C0C58">
      <w:start w:val="1"/>
      <w:numFmt w:val="decimal"/>
      <w:pStyle w:val="ListParagraph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43F327C"/>
    <w:multiLevelType w:val="hybridMultilevel"/>
    <w:tmpl w:val="E39EBFCC"/>
    <w:lvl w:ilvl="0" w:tplc="7FB85216">
      <w:start w:val="1"/>
      <w:numFmt w:val="decimal"/>
      <w:lvlText w:val="%1."/>
      <w:lvlJc w:val="left"/>
      <w:pPr>
        <w:tabs>
          <w:tab w:val="num" w:pos="720"/>
        </w:tabs>
        <w:ind w:left="720" w:hanging="360"/>
      </w:pPr>
      <w:rPr>
        <w:b w:val="0"/>
      </w:rPr>
    </w:lvl>
    <w:lvl w:ilvl="1" w:tplc="929AB2E8">
      <w:numFmt w:val="none"/>
      <w:lvlText w:val=""/>
      <w:lvlJc w:val="left"/>
      <w:pPr>
        <w:tabs>
          <w:tab w:val="num" w:pos="360"/>
        </w:tabs>
        <w:ind w:left="0" w:firstLine="0"/>
      </w:pPr>
    </w:lvl>
    <w:lvl w:ilvl="2" w:tplc="F11C8352">
      <w:numFmt w:val="none"/>
      <w:lvlText w:val=""/>
      <w:lvlJc w:val="left"/>
      <w:pPr>
        <w:tabs>
          <w:tab w:val="num" w:pos="360"/>
        </w:tabs>
        <w:ind w:left="0" w:firstLine="0"/>
      </w:pPr>
    </w:lvl>
    <w:lvl w:ilvl="3" w:tplc="66DC63B6">
      <w:numFmt w:val="none"/>
      <w:lvlText w:val=""/>
      <w:lvlJc w:val="left"/>
      <w:pPr>
        <w:tabs>
          <w:tab w:val="num" w:pos="360"/>
        </w:tabs>
        <w:ind w:left="0" w:firstLine="0"/>
      </w:pPr>
    </w:lvl>
    <w:lvl w:ilvl="4" w:tplc="A788A2C4">
      <w:numFmt w:val="none"/>
      <w:lvlText w:val=""/>
      <w:lvlJc w:val="left"/>
      <w:pPr>
        <w:tabs>
          <w:tab w:val="num" w:pos="360"/>
        </w:tabs>
        <w:ind w:left="0" w:firstLine="0"/>
      </w:pPr>
    </w:lvl>
    <w:lvl w:ilvl="5" w:tplc="CA0A7470">
      <w:numFmt w:val="none"/>
      <w:lvlText w:val=""/>
      <w:lvlJc w:val="left"/>
      <w:pPr>
        <w:tabs>
          <w:tab w:val="num" w:pos="360"/>
        </w:tabs>
        <w:ind w:left="0" w:firstLine="0"/>
      </w:pPr>
    </w:lvl>
    <w:lvl w:ilvl="6" w:tplc="4E5A2374">
      <w:numFmt w:val="none"/>
      <w:lvlText w:val=""/>
      <w:lvlJc w:val="left"/>
      <w:pPr>
        <w:tabs>
          <w:tab w:val="num" w:pos="360"/>
        </w:tabs>
        <w:ind w:left="0" w:firstLine="0"/>
      </w:pPr>
    </w:lvl>
    <w:lvl w:ilvl="7" w:tplc="6B1C9520">
      <w:numFmt w:val="none"/>
      <w:lvlText w:val=""/>
      <w:lvlJc w:val="left"/>
      <w:pPr>
        <w:tabs>
          <w:tab w:val="num" w:pos="360"/>
        </w:tabs>
        <w:ind w:left="0" w:firstLine="0"/>
      </w:pPr>
    </w:lvl>
    <w:lvl w:ilvl="8" w:tplc="94BC9040">
      <w:numFmt w:val="none"/>
      <w:lvlText w:val=""/>
      <w:lvlJc w:val="left"/>
      <w:pPr>
        <w:tabs>
          <w:tab w:val="num" w:pos="360"/>
        </w:tabs>
        <w:ind w:left="0" w:firstLine="0"/>
      </w:pPr>
    </w:lvl>
  </w:abstractNum>
  <w:abstractNum w:abstractNumId="3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98645C3"/>
    <w:multiLevelType w:val="hybridMultilevel"/>
    <w:tmpl w:val="23F4D254"/>
    <w:lvl w:ilvl="0" w:tplc="EE968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516B6E"/>
    <w:multiLevelType w:val="hybridMultilevel"/>
    <w:tmpl w:val="B142CAEC"/>
    <w:lvl w:ilvl="0" w:tplc="9D4605C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0282362"/>
    <w:multiLevelType w:val="multilevel"/>
    <w:tmpl w:val="3506B314"/>
    <w:lvl w:ilvl="0">
      <w:start w:val="1"/>
      <w:numFmt w:val="lowerLetter"/>
      <w:lvlText w:val="(%1)"/>
      <w:lvlJc w:val="left"/>
      <w:pPr>
        <w:tabs>
          <w:tab w:val="num" w:pos="360"/>
        </w:tabs>
        <w:ind w:left="0" w:firstLine="0"/>
      </w:pPr>
      <w:rPr>
        <w:rFonts w:hint="default"/>
      </w:rPr>
    </w:lvl>
    <w:lvl w:ilvl="1">
      <w:start w:val="1"/>
      <w:numFmt w:val="lowerLetter"/>
      <w:lvlText w:val="(%2)"/>
      <w:lvlJc w:val="left"/>
      <w:pPr>
        <w:tabs>
          <w:tab w:val="num" w:pos="1440"/>
        </w:tabs>
        <w:ind w:left="0" w:firstLine="720"/>
      </w:pPr>
    </w:lvl>
    <w:lvl w:ilvl="2">
      <w:start w:val="1"/>
      <w:numFmt w:val="lowerLetter"/>
      <w:lvlText w:val="(%3)"/>
      <w:lvlJc w:val="left"/>
      <w:pPr>
        <w:tabs>
          <w:tab w:val="num" w:pos="1800"/>
        </w:tabs>
        <w:ind w:left="180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20D6AEB"/>
    <w:multiLevelType w:val="multilevel"/>
    <w:tmpl w:val="AD6EDCE6"/>
    <w:lvl w:ilvl="0">
      <w:start w:val="1"/>
      <w:numFmt w:val="decimal"/>
      <w:pStyle w:val="Para1"/>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63AB504B"/>
    <w:multiLevelType w:val="hybridMultilevel"/>
    <w:tmpl w:val="5B46E9A4"/>
    <w:lvl w:ilvl="0" w:tplc="F36CFC6E">
      <w:start w:val="1"/>
      <w:numFmt w:val="decimal"/>
      <w:lvlText w:val="%1."/>
      <w:lvlJc w:val="left"/>
      <w:pPr>
        <w:tabs>
          <w:tab w:val="num" w:pos="360"/>
        </w:tabs>
        <w:ind w:left="0" w:firstLine="0"/>
      </w:pPr>
      <w:rPr>
        <w:rFonts w:ascii="Times New Roman" w:hAnsi="Times New Roman" w:cs="Times New Roman" w:hint="default"/>
        <w:b w:val="0"/>
        <w:i w:val="0"/>
        <w:sz w:val="22"/>
        <w:szCs w:val="22"/>
      </w:rPr>
    </w:lvl>
    <w:lvl w:ilvl="1" w:tplc="FFFFFFFF">
      <w:start w:val="1"/>
      <w:numFmt w:val="bullet"/>
      <w:lvlText w:val=""/>
      <w:lvlJc w:val="left"/>
      <w:pPr>
        <w:tabs>
          <w:tab w:val="num" w:pos="1440"/>
        </w:tabs>
        <w:ind w:left="1440" w:hanging="360"/>
      </w:pPr>
      <w:rPr>
        <w:rFonts w:ascii="Symbol" w:hAnsi="Symbol" w:hint="default"/>
        <w:sz w:val="22"/>
        <w:szCs w:val="22"/>
      </w:rPr>
    </w:lvl>
    <w:lvl w:ilvl="2" w:tplc="FFFFFFFF">
      <w:start w:val="1"/>
      <w:numFmt w:val="lowerRoman"/>
      <w:lvlText w:val="(%3)"/>
      <w:lvlJc w:val="left"/>
      <w:pPr>
        <w:tabs>
          <w:tab w:val="num" w:pos="2700"/>
        </w:tabs>
        <w:ind w:left="2700" w:hanging="720"/>
      </w:pPr>
    </w:lvl>
    <w:lvl w:ilvl="3" w:tplc="FFFFFFFF">
      <w:start w:val="1"/>
      <w:numFmt w:val="decimal"/>
      <w:lvlText w:val="%4."/>
      <w:lvlJc w:val="left"/>
      <w:pPr>
        <w:tabs>
          <w:tab w:val="num" w:pos="2880"/>
        </w:tabs>
        <w:ind w:left="2880" w:hanging="360"/>
      </w:pPr>
      <w:rPr>
        <w:sz w:val="22"/>
        <w:szCs w:val="22"/>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15:restartNumberingAfterBreak="0">
    <w:nsid w:val="64EE46A3"/>
    <w:multiLevelType w:val="hybridMultilevel"/>
    <w:tmpl w:val="2D2E8D78"/>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EE23244"/>
    <w:multiLevelType w:val="multilevel"/>
    <w:tmpl w:val="B3C03A2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840771"/>
    <w:multiLevelType w:val="multilevel"/>
    <w:tmpl w:val="D098FCE2"/>
    <w:lvl w:ilvl="0">
      <w:start w:val="1"/>
      <w:numFmt w:val="decimal"/>
      <w:lvlText w:val="%1."/>
      <w:lvlJc w:val="left"/>
      <w:pPr>
        <w:tabs>
          <w:tab w:val="num" w:pos="720"/>
        </w:tabs>
        <w:ind w:left="720" w:hanging="720"/>
      </w:pPr>
    </w:lvl>
    <w:lvl w:ilvl="1">
      <w:start w:val="1"/>
      <w:numFmt w:val="lowerLetter"/>
      <w:pStyle w:val="Activity"/>
      <w:lvlText w:val="(%2)"/>
      <w:lvlJc w:val="left"/>
      <w:pPr>
        <w:tabs>
          <w:tab w:val="num" w:pos="1440"/>
        </w:tabs>
        <w:ind w:left="1440" w:hanging="720"/>
      </w:pPr>
      <w:rPr>
        <w:b w:val="0"/>
        <w:i w:val="0"/>
        <w:caps w:val="0"/>
        <w:vanish w:val="0"/>
        <w:webHidden w:val="0"/>
        <w:sz w:val="22"/>
        <w:specVanish w:val="0"/>
      </w:rPr>
    </w:lvl>
    <w:lvl w:ilvl="2">
      <w:start w:val="1"/>
      <w:numFmt w:val="none"/>
      <w:isLgl/>
      <w:lvlText w:val="1."/>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4680"/>
        </w:tabs>
        <w:ind w:left="4680" w:hanging="1800"/>
      </w:pPr>
    </w:lvl>
  </w:abstractNum>
  <w:abstractNum w:abstractNumId="51" w15:restartNumberingAfterBreak="0">
    <w:nsid w:val="784D753F"/>
    <w:multiLevelType w:val="hybridMultilevel"/>
    <w:tmpl w:val="7D42E2E6"/>
    <w:lvl w:ilvl="0" w:tplc="022CD2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34155B"/>
    <w:multiLevelType w:val="hybridMultilevel"/>
    <w:tmpl w:val="74B247CE"/>
    <w:lvl w:ilvl="0" w:tplc="03124590">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79F92579"/>
    <w:multiLevelType w:val="hybridMultilevel"/>
    <w:tmpl w:val="826CE674"/>
    <w:lvl w:ilvl="0" w:tplc="F508B644">
      <w:start w:val="2"/>
      <w:numFmt w:val="lowerLetter"/>
      <w:lvlText w:val="(%1)"/>
      <w:lvlJc w:val="left"/>
      <w:pPr>
        <w:ind w:left="1004"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0B4A1F"/>
    <w:multiLevelType w:val="multilevel"/>
    <w:tmpl w:val="54909F8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28"/>
  </w:num>
  <w:num w:numId="3">
    <w:abstractNumId w:val="25"/>
    <w:lvlOverride w:ilvl="0">
      <w:startOverride w:val="1"/>
    </w:lvlOverride>
  </w:num>
  <w:num w:numId="4">
    <w:abstractNumId w:val="6"/>
  </w:num>
  <w:num w:numId="5">
    <w:abstractNumId w:val="17"/>
  </w:num>
  <w:num w:numId="6">
    <w:abstractNumId w:val="46"/>
  </w:num>
  <w:num w:numId="7">
    <w:abstractNumId w:val="34"/>
  </w:num>
  <w:num w:numId="8">
    <w:abstractNumId w:val="19"/>
  </w:num>
  <w:num w:numId="9">
    <w:abstractNumId w:val="27"/>
  </w:num>
  <w:num w:numId="10">
    <w:abstractNumId w:val="20"/>
  </w:num>
  <w:num w:numId="11">
    <w:abstractNumId w:val="38"/>
  </w:num>
  <w:num w:numId="12">
    <w:abstractNumId w:val="11"/>
  </w:num>
  <w:num w:numId="13">
    <w:abstractNumId w:val="31"/>
  </w:num>
  <w:num w:numId="14">
    <w:abstractNumId w:val="45"/>
  </w:num>
  <w:num w:numId="15">
    <w:abstractNumId w:val="48"/>
  </w:num>
  <w:num w:numId="16">
    <w:abstractNumId w:val="43"/>
  </w:num>
  <w:num w:numId="17">
    <w:abstractNumId w:val="10"/>
  </w:num>
  <w:num w:numId="18">
    <w:abstractNumId w:val="42"/>
  </w:num>
  <w:num w:numId="19">
    <w:abstractNumId w:val="24"/>
  </w:num>
  <w:num w:numId="20">
    <w:abstractNumId w:val="21"/>
  </w:num>
  <w:num w:numId="21">
    <w:abstractNumId w:val="25"/>
  </w:num>
  <w:num w:numId="22">
    <w:abstractNumId w:val="3"/>
  </w:num>
  <w:num w:numId="23">
    <w:abstractNumId w:val="0"/>
  </w:num>
  <w:num w:numId="24">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lvlOverride w:ilvl="2"/>
    <w:lvlOverride w:ilvl="3"/>
    <w:lvlOverride w:ilvl="4"/>
    <w:lvlOverride w:ilvl="5"/>
    <w:lvlOverride w:ilvl="6"/>
    <w:lvlOverride w:ilvl="7"/>
    <w:lvlOverride w:ilvl="8"/>
  </w:num>
  <w:num w:numId="26">
    <w:abstractNumId w:val="23"/>
  </w:num>
  <w:num w:numId="27">
    <w:abstractNumId w:val="33"/>
  </w:num>
  <w:num w:numId="28">
    <w:abstractNumId w:val="1"/>
  </w:num>
  <w:num w:numId="29">
    <w:abstractNumId w:val="52"/>
  </w:num>
  <w:num w:numId="30">
    <w:abstractNumId w:val="5"/>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9"/>
  </w:num>
  <w:num w:numId="37">
    <w:abstractNumId w:val="47"/>
  </w:num>
  <w:num w:numId="38">
    <w:abstractNumId w:val="41"/>
  </w:num>
  <w:num w:numId="39">
    <w:abstractNumId w:val="36"/>
  </w:num>
  <w:num w:numId="40">
    <w:abstractNumId w:val="49"/>
  </w:num>
  <w:num w:numId="41">
    <w:abstractNumId w:val="54"/>
  </w:num>
  <w:num w:numId="42">
    <w:abstractNumId w:val="37"/>
  </w:num>
  <w:num w:numId="43">
    <w:abstractNumId w:val="16"/>
  </w:num>
  <w:num w:numId="44">
    <w:abstractNumId w:val="15"/>
  </w:num>
  <w:num w:numId="45">
    <w:abstractNumId w:val="13"/>
  </w:num>
  <w:num w:numId="46">
    <w:abstractNumId w:val="50"/>
  </w:num>
  <w:num w:numId="47">
    <w:abstractNumId w:val="22"/>
  </w:num>
  <w:num w:numId="48">
    <w:abstractNumId w:val="44"/>
  </w:num>
  <w:num w:numId="49">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53"/>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num>
  <w:num w:numId="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num>
  <w:num w:numId="63">
    <w:abstractNumId w:val="43"/>
  </w:num>
  <w:num w:numId="64">
    <w:abstractNumId w:val="43"/>
  </w:num>
  <w:num w:numId="65">
    <w:abstractNumId w:val="43"/>
  </w:num>
  <w:num w:numId="66">
    <w:abstractNumId w:val="43"/>
  </w:num>
  <w:num w:numId="67">
    <w:abstractNumId w:val="43"/>
  </w:num>
  <w:num w:numId="68">
    <w:abstractNumId w:val="43"/>
  </w:num>
  <w:num w:numId="69">
    <w:abstractNumId w:val="39"/>
  </w:num>
  <w:num w:numId="70">
    <w:abstractNumId w:val="30"/>
  </w:num>
  <w:num w:numId="71">
    <w:abstractNumId w:val="29"/>
  </w:num>
  <w:num w:numId="72">
    <w:abstractNumId w:val="2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GB" w:vendorID="64" w:dllVersion="0" w:nlCheck="1" w:checkStyle="0"/>
  <w:activeWritingStyle w:appName="MSWord" w:lang="en-CA" w:vendorID="64" w:dllVersion="0"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0" w:nlCheck="1" w:checkStyle="0"/>
  <w:activeWritingStyle w:appName="MSWord" w:lang="es-419" w:vendorID="64" w:dllVersion="0"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1228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7A"/>
    <w:rsid w:val="0000403C"/>
    <w:rsid w:val="00005A92"/>
    <w:rsid w:val="00010BA5"/>
    <w:rsid w:val="00011502"/>
    <w:rsid w:val="00011644"/>
    <w:rsid w:val="000134AE"/>
    <w:rsid w:val="00016614"/>
    <w:rsid w:val="00017E49"/>
    <w:rsid w:val="00020F94"/>
    <w:rsid w:val="00022CD2"/>
    <w:rsid w:val="00030162"/>
    <w:rsid w:val="00034466"/>
    <w:rsid w:val="000362A4"/>
    <w:rsid w:val="00036674"/>
    <w:rsid w:val="00042D4B"/>
    <w:rsid w:val="000504CF"/>
    <w:rsid w:val="00050AEB"/>
    <w:rsid w:val="00050B06"/>
    <w:rsid w:val="00053093"/>
    <w:rsid w:val="000534BB"/>
    <w:rsid w:val="00061745"/>
    <w:rsid w:val="00066006"/>
    <w:rsid w:val="0007300F"/>
    <w:rsid w:val="000739BA"/>
    <w:rsid w:val="00076E21"/>
    <w:rsid w:val="00077CAA"/>
    <w:rsid w:val="0008301D"/>
    <w:rsid w:val="0008472F"/>
    <w:rsid w:val="00090F24"/>
    <w:rsid w:val="000937E8"/>
    <w:rsid w:val="00093D3B"/>
    <w:rsid w:val="00094641"/>
    <w:rsid w:val="00096E06"/>
    <w:rsid w:val="000A59A5"/>
    <w:rsid w:val="000A5F8B"/>
    <w:rsid w:val="000A745C"/>
    <w:rsid w:val="000B212C"/>
    <w:rsid w:val="000B61CA"/>
    <w:rsid w:val="000B6984"/>
    <w:rsid w:val="000C2153"/>
    <w:rsid w:val="000C4625"/>
    <w:rsid w:val="000C6BDC"/>
    <w:rsid w:val="000C72EA"/>
    <w:rsid w:val="000C7D0D"/>
    <w:rsid w:val="000D30A1"/>
    <w:rsid w:val="000D339A"/>
    <w:rsid w:val="000D4041"/>
    <w:rsid w:val="000E0019"/>
    <w:rsid w:val="000E483F"/>
    <w:rsid w:val="000F35A4"/>
    <w:rsid w:val="000F4DBB"/>
    <w:rsid w:val="000F4F43"/>
    <w:rsid w:val="000F6EAB"/>
    <w:rsid w:val="001007BC"/>
    <w:rsid w:val="00100E7E"/>
    <w:rsid w:val="001012CC"/>
    <w:rsid w:val="00102778"/>
    <w:rsid w:val="00104446"/>
    <w:rsid w:val="00111698"/>
    <w:rsid w:val="00114CF1"/>
    <w:rsid w:val="001163BB"/>
    <w:rsid w:val="00117A7B"/>
    <w:rsid w:val="0012071F"/>
    <w:rsid w:val="00121663"/>
    <w:rsid w:val="001250D3"/>
    <w:rsid w:val="001301D9"/>
    <w:rsid w:val="00132116"/>
    <w:rsid w:val="00132D6F"/>
    <w:rsid w:val="00133124"/>
    <w:rsid w:val="00133EFC"/>
    <w:rsid w:val="00136B0F"/>
    <w:rsid w:val="00136FDC"/>
    <w:rsid w:val="001407F3"/>
    <w:rsid w:val="0014276A"/>
    <w:rsid w:val="0014389A"/>
    <w:rsid w:val="00146606"/>
    <w:rsid w:val="00150A29"/>
    <w:rsid w:val="001514B9"/>
    <w:rsid w:val="001516BD"/>
    <w:rsid w:val="00151A18"/>
    <w:rsid w:val="00153D79"/>
    <w:rsid w:val="0015763B"/>
    <w:rsid w:val="00161A3B"/>
    <w:rsid w:val="0016209E"/>
    <w:rsid w:val="0016231A"/>
    <w:rsid w:val="001629EB"/>
    <w:rsid w:val="00163E5A"/>
    <w:rsid w:val="00165ADA"/>
    <w:rsid w:val="0016711F"/>
    <w:rsid w:val="00167BAE"/>
    <w:rsid w:val="001739F0"/>
    <w:rsid w:val="00174489"/>
    <w:rsid w:val="00174D43"/>
    <w:rsid w:val="001766AB"/>
    <w:rsid w:val="00180A2D"/>
    <w:rsid w:val="00181AE0"/>
    <w:rsid w:val="0018763A"/>
    <w:rsid w:val="00193F57"/>
    <w:rsid w:val="001947D5"/>
    <w:rsid w:val="001A1D93"/>
    <w:rsid w:val="001A1DD2"/>
    <w:rsid w:val="001A546B"/>
    <w:rsid w:val="001B4DB9"/>
    <w:rsid w:val="001B5780"/>
    <w:rsid w:val="001B7186"/>
    <w:rsid w:val="001B7DA0"/>
    <w:rsid w:val="001C1FAB"/>
    <w:rsid w:val="001C631B"/>
    <w:rsid w:val="001C663A"/>
    <w:rsid w:val="001D0B45"/>
    <w:rsid w:val="001D2DAD"/>
    <w:rsid w:val="001D46E2"/>
    <w:rsid w:val="001D7C05"/>
    <w:rsid w:val="001E2E33"/>
    <w:rsid w:val="001F24B4"/>
    <w:rsid w:val="001F32A5"/>
    <w:rsid w:val="001F54A1"/>
    <w:rsid w:val="001F59AF"/>
    <w:rsid w:val="001F61C3"/>
    <w:rsid w:val="001F63FE"/>
    <w:rsid w:val="001F7C30"/>
    <w:rsid w:val="002000A3"/>
    <w:rsid w:val="002108AF"/>
    <w:rsid w:val="0021698D"/>
    <w:rsid w:val="002221A3"/>
    <w:rsid w:val="002255C8"/>
    <w:rsid w:val="0022707B"/>
    <w:rsid w:val="00232B90"/>
    <w:rsid w:val="00237524"/>
    <w:rsid w:val="002378BF"/>
    <w:rsid w:val="00242445"/>
    <w:rsid w:val="00243C9F"/>
    <w:rsid w:val="00244545"/>
    <w:rsid w:val="00245A61"/>
    <w:rsid w:val="00247069"/>
    <w:rsid w:val="00250AD4"/>
    <w:rsid w:val="002514D0"/>
    <w:rsid w:val="00252BE3"/>
    <w:rsid w:val="00253427"/>
    <w:rsid w:val="00256463"/>
    <w:rsid w:val="00256AF5"/>
    <w:rsid w:val="00260233"/>
    <w:rsid w:val="0026531E"/>
    <w:rsid w:val="00266A39"/>
    <w:rsid w:val="00273CA8"/>
    <w:rsid w:val="002740F2"/>
    <w:rsid w:val="00275234"/>
    <w:rsid w:val="00290EA0"/>
    <w:rsid w:val="00292AFA"/>
    <w:rsid w:val="0029353A"/>
    <w:rsid w:val="00293674"/>
    <w:rsid w:val="00296D8E"/>
    <w:rsid w:val="002A1CF9"/>
    <w:rsid w:val="002A211E"/>
    <w:rsid w:val="002A2B33"/>
    <w:rsid w:val="002A49EF"/>
    <w:rsid w:val="002A5062"/>
    <w:rsid w:val="002A6F3B"/>
    <w:rsid w:val="002B0A56"/>
    <w:rsid w:val="002B10B5"/>
    <w:rsid w:val="002B3560"/>
    <w:rsid w:val="002B37C2"/>
    <w:rsid w:val="002B3AC5"/>
    <w:rsid w:val="002B6204"/>
    <w:rsid w:val="002C1136"/>
    <w:rsid w:val="002C3055"/>
    <w:rsid w:val="002C4064"/>
    <w:rsid w:val="002C6919"/>
    <w:rsid w:val="002C69D0"/>
    <w:rsid w:val="002C6C47"/>
    <w:rsid w:val="002D0B1C"/>
    <w:rsid w:val="002D238E"/>
    <w:rsid w:val="002D4BCB"/>
    <w:rsid w:val="002D6BF3"/>
    <w:rsid w:val="002E07B5"/>
    <w:rsid w:val="002E089C"/>
    <w:rsid w:val="002E0D2A"/>
    <w:rsid w:val="002E26B7"/>
    <w:rsid w:val="002E51AB"/>
    <w:rsid w:val="002F5720"/>
    <w:rsid w:val="002F5797"/>
    <w:rsid w:val="002F5A25"/>
    <w:rsid w:val="002F5AC4"/>
    <w:rsid w:val="002F5E61"/>
    <w:rsid w:val="0030111E"/>
    <w:rsid w:val="00301285"/>
    <w:rsid w:val="00301DC9"/>
    <w:rsid w:val="00304A4B"/>
    <w:rsid w:val="00305918"/>
    <w:rsid w:val="003075B3"/>
    <w:rsid w:val="003114F0"/>
    <w:rsid w:val="00312D83"/>
    <w:rsid w:val="003138F2"/>
    <w:rsid w:val="0031480C"/>
    <w:rsid w:val="00317417"/>
    <w:rsid w:val="003179D8"/>
    <w:rsid w:val="00317AE1"/>
    <w:rsid w:val="00323F14"/>
    <w:rsid w:val="00326958"/>
    <w:rsid w:val="00342810"/>
    <w:rsid w:val="00345586"/>
    <w:rsid w:val="0035184E"/>
    <w:rsid w:val="003534DE"/>
    <w:rsid w:val="00356871"/>
    <w:rsid w:val="00362979"/>
    <w:rsid w:val="0036509D"/>
    <w:rsid w:val="00367B3F"/>
    <w:rsid w:val="003705CC"/>
    <w:rsid w:val="003725DA"/>
    <w:rsid w:val="00372DBF"/>
    <w:rsid w:val="003739F4"/>
    <w:rsid w:val="00376CED"/>
    <w:rsid w:val="00377177"/>
    <w:rsid w:val="00377484"/>
    <w:rsid w:val="00380EFC"/>
    <w:rsid w:val="00381999"/>
    <w:rsid w:val="0038317B"/>
    <w:rsid w:val="00384200"/>
    <w:rsid w:val="00384296"/>
    <w:rsid w:val="0038668E"/>
    <w:rsid w:val="0039145A"/>
    <w:rsid w:val="0039451C"/>
    <w:rsid w:val="00394CAA"/>
    <w:rsid w:val="00395494"/>
    <w:rsid w:val="00395981"/>
    <w:rsid w:val="003960CF"/>
    <w:rsid w:val="003962A5"/>
    <w:rsid w:val="003A1FC1"/>
    <w:rsid w:val="003A2921"/>
    <w:rsid w:val="003A3B0C"/>
    <w:rsid w:val="003A526F"/>
    <w:rsid w:val="003B0CDB"/>
    <w:rsid w:val="003B3E88"/>
    <w:rsid w:val="003B4489"/>
    <w:rsid w:val="003B6D8F"/>
    <w:rsid w:val="003C3484"/>
    <w:rsid w:val="003C3485"/>
    <w:rsid w:val="003C4EA4"/>
    <w:rsid w:val="003C5C02"/>
    <w:rsid w:val="003C6DED"/>
    <w:rsid w:val="003D7D4B"/>
    <w:rsid w:val="003E780E"/>
    <w:rsid w:val="003F05F6"/>
    <w:rsid w:val="003F57B0"/>
    <w:rsid w:val="003F7075"/>
    <w:rsid w:val="00400007"/>
    <w:rsid w:val="00401468"/>
    <w:rsid w:val="00404C56"/>
    <w:rsid w:val="0040531A"/>
    <w:rsid w:val="00416093"/>
    <w:rsid w:val="00420C67"/>
    <w:rsid w:val="00430A25"/>
    <w:rsid w:val="00433940"/>
    <w:rsid w:val="00435982"/>
    <w:rsid w:val="00436603"/>
    <w:rsid w:val="0043666E"/>
    <w:rsid w:val="0044242D"/>
    <w:rsid w:val="00442B33"/>
    <w:rsid w:val="004447D6"/>
    <w:rsid w:val="00445C01"/>
    <w:rsid w:val="00447111"/>
    <w:rsid w:val="00451672"/>
    <w:rsid w:val="0045303C"/>
    <w:rsid w:val="00456995"/>
    <w:rsid w:val="00460924"/>
    <w:rsid w:val="00461380"/>
    <w:rsid w:val="0046488F"/>
    <w:rsid w:val="00465032"/>
    <w:rsid w:val="00471A55"/>
    <w:rsid w:val="00474230"/>
    <w:rsid w:val="00475985"/>
    <w:rsid w:val="004760B3"/>
    <w:rsid w:val="00477094"/>
    <w:rsid w:val="00480224"/>
    <w:rsid w:val="004867D1"/>
    <w:rsid w:val="00486E42"/>
    <w:rsid w:val="00492CA4"/>
    <w:rsid w:val="004934FA"/>
    <w:rsid w:val="00495B7A"/>
    <w:rsid w:val="0049732D"/>
    <w:rsid w:val="00497D1A"/>
    <w:rsid w:val="004A3455"/>
    <w:rsid w:val="004A41D1"/>
    <w:rsid w:val="004A60BE"/>
    <w:rsid w:val="004A64C0"/>
    <w:rsid w:val="004A73AD"/>
    <w:rsid w:val="004A7881"/>
    <w:rsid w:val="004B1BB2"/>
    <w:rsid w:val="004B72F5"/>
    <w:rsid w:val="004C043B"/>
    <w:rsid w:val="004C13E7"/>
    <w:rsid w:val="004C1746"/>
    <w:rsid w:val="004C1D3E"/>
    <w:rsid w:val="004C61A5"/>
    <w:rsid w:val="004D2EBD"/>
    <w:rsid w:val="004D6468"/>
    <w:rsid w:val="004E1A7F"/>
    <w:rsid w:val="004E1CA8"/>
    <w:rsid w:val="004E3659"/>
    <w:rsid w:val="004E4D41"/>
    <w:rsid w:val="004E707E"/>
    <w:rsid w:val="004F4779"/>
    <w:rsid w:val="004F6314"/>
    <w:rsid w:val="004F64C5"/>
    <w:rsid w:val="005014DE"/>
    <w:rsid w:val="005018EE"/>
    <w:rsid w:val="0050326F"/>
    <w:rsid w:val="00503B73"/>
    <w:rsid w:val="00503E8A"/>
    <w:rsid w:val="005051AD"/>
    <w:rsid w:val="00506210"/>
    <w:rsid w:val="00506232"/>
    <w:rsid w:val="00507DF8"/>
    <w:rsid w:val="00512012"/>
    <w:rsid w:val="005169D1"/>
    <w:rsid w:val="00517400"/>
    <w:rsid w:val="00520822"/>
    <w:rsid w:val="00520E18"/>
    <w:rsid w:val="0052674C"/>
    <w:rsid w:val="00531F46"/>
    <w:rsid w:val="00533D1A"/>
    <w:rsid w:val="00533DC4"/>
    <w:rsid w:val="00534479"/>
    <w:rsid w:val="00535805"/>
    <w:rsid w:val="00537E44"/>
    <w:rsid w:val="0054198F"/>
    <w:rsid w:val="00543F26"/>
    <w:rsid w:val="00550CBD"/>
    <w:rsid w:val="00551ED8"/>
    <w:rsid w:val="00554406"/>
    <w:rsid w:val="00556061"/>
    <w:rsid w:val="00556572"/>
    <w:rsid w:val="0055711E"/>
    <w:rsid w:val="00560610"/>
    <w:rsid w:val="00562179"/>
    <w:rsid w:val="0056670D"/>
    <w:rsid w:val="0057070B"/>
    <w:rsid w:val="00585104"/>
    <w:rsid w:val="005855A9"/>
    <w:rsid w:val="005857DF"/>
    <w:rsid w:val="00585F74"/>
    <w:rsid w:val="00587211"/>
    <w:rsid w:val="005878B8"/>
    <w:rsid w:val="00591D7E"/>
    <w:rsid w:val="00593DA5"/>
    <w:rsid w:val="00595349"/>
    <w:rsid w:val="00595FC4"/>
    <w:rsid w:val="005A19BD"/>
    <w:rsid w:val="005A20F8"/>
    <w:rsid w:val="005A5671"/>
    <w:rsid w:val="005B18F1"/>
    <w:rsid w:val="005B39B7"/>
    <w:rsid w:val="005B5E88"/>
    <w:rsid w:val="005B63F3"/>
    <w:rsid w:val="005C0734"/>
    <w:rsid w:val="005C0FF9"/>
    <w:rsid w:val="005C4016"/>
    <w:rsid w:val="005C6210"/>
    <w:rsid w:val="005C721D"/>
    <w:rsid w:val="005D0615"/>
    <w:rsid w:val="005D3803"/>
    <w:rsid w:val="005D3BD4"/>
    <w:rsid w:val="005D4B86"/>
    <w:rsid w:val="005D4C9C"/>
    <w:rsid w:val="005D5ED7"/>
    <w:rsid w:val="005D6676"/>
    <w:rsid w:val="005D77E4"/>
    <w:rsid w:val="005D7996"/>
    <w:rsid w:val="005F1D9A"/>
    <w:rsid w:val="005F2121"/>
    <w:rsid w:val="005F3F82"/>
    <w:rsid w:val="005F4A61"/>
    <w:rsid w:val="006010F3"/>
    <w:rsid w:val="00601125"/>
    <w:rsid w:val="00615863"/>
    <w:rsid w:val="00616C89"/>
    <w:rsid w:val="0062198E"/>
    <w:rsid w:val="0062273F"/>
    <w:rsid w:val="00622850"/>
    <w:rsid w:val="006241C9"/>
    <w:rsid w:val="00630E6F"/>
    <w:rsid w:val="00632FBE"/>
    <w:rsid w:val="00635018"/>
    <w:rsid w:val="00636A6E"/>
    <w:rsid w:val="00641697"/>
    <w:rsid w:val="00641810"/>
    <w:rsid w:val="00642358"/>
    <w:rsid w:val="006436B7"/>
    <w:rsid w:val="00643E9B"/>
    <w:rsid w:val="00645391"/>
    <w:rsid w:val="00645EFB"/>
    <w:rsid w:val="00647C90"/>
    <w:rsid w:val="00651707"/>
    <w:rsid w:val="00653977"/>
    <w:rsid w:val="0065410C"/>
    <w:rsid w:val="00654C68"/>
    <w:rsid w:val="00655DBA"/>
    <w:rsid w:val="006616DE"/>
    <w:rsid w:val="00663793"/>
    <w:rsid w:val="006673D6"/>
    <w:rsid w:val="00672EF6"/>
    <w:rsid w:val="006734A2"/>
    <w:rsid w:val="006809EA"/>
    <w:rsid w:val="006811C0"/>
    <w:rsid w:val="00684A14"/>
    <w:rsid w:val="006921E8"/>
    <w:rsid w:val="00692FB2"/>
    <w:rsid w:val="0069332A"/>
    <w:rsid w:val="006A0217"/>
    <w:rsid w:val="006A592A"/>
    <w:rsid w:val="006A5AC9"/>
    <w:rsid w:val="006A6D72"/>
    <w:rsid w:val="006A7199"/>
    <w:rsid w:val="006B006D"/>
    <w:rsid w:val="006B022F"/>
    <w:rsid w:val="006B06A7"/>
    <w:rsid w:val="006B0946"/>
    <w:rsid w:val="006B6593"/>
    <w:rsid w:val="006B774E"/>
    <w:rsid w:val="006C2977"/>
    <w:rsid w:val="006C3AD6"/>
    <w:rsid w:val="006C542B"/>
    <w:rsid w:val="006C5568"/>
    <w:rsid w:val="006C59C4"/>
    <w:rsid w:val="006C60BB"/>
    <w:rsid w:val="006C7009"/>
    <w:rsid w:val="006D326F"/>
    <w:rsid w:val="006D70D0"/>
    <w:rsid w:val="006E4996"/>
    <w:rsid w:val="006F250A"/>
    <w:rsid w:val="006F4805"/>
    <w:rsid w:val="007010A2"/>
    <w:rsid w:val="00701263"/>
    <w:rsid w:val="007035F3"/>
    <w:rsid w:val="007036F9"/>
    <w:rsid w:val="007066B3"/>
    <w:rsid w:val="007124B4"/>
    <w:rsid w:val="00713D17"/>
    <w:rsid w:val="0072356D"/>
    <w:rsid w:val="0072407A"/>
    <w:rsid w:val="00725967"/>
    <w:rsid w:val="00726242"/>
    <w:rsid w:val="00727417"/>
    <w:rsid w:val="00730BA6"/>
    <w:rsid w:val="00737A26"/>
    <w:rsid w:val="007406DC"/>
    <w:rsid w:val="00745A0D"/>
    <w:rsid w:val="00747FCB"/>
    <w:rsid w:val="00750105"/>
    <w:rsid w:val="007508EF"/>
    <w:rsid w:val="0075208D"/>
    <w:rsid w:val="00753814"/>
    <w:rsid w:val="0075395F"/>
    <w:rsid w:val="00754C5B"/>
    <w:rsid w:val="00757DBF"/>
    <w:rsid w:val="0076249F"/>
    <w:rsid w:val="0076481B"/>
    <w:rsid w:val="00765EA5"/>
    <w:rsid w:val="00767AEF"/>
    <w:rsid w:val="00771974"/>
    <w:rsid w:val="0077354A"/>
    <w:rsid w:val="00774079"/>
    <w:rsid w:val="00774C94"/>
    <w:rsid w:val="00774E2E"/>
    <w:rsid w:val="00777BEE"/>
    <w:rsid w:val="0078047D"/>
    <w:rsid w:val="007804AF"/>
    <w:rsid w:val="0078399B"/>
    <w:rsid w:val="0078452A"/>
    <w:rsid w:val="007869D4"/>
    <w:rsid w:val="0079069E"/>
    <w:rsid w:val="00795662"/>
    <w:rsid w:val="007959C2"/>
    <w:rsid w:val="007960C1"/>
    <w:rsid w:val="007A05FD"/>
    <w:rsid w:val="007A53C7"/>
    <w:rsid w:val="007A5455"/>
    <w:rsid w:val="007B1618"/>
    <w:rsid w:val="007B2C3A"/>
    <w:rsid w:val="007C265B"/>
    <w:rsid w:val="007C56E3"/>
    <w:rsid w:val="007C6C03"/>
    <w:rsid w:val="007D08D2"/>
    <w:rsid w:val="007D1281"/>
    <w:rsid w:val="007D17F1"/>
    <w:rsid w:val="007D46E7"/>
    <w:rsid w:val="007D75E2"/>
    <w:rsid w:val="007E2A17"/>
    <w:rsid w:val="007F3FF4"/>
    <w:rsid w:val="007F75A9"/>
    <w:rsid w:val="00802076"/>
    <w:rsid w:val="00803769"/>
    <w:rsid w:val="00805D7A"/>
    <w:rsid w:val="008145F7"/>
    <w:rsid w:val="00814921"/>
    <w:rsid w:val="008253D1"/>
    <w:rsid w:val="00833DE1"/>
    <w:rsid w:val="0084107C"/>
    <w:rsid w:val="008427BF"/>
    <w:rsid w:val="0084417F"/>
    <w:rsid w:val="00844310"/>
    <w:rsid w:val="00844A18"/>
    <w:rsid w:val="00850DA7"/>
    <w:rsid w:val="008517B4"/>
    <w:rsid w:val="00852A8B"/>
    <w:rsid w:val="0086020B"/>
    <w:rsid w:val="00860A25"/>
    <w:rsid w:val="00860CD0"/>
    <w:rsid w:val="00860E30"/>
    <w:rsid w:val="00862827"/>
    <w:rsid w:val="00863258"/>
    <w:rsid w:val="00865E8E"/>
    <w:rsid w:val="00873809"/>
    <w:rsid w:val="008738B6"/>
    <w:rsid w:val="008801A6"/>
    <w:rsid w:val="00880B51"/>
    <w:rsid w:val="00880B80"/>
    <w:rsid w:val="0088490E"/>
    <w:rsid w:val="00884D99"/>
    <w:rsid w:val="00886F8E"/>
    <w:rsid w:val="008910CA"/>
    <w:rsid w:val="00894996"/>
    <w:rsid w:val="00895EE2"/>
    <w:rsid w:val="008A4E8A"/>
    <w:rsid w:val="008B0347"/>
    <w:rsid w:val="008B5DAA"/>
    <w:rsid w:val="008B6D9B"/>
    <w:rsid w:val="008C33E3"/>
    <w:rsid w:val="008C5A09"/>
    <w:rsid w:val="008C63E9"/>
    <w:rsid w:val="008D7552"/>
    <w:rsid w:val="008F2645"/>
    <w:rsid w:val="008F469E"/>
    <w:rsid w:val="009035B3"/>
    <w:rsid w:val="00904CE4"/>
    <w:rsid w:val="009062D4"/>
    <w:rsid w:val="00910907"/>
    <w:rsid w:val="00910D9A"/>
    <w:rsid w:val="00913A04"/>
    <w:rsid w:val="00917AEA"/>
    <w:rsid w:val="00920295"/>
    <w:rsid w:val="0092032C"/>
    <w:rsid w:val="00920638"/>
    <w:rsid w:val="00923B37"/>
    <w:rsid w:val="0092727D"/>
    <w:rsid w:val="00930FDC"/>
    <w:rsid w:val="00931BEC"/>
    <w:rsid w:val="00932E3A"/>
    <w:rsid w:val="00935F6B"/>
    <w:rsid w:val="009445D0"/>
    <w:rsid w:val="00951F0B"/>
    <w:rsid w:val="00953C1E"/>
    <w:rsid w:val="009549BF"/>
    <w:rsid w:val="00964983"/>
    <w:rsid w:val="009655AA"/>
    <w:rsid w:val="00965CA0"/>
    <w:rsid w:val="0097307B"/>
    <w:rsid w:val="00975058"/>
    <w:rsid w:val="009761F7"/>
    <w:rsid w:val="009765D0"/>
    <w:rsid w:val="00976FE4"/>
    <w:rsid w:val="0098141B"/>
    <w:rsid w:val="00982F71"/>
    <w:rsid w:val="0098483F"/>
    <w:rsid w:val="00986A60"/>
    <w:rsid w:val="00986E09"/>
    <w:rsid w:val="00987E72"/>
    <w:rsid w:val="00991732"/>
    <w:rsid w:val="009A18AE"/>
    <w:rsid w:val="009A33D5"/>
    <w:rsid w:val="009A45FF"/>
    <w:rsid w:val="009A5409"/>
    <w:rsid w:val="009A7839"/>
    <w:rsid w:val="009B688D"/>
    <w:rsid w:val="009B6AE3"/>
    <w:rsid w:val="009B7F22"/>
    <w:rsid w:val="009C1105"/>
    <w:rsid w:val="009C3FC3"/>
    <w:rsid w:val="009C5CE8"/>
    <w:rsid w:val="009C72A9"/>
    <w:rsid w:val="009D100F"/>
    <w:rsid w:val="009D40EC"/>
    <w:rsid w:val="009D4CE3"/>
    <w:rsid w:val="009E33CC"/>
    <w:rsid w:val="009E450A"/>
    <w:rsid w:val="009F153E"/>
    <w:rsid w:val="009F39BD"/>
    <w:rsid w:val="009F3BBF"/>
    <w:rsid w:val="009F6937"/>
    <w:rsid w:val="009F762F"/>
    <w:rsid w:val="009F76B8"/>
    <w:rsid w:val="00A0333A"/>
    <w:rsid w:val="00A0342F"/>
    <w:rsid w:val="00A04979"/>
    <w:rsid w:val="00A07286"/>
    <w:rsid w:val="00A11E0E"/>
    <w:rsid w:val="00A122A9"/>
    <w:rsid w:val="00A12D8F"/>
    <w:rsid w:val="00A14152"/>
    <w:rsid w:val="00A15B4A"/>
    <w:rsid w:val="00A16165"/>
    <w:rsid w:val="00A20517"/>
    <w:rsid w:val="00A21826"/>
    <w:rsid w:val="00A220A2"/>
    <w:rsid w:val="00A22FD5"/>
    <w:rsid w:val="00A23BFB"/>
    <w:rsid w:val="00A2725C"/>
    <w:rsid w:val="00A27966"/>
    <w:rsid w:val="00A30D94"/>
    <w:rsid w:val="00A34C41"/>
    <w:rsid w:val="00A36735"/>
    <w:rsid w:val="00A40A1F"/>
    <w:rsid w:val="00A471E8"/>
    <w:rsid w:val="00A527B5"/>
    <w:rsid w:val="00A5281C"/>
    <w:rsid w:val="00A52F44"/>
    <w:rsid w:val="00A537F2"/>
    <w:rsid w:val="00A54D0A"/>
    <w:rsid w:val="00A5506E"/>
    <w:rsid w:val="00A57204"/>
    <w:rsid w:val="00A57228"/>
    <w:rsid w:val="00A5723F"/>
    <w:rsid w:val="00A64F33"/>
    <w:rsid w:val="00A6554A"/>
    <w:rsid w:val="00A66857"/>
    <w:rsid w:val="00A70FBD"/>
    <w:rsid w:val="00A72019"/>
    <w:rsid w:val="00A77AAD"/>
    <w:rsid w:val="00A81328"/>
    <w:rsid w:val="00A85C3E"/>
    <w:rsid w:val="00A94FF6"/>
    <w:rsid w:val="00A95DA2"/>
    <w:rsid w:val="00A97947"/>
    <w:rsid w:val="00AA411A"/>
    <w:rsid w:val="00AA41A4"/>
    <w:rsid w:val="00AA4921"/>
    <w:rsid w:val="00AB0EEB"/>
    <w:rsid w:val="00AB495A"/>
    <w:rsid w:val="00AB54B5"/>
    <w:rsid w:val="00AB6F68"/>
    <w:rsid w:val="00AC0518"/>
    <w:rsid w:val="00AC2340"/>
    <w:rsid w:val="00AC25E8"/>
    <w:rsid w:val="00AD1196"/>
    <w:rsid w:val="00AD5A1C"/>
    <w:rsid w:val="00AD6692"/>
    <w:rsid w:val="00AE6E67"/>
    <w:rsid w:val="00AF4E36"/>
    <w:rsid w:val="00AF6172"/>
    <w:rsid w:val="00AF61B5"/>
    <w:rsid w:val="00AF76A0"/>
    <w:rsid w:val="00B00E5B"/>
    <w:rsid w:val="00B058F4"/>
    <w:rsid w:val="00B073C0"/>
    <w:rsid w:val="00B10120"/>
    <w:rsid w:val="00B112F4"/>
    <w:rsid w:val="00B21E39"/>
    <w:rsid w:val="00B21F95"/>
    <w:rsid w:val="00B271DD"/>
    <w:rsid w:val="00B32DBE"/>
    <w:rsid w:val="00B32EBB"/>
    <w:rsid w:val="00B33A4A"/>
    <w:rsid w:val="00B3702B"/>
    <w:rsid w:val="00B40D62"/>
    <w:rsid w:val="00B40F25"/>
    <w:rsid w:val="00B423BE"/>
    <w:rsid w:val="00B447C5"/>
    <w:rsid w:val="00B450F5"/>
    <w:rsid w:val="00B5052F"/>
    <w:rsid w:val="00B536B7"/>
    <w:rsid w:val="00B53C10"/>
    <w:rsid w:val="00B541EA"/>
    <w:rsid w:val="00B5479F"/>
    <w:rsid w:val="00B5628C"/>
    <w:rsid w:val="00B5655E"/>
    <w:rsid w:val="00B56B4C"/>
    <w:rsid w:val="00B614A3"/>
    <w:rsid w:val="00B649E5"/>
    <w:rsid w:val="00B67309"/>
    <w:rsid w:val="00B67888"/>
    <w:rsid w:val="00B7029C"/>
    <w:rsid w:val="00B71C9B"/>
    <w:rsid w:val="00B73F47"/>
    <w:rsid w:val="00B76174"/>
    <w:rsid w:val="00B7743A"/>
    <w:rsid w:val="00B80446"/>
    <w:rsid w:val="00B8227C"/>
    <w:rsid w:val="00B8279C"/>
    <w:rsid w:val="00B861DF"/>
    <w:rsid w:val="00B9054C"/>
    <w:rsid w:val="00B93823"/>
    <w:rsid w:val="00B96443"/>
    <w:rsid w:val="00BA24A0"/>
    <w:rsid w:val="00BA33D5"/>
    <w:rsid w:val="00BA374D"/>
    <w:rsid w:val="00BA40A0"/>
    <w:rsid w:val="00BA4528"/>
    <w:rsid w:val="00BA657A"/>
    <w:rsid w:val="00BB17C9"/>
    <w:rsid w:val="00BB33D0"/>
    <w:rsid w:val="00BB6E9E"/>
    <w:rsid w:val="00BC1508"/>
    <w:rsid w:val="00BC220D"/>
    <w:rsid w:val="00BC3767"/>
    <w:rsid w:val="00BC57AC"/>
    <w:rsid w:val="00BC5EEA"/>
    <w:rsid w:val="00BD036E"/>
    <w:rsid w:val="00BD64FB"/>
    <w:rsid w:val="00BD6793"/>
    <w:rsid w:val="00BE04C1"/>
    <w:rsid w:val="00BE4018"/>
    <w:rsid w:val="00BE575F"/>
    <w:rsid w:val="00BF3BC0"/>
    <w:rsid w:val="00BF4E37"/>
    <w:rsid w:val="00BF5795"/>
    <w:rsid w:val="00BF599C"/>
    <w:rsid w:val="00BF5D35"/>
    <w:rsid w:val="00C03986"/>
    <w:rsid w:val="00C149F9"/>
    <w:rsid w:val="00C1558B"/>
    <w:rsid w:val="00C17333"/>
    <w:rsid w:val="00C20F5D"/>
    <w:rsid w:val="00C20F60"/>
    <w:rsid w:val="00C21F06"/>
    <w:rsid w:val="00C2362D"/>
    <w:rsid w:val="00C25277"/>
    <w:rsid w:val="00C301AB"/>
    <w:rsid w:val="00C30BE2"/>
    <w:rsid w:val="00C31366"/>
    <w:rsid w:val="00C33E80"/>
    <w:rsid w:val="00C3482F"/>
    <w:rsid w:val="00C43499"/>
    <w:rsid w:val="00C4525B"/>
    <w:rsid w:val="00C46D26"/>
    <w:rsid w:val="00C4788B"/>
    <w:rsid w:val="00C50D14"/>
    <w:rsid w:val="00C5600A"/>
    <w:rsid w:val="00C56E85"/>
    <w:rsid w:val="00C61C4E"/>
    <w:rsid w:val="00C63904"/>
    <w:rsid w:val="00C6644B"/>
    <w:rsid w:val="00C729F6"/>
    <w:rsid w:val="00C74906"/>
    <w:rsid w:val="00C80CBB"/>
    <w:rsid w:val="00C83C59"/>
    <w:rsid w:val="00C86B79"/>
    <w:rsid w:val="00C8755A"/>
    <w:rsid w:val="00C92FE8"/>
    <w:rsid w:val="00C93A02"/>
    <w:rsid w:val="00C95D4E"/>
    <w:rsid w:val="00C95D8C"/>
    <w:rsid w:val="00C96D2F"/>
    <w:rsid w:val="00C978E9"/>
    <w:rsid w:val="00CA03DD"/>
    <w:rsid w:val="00CA0E00"/>
    <w:rsid w:val="00CA0EDD"/>
    <w:rsid w:val="00CA1784"/>
    <w:rsid w:val="00CA3898"/>
    <w:rsid w:val="00CA5D63"/>
    <w:rsid w:val="00CA6ECD"/>
    <w:rsid w:val="00CA7857"/>
    <w:rsid w:val="00CB2D27"/>
    <w:rsid w:val="00CB383D"/>
    <w:rsid w:val="00CB50FA"/>
    <w:rsid w:val="00CB5BE7"/>
    <w:rsid w:val="00CC1CD0"/>
    <w:rsid w:val="00CC4721"/>
    <w:rsid w:val="00CC5060"/>
    <w:rsid w:val="00CD0B85"/>
    <w:rsid w:val="00CD1761"/>
    <w:rsid w:val="00CD1C52"/>
    <w:rsid w:val="00CD532C"/>
    <w:rsid w:val="00CE39CB"/>
    <w:rsid w:val="00CE67CD"/>
    <w:rsid w:val="00CE6FFE"/>
    <w:rsid w:val="00CF43BA"/>
    <w:rsid w:val="00D0015A"/>
    <w:rsid w:val="00D00A02"/>
    <w:rsid w:val="00D054CC"/>
    <w:rsid w:val="00D130CC"/>
    <w:rsid w:val="00D13FD8"/>
    <w:rsid w:val="00D1482B"/>
    <w:rsid w:val="00D14869"/>
    <w:rsid w:val="00D25699"/>
    <w:rsid w:val="00D262CF"/>
    <w:rsid w:val="00D324D4"/>
    <w:rsid w:val="00D32C75"/>
    <w:rsid w:val="00D35C9B"/>
    <w:rsid w:val="00D35EF0"/>
    <w:rsid w:val="00D3670C"/>
    <w:rsid w:val="00D3778C"/>
    <w:rsid w:val="00D43E0A"/>
    <w:rsid w:val="00D44825"/>
    <w:rsid w:val="00D44A29"/>
    <w:rsid w:val="00D46F3B"/>
    <w:rsid w:val="00D47251"/>
    <w:rsid w:val="00D54B51"/>
    <w:rsid w:val="00D67892"/>
    <w:rsid w:val="00D67B6C"/>
    <w:rsid w:val="00D720E1"/>
    <w:rsid w:val="00D72273"/>
    <w:rsid w:val="00D742D9"/>
    <w:rsid w:val="00D77BF2"/>
    <w:rsid w:val="00D804A3"/>
    <w:rsid w:val="00D80A57"/>
    <w:rsid w:val="00D852CD"/>
    <w:rsid w:val="00D91A89"/>
    <w:rsid w:val="00D95465"/>
    <w:rsid w:val="00D954E5"/>
    <w:rsid w:val="00D95F01"/>
    <w:rsid w:val="00D96799"/>
    <w:rsid w:val="00DA2E03"/>
    <w:rsid w:val="00DA5638"/>
    <w:rsid w:val="00DA581B"/>
    <w:rsid w:val="00DA671F"/>
    <w:rsid w:val="00DA6E4C"/>
    <w:rsid w:val="00DB23B3"/>
    <w:rsid w:val="00DB2843"/>
    <w:rsid w:val="00DB2EC3"/>
    <w:rsid w:val="00DB5AC4"/>
    <w:rsid w:val="00DC063D"/>
    <w:rsid w:val="00DC262F"/>
    <w:rsid w:val="00DC2F89"/>
    <w:rsid w:val="00DC350A"/>
    <w:rsid w:val="00DC3F68"/>
    <w:rsid w:val="00DD2E5C"/>
    <w:rsid w:val="00DD6C4D"/>
    <w:rsid w:val="00DD6CE4"/>
    <w:rsid w:val="00DE029C"/>
    <w:rsid w:val="00DE0F85"/>
    <w:rsid w:val="00DE3E08"/>
    <w:rsid w:val="00DE4366"/>
    <w:rsid w:val="00DE48F5"/>
    <w:rsid w:val="00DE58C8"/>
    <w:rsid w:val="00DE60DA"/>
    <w:rsid w:val="00DE6B25"/>
    <w:rsid w:val="00DF0BBB"/>
    <w:rsid w:val="00DF0E08"/>
    <w:rsid w:val="00DF2ADF"/>
    <w:rsid w:val="00DF2E22"/>
    <w:rsid w:val="00DF7280"/>
    <w:rsid w:val="00E01E02"/>
    <w:rsid w:val="00E02201"/>
    <w:rsid w:val="00E02557"/>
    <w:rsid w:val="00E030C5"/>
    <w:rsid w:val="00E07FB5"/>
    <w:rsid w:val="00E14BB2"/>
    <w:rsid w:val="00E17DD1"/>
    <w:rsid w:val="00E20610"/>
    <w:rsid w:val="00E2118E"/>
    <w:rsid w:val="00E23785"/>
    <w:rsid w:val="00E254F9"/>
    <w:rsid w:val="00E35F04"/>
    <w:rsid w:val="00E379C4"/>
    <w:rsid w:val="00E428D5"/>
    <w:rsid w:val="00E5015B"/>
    <w:rsid w:val="00E50864"/>
    <w:rsid w:val="00E51710"/>
    <w:rsid w:val="00E5274B"/>
    <w:rsid w:val="00E5632A"/>
    <w:rsid w:val="00E608EC"/>
    <w:rsid w:val="00E61709"/>
    <w:rsid w:val="00E647E8"/>
    <w:rsid w:val="00E64A20"/>
    <w:rsid w:val="00E65C64"/>
    <w:rsid w:val="00E67FF4"/>
    <w:rsid w:val="00E724D0"/>
    <w:rsid w:val="00E72A3E"/>
    <w:rsid w:val="00E76113"/>
    <w:rsid w:val="00E7678F"/>
    <w:rsid w:val="00E82DA6"/>
    <w:rsid w:val="00E915A0"/>
    <w:rsid w:val="00E93632"/>
    <w:rsid w:val="00E95DEC"/>
    <w:rsid w:val="00EA15EA"/>
    <w:rsid w:val="00EA1677"/>
    <w:rsid w:val="00EA3B12"/>
    <w:rsid w:val="00EA547F"/>
    <w:rsid w:val="00EA5ECD"/>
    <w:rsid w:val="00EA6E97"/>
    <w:rsid w:val="00EB1943"/>
    <w:rsid w:val="00EB4B4B"/>
    <w:rsid w:val="00EB561A"/>
    <w:rsid w:val="00EB5CC6"/>
    <w:rsid w:val="00EB6D81"/>
    <w:rsid w:val="00EB7CC8"/>
    <w:rsid w:val="00EC1E26"/>
    <w:rsid w:val="00EC22EB"/>
    <w:rsid w:val="00EC72F3"/>
    <w:rsid w:val="00EC7444"/>
    <w:rsid w:val="00EC7857"/>
    <w:rsid w:val="00ED11EF"/>
    <w:rsid w:val="00ED453D"/>
    <w:rsid w:val="00ED50E9"/>
    <w:rsid w:val="00ED6BC5"/>
    <w:rsid w:val="00ED78BE"/>
    <w:rsid w:val="00ED7E6E"/>
    <w:rsid w:val="00EE1976"/>
    <w:rsid w:val="00EE263F"/>
    <w:rsid w:val="00EF0503"/>
    <w:rsid w:val="00EF3B74"/>
    <w:rsid w:val="00EF475F"/>
    <w:rsid w:val="00EF58F8"/>
    <w:rsid w:val="00F00E8A"/>
    <w:rsid w:val="00F03291"/>
    <w:rsid w:val="00F04947"/>
    <w:rsid w:val="00F04C08"/>
    <w:rsid w:val="00F0508D"/>
    <w:rsid w:val="00F05E16"/>
    <w:rsid w:val="00F16B85"/>
    <w:rsid w:val="00F16FB6"/>
    <w:rsid w:val="00F175C1"/>
    <w:rsid w:val="00F17D01"/>
    <w:rsid w:val="00F21BA2"/>
    <w:rsid w:val="00F22154"/>
    <w:rsid w:val="00F228FF"/>
    <w:rsid w:val="00F258A2"/>
    <w:rsid w:val="00F26E04"/>
    <w:rsid w:val="00F358C6"/>
    <w:rsid w:val="00F35AEC"/>
    <w:rsid w:val="00F4122A"/>
    <w:rsid w:val="00F41EC3"/>
    <w:rsid w:val="00F42F2F"/>
    <w:rsid w:val="00F43C9E"/>
    <w:rsid w:val="00F47C57"/>
    <w:rsid w:val="00F51CA3"/>
    <w:rsid w:val="00F52DE5"/>
    <w:rsid w:val="00F55EFB"/>
    <w:rsid w:val="00F56BE8"/>
    <w:rsid w:val="00F61FC0"/>
    <w:rsid w:val="00F632F2"/>
    <w:rsid w:val="00F67B66"/>
    <w:rsid w:val="00F70BF1"/>
    <w:rsid w:val="00F7488C"/>
    <w:rsid w:val="00F74963"/>
    <w:rsid w:val="00F84A19"/>
    <w:rsid w:val="00F90B2E"/>
    <w:rsid w:val="00F931EF"/>
    <w:rsid w:val="00F95787"/>
    <w:rsid w:val="00F957F6"/>
    <w:rsid w:val="00F95CA7"/>
    <w:rsid w:val="00FA0668"/>
    <w:rsid w:val="00FA0CE4"/>
    <w:rsid w:val="00FA12B9"/>
    <w:rsid w:val="00FA1543"/>
    <w:rsid w:val="00FA166F"/>
    <w:rsid w:val="00FA1ACD"/>
    <w:rsid w:val="00FA21B9"/>
    <w:rsid w:val="00FA4098"/>
    <w:rsid w:val="00FA5B56"/>
    <w:rsid w:val="00FB3975"/>
    <w:rsid w:val="00FB484B"/>
    <w:rsid w:val="00FB636B"/>
    <w:rsid w:val="00FB7124"/>
    <w:rsid w:val="00FC31F8"/>
    <w:rsid w:val="00FD03E2"/>
    <w:rsid w:val="00FD5212"/>
    <w:rsid w:val="00FD66F1"/>
    <w:rsid w:val="00FD7B33"/>
    <w:rsid w:val="00FE1BC0"/>
    <w:rsid w:val="00FE54DF"/>
    <w:rsid w:val="00FE58DE"/>
    <w:rsid w:val="00FF25C8"/>
    <w:rsid w:val="00FF3C3B"/>
    <w:rsid w:val="00FF49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CDE8A9F"/>
  <w15:docId w15:val="{EA5E3771-BECE-47DC-B80D-4F214869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58DE"/>
    <w:rPr>
      <w:rFonts w:eastAsia="Times New Roman"/>
      <w:sz w:val="24"/>
      <w:szCs w:val="24"/>
      <w:lang w:val="en-CA"/>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MS Mincho" w:cs="Angsana New"/>
      <w:b/>
      <w:caps/>
      <w:sz w:val="22"/>
      <w:lang w:val="en-GB"/>
    </w:rPr>
  </w:style>
  <w:style w:type="paragraph" w:styleId="Heading2">
    <w:name w:val="heading 2"/>
    <w:basedOn w:val="Normal"/>
    <w:qFormat/>
    <w:rsid w:val="00B058F4"/>
    <w:pPr>
      <w:keepNext/>
      <w:tabs>
        <w:tab w:val="left" w:pos="720"/>
      </w:tabs>
      <w:spacing w:before="120" w:after="120"/>
      <w:jc w:val="center"/>
      <w:outlineLvl w:val="1"/>
    </w:pPr>
    <w:rPr>
      <w:rFonts w:eastAsia="MS Mincho" w:cs="Angsana New"/>
      <w:b/>
      <w:bCs/>
      <w:iCs/>
      <w:snapToGrid w:val="0"/>
      <w:sz w:val="22"/>
      <w:lang w:val="en-GB"/>
    </w:rPr>
  </w:style>
  <w:style w:type="paragraph" w:styleId="Heading3">
    <w:name w:val="heading 3"/>
    <w:basedOn w:val="Normal"/>
    <w:next w:val="Normal"/>
    <w:link w:val="Heading3Char"/>
    <w:qFormat/>
    <w:rsid w:val="00BF5795"/>
    <w:pPr>
      <w:keepNext/>
      <w:tabs>
        <w:tab w:val="left" w:pos="567"/>
      </w:tabs>
      <w:spacing w:before="120" w:after="120"/>
      <w:outlineLvl w:val="2"/>
    </w:pPr>
    <w:rPr>
      <w:rFonts w:eastAsia="MS Mincho" w:cs="Angsana New"/>
      <w:i/>
      <w:iCs/>
      <w:sz w:val="22"/>
      <w:lang w:val="en-GB"/>
    </w:rPr>
  </w:style>
  <w:style w:type="paragraph" w:styleId="Heading40">
    <w:name w:val="heading 4"/>
    <w:basedOn w:val="Normal"/>
    <w:link w:val="Heading4Char"/>
    <w:qFormat/>
    <w:pPr>
      <w:keepNext/>
      <w:spacing w:before="120" w:after="120"/>
      <w:jc w:val="both"/>
      <w:outlineLvl w:val="3"/>
    </w:pPr>
    <w:rPr>
      <w:rFonts w:ascii="Times New Roman Bold" w:eastAsia="Arial Unicode MS" w:hAnsi="Times New Roman Bold" w:cs="Arial"/>
      <w:b/>
      <w:bCs/>
      <w:i/>
      <w:iCs/>
      <w:sz w:val="22"/>
      <w:lang w:val="en-GB"/>
    </w:rPr>
  </w:style>
  <w:style w:type="paragraph" w:styleId="Heading5">
    <w:name w:val="heading 5"/>
    <w:aliases w:val="Heading 5 - GTI"/>
    <w:basedOn w:val="Normal"/>
    <w:next w:val="Normal"/>
    <w:link w:val="Heading5Char"/>
    <w:qFormat/>
    <w:pPr>
      <w:keepNext/>
      <w:numPr>
        <w:ilvl w:val="4"/>
        <w:numId w:val="5"/>
      </w:numPr>
      <w:spacing w:before="120" w:after="120"/>
      <w:outlineLvl w:val="4"/>
    </w:pPr>
    <w:rPr>
      <w:rFonts w:eastAsia="MS Mincho" w:cs="Angsana New"/>
      <w:bCs/>
      <w:i/>
      <w:sz w:val="22"/>
      <w:szCs w:val="26"/>
    </w:rPr>
  </w:style>
  <w:style w:type="paragraph" w:styleId="Heading6">
    <w:name w:val="heading 6"/>
    <w:basedOn w:val="Normal"/>
    <w:next w:val="Normal"/>
    <w:link w:val="Heading6Char"/>
    <w:qFormat/>
    <w:pPr>
      <w:keepNext/>
      <w:spacing w:after="240" w:line="240" w:lineRule="exact"/>
      <w:ind w:left="720"/>
      <w:jc w:val="both"/>
      <w:outlineLvl w:val="5"/>
    </w:pPr>
    <w:rPr>
      <w:rFonts w:eastAsia="MS Mincho" w:cs="Angsana New"/>
      <w:sz w:val="22"/>
      <w:u w:val="single"/>
      <w:lang w:val="en-GB"/>
    </w:rPr>
  </w:style>
  <w:style w:type="paragraph" w:styleId="Heading7">
    <w:name w:val="heading 7"/>
    <w:basedOn w:val="Normal"/>
    <w:next w:val="Normal"/>
    <w:link w:val="Heading7Char"/>
    <w:qFormat/>
    <w:pPr>
      <w:keepNext/>
      <w:jc w:val="right"/>
      <w:outlineLvl w:val="6"/>
    </w:pPr>
    <w:rPr>
      <w:rFonts w:ascii="Univers" w:eastAsia="MS Mincho" w:hAnsi="Univers" w:cs="Angsana New"/>
      <w:b/>
      <w:sz w:val="28"/>
      <w:lang w:val="en-GB"/>
    </w:rPr>
  </w:style>
  <w:style w:type="paragraph" w:styleId="Heading8">
    <w:name w:val="heading 8"/>
    <w:basedOn w:val="Normal"/>
    <w:next w:val="Normal"/>
    <w:link w:val="Heading8Char"/>
    <w:qFormat/>
    <w:pPr>
      <w:keepNext/>
      <w:jc w:val="right"/>
      <w:outlineLvl w:val="7"/>
    </w:pPr>
    <w:rPr>
      <w:rFonts w:ascii="Univers" w:eastAsia="MS Mincho" w:hAnsi="Univers" w:cs="Angsana New"/>
      <w:b/>
      <w:sz w:val="32"/>
      <w:lang w:val="en-GB"/>
    </w:rPr>
  </w:style>
  <w:style w:type="paragraph" w:styleId="Heading9">
    <w:name w:val="heading 9"/>
    <w:basedOn w:val="Normal"/>
    <w:next w:val="Normal"/>
    <w:link w:val="Heading9Char"/>
    <w:qFormat/>
    <w:pPr>
      <w:keepNext/>
      <w:spacing w:before="100" w:beforeAutospacing="1" w:after="120"/>
      <w:jc w:val="both"/>
      <w:outlineLvl w:val="8"/>
    </w:pPr>
    <w:rPr>
      <w:rFonts w:eastAsia="MS Mincho" w:cs="Angsana New"/>
      <w:i/>
      <w:i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Pr>
      <w:sz w:val="18"/>
      <w:u w:val="single"/>
      <w:vertAlign w:val="baseline"/>
    </w:rPr>
  </w:style>
  <w:style w:type="character" w:styleId="PageNumber">
    <w:name w:val="page number"/>
    <w:rPr>
      <w:rFonts w:ascii="Times New Roman" w:hAnsi="Times New Roman"/>
      <w:sz w:val="22"/>
    </w:rPr>
  </w:style>
  <w:style w:type="paragraph" w:styleId="BodyText">
    <w:name w:val="Body Text"/>
    <w:basedOn w:val="Normal"/>
    <w:pPr>
      <w:spacing w:before="120" w:after="120"/>
      <w:ind w:firstLine="720"/>
      <w:jc w:val="both"/>
    </w:pPr>
    <w:rPr>
      <w:rFonts w:eastAsia="MS Mincho" w:cs="Angsana New"/>
      <w:iCs/>
      <w:sz w:val="22"/>
      <w:lang w:val="en-GB"/>
    </w:rPr>
  </w:style>
  <w:style w:type="paragraph" w:styleId="Caption">
    <w:name w:val="caption"/>
    <w:basedOn w:val="Normal"/>
    <w:next w:val="Normal"/>
    <w:uiPriority w:val="35"/>
    <w:qFormat/>
    <w:pPr>
      <w:widowControl w:val="0"/>
      <w:jc w:val="both"/>
    </w:pPr>
    <w:rPr>
      <w:rFonts w:ascii="Courier New" w:eastAsia="MS Mincho" w:hAnsi="Courier New" w:cs="Angsana New"/>
      <w:sz w:val="22"/>
      <w:lang w:val="en-GB"/>
    </w:rPr>
  </w:style>
  <w:style w:type="paragraph" w:styleId="Header">
    <w:name w:val="header"/>
    <w:basedOn w:val="Normal"/>
    <w:link w:val="HeaderChar"/>
    <w:pPr>
      <w:tabs>
        <w:tab w:val="center" w:pos="4320"/>
        <w:tab w:val="right" w:pos="8640"/>
      </w:tabs>
      <w:jc w:val="both"/>
    </w:pPr>
    <w:rPr>
      <w:rFonts w:eastAsia="MS Mincho"/>
      <w:sz w:val="22"/>
      <w:lang w:val="en-GB"/>
    </w:rPr>
  </w:style>
  <w:style w:type="paragraph" w:styleId="Footer">
    <w:name w:val="footer"/>
    <w:basedOn w:val="Normal"/>
    <w:link w:val="FooterChar"/>
    <w:pPr>
      <w:tabs>
        <w:tab w:val="center" w:pos="4320"/>
        <w:tab w:val="right" w:pos="8640"/>
      </w:tabs>
      <w:ind w:firstLine="720"/>
      <w:jc w:val="right"/>
    </w:pPr>
    <w:rPr>
      <w:rFonts w:eastAsia="MS Mincho"/>
      <w:sz w:val="22"/>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pPr>
      <w:keepLines/>
      <w:spacing w:after="60"/>
      <w:ind w:firstLine="720"/>
      <w:jc w:val="both"/>
    </w:pPr>
    <w:rPr>
      <w:rFonts w:eastAsia="MS Mincho"/>
      <w:sz w:val="18"/>
      <w:lang w:val="en-GB" w:eastAsia="x-none"/>
    </w:rPr>
  </w:style>
  <w:style w:type="paragraph" w:styleId="BodyText2">
    <w:name w:val="Body Text 2"/>
    <w:basedOn w:val="Normal"/>
    <w:pPr>
      <w:jc w:val="both"/>
    </w:pPr>
    <w:rPr>
      <w:rFonts w:eastAsia="MS Mincho" w:cs="Angsana New"/>
      <w:i/>
      <w:iCs/>
      <w:sz w:val="22"/>
      <w:lang w:val="en-GB"/>
    </w:rPr>
  </w:style>
  <w:style w:type="paragraph" w:styleId="BodyText3">
    <w:name w:val="Body Text 3"/>
    <w:basedOn w:val="Normal"/>
    <w:link w:val="BodyText3Char"/>
    <w:pPr>
      <w:jc w:val="center"/>
    </w:pPr>
    <w:rPr>
      <w:rFonts w:eastAsia="MS Mincho" w:cs="Angsana New"/>
      <w:sz w:val="28"/>
      <w:lang w:val="en-GB"/>
    </w:rPr>
  </w:style>
  <w:style w:type="paragraph" w:styleId="BodyTextIndent2">
    <w:name w:val="Body Text Indent 2"/>
    <w:basedOn w:val="Normal"/>
    <w:link w:val="BodyTextIndent2Char"/>
    <w:pPr>
      <w:ind w:firstLine="720"/>
      <w:jc w:val="both"/>
    </w:pPr>
    <w:rPr>
      <w:rFonts w:eastAsia="MS Mincho" w:cs="Angsana New"/>
      <w:sz w:val="22"/>
      <w:lang w:val="en-GB"/>
    </w:rPr>
  </w:style>
  <w:style w:type="paragraph" w:styleId="BodyTextIndent3">
    <w:name w:val="Body Text Indent 3"/>
    <w:basedOn w:val="Normal"/>
    <w:link w:val="BodyTextIndent3Char"/>
    <w:pPr>
      <w:ind w:left="1080" w:hanging="360"/>
      <w:jc w:val="both"/>
    </w:pPr>
    <w:rPr>
      <w:rFonts w:ascii="Courier" w:eastAsia="MS Mincho" w:hAnsi="Courier" w:cs="Angsana New"/>
      <w:sz w:val="20"/>
      <w:lang w:val="en-GB"/>
    </w:rPr>
  </w:style>
  <w:style w:type="paragraph" w:customStyle="1" w:styleId="BodyText21">
    <w:name w:val="Body Text 21"/>
    <w:basedOn w:val="Normal"/>
    <w:pPr>
      <w:jc w:val="both"/>
    </w:pPr>
    <w:rPr>
      <w:rFonts w:eastAsia="MS Mincho" w:cs="Angsana New"/>
      <w:sz w:val="22"/>
      <w:lang w:val="en-GB"/>
    </w:rPr>
  </w:style>
  <w:style w:type="paragraph" w:styleId="BlockText">
    <w:name w:val="Block Text"/>
    <w:basedOn w:val="Normal"/>
    <w:pPr>
      <w:tabs>
        <w:tab w:val="left" w:leader="dot" w:pos="8100"/>
        <w:tab w:val="left" w:pos="8370"/>
      </w:tabs>
      <w:suppressAutoHyphens/>
      <w:ind w:left="720" w:right="1440" w:hanging="720"/>
      <w:jc w:val="both"/>
    </w:pPr>
    <w:rPr>
      <w:rFonts w:ascii="Courier New" w:eastAsia="MS Mincho" w:hAnsi="Courier New" w:cs="Angsana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Pr>
      <w:rFonts w:eastAsia="MS Mincho" w:cs="Angsana New"/>
      <w:sz w:val="22"/>
      <w:lang w:val="en-GB"/>
    </w:rPr>
  </w:style>
  <w:style w:type="paragraph" w:styleId="BodyTextIndent">
    <w:name w:val="Body Text Indent"/>
    <w:basedOn w:val="Normal"/>
    <w:link w:val="BodyTextIndentChar"/>
    <w:pPr>
      <w:spacing w:before="120" w:after="120"/>
      <w:ind w:left="1440" w:hanging="720"/>
    </w:pPr>
    <w:rPr>
      <w:rFonts w:eastAsia="MS Mincho" w:cs="Angsana New"/>
      <w:sz w:val="22"/>
      <w:lang w:val="en-GB"/>
    </w:rPr>
  </w:style>
  <w:style w:type="character" w:styleId="EndnoteReference">
    <w:name w:val="endnote reference"/>
    <w:semiHidden/>
    <w:rPr>
      <w:vertAlign w:val="superscript"/>
    </w:rPr>
  </w:style>
  <w:style w:type="paragraph" w:styleId="Title">
    <w:name w:val="Title"/>
    <w:basedOn w:val="Normal"/>
    <w:link w:val="TitleChar"/>
    <w:uiPriority w:val="10"/>
    <w:qFormat/>
    <w:pPr>
      <w:jc w:val="center"/>
    </w:pPr>
    <w:rPr>
      <w:rFonts w:eastAsia="MS Mincho" w:cs="Angsana New"/>
      <w:i/>
      <w:iCs/>
      <w:sz w:val="22"/>
      <w:lang w:val="en-GB"/>
    </w:rPr>
  </w:style>
  <w:style w:type="character" w:styleId="Hyperlink">
    <w:name w:val="Hyperlink"/>
    <w:uiPriority w:val="99"/>
    <w:rPr>
      <w:color w:val="0000FF"/>
      <w:u w:val="single"/>
    </w:rPr>
  </w:style>
  <w:style w:type="paragraph" w:styleId="DocumentMap">
    <w:name w:val="Document Map"/>
    <w:basedOn w:val="Normal"/>
    <w:link w:val="DocumentMapChar"/>
    <w:semiHidden/>
    <w:pPr>
      <w:shd w:val="clear" w:color="auto" w:fill="000080"/>
    </w:pPr>
    <w:rPr>
      <w:rFonts w:ascii="Tahoma" w:hAnsi="Tahoma"/>
    </w:rPr>
  </w:style>
  <w:style w:type="paragraph" w:customStyle="1" w:styleId="HEADING">
    <w:name w:val="HEADING"/>
    <w:basedOn w:val="Normal"/>
    <w:pPr>
      <w:keepNext/>
      <w:tabs>
        <w:tab w:val="left" w:pos="426"/>
      </w:tabs>
      <w:spacing w:before="120" w:after="120"/>
      <w:jc w:val="center"/>
    </w:pPr>
    <w:rPr>
      <w:rFonts w:ascii="Times New Roman Bold" w:eastAsia="MS Mincho" w:hAnsi="Times New Roman Bold"/>
      <w:b/>
      <w:bCs/>
      <w:caps/>
      <w:sz w:val="22"/>
      <w:lang w:val="en-GB"/>
    </w:rPr>
  </w:style>
  <w:style w:type="paragraph" w:customStyle="1" w:styleId="Cornernotation">
    <w:name w:val="Corner notation"/>
    <w:basedOn w:val="Normal"/>
    <w:pPr>
      <w:ind w:left="284" w:right="4398" w:hanging="284"/>
    </w:pPr>
    <w:rPr>
      <w:rFonts w:eastAsia="MS Mincho" w:cs="Angsana New"/>
      <w:sz w:val="22"/>
      <w:lang w:val="en-GB"/>
    </w:rPr>
  </w:style>
  <w:style w:type="paragraph" w:customStyle="1" w:styleId="Para1">
    <w:name w:val="Para1"/>
    <w:basedOn w:val="Normal"/>
    <w:link w:val="Para1Char1"/>
    <w:rsid w:val="006C5568"/>
    <w:pPr>
      <w:numPr>
        <w:numId w:val="16"/>
      </w:numPr>
      <w:spacing w:before="120" w:after="120"/>
      <w:jc w:val="both"/>
    </w:pPr>
    <w:rPr>
      <w:rFonts w:eastAsia="MS Mincho"/>
      <w:snapToGrid w:val="0"/>
      <w:kern w:val="22"/>
      <w:sz w:val="22"/>
      <w:szCs w:val="22"/>
      <w:lang w:val="en-GB"/>
    </w:rPr>
  </w:style>
  <w:style w:type="paragraph" w:customStyle="1" w:styleId="para2">
    <w:name w:val="para2"/>
    <w:basedOn w:val="Normal"/>
    <w:pPr>
      <w:numPr>
        <w:numId w:val="8"/>
      </w:numPr>
      <w:spacing w:before="120" w:after="120"/>
      <w:jc w:val="both"/>
    </w:pPr>
    <w:rPr>
      <w:rFonts w:eastAsia="MS Mincho" w:cs="Angsana New"/>
      <w:sz w:val="22"/>
      <w:szCs w:val="20"/>
      <w:lang w:val="en-GB"/>
    </w:rPr>
  </w:style>
  <w:style w:type="paragraph" w:customStyle="1" w:styleId="Para3">
    <w:name w:val="Para3"/>
    <w:basedOn w:val="Normal"/>
    <w:pPr>
      <w:numPr>
        <w:ilvl w:val="2"/>
        <w:numId w:val="13"/>
      </w:numPr>
      <w:tabs>
        <w:tab w:val="left" w:pos="1980"/>
      </w:tabs>
      <w:spacing w:before="80" w:after="80"/>
      <w:jc w:val="both"/>
    </w:pPr>
    <w:rPr>
      <w:rFonts w:eastAsia="MS Mincho" w:cs="Angsana New"/>
      <w:sz w:val="22"/>
      <w:szCs w:val="20"/>
      <w:lang w:val="en-GB"/>
    </w:rPr>
  </w:style>
  <w:style w:type="paragraph" w:customStyle="1" w:styleId="para4">
    <w:name w:val="para4"/>
    <w:basedOn w:val="Normal"/>
    <w:pPr>
      <w:numPr>
        <w:ilvl w:val="3"/>
        <w:numId w:val="9"/>
      </w:numPr>
      <w:overflowPunct w:val="0"/>
      <w:autoSpaceDE w:val="0"/>
      <w:autoSpaceDN w:val="0"/>
      <w:adjustRightInd w:val="0"/>
      <w:spacing w:after="120" w:line="240" w:lineRule="atLeast"/>
      <w:jc w:val="both"/>
      <w:textAlignment w:val="baseline"/>
    </w:pPr>
    <w:rPr>
      <w:rFonts w:ascii="Courier" w:eastAsia="MS Mincho" w:hAnsi="Courier" w:cs="Angsana New"/>
      <w:color w:val="000000"/>
      <w:sz w:val="20"/>
      <w:szCs w:val="20"/>
      <w:lang w:val="en-GB"/>
    </w:rPr>
  </w:style>
  <w:style w:type="paragraph" w:customStyle="1" w:styleId="Heading2-center">
    <w:name w:val="Heading 2-center"/>
    <w:basedOn w:val="Heading2"/>
  </w:style>
  <w:style w:type="paragraph" w:customStyle="1" w:styleId="Heading4indent">
    <w:name w:val="Heading 4 indent"/>
    <w:basedOn w:val="Heading40"/>
    <w:pPr>
      <w:ind w:left="720"/>
    </w:pPr>
  </w:style>
  <w:style w:type="paragraph" w:styleId="PlainText">
    <w:name w:val="Plain Text"/>
    <w:basedOn w:val="Normal"/>
    <w:link w:val="PlainTextChar"/>
    <w:pPr>
      <w:jc w:val="both"/>
    </w:pPr>
    <w:rPr>
      <w:rFonts w:ascii="Courier New" w:eastAsia="MS Mincho" w:hAnsi="Courier New"/>
      <w:sz w:val="20"/>
      <w:lang w:val="x-none"/>
    </w:rPr>
  </w:style>
  <w:style w:type="paragraph" w:customStyle="1" w:styleId="xl24">
    <w:name w:val="xl24"/>
    <w:basedOn w:val="Normal"/>
    <w:pPr>
      <w:spacing w:before="100" w:beforeAutospacing="1" w:after="100" w:afterAutospacing="1"/>
      <w:jc w:val="both"/>
    </w:pPr>
    <w:rPr>
      <w:rFonts w:eastAsia="Arial Unicode MS" w:cs="Angsana New"/>
      <w:b/>
      <w:bCs/>
      <w:sz w:val="22"/>
      <w:szCs w:val="22"/>
      <w:lang w:val="en-GB"/>
    </w:rPr>
  </w:style>
  <w:style w:type="paragraph" w:customStyle="1" w:styleId="xl25">
    <w:name w:val="xl25"/>
    <w:basedOn w:val="Normal"/>
    <w:pPr>
      <w:spacing w:before="100" w:beforeAutospacing="1" w:after="100" w:afterAutospacing="1"/>
      <w:jc w:val="both"/>
    </w:pPr>
    <w:rPr>
      <w:rFonts w:eastAsia="Arial Unicode MS" w:cs="Angsana New"/>
      <w:b/>
      <w:bCs/>
      <w:sz w:val="22"/>
      <w:szCs w:val="22"/>
      <w:lang w:val="en-GB"/>
    </w:rPr>
  </w:style>
  <w:style w:type="paragraph" w:customStyle="1" w:styleId="xl26">
    <w:name w:val="xl26"/>
    <w:basedOn w:val="Normal"/>
    <w:pPr>
      <w:spacing w:before="100" w:beforeAutospacing="1" w:after="100" w:afterAutospacing="1"/>
      <w:jc w:val="center"/>
    </w:pPr>
    <w:rPr>
      <w:rFonts w:eastAsia="Arial Unicode MS" w:cs="Angsana New"/>
      <w:b/>
      <w:bCs/>
      <w:sz w:val="22"/>
      <w:szCs w:val="22"/>
      <w:lang w:val="en-GB"/>
    </w:rPr>
  </w:style>
  <w:style w:type="paragraph" w:customStyle="1" w:styleId="xl27">
    <w:name w:val="xl27"/>
    <w:basedOn w:val="Normal"/>
    <w:pPr>
      <w:pBdr>
        <w:left w:val="single" w:sz="8" w:space="0" w:color="auto"/>
      </w:pBdr>
      <w:spacing w:before="100" w:beforeAutospacing="1" w:after="100" w:afterAutospacing="1"/>
      <w:jc w:val="both"/>
    </w:pPr>
    <w:rPr>
      <w:rFonts w:eastAsia="Arial Unicode MS" w:cs="Angsana New"/>
      <w:b/>
      <w:bCs/>
      <w:sz w:val="22"/>
      <w:szCs w:val="22"/>
      <w:lang w:val="en-GB"/>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cs="Angsana New"/>
      <w:b/>
      <w:bCs/>
      <w:sz w:val="22"/>
      <w:szCs w:val="22"/>
      <w:lang w:val="en-GB"/>
    </w:rPr>
  </w:style>
  <w:style w:type="paragraph" w:customStyle="1" w:styleId="xl29">
    <w:name w:val="xl29"/>
    <w:basedOn w:val="Normal"/>
    <w:pPr>
      <w:pBdr>
        <w:lef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cs="Angsana New"/>
      <w:sz w:val="22"/>
      <w:szCs w:val="22"/>
      <w:lang w:val="en-GB"/>
    </w:rPr>
  </w:style>
  <w:style w:type="paragraph" w:customStyle="1" w:styleId="xl31">
    <w:name w:val="xl31"/>
    <w:basedOn w:val="Normal"/>
    <w:pPr>
      <w:pBdr>
        <w:left w:val="single" w:sz="4"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32">
    <w:name w:val="xl32"/>
    <w:basedOn w:val="Normal"/>
    <w:pPr>
      <w:pBdr>
        <w:left w:val="single" w:sz="4"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33">
    <w:name w:val="xl33"/>
    <w:basedOn w:val="Normal"/>
    <w:pPr>
      <w:pBdr>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cs="Angsana New"/>
      <w:sz w:val="22"/>
      <w:szCs w:val="22"/>
      <w:lang w:val="en-GB"/>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s="Angsana New"/>
      <w:sz w:val="22"/>
      <w:szCs w:val="22"/>
      <w:lang w:val="en-GB"/>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cs="Angsana New"/>
      <w:sz w:val="22"/>
      <w:szCs w:val="22"/>
      <w:lang w:val="en-GB"/>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cs="Angsana New"/>
      <w:sz w:val="22"/>
      <w:szCs w:val="22"/>
      <w:lang w:val="en-GB"/>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s="Angsana New"/>
      <w:sz w:val="22"/>
      <w:szCs w:val="22"/>
      <w:lang w:val="en-GB"/>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cs="Angsana New"/>
      <w:sz w:val="22"/>
      <w:szCs w:val="22"/>
      <w:lang w:val="en-GB"/>
    </w:rPr>
  </w:style>
  <w:style w:type="paragraph" w:customStyle="1" w:styleId="xl40">
    <w:name w:val="xl40"/>
    <w:basedOn w:val="Normal"/>
    <w:pPr>
      <w:spacing w:before="100" w:beforeAutospacing="1" w:after="100" w:afterAutospacing="1"/>
      <w:jc w:val="center"/>
      <w:textAlignment w:val="top"/>
    </w:pPr>
    <w:rPr>
      <w:rFonts w:eastAsia="Arial Unicode MS" w:cs="Angsana New"/>
      <w:sz w:val="22"/>
      <w:szCs w:val="22"/>
      <w:lang w:val="en-GB"/>
    </w:rPr>
  </w:style>
  <w:style w:type="paragraph" w:customStyle="1" w:styleId="xl41">
    <w:name w:val="xl41"/>
    <w:basedOn w:val="Normal"/>
    <w:pPr>
      <w:spacing w:before="100" w:beforeAutospacing="1" w:after="100" w:afterAutospacing="1"/>
      <w:jc w:val="both"/>
      <w:textAlignment w:val="top"/>
    </w:pPr>
    <w:rPr>
      <w:rFonts w:eastAsia="Arial Unicode MS" w:cs="Angsana New"/>
      <w:sz w:val="22"/>
      <w:szCs w:val="22"/>
      <w:lang w:val="en-GB"/>
    </w:rPr>
  </w:style>
  <w:style w:type="paragraph" w:customStyle="1" w:styleId="xl42">
    <w:name w:val="xl42"/>
    <w:basedOn w:val="Normal"/>
    <w:pPr>
      <w:spacing w:before="100" w:beforeAutospacing="1" w:after="100" w:afterAutospacing="1"/>
      <w:jc w:val="center"/>
    </w:pPr>
    <w:rPr>
      <w:rFonts w:eastAsia="Arial Unicode MS" w:cs="Angsana New"/>
      <w:sz w:val="22"/>
      <w:szCs w:val="22"/>
      <w:lang w:val="en-GB"/>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jc w:val="both"/>
    </w:pPr>
    <w:rPr>
      <w:rFonts w:eastAsia="Arial Unicode MS" w:cs="Angsana New"/>
      <w:b/>
      <w:bCs/>
      <w:sz w:val="22"/>
      <w:szCs w:val="22"/>
      <w:lang w:val="en-GB"/>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cs="Angsana New"/>
      <w:b/>
      <w:bCs/>
      <w:sz w:val="22"/>
      <w:szCs w:val="22"/>
      <w:lang w:val="en-GB"/>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both"/>
    </w:pPr>
    <w:rPr>
      <w:rFonts w:eastAsia="Arial Unicode MS" w:cs="Angsana New"/>
      <w:b/>
      <w:bCs/>
      <w:sz w:val="22"/>
      <w:szCs w:val="22"/>
      <w:lang w:val="en-GB"/>
    </w:rPr>
  </w:style>
  <w:style w:type="paragraph" w:customStyle="1" w:styleId="xl46">
    <w:name w:val="xl46"/>
    <w:basedOn w:val="Normal"/>
    <w:pPr>
      <w:pBdr>
        <w:left w:val="single" w:sz="4" w:space="0" w:color="auto"/>
      </w:pBdr>
      <w:spacing w:before="100" w:beforeAutospacing="1" w:after="100" w:afterAutospacing="1"/>
      <w:jc w:val="both"/>
    </w:pPr>
    <w:rPr>
      <w:rFonts w:eastAsia="Arial Unicode MS" w:cs="Angsana New"/>
      <w:sz w:val="22"/>
      <w:szCs w:val="22"/>
      <w:lang w:val="en-GB"/>
    </w:rPr>
  </w:style>
  <w:style w:type="paragraph" w:customStyle="1" w:styleId="xl47">
    <w:name w:val="xl47"/>
    <w:basedOn w:val="Normal"/>
    <w:pPr>
      <w:pBdr>
        <w:left w:val="single" w:sz="8" w:space="0" w:color="auto"/>
        <w:bottom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cs="Angsana New"/>
      <w:sz w:val="22"/>
      <w:szCs w:val="22"/>
      <w:lang w:val="en-GB"/>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50">
    <w:name w:val="xl50"/>
    <w:basedOn w:val="Normal"/>
    <w:pPr>
      <w:pBdr>
        <w:left w:val="single" w:sz="8" w:space="0" w:color="auto"/>
        <w:right w:val="single" w:sz="8" w:space="0" w:color="auto"/>
      </w:pBdr>
      <w:spacing w:before="100" w:beforeAutospacing="1" w:after="100" w:afterAutospacing="1"/>
      <w:jc w:val="both"/>
    </w:pPr>
    <w:rPr>
      <w:rFonts w:eastAsia="Arial Unicode MS" w:cs="Angsana New"/>
      <w:b/>
      <w:bCs/>
      <w:sz w:val="22"/>
      <w:szCs w:val="22"/>
      <w:lang w:val="en-GB"/>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53">
    <w:name w:val="xl53"/>
    <w:basedOn w:val="Normal"/>
    <w:pPr>
      <w:pBdr>
        <w:left w:val="single" w:sz="8"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55">
    <w:name w:val="xl55"/>
    <w:basedOn w:val="Normal"/>
    <w:pPr>
      <w:pBdr>
        <w:top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56">
    <w:name w:val="xl56"/>
    <w:basedOn w:val="Normal"/>
    <w:pPr>
      <w:spacing w:before="100" w:beforeAutospacing="1" w:after="100" w:afterAutospacing="1"/>
      <w:jc w:val="both"/>
    </w:pPr>
    <w:rPr>
      <w:rFonts w:eastAsia="Arial Unicode MS" w:cs="Angsana New"/>
      <w:sz w:val="22"/>
      <w:szCs w:val="22"/>
      <w:lang w:val="en-GB"/>
    </w:rPr>
  </w:style>
  <w:style w:type="paragraph" w:customStyle="1" w:styleId="xl57">
    <w:name w:val="xl57"/>
    <w:basedOn w:val="Normal"/>
    <w:pPr>
      <w:pBdr>
        <w:bottom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both"/>
    </w:pPr>
    <w:rPr>
      <w:rFonts w:eastAsia="Arial Unicode MS" w:cs="Angsana New"/>
      <w:b/>
      <w:bCs/>
      <w:sz w:val="22"/>
      <w:szCs w:val="22"/>
      <w:lang w:val="en-GB"/>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61">
    <w:name w:val="xl61"/>
    <w:basedOn w:val="Normal"/>
    <w:pPr>
      <w:pBdr>
        <w:left w:val="single" w:sz="8" w:space="0" w:color="auto"/>
        <w:bottom w:val="single" w:sz="4" w:space="0" w:color="auto"/>
      </w:pBdr>
      <w:spacing w:before="100" w:beforeAutospacing="1" w:after="100" w:afterAutospacing="1"/>
      <w:jc w:val="both"/>
    </w:pPr>
    <w:rPr>
      <w:rFonts w:eastAsia="Arial Unicode MS" w:cs="Angsana New"/>
      <w:sz w:val="22"/>
      <w:szCs w:val="22"/>
      <w:lang w:val="en-GB"/>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cs="Angsana New"/>
      <w:sz w:val="22"/>
      <w:szCs w:val="22"/>
      <w:lang w:val="en-GB"/>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64">
    <w:name w:val="xl64"/>
    <w:basedOn w:val="Normal"/>
    <w:pPr>
      <w:pBdr>
        <w:left w:val="single" w:sz="4" w:space="0" w:color="auto"/>
      </w:pBdr>
      <w:spacing w:before="100" w:beforeAutospacing="1" w:after="100" w:afterAutospacing="1"/>
      <w:jc w:val="both"/>
    </w:pPr>
    <w:rPr>
      <w:rFonts w:eastAsia="Arial Unicode MS" w:cs="Angsana New"/>
      <w:sz w:val="22"/>
      <w:szCs w:val="22"/>
      <w:lang w:val="en-GB"/>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cs="Angsana New"/>
      <w:sz w:val="22"/>
      <w:szCs w:val="22"/>
      <w:lang w:val="en-GB"/>
    </w:rPr>
  </w:style>
  <w:style w:type="paragraph" w:customStyle="1" w:styleId="xl67">
    <w:name w:val="xl67"/>
    <w:basedOn w:val="Normal"/>
    <w:pPr>
      <w:pBdr>
        <w:left w:val="single" w:sz="4" w:space="0" w:color="auto"/>
        <w:bottom w:val="single" w:sz="8" w:space="0" w:color="auto"/>
      </w:pBdr>
      <w:spacing w:before="100" w:beforeAutospacing="1" w:after="100" w:afterAutospacing="1"/>
      <w:jc w:val="both"/>
    </w:pPr>
    <w:rPr>
      <w:rFonts w:eastAsia="Arial Unicode MS" w:cs="Angsana New"/>
      <w:sz w:val="22"/>
      <w:szCs w:val="22"/>
      <w:lang w:val="en-GB"/>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cs="Angsana New"/>
      <w:b/>
      <w:bCs/>
      <w:sz w:val="22"/>
      <w:szCs w:val="22"/>
      <w:lang w:val="en-GB"/>
    </w:rPr>
  </w:style>
  <w:style w:type="paragraph" w:customStyle="1" w:styleId="Texte">
    <w:name w:val="Texte"/>
    <w:basedOn w:val="Normal"/>
    <w:pPr>
      <w:widowControl w:val="0"/>
      <w:tabs>
        <w:tab w:val="left" w:pos="720"/>
      </w:tabs>
      <w:spacing w:before="120" w:after="120"/>
      <w:jc w:val="both"/>
    </w:pPr>
    <w:rPr>
      <w:rFonts w:eastAsia="MS Mincho" w:cs="Angsana New"/>
      <w:sz w:val="22"/>
      <w:lang w:val="en-GB"/>
    </w:rPr>
  </w:style>
  <w:style w:type="paragraph" w:styleId="NormalWeb">
    <w:name w:val="Normal (Web)"/>
    <w:basedOn w:val="Normal"/>
    <w:pPr>
      <w:spacing w:before="100" w:beforeAutospacing="1" w:after="100" w:afterAutospacing="1"/>
    </w:pPr>
    <w:rPr>
      <w:rFonts w:ascii="Verdana" w:eastAsia="MS Mincho" w:hAnsi="Verdana" w:cs="Angsana New"/>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both"/>
      <w:textAlignment w:val="baseline"/>
    </w:pPr>
    <w:rPr>
      <w:rFonts w:ascii="Courier" w:eastAsia="MS Mincho" w:hAnsi="Courier" w:cs="Angsana New"/>
      <w:color w:val="000000"/>
      <w:sz w:val="20"/>
      <w:lang w:val="en-GB"/>
    </w:rPr>
  </w:style>
  <w:style w:type="character" w:styleId="FollowedHyperlink">
    <w:name w:val="FollowedHyperlink"/>
    <w:uiPriority w:val="99"/>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sz w:val="22"/>
      <w:lang w:val="en-GB"/>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w:color w:val="000000"/>
      <w:sz w:val="22"/>
      <w:lang w:val="en-GB"/>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lang w:val="en-GB"/>
    </w:rPr>
  </w:style>
  <w:style w:type="paragraph" w:customStyle="1" w:styleId="Para20">
    <w:name w:val="Para2"/>
    <w:basedOn w:val="Para1"/>
  </w:style>
  <w:style w:type="paragraph" w:customStyle="1" w:styleId="HEADINGNOTFORTOC">
    <w:name w:val="HEADING (NOT FOR TOC)"/>
    <w:basedOn w:val="Heading1"/>
    <w:next w:val="Heading2"/>
    <w:link w:val="HEADINGNOTFORTOCChar"/>
  </w:style>
  <w:style w:type="paragraph" w:styleId="Subtitle">
    <w:name w:val="Subtitle"/>
    <w:basedOn w:val="Normal"/>
    <w:link w:val="SubtitleChar"/>
    <w:uiPriority w:val="11"/>
    <w:qFormat/>
    <w:pPr>
      <w:jc w:val="both"/>
    </w:pPr>
    <w:rPr>
      <w:rFonts w:eastAsia="MS Mincho" w:cs="Angsana New"/>
      <w:b/>
      <w:bCs/>
      <w:sz w:val="22"/>
      <w:lang w:val="en-GB"/>
    </w:rPr>
  </w:style>
  <w:style w:type="character" w:styleId="Strong">
    <w:name w:val="Strong"/>
    <w:uiPriority w:val="22"/>
    <w:qFormat/>
    <w:rPr>
      <w:b/>
      <w:bCs/>
    </w:rPr>
  </w:style>
  <w:style w:type="paragraph" w:customStyle="1" w:styleId="Para10">
    <w:name w:val="Para 1"/>
    <w:basedOn w:val="Para1"/>
    <w:rsid w:val="00BF5795"/>
  </w:style>
  <w:style w:type="paragraph" w:customStyle="1" w:styleId="Style1">
    <w:name w:val="Style1"/>
    <w:basedOn w:val="Para10"/>
    <w:qFormat/>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jc w:val="both"/>
    </w:pPr>
    <w:rPr>
      <w:rFonts w:eastAsia="MS Mincho" w:cs="Angsana New"/>
      <w:snapToGrid w:val="0"/>
      <w:sz w:val="22"/>
      <w:szCs w:val="18"/>
      <w:lang w:val="en-GB"/>
    </w:rPr>
  </w:style>
  <w:style w:type="paragraph" w:styleId="BalloonText">
    <w:name w:val="Balloon Text"/>
    <w:basedOn w:val="Normal"/>
    <w:link w:val="BalloonTextChar"/>
    <w:uiPriority w:val="99"/>
    <w:semiHidden/>
    <w:pPr>
      <w:jc w:val="both"/>
    </w:pPr>
    <w:rPr>
      <w:rFonts w:ascii="Tahoma" w:eastAsia="MS Mincho" w:hAnsi="Tahoma" w:cs="Tahoma"/>
      <w:sz w:val="16"/>
      <w:szCs w:val="16"/>
      <w:lang w:val="en-GB"/>
    </w:rPr>
  </w:style>
  <w:style w:type="paragraph" w:customStyle="1" w:styleId="Paranum">
    <w:name w:val="Paranum"/>
    <w:basedOn w:val="Para1"/>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jc w:val="both"/>
      <w:textAlignment w:val="baseline"/>
    </w:pPr>
    <w:rPr>
      <w:rFonts w:ascii="Courier" w:eastAsia="MS Mincho" w:hAnsi="Courier" w:cs="Angsana New"/>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eastAsia="MS Mincho" w:hAnsi="Courier" w:cs="Angsana New"/>
      <w:sz w:val="20"/>
      <w:lang w:val="en-GB"/>
    </w:rPr>
  </w:style>
  <w:style w:type="paragraph" w:customStyle="1" w:styleId="Masthead">
    <w:name w:val="Masthead"/>
    <w:basedOn w:val="Normal"/>
    <w:next w:val="Normal"/>
    <w:pPr>
      <w:overflowPunct w:val="0"/>
      <w:autoSpaceDE w:val="0"/>
      <w:autoSpaceDN w:val="0"/>
      <w:adjustRightInd w:val="0"/>
      <w:jc w:val="both"/>
      <w:textAlignment w:val="baseline"/>
    </w:pPr>
    <w:rPr>
      <w:rFonts w:ascii="Courier" w:eastAsia="MS Mincho" w:hAnsi="Courier" w:cs="Angsana New"/>
      <w:sz w:val="20"/>
      <w:lang w:val="en-GB"/>
    </w:rPr>
  </w:style>
  <w:style w:type="paragraph" w:customStyle="1" w:styleId="para1indent">
    <w:name w:val="para1indent"/>
    <w:basedOn w:val="Para1"/>
    <w:pPr>
      <w:tabs>
        <w:tab w:val="left" w:pos="360"/>
      </w:tabs>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jc w:val="both"/>
      <w:textAlignment w:val="baseline"/>
    </w:pPr>
    <w:rPr>
      <w:rFonts w:ascii="Courier" w:eastAsia="MS Mincho" w:hAnsi="Courier" w:cs="Angsana New"/>
      <w:sz w:val="20"/>
      <w:lang w:val="en-GB"/>
    </w:rPr>
  </w:style>
  <w:style w:type="paragraph" w:customStyle="1" w:styleId="p3">
    <w:name w:val="p3"/>
    <w:basedOn w:val="Normal"/>
    <w:pPr>
      <w:widowControl w:val="0"/>
      <w:tabs>
        <w:tab w:val="left" w:pos="204"/>
      </w:tabs>
      <w:autoSpaceDE w:val="0"/>
      <w:autoSpaceDN w:val="0"/>
      <w:adjustRightInd w:val="0"/>
      <w:spacing w:line="260" w:lineRule="atLeast"/>
      <w:jc w:val="both"/>
    </w:pPr>
    <w:rPr>
      <w:rFonts w:eastAsia="MS Mincho" w:cs="Angsana New"/>
      <w:sz w:val="20"/>
      <w:lang w:val="en-GB"/>
    </w:rPr>
  </w:style>
  <w:style w:type="character" w:customStyle="1" w:styleId="BodyTextChar">
    <w:name w:val="Body Text Char"/>
    <w:rPr>
      <w:iCs/>
      <w:sz w:val="22"/>
      <w:szCs w:val="24"/>
      <w:lang w:val="en-GB" w:eastAsia="en-US" w:bidi="ar-SA"/>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MS Mincho" w:hAnsi="Courier New" w:cs="Courier New"/>
      <w:sz w:val="20"/>
      <w:lang w:val="en-GB"/>
    </w:rPr>
  </w:style>
  <w:style w:type="paragraph" w:customStyle="1" w:styleId="Para1alternative">
    <w:name w:val="Para1 (alternative)"/>
    <w:basedOn w:val="Normal"/>
    <w:pPr>
      <w:numPr>
        <w:numId w:val="4"/>
      </w:numPr>
      <w:spacing w:before="120" w:after="120"/>
      <w:jc w:val="both"/>
    </w:pPr>
    <w:rPr>
      <w:rFonts w:eastAsia="MS Mincho" w:cs="Angsana New"/>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jc w:val="both"/>
      <w:textAlignment w:val="baseline"/>
    </w:pPr>
    <w:rPr>
      <w:rFonts w:eastAsia="MS Mincho" w:cs="Angsana New"/>
      <w:sz w:val="22"/>
      <w:lang w:val="en-GB"/>
    </w:r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pPr>
      <w:jc w:val="both"/>
    </w:pPr>
    <w:rPr>
      <w:rFonts w:eastAsia="MS Mincho" w:cs="Angsana New"/>
      <w:sz w:val="20"/>
      <w:lang w:val="en-GB"/>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eastAsia="MS Mincho" w:cs="Angsana New"/>
      <w:i/>
      <w:sz w:val="22"/>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jc w:val="both"/>
    </w:pPr>
    <w:rPr>
      <w:rFonts w:ascii="Arial Unicode MS" w:eastAsia="Arial Unicode MS" w:hAnsi="Arial Unicode MS" w:cs="Arial Unicode MS"/>
      <w:sz w:val="22"/>
      <w:lang w:val="en-GB"/>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uiPriority w:val="39"/>
    <w:rsid w:val="007959C2"/>
    <w:pPr>
      <w:tabs>
        <w:tab w:val="left" w:pos="1134"/>
        <w:tab w:val="right" w:leader="dot" w:pos="9360"/>
      </w:tabs>
      <w:spacing w:after="60"/>
      <w:ind w:left="567" w:right="539" w:hanging="567"/>
    </w:pPr>
    <w:rPr>
      <w:rFonts w:eastAsia="MS Mincho" w:cs="Angsana New"/>
      <w:noProof/>
      <w:sz w:val="22"/>
      <w:szCs w:val="22"/>
      <w:lang w:val="en-GB"/>
    </w:rPr>
  </w:style>
  <w:style w:type="paragraph" w:styleId="CommentSubject">
    <w:name w:val="annotation subject"/>
    <w:basedOn w:val="CommentText"/>
    <w:next w:val="CommentText"/>
    <w:link w:val="CommentSubjectChar"/>
    <w:uiPriority w:val="99"/>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pPr>
      <w:widowControl w:val="0"/>
      <w:overflowPunct w:val="0"/>
      <w:autoSpaceDE w:val="0"/>
      <w:autoSpaceDN w:val="0"/>
      <w:adjustRightInd w:val="0"/>
      <w:spacing w:before="120" w:after="120"/>
      <w:jc w:val="both"/>
      <w:textAlignment w:val="baseline"/>
    </w:pPr>
    <w:rPr>
      <w:rFonts w:eastAsia="MS Mincho" w:cs="Angsana New"/>
      <w:sz w:val="22"/>
      <w:szCs w:val="20"/>
      <w:lang w:val="en-GB" w:eastAsia="de-DE"/>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jc w:val="both"/>
    </w:pPr>
    <w:rPr>
      <w:rFonts w:ascii="Helvetica" w:eastAsia="Arial Unicode MS" w:hAnsi="Helvetica" w:cs="Arial Unicode MS"/>
      <w:sz w:val="18"/>
      <w:szCs w:val="18"/>
      <w:lang w:val="en-GB"/>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paragraph" w:customStyle="1" w:styleId="Heading-plain">
    <w:name w:val="Heading - plain"/>
    <w:basedOn w:val="Heading2"/>
    <w:next w:val="BodyText"/>
    <w:pPr>
      <w:tabs>
        <w:tab w:val="clear" w:pos="720"/>
        <w:tab w:val="left" w:pos="900"/>
      </w:tabs>
    </w:pPr>
    <w:rPr>
      <w:rFonts w:eastAsia="Batang" w:cs="Times New Roman"/>
      <w:b w:val="0"/>
      <w:bCs w:val="0"/>
      <w:szCs w:val="20"/>
    </w:rPr>
  </w:style>
  <w:style w:type="paragraph" w:customStyle="1" w:styleId="Heading1longmultiline">
    <w:name w:val="Heading 1 (long multiline)"/>
    <w:basedOn w:val="Heading1"/>
    <w:link w:val="Heading1longmultilineChar"/>
    <w:pPr>
      <w:ind w:left="1843" w:hanging="1134"/>
      <w:jc w:val="left"/>
    </w:pPr>
  </w:style>
  <w:style w:type="paragraph" w:customStyle="1" w:styleId="Heading1multiline">
    <w:name w:val="Heading 1 (multiline)"/>
    <w:basedOn w:val="Heading1"/>
    <w:link w:val="Heading1multilineChar"/>
    <w:rsid w:val="00B058F4"/>
    <w:pPr>
      <w:tabs>
        <w:tab w:val="clear" w:pos="720"/>
        <w:tab w:val="left" w:pos="1701"/>
      </w:tabs>
      <w:ind w:left="1701" w:right="571" w:hanging="1134"/>
      <w:jc w:val="left"/>
    </w:pPr>
    <w:rPr>
      <w:snapToGrid w:val="0"/>
    </w:r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pPr>
      <w:ind w:left="1418" w:hanging="425"/>
    </w:pPr>
  </w:style>
  <w:style w:type="paragraph" w:customStyle="1" w:styleId="Heading-plain0">
    <w:name w:val="Heading-plain"/>
    <w:basedOn w:val="Normal"/>
    <w:pPr>
      <w:spacing w:before="120" w:after="120"/>
      <w:jc w:val="center"/>
      <w:outlineLvl w:val="0"/>
    </w:pPr>
    <w:rPr>
      <w:rFonts w:eastAsia="MS Mincho" w:cs="Angsana New"/>
      <w:i/>
      <w:sz w:val="22"/>
      <w:szCs w:val="20"/>
      <w:lang w:val="en-GB"/>
    </w:r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character" w:customStyle="1" w:styleId="Para1Char">
    <w:name w:val="Para 1 Char"/>
    <w:rPr>
      <w:rFonts w:eastAsia="MS Mincho"/>
      <w:bCs/>
      <w:iCs/>
      <w:sz w:val="22"/>
      <w:szCs w:val="22"/>
      <w:lang w:val="en-GB" w:eastAsia="en-US" w:bidi="ar-SA"/>
    </w:rPr>
  </w:style>
  <w:style w:type="paragraph" w:customStyle="1" w:styleId="Para2rev">
    <w:name w:val="Para 2 (rev)"/>
    <w:basedOn w:val="Normal"/>
    <w:pPr>
      <w:tabs>
        <w:tab w:val="num" w:pos="720"/>
      </w:tabs>
      <w:spacing w:after="120"/>
      <w:ind w:left="720" w:hanging="360"/>
      <w:jc w:val="both"/>
    </w:pPr>
    <w:rPr>
      <w:rFonts w:eastAsia="MS Mincho" w:cs="Angsana New"/>
      <w:sz w:val="22"/>
      <w:lang w:val="en-GB"/>
    </w:rPr>
  </w:style>
  <w:style w:type="paragraph" w:customStyle="1" w:styleId="Paraofficial">
    <w:name w:val="Para official"/>
    <w:basedOn w:val="Normal"/>
    <w:pPr>
      <w:framePr w:hSpace="187" w:vSpace="187" w:wrap="notBeside" w:vAnchor="text" w:hAnchor="text" w:y="1"/>
      <w:numPr>
        <w:numId w:val="6"/>
      </w:numPr>
      <w:spacing w:before="240" w:after="240"/>
    </w:pPr>
    <w:rPr>
      <w:rFonts w:eastAsia="MS Mincho" w:cs="Angsana New"/>
      <w:sz w:val="22"/>
      <w:szCs w:val="20"/>
      <w:lang w:val="en-GB"/>
    </w:rPr>
  </w:style>
  <w:style w:type="paragraph" w:customStyle="1" w:styleId="Para1Char0">
    <w:name w:val="Para1 Char"/>
    <w:basedOn w:val="Normal"/>
    <w:pPr>
      <w:tabs>
        <w:tab w:val="num" w:pos="720"/>
      </w:tabs>
      <w:spacing w:before="120" w:after="120"/>
      <w:ind w:left="360"/>
      <w:jc w:val="both"/>
    </w:pPr>
    <w:rPr>
      <w:rFonts w:eastAsia="MS Mincho" w:cs="Angsana New"/>
      <w:snapToGrid w:val="0"/>
      <w:sz w:val="22"/>
      <w:szCs w:val="18"/>
      <w:lang w:val="en-GB"/>
    </w:rPr>
  </w:style>
  <w:style w:type="paragraph" w:customStyle="1" w:styleId="Para1-Annex">
    <w:name w:val="Para1-Annex"/>
    <w:basedOn w:val="Normal"/>
    <w:pPr>
      <w:numPr>
        <w:numId w:val="7"/>
      </w:numPr>
      <w:spacing w:after="120"/>
      <w:jc w:val="both"/>
    </w:pPr>
    <w:rPr>
      <w:rFonts w:eastAsia="MS Mincho"/>
      <w:sz w:val="22"/>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rFonts w:cs="Angsana New"/>
      <w:iCs/>
      <w:snapToGrid w:val="0"/>
      <w:color w:val="000000"/>
      <w:sz w:val="22"/>
      <w:szCs w:val="22"/>
      <w:lang w:val="en-US" w:eastAsia="en-US" w:bidi="ar-SA"/>
    </w:rPr>
  </w:style>
  <w:style w:type="paragraph" w:styleId="TOC2">
    <w:name w:val="toc 2"/>
    <w:basedOn w:val="Normal"/>
    <w:next w:val="Normal"/>
    <w:autoRedefine/>
    <w:uiPriority w:val="39"/>
    <w:rsid w:val="007959C2"/>
    <w:pPr>
      <w:tabs>
        <w:tab w:val="left" w:pos="993"/>
        <w:tab w:val="right" w:leader="dot" w:pos="9360"/>
      </w:tabs>
      <w:ind w:left="993" w:right="248" w:hanging="709"/>
    </w:pPr>
    <w:rPr>
      <w:rFonts w:eastAsia="MS Mincho" w:cs="Angsana New"/>
      <w:noProof/>
      <w:sz w:val="22"/>
      <w:szCs w:val="22"/>
      <w:lang w:val="en-GB"/>
    </w:rPr>
  </w:style>
  <w:style w:type="paragraph" w:styleId="TOC3">
    <w:name w:val="toc 3"/>
    <w:basedOn w:val="Normal"/>
    <w:next w:val="Normal"/>
    <w:autoRedefine/>
    <w:uiPriority w:val="39"/>
    <w:pPr>
      <w:ind w:left="2160" w:hanging="720"/>
      <w:jc w:val="both"/>
    </w:pPr>
    <w:rPr>
      <w:rFonts w:eastAsia="MS Mincho" w:cs="Angsana New"/>
      <w:sz w:val="22"/>
      <w:lang w:val="en-GB"/>
    </w:rPr>
  </w:style>
  <w:style w:type="paragraph" w:styleId="TOC5">
    <w:name w:val="toc 5"/>
    <w:basedOn w:val="Normal"/>
    <w:next w:val="Normal"/>
    <w:autoRedefine/>
    <w:semiHidden/>
    <w:pPr>
      <w:ind w:left="880"/>
    </w:pPr>
  </w:style>
  <w:style w:type="character" w:customStyle="1" w:styleId="Heading1Char">
    <w:name w:val="Heading 1 Char"/>
    <w:link w:val="Heading1"/>
    <w:rPr>
      <w:rFonts w:cs="Angsana New"/>
      <w:b/>
      <w:caps/>
      <w:sz w:val="22"/>
      <w:szCs w:val="24"/>
      <w:lang w:val="en-GB" w:eastAsia="en-US" w:bidi="ar-SA"/>
    </w:rPr>
  </w:style>
  <w:style w:type="numbering" w:styleId="111111">
    <w:name w:val="Outline List 2"/>
    <w:basedOn w:val="NoList"/>
    <w:pPr>
      <w:numPr>
        <w:numId w:val="11"/>
      </w:numPr>
    </w:pPr>
  </w:style>
  <w:style w:type="numbering" w:customStyle="1" w:styleId="Style2">
    <w:name w:val="Style2"/>
    <w:pPr>
      <w:numPr>
        <w:numId w:val="12"/>
      </w:numPr>
    </w:pPr>
  </w:style>
  <w:style w:type="character" w:customStyle="1" w:styleId="Heading1longmultilineChar">
    <w:name w:val="Heading 1 (long multiline) Char"/>
    <w:basedOn w:val="Heading1Char"/>
    <w:link w:val="Heading1longmultiline"/>
    <w:rPr>
      <w:rFonts w:cs="Angsana New"/>
      <w:b/>
      <w:caps/>
      <w:sz w:val="22"/>
      <w:szCs w:val="24"/>
      <w:lang w:val="en-GB" w:eastAsia="en-US" w:bidi="ar-SA"/>
    </w:rPr>
  </w:style>
  <w:style w:type="paragraph" w:customStyle="1" w:styleId="ColorfulList-Accent11">
    <w:name w:val="Colorful List - Accent 11"/>
    <w:basedOn w:val="Normal"/>
    <w:uiPriority w:val="34"/>
    <w:qFormat/>
    <w:pPr>
      <w:ind w:left="720"/>
      <w:jc w:val="both"/>
    </w:pPr>
    <w:rPr>
      <w:rFonts w:eastAsia="MS Mincho" w:cs="Angsana New"/>
      <w:sz w:val="22"/>
      <w:lang w:val="en-GB"/>
    </w:rPr>
  </w:style>
  <w:style w:type="paragraph" w:customStyle="1" w:styleId="Default">
    <w:name w:val="Default"/>
    <w:basedOn w:val="Normal"/>
    <w:pPr>
      <w:autoSpaceDE w:val="0"/>
      <w:autoSpaceDN w:val="0"/>
    </w:pPr>
    <w:rPr>
      <w:rFonts w:eastAsia="Calibri"/>
      <w:color w:val="000000"/>
      <w:lang w:val="en-US"/>
    </w:rPr>
  </w:style>
  <w:style w:type="character" w:customStyle="1" w:styleId="apple-style-span">
    <w:name w:val="apple-style-span"/>
  </w:style>
  <w:style w:type="character" w:customStyle="1" w:styleId="HeaderChar">
    <w:name w:val="Header Char"/>
    <w:link w:val="Header"/>
    <w:rPr>
      <w:rFonts w:cs="Angsana New"/>
      <w:sz w:val="22"/>
      <w:szCs w:val="24"/>
      <w:lang w:val="en-GB" w:eastAsia="en-US"/>
    </w:rPr>
  </w:style>
  <w:style w:type="character" w:customStyle="1" w:styleId="PlainTextChar">
    <w:name w:val="Plain Text Char"/>
    <w:link w:val="PlainText"/>
    <w:rPr>
      <w:rFonts w:ascii="Courier New" w:hAnsi="Courier New" w:cs="Courier New"/>
      <w:szCs w:val="24"/>
      <w:lang w:eastAsia="en-US"/>
    </w:rPr>
  </w:style>
  <w:style w:type="character" w:customStyle="1" w:styleId="FooterChar">
    <w:name w:val="Footer Char"/>
    <w:link w:val="Footer"/>
    <w:rPr>
      <w:rFonts w:cs="Angsana New"/>
      <w:sz w:val="22"/>
      <w:szCs w:val="24"/>
      <w:lang w:eastAsia="en-US"/>
    </w:rPr>
  </w:style>
  <w:style w:type="paragraph" w:customStyle="1" w:styleId="SubtleEmphasis1">
    <w:name w:val="Subtle Emphasis1"/>
    <w:basedOn w:val="Normal"/>
    <w:uiPriority w:val="34"/>
    <w:qFormat/>
    <w:pPr>
      <w:ind w:left="720"/>
      <w:jc w:val="both"/>
    </w:pPr>
    <w:rPr>
      <w:rFonts w:eastAsia="MS Mincho" w:cs="Angsana New"/>
      <w:sz w:val="22"/>
      <w:lang w:val="en-GB"/>
    </w:rPr>
  </w:style>
  <w:style w:type="paragraph" w:customStyle="1" w:styleId="StyleHeading3TimesNewRomanBoldBoldNotItalicAllcaps">
    <w:name w:val="Style Heading 3 + Times New Roman Bold Bold Not Italic All caps"/>
    <w:basedOn w:val="Heading3"/>
    <w:next w:val="Heading2"/>
    <w:rPr>
      <w:rFonts w:ascii="Times New Roman Bold" w:hAnsi="Times New Roman Bold"/>
      <w:b/>
      <w:bCs/>
      <w:i w:val="0"/>
      <w:iCs w:val="0"/>
      <w:caps/>
    </w:rPr>
  </w:style>
  <w:style w:type="paragraph" w:customStyle="1" w:styleId="DarkList-Accent61">
    <w:name w:val="Dark List - Accent 61"/>
    <w:uiPriority w:val="1"/>
    <w:qFormat/>
    <w:rPr>
      <w:rFonts w:ascii="Calibri" w:hAnsi="Calibri"/>
      <w:sz w:val="22"/>
      <w:szCs w:val="22"/>
    </w:rPr>
  </w:style>
  <w:style w:type="paragraph" w:customStyle="1" w:styleId="Paraa">
    <w:name w:val="Para (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 w:val="22"/>
      <w:szCs w:val="20"/>
      <w:lang w:val="en-GB"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Pr>
      <w:rFonts w:cs="Angsana New"/>
      <w:sz w:val="18"/>
      <w:szCs w:val="24"/>
      <w:lang w:val="en-GB"/>
    </w:rPr>
  </w:style>
  <w:style w:type="character" w:customStyle="1" w:styleId="StyleFootnoteReferenceNounderlineSuperscriptKernat10pt">
    <w:name w:val="Style Footnote Reference + No underline Superscript Kern at 10 pt"/>
    <w:rPr>
      <w:kern w:val="20"/>
      <w:sz w:val="22"/>
      <w:u w:val="none"/>
      <w:vertAlign w:val="superscript"/>
    </w:rPr>
  </w:style>
  <w:style w:type="character" w:customStyle="1" w:styleId="s13">
    <w:name w:val="s13"/>
  </w:style>
  <w:style w:type="paragraph" w:customStyle="1" w:styleId="ColorfulGrid-Accent61">
    <w:name w:val="Colorful Grid - Accent 61"/>
    <w:hidden/>
    <w:uiPriority w:val="99"/>
    <w:semiHidden/>
    <w:rPr>
      <w:rFonts w:cs="Angsana New"/>
      <w:sz w:val="22"/>
      <w:szCs w:val="24"/>
      <w:lang w:val="en-GB"/>
    </w:rPr>
  </w:style>
  <w:style w:type="paragraph" w:customStyle="1" w:styleId="ColorfulGrid-Accent62">
    <w:name w:val="Colorful Grid - Accent 62"/>
    <w:hidden/>
    <w:uiPriority w:val="99"/>
    <w:semiHidden/>
    <w:rPr>
      <w:rFonts w:cs="Angsana New"/>
      <w:sz w:val="22"/>
      <w:szCs w:val="24"/>
      <w:lang w:val="en-GB"/>
    </w:rPr>
  </w:style>
  <w:style w:type="paragraph" w:customStyle="1" w:styleId="SubtleEmphasis2">
    <w:name w:val="Subtle Emphasis2"/>
    <w:basedOn w:val="Normal"/>
    <w:uiPriority w:val="34"/>
    <w:qFormat/>
    <w:pPr>
      <w:ind w:left="720"/>
      <w:jc w:val="both"/>
    </w:pPr>
    <w:rPr>
      <w:rFonts w:eastAsia="MS Mincho" w:cs="Angsana New"/>
      <w:sz w:val="22"/>
      <w:lang w:val="en-GB"/>
    </w:rPr>
  </w:style>
  <w:style w:type="paragraph" w:customStyle="1" w:styleId="LightGrid-Accent31">
    <w:name w:val="Light Grid - Accent 31"/>
    <w:basedOn w:val="Normal"/>
    <w:uiPriority w:val="34"/>
    <w:qFormat/>
    <w:pPr>
      <w:ind w:left="720"/>
      <w:jc w:val="both"/>
    </w:pPr>
    <w:rPr>
      <w:rFonts w:eastAsia="MS Mincho" w:cs="Angsana New"/>
      <w:sz w:val="22"/>
      <w:lang w:val="en-GB"/>
    </w:rPr>
  </w:style>
  <w:style w:type="paragraph" w:styleId="Revision">
    <w:name w:val="Revision"/>
    <w:hidden/>
    <w:uiPriority w:val="99"/>
    <w:rPr>
      <w:rFonts w:cs="Angsana New"/>
      <w:sz w:val="22"/>
      <w:szCs w:val="24"/>
      <w:lang w:val="en-GB"/>
    </w:rPr>
  </w:style>
  <w:style w:type="paragraph" w:customStyle="1" w:styleId="meetingname">
    <w:name w:val="meeting name"/>
    <w:basedOn w:val="Normal"/>
    <w:qFormat/>
    <w:pPr>
      <w:ind w:left="170" w:right="3119" w:hanging="170"/>
    </w:pPr>
    <w:rPr>
      <w:rFonts w:eastAsia="Malgun Gothic"/>
      <w:caps/>
      <w:snapToGrid w:val="0"/>
      <w:sz w:val="22"/>
      <w:lang w:val="en-GB"/>
    </w:rPr>
  </w:style>
  <w:style w:type="paragraph" w:styleId="TOC9">
    <w:name w:val="toc 9"/>
    <w:basedOn w:val="Normal"/>
    <w:next w:val="Normal"/>
    <w:autoRedefine/>
    <w:pPr>
      <w:tabs>
        <w:tab w:val="num" w:pos="1440"/>
      </w:tabs>
      <w:spacing w:before="120" w:after="120"/>
      <w:ind w:left="1440" w:hanging="360"/>
    </w:pPr>
    <w:rPr>
      <w:sz w:val="22"/>
      <w:lang w:val="en-GB"/>
    </w:rPr>
  </w:style>
  <w:style w:type="paragraph" w:styleId="ListParagraph">
    <w:name w:val="List Paragraph"/>
    <w:basedOn w:val="Normal"/>
    <w:link w:val="ListParagraphChar"/>
    <w:uiPriority w:val="34"/>
    <w:qFormat/>
    <w:pPr>
      <w:ind w:left="720"/>
      <w:jc w:val="both"/>
    </w:pPr>
    <w:rPr>
      <w:rFonts w:eastAsia="MS Mincho" w:cs="Angsana New"/>
      <w:sz w:val="22"/>
      <w:lang w:val="en-GB"/>
    </w:rPr>
  </w:style>
  <w:style w:type="character" w:customStyle="1" w:styleId="CommentTextChar">
    <w:name w:val="Comment Text Char"/>
    <w:link w:val="CommentText"/>
    <w:rPr>
      <w:rFonts w:cs="Angsana New"/>
      <w:szCs w:val="24"/>
      <w:lang w:val="en-GB"/>
    </w:rPr>
  </w:style>
  <w:style w:type="table" w:styleId="TableGrid">
    <w:name w:val="Table Grid"/>
    <w:basedOn w:val="TableNormal"/>
    <w:uiPriority w:val="59"/>
    <w:rPr>
      <w:rFonts w:ascii="Cambria"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uiPriority w:val="99"/>
    <w:unhideWhenUsed/>
    <w:rPr>
      <w:i/>
      <w:iCs/>
    </w:rPr>
  </w:style>
  <w:style w:type="character" w:customStyle="1" w:styleId="apple-converted-space">
    <w:name w:val="apple-converted-space"/>
  </w:style>
  <w:style w:type="character" w:customStyle="1" w:styleId="st">
    <w:name w:val="st"/>
  </w:style>
  <w:style w:type="character" w:customStyle="1" w:styleId="Para1Char1">
    <w:name w:val="Para1 Char1"/>
    <w:link w:val="Para1"/>
    <w:rsid w:val="006C5568"/>
    <w:rPr>
      <w:snapToGrid w:val="0"/>
      <w:kern w:val="22"/>
      <w:sz w:val="22"/>
      <w:szCs w:val="22"/>
      <w:lang w:val="en-GB"/>
    </w:rPr>
  </w:style>
  <w:style w:type="character" w:styleId="PlaceholderText">
    <w:name w:val="Placeholder Text"/>
    <w:basedOn w:val="DefaultParagraphFont"/>
    <w:uiPriority w:val="99"/>
    <w:rsid w:val="0084107C"/>
    <w:rPr>
      <w:color w:val="808080"/>
    </w:rPr>
  </w:style>
  <w:style w:type="table" w:customStyle="1" w:styleId="TableGrid1">
    <w:name w:val="Table Grid1"/>
    <w:basedOn w:val="TableNormal"/>
    <w:next w:val="TableGrid"/>
    <w:uiPriority w:val="59"/>
    <w:rsid w:val="0084107C"/>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A1677"/>
    <w:rPr>
      <w:color w:val="808080"/>
      <w:shd w:val="clear" w:color="auto" w:fill="E6E6E6"/>
    </w:rPr>
  </w:style>
  <w:style w:type="character" w:customStyle="1" w:styleId="UnresolvedMention2">
    <w:name w:val="Unresolved Mention2"/>
    <w:basedOn w:val="DefaultParagraphFont"/>
    <w:uiPriority w:val="99"/>
    <w:semiHidden/>
    <w:unhideWhenUsed/>
    <w:rsid w:val="008B0347"/>
    <w:rPr>
      <w:color w:val="808080"/>
      <w:shd w:val="clear" w:color="auto" w:fill="E6E6E6"/>
    </w:rPr>
  </w:style>
  <w:style w:type="paragraph" w:customStyle="1" w:styleId="ListParagraph1">
    <w:name w:val="List Paragraph1"/>
    <w:basedOn w:val="Normal"/>
    <w:qFormat/>
    <w:rsid w:val="008517B4"/>
    <w:pPr>
      <w:numPr>
        <w:numId w:val="27"/>
      </w:numPr>
      <w:tabs>
        <w:tab w:val="left" w:pos="720"/>
      </w:tabs>
      <w:spacing w:before="120" w:after="120"/>
      <w:ind w:left="0" w:firstLine="0"/>
      <w:jc w:val="both"/>
    </w:pPr>
    <w:rPr>
      <w:sz w:val="22"/>
      <w:szCs w:val="22"/>
      <w:lang w:val="en-US" w:eastAsia="en-CA"/>
    </w:rPr>
  </w:style>
  <w:style w:type="character" w:customStyle="1" w:styleId="normaltextrun">
    <w:name w:val="normaltextrun"/>
    <w:rsid w:val="008517B4"/>
  </w:style>
  <w:style w:type="paragraph" w:customStyle="1" w:styleId="recommendationheader">
    <w:name w:val="recommendation header"/>
    <w:basedOn w:val="Heading2"/>
    <w:qFormat/>
    <w:rsid w:val="00376CED"/>
    <w:rPr>
      <w:rFonts w:eastAsia="Times New Roman" w:cs="Times New Roman"/>
      <w:snapToGri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76CED"/>
    <w:pPr>
      <w:spacing w:after="160" w:line="240" w:lineRule="exact"/>
    </w:pPr>
    <w:rPr>
      <w:rFonts w:eastAsia="MS Mincho"/>
      <w:sz w:val="18"/>
      <w:szCs w:val="20"/>
      <w:u w:val="single"/>
      <w:lang w:val="en-US"/>
    </w:rPr>
  </w:style>
  <w:style w:type="paragraph" w:customStyle="1" w:styleId="heading2-item">
    <w:name w:val="heading 2 - item"/>
    <w:basedOn w:val="recommendationheader"/>
    <w:qFormat/>
    <w:rsid w:val="00376CED"/>
    <w:pPr>
      <w:tabs>
        <w:tab w:val="clear" w:pos="720"/>
        <w:tab w:val="left" w:pos="567"/>
      </w:tabs>
    </w:pPr>
    <w:rPr>
      <w:kern w:val="22"/>
    </w:rPr>
  </w:style>
  <w:style w:type="paragraph" w:customStyle="1" w:styleId="Body">
    <w:name w:val="Body"/>
    <w:rsid w:val="00376CED"/>
    <w:pPr>
      <w:jc w:val="both"/>
    </w:pPr>
    <w:rPr>
      <w:rFonts w:eastAsia="Times New Roman"/>
      <w:color w:val="000000"/>
      <w:sz w:val="22"/>
      <w:szCs w:val="22"/>
      <w:u w:color="000000"/>
      <w:lang w:val="en-CA" w:eastAsia="en-CA"/>
    </w:rPr>
  </w:style>
  <w:style w:type="character" w:customStyle="1" w:styleId="Hyperlink0">
    <w:name w:val="Hyperlink.0"/>
    <w:basedOn w:val="DefaultParagraphFont"/>
    <w:rsid w:val="00376CED"/>
    <w:rPr>
      <w:color w:val="0000FF"/>
      <w:kern w:val="22"/>
      <w:sz w:val="22"/>
      <w:szCs w:val="22"/>
      <w:u w:val="single" w:color="0000FF"/>
    </w:rPr>
  </w:style>
  <w:style w:type="character" w:customStyle="1" w:styleId="Hyperlink1">
    <w:name w:val="Hyperlink.1"/>
    <w:basedOn w:val="DefaultParagraphFont"/>
    <w:rsid w:val="00376CED"/>
    <w:rPr>
      <w:kern w:val="22"/>
    </w:rPr>
  </w:style>
  <w:style w:type="character" w:customStyle="1" w:styleId="None">
    <w:name w:val="None"/>
    <w:rsid w:val="00376CED"/>
  </w:style>
  <w:style w:type="character" w:customStyle="1" w:styleId="ListParagraphChar">
    <w:name w:val="List Paragraph Char"/>
    <w:link w:val="ListParagraph"/>
    <w:uiPriority w:val="34"/>
    <w:locked/>
    <w:rsid w:val="00376CED"/>
    <w:rPr>
      <w:rFonts w:cs="Angsana New"/>
      <w:sz w:val="22"/>
      <w:szCs w:val="24"/>
      <w:lang w:val="en-GB"/>
    </w:rPr>
  </w:style>
  <w:style w:type="character" w:customStyle="1" w:styleId="StyleFootnoteReferencenumberFootnoteReferenceSuperscript-EF">
    <w:name w:val="Style Footnote ReferencenumberFootnote Reference Superscript-E F..."/>
    <w:rsid w:val="00376CED"/>
    <w:rPr>
      <w:strike w:val="0"/>
      <w:dstrike w:val="0"/>
      <w:kern w:val="22"/>
      <w:sz w:val="18"/>
      <w:u w:val="none"/>
      <w:effect w:val="none"/>
      <w:vertAlign w:val="superscript"/>
    </w:rPr>
  </w:style>
  <w:style w:type="character" w:customStyle="1" w:styleId="BalloonTextChar">
    <w:name w:val="Balloon Text Char"/>
    <w:basedOn w:val="DefaultParagraphFont"/>
    <w:link w:val="BalloonText"/>
    <w:uiPriority w:val="99"/>
    <w:semiHidden/>
    <w:rsid w:val="00376CED"/>
    <w:rPr>
      <w:rFonts w:ascii="Tahoma" w:hAnsi="Tahoma" w:cs="Tahoma"/>
      <w:sz w:val="16"/>
      <w:szCs w:val="16"/>
      <w:lang w:val="en-GB"/>
    </w:rPr>
  </w:style>
  <w:style w:type="character" w:customStyle="1" w:styleId="TitleChar">
    <w:name w:val="Title Char"/>
    <w:basedOn w:val="DefaultParagraphFont"/>
    <w:link w:val="Title"/>
    <w:uiPriority w:val="10"/>
    <w:rsid w:val="00376CED"/>
    <w:rPr>
      <w:rFonts w:cs="Angsana New"/>
      <w:i/>
      <w:iCs/>
      <w:sz w:val="22"/>
      <w:szCs w:val="24"/>
      <w:lang w:val="en-GB"/>
    </w:rPr>
  </w:style>
  <w:style w:type="character" w:customStyle="1" w:styleId="SubtitleChar">
    <w:name w:val="Subtitle Char"/>
    <w:basedOn w:val="DefaultParagraphFont"/>
    <w:link w:val="Subtitle"/>
    <w:uiPriority w:val="11"/>
    <w:rsid w:val="00376CED"/>
    <w:rPr>
      <w:rFonts w:cs="Angsana New"/>
      <w:b/>
      <w:bCs/>
      <w:sz w:val="22"/>
      <w:szCs w:val="24"/>
      <w:lang w:val="en-GB"/>
    </w:rPr>
  </w:style>
  <w:style w:type="character" w:customStyle="1" w:styleId="BodyTextIndentChar">
    <w:name w:val="Body Text Indent Char"/>
    <w:basedOn w:val="DefaultParagraphFont"/>
    <w:link w:val="BodyTextIndent"/>
    <w:rsid w:val="00376CED"/>
    <w:rPr>
      <w:rFonts w:cs="Angsana New"/>
      <w:sz w:val="22"/>
      <w:szCs w:val="24"/>
      <w:lang w:val="en-GB"/>
    </w:rPr>
  </w:style>
  <w:style w:type="character" w:customStyle="1" w:styleId="EndnoteTextChar">
    <w:name w:val="Endnote Text Char"/>
    <w:basedOn w:val="DefaultParagraphFont"/>
    <w:link w:val="EndnoteText"/>
    <w:semiHidden/>
    <w:rsid w:val="00376CED"/>
    <w:rPr>
      <w:rFonts w:ascii="Courier New" w:hAnsi="Courier New" w:cs="Angsana New"/>
      <w:sz w:val="22"/>
      <w:szCs w:val="24"/>
      <w:lang w:val="en-GB"/>
    </w:rPr>
  </w:style>
  <w:style w:type="character" w:customStyle="1" w:styleId="Heading3Char">
    <w:name w:val="Heading 3 Char"/>
    <w:basedOn w:val="DefaultParagraphFont"/>
    <w:link w:val="Heading3"/>
    <w:rsid w:val="00376CED"/>
    <w:rPr>
      <w:rFonts w:cs="Angsana New"/>
      <w:i/>
      <w:iCs/>
      <w:sz w:val="22"/>
      <w:szCs w:val="24"/>
      <w:lang w:val="en-GB"/>
    </w:rPr>
  </w:style>
  <w:style w:type="paragraph" w:customStyle="1" w:styleId="heading2notforTOC">
    <w:name w:val="heading 2 not for TOC"/>
    <w:basedOn w:val="Heading3"/>
    <w:rsid w:val="00376CED"/>
    <w:pPr>
      <w:jc w:val="center"/>
    </w:pPr>
    <w:rPr>
      <w:rFonts w:eastAsia="Times New Roman" w:cs="Times New Roman"/>
    </w:rPr>
  </w:style>
  <w:style w:type="character" w:customStyle="1" w:styleId="Heading4Char">
    <w:name w:val="Heading 4 Char"/>
    <w:basedOn w:val="DefaultParagraphFont"/>
    <w:link w:val="Heading40"/>
    <w:rsid w:val="00376CED"/>
    <w:rPr>
      <w:rFonts w:ascii="Times New Roman Bold" w:eastAsia="Arial Unicode MS" w:hAnsi="Times New Roman Bold" w:cs="Arial"/>
      <w:b/>
      <w:bCs/>
      <w:i/>
      <w:iCs/>
      <w:sz w:val="22"/>
      <w:szCs w:val="24"/>
      <w:lang w:val="en-GB"/>
    </w:rPr>
  </w:style>
  <w:style w:type="character" w:customStyle="1" w:styleId="Heading5Char">
    <w:name w:val="Heading 5 Char"/>
    <w:aliases w:val="Heading 5 - GTI Char"/>
    <w:basedOn w:val="DefaultParagraphFont"/>
    <w:link w:val="Heading5"/>
    <w:rsid w:val="00376CED"/>
    <w:rPr>
      <w:rFonts w:cs="Angsana New"/>
      <w:bCs/>
      <w:i/>
      <w:sz w:val="22"/>
      <w:szCs w:val="26"/>
      <w:lang w:val="en-CA"/>
    </w:rPr>
  </w:style>
  <w:style w:type="character" w:customStyle="1" w:styleId="Heading6Char">
    <w:name w:val="Heading 6 Char"/>
    <w:basedOn w:val="DefaultParagraphFont"/>
    <w:link w:val="Heading6"/>
    <w:rsid w:val="00376CED"/>
    <w:rPr>
      <w:rFonts w:cs="Angsana New"/>
      <w:sz w:val="22"/>
      <w:szCs w:val="24"/>
      <w:u w:val="single"/>
      <w:lang w:val="en-GB"/>
    </w:rPr>
  </w:style>
  <w:style w:type="character" w:customStyle="1" w:styleId="Heading7Char">
    <w:name w:val="Heading 7 Char"/>
    <w:basedOn w:val="DefaultParagraphFont"/>
    <w:link w:val="Heading7"/>
    <w:rsid w:val="00376CED"/>
    <w:rPr>
      <w:rFonts w:ascii="Univers" w:hAnsi="Univers" w:cs="Angsana New"/>
      <w:b/>
      <w:sz w:val="28"/>
      <w:szCs w:val="24"/>
      <w:lang w:val="en-GB"/>
    </w:rPr>
  </w:style>
  <w:style w:type="character" w:customStyle="1" w:styleId="Heading8Char">
    <w:name w:val="Heading 8 Char"/>
    <w:basedOn w:val="DefaultParagraphFont"/>
    <w:link w:val="Heading8"/>
    <w:rsid w:val="00376CED"/>
    <w:rPr>
      <w:rFonts w:ascii="Univers" w:hAnsi="Univers" w:cs="Angsana New"/>
      <w:b/>
      <w:sz w:val="32"/>
      <w:szCs w:val="24"/>
      <w:lang w:val="en-GB"/>
    </w:rPr>
  </w:style>
  <w:style w:type="character" w:customStyle="1" w:styleId="Heading9Char">
    <w:name w:val="Heading 9 Char"/>
    <w:basedOn w:val="DefaultParagraphFont"/>
    <w:link w:val="Heading9"/>
    <w:rsid w:val="00376CED"/>
    <w:rPr>
      <w:rFonts w:cs="Angsana New"/>
      <w:i/>
      <w:iCs/>
      <w:sz w:val="22"/>
      <w:szCs w:val="24"/>
      <w:lang w:val="en-GB"/>
    </w:rPr>
  </w:style>
  <w:style w:type="paragraph" w:customStyle="1" w:styleId="Quotationtextindented">
    <w:name w:val="Quotation text (indented)"/>
    <w:basedOn w:val="Normal"/>
    <w:qFormat/>
    <w:rsid w:val="00376CED"/>
    <w:pPr>
      <w:spacing w:before="120" w:after="120"/>
      <w:ind w:left="720" w:right="720"/>
      <w:jc w:val="both"/>
    </w:pPr>
    <w:rPr>
      <w:bCs/>
      <w:sz w:val="22"/>
      <w:lang w:val="en-GB"/>
    </w:rPr>
  </w:style>
  <w:style w:type="paragraph" w:customStyle="1" w:styleId="recommendationheaderlong">
    <w:name w:val="recommendation header long"/>
    <w:basedOn w:val="Heading2longmultiline"/>
    <w:qFormat/>
    <w:rsid w:val="00376CED"/>
    <w:rPr>
      <w:rFonts w:eastAsia="Times New Roman" w:cs="Times New Roman"/>
    </w:rPr>
  </w:style>
  <w:style w:type="paragraph" w:customStyle="1" w:styleId="reference">
    <w:name w:val="reference"/>
    <w:basedOn w:val="Heading9"/>
    <w:qFormat/>
    <w:rsid w:val="00376CED"/>
    <w:rPr>
      <w:rFonts w:eastAsia="Times New Roman" w:cs="Times New Roman"/>
      <w:i w:val="0"/>
      <w:sz w:val="18"/>
    </w:rPr>
  </w:style>
  <w:style w:type="character" w:customStyle="1" w:styleId="StyleFootnoteReferenceNounderline">
    <w:name w:val="Style Footnote Reference + No underline"/>
    <w:rsid w:val="00376CED"/>
    <w:rPr>
      <w:sz w:val="18"/>
      <w:u w:val="none"/>
      <w:vertAlign w:val="baseline"/>
    </w:rPr>
  </w:style>
  <w:style w:type="paragraph" w:customStyle="1" w:styleId="tabletitle">
    <w:name w:val="table title"/>
    <w:basedOn w:val="Heading2"/>
    <w:qFormat/>
    <w:rsid w:val="00376CED"/>
    <w:pPr>
      <w:jc w:val="left"/>
      <w:outlineLvl w:val="9"/>
    </w:pPr>
    <w:rPr>
      <w:rFonts w:eastAsia="Times New Roman" w:cs="Times New Roman"/>
      <w:i/>
      <w:snapToGrid/>
    </w:rPr>
  </w:style>
  <w:style w:type="paragraph" w:styleId="TOAHeading">
    <w:name w:val="toa heading"/>
    <w:basedOn w:val="Normal"/>
    <w:next w:val="Normal"/>
    <w:semiHidden/>
    <w:rsid w:val="00376CED"/>
    <w:pPr>
      <w:spacing w:before="120"/>
    </w:pPr>
    <w:rPr>
      <w:rFonts w:cs="Arial"/>
      <w:b/>
      <w:bCs/>
    </w:rPr>
  </w:style>
  <w:style w:type="paragraph" w:styleId="TOC4">
    <w:name w:val="toc 4"/>
    <w:basedOn w:val="Normal"/>
    <w:next w:val="Normal"/>
    <w:autoRedefine/>
    <w:semiHidden/>
    <w:rsid w:val="00376CED"/>
    <w:pPr>
      <w:spacing w:before="120" w:after="120"/>
      <w:ind w:left="660"/>
    </w:pPr>
  </w:style>
  <w:style w:type="paragraph" w:styleId="TOC6">
    <w:name w:val="toc 6"/>
    <w:basedOn w:val="Normal"/>
    <w:next w:val="Normal"/>
    <w:autoRedefine/>
    <w:semiHidden/>
    <w:rsid w:val="00376CED"/>
    <w:pPr>
      <w:spacing w:before="120" w:after="120"/>
      <w:ind w:left="1100"/>
    </w:pPr>
  </w:style>
  <w:style w:type="paragraph" w:styleId="TOC7">
    <w:name w:val="toc 7"/>
    <w:basedOn w:val="Normal"/>
    <w:next w:val="Normal"/>
    <w:autoRedefine/>
    <w:semiHidden/>
    <w:rsid w:val="00376CED"/>
    <w:pPr>
      <w:spacing w:before="120" w:after="120"/>
      <w:ind w:left="1320"/>
    </w:pPr>
  </w:style>
  <w:style w:type="paragraph" w:styleId="TOC8">
    <w:name w:val="toc 8"/>
    <w:basedOn w:val="Normal"/>
    <w:next w:val="Normal"/>
    <w:autoRedefine/>
    <w:semiHidden/>
    <w:rsid w:val="00376CED"/>
    <w:pPr>
      <w:spacing w:before="120" w:after="120"/>
      <w:ind w:left="1540"/>
    </w:pPr>
  </w:style>
  <w:style w:type="paragraph" w:customStyle="1" w:styleId="CBD-Doc-Type">
    <w:name w:val="CBD-Doc-Type"/>
    <w:basedOn w:val="Normal"/>
    <w:rsid w:val="00376CED"/>
    <w:pPr>
      <w:keepLines/>
      <w:spacing w:before="240" w:after="120"/>
      <w:jc w:val="both"/>
    </w:pPr>
    <w:rPr>
      <w:rFonts w:cs="Angsana New"/>
      <w:b/>
      <w:i/>
      <w:lang w:val="en-GB"/>
    </w:rPr>
  </w:style>
  <w:style w:type="paragraph" w:customStyle="1" w:styleId="CBD-Doc">
    <w:name w:val="CBD-Doc"/>
    <w:basedOn w:val="Normal"/>
    <w:rsid w:val="00376CED"/>
    <w:pPr>
      <w:keepLines/>
      <w:numPr>
        <w:numId w:val="37"/>
      </w:numPr>
      <w:spacing w:after="120"/>
      <w:jc w:val="both"/>
    </w:pPr>
    <w:rPr>
      <w:rFonts w:cs="Angsana New"/>
      <w:sz w:val="22"/>
      <w:lang w:val="en-GB"/>
    </w:rPr>
  </w:style>
  <w:style w:type="paragraph" w:styleId="NoSpacing">
    <w:name w:val="No Spacing"/>
    <w:link w:val="NoSpacingChar"/>
    <w:uiPriority w:val="1"/>
    <w:qFormat/>
    <w:rsid w:val="00376CED"/>
    <w:rPr>
      <w:rFonts w:ascii="Calibri" w:eastAsia="Calibri" w:hAnsi="Calibri"/>
      <w:sz w:val="22"/>
      <w:szCs w:val="22"/>
    </w:rPr>
  </w:style>
  <w:style w:type="character" w:customStyle="1" w:styleId="NoSpacingChar">
    <w:name w:val="No Spacing Char"/>
    <w:basedOn w:val="DefaultParagraphFont"/>
    <w:link w:val="NoSpacing"/>
    <w:uiPriority w:val="1"/>
    <w:rsid w:val="00376CED"/>
    <w:rPr>
      <w:rFonts w:ascii="Calibri" w:eastAsia="Calibri" w:hAnsi="Calibri"/>
      <w:sz w:val="22"/>
      <w:szCs w:val="22"/>
    </w:rPr>
  </w:style>
  <w:style w:type="character" w:customStyle="1" w:styleId="BodyText3Char">
    <w:name w:val="Body Text 3 Char"/>
    <w:basedOn w:val="DefaultParagraphFont"/>
    <w:link w:val="BodyText3"/>
    <w:rsid w:val="00376CED"/>
    <w:rPr>
      <w:rFonts w:cs="Angsana New"/>
      <w:sz w:val="28"/>
      <w:szCs w:val="24"/>
      <w:lang w:val="en-GB"/>
    </w:rPr>
  </w:style>
  <w:style w:type="character" w:customStyle="1" w:styleId="BodyTextIndent2Char">
    <w:name w:val="Body Text Indent 2 Char"/>
    <w:basedOn w:val="DefaultParagraphFont"/>
    <w:link w:val="BodyTextIndent2"/>
    <w:rsid w:val="00376CED"/>
    <w:rPr>
      <w:rFonts w:cs="Angsana New"/>
      <w:sz w:val="22"/>
      <w:szCs w:val="24"/>
      <w:lang w:val="en-GB"/>
    </w:rPr>
  </w:style>
  <w:style w:type="character" w:customStyle="1" w:styleId="BodyTextIndent3Char">
    <w:name w:val="Body Text Indent 3 Char"/>
    <w:basedOn w:val="DefaultParagraphFont"/>
    <w:link w:val="BodyTextIndent3"/>
    <w:rsid w:val="00376CED"/>
    <w:rPr>
      <w:rFonts w:ascii="Courier" w:hAnsi="Courier" w:cs="Angsana New"/>
      <w:szCs w:val="24"/>
      <w:lang w:val="en-GB"/>
    </w:rPr>
  </w:style>
  <w:style w:type="character" w:customStyle="1" w:styleId="DocumentMapChar">
    <w:name w:val="Document Map Char"/>
    <w:basedOn w:val="DefaultParagraphFont"/>
    <w:link w:val="DocumentMap"/>
    <w:semiHidden/>
    <w:rsid w:val="00376CED"/>
    <w:rPr>
      <w:rFonts w:ascii="Tahoma" w:hAnsi="Tahoma" w:cs="Angsana New"/>
      <w:sz w:val="22"/>
      <w:szCs w:val="24"/>
      <w:shd w:val="clear" w:color="auto" w:fill="000080"/>
      <w:lang w:val="en-GB"/>
    </w:rPr>
  </w:style>
  <w:style w:type="character" w:customStyle="1" w:styleId="HTMLPreformattedChar">
    <w:name w:val="HTML Preformatted Char"/>
    <w:basedOn w:val="DefaultParagraphFont"/>
    <w:link w:val="HTMLPreformatted"/>
    <w:uiPriority w:val="99"/>
    <w:rsid w:val="00376CED"/>
    <w:rPr>
      <w:rFonts w:ascii="Courier New" w:hAnsi="Courier New" w:cs="Courier New"/>
      <w:szCs w:val="24"/>
      <w:lang w:val="en-GB"/>
    </w:rPr>
  </w:style>
  <w:style w:type="character" w:customStyle="1" w:styleId="CommentSubjectChar">
    <w:name w:val="Comment Subject Char"/>
    <w:basedOn w:val="CommentTextChar"/>
    <w:link w:val="CommentSubject"/>
    <w:uiPriority w:val="99"/>
    <w:semiHidden/>
    <w:rsid w:val="00376CED"/>
    <w:rPr>
      <w:rFonts w:cs="Angsana New"/>
      <w:b/>
      <w:bCs/>
      <w:szCs w:val="24"/>
      <w:lang w:val="en-GB"/>
    </w:rPr>
  </w:style>
  <w:style w:type="paragraph" w:customStyle="1" w:styleId="item-compilation">
    <w:name w:val="item-compilation"/>
    <w:basedOn w:val="Normal"/>
    <w:qFormat/>
    <w:rsid w:val="00376CED"/>
    <w:pPr>
      <w:spacing w:after="120"/>
      <w:jc w:val="center"/>
    </w:pPr>
    <w:rPr>
      <w:rFonts w:eastAsia="Malgun Gothic"/>
      <w:b/>
      <w:sz w:val="22"/>
      <w:lang w:val="en-GB" w:eastAsia="x-none"/>
    </w:rPr>
  </w:style>
  <w:style w:type="numbering" w:customStyle="1" w:styleId="ImportedStyle6">
    <w:name w:val="Imported Style 6"/>
    <w:rsid w:val="00376CED"/>
    <w:pPr>
      <w:numPr>
        <w:numId w:val="42"/>
      </w:numPr>
    </w:pPr>
  </w:style>
  <w:style w:type="character" w:customStyle="1" w:styleId="HEADINGNOTFORTOCChar">
    <w:name w:val="HEADING (NOT FOR TOC) Char"/>
    <w:link w:val="HEADINGNOTFORTOC"/>
    <w:locked/>
    <w:rsid w:val="00376CED"/>
    <w:rPr>
      <w:rFonts w:cs="Angsana New"/>
      <w:b/>
      <w:caps/>
      <w:sz w:val="22"/>
      <w:szCs w:val="24"/>
      <w:lang w:val="en-GB"/>
    </w:rPr>
  </w:style>
  <w:style w:type="paragraph" w:customStyle="1" w:styleId="Heading-replies">
    <w:name w:val="Heading -replies"/>
    <w:basedOn w:val="Heading1"/>
    <w:rsid w:val="00376CED"/>
    <w:pPr>
      <w:spacing w:before="0" w:after="0"/>
      <w:jc w:val="right"/>
    </w:pPr>
    <w:rPr>
      <w:rFonts w:eastAsia="Times New Roman" w:cs="Times New Roman"/>
      <w:b w:val="0"/>
      <w:bCs/>
      <w:lang w:val="x-none"/>
    </w:rPr>
  </w:style>
  <w:style w:type="paragraph" w:customStyle="1" w:styleId="Paragraph">
    <w:name w:val="Paragraph"/>
    <w:basedOn w:val="Normal"/>
    <w:rsid w:val="00376CED"/>
    <w:pPr>
      <w:spacing w:before="120" w:after="120"/>
      <w:jc w:val="both"/>
    </w:pPr>
    <w:rPr>
      <w:sz w:val="22"/>
      <w:lang w:val="en-GB"/>
    </w:rPr>
  </w:style>
  <w:style w:type="paragraph" w:customStyle="1" w:styleId="Title1">
    <w:name w:val="Title1"/>
    <w:basedOn w:val="HEADING"/>
    <w:rsid w:val="00376CED"/>
    <w:pPr>
      <w:tabs>
        <w:tab w:val="clear" w:pos="426"/>
      </w:tabs>
      <w:overflowPunct w:val="0"/>
      <w:autoSpaceDE w:val="0"/>
      <w:autoSpaceDN w:val="0"/>
      <w:adjustRightInd w:val="0"/>
      <w:spacing w:before="240"/>
      <w:textAlignment w:val="baseline"/>
    </w:pPr>
    <w:rPr>
      <w:rFonts w:ascii="Times New Roman" w:eastAsia="Times New Roman" w:hAnsi="Times New Roman"/>
      <w:szCs w:val="20"/>
    </w:rPr>
  </w:style>
  <w:style w:type="paragraph" w:customStyle="1" w:styleId="ReplyForwardHeaders">
    <w:name w:val="Reply/Forward Headers"/>
    <w:basedOn w:val="Normal"/>
    <w:next w:val="Normal"/>
    <w:rsid w:val="00376CED"/>
    <w:pPr>
      <w:pBdr>
        <w:left w:val="single" w:sz="18" w:space="1" w:color="auto"/>
      </w:pBdr>
      <w:shd w:val="pct10" w:color="auto" w:fill="FFFFFF"/>
      <w:ind w:left="1080" w:hanging="1080"/>
      <w:outlineLvl w:val="0"/>
    </w:pPr>
    <w:rPr>
      <w:rFonts w:ascii="Arial" w:hAnsi="Arial"/>
      <w:b/>
      <w:noProof/>
      <w:sz w:val="20"/>
      <w:szCs w:val="20"/>
      <w:lang w:val="en-US" w:bidi="he-IL"/>
    </w:rPr>
  </w:style>
  <w:style w:type="character" w:customStyle="1" w:styleId="underline">
    <w:name w:val="underline"/>
    <w:rsid w:val="00376CED"/>
    <w:rPr>
      <w:rFonts w:ascii="Courier" w:hAnsi="Courier"/>
      <w:sz w:val="20"/>
      <w:u w:val="single"/>
    </w:rPr>
  </w:style>
  <w:style w:type="character" w:customStyle="1" w:styleId="titlex1">
    <w:name w:val="titlex1"/>
    <w:basedOn w:val="DefaultParagraphFont"/>
    <w:rsid w:val="00376CED"/>
  </w:style>
  <w:style w:type="numbering" w:customStyle="1" w:styleId="NoList1">
    <w:name w:val="No List1"/>
    <w:next w:val="NoList"/>
    <w:uiPriority w:val="99"/>
    <w:semiHidden/>
    <w:unhideWhenUsed/>
    <w:rsid w:val="00376CED"/>
  </w:style>
  <w:style w:type="paragraph" w:customStyle="1" w:styleId="small">
    <w:name w:val="small"/>
    <w:basedOn w:val="FootnoteText"/>
    <w:rsid w:val="00376CED"/>
    <w:pPr>
      <w:keepLines w:val="0"/>
      <w:tabs>
        <w:tab w:val="left" w:pos="720"/>
      </w:tabs>
      <w:spacing w:after="120"/>
      <w:ind w:firstLine="0"/>
      <w:jc w:val="left"/>
    </w:pPr>
    <w:rPr>
      <w:rFonts w:ascii="Courier" w:eastAsia="Times New Roman" w:hAnsi="Courier"/>
      <w:szCs w:val="20"/>
      <w:lang w:eastAsia="en-US"/>
    </w:rPr>
  </w:style>
  <w:style w:type="character" w:customStyle="1" w:styleId="cmsbold">
    <w:name w:val="cmsbold"/>
    <w:rsid w:val="00376CED"/>
  </w:style>
  <w:style w:type="paragraph" w:customStyle="1" w:styleId="ColorfulShading-Accent11">
    <w:name w:val="Colorful Shading - Accent 11"/>
    <w:hidden/>
    <w:uiPriority w:val="99"/>
    <w:semiHidden/>
    <w:rsid w:val="00376CED"/>
    <w:rPr>
      <w:rFonts w:eastAsia="Times New Roman"/>
      <w:sz w:val="22"/>
      <w:szCs w:val="24"/>
      <w:lang w:val="en-GB"/>
    </w:rPr>
  </w:style>
  <w:style w:type="paragraph" w:customStyle="1" w:styleId="ColorfulShading-Accent12">
    <w:name w:val="Colorful Shading - Accent 12"/>
    <w:hidden/>
    <w:uiPriority w:val="99"/>
    <w:semiHidden/>
    <w:rsid w:val="00376CED"/>
    <w:rPr>
      <w:rFonts w:eastAsia="Times New Roman"/>
      <w:sz w:val="22"/>
      <w:szCs w:val="24"/>
      <w:lang w:val="en-GB"/>
    </w:rPr>
  </w:style>
  <w:style w:type="paragraph" w:customStyle="1" w:styleId="ColorfulList-Accent12">
    <w:name w:val="Colorful List - Accent 12"/>
    <w:basedOn w:val="Normal"/>
    <w:uiPriority w:val="34"/>
    <w:qFormat/>
    <w:rsid w:val="00376CED"/>
    <w:pPr>
      <w:ind w:left="720"/>
      <w:jc w:val="both"/>
    </w:pPr>
    <w:rPr>
      <w:sz w:val="22"/>
      <w:lang w:val="en-GB"/>
    </w:rPr>
  </w:style>
  <w:style w:type="character" w:customStyle="1" w:styleId="Heading1multilineChar">
    <w:name w:val="Heading 1 (multiline) Char"/>
    <w:link w:val="Heading1multiline"/>
    <w:locked/>
    <w:rsid w:val="00376CED"/>
    <w:rPr>
      <w:rFonts w:cs="Angsana New"/>
      <w:b/>
      <w:caps/>
      <w:snapToGrid w:val="0"/>
      <w:sz w:val="22"/>
      <w:szCs w:val="24"/>
      <w:lang w:val="en-GB"/>
    </w:rPr>
  </w:style>
  <w:style w:type="paragraph" w:customStyle="1" w:styleId="Para-no-num">
    <w:name w:val="Para-no-num"/>
    <w:basedOn w:val="Normal"/>
    <w:rsid w:val="00376CED"/>
    <w:pPr>
      <w:tabs>
        <w:tab w:val="left" w:pos="720"/>
      </w:tabs>
      <w:spacing w:before="120" w:after="120"/>
      <w:jc w:val="both"/>
    </w:pPr>
    <w:rPr>
      <w:sz w:val="22"/>
      <w:szCs w:val="18"/>
      <w:lang w:val="en-GB"/>
    </w:rPr>
  </w:style>
  <w:style w:type="paragraph" w:customStyle="1" w:styleId="ProgElemt">
    <w:name w:val="ProgElemt"/>
    <w:basedOn w:val="HEADINGNOTFORTOC"/>
    <w:rsid w:val="00376CED"/>
    <w:rPr>
      <w:rFonts w:ascii="Times New Roman Bold" w:eastAsia="Times New Roman" w:hAnsi="Times New Roman Bold" w:cs="Times New Roman"/>
      <w:caps w:val="0"/>
      <w:szCs w:val="22"/>
    </w:rPr>
  </w:style>
  <w:style w:type="character" w:customStyle="1" w:styleId="mainheader">
    <w:name w:val="main_header"/>
    <w:rsid w:val="00376CED"/>
  </w:style>
  <w:style w:type="character" w:customStyle="1" w:styleId="BodyTextIndent3Char1">
    <w:name w:val="Body Text Indent 3 Char1"/>
    <w:basedOn w:val="DefaultParagraphFont"/>
    <w:rsid w:val="00376CED"/>
    <w:rPr>
      <w:rFonts w:ascii="Times New Roman" w:eastAsia="Times New Roman" w:hAnsi="Times New Roman" w:cs="Times New Roman"/>
      <w:sz w:val="16"/>
      <w:szCs w:val="16"/>
      <w:lang w:val="en-GB"/>
    </w:rPr>
  </w:style>
  <w:style w:type="paragraph" w:customStyle="1" w:styleId="AbstractText">
    <w:name w:val="Abstract Text"/>
    <w:rsid w:val="00376CED"/>
    <w:pPr>
      <w:tabs>
        <w:tab w:val="left" w:pos="1680"/>
      </w:tabs>
      <w:spacing w:line="280" w:lineRule="exact"/>
      <w:ind w:left="360"/>
    </w:pPr>
    <w:rPr>
      <w:rFonts w:ascii="Arial" w:eastAsia="Times New Roman" w:hAnsi="Arial"/>
      <w:sz w:val="19"/>
    </w:rPr>
  </w:style>
  <w:style w:type="paragraph" w:customStyle="1" w:styleId="ActivityPoint">
    <w:name w:val="Activity Point"/>
    <w:basedOn w:val="Normal"/>
    <w:rsid w:val="00376CED"/>
    <w:pPr>
      <w:tabs>
        <w:tab w:val="left" w:pos="1080"/>
      </w:tabs>
      <w:spacing w:line="360" w:lineRule="auto"/>
      <w:ind w:left="1440" w:hanging="1440"/>
      <w:jc w:val="both"/>
    </w:pPr>
    <w:rPr>
      <w:kern w:val="28"/>
      <w:sz w:val="22"/>
    </w:rPr>
  </w:style>
  <w:style w:type="paragraph" w:customStyle="1" w:styleId="BodytextforICCP">
    <w:name w:val="Body text for ICCP"/>
    <w:basedOn w:val="BodyText"/>
    <w:rsid w:val="00376CED"/>
    <w:pPr>
      <w:tabs>
        <w:tab w:val="left" w:pos="-720"/>
      </w:tabs>
      <w:suppressAutoHyphens/>
      <w:overflowPunct w:val="0"/>
      <w:autoSpaceDE w:val="0"/>
      <w:autoSpaceDN w:val="0"/>
      <w:adjustRightInd w:val="0"/>
    </w:pPr>
    <w:rPr>
      <w:rFonts w:eastAsia="Times New Roman" w:cs="Times New Roman"/>
    </w:rPr>
  </w:style>
  <w:style w:type="paragraph" w:customStyle="1" w:styleId="HEAD-2lines">
    <w:name w:val="HEAD-2lines"/>
    <w:basedOn w:val="Heading2"/>
    <w:rsid w:val="00376CED"/>
    <w:pPr>
      <w:ind w:left="1944" w:right="864" w:hanging="1080"/>
      <w:outlineLvl w:val="9"/>
    </w:pPr>
    <w:rPr>
      <w:rFonts w:eastAsia="Times New Roman" w:cs="Times New Roman"/>
      <w:b w:val="0"/>
      <w:bCs w:val="0"/>
      <w:i/>
      <w:snapToGrid/>
    </w:rPr>
  </w:style>
  <w:style w:type="paragraph" w:customStyle="1" w:styleId="Heading2-lines">
    <w:name w:val="Heading 2 - lines"/>
    <w:basedOn w:val="Heading2-center"/>
    <w:next w:val="Normal"/>
    <w:rsid w:val="00376CED"/>
    <w:pPr>
      <w:tabs>
        <w:tab w:val="left" w:pos="284"/>
      </w:tabs>
      <w:spacing w:before="240"/>
      <w:ind w:left="1400" w:right="573" w:hanging="408"/>
      <w:jc w:val="left"/>
      <w:outlineLvl w:val="9"/>
    </w:pPr>
    <w:rPr>
      <w:rFonts w:eastAsia="Times New Roman" w:cs="Times New Roman"/>
      <w:b w:val="0"/>
      <w:bCs w:val="0"/>
      <w:i/>
      <w:snapToGrid/>
    </w:rPr>
  </w:style>
  <w:style w:type="paragraph" w:customStyle="1" w:styleId="Heading51">
    <w:name w:val="Heading 51"/>
    <w:rsid w:val="00376CED"/>
    <w:pPr>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overflowPunct w:val="0"/>
      <w:autoSpaceDE w:val="0"/>
      <w:autoSpaceDN w:val="0"/>
      <w:adjustRightInd w:val="0"/>
    </w:pPr>
    <w:rPr>
      <w:rFonts w:eastAsia="Times New Roman"/>
      <w:b/>
    </w:rPr>
  </w:style>
  <w:style w:type="paragraph" w:customStyle="1" w:styleId="Heading10">
    <w:name w:val="Heading1"/>
    <w:basedOn w:val="Normal"/>
    <w:rsid w:val="00376CED"/>
    <w:pPr>
      <w:keepNext/>
      <w:keepLines/>
      <w:ind w:left="1702" w:right="998" w:hanging="284"/>
      <w:jc w:val="both"/>
    </w:pPr>
    <w:rPr>
      <w:i/>
      <w:iCs/>
      <w:sz w:val="22"/>
      <w:lang w:val="en-GB"/>
    </w:rPr>
  </w:style>
  <w:style w:type="paragraph" w:customStyle="1" w:styleId="Heading4">
    <w:name w:val="Heading4"/>
    <w:basedOn w:val="Normal"/>
    <w:rsid w:val="00376CED"/>
    <w:pPr>
      <w:keepNext/>
      <w:numPr>
        <w:numId w:val="43"/>
      </w:numPr>
      <w:jc w:val="both"/>
    </w:pPr>
    <w:rPr>
      <w:i/>
      <w:iCs/>
      <w:sz w:val="22"/>
      <w:lang w:val="en-GB"/>
    </w:rPr>
  </w:style>
  <w:style w:type="paragraph" w:customStyle="1" w:styleId="HEADINGII">
    <w:name w:val="HEADINGII"/>
    <w:basedOn w:val="Normal"/>
    <w:rsid w:val="00376CED"/>
    <w:pPr>
      <w:spacing w:before="240"/>
      <w:ind w:left="1474" w:right="856" w:hanging="340"/>
      <w:jc w:val="both"/>
    </w:pPr>
    <w:rPr>
      <w:b/>
      <w:bCs/>
      <w:caps/>
      <w:sz w:val="22"/>
      <w:lang w:val="en-GB"/>
    </w:rPr>
  </w:style>
  <w:style w:type="paragraph" w:customStyle="1" w:styleId="headingoneline">
    <w:name w:val="headingoneline"/>
    <w:basedOn w:val="Normal"/>
    <w:next w:val="Normal"/>
    <w:rsid w:val="00376CED"/>
    <w:pPr>
      <w:keepNext/>
      <w:tabs>
        <w:tab w:val="left" w:pos="567"/>
      </w:tabs>
      <w:spacing w:before="120" w:after="120"/>
      <w:jc w:val="center"/>
    </w:pPr>
    <w:rPr>
      <w:b/>
      <w:bCs/>
      <w:i/>
      <w:sz w:val="22"/>
      <w:lang w:val="en-GB"/>
    </w:rPr>
  </w:style>
  <w:style w:type="paragraph" w:customStyle="1" w:styleId="list3">
    <w:name w:val="list3"/>
    <w:basedOn w:val="Normal"/>
    <w:autoRedefine/>
    <w:rsid w:val="00376CED"/>
    <w:pPr>
      <w:numPr>
        <w:numId w:val="44"/>
      </w:numPr>
      <w:jc w:val="both"/>
    </w:pPr>
    <w:rPr>
      <w:sz w:val="22"/>
      <w:lang w:val="en-GB"/>
    </w:rPr>
  </w:style>
  <w:style w:type="paragraph" w:customStyle="1" w:styleId="Numberedparagraph">
    <w:name w:val="Numbered paragraph"/>
    <w:basedOn w:val="Normal"/>
    <w:rsid w:val="00376CED"/>
    <w:pPr>
      <w:numPr>
        <w:numId w:val="45"/>
      </w:numPr>
      <w:jc w:val="both"/>
    </w:pPr>
    <w:rPr>
      <w:kern w:val="28"/>
      <w:sz w:val="22"/>
      <w:lang w:val="en-GB"/>
    </w:rPr>
  </w:style>
  <w:style w:type="paragraph" w:customStyle="1" w:styleId="Activity">
    <w:name w:val="Activity"/>
    <w:basedOn w:val="Normal"/>
    <w:rsid w:val="00376CED"/>
    <w:pPr>
      <w:numPr>
        <w:ilvl w:val="1"/>
        <w:numId w:val="46"/>
      </w:numPr>
      <w:tabs>
        <w:tab w:val="num" w:pos="360"/>
      </w:tabs>
      <w:spacing w:before="120" w:after="120"/>
      <w:ind w:left="0" w:firstLine="0"/>
      <w:jc w:val="both"/>
    </w:pPr>
    <w:rPr>
      <w:sz w:val="22"/>
      <w:szCs w:val="20"/>
      <w:lang w:val="en-GB"/>
    </w:rPr>
  </w:style>
  <w:style w:type="paragraph" w:customStyle="1" w:styleId="bodytextnoindent0">
    <w:name w:val="bodytextnoindent"/>
    <w:basedOn w:val="Normal"/>
    <w:rsid w:val="00376CED"/>
    <w:pPr>
      <w:overflowPunct w:val="0"/>
      <w:autoSpaceDE w:val="0"/>
      <w:autoSpaceDN w:val="0"/>
      <w:spacing w:before="120" w:after="120"/>
      <w:jc w:val="both"/>
    </w:pPr>
    <w:rPr>
      <w:rFonts w:eastAsia="Arial Unicode MS"/>
      <w:sz w:val="22"/>
      <w:szCs w:val="22"/>
      <w:lang w:val="en-US"/>
    </w:rPr>
  </w:style>
  <w:style w:type="paragraph" w:customStyle="1" w:styleId="Heading1centred">
    <w:name w:val="Heading 1 (centred)"/>
    <w:basedOn w:val="Normal"/>
    <w:next w:val="Para1"/>
    <w:rsid w:val="00376CED"/>
    <w:pPr>
      <w:keepNext/>
      <w:tabs>
        <w:tab w:val="left" w:pos="709"/>
      </w:tabs>
      <w:overflowPunct w:val="0"/>
      <w:autoSpaceDE w:val="0"/>
      <w:autoSpaceDN w:val="0"/>
      <w:adjustRightInd w:val="0"/>
      <w:spacing w:before="240" w:after="120"/>
      <w:jc w:val="center"/>
    </w:pPr>
    <w:rPr>
      <w:b/>
      <w:caps/>
      <w:sz w:val="22"/>
      <w:szCs w:val="20"/>
      <w:lang w:val="en-GB"/>
    </w:rPr>
  </w:style>
  <w:style w:type="paragraph" w:customStyle="1" w:styleId="paraa0">
    <w:name w:val="para (a)"/>
    <w:basedOn w:val="para4"/>
    <w:rsid w:val="00376CED"/>
    <w:pPr>
      <w:numPr>
        <w:ilvl w:val="0"/>
        <w:numId w:val="0"/>
      </w:numPr>
      <w:tabs>
        <w:tab w:val="num" w:pos="720"/>
      </w:tabs>
      <w:ind w:left="720" w:hanging="720"/>
      <w:textAlignment w:val="auto"/>
    </w:pPr>
    <w:rPr>
      <w:rFonts w:ascii="Times New Roman" w:eastAsia="Times New Roman" w:hAnsi="Times New Roman" w:cs="Times New Roman"/>
      <w:sz w:val="22"/>
    </w:rPr>
  </w:style>
  <w:style w:type="paragraph" w:customStyle="1" w:styleId="Paranormal">
    <w:name w:val="Para normal"/>
    <w:basedOn w:val="Normal"/>
    <w:rsid w:val="00376CED"/>
    <w:pPr>
      <w:framePr w:hSpace="187" w:vSpace="187" w:wrap="notBeside" w:vAnchor="text" w:hAnchor="text" w:y="1"/>
      <w:numPr>
        <w:numId w:val="47"/>
      </w:numPr>
      <w:spacing w:before="120" w:after="120"/>
      <w:jc w:val="both"/>
    </w:pPr>
    <w:rPr>
      <w:sz w:val="22"/>
      <w:szCs w:val="20"/>
      <w:lang w:val="en-GB"/>
    </w:rPr>
  </w:style>
  <w:style w:type="paragraph" w:customStyle="1" w:styleId="para11">
    <w:name w:val="para1"/>
    <w:basedOn w:val="Normal"/>
    <w:rsid w:val="00376CED"/>
    <w:pPr>
      <w:spacing w:before="100" w:beforeAutospacing="1" w:after="100" w:afterAutospacing="1"/>
    </w:pPr>
    <w:rPr>
      <w:rFonts w:ascii="Arial Unicode MS" w:eastAsia="Arial Unicode MS" w:hAnsi="Arial Unicode MS" w:cs="Arial Unicode MS"/>
      <w:lang w:val="en-US"/>
    </w:rPr>
  </w:style>
  <w:style w:type="paragraph" w:customStyle="1" w:styleId="Reference0">
    <w:name w:val="Reference"/>
    <w:basedOn w:val="Normal"/>
    <w:rsid w:val="00376CED"/>
    <w:pPr>
      <w:spacing w:before="60" w:after="60"/>
      <w:ind w:left="288" w:hanging="288"/>
      <w:jc w:val="both"/>
    </w:pPr>
    <w:rPr>
      <w:sz w:val="22"/>
      <w:lang w:val="en-US"/>
    </w:rPr>
  </w:style>
  <w:style w:type="paragraph" w:customStyle="1" w:styleId="Dec-titleoneline">
    <w:name w:val="Dec-title one line"/>
    <w:basedOn w:val="Heading2"/>
    <w:rsid w:val="00376CED"/>
    <w:rPr>
      <w:rFonts w:eastAsia="Times New Roman" w:cs="Times New Roman"/>
      <w:i/>
      <w:snapToGrid/>
    </w:rPr>
  </w:style>
  <w:style w:type="paragraph" w:customStyle="1" w:styleId="Decheadmuliline">
    <w:name w:val="Dec_head muliline"/>
    <w:basedOn w:val="BodyText"/>
    <w:next w:val="BodyText"/>
    <w:rsid w:val="00376CED"/>
    <w:pPr>
      <w:ind w:left="2127" w:hanging="1276"/>
    </w:pPr>
    <w:rPr>
      <w:rFonts w:eastAsia="Times New Roman" w:cs="Times New Roman"/>
      <w:b/>
      <w:i/>
    </w:rPr>
  </w:style>
  <w:style w:type="paragraph" w:customStyle="1" w:styleId="Numbering">
    <w:name w:val="Numbering"/>
    <w:basedOn w:val="Normal"/>
    <w:rsid w:val="00376CED"/>
    <w:pPr>
      <w:tabs>
        <w:tab w:val="num" w:pos="720"/>
      </w:tabs>
      <w:jc w:val="both"/>
    </w:pPr>
    <w:rPr>
      <w:sz w:val="22"/>
      <w:szCs w:val="20"/>
      <w:lang w:val="en-GB"/>
    </w:rPr>
  </w:style>
  <w:style w:type="paragraph" w:customStyle="1" w:styleId="msolistparagraph0">
    <w:name w:val="msolistparagraph"/>
    <w:basedOn w:val="Normal"/>
    <w:rsid w:val="00376CED"/>
    <w:pPr>
      <w:ind w:left="720"/>
    </w:pPr>
    <w:rPr>
      <w:rFonts w:ascii="Calibri" w:hAnsi="Calibri"/>
      <w:sz w:val="22"/>
      <w:szCs w:val="22"/>
      <w:lang w:val="en-US"/>
    </w:rPr>
  </w:style>
  <w:style w:type="paragraph" w:customStyle="1" w:styleId="StylePara1Before6ptAfter6pt">
    <w:name w:val="Style Para 1 + Before:  6 pt After:  6 pt"/>
    <w:basedOn w:val="Para10"/>
    <w:rsid w:val="00376CED"/>
    <w:pPr>
      <w:numPr>
        <w:numId w:val="0"/>
      </w:numPr>
      <w:tabs>
        <w:tab w:val="num" w:pos="360"/>
      </w:tabs>
    </w:pPr>
    <w:rPr>
      <w:rFonts w:eastAsia="Times New Roman"/>
      <w:snapToGrid/>
      <w:kern w:val="0"/>
      <w:szCs w:val="20"/>
    </w:rPr>
  </w:style>
  <w:style w:type="character" w:customStyle="1" w:styleId="Hyperlink10">
    <w:name w:val="Hyperlink1"/>
    <w:rsid w:val="00376CED"/>
    <w:rPr>
      <w:color w:val="0000FF"/>
      <w:u w:val="single"/>
    </w:rPr>
  </w:style>
  <w:style w:type="character" w:customStyle="1" w:styleId="maintextbldleft1">
    <w:name w:val="maintextbldleft1"/>
    <w:rsid w:val="00376CED"/>
    <w:rPr>
      <w:rFonts w:ascii="Arial" w:hAnsi="Arial" w:cs="Arial" w:hint="default"/>
      <w:b/>
      <w:bCs/>
      <w:i w:val="0"/>
      <w:iCs w:val="0"/>
      <w:smallCaps w:val="0"/>
      <w:strike w:val="0"/>
      <w:dstrike w:val="0"/>
      <w:color w:val="000000"/>
      <w:sz w:val="18"/>
      <w:szCs w:val="18"/>
      <w:u w:val="none"/>
      <w:effect w:val="none"/>
    </w:rPr>
  </w:style>
  <w:style w:type="character" w:customStyle="1" w:styleId="Heading1Char1">
    <w:name w:val="Heading 1 Char1"/>
    <w:rsid w:val="00376CED"/>
    <w:rPr>
      <w:b/>
      <w:bCs w:val="0"/>
      <w:caps/>
      <w:sz w:val="22"/>
      <w:szCs w:val="24"/>
      <w:lang w:eastAsia="en-US"/>
    </w:rPr>
  </w:style>
  <w:style w:type="character" w:customStyle="1" w:styleId="longtext">
    <w:name w:val="long_text"/>
    <w:rsid w:val="00376CED"/>
  </w:style>
  <w:style w:type="character" w:customStyle="1" w:styleId="A8">
    <w:name w:val="A8"/>
    <w:rsid w:val="00376CED"/>
    <w:rPr>
      <w:rFonts w:ascii="Myriad Pro" w:hAnsi="Myriad Pro" w:cs="Myriad Pro" w:hint="default"/>
      <w:color w:val="000000"/>
      <w:sz w:val="30"/>
      <w:szCs w:val="30"/>
    </w:rPr>
  </w:style>
  <w:style w:type="character" w:customStyle="1" w:styleId="A3">
    <w:name w:val="A3"/>
    <w:rsid w:val="00376CED"/>
    <w:rPr>
      <w:rFonts w:ascii="Myriad Pro" w:hAnsi="Myriad Pro" w:cs="Myriad Pro" w:hint="default"/>
      <w:color w:val="000000"/>
      <w:sz w:val="21"/>
      <w:szCs w:val="21"/>
    </w:rPr>
  </w:style>
  <w:style w:type="character" w:customStyle="1" w:styleId="A11">
    <w:name w:val="A11"/>
    <w:rsid w:val="00376CED"/>
    <w:rPr>
      <w:rFonts w:ascii="Myriad Pro" w:hAnsi="Myriad Pro" w:cs="Myriad Pro" w:hint="default"/>
      <w:color w:val="000000"/>
      <w:sz w:val="13"/>
      <w:szCs w:val="13"/>
    </w:rPr>
  </w:style>
  <w:style w:type="character" w:customStyle="1" w:styleId="CharChar20">
    <w:name w:val="Char Char20"/>
    <w:rsid w:val="00376CED"/>
    <w:rPr>
      <w:rFonts w:ascii="Times New Roman" w:eastAsia="Times New Roman" w:hAnsi="Times New Roman" w:cs="Times New Roman" w:hint="default"/>
      <w:b/>
      <w:bCs w:val="0"/>
      <w:caps/>
      <w:szCs w:val="24"/>
      <w:lang w:val="en-GB"/>
    </w:rPr>
  </w:style>
  <w:style w:type="character" w:customStyle="1" w:styleId="CharChar19">
    <w:name w:val="Char Char19"/>
    <w:rsid w:val="00376CED"/>
    <w:rPr>
      <w:rFonts w:ascii="Times New Roman" w:eastAsia="Times New Roman" w:hAnsi="Times New Roman" w:cs="Times New Roman" w:hint="default"/>
      <w:b/>
      <w:bCs/>
      <w:i/>
      <w:iCs/>
      <w:szCs w:val="24"/>
      <w:lang w:val="en-GB"/>
    </w:rPr>
  </w:style>
  <w:style w:type="character" w:customStyle="1" w:styleId="CharChar10">
    <w:name w:val="Char Char10"/>
    <w:rsid w:val="00376CED"/>
    <w:rPr>
      <w:rFonts w:ascii="Times New Roman" w:eastAsia="Times New Roman" w:hAnsi="Times New Roman" w:cs="Times New Roman" w:hint="default"/>
      <w:szCs w:val="24"/>
      <w:lang w:val="en-GB"/>
    </w:rPr>
  </w:style>
  <w:style w:type="character" w:customStyle="1" w:styleId="ipa">
    <w:name w:val="ipa"/>
    <w:rsid w:val="00376CED"/>
  </w:style>
  <w:style w:type="character" w:customStyle="1" w:styleId="shorttext">
    <w:name w:val="short_text"/>
    <w:rsid w:val="00376CED"/>
  </w:style>
  <w:style w:type="character" w:customStyle="1" w:styleId="StyleFootnoteReferenceBoldAllcaps">
    <w:name w:val="Style Footnote Reference + Bold All caps"/>
    <w:rsid w:val="00376CED"/>
    <w:rPr>
      <w:rFonts w:ascii="Times New Roman" w:hAnsi="Times New Roman" w:cs="Times New Roman" w:hint="default"/>
      <w:bCs/>
      <w:caps/>
      <w:sz w:val="18"/>
      <w:szCs w:val="18"/>
      <w:u w:val="single"/>
      <w:vertAlign w:val="baseline"/>
    </w:rPr>
  </w:style>
  <w:style w:type="character" w:customStyle="1" w:styleId="StyleHeading-plainitalicNotItalicCharCharChar">
    <w:name w:val="Style Heading-plain italic + Not Italic Char Char Char"/>
    <w:rsid w:val="00376CED"/>
    <w:rPr>
      <w:b/>
      <w:bCs/>
      <w:i/>
      <w:iCs/>
      <w:sz w:val="22"/>
      <w:szCs w:val="24"/>
      <w:lang w:val="en-GB" w:eastAsia="en-US" w:bidi="ar-SA"/>
    </w:rPr>
  </w:style>
  <w:style w:type="character" w:customStyle="1" w:styleId="titlex11">
    <w:name w:val="titlex11"/>
    <w:rsid w:val="00376CED"/>
    <w:rPr>
      <w:rFonts w:ascii="Trebuchet MS" w:hAnsi="Trebuchet MS" w:hint="default"/>
      <w:color w:val="003344"/>
      <w:sz w:val="36"/>
      <w:szCs w:val="36"/>
    </w:rPr>
  </w:style>
  <w:style w:type="character" w:customStyle="1" w:styleId="Heading2Char1">
    <w:name w:val="Heading 2 Char1"/>
    <w:rsid w:val="00376CED"/>
    <w:rPr>
      <w:b/>
      <w:bCs/>
      <w:i/>
      <w:iCs/>
      <w:sz w:val="22"/>
      <w:szCs w:val="24"/>
      <w:lang w:val="en-GB" w:eastAsia="en-US" w:bidi="ar-SA"/>
    </w:rPr>
  </w:style>
  <w:style w:type="character" w:customStyle="1" w:styleId="UnresolvedMention3">
    <w:name w:val="Unresolved Mention3"/>
    <w:basedOn w:val="DefaultParagraphFont"/>
    <w:uiPriority w:val="99"/>
    <w:semiHidden/>
    <w:unhideWhenUsed/>
    <w:rsid w:val="00376CED"/>
    <w:rPr>
      <w:color w:val="808080"/>
      <w:shd w:val="clear" w:color="auto" w:fill="E6E6E6"/>
    </w:rPr>
  </w:style>
  <w:style w:type="character" w:customStyle="1" w:styleId="UnresolvedMention4">
    <w:name w:val="Unresolved Mention4"/>
    <w:basedOn w:val="DefaultParagraphFont"/>
    <w:uiPriority w:val="99"/>
    <w:semiHidden/>
    <w:unhideWhenUsed/>
    <w:rsid w:val="00376CED"/>
    <w:rPr>
      <w:color w:val="808080"/>
      <w:shd w:val="clear" w:color="auto" w:fill="E6E6E6"/>
    </w:rPr>
  </w:style>
  <w:style w:type="paragraph" w:styleId="ListBullet">
    <w:name w:val="List Bullet"/>
    <w:aliases w:val="UL 1"/>
    <w:basedOn w:val="Normal"/>
    <w:uiPriority w:val="9"/>
    <w:qFormat/>
    <w:rsid w:val="00376CED"/>
    <w:pPr>
      <w:tabs>
        <w:tab w:val="num" w:pos="360"/>
      </w:tabs>
      <w:spacing w:line="276" w:lineRule="auto"/>
      <w:contextualSpacing/>
      <w:jc w:val="both"/>
    </w:pPr>
    <w:rPr>
      <w:rFonts w:ascii="Arial" w:hAnsi="Arial"/>
      <w:sz w:val="22"/>
      <w:lang w:val="de-AT" w:eastAsia="de-AT"/>
    </w:rPr>
  </w:style>
  <w:style w:type="paragraph" w:customStyle="1" w:styleId="xl69">
    <w:name w:val="xl69"/>
    <w:basedOn w:val="Normal"/>
    <w:rsid w:val="00253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n-CA"/>
    </w:rPr>
  </w:style>
  <w:style w:type="paragraph" w:customStyle="1" w:styleId="xl70">
    <w:name w:val="xl70"/>
    <w:basedOn w:val="Normal"/>
    <w:rsid w:val="00253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n-CA"/>
    </w:rPr>
  </w:style>
  <w:style w:type="paragraph" w:customStyle="1" w:styleId="xl71">
    <w:name w:val="xl71"/>
    <w:basedOn w:val="Normal"/>
    <w:rsid w:val="00253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n-CA"/>
    </w:rPr>
  </w:style>
  <w:style w:type="paragraph" w:customStyle="1" w:styleId="xl72">
    <w:name w:val="xl72"/>
    <w:basedOn w:val="Normal"/>
    <w:rsid w:val="00253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n-CA"/>
    </w:rPr>
  </w:style>
  <w:style w:type="paragraph" w:customStyle="1" w:styleId="xl73">
    <w:name w:val="xl73"/>
    <w:basedOn w:val="Normal"/>
    <w:rsid w:val="00253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en-CA"/>
    </w:rPr>
  </w:style>
  <w:style w:type="paragraph" w:customStyle="1" w:styleId="xl74">
    <w:name w:val="xl74"/>
    <w:basedOn w:val="Normal"/>
    <w:rsid w:val="00253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en-CA"/>
    </w:rPr>
  </w:style>
  <w:style w:type="paragraph" w:customStyle="1" w:styleId="xl75">
    <w:name w:val="xl75"/>
    <w:basedOn w:val="Normal"/>
    <w:rsid w:val="00253427"/>
    <w:pPr>
      <w:spacing w:before="100" w:beforeAutospacing="1" w:after="100" w:afterAutospacing="1"/>
      <w:textAlignment w:val="center"/>
    </w:pPr>
    <w:rPr>
      <w:lang w:eastAsia="en-CA"/>
    </w:rPr>
  </w:style>
  <w:style w:type="paragraph" w:customStyle="1" w:styleId="xl76">
    <w:name w:val="xl76"/>
    <w:basedOn w:val="Normal"/>
    <w:rsid w:val="00253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en-CA"/>
    </w:rPr>
  </w:style>
  <w:style w:type="paragraph" w:customStyle="1" w:styleId="xl77">
    <w:name w:val="xl77"/>
    <w:basedOn w:val="Normal"/>
    <w:rsid w:val="00253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en-CA"/>
    </w:rPr>
  </w:style>
  <w:style w:type="paragraph" w:customStyle="1" w:styleId="xl78">
    <w:name w:val="xl78"/>
    <w:basedOn w:val="Normal"/>
    <w:rsid w:val="002534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en-CA"/>
    </w:rPr>
  </w:style>
  <w:style w:type="paragraph" w:customStyle="1" w:styleId="xl79">
    <w:name w:val="xl79"/>
    <w:basedOn w:val="Normal"/>
    <w:rsid w:val="00253427"/>
    <w:pPr>
      <w:spacing w:before="100" w:beforeAutospacing="1" w:after="100" w:afterAutospacing="1"/>
      <w:textAlignment w:val="center"/>
    </w:pPr>
    <w:rPr>
      <w:lang w:eastAsia="en-CA"/>
    </w:rPr>
  </w:style>
  <w:style w:type="paragraph" w:customStyle="1" w:styleId="HeadingIreport">
    <w:name w:val="Heading I report"/>
    <w:basedOn w:val="Heading1"/>
    <w:qFormat/>
    <w:rsid w:val="00EF0503"/>
  </w:style>
  <w:style w:type="paragraph" w:customStyle="1" w:styleId="Heading1report">
    <w:name w:val="Heading 1 report"/>
    <w:basedOn w:val="Heading1"/>
    <w:qFormat/>
    <w:rsid w:val="00DF0E08"/>
    <w:pPr>
      <w:suppressLineNumbers/>
      <w:tabs>
        <w:tab w:val="clear" w:pos="720"/>
      </w:tabs>
      <w:suppressAutoHyphens/>
      <w:kinsoku w:val="0"/>
      <w:overflowPunct w:val="0"/>
      <w:autoSpaceDE w:val="0"/>
      <w:autoSpaceDN w:val="0"/>
      <w:ind w:left="1080" w:right="6" w:hanging="720"/>
    </w:pPr>
    <w:rPr>
      <w:rFonts w:ascii="Times New Roman Bold" w:eastAsia="Malgun Gothic" w:hAnsi="Times New Roman Bold" w:cs="Times New Roman Bold"/>
      <w:bCs/>
      <w:snapToGrid w:val="0"/>
      <w:kern w:val="22"/>
      <w:szCs w:val="22"/>
    </w:rPr>
  </w:style>
  <w:style w:type="paragraph" w:customStyle="1" w:styleId="heading2-item0">
    <w:name w:val="heading2-item"/>
    <w:basedOn w:val="Heading1"/>
    <w:qFormat/>
    <w:rsid w:val="00DF0E08"/>
    <w:rPr>
      <w:snapToGrid w:val="0"/>
    </w:rPr>
  </w:style>
  <w:style w:type="paragraph" w:styleId="TOCHeading">
    <w:name w:val="TOC Heading"/>
    <w:basedOn w:val="Heading1"/>
    <w:next w:val="Normal"/>
    <w:uiPriority w:val="39"/>
    <w:unhideWhenUsed/>
    <w:qFormat/>
    <w:rsid w:val="00B614A3"/>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26431583">
      <w:bodyDiv w:val="1"/>
      <w:marLeft w:val="0"/>
      <w:marRight w:val="0"/>
      <w:marTop w:val="0"/>
      <w:marBottom w:val="0"/>
      <w:divBdr>
        <w:top w:val="none" w:sz="0" w:space="0" w:color="auto"/>
        <w:left w:val="none" w:sz="0" w:space="0" w:color="auto"/>
        <w:bottom w:val="none" w:sz="0" w:space="0" w:color="auto"/>
        <w:right w:val="none" w:sz="0" w:space="0" w:color="auto"/>
      </w:divBdr>
      <w:divsChild>
        <w:div w:id="1313480743">
          <w:marLeft w:val="0"/>
          <w:marRight w:val="0"/>
          <w:marTop w:val="0"/>
          <w:marBottom w:val="0"/>
          <w:divBdr>
            <w:top w:val="none" w:sz="0" w:space="0" w:color="auto"/>
            <w:left w:val="none" w:sz="0" w:space="0" w:color="auto"/>
            <w:bottom w:val="none" w:sz="0" w:space="0" w:color="auto"/>
            <w:right w:val="none" w:sz="0" w:space="0" w:color="auto"/>
          </w:divBdr>
          <w:divsChild>
            <w:div w:id="276059701">
              <w:marLeft w:val="0"/>
              <w:marRight w:val="0"/>
              <w:marTop w:val="0"/>
              <w:marBottom w:val="0"/>
              <w:divBdr>
                <w:top w:val="none" w:sz="0" w:space="0" w:color="auto"/>
                <w:left w:val="none" w:sz="0" w:space="0" w:color="auto"/>
                <w:bottom w:val="none" w:sz="0" w:space="0" w:color="auto"/>
                <w:right w:val="none" w:sz="0" w:space="0" w:color="auto"/>
              </w:divBdr>
              <w:divsChild>
                <w:div w:id="1246495077">
                  <w:marLeft w:val="0"/>
                  <w:marRight w:val="300"/>
                  <w:marTop w:val="0"/>
                  <w:marBottom w:val="0"/>
                  <w:divBdr>
                    <w:top w:val="none" w:sz="0" w:space="0" w:color="auto"/>
                    <w:left w:val="none" w:sz="0" w:space="0" w:color="auto"/>
                    <w:bottom w:val="none" w:sz="0" w:space="0" w:color="auto"/>
                    <w:right w:val="none" w:sz="0" w:space="0" w:color="auto"/>
                  </w:divBdr>
                  <w:divsChild>
                    <w:div w:id="110783501">
                      <w:marLeft w:val="0"/>
                      <w:marRight w:val="0"/>
                      <w:marTop w:val="0"/>
                      <w:marBottom w:val="0"/>
                      <w:divBdr>
                        <w:top w:val="none" w:sz="0" w:space="0" w:color="auto"/>
                        <w:left w:val="none" w:sz="0" w:space="0" w:color="auto"/>
                        <w:bottom w:val="none" w:sz="0" w:space="0" w:color="auto"/>
                        <w:right w:val="none" w:sz="0" w:space="0" w:color="auto"/>
                      </w:divBdr>
                      <w:divsChild>
                        <w:div w:id="221454745">
                          <w:marLeft w:val="0"/>
                          <w:marRight w:val="0"/>
                          <w:marTop w:val="0"/>
                          <w:marBottom w:val="0"/>
                          <w:divBdr>
                            <w:top w:val="none" w:sz="0" w:space="0" w:color="auto"/>
                            <w:left w:val="none" w:sz="0" w:space="0" w:color="auto"/>
                            <w:bottom w:val="none" w:sz="0" w:space="0" w:color="auto"/>
                            <w:right w:val="none" w:sz="0" w:space="0" w:color="auto"/>
                          </w:divBdr>
                          <w:divsChild>
                            <w:div w:id="2112582171">
                              <w:marLeft w:val="0"/>
                              <w:marRight w:val="0"/>
                              <w:marTop w:val="0"/>
                              <w:marBottom w:val="0"/>
                              <w:divBdr>
                                <w:top w:val="none" w:sz="0" w:space="0" w:color="auto"/>
                                <w:left w:val="none" w:sz="0" w:space="0" w:color="auto"/>
                                <w:bottom w:val="none" w:sz="0" w:space="0" w:color="auto"/>
                                <w:right w:val="none" w:sz="0" w:space="0" w:color="auto"/>
                              </w:divBdr>
                              <w:divsChild>
                                <w:div w:id="1082291725">
                                  <w:marLeft w:val="0"/>
                                  <w:marRight w:val="0"/>
                                  <w:marTop w:val="0"/>
                                  <w:marBottom w:val="0"/>
                                  <w:divBdr>
                                    <w:top w:val="none" w:sz="0" w:space="0" w:color="auto"/>
                                    <w:left w:val="none" w:sz="0" w:space="0" w:color="auto"/>
                                    <w:bottom w:val="none" w:sz="0" w:space="0" w:color="auto"/>
                                    <w:right w:val="none" w:sz="0" w:space="0" w:color="auto"/>
                                  </w:divBdr>
                                  <w:divsChild>
                                    <w:div w:id="372581071">
                                      <w:marLeft w:val="0"/>
                                      <w:marRight w:val="0"/>
                                      <w:marTop w:val="0"/>
                                      <w:marBottom w:val="0"/>
                                      <w:divBdr>
                                        <w:top w:val="none" w:sz="0" w:space="0" w:color="auto"/>
                                        <w:left w:val="none" w:sz="0" w:space="0" w:color="auto"/>
                                        <w:bottom w:val="none" w:sz="0" w:space="0" w:color="auto"/>
                                        <w:right w:val="none" w:sz="0" w:space="0" w:color="auto"/>
                                      </w:divBdr>
                                    </w:div>
                                    <w:div w:id="462119864">
                                      <w:marLeft w:val="0"/>
                                      <w:marRight w:val="0"/>
                                      <w:marTop w:val="0"/>
                                      <w:marBottom w:val="0"/>
                                      <w:divBdr>
                                        <w:top w:val="none" w:sz="0" w:space="0" w:color="auto"/>
                                        <w:left w:val="none" w:sz="0" w:space="0" w:color="auto"/>
                                        <w:bottom w:val="none" w:sz="0" w:space="0" w:color="auto"/>
                                        <w:right w:val="none" w:sz="0" w:space="0" w:color="auto"/>
                                      </w:divBdr>
                                    </w:div>
                                    <w:div w:id="937447470">
                                      <w:marLeft w:val="0"/>
                                      <w:marRight w:val="0"/>
                                      <w:marTop w:val="0"/>
                                      <w:marBottom w:val="0"/>
                                      <w:divBdr>
                                        <w:top w:val="none" w:sz="0" w:space="0" w:color="auto"/>
                                        <w:left w:val="none" w:sz="0" w:space="0" w:color="auto"/>
                                        <w:bottom w:val="none" w:sz="0" w:space="0" w:color="auto"/>
                                        <w:right w:val="none" w:sz="0" w:space="0" w:color="auto"/>
                                      </w:divBdr>
                                    </w:div>
                                    <w:div w:id="16443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521375">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515731297">
      <w:bodyDiv w:val="1"/>
      <w:marLeft w:val="0"/>
      <w:marRight w:val="0"/>
      <w:marTop w:val="0"/>
      <w:marBottom w:val="0"/>
      <w:divBdr>
        <w:top w:val="none" w:sz="0" w:space="0" w:color="auto"/>
        <w:left w:val="none" w:sz="0" w:space="0" w:color="auto"/>
        <w:bottom w:val="none" w:sz="0" w:space="0" w:color="auto"/>
        <w:right w:val="none" w:sz="0" w:space="0" w:color="auto"/>
      </w:divBdr>
    </w:div>
    <w:div w:id="656422072">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86913672">
      <w:bodyDiv w:val="1"/>
      <w:marLeft w:val="0"/>
      <w:marRight w:val="0"/>
      <w:marTop w:val="0"/>
      <w:marBottom w:val="0"/>
      <w:divBdr>
        <w:top w:val="none" w:sz="0" w:space="0" w:color="auto"/>
        <w:left w:val="none" w:sz="0" w:space="0" w:color="auto"/>
        <w:bottom w:val="none" w:sz="0" w:space="0" w:color="auto"/>
        <w:right w:val="none" w:sz="0" w:space="0" w:color="auto"/>
      </w:divBdr>
    </w:div>
    <w:div w:id="943533640">
      <w:bodyDiv w:val="1"/>
      <w:marLeft w:val="0"/>
      <w:marRight w:val="0"/>
      <w:marTop w:val="0"/>
      <w:marBottom w:val="0"/>
      <w:divBdr>
        <w:top w:val="none" w:sz="0" w:space="0" w:color="auto"/>
        <w:left w:val="none" w:sz="0" w:space="0" w:color="auto"/>
        <w:bottom w:val="none" w:sz="0" w:space="0" w:color="auto"/>
        <w:right w:val="none" w:sz="0" w:space="0" w:color="auto"/>
      </w:divBdr>
      <w:divsChild>
        <w:div w:id="64888195">
          <w:marLeft w:val="0"/>
          <w:marRight w:val="0"/>
          <w:marTop w:val="0"/>
          <w:marBottom w:val="0"/>
          <w:divBdr>
            <w:top w:val="none" w:sz="0" w:space="0" w:color="auto"/>
            <w:left w:val="none" w:sz="0" w:space="0" w:color="auto"/>
            <w:bottom w:val="none" w:sz="0" w:space="0" w:color="auto"/>
            <w:right w:val="none" w:sz="0" w:space="0" w:color="auto"/>
          </w:divBdr>
          <w:divsChild>
            <w:div w:id="2127695923">
              <w:marLeft w:val="0"/>
              <w:marRight w:val="0"/>
              <w:marTop w:val="0"/>
              <w:marBottom w:val="0"/>
              <w:divBdr>
                <w:top w:val="none" w:sz="0" w:space="0" w:color="auto"/>
                <w:left w:val="none" w:sz="0" w:space="0" w:color="auto"/>
                <w:bottom w:val="none" w:sz="0" w:space="0" w:color="auto"/>
                <w:right w:val="none" w:sz="0" w:space="0" w:color="auto"/>
              </w:divBdr>
              <w:divsChild>
                <w:div w:id="1073308312">
                  <w:marLeft w:val="0"/>
                  <w:marRight w:val="300"/>
                  <w:marTop w:val="0"/>
                  <w:marBottom w:val="0"/>
                  <w:divBdr>
                    <w:top w:val="none" w:sz="0" w:space="0" w:color="auto"/>
                    <w:left w:val="none" w:sz="0" w:space="0" w:color="auto"/>
                    <w:bottom w:val="none" w:sz="0" w:space="0" w:color="auto"/>
                    <w:right w:val="none" w:sz="0" w:space="0" w:color="auto"/>
                  </w:divBdr>
                  <w:divsChild>
                    <w:div w:id="320500646">
                      <w:marLeft w:val="0"/>
                      <w:marRight w:val="0"/>
                      <w:marTop w:val="0"/>
                      <w:marBottom w:val="0"/>
                      <w:divBdr>
                        <w:top w:val="none" w:sz="0" w:space="0" w:color="auto"/>
                        <w:left w:val="none" w:sz="0" w:space="0" w:color="auto"/>
                        <w:bottom w:val="none" w:sz="0" w:space="0" w:color="auto"/>
                        <w:right w:val="none" w:sz="0" w:space="0" w:color="auto"/>
                      </w:divBdr>
                      <w:divsChild>
                        <w:div w:id="1805270024">
                          <w:marLeft w:val="0"/>
                          <w:marRight w:val="0"/>
                          <w:marTop w:val="0"/>
                          <w:marBottom w:val="0"/>
                          <w:divBdr>
                            <w:top w:val="none" w:sz="0" w:space="0" w:color="auto"/>
                            <w:left w:val="none" w:sz="0" w:space="0" w:color="auto"/>
                            <w:bottom w:val="none" w:sz="0" w:space="0" w:color="auto"/>
                            <w:right w:val="none" w:sz="0" w:space="0" w:color="auto"/>
                          </w:divBdr>
                          <w:divsChild>
                            <w:div w:id="548807772">
                              <w:marLeft w:val="0"/>
                              <w:marRight w:val="0"/>
                              <w:marTop w:val="0"/>
                              <w:marBottom w:val="0"/>
                              <w:divBdr>
                                <w:top w:val="none" w:sz="0" w:space="0" w:color="auto"/>
                                <w:left w:val="none" w:sz="0" w:space="0" w:color="auto"/>
                                <w:bottom w:val="none" w:sz="0" w:space="0" w:color="auto"/>
                                <w:right w:val="none" w:sz="0" w:space="0" w:color="auto"/>
                              </w:divBdr>
                              <w:divsChild>
                                <w:div w:id="773549218">
                                  <w:marLeft w:val="0"/>
                                  <w:marRight w:val="0"/>
                                  <w:marTop w:val="0"/>
                                  <w:marBottom w:val="0"/>
                                  <w:divBdr>
                                    <w:top w:val="none" w:sz="0" w:space="0" w:color="auto"/>
                                    <w:left w:val="none" w:sz="0" w:space="0" w:color="auto"/>
                                    <w:bottom w:val="none" w:sz="0" w:space="0" w:color="auto"/>
                                    <w:right w:val="none" w:sz="0" w:space="0" w:color="auto"/>
                                  </w:divBdr>
                                  <w:divsChild>
                                    <w:div w:id="1506045567">
                                      <w:marLeft w:val="0"/>
                                      <w:marRight w:val="0"/>
                                      <w:marTop w:val="0"/>
                                      <w:marBottom w:val="0"/>
                                      <w:divBdr>
                                        <w:top w:val="none" w:sz="0" w:space="0" w:color="auto"/>
                                        <w:left w:val="none" w:sz="0" w:space="0" w:color="auto"/>
                                        <w:bottom w:val="none" w:sz="0" w:space="0" w:color="auto"/>
                                        <w:right w:val="none" w:sz="0" w:space="0" w:color="auto"/>
                                      </w:divBdr>
                                      <w:divsChild>
                                        <w:div w:id="726731402">
                                          <w:marLeft w:val="0"/>
                                          <w:marRight w:val="0"/>
                                          <w:marTop w:val="0"/>
                                          <w:marBottom w:val="0"/>
                                          <w:divBdr>
                                            <w:top w:val="none" w:sz="0" w:space="0" w:color="auto"/>
                                            <w:left w:val="none" w:sz="0" w:space="0" w:color="auto"/>
                                            <w:bottom w:val="none" w:sz="0" w:space="0" w:color="auto"/>
                                            <w:right w:val="none" w:sz="0" w:space="0" w:color="auto"/>
                                          </w:divBdr>
                                          <w:divsChild>
                                            <w:div w:id="348289330">
                                              <w:marLeft w:val="0"/>
                                              <w:marRight w:val="0"/>
                                              <w:marTop w:val="105"/>
                                              <w:marBottom w:val="105"/>
                                              <w:divBdr>
                                                <w:top w:val="none" w:sz="0" w:space="0" w:color="auto"/>
                                                <w:left w:val="none" w:sz="0" w:space="0" w:color="auto"/>
                                                <w:bottom w:val="none" w:sz="0" w:space="0" w:color="auto"/>
                                                <w:right w:val="none" w:sz="0" w:space="0" w:color="auto"/>
                                              </w:divBdr>
                                              <w:divsChild>
                                                <w:div w:id="362943196">
                                                  <w:marLeft w:val="0"/>
                                                  <w:marRight w:val="0"/>
                                                  <w:marTop w:val="105"/>
                                                  <w:marBottom w:val="105"/>
                                                  <w:divBdr>
                                                    <w:top w:val="none" w:sz="0" w:space="0" w:color="auto"/>
                                                    <w:left w:val="none" w:sz="0" w:space="0" w:color="auto"/>
                                                    <w:bottom w:val="none" w:sz="0" w:space="0" w:color="auto"/>
                                                    <w:right w:val="none" w:sz="0" w:space="0" w:color="auto"/>
                                                  </w:divBdr>
                                                </w:div>
                                                <w:div w:id="530921151">
                                                  <w:marLeft w:val="0"/>
                                                  <w:marRight w:val="0"/>
                                                  <w:marTop w:val="105"/>
                                                  <w:marBottom w:val="105"/>
                                                  <w:divBdr>
                                                    <w:top w:val="none" w:sz="0" w:space="0" w:color="auto"/>
                                                    <w:left w:val="none" w:sz="0" w:space="0" w:color="auto"/>
                                                    <w:bottom w:val="none" w:sz="0" w:space="0" w:color="auto"/>
                                                    <w:right w:val="none" w:sz="0" w:space="0" w:color="auto"/>
                                                  </w:divBdr>
                                                </w:div>
                                                <w:div w:id="619531423">
                                                  <w:marLeft w:val="0"/>
                                                  <w:marRight w:val="0"/>
                                                  <w:marTop w:val="105"/>
                                                  <w:marBottom w:val="105"/>
                                                  <w:divBdr>
                                                    <w:top w:val="none" w:sz="0" w:space="0" w:color="auto"/>
                                                    <w:left w:val="none" w:sz="0" w:space="0" w:color="auto"/>
                                                    <w:bottom w:val="none" w:sz="0" w:space="0" w:color="auto"/>
                                                    <w:right w:val="none" w:sz="0" w:space="0" w:color="auto"/>
                                                  </w:divBdr>
                                                </w:div>
                                                <w:div w:id="1659649569">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78289086">
      <w:bodyDiv w:val="1"/>
      <w:marLeft w:val="0"/>
      <w:marRight w:val="0"/>
      <w:marTop w:val="0"/>
      <w:marBottom w:val="0"/>
      <w:divBdr>
        <w:top w:val="none" w:sz="0" w:space="0" w:color="auto"/>
        <w:left w:val="none" w:sz="0" w:space="0" w:color="auto"/>
        <w:bottom w:val="none" w:sz="0" w:space="0" w:color="auto"/>
        <w:right w:val="none" w:sz="0" w:space="0" w:color="auto"/>
      </w:divBdr>
    </w:div>
    <w:div w:id="1116946770">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672069">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48605843">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ch.cbd.int/protocol/decisions/?decisionID=8284" TargetMode="External"/><Relationship Id="rId18" Type="http://schemas.openxmlformats.org/officeDocument/2006/relationships/hyperlink" Target="http://bch.cbd.int/protocol/decisions/?decisionID=12329" TargetMode="External"/><Relationship Id="rId26" Type="http://schemas.openxmlformats.org/officeDocument/2006/relationships/hyperlink" Target="https://www.cbd.int/decision/mop/default.shtml?id=13246" TargetMode="External"/><Relationship Id="rId39" Type="http://schemas.openxmlformats.org/officeDocument/2006/relationships/hyperlink" Target="https://www.cbd.int/doc/decisions/cop-13/cop-13-dec-33-en.pdf" TargetMode="External"/><Relationship Id="rId3" Type="http://schemas.openxmlformats.org/officeDocument/2006/relationships/numbering" Target="numbering.xml"/><Relationship Id="rId21" Type="http://schemas.openxmlformats.org/officeDocument/2006/relationships/hyperlink" Target="http://bch.cbd.int/protocol/decisions/?decisionID=12315" TargetMode="External"/><Relationship Id="rId34" Type="http://schemas.openxmlformats.org/officeDocument/2006/relationships/header" Target="header2.xml"/><Relationship Id="rId42"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bch.cbd.int/protocol/decisions/?decisionID=13517" TargetMode="External"/><Relationship Id="rId17" Type="http://schemas.openxmlformats.org/officeDocument/2006/relationships/hyperlink" Target="http://bch.cbd.int/protocol/decisions/?decisionID=13248" TargetMode="External"/><Relationship Id="rId25" Type="http://schemas.openxmlformats.org/officeDocument/2006/relationships/hyperlink" Target="https://www.cbd.int/doc/decisions/cop-12/cop-12-dec-24-en.pdf" TargetMode="External"/><Relationship Id="rId33" Type="http://schemas.openxmlformats.org/officeDocument/2006/relationships/header" Target="header1.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bch.cbd.int/protocol/decisions/?decisionID=13542" TargetMode="External"/><Relationship Id="rId20" Type="http://schemas.openxmlformats.org/officeDocument/2006/relationships/hyperlink" Target="https://www.cbd.int/doc/decisions/mop-08/mop-08-dec-10-en.pdf" TargetMode="External"/><Relationship Id="rId29" Type="http://schemas.openxmlformats.org/officeDocument/2006/relationships/hyperlink" Target="http://bch.cbd.int/protocol/decisions/?decisionID=135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www.cbd.int/doc/decisions/mop-07/mop-07-dec-12-en.pdf" TargetMode="External"/><Relationship Id="rId32" Type="http://schemas.openxmlformats.org/officeDocument/2006/relationships/hyperlink" Target="https://www.cbd.int/decision/cop/default.shtml?id=7097" TargetMode="External"/><Relationship Id="rId37" Type="http://schemas.openxmlformats.org/officeDocument/2006/relationships/footer" Target="footer1.xml"/><Relationship Id="rId40"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s://www.cbd.int/doc/decisions/mop-08/mop-08-dec-03-en.pdf" TargetMode="External"/><Relationship Id="rId23" Type="http://schemas.openxmlformats.org/officeDocument/2006/relationships/hyperlink" Target="http://bch.cbd.int/protocol/decisions/?decisionID=13545" TargetMode="External"/><Relationship Id="rId28" Type="http://schemas.openxmlformats.org/officeDocument/2006/relationships/hyperlink" Target="https://www.cbd.int/doc/decisions/mop-08/mop-08-dec-13-en.pdf" TargetMode="External"/><Relationship Id="rId36"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hyperlink" Target="https://www.cbd.int/doc/decisions/mop-07/mop-07-dec-09-en.pdf" TargetMode="External"/><Relationship Id="rId31" Type="http://schemas.openxmlformats.org/officeDocument/2006/relationships/hyperlink" Target="https://www.cbd.int/doc/decisions/np-mop-02/np-mop-02-dec-13-en.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ecision/mop/default.shtml?id=13236" TargetMode="External"/><Relationship Id="rId22" Type="http://schemas.openxmlformats.org/officeDocument/2006/relationships/hyperlink" Target="http://bch.cbd.int/protocol/decisions/?decisionID=13349" TargetMode="External"/><Relationship Id="rId27" Type="http://schemas.openxmlformats.org/officeDocument/2006/relationships/hyperlink" Target="https://www.cbd.int/doc/decisions/mop-07/mop-07-dec-13-en.pdf" TargetMode="External"/><Relationship Id="rId30" Type="http://schemas.openxmlformats.org/officeDocument/2006/relationships/hyperlink" Target="https://www.cbd.int/doc/decisions/cop-13/cop-13-dec-32-en.pdf" TargetMode="External"/><Relationship Id="rId35" Type="http://schemas.openxmlformats.org/officeDocument/2006/relationships/header" Target="header3.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secretariat@cbd.int" TargetMode="External"/><Relationship Id="rId7" Type="http://schemas.openxmlformats.org/officeDocument/2006/relationships/hyperlink" Target="https://www.cbd.int/doc/notifications/2019/ntf-2019-016-budget-cp-en.pdf" TargetMode="External"/><Relationship Id="rId2" Type="http://schemas.openxmlformats.org/officeDocument/2006/relationships/hyperlink" Target="https://bch.cbd.int/protocol/decisions/decision.shtml?decisionID=12329" TargetMode="External"/><Relationship Id="rId1" Type="http://schemas.openxmlformats.org/officeDocument/2006/relationships/hyperlink" Target="https://www.cbd.int/doc/c/05b3/3c25/2cc04a53ad3360ce1a1b940e/sbi-02-22-en.pdf" TargetMode="External"/><Relationship Id="rId6" Type="http://schemas.openxmlformats.org/officeDocument/2006/relationships/hyperlink" Target="https://www.cbd.int/doc/decisions/cop-08/cop-08-dec-10-en.pdf" TargetMode="External"/><Relationship Id="rId5" Type="http://schemas.openxmlformats.org/officeDocument/2006/relationships/hyperlink" Target="https://www.cbd.int/doc/c/2a4e/4a1b/9aa23008d4af76c6e2cf4de8/sbi-02-16-add1-en.pdf" TargetMode="External"/><Relationship Id="rId4" Type="http://schemas.openxmlformats.org/officeDocument/2006/relationships/hyperlink" Target="https://www.cbd.int/doc/c/c0ec/0c32/af301e7abc00c0ae92c2110e/sbi-02-16-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8D5438D86D4A71BBE6089CEEBFFBDE"/>
        <w:category>
          <w:name w:val="General"/>
          <w:gallery w:val="placeholder"/>
        </w:category>
        <w:types>
          <w:type w:val="bbPlcHdr"/>
        </w:types>
        <w:behaviors>
          <w:behavior w:val="content"/>
        </w:behaviors>
        <w:guid w:val="{30DD45C2-5FCE-4116-BB42-E06BE614BA81}"/>
      </w:docPartPr>
      <w:docPartBody>
        <w:p w:rsidR="00230542" w:rsidRDefault="00230542" w:rsidP="00230542">
          <w:pPr>
            <w:pStyle w:val="D78D5438D86D4A71BBE6089CEEBFFBDE"/>
          </w:pPr>
          <w:r w:rsidRPr="007E02EB">
            <w:rPr>
              <w:rStyle w:val="PlaceholderText"/>
            </w:rPr>
            <w:t>[Status]</w:t>
          </w:r>
        </w:p>
      </w:docPartBody>
    </w:docPart>
    <w:docPart>
      <w:docPartPr>
        <w:name w:val="44258BF6970D4CC59FE855240C8C7AF3"/>
        <w:category>
          <w:name w:val="General"/>
          <w:gallery w:val="placeholder"/>
        </w:category>
        <w:types>
          <w:type w:val="bbPlcHdr"/>
        </w:types>
        <w:behaviors>
          <w:behavior w:val="content"/>
        </w:behaviors>
        <w:guid w:val="{796A718C-F9C5-483E-9056-90CEBE9E37E4}"/>
      </w:docPartPr>
      <w:docPartBody>
        <w:p w:rsidR="00230542" w:rsidRDefault="00230542" w:rsidP="00230542">
          <w:pPr>
            <w:pStyle w:val="44258BF6970D4CC59FE855240C8C7AF3"/>
          </w:pPr>
          <w:r w:rsidRPr="007E02EB">
            <w:rPr>
              <w:rStyle w:val="PlaceholderText"/>
            </w:rPr>
            <w:t>[Subject]</w:t>
          </w:r>
        </w:p>
      </w:docPartBody>
    </w:docPart>
    <w:docPart>
      <w:docPartPr>
        <w:name w:val="9E8E2A4135FA43898FBCA955F7910517"/>
        <w:category>
          <w:name w:val="General"/>
          <w:gallery w:val="placeholder"/>
        </w:category>
        <w:types>
          <w:type w:val="bbPlcHdr"/>
        </w:types>
        <w:behaviors>
          <w:behavior w:val="content"/>
        </w:behaviors>
        <w:guid w:val="{7BCC79FF-A610-4B44-B051-9B25FCD843F5}"/>
      </w:docPartPr>
      <w:docPartBody>
        <w:p w:rsidR="00774A6F" w:rsidRDefault="00774A6F">
          <w:r w:rsidRPr="00C23C1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542"/>
    <w:rsid w:val="00050D11"/>
    <w:rsid w:val="00074019"/>
    <w:rsid w:val="00230542"/>
    <w:rsid w:val="002A49CA"/>
    <w:rsid w:val="003226CA"/>
    <w:rsid w:val="00330AF8"/>
    <w:rsid w:val="00344D4E"/>
    <w:rsid w:val="003479F5"/>
    <w:rsid w:val="003A5BC4"/>
    <w:rsid w:val="003C67AE"/>
    <w:rsid w:val="00465665"/>
    <w:rsid w:val="004712C3"/>
    <w:rsid w:val="005008DE"/>
    <w:rsid w:val="00507D43"/>
    <w:rsid w:val="005106AF"/>
    <w:rsid w:val="006B0156"/>
    <w:rsid w:val="006B1068"/>
    <w:rsid w:val="006C4372"/>
    <w:rsid w:val="00774A6F"/>
    <w:rsid w:val="00860C40"/>
    <w:rsid w:val="008A08EB"/>
    <w:rsid w:val="008B3CDB"/>
    <w:rsid w:val="008E3B7B"/>
    <w:rsid w:val="009310FF"/>
    <w:rsid w:val="00976D44"/>
    <w:rsid w:val="00A01AEF"/>
    <w:rsid w:val="00A52D72"/>
    <w:rsid w:val="00B06793"/>
    <w:rsid w:val="00BF0596"/>
    <w:rsid w:val="00C07AA5"/>
    <w:rsid w:val="00D77485"/>
    <w:rsid w:val="00D8192A"/>
    <w:rsid w:val="00DC0067"/>
    <w:rsid w:val="00E66889"/>
    <w:rsid w:val="00F24F57"/>
    <w:rsid w:val="00FA7455"/>
    <w:rsid w:val="00FF4D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D78D5438D86D4A71BBE6089CEEBFFBDE">
    <w:name w:val="D78D5438D86D4A71BBE6089CEEBFFBDE"/>
    <w:rsid w:val="00230542"/>
  </w:style>
  <w:style w:type="paragraph" w:customStyle="1" w:styleId="44258BF6970D4CC59FE855240C8C7AF3">
    <w:name w:val="44258BF6970D4CC59FE855240C8C7AF3"/>
    <w:rsid w:val="00230542"/>
  </w:style>
  <w:style w:type="paragraph" w:customStyle="1" w:styleId="8CDFAA1EFF984817A8F23316EBBCEA15">
    <w:name w:val="8CDFAA1EFF984817A8F23316EBBCEA15"/>
    <w:rsid w:val="00230542"/>
  </w:style>
  <w:style w:type="paragraph" w:customStyle="1" w:styleId="10C6755F202446B9BB7D7DB4A32425ED">
    <w:name w:val="10C6755F202446B9BB7D7DB4A32425ED"/>
    <w:rPr>
      <w:lang w:val="en-CA" w:eastAsia="en-CA"/>
    </w:rPr>
  </w:style>
  <w:style w:type="paragraph" w:customStyle="1" w:styleId="C51287BAB33D4525949843A812E88887">
    <w:name w:val="C51287BAB33D4525949843A812E88887"/>
    <w:rPr>
      <w:lang w:val="en-CA" w:eastAsia="en-CA"/>
    </w:rPr>
  </w:style>
  <w:style w:type="paragraph" w:customStyle="1" w:styleId="6ADB49FDB9BA4A68A6D062B604E85051">
    <w:name w:val="6ADB49FDB9BA4A68A6D062B604E85051"/>
    <w:rPr>
      <w:lang w:val="en-CA" w:eastAsia="en-CA"/>
    </w:rPr>
  </w:style>
  <w:style w:type="paragraph" w:customStyle="1" w:styleId="5808F111724C47C99623803746D24336">
    <w:name w:val="5808F111724C47C99623803746D24336"/>
    <w:rPr>
      <w:lang w:val="en-CA" w:eastAsia="en-CA"/>
    </w:rPr>
  </w:style>
  <w:style w:type="paragraph" w:customStyle="1" w:styleId="2087796A328D40958DE955492D14D811">
    <w:name w:val="2087796A328D40958DE955492D14D811"/>
    <w:rPr>
      <w:lang w:val="en-CA" w:eastAsia="en-CA"/>
    </w:rPr>
  </w:style>
  <w:style w:type="paragraph" w:customStyle="1" w:styleId="F35E635BA3E24B96BAC25CB82B797E0C">
    <w:name w:val="F35E635BA3E24B96BAC25CB82B797E0C"/>
    <w:rPr>
      <w:lang w:val="en-CA" w:eastAsia="en-CA"/>
    </w:rPr>
  </w:style>
  <w:style w:type="paragraph" w:customStyle="1" w:styleId="76A3FC51D56D4DA5BCDAC96A3372FD97">
    <w:name w:val="76A3FC51D56D4DA5BCDAC96A3372FD97"/>
    <w:rPr>
      <w:lang w:val="en-CA" w:eastAsia="en-CA"/>
    </w:rPr>
  </w:style>
  <w:style w:type="paragraph" w:customStyle="1" w:styleId="F429BE387B044A5085EA00B2DC81E2E7">
    <w:name w:val="F429BE387B044A5085EA00B2DC81E2E7"/>
    <w:rPr>
      <w:lang w:val="en-CA" w:eastAsia="en-CA"/>
    </w:rPr>
  </w:style>
  <w:style w:type="paragraph" w:customStyle="1" w:styleId="A55F41C7F68C4743AF689AF566365684">
    <w:name w:val="A55F41C7F68C4743AF689AF566365684"/>
    <w:rPr>
      <w:lang w:val="en-CA" w:eastAsia="en-CA"/>
    </w:rPr>
  </w:style>
  <w:style w:type="paragraph" w:customStyle="1" w:styleId="686451210A4A476F8A908C1A16721885">
    <w:name w:val="686451210A4A476F8A908C1A16721885"/>
    <w:rPr>
      <w:lang w:val="en-CA" w:eastAsia="en-CA"/>
    </w:rPr>
  </w:style>
  <w:style w:type="paragraph" w:customStyle="1" w:styleId="136CF0477D9F44F2B2A1EB6536CDB397">
    <w:name w:val="136CF0477D9F44F2B2A1EB6536CDB397"/>
    <w:rPr>
      <w:lang w:val="en-CA" w:eastAsia="en-CA"/>
    </w:rPr>
  </w:style>
  <w:style w:type="paragraph" w:customStyle="1" w:styleId="8E0FD17E8033404EB4E2694AFD99CE61">
    <w:name w:val="8E0FD17E8033404EB4E2694AFD99CE61"/>
    <w:rPr>
      <w:lang w:val="en-CA" w:eastAsia="en-CA"/>
    </w:rPr>
  </w:style>
  <w:style w:type="paragraph" w:customStyle="1" w:styleId="7A644EB3755546128747FC0DDB16B766">
    <w:name w:val="7A644EB3755546128747FC0DDB16B766"/>
    <w:rPr>
      <w:lang w:val="en-CA" w:eastAsia="en-CA"/>
    </w:rPr>
  </w:style>
  <w:style w:type="paragraph" w:customStyle="1" w:styleId="1693C0743E15452088E57111AD27DD09">
    <w:name w:val="1693C0743E15452088E57111AD27DD09"/>
    <w:rPr>
      <w:lang w:val="en-CA" w:eastAsia="en-CA"/>
    </w:rPr>
  </w:style>
  <w:style w:type="paragraph" w:customStyle="1" w:styleId="AE8074789A984446BB8841774D078C8E">
    <w:name w:val="AE8074789A984446BB8841774D078C8E"/>
    <w:rPr>
      <w:lang w:val="en-CA" w:eastAsia="en-CA"/>
    </w:rPr>
  </w:style>
  <w:style w:type="paragraph" w:customStyle="1" w:styleId="F7F2A671D16A4A7F90C4B6D6D115EF6C">
    <w:name w:val="F7F2A671D16A4A7F90C4B6D6D115EF6C"/>
    <w:rPr>
      <w:lang w:val="en-CA" w:eastAsia="en-CA"/>
    </w:rPr>
  </w:style>
  <w:style w:type="paragraph" w:customStyle="1" w:styleId="C32BDA30C35D49A5B34327E7D48FE9F2">
    <w:name w:val="C32BDA30C35D49A5B34327E7D48FE9F2"/>
    <w:rPr>
      <w:lang w:val="en-CA" w:eastAsia="en-CA"/>
    </w:rPr>
  </w:style>
  <w:style w:type="paragraph" w:customStyle="1" w:styleId="3B84A4BC84134E0286E2B9A0774EBB59">
    <w:name w:val="3B84A4BC84134E0286E2B9A0774EBB59"/>
    <w:rPr>
      <w:lang w:val="en-CA" w:eastAsia="en-CA"/>
    </w:rPr>
  </w:style>
  <w:style w:type="paragraph" w:customStyle="1" w:styleId="4DA4DE38CE6C48DEA79DE23CDB9B2BB8">
    <w:name w:val="4DA4DE38CE6C48DEA79DE23CDB9B2BB8"/>
    <w:rPr>
      <w:lang w:val="en-CA" w:eastAsia="en-CA"/>
    </w:rPr>
  </w:style>
  <w:style w:type="paragraph" w:customStyle="1" w:styleId="3B9B29EE144F4309BE230DB5009846ED">
    <w:name w:val="3B9B29EE144F4309BE230DB5009846ED"/>
    <w:rPr>
      <w:lang w:val="en-CA" w:eastAsia="en-CA"/>
    </w:rPr>
  </w:style>
  <w:style w:type="paragraph" w:customStyle="1" w:styleId="226E4885CD4E4EB685BBC57425C3135E">
    <w:name w:val="226E4885CD4E4EB685BBC57425C3135E"/>
    <w:rPr>
      <w:lang w:val="en-CA" w:eastAsia="en-CA"/>
    </w:rPr>
  </w:style>
  <w:style w:type="paragraph" w:customStyle="1" w:styleId="73DFE32BB4EB4B72BE961EDD7DF4E11C">
    <w:name w:val="73DFE32BB4EB4B72BE961EDD7DF4E11C"/>
    <w:rPr>
      <w:lang w:val="en-CA" w:eastAsia="en-CA"/>
    </w:rPr>
  </w:style>
  <w:style w:type="paragraph" w:customStyle="1" w:styleId="76D1BFB1127D41719DBE65004CF88432">
    <w:name w:val="76D1BFB1127D41719DBE65004CF88432"/>
    <w:rPr>
      <w:lang w:val="en-CA" w:eastAsia="en-CA"/>
    </w:rPr>
  </w:style>
  <w:style w:type="paragraph" w:customStyle="1" w:styleId="490767F1897D473EAF757BA2EB490B63">
    <w:name w:val="490767F1897D473EAF757BA2EB490B63"/>
    <w:rPr>
      <w:lang w:val="en-CA" w:eastAsia="en-CA"/>
    </w:rPr>
  </w:style>
  <w:style w:type="paragraph" w:customStyle="1" w:styleId="DC628B83FE8B4152A97B43FDE993A73C">
    <w:name w:val="DC628B83FE8B4152A97B43FDE993A73C"/>
    <w:rPr>
      <w:lang w:val="en-CA" w:eastAsia="en-CA"/>
    </w:rPr>
  </w:style>
  <w:style w:type="paragraph" w:customStyle="1" w:styleId="E9256184352C4916917C1F9CC08421A6">
    <w:name w:val="E9256184352C4916917C1F9CC08421A6"/>
    <w:rPr>
      <w:lang w:val="en-CA" w:eastAsia="en-CA"/>
    </w:rPr>
  </w:style>
  <w:style w:type="paragraph" w:customStyle="1" w:styleId="912FB8C68B744C60AD6812F026EC6FC6">
    <w:name w:val="912FB8C68B744C60AD6812F026EC6FC6"/>
    <w:rPr>
      <w:lang w:val="en-CA" w:eastAsia="en-CA"/>
    </w:rPr>
  </w:style>
  <w:style w:type="paragraph" w:customStyle="1" w:styleId="BAFFE8714AF44ED2A359201B994BEC8A">
    <w:name w:val="BAFFE8714AF44ED2A359201B994BEC8A"/>
    <w:rPr>
      <w:lang w:val="en-CA" w:eastAsia="en-CA"/>
    </w:rPr>
  </w:style>
  <w:style w:type="paragraph" w:customStyle="1" w:styleId="49ECFE0C94E84D2EBC81DF903D4197CD">
    <w:name w:val="49ECFE0C94E84D2EBC81DF903D4197CD"/>
    <w:rPr>
      <w:lang w:val="en-CA" w:eastAsia="en-CA"/>
    </w:rPr>
  </w:style>
  <w:style w:type="paragraph" w:customStyle="1" w:styleId="C21F96B3EEDE4F1F9E6D8DBDE518698D">
    <w:name w:val="C21F96B3EEDE4F1F9E6D8DBDE518698D"/>
    <w:rPr>
      <w:lang w:val="en-CA" w:eastAsia="en-CA"/>
    </w:rPr>
  </w:style>
  <w:style w:type="paragraph" w:customStyle="1" w:styleId="6C14A237C45A4B05AA15C910776EB33D">
    <w:name w:val="6C14A237C45A4B05AA15C910776EB33D"/>
    <w:rPr>
      <w:lang w:val="en-CA" w:eastAsia="en-CA"/>
    </w:rPr>
  </w:style>
  <w:style w:type="paragraph" w:customStyle="1" w:styleId="9DACD883D7BB42018BA418E09835B636">
    <w:name w:val="9DACD883D7BB42018BA418E09835B636"/>
    <w:rPr>
      <w:lang w:val="en-CA" w:eastAsia="en-CA"/>
    </w:rPr>
  </w:style>
  <w:style w:type="paragraph" w:customStyle="1" w:styleId="F0D8548E12C04219AA96FCCF03F06234">
    <w:name w:val="F0D8548E12C04219AA96FCCF03F06234"/>
    <w:rPr>
      <w:lang w:val="en-CA" w:eastAsia="en-CA"/>
    </w:rPr>
  </w:style>
  <w:style w:type="paragraph" w:customStyle="1" w:styleId="DE2E2EFCBE66491F845B13D4701C75C8">
    <w:name w:val="DE2E2EFCBE66491F845B13D4701C75C8"/>
    <w:rPr>
      <w:lang w:val="en-CA" w:eastAsia="en-CA"/>
    </w:rPr>
  </w:style>
  <w:style w:type="paragraph" w:customStyle="1" w:styleId="612739DE687B40A6B1FC4777314E5EC8">
    <w:name w:val="612739DE687B40A6B1FC4777314E5EC8"/>
    <w:rPr>
      <w:lang w:val="en-CA" w:eastAsia="en-CA"/>
    </w:rPr>
  </w:style>
  <w:style w:type="paragraph" w:customStyle="1" w:styleId="EE990C65DC2C47DDBE7B3B3EE02A8016">
    <w:name w:val="EE990C65DC2C47DDBE7B3B3EE02A8016"/>
    <w:rPr>
      <w:lang w:val="en-CA" w:eastAsia="en-CA"/>
    </w:rPr>
  </w:style>
  <w:style w:type="paragraph" w:customStyle="1" w:styleId="32F710296454475A9C575718F23D8547">
    <w:name w:val="32F710296454475A9C575718F23D8547"/>
    <w:rPr>
      <w:lang w:val="en-CA" w:eastAsia="en-CA"/>
    </w:rPr>
  </w:style>
  <w:style w:type="paragraph" w:customStyle="1" w:styleId="5DC210858F6D417D964A364DB2F3D386">
    <w:name w:val="5DC210858F6D417D964A364DB2F3D386"/>
    <w:rPr>
      <w:lang w:val="en-CA" w:eastAsia="en-CA"/>
    </w:rPr>
  </w:style>
  <w:style w:type="paragraph" w:customStyle="1" w:styleId="7C30233ED231402B8227BB78A5FCD563">
    <w:name w:val="7C30233ED231402B8227BB78A5FCD563"/>
    <w:rPr>
      <w:lang w:val="en-CA" w:eastAsia="en-CA"/>
    </w:rPr>
  </w:style>
  <w:style w:type="paragraph" w:customStyle="1" w:styleId="D212AB5EDC5C4628B28887884C9CD1B0">
    <w:name w:val="D212AB5EDC5C4628B28887884C9CD1B0"/>
    <w:rPr>
      <w:lang w:val="en-CA" w:eastAsia="en-CA"/>
    </w:rPr>
  </w:style>
  <w:style w:type="paragraph" w:customStyle="1" w:styleId="149526E663B64A229DAB403F321D5E1F">
    <w:name w:val="149526E663B64A229DAB403F321D5E1F"/>
    <w:rPr>
      <w:lang w:val="en-CA" w:eastAsia="en-CA"/>
    </w:rPr>
  </w:style>
  <w:style w:type="paragraph" w:customStyle="1" w:styleId="17692868493147F98D0B95779E8CA31F">
    <w:name w:val="17692868493147F98D0B95779E8CA31F"/>
    <w:rPr>
      <w:lang w:val="en-CA" w:eastAsia="en-CA"/>
    </w:rPr>
  </w:style>
  <w:style w:type="paragraph" w:customStyle="1" w:styleId="2121CB961A154586A4AD642D3EE46F05">
    <w:name w:val="2121CB961A154586A4AD642D3EE46F05"/>
    <w:rPr>
      <w:lang w:val="en-CA" w:eastAsia="en-CA"/>
    </w:rPr>
  </w:style>
  <w:style w:type="paragraph" w:customStyle="1" w:styleId="17687C8C1DEF4C1C82E153B8285B5A55">
    <w:name w:val="17687C8C1DEF4C1C82E153B8285B5A55"/>
    <w:rPr>
      <w:lang w:val="en-CA" w:eastAsia="en-CA"/>
    </w:rPr>
  </w:style>
  <w:style w:type="paragraph" w:customStyle="1" w:styleId="CAE1DA31981049B082F961DC332E336F">
    <w:name w:val="CAE1DA31981049B082F961DC332E336F"/>
    <w:rPr>
      <w:lang w:val="en-CA" w:eastAsia="en-CA"/>
    </w:rPr>
  </w:style>
  <w:style w:type="paragraph" w:customStyle="1" w:styleId="8769C4B0F9244AE4878D7E7FA3CEC67B">
    <w:name w:val="8769C4B0F9244AE4878D7E7FA3CEC67B"/>
    <w:rPr>
      <w:lang w:val="en-CA" w:eastAsia="en-CA"/>
    </w:rPr>
  </w:style>
  <w:style w:type="paragraph" w:customStyle="1" w:styleId="1FD3A2213BC54B3BA7F5F2D2F621F540">
    <w:name w:val="1FD3A2213BC54B3BA7F5F2D2F621F540"/>
    <w:rPr>
      <w:lang w:val="en-CA" w:eastAsia="en-CA"/>
    </w:rPr>
  </w:style>
  <w:style w:type="paragraph" w:customStyle="1" w:styleId="9495BCBF372843B682080F24197A114C">
    <w:name w:val="9495BCBF372843B682080F24197A114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October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3025E5-7634-4F23-82C0-6BFD7A04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29077</Words>
  <Characters>165743</Characters>
  <Application>Microsoft Office Word</Application>
  <DocSecurity>0</DocSecurity>
  <Lines>1381</Lines>
  <Paragraphs>388</Paragraphs>
  <ScaleCrop>false</ScaleCrop>
  <HeadingPairs>
    <vt:vector size="2" baseType="variant">
      <vt:variant>
        <vt:lpstr>Title</vt:lpstr>
      </vt:variant>
      <vt:variant>
        <vt:i4>1</vt:i4>
      </vt:variant>
    </vt:vector>
  </HeadingPairs>
  <TitlesOfParts>
    <vt:vector size="1" baseType="lpstr">
      <vt:lpstr>Report of the Conference of the Parties serving as the meeting of the Parties to the Cartagena Protocol on Biosafety on its ninth meeting</vt:lpstr>
    </vt:vector>
  </TitlesOfParts>
  <Company>SCBD</Company>
  <LinksUpToDate>false</LinksUpToDate>
  <CharactersWithSpaces>194432</CharactersWithSpaces>
  <SharedDoc>false</SharedDoc>
  <HLinks>
    <vt:vector size="6" baseType="variant">
      <vt:variant>
        <vt:i4>5898241</vt:i4>
      </vt:variant>
      <vt:variant>
        <vt:i4>0</vt:i4>
      </vt:variant>
      <vt:variant>
        <vt:i4>0</vt:i4>
      </vt:variant>
      <vt:variant>
        <vt:i4>5</vt:i4>
      </vt:variant>
      <vt:variant>
        <vt:lpwstr>https://www.cbd.int/doc/meetings/sbi/sbi-01/information/sbi-01-inf-06-en.pdf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Conference of the Parties serving as the meeting of the Parties to the Cartagena Protocol on Biosafety on its ninth meeting</dc:title>
  <dc:subject>CBD/CP/MOP/9/13</dc:subject>
  <dc:creator>CP MOP 9</dc:creator>
  <cp:keywords/>
  <dc:description>Cartagena Protocol on Biosafety, ninth meeting</dc:description>
  <cp:lastModifiedBy>Veronique Lefebvre</cp:lastModifiedBy>
  <cp:revision>3</cp:revision>
  <cp:lastPrinted>2018-10-16T14:44:00Z</cp:lastPrinted>
  <dcterms:created xsi:type="dcterms:W3CDTF">2019-04-26T18:44:00Z</dcterms:created>
  <dcterms:modified xsi:type="dcterms:W3CDTF">2019-04-26T18:44:00Z</dcterms:modified>
  <cp:contentStatus>GENERAL</cp:contentStatus>
</cp:coreProperties>
</file>