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3538F" w:rsidRPr="00F25D02" w14:paraId="4C728342" w14:textId="77777777" w:rsidTr="00890407">
        <w:trPr>
          <w:trHeight w:val="709"/>
        </w:trPr>
        <w:tc>
          <w:tcPr>
            <w:tcW w:w="976" w:type="dxa"/>
            <w:tcBorders>
              <w:bottom w:val="single" w:sz="12" w:space="0" w:color="auto"/>
            </w:tcBorders>
          </w:tcPr>
          <w:p w14:paraId="345CBB93" w14:textId="77777777" w:rsidR="00E3538F" w:rsidRPr="000631AD" w:rsidRDefault="00E3538F" w:rsidP="00890407">
            <w:pPr>
              <w:suppressLineNumbers/>
              <w:suppressAutoHyphens/>
              <w:rPr>
                <w:rFonts w:ascii="Times New Roman" w:hAnsi="Times New Roman" w:cs="Times New Roman"/>
                <w:snapToGrid w:val="0"/>
                <w:kern w:val="22"/>
              </w:rPr>
            </w:pPr>
            <w:r w:rsidRPr="000631AD">
              <w:rPr>
                <w:rFonts w:ascii="Times New Roman"/>
                <w:noProof/>
                <w:snapToGrid w:val="0"/>
                <w:kern w:val="22"/>
                <w:lang w:eastAsia="zh-CN"/>
              </w:rPr>
              <w:drawing>
                <wp:inline distT="0" distB="0" distL="0" distR="0" wp14:anchorId="07CEE9FE" wp14:editId="27F3750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6494D1D0" w14:textId="77777777" w:rsidR="00E3538F" w:rsidRPr="000631AD" w:rsidRDefault="00E3538F" w:rsidP="00890407">
            <w:pPr>
              <w:suppressLineNumbers/>
              <w:suppressAutoHyphens/>
              <w:rPr>
                <w:rFonts w:ascii="Times New Roman" w:hAnsi="Times New Roman" w:cs="Times New Roman"/>
                <w:snapToGrid w:val="0"/>
                <w:kern w:val="22"/>
              </w:rPr>
            </w:pPr>
            <w:r w:rsidRPr="000631AD">
              <w:rPr>
                <w:rFonts w:ascii="Times New Roman"/>
                <w:noProof/>
                <w:snapToGrid w:val="0"/>
                <w:kern w:val="22"/>
                <w:lang w:eastAsia="zh-CN"/>
              </w:rPr>
              <w:drawing>
                <wp:inline distT="0" distB="0" distL="0" distR="0" wp14:anchorId="41DDCA36" wp14:editId="74A361B1">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3C42097B" w14:textId="77777777" w:rsidR="00E3538F" w:rsidRPr="000631AD" w:rsidRDefault="00E3538F" w:rsidP="00890407">
            <w:pPr>
              <w:suppressLineNumbers/>
              <w:suppressAutoHyphens/>
              <w:jc w:val="right"/>
              <w:rPr>
                <w:rFonts w:ascii="Arial" w:hAnsi="Arial" w:cs="Arial"/>
                <w:b/>
                <w:snapToGrid w:val="0"/>
                <w:kern w:val="22"/>
                <w:sz w:val="32"/>
                <w:szCs w:val="32"/>
              </w:rPr>
            </w:pPr>
            <w:r w:rsidRPr="000631AD">
              <w:rPr>
                <w:rFonts w:ascii="Arial" w:hAnsi="Arial" w:cs="Arial"/>
                <w:b/>
                <w:snapToGrid w:val="0"/>
                <w:kern w:val="22"/>
                <w:sz w:val="32"/>
                <w:szCs w:val="32"/>
              </w:rPr>
              <w:t>CBD</w:t>
            </w:r>
          </w:p>
        </w:tc>
      </w:tr>
      <w:tr w:rsidR="00E3538F" w:rsidRPr="00F25D02" w14:paraId="5BD76CC5" w14:textId="77777777" w:rsidTr="00890407">
        <w:tc>
          <w:tcPr>
            <w:tcW w:w="6117" w:type="dxa"/>
            <w:gridSpan w:val="2"/>
            <w:tcBorders>
              <w:top w:val="single" w:sz="12" w:space="0" w:color="auto"/>
              <w:bottom w:val="single" w:sz="36" w:space="0" w:color="auto"/>
            </w:tcBorders>
            <w:vAlign w:val="center"/>
          </w:tcPr>
          <w:p w14:paraId="60225111" w14:textId="77777777" w:rsidR="00E3538F" w:rsidRPr="00F25D02" w:rsidRDefault="00E3538F" w:rsidP="00890407">
            <w:pPr>
              <w:suppressLineNumbers/>
              <w:suppressAutoHyphens/>
              <w:rPr>
                <w:rFonts w:ascii="Times New Roman" w:hAnsi="Times New Roman" w:cs="Times New Roman"/>
                <w:snapToGrid w:val="0"/>
                <w:kern w:val="22"/>
              </w:rPr>
            </w:pPr>
            <w:r w:rsidRPr="00F25D02">
              <w:rPr>
                <w:rFonts w:ascii="Times New Roman"/>
                <w:noProof/>
                <w:snapToGrid w:val="0"/>
                <w:kern w:val="22"/>
                <w:lang w:eastAsia="zh-CN"/>
              </w:rPr>
              <w:drawing>
                <wp:inline distT="0" distB="0" distL="0" distR="0" wp14:anchorId="3AE7A89B" wp14:editId="643C0BF6">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F8CEE11" w14:textId="77777777" w:rsidR="00E3538F" w:rsidRPr="00F25D02" w:rsidRDefault="00E3538F" w:rsidP="00890407">
            <w:pPr>
              <w:suppressLineNumbers/>
              <w:suppressAutoHyphens/>
              <w:ind w:left="750"/>
              <w:rPr>
                <w:rFonts w:ascii="Times New Roman" w:hAnsi="Times New Roman" w:cs="Times New Roman"/>
                <w:snapToGrid w:val="0"/>
                <w:kern w:val="22"/>
                <w:sz w:val="22"/>
                <w:szCs w:val="22"/>
                <w:lang w:val="en-CA"/>
              </w:rPr>
            </w:pPr>
            <w:r w:rsidRPr="00F25D02">
              <w:rPr>
                <w:rFonts w:ascii="Times New Roman" w:hAnsi="Times New Roman" w:cs="Times New Roman"/>
                <w:snapToGrid w:val="0"/>
                <w:kern w:val="22"/>
                <w:sz w:val="22"/>
                <w:szCs w:val="22"/>
                <w:lang w:val="en-CA"/>
              </w:rPr>
              <w:t>Distr.</w:t>
            </w:r>
          </w:p>
          <w:p w14:paraId="7C95C36F" w14:textId="5073C9A9" w:rsidR="00E3538F" w:rsidRPr="00F25D02" w:rsidRDefault="00882583" w:rsidP="00890407">
            <w:pPr>
              <w:suppressLineNumbers/>
              <w:suppressAutoHyphens/>
              <w:ind w:left="750"/>
              <w:rPr>
                <w:rFonts w:ascii="Times New Roman" w:hAnsi="Times New Roman" w:cs="Times New Roman"/>
                <w:snapToGrid w:val="0"/>
                <w:kern w:val="22"/>
                <w:sz w:val="22"/>
                <w:szCs w:val="22"/>
                <w:lang w:val="en-CA"/>
              </w:rPr>
            </w:pPr>
            <w:sdt>
              <w:sdtPr>
                <w:rPr>
                  <w:rFonts w:ascii="Times New Roman"/>
                  <w:snapToGrid w:val="0"/>
                  <w:kern w:val="22"/>
                  <w:lang w:val="en-CA"/>
                </w:rPr>
                <w:alias w:val="Status"/>
                <w:tag w:val=""/>
                <w:id w:val="307985777"/>
                <w:placeholder>
                  <w:docPart w:val="ABF2FB9DDCB5415498F2708EA11BE174"/>
                </w:placeholder>
                <w:dataBinding w:prefixMappings="xmlns:ns0='http://purl.org/dc/elements/1.1/' xmlns:ns1='http://schemas.openxmlformats.org/package/2006/metadata/core-properties' " w:xpath="/ns1:coreProperties[1]/ns1:contentStatus[1]" w:storeItemID="{6C3C8BC8-F283-45AE-878A-BAB7291924A1}"/>
                <w:text/>
              </w:sdtPr>
              <w:sdtEndPr/>
              <w:sdtContent>
                <w:r w:rsidR="00890407" w:rsidRPr="00F25D02">
                  <w:rPr>
                    <w:rFonts w:ascii="Times New Roman" w:hAnsi="Times New Roman" w:cs="Times New Roman"/>
                    <w:snapToGrid w:val="0"/>
                    <w:kern w:val="22"/>
                    <w:sz w:val="22"/>
                    <w:szCs w:val="22"/>
                    <w:lang w:val="en-CA"/>
                  </w:rPr>
                  <w:t>GENERAL</w:t>
                </w:r>
              </w:sdtContent>
            </w:sdt>
          </w:p>
          <w:p w14:paraId="1877818C" w14:textId="77777777" w:rsidR="00E3538F" w:rsidRPr="00F25D02" w:rsidRDefault="00E3538F" w:rsidP="00890407">
            <w:pPr>
              <w:suppressLineNumbers/>
              <w:suppressAutoHyphens/>
              <w:ind w:left="750"/>
              <w:rPr>
                <w:rFonts w:ascii="Times New Roman" w:hAnsi="Times New Roman" w:cs="Times New Roman"/>
                <w:snapToGrid w:val="0"/>
                <w:kern w:val="22"/>
                <w:sz w:val="22"/>
                <w:szCs w:val="22"/>
                <w:lang w:val="en-CA"/>
              </w:rPr>
            </w:pPr>
            <w:bookmarkStart w:id="0" w:name="_Hlk32916337"/>
          </w:p>
          <w:p w14:paraId="3BB19407" w14:textId="744E4178" w:rsidR="00E3538F" w:rsidRPr="00F25D02" w:rsidRDefault="00882583" w:rsidP="00890407">
            <w:pPr>
              <w:suppressLineNumbers/>
              <w:suppressAutoHyphens/>
              <w:ind w:left="750"/>
              <w:rPr>
                <w:rFonts w:ascii="Times New Roman" w:hAnsi="Times New Roman" w:cs="Times New Roman"/>
                <w:snapToGrid w:val="0"/>
                <w:kern w:val="22"/>
                <w:sz w:val="22"/>
                <w:szCs w:val="22"/>
                <w:lang w:val="en-CA"/>
              </w:rPr>
            </w:pPr>
            <w:sdt>
              <w:sdtPr>
                <w:rPr>
                  <w:rFonts w:ascii="Times New Roman"/>
                  <w:snapToGrid w:val="0"/>
                  <w:kern w:val="22"/>
                  <w:lang w:val="en-CA"/>
                </w:rPr>
                <w:alias w:val="Subject"/>
                <w:tag w:val=""/>
                <w:id w:val="2137136483"/>
                <w:placeholder>
                  <w:docPart w:val="7292EA4716ED4A85A4E8770F200F09BF"/>
                </w:placeholder>
                <w:dataBinding w:prefixMappings="xmlns:ns0='http://purl.org/dc/elements/1.1/' xmlns:ns1='http://schemas.openxmlformats.org/package/2006/metadata/core-properties' " w:xpath="/ns1:coreProperties[1]/ns0:subject[1]" w:storeItemID="{6C3C8BC8-F283-45AE-878A-BAB7291924A1}"/>
                <w:text/>
              </w:sdtPr>
              <w:sdtEndPr/>
              <w:sdtContent>
                <w:r w:rsidR="00890407" w:rsidRPr="00F25D02">
                  <w:rPr>
                    <w:rFonts w:ascii="Times New Roman" w:hAnsi="Times New Roman" w:cs="Times New Roman"/>
                    <w:snapToGrid w:val="0"/>
                    <w:kern w:val="22"/>
                    <w:sz w:val="22"/>
                    <w:szCs w:val="22"/>
                    <w:lang w:val="en-CA"/>
                  </w:rPr>
                  <w:t>CBD/DSI/AHTEG/2020/1/2</w:t>
                </w:r>
              </w:sdtContent>
            </w:sdt>
          </w:p>
          <w:bookmarkEnd w:id="0"/>
          <w:p w14:paraId="2688A4EA" w14:textId="2136AA30" w:rsidR="00E3538F" w:rsidRPr="00F25D02" w:rsidRDefault="00C0508F" w:rsidP="00890407">
            <w:pPr>
              <w:suppressLineNumbers/>
              <w:suppressAutoHyphens/>
              <w:ind w:left="750"/>
              <w:rPr>
                <w:rFonts w:ascii="Times New Roman" w:hAnsi="Times New Roman" w:cs="Times New Roman"/>
                <w:snapToGrid w:val="0"/>
                <w:kern w:val="22"/>
                <w:sz w:val="22"/>
                <w:szCs w:val="22"/>
                <w:lang w:val="en-CA"/>
              </w:rPr>
            </w:pPr>
            <w:r w:rsidRPr="00F25D02">
              <w:rPr>
                <w:rFonts w:ascii="Times New Roman" w:hAnsi="Times New Roman" w:cs="Times New Roman"/>
                <w:snapToGrid w:val="0"/>
                <w:kern w:val="22"/>
                <w:sz w:val="22"/>
                <w:szCs w:val="22"/>
                <w:lang w:val="en-CA"/>
              </w:rPr>
              <w:t>3</w:t>
            </w:r>
            <w:r w:rsidR="00A13C65" w:rsidRPr="00F25D02">
              <w:rPr>
                <w:rFonts w:ascii="Times New Roman" w:hAnsi="Times New Roman" w:cs="Times New Roman"/>
                <w:snapToGrid w:val="0"/>
                <w:kern w:val="22"/>
                <w:sz w:val="22"/>
                <w:szCs w:val="22"/>
                <w:lang w:val="en-CA"/>
              </w:rPr>
              <w:t xml:space="preserve"> </w:t>
            </w:r>
            <w:r w:rsidRPr="00F25D02">
              <w:rPr>
                <w:rFonts w:ascii="Times New Roman" w:hAnsi="Times New Roman" w:cs="Times New Roman"/>
                <w:snapToGrid w:val="0"/>
                <w:kern w:val="22"/>
                <w:sz w:val="22"/>
                <w:szCs w:val="22"/>
                <w:lang w:val="en-CA"/>
              </w:rPr>
              <w:t>March</w:t>
            </w:r>
            <w:r w:rsidR="00E3538F" w:rsidRPr="00F25D02">
              <w:rPr>
                <w:rFonts w:ascii="Times New Roman" w:hAnsi="Times New Roman" w:cs="Times New Roman"/>
                <w:snapToGrid w:val="0"/>
                <w:kern w:val="22"/>
                <w:sz w:val="22"/>
                <w:szCs w:val="22"/>
                <w:lang w:val="en-CA"/>
              </w:rPr>
              <w:t xml:space="preserve"> 2020</w:t>
            </w:r>
          </w:p>
          <w:p w14:paraId="632B6CB6" w14:textId="77777777" w:rsidR="00E3538F" w:rsidRPr="00F25D02" w:rsidRDefault="00E3538F" w:rsidP="00890407">
            <w:pPr>
              <w:suppressLineNumbers/>
              <w:suppressAutoHyphens/>
              <w:ind w:left="750"/>
              <w:rPr>
                <w:rFonts w:ascii="Times New Roman" w:hAnsi="Times New Roman" w:cs="Times New Roman"/>
                <w:snapToGrid w:val="0"/>
                <w:kern w:val="22"/>
                <w:sz w:val="22"/>
                <w:szCs w:val="22"/>
                <w:lang w:val="en-CA"/>
              </w:rPr>
            </w:pPr>
          </w:p>
          <w:p w14:paraId="13F67BCE" w14:textId="77777777" w:rsidR="00E3538F" w:rsidRPr="00F25D02" w:rsidRDefault="00E3538F" w:rsidP="00890407">
            <w:pPr>
              <w:suppressLineNumbers/>
              <w:suppressAutoHyphens/>
              <w:ind w:left="750"/>
              <w:rPr>
                <w:rFonts w:ascii="Times New Roman" w:hAnsi="Times New Roman" w:cs="Times New Roman"/>
                <w:snapToGrid w:val="0"/>
                <w:kern w:val="22"/>
                <w:sz w:val="22"/>
                <w:szCs w:val="22"/>
                <w:lang w:val="en-CA"/>
              </w:rPr>
            </w:pPr>
            <w:r w:rsidRPr="00F25D02">
              <w:rPr>
                <w:rFonts w:ascii="Times New Roman" w:hAnsi="Times New Roman" w:cs="Times New Roman"/>
                <w:snapToGrid w:val="0"/>
                <w:kern w:val="22"/>
                <w:sz w:val="22"/>
                <w:szCs w:val="22"/>
                <w:lang w:val="en-CA"/>
              </w:rPr>
              <w:t>ENGLISH ONLY</w:t>
            </w:r>
          </w:p>
          <w:p w14:paraId="71F840B6" w14:textId="77777777" w:rsidR="00E3538F" w:rsidRPr="00F25D02" w:rsidRDefault="00E3538F" w:rsidP="00890407">
            <w:pPr>
              <w:suppressLineNumbers/>
              <w:suppressAutoHyphens/>
              <w:rPr>
                <w:rFonts w:ascii="Times New Roman" w:hAnsi="Times New Roman" w:cs="Times New Roman"/>
                <w:snapToGrid w:val="0"/>
                <w:kern w:val="22"/>
                <w:szCs w:val="22"/>
                <w:lang w:val="en-CA"/>
              </w:rPr>
            </w:pPr>
          </w:p>
        </w:tc>
      </w:tr>
    </w:tbl>
    <w:p w14:paraId="727495B5" w14:textId="77777777" w:rsidR="00E3538F" w:rsidRPr="00F25D02" w:rsidRDefault="00E3538F" w:rsidP="00F25D02">
      <w:pPr>
        <w:pStyle w:val="Cornernotation"/>
        <w:suppressLineNumbers/>
        <w:suppressAutoHyphens/>
        <w:ind w:right="4689"/>
        <w:rPr>
          <w:caps/>
          <w:snapToGrid w:val="0"/>
          <w:kern w:val="22"/>
          <w:szCs w:val="22"/>
        </w:rPr>
      </w:pPr>
      <w:r w:rsidRPr="00F25D02">
        <w:rPr>
          <w:caps/>
          <w:snapToGrid w:val="0"/>
          <w:kern w:val="22"/>
          <w:szCs w:val="22"/>
        </w:rPr>
        <w:t>ad hoc technical expert group on digital sequence information on genetic resources</w:t>
      </w:r>
    </w:p>
    <w:p w14:paraId="7DA04047" w14:textId="04169DD4" w:rsidR="00E3538F" w:rsidRPr="00F25D02" w:rsidRDefault="00E3538F" w:rsidP="00F25D02">
      <w:pPr>
        <w:pStyle w:val="Cornernotation"/>
        <w:suppressLineNumbers/>
        <w:suppressAutoHyphens/>
        <w:ind w:right="4689"/>
        <w:rPr>
          <w:snapToGrid w:val="0"/>
          <w:kern w:val="22"/>
          <w:szCs w:val="22"/>
        </w:rPr>
      </w:pPr>
      <w:r w:rsidRPr="00F25D02">
        <w:rPr>
          <w:snapToGrid w:val="0"/>
          <w:kern w:val="22"/>
          <w:szCs w:val="22"/>
        </w:rPr>
        <w:t>Montreal, Canada, 17-20 March 2020</w:t>
      </w:r>
      <w:bookmarkStart w:id="1" w:name="_GoBack"/>
      <w:bookmarkEnd w:id="1"/>
    </w:p>
    <w:p w14:paraId="72B174D3" w14:textId="77777777" w:rsidR="00890407" w:rsidRPr="00F25D02" w:rsidRDefault="00890407" w:rsidP="00890407">
      <w:pPr>
        <w:pStyle w:val="Cornernotation"/>
        <w:suppressLineNumbers/>
        <w:suppressAutoHyphens/>
        <w:ind w:left="0" w:right="3548" w:firstLine="0"/>
        <w:rPr>
          <w:snapToGrid w:val="0"/>
          <w:kern w:val="22"/>
          <w:szCs w:val="22"/>
        </w:rPr>
      </w:pPr>
    </w:p>
    <w:p w14:paraId="19462481" w14:textId="07DC1C3B" w:rsidR="00890407" w:rsidRPr="00F25D02" w:rsidRDefault="00882583" w:rsidP="00890407">
      <w:pPr>
        <w:suppressLineNumbers/>
        <w:suppressAutoHyphens/>
        <w:jc w:val="center"/>
        <w:rPr>
          <w:rFonts w:ascii="Times New Roman"/>
          <w:b/>
          <w:bCs/>
          <w:caps/>
          <w:snapToGrid w:val="0"/>
          <w:kern w:val="22"/>
        </w:rPr>
      </w:pPr>
      <w:sdt>
        <w:sdtPr>
          <w:rPr>
            <w:rFonts w:ascii="Times New Roman"/>
            <w:b/>
            <w:bCs/>
            <w:snapToGrid w:val="0"/>
            <w:kern w:val="22"/>
            <w:lang w:val="en-GB"/>
          </w:rPr>
          <w:alias w:val="Title"/>
          <w:tag w:val=""/>
          <w:id w:val="772832786"/>
          <w:placeholder>
            <w:docPart w:val="8298CF8E0BA64215B7E62548B449F684"/>
          </w:placeholder>
          <w:dataBinding w:prefixMappings="xmlns:ns0='http://purl.org/dc/elements/1.1/' xmlns:ns1='http://schemas.openxmlformats.org/package/2006/metadata/core-properties' " w:xpath="/ns1:coreProperties[1]/ns0:title[1]" w:storeItemID="{6C3C8BC8-F283-45AE-878A-BAB7291924A1}"/>
          <w:text/>
        </w:sdtPr>
        <w:sdtEndPr/>
        <w:sdtContent>
          <w:r w:rsidR="004C6AA7" w:rsidRPr="00F25D02">
            <w:rPr>
              <w:rFonts w:ascii="Times New Roman"/>
              <w:b/>
              <w:bCs/>
              <w:snapToGrid w:val="0"/>
              <w:kern w:val="22"/>
              <w:lang w:val="en-GB"/>
            </w:rPr>
            <w:t>SYNTHESIS OF VIEWS AND INFORMATION RELATED TO DIGITAL SEQUENCE INFORMATION ON GENETIC RESOURCES</w:t>
          </w:r>
        </w:sdtContent>
      </w:sdt>
    </w:p>
    <w:p w14:paraId="364B20AA" w14:textId="77777777" w:rsidR="00890407" w:rsidRPr="00F25D02" w:rsidRDefault="00890407" w:rsidP="00890407">
      <w:pPr>
        <w:pStyle w:val="Heading1"/>
        <w:suppressLineNumbers/>
        <w:suppressAutoHyphens/>
        <w:spacing w:before="120"/>
        <w:rPr>
          <w:bCs/>
          <w:snapToGrid w:val="0"/>
          <w:kern w:val="22"/>
          <w:szCs w:val="22"/>
        </w:rPr>
      </w:pPr>
      <w:r w:rsidRPr="00F25D02">
        <w:rPr>
          <w:bCs/>
          <w:snapToGrid w:val="0"/>
          <w:kern w:val="22"/>
          <w:szCs w:val="22"/>
        </w:rPr>
        <w:t>Introduction</w:t>
      </w:r>
    </w:p>
    <w:p w14:paraId="5B6B0959" w14:textId="18ABD305" w:rsidR="007335DF" w:rsidRPr="00F25D02" w:rsidRDefault="007335DF" w:rsidP="00CE1F65">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bookmarkStart w:id="2" w:name="_Hlk17377548"/>
      <w:r w:rsidRPr="00F25D02">
        <w:rPr>
          <w:rFonts w:ascii="Times New Roman"/>
          <w:kern w:val="22"/>
        </w:rPr>
        <w:t xml:space="preserve">The Conference of the Parties to the Convention on Biological Diversity at its fourteenth meeting and </w:t>
      </w:r>
      <w:r w:rsidR="00523F9C" w:rsidRPr="00F25D02">
        <w:rPr>
          <w:rFonts w:ascii="Times New Roman"/>
          <w:kern w:val="22"/>
        </w:rPr>
        <w:t xml:space="preserve">the </w:t>
      </w:r>
      <w:r w:rsidRPr="00F25D02">
        <w:rPr>
          <w:rFonts w:ascii="Times New Roman"/>
          <w:kern w:val="22"/>
        </w:rPr>
        <w:t xml:space="preserve">Conference of the Parties serving as the meeting of the Parties to the Nagoya Protocol on Access and Benefit-Sharing </w:t>
      </w:r>
      <w:bookmarkEnd w:id="2"/>
      <w:r w:rsidR="00523F9C" w:rsidRPr="00F25D02">
        <w:rPr>
          <w:rFonts w:ascii="Times New Roman"/>
          <w:kern w:val="22"/>
        </w:rPr>
        <w:t>at its</w:t>
      </w:r>
      <w:r w:rsidRPr="00F25D02">
        <w:rPr>
          <w:rFonts w:ascii="Times New Roman"/>
          <w:kern w:val="22"/>
        </w:rPr>
        <w:t xml:space="preserve"> third meeting each adopted decisions on digital sequence information on genetic resources (decisions </w:t>
      </w:r>
      <w:hyperlink r:id="rId14" w:history="1">
        <w:r w:rsidR="00523F9C" w:rsidRPr="00F25D02">
          <w:rPr>
            <w:rStyle w:val="Hyperlink"/>
            <w:rFonts w:ascii="Times New Roman"/>
            <w:kern w:val="22"/>
          </w:rPr>
          <w:t>14</w:t>
        </w:r>
        <w:r w:rsidRPr="00F25D02">
          <w:rPr>
            <w:rStyle w:val="Hyperlink"/>
            <w:rFonts w:ascii="Times New Roman"/>
            <w:kern w:val="22"/>
          </w:rPr>
          <w:t>/20</w:t>
        </w:r>
      </w:hyperlink>
      <w:r w:rsidRPr="00F25D02">
        <w:rPr>
          <w:rFonts w:ascii="Times New Roman"/>
          <w:kern w:val="22"/>
        </w:rPr>
        <w:t xml:space="preserve"> and </w:t>
      </w:r>
      <w:hyperlink r:id="rId15" w:history="1">
        <w:r w:rsidRPr="00F25D02">
          <w:rPr>
            <w:rStyle w:val="Hyperlink"/>
            <w:rFonts w:ascii="Times New Roman"/>
            <w:kern w:val="22"/>
          </w:rPr>
          <w:t>NP-3/12</w:t>
        </w:r>
      </w:hyperlink>
      <w:r w:rsidR="0048574F" w:rsidRPr="00F25D02">
        <w:rPr>
          <w:rFonts w:ascii="Times New Roman"/>
          <w:kern w:val="22"/>
        </w:rPr>
        <w:t>,</w:t>
      </w:r>
      <w:r w:rsidRPr="00F25D02">
        <w:rPr>
          <w:rFonts w:ascii="Times New Roman"/>
          <w:kern w:val="22"/>
        </w:rPr>
        <w:t xml:space="preserve"> respectively). They decided to establish a science and policy-based process on digital sequence information on genetic resources.</w:t>
      </w:r>
    </w:p>
    <w:p w14:paraId="27245606" w14:textId="04DFFE0F" w:rsidR="007335DF" w:rsidRPr="00F25D02" w:rsidRDefault="007335DF" w:rsidP="00CE1F65">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To assist this </w:t>
      </w:r>
      <w:r w:rsidR="00F651F9" w:rsidRPr="00F25D02">
        <w:rPr>
          <w:rFonts w:ascii="Times New Roman"/>
          <w:kern w:val="22"/>
        </w:rPr>
        <w:t>process</w:t>
      </w:r>
      <w:r w:rsidRPr="00F25D02">
        <w:rPr>
          <w:rFonts w:ascii="Times New Roman"/>
          <w:kern w:val="22"/>
        </w:rPr>
        <w:t>, the Conference of the Parties invited Parties, other Governments, indigenous peoples and local communities, and relevant organizations and stakeholders to</w:t>
      </w:r>
      <w:r w:rsidR="00F74BDB" w:rsidRPr="00F25D02">
        <w:rPr>
          <w:rFonts w:ascii="Times New Roman"/>
          <w:kern w:val="22"/>
        </w:rPr>
        <w:t xml:space="preserve"> submit to</w:t>
      </w:r>
      <w:r w:rsidRPr="00F25D02">
        <w:rPr>
          <w:rFonts w:ascii="Times New Roman"/>
          <w:kern w:val="22"/>
        </w:rPr>
        <w:t xml:space="preserve"> the Executive Secretary </w:t>
      </w:r>
      <w:r w:rsidR="00F74BDB" w:rsidRPr="00F25D02">
        <w:rPr>
          <w:rFonts w:ascii="Times New Roman"/>
          <w:kern w:val="22"/>
        </w:rPr>
        <w:t>as follows:</w:t>
      </w:r>
    </w:p>
    <w:p w14:paraId="37D830E7" w14:textId="12CB16D9" w:rsidR="00F74BDB" w:rsidRPr="00F25D02" w:rsidRDefault="00CB467C" w:rsidP="00523F9C">
      <w:pPr>
        <w:pStyle w:val="ListParagraph"/>
        <w:numPr>
          <w:ilvl w:val="1"/>
          <w:numId w:val="2"/>
        </w:numPr>
        <w:tabs>
          <w:tab w:val="left" w:pos="1440"/>
        </w:tabs>
        <w:spacing w:before="120" w:after="120" w:line="240" w:lineRule="auto"/>
        <w:ind w:left="0" w:firstLine="709"/>
        <w:contextualSpacing w:val="0"/>
        <w:jc w:val="both"/>
        <w:rPr>
          <w:rFonts w:ascii="Times New Roman"/>
          <w:kern w:val="22"/>
        </w:rPr>
      </w:pPr>
      <w:r w:rsidRPr="00F25D02">
        <w:rPr>
          <w:rFonts w:ascii="Times New Roman"/>
          <w:kern w:val="22"/>
        </w:rPr>
        <w:t>V</w:t>
      </w:r>
      <w:r w:rsidR="00F74BDB" w:rsidRPr="00F25D02">
        <w:rPr>
          <w:rFonts w:ascii="Times New Roman"/>
          <w:kern w:val="22"/>
        </w:rPr>
        <w:t xml:space="preserve">iews and relevant information </w:t>
      </w:r>
      <w:r w:rsidR="006048F4" w:rsidRPr="00F25D02">
        <w:rPr>
          <w:rFonts w:ascii="Times New Roman"/>
          <w:kern w:val="22"/>
        </w:rPr>
        <w:t>(</w:t>
      </w:r>
      <w:proofErr w:type="spellStart"/>
      <w:r w:rsidR="0080452C" w:rsidRPr="00F25D02">
        <w:rPr>
          <w:rFonts w:ascii="Times New Roman"/>
          <w:kern w:val="22"/>
        </w:rPr>
        <w:t>i</w:t>
      </w:r>
      <w:proofErr w:type="spellEnd"/>
      <w:r w:rsidR="006048F4" w:rsidRPr="00F25D02">
        <w:rPr>
          <w:rFonts w:ascii="Times New Roman"/>
          <w:kern w:val="22"/>
        </w:rPr>
        <w:t xml:space="preserve">) to </w:t>
      </w:r>
      <w:r w:rsidR="00F74BDB" w:rsidRPr="00F25D02">
        <w:rPr>
          <w:rFonts w:ascii="Times New Roman"/>
          <w:kern w:val="22"/>
        </w:rPr>
        <w:t xml:space="preserve">clarify the concept, including relevant terminology and scope, of digital sequence information on genetic resources and if and how domestic measures on access and benefit-sharing consider digital sequence information on genetic resources; </w:t>
      </w:r>
      <w:r w:rsidR="006048F4" w:rsidRPr="00F25D02">
        <w:rPr>
          <w:rFonts w:ascii="Times New Roman"/>
          <w:kern w:val="22"/>
        </w:rPr>
        <w:t xml:space="preserve">and </w:t>
      </w:r>
      <w:r w:rsidR="00F74BDB" w:rsidRPr="00F25D02">
        <w:rPr>
          <w:rFonts w:ascii="Times New Roman"/>
          <w:kern w:val="22"/>
        </w:rPr>
        <w:t>(</w:t>
      </w:r>
      <w:r w:rsidR="0080452C" w:rsidRPr="00F25D02">
        <w:rPr>
          <w:rFonts w:ascii="Times New Roman"/>
          <w:kern w:val="22"/>
        </w:rPr>
        <w:t>ii</w:t>
      </w:r>
      <w:r w:rsidR="00F74BDB" w:rsidRPr="00F25D02">
        <w:rPr>
          <w:rFonts w:ascii="Times New Roman"/>
          <w:kern w:val="22"/>
        </w:rPr>
        <w:t xml:space="preserve">) </w:t>
      </w:r>
      <w:r w:rsidR="006048F4" w:rsidRPr="00F25D02">
        <w:rPr>
          <w:rFonts w:ascii="Times New Roman"/>
          <w:kern w:val="22"/>
        </w:rPr>
        <w:t>o</w:t>
      </w:r>
      <w:r w:rsidR="00F74BDB" w:rsidRPr="00F25D02">
        <w:rPr>
          <w:rFonts w:ascii="Times New Roman"/>
          <w:kern w:val="22"/>
        </w:rPr>
        <w:t xml:space="preserve">n benefit-sharing arrangements from commercial and non-commercial use of digital sequence information on genetic resources (decision </w:t>
      </w:r>
      <w:r w:rsidR="00BC36A1" w:rsidRPr="00F25D02">
        <w:rPr>
          <w:rFonts w:ascii="Times New Roman"/>
          <w:kern w:val="22"/>
        </w:rPr>
        <w:t>14</w:t>
      </w:r>
      <w:r w:rsidR="00F74BDB" w:rsidRPr="00F25D02">
        <w:rPr>
          <w:rFonts w:ascii="Times New Roman"/>
          <w:kern w:val="22"/>
        </w:rPr>
        <w:t>/20, para</w:t>
      </w:r>
      <w:r w:rsidR="00BF00F3" w:rsidRPr="00F25D02">
        <w:rPr>
          <w:rFonts w:ascii="Times New Roman"/>
          <w:kern w:val="22"/>
        </w:rPr>
        <w:t>.</w:t>
      </w:r>
      <w:r w:rsidRPr="00F25D02">
        <w:rPr>
          <w:rFonts w:ascii="Times New Roman"/>
          <w:kern w:val="22"/>
        </w:rPr>
        <w:t> </w:t>
      </w:r>
      <w:r w:rsidR="00F74BDB" w:rsidRPr="00F25D02">
        <w:rPr>
          <w:rFonts w:ascii="Times New Roman"/>
          <w:kern w:val="22"/>
        </w:rPr>
        <w:t>9)</w:t>
      </w:r>
      <w:r w:rsidR="00BF00F3" w:rsidRPr="00F25D02">
        <w:rPr>
          <w:rFonts w:ascii="Times New Roman"/>
          <w:kern w:val="22"/>
        </w:rPr>
        <w:t>;</w:t>
      </w:r>
    </w:p>
    <w:p w14:paraId="6201529E" w14:textId="143846DF" w:rsidR="00F74BDB" w:rsidRPr="00F25D02" w:rsidRDefault="00CB467C" w:rsidP="00523F9C">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I</w:t>
      </w:r>
      <w:r w:rsidR="00F74BDB" w:rsidRPr="00F25D02">
        <w:rPr>
          <w:rFonts w:ascii="Times New Roman"/>
          <w:kern w:val="22"/>
        </w:rPr>
        <w:t xml:space="preserve">nformation on their capacity-building needs regarding the access, use, generation and analysis of digital sequence information on genetic resources, </w:t>
      </w:r>
      <w:proofErr w:type="gramStart"/>
      <w:r w:rsidR="00F74BDB" w:rsidRPr="00F25D02">
        <w:rPr>
          <w:rFonts w:ascii="Times New Roman"/>
          <w:kern w:val="22"/>
        </w:rPr>
        <w:t>in particular for</w:t>
      </w:r>
      <w:proofErr w:type="gramEnd"/>
      <w:r w:rsidR="00F74BDB" w:rsidRPr="00F25D02">
        <w:rPr>
          <w:rFonts w:ascii="Times New Roman"/>
          <w:kern w:val="22"/>
        </w:rPr>
        <w:t xml:space="preserve"> the three objectives of the Convention (decision </w:t>
      </w:r>
      <w:r w:rsidR="00F634DF" w:rsidRPr="00F25D02">
        <w:rPr>
          <w:rFonts w:ascii="Times New Roman"/>
          <w:kern w:val="22"/>
        </w:rPr>
        <w:t>14</w:t>
      </w:r>
      <w:r w:rsidR="00F74BDB" w:rsidRPr="00F25D02">
        <w:rPr>
          <w:rFonts w:ascii="Times New Roman"/>
          <w:kern w:val="22"/>
        </w:rPr>
        <w:t>/20, para</w:t>
      </w:r>
      <w:r w:rsidR="00083A1C" w:rsidRPr="00F25D02">
        <w:rPr>
          <w:rFonts w:ascii="Times New Roman"/>
          <w:kern w:val="22"/>
        </w:rPr>
        <w:t>.</w:t>
      </w:r>
      <w:r w:rsidR="00F74BDB" w:rsidRPr="00F25D02">
        <w:rPr>
          <w:rFonts w:ascii="Times New Roman"/>
          <w:kern w:val="22"/>
        </w:rPr>
        <w:t xml:space="preserve"> 10)</w:t>
      </w:r>
      <w:r w:rsidR="00083A1C" w:rsidRPr="00F25D02">
        <w:rPr>
          <w:rFonts w:ascii="Times New Roman"/>
          <w:kern w:val="22"/>
        </w:rPr>
        <w:t>;</w:t>
      </w:r>
    </w:p>
    <w:p w14:paraId="3804E13F" w14:textId="4E0389CA" w:rsidR="007335DF" w:rsidRPr="00F25D02" w:rsidRDefault="007335DF" w:rsidP="00CE1F65">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The Executive Secretary was requested to prepare a compilation and synthesis of the views and information submitted</w:t>
      </w:r>
      <w:r w:rsidR="00F634DF" w:rsidRPr="00F25D02">
        <w:rPr>
          <w:rFonts w:ascii="Times New Roman"/>
          <w:kern w:val="22"/>
        </w:rPr>
        <w:t xml:space="preserve"> (</w:t>
      </w:r>
      <w:r w:rsidR="00A71AEB" w:rsidRPr="00F25D02">
        <w:rPr>
          <w:rFonts w:ascii="Times New Roman"/>
          <w:kern w:val="22"/>
        </w:rPr>
        <w:t>decision 14/20</w:t>
      </w:r>
      <w:r w:rsidR="00A71AEB" w:rsidRPr="00F25D02">
        <w:rPr>
          <w:rFonts w:ascii="Times New Roman"/>
          <w:kern w:val="22"/>
        </w:rPr>
        <w:t xml:space="preserve">, </w:t>
      </w:r>
      <w:r w:rsidR="00F634DF" w:rsidRPr="00F25D02">
        <w:rPr>
          <w:rFonts w:ascii="Times New Roman"/>
          <w:kern w:val="22"/>
        </w:rPr>
        <w:t>para</w:t>
      </w:r>
      <w:r w:rsidR="00A71AEB" w:rsidRPr="00F25D02">
        <w:rPr>
          <w:rFonts w:ascii="Times New Roman"/>
          <w:kern w:val="22"/>
        </w:rPr>
        <w:t>.</w:t>
      </w:r>
      <w:r w:rsidR="00F634DF" w:rsidRPr="00F25D02">
        <w:rPr>
          <w:rFonts w:ascii="Times New Roman"/>
          <w:kern w:val="22"/>
        </w:rPr>
        <w:t xml:space="preserve"> 11 (a)</w:t>
      </w:r>
      <w:r w:rsidR="0080452C" w:rsidRPr="00F25D02">
        <w:rPr>
          <w:rFonts w:ascii="Times New Roman"/>
          <w:kern w:val="22"/>
        </w:rPr>
        <w:t>)</w:t>
      </w:r>
      <w:r w:rsidRPr="00F25D02">
        <w:rPr>
          <w:rFonts w:ascii="Times New Roman"/>
          <w:kern w:val="22"/>
        </w:rPr>
        <w:t>.</w:t>
      </w:r>
    </w:p>
    <w:p w14:paraId="3665D9C9" w14:textId="75B23FF4" w:rsidR="007335DF" w:rsidRPr="00F25D02" w:rsidRDefault="007335DF" w:rsidP="00CE1F65">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By notification </w:t>
      </w:r>
      <w:r w:rsidR="00F74BDB" w:rsidRPr="00F25D02">
        <w:rPr>
          <w:rFonts w:ascii="Times New Roman"/>
          <w:kern w:val="22"/>
        </w:rPr>
        <w:t>(</w:t>
      </w:r>
      <w:r w:rsidRPr="00F25D02">
        <w:rPr>
          <w:rFonts w:ascii="Times New Roman"/>
          <w:kern w:val="22"/>
        </w:rPr>
        <w:t>2017-37</w:t>
      </w:r>
      <w:r w:rsidR="00F74BDB" w:rsidRPr="00F25D02">
        <w:rPr>
          <w:rFonts w:ascii="Times New Roman"/>
          <w:kern w:val="22"/>
        </w:rPr>
        <w:t>)</w:t>
      </w:r>
      <w:r w:rsidRPr="00F25D02">
        <w:rPr>
          <w:rFonts w:ascii="Times New Roman"/>
          <w:kern w:val="22"/>
        </w:rPr>
        <w:t xml:space="preserve"> of </w:t>
      </w:r>
      <w:r w:rsidR="00F74BDB" w:rsidRPr="00F25D02">
        <w:rPr>
          <w:rFonts w:ascii="Times New Roman"/>
          <w:kern w:val="22"/>
        </w:rPr>
        <w:t>5 February 2019</w:t>
      </w:r>
      <w:r w:rsidR="00A71AEB" w:rsidRPr="00F25D02">
        <w:rPr>
          <w:rFonts w:ascii="Times New Roman"/>
          <w:kern w:val="22"/>
        </w:rPr>
        <w:t>,</w:t>
      </w:r>
      <w:r w:rsidR="00386690" w:rsidRPr="00F25D02">
        <w:rPr>
          <w:rStyle w:val="FootnoteReference"/>
          <w:rFonts w:ascii="Times New Roman"/>
          <w:kern w:val="22"/>
        </w:rPr>
        <w:footnoteReference w:id="1"/>
      </w:r>
      <w:r w:rsidRPr="00F25D02">
        <w:rPr>
          <w:rFonts w:ascii="Times New Roman"/>
          <w:kern w:val="22"/>
        </w:rPr>
        <w:t xml:space="preserve"> the Executive Secretary invited the submission of views and </w:t>
      </w:r>
      <w:r w:rsidR="00386690" w:rsidRPr="00F25D02">
        <w:rPr>
          <w:rFonts w:ascii="Times New Roman"/>
          <w:kern w:val="22"/>
        </w:rPr>
        <w:t xml:space="preserve">expression of interest to undertake studies </w:t>
      </w:r>
      <w:r w:rsidRPr="00F25D02">
        <w:rPr>
          <w:rFonts w:ascii="Times New Roman"/>
          <w:kern w:val="22"/>
        </w:rPr>
        <w:t xml:space="preserve">pursuant to decisions </w:t>
      </w:r>
      <w:r w:rsidR="00B523AD" w:rsidRPr="00F25D02">
        <w:rPr>
          <w:rFonts w:ascii="Times New Roman"/>
          <w:kern w:val="22"/>
        </w:rPr>
        <w:t>14</w:t>
      </w:r>
      <w:r w:rsidR="00386690" w:rsidRPr="00F25D02">
        <w:rPr>
          <w:rFonts w:ascii="Times New Roman"/>
          <w:kern w:val="22"/>
        </w:rPr>
        <w:t>/20</w:t>
      </w:r>
      <w:r w:rsidR="00386690" w:rsidRPr="00F25D02">
        <w:rPr>
          <w:rStyle w:val="FootnoteReference"/>
          <w:rFonts w:ascii="Times New Roman"/>
          <w:kern w:val="22"/>
        </w:rPr>
        <w:t xml:space="preserve"> </w:t>
      </w:r>
      <w:r w:rsidR="00386690" w:rsidRPr="00F25D02">
        <w:rPr>
          <w:rFonts w:ascii="Times New Roman"/>
          <w:kern w:val="22"/>
        </w:rPr>
        <w:t xml:space="preserve"> and NP-3/12</w:t>
      </w:r>
      <w:r w:rsidRPr="00F25D02">
        <w:rPr>
          <w:rFonts w:ascii="Times New Roman"/>
          <w:kern w:val="22"/>
        </w:rPr>
        <w:t xml:space="preserve">. The list of Parties, non-Parties and organizations that submitted views and information is presented in the </w:t>
      </w:r>
      <w:r w:rsidR="00BB1052" w:rsidRPr="00F25D02">
        <w:rPr>
          <w:rFonts w:ascii="Times New Roman"/>
          <w:kern w:val="22"/>
        </w:rPr>
        <w:t>a</w:t>
      </w:r>
      <w:r w:rsidRPr="00F25D02">
        <w:rPr>
          <w:rFonts w:ascii="Times New Roman"/>
          <w:kern w:val="22"/>
        </w:rPr>
        <w:t>nnex. The full text of all submissions has been made available online</w:t>
      </w:r>
      <w:r w:rsidR="0080452C" w:rsidRPr="00F25D02">
        <w:rPr>
          <w:rFonts w:ascii="Times New Roman"/>
          <w:kern w:val="22"/>
        </w:rPr>
        <w:t xml:space="preserve"> and a compilation has been made available to the meeting as document CBD/DSI/AHTEG/2020/1/INF/1</w:t>
      </w:r>
      <w:r w:rsidRPr="00F25D02">
        <w:rPr>
          <w:rFonts w:ascii="Times New Roman"/>
          <w:kern w:val="22"/>
        </w:rPr>
        <w:t>.</w:t>
      </w:r>
      <w:r w:rsidRPr="00F25D02">
        <w:rPr>
          <w:rStyle w:val="FootnoteReference"/>
          <w:rFonts w:ascii="Times New Roman"/>
          <w:kern w:val="22"/>
        </w:rPr>
        <w:footnoteReference w:id="2"/>
      </w:r>
    </w:p>
    <w:p w14:paraId="7C60CBD5" w14:textId="1E667997" w:rsidR="007335DF" w:rsidRPr="00F25D02" w:rsidRDefault="007335DF" w:rsidP="00CE1F65">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More than </w:t>
      </w:r>
      <w:r w:rsidR="00F74BDB" w:rsidRPr="00F25D02">
        <w:rPr>
          <w:rFonts w:ascii="Times New Roman"/>
          <w:kern w:val="22"/>
        </w:rPr>
        <w:t>30</w:t>
      </w:r>
      <w:r w:rsidRPr="00F25D02">
        <w:rPr>
          <w:rFonts w:ascii="Times New Roman"/>
          <w:kern w:val="22"/>
        </w:rPr>
        <w:t xml:space="preserve"> submissions were received representing views and information from </w:t>
      </w:r>
      <w:proofErr w:type="gramStart"/>
      <w:r w:rsidRPr="00F25D02">
        <w:rPr>
          <w:rFonts w:ascii="Times New Roman"/>
          <w:kern w:val="22"/>
        </w:rPr>
        <w:t>a large number of</w:t>
      </w:r>
      <w:proofErr w:type="gramEnd"/>
      <w:r w:rsidRPr="00F25D02">
        <w:rPr>
          <w:rFonts w:ascii="Times New Roman"/>
          <w:kern w:val="22"/>
        </w:rPr>
        <w:t xml:space="preserve"> countries and organizations. Many of the submissions were quite detailed and contained a wealth of information. The information is very valuable for understanding the breadth and complexity of the issue</w:t>
      </w:r>
      <w:r w:rsidR="00F74BDB" w:rsidRPr="00F25D02">
        <w:rPr>
          <w:rFonts w:ascii="Times New Roman"/>
          <w:kern w:val="22"/>
        </w:rPr>
        <w:t>s</w:t>
      </w:r>
      <w:r w:rsidRPr="00F25D02">
        <w:rPr>
          <w:rFonts w:ascii="Times New Roman"/>
          <w:kern w:val="22"/>
        </w:rPr>
        <w:t xml:space="preserve"> but posed a significant challenge in preparing a synthesis that is as concise and easy to comprehend as possible.</w:t>
      </w:r>
    </w:p>
    <w:p w14:paraId="2878A616" w14:textId="3E996939" w:rsidR="007335DF" w:rsidRPr="00F25D02" w:rsidRDefault="007335DF" w:rsidP="00CE1F65">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A table of contents is provided below to assist in understanding the structure of the document.</w:t>
      </w:r>
      <w:r w:rsidR="00F651F9" w:rsidRPr="00F25D02">
        <w:rPr>
          <w:rFonts w:ascii="Times New Roman"/>
          <w:kern w:val="22"/>
        </w:rPr>
        <w:t xml:space="preserve"> </w:t>
      </w:r>
    </w:p>
    <w:p w14:paraId="082F8B4C" w14:textId="77777777" w:rsidR="007335DF" w:rsidRPr="00F25D02" w:rsidRDefault="007335DF" w:rsidP="00CE1F65">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lastRenderedPageBreak/>
        <w:t>Finally, it should be noted that, in view of the coordinated process on this issue under the Convention and the Nagoya Protocol, references to “Parties” in the present document means Parties to the Convention.</w:t>
      </w:r>
    </w:p>
    <w:p w14:paraId="74EF9B43" w14:textId="77777777" w:rsidR="007335DF" w:rsidRPr="00F25D02" w:rsidRDefault="007335DF" w:rsidP="00CE1F65">
      <w:pPr>
        <w:tabs>
          <w:tab w:val="left" w:pos="360"/>
          <w:tab w:val="left" w:pos="1170"/>
        </w:tabs>
        <w:spacing w:before="120" w:after="120" w:line="240" w:lineRule="auto"/>
        <w:jc w:val="both"/>
        <w:rPr>
          <w:rFonts w:ascii="Times New Roman"/>
          <w:kern w:val="22"/>
        </w:rPr>
      </w:pPr>
    </w:p>
    <w:p w14:paraId="22F79D6C" w14:textId="77777777" w:rsidR="007335DF" w:rsidRPr="00F25D02" w:rsidRDefault="007335DF" w:rsidP="00CE1F65">
      <w:pPr>
        <w:spacing w:before="120" w:after="120" w:line="240" w:lineRule="auto"/>
        <w:jc w:val="both"/>
        <w:rPr>
          <w:rFonts w:ascii="Times New Roman"/>
          <w:kern w:val="22"/>
        </w:rPr>
      </w:pPr>
      <w:r w:rsidRPr="00F25D02">
        <w:rPr>
          <w:rFonts w:ascii="Times New Roman"/>
          <w:kern w:val="22"/>
        </w:rPr>
        <w:br w:type="page"/>
      </w:r>
    </w:p>
    <w:p w14:paraId="27CE7AA7" w14:textId="77777777" w:rsidR="0046449A" w:rsidRPr="00F25D02" w:rsidRDefault="0046449A" w:rsidP="00CE1F65">
      <w:pPr>
        <w:spacing w:before="120" w:after="120" w:line="240" w:lineRule="auto"/>
        <w:jc w:val="both"/>
        <w:rPr>
          <w:rFonts w:ascii="Times New Roman"/>
          <w:kern w:val="22"/>
        </w:rPr>
      </w:pPr>
      <w:bookmarkStart w:id="3" w:name="_Hlk27753536"/>
      <w:r w:rsidRPr="00F25D02">
        <w:rPr>
          <w:rFonts w:ascii="Times New Roman"/>
          <w:kern w:val="22"/>
        </w:rPr>
        <w:lastRenderedPageBreak/>
        <w:t>Table of Contents</w:t>
      </w:r>
    </w:p>
    <w:p w14:paraId="35D57E2E" w14:textId="4609AF3F" w:rsidR="0046449A" w:rsidRPr="00F25D02" w:rsidRDefault="0046449A" w:rsidP="00CE1F65">
      <w:pPr>
        <w:pStyle w:val="ListParagraph"/>
        <w:numPr>
          <w:ilvl w:val="0"/>
          <w:numId w:val="1"/>
        </w:numPr>
        <w:spacing w:before="120" w:after="120" w:line="240" w:lineRule="auto"/>
        <w:ind w:left="360"/>
        <w:contextualSpacing w:val="0"/>
        <w:jc w:val="both"/>
        <w:rPr>
          <w:rFonts w:ascii="Times New Roman"/>
          <w:kern w:val="22"/>
        </w:rPr>
      </w:pPr>
      <w:bookmarkStart w:id="4" w:name="_Hlk17272884"/>
      <w:bookmarkStart w:id="5" w:name="_Hlk17273231"/>
      <w:bookmarkStart w:id="6" w:name="_Hlk15647653"/>
      <w:r w:rsidRPr="00F25D02">
        <w:rPr>
          <w:rFonts w:ascii="Times New Roman"/>
          <w:kern w:val="22"/>
        </w:rPr>
        <w:t>CLARIFY</w:t>
      </w:r>
      <w:r w:rsidR="007D370E" w:rsidRPr="00F25D02">
        <w:rPr>
          <w:rFonts w:ascii="Times New Roman"/>
          <w:kern w:val="22"/>
        </w:rPr>
        <w:t>ING</w:t>
      </w:r>
      <w:r w:rsidRPr="00F25D02">
        <w:rPr>
          <w:rFonts w:ascii="Times New Roman"/>
          <w:kern w:val="22"/>
        </w:rPr>
        <w:t xml:space="preserve"> THE CONCEPT, INCLUDING RELEVANT TERMINOLOGY AND SCOPE, OF DIGITAL SEQUENCE INFORMATION ON GENETIC RESOURCES (DECISION 14/20, PARAGRAPH 9)</w:t>
      </w:r>
      <w:r w:rsidR="00385609" w:rsidRPr="00F25D02">
        <w:rPr>
          <w:rFonts w:ascii="Times New Roman"/>
          <w:kern w:val="22"/>
        </w:rPr>
        <w:t xml:space="preserve"> </w:t>
      </w:r>
    </w:p>
    <w:p w14:paraId="4128696D" w14:textId="52D47458" w:rsidR="0046449A" w:rsidRPr="00F25D02" w:rsidRDefault="00F651F9" w:rsidP="00CE1F65">
      <w:pPr>
        <w:pStyle w:val="ListParagraph"/>
        <w:numPr>
          <w:ilvl w:val="1"/>
          <w:numId w:val="1"/>
        </w:numPr>
        <w:spacing w:before="120" w:after="120" w:line="240" w:lineRule="auto"/>
        <w:ind w:left="720"/>
        <w:contextualSpacing w:val="0"/>
        <w:jc w:val="both"/>
        <w:rPr>
          <w:rFonts w:ascii="Times New Roman"/>
          <w:kern w:val="22"/>
        </w:rPr>
      </w:pPr>
      <w:bookmarkStart w:id="7" w:name="_Hlk17275525"/>
      <w:bookmarkStart w:id="8" w:name="_Hlk17834233"/>
      <w:bookmarkEnd w:id="4"/>
      <w:bookmarkEnd w:id="5"/>
      <w:r w:rsidRPr="00F25D02">
        <w:rPr>
          <w:rFonts w:ascii="Times New Roman"/>
          <w:kern w:val="22"/>
        </w:rPr>
        <w:t xml:space="preserve">General considerations </w:t>
      </w:r>
    </w:p>
    <w:p w14:paraId="773150E2" w14:textId="2F4DCC36" w:rsidR="006870B4" w:rsidRPr="00F25D02" w:rsidRDefault="00F651F9" w:rsidP="00CE1F65">
      <w:pPr>
        <w:pStyle w:val="ListParagraph"/>
        <w:numPr>
          <w:ilvl w:val="1"/>
          <w:numId w:val="1"/>
        </w:numPr>
        <w:spacing w:before="120" w:after="120" w:line="240" w:lineRule="auto"/>
        <w:ind w:left="720"/>
        <w:contextualSpacing w:val="0"/>
        <w:jc w:val="both"/>
        <w:rPr>
          <w:rFonts w:ascii="Times New Roman"/>
          <w:kern w:val="22"/>
        </w:rPr>
      </w:pPr>
      <w:bookmarkStart w:id="9" w:name="_Hlk15647544"/>
      <w:bookmarkStart w:id="10" w:name="_Hlk17915429"/>
      <w:bookmarkEnd w:id="6"/>
      <w:bookmarkEnd w:id="7"/>
      <w:bookmarkEnd w:id="8"/>
      <w:r w:rsidRPr="00F25D02">
        <w:rPr>
          <w:rFonts w:ascii="Times New Roman"/>
          <w:kern w:val="22"/>
        </w:rPr>
        <w:t xml:space="preserve">Clarifying the </w:t>
      </w:r>
      <w:r w:rsidR="00705922" w:rsidRPr="00F25D02">
        <w:rPr>
          <w:rFonts w:ascii="Times New Roman"/>
          <w:kern w:val="22"/>
        </w:rPr>
        <w:t xml:space="preserve">concept and </w:t>
      </w:r>
      <w:r w:rsidRPr="00F25D02">
        <w:rPr>
          <w:rFonts w:ascii="Times New Roman"/>
          <w:kern w:val="22"/>
        </w:rPr>
        <w:t xml:space="preserve">scope of subject matter comprising </w:t>
      </w:r>
      <w:r w:rsidR="00A61D1D" w:rsidRPr="00F25D02">
        <w:rPr>
          <w:rFonts w:ascii="Times New Roman"/>
          <w:kern w:val="22"/>
        </w:rPr>
        <w:t>digital sequence information on genetic resources</w:t>
      </w:r>
      <w:r w:rsidRPr="00F25D02">
        <w:rPr>
          <w:rFonts w:ascii="Times New Roman"/>
          <w:kern w:val="22"/>
        </w:rPr>
        <w:t xml:space="preserve"> </w:t>
      </w:r>
    </w:p>
    <w:p w14:paraId="00643A23" w14:textId="75562A19" w:rsidR="00F651F9" w:rsidRPr="00F25D02" w:rsidRDefault="00F651F9" w:rsidP="00CE1F65">
      <w:pPr>
        <w:pStyle w:val="ListParagraph"/>
        <w:numPr>
          <w:ilvl w:val="1"/>
          <w:numId w:val="1"/>
        </w:numPr>
        <w:spacing w:before="120" w:after="120" w:line="240" w:lineRule="auto"/>
        <w:ind w:left="720"/>
        <w:contextualSpacing w:val="0"/>
        <w:jc w:val="both"/>
        <w:rPr>
          <w:rFonts w:ascii="Times New Roman"/>
          <w:kern w:val="22"/>
        </w:rPr>
      </w:pPr>
      <w:bookmarkStart w:id="11" w:name="_Hlk15650761"/>
      <w:bookmarkEnd w:id="9"/>
      <w:bookmarkEnd w:id="10"/>
      <w:r w:rsidRPr="00F25D02">
        <w:rPr>
          <w:rFonts w:ascii="Times New Roman"/>
          <w:kern w:val="22"/>
        </w:rPr>
        <w:t xml:space="preserve">Clarifying terminology associated with </w:t>
      </w:r>
      <w:r w:rsidR="00A61D1D" w:rsidRPr="00F25D02">
        <w:rPr>
          <w:rFonts w:ascii="Times New Roman"/>
          <w:kern w:val="22"/>
        </w:rPr>
        <w:t>d</w:t>
      </w:r>
      <w:r w:rsidRPr="00F25D02">
        <w:rPr>
          <w:rFonts w:ascii="Times New Roman"/>
          <w:kern w:val="22"/>
        </w:rPr>
        <w:t xml:space="preserve">igital </w:t>
      </w:r>
      <w:r w:rsidR="00A61D1D" w:rsidRPr="00F25D02">
        <w:rPr>
          <w:rFonts w:ascii="Times New Roman"/>
          <w:kern w:val="22"/>
        </w:rPr>
        <w:t>s</w:t>
      </w:r>
      <w:r w:rsidRPr="00F25D02">
        <w:rPr>
          <w:rFonts w:ascii="Times New Roman"/>
          <w:kern w:val="22"/>
        </w:rPr>
        <w:t xml:space="preserve">equence </w:t>
      </w:r>
      <w:r w:rsidR="00A61D1D" w:rsidRPr="00F25D02">
        <w:rPr>
          <w:rFonts w:ascii="Times New Roman"/>
          <w:kern w:val="22"/>
        </w:rPr>
        <w:t>i</w:t>
      </w:r>
      <w:r w:rsidRPr="00F25D02">
        <w:rPr>
          <w:rFonts w:ascii="Times New Roman"/>
          <w:kern w:val="22"/>
        </w:rPr>
        <w:t xml:space="preserve">nformation on </w:t>
      </w:r>
      <w:r w:rsidR="00A61D1D" w:rsidRPr="00F25D02">
        <w:rPr>
          <w:rFonts w:ascii="Times New Roman"/>
          <w:kern w:val="22"/>
        </w:rPr>
        <w:t>g</w:t>
      </w:r>
      <w:r w:rsidRPr="00F25D02">
        <w:rPr>
          <w:rFonts w:ascii="Times New Roman"/>
          <w:kern w:val="22"/>
        </w:rPr>
        <w:t xml:space="preserve">enetic </w:t>
      </w:r>
      <w:r w:rsidR="00A61D1D" w:rsidRPr="00F25D02">
        <w:rPr>
          <w:rFonts w:ascii="Times New Roman"/>
          <w:kern w:val="22"/>
        </w:rPr>
        <w:t>r</w:t>
      </w:r>
      <w:r w:rsidRPr="00F25D02">
        <w:rPr>
          <w:rFonts w:ascii="Times New Roman"/>
          <w:kern w:val="22"/>
        </w:rPr>
        <w:t>esources</w:t>
      </w:r>
    </w:p>
    <w:p w14:paraId="2016F6DB" w14:textId="6614ADB5" w:rsidR="00F651F9" w:rsidRPr="00F25D02" w:rsidRDefault="00D2652E" w:rsidP="00086139">
      <w:pPr>
        <w:pStyle w:val="ListParagraph"/>
        <w:numPr>
          <w:ilvl w:val="0"/>
          <w:numId w:val="7"/>
        </w:numPr>
        <w:spacing w:before="120" w:after="120" w:line="240" w:lineRule="auto"/>
        <w:ind w:left="1170"/>
        <w:contextualSpacing w:val="0"/>
        <w:jc w:val="both"/>
        <w:rPr>
          <w:rFonts w:ascii="Times New Roman"/>
          <w:kern w:val="22"/>
        </w:rPr>
      </w:pPr>
      <w:r w:rsidRPr="00F25D02">
        <w:rPr>
          <w:rFonts w:ascii="Times New Roman"/>
          <w:kern w:val="22"/>
        </w:rPr>
        <w:t xml:space="preserve">General </w:t>
      </w:r>
      <w:r w:rsidR="00F651F9" w:rsidRPr="00F25D02">
        <w:rPr>
          <w:rFonts w:ascii="Times New Roman"/>
          <w:kern w:val="22"/>
        </w:rPr>
        <w:t xml:space="preserve">Considerations regarding terminology </w:t>
      </w:r>
    </w:p>
    <w:p w14:paraId="7984EDC8" w14:textId="1327F036" w:rsidR="0071534F" w:rsidRPr="00F25D02" w:rsidRDefault="0071534F" w:rsidP="00086139">
      <w:pPr>
        <w:pStyle w:val="ListParagraph"/>
        <w:numPr>
          <w:ilvl w:val="0"/>
          <w:numId w:val="7"/>
        </w:numPr>
        <w:spacing w:before="120" w:after="120" w:line="240" w:lineRule="auto"/>
        <w:ind w:left="1170"/>
        <w:contextualSpacing w:val="0"/>
        <w:jc w:val="both"/>
        <w:rPr>
          <w:rFonts w:ascii="Times New Roman"/>
          <w:kern w:val="22"/>
        </w:rPr>
      </w:pPr>
      <w:r w:rsidRPr="00F25D02">
        <w:rPr>
          <w:rFonts w:ascii="Times New Roman"/>
          <w:kern w:val="22"/>
        </w:rPr>
        <w:t xml:space="preserve">Evaluation of the constituent terms ‘digital’, ‘sequence’ and ‘information’ </w:t>
      </w:r>
    </w:p>
    <w:p w14:paraId="79D729C6" w14:textId="03C19C5C" w:rsidR="0071534F" w:rsidRPr="00F25D02" w:rsidRDefault="0071534F" w:rsidP="00086139">
      <w:pPr>
        <w:pStyle w:val="ListParagraph"/>
        <w:numPr>
          <w:ilvl w:val="0"/>
          <w:numId w:val="7"/>
        </w:numPr>
        <w:spacing w:before="120" w:after="120" w:line="240" w:lineRule="auto"/>
        <w:ind w:left="1170"/>
        <w:contextualSpacing w:val="0"/>
        <w:jc w:val="both"/>
        <w:rPr>
          <w:rFonts w:ascii="Times New Roman"/>
          <w:kern w:val="22"/>
        </w:rPr>
      </w:pPr>
      <w:r w:rsidRPr="00F25D02">
        <w:rPr>
          <w:rFonts w:ascii="Times New Roman"/>
          <w:kern w:val="22"/>
        </w:rPr>
        <w:t xml:space="preserve">DSI terminology in other international fora </w:t>
      </w:r>
    </w:p>
    <w:p w14:paraId="2C08F47F" w14:textId="6269BDE3" w:rsidR="00F651F9" w:rsidRPr="00F25D02" w:rsidRDefault="00F651F9" w:rsidP="00086139">
      <w:pPr>
        <w:pStyle w:val="ListParagraph"/>
        <w:numPr>
          <w:ilvl w:val="0"/>
          <w:numId w:val="7"/>
        </w:numPr>
        <w:spacing w:before="120" w:after="120" w:line="240" w:lineRule="auto"/>
        <w:ind w:left="1170"/>
        <w:contextualSpacing w:val="0"/>
        <w:jc w:val="both"/>
        <w:rPr>
          <w:rFonts w:ascii="Times New Roman"/>
          <w:kern w:val="22"/>
        </w:rPr>
      </w:pPr>
      <w:r w:rsidRPr="00F25D02">
        <w:rPr>
          <w:rFonts w:ascii="Times New Roman"/>
          <w:kern w:val="22"/>
        </w:rPr>
        <w:t xml:space="preserve">Preferred/suggested terminology </w:t>
      </w:r>
    </w:p>
    <w:p w14:paraId="6961BBA2" w14:textId="55F48A61" w:rsidR="00F651F9" w:rsidRPr="00F25D02" w:rsidRDefault="00705922" w:rsidP="00CE1F65">
      <w:pPr>
        <w:pStyle w:val="ListParagraph"/>
        <w:numPr>
          <w:ilvl w:val="1"/>
          <w:numId w:val="1"/>
        </w:numPr>
        <w:spacing w:before="120" w:after="120" w:line="240" w:lineRule="auto"/>
        <w:ind w:left="720"/>
        <w:contextualSpacing w:val="0"/>
        <w:jc w:val="both"/>
        <w:rPr>
          <w:rFonts w:ascii="Times New Roman"/>
          <w:kern w:val="22"/>
        </w:rPr>
      </w:pPr>
      <w:r w:rsidRPr="00F25D02">
        <w:rPr>
          <w:rFonts w:ascii="Times New Roman"/>
          <w:kern w:val="22"/>
        </w:rPr>
        <w:t xml:space="preserve"> Perspectives on the use of </w:t>
      </w:r>
      <w:r w:rsidR="00A61D1D" w:rsidRPr="00F25D02">
        <w:rPr>
          <w:rFonts w:ascii="Times New Roman"/>
          <w:kern w:val="22"/>
        </w:rPr>
        <w:t>digital sequence information on genetic resources</w:t>
      </w:r>
    </w:p>
    <w:p w14:paraId="65681D2D" w14:textId="27B83F86" w:rsidR="00F651F9" w:rsidRPr="00F25D02" w:rsidRDefault="00F651F9" w:rsidP="00086139">
      <w:pPr>
        <w:pStyle w:val="ListParagraph"/>
        <w:numPr>
          <w:ilvl w:val="0"/>
          <w:numId w:val="6"/>
        </w:numPr>
        <w:spacing w:before="120" w:after="120" w:line="240" w:lineRule="auto"/>
        <w:ind w:left="1170"/>
        <w:contextualSpacing w:val="0"/>
        <w:jc w:val="both"/>
        <w:rPr>
          <w:rFonts w:ascii="Times New Roman"/>
          <w:kern w:val="22"/>
        </w:rPr>
      </w:pPr>
      <w:r w:rsidRPr="00F25D02">
        <w:rPr>
          <w:rFonts w:ascii="Times New Roman"/>
          <w:kern w:val="22"/>
        </w:rPr>
        <w:t xml:space="preserve">Established scientific practices </w:t>
      </w:r>
    </w:p>
    <w:p w14:paraId="663433B1" w14:textId="3E8D3141" w:rsidR="00F651F9" w:rsidRPr="00F25D02" w:rsidRDefault="00F651F9" w:rsidP="00086139">
      <w:pPr>
        <w:pStyle w:val="ListParagraph"/>
        <w:numPr>
          <w:ilvl w:val="0"/>
          <w:numId w:val="6"/>
        </w:numPr>
        <w:spacing w:before="120" w:after="120" w:line="240" w:lineRule="auto"/>
        <w:ind w:left="1170"/>
        <w:contextualSpacing w:val="0"/>
        <w:jc w:val="both"/>
        <w:rPr>
          <w:rFonts w:ascii="Times New Roman"/>
          <w:kern w:val="22"/>
        </w:rPr>
      </w:pPr>
      <w:r w:rsidRPr="00F25D02">
        <w:rPr>
          <w:rFonts w:ascii="Times New Roman"/>
          <w:kern w:val="22"/>
        </w:rPr>
        <w:t xml:space="preserve">Use and application of </w:t>
      </w:r>
      <w:r w:rsidR="00A61D1D" w:rsidRPr="00F25D02">
        <w:rPr>
          <w:rFonts w:ascii="Times New Roman"/>
          <w:kern w:val="22"/>
        </w:rPr>
        <w:t>digital sequence information</w:t>
      </w:r>
    </w:p>
    <w:p w14:paraId="39B6A697" w14:textId="76AB865C" w:rsidR="0046449A" w:rsidRPr="00F25D02" w:rsidRDefault="0046449A" w:rsidP="00CE1F65">
      <w:pPr>
        <w:pStyle w:val="ListParagraph"/>
        <w:numPr>
          <w:ilvl w:val="0"/>
          <w:numId w:val="1"/>
        </w:numPr>
        <w:spacing w:before="120" w:after="120" w:line="240" w:lineRule="auto"/>
        <w:ind w:left="360"/>
        <w:contextualSpacing w:val="0"/>
        <w:jc w:val="both"/>
        <w:rPr>
          <w:rFonts w:ascii="Times New Roman"/>
          <w:kern w:val="22"/>
        </w:rPr>
      </w:pPr>
      <w:bookmarkStart w:id="12" w:name="_Hlk17273202"/>
      <w:bookmarkStart w:id="13" w:name="_Hlk19285242"/>
      <w:bookmarkEnd w:id="11"/>
      <w:r w:rsidRPr="00F25D02">
        <w:rPr>
          <w:rFonts w:ascii="Times New Roman"/>
          <w:kern w:val="22"/>
        </w:rPr>
        <w:t>DOMESTIC MEASURES</w:t>
      </w:r>
      <w:r w:rsidR="0080452C" w:rsidRPr="00F25D02">
        <w:rPr>
          <w:rFonts w:ascii="Times New Roman"/>
          <w:kern w:val="22"/>
        </w:rPr>
        <w:t xml:space="preserve"> AND</w:t>
      </w:r>
      <w:r w:rsidR="001C5E9C" w:rsidRPr="00F25D02">
        <w:rPr>
          <w:rFonts w:ascii="Times New Roman"/>
          <w:kern w:val="22"/>
        </w:rPr>
        <w:t xml:space="preserve"> BENEFIT-SHARING ARRANGEMENTS FROM COMMERCIAL AND NON-COMMERCIAL USE </w:t>
      </w:r>
      <w:bookmarkEnd w:id="12"/>
    </w:p>
    <w:p w14:paraId="2F21CA58" w14:textId="34D412AD" w:rsidR="0046449A" w:rsidRPr="00F25D02" w:rsidRDefault="001C5E9C" w:rsidP="00CE1F65">
      <w:pPr>
        <w:pStyle w:val="ListParagraph"/>
        <w:numPr>
          <w:ilvl w:val="1"/>
          <w:numId w:val="1"/>
        </w:numPr>
        <w:spacing w:before="120" w:after="120" w:line="240" w:lineRule="auto"/>
        <w:ind w:left="720"/>
        <w:contextualSpacing w:val="0"/>
        <w:jc w:val="both"/>
        <w:rPr>
          <w:rFonts w:ascii="Times New Roman"/>
          <w:kern w:val="22"/>
        </w:rPr>
      </w:pPr>
      <w:r w:rsidRPr="00F25D02">
        <w:rPr>
          <w:rFonts w:ascii="Times New Roman"/>
          <w:kern w:val="22"/>
        </w:rPr>
        <w:t>D</w:t>
      </w:r>
      <w:r w:rsidR="0046449A" w:rsidRPr="00F25D02">
        <w:rPr>
          <w:rFonts w:ascii="Times New Roman"/>
          <w:kern w:val="22"/>
        </w:rPr>
        <w:t>omestic measures on access and benefit-sharing</w:t>
      </w:r>
      <w:r w:rsidRPr="00F25D02">
        <w:rPr>
          <w:rFonts w:ascii="Times New Roman"/>
          <w:kern w:val="22"/>
        </w:rPr>
        <w:t xml:space="preserve"> </w:t>
      </w:r>
      <w:r w:rsidR="004F6DD3" w:rsidRPr="00F25D02">
        <w:rPr>
          <w:rFonts w:ascii="Times New Roman"/>
          <w:kern w:val="22"/>
        </w:rPr>
        <w:t xml:space="preserve">concerning </w:t>
      </w:r>
      <w:r w:rsidR="00A61D1D" w:rsidRPr="00F25D02">
        <w:rPr>
          <w:rFonts w:ascii="Times New Roman"/>
          <w:kern w:val="22"/>
        </w:rPr>
        <w:t>digital sequence information on genetic resources</w:t>
      </w:r>
    </w:p>
    <w:p w14:paraId="31F409C8" w14:textId="337E80D6" w:rsidR="00AC341E" w:rsidRPr="00F25D02" w:rsidRDefault="0071534F" w:rsidP="00086139">
      <w:pPr>
        <w:pStyle w:val="ListParagraph"/>
        <w:numPr>
          <w:ilvl w:val="0"/>
          <w:numId w:val="5"/>
        </w:numPr>
        <w:spacing w:before="120" w:after="120" w:line="240" w:lineRule="auto"/>
        <w:ind w:left="1170"/>
        <w:contextualSpacing w:val="0"/>
        <w:jc w:val="both"/>
        <w:rPr>
          <w:rFonts w:ascii="Times New Roman"/>
          <w:kern w:val="22"/>
        </w:rPr>
      </w:pPr>
      <w:r w:rsidRPr="00F25D02">
        <w:rPr>
          <w:rFonts w:ascii="Times New Roman"/>
          <w:kern w:val="22"/>
        </w:rPr>
        <w:t>Comments on m</w:t>
      </w:r>
      <w:r w:rsidR="00AC341E" w:rsidRPr="00F25D02">
        <w:rPr>
          <w:rFonts w:ascii="Times New Roman"/>
          <w:kern w:val="22"/>
        </w:rPr>
        <w:t xml:space="preserve">easures </w:t>
      </w:r>
      <w:r w:rsidR="006870B4" w:rsidRPr="00F25D02">
        <w:rPr>
          <w:rFonts w:ascii="Times New Roman"/>
          <w:kern w:val="22"/>
        </w:rPr>
        <w:t xml:space="preserve">that </w:t>
      </w:r>
      <w:r w:rsidR="00AC341E" w:rsidRPr="00F25D02">
        <w:rPr>
          <w:rFonts w:ascii="Times New Roman"/>
          <w:kern w:val="22"/>
        </w:rPr>
        <w:t xml:space="preserve">do not explicitly address </w:t>
      </w:r>
      <w:r w:rsidR="00A61D1D" w:rsidRPr="00F25D02">
        <w:rPr>
          <w:rFonts w:ascii="Times New Roman"/>
          <w:kern w:val="22"/>
        </w:rPr>
        <w:t>digital sequence information on genetic resources</w:t>
      </w:r>
    </w:p>
    <w:p w14:paraId="7E017F11" w14:textId="74633040" w:rsidR="00AC341E" w:rsidRPr="00F25D02" w:rsidRDefault="0071534F" w:rsidP="00086139">
      <w:pPr>
        <w:pStyle w:val="ListParagraph"/>
        <w:numPr>
          <w:ilvl w:val="0"/>
          <w:numId w:val="5"/>
        </w:numPr>
        <w:spacing w:before="120" w:after="120" w:line="240" w:lineRule="auto"/>
        <w:ind w:left="1170"/>
        <w:contextualSpacing w:val="0"/>
        <w:jc w:val="both"/>
        <w:rPr>
          <w:rFonts w:ascii="Times New Roman"/>
          <w:kern w:val="22"/>
        </w:rPr>
      </w:pPr>
      <w:r w:rsidRPr="00F25D02">
        <w:rPr>
          <w:rFonts w:ascii="Times New Roman"/>
          <w:kern w:val="22"/>
        </w:rPr>
        <w:t>Comments on m</w:t>
      </w:r>
      <w:r w:rsidR="00AC341E" w:rsidRPr="00F25D02">
        <w:rPr>
          <w:rFonts w:ascii="Times New Roman"/>
          <w:kern w:val="22"/>
        </w:rPr>
        <w:t xml:space="preserve">easures </w:t>
      </w:r>
      <w:r w:rsidR="006870B4" w:rsidRPr="00F25D02">
        <w:rPr>
          <w:rFonts w:ascii="Times New Roman"/>
          <w:kern w:val="22"/>
        </w:rPr>
        <w:t xml:space="preserve">that </w:t>
      </w:r>
      <w:r w:rsidR="00AC341E" w:rsidRPr="00F25D02">
        <w:rPr>
          <w:rFonts w:ascii="Times New Roman"/>
          <w:kern w:val="22"/>
        </w:rPr>
        <w:t xml:space="preserve">explicitly address </w:t>
      </w:r>
      <w:r w:rsidR="00A61D1D" w:rsidRPr="00F25D02">
        <w:rPr>
          <w:rFonts w:ascii="Times New Roman"/>
          <w:kern w:val="22"/>
        </w:rPr>
        <w:t>digital sequence information on genetic resources</w:t>
      </w:r>
    </w:p>
    <w:bookmarkEnd w:id="13"/>
    <w:p w14:paraId="6F3E8E70" w14:textId="39867975" w:rsidR="001C5E9C" w:rsidRPr="00F25D02" w:rsidRDefault="004F6DD3" w:rsidP="00CE1F65">
      <w:pPr>
        <w:pStyle w:val="ListParagraph"/>
        <w:numPr>
          <w:ilvl w:val="1"/>
          <w:numId w:val="1"/>
        </w:numPr>
        <w:spacing w:before="120" w:after="120" w:line="240" w:lineRule="auto"/>
        <w:ind w:left="720"/>
        <w:contextualSpacing w:val="0"/>
        <w:jc w:val="both"/>
        <w:rPr>
          <w:rFonts w:ascii="Times New Roman"/>
          <w:kern w:val="22"/>
        </w:rPr>
      </w:pPr>
      <w:r w:rsidRPr="00F25D02">
        <w:rPr>
          <w:rFonts w:ascii="Times New Roman"/>
          <w:kern w:val="22"/>
        </w:rPr>
        <w:t xml:space="preserve">Benefit-sharing arrangements from commercial and non-commercial use of </w:t>
      </w:r>
      <w:r w:rsidR="00A61D1D" w:rsidRPr="00F25D02">
        <w:rPr>
          <w:rFonts w:ascii="Times New Roman"/>
          <w:kern w:val="22"/>
        </w:rPr>
        <w:t>digital sequence information on genetic resources</w:t>
      </w:r>
    </w:p>
    <w:p w14:paraId="05C56E04" w14:textId="1044D3A8" w:rsidR="00620758" w:rsidRPr="00F25D02" w:rsidRDefault="00620758" w:rsidP="00CE1F65">
      <w:pPr>
        <w:pStyle w:val="ListParagraph"/>
        <w:numPr>
          <w:ilvl w:val="0"/>
          <w:numId w:val="1"/>
        </w:numPr>
        <w:spacing w:before="120" w:after="120" w:line="240" w:lineRule="auto"/>
        <w:ind w:left="360"/>
        <w:contextualSpacing w:val="0"/>
        <w:jc w:val="both"/>
        <w:rPr>
          <w:rFonts w:ascii="Times New Roman"/>
          <w:kern w:val="22"/>
        </w:rPr>
      </w:pPr>
      <w:bookmarkStart w:id="14" w:name="_Hlk29122874"/>
      <w:r w:rsidRPr="00F25D02">
        <w:rPr>
          <w:rFonts w:ascii="Times New Roman"/>
          <w:kern w:val="22"/>
        </w:rPr>
        <w:t xml:space="preserve">CAPACITY-BUILDING NEEDS RELATED TO DIGITAL SEQUENCE INFORMATION ON GENETIC RESOURCES </w:t>
      </w:r>
    </w:p>
    <w:p w14:paraId="04E7C6CD" w14:textId="1320B243" w:rsidR="00705922" w:rsidRPr="00F25D02" w:rsidRDefault="00F01643" w:rsidP="00CE1F65">
      <w:pPr>
        <w:pStyle w:val="ListParagraph"/>
        <w:numPr>
          <w:ilvl w:val="0"/>
          <w:numId w:val="1"/>
        </w:numPr>
        <w:spacing w:before="120" w:after="120" w:line="240" w:lineRule="auto"/>
        <w:ind w:left="360"/>
        <w:contextualSpacing w:val="0"/>
        <w:jc w:val="both"/>
        <w:rPr>
          <w:rFonts w:ascii="Times New Roman"/>
          <w:kern w:val="22"/>
        </w:rPr>
      </w:pPr>
      <w:r w:rsidRPr="00F25D02">
        <w:rPr>
          <w:rFonts w:ascii="Times New Roman"/>
          <w:kern w:val="22"/>
        </w:rPr>
        <w:t xml:space="preserve">IMPLICATIONS FOR THE OBJECTIVES OF THE CONVENTION AND THE </w:t>
      </w:r>
      <w:r w:rsidR="00705922" w:rsidRPr="00F25D02">
        <w:rPr>
          <w:rFonts w:ascii="Times New Roman"/>
          <w:kern w:val="22"/>
        </w:rPr>
        <w:t>NAGOYA PROTOCOL</w:t>
      </w:r>
    </w:p>
    <w:p w14:paraId="5B21548A" w14:textId="68D131BB" w:rsidR="0080452C" w:rsidRPr="00F25D02" w:rsidRDefault="0080452C" w:rsidP="0080452C">
      <w:pPr>
        <w:pStyle w:val="ListParagraph"/>
        <w:numPr>
          <w:ilvl w:val="1"/>
          <w:numId w:val="1"/>
        </w:numPr>
        <w:spacing w:before="120" w:after="120" w:line="240" w:lineRule="auto"/>
        <w:ind w:left="720"/>
        <w:contextualSpacing w:val="0"/>
        <w:jc w:val="both"/>
        <w:rPr>
          <w:rFonts w:ascii="Times New Roman"/>
          <w:kern w:val="22"/>
        </w:rPr>
      </w:pPr>
      <w:r w:rsidRPr="00F25D02">
        <w:rPr>
          <w:rFonts w:ascii="Times New Roman"/>
          <w:kern w:val="22"/>
        </w:rPr>
        <w:t>Considerations on scope of the Convention and the Nagoya Protocol</w:t>
      </w:r>
    </w:p>
    <w:p w14:paraId="03FE5E7E" w14:textId="38FCF3CA" w:rsidR="00705922" w:rsidRPr="00F25D02" w:rsidRDefault="00F01643" w:rsidP="00E46FFB">
      <w:pPr>
        <w:pStyle w:val="ListParagraph"/>
        <w:numPr>
          <w:ilvl w:val="1"/>
          <w:numId w:val="1"/>
        </w:numPr>
        <w:spacing w:before="120" w:after="120" w:line="240" w:lineRule="auto"/>
        <w:ind w:left="720"/>
        <w:contextualSpacing w:val="0"/>
        <w:jc w:val="both"/>
        <w:rPr>
          <w:rFonts w:ascii="Times New Roman"/>
          <w:kern w:val="22"/>
        </w:rPr>
      </w:pPr>
      <w:r w:rsidRPr="00F25D02">
        <w:rPr>
          <w:rFonts w:ascii="Times New Roman"/>
          <w:kern w:val="22"/>
        </w:rPr>
        <w:t>Benefits associated with the o</w:t>
      </w:r>
      <w:r w:rsidR="00705922" w:rsidRPr="00F25D02">
        <w:rPr>
          <w:rFonts w:ascii="Times New Roman"/>
          <w:kern w:val="22"/>
        </w:rPr>
        <w:t xml:space="preserve">pen exchange of </w:t>
      </w:r>
      <w:r w:rsidR="00A61D1D" w:rsidRPr="00F25D02">
        <w:rPr>
          <w:rFonts w:ascii="Times New Roman"/>
          <w:kern w:val="22"/>
        </w:rPr>
        <w:t xml:space="preserve">digital sequence information </w:t>
      </w:r>
    </w:p>
    <w:p w14:paraId="2973C471" w14:textId="3B5C050D" w:rsidR="002E2FCC" w:rsidRPr="00F25D02" w:rsidRDefault="00F01643" w:rsidP="00E46FFB">
      <w:pPr>
        <w:pStyle w:val="ListParagraph"/>
        <w:numPr>
          <w:ilvl w:val="1"/>
          <w:numId w:val="1"/>
        </w:numPr>
        <w:spacing w:before="120" w:after="120" w:line="240" w:lineRule="auto"/>
        <w:ind w:left="720"/>
        <w:contextualSpacing w:val="0"/>
        <w:jc w:val="both"/>
        <w:rPr>
          <w:rFonts w:ascii="Times New Roman"/>
          <w:kern w:val="22"/>
        </w:rPr>
      </w:pPr>
      <w:r w:rsidRPr="00F25D02">
        <w:rPr>
          <w:rFonts w:ascii="Times New Roman"/>
          <w:kern w:val="22"/>
        </w:rPr>
        <w:t>P</w:t>
      </w:r>
      <w:r w:rsidR="00705922" w:rsidRPr="00F25D02">
        <w:rPr>
          <w:rFonts w:ascii="Times New Roman"/>
          <w:kern w:val="22"/>
        </w:rPr>
        <w:t>otential</w:t>
      </w:r>
      <w:r w:rsidRPr="00F25D02">
        <w:rPr>
          <w:rFonts w:ascii="Times New Roman"/>
          <w:kern w:val="22"/>
        </w:rPr>
        <w:t>ly adverse</w:t>
      </w:r>
      <w:r w:rsidR="00705922" w:rsidRPr="00F25D02">
        <w:rPr>
          <w:rFonts w:ascii="Times New Roman"/>
          <w:kern w:val="22"/>
        </w:rPr>
        <w:t xml:space="preserve"> consequences of regulating access and/or use of </w:t>
      </w:r>
      <w:r w:rsidR="00A61D1D" w:rsidRPr="00F25D02">
        <w:rPr>
          <w:rFonts w:ascii="Times New Roman"/>
          <w:kern w:val="22"/>
        </w:rPr>
        <w:t xml:space="preserve">digital sequence information </w:t>
      </w:r>
    </w:p>
    <w:p w14:paraId="169C4A88" w14:textId="77777777" w:rsidR="002E2FCC" w:rsidRPr="00F25D02" w:rsidRDefault="002E2FCC" w:rsidP="002E2FCC">
      <w:pPr>
        <w:pStyle w:val="ListParagraph"/>
        <w:rPr>
          <w:rFonts w:ascii="Times New Roman"/>
          <w:kern w:val="22"/>
        </w:rPr>
      </w:pPr>
    </w:p>
    <w:p w14:paraId="5876B6EA" w14:textId="2D4E7B5F" w:rsidR="002E2FCC" w:rsidRPr="00F25D02" w:rsidRDefault="002E2FCC" w:rsidP="00BE3CA6">
      <w:pPr>
        <w:pStyle w:val="ListParagraph"/>
        <w:ind w:left="360" w:hanging="360"/>
        <w:rPr>
          <w:rFonts w:ascii="Times New Roman"/>
          <w:b/>
          <w:kern w:val="22"/>
        </w:rPr>
      </w:pPr>
      <w:r w:rsidRPr="00F25D02">
        <w:rPr>
          <w:rFonts w:ascii="Times New Roman"/>
          <w:kern w:val="22"/>
        </w:rPr>
        <w:t xml:space="preserve">V. </w:t>
      </w:r>
      <w:r w:rsidR="0080452C" w:rsidRPr="00F25D02">
        <w:rPr>
          <w:rFonts w:ascii="Times New Roman"/>
          <w:kern w:val="22"/>
        </w:rPr>
        <w:t>PO</w:t>
      </w:r>
      <w:r w:rsidR="00524A30" w:rsidRPr="00F25D02">
        <w:rPr>
          <w:rFonts w:ascii="Times New Roman"/>
          <w:kern w:val="22"/>
        </w:rPr>
        <w:t>TENTIAL</w:t>
      </w:r>
      <w:r w:rsidR="0080452C" w:rsidRPr="00F25D02">
        <w:rPr>
          <w:rFonts w:ascii="Times New Roman"/>
          <w:kern w:val="22"/>
        </w:rPr>
        <w:t xml:space="preserve"> NEED FOR ADDITIONAL INFORMATION </w:t>
      </w:r>
      <w:bookmarkEnd w:id="3"/>
      <w:bookmarkEnd w:id="14"/>
    </w:p>
    <w:p w14:paraId="31475CE9" w14:textId="77777777" w:rsidR="002E2FCC" w:rsidRPr="00F25D02" w:rsidRDefault="002E2FCC">
      <w:pPr>
        <w:rPr>
          <w:rFonts w:ascii="Times New Roman"/>
          <w:b/>
          <w:kern w:val="22"/>
        </w:rPr>
      </w:pPr>
      <w:r w:rsidRPr="00F25D02">
        <w:rPr>
          <w:rFonts w:ascii="Times New Roman"/>
          <w:b/>
          <w:kern w:val="22"/>
        </w:rPr>
        <w:br w:type="page"/>
      </w:r>
    </w:p>
    <w:p w14:paraId="52C65BBB" w14:textId="4C74A0BD" w:rsidR="004A466F" w:rsidRPr="00F25D02" w:rsidRDefault="004A466F" w:rsidP="00F25D02">
      <w:pPr>
        <w:pStyle w:val="Heading1"/>
        <w:numPr>
          <w:ilvl w:val="0"/>
          <w:numId w:val="8"/>
        </w:numPr>
        <w:tabs>
          <w:tab w:val="clear" w:pos="720"/>
          <w:tab w:val="left" w:pos="1276"/>
        </w:tabs>
        <w:ind w:left="1276" w:hanging="720"/>
        <w:jc w:val="left"/>
        <w:rPr>
          <w:kern w:val="22"/>
        </w:rPr>
      </w:pPr>
      <w:r w:rsidRPr="00F25D02">
        <w:rPr>
          <w:kern w:val="22"/>
        </w:rPr>
        <w:lastRenderedPageBreak/>
        <w:t xml:space="preserve">CLARIFYING THE CONCEPT, INCLUDING RELEVANT TERMINOLOGY AND SCOPE, OF DIGITAL SEQUENCE INFORMATION ON GENETIC RESOURCES (DECISION 14/20, PARAGRAPH 9) </w:t>
      </w:r>
    </w:p>
    <w:p w14:paraId="1EB9FE23" w14:textId="0BA8C197" w:rsidR="004A466F" w:rsidRPr="00F25D02" w:rsidRDefault="004A466F" w:rsidP="00086139">
      <w:pPr>
        <w:pStyle w:val="Heading2"/>
        <w:keepLines w:val="0"/>
        <w:numPr>
          <w:ilvl w:val="1"/>
          <w:numId w:val="8"/>
        </w:numPr>
        <w:tabs>
          <w:tab w:val="left" w:pos="720"/>
        </w:tabs>
        <w:spacing w:before="120" w:after="120" w:line="240" w:lineRule="auto"/>
        <w:ind w:left="720"/>
        <w:jc w:val="center"/>
        <w:rPr>
          <w:rFonts w:ascii="Times New Roman" w:eastAsia="Times New Roman" w:hAnsi="Times New Roman" w:cs="Times New Roman"/>
          <w:b/>
          <w:bCs/>
          <w:iCs/>
          <w:color w:val="auto"/>
          <w:kern w:val="22"/>
          <w:sz w:val="22"/>
          <w:szCs w:val="24"/>
          <w:lang w:val="en-GB"/>
        </w:rPr>
      </w:pPr>
      <w:bookmarkStart w:id="15" w:name="_Hlk29114400"/>
      <w:r w:rsidRPr="00F25D02">
        <w:rPr>
          <w:rFonts w:ascii="Times New Roman" w:eastAsia="Times New Roman" w:hAnsi="Times New Roman" w:cs="Times New Roman"/>
          <w:b/>
          <w:bCs/>
          <w:iCs/>
          <w:color w:val="auto"/>
          <w:kern w:val="22"/>
          <w:sz w:val="22"/>
          <w:szCs w:val="24"/>
          <w:lang w:val="en-GB"/>
        </w:rPr>
        <w:t xml:space="preserve">General considerations </w:t>
      </w:r>
    </w:p>
    <w:bookmarkEnd w:id="15"/>
    <w:p w14:paraId="0B4E97D7" w14:textId="4D10BB81" w:rsidR="005D28B2" w:rsidRPr="00F25D02" w:rsidRDefault="001861AA" w:rsidP="00531E49">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The policy-based process on </w:t>
      </w:r>
      <w:r w:rsidR="00BB7978" w:rsidRPr="00F25D02">
        <w:rPr>
          <w:rFonts w:ascii="Times New Roman"/>
          <w:kern w:val="22"/>
        </w:rPr>
        <w:t>digital sequence information</w:t>
      </w:r>
      <w:r w:rsidRPr="00F25D02">
        <w:rPr>
          <w:rFonts w:ascii="Times New Roman"/>
          <w:kern w:val="22"/>
        </w:rPr>
        <w:t xml:space="preserve"> established by </w:t>
      </w:r>
      <w:bookmarkStart w:id="16" w:name="_Hlk34077478"/>
      <w:r w:rsidR="0017708F" w:rsidRPr="00F25D02">
        <w:rPr>
          <w:rFonts w:ascii="Times New Roman"/>
          <w:kern w:val="22"/>
        </w:rPr>
        <w:t>d</w:t>
      </w:r>
      <w:r w:rsidRPr="00F25D02">
        <w:rPr>
          <w:rFonts w:ascii="Times New Roman"/>
          <w:kern w:val="22"/>
        </w:rPr>
        <w:t>ecision 14/20</w:t>
      </w:r>
      <w:bookmarkEnd w:id="16"/>
      <w:r w:rsidRPr="00F25D02">
        <w:rPr>
          <w:rFonts w:ascii="Times New Roman"/>
          <w:kern w:val="22"/>
        </w:rPr>
        <w:t xml:space="preserve"> </w:t>
      </w:r>
      <w:r w:rsidR="00000C84" w:rsidRPr="00F25D02">
        <w:rPr>
          <w:rFonts w:ascii="Times New Roman"/>
          <w:kern w:val="22"/>
        </w:rPr>
        <w:t>includes</w:t>
      </w:r>
      <w:r w:rsidRPr="00F25D02">
        <w:rPr>
          <w:rFonts w:ascii="Times New Roman"/>
          <w:kern w:val="22"/>
        </w:rPr>
        <w:t xml:space="preserve">, inter alia, the commissioning and peer review of </w:t>
      </w:r>
      <w:r w:rsidR="000E3408" w:rsidRPr="00F25D02">
        <w:rPr>
          <w:rFonts w:ascii="Times New Roman"/>
          <w:kern w:val="22"/>
        </w:rPr>
        <w:t>a study on the concept and scope of digital sequence information on genetic resources and how digital sequence information is currently used</w:t>
      </w:r>
      <w:r w:rsidR="00260587" w:rsidRPr="00F25D02">
        <w:rPr>
          <w:rFonts w:ascii="Times New Roman"/>
          <w:kern w:val="22"/>
        </w:rPr>
        <w:t>,</w:t>
      </w:r>
      <w:r w:rsidR="00000C84" w:rsidRPr="00F25D02">
        <w:rPr>
          <w:rStyle w:val="FootnoteReference"/>
          <w:rFonts w:ascii="Times New Roman"/>
          <w:i/>
          <w:iCs/>
          <w:kern w:val="22"/>
        </w:rPr>
        <w:footnoteReference w:id="3"/>
      </w:r>
      <w:r w:rsidRPr="00F25D02">
        <w:rPr>
          <w:rFonts w:ascii="Times New Roman"/>
          <w:kern w:val="22"/>
        </w:rPr>
        <w:t xml:space="preserve"> which has been developed taking into account a wide range of sources, including the submissions which are the subject of th</w:t>
      </w:r>
      <w:r w:rsidR="00B72698" w:rsidRPr="00F25D02">
        <w:rPr>
          <w:rFonts w:ascii="Times New Roman"/>
          <w:kern w:val="22"/>
        </w:rPr>
        <w:t>e present</w:t>
      </w:r>
      <w:r w:rsidRPr="00F25D02">
        <w:rPr>
          <w:rFonts w:ascii="Times New Roman"/>
          <w:kern w:val="22"/>
        </w:rPr>
        <w:t xml:space="preserve"> </w:t>
      </w:r>
      <w:r w:rsidR="00B72698" w:rsidRPr="00F25D02">
        <w:rPr>
          <w:rFonts w:ascii="Times New Roman"/>
          <w:kern w:val="22"/>
        </w:rPr>
        <w:t>s</w:t>
      </w:r>
      <w:r w:rsidRPr="00F25D02">
        <w:rPr>
          <w:rFonts w:ascii="Times New Roman"/>
          <w:kern w:val="22"/>
        </w:rPr>
        <w:t>ynthesis.</w:t>
      </w:r>
      <w:r w:rsidR="00000C84" w:rsidRPr="00F25D02">
        <w:rPr>
          <w:rFonts w:ascii="Times New Roman"/>
          <w:kern w:val="22"/>
        </w:rPr>
        <w:t xml:space="preserve"> Accordingly, the study considers the issues of scope and terminology concerning </w:t>
      </w:r>
      <w:r w:rsidR="00BB7978" w:rsidRPr="00F25D02">
        <w:rPr>
          <w:rFonts w:ascii="Times New Roman"/>
          <w:kern w:val="22"/>
        </w:rPr>
        <w:t>digital sequence information</w:t>
      </w:r>
      <w:r w:rsidR="00000C84" w:rsidRPr="00F25D02">
        <w:rPr>
          <w:rFonts w:ascii="Times New Roman"/>
          <w:kern w:val="22"/>
        </w:rPr>
        <w:t xml:space="preserve"> in considerably greater detail than the sections below.</w:t>
      </w:r>
      <w:r w:rsidR="00E60F87" w:rsidRPr="00F25D02">
        <w:rPr>
          <w:rFonts w:ascii="Times New Roman"/>
          <w:kern w:val="22"/>
        </w:rPr>
        <w:t xml:space="preserve"> </w:t>
      </w:r>
    </w:p>
    <w:p w14:paraId="7307C688" w14:textId="7B0F5427" w:rsidR="00FC724A" w:rsidRPr="00F25D02" w:rsidRDefault="0057591E" w:rsidP="00FC724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Certain</w:t>
      </w:r>
      <w:r w:rsidR="00FC724A" w:rsidRPr="00F25D02">
        <w:rPr>
          <w:rFonts w:ascii="Times New Roman"/>
          <w:kern w:val="22"/>
        </w:rPr>
        <w:t xml:space="preserve"> submission</w:t>
      </w:r>
      <w:r w:rsidRPr="00F25D02">
        <w:rPr>
          <w:rFonts w:ascii="Times New Roman"/>
          <w:kern w:val="22"/>
        </w:rPr>
        <w:t>s</w:t>
      </w:r>
      <w:r w:rsidR="00FC724A" w:rsidRPr="00F25D02">
        <w:rPr>
          <w:rFonts w:ascii="Times New Roman"/>
          <w:kern w:val="22"/>
        </w:rPr>
        <w:t xml:space="preserve"> considered that clarifying terminology is an important </w:t>
      </w:r>
      <w:r w:rsidR="004C6AA7" w:rsidRPr="00F25D02">
        <w:rPr>
          <w:rFonts w:ascii="Times New Roman"/>
          <w:kern w:val="22"/>
        </w:rPr>
        <w:t>first step</w:t>
      </w:r>
      <w:r w:rsidR="00FC724A" w:rsidRPr="00F25D02">
        <w:rPr>
          <w:rFonts w:ascii="Times New Roman"/>
          <w:kern w:val="22"/>
        </w:rPr>
        <w:t>,</w:t>
      </w:r>
      <w:r w:rsidR="00FC724A" w:rsidRPr="00F25D02">
        <w:rPr>
          <w:rStyle w:val="FootnoteReference"/>
          <w:rFonts w:ascii="Times New Roman"/>
          <w:kern w:val="22"/>
        </w:rPr>
        <w:footnoteReference w:id="4"/>
      </w:r>
      <w:r w:rsidR="00FC724A" w:rsidRPr="00F25D02">
        <w:rPr>
          <w:rFonts w:ascii="Times New Roman"/>
          <w:kern w:val="22"/>
        </w:rPr>
        <w:t xml:space="preserve"> or even essential</w:t>
      </w:r>
      <w:r w:rsidR="00FC724A" w:rsidRPr="00F25D02">
        <w:rPr>
          <w:rStyle w:val="FootnoteReference"/>
          <w:rFonts w:ascii="Times New Roman"/>
          <w:kern w:val="22"/>
        </w:rPr>
        <w:footnoteReference w:id="5"/>
      </w:r>
      <w:r w:rsidR="00FC724A" w:rsidRPr="00F25D02">
        <w:rPr>
          <w:rFonts w:ascii="Times New Roman"/>
          <w:kern w:val="22"/>
        </w:rPr>
        <w:t xml:space="preserve">, in order to properly assess the potential impact of </w:t>
      </w:r>
      <w:r w:rsidR="005875CA" w:rsidRPr="00F25D02">
        <w:rPr>
          <w:rFonts w:ascii="Times New Roman"/>
          <w:kern w:val="22"/>
        </w:rPr>
        <w:t>addressing</w:t>
      </w:r>
      <w:r w:rsidR="00FC724A" w:rsidRPr="00F25D02">
        <w:rPr>
          <w:rFonts w:ascii="Times New Roman"/>
          <w:kern w:val="22"/>
        </w:rPr>
        <w:t xml:space="preserve"> </w:t>
      </w:r>
      <w:r w:rsidR="00BB7978" w:rsidRPr="00F25D02">
        <w:rPr>
          <w:rFonts w:ascii="Times New Roman"/>
          <w:kern w:val="22"/>
        </w:rPr>
        <w:t>digital sequence information</w:t>
      </w:r>
      <w:r w:rsidR="00FC724A" w:rsidRPr="00F25D02">
        <w:rPr>
          <w:rFonts w:ascii="Times New Roman"/>
          <w:kern w:val="22"/>
        </w:rPr>
        <w:t xml:space="preserve"> within the </w:t>
      </w:r>
      <w:r w:rsidR="00A61D1D" w:rsidRPr="00F25D02">
        <w:rPr>
          <w:rFonts w:ascii="Times New Roman"/>
          <w:kern w:val="22"/>
        </w:rPr>
        <w:t>Convention</w:t>
      </w:r>
      <w:r w:rsidR="00FC724A" w:rsidRPr="00F25D02">
        <w:rPr>
          <w:rFonts w:ascii="Times New Roman"/>
          <w:kern w:val="22"/>
        </w:rPr>
        <w:t xml:space="preserve"> and </w:t>
      </w:r>
      <w:r w:rsidR="00A61D1D" w:rsidRPr="00F25D02">
        <w:rPr>
          <w:rFonts w:ascii="Times New Roman"/>
          <w:kern w:val="22"/>
        </w:rPr>
        <w:t xml:space="preserve">the </w:t>
      </w:r>
      <w:r w:rsidR="00FC724A" w:rsidRPr="00F25D02">
        <w:rPr>
          <w:rFonts w:ascii="Times New Roman"/>
          <w:kern w:val="22"/>
        </w:rPr>
        <w:t xml:space="preserve">Nagoya Protocol. Other submissions considered that clarifying terminology is less of priority than clarifying the scope of </w:t>
      </w:r>
      <w:r w:rsidR="00BB7978" w:rsidRPr="00F25D02">
        <w:rPr>
          <w:rFonts w:ascii="Times New Roman"/>
          <w:kern w:val="22"/>
        </w:rPr>
        <w:t>digital sequence information</w:t>
      </w:r>
      <w:r w:rsidR="00FC724A" w:rsidRPr="00F25D02">
        <w:rPr>
          <w:rStyle w:val="FootnoteReference"/>
          <w:rFonts w:ascii="Times New Roman"/>
          <w:kern w:val="22"/>
        </w:rPr>
        <w:footnoteReference w:id="6"/>
      </w:r>
      <w:r w:rsidR="00FC724A" w:rsidRPr="00F25D02">
        <w:rPr>
          <w:rFonts w:ascii="Times New Roman"/>
          <w:kern w:val="22"/>
        </w:rPr>
        <w:t xml:space="preserve"> </w:t>
      </w:r>
      <w:r w:rsidR="005875CA" w:rsidRPr="00F25D02">
        <w:rPr>
          <w:rFonts w:ascii="Times New Roman"/>
          <w:kern w:val="22"/>
        </w:rPr>
        <w:t>and others cautioned</w:t>
      </w:r>
      <w:r w:rsidR="00FC724A" w:rsidRPr="00F25D02">
        <w:rPr>
          <w:rFonts w:ascii="Times New Roman"/>
          <w:kern w:val="22"/>
        </w:rPr>
        <w:t xml:space="preserve"> that terminology, when agreed, needs to be ‘future-proof’ as far as possible, so that it will not be rendered obsolete by technological developments and so that it can provide legal certainty.</w:t>
      </w:r>
      <w:r w:rsidR="00FC724A" w:rsidRPr="00F25D02">
        <w:rPr>
          <w:rStyle w:val="FootnoteReference"/>
          <w:rFonts w:ascii="Times New Roman"/>
          <w:kern w:val="22"/>
        </w:rPr>
        <w:footnoteReference w:id="7"/>
      </w:r>
    </w:p>
    <w:p w14:paraId="70C3117F" w14:textId="76112165" w:rsidR="00E02FD9" w:rsidRPr="00F25D02" w:rsidRDefault="00CE1F65" w:rsidP="00CE1F65">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Several </w:t>
      </w:r>
      <w:r w:rsidR="00E02FD9" w:rsidRPr="00F25D02">
        <w:rPr>
          <w:rFonts w:ascii="Times New Roman"/>
          <w:kern w:val="22"/>
        </w:rPr>
        <w:t xml:space="preserve">submissions considered technological advances </w:t>
      </w:r>
      <w:r w:rsidR="005D28B2" w:rsidRPr="00F25D02">
        <w:rPr>
          <w:rFonts w:ascii="Times New Roman"/>
          <w:kern w:val="22"/>
        </w:rPr>
        <w:t>associated with</w:t>
      </w:r>
      <w:r w:rsidR="00E02FD9" w:rsidRPr="00F25D02">
        <w:rPr>
          <w:rFonts w:ascii="Times New Roman"/>
          <w:kern w:val="22"/>
        </w:rPr>
        <w:t xml:space="preserve"> molecular biology</w:t>
      </w:r>
      <w:r w:rsidR="005D28B2" w:rsidRPr="00F25D02">
        <w:rPr>
          <w:rFonts w:ascii="Times New Roman"/>
          <w:kern w:val="22"/>
        </w:rPr>
        <w:t xml:space="preserve"> </w:t>
      </w:r>
      <w:r w:rsidR="00DC27CF" w:rsidRPr="00F25D02">
        <w:rPr>
          <w:rFonts w:ascii="Times New Roman"/>
          <w:kern w:val="22"/>
        </w:rPr>
        <w:t xml:space="preserve">and noted </w:t>
      </w:r>
      <w:r w:rsidR="002B64F9" w:rsidRPr="00F25D02">
        <w:rPr>
          <w:rFonts w:ascii="Times New Roman"/>
          <w:kern w:val="22"/>
        </w:rPr>
        <w:t xml:space="preserve">or inferred that </w:t>
      </w:r>
      <w:r w:rsidR="00DC27CF" w:rsidRPr="00F25D02">
        <w:rPr>
          <w:rFonts w:ascii="Times New Roman"/>
          <w:kern w:val="22"/>
        </w:rPr>
        <w:t>t</w:t>
      </w:r>
      <w:r w:rsidR="00E02FD9" w:rsidRPr="00F25D02">
        <w:rPr>
          <w:rFonts w:ascii="Times New Roman"/>
          <w:kern w:val="22"/>
        </w:rPr>
        <w:t xml:space="preserve">he speed and </w:t>
      </w:r>
      <w:r w:rsidR="005875CA" w:rsidRPr="00F25D02">
        <w:rPr>
          <w:rFonts w:ascii="Times New Roman"/>
          <w:kern w:val="22"/>
        </w:rPr>
        <w:t xml:space="preserve">the </w:t>
      </w:r>
      <w:r w:rsidR="00E02FD9" w:rsidRPr="00F25D02">
        <w:rPr>
          <w:rFonts w:ascii="Times New Roman"/>
          <w:kern w:val="22"/>
        </w:rPr>
        <w:t xml:space="preserve">transformative nature of these </w:t>
      </w:r>
      <w:r w:rsidR="005875CA" w:rsidRPr="00F25D02">
        <w:rPr>
          <w:rFonts w:ascii="Times New Roman"/>
          <w:kern w:val="22"/>
        </w:rPr>
        <w:t xml:space="preserve">advances, which have </w:t>
      </w:r>
      <w:r w:rsidR="00DC27CF" w:rsidRPr="00F25D02">
        <w:rPr>
          <w:rFonts w:ascii="Times New Roman"/>
          <w:kern w:val="22"/>
        </w:rPr>
        <w:t>result</w:t>
      </w:r>
      <w:r w:rsidR="005875CA" w:rsidRPr="00F25D02">
        <w:rPr>
          <w:rFonts w:ascii="Times New Roman"/>
          <w:kern w:val="22"/>
        </w:rPr>
        <w:t xml:space="preserve">ed </w:t>
      </w:r>
      <w:r w:rsidR="00DC27CF" w:rsidRPr="00F25D02">
        <w:rPr>
          <w:rFonts w:ascii="Times New Roman"/>
          <w:kern w:val="22"/>
        </w:rPr>
        <w:t xml:space="preserve">in increased sequencing capacity at reduced cost and increased capacity of repositories and databases, </w:t>
      </w:r>
      <w:r w:rsidR="005875CA" w:rsidRPr="00F25D02">
        <w:rPr>
          <w:rFonts w:ascii="Times New Roman"/>
          <w:kern w:val="22"/>
        </w:rPr>
        <w:t xml:space="preserve">present </w:t>
      </w:r>
      <w:r w:rsidR="00E02FD9" w:rsidRPr="00F25D02">
        <w:rPr>
          <w:rFonts w:ascii="Times New Roman"/>
          <w:kern w:val="22"/>
        </w:rPr>
        <w:t xml:space="preserve">a significant challenge in clarifying the scope and identifying harmonized terminology associated with </w:t>
      </w:r>
      <w:r w:rsidR="00BB7978" w:rsidRPr="00F25D02">
        <w:rPr>
          <w:rFonts w:ascii="Times New Roman"/>
          <w:kern w:val="22"/>
        </w:rPr>
        <w:t>digital sequence information</w:t>
      </w:r>
      <w:r w:rsidR="00A214B0" w:rsidRPr="00F25D02">
        <w:rPr>
          <w:rFonts w:ascii="Times New Roman"/>
          <w:kern w:val="22"/>
        </w:rPr>
        <w:t>.</w:t>
      </w:r>
      <w:r w:rsidR="00DC27CF" w:rsidRPr="00F25D02">
        <w:rPr>
          <w:rStyle w:val="FootnoteReference"/>
          <w:rFonts w:ascii="Times New Roman"/>
          <w:kern w:val="22"/>
        </w:rPr>
        <w:footnoteReference w:id="8"/>
      </w:r>
    </w:p>
    <w:p w14:paraId="1A9E51BD" w14:textId="15F614B7" w:rsidR="00E02FD9" w:rsidRPr="00F25D02" w:rsidRDefault="00CE1F65"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bookmarkStart w:id="17" w:name="_Hlk17211938"/>
      <w:r w:rsidRPr="00F25D02">
        <w:rPr>
          <w:rFonts w:ascii="Times New Roman"/>
          <w:kern w:val="22"/>
        </w:rPr>
        <w:t>Several</w:t>
      </w:r>
      <w:r w:rsidR="00E02FD9" w:rsidRPr="00F25D02">
        <w:rPr>
          <w:rFonts w:ascii="Times New Roman"/>
          <w:kern w:val="22"/>
        </w:rPr>
        <w:t xml:space="preserve"> submissions considered the nexus between a genetic resource and </w:t>
      </w:r>
      <w:r w:rsidR="00434E2E" w:rsidRPr="00F25D02">
        <w:rPr>
          <w:rFonts w:ascii="Times New Roman"/>
          <w:kern w:val="22"/>
        </w:rPr>
        <w:t xml:space="preserve">information associated with a genetic resource, </w:t>
      </w:r>
      <w:r w:rsidR="00E02FD9" w:rsidRPr="00F25D02">
        <w:rPr>
          <w:rFonts w:ascii="Times New Roman"/>
          <w:kern w:val="22"/>
        </w:rPr>
        <w:t xml:space="preserve">in </w:t>
      </w:r>
      <w:r w:rsidR="0002602A" w:rsidRPr="00F25D02">
        <w:rPr>
          <w:rFonts w:ascii="Times New Roman"/>
          <w:kern w:val="22"/>
        </w:rPr>
        <w:t>clarifying the concept</w:t>
      </w:r>
      <w:r w:rsidR="00E02FD9" w:rsidRPr="00F25D02">
        <w:rPr>
          <w:rFonts w:ascii="Times New Roman"/>
          <w:kern w:val="22"/>
        </w:rPr>
        <w:t xml:space="preserve"> of </w:t>
      </w:r>
      <w:r w:rsidR="00BB7978" w:rsidRPr="00F25D02">
        <w:rPr>
          <w:rFonts w:ascii="Times New Roman"/>
          <w:kern w:val="22"/>
        </w:rPr>
        <w:t>digital sequence information</w:t>
      </w:r>
      <w:r w:rsidR="00E02FD9" w:rsidRPr="00F25D02">
        <w:rPr>
          <w:rFonts w:ascii="Times New Roman"/>
          <w:kern w:val="22"/>
        </w:rPr>
        <w:t xml:space="preserve">. Whereas some submissions distinguish </w:t>
      </w:r>
      <w:r w:rsidR="00BB7978" w:rsidRPr="00F25D02">
        <w:rPr>
          <w:rFonts w:ascii="Times New Roman"/>
          <w:kern w:val="22"/>
        </w:rPr>
        <w:t>digital sequence information</w:t>
      </w:r>
      <w:r w:rsidR="00E02FD9" w:rsidRPr="00F25D02">
        <w:rPr>
          <w:rFonts w:ascii="Times New Roman"/>
          <w:kern w:val="22"/>
        </w:rPr>
        <w:t xml:space="preserve"> from the underlying genetic resource it describes</w:t>
      </w:r>
      <w:r w:rsidR="007B07A6" w:rsidRPr="00F25D02">
        <w:rPr>
          <w:rFonts w:ascii="Times New Roman"/>
          <w:kern w:val="22"/>
        </w:rPr>
        <w:t>,</w:t>
      </w:r>
      <w:r w:rsidR="0002602A" w:rsidRPr="00F25D02">
        <w:rPr>
          <w:rStyle w:val="FootnoteReference"/>
          <w:rFonts w:ascii="Times New Roman"/>
          <w:kern w:val="22"/>
        </w:rPr>
        <w:footnoteReference w:id="9"/>
      </w:r>
      <w:r w:rsidR="00E02FD9" w:rsidRPr="00F25D02">
        <w:rPr>
          <w:rFonts w:ascii="Times New Roman"/>
          <w:kern w:val="22"/>
        </w:rPr>
        <w:t xml:space="preserve"> others consider the distinction artificial </w:t>
      </w:r>
      <w:r w:rsidR="00793785" w:rsidRPr="00F25D02">
        <w:rPr>
          <w:rFonts w:ascii="Times New Roman"/>
          <w:kern w:val="22"/>
        </w:rPr>
        <w:t>and/or noted</w:t>
      </w:r>
      <w:r w:rsidR="00E02FD9" w:rsidRPr="00F25D02">
        <w:rPr>
          <w:rFonts w:ascii="Times New Roman"/>
          <w:kern w:val="22"/>
        </w:rPr>
        <w:t xml:space="preserve"> that generation of </w:t>
      </w:r>
      <w:r w:rsidR="00BB7978" w:rsidRPr="00F25D02">
        <w:rPr>
          <w:rFonts w:ascii="Times New Roman"/>
          <w:kern w:val="22"/>
        </w:rPr>
        <w:t>digital sequence information</w:t>
      </w:r>
      <w:r w:rsidR="00E02FD9" w:rsidRPr="00F25D02">
        <w:rPr>
          <w:rFonts w:ascii="Times New Roman"/>
          <w:kern w:val="22"/>
        </w:rPr>
        <w:t xml:space="preserve"> requires access to and utilization of the underlying genetic resource.</w:t>
      </w:r>
      <w:r w:rsidR="0002602A" w:rsidRPr="00F25D02">
        <w:rPr>
          <w:rStyle w:val="FootnoteReference"/>
          <w:rFonts w:ascii="Times New Roman"/>
          <w:kern w:val="22"/>
        </w:rPr>
        <w:footnoteReference w:id="10"/>
      </w:r>
      <w:r w:rsidR="00E02FD9" w:rsidRPr="00F25D02">
        <w:rPr>
          <w:rFonts w:ascii="Times New Roman"/>
          <w:kern w:val="22"/>
        </w:rPr>
        <w:t xml:space="preserve"> </w:t>
      </w:r>
    </w:p>
    <w:bookmarkEnd w:id="17"/>
    <w:p w14:paraId="460B4D40" w14:textId="511FAC26" w:rsidR="00EE700C" w:rsidRPr="00F25D02" w:rsidRDefault="00EE700C" w:rsidP="00F25D02">
      <w:pPr>
        <w:pStyle w:val="Heading2"/>
        <w:keepLines w:val="0"/>
        <w:numPr>
          <w:ilvl w:val="1"/>
          <w:numId w:val="8"/>
        </w:numPr>
        <w:tabs>
          <w:tab w:val="left" w:pos="1418"/>
        </w:tabs>
        <w:spacing w:before="120" w:after="120" w:line="240" w:lineRule="auto"/>
        <w:ind w:left="1418" w:right="295" w:hanging="425"/>
        <w:rPr>
          <w:rFonts w:ascii="Times New Roman" w:eastAsia="Times New Roman" w:hAnsi="Times New Roman" w:cs="Times New Roman"/>
          <w:b/>
          <w:bCs/>
          <w:iCs/>
          <w:color w:val="auto"/>
          <w:kern w:val="22"/>
          <w:sz w:val="22"/>
          <w:szCs w:val="24"/>
          <w:lang w:val="en-GB"/>
        </w:rPr>
      </w:pPr>
      <w:r w:rsidRPr="00F25D02">
        <w:rPr>
          <w:rFonts w:ascii="Times New Roman" w:eastAsia="Times New Roman" w:hAnsi="Times New Roman" w:cs="Times New Roman"/>
          <w:b/>
          <w:bCs/>
          <w:iCs/>
          <w:color w:val="auto"/>
          <w:kern w:val="22"/>
          <w:sz w:val="22"/>
          <w:szCs w:val="24"/>
          <w:lang w:val="en-GB"/>
        </w:rPr>
        <w:t xml:space="preserve">Clarifying the </w:t>
      </w:r>
      <w:r w:rsidR="000A4BA8" w:rsidRPr="00F25D02">
        <w:rPr>
          <w:rFonts w:ascii="Times New Roman" w:eastAsia="Times New Roman" w:hAnsi="Times New Roman" w:cs="Times New Roman"/>
          <w:b/>
          <w:bCs/>
          <w:iCs/>
          <w:color w:val="auto"/>
          <w:kern w:val="22"/>
          <w:sz w:val="22"/>
          <w:szCs w:val="24"/>
          <w:lang w:val="en-GB"/>
        </w:rPr>
        <w:t xml:space="preserve">concept and </w:t>
      </w:r>
      <w:r w:rsidRPr="00F25D02">
        <w:rPr>
          <w:rFonts w:ascii="Times New Roman" w:eastAsia="Times New Roman" w:hAnsi="Times New Roman" w:cs="Times New Roman"/>
          <w:b/>
          <w:bCs/>
          <w:iCs/>
          <w:color w:val="auto"/>
          <w:kern w:val="22"/>
          <w:sz w:val="22"/>
          <w:szCs w:val="24"/>
          <w:lang w:val="en-GB"/>
        </w:rPr>
        <w:t xml:space="preserve">scope of subject matter comprising </w:t>
      </w:r>
      <w:r w:rsidR="00BB7978" w:rsidRPr="00F25D02">
        <w:rPr>
          <w:rFonts w:ascii="Times New Roman" w:eastAsia="Times New Roman" w:hAnsi="Times New Roman" w:cs="Times New Roman"/>
          <w:b/>
          <w:bCs/>
          <w:iCs/>
          <w:color w:val="auto"/>
          <w:kern w:val="22"/>
          <w:sz w:val="22"/>
          <w:szCs w:val="24"/>
          <w:lang w:val="en-GB"/>
        </w:rPr>
        <w:t>digital sequence information</w:t>
      </w:r>
      <w:r w:rsidRPr="00F25D02">
        <w:rPr>
          <w:rFonts w:ascii="Times New Roman" w:eastAsia="Times New Roman" w:hAnsi="Times New Roman" w:cs="Times New Roman"/>
          <w:b/>
          <w:bCs/>
          <w:iCs/>
          <w:color w:val="auto"/>
          <w:kern w:val="22"/>
          <w:sz w:val="22"/>
          <w:szCs w:val="24"/>
          <w:lang w:val="en-GB"/>
        </w:rPr>
        <w:t xml:space="preserve"> </w:t>
      </w:r>
    </w:p>
    <w:p w14:paraId="3A9F73D5" w14:textId="57014F7C" w:rsidR="00EE700C" w:rsidRPr="00F25D02" w:rsidRDefault="00986785" w:rsidP="00EE700C">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Several submissions referenced or considered</w:t>
      </w:r>
      <w:r w:rsidRPr="00F25D02">
        <w:rPr>
          <w:rStyle w:val="FootnoteReference"/>
          <w:rFonts w:ascii="Times New Roman"/>
          <w:kern w:val="22"/>
        </w:rPr>
        <w:footnoteReference w:id="11"/>
      </w:r>
      <w:r w:rsidRPr="00F25D02">
        <w:rPr>
          <w:rFonts w:ascii="Times New Roman"/>
          <w:kern w:val="22"/>
        </w:rPr>
        <w:t xml:space="preserve"> </w:t>
      </w:r>
      <w:bookmarkStart w:id="18" w:name="_Hlk33637532"/>
      <w:r w:rsidRPr="00F25D02">
        <w:rPr>
          <w:rFonts w:ascii="Times New Roman"/>
          <w:kern w:val="22"/>
        </w:rPr>
        <w:t xml:space="preserve">the </w:t>
      </w:r>
      <w:r w:rsidR="00C62C69" w:rsidRPr="00F25D02">
        <w:rPr>
          <w:rFonts w:ascii="Times New Roman"/>
          <w:kern w:val="22"/>
        </w:rPr>
        <w:t>various types of information that may be relevant to the utilization of genetic resources</w:t>
      </w:r>
      <w:r w:rsidRPr="00F25D02">
        <w:rPr>
          <w:rFonts w:ascii="Times New Roman"/>
          <w:kern w:val="22"/>
        </w:rPr>
        <w:t xml:space="preserve"> which were </w:t>
      </w:r>
      <w:r w:rsidR="00C62C69" w:rsidRPr="00F25D02">
        <w:rPr>
          <w:rFonts w:ascii="Times New Roman"/>
          <w:kern w:val="22"/>
        </w:rPr>
        <w:t xml:space="preserve">identified in the </w:t>
      </w:r>
      <w:r w:rsidR="00B04CC1" w:rsidRPr="00F25D02">
        <w:rPr>
          <w:rFonts w:ascii="Times New Roman"/>
          <w:kern w:val="22"/>
        </w:rPr>
        <w:t>r</w:t>
      </w:r>
      <w:r w:rsidR="00C62C69" w:rsidRPr="00F25D02">
        <w:rPr>
          <w:rFonts w:ascii="Times New Roman"/>
          <w:kern w:val="22"/>
        </w:rPr>
        <w:t xml:space="preserve">eport of the Ad Hoc Technical Expert Group on </w:t>
      </w:r>
      <w:r w:rsidR="00B04CC1" w:rsidRPr="00F25D02">
        <w:rPr>
          <w:rFonts w:ascii="Times New Roman"/>
          <w:kern w:val="22"/>
        </w:rPr>
        <w:t>D</w:t>
      </w:r>
      <w:r w:rsidR="00485C81" w:rsidRPr="00F25D02">
        <w:rPr>
          <w:rFonts w:ascii="Times New Roman"/>
          <w:kern w:val="22"/>
        </w:rPr>
        <w:t xml:space="preserve">igital </w:t>
      </w:r>
      <w:r w:rsidR="00B04CC1" w:rsidRPr="00F25D02">
        <w:rPr>
          <w:rFonts w:ascii="Times New Roman"/>
          <w:kern w:val="22"/>
        </w:rPr>
        <w:t>S</w:t>
      </w:r>
      <w:r w:rsidR="00485C81" w:rsidRPr="00F25D02">
        <w:rPr>
          <w:rFonts w:ascii="Times New Roman"/>
          <w:kern w:val="22"/>
        </w:rPr>
        <w:t xml:space="preserve">equence </w:t>
      </w:r>
      <w:r w:rsidR="00B04CC1" w:rsidRPr="00F25D02">
        <w:rPr>
          <w:rFonts w:ascii="Times New Roman"/>
          <w:kern w:val="22"/>
        </w:rPr>
        <w:t>I</w:t>
      </w:r>
      <w:r w:rsidR="00485C81" w:rsidRPr="00F25D02">
        <w:rPr>
          <w:rFonts w:ascii="Times New Roman"/>
          <w:kern w:val="22"/>
        </w:rPr>
        <w:t xml:space="preserve">nformation on </w:t>
      </w:r>
      <w:r w:rsidR="00B04CC1" w:rsidRPr="00F25D02">
        <w:rPr>
          <w:rFonts w:ascii="Times New Roman"/>
          <w:kern w:val="22"/>
        </w:rPr>
        <w:t>G</w:t>
      </w:r>
      <w:r w:rsidR="00485C81" w:rsidRPr="00F25D02">
        <w:rPr>
          <w:rFonts w:ascii="Times New Roman"/>
          <w:kern w:val="22"/>
        </w:rPr>
        <w:t xml:space="preserve">enetic </w:t>
      </w:r>
      <w:r w:rsidR="00B04CC1" w:rsidRPr="00F25D02">
        <w:rPr>
          <w:rFonts w:ascii="Times New Roman"/>
          <w:kern w:val="22"/>
        </w:rPr>
        <w:t>R</w:t>
      </w:r>
      <w:r w:rsidR="00485C81" w:rsidRPr="00F25D02">
        <w:rPr>
          <w:rFonts w:ascii="Times New Roman"/>
          <w:kern w:val="22"/>
        </w:rPr>
        <w:t xml:space="preserve">esources </w:t>
      </w:r>
      <w:r w:rsidR="004317A5" w:rsidRPr="00F25D02">
        <w:rPr>
          <w:rFonts w:ascii="Times New Roman"/>
          <w:kern w:val="22"/>
        </w:rPr>
        <w:t xml:space="preserve">pursuant to its meeting </w:t>
      </w:r>
      <w:r w:rsidR="00524A30" w:rsidRPr="00F25D02">
        <w:rPr>
          <w:rFonts w:ascii="Times New Roman"/>
          <w:kern w:val="22"/>
        </w:rPr>
        <w:t>held in Montreal, Canada</w:t>
      </w:r>
      <w:bookmarkEnd w:id="18"/>
      <w:r w:rsidR="00452417" w:rsidRPr="00F25D02">
        <w:rPr>
          <w:rFonts w:ascii="Times New Roman"/>
          <w:kern w:val="22"/>
        </w:rPr>
        <w:t xml:space="preserve">, </w:t>
      </w:r>
      <w:r w:rsidR="00452417" w:rsidRPr="00F25D02">
        <w:rPr>
          <w:rFonts w:ascii="Times New Roman"/>
          <w:kern w:val="22"/>
        </w:rPr>
        <w:t>in February 2018</w:t>
      </w:r>
      <w:r w:rsidRPr="00F25D02">
        <w:rPr>
          <w:rFonts w:ascii="Times New Roman"/>
          <w:kern w:val="22"/>
        </w:rPr>
        <w:t>.</w:t>
      </w:r>
      <w:r w:rsidRPr="00F25D02">
        <w:rPr>
          <w:rStyle w:val="FootnoteReference"/>
          <w:rFonts w:ascii="Times New Roman"/>
          <w:kern w:val="22"/>
        </w:rPr>
        <w:footnoteReference w:id="12"/>
      </w:r>
    </w:p>
    <w:p w14:paraId="13C12646" w14:textId="297B15E1" w:rsidR="00EE700C" w:rsidRPr="00F25D02" w:rsidRDefault="00EE700C" w:rsidP="00EE700C">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lastRenderedPageBreak/>
        <w:t xml:space="preserve">Several submissions concluded that the subject matter constituting </w:t>
      </w:r>
      <w:r w:rsidR="00BB7978" w:rsidRPr="00F25D02">
        <w:rPr>
          <w:rFonts w:ascii="Times New Roman"/>
          <w:kern w:val="22"/>
        </w:rPr>
        <w:t>digital sequence information</w:t>
      </w:r>
      <w:r w:rsidRPr="00F25D02">
        <w:rPr>
          <w:rFonts w:ascii="Times New Roman"/>
          <w:kern w:val="22"/>
        </w:rPr>
        <w:t xml:space="preserve"> should be narrow in scope, limited to arrangements of nucleotides on a strand of naturally occurring DNA or RNA, as exemplified by submissions which elaborated </w:t>
      </w:r>
      <w:r w:rsidR="001A11B9" w:rsidRPr="00F25D02">
        <w:rPr>
          <w:rFonts w:ascii="Times New Roman"/>
          <w:kern w:val="22"/>
        </w:rPr>
        <w:t>along the following lines</w:t>
      </w:r>
      <w:r w:rsidRPr="00F25D02">
        <w:rPr>
          <w:rFonts w:ascii="Times New Roman"/>
          <w:kern w:val="22"/>
        </w:rPr>
        <w:t>:</w:t>
      </w:r>
    </w:p>
    <w:p w14:paraId="73E61049" w14:textId="3FCB2A14" w:rsidR="00EE700C" w:rsidRPr="00F25D02" w:rsidRDefault="008D1DEE" w:rsidP="00121BB3">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 xml:space="preserve">Order of nucleotides in DNA or RNA, such as nucleotides </w:t>
      </w:r>
      <w:r w:rsidR="00EE700C" w:rsidRPr="00F25D02">
        <w:rPr>
          <w:rFonts w:ascii="Times New Roman"/>
          <w:kern w:val="22"/>
        </w:rPr>
        <w:t>arrangements</w:t>
      </w:r>
      <w:r w:rsidR="00901E06" w:rsidRPr="00F25D02">
        <w:rPr>
          <w:rFonts w:ascii="Times New Roman"/>
          <w:kern w:val="22"/>
        </w:rPr>
        <w:t xml:space="preserve"> </w:t>
      </w:r>
      <w:r w:rsidR="00EE700C" w:rsidRPr="00F25D02">
        <w:rPr>
          <w:rFonts w:ascii="Times New Roman"/>
          <w:kern w:val="22"/>
        </w:rPr>
        <w:t>comprised of Adenine, Thymine</w:t>
      </w:r>
      <w:r w:rsidR="001A11B9" w:rsidRPr="00F25D02">
        <w:rPr>
          <w:rStyle w:val="FootnoteReference"/>
          <w:rFonts w:ascii="Times New Roman"/>
          <w:kern w:val="22"/>
        </w:rPr>
        <w:footnoteReference w:id="13"/>
      </w:r>
      <w:r w:rsidR="00EE700C" w:rsidRPr="00F25D02">
        <w:rPr>
          <w:rFonts w:ascii="Times New Roman"/>
          <w:kern w:val="22"/>
        </w:rPr>
        <w:t xml:space="preserve"> or Uracil</w:t>
      </w:r>
      <w:r w:rsidR="001A11B9" w:rsidRPr="00F25D02">
        <w:rPr>
          <w:rStyle w:val="FootnoteReference"/>
          <w:rFonts w:ascii="Times New Roman"/>
          <w:kern w:val="22"/>
        </w:rPr>
        <w:footnoteReference w:id="14"/>
      </w:r>
      <w:r w:rsidR="00EE700C" w:rsidRPr="00F25D02">
        <w:rPr>
          <w:rFonts w:ascii="Times New Roman"/>
          <w:kern w:val="22"/>
        </w:rPr>
        <w:t>, Guanine</w:t>
      </w:r>
      <w:r w:rsidR="00E13346" w:rsidRPr="00F25D02">
        <w:rPr>
          <w:rFonts w:ascii="Times New Roman"/>
          <w:kern w:val="22"/>
        </w:rPr>
        <w:t>,</w:t>
      </w:r>
      <w:r w:rsidR="00EE700C" w:rsidRPr="00F25D02">
        <w:rPr>
          <w:rFonts w:ascii="Times New Roman"/>
          <w:kern w:val="22"/>
        </w:rPr>
        <w:t xml:space="preserve"> and Cytosine, and this includes non-coding and coding sequences, regulatory sequences, conserved sequences, genes that encode specific traits, DNA without known function</w:t>
      </w:r>
      <w:r w:rsidRPr="00F25D02">
        <w:rPr>
          <w:rFonts w:ascii="Times New Roman"/>
          <w:kern w:val="22"/>
        </w:rPr>
        <w:t>,</w:t>
      </w:r>
      <w:r w:rsidR="00EE700C" w:rsidRPr="00F25D02">
        <w:rPr>
          <w:rFonts w:ascii="Times New Roman"/>
          <w:kern w:val="22"/>
        </w:rPr>
        <w:t xml:space="preserve"> and ‘junk’ DNA;</w:t>
      </w:r>
      <w:r w:rsidR="00EE700C" w:rsidRPr="00F25D02">
        <w:rPr>
          <w:rStyle w:val="FootnoteReference"/>
          <w:rFonts w:ascii="Times New Roman"/>
          <w:kern w:val="22"/>
        </w:rPr>
        <w:footnoteReference w:id="15"/>
      </w:r>
      <w:r w:rsidR="00EE700C" w:rsidRPr="00F25D02">
        <w:rPr>
          <w:rFonts w:ascii="Times New Roman"/>
          <w:kern w:val="22"/>
        </w:rPr>
        <w:t xml:space="preserve"> </w:t>
      </w:r>
    </w:p>
    <w:p w14:paraId="5C0BBDF3" w14:textId="6DE0FDB5" w:rsidR="00EE700C" w:rsidRPr="00F25D02" w:rsidRDefault="00121BB3" w:rsidP="00121BB3">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N</w:t>
      </w:r>
      <w:r w:rsidR="00EE700C" w:rsidRPr="00F25D02">
        <w:rPr>
          <w:rFonts w:ascii="Times New Roman"/>
          <w:kern w:val="22"/>
        </w:rPr>
        <w:t>ucleotides as found in nature, in the genome or encoded by the genome of a specific resource, and the genome includes nuclear and extra-nuclear DNA and coding (gene) and non-coding DNA sequences;</w:t>
      </w:r>
      <w:r w:rsidR="00EE700C" w:rsidRPr="00F25D02">
        <w:rPr>
          <w:rStyle w:val="FootnoteReference"/>
          <w:rFonts w:ascii="Times New Roman"/>
          <w:kern w:val="22"/>
        </w:rPr>
        <w:footnoteReference w:id="16"/>
      </w:r>
      <w:r w:rsidR="00EE700C" w:rsidRPr="00F25D02">
        <w:rPr>
          <w:rFonts w:ascii="Times New Roman"/>
          <w:kern w:val="22"/>
        </w:rPr>
        <w:t xml:space="preserve"> </w:t>
      </w:r>
    </w:p>
    <w:p w14:paraId="4982EFD0" w14:textId="1024D84F" w:rsidR="00EE700C" w:rsidRPr="00F25D02" w:rsidRDefault="00121BB3" w:rsidP="00121BB3">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L</w:t>
      </w:r>
      <w:r w:rsidR="00EE700C" w:rsidRPr="00F25D02">
        <w:rPr>
          <w:rFonts w:ascii="Times New Roman"/>
          <w:kern w:val="22"/>
        </w:rPr>
        <w:t>arger nucleotide elements could comprise the entire genome of an organism, a clade (</w:t>
      </w:r>
      <w:proofErr w:type="spellStart"/>
      <w:r w:rsidR="00EE700C" w:rsidRPr="00F25D02">
        <w:rPr>
          <w:rFonts w:ascii="Times New Roman"/>
          <w:kern w:val="22"/>
        </w:rPr>
        <w:t>pengagenome</w:t>
      </w:r>
      <w:proofErr w:type="spellEnd"/>
      <w:r w:rsidR="00EE700C" w:rsidRPr="00F25D02">
        <w:rPr>
          <w:rFonts w:ascii="Times New Roman"/>
          <w:kern w:val="22"/>
        </w:rPr>
        <w:t>) or an environmental sample (metagenome).</w:t>
      </w:r>
      <w:r w:rsidR="00EE700C" w:rsidRPr="00F25D02">
        <w:rPr>
          <w:rStyle w:val="FootnoteReference"/>
          <w:rFonts w:ascii="Times New Roman"/>
          <w:kern w:val="22"/>
        </w:rPr>
        <w:footnoteReference w:id="17"/>
      </w:r>
      <w:r w:rsidR="00EE700C" w:rsidRPr="00F25D02">
        <w:rPr>
          <w:rFonts w:ascii="Times New Roman"/>
          <w:kern w:val="22"/>
        </w:rPr>
        <w:t xml:space="preserve"> </w:t>
      </w:r>
    </w:p>
    <w:p w14:paraId="3F36E4EA" w14:textId="6D77775A" w:rsidR="00EE700C" w:rsidRPr="00F25D02" w:rsidRDefault="00EE700C" w:rsidP="00EE700C">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Several submissions advocating a narrow</w:t>
      </w:r>
      <w:r w:rsidR="00452417" w:rsidRPr="00F25D02">
        <w:rPr>
          <w:rFonts w:ascii="Times New Roman"/>
          <w:kern w:val="22"/>
        </w:rPr>
        <w:t xml:space="preserve"> </w:t>
      </w:r>
      <w:r w:rsidRPr="00F25D02">
        <w:rPr>
          <w:rFonts w:ascii="Times New Roman"/>
          <w:kern w:val="22"/>
        </w:rPr>
        <w:t xml:space="preserve">scope of </w:t>
      </w:r>
      <w:r w:rsidR="00BB7978" w:rsidRPr="00F25D02">
        <w:rPr>
          <w:rFonts w:ascii="Times New Roman"/>
          <w:kern w:val="22"/>
        </w:rPr>
        <w:t>digital sequence information</w:t>
      </w:r>
      <w:r w:rsidRPr="00F25D02">
        <w:rPr>
          <w:rFonts w:ascii="Times New Roman"/>
          <w:kern w:val="22"/>
        </w:rPr>
        <w:t xml:space="preserve"> limited to nucleotide sequences, explicitly identified elements that should be taken not to constitute </w:t>
      </w:r>
      <w:r w:rsidR="00BB7978" w:rsidRPr="00F25D02">
        <w:rPr>
          <w:rFonts w:ascii="Times New Roman"/>
          <w:kern w:val="22"/>
        </w:rPr>
        <w:t>digital sequence information</w:t>
      </w:r>
      <w:r w:rsidRPr="00F25D02">
        <w:rPr>
          <w:rFonts w:ascii="Times New Roman"/>
          <w:kern w:val="22"/>
        </w:rPr>
        <w:t>, for example:</w:t>
      </w:r>
    </w:p>
    <w:p w14:paraId="37F8C37E" w14:textId="21C2344C" w:rsidR="00EE700C" w:rsidRPr="00F25D02" w:rsidRDefault="00121BB3" w:rsidP="00121BB3">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A</w:t>
      </w:r>
      <w:r w:rsidR="00EE700C" w:rsidRPr="00F25D02">
        <w:rPr>
          <w:rFonts w:ascii="Times New Roman"/>
          <w:kern w:val="22"/>
        </w:rPr>
        <w:t>mino acids or other molecules resulting from natural metabolic processes which are associated with or dependent on the genome;</w:t>
      </w:r>
      <w:r w:rsidR="00EE700C" w:rsidRPr="00F25D02">
        <w:rPr>
          <w:rStyle w:val="FootnoteReference"/>
          <w:rFonts w:ascii="Times New Roman"/>
          <w:kern w:val="22"/>
        </w:rPr>
        <w:footnoteReference w:id="18"/>
      </w:r>
      <w:r w:rsidR="00EE700C" w:rsidRPr="00F25D02">
        <w:rPr>
          <w:rFonts w:ascii="Times New Roman"/>
          <w:kern w:val="22"/>
        </w:rPr>
        <w:t xml:space="preserve"> </w:t>
      </w:r>
    </w:p>
    <w:p w14:paraId="5D70947C" w14:textId="33C8D049" w:rsidR="00EE700C" w:rsidRPr="00F25D02" w:rsidRDefault="00121BB3" w:rsidP="00121BB3">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I</w:t>
      </w:r>
      <w:r w:rsidR="00EE700C" w:rsidRPr="00F25D02">
        <w:rPr>
          <w:rFonts w:ascii="Times New Roman"/>
          <w:kern w:val="22"/>
        </w:rPr>
        <w:t xml:space="preserve">nformation developed through research, as distinguished from nucleotide sequence data (because neither NSD nor a genetic resource have intrinsic information, however, they can be considered as providing data); </w:t>
      </w:r>
      <w:r w:rsidR="00EE700C" w:rsidRPr="00F25D02">
        <w:rPr>
          <w:rStyle w:val="FootnoteReference"/>
          <w:rFonts w:ascii="Times New Roman"/>
          <w:kern w:val="22"/>
        </w:rPr>
        <w:footnoteReference w:id="19"/>
      </w:r>
    </w:p>
    <w:p w14:paraId="42FD3F79" w14:textId="09A41BA7" w:rsidR="00EE700C" w:rsidRPr="00F25D02" w:rsidRDefault="00121BB3" w:rsidP="00121BB3">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I</w:t>
      </w:r>
      <w:r w:rsidR="00EE700C" w:rsidRPr="00F25D02">
        <w:rPr>
          <w:rFonts w:ascii="Times New Roman"/>
          <w:kern w:val="22"/>
        </w:rPr>
        <w:t xml:space="preserve">nformation arising from analysis or further application of </w:t>
      </w:r>
      <w:r w:rsidR="00BB7978" w:rsidRPr="00F25D02">
        <w:rPr>
          <w:rFonts w:ascii="Times New Roman"/>
          <w:kern w:val="22"/>
        </w:rPr>
        <w:t>digital sequence information</w:t>
      </w:r>
      <w:r w:rsidR="00EE700C" w:rsidRPr="00F25D02">
        <w:rPr>
          <w:rStyle w:val="FootnoteReference"/>
          <w:rFonts w:ascii="Times New Roman"/>
          <w:kern w:val="22"/>
        </w:rPr>
        <w:footnoteReference w:id="20"/>
      </w:r>
      <w:r w:rsidR="00EE700C" w:rsidRPr="00F25D02">
        <w:rPr>
          <w:rFonts w:ascii="Times New Roman"/>
          <w:kern w:val="22"/>
        </w:rPr>
        <w:t xml:space="preserve"> such as sequence assembly, sequence annotation, genetic maps, metabolic maps, three-dimensional structure information or physiological properties related to it.</w:t>
      </w:r>
      <w:r w:rsidR="00EE700C" w:rsidRPr="00F25D02">
        <w:rPr>
          <w:rStyle w:val="FootnoteReference"/>
          <w:rFonts w:ascii="Times New Roman"/>
          <w:kern w:val="22"/>
        </w:rPr>
        <w:footnoteReference w:id="21"/>
      </w:r>
      <w:r w:rsidR="00EE700C" w:rsidRPr="00F25D02">
        <w:rPr>
          <w:rFonts w:ascii="Times New Roman"/>
          <w:kern w:val="22"/>
        </w:rPr>
        <w:t xml:space="preserve"> </w:t>
      </w:r>
    </w:p>
    <w:p w14:paraId="0878EA6A" w14:textId="71AF30A7" w:rsidR="00EE700C" w:rsidRPr="00F25D02" w:rsidRDefault="00EE700C" w:rsidP="00EE700C">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Conversely, other submissions took a broader view, beyond nucleotide sequence information, of the scope of subject matter that should be taken to constitute </w:t>
      </w:r>
      <w:r w:rsidR="00BB7978" w:rsidRPr="00F25D02">
        <w:rPr>
          <w:rFonts w:ascii="Times New Roman"/>
          <w:kern w:val="22"/>
        </w:rPr>
        <w:t>digital sequence information</w:t>
      </w:r>
      <w:r w:rsidRPr="00F25D02">
        <w:rPr>
          <w:rFonts w:ascii="Times New Roman"/>
          <w:kern w:val="22"/>
        </w:rPr>
        <w:t>, as exemplified by the following:</w:t>
      </w:r>
    </w:p>
    <w:p w14:paraId="21C595BD" w14:textId="77CB46F5" w:rsidR="00EE700C" w:rsidRPr="00F25D02" w:rsidRDefault="00121BB3" w:rsidP="00121BB3">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A</w:t>
      </w:r>
      <w:r w:rsidR="00EE700C" w:rsidRPr="00F25D02">
        <w:rPr>
          <w:rFonts w:ascii="Times New Roman"/>
          <w:kern w:val="22"/>
        </w:rPr>
        <w:t>mino acid sequences of proteins</w:t>
      </w:r>
      <w:r w:rsidR="007F79F6" w:rsidRPr="00F25D02">
        <w:rPr>
          <w:rFonts w:ascii="Times New Roman"/>
          <w:kern w:val="22"/>
        </w:rPr>
        <w:t xml:space="preserve"> and associated metadata</w:t>
      </w:r>
      <w:r w:rsidRPr="00F25D02">
        <w:rPr>
          <w:rFonts w:ascii="Times New Roman"/>
          <w:kern w:val="22"/>
        </w:rPr>
        <w:t>;</w:t>
      </w:r>
      <w:r w:rsidR="00EE700C" w:rsidRPr="00F25D02">
        <w:rPr>
          <w:rStyle w:val="FootnoteReference"/>
          <w:rFonts w:ascii="Times New Roman"/>
          <w:kern w:val="22"/>
        </w:rPr>
        <w:footnoteReference w:id="22"/>
      </w:r>
      <w:r w:rsidR="00EE700C" w:rsidRPr="00F25D02">
        <w:rPr>
          <w:rFonts w:ascii="Times New Roman"/>
          <w:kern w:val="22"/>
        </w:rPr>
        <w:t xml:space="preserve"> </w:t>
      </w:r>
    </w:p>
    <w:p w14:paraId="340E3419" w14:textId="55891D7C" w:rsidR="00EE700C" w:rsidRPr="00F25D02" w:rsidRDefault="00121BB3" w:rsidP="00121BB3">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A</w:t>
      </w:r>
      <w:r w:rsidR="00EE700C" w:rsidRPr="00F25D02">
        <w:rPr>
          <w:rFonts w:ascii="Times New Roman"/>
          <w:kern w:val="22"/>
        </w:rPr>
        <w:t xml:space="preserve">mino acids including both raw sequence information </w:t>
      </w:r>
      <w:r w:rsidR="00A61D1D" w:rsidRPr="00F25D02">
        <w:rPr>
          <w:rFonts w:ascii="Times New Roman"/>
          <w:kern w:val="22"/>
        </w:rPr>
        <w:t>and</w:t>
      </w:r>
      <w:r w:rsidR="00EE700C" w:rsidRPr="00F25D02">
        <w:rPr>
          <w:rFonts w:ascii="Times New Roman"/>
          <w:kern w:val="22"/>
        </w:rPr>
        <w:t xml:space="preserve"> processed/annotated sequence information</w:t>
      </w:r>
      <w:r w:rsidRPr="00F25D02">
        <w:rPr>
          <w:rFonts w:ascii="Times New Roman"/>
          <w:kern w:val="22"/>
        </w:rPr>
        <w:t>;</w:t>
      </w:r>
      <w:r w:rsidR="00EE700C" w:rsidRPr="00F25D02">
        <w:rPr>
          <w:rStyle w:val="FootnoteReference"/>
          <w:rFonts w:ascii="Times New Roman"/>
          <w:kern w:val="22"/>
        </w:rPr>
        <w:footnoteReference w:id="23"/>
      </w:r>
      <w:r w:rsidR="00EE700C" w:rsidRPr="00F25D02">
        <w:rPr>
          <w:rFonts w:ascii="Times New Roman"/>
          <w:kern w:val="22"/>
        </w:rPr>
        <w:t xml:space="preserve"> </w:t>
      </w:r>
    </w:p>
    <w:p w14:paraId="1FF18504" w14:textId="52FEC847" w:rsidR="00EE700C" w:rsidRPr="00F25D02" w:rsidRDefault="00121BB3" w:rsidP="00121BB3">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I</w:t>
      </w:r>
      <w:r w:rsidR="00EE700C" w:rsidRPr="00F25D02">
        <w:rPr>
          <w:rFonts w:ascii="Times New Roman"/>
          <w:kern w:val="22"/>
        </w:rPr>
        <w:t>nformation on genetic or biochemical composition including nucleic acid sequence gene reads and associated data, sequence assembly it’s annotation and gene mapping describing the genome, individual genes or fragments thereof, organelle genome, gene expressions, macromolecules and cellular metabolites</w:t>
      </w:r>
      <w:r w:rsidRPr="00F25D02">
        <w:rPr>
          <w:rFonts w:ascii="Times New Roman"/>
          <w:kern w:val="22"/>
        </w:rPr>
        <w:t>;</w:t>
      </w:r>
      <w:r w:rsidR="00EE700C" w:rsidRPr="00F25D02">
        <w:rPr>
          <w:rStyle w:val="FootnoteReference"/>
          <w:rFonts w:ascii="Times New Roman"/>
          <w:kern w:val="22"/>
        </w:rPr>
        <w:footnoteReference w:id="24"/>
      </w:r>
      <w:r w:rsidR="00EE700C" w:rsidRPr="00F25D02">
        <w:rPr>
          <w:rFonts w:ascii="Times New Roman"/>
          <w:kern w:val="22"/>
        </w:rPr>
        <w:t xml:space="preserve"> </w:t>
      </w:r>
    </w:p>
    <w:p w14:paraId="0F88AD71" w14:textId="748ADD95" w:rsidR="00EE700C" w:rsidRPr="00F25D02" w:rsidRDefault="00121BB3" w:rsidP="00121BB3">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I</w:t>
      </w:r>
      <w:r w:rsidR="00EE700C" w:rsidRPr="00F25D02">
        <w:rPr>
          <w:rFonts w:ascii="Times New Roman"/>
          <w:kern w:val="22"/>
        </w:rPr>
        <w:t>nformation concerning nucleic acid sequence of a genetic resource (DNA, cDNA, RNA, SNPs, STRs), extending to sequence of amino acids, molecular information (such as methylation patters) and associated metadata</w:t>
      </w:r>
      <w:r w:rsidRPr="00F25D02">
        <w:rPr>
          <w:rFonts w:ascii="Times New Roman"/>
          <w:kern w:val="22"/>
        </w:rPr>
        <w:t>;</w:t>
      </w:r>
      <w:r w:rsidR="00EE700C" w:rsidRPr="00F25D02">
        <w:rPr>
          <w:rStyle w:val="FootnoteReference"/>
          <w:rFonts w:ascii="Times New Roman"/>
          <w:kern w:val="22"/>
        </w:rPr>
        <w:footnoteReference w:id="25"/>
      </w:r>
      <w:r w:rsidR="00EE700C" w:rsidRPr="00F25D02">
        <w:rPr>
          <w:rFonts w:ascii="Times New Roman"/>
          <w:kern w:val="22"/>
        </w:rPr>
        <w:t xml:space="preserve"> </w:t>
      </w:r>
    </w:p>
    <w:p w14:paraId="09728A5E" w14:textId="42AC95F7" w:rsidR="00EE700C" w:rsidRPr="00F25D02" w:rsidRDefault="00EE700C" w:rsidP="00121BB3">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lastRenderedPageBreak/>
        <w:t xml:space="preserve">DNA </w:t>
      </w:r>
      <w:r w:rsidR="00A61D1D" w:rsidRPr="00F25D02">
        <w:rPr>
          <w:rFonts w:ascii="Times New Roman"/>
          <w:kern w:val="22"/>
        </w:rPr>
        <w:t>and</w:t>
      </w:r>
      <w:r w:rsidRPr="00F25D02">
        <w:rPr>
          <w:rFonts w:ascii="Times New Roman"/>
          <w:kern w:val="22"/>
        </w:rPr>
        <w:t xml:space="preserve"> RNA sequences in all their forms including assembled and annotated genomes and partial sequences as well as sequences of alternative forms such as cDNAs, codon optimized sequences, etc., and extending to amino acid sequences, SNPs, STR counts, and epigenetic and molecular characterization information (e.g. structures, DNA methylation, etc.) and sequence associated metadata (e.g. ‘passport’ data, phenome-genome data, etc.)</w:t>
      </w:r>
      <w:r w:rsidRPr="00F25D02">
        <w:rPr>
          <w:rStyle w:val="FootnoteReference"/>
          <w:rFonts w:ascii="Times New Roman"/>
          <w:kern w:val="22"/>
        </w:rPr>
        <w:footnoteReference w:id="26"/>
      </w:r>
      <w:r w:rsidRPr="00F25D02">
        <w:rPr>
          <w:rFonts w:ascii="Times New Roman"/>
          <w:kern w:val="22"/>
        </w:rPr>
        <w:t xml:space="preserve"> </w:t>
      </w:r>
    </w:p>
    <w:p w14:paraId="0A32E21D" w14:textId="02EDFCA5" w:rsidR="00EE700C" w:rsidRPr="00F25D02" w:rsidRDefault="00EE700C" w:rsidP="00EE700C">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Additionally, submissions suggested certain specific types of data/information that should not be taken to constitute </w:t>
      </w:r>
      <w:r w:rsidR="00BB7978" w:rsidRPr="00F25D02">
        <w:rPr>
          <w:rFonts w:ascii="Times New Roman"/>
          <w:kern w:val="22"/>
        </w:rPr>
        <w:t>digital sequence information</w:t>
      </w:r>
      <w:r w:rsidRPr="00F25D02">
        <w:rPr>
          <w:rFonts w:ascii="Times New Roman"/>
          <w:kern w:val="22"/>
        </w:rPr>
        <w:t xml:space="preserve"> (i.e. unrelated to the proponent’s position on scope concerning nucleotide sequence information):</w:t>
      </w:r>
    </w:p>
    <w:p w14:paraId="5D191B38" w14:textId="4642E533" w:rsidR="00EE700C" w:rsidRPr="00F25D02" w:rsidRDefault="00121BB3" w:rsidP="00121BB3">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I</w:t>
      </w:r>
      <w:r w:rsidR="00EE700C" w:rsidRPr="00F25D02">
        <w:rPr>
          <w:rFonts w:ascii="Times New Roman"/>
          <w:kern w:val="22"/>
        </w:rPr>
        <w:t xml:space="preserve">nformation concerning human genetic resources because the </w:t>
      </w:r>
      <w:r w:rsidRPr="00F25D02">
        <w:rPr>
          <w:rFonts w:ascii="Times New Roman"/>
          <w:kern w:val="22"/>
        </w:rPr>
        <w:t>second</w:t>
      </w:r>
      <w:r w:rsidR="00EE700C" w:rsidRPr="00F25D02">
        <w:rPr>
          <w:rFonts w:ascii="Times New Roman"/>
          <w:kern w:val="22"/>
        </w:rPr>
        <w:t xml:space="preserve"> meeting of the Conference of the Parties determined that human genetic resources are not included within the framework of CBD;</w:t>
      </w:r>
      <w:r w:rsidR="00EE700C" w:rsidRPr="00F25D02">
        <w:rPr>
          <w:rStyle w:val="FootnoteReference"/>
          <w:rFonts w:ascii="Times New Roman"/>
          <w:kern w:val="22"/>
        </w:rPr>
        <w:footnoteReference w:id="27"/>
      </w:r>
      <w:r w:rsidR="00EE700C" w:rsidRPr="00F25D02">
        <w:rPr>
          <w:rFonts w:ascii="Times New Roman"/>
          <w:kern w:val="22"/>
        </w:rPr>
        <w:t xml:space="preserve"> </w:t>
      </w:r>
    </w:p>
    <w:p w14:paraId="27362563" w14:textId="2272D18D" w:rsidR="00EE700C" w:rsidRPr="00F25D02" w:rsidRDefault="00121BB3" w:rsidP="00121BB3">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S</w:t>
      </w:r>
      <w:r w:rsidR="00EE700C" w:rsidRPr="00F25D02">
        <w:rPr>
          <w:rFonts w:ascii="Times New Roman"/>
          <w:kern w:val="22"/>
        </w:rPr>
        <w:t>ubject matter addressed by other instruments such as WHO PIP</w:t>
      </w:r>
      <w:r w:rsidR="0021054C" w:rsidRPr="00F25D02">
        <w:rPr>
          <w:rFonts w:ascii="Times New Roman"/>
          <w:kern w:val="22"/>
        </w:rPr>
        <w:t>-</w:t>
      </w:r>
      <w:r w:rsidR="00EE700C" w:rsidRPr="00F25D02">
        <w:rPr>
          <w:rFonts w:ascii="Times New Roman"/>
          <w:kern w:val="22"/>
        </w:rPr>
        <w:t xml:space="preserve">Framework and </w:t>
      </w:r>
      <w:r w:rsidR="0021054C" w:rsidRPr="00F25D02">
        <w:rPr>
          <w:rFonts w:ascii="Times New Roman"/>
          <w:kern w:val="22"/>
        </w:rPr>
        <w:t>the International Treaty</w:t>
      </w:r>
      <w:r w:rsidR="0021054C" w:rsidRPr="00F25D02">
        <w:rPr>
          <w:kern w:val="22"/>
        </w:rPr>
        <w:t xml:space="preserve"> </w:t>
      </w:r>
      <w:r w:rsidR="0021054C" w:rsidRPr="00F25D02">
        <w:rPr>
          <w:rFonts w:ascii="Times New Roman"/>
          <w:kern w:val="22"/>
        </w:rPr>
        <w:t>on Plant Genetic Resources for Food and Agriculture</w:t>
      </w:r>
      <w:r w:rsidR="00EE700C" w:rsidRPr="00F25D02">
        <w:rPr>
          <w:rFonts w:ascii="Times New Roman"/>
          <w:kern w:val="22"/>
        </w:rPr>
        <w:t>;</w:t>
      </w:r>
      <w:r w:rsidR="00EE700C" w:rsidRPr="00F25D02">
        <w:rPr>
          <w:rStyle w:val="FootnoteReference"/>
          <w:rFonts w:ascii="Times New Roman"/>
          <w:kern w:val="22"/>
        </w:rPr>
        <w:footnoteReference w:id="28"/>
      </w:r>
      <w:r w:rsidR="00EE700C" w:rsidRPr="00F25D02">
        <w:rPr>
          <w:rFonts w:ascii="Times New Roman"/>
          <w:kern w:val="22"/>
        </w:rPr>
        <w:t xml:space="preserve"> and</w:t>
      </w:r>
    </w:p>
    <w:p w14:paraId="63450BF9" w14:textId="135E70B1" w:rsidR="00EE700C" w:rsidRPr="00F25D02" w:rsidRDefault="00121BB3" w:rsidP="00121BB3">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I</w:t>
      </w:r>
      <w:r w:rsidR="00EE700C" w:rsidRPr="00F25D02">
        <w:rPr>
          <w:rFonts w:ascii="Times New Roman"/>
          <w:kern w:val="22"/>
        </w:rPr>
        <w:t>nformation arising from man-made genetic sequences</w:t>
      </w:r>
      <w:r w:rsidRPr="00F25D02">
        <w:rPr>
          <w:rFonts w:ascii="Times New Roman"/>
          <w:kern w:val="22"/>
        </w:rPr>
        <w:t>.</w:t>
      </w:r>
      <w:r w:rsidR="00EE700C" w:rsidRPr="00F25D02">
        <w:rPr>
          <w:rStyle w:val="FootnoteReference"/>
          <w:rFonts w:ascii="Times New Roman"/>
          <w:kern w:val="22"/>
        </w:rPr>
        <w:footnoteReference w:id="29"/>
      </w:r>
      <w:r w:rsidR="00EE700C" w:rsidRPr="00F25D02">
        <w:rPr>
          <w:rFonts w:ascii="Times New Roman"/>
          <w:kern w:val="22"/>
        </w:rPr>
        <w:t xml:space="preserve"> </w:t>
      </w:r>
    </w:p>
    <w:p w14:paraId="516F46EA" w14:textId="13E8B341" w:rsidR="00EE700C" w:rsidRPr="00F25D02" w:rsidRDefault="00EE700C" w:rsidP="00EE700C">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One submission noted that attempting to clarify the concept of </w:t>
      </w:r>
      <w:r w:rsidR="00BB7978" w:rsidRPr="00F25D02">
        <w:rPr>
          <w:rFonts w:ascii="Times New Roman"/>
          <w:kern w:val="22"/>
        </w:rPr>
        <w:t>digital sequence information</w:t>
      </w:r>
      <w:r w:rsidRPr="00F25D02">
        <w:rPr>
          <w:rFonts w:ascii="Times New Roman"/>
          <w:kern w:val="22"/>
        </w:rPr>
        <w:t xml:space="preserve"> is not straightforward and raises more questions than it answers, particularly as the term </w:t>
      </w:r>
      <w:r w:rsidR="00BB7978" w:rsidRPr="00F25D02">
        <w:rPr>
          <w:rFonts w:ascii="Times New Roman"/>
          <w:kern w:val="22"/>
        </w:rPr>
        <w:t>digital sequence information</w:t>
      </w:r>
      <w:r w:rsidRPr="00F25D02">
        <w:rPr>
          <w:rFonts w:ascii="Times New Roman"/>
          <w:kern w:val="22"/>
        </w:rPr>
        <w:t xml:space="preserve"> is potentially broad in scope and doesn’t encompass a single type of data.</w:t>
      </w:r>
      <w:r w:rsidRPr="00F25D02">
        <w:rPr>
          <w:rStyle w:val="FootnoteReference"/>
          <w:rFonts w:ascii="Times New Roman"/>
          <w:kern w:val="22"/>
        </w:rPr>
        <w:footnoteReference w:id="30"/>
      </w:r>
      <w:r w:rsidRPr="00F25D02">
        <w:rPr>
          <w:rFonts w:ascii="Times New Roman"/>
          <w:kern w:val="22"/>
        </w:rPr>
        <w:t xml:space="preserve"> This was echoed in three submissions</w:t>
      </w:r>
      <w:r w:rsidRPr="00F25D02">
        <w:rPr>
          <w:rStyle w:val="FootnoteReference"/>
          <w:rFonts w:ascii="Times New Roman"/>
          <w:kern w:val="22"/>
        </w:rPr>
        <w:footnoteReference w:id="31"/>
      </w:r>
      <w:r w:rsidRPr="00F25D02">
        <w:rPr>
          <w:rFonts w:ascii="Times New Roman"/>
          <w:kern w:val="22"/>
        </w:rPr>
        <w:t xml:space="preserve"> which posed a range of questions or scenarios highlighting difficulties associated with clarifying the concept of </w:t>
      </w:r>
      <w:r w:rsidR="00BB7978" w:rsidRPr="00F25D02">
        <w:rPr>
          <w:rFonts w:ascii="Times New Roman"/>
          <w:kern w:val="22"/>
        </w:rPr>
        <w:t>digital sequence information</w:t>
      </w:r>
      <w:r w:rsidRPr="00F25D02">
        <w:rPr>
          <w:rFonts w:ascii="Times New Roman"/>
          <w:kern w:val="22"/>
        </w:rPr>
        <w:t>, including the following which are paraphrased for illustrative purposes:</w:t>
      </w:r>
    </w:p>
    <w:p w14:paraId="350066C9" w14:textId="701A090B" w:rsidR="00EE700C" w:rsidRPr="00F25D02" w:rsidRDefault="00EE700C" w:rsidP="00121BB3">
      <w:pPr>
        <w:pStyle w:val="ListParagraph"/>
        <w:numPr>
          <w:ilvl w:val="1"/>
          <w:numId w:val="2"/>
        </w:numPr>
        <w:tabs>
          <w:tab w:val="left" w:pos="1440"/>
        </w:tabs>
        <w:spacing w:before="120" w:after="120" w:line="240" w:lineRule="auto"/>
        <w:ind w:left="0" w:firstLine="720"/>
        <w:contextualSpacing w:val="0"/>
        <w:jc w:val="both"/>
        <w:rPr>
          <w:rFonts w:ascii="Times New Roman"/>
          <w:iCs/>
          <w:kern w:val="22"/>
        </w:rPr>
      </w:pPr>
      <w:r w:rsidRPr="00F25D02">
        <w:rPr>
          <w:rFonts w:ascii="Times New Roman"/>
          <w:iCs/>
          <w:kern w:val="22"/>
        </w:rPr>
        <w:t xml:space="preserve">Is </w:t>
      </w:r>
      <w:r w:rsidR="00BB7978" w:rsidRPr="00F25D02">
        <w:rPr>
          <w:rFonts w:ascii="Times New Roman"/>
          <w:iCs/>
          <w:kern w:val="22"/>
        </w:rPr>
        <w:t>digital sequence information</w:t>
      </w:r>
      <w:r w:rsidRPr="00F25D02">
        <w:rPr>
          <w:rFonts w:ascii="Times New Roman"/>
          <w:iCs/>
          <w:kern w:val="22"/>
        </w:rPr>
        <w:t xml:space="preserve"> limited to hereditary biomolecular strings or can it also encompass non-hereditary strings such as amino acids? Is the scope limited to naturally occurring biomolecules only or also lab-modified or hypothetical biomolecules? Does it include DNA digital storage?</w:t>
      </w:r>
      <w:r w:rsidRPr="00F25D02">
        <w:rPr>
          <w:rStyle w:val="FootnoteReference"/>
          <w:rFonts w:ascii="Times New Roman"/>
          <w:iCs/>
          <w:kern w:val="22"/>
        </w:rPr>
        <w:footnoteReference w:id="32"/>
      </w:r>
    </w:p>
    <w:p w14:paraId="6B73F672" w14:textId="556E4F94" w:rsidR="00EE700C" w:rsidRPr="00F25D02" w:rsidRDefault="00EE700C" w:rsidP="00121BB3">
      <w:pPr>
        <w:pStyle w:val="ListParagraph"/>
        <w:numPr>
          <w:ilvl w:val="1"/>
          <w:numId w:val="2"/>
        </w:numPr>
        <w:tabs>
          <w:tab w:val="left" w:pos="1440"/>
        </w:tabs>
        <w:spacing w:before="120" w:after="120" w:line="240" w:lineRule="auto"/>
        <w:ind w:left="0" w:firstLine="720"/>
        <w:contextualSpacing w:val="0"/>
        <w:jc w:val="both"/>
        <w:rPr>
          <w:rFonts w:ascii="Times New Roman"/>
          <w:iCs/>
          <w:kern w:val="22"/>
        </w:rPr>
      </w:pPr>
      <w:r w:rsidRPr="00F25D02">
        <w:rPr>
          <w:rFonts w:ascii="Times New Roman"/>
          <w:iCs/>
          <w:kern w:val="22"/>
        </w:rPr>
        <w:t xml:space="preserve">Should </w:t>
      </w:r>
      <w:r w:rsidR="00BB7978" w:rsidRPr="00F25D02">
        <w:rPr>
          <w:rFonts w:ascii="Times New Roman"/>
          <w:iCs/>
          <w:kern w:val="22"/>
        </w:rPr>
        <w:t>digital sequence information</w:t>
      </w:r>
      <w:r w:rsidRPr="00F25D02">
        <w:rPr>
          <w:rFonts w:ascii="Times New Roman"/>
          <w:iCs/>
          <w:kern w:val="22"/>
        </w:rPr>
        <w:t xml:space="preserve"> be limited to genomic DNA or also include RNA and sequences, such as a retrovirus? Should </w:t>
      </w:r>
      <w:r w:rsidR="00BB7978" w:rsidRPr="00F25D02">
        <w:rPr>
          <w:rFonts w:ascii="Times New Roman"/>
          <w:iCs/>
          <w:kern w:val="22"/>
        </w:rPr>
        <w:t>digital sequence information</w:t>
      </w:r>
      <w:r w:rsidRPr="00F25D02">
        <w:rPr>
          <w:rFonts w:ascii="Times New Roman"/>
          <w:iCs/>
          <w:kern w:val="22"/>
        </w:rPr>
        <w:t xml:space="preserve"> be limited to native DNA (i.e. the form found in nature) or should it include only the coding regions? Should </w:t>
      </w:r>
      <w:r w:rsidR="00BB7978" w:rsidRPr="00F25D02">
        <w:rPr>
          <w:rFonts w:ascii="Times New Roman"/>
          <w:iCs/>
          <w:kern w:val="22"/>
        </w:rPr>
        <w:t>digital sequence information</w:t>
      </w:r>
      <w:r w:rsidRPr="00F25D02">
        <w:rPr>
          <w:rFonts w:ascii="Times New Roman"/>
          <w:iCs/>
          <w:kern w:val="22"/>
        </w:rPr>
        <w:t xml:space="preserve"> include regulatory DNA that does not code for proteins but has other effects (e.g. processing genes)? What about information relating to the secondary or tertiary structure of DNA? What about annotations to </w:t>
      </w:r>
      <w:r w:rsidR="00BB7978" w:rsidRPr="00F25D02">
        <w:rPr>
          <w:rFonts w:ascii="Times New Roman"/>
          <w:iCs/>
          <w:kern w:val="22"/>
        </w:rPr>
        <w:t>digital sequence information</w:t>
      </w:r>
      <w:r w:rsidRPr="00F25D02">
        <w:rPr>
          <w:rFonts w:ascii="Times New Roman"/>
          <w:iCs/>
          <w:kern w:val="22"/>
        </w:rPr>
        <w:t>?</w:t>
      </w:r>
      <w:r w:rsidRPr="00F25D02">
        <w:rPr>
          <w:rStyle w:val="FootnoteReference"/>
          <w:rFonts w:ascii="Times New Roman"/>
          <w:iCs/>
          <w:kern w:val="22"/>
        </w:rPr>
        <w:footnoteReference w:id="33"/>
      </w:r>
      <w:r w:rsidRPr="00F25D02">
        <w:rPr>
          <w:rFonts w:ascii="Times New Roman"/>
          <w:iCs/>
          <w:kern w:val="22"/>
        </w:rPr>
        <w:t xml:space="preserve"> </w:t>
      </w:r>
    </w:p>
    <w:p w14:paraId="5AC273EA" w14:textId="28575EB6" w:rsidR="00EE700C" w:rsidRPr="00F25D02" w:rsidRDefault="00EE700C" w:rsidP="00121BB3">
      <w:pPr>
        <w:pStyle w:val="ListParagraph"/>
        <w:numPr>
          <w:ilvl w:val="1"/>
          <w:numId w:val="2"/>
        </w:numPr>
        <w:tabs>
          <w:tab w:val="left" w:pos="1440"/>
        </w:tabs>
        <w:spacing w:before="120" w:after="120" w:line="240" w:lineRule="auto"/>
        <w:ind w:left="0" w:firstLine="720"/>
        <w:contextualSpacing w:val="0"/>
        <w:jc w:val="both"/>
        <w:rPr>
          <w:rFonts w:ascii="Times New Roman"/>
          <w:iCs/>
          <w:kern w:val="22"/>
        </w:rPr>
      </w:pPr>
      <w:r w:rsidRPr="00F25D02">
        <w:rPr>
          <w:rFonts w:ascii="Times New Roman"/>
          <w:iCs/>
          <w:kern w:val="22"/>
        </w:rPr>
        <w:t xml:space="preserve">Does </w:t>
      </w:r>
      <w:r w:rsidR="00BB7978" w:rsidRPr="00F25D02">
        <w:rPr>
          <w:rFonts w:ascii="Times New Roman"/>
          <w:iCs/>
          <w:kern w:val="22"/>
        </w:rPr>
        <w:t>digital sequence information</w:t>
      </w:r>
      <w:r w:rsidRPr="00F25D02">
        <w:rPr>
          <w:rFonts w:ascii="Times New Roman"/>
          <w:iCs/>
          <w:kern w:val="22"/>
        </w:rPr>
        <w:t xml:space="preserve"> include genes, chromosomes, chromosome fragments, coding sequences, all of them or more? What about laboratory generated mutants, for example developed through mass mutagenesis or precision approaches such as CRISPR? How should identical genetic sequences found across different countries be dealt with, for example, sequences from river waters, migratory species, etc.? What are the tolerance levels for variations within a DNA sequence? How should environmental sequence data be handled given that much of the sequence data it contains may not be attributed to a specific organism? Is ‘scope’ limited to a specific use of </w:t>
      </w:r>
      <w:r w:rsidR="00BB7978" w:rsidRPr="00F25D02">
        <w:rPr>
          <w:rFonts w:ascii="Times New Roman"/>
          <w:iCs/>
          <w:kern w:val="22"/>
        </w:rPr>
        <w:t>digital sequence information</w:t>
      </w:r>
      <w:r w:rsidRPr="00F25D02">
        <w:rPr>
          <w:rFonts w:ascii="Times New Roman"/>
          <w:iCs/>
          <w:kern w:val="22"/>
        </w:rPr>
        <w:t xml:space="preserve"> or the sequence?</w:t>
      </w:r>
      <w:r w:rsidRPr="00F25D02">
        <w:rPr>
          <w:rStyle w:val="FootnoteReference"/>
          <w:rFonts w:ascii="Times New Roman"/>
          <w:iCs/>
          <w:kern w:val="22"/>
        </w:rPr>
        <w:footnoteReference w:id="34"/>
      </w:r>
      <w:r w:rsidRPr="00F25D02">
        <w:rPr>
          <w:rFonts w:ascii="Times New Roman"/>
          <w:iCs/>
          <w:kern w:val="22"/>
        </w:rPr>
        <w:t xml:space="preserve"> </w:t>
      </w:r>
    </w:p>
    <w:p w14:paraId="2278193F" w14:textId="6DB3F49E" w:rsidR="004A466F" w:rsidRPr="00F25D02" w:rsidRDefault="004A466F" w:rsidP="00086139">
      <w:pPr>
        <w:pStyle w:val="Heading2"/>
        <w:keepLines w:val="0"/>
        <w:numPr>
          <w:ilvl w:val="1"/>
          <w:numId w:val="8"/>
        </w:numPr>
        <w:tabs>
          <w:tab w:val="left" w:pos="720"/>
        </w:tabs>
        <w:spacing w:before="120" w:after="120" w:line="240" w:lineRule="auto"/>
        <w:ind w:left="720"/>
        <w:jc w:val="center"/>
        <w:rPr>
          <w:rFonts w:ascii="Times New Roman" w:eastAsia="Times New Roman" w:hAnsi="Times New Roman" w:cs="Times New Roman"/>
          <w:b/>
          <w:bCs/>
          <w:iCs/>
          <w:color w:val="auto"/>
          <w:kern w:val="22"/>
          <w:sz w:val="22"/>
          <w:szCs w:val="24"/>
          <w:lang w:val="en-GB"/>
        </w:rPr>
      </w:pPr>
      <w:r w:rsidRPr="00F25D02">
        <w:rPr>
          <w:rFonts w:ascii="Times New Roman" w:eastAsia="Times New Roman" w:hAnsi="Times New Roman" w:cs="Times New Roman"/>
          <w:b/>
          <w:bCs/>
          <w:iCs/>
          <w:color w:val="auto"/>
          <w:kern w:val="22"/>
          <w:sz w:val="22"/>
          <w:szCs w:val="24"/>
          <w:lang w:val="en-GB"/>
        </w:rPr>
        <w:lastRenderedPageBreak/>
        <w:t xml:space="preserve">Clarifying terminology </w:t>
      </w:r>
      <w:r w:rsidR="000962DC" w:rsidRPr="00F25D02">
        <w:rPr>
          <w:rFonts w:ascii="Times New Roman" w:eastAsia="Times New Roman" w:hAnsi="Times New Roman" w:cs="Times New Roman"/>
          <w:b/>
          <w:bCs/>
          <w:iCs/>
          <w:color w:val="auto"/>
          <w:kern w:val="22"/>
          <w:sz w:val="22"/>
          <w:szCs w:val="24"/>
          <w:lang w:val="en-GB"/>
        </w:rPr>
        <w:t>associated with</w:t>
      </w:r>
      <w:r w:rsidRPr="00F25D02">
        <w:rPr>
          <w:rFonts w:ascii="Times New Roman" w:eastAsia="Times New Roman" w:hAnsi="Times New Roman" w:cs="Times New Roman"/>
          <w:b/>
          <w:bCs/>
          <w:iCs/>
          <w:color w:val="auto"/>
          <w:kern w:val="22"/>
          <w:sz w:val="22"/>
          <w:szCs w:val="24"/>
          <w:lang w:val="en-GB"/>
        </w:rPr>
        <w:t xml:space="preserve"> </w:t>
      </w:r>
      <w:r w:rsidR="0021054C" w:rsidRPr="00F25D02">
        <w:rPr>
          <w:rFonts w:ascii="Times New Roman" w:eastAsia="Times New Roman" w:hAnsi="Times New Roman" w:cs="Times New Roman"/>
          <w:b/>
          <w:bCs/>
          <w:iCs/>
          <w:color w:val="auto"/>
          <w:kern w:val="22"/>
          <w:sz w:val="22"/>
          <w:szCs w:val="24"/>
          <w:lang w:val="en-GB"/>
        </w:rPr>
        <w:t>d</w:t>
      </w:r>
      <w:r w:rsidRPr="00F25D02">
        <w:rPr>
          <w:rFonts w:ascii="Times New Roman" w:eastAsia="Times New Roman" w:hAnsi="Times New Roman" w:cs="Times New Roman"/>
          <w:b/>
          <w:bCs/>
          <w:iCs/>
          <w:color w:val="auto"/>
          <w:kern w:val="22"/>
          <w:sz w:val="22"/>
          <w:szCs w:val="24"/>
          <w:lang w:val="en-GB"/>
        </w:rPr>
        <w:t xml:space="preserve">igital </w:t>
      </w:r>
      <w:r w:rsidR="0021054C" w:rsidRPr="00F25D02">
        <w:rPr>
          <w:rFonts w:ascii="Times New Roman" w:eastAsia="Times New Roman" w:hAnsi="Times New Roman" w:cs="Times New Roman"/>
          <w:b/>
          <w:bCs/>
          <w:iCs/>
          <w:color w:val="auto"/>
          <w:kern w:val="22"/>
          <w:sz w:val="22"/>
          <w:szCs w:val="24"/>
          <w:lang w:val="en-GB"/>
        </w:rPr>
        <w:t>s</w:t>
      </w:r>
      <w:r w:rsidRPr="00F25D02">
        <w:rPr>
          <w:rFonts w:ascii="Times New Roman" w:eastAsia="Times New Roman" w:hAnsi="Times New Roman" w:cs="Times New Roman"/>
          <w:b/>
          <w:bCs/>
          <w:iCs/>
          <w:color w:val="auto"/>
          <w:kern w:val="22"/>
          <w:sz w:val="22"/>
          <w:szCs w:val="24"/>
          <w:lang w:val="en-GB"/>
        </w:rPr>
        <w:t xml:space="preserve">equence </w:t>
      </w:r>
      <w:r w:rsidR="0021054C" w:rsidRPr="00F25D02">
        <w:rPr>
          <w:rFonts w:ascii="Times New Roman" w:eastAsia="Times New Roman" w:hAnsi="Times New Roman" w:cs="Times New Roman"/>
          <w:b/>
          <w:bCs/>
          <w:iCs/>
          <w:color w:val="auto"/>
          <w:kern w:val="22"/>
          <w:sz w:val="22"/>
          <w:szCs w:val="24"/>
          <w:lang w:val="en-GB"/>
        </w:rPr>
        <w:t>i</w:t>
      </w:r>
      <w:r w:rsidRPr="00F25D02">
        <w:rPr>
          <w:rFonts w:ascii="Times New Roman" w:eastAsia="Times New Roman" w:hAnsi="Times New Roman" w:cs="Times New Roman"/>
          <w:b/>
          <w:bCs/>
          <w:iCs/>
          <w:color w:val="auto"/>
          <w:kern w:val="22"/>
          <w:sz w:val="22"/>
          <w:szCs w:val="24"/>
          <w:lang w:val="en-GB"/>
        </w:rPr>
        <w:t xml:space="preserve">nformation on </w:t>
      </w:r>
      <w:r w:rsidR="0021054C" w:rsidRPr="00F25D02">
        <w:rPr>
          <w:rFonts w:ascii="Times New Roman" w:eastAsia="Times New Roman" w:hAnsi="Times New Roman" w:cs="Times New Roman"/>
          <w:b/>
          <w:bCs/>
          <w:iCs/>
          <w:color w:val="auto"/>
          <w:kern w:val="22"/>
          <w:sz w:val="22"/>
          <w:szCs w:val="24"/>
          <w:lang w:val="en-GB"/>
        </w:rPr>
        <w:t>g</w:t>
      </w:r>
      <w:r w:rsidRPr="00F25D02">
        <w:rPr>
          <w:rFonts w:ascii="Times New Roman" w:eastAsia="Times New Roman" w:hAnsi="Times New Roman" w:cs="Times New Roman"/>
          <w:b/>
          <w:bCs/>
          <w:iCs/>
          <w:color w:val="auto"/>
          <w:kern w:val="22"/>
          <w:sz w:val="22"/>
          <w:szCs w:val="24"/>
          <w:lang w:val="en-GB"/>
        </w:rPr>
        <w:t xml:space="preserve">enetic </w:t>
      </w:r>
      <w:r w:rsidR="0021054C" w:rsidRPr="00F25D02">
        <w:rPr>
          <w:rFonts w:ascii="Times New Roman" w:eastAsia="Times New Roman" w:hAnsi="Times New Roman" w:cs="Times New Roman"/>
          <w:b/>
          <w:bCs/>
          <w:iCs/>
          <w:color w:val="auto"/>
          <w:kern w:val="22"/>
          <w:sz w:val="22"/>
          <w:szCs w:val="24"/>
          <w:lang w:val="en-GB"/>
        </w:rPr>
        <w:t>r</w:t>
      </w:r>
      <w:r w:rsidRPr="00F25D02">
        <w:rPr>
          <w:rFonts w:ascii="Times New Roman" w:eastAsia="Times New Roman" w:hAnsi="Times New Roman" w:cs="Times New Roman"/>
          <w:b/>
          <w:bCs/>
          <w:iCs/>
          <w:color w:val="auto"/>
          <w:kern w:val="22"/>
          <w:sz w:val="22"/>
          <w:szCs w:val="24"/>
          <w:lang w:val="en-GB"/>
        </w:rPr>
        <w:t>esources</w:t>
      </w:r>
    </w:p>
    <w:p w14:paraId="746D56E2" w14:textId="7684EA80" w:rsidR="004A466F" w:rsidRPr="00F25D02" w:rsidRDefault="00D2652E" w:rsidP="00086139">
      <w:pPr>
        <w:pStyle w:val="Heading3"/>
        <w:numPr>
          <w:ilvl w:val="0"/>
          <w:numId w:val="9"/>
        </w:numPr>
        <w:ind w:left="720"/>
        <w:rPr>
          <w:kern w:val="22"/>
        </w:rPr>
      </w:pPr>
      <w:r w:rsidRPr="00F25D02">
        <w:rPr>
          <w:kern w:val="22"/>
        </w:rPr>
        <w:t>General co</w:t>
      </w:r>
      <w:r w:rsidR="005832F9" w:rsidRPr="00F25D02">
        <w:rPr>
          <w:kern w:val="22"/>
        </w:rPr>
        <w:t>nsiderations regarding</w:t>
      </w:r>
      <w:r w:rsidR="004A466F" w:rsidRPr="00F25D02">
        <w:rPr>
          <w:kern w:val="22"/>
        </w:rPr>
        <w:t xml:space="preserve"> terminology </w:t>
      </w:r>
    </w:p>
    <w:p w14:paraId="3C72EFDF" w14:textId="3BAB61B2" w:rsidR="009349D3" w:rsidRPr="00F25D02" w:rsidRDefault="00FD598A"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bCs/>
          <w:kern w:val="22"/>
        </w:rPr>
      </w:pPr>
      <w:r w:rsidRPr="00F25D02">
        <w:rPr>
          <w:rFonts w:ascii="Times New Roman"/>
          <w:bCs/>
          <w:kern w:val="22"/>
        </w:rPr>
        <w:t>H</w:t>
      </w:r>
      <w:r w:rsidR="009349D3" w:rsidRPr="00F25D02">
        <w:rPr>
          <w:rFonts w:ascii="Times New Roman"/>
          <w:bCs/>
          <w:kern w:val="22"/>
        </w:rPr>
        <w:t>istorical developments</w:t>
      </w:r>
      <w:r w:rsidR="00A810A0" w:rsidRPr="00F25D02">
        <w:rPr>
          <w:rFonts w:ascii="Times New Roman"/>
          <w:bCs/>
          <w:kern w:val="22"/>
        </w:rPr>
        <w:t xml:space="preserve"> concerning </w:t>
      </w:r>
      <w:r w:rsidR="00BB7978" w:rsidRPr="00F25D02">
        <w:rPr>
          <w:rFonts w:ascii="Times New Roman"/>
          <w:bCs/>
          <w:kern w:val="22"/>
        </w:rPr>
        <w:t>digital sequence information</w:t>
      </w:r>
      <w:r w:rsidRPr="00F25D02">
        <w:rPr>
          <w:rFonts w:ascii="Times New Roman"/>
          <w:bCs/>
          <w:kern w:val="22"/>
        </w:rPr>
        <w:t xml:space="preserve"> were </w:t>
      </w:r>
      <w:r w:rsidR="009349D3" w:rsidRPr="00F25D02">
        <w:rPr>
          <w:rFonts w:ascii="Times New Roman"/>
          <w:bCs/>
          <w:kern w:val="22"/>
        </w:rPr>
        <w:t>noted</w:t>
      </w:r>
      <w:r w:rsidR="003370CB" w:rsidRPr="00F25D02">
        <w:rPr>
          <w:rFonts w:ascii="Times New Roman"/>
          <w:bCs/>
          <w:kern w:val="22"/>
        </w:rPr>
        <w:t xml:space="preserve"> in several submissions, including</w:t>
      </w:r>
      <w:r w:rsidR="009349D3" w:rsidRPr="00F25D02">
        <w:rPr>
          <w:rFonts w:ascii="Times New Roman"/>
          <w:bCs/>
          <w:kern w:val="22"/>
        </w:rPr>
        <w:t>:</w:t>
      </w:r>
    </w:p>
    <w:p w14:paraId="45CF87EC" w14:textId="6C493A21" w:rsidR="00FF14D1" w:rsidRPr="00F25D02" w:rsidRDefault="00887F7C" w:rsidP="00121BB3">
      <w:pPr>
        <w:pStyle w:val="ListParagraph"/>
        <w:numPr>
          <w:ilvl w:val="1"/>
          <w:numId w:val="2"/>
        </w:numPr>
        <w:tabs>
          <w:tab w:val="left" w:pos="1440"/>
        </w:tabs>
        <w:spacing w:before="120" w:after="120" w:line="240" w:lineRule="auto"/>
        <w:ind w:left="0" w:firstLine="720"/>
        <w:contextualSpacing w:val="0"/>
        <w:jc w:val="both"/>
        <w:rPr>
          <w:rFonts w:ascii="Times New Roman"/>
          <w:bCs/>
          <w:kern w:val="22"/>
        </w:rPr>
      </w:pPr>
      <w:r w:rsidRPr="00F25D02">
        <w:rPr>
          <w:rFonts w:ascii="Times New Roman"/>
          <w:bCs/>
          <w:kern w:val="22"/>
        </w:rPr>
        <w:t xml:space="preserve">COP’s acknowledgement </w:t>
      </w:r>
      <w:r w:rsidR="00FF14D1" w:rsidRPr="00F25D02">
        <w:rPr>
          <w:rFonts w:ascii="Times New Roman"/>
          <w:bCs/>
          <w:kern w:val="22"/>
        </w:rPr>
        <w:t>that the term “digital sequence information” may not be the most appropriate term</w:t>
      </w:r>
      <w:r w:rsidR="00FF14D1" w:rsidRPr="00F25D02">
        <w:rPr>
          <w:rStyle w:val="FootnoteReference"/>
          <w:rFonts w:ascii="Times New Roman"/>
          <w:bCs/>
          <w:kern w:val="22"/>
        </w:rPr>
        <w:footnoteReference w:id="35"/>
      </w:r>
      <w:r w:rsidRPr="00F25D02">
        <w:rPr>
          <w:rFonts w:ascii="Times New Roman"/>
          <w:bCs/>
          <w:kern w:val="22"/>
        </w:rPr>
        <w:t xml:space="preserve"> and th</w:t>
      </w:r>
      <w:r w:rsidR="00FD598A" w:rsidRPr="00F25D02">
        <w:rPr>
          <w:rFonts w:ascii="Times New Roman"/>
          <w:bCs/>
          <w:kern w:val="22"/>
        </w:rPr>
        <w:t xml:space="preserve">e use of </w:t>
      </w:r>
      <w:r w:rsidR="00BB7978" w:rsidRPr="00F25D02">
        <w:rPr>
          <w:rFonts w:ascii="Times New Roman"/>
          <w:bCs/>
          <w:kern w:val="22"/>
        </w:rPr>
        <w:t>digital sequence information</w:t>
      </w:r>
      <w:r w:rsidR="00FF14D1" w:rsidRPr="00F25D02">
        <w:rPr>
          <w:rFonts w:ascii="Times New Roman"/>
          <w:bCs/>
          <w:kern w:val="22"/>
        </w:rPr>
        <w:t xml:space="preserve"> as a</w:t>
      </w:r>
      <w:r w:rsidR="00FD598A" w:rsidRPr="00F25D02">
        <w:rPr>
          <w:rFonts w:ascii="Times New Roman"/>
          <w:bCs/>
          <w:kern w:val="22"/>
        </w:rPr>
        <w:t xml:space="preserve"> </w:t>
      </w:r>
      <w:r w:rsidR="00FF14D1" w:rsidRPr="00F25D02">
        <w:rPr>
          <w:rFonts w:ascii="Times New Roman"/>
          <w:bCs/>
          <w:kern w:val="22"/>
        </w:rPr>
        <w:t xml:space="preserve">placeholder </w:t>
      </w:r>
      <w:r w:rsidRPr="00F25D02">
        <w:rPr>
          <w:rFonts w:ascii="Times New Roman"/>
          <w:bCs/>
          <w:kern w:val="22"/>
        </w:rPr>
        <w:t xml:space="preserve">for a </w:t>
      </w:r>
      <w:r w:rsidR="00FF14D1" w:rsidRPr="00F25D02">
        <w:rPr>
          <w:rFonts w:ascii="Times New Roman"/>
          <w:bCs/>
          <w:kern w:val="22"/>
        </w:rPr>
        <w:t>term that enables a more fact and science</w:t>
      </w:r>
      <w:r w:rsidR="00E754A3" w:rsidRPr="00F25D02">
        <w:rPr>
          <w:rFonts w:ascii="Times New Roman"/>
          <w:bCs/>
          <w:kern w:val="22"/>
        </w:rPr>
        <w:t>-</w:t>
      </w:r>
      <w:r w:rsidR="00FF14D1" w:rsidRPr="00F25D02">
        <w:rPr>
          <w:rFonts w:ascii="Times New Roman"/>
          <w:bCs/>
          <w:kern w:val="22"/>
        </w:rPr>
        <w:t>based discussion</w:t>
      </w:r>
      <w:r w:rsidR="00697F52" w:rsidRPr="00F25D02">
        <w:rPr>
          <w:rStyle w:val="FootnoteReference"/>
          <w:rFonts w:ascii="Times New Roman"/>
          <w:bCs/>
          <w:kern w:val="22"/>
        </w:rPr>
        <w:footnoteReference w:id="36"/>
      </w:r>
      <w:r w:rsidR="00A810A0" w:rsidRPr="00F25D02">
        <w:rPr>
          <w:rFonts w:ascii="Times New Roman"/>
          <w:bCs/>
          <w:kern w:val="22"/>
        </w:rPr>
        <w:t>; and</w:t>
      </w:r>
    </w:p>
    <w:p w14:paraId="5369B849" w14:textId="440DA445" w:rsidR="00A810A0" w:rsidRPr="00F25D02" w:rsidRDefault="00121BB3" w:rsidP="00121BB3">
      <w:pPr>
        <w:pStyle w:val="ListParagraph"/>
        <w:numPr>
          <w:ilvl w:val="1"/>
          <w:numId w:val="2"/>
        </w:numPr>
        <w:tabs>
          <w:tab w:val="left" w:pos="1440"/>
        </w:tabs>
        <w:spacing w:before="120" w:after="120" w:line="240" w:lineRule="auto"/>
        <w:ind w:left="0" w:firstLine="720"/>
        <w:contextualSpacing w:val="0"/>
        <w:jc w:val="both"/>
        <w:rPr>
          <w:rFonts w:ascii="Times New Roman"/>
          <w:bCs/>
          <w:kern w:val="22"/>
        </w:rPr>
      </w:pPr>
      <w:r w:rsidRPr="00F25D02">
        <w:rPr>
          <w:rFonts w:ascii="Times New Roman"/>
          <w:bCs/>
          <w:kern w:val="22"/>
        </w:rPr>
        <w:t>T</w:t>
      </w:r>
      <w:r w:rsidR="00A810A0" w:rsidRPr="00F25D02">
        <w:rPr>
          <w:rFonts w:ascii="Times New Roman"/>
          <w:bCs/>
          <w:kern w:val="22"/>
        </w:rPr>
        <w:t xml:space="preserve">hat the term </w:t>
      </w:r>
      <w:r w:rsidR="00BB7978" w:rsidRPr="00F25D02">
        <w:rPr>
          <w:rFonts w:ascii="Times New Roman"/>
          <w:bCs/>
          <w:kern w:val="22"/>
        </w:rPr>
        <w:t>digital sequence information</w:t>
      </w:r>
      <w:r w:rsidR="00A810A0" w:rsidRPr="00F25D02">
        <w:rPr>
          <w:rFonts w:ascii="Times New Roman"/>
          <w:bCs/>
          <w:kern w:val="22"/>
        </w:rPr>
        <w:t xml:space="preserve"> apparently arose during the 2015 meeting of the CBD’s Synthetic Biology AHTEG (resulting from a combination of the phrase ‘digital sequences’ with ‘genetic sequence information’) and was intended to capture the notion of the speed at which large amounts of </w:t>
      </w:r>
      <w:r w:rsidR="00BB7978" w:rsidRPr="00F25D02">
        <w:rPr>
          <w:rFonts w:ascii="Times New Roman"/>
          <w:bCs/>
          <w:kern w:val="22"/>
        </w:rPr>
        <w:t>digital sequence information</w:t>
      </w:r>
      <w:r w:rsidR="00A810A0" w:rsidRPr="00F25D02">
        <w:rPr>
          <w:rFonts w:ascii="Times New Roman"/>
          <w:bCs/>
          <w:kern w:val="22"/>
        </w:rPr>
        <w:t xml:space="preserve"> may be transmitted globally.</w:t>
      </w:r>
      <w:r w:rsidR="00A810A0" w:rsidRPr="00F25D02">
        <w:rPr>
          <w:rStyle w:val="FootnoteReference"/>
          <w:rFonts w:ascii="Times New Roman"/>
          <w:bCs/>
          <w:kern w:val="22"/>
        </w:rPr>
        <w:footnoteReference w:id="37"/>
      </w:r>
      <w:r w:rsidR="00A810A0" w:rsidRPr="00F25D02">
        <w:rPr>
          <w:rFonts w:ascii="Times New Roman"/>
          <w:bCs/>
          <w:kern w:val="22"/>
        </w:rPr>
        <w:t xml:space="preserve"> </w:t>
      </w:r>
    </w:p>
    <w:p w14:paraId="32430F4A" w14:textId="04C53C5E" w:rsidR="0034162C" w:rsidRPr="00F25D02" w:rsidRDefault="0034162C" w:rsidP="0034162C">
      <w:pPr>
        <w:pStyle w:val="ListParagraph"/>
        <w:numPr>
          <w:ilvl w:val="0"/>
          <w:numId w:val="2"/>
        </w:numPr>
        <w:tabs>
          <w:tab w:val="left" w:pos="720"/>
          <w:tab w:val="left" w:pos="1170"/>
        </w:tabs>
        <w:spacing w:before="120" w:after="120" w:line="240" w:lineRule="auto"/>
        <w:ind w:left="0" w:firstLine="0"/>
        <w:contextualSpacing w:val="0"/>
        <w:jc w:val="both"/>
        <w:rPr>
          <w:rFonts w:ascii="Times New Roman"/>
          <w:bCs/>
          <w:kern w:val="22"/>
        </w:rPr>
      </w:pPr>
      <w:r w:rsidRPr="00F25D02">
        <w:rPr>
          <w:rFonts w:ascii="Times New Roman"/>
          <w:bCs/>
          <w:kern w:val="22"/>
        </w:rPr>
        <w:t xml:space="preserve">Several submissions explicitly considered the term </w:t>
      </w:r>
      <w:r w:rsidR="00BB7978" w:rsidRPr="00F25D02">
        <w:rPr>
          <w:rFonts w:ascii="Times New Roman"/>
          <w:bCs/>
          <w:kern w:val="22"/>
        </w:rPr>
        <w:t>digital sequence information</w:t>
      </w:r>
      <w:r w:rsidRPr="00F25D02">
        <w:rPr>
          <w:rFonts w:ascii="Times New Roman"/>
          <w:bCs/>
          <w:kern w:val="22"/>
        </w:rPr>
        <w:t xml:space="preserve"> to be inappropriate, ill-defined, ambiguous, </w:t>
      </w:r>
      <w:r w:rsidR="00C208FD" w:rsidRPr="00F25D02">
        <w:rPr>
          <w:rFonts w:ascii="Times New Roman"/>
          <w:bCs/>
          <w:kern w:val="22"/>
        </w:rPr>
        <w:t xml:space="preserve">imprecise, </w:t>
      </w:r>
      <w:r w:rsidRPr="00F25D02">
        <w:rPr>
          <w:rFonts w:ascii="Times New Roman"/>
          <w:bCs/>
          <w:kern w:val="22"/>
        </w:rPr>
        <w:t>lacking clarity, consensus or being otherwise problematic.</w:t>
      </w:r>
      <w:r w:rsidRPr="00F25D02">
        <w:rPr>
          <w:rStyle w:val="FootnoteReference"/>
          <w:rFonts w:ascii="Times New Roman"/>
          <w:bCs/>
          <w:kern w:val="22"/>
        </w:rPr>
        <w:footnoteReference w:id="38"/>
      </w:r>
      <w:r w:rsidRPr="00F25D02">
        <w:rPr>
          <w:rFonts w:ascii="Times New Roman"/>
          <w:bCs/>
          <w:kern w:val="22"/>
        </w:rPr>
        <w:t xml:space="preserve"> Comments exemplifying this sentiment include:</w:t>
      </w:r>
    </w:p>
    <w:p w14:paraId="51AE6A3D" w14:textId="2AAA7455" w:rsidR="0034162C" w:rsidRPr="00F25D02" w:rsidRDefault="00BB7978" w:rsidP="00121BB3">
      <w:pPr>
        <w:pStyle w:val="ListParagraph"/>
        <w:numPr>
          <w:ilvl w:val="1"/>
          <w:numId w:val="2"/>
        </w:numPr>
        <w:tabs>
          <w:tab w:val="left" w:pos="1440"/>
        </w:tabs>
        <w:spacing w:before="120" w:after="120" w:line="240" w:lineRule="auto"/>
        <w:ind w:left="0" w:firstLine="720"/>
        <w:contextualSpacing w:val="0"/>
        <w:jc w:val="both"/>
        <w:rPr>
          <w:rFonts w:ascii="Times New Roman"/>
          <w:bCs/>
          <w:kern w:val="22"/>
        </w:rPr>
      </w:pPr>
      <w:r w:rsidRPr="00F25D02">
        <w:rPr>
          <w:rFonts w:ascii="Times New Roman"/>
          <w:bCs/>
          <w:kern w:val="22"/>
        </w:rPr>
        <w:t>Digital sequence information</w:t>
      </w:r>
      <w:r w:rsidR="0034162C" w:rsidRPr="00F25D02">
        <w:rPr>
          <w:rFonts w:ascii="Times New Roman"/>
          <w:bCs/>
          <w:kern w:val="22"/>
        </w:rPr>
        <w:t xml:space="preserve"> is too ill-defined, general/broad to be operationally meaningful as it can have a variety of interpretations under different contexts;</w:t>
      </w:r>
      <w:r w:rsidR="0034162C" w:rsidRPr="00F25D02">
        <w:rPr>
          <w:rStyle w:val="FootnoteReference"/>
          <w:rFonts w:ascii="Times New Roman"/>
          <w:bCs/>
          <w:kern w:val="22"/>
        </w:rPr>
        <w:footnoteReference w:id="39"/>
      </w:r>
      <w:r w:rsidR="0034162C" w:rsidRPr="00F25D02">
        <w:rPr>
          <w:rFonts w:ascii="Times New Roman"/>
          <w:bCs/>
          <w:kern w:val="22"/>
        </w:rPr>
        <w:t xml:space="preserve"> </w:t>
      </w:r>
    </w:p>
    <w:p w14:paraId="2B2E96A1" w14:textId="55AE695B" w:rsidR="0034162C" w:rsidRPr="00F25D02" w:rsidRDefault="00BB7978" w:rsidP="00121BB3">
      <w:pPr>
        <w:pStyle w:val="ListParagraph"/>
        <w:numPr>
          <w:ilvl w:val="1"/>
          <w:numId w:val="2"/>
        </w:numPr>
        <w:tabs>
          <w:tab w:val="left" w:pos="1440"/>
        </w:tabs>
        <w:spacing w:before="120" w:after="120" w:line="240" w:lineRule="auto"/>
        <w:ind w:left="0" w:firstLine="720"/>
        <w:contextualSpacing w:val="0"/>
        <w:jc w:val="both"/>
        <w:rPr>
          <w:rFonts w:ascii="Times New Roman"/>
          <w:bCs/>
          <w:kern w:val="22"/>
        </w:rPr>
      </w:pPr>
      <w:r w:rsidRPr="00F25D02">
        <w:rPr>
          <w:rFonts w:ascii="Times New Roman"/>
          <w:bCs/>
          <w:kern w:val="22"/>
        </w:rPr>
        <w:t>D</w:t>
      </w:r>
      <w:r w:rsidR="0034162C" w:rsidRPr="00F25D02">
        <w:rPr>
          <w:rFonts w:ascii="Times New Roman"/>
          <w:bCs/>
          <w:kern w:val="22"/>
        </w:rPr>
        <w:t xml:space="preserve">iscussions on </w:t>
      </w:r>
      <w:r w:rsidRPr="00F25D02">
        <w:rPr>
          <w:rFonts w:ascii="Times New Roman"/>
          <w:bCs/>
          <w:kern w:val="22"/>
        </w:rPr>
        <w:t>digital sequence information</w:t>
      </w:r>
      <w:r w:rsidR="0034162C" w:rsidRPr="00F25D02">
        <w:rPr>
          <w:rFonts w:ascii="Times New Roman"/>
          <w:bCs/>
          <w:kern w:val="22"/>
        </w:rPr>
        <w:t xml:space="preserve"> are challenging due to lack of consensus or definition as to what constitutes </w:t>
      </w:r>
      <w:r w:rsidRPr="00F25D02">
        <w:rPr>
          <w:rFonts w:ascii="Times New Roman"/>
          <w:bCs/>
          <w:kern w:val="22"/>
        </w:rPr>
        <w:t>digital sequence information</w:t>
      </w:r>
      <w:r w:rsidR="0034162C" w:rsidRPr="00F25D02">
        <w:rPr>
          <w:rFonts w:ascii="Times New Roman"/>
          <w:bCs/>
          <w:kern w:val="22"/>
        </w:rPr>
        <w:t>;</w:t>
      </w:r>
      <w:r w:rsidR="0034162C" w:rsidRPr="00F25D02">
        <w:rPr>
          <w:rStyle w:val="FootnoteReference"/>
          <w:rFonts w:ascii="Times New Roman"/>
          <w:bCs/>
          <w:kern w:val="22"/>
        </w:rPr>
        <w:footnoteReference w:id="40"/>
      </w:r>
      <w:r w:rsidR="0034162C" w:rsidRPr="00F25D02">
        <w:rPr>
          <w:rFonts w:ascii="Times New Roman"/>
          <w:bCs/>
          <w:kern w:val="22"/>
        </w:rPr>
        <w:t xml:space="preserve"> and</w:t>
      </w:r>
    </w:p>
    <w:p w14:paraId="35556A9E" w14:textId="45AE2391" w:rsidR="0034162C" w:rsidRPr="00F25D02" w:rsidRDefault="00BB7978" w:rsidP="00121BB3">
      <w:pPr>
        <w:pStyle w:val="ListParagraph"/>
        <w:numPr>
          <w:ilvl w:val="1"/>
          <w:numId w:val="2"/>
        </w:numPr>
        <w:tabs>
          <w:tab w:val="left" w:pos="1440"/>
        </w:tabs>
        <w:spacing w:before="120" w:after="120" w:line="240" w:lineRule="auto"/>
        <w:ind w:left="0" w:firstLine="720"/>
        <w:contextualSpacing w:val="0"/>
        <w:jc w:val="both"/>
        <w:rPr>
          <w:rFonts w:ascii="Times New Roman"/>
          <w:bCs/>
          <w:kern w:val="22"/>
        </w:rPr>
      </w:pPr>
      <w:r w:rsidRPr="00F25D02">
        <w:rPr>
          <w:rFonts w:ascii="Times New Roman"/>
          <w:bCs/>
          <w:kern w:val="22"/>
        </w:rPr>
        <w:t xml:space="preserve">Digital sequence information </w:t>
      </w:r>
      <w:r w:rsidR="0034162C" w:rsidRPr="00F25D02">
        <w:rPr>
          <w:rFonts w:ascii="Times New Roman"/>
          <w:bCs/>
          <w:kern w:val="22"/>
        </w:rPr>
        <w:t xml:space="preserve">is not an appropriate term to capture </w:t>
      </w:r>
      <w:proofErr w:type="gramStart"/>
      <w:r w:rsidR="0034162C" w:rsidRPr="00F25D02">
        <w:rPr>
          <w:rFonts w:ascii="Times New Roman"/>
          <w:bCs/>
          <w:kern w:val="22"/>
        </w:rPr>
        <w:t>all of</w:t>
      </w:r>
      <w:proofErr w:type="gramEnd"/>
      <w:r w:rsidR="0034162C" w:rsidRPr="00F25D02">
        <w:rPr>
          <w:rFonts w:ascii="Times New Roman"/>
          <w:bCs/>
          <w:kern w:val="22"/>
        </w:rPr>
        <w:t xml:space="preserve"> the different types of information concerning genetic resources that may constitute </w:t>
      </w:r>
      <w:r w:rsidRPr="00F25D02">
        <w:rPr>
          <w:rFonts w:ascii="Times New Roman"/>
          <w:bCs/>
          <w:kern w:val="22"/>
        </w:rPr>
        <w:t>digital sequence information</w:t>
      </w:r>
      <w:r w:rsidR="0034162C" w:rsidRPr="00F25D02">
        <w:rPr>
          <w:rFonts w:ascii="Times New Roman"/>
          <w:bCs/>
          <w:kern w:val="22"/>
        </w:rPr>
        <w:t>.</w:t>
      </w:r>
      <w:r w:rsidR="0034162C" w:rsidRPr="00F25D02">
        <w:rPr>
          <w:rStyle w:val="FootnoteReference"/>
          <w:rFonts w:ascii="Times New Roman"/>
          <w:bCs/>
          <w:kern w:val="22"/>
        </w:rPr>
        <w:footnoteReference w:id="41"/>
      </w:r>
      <w:r w:rsidR="0034162C" w:rsidRPr="00F25D02">
        <w:rPr>
          <w:rFonts w:ascii="Times New Roman"/>
          <w:bCs/>
          <w:kern w:val="22"/>
        </w:rPr>
        <w:t xml:space="preserve"> </w:t>
      </w:r>
    </w:p>
    <w:p w14:paraId="32F093C9" w14:textId="51F320AB" w:rsidR="000A4BA8" w:rsidRPr="00F25D02" w:rsidRDefault="003370CB" w:rsidP="00086139">
      <w:pPr>
        <w:pStyle w:val="Heading3"/>
        <w:numPr>
          <w:ilvl w:val="0"/>
          <w:numId w:val="9"/>
        </w:numPr>
        <w:ind w:left="720"/>
        <w:rPr>
          <w:kern w:val="22"/>
        </w:rPr>
      </w:pPr>
      <w:r w:rsidRPr="00F25D02">
        <w:rPr>
          <w:kern w:val="22"/>
        </w:rPr>
        <w:t>Evaluation</w:t>
      </w:r>
      <w:r w:rsidR="000A4BA8" w:rsidRPr="00F25D02">
        <w:rPr>
          <w:kern w:val="22"/>
        </w:rPr>
        <w:t xml:space="preserve"> of the constituent terms ‘digital’, ‘sequence’ and ‘information’ </w:t>
      </w:r>
    </w:p>
    <w:p w14:paraId="5F2C5B5F" w14:textId="7C5E0B6E" w:rsidR="0034162C" w:rsidRPr="00F25D02" w:rsidRDefault="007F27FE" w:rsidP="00045B57">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Several submissions </w:t>
      </w:r>
      <w:r w:rsidR="003370CB" w:rsidRPr="00F25D02">
        <w:rPr>
          <w:rFonts w:ascii="Times New Roman"/>
          <w:kern w:val="22"/>
        </w:rPr>
        <w:t xml:space="preserve">evaluated </w:t>
      </w:r>
      <w:r w:rsidR="0034162C" w:rsidRPr="00F25D02">
        <w:rPr>
          <w:rFonts w:ascii="Times New Roman"/>
          <w:kern w:val="22"/>
        </w:rPr>
        <w:t>the</w:t>
      </w:r>
      <w:r w:rsidRPr="00F25D02">
        <w:rPr>
          <w:rFonts w:ascii="Times New Roman"/>
          <w:kern w:val="22"/>
        </w:rPr>
        <w:t xml:space="preserve"> constituent</w:t>
      </w:r>
      <w:r w:rsidR="0034162C" w:rsidRPr="00F25D02">
        <w:rPr>
          <w:rFonts w:ascii="Times New Roman"/>
          <w:kern w:val="22"/>
        </w:rPr>
        <w:t xml:space="preserve"> term ‘digital’ </w:t>
      </w:r>
      <w:r w:rsidRPr="00F25D02">
        <w:rPr>
          <w:rFonts w:ascii="Times New Roman"/>
          <w:kern w:val="22"/>
        </w:rPr>
        <w:t xml:space="preserve">and </w:t>
      </w:r>
      <w:r w:rsidR="0034162C" w:rsidRPr="00F25D02">
        <w:rPr>
          <w:rFonts w:ascii="Times New Roman"/>
          <w:kern w:val="22"/>
        </w:rPr>
        <w:t>all concluded this component of the term ‘</w:t>
      </w:r>
      <w:r w:rsidR="00BB7978" w:rsidRPr="00F25D02">
        <w:rPr>
          <w:rFonts w:ascii="Times New Roman"/>
          <w:kern w:val="22"/>
        </w:rPr>
        <w:t>digital sequence information</w:t>
      </w:r>
      <w:r w:rsidR="0034162C" w:rsidRPr="00F25D02">
        <w:rPr>
          <w:rFonts w:ascii="Times New Roman"/>
          <w:kern w:val="22"/>
        </w:rPr>
        <w:t>’ is unnecessary, inappropriate or redundant.</w:t>
      </w:r>
      <w:r w:rsidR="0034162C" w:rsidRPr="00F25D02">
        <w:rPr>
          <w:rStyle w:val="FootnoteReference"/>
          <w:rFonts w:ascii="Times New Roman"/>
          <w:kern w:val="22"/>
        </w:rPr>
        <w:footnoteReference w:id="42"/>
      </w:r>
      <w:r w:rsidR="0034162C" w:rsidRPr="00F25D02">
        <w:rPr>
          <w:rFonts w:ascii="Times New Roman"/>
          <w:kern w:val="22"/>
        </w:rPr>
        <w:t xml:space="preserve"> The fact that a genetic sequence can be conveyed through a digital medium, such as computer database or online, serves to highlight the speed and ease with which new technological developments facilitate cross-border transfer of sequence information</w:t>
      </w:r>
      <w:r w:rsidR="0034162C" w:rsidRPr="00F25D02">
        <w:rPr>
          <w:rStyle w:val="FootnoteReference"/>
          <w:rFonts w:ascii="Times New Roman"/>
          <w:kern w:val="22"/>
        </w:rPr>
        <w:footnoteReference w:id="43"/>
      </w:r>
      <w:r w:rsidR="0034162C" w:rsidRPr="00F25D02">
        <w:rPr>
          <w:rFonts w:ascii="Times New Roman"/>
          <w:kern w:val="22"/>
        </w:rPr>
        <w:t>, but this does not  refer to any characteristic of the sequence itself.</w:t>
      </w:r>
      <w:r w:rsidR="0034162C" w:rsidRPr="00F25D02">
        <w:rPr>
          <w:rStyle w:val="FootnoteReference"/>
          <w:rFonts w:ascii="Times New Roman"/>
          <w:kern w:val="22"/>
        </w:rPr>
        <w:footnoteReference w:id="44"/>
      </w:r>
      <w:r w:rsidR="0034162C" w:rsidRPr="00F25D02">
        <w:rPr>
          <w:rFonts w:ascii="Times New Roman"/>
          <w:kern w:val="22"/>
        </w:rPr>
        <w:t xml:space="preserve"> The term unnecessarily excludes non-digital mediums (e.g. paper) in which genetic information may be stored and transferred and is unsuited to accommodate technological advances that facilitate transfer of information (e.g. quantum computing).</w:t>
      </w:r>
      <w:r w:rsidR="0034162C" w:rsidRPr="00F25D02">
        <w:rPr>
          <w:rStyle w:val="FootnoteReference"/>
          <w:rFonts w:ascii="Times New Roman"/>
          <w:kern w:val="22"/>
        </w:rPr>
        <w:footnoteReference w:id="45"/>
      </w:r>
      <w:r w:rsidR="0034162C" w:rsidRPr="00F25D02">
        <w:rPr>
          <w:rFonts w:ascii="Times New Roman"/>
          <w:kern w:val="22"/>
        </w:rPr>
        <w:t xml:space="preserve"> It was also noted also that scientists do not use term ‘digital’ when referring to ‘sequence’ in a biological context.</w:t>
      </w:r>
      <w:r w:rsidR="0034162C" w:rsidRPr="00F25D02">
        <w:rPr>
          <w:rStyle w:val="FootnoteReference"/>
          <w:rFonts w:ascii="Times New Roman"/>
          <w:kern w:val="22"/>
        </w:rPr>
        <w:footnoteReference w:id="46"/>
      </w:r>
    </w:p>
    <w:p w14:paraId="793D72D6" w14:textId="7F86D8C2" w:rsidR="0034162C" w:rsidRPr="00F25D02" w:rsidRDefault="0034162C" w:rsidP="00045B57">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lastRenderedPageBreak/>
        <w:t xml:space="preserve">Several of submissions </w:t>
      </w:r>
      <w:r w:rsidR="007F27FE" w:rsidRPr="00F25D02">
        <w:rPr>
          <w:rFonts w:ascii="Times New Roman"/>
          <w:kern w:val="22"/>
        </w:rPr>
        <w:t>evaluated</w:t>
      </w:r>
      <w:r w:rsidRPr="00F25D02">
        <w:rPr>
          <w:rFonts w:ascii="Times New Roman"/>
          <w:kern w:val="22"/>
        </w:rPr>
        <w:t xml:space="preserve"> the</w:t>
      </w:r>
      <w:r w:rsidR="007F27FE" w:rsidRPr="00F25D02">
        <w:rPr>
          <w:rFonts w:ascii="Times New Roman"/>
          <w:kern w:val="22"/>
        </w:rPr>
        <w:t xml:space="preserve"> constituent</w:t>
      </w:r>
      <w:r w:rsidRPr="00F25D02">
        <w:rPr>
          <w:rFonts w:ascii="Times New Roman"/>
          <w:kern w:val="22"/>
        </w:rPr>
        <w:t xml:space="preserve"> term ‘sequence’ and support for this component of the term ‘</w:t>
      </w:r>
      <w:r w:rsidR="00BB7978" w:rsidRPr="00F25D02">
        <w:rPr>
          <w:rFonts w:ascii="Times New Roman"/>
          <w:kern w:val="22"/>
        </w:rPr>
        <w:t>digital sequence information</w:t>
      </w:r>
      <w:r w:rsidRPr="00F25D02">
        <w:rPr>
          <w:rFonts w:ascii="Times New Roman"/>
          <w:kern w:val="22"/>
        </w:rPr>
        <w:t xml:space="preserve">’ varied according to views on the appropriate scope of subject matter for </w:t>
      </w:r>
      <w:r w:rsidR="00BB7978" w:rsidRPr="00F25D02">
        <w:rPr>
          <w:rFonts w:ascii="Times New Roman"/>
          <w:kern w:val="22"/>
        </w:rPr>
        <w:t>digital sequence information</w:t>
      </w:r>
      <w:r w:rsidRPr="00F25D02">
        <w:rPr>
          <w:rFonts w:ascii="Times New Roman"/>
          <w:kern w:val="22"/>
        </w:rPr>
        <w:t xml:space="preserve">. For example, two submissions indicated this component is central to the concept of </w:t>
      </w:r>
      <w:r w:rsidR="00BB7978" w:rsidRPr="00F25D02">
        <w:rPr>
          <w:rFonts w:ascii="Times New Roman"/>
          <w:kern w:val="22"/>
        </w:rPr>
        <w:t>digital sequence information</w:t>
      </w:r>
      <w:r w:rsidRPr="00F25D02">
        <w:rPr>
          <w:rFonts w:ascii="Times New Roman"/>
          <w:kern w:val="22"/>
        </w:rPr>
        <w:t>, including for the purpose of limiting the scope of subject matter to the sequential order of nucleotides,</w:t>
      </w:r>
      <w:r w:rsidRPr="00F25D02">
        <w:rPr>
          <w:rStyle w:val="FootnoteReference"/>
          <w:rFonts w:ascii="Times New Roman"/>
          <w:kern w:val="22"/>
        </w:rPr>
        <w:footnoteReference w:id="47"/>
      </w:r>
      <w:r w:rsidRPr="00F25D02">
        <w:rPr>
          <w:rFonts w:ascii="Times New Roman"/>
          <w:kern w:val="22"/>
        </w:rPr>
        <w:t xml:space="preserve"> and one of these considered a further term or descriptor is needed to distinguish between biomolecular sequences and other types of sequences (e.g. mathematical or sequence of events).</w:t>
      </w:r>
      <w:r w:rsidRPr="00F25D02">
        <w:rPr>
          <w:rStyle w:val="FootnoteReference"/>
          <w:rFonts w:ascii="Times New Roman"/>
          <w:kern w:val="22"/>
        </w:rPr>
        <w:footnoteReference w:id="48"/>
      </w:r>
      <w:r w:rsidRPr="00F25D02">
        <w:rPr>
          <w:rFonts w:ascii="Times New Roman"/>
          <w:kern w:val="22"/>
        </w:rPr>
        <w:t xml:space="preserve"> Conversely, a submission considered the term ‘sequence’ to be unduly restrictive as it does not accommodate other types of information that may be contained in biomolecules.</w:t>
      </w:r>
      <w:r w:rsidRPr="00F25D02">
        <w:rPr>
          <w:rStyle w:val="FootnoteReference"/>
          <w:rFonts w:ascii="Times New Roman"/>
          <w:kern w:val="22"/>
        </w:rPr>
        <w:footnoteReference w:id="49"/>
      </w:r>
    </w:p>
    <w:p w14:paraId="3C780F27" w14:textId="35AA133A" w:rsidR="0034162C" w:rsidRPr="00F25D02" w:rsidRDefault="0034162C" w:rsidP="00BE3CA6">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Several of submissions </w:t>
      </w:r>
      <w:r w:rsidR="007F27FE" w:rsidRPr="00F25D02">
        <w:rPr>
          <w:rFonts w:ascii="Times New Roman"/>
          <w:kern w:val="22"/>
        </w:rPr>
        <w:t>evaluated</w:t>
      </w:r>
      <w:r w:rsidRPr="00F25D02">
        <w:rPr>
          <w:rFonts w:ascii="Times New Roman"/>
          <w:kern w:val="22"/>
        </w:rPr>
        <w:t xml:space="preserve"> the </w:t>
      </w:r>
      <w:r w:rsidR="007F27FE" w:rsidRPr="00F25D02">
        <w:rPr>
          <w:rFonts w:ascii="Times New Roman"/>
          <w:kern w:val="22"/>
        </w:rPr>
        <w:t xml:space="preserve">constituent </w:t>
      </w:r>
      <w:r w:rsidRPr="00F25D02">
        <w:rPr>
          <w:rFonts w:ascii="Times New Roman"/>
          <w:kern w:val="22"/>
        </w:rPr>
        <w:t>term ‘information’ and a broad range of views were expressed regarding its adequacy to describe the concept of ‘</w:t>
      </w:r>
      <w:r w:rsidR="00BB7978" w:rsidRPr="00F25D02">
        <w:rPr>
          <w:rFonts w:ascii="Times New Roman"/>
          <w:kern w:val="22"/>
        </w:rPr>
        <w:t>digital sequence information</w:t>
      </w:r>
      <w:r w:rsidRPr="00F25D02">
        <w:rPr>
          <w:rFonts w:ascii="Times New Roman"/>
          <w:kern w:val="22"/>
        </w:rPr>
        <w:t>’ and whether it should be retained in the term to ultimately replace ‘</w:t>
      </w:r>
      <w:r w:rsidR="00BB7978" w:rsidRPr="00F25D02">
        <w:rPr>
          <w:rFonts w:ascii="Times New Roman"/>
          <w:kern w:val="22"/>
        </w:rPr>
        <w:t>digital sequence information</w:t>
      </w:r>
      <w:r w:rsidRPr="00F25D02">
        <w:rPr>
          <w:rFonts w:ascii="Times New Roman"/>
          <w:kern w:val="22"/>
        </w:rPr>
        <w:t>’.</w:t>
      </w:r>
      <w:r w:rsidRPr="00F25D02">
        <w:rPr>
          <w:rStyle w:val="FootnoteReference"/>
          <w:rFonts w:ascii="Times New Roman"/>
          <w:kern w:val="22"/>
        </w:rPr>
        <w:footnoteReference w:id="50"/>
      </w:r>
      <w:r w:rsidRPr="00F25D02">
        <w:rPr>
          <w:rFonts w:ascii="Times New Roman"/>
          <w:kern w:val="22"/>
        </w:rPr>
        <w:t xml:space="preserve"> S</w:t>
      </w:r>
      <w:r w:rsidR="007F27FE" w:rsidRPr="00F25D02">
        <w:rPr>
          <w:rFonts w:ascii="Times New Roman"/>
          <w:kern w:val="22"/>
        </w:rPr>
        <w:t xml:space="preserve">ome </w:t>
      </w:r>
      <w:r w:rsidRPr="00F25D02">
        <w:rPr>
          <w:rFonts w:ascii="Times New Roman"/>
          <w:kern w:val="22"/>
        </w:rPr>
        <w:t>considered this component to be inappropriate or undesirable on the basis that it is too general</w:t>
      </w:r>
      <w:r w:rsidR="00D22DEE" w:rsidRPr="00F25D02">
        <w:rPr>
          <w:rFonts w:ascii="Times New Roman"/>
          <w:kern w:val="22"/>
        </w:rPr>
        <w:t xml:space="preserve"> and open to interpretation</w:t>
      </w:r>
      <w:r w:rsidR="008B2AEC" w:rsidRPr="00F25D02">
        <w:rPr>
          <w:rFonts w:ascii="Times New Roman"/>
          <w:kern w:val="22"/>
        </w:rPr>
        <w:t>.</w:t>
      </w:r>
      <w:r w:rsidRPr="00F25D02">
        <w:rPr>
          <w:rStyle w:val="FootnoteReference"/>
          <w:rFonts w:ascii="Times New Roman"/>
          <w:kern w:val="22"/>
        </w:rPr>
        <w:footnoteReference w:id="51"/>
      </w:r>
      <w:r w:rsidRPr="00F25D02">
        <w:rPr>
          <w:rFonts w:ascii="Times New Roman"/>
          <w:kern w:val="22"/>
        </w:rPr>
        <w:t xml:space="preserve"> </w:t>
      </w:r>
      <w:r w:rsidR="007F27FE" w:rsidRPr="00F25D02">
        <w:rPr>
          <w:rFonts w:ascii="Times New Roman"/>
          <w:kern w:val="22"/>
        </w:rPr>
        <w:t>Others</w:t>
      </w:r>
      <w:r w:rsidRPr="00F25D02">
        <w:rPr>
          <w:rFonts w:ascii="Times New Roman"/>
          <w:kern w:val="22"/>
        </w:rPr>
        <w:t xml:space="preserve"> highlighted the need to distinguish ‘information’ (which is generally achieved after data analysis or dependent on data processing), from ‘data’ (which is intrinsic and can be observed in naturally occurring states)</w:t>
      </w:r>
      <w:r w:rsidRPr="00F25D02">
        <w:rPr>
          <w:rStyle w:val="FootnoteReference"/>
          <w:rFonts w:ascii="Times New Roman"/>
          <w:kern w:val="22"/>
        </w:rPr>
        <w:footnoteReference w:id="52"/>
      </w:r>
      <w:r w:rsidRPr="00F25D02">
        <w:rPr>
          <w:rFonts w:ascii="Times New Roman"/>
          <w:kern w:val="22"/>
        </w:rPr>
        <w:t xml:space="preserve"> and some of these expressed an explicit preference for the term ‘data’ as </w:t>
      </w:r>
      <w:r w:rsidR="007F27FE" w:rsidRPr="00F25D02">
        <w:rPr>
          <w:rFonts w:ascii="Times New Roman"/>
          <w:kern w:val="22"/>
        </w:rPr>
        <w:t>a</w:t>
      </w:r>
      <w:r w:rsidRPr="00F25D02">
        <w:rPr>
          <w:rFonts w:ascii="Times New Roman"/>
          <w:kern w:val="22"/>
        </w:rPr>
        <w:t xml:space="preserve"> genetic resource has no intrinsic ‘information’ when accessed.</w:t>
      </w:r>
      <w:r w:rsidRPr="00F25D02">
        <w:rPr>
          <w:rStyle w:val="FootnoteReference"/>
          <w:rFonts w:ascii="Times New Roman"/>
          <w:kern w:val="22"/>
        </w:rPr>
        <w:footnoteReference w:id="53"/>
      </w:r>
      <w:r w:rsidRPr="00F25D02">
        <w:rPr>
          <w:rFonts w:ascii="Times New Roman"/>
          <w:kern w:val="22"/>
        </w:rPr>
        <w:t xml:space="preserve"> Additionally, submissions cautioned that information arises as the result of research on a genetic resource and may be subject to intellectual property rights (IPRs), thus it should be excluded from the term to replace </w:t>
      </w:r>
      <w:r w:rsidR="00BB7978" w:rsidRPr="00F25D02">
        <w:rPr>
          <w:rFonts w:ascii="Times New Roman"/>
          <w:kern w:val="22"/>
        </w:rPr>
        <w:t>digital sequence information</w:t>
      </w:r>
      <w:r w:rsidRPr="00F25D02">
        <w:rPr>
          <w:rFonts w:ascii="Times New Roman"/>
          <w:kern w:val="22"/>
        </w:rPr>
        <w:t xml:space="preserve"> as the inclusion of IPRs would be beyond the scope of a country’s sovereign rights regarding genetic resources.</w:t>
      </w:r>
      <w:r w:rsidRPr="00F25D02">
        <w:rPr>
          <w:rStyle w:val="FootnoteReference"/>
          <w:rFonts w:ascii="Times New Roman"/>
          <w:kern w:val="22"/>
        </w:rPr>
        <w:footnoteReference w:id="54"/>
      </w:r>
    </w:p>
    <w:p w14:paraId="4633359C" w14:textId="5DDC48DB" w:rsidR="007F27FE" w:rsidRPr="00F25D02" w:rsidRDefault="00BB7978" w:rsidP="00086139">
      <w:pPr>
        <w:pStyle w:val="Heading3"/>
        <w:numPr>
          <w:ilvl w:val="0"/>
          <w:numId w:val="9"/>
        </w:numPr>
        <w:ind w:left="720"/>
        <w:rPr>
          <w:kern w:val="22"/>
        </w:rPr>
      </w:pPr>
      <w:r w:rsidRPr="00F25D02">
        <w:rPr>
          <w:kern w:val="22"/>
        </w:rPr>
        <w:t>Digital sequence information</w:t>
      </w:r>
      <w:r w:rsidR="007F27FE" w:rsidRPr="00F25D02">
        <w:rPr>
          <w:kern w:val="22"/>
        </w:rPr>
        <w:t xml:space="preserve"> terminology in other </w:t>
      </w:r>
      <w:r w:rsidR="00045B57" w:rsidRPr="00F25D02">
        <w:rPr>
          <w:kern w:val="22"/>
        </w:rPr>
        <w:t xml:space="preserve">international </w:t>
      </w:r>
      <w:r w:rsidR="007F27FE" w:rsidRPr="00F25D02">
        <w:rPr>
          <w:kern w:val="22"/>
        </w:rPr>
        <w:t xml:space="preserve">fora </w:t>
      </w:r>
    </w:p>
    <w:p w14:paraId="2FFB6EC5" w14:textId="58B0725C" w:rsidR="00FF14D1" w:rsidRPr="00F25D02" w:rsidRDefault="00CE1F65"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Several</w:t>
      </w:r>
      <w:r w:rsidR="00FF14D1" w:rsidRPr="00F25D02">
        <w:rPr>
          <w:rFonts w:ascii="Times New Roman"/>
          <w:kern w:val="22"/>
        </w:rPr>
        <w:t xml:space="preserve"> submissions noted comparable assessments </w:t>
      </w:r>
      <w:r w:rsidR="00A810A0" w:rsidRPr="00F25D02">
        <w:rPr>
          <w:rFonts w:ascii="Times New Roman"/>
          <w:kern w:val="22"/>
        </w:rPr>
        <w:t>regarding</w:t>
      </w:r>
      <w:r w:rsidR="00FF14D1" w:rsidRPr="00F25D02">
        <w:rPr>
          <w:rFonts w:ascii="Times New Roman"/>
          <w:kern w:val="22"/>
        </w:rPr>
        <w:t xml:space="preserve"> terminology</w:t>
      </w:r>
      <w:r w:rsidR="00A810A0" w:rsidRPr="00F25D02">
        <w:rPr>
          <w:rFonts w:ascii="Times New Roman"/>
          <w:kern w:val="22"/>
        </w:rPr>
        <w:t xml:space="preserve">, </w:t>
      </w:r>
      <w:r w:rsidR="00FF14D1" w:rsidRPr="00F25D02">
        <w:rPr>
          <w:rFonts w:ascii="Times New Roman"/>
          <w:kern w:val="22"/>
        </w:rPr>
        <w:t xml:space="preserve">scope </w:t>
      </w:r>
      <w:r w:rsidR="00A810A0" w:rsidRPr="00F25D02">
        <w:rPr>
          <w:rFonts w:ascii="Times New Roman"/>
          <w:kern w:val="22"/>
        </w:rPr>
        <w:t xml:space="preserve">and </w:t>
      </w:r>
      <w:r w:rsidR="0021054C" w:rsidRPr="00F25D02">
        <w:rPr>
          <w:rFonts w:ascii="Times New Roman"/>
          <w:kern w:val="22"/>
        </w:rPr>
        <w:t>access and benefit-sharing (</w:t>
      </w:r>
      <w:r w:rsidR="00C242FA" w:rsidRPr="00F25D02">
        <w:rPr>
          <w:rFonts w:ascii="Times New Roman"/>
          <w:kern w:val="22"/>
        </w:rPr>
        <w:t>ABS</w:t>
      </w:r>
      <w:r w:rsidR="0021054C" w:rsidRPr="00F25D02">
        <w:rPr>
          <w:rFonts w:ascii="Times New Roman"/>
          <w:kern w:val="22"/>
        </w:rPr>
        <w:t>)</w:t>
      </w:r>
      <w:r w:rsidR="00C242FA" w:rsidRPr="00F25D02">
        <w:rPr>
          <w:rFonts w:ascii="Times New Roman"/>
          <w:kern w:val="22"/>
        </w:rPr>
        <w:t xml:space="preserve"> </w:t>
      </w:r>
      <w:r w:rsidR="00A810A0" w:rsidRPr="00F25D02">
        <w:rPr>
          <w:rFonts w:ascii="Times New Roman"/>
          <w:kern w:val="22"/>
        </w:rPr>
        <w:t>policy implications concerning ‘</w:t>
      </w:r>
      <w:r w:rsidR="00BB7978" w:rsidRPr="00F25D02">
        <w:rPr>
          <w:rFonts w:ascii="Times New Roman"/>
          <w:kern w:val="22"/>
        </w:rPr>
        <w:t>digital sequence information</w:t>
      </w:r>
      <w:r w:rsidR="00A810A0" w:rsidRPr="00F25D02">
        <w:rPr>
          <w:rFonts w:ascii="Times New Roman"/>
          <w:kern w:val="22"/>
        </w:rPr>
        <w:t xml:space="preserve">’ (howsoever called) which </w:t>
      </w:r>
      <w:r w:rsidR="00FF14D1" w:rsidRPr="00F25D02">
        <w:rPr>
          <w:rFonts w:ascii="Times New Roman"/>
          <w:kern w:val="22"/>
        </w:rPr>
        <w:t xml:space="preserve">are being undertaken in other international </w:t>
      </w:r>
      <w:r w:rsidR="00C242FA" w:rsidRPr="00F25D02">
        <w:rPr>
          <w:rFonts w:ascii="Times New Roman"/>
          <w:kern w:val="22"/>
        </w:rPr>
        <w:t>fora.</w:t>
      </w:r>
      <w:r w:rsidR="009349D3" w:rsidRPr="00F25D02">
        <w:rPr>
          <w:rStyle w:val="FootnoteReference"/>
          <w:rFonts w:ascii="Times New Roman"/>
          <w:kern w:val="22"/>
        </w:rPr>
        <w:footnoteReference w:id="55"/>
      </w:r>
      <w:r w:rsidR="00FF14D1" w:rsidRPr="00F25D02">
        <w:rPr>
          <w:rFonts w:ascii="Times New Roman"/>
          <w:kern w:val="22"/>
        </w:rPr>
        <w:t xml:space="preserve"> </w:t>
      </w:r>
      <w:r w:rsidR="00A810A0" w:rsidRPr="00F25D02">
        <w:rPr>
          <w:rFonts w:ascii="Times New Roman"/>
          <w:kern w:val="22"/>
        </w:rPr>
        <w:t>Relevant</w:t>
      </w:r>
      <w:r w:rsidR="00FF14D1" w:rsidRPr="00F25D02">
        <w:rPr>
          <w:rFonts w:ascii="Times New Roman"/>
          <w:kern w:val="22"/>
        </w:rPr>
        <w:t xml:space="preserve"> insights </w:t>
      </w:r>
      <w:r w:rsidR="00045B57" w:rsidRPr="00F25D02">
        <w:rPr>
          <w:rFonts w:ascii="Times New Roman"/>
          <w:kern w:val="22"/>
        </w:rPr>
        <w:t>concerning</w:t>
      </w:r>
      <w:r w:rsidR="007F27FE" w:rsidRPr="00F25D02">
        <w:rPr>
          <w:rFonts w:ascii="Times New Roman"/>
          <w:kern w:val="22"/>
        </w:rPr>
        <w:t xml:space="preserve"> terminology </w:t>
      </w:r>
      <w:r w:rsidR="00FF14D1" w:rsidRPr="00F25D02">
        <w:rPr>
          <w:rFonts w:ascii="Times New Roman"/>
          <w:kern w:val="22"/>
        </w:rPr>
        <w:t>include:</w:t>
      </w:r>
    </w:p>
    <w:p w14:paraId="5BD53928" w14:textId="7F4151F6" w:rsidR="00FF14D1" w:rsidRPr="00F25D02" w:rsidRDefault="00121BB3" w:rsidP="00121BB3">
      <w:pPr>
        <w:pStyle w:val="ListParagraph"/>
        <w:numPr>
          <w:ilvl w:val="1"/>
          <w:numId w:val="2"/>
        </w:numPr>
        <w:tabs>
          <w:tab w:val="left" w:pos="1440"/>
        </w:tabs>
        <w:spacing w:before="120" w:after="120" w:line="240" w:lineRule="auto"/>
        <w:ind w:left="0" w:firstLine="709"/>
        <w:contextualSpacing w:val="0"/>
        <w:jc w:val="both"/>
        <w:rPr>
          <w:rFonts w:ascii="Times New Roman"/>
          <w:kern w:val="22"/>
        </w:rPr>
      </w:pPr>
      <w:r w:rsidRPr="00F25D02">
        <w:rPr>
          <w:rFonts w:ascii="Times New Roman"/>
          <w:kern w:val="22"/>
        </w:rPr>
        <w:t>I</w:t>
      </w:r>
      <w:r w:rsidR="00FF14D1" w:rsidRPr="00F25D02">
        <w:rPr>
          <w:rFonts w:ascii="Times New Roman"/>
          <w:kern w:val="22"/>
        </w:rPr>
        <w:t xml:space="preserve">t is useful to consider terminology </w:t>
      </w:r>
      <w:r w:rsidR="00A61D1D" w:rsidRPr="00F25D02">
        <w:rPr>
          <w:rFonts w:ascii="Times New Roman"/>
          <w:kern w:val="22"/>
        </w:rPr>
        <w:t>and</w:t>
      </w:r>
      <w:r w:rsidR="00FF14D1" w:rsidRPr="00F25D02">
        <w:rPr>
          <w:rFonts w:ascii="Times New Roman"/>
          <w:kern w:val="22"/>
        </w:rPr>
        <w:t xml:space="preserve"> discussions in other fora to further clarify concept under CBD </w:t>
      </w:r>
      <w:r w:rsidR="00A61D1D" w:rsidRPr="00F25D02">
        <w:rPr>
          <w:rFonts w:ascii="Times New Roman"/>
          <w:kern w:val="22"/>
        </w:rPr>
        <w:t>and</w:t>
      </w:r>
      <w:r w:rsidR="00FF14D1" w:rsidRPr="00F25D02">
        <w:rPr>
          <w:rFonts w:ascii="Times New Roman"/>
          <w:kern w:val="22"/>
        </w:rPr>
        <w:t xml:space="preserve"> Nagoya Protocol</w:t>
      </w:r>
      <w:r w:rsidR="00C242FA" w:rsidRPr="00F25D02">
        <w:rPr>
          <w:rFonts w:ascii="Times New Roman"/>
          <w:kern w:val="22"/>
        </w:rPr>
        <w:t>;</w:t>
      </w:r>
      <w:r w:rsidR="009349D3" w:rsidRPr="00F25D02">
        <w:rPr>
          <w:rStyle w:val="FootnoteReference"/>
          <w:rFonts w:ascii="Times New Roman"/>
          <w:kern w:val="22"/>
        </w:rPr>
        <w:footnoteReference w:id="56"/>
      </w:r>
      <w:r w:rsidR="00FF14D1" w:rsidRPr="00F25D02">
        <w:rPr>
          <w:rFonts w:ascii="Times New Roman"/>
          <w:kern w:val="22"/>
        </w:rPr>
        <w:t xml:space="preserve"> </w:t>
      </w:r>
    </w:p>
    <w:p w14:paraId="1DFE9936" w14:textId="298D7FB8" w:rsidR="00FF14D1" w:rsidRPr="00F25D02" w:rsidRDefault="00121BB3" w:rsidP="00121BB3">
      <w:pPr>
        <w:pStyle w:val="ListParagraph"/>
        <w:numPr>
          <w:ilvl w:val="1"/>
          <w:numId w:val="2"/>
        </w:numPr>
        <w:tabs>
          <w:tab w:val="left" w:pos="1440"/>
        </w:tabs>
        <w:spacing w:before="120" w:after="120" w:line="240" w:lineRule="auto"/>
        <w:ind w:left="0" w:firstLine="709"/>
        <w:contextualSpacing w:val="0"/>
        <w:jc w:val="both"/>
        <w:rPr>
          <w:rFonts w:ascii="Times New Roman"/>
          <w:kern w:val="22"/>
        </w:rPr>
      </w:pPr>
      <w:r w:rsidRPr="00F25D02">
        <w:rPr>
          <w:rFonts w:ascii="Times New Roman"/>
          <w:kern w:val="22"/>
        </w:rPr>
        <w:t>I</w:t>
      </w:r>
      <w:r w:rsidR="00FF14D1" w:rsidRPr="00F25D02">
        <w:rPr>
          <w:rFonts w:ascii="Times New Roman"/>
          <w:kern w:val="22"/>
        </w:rPr>
        <w:t>nconsistent terminology is being utilized across international fora including, ‘digital sequence information’, ‘genetic sequence data’ and ‘in silico’</w:t>
      </w:r>
      <w:r w:rsidR="00C242FA" w:rsidRPr="00F25D02">
        <w:rPr>
          <w:rFonts w:ascii="Times New Roman"/>
          <w:kern w:val="22"/>
        </w:rPr>
        <w:t>;</w:t>
      </w:r>
      <w:r w:rsidR="009349D3" w:rsidRPr="00F25D02">
        <w:rPr>
          <w:rStyle w:val="FootnoteReference"/>
          <w:rFonts w:ascii="Times New Roman"/>
          <w:kern w:val="22"/>
        </w:rPr>
        <w:footnoteReference w:id="57"/>
      </w:r>
      <w:r w:rsidR="00FF14D1" w:rsidRPr="00F25D02">
        <w:rPr>
          <w:rFonts w:ascii="Times New Roman"/>
          <w:kern w:val="22"/>
        </w:rPr>
        <w:t xml:space="preserve"> </w:t>
      </w:r>
    </w:p>
    <w:p w14:paraId="4B4872C0" w14:textId="4D198805" w:rsidR="00FF14D1" w:rsidRPr="00F25D02" w:rsidRDefault="00FF14D1" w:rsidP="00121BB3">
      <w:pPr>
        <w:pStyle w:val="ListParagraph"/>
        <w:numPr>
          <w:ilvl w:val="1"/>
          <w:numId w:val="2"/>
        </w:numPr>
        <w:tabs>
          <w:tab w:val="left" w:pos="1440"/>
        </w:tabs>
        <w:spacing w:before="120" w:after="120" w:line="240" w:lineRule="auto"/>
        <w:ind w:left="0" w:firstLine="709"/>
        <w:contextualSpacing w:val="0"/>
        <w:jc w:val="both"/>
        <w:rPr>
          <w:rFonts w:ascii="Times New Roman"/>
          <w:i/>
          <w:kern w:val="22"/>
        </w:rPr>
      </w:pPr>
      <w:r w:rsidRPr="00F25D02">
        <w:rPr>
          <w:rFonts w:ascii="Times New Roman"/>
          <w:kern w:val="22"/>
        </w:rPr>
        <w:t>‘</w:t>
      </w:r>
      <w:r w:rsidR="00121BB3" w:rsidRPr="00F25D02">
        <w:rPr>
          <w:rFonts w:ascii="Times New Roman"/>
          <w:kern w:val="22"/>
        </w:rPr>
        <w:t>G</w:t>
      </w:r>
      <w:r w:rsidRPr="00F25D02">
        <w:rPr>
          <w:rFonts w:ascii="Times New Roman"/>
          <w:kern w:val="22"/>
        </w:rPr>
        <w:t>enetic sequence data’ (GSD) is an established term under World Health Organizations Pandemic Influenza Preparedness Framework, in which GSD is defined as the order of nucleotides found in a molecule of DNA or RNA, containing the genetic information that determines the biological characteristics of an organism or virus</w:t>
      </w:r>
      <w:r w:rsidR="00C242FA" w:rsidRPr="00F25D02">
        <w:rPr>
          <w:rFonts w:ascii="Times New Roman"/>
          <w:kern w:val="22"/>
        </w:rPr>
        <w:t>;</w:t>
      </w:r>
      <w:r w:rsidR="00A810A0" w:rsidRPr="00F25D02">
        <w:rPr>
          <w:rStyle w:val="FootnoteReference"/>
          <w:rFonts w:ascii="Times New Roman"/>
          <w:kern w:val="22"/>
        </w:rPr>
        <w:footnoteReference w:id="58"/>
      </w:r>
      <w:r w:rsidRPr="00F25D02">
        <w:rPr>
          <w:rFonts w:ascii="Times New Roman"/>
          <w:kern w:val="22"/>
        </w:rPr>
        <w:t xml:space="preserve"> </w:t>
      </w:r>
    </w:p>
    <w:p w14:paraId="35670A30" w14:textId="5419E7DF" w:rsidR="00FF14D1" w:rsidRPr="00F25D02" w:rsidRDefault="00121BB3" w:rsidP="00121BB3">
      <w:pPr>
        <w:pStyle w:val="ListParagraph"/>
        <w:numPr>
          <w:ilvl w:val="1"/>
          <w:numId w:val="2"/>
        </w:numPr>
        <w:tabs>
          <w:tab w:val="left" w:pos="1440"/>
        </w:tabs>
        <w:spacing w:before="120" w:after="120" w:line="240" w:lineRule="auto"/>
        <w:ind w:left="0" w:firstLine="709"/>
        <w:contextualSpacing w:val="0"/>
        <w:jc w:val="both"/>
        <w:rPr>
          <w:rFonts w:ascii="Times New Roman"/>
          <w:kern w:val="22"/>
        </w:rPr>
      </w:pPr>
      <w:r w:rsidRPr="00F25D02">
        <w:rPr>
          <w:rFonts w:ascii="Times New Roman"/>
          <w:kern w:val="22"/>
        </w:rPr>
        <w:t>T</w:t>
      </w:r>
      <w:r w:rsidR="00FF14D1" w:rsidRPr="00F25D02">
        <w:rPr>
          <w:rFonts w:ascii="Times New Roman"/>
          <w:kern w:val="22"/>
        </w:rPr>
        <w:t xml:space="preserve">he Commission on Genetic Resources for Food </w:t>
      </w:r>
      <w:r w:rsidR="00A61D1D" w:rsidRPr="00F25D02">
        <w:rPr>
          <w:rFonts w:ascii="Times New Roman"/>
          <w:kern w:val="22"/>
        </w:rPr>
        <w:t>and</w:t>
      </w:r>
      <w:r w:rsidR="00FF14D1" w:rsidRPr="00F25D02">
        <w:rPr>
          <w:rFonts w:ascii="Times New Roman"/>
          <w:kern w:val="22"/>
        </w:rPr>
        <w:t xml:space="preserve"> Agriculture of the Food and Agriculture Organization of the United Nations (FAO) recommends use of term GSD</w:t>
      </w:r>
      <w:r w:rsidR="00C242FA" w:rsidRPr="00F25D02">
        <w:rPr>
          <w:rFonts w:ascii="Times New Roman"/>
          <w:kern w:val="22"/>
        </w:rPr>
        <w:t>;</w:t>
      </w:r>
      <w:r w:rsidR="00A810A0" w:rsidRPr="00F25D02">
        <w:rPr>
          <w:rStyle w:val="FootnoteReference"/>
          <w:rFonts w:ascii="Times New Roman"/>
          <w:kern w:val="22"/>
        </w:rPr>
        <w:footnoteReference w:id="59"/>
      </w:r>
      <w:r w:rsidR="00C242FA" w:rsidRPr="00F25D02">
        <w:rPr>
          <w:rFonts w:ascii="Times New Roman"/>
          <w:kern w:val="22"/>
        </w:rPr>
        <w:t xml:space="preserve"> and</w:t>
      </w:r>
    </w:p>
    <w:p w14:paraId="31825460" w14:textId="7D294E90" w:rsidR="004A466F" w:rsidRPr="00F25D02" w:rsidRDefault="00121BB3" w:rsidP="00121BB3">
      <w:pPr>
        <w:pStyle w:val="ListParagraph"/>
        <w:numPr>
          <w:ilvl w:val="1"/>
          <w:numId w:val="2"/>
        </w:numPr>
        <w:tabs>
          <w:tab w:val="left" w:pos="1440"/>
        </w:tabs>
        <w:spacing w:before="120" w:after="120" w:line="240" w:lineRule="auto"/>
        <w:ind w:left="0" w:firstLine="709"/>
        <w:contextualSpacing w:val="0"/>
        <w:jc w:val="both"/>
        <w:rPr>
          <w:rFonts w:ascii="Times New Roman"/>
          <w:kern w:val="22"/>
        </w:rPr>
      </w:pPr>
      <w:r w:rsidRPr="00F25D02">
        <w:rPr>
          <w:rFonts w:ascii="Times New Roman"/>
          <w:kern w:val="22"/>
        </w:rPr>
        <w:lastRenderedPageBreak/>
        <w:t>A</w:t>
      </w:r>
      <w:r w:rsidR="00FF14D1" w:rsidRPr="00F25D02">
        <w:rPr>
          <w:rFonts w:ascii="Times New Roman"/>
          <w:kern w:val="22"/>
        </w:rPr>
        <w:t xml:space="preserve"> Working Group</w:t>
      </w:r>
      <w:r w:rsidR="00FF14D1" w:rsidRPr="00F25D02">
        <w:rPr>
          <w:rStyle w:val="FootnoteReference"/>
          <w:rFonts w:ascii="Times New Roman"/>
          <w:kern w:val="22"/>
        </w:rPr>
        <w:footnoteReference w:id="60"/>
      </w:r>
      <w:r w:rsidR="00FF14D1" w:rsidRPr="00F25D02">
        <w:rPr>
          <w:rFonts w:ascii="Times New Roman"/>
          <w:kern w:val="22"/>
        </w:rPr>
        <w:t xml:space="preserve"> established under the International Treaty on Plant Genetic Resources for Food and Agriculture</w:t>
      </w:r>
      <w:r w:rsidR="00FF14D1" w:rsidRPr="00F25D02">
        <w:rPr>
          <w:rFonts w:ascii="Times New Roman"/>
          <w:i/>
          <w:kern w:val="22"/>
        </w:rPr>
        <w:t xml:space="preserve"> </w:t>
      </w:r>
      <w:r w:rsidR="00FF14D1" w:rsidRPr="00F25D02">
        <w:rPr>
          <w:rFonts w:ascii="Times New Roman"/>
          <w:kern w:val="22"/>
        </w:rPr>
        <w:t>(</w:t>
      </w:r>
      <w:r w:rsidR="0021054C" w:rsidRPr="00F25D02">
        <w:rPr>
          <w:rFonts w:ascii="Times New Roman"/>
          <w:kern w:val="22"/>
        </w:rPr>
        <w:t xml:space="preserve">International </w:t>
      </w:r>
      <w:r w:rsidR="00FF14D1" w:rsidRPr="00F25D02">
        <w:rPr>
          <w:rFonts w:ascii="Times New Roman"/>
          <w:kern w:val="22"/>
        </w:rPr>
        <w:t>Treaty)</w:t>
      </w:r>
      <w:r w:rsidR="00FF14D1" w:rsidRPr="00F25D02">
        <w:rPr>
          <w:rFonts w:ascii="Times New Roman"/>
          <w:i/>
          <w:kern w:val="22"/>
        </w:rPr>
        <w:t xml:space="preserve"> </w:t>
      </w:r>
      <w:r w:rsidR="00FF7F04" w:rsidRPr="00F25D02">
        <w:rPr>
          <w:rFonts w:ascii="Times New Roman"/>
          <w:kern w:val="22"/>
        </w:rPr>
        <w:t>had be</w:t>
      </w:r>
      <w:r w:rsidR="00A810A0" w:rsidRPr="00F25D02">
        <w:rPr>
          <w:rFonts w:ascii="Times New Roman"/>
          <w:kern w:val="22"/>
        </w:rPr>
        <w:t>e</w:t>
      </w:r>
      <w:r w:rsidR="00FF7F04" w:rsidRPr="00F25D02">
        <w:rPr>
          <w:rFonts w:ascii="Times New Roman"/>
          <w:kern w:val="22"/>
        </w:rPr>
        <w:t>n</w:t>
      </w:r>
      <w:r w:rsidR="00FF14D1" w:rsidRPr="00F25D02">
        <w:rPr>
          <w:rFonts w:ascii="Times New Roman"/>
          <w:kern w:val="22"/>
        </w:rPr>
        <w:t xml:space="preserve"> considering whether </w:t>
      </w:r>
      <w:r w:rsidR="00045B57" w:rsidRPr="00F25D02">
        <w:rPr>
          <w:rFonts w:ascii="Times New Roman"/>
          <w:kern w:val="22"/>
        </w:rPr>
        <w:t>to address</w:t>
      </w:r>
      <w:r w:rsidR="00E27043" w:rsidRPr="00F25D02">
        <w:rPr>
          <w:rFonts w:ascii="Times New Roman"/>
          <w:kern w:val="22"/>
        </w:rPr>
        <w:t xml:space="preserve"> </w:t>
      </w:r>
      <w:r w:rsidR="00FF14D1" w:rsidRPr="00F25D02">
        <w:rPr>
          <w:rFonts w:ascii="Times New Roman"/>
          <w:kern w:val="22"/>
        </w:rPr>
        <w:t xml:space="preserve">issues related to </w:t>
      </w:r>
      <w:r w:rsidR="00BB7978" w:rsidRPr="00F25D02">
        <w:rPr>
          <w:rFonts w:ascii="Times New Roman"/>
          <w:kern w:val="22"/>
        </w:rPr>
        <w:t>digital sequence information</w:t>
      </w:r>
      <w:r w:rsidR="00FF14D1" w:rsidRPr="00F25D02">
        <w:rPr>
          <w:rFonts w:ascii="Times New Roman"/>
          <w:kern w:val="22"/>
        </w:rPr>
        <w:t xml:space="preserve"> in the revised text of the Standard Material Transfer Agreement used under the </w:t>
      </w:r>
      <w:r w:rsidR="0021054C" w:rsidRPr="00F25D02">
        <w:rPr>
          <w:rFonts w:ascii="Times New Roman"/>
          <w:kern w:val="22"/>
        </w:rPr>
        <w:t xml:space="preserve">International </w:t>
      </w:r>
      <w:r w:rsidR="00FF14D1" w:rsidRPr="00F25D02">
        <w:rPr>
          <w:rFonts w:ascii="Times New Roman"/>
          <w:kern w:val="22"/>
        </w:rPr>
        <w:t>Treaty</w:t>
      </w:r>
      <w:r w:rsidR="00E27043" w:rsidRPr="00F25D02">
        <w:rPr>
          <w:rFonts w:ascii="Times New Roman"/>
          <w:kern w:val="22"/>
        </w:rPr>
        <w:t>, including the appropriate terminology to use</w:t>
      </w:r>
      <w:r w:rsidR="00FF14D1" w:rsidRPr="00F25D02">
        <w:rPr>
          <w:rFonts w:ascii="Times New Roman"/>
          <w:kern w:val="22"/>
        </w:rPr>
        <w:t>.</w:t>
      </w:r>
      <w:r w:rsidR="00FF7F04" w:rsidRPr="00F25D02">
        <w:rPr>
          <w:rStyle w:val="FootnoteReference"/>
          <w:rFonts w:ascii="Times New Roman"/>
          <w:kern w:val="22"/>
        </w:rPr>
        <w:footnoteReference w:id="61"/>
      </w:r>
      <w:r w:rsidR="00FF14D1" w:rsidRPr="00F25D02">
        <w:rPr>
          <w:rFonts w:ascii="Times New Roman"/>
          <w:kern w:val="22"/>
        </w:rPr>
        <w:t xml:space="preserve"> </w:t>
      </w:r>
    </w:p>
    <w:p w14:paraId="4D08E122" w14:textId="5D498D7B" w:rsidR="00FF14D1" w:rsidRPr="00F25D02" w:rsidRDefault="004A466F" w:rsidP="00086139">
      <w:pPr>
        <w:pStyle w:val="Heading3"/>
        <w:numPr>
          <w:ilvl w:val="0"/>
          <w:numId w:val="9"/>
        </w:numPr>
        <w:ind w:left="720"/>
        <w:rPr>
          <w:kern w:val="22"/>
        </w:rPr>
      </w:pPr>
      <w:r w:rsidRPr="00F25D02">
        <w:rPr>
          <w:kern w:val="22"/>
        </w:rPr>
        <w:t xml:space="preserve">Preferred/suggested terminology </w:t>
      </w:r>
    </w:p>
    <w:p w14:paraId="68B1B987" w14:textId="3B05BC67" w:rsidR="00FF14D1" w:rsidRPr="00F25D02" w:rsidRDefault="00CE1F65"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Several</w:t>
      </w:r>
      <w:r w:rsidR="00FF14D1" w:rsidRPr="00F25D02">
        <w:rPr>
          <w:rFonts w:ascii="Times New Roman"/>
          <w:kern w:val="22"/>
        </w:rPr>
        <w:t xml:space="preserve"> of submissions suggested </w:t>
      </w:r>
      <w:r w:rsidR="00443F25" w:rsidRPr="00F25D02">
        <w:rPr>
          <w:rFonts w:ascii="Times New Roman"/>
          <w:kern w:val="22"/>
        </w:rPr>
        <w:t xml:space="preserve">alternative or </w:t>
      </w:r>
      <w:r w:rsidR="00FF14D1" w:rsidRPr="00F25D02">
        <w:rPr>
          <w:rFonts w:ascii="Times New Roman"/>
          <w:kern w:val="22"/>
        </w:rPr>
        <w:t xml:space="preserve">preferred terminology to be used in place of </w:t>
      </w:r>
      <w:r w:rsidR="00BB7978" w:rsidRPr="00F25D02">
        <w:rPr>
          <w:rFonts w:ascii="Times New Roman"/>
          <w:kern w:val="22"/>
        </w:rPr>
        <w:t>digital sequence information</w:t>
      </w:r>
      <w:r w:rsidR="006D247B" w:rsidRPr="00F25D02">
        <w:rPr>
          <w:rFonts w:ascii="Times New Roman"/>
          <w:kern w:val="22"/>
        </w:rPr>
        <w:t>, including the following (with accompanying reasoning, where provided)</w:t>
      </w:r>
      <w:r w:rsidR="00FF14D1" w:rsidRPr="00F25D02">
        <w:rPr>
          <w:rFonts w:ascii="Times New Roman"/>
          <w:kern w:val="22"/>
        </w:rPr>
        <w:t xml:space="preserve">: </w:t>
      </w:r>
    </w:p>
    <w:p w14:paraId="7C410000" w14:textId="0BB5BE30" w:rsidR="00443F25" w:rsidRPr="00F25D02" w:rsidRDefault="00443F25" w:rsidP="00683114">
      <w:pPr>
        <w:pStyle w:val="ListParagraph"/>
        <w:numPr>
          <w:ilvl w:val="1"/>
          <w:numId w:val="2"/>
        </w:numPr>
        <w:tabs>
          <w:tab w:val="left" w:pos="1440"/>
        </w:tabs>
        <w:spacing w:before="120" w:after="120" w:line="240" w:lineRule="auto"/>
        <w:ind w:left="720" w:firstLine="0"/>
        <w:contextualSpacing w:val="0"/>
        <w:jc w:val="both"/>
        <w:rPr>
          <w:rFonts w:ascii="Times New Roman"/>
          <w:kern w:val="22"/>
        </w:rPr>
      </w:pPr>
      <w:bookmarkStart w:id="22" w:name="_Hlk29115730"/>
      <w:r w:rsidRPr="00F25D02">
        <w:rPr>
          <w:rFonts w:ascii="Times New Roman"/>
          <w:kern w:val="22"/>
        </w:rPr>
        <w:t>Dematerialized information and dematerialized genetic resources;</w:t>
      </w:r>
      <w:r w:rsidRPr="00F25D02">
        <w:rPr>
          <w:rStyle w:val="FootnoteReference"/>
          <w:rFonts w:ascii="Times New Roman"/>
          <w:kern w:val="22"/>
        </w:rPr>
        <w:footnoteReference w:id="62"/>
      </w:r>
    </w:p>
    <w:p w14:paraId="564DDDF3" w14:textId="7E86FE34" w:rsidR="00EA0D9E" w:rsidRPr="00F25D02" w:rsidRDefault="00EA0D9E" w:rsidP="00683114">
      <w:pPr>
        <w:pStyle w:val="ListParagraph"/>
        <w:numPr>
          <w:ilvl w:val="1"/>
          <w:numId w:val="2"/>
        </w:numPr>
        <w:tabs>
          <w:tab w:val="left" w:pos="1440"/>
        </w:tabs>
        <w:spacing w:before="120" w:after="120" w:line="240" w:lineRule="auto"/>
        <w:ind w:left="720" w:firstLine="0"/>
        <w:contextualSpacing w:val="0"/>
        <w:jc w:val="both"/>
        <w:rPr>
          <w:rFonts w:ascii="Times New Roman"/>
          <w:kern w:val="22"/>
        </w:rPr>
      </w:pPr>
      <w:r w:rsidRPr="00F25D02">
        <w:rPr>
          <w:rFonts w:ascii="Times New Roman"/>
          <w:kern w:val="22"/>
        </w:rPr>
        <w:t>In silico;</w:t>
      </w:r>
      <w:r w:rsidRPr="00F25D02">
        <w:rPr>
          <w:rStyle w:val="FootnoteReference"/>
          <w:rFonts w:ascii="Times New Roman"/>
          <w:kern w:val="22"/>
        </w:rPr>
        <w:footnoteReference w:id="63"/>
      </w:r>
    </w:p>
    <w:p w14:paraId="05276AA1" w14:textId="0C2ED8D4" w:rsidR="00FF14D1" w:rsidRPr="00F25D02" w:rsidRDefault="00672070" w:rsidP="00683114">
      <w:pPr>
        <w:pStyle w:val="ListParagraph"/>
        <w:numPr>
          <w:ilvl w:val="1"/>
          <w:numId w:val="2"/>
        </w:numPr>
        <w:tabs>
          <w:tab w:val="left" w:pos="1440"/>
        </w:tabs>
        <w:spacing w:before="120" w:after="120" w:line="240" w:lineRule="auto"/>
        <w:ind w:left="720" w:firstLine="0"/>
        <w:contextualSpacing w:val="0"/>
        <w:jc w:val="both"/>
        <w:rPr>
          <w:rFonts w:ascii="Times New Roman"/>
          <w:kern w:val="22"/>
        </w:rPr>
      </w:pPr>
      <w:r w:rsidRPr="00F25D02">
        <w:rPr>
          <w:rFonts w:ascii="Times New Roman"/>
          <w:kern w:val="22"/>
        </w:rPr>
        <w:t>N</w:t>
      </w:r>
      <w:r w:rsidR="00FF14D1" w:rsidRPr="00F25D02">
        <w:rPr>
          <w:rFonts w:ascii="Times New Roman"/>
          <w:kern w:val="22"/>
        </w:rPr>
        <w:t>atural information</w:t>
      </w:r>
      <w:r w:rsidR="00121BB3" w:rsidRPr="00F25D02">
        <w:rPr>
          <w:rFonts w:ascii="Times New Roman"/>
          <w:kern w:val="22"/>
        </w:rPr>
        <w:t>;</w:t>
      </w:r>
      <w:r w:rsidR="00FF14D1" w:rsidRPr="00F25D02">
        <w:rPr>
          <w:rStyle w:val="FootnoteReference"/>
          <w:rFonts w:ascii="Times New Roman"/>
          <w:kern w:val="22"/>
        </w:rPr>
        <w:footnoteReference w:id="64"/>
      </w:r>
      <w:r w:rsidR="00FF14D1" w:rsidRPr="00F25D02">
        <w:rPr>
          <w:rFonts w:ascii="Times New Roman"/>
          <w:kern w:val="22"/>
        </w:rPr>
        <w:t xml:space="preserve"> </w:t>
      </w:r>
    </w:p>
    <w:p w14:paraId="54325C42" w14:textId="1139A0AB" w:rsidR="00FF14D1" w:rsidRPr="00F25D02" w:rsidRDefault="00672070" w:rsidP="00683114">
      <w:pPr>
        <w:pStyle w:val="ListParagraph"/>
        <w:numPr>
          <w:ilvl w:val="1"/>
          <w:numId w:val="2"/>
        </w:numPr>
        <w:tabs>
          <w:tab w:val="left" w:pos="1440"/>
        </w:tabs>
        <w:spacing w:before="120" w:after="120" w:line="240" w:lineRule="auto"/>
        <w:ind w:left="720" w:firstLine="0"/>
        <w:contextualSpacing w:val="0"/>
        <w:jc w:val="both"/>
        <w:rPr>
          <w:rFonts w:ascii="Times New Roman"/>
          <w:kern w:val="22"/>
        </w:rPr>
      </w:pPr>
      <w:r w:rsidRPr="00F25D02">
        <w:rPr>
          <w:rFonts w:ascii="Times New Roman"/>
          <w:kern w:val="22"/>
        </w:rPr>
        <w:t>S</w:t>
      </w:r>
      <w:r w:rsidR="00FF14D1" w:rsidRPr="00F25D02">
        <w:rPr>
          <w:rFonts w:ascii="Times New Roman"/>
          <w:kern w:val="22"/>
        </w:rPr>
        <w:t>equence information</w:t>
      </w:r>
      <w:r w:rsidR="00121BB3" w:rsidRPr="00F25D02">
        <w:rPr>
          <w:rFonts w:ascii="Times New Roman"/>
          <w:kern w:val="22"/>
        </w:rPr>
        <w:t>;</w:t>
      </w:r>
      <w:r w:rsidR="00FF14D1" w:rsidRPr="00F25D02">
        <w:rPr>
          <w:rStyle w:val="FootnoteReference"/>
          <w:rFonts w:ascii="Times New Roman"/>
          <w:kern w:val="22"/>
        </w:rPr>
        <w:footnoteReference w:id="65"/>
      </w:r>
    </w:p>
    <w:p w14:paraId="2B0A2B8A" w14:textId="1BCE8E97" w:rsidR="00FF14D1" w:rsidRPr="00F25D02" w:rsidRDefault="00672070" w:rsidP="00683114">
      <w:pPr>
        <w:pStyle w:val="ListParagraph"/>
        <w:numPr>
          <w:ilvl w:val="1"/>
          <w:numId w:val="2"/>
        </w:numPr>
        <w:tabs>
          <w:tab w:val="left" w:pos="1440"/>
        </w:tabs>
        <w:spacing w:before="120" w:after="120" w:line="240" w:lineRule="auto"/>
        <w:ind w:left="720" w:firstLine="0"/>
        <w:contextualSpacing w:val="0"/>
        <w:jc w:val="both"/>
        <w:rPr>
          <w:rFonts w:ascii="Times New Roman"/>
          <w:kern w:val="22"/>
        </w:rPr>
      </w:pPr>
      <w:r w:rsidRPr="00F25D02">
        <w:rPr>
          <w:rFonts w:ascii="Times New Roman"/>
          <w:kern w:val="22"/>
        </w:rPr>
        <w:t>S</w:t>
      </w:r>
      <w:r w:rsidR="00FF14D1" w:rsidRPr="00F25D02">
        <w:rPr>
          <w:rFonts w:ascii="Times New Roman"/>
          <w:kern w:val="22"/>
        </w:rPr>
        <w:t>equence information originating from genetic resources</w:t>
      </w:r>
      <w:r w:rsidR="00121BB3" w:rsidRPr="00F25D02">
        <w:rPr>
          <w:rFonts w:ascii="Times New Roman"/>
          <w:kern w:val="22"/>
        </w:rPr>
        <w:t>;</w:t>
      </w:r>
      <w:r w:rsidR="00F4202E" w:rsidRPr="00F25D02">
        <w:rPr>
          <w:rStyle w:val="FootnoteReference"/>
          <w:rFonts w:ascii="Times New Roman"/>
          <w:kern w:val="22"/>
        </w:rPr>
        <w:footnoteReference w:id="66"/>
      </w:r>
    </w:p>
    <w:p w14:paraId="403525A0" w14:textId="7D533A90" w:rsidR="00FF14D1" w:rsidRPr="00F25D02" w:rsidRDefault="00672070" w:rsidP="00683114">
      <w:pPr>
        <w:pStyle w:val="ListParagraph"/>
        <w:numPr>
          <w:ilvl w:val="1"/>
          <w:numId w:val="2"/>
        </w:numPr>
        <w:tabs>
          <w:tab w:val="left" w:pos="1440"/>
        </w:tabs>
        <w:spacing w:before="120" w:after="120" w:line="240" w:lineRule="auto"/>
        <w:ind w:left="720" w:firstLine="0"/>
        <w:contextualSpacing w:val="0"/>
        <w:jc w:val="both"/>
        <w:rPr>
          <w:rFonts w:ascii="Times New Roman"/>
          <w:kern w:val="22"/>
        </w:rPr>
      </w:pPr>
      <w:r w:rsidRPr="00F25D02">
        <w:rPr>
          <w:rFonts w:ascii="Times New Roman"/>
          <w:kern w:val="22"/>
        </w:rPr>
        <w:t>S</w:t>
      </w:r>
      <w:r w:rsidR="00FF14D1" w:rsidRPr="00F25D02">
        <w:rPr>
          <w:rFonts w:ascii="Times New Roman"/>
          <w:kern w:val="22"/>
        </w:rPr>
        <w:t>equence data</w:t>
      </w:r>
      <w:r w:rsidR="00121BB3" w:rsidRPr="00F25D02">
        <w:rPr>
          <w:rFonts w:ascii="Times New Roman"/>
          <w:kern w:val="22"/>
        </w:rPr>
        <w:t>;</w:t>
      </w:r>
      <w:r w:rsidR="00F4202E" w:rsidRPr="00F25D02">
        <w:rPr>
          <w:rStyle w:val="FootnoteReference"/>
          <w:rFonts w:ascii="Times New Roman"/>
          <w:kern w:val="22"/>
        </w:rPr>
        <w:footnoteReference w:id="67"/>
      </w:r>
    </w:p>
    <w:p w14:paraId="51F13275" w14:textId="354079CE" w:rsidR="00FF14D1" w:rsidRPr="00F25D02" w:rsidRDefault="00672070" w:rsidP="00683114">
      <w:pPr>
        <w:pStyle w:val="ListParagraph"/>
        <w:numPr>
          <w:ilvl w:val="1"/>
          <w:numId w:val="2"/>
        </w:numPr>
        <w:tabs>
          <w:tab w:val="left" w:pos="1440"/>
        </w:tabs>
        <w:spacing w:before="120" w:after="120" w:line="240" w:lineRule="auto"/>
        <w:ind w:left="720" w:firstLine="0"/>
        <w:contextualSpacing w:val="0"/>
        <w:jc w:val="both"/>
        <w:rPr>
          <w:rFonts w:ascii="Times New Roman"/>
          <w:kern w:val="22"/>
        </w:rPr>
      </w:pPr>
      <w:r w:rsidRPr="00F25D02">
        <w:rPr>
          <w:rFonts w:ascii="Times New Roman"/>
          <w:kern w:val="22"/>
        </w:rPr>
        <w:t>G</w:t>
      </w:r>
      <w:r w:rsidR="00FF14D1" w:rsidRPr="00F25D02">
        <w:rPr>
          <w:rFonts w:ascii="Times New Roman"/>
          <w:kern w:val="22"/>
        </w:rPr>
        <w:t>enetic information</w:t>
      </w:r>
      <w:r w:rsidR="00121BB3" w:rsidRPr="00F25D02">
        <w:rPr>
          <w:rFonts w:ascii="Times New Roman"/>
          <w:kern w:val="22"/>
        </w:rPr>
        <w:t>;</w:t>
      </w:r>
      <w:r w:rsidR="00F4202E" w:rsidRPr="00F25D02">
        <w:rPr>
          <w:rStyle w:val="FootnoteReference"/>
          <w:rFonts w:ascii="Times New Roman"/>
          <w:kern w:val="22"/>
        </w:rPr>
        <w:footnoteReference w:id="68"/>
      </w:r>
    </w:p>
    <w:p w14:paraId="2D298959" w14:textId="2883098E" w:rsidR="00FF14D1" w:rsidRPr="00F25D02" w:rsidRDefault="00672070" w:rsidP="00683114">
      <w:pPr>
        <w:pStyle w:val="ListParagraph"/>
        <w:numPr>
          <w:ilvl w:val="1"/>
          <w:numId w:val="2"/>
        </w:numPr>
        <w:tabs>
          <w:tab w:val="left" w:pos="1440"/>
        </w:tabs>
        <w:spacing w:before="120" w:after="120" w:line="240" w:lineRule="auto"/>
        <w:ind w:left="720" w:firstLine="0"/>
        <w:contextualSpacing w:val="0"/>
        <w:jc w:val="both"/>
        <w:rPr>
          <w:rFonts w:ascii="Times New Roman"/>
          <w:kern w:val="22"/>
        </w:rPr>
      </w:pPr>
      <w:r w:rsidRPr="00F25D02">
        <w:rPr>
          <w:rFonts w:ascii="Times New Roman"/>
          <w:kern w:val="22"/>
        </w:rPr>
        <w:t>G</w:t>
      </w:r>
      <w:r w:rsidR="00FF14D1" w:rsidRPr="00F25D02">
        <w:rPr>
          <w:rFonts w:ascii="Times New Roman"/>
          <w:kern w:val="22"/>
        </w:rPr>
        <w:t>enetic information on genetic resources</w:t>
      </w:r>
      <w:r w:rsidR="00121BB3" w:rsidRPr="00F25D02">
        <w:rPr>
          <w:rFonts w:ascii="Times New Roman"/>
          <w:kern w:val="22"/>
        </w:rPr>
        <w:t>;</w:t>
      </w:r>
      <w:r w:rsidR="00F4202E" w:rsidRPr="00F25D02">
        <w:rPr>
          <w:rStyle w:val="FootnoteReference"/>
          <w:rFonts w:ascii="Times New Roman"/>
          <w:kern w:val="22"/>
        </w:rPr>
        <w:footnoteReference w:id="69"/>
      </w:r>
    </w:p>
    <w:p w14:paraId="2D86E2D1" w14:textId="47699DE1" w:rsidR="00FF14D1" w:rsidRPr="00F25D02" w:rsidRDefault="00672070" w:rsidP="00683114">
      <w:pPr>
        <w:pStyle w:val="ListParagraph"/>
        <w:numPr>
          <w:ilvl w:val="1"/>
          <w:numId w:val="2"/>
        </w:numPr>
        <w:tabs>
          <w:tab w:val="left" w:pos="1440"/>
        </w:tabs>
        <w:spacing w:before="120" w:after="120" w:line="240" w:lineRule="auto"/>
        <w:ind w:left="720" w:firstLine="0"/>
        <w:contextualSpacing w:val="0"/>
        <w:jc w:val="both"/>
        <w:rPr>
          <w:rFonts w:ascii="Times New Roman"/>
          <w:kern w:val="22"/>
        </w:rPr>
      </w:pPr>
      <w:r w:rsidRPr="00F25D02">
        <w:rPr>
          <w:rFonts w:ascii="Times New Roman"/>
          <w:kern w:val="22"/>
        </w:rPr>
        <w:t>G</w:t>
      </w:r>
      <w:r w:rsidR="00FF14D1" w:rsidRPr="00F25D02">
        <w:rPr>
          <w:rFonts w:ascii="Times New Roman"/>
          <w:kern w:val="22"/>
        </w:rPr>
        <w:t>enomic sequence data</w:t>
      </w:r>
      <w:r w:rsidR="00121BB3" w:rsidRPr="00F25D02">
        <w:rPr>
          <w:rFonts w:ascii="Times New Roman"/>
          <w:kern w:val="22"/>
        </w:rPr>
        <w:t>;</w:t>
      </w:r>
      <w:r w:rsidR="00F4202E" w:rsidRPr="00F25D02">
        <w:rPr>
          <w:rStyle w:val="FootnoteReference"/>
          <w:rFonts w:ascii="Times New Roman"/>
          <w:kern w:val="22"/>
        </w:rPr>
        <w:footnoteReference w:id="70"/>
      </w:r>
    </w:p>
    <w:p w14:paraId="2AB82A58" w14:textId="10CB0410" w:rsidR="00FF14D1" w:rsidRPr="00F25D02" w:rsidRDefault="00672070" w:rsidP="00683114">
      <w:pPr>
        <w:pStyle w:val="ListParagraph"/>
        <w:numPr>
          <w:ilvl w:val="1"/>
          <w:numId w:val="2"/>
        </w:numPr>
        <w:tabs>
          <w:tab w:val="left" w:pos="1440"/>
        </w:tabs>
        <w:spacing w:before="120" w:after="120" w:line="240" w:lineRule="auto"/>
        <w:ind w:left="720" w:firstLine="0"/>
        <w:contextualSpacing w:val="0"/>
        <w:jc w:val="both"/>
        <w:rPr>
          <w:rFonts w:ascii="Times New Roman"/>
          <w:kern w:val="22"/>
        </w:rPr>
      </w:pPr>
      <w:r w:rsidRPr="00F25D02">
        <w:rPr>
          <w:rFonts w:ascii="Times New Roman"/>
          <w:kern w:val="22"/>
        </w:rPr>
        <w:t>G</w:t>
      </w:r>
      <w:r w:rsidR="00FF14D1" w:rsidRPr="00F25D02">
        <w:rPr>
          <w:rFonts w:ascii="Times New Roman"/>
          <w:kern w:val="22"/>
        </w:rPr>
        <w:t>enetic sequence data</w:t>
      </w:r>
      <w:r w:rsidR="00FF14D1" w:rsidRPr="00F25D02">
        <w:rPr>
          <w:rStyle w:val="FootnoteReference"/>
          <w:rFonts w:ascii="Times New Roman"/>
          <w:kern w:val="22"/>
        </w:rPr>
        <w:footnoteReference w:id="71"/>
      </w:r>
      <w:r w:rsidR="00F02D8D" w:rsidRPr="00F25D02">
        <w:rPr>
          <w:rFonts w:ascii="Times New Roman"/>
          <w:kern w:val="22"/>
        </w:rPr>
        <w:t>,</w:t>
      </w:r>
      <w:r w:rsidR="00FF14D1" w:rsidRPr="00F25D02">
        <w:rPr>
          <w:rFonts w:ascii="Times New Roman"/>
          <w:kern w:val="22"/>
        </w:rPr>
        <w:t xml:space="preserve"> support for which focused on:</w:t>
      </w:r>
    </w:p>
    <w:p w14:paraId="2495A3C9" w14:textId="3D44C34B" w:rsidR="00FF14D1" w:rsidRPr="00F25D02" w:rsidRDefault="00672070" w:rsidP="00121BB3">
      <w:pPr>
        <w:pStyle w:val="ListParagraph"/>
        <w:numPr>
          <w:ilvl w:val="2"/>
          <w:numId w:val="3"/>
        </w:numPr>
        <w:tabs>
          <w:tab w:val="left" w:pos="360"/>
          <w:tab w:val="left" w:pos="1170"/>
        </w:tabs>
        <w:spacing w:before="120" w:after="120" w:line="240" w:lineRule="auto"/>
        <w:ind w:left="1843"/>
        <w:contextualSpacing w:val="0"/>
        <w:jc w:val="both"/>
        <w:rPr>
          <w:rFonts w:ascii="Times New Roman"/>
          <w:kern w:val="22"/>
        </w:rPr>
      </w:pPr>
      <w:r w:rsidRPr="00F25D02">
        <w:rPr>
          <w:rFonts w:ascii="Times New Roman"/>
          <w:kern w:val="22"/>
        </w:rPr>
        <w:t>C</w:t>
      </w:r>
      <w:r w:rsidR="00FF14D1" w:rsidRPr="00F25D02">
        <w:rPr>
          <w:rFonts w:ascii="Times New Roman"/>
          <w:kern w:val="22"/>
        </w:rPr>
        <w:t xml:space="preserve">ommon </w:t>
      </w:r>
      <w:r w:rsidR="00C242FA" w:rsidRPr="00F25D02">
        <w:rPr>
          <w:rFonts w:ascii="Times New Roman"/>
          <w:kern w:val="22"/>
        </w:rPr>
        <w:t>use</w:t>
      </w:r>
      <w:r w:rsidR="00FF14D1" w:rsidRPr="00F25D02">
        <w:rPr>
          <w:rFonts w:ascii="Times New Roman"/>
          <w:kern w:val="22"/>
        </w:rPr>
        <w:t xml:space="preserve"> </w:t>
      </w:r>
      <w:r w:rsidR="00DA7F33" w:rsidRPr="00F25D02">
        <w:rPr>
          <w:rFonts w:ascii="Times New Roman"/>
          <w:kern w:val="22"/>
        </w:rPr>
        <w:t xml:space="preserve">of the term </w:t>
      </w:r>
      <w:r w:rsidR="00FF14D1" w:rsidRPr="00F25D02">
        <w:rPr>
          <w:rFonts w:ascii="Times New Roman"/>
          <w:kern w:val="22"/>
        </w:rPr>
        <w:t>by the scientific community</w:t>
      </w:r>
      <w:r w:rsidR="00F4202E" w:rsidRPr="00F25D02">
        <w:rPr>
          <w:rStyle w:val="FootnoteReference"/>
          <w:rFonts w:ascii="Times New Roman"/>
          <w:kern w:val="22"/>
        </w:rPr>
        <w:footnoteReference w:id="72"/>
      </w:r>
      <w:r w:rsidR="00FF14D1" w:rsidRPr="00F25D02">
        <w:rPr>
          <w:rFonts w:ascii="Times New Roman"/>
          <w:kern w:val="22"/>
        </w:rPr>
        <w:t xml:space="preserve"> </w:t>
      </w:r>
      <w:r w:rsidR="00C242FA" w:rsidRPr="00F25D02">
        <w:rPr>
          <w:rFonts w:ascii="Times New Roman"/>
          <w:kern w:val="22"/>
        </w:rPr>
        <w:t xml:space="preserve">and an </w:t>
      </w:r>
      <w:r w:rsidR="00FF14D1" w:rsidRPr="00F25D02">
        <w:rPr>
          <w:rFonts w:ascii="Times New Roman"/>
          <w:kern w:val="22"/>
        </w:rPr>
        <w:t xml:space="preserve">established term under </w:t>
      </w:r>
      <w:r w:rsidR="00DA7F33" w:rsidRPr="00F25D02">
        <w:rPr>
          <w:rFonts w:ascii="Times New Roman"/>
          <w:kern w:val="22"/>
        </w:rPr>
        <w:t xml:space="preserve">the </w:t>
      </w:r>
      <w:r w:rsidR="00FF14D1" w:rsidRPr="00F25D02">
        <w:rPr>
          <w:rFonts w:ascii="Times New Roman"/>
          <w:kern w:val="22"/>
        </w:rPr>
        <w:t>World Health Organizations Pandemic Influenza Preparedness Framework</w:t>
      </w:r>
      <w:r w:rsidR="00C242FA" w:rsidRPr="00F25D02">
        <w:rPr>
          <w:rFonts w:ascii="Times New Roman"/>
          <w:kern w:val="22"/>
        </w:rPr>
        <w:t>;</w:t>
      </w:r>
      <w:r w:rsidR="00F4202E" w:rsidRPr="00F25D02">
        <w:rPr>
          <w:rStyle w:val="FootnoteReference"/>
          <w:rFonts w:ascii="Times New Roman"/>
          <w:kern w:val="22"/>
        </w:rPr>
        <w:footnoteReference w:id="73"/>
      </w:r>
      <w:r w:rsidR="00FF14D1" w:rsidRPr="00F25D02">
        <w:rPr>
          <w:rFonts w:ascii="Times New Roman"/>
          <w:kern w:val="22"/>
        </w:rPr>
        <w:t xml:space="preserve"> </w:t>
      </w:r>
    </w:p>
    <w:p w14:paraId="0DC4AE91" w14:textId="61541D7E" w:rsidR="006D247B" w:rsidRPr="00F25D02" w:rsidRDefault="00672070" w:rsidP="00121BB3">
      <w:pPr>
        <w:pStyle w:val="ListParagraph"/>
        <w:numPr>
          <w:ilvl w:val="2"/>
          <w:numId w:val="3"/>
        </w:numPr>
        <w:tabs>
          <w:tab w:val="left" w:pos="360"/>
          <w:tab w:val="left" w:pos="1170"/>
        </w:tabs>
        <w:spacing w:before="120" w:after="120" w:line="240" w:lineRule="auto"/>
        <w:ind w:left="1843"/>
        <w:contextualSpacing w:val="0"/>
        <w:jc w:val="both"/>
        <w:rPr>
          <w:rFonts w:ascii="Times New Roman"/>
          <w:kern w:val="22"/>
        </w:rPr>
      </w:pPr>
      <w:r w:rsidRPr="00F25D02">
        <w:rPr>
          <w:rFonts w:ascii="Times New Roman"/>
          <w:kern w:val="22"/>
        </w:rPr>
        <w:t>P</w:t>
      </w:r>
      <w:r w:rsidR="00FF14D1" w:rsidRPr="00F25D02">
        <w:rPr>
          <w:rFonts w:ascii="Times New Roman"/>
          <w:kern w:val="22"/>
        </w:rPr>
        <w:t>recise terminology to depict the order of nucleotides found in a molecule</w:t>
      </w:r>
      <w:r w:rsidR="00C242FA" w:rsidRPr="00F25D02">
        <w:rPr>
          <w:rFonts w:ascii="Times New Roman"/>
          <w:kern w:val="22"/>
        </w:rPr>
        <w:t xml:space="preserve"> </w:t>
      </w:r>
      <w:r w:rsidR="00F02D8D" w:rsidRPr="00F25D02">
        <w:rPr>
          <w:rFonts w:ascii="Times New Roman"/>
          <w:kern w:val="22"/>
        </w:rPr>
        <w:t xml:space="preserve">and which </w:t>
      </w:r>
      <w:r w:rsidR="00FF14D1" w:rsidRPr="00F25D02">
        <w:rPr>
          <w:rFonts w:ascii="Times New Roman"/>
          <w:kern w:val="22"/>
        </w:rPr>
        <w:t xml:space="preserve">delimits </w:t>
      </w:r>
      <w:r w:rsidR="00E27043" w:rsidRPr="00F25D02">
        <w:rPr>
          <w:rFonts w:ascii="Times New Roman"/>
          <w:kern w:val="22"/>
        </w:rPr>
        <w:t xml:space="preserve">the </w:t>
      </w:r>
      <w:r w:rsidR="00FF14D1" w:rsidRPr="00F25D02">
        <w:rPr>
          <w:rFonts w:ascii="Times New Roman"/>
          <w:kern w:val="22"/>
        </w:rPr>
        <w:t xml:space="preserve">scope of ‘sequence’ </w:t>
      </w:r>
      <w:r w:rsidR="00E068E3" w:rsidRPr="00F25D02">
        <w:rPr>
          <w:rFonts w:ascii="Times New Roman"/>
          <w:kern w:val="22"/>
        </w:rPr>
        <w:t xml:space="preserve">as </w:t>
      </w:r>
      <w:r w:rsidR="00FF14D1" w:rsidRPr="00F25D02">
        <w:rPr>
          <w:rFonts w:ascii="Times New Roman"/>
          <w:kern w:val="22"/>
        </w:rPr>
        <w:t xml:space="preserve">related to </w:t>
      </w:r>
      <w:r w:rsidR="00E068E3" w:rsidRPr="00F25D02">
        <w:rPr>
          <w:rFonts w:ascii="Times New Roman"/>
          <w:kern w:val="22"/>
        </w:rPr>
        <w:t xml:space="preserve">a </w:t>
      </w:r>
      <w:r w:rsidR="00FF14D1" w:rsidRPr="00F25D02">
        <w:rPr>
          <w:rFonts w:ascii="Times New Roman"/>
          <w:kern w:val="22"/>
        </w:rPr>
        <w:t>genetic resource</w:t>
      </w:r>
      <w:r w:rsidR="00C242FA" w:rsidRPr="00F25D02">
        <w:rPr>
          <w:rFonts w:ascii="Times New Roman"/>
          <w:kern w:val="22"/>
        </w:rPr>
        <w:t>;</w:t>
      </w:r>
      <w:r w:rsidR="00F4202E" w:rsidRPr="00F25D02">
        <w:rPr>
          <w:rStyle w:val="FootnoteReference"/>
          <w:rFonts w:ascii="Times New Roman"/>
          <w:kern w:val="22"/>
        </w:rPr>
        <w:footnoteReference w:id="74"/>
      </w:r>
      <w:r w:rsidR="00FF14D1" w:rsidRPr="00F25D02">
        <w:rPr>
          <w:rFonts w:ascii="Times New Roman"/>
          <w:kern w:val="22"/>
        </w:rPr>
        <w:t xml:space="preserve"> </w:t>
      </w:r>
    </w:p>
    <w:p w14:paraId="34CD0000" w14:textId="53C1429E" w:rsidR="00FF14D1" w:rsidRPr="00F25D02" w:rsidRDefault="00672070" w:rsidP="00683114">
      <w:pPr>
        <w:pStyle w:val="ListParagraph"/>
        <w:numPr>
          <w:ilvl w:val="1"/>
          <w:numId w:val="2"/>
        </w:numPr>
        <w:tabs>
          <w:tab w:val="left" w:pos="1440"/>
        </w:tabs>
        <w:spacing w:before="120" w:after="120" w:line="240" w:lineRule="auto"/>
        <w:ind w:left="720" w:firstLine="0"/>
        <w:contextualSpacing w:val="0"/>
        <w:jc w:val="both"/>
        <w:rPr>
          <w:rFonts w:ascii="Times New Roman"/>
          <w:kern w:val="22"/>
        </w:rPr>
      </w:pPr>
      <w:r w:rsidRPr="00F25D02">
        <w:rPr>
          <w:rFonts w:ascii="Times New Roman"/>
          <w:kern w:val="22"/>
        </w:rPr>
        <w:t>G</w:t>
      </w:r>
      <w:r w:rsidR="00FF14D1" w:rsidRPr="00F25D02">
        <w:rPr>
          <w:rFonts w:ascii="Times New Roman"/>
          <w:kern w:val="22"/>
        </w:rPr>
        <w:t>enetic resource sequence data</w:t>
      </w:r>
      <w:r w:rsidR="00F4202E" w:rsidRPr="00F25D02">
        <w:rPr>
          <w:rStyle w:val="FootnoteReference"/>
          <w:rFonts w:ascii="Times New Roman"/>
          <w:kern w:val="22"/>
        </w:rPr>
        <w:footnoteReference w:id="75"/>
      </w:r>
      <w:r w:rsidR="00FF14D1" w:rsidRPr="00F25D02">
        <w:rPr>
          <w:rFonts w:ascii="Times New Roman"/>
          <w:kern w:val="22"/>
        </w:rPr>
        <w:t xml:space="preserve">, support for which focused on the following: </w:t>
      </w:r>
    </w:p>
    <w:p w14:paraId="3785BD98" w14:textId="155CAA7C" w:rsidR="00FF14D1" w:rsidRPr="00F25D02" w:rsidRDefault="00FF14D1" w:rsidP="00086139">
      <w:pPr>
        <w:pStyle w:val="ListParagraph"/>
        <w:numPr>
          <w:ilvl w:val="0"/>
          <w:numId w:val="12"/>
        </w:numPr>
        <w:tabs>
          <w:tab w:val="left" w:pos="360"/>
          <w:tab w:val="left" w:pos="1170"/>
        </w:tabs>
        <w:spacing w:before="120" w:after="120" w:line="240" w:lineRule="auto"/>
        <w:ind w:left="1843"/>
        <w:contextualSpacing w:val="0"/>
        <w:jc w:val="both"/>
        <w:rPr>
          <w:rFonts w:ascii="Times New Roman"/>
          <w:kern w:val="22"/>
        </w:rPr>
      </w:pPr>
      <w:r w:rsidRPr="00F25D02">
        <w:rPr>
          <w:rFonts w:ascii="Times New Roman"/>
          <w:kern w:val="22"/>
        </w:rPr>
        <w:t>‘</w:t>
      </w:r>
      <w:r w:rsidR="00672070" w:rsidRPr="00F25D02">
        <w:rPr>
          <w:rFonts w:ascii="Times New Roman"/>
          <w:kern w:val="22"/>
        </w:rPr>
        <w:t>G</w:t>
      </w:r>
      <w:r w:rsidRPr="00F25D02">
        <w:rPr>
          <w:rFonts w:ascii="Times New Roman"/>
          <w:kern w:val="22"/>
        </w:rPr>
        <w:t>enetic resource’ is a defined</w:t>
      </w:r>
      <w:r w:rsidR="007868C6" w:rsidRPr="00F25D02">
        <w:rPr>
          <w:rFonts w:ascii="Times New Roman"/>
          <w:kern w:val="22"/>
        </w:rPr>
        <w:t xml:space="preserve"> term</w:t>
      </w:r>
      <w:r w:rsidRPr="00F25D02">
        <w:rPr>
          <w:rFonts w:ascii="Times New Roman"/>
          <w:kern w:val="22"/>
        </w:rPr>
        <w:t xml:space="preserve"> in </w:t>
      </w:r>
      <w:r w:rsidR="006F4F40" w:rsidRPr="00F25D02">
        <w:rPr>
          <w:rFonts w:ascii="Times New Roman"/>
          <w:kern w:val="22"/>
        </w:rPr>
        <w:t xml:space="preserve">the </w:t>
      </w:r>
      <w:r w:rsidRPr="00F25D02">
        <w:rPr>
          <w:rFonts w:ascii="Times New Roman"/>
          <w:kern w:val="22"/>
        </w:rPr>
        <w:t xml:space="preserve">CBD and so provides </w:t>
      </w:r>
      <w:r w:rsidR="00F02D8D" w:rsidRPr="00F25D02">
        <w:rPr>
          <w:rFonts w:ascii="Times New Roman"/>
          <w:kern w:val="22"/>
        </w:rPr>
        <w:t xml:space="preserve">a </w:t>
      </w:r>
      <w:r w:rsidRPr="00F25D02">
        <w:rPr>
          <w:rFonts w:ascii="Times New Roman"/>
          <w:kern w:val="22"/>
        </w:rPr>
        <w:t>necessary link with DNA or RNA sequence</w:t>
      </w:r>
      <w:r w:rsidR="00F02D8D" w:rsidRPr="00F25D02">
        <w:rPr>
          <w:rFonts w:ascii="Times New Roman"/>
          <w:kern w:val="22"/>
        </w:rPr>
        <w:t>s</w:t>
      </w:r>
      <w:r w:rsidRPr="00F25D02">
        <w:rPr>
          <w:rFonts w:ascii="Times New Roman"/>
          <w:kern w:val="22"/>
        </w:rPr>
        <w:t xml:space="preserve"> in a specific genetic resource</w:t>
      </w:r>
      <w:r w:rsidR="00F02D8D" w:rsidRPr="00F25D02">
        <w:rPr>
          <w:rFonts w:ascii="Times New Roman"/>
          <w:kern w:val="22"/>
        </w:rPr>
        <w:t>;</w:t>
      </w:r>
    </w:p>
    <w:p w14:paraId="20C72F89" w14:textId="2229290F" w:rsidR="00FF14D1" w:rsidRPr="00F25D02" w:rsidRDefault="00FF14D1" w:rsidP="00086139">
      <w:pPr>
        <w:pStyle w:val="ListParagraph"/>
        <w:numPr>
          <w:ilvl w:val="0"/>
          <w:numId w:val="12"/>
        </w:numPr>
        <w:tabs>
          <w:tab w:val="left" w:pos="360"/>
          <w:tab w:val="left" w:pos="1170"/>
        </w:tabs>
        <w:spacing w:before="120" w:after="120" w:line="240" w:lineRule="auto"/>
        <w:ind w:left="1843"/>
        <w:contextualSpacing w:val="0"/>
        <w:jc w:val="both"/>
        <w:rPr>
          <w:rFonts w:ascii="Times New Roman"/>
          <w:kern w:val="22"/>
        </w:rPr>
      </w:pPr>
      <w:r w:rsidRPr="00F25D02">
        <w:rPr>
          <w:rFonts w:ascii="Times New Roman"/>
          <w:kern w:val="22"/>
        </w:rPr>
        <w:lastRenderedPageBreak/>
        <w:t>‘</w:t>
      </w:r>
      <w:r w:rsidR="00672070" w:rsidRPr="00F25D02">
        <w:rPr>
          <w:rFonts w:ascii="Times New Roman"/>
          <w:kern w:val="22"/>
        </w:rPr>
        <w:t>S</w:t>
      </w:r>
      <w:r w:rsidRPr="00F25D02">
        <w:rPr>
          <w:rFonts w:ascii="Times New Roman"/>
          <w:kern w:val="22"/>
        </w:rPr>
        <w:t>equence’ results from the process of determining the order of nucleotides in DNA genome or RNA molecule of a genetic resource of a specific species</w:t>
      </w:r>
      <w:r w:rsidR="00F02D8D" w:rsidRPr="00F25D02">
        <w:rPr>
          <w:rFonts w:ascii="Times New Roman"/>
          <w:kern w:val="22"/>
        </w:rPr>
        <w:t>; and</w:t>
      </w:r>
    </w:p>
    <w:p w14:paraId="147760E8" w14:textId="7414F149" w:rsidR="00FF14D1" w:rsidRPr="00F25D02" w:rsidRDefault="00FF14D1" w:rsidP="00086139">
      <w:pPr>
        <w:pStyle w:val="ListParagraph"/>
        <w:numPr>
          <w:ilvl w:val="0"/>
          <w:numId w:val="12"/>
        </w:numPr>
        <w:tabs>
          <w:tab w:val="left" w:pos="360"/>
          <w:tab w:val="left" w:pos="1170"/>
        </w:tabs>
        <w:spacing w:before="120" w:after="120" w:line="240" w:lineRule="auto"/>
        <w:ind w:left="1843"/>
        <w:contextualSpacing w:val="0"/>
        <w:jc w:val="both"/>
        <w:rPr>
          <w:rFonts w:ascii="Times New Roman"/>
          <w:kern w:val="22"/>
        </w:rPr>
      </w:pPr>
      <w:r w:rsidRPr="00F25D02">
        <w:rPr>
          <w:rFonts w:ascii="Times New Roman"/>
          <w:kern w:val="22"/>
        </w:rPr>
        <w:t>‘</w:t>
      </w:r>
      <w:r w:rsidR="00672070" w:rsidRPr="00F25D02">
        <w:rPr>
          <w:rFonts w:ascii="Times New Roman"/>
          <w:kern w:val="22"/>
        </w:rPr>
        <w:t>D</w:t>
      </w:r>
      <w:r w:rsidRPr="00F25D02">
        <w:rPr>
          <w:rFonts w:ascii="Times New Roman"/>
          <w:kern w:val="22"/>
        </w:rPr>
        <w:t>ata’ refers to the actual genetic sequence data of a specific genetic resource</w:t>
      </w:r>
      <w:r w:rsidR="00F02D8D" w:rsidRPr="00F25D02">
        <w:rPr>
          <w:rFonts w:ascii="Times New Roman"/>
          <w:kern w:val="22"/>
        </w:rPr>
        <w:t>.</w:t>
      </w:r>
    </w:p>
    <w:p w14:paraId="42CD585B" w14:textId="66805A7E" w:rsidR="00FF14D1" w:rsidRPr="00F25D02" w:rsidRDefault="00672070" w:rsidP="00121BB3">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N</w:t>
      </w:r>
      <w:r w:rsidR="00FF14D1" w:rsidRPr="00F25D02">
        <w:rPr>
          <w:rFonts w:ascii="Times New Roman"/>
          <w:kern w:val="22"/>
        </w:rPr>
        <w:t>ucleotide sequence data</w:t>
      </w:r>
      <w:r w:rsidRPr="00F25D02">
        <w:rPr>
          <w:rFonts w:ascii="Times New Roman"/>
          <w:kern w:val="22"/>
        </w:rPr>
        <w:t>;</w:t>
      </w:r>
      <w:r w:rsidR="00F4202E" w:rsidRPr="00F25D02">
        <w:rPr>
          <w:rStyle w:val="FootnoteReference"/>
          <w:rFonts w:ascii="Times New Roman"/>
          <w:kern w:val="22"/>
        </w:rPr>
        <w:footnoteReference w:id="76"/>
      </w:r>
      <w:r w:rsidR="00FF14D1" w:rsidRPr="00F25D02">
        <w:rPr>
          <w:rFonts w:ascii="Times New Roman"/>
          <w:kern w:val="22"/>
        </w:rPr>
        <w:t xml:space="preserve"> </w:t>
      </w:r>
    </w:p>
    <w:p w14:paraId="1B02ACBE" w14:textId="70A132AE" w:rsidR="00F4202E" w:rsidRPr="00F25D02" w:rsidRDefault="00672070" w:rsidP="00121BB3">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N</w:t>
      </w:r>
      <w:r w:rsidR="00FF14D1" w:rsidRPr="00F25D02">
        <w:rPr>
          <w:rFonts w:ascii="Times New Roman"/>
          <w:kern w:val="22"/>
        </w:rPr>
        <w:t>ucleotide sequence data on genetic resources</w:t>
      </w:r>
      <w:r w:rsidR="00ED4549" w:rsidRPr="00F25D02">
        <w:rPr>
          <w:rFonts w:ascii="Times New Roman"/>
          <w:kern w:val="22"/>
        </w:rPr>
        <w:t>,</w:t>
      </w:r>
      <w:r w:rsidR="00F4202E" w:rsidRPr="00F25D02">
        <w:rPr>
          <w:rStyle w:val="FootnoteReference"/>
          <w:rFonts w:ascii="Times New Roman"/>
          <w:kern w:val="22"/>
        </w:rPr>
        <w:footnoteReference w:id="77"/>
      </w:r>
      <w:r w:rsidR="00FF14D1" w:rsidRPr="00F25D02">
        <w:rPr>
          <w:rFonts w:ascii="Times New Roman"/>
          <w:kern w:val="22"/>
        </w:rPr>
        <w:t xml:space="preserve"> </w:t>
      </w:r>
      <w:bookmarkEnd w:id="22"/>
      <w:r w:rsidR="00FF14D1" w:rsidRPr="00F25D02">
        <w:rPr>
          <w:rFonts w:ascii="Times New Roman"/>
          <w:kern w:val="22"/>
        </w:rPr>
        <w:t>which was clarified to mean nucleotide sequence data generated by sequence determination of accessed genetic resources in the process of their utilization within</w:t>
      </w:r>
      <w:r w:rsidR="00DA7F33" w:rsidRPr="00F25D02">
        <w:rPr>
          <w:rFonts w:ascii="Times New Roman"/>
          <w:kern w:val="22"/>
        </w:rPr>
        <w:t xml:space="preserve"> the</w:t>
      </w:r>
      <w:r w:rsidR="00FF14D1" w:rsidRPr="00F25D02">
        <w:rPr>
          <w:rFonts w:ascii="Times New Roman"/>
          <w:kern w:val="22"/>
        </w:rPr>
        <w:t xml:space="preserve"> framework of </w:t>
      </w:r>
      <w:r w:rsidR="00DA7F33" w:rsidRPr="00F25D02">
        <w:rPr>
          <w:rFonts w:ascii="Times New Roman"/>
          <w:kern w:val="22"/>
        </w:rPr>
        <w:t xml:space="preserve">the </w:t>
      </w:r>
      <w:r w:rsidR="00FF14D1" w:rsidRPr="00F25D02">
        <w:rPr>
          <w:rFonts w:ascii="Times New Roman"/>
          <w:kern w:val="22"/>
        </w:rPr>
        <w:t xml:space="preserve">CBD and the Nagoya </w:t>
      </w:r>
      <w:r w:rsidR="00A61D1D" w:rsidRPr="00F25D02">
        <w:rPr>
          <w:rFonts w:ascii="Times New Roman"/>
          <w:kern w:val="22"/>
        </w:rPr>
        <w:t>P</w:t>
      </w:r>
      <w:r w:rsidR="00FF14D1" w:rsidRPr="00F25D02">
        <w:rPr>
          <w:rFonts w:ascii="Times New Roman"/>
          <w:kern w:val="22"/>
        </w:rPr>
        <w:t>rotocol</w:t>
      </w:r>
      <w:r w:rsidR="00DA7F33" w:rsidRPr="00F25D02">
        <w:rPr>
          <w:rFonts w:ascii="Times New Roman"/>
          <w:kern w:val="22"/>
        </w:rPr>
        <w:t>.</w:t>
      </w:r>
      <w:r w:rsidR="00F4202E" w:rsidRPr="00F25D02">
        <w:rPr>
          <w:rStyle w:val="FootnoteReference"/>
          <w:rFonts w:ascii="Times New Roman"/>
          <w:kern w:val="22"/>
        </w:rPr>
        <w:footnoteReference w:id="78"/>
      </w:r>
      <w:r w:rsidR="00FF14D1" w:rsidRPr="00F25D02">
        <w:rPr>
          <w:rFonts w:ascii="Times New Roman"/>
          <w:kern w:val="22"/>
        </w:rPr>
        <w:t xml:space="preserve"> </w:t>
      </w:r>
    </w:p>
    <w:p w14:paraId="283A724F" w14:textId="3FFE1C10" w:rsidR="004A466F" w:rsidRPr="00F25D02" w:rsidRDefault="00705922" w:rsidP="00086139">
      <w:pPr>
        <w:pStyle w:val="Heading2"/>
        <w:keepLines w:val="0"/>
        <w:numPr>
          <w:ilvl w:val="1"/>
          <w:numId w:val="8"/>
        </w:numPr>
        <w:tabs>
          <w:tab w:val="left" w:pos="720"/>
        </w:tabs>
        <w:spacing w:before="120" w:after="120" w:line="240" w:lineRule="auto"/>
        <w:ind w:left="720"/>
        <w:jc w:val="center"/>
        <w:rPr>
          <w:rFonts w:ascii="Times New Roman" w:eastAsia="Times New Roman" w:hAnsi="Times New Roman" w:cs="Times New Roman"/>
          <w:b/>
          <w:bCs/>
          <w:iCs/>
          <w:color w:val="auto"/>
          <w:kern w:val="22"/>
          <w:sz w:val="22"/>
          <w:szCs w:val="24"/>
          <w:lang w:val="en-GB"/>
        </w:rPr>
      </w:pPr>
      <w:r w:rsidRPr="00F25D02">
        <w:rPr>
          <w:rFonts w:ascii="Times New Roman" w:eastAsia="Times New Roman" w:hAnsi="Times New Roman" w:cs="Times New Roman"/>
          <w:b/>
          <w:bCs/>
          <w:iCs/>
          <w:color w:val="auto"/>
          <w:kern w:val="22"/>
          <w:sz w:val="22"/>
          <w:szCs w:val="24"/>
          <w:lang w:val="en-GB"/>
        </w:rPr>
        <w:t xml:space="preserve">Perspectives on the use of </w:t>
      </w:r>
      <w:r w:rsidR="00A61D1D" w:rsidRPr="00F25D02">
        <w:rPr>
          <w:rFonts w:ascii="Times New Roman" w:eastAsia="Times New Roman" w:hAnsi="Times New Roman" w:cs="Times New Roman"/>
          <w:b/>
          <w:bCs/>
          <w:iCs/>
          <w:color w:val="auto"/>
          <w:kern w:val="22"/>
          <w:sz w:val="22"/>
          <w:szCs w:val="24"/>
          <w:lang w:val="en-GB"/>
        </w:rPr>
        <w:t>d</w:t>
      </w:r>
      <w:r w:rsidR="004A466F" w:rsidRPr="00F25D02">
        <w:rPr>
          <w:rFonts w:ascii="Times New Roman" w:eastAsia="Times New Roman" w:hAnsi="Times New Roman" w:cs="Times New Roman"/>
          <w:b/>
          <w:bCs/>
          <w:iCs/>
          <w:color w:val="auto"/>
          <w:kern w:val="22"/>
          <w:sz w:val="22"/>
          <w:szCs w:val="24"/>
          <w:lang w:val="en-GB"/>
        </w:rPr>
        <w:t xml:space="preserve">igital </w:t>
      </w:r>
      <w:r w:rsidR="00A61D1D" w:rsidRPr="00F25D02">
        <w:rPr>
          <w:rFonts w:ascii="Times New Roman" w:eastAsia="Times New Roman" w:hAnsi="Times New Roman" w:cs="Times New Roman"/>
          <w:b/>
          <w:bCs/>
          <w:iCs/>
          <w:color w:val="auto"/>
          <w:kern w:val="22"/>
          <w:sz w:val="22"/>
          <w:szCs w:val="24"/>
          <w:lang w:val="en-GB"/>
        </w:rPr>
        <w:t>s</w:t>
      </w:r>
      <w:r w:rsidR="004A466F" w:rsidRPr="00F25D02">
        <w:rPr>
          <w:rFonts w:ascii="Times New Roman" w:eastAsia="Times New Roman" w:hAnsi="Times New Roman" w:cs="Times New Roman"/>
          <w:b/>
          <w:bCs/>
          <w:iCs/>
          <w:color w:val="auto"/>
          <w:kern w:val="22"/>
          <w:sz w:val="22"/>
          <w:szCs w:val="24"/>
          <w:lang w:val="en-GB"/>
        </w:rPr>
        <w:t xml:space="preserve">equence </w:t>
      </w:r>
      <w:r w:rsidR="00A61D1D" w:rsidRPr="00F25D02">
        <w:rPr>
          <w:rFonts w:ascii="Times New Roman" w:eastAsia="Times New Roman" w:hAnsi="Times New Roman" w:cs="Times New Roman"/>
          <w:b/>
          <w:bCs/>
          <w:iCs/>
          <w:color w:val="auto"/>
          <w:kern w:val="22"/>
          <w:sz w:val="22"/>
          <w:szCs w:val="24"/>
          <w:lang w:val="en-GB"/>
        </w:rPr>
        <w:t>i</w:t>
      </w:r>
      <w:r w:rsidR="004A466F" w:rsidRPr="00F25D02">
        <w:rPr>
          <w:rFonts w:ascii="Times New Roman" w:eastAsia="Times New Roman" w:hAnsi="Times New Roman" w:cs="Times New Roman"/>
          <w:b/>
          <w:bCs/>
          <w:iCs/>
          <w:color w:val="auto"/>
          <w:kern w:val="22"/>
          <w:sz w:val="22"/>
          <w:szCs w:val="24"/>
          <w:lang w:val="en-GB"/>
        </w:rPr>
        <w:t xml:space="preserve">nformation on </w:t>
      </w:r>
      <w:r w:rsidR="00A61D1D" w:rsidRPr="00F25D02">
        <w:rPr>
          <w:rFonts w:ascii="Times New Roman" w:eastAsia="Times New Roman" w:hAnsi="Times New Roman" w:cs="Times New Roman"/>
          <w:b/>
          <w:bCs/>
          <w:iCs/>
          <w:color w:val="auto"/>
          <w:kern w:val="22"/>
          <w:sz w:val="22"/>
          <w:szCs w:val="24"/>
          <w:lang w:val="en-GB"/>
        </w:rPr>
        <w:t>g</w:t>
      </w:r>
      <w:r w:rsidR="004A466F" w:rsidRPr="00F25D02">
        <w:rPr>
          <w:rFonts w:ascii="Times New Roman" w:eastAsia="Times New Roman" w:hAnsi="Times New Roman" w:cs="Times New Roman"/>
          <w:b/>
          <w:bCs/>
          <w:iCs/>
          <w:color w:val="auto"/>
          <w:kern w:val="22"/>
          <w:sz w:val="22"/>
          <w:szCs w:val="24"/>
          <w:lang w:val="en-GB"/>
        </w:rPr>
        <w:t xml:space="preserve">enetic </w:t>
      </w:r>
      <w:r w:rsidR="00A61D1D" w:rsidRPr="00F25D02">
        <w:rPr>
          <w:rFonts w:ascii="Times New Roman" w:eastAsia="Times New Roman" w:hAnsi="Times New Roman" w:cs="Times New Roman"/>
          <w:b/>
          <w:bCs/>
          <w:iCs/>
          <w:color w:val="auto"/>
          <w:kern w:val="22"/>
          <w:sz w:val="22"/>
          <w:szCs w:val="24"/>
          <w:lang w:val="en-GB"/>
        </w:rPr>
        <w:t>r</w:t>
      </w:r>
      <w:r w:rsidR="004A466F" w:rsidRPr="00F25D02">
        <w:rPr>
          <w:rFonts w:ascii="Times New Roman" w:eastAsia="Times New Roman" w:hAnsi="Times New Roman" w:cs="Times New Roman"/>
          <w:b/>
          <w:bCs/>
          <w:iCs/>
          <w:color w:val="auto"/>
          <w:kern w:val="22"/>
          <w:sz w:val="22"/>
          <w:szCs w:val="24"/>
          <w:lang w:val="en-GB"/>
        </w:rPr>
        <w:t>esources</w:t>
      </w:r>
    </w:p>
    <w:p w14:paraId="65400602" w14:textId="76159461" w:rsidR="004A466F" w:rsidRPr="00F25D02" w:rsidRDefault="0034558F" w:rsidP="00086139">
      <w:pPr>
        <w:pStyle w:val="Heading3"/>
        <w:numPr>
          <w:ilvl w:val="0"/>
          <w:numId w:val="10"/>
        </w:numPr>
        <w:ind w:left="720"/>
        <w:rPr>
          <w:kern w:val="22"/>
        </w:rPr>
      </w:pPr>
      <w:r w:rsidRPr="00F25D02">
        <w:rPr>
          <w:kern w:val="22"/>
        </w:rPr>
        <w:t>S</w:t>
      </w:r>
      <w:r w:rsidR="004A466F" w:rsidRPr="00F25D02">
        <w:rPr>
          <w:kern w:val="22"/>
        </w:rPr>
        <w:t xml:space="preserve">cientific </w:t>
      </w:r>
      <w:r w:rsidRPr="00F25D02">
        <w:rPr>
          <w:kern w:val="22"/>
        </w:rPr>
        <w:t xml:space="preserve">norms and established </w:t>
      </w:r>
      <w:r w:rsidR="004A466F" w:rsidRPr="00F25D02">
        <w:rPr>
          <w:kern w:val="22"/>
        </w:rPr>
        <w:t xml:space="preserve">practices </w:t>
      </w:r>
    </w:p>
    <w:p w14:paraId="7D947A28" w14:textId="40738CAC" w:rsidR="00BE3CA6" w:rsidRPr="00F25D02" w:rsidRDefault="00BE3CA6" w:rsidP="00BE3CA6">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bookmarkStart w:id="25" w:name="_Hlk31739157"/>
      <w:bookmarkStart w:id="26" w:name="_Hlk17203254"/>
      <w:r w:rsidRPr="00F25D02">
        <w:rPr>
          <w:rFonts w:ascii="Times New Roman"/>
          <w:kern w:val="22"/>
        </w:rPr>
        <w:t xml:space="preserve">The policy-based process on </w:t>
      </w:r>
      <w:r w:rsidR="00BB7978" w:rsidRPr="00F25D02">
        <w:rPr>
          <w:rFonts w:ascii="Times New Roman"/>
          <w:kern w:val="22"/>
        </w:rPr>
        <w:t>digital sequence information</w:t>
      </w:r>
      <w:r w:rsidRPr="00F25D02">
        <w:rPr>
          <w:rFonts w:ascii="Times New Roman"/>
          <w:kern w:val="22"/>
        </w:rPr>
        <w:t xml:space="preserve"> established by </w:t>
      </w:r>
      <w:r w:rsidR="00B37FBC" w:rsidRPr="00F25D02">
        <w:rPr>
          <w:rFonts w:ascii="Times New Roman"/>
          <w:kern w:val="22"/>
        </w:rPr>
        <w:t>d</w:t>
      </w:r>
      <w:r w:rsidRPr="00F25D02">
        <w:rPr>
          <w:rFonts w:ascii="Times New Roman"/>
          <w:kern w:val="22"/>
        </w:rPr>
        <w:t>ecision 14/20 includes, inter alia, the commissioning and peer</w:t>
      </w:r>
      <w:r w:rsidR="00D64463" w:rsidRPr="00F25D02">
        <w:rPr>
          <w:rFonts w:ascii="Times New Roman"/>
          <w:kern w:val="22"/>
        </w:rPr>
        <w:t>-</w:t>
      </w:r>
      <w:r w:rsidRPr="00F25D02">
        <w:rPr>
          <w:rFonts w:ascii="Times New Roman"/>
          <w:kern w:val="22"/>
        </w:rPr>
        <w:t>review of a Combined Study on Digital Sequence Information in Public and Private Databases and Traceability</w:t>
      </w:r>
      <w:r w:rsidRPr="00F25D02">
        <w:rPr>
          <w:rStyle w:val="FootnoteReference"/>
          <w:rFonts w:ascii="Times New Roman"/>
          <w:kern w:val="22"/>
        </w:rPr>
        <w:footnoteReference w:id="79"/>
      </w:r>
      <w:r w:rsidRPr="00F25D02">
        <w:rPr>
          <w:rFonts w:ascii="Times New Roman"/>
          <w:kern w:val="22"/>
        </w:rPr>
        <w:t xml:space="preserve"> which has been developed </w:t>
      </w:r>
      <w:proofErr w:type="gramStart"/>
      <w:r w:rsidRPr="00F25D02">
        <w:rPr>
          <w:rFonts w:ascii="Times New Roman"/>
          <w:kern w:val="22"/>
        </w:rPr>
        <w:t>taking into account</w:t>
      </w:r>
      <w:proofErr w:type="gramEnd"/>
      <w:r w:rsidRPr="00F25D02">
        <w:rPr>
          <w:rFonts w:ascii="Times New Roman"/>
          <w:kern w:val="22"/>
        </w:rPr>
        <w:t xml:space="preserve"> a wide range of sources. </w:t>
      </w:r>
      <w:r w:rsidR="00D64463" w:rsidRPr="00F25D02">
        <w:rPr>
          <w:rFonts w:ascii="Times New Roman"/>
          <w:kern w:val="22"/>
        </w:rPr>
        <w:t>T</w:t>
      </w:r>
      <w:r w:rsidRPr="00F25D02">
        <w:rPr>
          <w:rFonts w:ascii="Times New Roman"/>
          <w:kern w:val="22"/>
        </w:rPr>
        <w:t xml:space="preserve">he study considers scientific norms and established practices concerning </w:t>
      </w:r>
      <w:r w:rsidR="00BB7978" w:rsidRPr="00F25D02">
        <w:rPr>
          <w:rFonts w:ascii="Times New Roman"/>
          <w:kern w:val="22"/>
        </w:rPr>
        <w:t>digital sequence information</w:t>
      </w:r>
      <w:r w:rsidRPr="00F25D02">
        <w:rPr>
          <w:rFonts w:ascii="Times New Roman"/>
          <w:kern w:val="22"/>
        </w:rPr>
        <w:t xml:space="preserve"> in considerably greater detail than the sections below.</w:t>
      </w:r>
    </w:p>
    <w:bookmarkEnd w:id="25"/>
    <w:p w14:paraId="5EB0ED4B" w14:textId="22854414" w:rsidR="00E16913" w:rsidRPr="00F25D02" w:rsidRDefault="00BB7978"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Digital sequence information </w:t>
      </w:r>
      <w:r w:rsidR="00E16913" w:rsidRPr="00F25D02">
        <w:rPr>
          <w:rFonts w:ascii="Times New Roman"/>
          <w:kern w:val="22"/>
        </w:rPr>
        <w:t xml:space="preserve">is generated mostly from </w:t>
      </w:r>
      <w:r w:rsidR="003F69FE" w:rsidRPr="00F25D02">
        <w:rPr>
          <w:rFonts w:ascii="Times New Roman"/>
          <w:kern w:val="22"/>
        </w:rPr>
        <w:t xml:space="preserve">basic </w:t>
      </w:r>
      <w:r w:rsidR="00E16913" w:rsidRPr="00F25D02">
        <w:rPr>
          <w:rFonts w:ascii="Times New Roman"/>
          <w:kern w:val="22"/>
        </w:rPr>
        <w:t>research on plants, animals, fungi, bacteria and viruses</w:t>
      </w:r>
      <w:r w:rsidR="003F69FE" w:rsidRPr="00F25D02">
        <w:rPr>
          <w:rStyle w:val="FootnoteReference"/>
          <w:rFonts w:ascii="Times New Roman"/>
          <w:kern w:val="22"/>
        </w:rPr>
        <w:footnoteReference w:id="80"/>
      </w:r>
      <w:r w:rsidR="00E16913" w:rsidRPr="00F25D02">
        <w:rPr>
          <w:rFonts w:ascii="Times New Roman"/>
          <w:kern w:val="22"/>
        </w:rPr>
        <w:t xml:space="preserve"> </w:t>
      </w:r>
      <w:r w:rsidR="0055715E" w:rsidRPr="00F25D02">
        <w:rPr>
          <w:rFonts w:ascii="Times New Roman"/>
          <w:kern w:val="22"/>
        </w:rPr>
        <w:t>in which</w:t>
      </w:r>
      <w:r w:rsidR="00E16913" w:rsidRPr="00F25D02">
        <w:rPr>
          <w:rFonts w:ascii="Times New Roman"/>
          <w:kern w:val="22"/>
        </w:rPr>
        <w:t xml:space="preserve"> DNA sequences from collection material</w:t>
      </w:r>
      <w:r w:rsidR="0055715E" w:rsidRPr="00F25D02">
        <w:rPr>
          <w:rFonts w:ascii="Times New Roman"/>
          <w:kern w:val="22"/>
        </w:rPr>
        <w:t>s</w:t>
      </w:r>
      <w:r w:rsidR="00E16913" w:rsidRPr="00F25D02">
        <w:rPr>
          <w:rFonts w:ascii="Times New Roman"/>
          <w:kern w:val="22"/>
        </w:rPr>
        <w:t xml:space="preserve"> are placed in the public domain for taxonomic, phylogenetic or evolutionary studies.</w:t>
      </w:r>
      <w:r w:rsidR="003F69FE" w:rsidRPr="00F25D02">
        <w:rPr>
          <w:rStyle w:val="FootnoteReference"/>
          <w:rFonts w:ascii="Times New Roman"/>
          <w:kern w:val="22"/>
        </w:rPr>
        <w:footnoteReference w:id="81"/>
      </w:r>
      <w:r w:rsidR="00E16913" w:rsidRPr="00F25D02">
        <w:rPr>
          <w:rFonts w:ascii="Times New Roman"/>
          <w:kern w:val="22"/>
        </w:rPr>
        <w:t xml:space="preserve"> A significant portion of this data is </w:t>
      </w:r>
      <w:r w:rsidR="00B25F56" w:rsidRPr="00F25D02">
        <w:rPr>
          <w:rFonts w:ascii="Times New Roman"/>
          <w:kern w:val="22"/>
        </w:rPr>
        <w:t>generated</w:t>
      </w:r>
      <w:r w:rsidR="00E16913" w:rsidRPr="00F25D02">
        <w:rPr>
          <w:rFonts w:ascii="Times New Roman"/>
          <w:kern w:val="22"/>
        </w:rPr>
        <w:t xml:space="preserve"> by publicly funded research-focused institutions worldwide and this work is typically carried out with non-commercial aims and often involving international co-operation.</w:t>
      </w:r>
      <w:r w:rsidR="003F69FE" w:rsidRPr="00F25D02">
        <w:rPr>
          <w:rStyle w:val="FootnoteReference"/>
          <w:rFonts w:ascii="Times New Roman"/>
          <w:kern w:val="22"/>
        </w:rPr>
        <w:footnoteReference w:id="82"/>
      </w:r>
    </w:p>
    <w:p w14:paraId="3DADFD12" w14:textId="62BC3E98" w:rsidR="00996D1F" w:rsidRPr="00F25D02" w:rsidRDefault="00E16913"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Open exchange of </w:t>
      </w:r>
      <w:r w:rsidR="006805F0" w:rsidRPr="00F25D02">
        <w:rPr>
          <w:rFonts w:ascii="Times New Roman"/>
          <w:kern w:val="22"/>
        </w:rPr>
        <w:t xml:space="preserve">DNA </w:t>
      </w:r>
      <w:r w:rsidRPr="00F25D02">
        <w:rPr>
          <w:rFonts w:ascii="Times New Roman"/>
          <w:kern w:val="22"/>
        </w:rPr>
        <w:t>sequence</w:t>
      </w:r>
      <w:r w:rsidR="006805F0" w:rsidRPr="00F25D02">
        <w:rPr>
          <w:rFonts w:ascii="Times New Roman"/>
          <w:kern w:val="22"/>
        </w:rPr>
        <w:t>s</w:t>
      </w:r>
      <w:r w:rsidRPr="00F25D02">
        <w:rPr>
          <w:rFonts w:ascii="Times New Roman"/>
          <w:kern w:val="22"/>
        </w:rPr>
        <w:t xml:space="preserve"> </w:t>
      </w:r>
      <w:r w:rsidR="003F69FE" w:rsidRPr="00F25D02">
        <w:rPr>
          <w:rFonts w:ascii="Times New Roman"/>
          <w:kern w:val="22"/>
        </w:rPr>
        <w:t xml:space="preserve">and related </w:t>
      </w:r>
      <w:r w:rsidRPr="00F25D02">
        <w:rPr>
          <w:rFonts w:ascii="Times New Roman"/>
          <w:kern w:val="22"/>
        </w:rPr>
        <w:t xml:space="preserve">data has become standard practice in </w:t>
      </w:r>
      <w:r w:rsidR="00B25F56" w:rsidRPr="00F25D02">
        <w:rPr>
          <w:rFonts w:ascii="Times New Roman"/>
          <w:kern w:val="22"/>
        </w:rPr>
        <w:t>non-commercial scientific research</w:t>
      </w:r>
      <w:r w:rsidR="003F69FE" w:rsidRPr="00F25D02">
        <w:rPr>
          <w:rFonts w:ascii="Times New Roman"/>
          <w:kern w:val="22"/>
        </w:rPr>
        <w:t xml:space="preserve"> </w:t>
      </w:r>
      <w:r w:rsidR="00B25F56" w:rsidRPr="00F25D02">
        <w:rPr>
          <w:rFonts w:ascii="Times New Roman"/>
          <w:kern w:val="22"/>
        </w:rPr>
        <w:t>in which p</w:t>
      </w:r>
      <w:r w:rsidR="000315ED" w:rsidRPr="00F25D02">
        <w:rPr>
          <w:rFonts w:ascii="Times New Roman"/>
          <w:kern w:val="22"/>
        </w:rPr>
        <w:t>ublic international data repositories</w:t>
      </w:r>
      <w:r w:rsidR="00B25F56" w:rsidRPr="00F25D02">
        <w:rPr>
          <w:rFonts w:ascii="Times New Roman"/>
          <w:kern w:val="22"/>
        </w:rPr>
        <w:t xml:space="preserve"> facilitate the and the rapid sharing of </w:t>
      </w:r>
      <w:r w:rsidR="00BB7978" w:rsidRPr="00F25D02">
        <w:rPr>
          <w:rFonts w:ascii="Times New Roman"/>
          <w:kern w:val="22"/>
        </w:rPr>
        <w:t>digital sequence information</w:t>
      </w:r>
      <w:r w:rsidR="000315ED" w:rsidRPr="00F25D02">
        <w:rPr>
          <w:rFonts w:ascii="Times New Roman"/>
          <w:kern w:val="22"/>
        </w:rPr>
        <w:t>.</w:t>
      </w:r>
      <w:r w:rsidR="003F69FE" w:rsidRPr="00F25D02">
        <w:rPr>
          <w:rStyle w:val="FootnoteReference"/>
          <w:rFonts w:ascii="Times New Roman"/>
          <w:kern w:val="22"/>
        </w:rPr>
        <w:footnoteReference w:id="83"/>
      </w:r>
      <w:r w:rsidR="000315ED" w:rsidRPr="00F25D02">
        <w:rPr>
          <w:rFonts w:ascii="Times New Roman"/>
          <w:kern w:val="22"/>
        </w:rPr>
        <w:t xml:space="preserve"> </w:t>
      </w:r>
      <w:r w:rsidRPr="00F25D02">
        <w:rPr>
          <w:rFonts w:ascii="Times New Roman"/>
          <w:kern w:val="22"/>
        </w:rPr>
        <w:t xml:space="preserve">This open access model </w:t>
      </w:r>
      <w:r w:rsidR="00B25F56" w:rsidRPr="00F25D02">
        <w:rPr>
          <w:rFonts w:ascii="Times New Roman"/>
          <w:kern w:val="22"/>
        </w:rPr>
        <w:t>has been</w:t>
      </w:r>
      <w:r w:rsidRPr="00F25D02">
        <w:rPr>
          <w:rFonts w:ascii="Times New Roman"/>
          <w:kern w:val="22"/>
        </w:rPr>
        <w:t xml:space="preserve"> </w:t>
      </w:r>
      <w:r w:rsidR="0034558F" w:rsidRPr="00F25D02">
        <w:rPr>
          <w:rFonts w:ascii="Times New Roman"/>
          <w:kern w:val="22"/>
        </w:rPr>
        <w:t>driven by the</w:t>
      </w:r>
      <w:r w:rsidRPr="00F25D02">
        <w:rPr>
          <w:rFonts w:ascii="Times New Roman"/>
          <w:kern w:val="22"/>
        </w:rPr>
        <w:t xml:space="preserve"> policies of research funders and scientific journals</w:t>
      </w:r>
      <w:r w:rsidR="00996D1F" w:rsidRPr="00F25D02">
        <w:rPr>
          <w:rFonts w:ascii="Times New Roman"/>
          <w:kern w:val="22"/>
        </w:rPr>
        <w:t xml:space="preserve"> which</w:t>
      </w:r>
      <w:r w:rsidR="00E31AD2" w:rsidRPr="00F25D02">
        <w:rPr>
          <w:rFonts w:ascii="Times New Roman"/>
          <w:kern w:val="22"/>
        </w:rPr>
        <w:t xml:space="preserve"> </w:t>
      </w:r>
      <w:r w:rsidR="00996D1F" w:rsidRPr="00F25D02">
        <w:rPr>
          <w:rFonts w:ascii="Times New Roman"/>
          <w:kern w:val="22"/>
        </w:rPr>
        <w:t>since the 1990’s have seen a discernible shift towards open access science to support scientific research globally.</w:t>
      </w:r>
      <w:r w:rsidR="00996D1F" w:rsidRPr="00F25D02">
        <w:rPr>
          <w:rStyle w:val="FootnoteReference"/>
          <w:rFonts w:ascii="Times New Roman"/>
          <w:kern w:val="22"/>
        </w:rPr>
        <w:footnoteReference w:id="84"/>
      </w:r>
      <w:r w:rsidR="00B25F56" w:rsidRPr="00F25D02">
        <w:rPr>
          <w:rFonts w:ascii="Times New Roman"/>
          <w:kern w:val="22"/>
        </w:rPr>
        <w:t xml:space="preserve"> </w:t>
      </w:r>
      <w:r w:rsidR="000878C2" w:rsidRPr="00F25D02">
        <w:rPr>
          <w:rFonts w:ascii="Times New Roman"/>
          <w:kern w:val="22"/>
        </w:rPr>
        <w:t>One submission, however, noted that the perceived open-access model should not be equated with ‘free’ or ‘unrestricted’ and most databases don’t provide information regarding how the information was obtained or if IP or other restrictions apply</w:t>
      </w:r>
      <w:r w:rsidR="00A46752" w:rsidRPr="00F25D02">
        <w:rPr>
          <w:rFonts w:ascii="Times New Roman"/>
          <w:kern w:val="22"/>
        </w:rPr>
        <w:t xml:space="preserve"> to the commercial use of such data/information</w:t>
      </w:r>
      <w:r w:rsidR="00E24299" w:rsidRPr="00F25D02">
        <w:rPr>
          <w:rFonts w:ascii="Times New Roman"/>
          <w:kern w:val="22"/>
        </w:rPr>
        <w:t>.</w:t>
      </w:r>
      <w:r w:rsidR="00E24299" w:rsidRPr="00F25D02">
        <w:rPr>
          <w:rStyle w:val="FootnoteReference"/>
          <w:rFonts w:ascii="Times New Roman"/>
          <w:kern w:val="22"/>
        </w:rPr>
        <w:footnoteReference w:id="85"/>
      </w:r>
      <w:r w:rsidR="000878C2" w:rsidRPr="00F25D02">
        <w:rPr>
          <w:rFonts w:ascii="Times New Roman"/>
          <w:kern w:val="22"/>
        </w:rPr>
        <w:t xml:space="preserve"> </w:t>
      </w:r>
    </w:p>
    <w:p w14:paraId="5D2F3AB2" w14:textId="1E965312" w:rsidR="00E16913" w:rsidRPr="00F25D02" w:rsidRDefault="00CE1F65"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Several</w:t>
      </w:r>
      <w:r w:rsidR="00996D1F" w:rsidRPr="00F25D02">
        <w:rPr>
          <w:rFonts w:ascii="Times New Roman"/>
          <w:kern w:val="22"/>
        </w:rPr>
        <w:t xml:space="preserve"> submissions noted that</w:t>
      </w:r>
      <w:r w:rsidR="00E16913" w:rsidRPr="00F25D02">
        <w:rPr>
          <w:rFonts w:ascii="Times New Roman"/>
          <w:kern w:val="22"/>
        </w:rPr>
        <w:t xml:space="preserve"> the International Nucleotide Sequence Database Collaboration (INSDC)</w:t>
      </w:r>
      <w:r w:rsidR="00E16913" w:rsidRPr="00F25D02">
        <w:rPr>
          <w:rStyle w:val="FootnoteReference"/>
          <w:rFonts w:ascii="Times New Roman"/>
          <w:kern w:val="22"/>
        </w:rPr>
        <w:footnoteReference w:id="86"/>
      </w:r>
      <w:r w:rsidR="00E16913" w:rsidRPr="00F25D02">
        <w:rPr>
          <w:rFonts w:ascii="Times New Roman"/>
          <w:kern w:val="22"/>
        </w:rPr>
        <w:t xml:space="preserve"> </w:t>
      </w:r>
      <w:r w:rsidR="00996D1F" w:rsidRPr="00F25D02">
        <w:rPr>
          <w:rFonts w:ascii="Times New Roman"/>
          <w:kern w:val="22"/>
        </w:rPr>
        <w:t>has</w:t>
      </w:r>
      <w:r w:rsidR="00E16913" w:rsidRPr="00F25D02">
        <w:rPr>
          <w:rFonts w:ascii="Times New Roman"/>
          <w:kern w:val="22"/>
        </w:rPr>
        <w:t xml:space="preserve"> been adopted by the scientific community as the data infrastructure for the open sharing of sequences, both in terms of data exchange systems and supporting technical data standards.</w:t>
      </w:r>
      <w:r w:rsidR="005137F3" w:rsidRPr="00F25D02">
        <w:rPr>
          <w:rStyle w:val="FootnoteReference"/>
          <w:rFonts w:ascii="Times New Roman"/>
          <w:kern w:val="22"/>
        </w:rPr>
        <w:footnoteReference w:id="87"/>
      </w:r>
      <w:r w:rsidR="00E16913" w:rsidRPr="00F25D02">
        <w:rPr>
          <w:rFonts w:ascii="Times New Roman"/>
          <w:kern w:val="22"/>
        </w:rPr>
        <w:t xml:space="preserve"> </w:t>
      </w:r>
      <w:r w:rsidR="006805F0" w:rsidRPr="00F25D02">
        <w:rPr>
          <w:rFonts w:ascii="Times New Roman"/>
          <w:kern w:val="22"/>
        </w:rPr>
        <w:t>Relevant</w:t>
      </w:r>
      <w:r w:rsidR="00E16913" w:rsidRPr="00F25D02">
        <w:rPr>
          <w:rFonts w:ascii="Times New Roman"/>
          <w:kern w:val="22"/>
        </w:rPr>
        <w:t xml:space="preserve"> insights included:</w:t>
      </w:r>
    </w:p>
    <w:p w14:paraId="0EB26E03" w14:textId="2A110AD6" w:rsidR="00E16913" w:rsidRPr="00F25D02" w:rsidRDefault="00E16913" w:rsidP="00672070">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INSDC’s core databases are freely accessible to researchers in all countries</w:t>
      </w:r>
      <w:r w:rsidR="00E31AD2" w:rsidRPr="00F25D02">
        <w:rPr>
          <w:rStyle w:val="FootnoteReference"/>
          <w:rFonts w:ascii="Times New Roman"/>
          <w:kern w:val="22"/>
        </w:rPr>
        <w:footnoteReference w:id="88"/>
      </w:r>
      <w:r w:rsidRPr="00F25D02">
        <w:rPr>
          <w:rFonts w:ascii="Times New Roman"/>
          <w:kern w:val="22"/>
        </w:rPr>
        <w:t xml:space="preserve"> </w:t>
      </w:r>
      <w:r w:rsidR="00DA7F33" w:rsidRPr="00F25D02">
        <w:rPr>
          <w:rFonts w:ascii="Times New Roman"/>
          <w:kern w:val="22"/>
        </w:rPr>
        <w:t>and place</w:t>
      </w:r>
      <w:r w:rsidRPr="00F25D02">
        <w:rPr>
          <w:rFonts w:ascii="Times New Roman"/>
          <w:kern w:val="22"/>
        </w:rPr>
        <w:t xml:space="preserve"> no restriction on the access, use and redistribution of data pursuant to an open data policy which is </w:t>
      </w:r>
      <w:r w:rsidRPr="00F25D02">
        <w:rPr>
          <w:rFonts w:ascii="Times New Roman"/>
          <w:kern w:val="22"/>
        </w:rPr>
        <w:lastRenderedPageBreak/>
        <w:t>determined by governments, funding sources, institutional governance and INDC International Advisory Committee</w:t>
      </w:r>
      <w:r w:rsidR="00E068E3" w:rsidRPr="00F25D02">
        <w:rPr>
          <w:rFonts w:ascii="Times New Roman"/>
          <w:kern w:val="22"/>
        </w:rPr>
        <w:t>;</w:t>
      </w:r>
      <w:r w:rsidR="00E31AD2" w:rsidRPr="00F25D02">
        <w:rPr>
          <w:rStyle w:val="FootnoteReference"/>
          <w:rFonts w:ascii="Times New Roman"/>
          <w:kern w:val="22"/>
        </w:rPr>
        <w:footnoteReference w:id="89"/>
      </w:r>
      <w:r w:rsidRPr="00F25D02">
        <w:rPr>
          <w:rFonts w:ascii="Times New Roman"/>
          <w:kern w:val="22"/>
        </w:rPr>
        <w:t xml:space="preserve"> </w:t>
      </w:r>
    </w:p>
    <w:p w14:paraId="3C435854" w14:textId="6019E597" w:rsidR="006805F0" w:rsidRPr="00F25D02" w:rsidRDefault="00672070" w:rsidP="00672070">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C</w:t>
      </w:r>
      <w:r w:rsidR="00E16913" w:rsidRPr="00F25D02">
        <w:rPr>
          <w:rFonts w:ascii="Times New Roman"/>
          <w:kern w:val="22"/>
        </w:rPr>
        <w:t xml:space="preserve">ontributors </w:t>
      </w:r>
      <w:r w:rsidR="00E068E3" w:rsidRPr="00F25D02">
        <w:rPr>
          <w:rFonts w:ascii="Times New Roman"/>
          <w:kern w:val="22"/>
        </w:rPr>
        <w:t xml:space="preserve">are encouraged </w:t>
      </w:r>
      <w:r w:rsidR="00E16913" w:rsidRPr="00F25D02">
        <w:rPr>
          <w:rFonts w:ascii="Times New Roman"/>
          <w:kern w:val="22"/>
        </w:rPr>
        <w:t xml:space="preserve">to provide contextual metadata which describes </w:t>
      </w:r>
      <w:r w:rsidR="00BB7978" w:rsidRPr="00F25D02">
        <w:rPr>
          <w:rFonts w:ascii="Times New Roman"/>
          <w:kern w:val="22"/>
        </w:rPr>
        <w:t>digital sequence information</w:t>
      </w:r>
      <w:r w:rsidR="00E16913" w:rsidRPr="00F25D02">
        <w:rPr>
          <w:rFonts w:ascii="Times New Roman"/>
          <w:kern w:val="22"/>
        </w:rPr>
        <w:t xml:space="preserve"> including, where applicable, information regarding the origin of a biological sample associated with </w:t>
      </w:r>
      <w:r w:rsidR="00BB7978" w:rsidRPr="00F25D02">
        <w:rPr>
          <w:rFonts w:ascii="Times New Roman"/>
          <w:kern w:val="22"/>
        </w:rPr>
        <w:t>digital sequence information</w:t>
      </w:r>
      <w:r w:rsidR="00E16913" w:rsidRPr="00F25D02">
        <w:rPr>
          <w:rFonts w:ascii="Times New Roman"/>
          <w:kern w:val="22"/>
        </w:rPr>
        <w:t xml:space="preserve"> such as where and when it was obtained, and where it is stored</w:t>
      </w:r>
      <w:r w:rsidR="00E068E3" w:rsidRPr="00F25D02">
        <w:rPr>
          <w:rFonts w:ascii="Times New Roman"/>
          <w:kern w:val="22"/>
        </w:rPr>
        <w:t>;</w:t>
      </w:r>
      <w:r w:rsidR="00E31AD2" w:rsidRPr="00F25D02">
        <w:rPr>
          <w:rStyle w:val="FootnoteReference"/>
          <w:rFonts w:ascii="Times New Roman"/>
          <w:kern w:val="22"/>
        </w:rPr>
        <w:footnoteReference w:id="90"/>
      </w:r>
      <w:bookmarkEnd w:id="26"/>
    </w:p>
    <w:p w14:paraId="102A13D3" w14:textId="1F84913D" w:rsidR="00E31AD2" w:rsidRPr="00F25D02" w:rsidRDefault="00672070" w:rsidP="00672070">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T</w:t>
      </w:r>
      <w:r w:rsidR="00B3256C" w:rsidRPr="00F25D02">
        <w:rPr>
          <w:rFonts w:ascii="Times New Roman"/>
          <w:kern w:val="22"/>
        </w:rPr>
        <w:t xml:space="preserve">he </w:t>
      </w:r>
      <w:r w:rsidR="00E31AD2" w:rsidRPr="00F25D02">
        <w:rPr>
          <w:rFonts w:ascii="Times New Roman"/>
          <w:kern w:val="22"/>
        </w:rPr>
        <w:t xml:space="preserve">INSDC </w:t>
      </w:r>
      <w:r w:rsidR="00381AB3" w:rsidRPr="00F25D02">
        <w:rPr>
          <w:rFonts w:ascii="Times New Roman"/>
          <w:kern w:val="22"/>
        </w:rPr>
        <w:t xml:space="preserve">databases were </w:t>
      </w:r>
      <w:r w:rsidR="00E31AD2" w:rsidRPr="00F25D02">
        <w:rPr>
          <w:rFonts w:ascii="Times New Roman"/>
          <w:kern w:val="22"/>
        </w:rPr>
        <w:t xml:space="preserve">accessed </w:t>
      </w:r>
      <w:r w:rsidR="00381AB3" w:rsidRPr="00F25D02">
        <w:rPr>
          <w:rFonts w:ascii="Times New Roman"/>
          <w:kern w:val="22"/>
        </w:rPr>
        <w:t>from</w:t>
      </w:r>
      <w:r w:rsidR="00E31AD2" w:rsidRPr="00F25D02">
        <w:rPr>
          <w:rFonts w:ascii="Times New Roman"/>
          <w:kern w:val="22"/>
        </w:rPr>
        <w:t xml:space="preserve"> 172 countries from all regions between 2014 and 2016 </w:t>
      </w:r>
      <w:r w:rsidR="00381AB3" w:rsidRPr="00F25D02">
        <w:rPr>
          <w:rFonts w:ascii="Times New Roman"/>
          <w:kern w:val="22"/>
        </w:rPr>
        <w:t>(i.e. used by literally every country in the world)</w:t>
      </w:r>
      <w:r w:rsidR="00381AB3" w:rsidRPr="00F25D02">
        <w:rPr>
          <w:rStyle w:val="FootnoteReference"/>
          <w:rFonts w:ascii="Times New Roman"/>
          <w:kern w:val="22"/>
        </w:rPr>
        <w:footnoteReference w:id="91"/>
      </w:r>
      <w:r w:rsidR="00381AB3" w:rsidRPr="00F25D02">
        <w:rPr>
          <w:rFonts w:ascii="Times New Roman"/>
          <w:kern w:val="22"/>
        </w:rPr>
        <w:t xml:space="preserve"> </w:t>
      </w:r>
      <w:r w:rsidR="00115A61" w:rsidRPr="00F25D02">
        <w:rPr>
          <w:rFonts w:ascii="Times New Roman"/>
          <w:kern w:val="22"/>
        </w:rPr>
        <w:t>and one of them, EMBL-European Bioinformatics Institute (EMBL-EBI), is subject to more than 100 million searches a year.</w:t>
      </w:r>
      <w:r w:rsidR="00115A61" w:rsidRPr="00F25D02">
        <w:rPr>
          <w:rStyle w:val="FootnoteReference"/>
          <w:rFonts w:ascii="Times New Roman"/>
          <w:kern w:val="22"/>
        </w:rPr>
        <w:footnoteReference w:id="92"/>
      </w:r>
    </w:p>
    <w:p w14:paraId="5A9202D6" w14:textId="77434528" w:rsidR="00E16913" w:rsidRPr="00F25D02" w:rsidRDefault="00672070" w:rsidP="00672070">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S</w:t>
      </w:r>
      <w:r w:rsidR="00B3256C" w:rsidRPr="00F25D02">
        <w:rPr>
          <w:rFonts w:ascii="Times New Roman"/>
          <w:kern w:val="22"/>
        </w:rPr>
        <w:t xml:space="preserve">ince </w:t>
      </w:r>
      <w:r w:rsidR="00E16913" w:rsidRPr="00F25D02">
        <w:rPr>
          <w:rFonts w:ascii="Times New Roman"/>
          <w:kern w:val="22"/>
        </w:rPr>
        <w:t xml:space="preserve">1982 </w:t>
      </w:r>
      <w:r w:rsidR="00B3256C" w:rsidRPr="00F25D02">
        <w:rPr>
          <w:rFonts w:ascii="Times New Roman"/>
          <w:kern w:val="22"/>
        </w:rPr>
        <w:t xml:space="preserve">the </w:t>
      </w:r>
      <w:r w:rsidR="00E16913" w:rsidRPr="00F25D02">
        <w:rPr>
          <w:rFonts w:ascii="Times New Roman"/>
          <w:kern w:val="22"/>
        </w:rPr>
        <w:t xml:space="preserve">number of bases </w:t>
      </w:r>
      <w:r w:rsidR="006805F0" w:rsidRPr="00F25D02">
        <w:rPr>
          <w:rFonts w:ascii="Times New Roman"/>
          <w:kern w:val="22"/>
        </w:rPr>
        <w:t>accessible through INSDC databases</w:t>
      </w:r>
      <w:r w:rsidR="00E16913" w:rsidRPr="00F25D02">
        <w:rPr>
          <w:rFonts w:ascii="Times New Roman"/>
          <w:kern w:val="22"/>
        </w:rPr>
        <w:t xml:space="preserve"> has doubled approx. every 18 months and as at April 2019 the number of base pairs recorded were over 321 billion</w:t>
      </w:r>
      <w:r w:rsidR="00A35952" w:rsidRPr="00F25D02">
        <w:rPr>
          <w:rFonts w:ascii="Times New Roman"/>
          <w:kern w:val="22"/>
        </w:rPr>
        <w:t>.</w:t>
      </w:r>
      <w:r w:rsidR="006805F0" w:rsidRPr="00F25D02">
        <w:rPr>
          <w:rStyle w:val="FootnoteReference"/>
          <w:rFonts w:ascii="Times New Roman"/>
          <w:kern w:val="22"/>
        </w:rPr>
        <w:footnoteReference w:id="93"/>
      </w:r>
      <w:r w:rsidR="00E16913" w:rsidRPr="00F25D02">
        <w:rPr>
          <w:rFonts w:ascii="Times New Roman"/>
          <w:kern w:val="22"/>
        </w:rPr>
        <w:t xml:space="preserve"> </w:t>
      </w:r>
    </w:p>
    <w:p w14:paraId="21ACE262" w14:textId="4C5737AA" w:rsidR="00E16913" w:rsidRPr="00F25D02" w:rsidRDefault="00CE1F65"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Several</w:t>
      </w:r>
      <w:r w:rsidR="00CD2E43" w:rsidRPr="00F25D02">
        <w:rPr>
          <w:rFonts w:ascii="Times New Roman"/>
          <w:kern w:val="22"/>
        </w:rPr>
        <w:t xml:space="preserve"> of submissions noted t</w:t>
      </w:r>
      <w:r w:rsidR="00E16913" w:rsidRPr="00F25D02">
        <w:rPr>
          <w:rFonts w:ascii="Times New Roman"/>
          <w:kern w:val="22"/>
        </w:rPr>
        <w:t xml:space="preserve">hese </w:t>
      </w:r>
      <w:r w:rsidR="00DB044C" w:rsidRPr="00F25D02">
        <w:rPr>
          <w:rFonts w:ascii="Times New Roman"/>
          <w:kern w:val="22"/>
        </w:rPr>
        <w:t xml:space="preserve">public </w:t>
      </w:r>
      <w:r w:rsidR="00E16913" w:rsidRPr="00F25D02">
        <w:rPr>
          <w:rFonts w:ascii="Times New Roman"/>
          <w:kern w:val="22"/>
        </w:rPr>
        <w:t>databases allow sequences to be compared to thousands of other sequences from different organisms</w:t>
      </w:r>
      <w:r w:rsidR="00CD2E43" w:rsidRPr="00F25D02">
        <w:rPr>
          <w:rFonts w:ascii="Times New Roman"/>
          <w:kern w:val="22"/>
        </w:rPr>
        <w:t xml:space="preserve"> and that it is this</w:t>
      </w:r>
      <w:r w:rsidR="00E16913" w:rsidRPr="00F25D02">
        <w:rPr>
          <w:rFonts w:ascii="Times New Roman"/>
          <w:kern w:val="22"/>
        </w:rPr>
        <w:t xml:space="preserve"> aggregation of data that generates the greatest value for scientific research</w:t>
      </w:r>
      <w:r w:rsidR="00287F78" w:rsidRPr="00F25D02">
        <w:rPr>
          <w:rFonts w:ascii="Times New Roman"/>
          <w:kern w:val="22"/>
        </w:rPr>
        <w:t>.</w:t>
      </w:r>
      <w:r w:rsidR="00CD2E43" w:rsidRPr="00F25D02">
        <w:rPr>
          <w:rStyle w:val="FootnoteReference"/>
          <w:rFonts w:ascii="Times New Roman"/>
          <w:kern w:val="22"/>
        </w:rPr>
        <w:footnoteReference w:id="94"/>
      </w:r>
      <w:r w:rsidR="001204A5" w:rsidRPr="00F25D02">
        <w:rPr>
          <w:rFonts w:ascii="Times New Roman"/>
          <w:kern w:val="22"/>
        </w:rPr>
        <w:t xml:space="preserve"> </w:t>
      </w:r>
      <w:r w:rsidR="00287F78" w:rsidRPr="00F25D02">
        <w:rPr>
          <w:rFonts w:ascii="Times New Roman"/>
          <w:kern w:val="22"/>
        </w:rPr>
        <w:t xml:space="preserve">Illustrative </w:t>
      </w:r>
      <w:r w:rsidR="00D659B0" w:rsidRPr="00F25D02">
        <w:rPr>
          <w:rFonts w:ascii="Times New Roman"/>
          <w:kern w:val="22"/>
        </w:rPr>
        <w:t xml:space="preserve">insights </w:t>
      </w:r>
      <w:r w:rsidR="00287F78" w:rsidRPr="00F25D02">
        <w:rPr>
          <w:rFonts w:ascii="Times New Roman"/>
          <w:kern w:val="22"/>
        </w:rPr>
        <w:t xml:space="preserve">include: </w:t>
      </w:r>
    </w:p>
    <w:p w14:paraId="00757C7B" w14:textId="2ADFA291" w:rsidR="00E16913" w:rsidRPr="00F25D02" w:rsidRDefault="00672070" w:rsidP="00672070">
      <w:pPr>
        <w:pStyle w:val="ListParagraph"/>
        <w:numPr>
          <w:ilvl w:val="1"/>
          <w:numId w:val="2"/>
        </w:numPr>
        <w:tabs>
          <w:tab w:val="left" w:pos="1440"/>
        </w:tabs>
        <w:spacing w:before="120" w:after="120" w:line="240" w:lineRule="auto"/>
        <w:ind w:left="0" w:firstLine="709"/>
        <w:contextualSpacing w:val="0"/>
        <w:jc w:val="both"/>
        <w:rPr>
          <w:rFonts w:ascii="Times New Roman"/>
          <w:kern w:val="22"/>
        </w:rPr>
      </w:pPr>
      <w:r w:rsidRPr="00F25D02">
        <w:rPr>
          <w:rFonts w:ascii="Times New Roman"/>
          <w:kern w:val="22"/>
        </w:rPr>
        <w:t>T</w:t>
      </w:r>
      <w:r w:rsidR="00E16913" w:rsidRPr="00F25D02">
        <w:rPr>
          <w:rFonts w:ascii="Times New Roman"/>
          <w:kern w:val="22"/>
        </w:rPr>
        <w:t xml:space="preserve">he true value of </w:t>
      </w:r>
      <w:r w:rsidR="00BB7978" w:rsidRPr="00F25D02">
        <w:rPr>
          <w:rFonts w:ascii="Times New Roman"/>
          <w:kern w:val="22"/>
        </w:rPr>
        <w:t>digital sequence information</w:t>
      </w:r>
      <w:r w:rsidR="00E16913" w:rsidRPr="00F25D02">
        <w:rPr>
          <w:rFonts w:ascii="Times New Roman"/>
          <w:kern w:val="22"/>
        </w:rPr>
        <w:t xml:space="preserve"> comes from aggregated datasets where patterns of conserved features or differences </w:t>
      </w:r>
      <w:r w:rsidR="00287F78" w:rsidRPr="00F25D02">
        <w:rPr>
          <w:rFonts w:ascii="Times New Roman"/>
          <w:kern w:val="22"/>
        </w:rPr>
        <w:t xml:space="preserve">across </w:t>
      </w:r>
      <w:r w:rsidR="00E16913" w:rsidRPr="00F25D02">
        <w:rPr>
          <w:rFonts w:ascii="Times New Roman"/>
          <w:kern w:val="22"/>
        </w:rPr>
        <w:t>of thousands of genome sequences</w:t>
      </w:r>
      <w:r w:rsidR="00287F78" w:rsidRPr="00F25D02">
        <w:rPr>
          <w:rFonts w:ascii="Times New Roman"/>
          <w:kern w:val="22"/>
        </w:rPr>
        <w:t xml:space="preserve"> can easily be identified and this</w:t>
      </w:r>
      <w:r w:rsidR="00E16913" w:rsidRPr="00F25D02">
        <w:rPr>
          <w:rFonts w:ascii="Times New Roman"/>
          <w:kern w:val="22"/>
        </w:rPr>
        <w:t xml:space="preserve"> is fundamental to providing biological insights </w:t>
      </w:r>
      <w:r w:rsidR="00287F78" w:rsidRPr="00F25D02">
        <w:rPr>
          <w:rFonts w:ascii="Times New Roman"/>
          <w:kern w:val="22"/>
        </w:rPr>
        <w:t>concerning</w:t>
      </w:r>
      <w:r w:rsidR="00E16913" w:rsidRPr="00F25D02">
        <w:rPr>
          <w:rFonts w:ascii="Times New Roman"/>
          <w:kern w:val="22"/>
        </w:rPr>
        <w:t xml:space="preserve"> genetic resources</w:t>
      </w:r>
      <w:r w:rsidR="00CD2E43" w:rsidRPr="00F25D02">
        <w:rPr>
          <w:rFonts w:ascii="Times New Roman"/>
          <w:kern w:val="22"/>
        </w:rPr>
        <w:t>;</w:t>
      </w:r>
      <w:r w:rsidR="00E068E3" w:rsidRPr="00F25D02">
        <w:rPr>
          <w:rFonts w:ascii="Times New Roman"/>
          <w:kern w:val="22"/>
        </w:rPr>
        <w:t xml:space="preserve"> and</w:t>
      </w:r>
      <w:r w:rsidR="00287F78" w:rsidRPr="00F25D02">
        <w:rPr>
          <w:rStyle w:val="FootnoteReference"/>
          <w:rFonts w:ascii="Times New Roman"/>
          <w:kern w:val="22"/>
        </w:rPr>
        <w:footnoteReference w:id="95"/>
      </w:r>
      <w:r w:rsidR="00E16913" w:rsidRPr="00F25D02">
        <w:rPr>
          <w:rFonts w:ascii="Times New Roman"/>
          <w:kern w:val="22"/>
        </w:rPr>
        <w:t xml:space="preserve"> </w:t>
      </w:r>
    </w:p>
    <w:p w14:paraId="36353AF9" w14:textId="2CEB03A5" w:rsidR="00E16913" w:rsidRPr="00F25D02" w:rsidRDefault="00672070" w:rsidP="00672070">
      <w:pPr>
        <w:pStyle w:val="ListParagraph"/>
        <w:numPr>
          <w:ilvl w:val="1"/>
          <w:numId w:val="2"/>
        </w:numPr>
        <w:tabs>
          <w:tab w:val="left" w:pos="1440"/>
        </w:tabs>
        <w:spacing w:before="120" w:after="120" w:line="240" w:lineRule="auto"/>
        <w:ind w:left="0" w:firstLine="709"/>
        <w:contextualSpacing w:val="0"/>
        <w:jc w:val="both"/>
        <w:rPr>
          <w:rFonts w:ascii="Times New Roman"/>
          <w:kern w:val="22"/>
        </w:rPr>
      </w:pPr>
      <w:r w:rsidRPr="00F25D02">
        <w:rPr>
          <w:rFonts w:ascii="Times New Roman"/>
          <w:kern w:val="22"/>
        </w:rPr>
        <w:t>S</w:t>
      </w:r>
      <w:r w:rsidR="00E16913" w:rsidRPr="00F25D02">
        <w:rPr>
          <w:rFonts w:ascii="Times New Roman"/>
          <w:kern w:val="22"/>
        </w:rPr>
        <w:t xml:space="preserve">ubmissions </w:t>
      </w:r>
      <w:r w:rsidR="00287F78" w:rsidRPr="00F25D02">
        <w:rPr>
          <w:rFonts w:ascii="Times New Roman"/>
          <w:kern w:val="22"/>
        </w:rPr>
        <w:t xml:space="preserve">to public databases </w:t>
      </w:r>
      <w:r w:rsidR="00E16913" w:rsidRPr="00F25D02">
        <w:rPr>
          <w:rFonts w:ascii="Times New Roman"/>
          <w:kern w:val="22"/>
        </w:rPr>
        <w:t xml:space="preserve">adds value and drives knowledge generation from the entire corpus of data </w:t>
      </w:r>
      <w:r w:rsidR="00287F78" w:rsidRPr="00F25D02">
        <w:rPr>
          <w:rFonts w:ascii="Times New Roman"/>
          <w:kern w:val="22"/>
        </w:rPr>
        <w:t>as</w:t>
      </w:r>
      <w:r w:rsidR="00E16913" w:rsidRPr="00F25D02">
        <w:rPr>
          <w:rFonts w:ascii="Times New Roman"/>
          <w:kern w:val="22"/>
        </w:rPr>
        <w:t xml:space="preserve"> few scientific interpretations rely on a single sequence, rather it is the aggregation of many sequences that adds most value</w:t>
      </w:r>
      <w:r w:rsidR="00E068E3" w:rsidRPr="00F25D02">
        <w:rPr>
          <w:rFonts w:ascii="Times New Roman"/>
          <w:kern w:val="22"/>
        </w:rPr>
        <w:t>.</w:t>
      </w:r>
      <w:r w:rsidR="00287F78" w:rsidRPr="00F25D02">
        <w:rPr>
          <w:rStyle w:val="FootnoteReference"/>
          <w:rFonts w:ascii="Times New Roman"/>
          <w:kern w:val="22"/>
        </w:rPr>
        <w:footnoteReference w:id="96"/>
      </w:r>
      <w:r w:rsidR="00E16913" w:rsidRPr="00F25D02">
        <w:rPr>
          <w:rFonts w:ascii="Times New Roman"/>
          <w:kern w:val="22"/>
        </w:rPr>
        <w:t xml:space="preserve"> </w:t>
      </w:r>
    </w:p>
    <w:p w14:paraId="6433553D" w14:textId="396B800D" w:rsidR="004A466F" w:rsidRPr="00F25D02" w:rsidRDefault="004A466F" w:rsidP="00086139">
      <w:pPr>
        <w:pStyle w:val="Heading3"/>
        <w:numPr>
          <w:ilvl w:val="0"/>
          <w:numId w:val="10"/>
        </w:numPr>
        <w:ind w:left="720"/>
        <w:rPr>
          <w:kern w:val="22"/>
        </w:rPr>
      </w:pPr>
      <w:r w:rsidRPr="00F25D02">
        <w:rPr>
          <w:kern w:val="22"/>
        </w:rPr>
        <w:t xml:space="preserve">Use and application of </w:t>
      </w:r>
      <w:r w:rsidR="00BB7978" w:rsidRPr="00F25D02">
        <w:rPr>
          <w:kern w:val="22"/>
        </w:rPr>
        <w:t>digital sequence information</w:t>
      </w:r>
      <w:r w:rsidRPr="00F25D02">
        <w:rPr>
          <w:kern w:val="22"/>
        </w:rPr>
        <w:t xml:space="preserve"> </w:t>
      </w:r>
    </w:p>
    <w:p w14:paraId="23132F46" w14:textId="1943699B" w:rsidR="00B42E54" w:rsidRPr="00F25D02" w:rsidRDefault="007868C6"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A broad range of </w:t>
      </w:r>
      <w:r w:rsidR="00B42E54" w:rsidRPr="00F25D02">
        <w:rPr>
          <w:rFonts w:ascii="Times New Roman"/>
          <w:kern w:val="22"/>
        </w:rPr>
        <w:t>scenarios</w:t>
      </w:r>
      <w:r w:rsidR="00D659B0" w:rsidRPr="00F25D02">
        <w:rPr>
          <w:rFonts w:ascii="Times New Roman"/>
          <w:kern w:val="22"/>
        </w:rPr>
        <w:t xml:space="preserve"> in which </w:t>
      </w:r>
      <w:r w:rsidR="00BB7978" w:rsidRPr="00F25D02">
        <w:rPr>
          <w:rFonts w:ascii="Times New Roman"/>
          <w:kern w:val="22"/>
        </w:rPr>
        <w:t>digital sequence information</w:t>
      </w:r>
      <w:r w:rsidR="00D659B0" w:rsidRPr="00F25D02">
        <w:rPr>
          <w:rFonts w:ascii="Times New Roman"/>
          <w:kern w:val="22"/>
        </w:rPr>
        <w:t xml:space="preserve"> is used </w:t>
      </w:r>
      <w:r w:rsidRPr="00F25D02">
        <w:rPr>
          <w:rFonts w:ascii="Times New Roman"/>
          <w:kern w:val="22"/>
        </w:rPr>
        <w:t xml:space="preserve">in scientific research and innovation </w:t>
      </w:r>
      <w:r w:rsidR="00B47CD1" w:rsidRPr="00F25D02">
        <w:rPr>
          <w:rFonts w:ascii="Times New Roman"/>
          <w:kern w:val="22"/>
        </w:rPr>
        <w:t xml:space="preserve">have previously been </w:t>
      </w:r>
      <w:r w:rsidRPr="00F25D02">
        <w:rPr>
          <w:rFonts w:ascii="Times New Roman"/>
          <w:kern w:val="22"/>
        </w:rPr>
        <w:t xml:space="preserve">covered </w:t>
      </w:r>
      <w:r w:rsidR="00D659B0" w:rsidRPr="00F25D02">
        <w:rPr>
          <w:rFonts w:ascii="Times New Roman"/>
          <w:kern w:val="22"/>
        </w:rPr>
        <w:t>in the ‘Synthesis of views and information on the implications of the use of digital information on Genetic Resources for the three objectives of the Convention and the objective of the Nagoya Protocol’</w:t>
      </w:r>
      <w:r w:rsidR="00D90DA1" w:rsidRPr="00F25D02">
        <w:rPr>
          <w:rFonts w:ascii="Times New Roman"/>
          <w:kern w:val="22"/>
        </w:rPr>
        <w:t xml:space="preserve"> accompanied by ‘Case studies and examples of the use of digital sequence information in relation to the objectives of the Convention and the Nagoya Protocol’</w:t>
      </w:r>
      <w:r w:rsidR="00A94459" w:rsidRPr="00F25D02">
        <w:rPr>
          <w:rFonts w:ascii="Times New Roman"/>
          <w:kern w:val="22"/>
        </w:rPr>
        <w:t>,</w:t>
      </w:r>
      <w:r w:rsidR="00D90DA1" w:rsidRPr="00F25D02">
        <w:rPr>
          <w:rFonts w:ascii="Times New Roman"/>
          <w:kern w:val="22"/>
        </w:rPr>
        <w:t xml:space="preserve"> </w:t>
      </w:r>
      <w:r w:rsidR="00D659B0" w:rsidRPr="00F25D02">
        <w:rPr>
          <w:rFonts w:ascii="Times New Roman"/>
          <w:kern w:val="22"/>
        </w:rPr>
        <w:t xml:space="preserve">which </w:t>
      </w:r>
      <w:r w:rsidR="00D90DA1" w:rsidRPr="00F25D02">
        <w:rPr>
          <w:rFonts w:ascii="Times New Roman"/>
          <w:kern w:val="22"/>
        </w:rPr>
        <w:t xml:space="preserve">were </w:t>
      </w:r>
      <w:r w:rsidR="00524A30" w:rsidRPr="00F25D02">
        <w:rPr>
          <w:rFonts w:ascii="Times New Roman"/>
          <w:kern w:val="22"/>
        </w:rPr>
        <w:t xml:space="preserve">made available </w:t>
      </w:r>
      <w:r w:rsidR="00D659B0" w:rsidRPr="00F25D02">
        <w:rPr>
          <w:rFonts w:ascii="Times New Roman"/>
          <w:kern w:val="22"/>
        </w:rPr>
        <w:t>to the meeting of the Ad</w:t>
      </w:r>
      <w:r w:rsidR="00672070" w:rsidRPr="00F25D02">
        <w:rPr>
          <w:rFonts w:ascii="Times New Roman"/>
          <w:kern w:val="22"/>
        </w:rPr>
        <w:t xml:space="preserve"> </w:t>
      </w:r>
      <w:r w:rsidR="00D659B0" w:rsidRPr="00F25D02">
        <w:rPr>
          <w:rFonts w:ascii="Times New Roman"/>
          <w:kern w:val="22"/>
        </w:rPr>
        <w:t xml:space="preserve">Hoc Technical Expert Group on </w:t>
      </w:r>
      <w:r w:rsidR="003B72B4" w:rsidRPr="00F25D02">
        <w:rPr>
          <w:rFonts w:ascii="Times New Roman"/>
          <w:kern w:val="22"/>
        </w:rPr>
        <w:t>digital sequence information on genetic resources</w:t>
      </w:r>
      <w:r w:rsidR="00D659B0" w:rsidRPr="00F25D02">
        <w:rPr>
          <w:rFonts w:ascii="Times New Roman"/>
          <w:kern w:val="22"/>
        </w:rPr>
        <w:t xml:space="preserve">, held </w:t>
      </w:r>
      <w:r w:rsidR="00524A30" w:rsidRPr="00F25D02">
        <w:rPr>
          <w:rFonts w:ascii="Times New Roman"/>
          <w:kern w:val="22"/>
        </w:rPr>
        <w:t xml:space="preserve">in </w:t>
      </w:r>
      <w:r w:rsidR="00D659B0" w:rsidRPr="00F25D02">
        <w:rPr>
          <w:rFonts w:ascii="Times New Roman"/>
          <w:kern w:val="22"/>
        </w:rPr>
        <w:t>February 2018.</w:t>
      </w:r>
      <w:r w:rsidR="00D659B0" w:rsidRPr="00F25D02">
        <w:rPr>
          <w:rStyle w:val="FootnoteReference"/>
          <w:rFonts w:ascii="Times New Roman"/>
          <w:kern w:val="22"/>
        </w:rPr>
        <w:footnoteReference w:id="97"/>
      </w:r>
      <w:r w:rsidR="00D659B0" w:rsidRPr="00F25D02">
        <w:rPr>
          <w:rFonts w:ascii="Times New Roman"/>
          <w:kern w:val="22"/>
        </w:rPr>
        <w:t xml:space="preserve"> </w:t>
      </w:r>
    </w:p>
    <w:p w14:paraId="7B33A346" w14:textId="79E6E3F5" w:rsidR="00D659B0" w:rsidRPr="00F25D02" w:rsidRDefault="00D659B0"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Several submissions in the present call similarly highlighted the use of </w:t>
      </w:r>
      <w:r w:rsidR="00BB7978" w:rsidRPr="00F25D02">
        <w:rPr>
          <w:rFonts w:ascii="Times New Roman"/>
          <w:kern w:val="22"/>
        </w:rPr>
        <w:t>digital sequence information</w:t>
      </w:r>
      <w:r w:rsidRPr="00F25D02">
        <w:rPr>
          <w:rFonts w:ascii="Times New Roman"/>
          <w:kern w:val="22"/>
        </w:rPr>
        <w:t xml:space="preserve"> in scientific research and innovation, </w:t>
      </w:r>
      <w:r w:rsidR="007868C6" w:rsidRPr="00F25D02">
        <w:rPr>
          <w:rFonts w:ascii="Times New Roman"/>
          <w:kern w:val="22"/>
        </w:rPr>
        <w:t xml:space="preserve">including </w:t>
      </w:r>
      <w:r w:rsidR="00B42E54" w:rsidRPr="00F25D02">
        <w:rPr>
          <w:rFonts w:ascii="Times New Roman"/>
          <w:kern w:val="22"/>
        </w:rPr>
        <w:t>in</w:t>
      </w:r>
      <w:r w:rsidR="007868C6" w:rsidRPr="00F25D02">
        <w:rPr>
          <w:rFonts w:ascii="Times New Roman"/>
          <w:kern w:val="22"/>
        </w:rPr>
        <w:t xml:space="preserve"> public health (</w:t>
      </w:r>
      <w:r w:rsidRPr="00F25D02">
        <w:rPr>
          <w:rFonts w:ascii="Times New Roman"/>
          <w:kern w:val="22"/>
        </w:rPr>
        <w:t>epidemic outbreaks, vaccine development, antimicrobial resistance, food safety and surveillance, and control of infectious diseases</w:t>
      </w:r>
      <w:r w:rsidR="007868C6" w:rsidRPr="00F25D02">
        <w:rPr>
          <w:rFonts w:ascii="Times New Roman"/>
          <w:kern w:val="22"/>
        </w:rPr>
        <w:t>)</w:t>
      </w:r>
      <w:r w:rsidR="007868C6" w:rsidRPr="00F25D02">
        <w:rPr>
          <w:rStyle w:val="FootnoteReference"/>
          <w:rFonts w:ascii="Times New Roman"/>
          <w:kern w:val="22"/>
        </w:rPr>
        <w:footnoteReference w:id="98"/>
      </w:r>
      <w:r w:rsidR="007868C6" w:rsidRPr="00F25D02">
        <w:rPr>
          <w:rFonts w:ascii="Times New Roman"/>
          <w:kern w:val="22"/>
        </w:rPr>
        <w:t xml:space="preserve">; </w:t>
      </w:r>
      <w:r w:rsidRPr="00F25D02">
        <w:rPr>
          <w:rFonts w:ascii="Times New Roman"/>
          <w:kern w:val="22"/>
        </w:rPr>
        <w:t>species identification and taxonomy</w:t>
      </w:r>
      <w:r w:rsidR="007868C6" w:rsidRPr="00F25D02">
        <w:rPr>
          <w:rFonts w:ascii="Times New Roman"/>
          <w:kern w:val="22"/>
        </w:rPr>
        <w:t>;</w:t>
      </w:r>
      <w:r w:rsidR="007868C6" w:rsidRPr="00F25D02">
        <w:rPr>
          <w:rStyle w:val="FootnoteReference"/>
          <w:rFonts w:ascii="Times New Roman"/>
          <w:kern w:val="22"/>
        </w:rPr>
        <w:footnoteReference w:id="99"/>
      </w:r>
      <w:r w:rsidR="007868C6" w:rsidRPr="00F25D02">
        <w:rPr>
          <w:rFonts w:ascii="Times New Roman"/>
          <w:kern w:val="22"/>
        </w:rPr>
        <w:t xml:space="preserve"> </w:t>
      </w:r>
      <w:r w:rsidRPr="00F25D02">
        <w:rPr>
          <w:rFonts w:ascii="Times New Roman"/>
          <w:kern w:val="22"/>
        </w:rPr>
        <w:t xml:space="preserve">conservation, sustainable use and/or biodiversity </w:t>
      </w:r>
      <w:r w:rsidRPr="00F25D02">
        <w:rPr>
          <w:rFonts w:ascii="Times New Roman"/>
          <w:kern w:val="22"/>
        </w:rPr>
        <w:lastRenderedPageBreak/>
        <w:t>managemen</w:t>
      </w:r>
      <w:r w:rsidR="007868C6" w:rsidRPr="00F25D02">
        <w:rPr>
          <w:rFonts w:ascii="Times New Roman"/>
          <w:kern w:val="22"/>
        </w:rPr>
        <w:t>t;</w:t>
      </w:r>
      <w:r w:rsidR="007868C6" w:rsidRPr="00F25D02">
        <w:rPr>
          <w:rStyle w:val="FootnoteReference"/>
          <w:rFonts w:ascii="Times New Roman"/>
          <w:kern w:val="22"/>
        </w:rPr>
        <w:footnoteReference w:id="100"/>
      </w:r>
      <w:r w:rsidR="007868C6" w:rsidRPr="00F25D02">
        <w:rPr>
          <w:rFonts w:ascii="Times New Roman"/>
          <w:kern w:val="22"/>
        </w:rPr>
        <w:t xml:space="preserve"> </w:t>
      </w:r>
      <w:r w:rsidRPr="00F25D02">
        <w:rPr>
          <w:rFonts w:ascii="Times New Roman"/>
          <w:kern w:val="22"/>
        </w:rPr>
        <w:t xml:space="preserve">plant </w:t>
      </w:r>
      <w:r w:rsidR="00B42E54" w:rsidRPr="00F25D02">
        <w:rPr>
          <w:rFonts w:ascii="Times New Roman"/>
          <w:kern w:val="22"/>
        </w:rPr>
        <w:t xml:space="preserve">and animal </w:t>
      </w:r>
      <w:r w:rsidR="007868C6" w:rsidRPr="00F25D02">
        <w:rPr>
          <w:rFonts w:ascii="Times New Roman"/>
          <w:kern w:val="22"/>
        </w:rPr>
        <w:t>health,</w:t>
      </w:r>
      <w:r w:rsidR="007868C6" w:rsidRPr="00F25D02">
        <w:rPr>
          <w:rStyle w:val="FootnoteReference"/>
          <w:rFonts w:ascii="Times New Roman"/>
          <w:kern w:val="22"/>
        </w:rPr>
        <w:footnoteReference w:id="101"/>
      </w:r>
      <w:r w:rsidR="007868C6" w:rsidRPr="00F25D02">
        <w:rPr>
          <w:rFonts w:ascii="Times New Roman"/>
          <w:kern w:val="22"/>
        </w:rPr>
        <w:t xml:space="preserve"> </w:t>
      </w:r>
      <w:r w:rsidRPr="00F25D02">
        <w:rPr>
          <w:rFonts w:ascii="Times New Roman"/>
          <w:kern w:val="22"/>
        </w:rPr>
        <w:t>breeding and food security</w:t>
      </w:r>
      <w:r w:rsidR="00B42E54" w:rsidRPr="00F25D02">
        <w:rPr>
          <w:rFonts w:ascii="Times New Roman"/>
          <w:kern w:val="22"/>
        </w:rPr>
        <w:t>;</w:t>
      </w:r>
      <w:r w:rsidR="00B42E54" w:rsidRPr="00F25D02">
        <w:rPr>
          <w:rStyle w:val="FootnoteReference"/>
          <w:rFonts w:ascii="Times New Roman"/>
          <w:kern w:val="22"/>
        </w:rPr>
        <w:footnoteReference w:id="102"/>
      </w:r>
      <w:r w:rsidRPr="00F25D02">
        <w:rPr>
          <w:rFonts w:ascii="Times New Roman"/>
          <w:kern w:val="22"/>
        </w:rPr>
        <w:t xml:space="preserve"> </w:t>
      </w:r>
      <w:r w:rsidR="00B42E54" w:rsidRPr="00F25D02">
        <w:rPr>
          <w:rFonts w:ascii="Times New Roman"/>
          <w:kern w:val="22"/>
        </w:rPr>
        <w:t>m</w:t>
      </w:r>
      <w:r w:rsidRPr="00F25D02">
        <w:rPr>
          <w:rFonts w:ascii="Times New Roman"/>
          <w:kern w:val="22"/>
        </w:rPr>
        <w:t>onitoring and control related to public health, invasive species and regulatory compliance</w:t>
      </w:r>
      <w:r w:rsidR="00B42E54" w:rsidRPr="00F25D02">
        <w:rPr>
          <w:rFonts w:ascii="Times New Roman"/>
          <w:kern w:val="22"/>
        </w:rPr>
        <w:t>;</w:t>
      </w:r>
      <w:r w:rsidR="00B42E54" w:rsidRPr="00F25D02">
        <w:rPr>
          <w:rStyle w:val="FootnoteReference"/>
          <w:rFonts w:ascii="Times New Roman"/>
          <w:kern w:val="22"/>
        </w:rPr>
        <w:footnoteReference w:id="103"/>
      </w:r>
      <w:r w:rsidR="007868C6" w:rsidRPr="00F25D02">
        <w:rPr>
          <w:rFonts w:ascii="Times New Roman"/>
          <w:kern w:val="22"/>
        </w:rPr>
        <w:t xml:space="preserve"> </w:t>
      </w:r>
      <w:r w:rsidR="00B42E54" w:rsidRPr="00F25D02">
        <w:rPr>
          <w:rFonts w:ascii="Times New Roman"/>
          <w:kern w:val="22"/>
        </w:rPr>
        <w:t xml:space="preserve">and </w:t>
      </w:r>
      <w:r w:rsidRPr="00F25D02">
        <w:rPr>
          <w:rFonts w:ascii="Times New Roman"/>
          <w:kern w:val="22"/>
        </w:rPr>
        <w:t xml:space="preserve">industrial processes and </w:t>
      </w:r>
      <w:r w:rsidR="00B42E54" w:rsidRPr="00F25D02">
        <w:rPr>
          <w:rFonts w:ascii="Times New Roman"/>
          <w:kern w:val="22"/>
        </w:rPr>
        <w:t xml:space="preserve">developing </w:t>
      </w:r>
      <w:r w:rsidRPr="00F25D02">
        <w:rPr>
          <w:rFonts w:ascii="Times New Roman"/>
          <w:kern w:val="22"/>
        </w:rPr>
        <w:t>new materials</w:t>
      </w:r>
      <w:r w:rsidR="00B42E54" w:rsidRPr="00F25D02">
        <w:rPr>
          <w:rFonts w:ascii="Times New Roman"/>
          <w:kern w:val="22"/>
        </w:rPr>
        <w:t>.</w:t>
      </w:r>
      <w:r w:rsidR="00B42E54" w:rsidRPr="00F25D02">
        <w:rPr>
          <w:rStyle w:val="FootnoteReference"/>
          <w:rFonts w:ascii="Times New Roman"/>
          <w:kern w:val="22"/>
        </w:rPr>
        <w:footnoteReference w:id="104"/>
      </w:r>
    </w:p>
    <w:p w14:paraId="070BB28A" w14:textId="65758147" w:rsidR="00D659B0" w:rsidRPr="00F25D02" w:rsidRDefault="00D659B0"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One submission </w:t>
      </w:r>
      <w:r w:rsidR="00B42E54" w:rsidRPr="00F25D02">
        <w:rPr>
          <w:rFonts w:ascii="Times New Roman"/>
          <w:kern w:val="22"/>
        </w:rPr>
        <w:t>noted</w:t>
      </w:r>
      <w:r w:rsidRPr="00F25D02">
        <w:rPr>
          <w:rFonts w:ascii="Times New Roman"/>
          <w:kern w:val="22"/>
        </w:rPr>
        <w:t xml:space="preserve"> that it has become a technological reality that genetic resources can be accessed as </w:t>
      </w:r>
      <w:r w:rsidR="00BB7978" w:rsidRPr="00F25D02">
        <w:rPr>
          <w:rFonts w:ascii="Times New Roman"/>
          <w:kern w:val="22"/>
        </w:rPr>
        <w:t>digital sequence information</w:t>
      </w:r>
      <w:r w:rsidRPr="00F25D02">
        <w:rPr>
          <w:rFonts w:ascii="Times New Roman"/>
          <w:kern w:val="22"/>
        </w:rPr>
        <w:t xml:space="preserve"> in databases independently of access to the underlying biological material and result in commercial applications </w:t>
      </w:r>
      <w:r w:rsidR="00B42E54" w:rsidRPr="00F25D02">
        <w:rPr>
          <w:rFonts w:ascii="Times New Roman"/>
          <w:kern w:val="22"/>
        </w:rPr>
        <w:t xml:space="preserve">(i.e. </w:t>
      </w:r>
      <w:r w:rsidRPr="00F25D02">
        <w:rPr>
          <w:rFonts w:ascii="Times New Roman"/>
          <w:kern w:val="22"/>
        </w:rPr>
        <w:t>independently of access or benefit sharing within the ABS framework of the CBD</w:t>
      </w:r>
      <w:r w:rsidR="00B42E54" w:rsidRPr="00F25D02">
        <w:rPr>
          <w:rFonts w:ascii="Times New Roman"/>
          <w:kern w:val="22"/>
        </w:rPr>
        <w:t>)</w:t>
      </w:r>
      <w:r w:rsidRPr="00F25D02">
        <w:rPr>
          <w:rFonts w:ascii="Times New Roman"/>
          <w:kern w:val="22"/>
        </w:rPr>
        <w:t>.</w:t>
      </w:r>
      <w:r w:rsidR="00B42E54" w:rsidRPr="00F25D02">
        <w:rPr>
          <w:rStyle w:val="FootnoteReference"/>
          <w:rFonts w:ascii="Times New Roman"/>
          <w:kern w:val="22"/>
        </w:rPr>
        <w:footnoteReference w:id="105"/>
      </w:r>
      <w:r w:rsidRPr="00F25D02">
        <w:rPr>
          <w:rFonts w:ascii="Times New Roman"/>
          <w:kern w:val="22"/>
        </w:rPr>
        <w:t xml:space="preserve"> Two examples were provided:</w:t>
      </w:r>
    </w:p>
    <w:p w14:paraId="66CD0038" w14:textId="17FCE78D" w:rsidR="00D659B0" w:rsidRPr="00F25D02" w:rsidRDefault="00D659B0" w:rsidP="00672070">
      <w:pPr>
        <w:pStyle w:val="ListParagraph"/>
        <w:numPr>
          <w:ilvl w:val="1"/>
          <w:numId w:val="2"/>
        </w:numPr>
        <w:tabs>
          <w:tab w:val="left" w:pos="1440"/>
        </w:tabs>
        <w:spacing w:before="120" w:after="120" w:line="240" w:lineRule="auto"/>
        <w:ind w:left="0" w:firstLine="709"/>
        <w:contextualSpacing w:val="0"/>
        <w:jc w:val="both"/>
        <w:rPr>
          <w:rFonts w:ascii="Times New Roman"/>
          <w:kern w:val="22"/>
        </w:rPr>
      </w:pPr>
      <w:r w:rsidRPr="00F25D02">
        <w:rPr>
          <w:rFonts w:ascii="Times New Roman"/>
          <w:kern w:val="22"/>
        </w:rPr>
        <w:t xml:space="preserve">‘Crop OS’, a product of Benson Hill Biosystems funded by Google Ventures which relies on machine-based analysis of a variety of public and proprietary </w:t>
      </w:r>
      <w:r w:rsidR="00BB7978" w:rsidRPr="00F25D02">
        <w:rPr>
          <w:rFonts w:ascii="Times New Roman"/>
          <w:kern w:val="22"/>
        </w:rPr>
        <w:t>digital sequence information</w:t>
      </w:r>
      <w:r w:rsidRPr="00F25D02">
        <w:rPr>
          <w:rFonts w:ascii="Times New Roman"/>
          <w:kern w:val="22"/>
        </w:rPr>
        <w:t xml:space="preserve"> and which is sold to biotechnology and plant breeding institutions</w:t>
      </w:r>
      <w:r w:rsidR="00B42E54" w:rsidRPr="00F25D02">
        <w:rPr>
          <w:rFonts w:ascii="Times New Roman"/>
          <w:kern w:val="22"/>
        </w:rPr>
        <w:t>; and</w:t>
      </w:r>
    </w:p>
    <w:p w14:paraId="618E4500" w14:textId="63FFC56D" w:rsidR="00D659B0" w:rsidRPr="00F25D02" w:rsidRDefault="00672070" w:rsidP="00672070">
      <w:pPr>
        <w:pStyle w:val="ListParagraph"/>
        <w:numPr>
          <w:ilvl w:val="1"/>
          <w:numId w:val="2"/>
        </w:numPr>
        <w:tabs>
          <w:tab w:val="left" w:pos="1440"/>
        </w:tabs>
        <w:spacing w:before="120" w:after="120" w:line="240" w:lineRule="auto"/>
        <w:ind w:left="0" w:firstLine="709"/>
        <w:contextualSpacing w:val="0"/>
        <w:jc w:val="both"/>
        <w:rPr>
          <w:rFonts w:ascii="Times New Roman"/>
          <w:kern w:val="22"/>
        </w:rPr>
      </w:pPr>
      <w:r w:rsidRPr="00F25D02">
        <w:rPr>
          <w:rFonts w:ascii="Times New Roman"/>
          <w:kern w:val="22"/>
        </w:rPr>
        <w:t>T</w:t>
      </w:r>
      <w:r w:rsidR="00B42E54" w:rsidRPr="00F25D02">
        <w:rPr>
          <w:rFonts w:ascii="Times New Roman"/>
          <w:kern w:val="22"/>
        </w:rPr>
        <w:t xml:space="preserve">he </w:t>
      </w:r>
      <w:r w:rsidR="00D659B0" w:rsidRPr="00F25D02">
        <w:rPr>
          <w:rFonts w:ascii="Times New Roman"/>
          <w:kern w:val="22"/>
        </w:rPr>
        <w:t xml:space="preserve">use of </w:t>
      </w:r>
      <w:r w:rsidR="00BB7978" w:rsidRPr="00F25D02">
        <w:rPr>
          <w:rFonts w:ascii="Times New Roman"/>
          <w:kern w:val="22"/>
        </w:rPr>
        <w:t>digital sequence information</w:t>
      </w:r>
      <w:r w:rsidR="00D659B0" w:rsidRPr="00F25D02">
        <w:rPr>
          <w:rFonts w:ascii="Times New Roman"/>
          <w:kern w:val="22"/>
        </w:rPr>
        <w:t xml:space="preserve"> associated with an Ebola virus to make a vaccine for commercial use, independent of the virus sample to which ABS conditions would have been imposed through the M</w:t>
      </w:r>
      <w:r w:rsidR="000974A3" w:rsidRPr="00F25D02">
        <w:rPr>
          <w:rFonts w:ascii="Times New Roman"/>
          <w:kern w:val="22"/>
        </w:rPr>
        <w:t xml:space="preserve">aterial </w:t>
      </w:r>
      <w:r w:rsidR="00D659B0" w:rsidRPr="00F25D02">
        <w:rPr>
          <w:rFonts w:ascii="Times New Roman"/>
          <w:kern w:val="22"/>
        </w:rPr>
        <w:t>T</w:t>
      </w:r>
      <w:r w:rsidR="000974A3" w:rsidRPr="00F25D02">
        <w:rPr>
          <w:rFonts w:ascii="Times New Roman"/>
          <w:kern w:val="22"/>
        </w:rPr>
        <w:t xml:space="preserve">ransfer </w:t>
      </w:r>
      <w:r w:rsidR="00D659B0" w:rsidRPr="00F25D02">
        <w:rPr>
          <w:rFonts w:ascii="Times New Roman"/>
          <w:kern w:val="22"/>
        </w:rPr>
        <w:t>A</w:t>
      </w:r>
      <w:r w:rsidR="000974A3" w:rsidRPr="00F25D02">
        <w:rPr>
          <w:rFonts w:ascii="Times New Roman"/>
          <w:kern w:val="22"/>
        </w:rPr>
        <w:t>greement</w:t>
      </w:r>
      <w:r w:rsidR="00D659B0" w:rsidRPr="00F25D02">
        <w:rPr>
          <w:rFonts w:ascii="Times New Roman"/>
          <w:kern w:val="22"/>
        </w:rPr>
        <w:t xml:space="preserve"> mediating the transfer</w:t>
      </w:r>
      <w:r w:rsidR="00B42E54" w:rsidRPr="00F25D02">
        <w:rPr>
          <w:rFonts w:ascii="Times New Roman"/>
          <w:kern w:val="22"/>
        </w:rPr>
        <w:t>.</w:t>
      </w:r>
    </w:p>
    <w:p w14:paraId="0AEBD9D0" w14:textId="77777777" w:rsidR="00452D88" w:rsidRPr="00F25D02" w:rsidRDefault="00452D88" w:rsidP="00E46FFB">
      <w:pPr>
        <w:pStyle w:val="Heading2"/>
        <w:rPr>
          <w:kern w:val="22"/>
        </w:rPr>
      </w:pPr>
    </w:p>
    <w:p w14:paraId="43085B67" w14:textId="08694EA0" w:rsidR="00013912" w:rsidRPr="00F25D02" w:rsidRDefault="00452D88" w:rsidP="00F25D02">
      <w:pPr>
        <w:pStyle w:val="Heading1"/>
        <w:numPr>
          <w:ilvl w:val="0"/>
          <w:numId w:val="8"/>
        </w:numPr>
        <w:tabs>
          <w:tab w:val="clear" w:pos="720"/>
          <w:tab w:val="left" w:pos="1134"/>
        </w:tabs>
        <w:spacing w:before="120"/>
        <w:ind w:left="1134" w:hanging="567"/>
        <w:jc w:val="left"/>
        <w:rPr>
          <w:bCs/>
          <w:iCs/>
          <w:kern w:val="22"/>
        </w:rPr>
      </w:pPr>
      <w:r w:rsidRPr="00F25D02">
        <w:rPr>
          <w:kern w:val="22"/>
        </w:rPr>
        <w:t xml:space="preserve">DOMESTIC MEASURES AND BENEFIT-SHARING ARRANGEMENTS FROM COMMERCIAL AND NON-COMMERCIAL USE </w:t>
      </w:r>
    </w:p>
    <w:p w14:paraId="298BBE2B" w14:textId="518C9360" w:rsidR="00452D88" w:rsidRPr="00F25D02" w:rsidRDefault="00452D88" w:rsidP="00086139">
      <w:pPr>
        <w:pStyle w:val="ListParagraph"/>
        <w:numPr>
          <w:ilvl w:val="1"/>
          <w:numId w:val="8"/>
        </w:numPr>
        <w:tabs>
          <w:tab w:val="left" w:pos="720"/>
          <w:tab w:val="left" w:pos="1170"/>
        </w:tabs>
        <w:spacing w:before="120" w:after="120" w:line="240" w:lineRule="auto"/>
        <w:contextualSpacing w:val="0"/>
        <w:jc w:val="both"/>
        <w:rPr>
          <w:rFonts w:ascii="Times New Roman"/>
          <w:b/>
          <w:bCs/>
          <w:kern w:val="22"/>
        </w:rPr>
      </w:pPr>
      <w:r w:rsidRPr="00F25D02">
        <w:rPr>
          <w:rFonts w:ascii="Times New Roman"/>
          <w:b/>
          <w:bCs/>
          <w:kern w:val="22"/>
        </w:rPr>
        <w:t>Domestic measures on access and benefit-sharing concerning digital sequence information on genetic resources</w:t>
      </w:r>
    </w:p>
    <w:p w14:paraId="3FA1BE4A" w14:textId="624CC1C5" w:rsidR="00D80E63" w:rsidRPr="00F25D02" w:rsidRDefault="00000C84" w:rsidP="00BE3CA6">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The policy-based process on </w:t>
      </w:r>
      <w:r w:rsidR="00BB7978" w:rsidRPr="00F25D02">
        <w:rPr>
          <w:rFonts w:ascii="Times New Roman"/>
          <w:kern w:val="22"/>
        </w:rPr>
        <w:t>digital sequence information</w:t>
      </w:r>
      <w:r w:rsidRPr="00F25D02">
        <w:rPr>
          <w:rFonts w:ascii="Times New Roman"/>
          <w:kern w:val="22"/>
        </w:rPr>
        <w:t xml:space="preserve"> established by </w:t>
      </w:r>
      <w:r w:rsidR="00A61D1D" w:rsidRPr="00F25D02">
        <w:rPr>
          <w:rFonts w:ascii="Times New Roman"/>
          <w:kern w:val="22"/>
        </w:rPr>
        <w:t>d</w:t>
      </w:r>
      <w:r w:rsidRPr="00F25D02">
        <w:rPr>
          <w:rFonts w:ascii="Times New Roman"/>
          <w:kern w:val="22"/>
        </w:rPr>
        <w:t>ecision 14/20 includes, inter alia, the commissioning and peer</w:t>
      </w:r>
      <w:r w:rsidR="00E50BC5" w:rsidRPr="00F25D02">
        <w:rPr>
          <w:rFonts w:ascii="Times New Roman"/>
          <w:kern w:val="22"/>
        </w:rPr>
        <w:t>-</w:t>
      </w:r>
      <w:r w:rsidRPr="00F25D02">
        <w:rPr>
          <w:rFonts w:ascii="Times New Roman"/>
          <w:kern w:val="22"/>
        </w:rPr>
        <w:t xml:space="preserve">review of </w:t>
      </w:r>
      <w:r w:rsidR="00E50BC5" w:rsidRPr="00F25D02">
        <w:rPr>
          <w:rFonts w:ascii="Times New Roman"/>
          <w:kern w:val="22"/>
        </w:rPr>
        <w:t xml:space="preserve">a fact-finding study </w:t>
      </w:r>
      <w:r w:rsidR="00E13346" w:rsidRPr="00F25D02">
        <w:rPr>
          <w:rFonts w:ascii="Times New Roman"/>
          <w:kern w:val="22"/>
        </w:rPr>
        <w:t>on how domestic measures address benefit-sharing arising from commercial and non-commercial use of digital sequence information on genetic resources, and address the use of digital sequence information on genetic resources for research and development</w:t>
      </w:r>
      <w:r w:rsidR="009231B4" w:rsidRPr="00F25D02">
        <w:rPr>
          <w:rStyle w:val="FootnoteReference"/>
          <w:rFonts w:ascii="Times New Roman"/>
          <w:kern w:val="22"/>
        </w:rPr>
        <w:footnoteReference w:id="106"/>
      </w:r>
      <w:r w:rsidR="00D80E63" w:rsidRPr="00F25D02">
        <w:rPr>
          <w:rFonts w:ascii="Times New Roman"/>
          <w:kern w:val="22"/>
        </w:rPr>
        <w:t xml:space="preserve"> </w:t>
      </w:r>
      <w:r w:rsidR="00370BDF" w:rsidRPr="00F25D02">
        <w:rPr>
          <w:rFonts w:ascii="Times New Roman"/>
          <w:kern w:val="22"/>
        </w:rPr>
        <w:t xml:space="preserve">which </w:t>
      </w:r>
      <w:r w:rsidR="005D3D2C" w:rsidRPr="00F25D02">
        <w:rPr>
          <w:rFonts w:ascii="Times New Roman"/>
          <w:kern w:val="22"/>
        </w:rPr>
        <w:t xml:space="preserve">was developed </w:t>
      </w:r>
      <w:r w:rsidR="00180FDE" w:rsidRPr="00F25D02">
        <w:rPr>
          <w:rFonts w:ascii="Times New Roman"/>
          <w:kern w:val="22"/>
        </w:rPr>
        <w:t xml:space="preserve">by subject matter experts relying on a </w:t>
      </w:r>
      <w:r w:rsidR="00370BDF" w:rsidRPr="00F25D02">
        <w:rPr>
          <w:rFonts w:ascii="Times New Roman"/>
          <w:kern w:val="22"/>
        </w:rPr>
        <w:t xml:space="preserve">wide range of </w:t>
      </w:r>
      <w:r w:rsidR="00826F99" w:rsidRPr="00F25D02">
        <w:rPr>
          <w:rFonts w:ascii="Times New Roman"/>
          <w:kern w:val="22"/>
        </w:rPr>
        <w:t>sources</w:t>
      </w:r>
      <w:r w:rsidR="00452D88" w:rsidRPr="00F25D02">
        <w:rPr>
          <w:rFonts w:ascii="Times New Roman"/>
          <w:kern w:val="22"/>
        </w:rPr>
        <w:t xml:space="preserve">, including the views and information submitted and synthesized in this </w:t>
      </w:r>
      <w:r w:rsidR="00FB5921" w:rsidRPr="00F25D02">
        <w:rPr>
          <w:rFonts w:ascii="Times New Roman"/>
          <w:kern w:val="22"/>
        </w:rPr>
        <w:t>document</w:t>
      </w:r>
      <w:r w:rsidR="00826F99" w:rsidRPr="00F25D02">
        <w:rPr>
          <w:rFonts w:ascii="Times New Roman"/>
          <w:kern w:val="22"/>
        </w:rPr>
        <w:t>.</w:t>
      </w:r>
      <w:r w:rsidR="00AB2F50" w:rsidRPr="00F25D02">
        <w:rPr>
          <w:rStyle w:val="FootnoteReference"/>
          <w:rFonts w:ascii="Times New Roman"/>
          <w:kern w:val="22"/>
        </w:rPr>
        <w:footnoteReference w:id="107"/>
      </w:r>
      <w:r w:rsidR="00826F99" w:rsidRPr="00F25D02">
        <w:rPr>
          <w:rFonts w:ascii="Times New Roman"/>
          <w:kern w:val="22"/>
        </w:rPr>
        <w:t xml:space="preserve"> </w:t>
      </w:r>
      <w:r w:rsidR="00AB2F50" w:rsidRPr="00F25D02">
        <w:rPr>
          <w:rFonts w:ascii="Times New Roman"/>
          <w:kern w:val="22"/>
        </w:rPr>
        <w:t>T</w:t>
      </w:r>
      <w:r w:rsidR="00370BDF" w:rsidRPr="00F25D02">
        <w:rPr>
          <w:rFonts w:ascii="Times New Roman"/>
          <w:kern w:val="22"/>
        </w:rPr>
        <w:t>h</w:t>
      </w:r>
      <w:r w:rsidR="00AB2F50" w:rsidRPr="00F25D02">
        <w:rPr>
          <w:rFonts w:ascii="Times New Roman"/>
          <w:kern w:val="22"/>
        </w:rPr>
        <w:t>is section should be read with th</w:t>
      </w:r>
      <w:r w:rsidR="005D3D2C" w:rsidRPr="00F25D02">
        <w:rPr>
          <w:rFonts w:ascii="Times New Roman"/>
          <w:kern w:val="22"/>
        </w:rPr>
        <w:t>is</w:t>
      </w:r>
      <w:r w:rsidR="00AB2F50" w:rsidRPr="00F25D02">
        <w:rPr>
          <w:rFonts w:ascii="Times New Roman"/>
          <w:kern w:val="22"/>
        </w:rPr>
        <w:t xml:space="preserve"> limitation in mind and the </w:t>
      </w:r>
      <w:r w:rsidR="00180FDE" w:rsidRPr="00F25D02">
        <w:rPr>
          <w:rFonts w:ascii="Times New Roman"/>
          <w:kern w:val="22"/>
        </w:rPr>
        <w:t xml:space="preserve">peer-reviewed, </w:t>
      </w:r>
      <w:r w:rsidR="005D3D2C" w:rsidRPr="00F25D02">
        <w:rPr>
          <w:rFonts w:ascii="Times New Roman"/>
          <w:kern w:val="22"/>
        </w:rPr>
        <w:t>fact-finding s</w:t>
      </w:r>
      <w:r w:rsidR="00370BDF" w:rsidRPr="00F25D02">
        <w:rPr>
          <w:rFonts w:ascii="Times New Roman"/>
          <w:kern w:val="22"/>
        </w:rPr>
        <w:t xml:space="preserve">tudy on </w:t>
      </w:r>
      <w:r w:rsidR="005D3D2C" w:rsidRPr="00F25D02">
        <w:rPr>
          <w:rFonts w:ascii="Times New Roman"/>
          <w:kern w:val="22"/>
        </w:rPr>
        <w:t>d</w:t>
      </w:r>
      <w:r w:rsidR="00370BDF" w:rsidRPr="00F25D02">
        <w:rPr>
          <w:rFonts w:ascii="Times New Roman"/>
          <w:kern w:val="22"/>
        </w:rPr>
        <w:t xml:space="preserve">omestic </w:t>
      </w:r>
      <w:r w:rsidR="005D3D2C" w:rsidRPr="00F25D02">
        <w:rPr>
          <w:rFonts w:ascii="Times New Roman"/>
          <w:kern w:val="22"/>
        </w:rPr>
        <w:t>m</w:t>
      </w:r>
      <w:r w:rsidR="00370BDF" w:rsidRPr="00F25D02">
        <w:rPr>
          <w:rFonts w:ascii="Times New Roman"/>
          <w:kern w:val="22"/>
        </w:rPr>
        <w:t xml:space="preserve">easures </w:t>
      </w:r>
      <w:r w:rsidR="00452D88" w:rsidRPr="00F25D02">
        <w:rPr>
          <w:rFonts w:ascii="Times New Roman"/>
          <w:kern w:val="22"/>
        </w:rPr>
        <w:t xml:space="preserve">is more comprehensive. </w:t>
      </w:r>
    </w:p>
    <w:p w14:paraId="32A74D78" w14:textId="65199344" w:rsidR="00013912" w:rsidRPr="00F25D02" w:rsidRDefault="0071534F" w:rsidP="00F25D02">
      <w:pPr>
        <w:pStyle w:val="Heading3"/>
        <w:numPr>
          <w:ilvl w:val="0"/>
          <w:numId w:val="11"/>
        </w:numPr>
        <w:ind w:left="1418" w:right="153" w:hanging="425"/>
        <w:jc w:val="left"/>
        <w:rPr>
          <w:kern w:val="22"/>
        </w:rPr>
      </w:pPr>
      <w:r w:rsidRPr="00F25D02">
        <w:rPr>
          <w:kern w:val="22"/>
        </w:rPr>
        <w:t>Comments on m</w:t>
      </w:r>
      <w:r w:rsidR="00013912" w:rsidRPr="00F25D02">
        <w:rPr>
          <w:kern w:val="22"/>
        </w:rPr>
        <w:t xml:space="preserve">easures that do not explicitly address </w:t>
      </w:r>
      <w:r w:rsidR="00BB7978" w:rsidRPr="00F25D02">
        <w:rPr>
          <w:kern w:val="22"/>
        </w:rPr>
        <w:t>d</w:t>
      </w:r>
      <w:r w:rsidR="00013912" w:rsidRPr="00F25D02">
        <w:rPr>
          <w:kern w:val="22"/>
        </w:rPr>
        <w:t xml:space="preserve">igital </w:t>
      </w:r>
      <w:r w:rsidR="00BB7978" w:rsidRPr="00F25D02">
        <w:rPr>
          <w:kern w:val="22"/>
        </w:rPr>
        <w:t>s</w:t>
      </w:r>
      <w:r w:rsidR="00013912" w:rsidRPr="00F25D02">
        <w:rPr>
          <w:kern w:val="22"/>
        </w:rPr>
        <w:t xml:space="preserve">equence </w:t>
      </w:r>
      <w:r w:rsidR="00BB7978" w:rsidRPr="00F25D02">
        <w:rPr>
          <w:kern w:val="22"/>
        </w:rPr>
        <w:t>i</w:t>
      </w:r>
      <w:r w:rsidR="00013912" w:rsidRPr="00F25D02">
        <w:rPr>
          <w:kern w:val="22"/>
        </w:rPr>
        <w:t xml:space="preserve">nformation on </w:t>
      </w:r>
      <w:r w:rsidR="00BB7978" w:rsidRPr="00F25D02">
        <w:rPr>
          <w:kern w:val="22"/>
        </w:rPr>
        <w:t>g</w:t>
      </w:r>
      <w:r w:rsidR="00013912" w:rsidRPr="00F25D02">
        <w:rPr>
          <w:kern w:val="22"/>
        </w:rPr>
        <w:t xml:space="preserve">enetic </w:t>
      </w:r>
      <w:r w:rsidR="00BB7978" w:rsidRPr="00F25D02">
        <w:rPr>
          <w:kern w:val="22"/>
        </w:rPr>
        <w:t>r</w:t>
      </w:r>
      <w:r w:rsidR="00013912" w:rsidRPr="00F25D02">
        <w:rPr>
          <w:kern w:val="22"/>
        </w:rPr>
        <w:t xml:space="preserve">esources </w:t>
      </w:r>
    </w:p>
    <w:p w14:paraId="55DD9E3A" w14:textId="103B1C09" w:rsidR="00B83904" w:rsidRPr="00F25D02" w:rsidRDefault="00CE1F65"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bookmarkStart w:id="27" w:name="_Hlk29120940"/>
      <w:r w:rsidRPr="00F25D02">
        <w:rPr>
          <w:rFonts w:ascii="Times New Roman"/>
          <w:kern w:val="22"/>
        </w:rPr>
        <w:t>Several</w:t>
      </w:r>
      <w:r w:rsidR="00B83904" w:rsidRPr="00F25D02">
        <w:rPr>
          <w:rFonts w:ascii="Times New Roman"/>
          <w:kern w:val="22"/>
        </w:rPr>
        <w:t xml:space="preserve"> of submissions indicated th</w:t>
      </w:r>
      <w:r w:rsidR="00192B59" w:rsidRPr="00F25D02">
        <w:rPr>
          <w:rFonts w:ascii="Times New Roman"/>
          <w:kern w:val="22"/>
        </w:rPr>
        <w:t>eir</w:t>
      </w:r>
      <w:r w:rsidR="00B83904" w:rsidRPr="00F25D02">
        <w:rPr>
          <w:rFonts w:ascii="Times New Roman"/>
          <w:kern w:val="22"/>
        </w:rPr>
        <w:t xml:space="preserve"> national </w:t>
      </w:r>
      <w:r w:rsidR="00192B59" w:rsidRPr="00F25D02">
        <w:rPr>
          <w:rFonts w:ascii="Times New Roman"/>
          <w:kern w:val="22"/>
        </w:rPr>
        <w:t>ABS framework does</w:t>
      </w:r>
      <w:r w:rsidR="00B83904" w:rsidRPr="00F25D02">
        <w:rPr>
          <w:rFonts w:ascii="Times New Roman"/>
          <w:kern w:val="22"/>
        </w:rPr>
        <w:t xml:space="preserve"> not address </w:t>
      </w:r>
      <w:r w:rsidR="00BB7978" w:rsidRPr="00F25D02">
        <w:rPr>
          <w:rFonts w:ascii="Times New Roman"/>
          <w:kern w:val="22"/>
        </w:rPr>
        <w:t>digital sequence information</w:t>
      </w:r>
      <w:r w:rsidR="000A70FA" w:rsidRPr="00F25D02">
        <w:rPr>
          <w:rStyle w:val="FootnoteReference"/>
          <w:rFonts w:ascii="Times New Roman"/>
          <w:kern w:val="22"/>
        </w:rPr>
        <w:footnoteReference w:id="108"/>
      </w:r>
      <w:r w:rsidR="00B83904" w:rsidRPr="00F25D02">
        <w:rPr>
          <w:rFonts w:ascii="Times New Roman"/>
          <w:kern w:val="22"/>
        </w:rPr>
        <w:t xml:space="preserve"> </w:t>
      </w:r>
      <w:r w:rsidR="00A23E6E" w:rsidRPr="00F25D02">
        <w:rPr>
          <w:rFonts w:ascii="Times New Roman"/>
          <w:kern w:val="22"/>
        </w:rPr>
        <w:t>and s</w:t>
      </w:r>
      <w:r w:rsidR="00B83904" w:rsidRPr="00F25D02">
        <w:rPr>
          <w:rFonts w:ascii="Times New Roman"/>
          <w:kern w:val="22"/>
        </w:rPr>
        <w:t xml:space="preserve">ome of these elaborated that they are unsupportive of </w:t>
      </w:r>
      <w:r w:rsidR="00192B59" w:rsidRPr="00F25D02">
        <w:rPr>
          <w:rFonts w:ascii="Times New Roman"/>
          <w:kern w:val="22"/>
        </w:rPr>
        <w:t xml:space="preserve">measures that </w:t>
      </w:r>
      <w:r w:rsidR="00B83904" w:rsidRPr="00F25D02">
        <w:rPr>
          <w:rFonts w:ascii="Times New Roman"/>
          <w:kern w:val="22"/>
        </w:rPr>
        <w:t xml:space="preserve">restrict access </w:t>
      </w:r>
      <w:r w:rsidR="00BB7978" w:rsidRPr="00F25D02">
        <w:rPr>
          <w:rFonts w:ascii="Times New Roman"/>
          <w:kern w:val="22"/>
        </w:rPr>
        <w:t>digital sequence information</w:t>
      </w:r>
      <w:r w:rsidR="00192B59" w:rsidRPr="00F25D02">
        <w:rPr>
          <w:rFonts w:ascii="Times New Roman"/>
          <w:kern w:val="22"/>
        </w:rPr>
        <w:t xml:space="preserve">, </w:t>
      </w:r>
      <w:r w:rsidR="00B83904" w:rsidRPr="00F25D02">
        <w:rPr>
          <w:rFonts w:ascii="Times New Roman"/>
          <w:kern w:val="22"/>
        </w:rPr>
        <w:t>irrespective of the type of use</w:t>
      </w:r>
      <w:bookmarkEnd w:id="27"/>
      <w:r w:rsidR="00192B59" w:rsidRPr="00F25D02">
        <w:rPr>
          <w:rFonts w:ascii="Times New Roman"/>
          <w:kern w:val="22"/>
        </w:rPr>
        <w:t>.</w:t>
      </w:r>
      <w:r w:rsidR="00192B59" w:rsidRPr="00F25D02">
        <w:rPr>
          <w:rStyle w:val="FootnoteReference"/>
          <w:rFonts w:ascii="Times New Roman"/>
          <w:kern w:val="22"/>
        </w:rPr>
        <w:footnoteReference w:id="109"/>
      </w:r>
      <w:r w:rsidR="00B83904" w:rsidRPr="00F25D02">
        <w:rPr>
          <w:rFonts w:ascii="Times New Roman"/>
          <w:kern w:val="22"/>
        </w:rPr>
        <w:t xml:space="preserve"> </w:t>
      </w:r>
    </w:p>
    <w:p w14:paraId="320BFE79" w14:textId="18924334" w:rsidR="00B83904" w:rsidRPr="00F25D02" w:rsidRDefault="00CE1F65"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Several</w:t>
      </w:r>
      <w:r w:rsidR="00B83904" w:rsidRPr="00F25D02">
        <w:rPr>
          <w:rFonts w:ascii="Times New Roman"/>
          <w:kern w:val="22"/>
        </w:rPr>
        <w:t xml:space="preserve"> of submissions indicated that th</w:t>
      </w:r>
      <w:r w:rsidR="00192B59" w:rsidRPr="00F25D02">
        <w:rPr>
          <w:rFonts w:ascii="Times New Roman"/>
          <w:kern w:val="22"/>
        </w:rPr>
        <w:t>eir</w:t>
      </w:r>
      <w:r w:rsidR="00B83904" w:rsidRPr="00F25D02">
        <w:rPr>
          <w:rFonts w:ascii="Times New Roman"/>
          <w:kern w:val="22"/>
        </w:rPr>
        <w:t xml:space="preserve"> national </w:t>
      </w:r>
      <w:r w:rsidR="00192B59" w:rsidRPr="00F25D02">
        <w:rPr>
          <w:rFonts w:ascii="Times New Roman"/>
          <w:kern w:val="22"/>
        </w:rPr>
        <w:t>ABS framework</w:t>
      </w:r>
      <w:r w:rsidR="00B83904" w:rsidRPr="00F25D02">
        <w:rPr>
          <w:rFonts w:ascii="Times New Roman"/>
          <w:kern w:val="22"/>
        </w:rPr>
        <w:t xml:space="preserve"> do</w:t>
      </w:r>
      <w:r w:rsidR="00192B59" w:rsidRPr="00F25D02">
        <w:rPr>
          <w:rFonts w:ascii="Times New Roman"/>
          <w:kern w:val="22"/>
        </w:rPr>
        <w:t>es</w:t>
      </w:r>
      <w:r w:rsidR="00B83904" w:rsidRPr="00F25D02">
        <w:rPr>
          <w:rFonts w:ascii="Times New Roman"/>
          <w:kern w:val="22"/>
        </w:rPr>
        <w:t xml:space="preserve"> not address </w:t>
      </w:r>
      <w:r w:rsidR="00BB7978" w:rsidRPr="00F25D02">
        <w:rPr>
          <w:rFonts w:ascii="Times New Roman"/>
          <w:kern w:val="22"/>
        </w:rPr>
        <w:t>digital sequence information</w:t>
      </w:r>
      <w:r w:rsidR="00B83904" w:rsidRPr="00F25D02">
        <w:rPr>
          <w:rFonts w:ascii="Times New Roman"/>
          <w:kern w:val="22"/>
        </w:rPr>
        <w:t>, however</w:t>
      </w:r>
      <w:bookmarkStart w:id="28" w:name="_Hlk29121071"/>
      <w:r w:rsidR="00B83904" w:rsidRPr="00F25D02">
        <w:rPr>
          <w:rFonts w:ascii="Times New Roman"/>
          <w:kern w:val="22"/>
        </w:rPr>
        <w:t xml:space="preserve">, </w:t>
      </w:r>
      <w:r w:rsidR="00BB7978" w:rsidRPr="00F25D02">
        <w:rPr>
          <w:rFonts w:ascii="Times New Roman"/>
          <w:kern w:val="22"/>
        </w:rPr>
        <w:t>digital sequence information</w:t>
      </w:r>
      <w:r w:rsidR="00B83904" w:rsidRPr="00F25D02">
        <w:rPr>
          <w:rFonts w:ascii="Times New Roman"/>
          <w:kern w:val="22"/>
        </w:rPr>
        <w:t xml:space="preserve"> is nevertheless understood to be within the scope of the</w:t>
      </w:r>
      <w:r w:rsidR="00192B59" w:rsidRPr="00F25D02">
        <w:rPr>
          <w:rFonts w:ascii="Times New Roman"/>
          <w:kern w:val="22"/>
        </w:rPr>
        <w:t>ir</w:t>
      </w:r>
      <w:r w:rsidR="00B83904" w:rsidRPr="00F25D02">
        <w:rPr>
          <w:rFonts w:ascii="Times New Roman"/>
          <w:kern w:val="22"/>
        </w:rPr>
        <w:t xml:space="preserve"> domestic ABS framework</w:t>
      </w:r>
      <w:bookmarkEnd w:id="28"/>
      <w:r w:rsidR="00B83904" w:rsidRPr="00F25D02">
        <w:rPr>
          <w:rFonts w:ascii="Times New Roman"/>
          <w:kern w:val="22"/>
        </w:rPr>
        <w:t>. Illustrative examples include:</w:t>
      </w:r>
    </w:p>
    <w:p w14:paraId="2A578D02" w14:textId="75277D9E" w:rsidR="00DB44C5" w:rsidRPr="00F25D02" w:rsidRDefault="00DB44C5" w:rsidP="00672070">
      <w:pPr>
        <w:pStyle w:val="ListParagraph"/>
        <w:numPr>
          <w:ilvl w:val="1"/>
          <w:numId w:val="2"/>
        </w:numPr>
        <w:tabs>
          <w:tab w:val="left" w:pos="1440"/>
        </w:tabs>
        <w:spacing w:before="120" w:after="120" w:line="240" w:lineRule="auto"/>
        <w:ind w:left="0" w:firstLine="709"/>
        <w:contextualSpacing w:val="0"/>
        <w:jc w:val="both"/>
        <w:rPr>
          <w:rFonts w:ascii="Times New Roman"/>
          <w:kern w:val="22"/>
        </w:rPr>
      </w:pPr>
      <w:r w:rsidRPr="00F25D02">
        <w:rPr>
          <w:rFonts w:ascii="Times New Roman"/>
          <w:kern w:val="22"/>
        </w:rPr>
        <w:t xml:space="preserve">The national ABS legislation of Colombia in which access to genetic sequence information is </w:t>
      </w:r>
      <w:r w:rsidR="002842BB" w:rsidRPr="00F25D02">
        <w:rPr>
          <w:rFonts w:ascii="Times New Roman"/>
          <w:kern w:val="22"/>
        </w:rPr>
        <w:t xml:space="preserve">considered </w:t>
      </w:r>
      <w:r w:rsidRPr="00F25D02">
        <w:rPr>
          <w:rFonts w:ascii="Times New Roman"/>
          <w:kern w:val="22"/>
        </w:rPr>
        <w:t>equivalent to accessing a genetic resource</w:t>
      </w:r>
      <w:r w:rsidR="002842BB" w:rsidRPr="00F25D02">
        <w:rPr>
          <w:rFonts w:ascii="Times New Roman"/>
          <w:kern w:val="22"/>
        </w:rPr>
        <w:t>,</w:t>
      </w:r>
      <w:r w:rsidRPr="00F25D02">
        <w:rPr>
          <w:rFonts w:ascii="Times New Roman"/>
          <w:kern w:val="22"/>
        </w:rPr>
        <w:t xml:space="preserve"> and access contracts incorporate a </w:t>
      </w:r>
      <w:r w:rsidRPr="00F25D02">
        <w:rPr>
          <w:rFonts w:ascii="Times New Roman"/>
          <w:kern w:val="22"/>
        </w:rPr>
        <w:lastRenderedPageBreak/>
        <w:t xml:space="preserve">clause requiring </w:t>
      </w:r>
      <w:r w:rsidR="002842BB" w:rsidRPr="00F25D02">
        <w:rPr>
          <w:rFonts w:ascii="Times New Roman"/>
          <w:kern w:val="22"/>
        </w:rPr>
        <w:t>the prior approval of the Ministry of the Environment and Sustainable Development for the grant of intellectual property rights, or the publication/dissemination of genetic or chemical information obtained by accessing a genetic resource or its derivatives, if it has potential for potential for bioprospecting, or industrial/commercial exploitation.</w:t>
      </w:r>
      <w:r w:rsidR="002842BB" w:rsidRPr="00F25D02">
        <w:rPr>
          <w:rStyle w:val="FootnoteReference"/>
          <w:rFonts w:ascii="Times New Roman"/>
          <w:kern w:val="22"/>
        </w:rPr>
        <w:footnoteReference w:id="110"/>
      </w:r>
    </w:p>
    <w:p w14:paraId="112E34E9" w14:textId="79AE2F3F" w:rsidR="00B83904" w:rsidRPr="00F25D02" w:rsidRDefault="00672070" w:rsidP="00672070">
      <w:pPr>
        <w:pStyle w:val="ListParagraph"/>
        <w:numPr>
          <w:ilvl w:val="1"/>
          <w:numId w:val="2"/>
        </w:numPr>
        <w:tabs>
          <w:tab w:val="left" w:pos="1440"/>
        </w:tabs>
        <w:spacing w:before="120" w:after="120" w:line="240" w:lineRule="auto"/>
        <w:ind w:left="0" w:firstLine="709"/>
        <w:contextualSpacing w:val="0"/>
        <w:jc w:val="both"/>
        <w:rPr>
          <w:rFonts w:ascii="Times New Roman"/>
          <w:kern w:val="22"/>
        </w:rPr>
      </w:pPr>
      <w:r w:rsidRPr="00F25D02">
        <w:rPr>
          <w:rFonts w:ascii="Times New Roman"/>
          <w:kern w:val="22"/>
        </w:rPr>
        <w:t>T</w:t>
      </w:r>
      <w:r w:rsidR="00B83904" w:rsidRPr="00F25D02">
        <w:rPr>
          <w:rFonts w:ascii="Times New Roman"/>
          <w:kern w:val="22"/>
        </w:rPr>
        <w:t xml:space="preserve">he Biological Diversity Act of India in which the submission further elaborated that Section 6, which refers to ‘information on biological resource’, is sufficiently broad to cover </w:t>
      </w:r>
      <w:r w:rsidR="00BB7978" w:rsidRPr="00F25D02">
        <w:rPr>
          <w:rFonts w:ascii="Times New Roman"/>
          <w:kern w:val="22"/>
        </w:rPr>
        <w:t>digital sequence information</w:t>
      </w:r>
      <w:r w:rsidR="00192B59" w:rsidRPr="00F25D02">
        <w:rPr>
          <w:rFonts w:ascii="Times New Roman"/>
          <w:kern w:val="22"/>
        </w:rPr>
        <w:t>;</w:t>
      </w:r>
      <w:r w:rsidR="00192B59" w:rsidRPr="00F25D02">
        <w:rPr>
          <w:rStyle w:val="FootnoteReference"/>
          <w:rFonts w:ascii="Times New Roman"/>
          <w:kern w:val="22"/>
        </w:rPr>
        <w:footnoteReference w:id="111"/>
      </w:r>
      <w:r w:rsidR="00B83904" w:rsidRPr="00F25D02">
        <w:rPr>
          <w:rStyle w:val="FootnoteReference"/>
          <w:rFonts w:ascii="Times New Roman"/>
          <w:kern w:val="22"/>
        </w:rPr>
        <w:t xml:space="preserve"> </w:t>
      </w:r>
    </w:p>
    <w:p w14:paraId="34B09707" w14:textId="73C5AEC0" w:rsidR="00B83904" w:rsidRPr="00F25D02" w:rsidRDefault="00672070" w:rsidP="00672070">
      <w:pPr>
        <w:pStyle w:val="ListParagraph"/>
        <w:numPr>
          <w:ilvl w:val="1"/>
          <w:numId w:val="2"/>
        </w:numPr>
        <w:tabs>
          <w:tab w:val="left" w:pos="1440"/>
        </w:tabs>
        <w:spacing w:before="120" w:after="120" w:line="240" w:lineRule="auto"/>
        <w:ind w:left="0" w:firstLine="709"/>
        <w:contextualSpacing w:val="0"/>
        <w:jc w:val="both"/>
        <w:rPr>
          <w:rFonts w:ascii="Times New Roman"/>
          <w:kern w:val="22"/>
        </w:rPr>
      </w:pPr>
      <w:r w:rsidRPr="00F25D02">
        <w:rPr>
          <w:rFonts w:ascii="Times New Roman"/>
          <w:kern w:val="22"/>
        </w:rPr>
        <w:t>T</w:t>
      </w:r>
      <w:r w:rsidR="00B83904" w:rsidRPr="00F25D02">
        <w:rPr>
          <w:rFonts w:ascii="Times New Roman"/>
          <w:kern w:val="22"/>
        </w:rPr>
        <w:t>he Biodiversity Act 2004 of South Africa in which:</w:t>
      </w:r>
    </w:p>
    <w:p w14:paraId="759EACD9" w14:textId="71EB98F1" w:rsidR="00B83904" w:rsidRPr="00F25D02" w:rsidRDefault="00B83904" w:rsidP="00086139">
      <w:pPr>
        <w:numPr>
          <w:ilvl w:val="0"/>
          <w:numId w:val="13"/>
        </w:numPr>
        <w:tabs>
          <w:tab w:val="left" w:pos="360"/>
          <w:tab w:val="left" w:pos="1170"/>
        </w:tabs>
        <w:spacing w:before="120" w:after="120"/>
        <w:ind w:left="1843"/>
        <w:jc w:val="both"/>
        <w:rPr>
          <w:rFonts w:ascii="Times New Roman"/>
          <w:kern w:val="22"/>
        </w:rPr>
      </w:pPr>
      <w:r w:rsidRPr="00F25D02">
        <w:rPr>
          <w:rFonts w:ascii="Times New Roman"/>
          <w:kern w:val="22"/>
        </w:rPr>
        <w:t>‘</w:t>
      </w:r>
      <w:r w:rsidR="00672070" w:rsidRPr="00F25D02">
        <w:rPr>
          <w:rFonts w:ascii="Times New Roman"/>
          <w:kern w:val="22"/>
        </w:rPr>
        <w:t>G</w:t>
      </w:r>
      <w:r w:rsidRPr="00F25D02">
        <w:rPr>
          <w:rFonts w:ascii="Times New Roman"/>
          <w:kern w:val="22"/>
        </w:rPr>
        <w:t xml:space="preserve">enetic resource’ is defined to include ‘any genetic material or genetic potential characterization or information of any species’ and therefore access to </w:t>
      </w:r>
      <w:r w:rsidR="00BB7978" w:rsidRPr="00F25D02">
        <w:rPr>
          <w:rFonts w:ascii="Times New Roman"/>
          <w:kern w:val="22"/>
        </w:rPr>
        <w:t>digital sequence information</w:t>
      </w:r>
      <w:r w:rsidRPr="00F25D02">
        <w:rPr>
          <w:rFonts w:ascii="Times New Roman"/>
          <w:kern w:val="22"/>
        </w:rPr>
        <w:t xml:space="preserve"> is considered to constitute access to a genetic resource</w:t>
      </w:r>
      <w:r w:rsidR="00155AF0" w:rsidRPr="00F25D02">
        <w:rPr>
          <w:rFonts w:ascii="Times New Roman"/>
          <w:kern w:val="22"/>
        </w:rPr>
        <w:t>;</w:t>
      </w:r>
      <w:r w:rsidR="00192B59" w:rsidRPr="00F25D02">
        <w:rPr>
          <w:rStyle w:val="FootnoteReference"/>
          <w:rFonts w:ascii="Times New Roman"/>
          <w:kern w:val="22"/>
        </w:rPr>
        <w:footnoteReference w:id="112"/>
      </w:r>
      <w:r w:rsidRPr="00F25D02">
        <w:rPr>
          <w:rFonts w:ascii="Times New Roman"/>
          <w:kern w:val="22"/>
        </w:rPr>
        <w:t xml:space="preserve"> </w:t>
      </w:r>
    </w:p>
    <w:p w14:paraId="635A01B5" w14:textId="0CC43E6B" w:rsidR="00B83904" w:rsidRPr="00F25D02" w:rsidRDefault="00672070" w:rsidP="00086139">
      <w:pPr>
        <w:numPr>
          <w:ilvl w:val="0"/>
          <w:numId w:val="13"/>
        </w:numPr>
        <w:tabs>
          <w:tab w:val="left" w:pos="360"/>
          <w:tab w:val="left" w:pos="1170"/>
        </w:tabs>
        <w:spacing w:before="120" w:after="120"/>
        <w:ind w:left="1843"/>
        <w:jc w:val="both"/>
        <w:rPr>
          <w:rFonts w:ascii="Times New Roman"/>
          <w:kern w:val="22"/>
        </w:rPr>
      </w:pPr>
      <w:r w:rsidRPr="00F25D02">
        <w:rPr>
          <w:rFonts w:ascii="Times New Roman"/>
          <w:kern w:val="22"/>
        </w:rPr>
        <w:t>M</w:t>
      </w:r>
      <w:r w:rsidR="00B83904" w:rsidRPr="00F25D02">
        <w:rPr>
          <w:rFonts w:ascii="Times New Roman"/>
          <w:kern w:val="22"/>
        </w:rPr>
        <w:t xml:space="preserve">utually agreed terms and access permit templates include mandatory clauses that address access for commercial use and terms and conditions governing third-party transfer which could include the utilization of </w:t>
      </w:r>
      <w:r w:rsidR="00BB7978" w:rsidRPr="00F25D02">
        <w:rPr>
          <w:rFonts w:ascii="Times New Roman"/>
          <w:kern w:val="22"/>
        </w:rPr>
        <w:t>digital sequence information</w:t>
      </w:r>
      <w:r w:rsidR="00B83904" w:rsidRPr="00F25D02">
        <w:rPr>
          <w:rFonts w:ascii="Times New Roman"/>
          <w:kern w:val="22"/>
        </w:rPr>
        <w:t xml:space="preserve"> on genetic resources, whether stored in public or private databases</w:t>
      </w:r>
      <w:r w:rsidR="00155AF0" w:rsidRPr="00F25D02">
        <w:rPr>
          <w:rFonts w:ascii="Times New Roman"/>
          <w:kern w:val="22"/>
        </w:rPr>
        <w:t>;</w:t>
      </w:r>
      <w:r w:rsidR="00192B59" w:rsidRPr="00F25D02">
        <w:rPr>
          <w:rStyle w:val="FootnoteReference"/>
          <w:rFonts w:ascii="Times New Roman"/>
          <w:kern w:val="22"/>
        </w:rPr>
        <w:footnoteReference w:id="113"/>
      </w:r>
      <w:r w:rsidR="00B83904" w:rsidRPr="00F25D02">
        <w:rPr>
          <w:rFonts w:ascii="Times New Roman"/>
          <w:kern w:val="22"/>
        </w:rPr>
        <w:t xml:space="preserve"> </w:t>
      </w:r>
    </w:p>
    <w:p w14:paraId="0F0066C8" w14:textId="28F5CD53" w:rsidR="00B83904" w:rsidRPr="00F25D02" w:rsidRDefault="00672070" w:rsidP="00086139">
      <w:pPr>
        <w:numPr>
          <w:ilvl w:val="0"/>
          <w:numId w:val="13"/>
        </w:numPr>
        <w:tabs>
          <w:tab w:val="left" w:pos="360"/>
          <w:tab w:val="left" w:pos="1170"/>
        </w:tabs>
        <w:spacing w:before="120" w:after="120"/>
        <w:ind w:left="1843"/>
        <w:jc w:val="both"/>
        <w:rPr>
          <w:rFonts w:ascii="Times New Roman"/>
          <w:kern w:val="22"/>
        </w:rPr>
      </w:pPr>
      <w:r w:rsidRPr="00F25D02">
        <w:rPr>
          <w:rFonts w:ascii="Times New Roman"/>
          <w:kern w:val="22"/>
        </w:rPr>
        <w:t>T</w:t>
      </w:r>
      <w:r w:rsidR="00192B59" w:rsidRPr="00F25D02">
        <w:rPr>
          <w:rFonts w:ascii="Times New Roman"/>
          <w:kern w:val="22"/>
        </w:rPr>
        <w:t xml:space="preserve">he legislation </w:t>
      </w:r>
      <w:r w:rsidR="00B83904" w:rsidRPr="00F25D02">
        <w:rPr>
          <w:rFonts w:ascii="Times New Roman"/>
          <w:kern w:val="22"/>
        </w:rPr>
        <w:t xml:space="preserve">reflects a policy solution aimed at ensuring fair and equitable sharing of benefits with </w:t>
      </w:r>
      <w:r w:rsidR="00192B59" w:rsidRPr="00F25D02">
        <w:rPr>
          <w:rFonts w:ascii="Times New Roman"/>
          <w:kern w:val="22"/>
        </w:rPr>
        <w:t xml:space="preserve">a </w:t>
      </w:r>
      <w:r w:rsidR="00B83904" w:rsidRPr="00F25D02">
        <w:rPr>
          <w:rFonts w:ascii="Times New Roman"/>
          <w:kern w:val="22"/>
        </w:rPr>
        <w:t>country of origin where a genetic resource underpins the creation of sequence data which ha</w:t>
      </w:r>
      <w:r w:rsidR="00192B59" w:rsidRPr="00F25D02">
        <w:rPr>
          <w:rFonts w:ascii="Times New Roman"/>
          <w:kern w:val="22"/>
        </w:rPr>
        <w:t>s</w:t>
      </w:r>
      <w:r w:rsidR="00A23E6E" w:rsidRPr="00F25D02">
        <w:rPr>
          <w:rFonts w:ascii="Times New Roman"/>
          <w:kern w:val="22"/>
        </w:rPr>
        <w:t xml:space="preserve"> </w:t>
      </w:r>
      <w:r w:rsidR="00B83904" w:rsidRPr="00F25D02">
        <w:rPr>
          <w:rFonts w:ascii="Times New Roman"/>
          <w:kern w:val="22"/>
        </w:rPr>
        <w:t>been accessed and used for commercial purposes</w:t>
      </w:r>
      <w:r w:rsidR="00155AF0" w:rsidRPr="00F25D02">
        <w:rPr>
          <w:rFonts w:ascii="Times New Roman"/>
          <w:kern w:val="22"/>
        </w:rPr>
        <w:t>.</w:t>
      </w:r>
      <w:r w:rsidR="00192B59" w:rsidRPr="00F25D02">
        <w:rPr>
          <w:rStyle w:val="FootnoteReference"/>
          <w:rFonts w:ascii="Times New Roman"/>
          <w:kern w:val="22"/>
        </w:rPr>
        <w:footnoteReference w:id="114"/>
      </w:r>
      <w:r w:rsidR="00B83904" w:rsidRPr="00F25D02">
        <w:rPr>
          <w:rFonts w:ascii="Times New Roman"/>
          <w:kern w:val="22"/>
        </w:rPr>
        <w:t xml:space="preserve"> </w:t>
      </w:r>
    </w:p>
    <w:p w14:paraId="1D73BAF5" w14:textId="4C8B7246" w:rsidR="00B83904" w:rsidRPr="00F25D02" w:rsidRDefault="00CE1F65"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Several</w:t>
      </w:r>
      <w:r w:rsidR="00B83904" w:rsidRPr="00F25D02">
        <w:rPr>
          <w:rFonts w:ascii="Times New Roman"/>
          <w:kern w:val="22"/>
        </w:rPr>
        <w:t xml:space="preserve"> of submissions indicated </w:t>
      </w:r>
      <w:r w:rsidR="00793785" w:rsidRPr="00F25D02">
        <w:rPr>
          <w:rFonts w:ascii="Times New Roman"/>
          <w:kern w:val="22"/>
        </w:rPr>
        <w:t xml:space="preserve">or inferred </w:t>
      </w:r>
      <w:r w:rsidR="00B83904" w:rsidRPr="00F25D02">
        <w:rPr>
          <w:rFonts w:ascii="Times New Roman"/>
          <w:kern w:val="22"/>
        </w:rPr>
        <w:t>that th</w:t>
      </w:r>
      <w:r w:rsidR="00192B59" w:rsidRPr="00F25D02">
        <w:rPr>
          <w:rFonts w:ascii="Times New Roman"/>
          <w:kern w:val="22"/>
        </w:rPr>
        <w:t>eir</w:t>
      </w:r>
      <w:r w:rsidR="00B83904" w:rsidRPr="00F25D02">
        <w:rPr>
          <w:rFonts w:ascii="Times New Roman"/>
          <w:kern w:val="22"/>
        </w:rPr>
        <w:t xml:space="preserve"> national </w:t>
      </w:r>
      <w:r w:rsidR="00192B59" w:rsidRPr="00F25D02">
        <w:rPr>
          <w:rFonts w:ascii="Times New Roman"/>
          <w:kern w:val="22"/>
        </w:rPr>
        <w:t>ABS framework</w:t>
      </w:r>
      <w:r w:rsidR="00B83904" w:rsidRPr="00F25D02">
        <w:rPr>
          <w:rFonts w:ascii="Times New Roman"/>
          <w:kern w:val="22"/>
        </w:rPr>
        <w:t xml:space="preserve"> do</w:t>
      </w:r>
      <w:r w:rsidR="00192B59" w:rsidRPr="00F25D02">
        <w:rPr>
          <w:rFonts w:ascii="Times New Roman"/>
          <w:kern w:val="22"/>
        </w:rPr>
        <w:t>es</w:t>
      </w:r>
      <w:r w:rsidR="00B83904" w:rsidRPr="00F25D02">
        <w:rPr>
          <w:rFonts w:ascii="Times New Roman"/>
          <w:kern w:val="22"/>
        </w:rPr>
        <w:t xml:space="preserve"> not explicitly address </w:t>
      </w:r>
      <w:r w:rsidR="00BB7978" w:rsidRPr="00F25D02">
        <w:rPr>
          <w:rFonts w:ascii="Times New Roman"/>
          <w:kern w:val="22"/>
        </w:rPr>
        <w:t>digital sequence information</w:t>
      </w:r>
      <w:r w:rsidR="00B83904" w:rsidRPr="00F25D02">
        <w:rPr>
          <w:rFonts w:ascii="Times New Roman"/>
          <w:kern w:val="22"/>
        </w:rPr>
        <w:t xml:space="preserve">, however, </w:t>
      </w:r>
      <w:r w:rsidR="00192B59" w:rsidRPr="00F25D02">
        <w:rPr>
          <w:rFonts w:ascii="Times New Roman"/>
          <w:kern w:val="22"/>
        </w:rPr>
        <w:t xml:space="preserve">they </w:t>
      </w:r>
      <w:r w:rsidR="00B83904" w:rsidRPr="00F25D02">
        <w:rPr>
          <w:rFonts w:ascii="Times New Roman"/>
          <w:kern w:val="22"/>
        </w:rPr>
        <w:t>acknowledged that its use can be governed by a provider country through</w:t>
      </w:r>
      <w:r w:rsidR="0021054C" w:rsidRPr="00F25D02">
        <w:rPr>
          <w:rFonts w:ascii="Times New Roman"/>
          <w:kern w:val="22"/>
        </w:rPr>
        <w:t xml:space="preserve"> prior informed consent</w:t>
      </w:r>
      <w:r w:rsidR="00B83904" w:rsidRPr="00F25D02">
        <w:rPr>
          <w:rFonts w:ascii="Times New Roman"/>
          <w:kern w:val="22"/>
        </w:rPr>
        <w:t xml:space="preserve"> </w:t>
      </w:r>
      <w:r w:rsidR="0021054C" w:rsidRPr="00F25D02">
        <w:rPr>
          <w:rFonts w:ascii="Times New Roman"/>
          <w:kern w:val="22"/>
        </w:rPr>
        <w:t>(</w:t>
      </w:r>
      <w:r w:rsidR="00B83904" w:rsidRPr="00F25D02">
        <w:rPr>
          <w:rFonts w:ascii="Times New Roman"/>
          <w:kern w:val="22"/>
        </w:rPr>
        <w:t>PIC</w:t>
      </w:r>
      <w:r w:rsidR="0021054C" w:rsidRPr="00F25D02">
        <w:rPr>
          <w:rFonts w:ascii="Times New Roman"/>
          <w:kern w:val="22"/>
        </w:rPr>
        <w:t>)</w:t>
      </w:r>
      <w:r w:rsidR="00B83904" w:rsidRPr="00F25D02">
        <w:rPr>
          <w:rFonts w:ascii="Times New Roman"/>
          <w:kern w:val="22"/>
        </w:rPr>
        <w:t xml:space="preserve"> </w:t>
      </w:r>
      <w:r w:rsidR="00A61D1D" w:rsidRPr="00F25D02">
        <w:rPr>
          <w:rFonts w:ascii="Times New Roman"/>
          <w:kern w:val="22"/>
        </w:rPr>
        <w:t>and</w:t>
      </w:r>
      <w:r w:rsidR="00B83904" w:rsidRPr="00F25D02">
        <w:rPr>
          <w:rFonts w:ascii="Times New Roman"/>
          <w:kern w:val="22"/>
        </w:rPr>
        <w:t xml:space="preserve"> </w:t>
      </w:r>
      <w:r w:rsidR="0021054C" w:rsidRPr="00F25D02">
        <w:rPr>
          <w:rFonts w:ascii="Times New Roman"/>
          <w:kern w:val="22"/>
        </w:rPr>
        <w:t>mutually agreed terms (</w:t>
      </w:r>
      <w:r w:rsidR="00B83904" w:rsidRPr="00F25D02">
        <w:rPr>
          <w:rFonts w:ascii="Times New Roman"/>
          <w:kern w:val="22"/>
        </w:rPr>
        <w:t>MAT</w:t>
      </w:r>
      <w:r w:rsidR="0021054C" w:rsidRPr="00F25D02">
        <w:rPr>
          <w:rFonts w:ascii="Times New Roman"/>
          <w:kern w:val="22"/>
        </w:rPr>
        <w:t>)</w:t>
      </w:r>
      <w:r w:rsidR="00B83904" w:rsidRPr="00F25D02">
        <w:rPr>
          <w:rFonts w:ascii="Times New Roman"/>
          <w:kern w:val="22"/>
        </w:rPr>
        <w:t xml:space="preserve"> for access to the underlying </w:t>
      </w:r>
      <w:r w:rsidR="00A61D1D" w:rsidRPr="00F25D02">
        <w:rPr>
          <w:rFonts w:ascii="Times New Roman"/>
          <w:kern w:val="22"/>
        </w:rPr>
        <w:t>genetic resources</w:t>
      </w:r>
      <w:r w:rsidR="00155AF0" w:rsidRPr="00F25D02">
        <w:rPr>
          <w:rFonts w:ascii="Times New Roman"/>
          <w:kern w:val="22"/>
        </w:rPr>
        <w:t>.</w:t>
      </w:r>
      <w:r w:rsidR="00192B59" w:rsidRPr="00F25D02">
        <w:rPr>
          <w:rStyle w:val="FootnoteReference"/>
          <w:rFonts w:ascii="Times New Roman"/>
          <w:kern w:val="22"/>
        </w:rPr>
        <w:footnoteReference w:id="115"/>
      </w:r>
      <w:r w:rsidR="00B83904" w:rsidRPr="00F25D02">
        <w:rPr>
          <w:rFonts w:ascii="Times New Roman"/>
          <w:kern w:val="22"/>
        </w:rPr>
        <w:t xml:space="preserve"> </w:t>
      </w:r>
    </w:p>
    <w:p w14:paraId="7BD81A99" w14:textId="25F12F73" w:rsidR="00B83904" w:rsidRPr="00F25D02" w:rsidRDefault="00B83904"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One submission indicated that th</w:t>
      </w:r>
      <w:r w:rsidR="00192B59" w:rsidRPr="00F25D02">
        <w:rPr>
          <w:rFonts w:ascii="Times New Roman"/>
          <w:kern w:val="22"/>
        </w:rPr>
        <w:t>eir</w:t>
      </w:r>
      <w:r w:rsidRPr="00F25D02">
        <w:rPr>
          <w:rFonts w:ascii="Times New Roman"/>
          <w:kern w:val="22"/>
        </w:rPr>
        <w:t xml:space="preserve"> </w:t>
      </w:r>
      <w:bookmarkStart w:id="29" w:name="_Hlk29121716"/>
      <w:r w:rsidRPr="00F25D02">
        <w:rPr>
          <w:rFonts w:ascii="Times New Roman"/>
          <w:kern w:val="22"/>
        </w:rPr>
        <w:t xml:space="preserve">national </w:t>
      </w:r>
      <w:r w:rsidR="00192B59" w:rsidRPr="00F25D02">
        <w:rPr>
          <w:rFonts w:ascii="Times New Roman"/>
          <w:kern w:val="22"/>
        </w:rPr>
        <w:t xml:space="preserve">ABS framework </w:t>
      </w:r>
      <w:r w:rsidRPr="00F25D02">
        <w:rPr>
          <w:rFonts w:ascii="Times New Roman"/>
          <w:kern w:val="22"/>
        </w:rPr>
        <w:t>do</w:t>
      </w:r>
      <w:r w:rsidR="00192B59" w:rsidRPr="00F25D02">
        <w:rPr>
          <w:rFonts w:ascii="Times New Roman"/>
          <w:kern w:val="22"/>
        </w:rPr>
        <w:t>es</w:t>
      </w:r>
      <w:r w:rsidRPr="00F25D02">
        <w:rPr>
          <w:rFonts w:ascii="Times New Roman"/>
          <w:kern w:val="22"/>
        </w:rPr>
        <w:t xml:space="preserve"> not </w:t>
      </w:r>
      <w:r w:rsidR="00A23E6E" w:rsidRPr="00F25D02">
        <w:rPr>
          <w:rFonts w:ascii="Times New Roman"/>
          <w:kern w:val="22"/>
        </w:rPr>
        <w:t>currently</w:t>
      </w:r>
      <w:r w:rsidRPr="00F25D02">
        <w:rPr>
          <w:rFonts w:ascii="Times New Roman"/>
          <w:kern w:val="22"/>
        </w:rPr>
        <w:t xml:space="preserve"> address </w:t>
      </w:r>
      <w:r w:rsidR="00BB7978" w:rsidRPr="00F25D02">
        <w:rPr>
          <w:rFonts w:ascii="Times New Roman"/>
          <w:kern w:val="22"/>
        </w:rPr>
        <w:t>digital sequence information</w:t>
      </w:r>
      <w:r w:rsidRPr="00F25D02">
        <w:rPr>
          <w:rFonts w:ascii="Times New Roman"/>
          <w:kern w:val="22"/>
        </w:rPr>
        <w:t>, however, modifications are underway to address this</w:t>
      </w:r>
      <w:bookmarkEnd w:id="29"/>
      <w:r w:rsidRPr="00F25D02">
        <w:rPr>
          <w:rFonts w:ascii="Times New Roman"/>
          <w:kern w:val="22"/>
        </w:rPr>
        <w:t>.</w:t>
      </w:r>
      <w:r w:rsidR="00192B59" w:rsidRPr="00F25D02">
        <w:rPr>
          <w:rStyle w:val="FootnoteReference"/>
          <w:rFonts w:ascii="Times New Roman"/>
          <w:kern w:val="22"/>
        </w:rPr>
        <w:footnoteReference w:id="116"/>
      </w:r>
      <w:r w:rsidRPr="00F25D02">
        <w:rPr>
          <w:rFonts w:ascii="Times New Roman"/>
          <w:kern w:val="22"/>
        </w:rPr>
        <w:t xml:space="preserve"> </w:t>
      </w:r>
    </w:p>
    <w:p w14:paraId="5753C045" w14:textId="0F2CEDB7" w:rsidR="00013912" w:rsidRPr="00F25D02" w:rsidRDefault="001861AA" w:rsidP="00F25D02">
      <w:pPr>
        <w:pStyle w:val="Heading3"/>
        <w:numPr>
          <w:ilvl w:val="0"/>
          <w:numId w:val="11"/>
        </w:numPr>
        <w:ind w:left="1418" w:right="153" w:hanging="425"/>
        <w:jc w:val="left"/>
        <w:rPr>
          <w:kern w:val="22"/>
        </w:rPr>
      </w:pPr>
      <w:r w:rsidRPr="00F25D02">
        <w:rPr>
          <w:kern w:val="22"/>
        </w:rPr>
        <w:t>Comments on m</w:t>
      </w:r>
      <w:r w:rsidR="00013912" w:rsidRPr="00F25D02">
        <w:rPr>
          <w:kern w:val="22"/>
        </w:rPr>
        <w:t xml:space="preserve">easures that explicitly address </w:t>
      </w:r>
      <w:r w:rsidR="00BB7978" w:rsidRPr="00F25D02">
        <w:rPr>
          <w:kern w:val="22"/>
        </w:rPr>
        <w:t>d</w:t>
      </w:r>
      <w:r w:rsidR="00013912" w:rsidRPr="00F25D02">
        <w:rPr>
          <w:kern w:val="22"/>
        </w:rPr>
        <w:t xml:space="preserve">igital </w:t>
      </w:r>
      <w:r w:rsidR="00BB7978" w:rsidRPr="00F25D02">
        <w:rPr>
          <w:kern w:val="22"/>
        </w:rPr>
        <w:t>s</w:t>
      </w:r>
      <w:r w:rsidR="00013912" w:rsidRPr="00F25D02">
        <w:rPr>
          <w:kern w:val="22"/>
        </w:rPr>
        <w:t xml:space="preserve">equence </w:t>
      </w:r>
      <w:r w:rsidR="00BB7978" w:rsidRPr="00F25D02">
        <w:rPr>
          <w:kern w:val="22"/>
        </w:rPr>
        <w:t>i</w:t>
      </w:r>
      <w:r w:rsidR="00013912" w:rsidRPr="00F25D02">
        <w:rPr>
          <w:kern w:val="22"/>
        </w:rPr>
        <w:t xml:space="preserve">nformation on </w:t>
      </w:r>
      <w:r w:rsidR="00BB7978" w:rsidRPr="00F25D02">
        <w:rPr>
          <w:kern w:val="22"/>
        </w:rPr>
        <w:t>g</w:t>
      </w:r>
      <w:r w:rsidR="00013912" w:rsidRPr="00F25D02">
        <w:rPr>
          <w:kern w:val="22"/>
        </w:rPr>
        <w:t xml:space="preserve">enetic </w:t>
      </w:r>
      <w:r w:rsidR="00BB7978" w:rsidRPr="00F25D02">
        <w:rPr>
          <w:kern w:val="22"/>
        </w:rPr>
        <w:t>r</w:t>
      </w:r>
      <w:r w:rsidR="00013912" w:rsidRPr="00F25D02">
        <w:rPr>
          <w:kern w:val="22"/>
        </w:rPr>
        <w:t xml:space="preserve">esources </w:t>
      </w:r>
    </w:p>
    <w:p w14:paraId="006983C1" w14:textId="55529D50" w:rsidR="000A70FA" w:rsidRPr="00F25D02" w:rsidRDefault="000A70FA"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One submission indicated that national ABS measures explicitly address </w:t>
      </w:r>
      <w:r w:rsidR="00BB7978" w:rsidRPr="00F25D02">
        <w:rPr>
          <w:rFonts w:ascii="Times New Roman"/>
          <w:kern w:val="22"/>
        </w:rPr>
        <w:t>digital sequence information</w:t>
      </w:r>
      <w:r w:rsidRPr="00F25D02">
        <w:rPr>
          <w:rFonts w:ascii="Times New Roman"/>
          <w:kern w:val="22"/>
        </w:rPr>
        <w:t xml:space="preserve"> to confirm that </w:t>
      </w:r>
      <w:r w:rsidR="00BB7978" w:rsidRPr="00F25D02">
        <w:rPr>
          <w:rFonts w:ascii="Times New Roman"/>
          <w:kern w:val="22"/>
        </w:rPr>
        <w:t>digital sequence information</w:t>
      </w:r>
      <w:r w:rsidRPr="00F25D02">
        <w:rPr>
          <w:rFonts w:ascii="Times New Roman"/>
          <w:kern w:val="22"/>
        </w:rPr>
        <w:t xml:space="preserve"> is considered beyond scope of the national ABS framework</w:t>
      </w:r>
      <w:r w:rsidR="00BA2B57" w:rsidRPr="00F25D02">
        <w:rPr>
          <w:rFonts w:ascii="Times New Roman"/>
          <w:kern w:val="22"/>
        </w:rPr>
        <w:t>.</w:t>
      </w:r>
      <w:r w:rsidRPr="00F25D02">
        <w:rPr>
          <w:rStyle w:val="FootnoteReference"/>
          <w:rFonts w:ascii="Times New Roman"/>
          <w:kern w:val="22"/>
        </w:rPr>
        <w:footnoteReference w:id="117"/>
      </w:r>
      <w:r w:rsidR="00A23E6E" w:rsidRPr="00F25D02">
        <w:rPr>
          <w:rFonts w:ascii="Times New Roman"/>
          <w:kern w:val="22"/>
        </w:rPr>
        <w:t xml:space="preserve"> Conversely, </w:t>
      </w:r>
      <w:r w:rsidR="006607B1" w:rsidRPr="00F25D02">
        <w:rPr>
          <w:rFonts w:ascii="Times New Roman"/>
          <w:kern w:val="22"/>
        </w:rPr>
        <w:t xml:space="preserve">three </w:t>
      </w:r>
      <w:r w:rsidRPr="00F25D02">
        <w:rPr>
          <w:rFonts w:ascii="Times New Roman"/>
          <w:kern w:val="22"/>
        </w:rPr>
        <w:t>submissions confirmed that national measures are in place to regulate access and benefit</w:t>
      </w:r>
      <w:r w:rsidR="00A23E6E" w:rsidRPr="00F25D02">
        <w:rPr>
          <w:rFonts w:ascii="Times New Roman"/>
          <w:kern w:val="22"/>
        </w:rPr>
        <w:t>-sharing</w:t>
      </w:r>
      <w:r w:rsidRPr="00F25D02">
        <w:rPr>
          <w:rFonts w:ascii="Times New Roman"/>
          <w:kern w:val="22"/>
        </w:rPr>
        <w:t xml:space="preserve"> associated with </w:t>
      </w:r>
      <w:r w:rsidR="00BB7978" w:rsidRPr="00F25D02">
        <w:rPr>
          <w:rFonts w:ascii="Times New Roman"/>
          <w:kern w:val="22"/>
        </w:rPr>
        <w:t>digital sequence information</w:t>
      </w:r>
      <w:r w:rsidRPr="00F25D02">
        <w:rPr>
          <w:rFonts w:ascii="Times New Roman"/>
          <w:kern w:val="22"/>
        </w:rPr>
        <w:t>.</w:t>
      </w:r>
      <w:r w:rsidR="00A23E6E" w:rsidRPr="00F25D02">
        <w:rPr>
          <w:rStyle w:val="FootnoteReference"/>
          <w:rFonts w:ascii="Times New Roman"/>
          <w:kern w:val="22"/>
        </w:rPr>
        <w:footnoteReference w:id="118"/>
      </w:r>
      <w:r w:rsidRPr="00F25D02">
        <w:rPr>
          <w:rFonts w:ascii="Times New Roman"/>
          <w:kern w:val="22"/>
        </w:rPr>
        <w:t xml:space="preserve"> These submissions elaborated as follows:</w:t>
      </w:r>
    </w:p>
    <w:p w14:paraId="6AF038AF" w14:textId="1D3E0B3C" w:rsidR="000A70FA" w:rsidRPr="00F25D02" w:rsidRDefault="000A70FA" w:rsidP="00672070">
      <w:pPr>
        <w:pStyle w:val="ListParagraph"/>
        <w:numPr>
          <w:ilvl w:val="1"/>
          <w:numId w:val="2"/>
        </w:numPr>
        <w:tabs>
          <w:tab w:val="left" w:pos="1440"/>
        </w:tabs>
        <w:spacing w:before="120" w:after="120" w:line="240" w:lineRule="auto"/>
        <w:ind w:left="0" w:firstLine="709"/>
        <w:contextualSpacing w:val="0"/>
        <w:jc w:val="both"/>
        <w:rPr>
          <w:rFonts w:ascii="Times New Roman"/>
          <w:kern w:val="22"/>
        </w:rPr>
      </w:pPr>
      <w:r w:rsidRPr="00F25D02">
        <w:rPr>
          <w:rFonts w:ascii="Times New Roman"/>
          <w:kern w:val="22"/>
        </w:rPr>
        <w:t>Costa Rica’s biodiversity law</w:t>
      </w:r>
      <w:r w:rsidRPr="00F25D02">
        <w:rPr>
          <w:rStyle w:val="FootnoteReference"/>
          <w:rFonts w:ascii="Times New Roman"/>
          <w:kern w:val="22"/>
        </w:rPr>
        <w:footnoteReference w:id="119"/>
      </w:r>
      <w:r w:rsidRPr="00F25D02">
        <w:rPr>
          <w:rFonts w:ascii="Times New Roman"/>
          <w:kern w:val="22"/>
        </w:rPr>
        <w:t xml:space="preserve"> explicitly addresses access to genetic and biochemical resources (in situ and ex situ) as well as ‘associated knowledge’</w:t>
      </w:r>
      <w:r w:rsidR="00BA2B57" w:rsidRPr="00F25D02">
        <w:rPr>
          <w:rFonts w:ascii="Times New Roman"/>
          <w:kern w:val="22"/>
        </w:rPr>
        <w:t>,</w:t>
      </w:r>
      <w:r w:rsidRPr="00F25D02">
        <w:rPr>
          <w:rFonts w:ascii="Times New Roman"/>
          <w:kern w:val="22"/>
        </w:rPr>
        <w:t xml:space="preserve"> with the objective of regulating basic research, bioprospecting and economic exploitation. </w:t>
      </w:r>
      <w:r w:rsidR="00BA2B57" w:rsidRPr="00F25D02">
        <w:rPr>
          <w:rFonts w:ascii="Times New Roman"/>
          <w:kern w:val="22"/>
        </w:rPr>
        <w:t>Its ABS framework provides f</w:t>
      </w:r>
      <w:r w:rsidR="002C6C10" w:rsidRPr="00F25D02">
        <w:rPr>
          <w:rFonts w:ascii="Times New Roman"/>
          <w:kern w:val="22"/>
        </w:rPr>
        <w:t xml:space="preserve">acilitated access for </w:t>
      </w:r>
      <w:r w:rsidR="002C6C10" w:rsidRPr="00F25D02">
        <w:rPr>
          <w:rFonts w:ascii="Times New Roman"/>
          <w:kern w:val="22"/>
        </w:rPr>
        <w:lastRenderedPageBreak/>
        <w:t>non-commercial use</w:t>
      </w:r>
      <w:r w:rsidR="00BA2B57" w:rsidRPr="00F25D02">
        <w:rPr>
          <w:rFonts w:ascii="Times New Roman"/>
          <w:kern w:val="22"/>
        </w:rPr>
        <w:t xml:space="preserve"> of digital sequence information, </w:t>
      </w:r>
      <w:r w:rsidR="002C6C10" w:rsidRPr="00F25D02">
        <w:rPr>
          <w:rFonts w:ascii="Times New Roman"/>
          <w:kern w:val="22"/>
        </w:rPr>
        <w:t>subject to the competent national authority’s right to intervene to restrict the publication of genetic sequences (as discussed further in para. 42 below)</w:t>
      </w:r>
      <w:r w:rsidR="00A23E6E" w:rsidRPr="00F25D02">
        <w:rPr>
          <w:rFonts w:ascii="Times New Roman"/>
          <w:kern w:val="22"/>
        </w:rPr>
        <w:t>;</w:t>
      </w:r>
      <w:r w:rsidRPr="00F25D02">
        <w:rPr>
          <w:rFonts w:ascii="Times New Roman"/>
          <w:kern w:val="22"/>
        </w:rPr>
        <w:t xml:space="preserve">  </w:t>
      </w:r>
    </w:p>
    <w:p w14:paraId="5FBE09AA" w14:textId="4343EB27" w:rsidR="00A23E6E" w:rsidRPr="00F25D02" w:rsidRDefault="000A70FA" w:rsidP="00672070">
      <w:pPr>
        <w:pStyle w:val="ListParagraph"/>
        <w:numPr>
          <w:ilvl w:val="1"/>
          <w:numId w:val="2"/>
        </w:numPr>
        <w:tabs>
          <w:tab w:val="left" w:pos="1440"/>
        </w:tabs>
        <w:spacing w:before="120" w:after="120" w:line="240" w:lineRule="auto"/>
        <w:ind w:left="0" w:firstLine="709"/>
        <w:contextualSpacing w:val="0"/>
        <w:jc w:val="both"/>
        <w:rPr>
          <w:rFonts w:ascii="Times New Roman"/>
          <w:kern w:val="22"/>
        </w:rPr>
      </w:pPr>
      <w:r w:rsidRPr="00F25D02">
        <w:rPr>
          <w:rFonts w:ascii="Times New Roman"/>
          <w:kern w:val="22"/>
        </w:rPr>
        <w:t>Brazil’s biodiversity law</w:t>
      </w:r>
      <w:r w:rsidRPr="00F25D02">
        <w:rPr>
          <w:rStyle w:val="FootnoteReference"/>
          <w:rFonts w:ascii="Times New Roman"/>
          <w:kern w:val="22"/>
        </w:rPr>
        <w:footnoteReference w:id="120"/>
      </w:r>
      <w:r w:rsidRPr="00F25D02">
        <w:rPr>
          <w:rFonts w:ascii="Times New Roman"/>
          <w:kern w:val="22"/>
        </w:rPr>
        <w:t xml:space="preserve"> defines ‘genetic heritage’</w:t>
      </w:r>
      <w:r w:rsidRPr="00F25D02">
        <w:rPr>
          <w:rStyle w:val="FootnoteReference"/>
          <w:rFonts w:ascii="Times New Roman"/>
          <w:kern w:val="22"/>
        </w:rPr>
        <w:footnoteReference w:id="121"/>
      </w:r>
      <w:r w:rsidRPr="00F25D02">
        <w:rPr>
          <w:rFonts w:ascii="Times New Roman"/>
          <w:kern w:val="22"/>
        </w:rPr>
        <w:t xml:space="preserve"> to include ‘information of genetic origin’</w:t>
      </w:r>
      <w:r w:rsidRPr="00F25D02">
        <w:rPr>
          <w:rStyle w:val="FootnoteReference"/>
          <w:rFonts w:ascii="Times New Roman"/>
          <w:kern w:val="22"/>
        </w:rPr>
        <w:footnoteReference w:id="122"/>
      </w:r>
      <w:r w:rsidRPr="00F25D02">
        <w:rPr>
          <w:rFonts w:ascii="Times New Roman"/>
          <w:kern w:val="22"/>
        </w:rPr>
        <w:t xml:space="preserve"> and establishes an ABS framework which in 2017 introduced streamlined administrative procedures for obtaining access authorization, prior informed consent and mutually agreed terms. This framework is implemented through ‘</w:t>
      </w:r>
      <w:proofErr w:type="spellStart"/>
      <w:r w:rsidRPr="00F25D02">
        <w:rPr>
          <w:rFonts w:ascii="Times New Roman"/>
          <w:kern w:val="22"/>
        </w:rPr>
        <w:t>SisGen</w:t>
      </w:r>
      <w:proofErr w:type="spellEnd"/>
      <w:r w:rsidRPr="00F25D02">
        <w:rPr>
          <w:rFonts w:ascii="Times New Roman"/>
          <w:kern w:val="22"/>
        </w:rPr>
        <w:t xml:space="preserve">’, a declaratory register operating as a ‘one-stop-shop’ which distinguishes between research and commercial uses of </w:t>
      </w:r>
      <w:r w:rsidR="00A61D1D" w:rsidRPr="00F25D02">
        <w:rPr>
          <w:rFonts w:ascii="Times New Roman"/>
          <w:kern w:val="22"/>
        </w:rPr>
        <w:t>genetic resources</w:t>
      </w:r>
      <w:r w:rsidRPr="00F25D02">
        <w:rPr>
          <w:rFonts w:ascii="Times New Roman"/>
          <w:kern w:val="22"/>
        </w:rPr>
        <w:t xml:space="preserve">, including </w:t>
      </w:r>
      <w:r w:rsidR="00BB7978" w:rsidRPr="00F25D02">
        <w:rPr>
          <w:rFonts w:ascii="Times New Roman"/>
          <w:kern w:val="22"/>
        </w:rPr>
        <w:t>digital sequence information</w:t>
      </w:r>
      <w:r w:rsidRPr="00F25D02">
        <w:rPr>
          <w:rFonts w:ascii="Times New Roman"/>
          <w:kern w:val="22"/>
        </w:rPr>
        <w:t xml:space="preserve">. </w:t>
      </w:r>
    </w:p>
    <w:p w14:paraId="1FA11B33" w14:textId="1467C3DF" w:rsidR="006607B1" w:rsidRPr="00F25D02" w:rsidRDefault="006607B1" w:rsidP="00672070">
      <w:pPr>
        <w:pStyle w:val="ListParagraph"/>
        <w:numPr>
          <w:ilvl w:val="1"/>
          <w:numId w:val="2"/>
        </w:numPr>
        <w:tabs>
          <w:tab w:val="left" w:pos="1440"/>
        </w:tabs>
        <w:spacing w:before="120" w:after="120" w:line="240" w:lineRule="auto"/>
        <w:ind w:left="0" w:firstLine="709"/>
        <w:contextualSpacing w:val="0"/>
        <w:jc w:val="both"/>
        <w:rPr>
          <w:rFonts w:ascii="Times New Roman"/>
          <w:kern w:val="22"/>
        </w:rPr>
      </w:pPr>
      <w:r w:rsidRPr="00F25D02">
        <w:rPr>
          <w:rFonts w:ascii="Times New Roman"/>
          <w:kern w:val="22"/>
        </w:rPr>
        <w:t>Several African countries</w:t>
      </w:r>
      <w:r w:rsidR="00BA2B57" w:rsidRPr="00F25D02">
        <w:rPr>
          <w:rFonts w:ascii="Times New Roman"/>
          <w:kern w:val="22"/>
        </w:rPr>
        <w:t xml:space="preserve"> are described as having or </w:t>
      </w:r>
      <w:r w:rsidR="008D1DEE" w:rsidRPr="00F25D02">
        <w:rPr>
          <w:rFonts w:ascii="Times New Roman"/>
          <w:kern w:val="22"/>
        </w:rPr>
        <w:t xml:space="preserve">as </w:t>
      </w:r>
      <w:r w:rsidR="00BA2B57" w:rsidRPr="00F25D02">
        <w:rPr>
          <w:rFonts w:ascii="Times New Roman"/>
          <w:kern w:val="22"/>
        </w:rPr>
        <w:t>implementing</w:t>
      </w:r>
      <w:r w:rsidR="008D1DEE" w:rsidRPr="00F25D02">
        <w:rPr>
          <w:rFonts w:ascii="Times New Roman"/>
          <w:kern w:val="22"/>
        </w:rPr>
        <w:t>,</w:t>
      </w:r>
      <w:r w:rsidRPr="00F25D02">
        <w:rPr>
          <w:rFonts w:ascii="Times New Roman"/>
          <w:kern w:val="22"/>
        </w:rPr>
        <w:t xml:space="preserve"> national ABS legislation</w:t>
      </w:r>
      <w:r w:rsidR="003642FD" w:rsidRPr="00F25D02">
        <w:rPr>
          <w:rFonts w:ascii="Times New Roman"/>
          <w:kern w:val="22"/>
        </w:rPr>
        <w:t xml:space="preserve"> </w:t>
      </w:r>
      <w:r w:rsidR="00BA2B57" w:rsidRPr="00F25D02">
        <w:rPr>
          <w:rFonts w:ascii="Times New Roman"/>
          <w:kern w:val="22"/>
        </w:rPr>
        <w:t>which defines ‘genetic material’ or its equivalent to</w:t>
      </w:r>
      <w:r w:rsidR="008D1DEE" w:rsidRPr="00F25D02">
        <w:rPr>
          <w:rFonts w:ascii="Times New Roman"/>
          <w:kern w:val="22"/>
        </w:rPr>
        <w:t xml:space="preserve"> explicitly</w:t>
      </w:r>
      <w:r w:rsidR="00BA2B57" w:rsidRPr="00F25D02">
        <w:rPr>
          <w:rFonts w:ascii="Times New Roman"/>
          <w:kern w:val="22"/>
        </w:rPr>
        <w:t xml:space="preserve"> </w:t>
      </w:r>
      <w:r w:rsidR="003642FD" w:rsidRPr="00F25D02">
        <w:rPr>
          <w:rFonts w:ascii="Times New Roman"/>
          <w:kern w:val="22"/>
        </w:rPr>
        <w:t>include digital sequence information</w:t>
      </w:r>
      <w:r w:rsidR="008D1DEE" w:rsidRPr="00F25D02">
        <w:rPr>
          <w:rFonts w:ascii="Times New Roman"/>
          <w:kern w:val="22"/>
        </w:rPr>
        <w:t xml:space="preserve"> (including Ethiopia, Malawi, South Africa, Uganda)</w:t>
      </w:r>
      <w:r w:rsidRPr="00F25D02">
        <w:rPr>
          <w:rFonts w:ascii="Times New Roman"/>
          <w:kern w:val="22"/>
        </w:rPr>
        <w:t>.</w:t>
      </w:r>
      <w:r w:rsidRPr="00F25D02">
        <w:rPr>
          <w:rStyle w:val="FootnoteReference"/>
          <w:rFonts w:ascii="Times New Roman"/>
          <w:kern w:val="22"/>
        </w:rPr>
        <w:footnoteReference w:id="123"/>
      </w:r>
      <w:r w:rsidR="00BA2B57" w:rsidRPr="00F25D02">
        <w:rPr>
          <w:rFonts w:ascii="Times New Roman"/>
          <w:kern w:val="22"/>
        </w:rPr>
        <w:t xml:space="preserve"> </w:t>
      </w:r>
    </w:p>
    <w:p w14:paraId="1CFE6BFC" w14:textId="2B730534" w:rsidR="00F60743" w:rsidRPr="00F25D02" w:rsidRDefault="00B21B29" w:rsidP="00E46FFB">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Brazil</w:t>
      </w:r>
      <w:r w:rsidR="00250FB8" w:rsidRPr="00F25D02">
        <w:rPr>
          <w:rFonts w:ascii="Times New Roman"/>
          <w:kern w:val="22"/>
        </w:rPr>
        <w:t xml:space="preserve">’s </w:t>
      </w:r>
      <w:r w:rsidRPr="00F25D02">
        <w:rPr>
          <w:rFonts w:ascii="Times New Roman"/>
          <w:kern w:val="22"/>
        </w:rPr>
        <w:t>‘</w:t>
      </w:r>
      <w:proofErr w:type="spellStart"/>
      <w:r w:rsidRPr="00F25D02">
        <w:rPr>
          <w:rFonts w:ascii="Times New Roman"/>
          <w:kern w:val="22"/>
        </w:rPr>
        <w:t>SisGen</w:t>
      </w:r>
      <w:proofErr w:type="spellEnd"/>
      <w:r w:rsidRPr="00F25D02">
        <w:rPr>
          <w:rFonts w:ascii="Times New Roman"/>
          <w:kern w:val="22"/>
        </w:rPr>
        <w:t xml:space="preserve">’ </w:t>
      </w:r>
      <w:bookmarkStart w:id="30" w:name="_Hlk29122072"/>
      <w:r w:rsidR="000A70FA" w:rsidRPr="00F25D02">
        <w:rPr>
          <w:rFonts w:ascii="Times New Roman"/>
          <w:kern w:val="22"/>
        </w:rPr>
        <w:t>model for facilitated access shifts focus from ‘control of access to genetic resources’ towards ‘economic exploitation of genetic resources’ and reduces transaction cost by focusing on triggering events to invoke tracking and tracing</w:t>
      </w:r>
      <w:bookmarkEnd w:id="30"/>
      <w:r w:rsidR="000A70FA" w:rsidRPr="00F25D02">
        <w:rPr>
          <w:rFonts w:ascii="Times New Roman"/>
          <w:kern w:val="22"/>
        </w:rPr>
        <w:t xml:space="preserve">. It notes that </w:t>
      </w:r>
      <w:proofErr w:type="spellStart"/>
      <w:r w:rsidR="000A70FA" w:rsidRPr="00F25D02">
        <w:rPr>
          <w:rFonts w:ascii="Times New Roman"/>
          <w:kern w:val="22"/>
        </w:rPr>
        <w:t>SisGen’s</w:t>
      </w:r>
      <w:proofErr w:type="spellEnd"/>
      <w:r w:rsidR="000A70FA" w:rsidRPr="00F25D02">
        <w:rPr>
          <w:rFonts w:ascii="Times New Roman"/>
          <w:kern w:val="22"/>
        </w:rPr>
        <w:t xml:space="preserve"> key objective is to foster R&amp;D arising from Brazil’s genetic diversity and to facilitate access to </w:t>
      </w:r>
      <w:r w:rsidR="00A61D1D" w:rsidRPr="00F25D02">
        <w:rPr>
          <w:rFonts w:ascii="Times New Roman"/>
          <w:kern w:val="22"/>
        </w:rPr>
        <w:t>genetic resources</w:t>
      </w:r>
      <w:r w:rsidR="000A70FA" w:rsidRPr="00F25D02">
        <w:rPr>
          <w:rFonts w:ascii="Times New Roman"/>
          <w:kern w:val="22"/>
        </w:rPr>
        <w:t xml:space="preserve">, including </w:t>
      </w:r>
      <w:r w:rsidR="00BB7978" w:rsidRPr="00F25D02">
        <w:rPr>
          <w:rFonts w:ascii="Times New Roman"/>
          <w:kern w:val="22"/>
        </w:rPr>
        <w:t>digital sequence information</w:t>
      </w:r>
      <w:r w:rsidR="000A70FA" w:rsidRPr="00F25D02">
        <w:rPr>
          <w:rFonts w:ascii="Times New Roman"/>
          <w:kern w:val="22"/>
        </w:rPr>
        <w:t>, in order to generate benefits that will fund biodiversity conservation and sustainable use</w:t>
      </w:r>
      <w:r w:rsidRPr="00F25D02">
        <w:rPr>
          <w:rFonts w:ascii="Times New Roman"/>
          <w:kern w:val="22"/>
        </w:rPr>
        <w:t>.</w:t>
      </w:r>
      <w:r w:rsidR="00A4124D" w:rsidRPr="00F25D02">
        <w:rPr>
          <w:rFonts w:ascii="Times New Roman"/>
          <w:kern w:val="22"/>
        </w:rPr>
        <w:t xml:space="preserve"> </w:t>
      </w:r>
      <w:r w:rsidRPr="00F25D02">
        <w:rPr>
          <w:rFonts w:ascii="Times New Roman"/>
          <w:kern w:val="22"/>
        </w:rPr>
        <w:t xml:space="preserve">Brazil </w:t>
      </w:r>
      <w:r w:rsidR="000A70FA" w:rsidRPr="00F25D02">
        <w:rPr>
          <w:rFonts w:ascii="Times New Roman"/>
          <w:kern w:val="22"/>
        </w:rPr>
        <w:t xml:space="preserve">recommends </w:t>
      </w:r>
      <w:r w:rsidRPr="00F25D02">
        <w:rPr>
          <w:rFonts w:ascii="Times New Roman"/>
          <w:kern w:val="22"/>
        </w:rPr>
        <w:t>that its ‘</w:t>
      </w:r>
      <w:proofErr w:type="spellStart"/>
      <w:r w:rsidRPr="00F25D02">
        <w:rPr>
          <w:rFonts w:ascii="Times New Roman"/>
          <w:kern w:val="22"/>
        </w:rPr>
        <w:t>SisGen</w:t>
      </w:r>
      <w:proofErr w:type="spellEnd"/>
      <w:r w:rsidRPr="00F25D02">
        <w:rPr>
          <w:rFonts w:ascii="Times New Roman"/>
          <w:kern w:val="22"/>
        </w:rPr>
        <w:t xml:space="preserve">’ model for facilitated access </w:t>
      </w:r>
      <w:r w:rsidR="000A70FA" w:rsidRPr="00F25D02">
        <w:rPr>
          <w:rFonts w:ascii="Times New Roman"/>
          <w:kern w:val="22"/>
        </w:rPr>
        <w:t xml:space="preserve">could be considered a model for adoption by other CBD </w:t>
      </w:r>
      <w:r w:rsidR="00452D88" w:rsidRPr="00F25D02">
        <w:rPr>
          <w:rFonts w:ascii="Times New Roman"/>
          <w:kern w:val="22"/>
        </w:rPr>
        <w:t>P</w:t>
      </w:r>
      <w:r w:rsidR="000A70FA" w:rsidRPr="00F25D02">
        <w:rPr>
          <w:rFonts w:ascii="Times New Roman"/>
          <w:kern w:val="22"/>
        </w:rPr>
        <w:t xml:space="preserve">arties. </w:t>
      </w:r>
    </w:p>
    <w:p w14:paraId="1EEE9F2D" w14:textId="6AA7EE58" w:rsidR="000530E0" w:rsidRPr="00F25D02" w:rsidRDefault="00F60743" w:rsidP="00411BC4">
      <w:pPr>
        <w:pStyle w:val="ListParagraph"/>
        <w:numPr>
          <w:ilvl w:val="0"/>
          <w:numId w:val="2"/>
        </w:numPr>
        <w:tabs>
          <w:tab w:val="left" w:pos="720"/>
          <w:tab w:val="left" w:pos="1170"/>
        </w:tabs>
        <w:spacing w:before="120" w:after="120" w:line="240" w:lineRule="auto"/>
        <w:ind w:left="0" w:firstLine="0"/>
        <w:contextualSpacing w:val="0"/>
        <w:jc w:val="both"/>
        <w:rPr>
          <w:rFonts w:ascii="Times New Roman"/>
          <w:bCs/>
          <w:kern w:val="22"/>
        </w:rPr>
      </w:pPr>
      <w:r w:rsidRPr="00F25D02">
        <w:rPr>
          <w:rFonts w:ascii="Times New Roman"/>
          <w:kern w:val="22"/>
        </w:rPr>
        <w:t xml:space="preserve">A detailed description of Brazil’s </w:t>
      </w:r>
      <w:r w:rsidR="00B21B29" w:rsidRPr="00F25D02">
        <w:rPr>
          <w:rFonts w:ascii="Times New Roman"/>
          <w:kern w:val="22"/>
        </w:rPr>
        <w:t xml:space="preserve">model </w:t>
      </w:r>
      <w:r w:rsidRPr="00F25D02">
        <w:rPr>
          <w:rFonts w:ascii="Times New Roman"/>
          <w:kern w:val="22"/>
        </w:rPr>
        <w:t xml:space="preserve">for facilitated access </w:t>
      </w:r>
      <w:r w:rsidR="00B34AD9" w:rsidRPr="00F25D02">
        <w:rPr>
          <w:rFonts w:ascii="Times New Roman"/>
          <w:kern w:val="22"/>
        </w:rPr>
        <w:t xml:space="preserve">can be found in </w:t>
      </w:r>
      <w:r w:rsidRPr="00F25D02">
        <w:rPr>
          <w:rFonts w:ascii="Times New Roman"/>
          <w:kern w:val="22"/>
        </w:rPr>
        <w:t xml:space="preserve">its </w:t>
      </w:r>
      <w:r w:rsidR="00B34AD9" w:rsidRPr="00F25D02">
        <w:rPr>
          <w:rFonts w:ascii="Times New Roman"/>
          <w:kern w:val="22"/>
        </w:rPr>
        <w:t>submission</w:t>
      </w:r>
      <w:r w:rsidR="00B34AD9" w:rsidRPr="00F25D02">
        <w:rPr>
          <w:rStyle w:val="FootnoteReference"/>
          <w:rFonts w:ascii="Times New Roman"/>
          <w:kern w:val="22"/>
        </w:rPr>
        <w:footnoteReference w:id="124"/>
      </w:r>
      <w:r w:rsidR="00B34AD9" w:rsidRPr="00F25D02">
        <w:rPr>
          <w:rFonts w:ascii="Times New Roman"/>
          <w:kern w:val="22"/>
        </w:rPr>
        <w:t xml:space="preserve"> as well as </w:t>
      </w:r>
      <w:r w:rsidR="00A4124D" w:rsidRPr="00F25D02">
        <w:rPr>
          <w:rFonts w:ascii="Times New Roman"/>
          <w:kern w:val="22"/>
        </w:rPr>
        <w:t>the s</w:t>
      </w:r>
      <w:r w:rsidR="00B34AD9" w:rsidRPr="00F25D02">
        <w:rPr>
          <w:rFonts w:ascii="Times New Roman"/>
          <w:kern w:val="22"/>
        </w:rPr>
        <w:t>tudy on domestic measures.</w:t>
      </w:r>
      <w:r w:rsidR="00704818" w:rsidRPr="00F25D02">
        <w:rPr>
          <w:rStyle w:val="FootnoteReference"/>
          <w:rFonts w:ascii="Times New Roman"/>
          <w:kern w:val="22"/>
        </w:rPr>
        <w:footnoteReference w:id="125"/>
      </w:r>
      <w:r w:rsidR="00B34AD9" w:rsidRPr="00F25D02">
        <w:rPr>
          <w:rFonts w:ascii="Times New Roman"/>
          <w:kern w:val="22"/>
        </w:rPr>
        <w:t xml:space="preserve"> </w:t>
      </w:r>
      <w:r w:rsidRPr="00F25D02">
        <w:rPr>
          <w:rFonts w:ascii="Times New Roman"/>
          <w:kern w:val="22"/>
        </w:rPr>
        <w:t xml:space="preserve">Since implementing </w:t>
      </w:r>
      <w:proofErr w:type="spellStart"/>
      <w:r w:rsidRPr="00F25D02">
        <w:rPr>
          <w:rFonts w:ascii="Times New Roman"/>
          <w:kern w:val="22"/>
        </w:rPr>
        <w:t>SisGen</w:t>
      </w:r>
      <w:proofErr w:type="spellEnd"/>
      <w:r w:rsidRPr="00F25D02" w:rsidDel="00A4124D">
        <w:rPr>
          <w:rFonts w:ascii="Times New Roman"/>
          <w:kern w:val="22"/>
        </w:rPr>
        <w:t xml:space="preserve"> </w:t>
      </w:r>
      <w:r w:rsidR="000530E0" w:rsidRPr="00F25D02">
        <w:rPr>
          <w:rFonts w:ascii="Times New Roman"/>
          <w:bCs/>
          <w:kern w:val="22"/>
        </w:rPr>
        <w:t xml:space="preserve">Brazil </w:t>
      </w:r>
      <w:r w:rsidRPr="00F25D02">
        <w:rPr>
          <w:rFonts w:ascii="Times New Roman"/>
          <w:bCs/>
          <w:kern w:val="22"/>
        </w:rPr>
        <w:t>has received</w:t>
      </w:r>
      <w:r w:rsidR="000530E0" w:rsidRPr="00F25D02">
        <w:rPr>
          <w:rFonts w:ascii="Times New Roman"/>
          <w:bCs/>
          <w:kern w:val="22"/>
        </w:rPr>
        <w:t xml:space="preserve"> </w:t>
      </w:r>
      <w:r w:rsidR="00B34AD9" w:rsidRPr="00F25D02">
        <w:rPr>
          <w:rFonts w:ascii="Times New Roman"/>
          <w:bCs/>
          <w:kern w:val="22"/>
        </w:rPr>
        <w:t>449 notifications declaring genetic heritage of in-silico origin, from which 64 notifications concern technological development activities with commercial potential</w:t>
      </w:r>
      <w:r w:rsidR="00B34AD9" w:rsidRPr="00F25D02">
        <w:rPr>
          <w:rStyle w:val="FootnoteReference"/>
          <w:rFonts w:ascii="Times New Roman"/>
          <w:bCs/>
          <w:kern w:val="22"/>
        </w:rPr>
        <w:footnoteReference w:id="126"/>
      </w:r>
      <w:r w:rsidR="00B34AD9" w:rsidRPr="00F25D02">
        <w:rPr>
          <w:rFonts w:ascii="Times New Roman"/>
          <w:bCs/>
          <w:kern w:val="22"/>
        </w:rPr>
        <w:t xml:space="preserve"> and as yet no notifications concerning a finished product have been registered.</w:t>
      </w:r>
      <w:r w:rsidR="00A4124D" w:rsidRPr="00F25D02">
        <w:rPr>
          <w:rFonts w:ascii="Times New Roman"/>
          <w:bCs/>
          <w:kern w:val="22"/>
        </w:rPr>
        <w:t xml:space="preserve"> </w:t>
      </w:r>
      <w:r w:rsidR="000530E0" w:rsidRPr="00F25D02">
        <w:rPr>
          <w:rFonts w:ascii="Times New Roman"/>
          <w:bCs/>
          <w:kern w:val="22"/>
        </w:rPr>
        <w:t xml:space="preserve">For illustrative purposes, </w:t>
      </w:r>
      <w:r w:rsidRPr="00F25D02">
        <w:rPr>
          <w:rFonts w:ascii="Times New Roman"/>
          <w:bCs/>
          <w:kern w:val="22"/>
        </w:rPr>
        <w:t>Brazil</w:t>
      </w:r>
      <w:r w:rsidR="000530E0" w:rsidRPr="00F25D02">
        <w:rPr>
          <w:rFonts w:ascii="Times New Roman"/>
          <w:bCs/>
          <w:kern w:val="22"/>
        </w:rPr>
        <w:t xml:space="preserve"> </w:t>
      </w:r>
      <w:r w:rsidRPr="00F25D02">
        <w:rPr>
          <w:rFonts w:ascii="Times New Roman"/>
          <w:bCs/>
          <w:kern w:val="22"/>
        </w:rPr>
        <w:t xml:space="preserve">provides </w:t>
      </w:r>
      <w:r w:rsidR="000530E0" w:rsidRPr="00F25D02">
        <w:rPr>
          <w:rFonts w:ascii="Times New Roman"/>
          <w:bCs/>
          <w:kern w:val="22"/>
        </w:rPr>
        <w:t xml:space="preserve">three example notifications providing information on research and development activities arising from the access and use of Brazilian genetic heritage comprising </w:t>
      </w:r>
      <w:r w:rsidR="00BB7978" w:rsidRPr="00F25D02">
        <w:rPr>
          <w:rFonts w:ascii="Times New Roman"/>
          <w:bCs/>
          <w:kern w:val="22"/>
        </w:rPr>
        <w:t>digital sequence information</w:t>
      </w:r>
      <w:r w:rsidR="000530E0" w:rsidRPr="00F25D02">
        <w:rPr>
          <w:rFonts w:ascii="Times New Roman"/>
          <w:bCs/>
          <w:kern w:val="22"/>
        </w:rPr>
        <w:t>, summarized as follows</w:t>
      </w:r>
      <w:r w:rsidR="00A4124D" w:rsidRPr="00F25D02">
        <w:rPr>
          <w:rFonts w:ascii="Times New Roman"/>
          <w:bCs/>
          <w:kern w:val="22"/>
        </w:rPr>
        <w:t xml:space="preserve"> and further information concerning benefit-sharing arising from the commercial exploitation of finished products derived from digital sequence information utilization are anticipated to be shared through the ABS Clearing-House:</w:t>
      </w:r>
      <w:r w:rsidR="00A4124D" w:rsidRPr="00F25D02">
        <w:rPr>
          <w:rStyle w:val="FootnoteReference"/>
          <w:rFonts w:ascii="Times New Roman"/>
          <w:bCs/>
          <w:kern w:val="22"/>
        </w:rPr>
        <w:footnoteReference w:id="127"/>
      </w:r>
    </w:p>
    <w:p w14:paraId="435D3E44" w14:textId="77777777" w:rsidR="000530E0" w:rsidRPr="00F25D02" w:rsidRDefault="000530E0" w:rsidP="00D67DC5">
      <w:pPr>
        <w:pStyle w:val="ListParagraph"/>
        <w:numPr>
          <w:ilvl w:val="1"/>
          <w:numId w:val="2"/>
        </w:numPr>
        <w:tabs>
          <w:tab w:val="left" w:pos="1440"/>
        </w:tabs>
        <w:spacing w:before="120" w:after="120" w:line="240" w:lineRule="auto"/>
        <w:ind w:left="0" w:firstLine="720"/>
        <w:contextualSpacing w:val="0"/>
        <w:jc w:val="both"/>
        <w:rPr>
          <w:rFonts w:ascii="Times New Roman"/>
          <w:bCs/>
          <w:kern w:val="22"/>
        </w:rPr>
      </w:pPr>
      <w:r w:rsidRPr="00F25D02">
        <w:rPr>
          <w:rFonts w:ascii="Times New Roman"/>
          <w:bCs/>
          <w:kern w:val="22"/>
        </w:rPr>
        <w:t>Example #1: use of informatic techniques to find pharmaceutical receptors (proteins), deposited in the Protein Data Bank (PDB), which are associated with natural products from Brazilian biodiversity. The declaration associated with this activity records database of molecules with biological activity, ZINC &amp; SEA, as the source of the in-silico origin.</w:t>
      </w:r>
    </w:p>
    <w:p w14:paraId="6B2A8407" w14:textId="3EEC60C6" w:rsidR="000530E0" w:rsidRPr="00F25D02" w:rsidRDefault="000530E0"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bCs/>
          <w:kern w:val="22"/>
        </w:rPr>
        <w:lastRenderedPageBreak/>
        <w:t>Example #2: records a databank</w:t>
      </w:r>
      <w:r w:rsidRPr="00F25D02">
        <w:rPr>
          <w:rFonts w:ascii="Times New Roman"/>
          <w:kern w:val="22"/>
        </w:rPr>
        <w:t xml:space="preserve"> from which a </w:t>
      </w:r>
      <w:r w:rsidR="00BB7978" w:rsidRPr="00F25D02">
        <w:rPr>
          <w:rFonts w:ascii="Times New Roman"/>
          <w:kern w:val="22"/>
        </w:rPr>
        <w:t>digital sequence information</w:t>
      </w:r>
      <w:r w:rsidRPr="00F25D02">
        <w:rPr>
          <w:rFonts w:ascii="Times New Roman"/>
          <w:kern w:val="22"/>
        </w:rPr>
        <w:t xml:space="preserve"> on a genetic resource was obtained in which the objective is to develop a prototype kit for confirmatory diagnosis as a complimentary technique for the detection and identification of a </w:t>
      </w:r>
      <w:proofErr w:type="gramStart"/>
      <w:r w:rsidRPr="00F25D02">
        <w:rPr>
          <w:rFonts w:ascii="Times New Roman"/>
          <w:kern w:val="22"/>
        </w:rPr>
        <w:t>particular parasite</w:t>
      </w:r>
      <w:proofErr w:type="gramEnd"/>
      <w:r w:rsidRPr="00F25D02">
        <w:rPr>
          <w:rFonts w:ascii="Times New Roman"/>
          <w:kern w:val="22"/>
        </w:rPr>
        <w:t xml:space="preserve">. The declaration associated with this activity records a publicly funded antibody platform as the as the source of the Brazilian genetic </w:t>
      </w:r>
      <w:r w:rsidR="00A46752" w:rsidRPr="00F25D02">
        <w:rPr>
          <w:rFonts w:ascii="Times New Roman"/>
          <w:kern w:val="22"/>
        </w:rPr>
        <w:t>heritage</w:t>
      </w:r>
      <w:r w:rsidR="008F3D1C" w:rsidRPr="00F25D02">
        <w:rPr>
          <w:rFonts w:ascii="Times New Roman"/>
          <w:kern w:val="22"/>
        </w:rPr>
        <w:t>;</w:t>
      </w:r>
    </w:p>
    <w:p w14:paraId="13D7D20A" w14:textId="5216BFE5" w:rsidR="000A70FA" w:rsidRPr="00F25D02" w:rsidRDefault="000530E0"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Example #3: an invention comprising use of peptides synthetic derivatives of the toxins of a Brazilian invertebrate for the treatment of ocular disease. The declaration identified a ‘</w:t>
      </w:r>
      <w:proofErr w:type="spellStart"/>
      <w:r w:rsidRPr="00F25D02">
        <w:rPr>
          <w:rFonts w:ascii="Times New Roman"/>
          <w:kern w:val="22"/>
        </w:rPr>
        <w:t>UniProtKB</w:t>
      </w:r>
      <w:proofErr w:type="spellEnd"/>
      <w:r w:rsidRPr="00F25D02">
        <w:rPr>
          <w:rFonts w:ascii="Times New Roman"/>
          <w:kern w:val="22"/>
        </w:rPr>
        <w:t xml:space="preserve">’ (a database which provides functional and sequence information on proteins) as the source of the </w:t>
      </w:r>
      <w:r w:rsidR="00BB7978" w:rsidRPr="00F25D02">
        <w:rPr>
          <w:rFonts w:ascii="Times New Roman"/>
          <w:kern w:val="22"/>
        </w:rPr>
        <w:t>digital sequence information</w:t>
      </w:r>
      <w:r w:rsidRPr="00F25D02">
        <w:rPr>
          <w:rFonts w:ascii="Times New Roman"/>
          <w:kern w:val="22"/>
        </w:rPr>
        <w:t>.</w:t>
      </w:r>
    </w:p>
    <w:p w14:paraId="43040270" w14:textId="4C4AF1C5" w:rsidR="00013912" w:rsidRPr="00F25D02" w:rsidRDefault="00013912" w:rsidP="00F25D02">
      <w:pPr>
        <w:pStyle w:val="Heading2"/>
        <w:keepLines w:val="0"/>
        <w:numPr>
          <w:ilvl w:val="1"/>
          <w:numId w:val="8"/>
        </w:numPr>
        <w:tabs>
          <w:tab w:val="left" w:pos="1418"/>
        </w:tabs>
        <w:spacing w:before="120" w:after="120" w:line="240" w:lineRule="auto"/>
        <w:ind w:left="1418" w:hanging="425"/>
        <w:rPr>
          <w:rFonts w:ascii="Times New Roman" w:eastAsia="Times New Roman" w:hAnsi="Times New Roman" w:cs="Times New Roman"/>
          <w:b/>
          <w:bCs/>
          <w:iCs/>
          <w:color w:val="auto"/>
          <w:kern w:val="22"/>
          <w:sz w:val="22"/>
          <w:szCs w:val="24"/>
          <w:lang w:val="en-GB"/>
        </w:rPr>
      </w:pPr>
      <w:r w:rsidRPr="00F25D02">
        <w:rPr>
          <w:rFonts w:ascii="Times New Roman" w:eastAsia="Times New Roman" w:hAnsi="Times New Roman" w:cs="Times New Roman"/>
          <w:b/>
          <w:bCs/>
          <w:iCs/>
          <w:color w:val="auto"/>
          <w:kern w:val="22"/>
          <w:sz w:val="22"/>
          <w:szCs w:val="24"/>
          <w:lang w:val="en-GB"/>
        </w:rPr>
        <w:t xml:space="preserve">Benefit-sharing arrangements from commercial and non-commercial use of </w:t>
      </w:r>
      <w:r w:rsidR="00BB7978" w:rsidRPr="00F25D02">
        <w:rPr>
          <w:rFonts w:ascii="Times New Roman" w:eastAsia="Times New Roman" w:hAnsi="Times New Roman" w:cs="Times New Roman"/>
          <w:b/>
          <w:bCs/>
          <w:iCs/>
          <w:color w:val="auto"/>
          <w:kern w:val="22"/>
          <w:sz w:val="22"/>
          <w:szCs w:val="24"/>
          <w:lang w:val="en-GB"/>
        </w:rPr>
        <w:t>d</w:t>
      </w:r>
      <w:r w:rsidRPr="00F25D02">
        <w:rPr>
          <w:rFonts w:ascii="Times New Roman" w:eastAsia="Times New Roman" w:hAnsi="Times New Roman" w:cs="Times New Roman"/>
          <w:b/>
          <w:bCs/>
          <w:iCs/>
          <w:color w:val="auto"/>
          <w:kern w:val="22"/>
          <w:sz w:val="22"/>
          <w:szCs w:val="24"/>
          <w:lang w:val="en-GB"/>
        </w:rPr>
        <w:t xml:space="preserve">igital </w:t>
      </w:r>
      <w:r w:rsidR="00BB7978" w:rsidRPr="00F25D02">
        <w:rPr>
          <w:rFonts w:ascii="Times New Roman" w:eastAsia="Times New Roman" w:hAnsi="Times New Roman" w:cs="Times New Roman"/>
          <w:b/>
          <w:bCs/>
          <w:iCs/>
          <w:color w:val="auto"/>
          <w:kern w:val="22"/>
          <w:sz w:val="22"/>
          <w:szCs w:val="24"/>
          <w:lang w:val="en-GB"/>
        </w:rPr>
        <w:t>s</w:t>
      </w:r>
      <w:r w:rsidRPr="00F25D02">
        <w:rPr>
          <w:rFonts w:ascii="Times New Roman" w:eastAsia="Times New Roman" w:hAnsi="Times New Roman" w:cs="Times New Roman"/>
          <w:b/>
          <w:bCs/>
          <w:iCs/>
          <w:color w:val="auto"/>
          <w:kern w:val="22"/>
          <w:sz w:val="22"/>
          <w:szCs w:val="24"/>
          <w:lang w:val="en-GB"/>
        </w:rPr>
        <w:t xml:space="preserve">equence </w:t>
      </w:r>
      <w:r w:rsidR="00BB7978" w:rsidRPr="00F25D02">
        <w:rPr>
          <w:rFonts w:ascii="Times New Roman" w:eastAsia="Times New Roman" w:hAnsi="Times New Roman" w:cs="Times New Roman"/>
          <w:b/>
          <w:bCs/>
          <w:iCs/>
          <w:color w:val="auto"/>
          <w:kern w:val="22"/>
          <w:sz w:val="22"/>
          <w:szCs w:val="24"/>
          <w:lang w:val="en-GB"/>
        </w:rPr>
        <w:t>i</w:t>
      </w:r>
      <w:r w:rsidRPr="00F25D02">
        <w:rPr>
          <w:rFonts w:ascii="Times New Roman" w:eastAsia="Times New Roman" w:hAnsi="Times New Roman" w:cs="Times New Roman"/>
          <w:b/>
          <w:bCs/>
          <w:iCs/>
          <w:color w:val="auto"/>
          <w:kern w:val="22"/>
          <w:sz w:val="22"/>
          <w:szCs w:val="24"/>
          <w:lang w:val="en-GB"/>
        </w:rPr>
        <w:t xml:space="preserve">nformation on </w:t>
      </w:r>
      <w:r w:rsidR="00BB7978" w:rsidRPr="00F25D02">
        <w:rPr>
          <w:rFonts w:ascii="Times New Roman" w:eastAsia="Times New Roman" w:hAnsi="Times New Roman" w:cs="Times New Roman"/>
          <w:b/>
          <w:bCs/>
          <w:iCs/>
          <w:color w:val="auto"/>
          <w:kern w:val="22"/>
          <w:sz w:val="22"/>
          <w:szCs w:val="24"/>
          <w:lang w:val="en-GB"/>
        </w:rPr>
        <w:t>g</w:t>
      </w:r>
      <w:r w:rsidRPr="00F25D02">
        <w:rPr>
          <w:rFonts w:ascii="Times New Roman" w:eastAsia="Times New Roman" w:hAnsi="Times New Roman" w:cs="Times New Roman"/>
          <w:b/>
          <w:bCs/>
          <w:iCs/>
          <w:color w:val="auto"/>
          <w:kern w:val="22"/>
          <w:sz w:val="22"/>
          <w:szCs w:val="24"/>
          <w:lang w:val="en-GB"/>
        </w:rPr>
        <w:t xml:space="preserve">enetic </w:t>
      </w:r>
      <w:r w:rsidR="00BB7978" w:rsidRPr="00F25D02">
        <w:rPr>
          <w:rFonts w:ascii="Times New Roman" w:eastAsia="Times New Roman" w:hAnsi="Times New Roman" w:cs="Times New Roman"/>
          <w:b/>
          <w:bCs/>
          <w:iCs/>
          <w:color w:val="auto"/>
          <w:kern w:val="22"/>
          <w:sz w:val="22"/>
          <w:szCs w:val="24"/>
          <w:lang w:val="en-GB"/>
        </w:rPr>
        <w:t>r</w:t>
      </w:r>
      <w:r w:rsidRPr="00F25D02">
        <w:rPr>
          <w:rFonts w:ascii="Times New Roman" w:eastAsia="Times New Roman" w:hAnsi="Times New Roman" w:cs="Times New Roman"/>
          <w:b/>
          <w:bCs/>
          <w:iCs/>
          <w:color w:val="auto"/>
          <w:kern w:val="22"/>
          <w:sz w:val="22"/>
          <w:szCs w:val="24"/>
          <w:lang w:val="en-GB"/>
        </w:rPr>
        <w:t xml:space="preserve">esources </w:t>
      </w:r>
    </w:p>
    <w:p w14:paraId="12E3A0C1" w14:textId="77777777" w:rsidR="000A70FA" w:rsidRPr="00F25D02" w:rsidRDefault="000A70FA"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No submissions explicitly addressed benefit-sharing arrangements or instances of benefit sharing arising from commercial use of digital sequence information on genetic resources. </w:t>
      </w:r>
    </w:p>
    <w:p w14:paraId="419AD64B" w14:textId="4E73170A" w:rsidR="000A70FA" w:rsidRPr="00F25D02" w:rsidRDefault="000A70FA"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One submission noted the extent of commercial use of digital sequence information on genetic resources is unknown and anticipated that </w:t>
      </w:r>
      <w:r w:rsidR="00BB7978" w:rsidRPr="00F25D02">
        <w:rPr>
          <w:rFonts w:ascii="Times New Roman"/>
          <w:kern w:val="22"/>
        </w:rPr>
        <w:t>digital sequence information</w:t>
      </w:r>
      <w:r w:rsidRPr="00F25D02">
        <w:rPr>
          <w:rFonts w:ascii="Times New Roman"/>
          <w:kern w:val="22"/>
        </w:rPr>
        <w:t xml:space="preserve"> accessed under research terms is being used commercially, potentially by multiple different users, without the original providers being aware of such use or involved in the process.</w:t>
      </w:r>
      <w:r w:rsidR="00BB7165" w:rsidRPr="00F25D02">
        <w:rPr>
          <w:rStyle w:val="FootnoteReference"/>
          <w:rFonts w:ascii="Times New Roman"/>
          <w:kern w:val="22"/>
        </w:rPr>
        <w:footnoteReference w:id="128"/>
      </w:r>
    </w:p>
    <w:p w14:paraId="6C1BCE57" w14:textId="1ED133FB" w:rsidR="000A70FA" w:rsidRPr="00F25D02" w:rsidRDefault="000A70FA"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Two submission indirectly addressed benefit-sharing arrangements arising from commercial use of </w:t>
      </w:r>
      <w:r w:rsidR="003B72B4" w:rsidRPr="00F25D02">
        <w:rPr>
          <w:rFonts w:ascii="Times New Roman"/>
          <w:kern w:val="22"/>
        </w:rPr>
        <w:t>digital sequence information on genetic resources</w:t>
      </w:r>
      <w:r w:rsidRPr="00F25D02">
        <w:rPr>
          <w:rFonts w:ascii="Times New Roman"/>
          <w:kern w:val="22"/>
        </w:rPr>
        <w:t xml:space="preserve"> in the coverage of their domestic ABS frameworks:</w:t>
      </w:r>
    </w:p>
    <w:p w14:paraId="01C7CA4F" w14:textId="0D4967A5" w:rsidR="000A70FA" w:rsidRPr="00F25D02" w:rsidRDefault="000A70FA" w:rsidP="00D67DC5">
      <w:pPr>
        <w:pStyle w:val="ListParagraph"/>
        <w:numPr>
          <w:ilvl w:val="1"/>
          <w:numId w:val="2"/>
        </w:numPr>
        <w:tabs>
          <w:tab w:val="left" w:pos="1440"/>
        </w:tabs>
        <w:spacing w:before="120" w:after="120" w:line="240" w:lineRule="auto"/>
        <w:ind w:left="0" w:firstLine="709"/>
        <w:contextualSpacing w:val="0"/>
        <w:jc w:val="both"/>
        <w:rPr>
          <w:rFonts w:ascii="Times New Roman"/>
          <w:kern w:val="22"/>
        </w:rPr>
      </w:pPr>
      <w:r w:rsidRPr="00F25D02">
        <w:rPr>
          <w:rFonts w:ascii="Times New Roman"/>
          <w:kern w:val="22"/>
        </w:rPr>
        <w:t xml:space="preserve">Brazil’ framework providing facilitated access to </w:t>
      </w:r>
      <w:r w:rsidR="00BB7978" w:rsidRPr="00F25D02">
        <w:rPr>
          <w:rFonts w:ascii="Times New Roman"/>
          <w:kern w:val="22"/>
        </w:rPr>
        <w:t>digital sequence information</w:t>
      </w:r>
      <w:r w:rsidRPr="00F25D02">
        <w:rPr>
          <w:rFonts w:ascii="Times New Roman"/>
          <w:kern w:val="22"/>
        </w:rPr>
        <w:t xml:space="preserve"> includes options for mandatory benefit-sharing options which, subject to prescribed exemptions, are applicable in the event of commercial/economic exploitation of a product derived from utilization a genetic resource or </w:t>
      </w:r>
      <w:r w:rsidR="00BB7978" w:rsidRPr="00F25D02">
        <w:rPr>
          <w:rFonts w:ascii="Times New Roman"/>
          <w:kern w:val="22"/>
        </w:rPr>
        <w:t>digital sequence information</w:t>
      </w:r>
      <w:r w:rsidR="008F3D1C" w:rsidRPr="00F25D02">
        <w:rPr>
          <w:rFonts w:ascii="Times New Roman"/>
          <w:kern w:val="22"/>
        </w:rPr>
        <w:t>;</w:t>
      </w:r>
      <w:r w:rsidR="006E0B48" w:rsidRPr="00F25D02">
        <w:rPr>
          <w:rStyle w:val="FootnoteReference"/>
          <w:rFonts w:ascii="Times New Roman"/>
          <w:kern w:val="22"/>
        </w:rPr>
        <w:footnoteReference w:id="129"/>
      </w:r>
    </w:p>
    <w:p w14:paraId="68A8DEFC" w14:textId="3A02085E" w:rsidR="000A70FA" w:rsidRPr="00F25D02" w:rsidRDefault="000A70FA" w:rsidP="00D67DC5">
      <w:pPr>
        <w:pStyle w:val="ListParagraph"/>
        <w:numPr>
          <w:ilvl w:val="1"/>
          <w:numId w:val="2"/>
        </w:numPr>
        <w:tabs>
          <w:tab w:val="left" w:pos="1440"/>
        </w:tabs>
        <w:spacing w:before="120" w:after="120" w:line="240" w:lineRule="auto"/>
        <w:ind w:left="0" w:firstLine="709"/>
        <w:contextualSpacing w:val="0"/>
        <w:jc w:val="both"/>
        <w:rPr>
          <w:rFonts w:ascii="Times New Roman"/>
          <w:kern w:val="22"/>
        </w:rPr>
      </w:pPr>
      <w:r w:rsidRPr="00F25D02">
        <w:rPr>
          <w:rFonts w:ascii="Times New Roman"/>
          <w:kern w:val="22"/>
        </w:rPr>
        <w:t>Costa Rica’s ABS framework does not directly regulate</w:t>
      </w:r>
      <w:r w:rsidR="00A46752" w:rsidRPr="00F25D02">
        <w:rPr>
          <w:rFonts w:ascii="Times New Roman"/>
          <w:kern w:val="22"/>
        </w:rPr>
        <w:t xml:space="preserve"> </w:t>
      </w:r>
      <w:r w:rsidRPr="00F25D02">
        <w:rPr>
          <w:rFonts w:ascii="Times New Roman"/>
          <w:kern w:val="22"/>
        </w:rPr>
        <w:t xml:space="preserve">commercial bioprospecting, however, as a matter of public policy, the national authority has the right to prevent publication of </w:t>
      </w:r>
      <w:r w:rsidR="00BB7978" w:rsidRPr="00F25D02">
        <w:rPr>
          <w:rFonts w:ascii="Times New Roman"/>
          <w:kern w:val="22"/>
        </w:rPr>
        <w:t>digital sequence information</w:t>
      </w:r>
      <w:r w:rsidRPr="00F25D02">
        <w:rPr>
          <w:rFonts w:ascii="Times New Roman"/>
          <w:kern w:val="22"/>
        </w:rPr>
        <w:t xml:space="preserve"> in specific circumstances (subject to justification) in order to prevent this information entering the public domain and being used commercially by third parties without fair and equitable sharing of benefits with the provider of the resource</w:t>
      </w:r>
      <w:r w:rsidR="00D72DC4" w:rsidRPr="00F25D02">
        <w:rPr>
          <w:rFonts w:ascii="Times New Roman"/>
          <w:kern w:val="22"/>
        </w:rPr>
        <w:t>.</w:t>
      </w:r>
      <w:r w:rsidRPr="00F25D02">
        <w:rPr>
          <w:rFonts w:ascii="Times New Roman"/>
          <w:kern w:val="22"/>
          <w:vertAlign w:val="superscript"/>
        </w:rPr>
        <w:footnoteReference w:id="130"/>
      </w:r>
    </w:p>
    <w:p w14:paraId="7EFD7F73" w14:textId="3E2B8BEB" w:rsidR="000A70FA" w:rsidRPr="00F25D02" w:rsidRDefault="000A70FA"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Several submissions considered </w:t>
      </w:r>
      <w:r w:rsidR="00BB7978" w:rsidRPr="00F25D02">
        <w:rPr>
          <w:rFonts w:ascii="Times New Roman"/>
          <w:kern w:val="22"/>
        </w:rPr>
        <w:t>digital sequence information</w:t>
      </w:r>
      <w:r w:rsidRPr="00F25D02">
        <w:rPr>
          <w:rFonts w:ascii="Times New Roman"/>
          <w:kern w:val="22"/>
        </w:rPr>
        <w:t xml:space="preserve"> to constitute an important form of non-monetary benefit sharing </w:t>
      </w:r>
      <w:r w:rsidR="00D72DC4" w:rsidRPr="00F25D02">
        <w:rPr>
          <w:rFonts w:ascii="Times New Roman"/>
          <w:kern w:val="22"/>
        </w:rPr>
        <w:t>on the basis of</w:t>
      </w:r>
      <w:r w:rsidRPr="00F25D02">
        <w:rPr>
          <w:rFonts w:ascii="Times New Roman"/>
          <w:kern w:val="22"/>
        </w:rPr>
        <w:t xml:space="preserve">, inter alia, the benefits that accessibility of </w:t>
      </w:r>
      <w:r w:rsidR="00BB7978" w:rsidRPr="00F25D02">
        <w:rPr>
          <w:rFonts w:ascii="Times New Roman"/>
          <w:kern w:val="22"/>
        </w:rPr>
        <w:t>digital sequence information</w:t>
      </w:r>
      <w:r w:rsidRPr="00F25D02">
        <w:rPr>
          <w:rFonts w:ascii="Times New Roman"/>
          <w:kern w:val="22"/>
        </w:rPr>
        <w:t xml:space="preserve"> confers to society.</w:t>
      </w:r>
      <w:r w:rsidR="00BB7165" w:rsidRPr="00F25D02">
        <w:rPr>
          <w:rStyle w:val="FootnoteReference"/>
          <w:rFonts w:ascii="Times New Roman"/>
          <w:kern w:val="22"/>
        </w:rPr>
        <w:footnoteReference w:id="131"/>
      </w:r>
      <w:r w:rsidRPr="00F25D02">
        <w:rPr>
          <w:rFonts w:ascii="Times New Roman"/>
          <w:kern w:val="22"/>
        </w:rPr>
        <w:t xml:space="preserve"> In doing so they did not distinguish between commercial and non-commercial use</w:t>
      </w:r>
      <w:r w:rsidR="00485C81" w:rsidRPr="00F25D02">
        <w:rPr>
          <w:rFonts w:ascii="Times New Roman"/>
          <w:kern w:val="22"/>
        </w:rPr>
        <w:t>s</w:t>
      </w:r>
      <w:r w:rsidRPr="00F25D02">
        <w:rPr>
          <w:rFonts w:ascii="Times New Roman"/>
          <w:kern w:val="22"/>
        </w:rPr>
        <w:t xml:space="preserve"> and </w:t>
      </w:r>
      <w:r w:rsidR="00CE1F65" w:rsidRPr="00F25D02">
        <w:rPr>
          <w:rFonts w:ascii="Times New Roman"/>
          <w:kern w:val="22"/>
        </w:rPr>
        <w:t>several</w:t>
      </w:r>
      <w:r w:rsidRPr="00F25D02">
        <w:rPr>
          <w:rFonts w:ascii="Times New Roman"/>
          <w:kern w:val="22"/>
        </w:rPr>
        <w:t xml:space="preserve"> of these are unsupportive of benefit sharing arrangements that impede access </w:t>
      </w:r>
      <w:r w:rsidR="00BB7978" w:rsidRPr="00F25D02">
        <w:rPr>
          <w:rFonts w:ascii="Times New Roman"/>
          <w:kern w:val="22"/>
        </w:rPr>
        <w:t>digital sequence information</w:t>
      </w:r>
      <w:r w:rsidRPr="00F25D02">
        <w:rPr>
          <w:rFonts w:ascii="Times New Roman"/>
          <w:kern w:val="22"/>
        </w:rPr>
        <w:t xml:space="preserve">, irrespective of the type of use. Illustrative examples include: </w:t>
      </w:r>
    </w:p>
    <w:p w14:paraId="5E0F5516" w14:textId="5419E501" w:rsidR="000A70FA" w:rsidRPr="00F25D02" w:rsidRDefault="000A70FA"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 xml:space="preserve">Australia does not support inclusion of </w:t>
      </w:r>
      <w:r w:rsidR="00BB7978" w:rsidRPr="00F25D02">
        <w:rPr>
          <w:rFonts w:ascii="Times New Roman"/>
          <w:kern w:val="22"/>
        </w:rPr>
        <w:t>digital sequence information</w:t>
      </w:r>
      <w:r w:rsidRPr="00F25D02">
        <w:rPr>
          <w:rFonts w:ascii="Times New Roman"/>
          <w:kern w:val="22"/>
        </w:rPr>
        <w:t xml:space="preserve"> in ABS arrangements </w:t>
      </w:r>
      <w:proofErr w:type="gramStart"/>
      <w:r w:rsidRPr="00F25D02">
        <w:rPr>
          <w:rFonts w:ascii="Times New Roman"/>
          <w:kern w:val="22"/>
        </w:rPr>
        <w:t xml:space="preserve">on the basis </w:t>
      </w:r>
      <w:r w:rsidR="00485C81" w:rsidRPr="00F25D02">
        <w:rPr>
          <w:rFonts w:ascii="Times New Roman"/>
          <w:kern w:val="22"/>
        </w:rPr>
        <w:t>of</w:t>
      </w:r>
      <w:proofErr w:type="gramEnd"/>
      <w:r w:rsidR="00485C81" w:rsidRPr="00F25D02">
        <w:rPr>
          <w:rFonts w:ascii="Times New Roman"/>
          <w:kern w:val="22"/>
        </w:rPr>
        <w:t xml:space="preserve"> the benefits associated with </w:t>
      </w:r>
      <w:r w:rsidRPr="00F25D02">
        <w:rPr>
          <w:rFonts w:ascii="Times New Roman"/>
          <w:kern w:val="22"/>
        </w:rPr>
        <w:t xml:space="preserve">the current open access regime to </w:t>
      </w:r>
      <w:r w:rsidR="00BB7978" w:rsidRPr="00F25D02">
        <w:rPr>
          <w:rFonts w:ascii="Times New Roman"/>
          <w:kern w:val="22"/>
        </w:rPr>
        <w:t>digital sequence information</w:t>
      </w:r>
      <w:r w:rsidR="00485C81" w:rsidRPr="00F25D02">
        <w:rPr>
          <w:rFonts w:ascii="Times New Roman"/>
          <w:kern w:val="22"/>
        </w:rPr>
        <w:t>, including</w:t>
      </w:r>
      <w:r w:rsidRPr="00F25D02">
        <w:rPr>
          <w:rFonts w:ascii="Times New Roman"/>
          <w:kern w:val="22"/>
        </w:rPr>
        <w:t xml:space="preserve"> increased scientific information, discovery </w:t>
      </w:r>
      <w:r w:rsidR="00A61D1D" w:rsidRPr="00F25D02">
        <w:rPr>
          <w:rFonts w:ascii="Times New Roman"/>
          <w:kern w:val="22"/>
        </w:rPr>
        <w:t>and</w:t>
      </w:r>
      <w:r w:rsidRPr="00F25D02">
        <w:rPr>
          <w:rFonts w:ascii="Times New Roman"/>
          <w:kern w:val="22"/>
        </w:rPr>
        <w:t xml:space="preserve"> progress</w:t>
      </w:r>
      <w:r w:rsidR="003A1006" w:rsidRPr="00F25D02">
        <w:rPr>
          <w:rFonts w:ascii="Times New Roman"/>
          <w:kern w:val="22"/>
        </w:rPr>
        <w:t>, and</w:t>
      </w:r>
      <w:r w:rsidR="00485C81" w:rsidRPr="00F25D02">
        <w:rPr>
          <w:rFonts w:ascii="Times New Roman"/>
          <w:kern w:val="22"/>
        </w:rPr>
        <w:t xml:space="preserve"> </w:t>
      </w:r>
      <w:r w:rsidRPr="00F25D02">
        <w:rPr>
          <w:rFonts w:ascii="Times New Roman"/>
          <w:kern w:val="22"/>
        </w:rPr>
        <w:t>increased innovation and increased value to biological diversity that such information provides</w:t>
      </w:r>
      <w:r w:rsidR="00735D70" w:rsidRPr="00F25D02">
        <w:rPr>
          <w:rFonts w:ascii="Times New Roman"/>
          <w:kern w:val="22"/>
        </w:rPr>
        <w:t>;</w:t>
      </w:r>
    </w:p>
    <w:p w14:paraId="0D402601" w14:textId="5FF0F584" w:rsidR="000A70FA" w:rsidRPr="00F25D02" w:rsidRDefault="000A70FA"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 xml:space="preserve">Japan recognizes MAT may theoretically cover benefit sharing from the use of the </w:t>
      </w:r>
      <w:r w:rsidR="00BB7978" w:rsidRPr="00F25D02">
        <w:rPr>
          <w:rFonts w:ascii="Times New Roman"/>
          <w:kern w:val="22"/>
        </w:rPr>
        <w:t>digital sequence information</w:t>
      </w:r>
      <w:r w:rsidRPr="00F25D02">
        <w:rPr>
          <w:rFonts w:ascii="Times New Roman"/>
          <w:kern w:val="22"/>
        </w:rPr>
        <w:t xml:space="preserve">, however, </w:t>
      </w:r>
      <w:r w:rsidR="00485C81" w:rsidRPr="00F25D02">
        <w:rPr>
          <w:rFonts w:ascii="Times New Roman"/>
          <w:kern w:val="22"/>
        </w:rPr>
        <w:t>it considers</w:t>
      </w:r>
      <w:r w:rsidRPr="00F25D02">
        <w:rPr>
          <w:rFonts w:ascii="Times New Roman"/>
          <w:kern w:val="22"/>
        </w:rPr>
        <w:t xml:space="preserve"> open access to </w:t>
      </w:r>
      <w:r w:rsidR="00BB7978" w:rsidRPr="00F25D02">
        <w:rPr>
          <w:rFonts w:ascii="Times New Roman"/>
          <w:kern w:val="22"/>
        </w:rPr>
        <w:t>digital sequence information</w:t>
      </w:r>
      <w:r w:rsidRPr="00F25D02">
        <w:rPr>
          <w:rFonts w:ascii="Times New Roman"/>
          <w:kern w:val="22"/>
        </w:rPr>
        <w:t xml:space="preserve"> is an important form of benefit</w:t>
      </w:r>
      <w:r w:rsidR="00735D70" w:rsidRPr="00F25D02">
        <w:rPr>
          <w:rFonts w:ascii="Times New Roman"/>
          <w:kern w:val="22"/>
        </w:rPr>
        <w:t>-</w:t>
      </w:r>
      <w:r w:rsidRPr="00F25D02">
        <w:rPr>
          <w:rFonts w:ascii="Times New Roman"/>
          <w:kern w:val="22"/>
        </w:rPr>
        <w:t>sharing which contributes to conservation and sustainable use of biodiversity as well as other important areas</w:t>
      </w:r>
      <w:r w:rsidR="00485C81" w:rsidRPr="00F25D02">
        <w:rPr>
          <w:rFonts w:ascii="Times New Roman"/>
          <w:kern w:val="22"/>
        </w:rPr>
        <w:t xml:space="preserve">, including </w:t>
      </w:r>
      <w:r w:rsidRPr="00F25D02">
        <w:rPr>
          <w:rFonts w:ascii="Times New Roman"/>
          <w:kern w:val="22"/>
        </w:rPr>
        <w:t>food security, human and animal plant health</w:t>
      </w:r>
      <w:r w:rsidR="00B807C8" w:rsidRPr="00F25D02">
        <w:rPr>
          <w:rFonts w:ascii="Times New Roman"/>
          <w:kern w:val="22"/>
        </w:rPr>
        <w:t>;</w:t>
      </w:r>
      <w:r w:rsidRPr="00F25D02">
        <w:rPr>
          <w:rFonts w:ascii="Times New Roman"/>
          <w:kern w:val="22"/>
        </w:rPr>
        <w:t xml:space="preserve"> </w:t>
      </w:r>
    </w:p>
    <w:p w14:paraId="70FEB540" w14:textId="3A07AFC2" w:rsidR="000A70FA" w:rsidRPr="00F25D02" w:rsidRDefault="000A70FA"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 xml:space="preserve">Canada </w:t>
      </w:r>
      <w:r w:rsidR="00485C81" w:rsidRPr="00F25D02">
        <w:rPr>
          <w:rFonts w:ascii="Times New Roman"/>
          <w:kern w:val="22"/>
        </w:rPr>
        <w:t xml:space="preserve">recognizes </w:t>
      </w:r>
      <w:r w:rsidRPr="00F25D02">
        <w:rPr>
          <w:rFonts w:ascii="Times New Roman"/>
          <w:kern w:val="22"/>
        </w:rPr>
        <w:t xml:space="preserve">that providers and users may negotiate mutually agreed terms for the utilization of genetic resources which may govern how </w:t>
      </w:r>
      <w:r w:rsidR="00315FC9" w:rsidRPr="00F25D02">
        <w:rPr>
          <w:rFonts w:ascii="Times New Roman"/>
          <w:kern w:val="22"/>
        </w:rPr>
        <w:t xml:space="preserve">genetic sequence information </w:t>
      </w:r>
      <w:r w:rsidRPr="00F25D02">
        <w:rPr>
          <w:rFonts w:ascii="Times New Roman"/>
          <w:kern w:val="22"/>
        </w:rPr>
        <w:t>can be used and shared</w:t>
      </w:r>
      <w:r w:rsidR="00485C81" w:rsidRPr="00F25D02">
        <w:rPr>
          <w:rFonts w:ascii="Times New Roman"/>
          <w:kern w:val="22"/>
        </w:rPr>
        <w:t>, however, it strongly supports the free exchange of genetic sequence data</w:t>
      </w:r>
      <w:r w:rsidR="00B807C8" w:rsidRPr="00F25D02">
        <w:rPr>
          <w:rFonts w:ascii="Times New Roman"/>
          <w:kern w:val="22"/>
        </w:rPr>
        <w:t>;</w:t>
      </w:r>
      <w:r w:rsidRPr="00F25D02">
        <w:rPr>
          <w:rFonts w:ascii="Times New Roman"/>
          <w:kern w:val="22"/>
        </w:rPr>
        <w:t xml:space="preserve"> </w:t>
      </w:r>
    </w:p>
    <w:p w14:paraId="767C3DA0" w14:textId="68DE5208" w:rsidR="000A70FA" w:rsidRPr="00F25D02" w:rsidRDefault="00485C81"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lastRenderedPageBreak/>
        <w:t xml:space="preserve">European Union and its Member States consider that </w:t>
      </w:r>
      <w:r w:rsidR="000A70FA" w:rsidRPr="00F25D02">
        <w:rPr>
          <w:rFonts w:ascii="Times New Roman"/>
          <w:kern w:val="22"/>
        </w:rPr>
        <w:t xml:space="preserve">PIC cannot and should not be required for access to </w:t>
      </w:r>
      <w:r w:rsidR="00BB7978" w:rsidRPr="00F25D02">
        <w:rPr>
          <w:rFonts w:ascii="Times New Roman"/>
          <w:kern w:val="22"/>
        </w:rPr>
        <w:t>digital sequence information</w:t>
      </w:r>
      <w:r w:rsidR="000A70FA" w:rsidRPr="00F25D02">
        <w:rPr>
          <w:rFonts w:ascii="Times New Roman"/>
          <w:kern w:val="22"/>
        </w:rPr>
        <w:t>, including from publicly available databases</w:t>
      </w:r>
      <w:r w:rsidR="00D67DC5" w:rsidRPr="00F25D02">
        <w:rPr>
          <w:rFonts w:ascii="Times New Roman"/>
          <w:kern w:val="22"/>
        </w:rPr>
        <w:t>.</w:t>
      </w:r>
      <w:r w:rsidR="000A70FA" w:rsidRPr="00F25D02">
        <w:rPr>
          <w:rFonts w:ascii="Times New Roman"/>
          <w:kern w:val="22"/>
        </w:rPr>
        <w:t xml:space="preserve"> </w:t>
      </w:r>
    </w:p>
    <w:p w14:paraId="17551A30" w14:textId="1A8392A4" w:rsidR="000A70FA" w:rsidRPr="00F25D02" w:rsidRDefault="000A70FA"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Conversely, </w:t>
      </w:r>
      <w:r w:rsidR="00CE1F65" w:rsidRPr="00F25D02">
        <w:rPr>
          <w:rFonts w:ascii="Times New Roman"/>
          <w:kern w:val="22"/>
        </w:rPr>
        <w:t>several</w:t>
      </w:r>
      <w:r w:rsidRPr="00F25D02">
        <w:rPr>
          <w:rFonts w:ascii="Times New Roman"/>
          <w:kern w:val="22"/>
        </w:rPr>
        <w:t xml:space="preserve"> submissions considered that benefit-sharing arrangements for commercial and non-commercial use of </w:t>
      </w:r>
      <w:r w:rsidR="003B72B4" w:rsidRPr="00F25D02">
        <w:rPr>
          <w:rFonts w:ascii="Times New Roman"/>
          <w:kern w:val="22"/>
        </w:rPr>
        <w:t>digital sequence information on genetic resources</w:t>
      </w:r>
      <w:r w:rsidRPr="00F25D02">
        <w:rPr>
          <w:rFonts w:ascii="Times New Roman"/>
          <w:kern w:val="22"/>
        </w:rPr>
        <w:t xml:space="preserve"> should be differentiated. Illustrative examples include:</w:t>
      </w:r>
    </w:p>
    <w:p w14:paraId="36DA6F0B" w14:textId="4A34A9CC" w:rsidR="000A70FA" w:rsidRPr="00F25D02" w:rsidRDefault="00BB7978"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Digital sequence information</w:t>
      </w:r>
      <w:r w:rsidR="000A70FA" w:rsidRPr="00F25D02">
        <w:rPr>
          <w:rFonts w:ascii="Times New Roman"/>
          <w:kern w:val="22"/>
        </w:rPr>
        <w:t xml:space="preserve"> should be publicly available/accessible for non-commercial use only (i.e. educational, training </w:t>
      </w:r>
      <w:r w:rsidR="00A61D1D" w:rsidRPr="00F25D02">
        <w:rPr>
          <w:rFonts w:ascii="Times New Roman"/>
          <w:kern w:val="22"/>
        </w:rPr>
        <w:t>and</w:t>
      </w:r>
      <w:r w:rsidR="000A70FA" w:rsidRPr="00F25D02">
        <w:rPr>
          <w:rFonts w:ascii="Times New Roman"/>
          <w:kern w:val="22"/>
        </w:rPr>
        <w:t xml:space="preserve"> research purposes only), whereas commercial use/application should be subject to benefit</w:t>
      </w:r>
      <w:r w:rsidR="00AA5228" w:rsidRPr="00F25D02">
        <w:rPr>
          <w:rFonts w:ascii="Times New Roman"/>
          <w:kern w:val="22"/>
        </w:rPr>
        <w:t>-</w:t>
      </w:r>
      <w:r w:rsidR="000A70FA" w:rsidRPr="00F25D02">
        <w:rPr>
          <w:rFonts w:ascii="Times New Roman"/>
          <w:kern w:val="22"/>
        </w:rPr>
        <w:t>sharing</w:t>
      </w:r>
      <w:r w:rsidR="00AA5228" w:rsidRPr="00F25D02">
        <w:rPr>
          <w:rFonts w:ascii="Times New Roman"/>
          <w:kern w:val="22"/>
        </w:rPr>
        <w:t>.</w:t>
      </w:r>
      <w:r w:rsidR="00BB7165" w:rsidRPr="00F25D02">
        <w:rPr>
          <w:rStyle w:val="FootnoteReference"/>
          <w:rFonts w:ascii="Times New Roman"/>
          <w:kern w:val="22"/>
        </w:rPr>
        <w:footnoteReference w:id="132"/>
      </w:r>
      <w:r w:rsidR="000A70FA" w:rsidRPr="00F25D02">
        <w:rPr>
          <w:rFonts w:ascii="Times New Roman"/>
          <w:kern w:val="22"/>
        </w:rPr>
        <w:t xml:space="preserve"> </w:t>
      </w:r>
    </w:p>
    <w:p w14:paraId="74E2B709" w14:textId="205F940C" w:rsidR="000A70FA" w:rsidRPr="00F25D02" w:rsidRDefault="00D67DC5"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B</w:t>
      </w:r>
      <w:r w:rsidR="000A70FA" w:rsidRPr="00F25D02">
        <w:rPr>
          <w:rFonts w:ascii="Times New Roman"/>
          <w:kern w:val="22"/>
        </w:rPr>
        <w:t>enefit</w:t>
      </w:r>
      <w:r w:rsidRPr="00F25D02">
        <w:rPr>
          <w:rFonts w:ascii="Times New Roman"/>
          <w:kern w:val="22"/>
        </w:rPr>
        <w:t>-</w:t>
      </w:r>
      <w:r w:rsidR="000A70FA" w:rsidRPr="00F25D02">
        <w:rPr>
          <w:rFonts w:ascii="Times New Roman"/>
          <w:kern w:val="22"/>
        </w:rPr>
        <w:t xml:space="preserve">sharing for </w:t>
      </w:r>
      <w:r w:rsidR="00BB7978" w:rsidRPr="00F25D02">
        <w:rPr>
          <w:rFonts w:ascii="Times New Roman"/>
          <w:kern w:val="22"/>
        </w:rPr>
        <w:t>digital sequence information</w:t>
      </w:r>
      <w:r w:rsidR="000A70FA" w:rsidRPr="00F25D02">
        <w:rPr>
          <w:rFonts w:ascii="Times New Roman"/>
          <w:kern w:val="22"/>
        </w:rPr>
        <w:t xml:space="preserve"> should be triggered according to the type of use, without regard for the identity of the user, be it a company or a non-profit.</w:t>
      </w:r>
      <w:r w:rsidR="00BB7165" w:rsidRPr="00F25D02">
        <w:rPr>
          <w:rStyle w:val="FootnoteReference"/>
          <w:rFonts w:ascii="Times New Roman"/>
          <w:kern w:val="22"/>
        </w:rPr>
        <w:footnoteReference w:id="133"/>
      </w:r>
      <w:r w:rsidR="000A70FA" w:rsidRPr="00F25D02">
        <w:rPr>
          <w:rFonts w:ascii="Times New Roman"/>
          <w:kern w:val="22"/>
        </w:rPr>
        <w:t xml:space="preserve"> The submission elaborates as follows:</w:t>
      </w:r>
    </w:p>
    <w:p w14:paraId="3894BD65" w14:textId="53EE6C82" w:rsidR="000A70FA" w:rsidRPr="00F25D02" w:rsidRDefault="006E47B1" w:rsidP="00086139">
      <w:pPr>
        <w:numPr>
          <w:ilvl w:val="0"/>
          <w:numId w:val="14"/>
        </w:numPr>
        <w:tabs>
          <w:tab w:val="left" w:pos="360"/>
          <w:tab w:val="left" w:pos="1170"/>
        </w:tabs>
        <w:spacing w:before="120" w:after="120"/>
        <w:ind w:left="1985" w:hanging="284"/>
        <w:jc w:val="both"/>
        <w:rPr>
          <w:rFonts w:ascii="Times New Roman"/>
          <w:kern w:val="22"/>
        </w:rPr>
      </w:pPr>
      <w:r w:rsidRPr="00F25D02">
        <w:rPr>
          <w:rFonts w:ascii="Times New Roman"/>
          <w:kern w:val="22"/>
        </w:rPr>
        <w:t>D</w:t>
      </w:r>
      <w:r w:rsidR="000A70FA" w:rsidRPr="00F25D02">
        <w:rPr>
          <w:rFonts w:ascii="Times New Roman"/>
          <w:kern w:val="22"/>
        </w:rPr>
        <w:t xml:space="preserve">ownstream users may derive commercial uses from </w:t>
      </w:r>
      <w:r w:rsidR="00BB7978" w:rsidRPr="00F25D02">
        <w:rPr>
          <w:rFonts w:ascii="Times New Roman"/>
          <w:kern w:val="22"/>
        </w:rPr>
        <w:t>digital sequence information</w:t>
      </w:r>
      <w:r w:rsidR="000A70FA" w:rsidRPr="00F25D02">
        <w:rPr>
          <w:rFonts w:ascii="Times New Roman"/>
          <w:kern w:val="22"/>
        </w:rPr>
        <w:t xml:space="preserve"> initially published for non-commercial purposes</w:t>
      </w:r>
      <w:r w:rsidR="00BB7165" w:rsidRPr="00F25D02">
        <w:rPr>
          <w:rFonts w:ascii="Times New Roman"/>
          <w:kern w:val="22"/>
        </w:rPr>
        <w:t>;</w:t>
      </w:r>
    </w:p>
    <w:p w14:paraId="3D329F89" w14:textId="7CC5988E" w:rsidR="000A70FA" w:rsidRPr="00F25D02" w:rsidRDefault="006E47B1" w:rsidP="00086139">
      <w:pPr>
        <w:numPr>
          <w:ilvl w:val="0"/>
          <w:numId w:val="14"/>
        </w:numPr>
        <w:tabs>
          <w:tab w:val="left" w:pos="360"/>
          <w:tab w:val="left" w:pos="1170"/>
        </w:tabs>
        <w:spacing w:before="120" w:after="120"/>
        <w:ind w:left="1985" w:hanging="284"/>
        <w:jc w:val="both"/>
        <w:rPr>
          <w:rFonts w:ascii="Times New Roman"/>
          <w:kern w:val="22"/>
        </w:rPr>
      </w:pPr>
      <w:r w:rsidRPr="00F25D02">
        <w:rPr>
          <w:rFonts w:ascii="Times New Roman"/>
          <w:kern w:val="22"/>
        </w:rPr>
        <w:t>P</w:t>
      </w:r>
      <w:r w:rsidR="000A70FA" w:rsidRPr="00F25D02">
        <w:rPr>
          <w:rFonts w:ascii="Times New Roman"/>
          <w:kern w:val="22"/>
        </w:rPr>
        <w:t xml:space="preserve">ublic or academic users may be subject to institutional policies or regulatory requirements to seek intellectual property or commercially exploit research involving </w:t>
      </w:r>
      <w:r w:rsidR="00BB7978" w:rsidRPr="00F25D02">
        <w:rPr>
          <w:rFonts w:ascii="Times New Roman"/>
          <w:kern w:val="22"/>
        </w:rPr>
        <w:t>digital sequence information</w:t>
      </w:r>
      <w:r w:rsidR="000A70FA" w:rsidRPr="00F25D02">
        <w:rPr>
          <w:rFonts w:ascii="Times New Roman"/>
          <w:kern w:val="22"/>
        </w:rPr>
        <w:t xml:space="preserve"> if it has commercial potential</w:t>
      </w:r>
      <w:r w:rsidR="00BB7165" w:rsidRPr="00F25D02">
        <w:rPr>
          <w:rFonts w:ascii="Times New Roman"/>
          <w:kern w:val="22"/>
        </w:rPr>
        <w:t>;</w:t>
      </w:r>
    </w:p>
    <w:p w14:paraId="5A1F2E6C" w14:textId="4D3D5D70" w:rsidR="000A70FA" w:rsidRPr="00F25D02" w:rsidRDefault="006E47B1" w:rsidP="00086139">
      <w:pPr>
        <w:numPr>
          <w:ilvl w:val="0"/>
          <w:numId w:val="14"/>
        </w:numPr>
        <w:tabs>
          <w:tab w:val="left" w:pos="360"/>
          <w:tab w:val="left" w:pos="1170"/>
        </w:tabs>
        <w:spacing w:before="120" w:after="120"/>
        <w:ind w:left="1985" w:hanging="284"/>
        <w:jc w:val="both"/>
        <w:rPr>
          <w:rFonts w:ascii="Times New Roman"/>
          <w:kern w:val="22"/>
        </w:rPr>
      </w:pPr>
      <w:r w:rsidRPr="00F25D02">
        <w:rPr>
          <w:rFonts w:ascii="Times New Roman"/>
          <w:kern w:val="22"/>
        </w:rPr>
        <w:t>G</w:t>
      </w:r>
      <w:r w:rsidR="000A70FA" w:rsidRPr="00F25D02">
        <w:rPr>
          <w:rFonts w:ascii="Times New Roman"/>
          <w:kern w:val="22"/>
        </w:rPr>
        <w:t>enuine non-commercial uses will not trigger benefit</w:t>
      </w:r>
      <w:r w:rsidR="00815F22" w:rsidRPr="00F25D02">
        <w:rPr>
          <w:rFonts w:ascii="Times New Roman"/>
          <w:kern w:val="22"/>
        </w:rPr>
        <w:t>-</w:t>
      </w:r>
      <w:r w:rsidR="000A70FA" w:rsidRPr="00F25D02">
        <w:rPr>
          <w:rFonts w:ascii="Times New Roman"/>
          <w:kern w:val="22"/>
        </w:rPr>
        <w:t>sharing</w:t>
      </w:r>
      <w:r w:rsidR="00BB7165" w:rsidRPr="00F25D02">
        <w:rPr>
          <w:rFonts w:ascii="Times New Roman"/>
          <w:kern w:val="22"/>
        </w:rPr>
        <w:t>;</w:t>
      </w:r>
      <w:r w:rsidR="000A70FA" w:rsidRPr="00F25D02">
        <w:rPr>
          <w:rFonts w:ascii="Times New Roman"/>
          <w:kern w:val="22"/>
        </w:rPr>
        <w:t xml:space="preserve"> </w:t>
      </w:r>
    </w:p>
    <w:p w14:paraId="7944D566" w14:textId="46366CF3" w:rsidR="000A70FA" w:rsidRPr="00F25D02" w:rsidRDefault="006E47B1" w:rsidP="00086139">
      <w:pPr>
        <w:numPr>
          <w:ilvl w:val="0"/>
          <w:numId w:val="14"/>
        </w:numPr>
        <w:tabs>
          <w:tab w:val="left" w:pos="360"/>
          <w:tab w:val="left" w:pos="1170"/>
        </w:tabs>
        <w:spacing w:before="120" w:after="120"/>
        <w:ind w:left="1985" w:hanging="284"/>
        <w:jc w:val="both"/>
        <w:rPr>
          <w:rFonts w:ascii="Times New Roman"/>
          <w:kern w:val="22"/>
        </w:rPr>
      </w:pPr>
      <w:r w:rsidRPr="00F25D02">
        <w:rPr>
          <w:rFonts w:ascii="Times New Roman"/>
          <w:kern w:val="22"/>
        </w:rPr>
        <w:t>S</w:t>
      </w:r>
      <w:r w:rsidR="000A70FA" w:rsidRPr="00F25D02">
        <w:rPr>
          <w:rFonts w:ascii="Times New Roman"/>
          <w:kern w:val="22"/>
        </w:rPr>
        <w:t xml:space="preserve">uggests data use agreements or database terms and conditions should allow </w:t>
      </w:r>
      <w:r w:rsidR="00BB7978" w:rsidRPr="00F25D02">
        <w:rPr>
          <w:rFonts w:ascii="Times New Roman"/>
          <w:kern w:val="22"/>
        </w:rPr>
        <w:t>digital sequence information</w:t>
      </w:r>
      <w:r w:rsidR="000A70FA" w:rsidRPr="00F25D02">
        <w:rPr>
          <w:rFonts w:ascii="Times New Roman"/>
          <w:kern w:val="22"/>
        </w:rPr>
        <w:t xml:space="preserve"> to remain publicly accessible while protecting sovereign rights of provider countries over their genetic resources.</w:t>
      </w:r>
    </w:p>
    <w:p w14:paraId="60BBA709" w14:textId="3FAD0437" w:rsidR="000A70FA" w:rsidRPr="00F25D02" w:rsidRDefault="000A70FA"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One submission recommended a potential model for benefit-sharing arrangements from commercial and non-commercial use of </w:t>
      </w:r>
      <w:r w:rsidR="00A61D1D" w:rsidRPr="00F25D02">
        <w:rPr>
          <w:rFonts w:ascii="Times New Roman"/>
          <w:kern w:val="22"/>
        </w:rPr>
        <w:t>d</w:t>
      </w:r>
      <w:r w:rsidRPr="00F25D02">
        <w:rPr>
          <w:rFonts w:ascii="Times New Roman"/>
          <w:kern w:val="22"/>
        </w:rPr>
        <w:t xml:space="preserve">igital </w:t>
      </w:r>
      <w:r w:rsidR="00A61D1D" w:rsidRPr="00F25D02">
        <w:rPr>
          <w:rFonts w:ascii="Times New Roman"/>
          <w:kern w:val="22"/>
        </w:rPr>
        <w:t>s</w:t>
      </w:r>
      <w:r w:rsidRPr="00F25D02">
        <w:rPr>
          <w:rFonts w:ascii="Times New Roman"/>
          <w:kern w:val="22"/>
        </w:rPr>
        <w:t xml:space="preserve">equence </w:t>
      </w:r>
      <w:r w:rsidR="00A61D1D" w:rsidRPr="00F25D02">
        <w:rPr>
          <w:rFonts w:ascii="Times New Roman"/>
          <w:kern w:val="22"/>
        </w:rPr>
        <w:t>i</w:t>
      </w:r>
      <w:r w:rsidRPr="00F25D02">
        <w:rPr>
          <w:rFonts w:ascii="Times New Roman"/>
          <w:kern w:val="22"/>
        </w:rPr>
        <w:t xml:space="preserve">nformation on </w:t>
      </w:r>
      <w:r w:rsidR="00A61D1D" w:rsidRPr="00F25D02">
        <w:rPr>
          <w:rFonts w:ascii="Times New Roman"/>
          <w:kern w:val="22"/>
        </w:rPr>
        <w:t>g</w:t>
      </w:r>
      <w:r w:rsidRPr="00F25D02">
        <w:rPr>
          <w:rFonts w:ascii="Times New Roman"/>
          <w:kern w:val="22"/>
        </w:rPr>
        <w:t xml:space="preserve">enetic </w:t>
      </w:r>
      <w:r w:rsidR="00A61D1D" w:rsidRPr="00F25D02">
        <w:rPr>
          <w:rFonts w:ascii="Times New Roman"/>
          <w:kern w:val="22"/>
        </w:rPr>
        <w:t>r</w:t>
      </w:r>
      <w:r w:rsidRPr="00F25D02">
        <w:rPr>
          <w:rFonts w:ascii="Times New Roman"/>
          <w:kern w:val="22"/>
        </w:rPr>
        <w:t>esources.</w:t>
      </w:r>
      <w:r w:rsidR="001B4F0F" w:rsidRPr="00F25D02">
        <w:rPr>
          <w:rStyle w:val="FootnoteReference"/>
          <w:rFonts w:ascii="Times New Roman"/>
          <w:kern w:val="22"/>
        </w:rPr>
        <w:footnoteReference w:id="134"/>
      </w:r>
      <w:r w:rsidRPr="00F25D02">
        <w:rPr>
          <w:rFonts w:ascii="Times New Roman"/>
          <w:kern w:val="22"/>
        </w:rPr>
        <w:t xml:space="preserve"> The model is in the form of the Material Transfer Agreement used by the South Africa’s Department of Health for the transfer of human biological materials which are defined to include data, such as digital sequence information. The terms of the MTA seek to ensure that benefits derived from commercial or non-commercial research are shared in a manner that is fair and equitable, including regarding secondary use of materials comprising </w:t>
      </w:r>
      <w:r w:rsidR="00BB7978" w:rsidRPr="00F25D02">
        <w:rPr>
          <w:rFonts w:ascii="Times New Roman"/>
          <w:kern w:val="22"/>
        </w:rPr>
        <w:t>digital sequence information</w:t>
      </w:r>
      <w:r w:rsidRPr="00F25D02">
        <w:rPr>
          <w:rFonts w:ascii="Times New Roman"/>
          <w:kern w:val="22"/>
        </w:rPr>
        <w:t>. Notable features of the MTA include</w:t>
      </w:r>
      <w:r w:rsidR="00BB7165" w:rsidRPr="00F25D02">
        <w:rPr>
          <w:rFonts w:ascii="Times New Roman"/>
          <w:kern w:val="22"/>
        </w:rPr>
        <w:t>:</w:t>
      </w:r>
      <w:r w:rsidRPr="00F25D02">
        <w:rPr>
          <w:rFonts w:ascii="Times New Roman"/>
          <w:kern w:val="22"/>
        </w:rPr>
        <w:t xml:space="preserve"> </w:t>
      </w:r>
    </w:p>
    <w:p w14:paraId="1A03DD36" w14:textId="30FE8942" w:rsidR="000A70FA" w:rsidRPr="00F25D02" w:rsidRDefault="004D0AC2"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T</w:t>
      </w:r>
      <w:r w:rsidR="00BB7165" w:rsidRPr="00F25D02">
        <w:rPr>
          <w:rFonts w:ascii="Times New Roman"/>
          <w:kern w:val="22"/>
        </w:rPr>
        <w:t xml:space="preserve">he </w:t>
      </w:r>
      <w:r w:rsidR="000A70FA" w:rsidRPr="00F25D02">
        <w:rPr>
          <w:rFonts w:ascii="Times New Roman"/>
          <w:kern w:val="22"/>
        </w:rPr>
        <w:t xml:space="preserve">country of origin </w:t>
      </w:r>
      <w:r w:rsidR="00BB7165" w:rsidRPr="00F25D02">
        <w:rPr>
          <w:rFonts w:ascii="Times New Roman"/>
          <w:kern w:val="22"/>
        </w:rPr>
        <w:t xml:space="preserve">retains ownership of human biological materials </w:t>
      </w:r>
      <w:r w:rsidR="000A70FA" w:rsidRPr="00F25D02">
        <w:rPr>
          <w:rFonts w:ascii="Times New Roman"/>
          <w:kern w:val="22"/>
        </w:rPr>
        <w:t>(i.e.</w:t>
      </w:r>
      <w:r w:rsidR="00BB7165" w:rsidRPr="00F25D02">
        <w:rPr>
          <w:rFonts w:ascii="Times New Roman"/>
          <w:kern w:val="22"/>
        </w:rPr>
        <w:t xml:space="preserve"> including</w:t>
      </w:r>
      <w:r w:rsidR="000A70FA" w:rsidRPr="00F25D02">
        <w:rPr>
          <w:rFonts w:ascii="Times New Roman"/>
          <w:kern w:val="22"/>
        </w:rPr>
        <w:t xml:space="preserve"> in the case of data</w:t>
      </w:r>
      <w:r w:rsidR="00BB7165" w:rsidRPr="00F25D02">
        <w:rPr>
          <w:rFonts w:ascii="Times New Roman"/>
          <w:kern w:val="22"/>
        </w:rPr>
        <w:t xml:space="preserve"> concerning human biological materials</w:t>
      </w:r>
      <w:r w:rsidR="000A70FA" w:rsidRPr="00F25D02">
        <w:rPr>
          <w:rFonts w:ascii="Times New Roman"/>
          <w:kern w:val="22"/>
        </w:rPr>
        <w:t xml:space="preserve">, irrespective of where </w:t>
      </w:r>
      <w:r w:rsidR="00BB7165" w:rsidRPr="00F25D02">
        <w:rPr>
          <w:rFonts w:ascii="Times New Roman"/>
          <w:kern w:val="22"/>
        </w:rPr>
        <w:t xml:space="preserve">the </w:t>
      </w:r>
      <w:r w:rsidR="000A70FA" w:rsidRPr="00F25D02">
        <w:rPr>
          <w:rFonts w:ascii="Times New Roman"/>
          <w:kern w:val="22"/>
        </w:rPr>
        <w:t>data is stored)</w:t>
      </w:r>
      <w:r w:rsidR="00BB7165" w:rsidRPr="00F25D02">
        <w:rPr>
          <w:rFonts w:ascii="Times New Roman"/>
          <w:kern w:val="22"/>
        </w:rPr>
        <w:t>;</w:t>
      </w:r>
    </w:p>
    <w:p w14:paraId="214A2B66" w14:textId="201A7AFE" w:rsidR="000A70FA" w:rsidRPr="00F25D02" w:rsidRDefault="000A70FA"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MTA applies to all providers and recipients of human biological materials for use in commercial and non-commercial research</w:t>
      </w:r>
      <w:r w:rsidR="00BB7165" w:rsidRPr="00F25D02">
        <w:rPr>
          <w:rFonts w:ascii="Times New Roman"/>
          <w:kern w:val="22"/>
        </w:rPr>
        <w:t>;</w:t>
      </w:r>
    </w:p>
    <w:p w14:paraId="356FA62C" w14:textId="2FE480CB" w:rsidR="000A70FA" w:rsidRPr="00F25D02" w:rsidRDefault="004D0AC2"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S</w:t>
      </w:r>
      <w:r w:rsidR="000A70FA" w:rsidRPr="00F25D02">
        <w:rPr>
          <w:rFonts w:ascii="Times New Roman"/>
          <w:kern w:val="22"/>
        </w:rPr>
        <w:t>cope of benefits includes, inter alia, sharing information use of research results, royalties, acknowledgement of provider as source of the materials, publication rights, transfer of technology or materials and capacity building</w:t>
      </w:r>
      <w:r w:rsidR="00BB7165" w:rsidRPr="00F25D02">
        <w:rPr>
          <w:rFonts w:ascii="Times New Roman"/>
          <w:kern w:val="22"/>
        </w:rPr>
        <w:t>.</w:t>
      </w:r>
      <w:r w:rsidR="000A70FA" w:rsidRPr="00F25D02">
        <w:rPr>
          <w:rFonts w:ascii="Times New Roman"/>
          <w:kern w:val="22"/>
        </w:rPr>
        <w:t xml:space="preserve"> </w:t>
      </w:r>
    </w:p>
    <w:p w14:paraId="10713456" w14:textId="367A27A8" w:rsidR="00013912" w:rsidRPr="00F25D02" w:rsidRDefault="00013912" w:rsidP="00F25D02">
      <w:pPr>
        <w:pStyle w:val="Heading1"/>
        <w:numPr>
          <w:ilvl w:val="0"/>
          <w:numId w:val="8"/>
        </w:numPr>
        <w:ind w:left="1701" w:hanging="720"/>
        <w:jc w:val="left"/>
        <w:rPr>
          <w:kern w:val="22"/>
        </w:rPr>
      </w:pPr>
      <w:r w:rsidRPr="00F25D02">
        <w:rPr>
          <w:kern w:val="22"/>
        </w:rPr>
        <w:t xml:space="preserve">CAPACITY-BUILDING NEEDS RELATED TO DIGITAL SEQUENCE INFORMATION ON GENETIC RESOURCES </w:t>
      </w:r>
    </w:p>
    <w:p w14:paraId="6669239F" w14:textId="325564ED" w:rsidR="00B32E97" w:rsidRPr="00F25D02" w:rsidRDefault="00B32E97" w:rsidP="00D67DC5">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bookmarkStart w:id="31" w:name="_Hlk29123018"/>
      <w:r w:rsidRPr="00F25D02">
        <w:rPr>
          <w:rFonts w:ascii="Times New Roman"/>
          <w:kern w:val="22"/>
        </w:rPr>
        <w:t>One submission considered that consensus on whether DSI is subject to access and benefit</w:t>
      </w:r>
      <w:r w:rsidR="004D0AC2" w:rsidRPr="00F25D02">
        <w:rPr>
          <w:rFonts w:ascii="Times New Roman"/>
          <w:kern w:val="22"/>
        </w:rPr>
        <w:noBreakHyphen/>
      </w:r>
      <w:r w:rsidRPr="00F25D02">
        <w:rPr>
          <w:rFonts w:ascii="Times New Roman"/>
          <w:kern w:val="22"/>
        </w:rPr>
        <w:t>sharing under the Convention and the Protocol should be prioritized before further discussions concerning capacity</w:t>
      </w:r>
      <w:r w:rsidR="00866A76" w:rsidRPr="00F25D02">
        <w:rPr>
          <w:rFonts w:ascii="Times New Roman"/>
          <w:kern w:val="22"/>
        </w:rPr>
        <w:t>-</w:t>
      </w:r>
      <w:r w:rsidRPr="00F25D02">
        <w:rPr>
          <w:rFonts w:ascii="Times New Roman"/>
          <w:kern w:val="22"/>
        </w:rPr>
        <w:t>building take place.</w:t>
      </w:r>
      <w:r w:rsidRPr="00F25D02">
        <w:rPr>
          <w:rStyle w:val="FootnoteReference"/>
          <w:rFonts w:ascii="Times New Roman"/>
          <w:kern w:val="22"/>
        </w:rPr>
        <w:footnoteReference w:id="135"/>
      </w:r>
    </w:p>
    <w:p w14:paraId="5CEAFF9A" w14:textId="32ED0490" w:rsidR="007579D4" w:rsidRPr="00F25D02" w:rsidRDefault="00EB410D" w:rsidP="00D67DC5">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lastRenderedPageBreak/>
        <w:t>Several</w:t>
      </w:r>
      <w:r w:rsidR="00805A18" w:rsidRPr="00F25D02">
        <w:rPr>
          <w:rFonts w:ascii="Times New Roman"/>
          <w:kern w:val="22"/>
        </w:rPr>
        <w:t xml:space="preserve"> submissions acknowledged the need for and/or the importance of capacity</w:t>
      </w:r>
      <w:r w:rsidR="00866A76" w:rsidRPr="00F25D02">
        <w:rPr>
          <w:rFonts w:ascii="Times New Roman"/>
          <w:kern w:val="22"/>
        </w:rPr>
        <w:noBreakHyphen/>
      </w:r>
      <w:r w:rsidR="00805A18" w:rsidRPr="00F25D02">
        <w:rPr>
          <w:rFonts w:ascii="Times New Roman"/>
          <w:kern w:val="22"/>
        </w:rPr>
        <w:t xml:space="preserve">building related to </w:t>
      </w:r>
      <w:r w:rsidR="00A61D1D" w:rsidRPr="00F25D02">
        <w:rPr>
          <w:rFonts w:ascii="Times New Roman"/>
          <w:kern w:val="22"/>
        </w:rPr>
        <w:t>d</w:t>
      </w:r>
      <w:r w:rsidR="00805A18" w:rsidRPr="00F25D02">
        <w:rPr>
          <w:rFonts w:ascii="Times New Roman"/>
          <w:kern w:val="22"/>
        </w:rPr>
        <w:t xml:space="preserve">igital </w:t>
      </w:r>
      <w:r w:rsidR="00A61D1D" w:rsidRPr="00F25D02">
        <w:rPr>
          <w:rFonts w:ascii="Times New Roman"/>
          <w:kern w:val="22"/>
        </w:rPr>
        <w:t>s</w:t>
      </w:r>
      <w:r w:rsidR="00805A18" w:rsidRPr="00F25D02">
        <w:rPr>
          <w:rFonts w:ascii="Times New Roman"/>
          <w:kern w:val="22"/>
        </w:rPr>
        <w:t xml:space="preserve">equence </w:t>
      </w:r>
      <w:r w:rsidR="00A61D1D" w:rsidRPr="00F25D02">
        <w:rPr>
          <w:rFonts w:ascii="Times New Roman"/>
          <w:kern w:val="22"/>
        </w:rPr>
        <w:t>i</w:t>
      </w:r>
      <w:r w:rsidR="00805A18" w:rsidRPr="00F25D02">
        <w:rPr>
          <w:rFonts w:ascii="Times New Roman"/>
          <w:kern w:val="22"/>
        </w:rPr>
        <w:t xml:space="preserve">nformation on </w:t>
      </w:r>
      <w:r w:rsidR="00A61D1D" w:rsidRPr="00F25D02">
        <w:rPr>
          <w:rFonts w:ascii="Times New Roman"/>
          <w:kern w:val="22"/>
        </w:rPr>
        <w:t>g</w:t>
      </w:r>
      <w:r w:rsidR="00805A18" w:rsidRPr="00F25D02">
        <w:rPr>
          <w:rFonts w:ascii="Times New Roman"/>
          <w:kern w:val="22"/>
        </w:rPr>
        <w:t xml:space="preserve">enetic </w:t>
      </w:r>
      <w:r w:rsidR="00A61D1D" w:rsidRPr="00F25D02">
        <w:rPr>
          <w:rFonts w:ascii="Times New Roman"/>
          <w:kern w:val="22"/>
        </w:rPr>
        <w:t>r</w:t>
      </w:r>
      <w:r w:rsidR="00805A18" w:rsidRPr="00F25D02">
        <w:rPr>
          <w:rFonts w:ascii="Times New Roman"/>
          <w:kern w:val="22"/>
        </w:rPr>
        <w:t>esources</w:t>
      </w:r>
      <w:bookmarkEnd w:id="31"/>
      <w:r w:rsidR="00013912" w:rsidRPr="00F25D02">
        <w:rPr>
          <w:rFonts w:ascii="Times New Roman"/>
          <w:kern w:val="22"/>
        </w:rPr>
        <w:t>.</w:t>
      </w:r>
      <w:r w:rsidR="00013912" w:rsidRPr="00F25D02">
        <w:rPr>
          <w:rStyle w:val="FootnoteReference"/>
          <w:rFonts w:ascii="Times New Roman"/>
          <w:kern w:val="22"/>
        </w:rPr>
        <w:footnoteReference w:id="136"/>
      </w:r>
      <w:r w:rsidR="00805A18" w:rsidRPr="00F25D02">
        <w:rPr>
          <w:rFonts w:ascii="Times New Roman"/>
          <w:kern w:val="22"/>
        </w:rPr>
        <w:t xml:space="preserve"> </w:t>
      </w:r>
      <w:r w:rsidR="00D72DC4" w:rsidRPr="00F25D02">
        <w:rPr>
          <w:rFonts w:ascii="Times New Roman"/>
          <w:kern w:val="22"/>
        </w:rPr>
        <w:t>It is generally accepted that</w:t>
      </w:r>
      <w:r w:rsidR="00D67DC5" w:rsidRPr="00F25D02">
        <w:rPr>
          <w:rFonts w:ascii="Times New Roman"/>
          <w:kern w:val="22"/>
        </w:rPr>
        <w:t xml:space="preserve"> </w:t>
      </w:r>
      <w:r w:rsidR="00013912" w:rsidRPr="00F25D02">
        <w:rPr>
          <w:rFonts w:ascii="Times New Roman"/>
          <w:kern w:val="22"/>
        </w:rPr>
        <w:t xml:space="preserve">a </w:t>
      </w:r>
      <w:r w:rsidR="00805A18" w:rsidRPr="00F25D02">
        <w:rPr>
          <w:rFonts w:ascii="Times New Roman"/>
          <w:kern w:val="22"/>
        </w:rPr>
        <w:t xml:space="preserve">lack of capacity in many countries hinders greater use of </w:t>
      </w:r>
      <w:r w:rsidR="00BB7978" w:rsidRPr="00F25D02">
        <w:rPr>
          <w:rFonts w:ascii="Times New Roman"/>
          <w:kern w:val="22"/>
        </w:rPr>
        <w:t>digital sequence information</w:t>
      </w:r>
      <w:r w:rsidR="00013912" w:rsidRPr="00F25D02">
        <w:rPr>
          <w:rStyle w:val="FootnoteReference"/>
          <w:rFonts w:ascii="Times New Roman"/>
          <w:kern w:val="22"/>
        </w:rPr>
        <w:footnoteReference w:id="137"/>
      </w:r>
      <w:r w:rsidR="00D72DC4" w:rsidRPr="00F25D02">
        <w:rPr>
          <w:rFonts w:ascii="Times New Roman"/>
          <w:kern w:val="22"/>
        </w:rPr>
        <w:t xml:space="preserve"> and that </w:t>
      </w:r>
      <w:r w:rsidR="007579D4" w:rsidRPr="00F25D02">
        <w:rPr>
          <w:rFonts w:ascii="Times New Roman"/>
          <w:kern w:val="22"/>
        </w:rPr>
        <w:t xml:space="preserve">there is a </w:t>
      </w:r>
      <w:bookmarkStart w:id="32" w:name="_Hlk29123077"/>
      <w:r w:rsidR="00805A18" w:rsidRPr="00F25D02">
        <w:rPr>
          <w:rFonts w:ascii="Times New Roman"/>
          <w:kern w:val="22"/>
        </w:rPr>
        <w:t xml:space="preserve">need </w:t>
      </w:r>
      <w:r w:rsidR="007579D4" w:rsidRPr="00F25D02">
        <w:rPr>
          <w:rFonts w:ascii="Times New Roman"/>
          <w:kern w:val="22"/>
        </w:rPr>
        <w:t>to</w:t>
      </w:r>
      <w:r w:rsidR="00805A18" w:rsidRPr="00F25D02">
        <w:rPr>
          <w:rFonts w:ascii="Times New Roman"/>
          <w:kern w:val="22"/>
        </w:rPr>
        <w:t xml:space="preserve"> enhanc</w:t>
      </w:r>
      <w:r w:rsidR="007579D4" w:rsidRPr="00F25D02">
        <w:rPr>
          <w:rFonts w:ascii="Times New Roman"/>
          <w:kern w:val="22"/>
        </w:rPr>
        <w:t>e</w:t>
      </w:r>
      <w:r w:rsidR="00805A18" w:rsidRPr="00F25D02">
        <w:rPr>
          <w:rFonts w:ascii="Times New Roman"/>
          <w:kern w:val="22"/>
        </w:rPr>
        <w:t xml:space="preserve"> capacity to generate, analyze, access and use </w:t>
      </w:r>
      <w:r w:rsidR="00BB7978" w:rsidRPr="00F25D02">
        <w:rPr>
          <w:rFonts w:ascii="Times New Roman"/>
          <w:kern w:val="22"/>
        </w:rPr>
        <w:t>digital sequence information</w:t>
      </w:r>
      <w:r w:rsidR="00805A18" w:rsidRPr="00F25D02">
        <w:rPr>
          <w:rFonts w:ascii="Times New Roman"/>
          <w:kern w:val="22"/>
        </w:rPr>
        <w:t xml:space="preserve"> on genetic resources</w:t>
      </w:r>
      <w:r w:rsidR="00BA2B57" w:rsidRPr="00F25D02">
        <w:rPr>
          <w:rFonts w:ascii="Times New Roman"/>
          <w:kern w:val="22"/>
        </w:rPr>
        <w:t>,</w:t>
      </w:r>
      <w:r w:rsidR="00013912" w:rsidRPr="00F25D02">
        <w:rPr>
          <w:rStyle w:val="FootnoteReference"/>
          <w:rFonts w:ascii="Times New Roman"/>
          <w:kern w:val="22"/>
        </w:rPr>
        <w:footnoteReference w:id="138"/>
      </w:r>
      <w:r w:rsidR="00013912" w:rsidRPr="00F25D02">
        <w:rPr>
          <w:rFonts w:ascii="Times New Roman"/>
          <w:kern w:val="22"/>
        </w:rPr>
        <w:t xml:space="preserve"> </w:t>
      </w:r>
      <w:r w:rsidR="00805A18" w:rsidRPr="00F25D02">
        <w:rPr>
          <w:rFonts w:ascii="Times New Roman"/>
          <w:kern w:val="22"/>
        </w:rPr>
        <w:t xml:space="preserve">particularly for developing countries </w:t>
      </w:r>
      <w:bookmarkEnd w:id="32"/>
      <w:r w:rsidR="00013912" w:rsidRPr="00F25D02">
        <w:rPr>
          <w:rFonts w:ascii="Times New Roman"/>
          <w:kern w:val="22"/>
        </w:rPr>
        <w:t>which are typically the</w:t>
      </w:r>
      <w:r w:rsidR="00805A18" w:rsidRPr="00F25D02">
        <w:rPr>
          <w:rFonts w:ascii="Times New Roman"/>
          <w:kern w:val="22"/>
        </w:rPr>
        <w:t xml:space="preserve"> megadiverse countries/regions </w:t>
      </w:r>
      <w:r w:rsidR="00013912" w:rsidRPr="00F25D02">
        <w:rPr>
          <w:rFonts w:ascii="Times New Roman"/>
          <w:kern w:val="22"/>
        </w:rPr>
        <w:t>in which the genetic</w:t>
      </w:r>
      <w:r w:rsidR="00805A18" w:rsidRPr="00F25D02">
        <w:rPr>
          <w:rFonts w:ascii="Times New Roman"/>
          <w:kern w:val="22"/>
        </w:rPr>
        <w:t xml:space="preserve"> resources used to generate </w:t>
      </w:r>
      <w:r w:rsidR="00BB7978" w:rsidRPr="00F25D02">
        <w:rPr>
          <w:rFonts w:ascii="Times New Roman"/>
          <w:kern w:val="22"/>
        </w:rPr>
        <w:t>digital sequence information</w:t>
      </w:r>
      <w:r w:rsidR="002E72A6" w:rsidRPr="00F25D02">
        <w:rPr>
          <w:rFonts w:ascii="Times New Roman"/>
          <w:kern w:val="22"/>
        </w:rPr>
        <w:t>,</w:t>
      </w:r>
      <w:r w:rsidR="00805A18" w:rsidRPr="00F25D02">
        <w:rPr>
          <w:rFonts w:ascii="Times New Roman"/>
          <w:kern w:val="22"/>
        </w:rPr>
        <w:t xml:space="preserve"> originate</w:t>
      </w:r>
      <w:r w:rsidR="00D72DC4" w:rsidRPr="00F25D02">
        <w:rPr>
          <w:rFonts w:ascii="Times New Roman"/>
          <w:kern w:val="22"/>
        </w:rPr>
        <w:t>.</w:t>
      </w:r>
      <w:r w:rsidR="00013912" w:rsidRPr="00F25D02">
        <w:rPr>
          <w:rStyle w:val="FootnoteReference"/>
          <w:rFonts w:ascii="Times New Roman"/>
          <w:kern w:val="22"/>
        </w:rPr>
        <w:footnoteReference w:id="139"/>
      </w:r>
      <w:r w:rsidR="00805A18" w:rsidRPr="00F25D02">
        <w:rPr>
          <w:rFonts w:ascii="Times New Roman"/>
          <w:kern w:val="22"/>
        </w:rPr>
        <w:t xml:space="preserve"> </w:t>
      </w:r>
      <w:r w:rsidR="00D72DC4" w:rsidRPr="00F25D02">
        <w:rPr>
          <w:rFonts w:ascii="Times New Roman"/>
          <w:kern w:val="22"/>
        </w:rPr>
        <w:t>C</w:t>
      </w:r>
      <w:r w:rsidR="00805A18" w:rsidRPr="00F25D02">
        <w:rPr>
          <w:rFonts w:ascii="Times New Roman"/>
          <w:kern w:val="22"/>
        </w:rPr>
        <w:t>apacity</w:t>
      </w:r>
      <w:r w:rsidR="00FA3182" w:rsidRPr="00F25D02">
        <w:rPr>
          <w:rFonts w:ascii="Times New Roman"/>
          <w:kern w:val="22"/>
        </w:rPr>
        <w:noBreakHyphen/>
      </w:r>
      <w:r w:rsidR="00805A18" w:rsidRPr="00F25D02">
        <w:rPr>
          <w:rFonts w:ascii="Times New Roman"/>
          <w:kern w:val="22"/>
        </w:rPr>
        <w:t xml:space="preserve">building with regard to </w:t>
      </w:r>
      <w:r w:rsidR="00BB7978" w:rsidRPr="00F25D02">
        <w:rPr>
          <w:rFonts w:ascii="Times New Roman"/>
          <w:kern w:val="22"/>
        </w:rPr>
        <w:t>digital sequence information</w:t>
      </w:r>
      <w:r w:rsidR="00805A18" w:rsidRPr="00F25D02">
        <w:rPr>
          <w:rFonts w:ascii="Times New Roman"/>
          <w:kern w:val="22"/>
        </w:rPr>
        <w:t xml:space="preserve"> needs to take into account national needs and priorities of any particular country to make productive use of capacity</w:t>
      </w:r>
      <w:r w:rsidR="00FA3182" w:rsidRPr="00F25D02">
        <w:rPr>
          <w:rFonts w:ascii="Times New Roman"/>
          <w:kern w:val="22"/>
        </w:rPr>
        <w:t>-</w:t>
      </w:r>
      <w:r w:rsidR="00805A18" w:rsidRPr="00F25D02">
        <w:rPr>
          <w:rFonts w:ascii="Times New Roman"/>
          <w:kern w:val="22"/>
        </w:rPr>
        <w:t>building and technology transfer</w:t>
      </w:r>
      <w:r w:rsidR="00013912" w:rsidRPr="00F25D02">
        <w:rPr>
          <w:rStyle w:val="FootnoteReference"/>
          <w:rFonts w:ascii="Times New Roman"/>
          <w:kern w:val="22"/>
        </w:rPr>
        <w:footnoteReference w:id="140"/>
      </w:r>
      <w:r w:rsidR="00D72DC4" w:rsidRPr="00F25D02">
        <w:rPr>
          <w:rFonts w:ascii="Times New Roman"/>
          <w:kern w:val="22"/>
        </w:rPr>
        <w:t xml:space="preserve"> and it is considered particularly important</w:t>
      </w:r>
      <w:r w:rsidR="007579D4" w:rsidRPr="00F25D02">
        <w:rPr>
          <w:rFonts w:ascii="Times New Roman"/>
          <w:kern w:val="22"/>
        </w:rPr>
        <w:t xml:space="preserve"> that capacity</w:t>
      </w:r>
      <w:r w:rsidR="00FA3182" w:rsidRPr="00F25D02">
        <w:rPr>
          <w:rFonts w:ascii="Times New Roman"/>
          <w:kern w:val="22"/>
        </w:rPr>
        <w:t>-</w:t>
      </w:r>
      <w:r w:rsidR="007579D4" w:rsidRPr="00F25D02">
        <w:rPr>
          <w:rFonts w:ascii="Times New Roman"/>
          <w:kern w:val="22"/>
        </w:rPr>
        <w:t xml:space="preserve">building meets the needs of </w:t>
      </w:r>
      <w:bookmarkStart w:id="33" w:name="_Hlk29123173"/>
      <w:r w:rsidR="007579D4" w:rsidRPr="00F25D02">
        <w:rPr>
          <w:rFonts w:ascii="Times New Roman"/>
          <w:kern w:val="22"/>
        </w:rPr>
        <w:t xml:space="preserve">communities that have contributed to conservation </w:t>
      </w:r>
      <w:bookmarkEnd w:id="33"/>
      <w:r w:rsidR="007579D4" w:rsidRPr="00F25D02">
        <w:rPr>
          <w:rFonts w:ascii="Times New Roman"/>
          <w:kern w:val="22"/>
        </w:rPr>
        <w:t>and generation of knowledge benefit form creation of genetic resources in order to ensure they are not left behind as technology continues to advance.</w:t>
      </w:r>
      <w:r w:rsidR="007579D4" w:rsidRPr="00F25D02">
        <w:rPr>
          <w:rStyle w:val="FootnoteReference"/>
          <w:rFonts w:ascii="Times New Roman"/>
          <w:kern w:val="22"/>
        </w:rPr>
        <w:footnoteReference w:id="141"/>
      </w:r>
      <w:r w:rsidR="007579D4" w:rsidRPr="00F25D02">
        <w:rPr>
          <w:rFonts w:ascii="Times New Roman"/>
          <w:kern w:val="22"/>
        </w:rPr>
        <w:t xml:space="preserve"> </w:t>
      </w:r>
    </w:p>
    <w:p w14:paraId="51EE9368" w14:textId="49D4CD19" w:rsidR="00805A18" w:rsidRPr="00F25D02" w:rsidRDefault="00CE1F65"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Several</w:t>
      </w:r>
      <w:r w:rsidR="00805A18" w:rsidRPr="00F25D02">
        <w:rPr>
          <w:rFonts w:ascii="Times New Roman"/>
          <w:kern w:val="22"/>
        </w:rPr>
        <w:t xml:space="preserve"> of submissions identified </w:t>
      </w:r>
      <w:bookmarkStart w:id="34" w:name="_Hlk29123450"/>
      <w:r w:rsidR="00805A18" w:rsidRPr="00F25D02">
        <w:rPr>
          <w:rFonts w:ascii="Times New Roman"/>
          <w:kern w:val="22"/>
        </w:rPr>
        <w:t>specific needs/modalities and/or priorities for capacity</w:t>
      </w:r>
      <w:r w:rsidR="003D61FC" w:rsidRPr="00F25D02">
        <w:rPr>
          <w:rFonts w:ascii="Times New Roman"/>
          <w:kern w:val="22"/>
        </w:rPr>
        <w:noBreakHyphen/>
      </w:r>
      <w:r w:rsidR="00805A18" w:rsidRPr="00F25D02">
        <w:rPr>
          <w:rFonts w:ascii="Times New Roman"/>
          <w:kern w:val="22"/>
        </w:rPr>
        <w:t>building</w:t>
      </w:r>
      <w:bookmarkEnd w:id="34"/>
      <w:r w:rsidR="00805A18" w:rsidRPr="00F25D02">
        <w:rPr>
          <w:rFonts w:ascii="Times New Roman"/>
          <w:kern w:val="22"/>
        </w:rPr>
        <w:t xml:space="preserve">. Illustrative examples include:  </w:t>
      </w:r>
    </w:p>
    <w:p w14:paraId="4899D7BE" w14:textId="145CFFC9" w:rsidR="00805A18" w:rsidRPr="00F25D02" w:rsidRDefault="00D67DC5"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I</w:t>
      </w:r>
      <w:r w:rsidR="00805A18" w:rsidRPr="00F25D02">
        <w:rPr>
          <w:rFonts w:ascii="Times New Roman"/>
          <w:kern w:val="22"/>
        </w:rPr>
        <w:t xml:space="preserve">ntensifying capacity building through </w:t>
      </w:r>
      <w:r w:rsidR="00013912" w:rsidRPr="00F25D02">
        <w:rPr>
          <w:rFonts w:ascii="Times New Roman"/>
          <w:kern w:val="22"/>
        </w:rPr>
        <w:t>M</w:t>
      </w:r>
      <w:r w:rsidR="00805A18" w:rsidRPr="00F25D02">
        <w:rPr>
          <w:rFonts w:ascii="Times New Roman"/>
          <w:kern w:val="22"/>
        </w:rPr>
        <w:t xml:space="preserve">assively </w:t>
      </w:r>
      <w:r w:rsidR="00013912" w:rsidRPr="00F25D02">
        <w:rPr>
          <w:rFonts w:ascii="Times New Roman"/>
          <w:kern w:val="22"/>
        </w:rPr>
        <w:t>O</w:t>
      </w:r>
      <w:r w:rsidR="00805A18" w:rsidRPr="00F25D02">
        <w:rPr>
          <w:rFonts w:ascii="Times New Roman"/>
          <w:kern w:val="22"/>
        </w:rPr>
        <w:t xml:space="preserve">pen </w:t>
      </w:r>
      <w:r w:rsidR="00013912" w:rsidRPr="00F25D02">
        <w:rPr>
          <w:rFonts w:ascii="Times New Roman"/>
          <w:kern w:val="22"/>
        </w:rPr>
        <w:t>O</w:t>
      </w:r>
      <w:r w:rsidR="00805A18" w:rsidRPr="00F25D02">
        <w:rPr>
          <w:rFonts w:ascii="Times New Roman"/>
          <w:kern w:val="22"/>
        </w:rPr>
        <w:t xml:space="preserve">nline </w:t>
      </w:r>
      <w:r w:rsidR="00013912" w:rsidRPr="00F25D02">
        <w:rPr>
          <w:rFonts w:ascii="Times New Roman"/>
          <w:kern w:val="22"/>
        </w:rPr>
        <w:t>C</w:t>
      </w:r>
      <w:r w:rsidR="00805A18" w:rsidRPr="00F25D02">
        <w:rPr>
          <w:rFonts w:ascii="Times New Roman"/>
          <w:kern w:val="22"/>
        </w:rPr>
        <w:t>ourses</w:t>
      </w:r>
      <w:r w:rsidR="00013912" w:rsidRPr="00F25D02">
        <w:rPr>
          <w:rFonts w:ascii="Times New Roman"/>
          <w:kern w:val="22"/>
        </w:rPr>
        <w:t xml:space="preserve"> (MOOC)</w:t>
      </w:r>
      <w:r w:rsidR="00805A18" w:rsidRPr="00F25D02">
        <w:rPr>
          <w:rFonts w:ascii="Times New Roman"/>
          <w:kern w:val="22"/>
        </w:rPr>
        <w:t xml:space="preserve"> which could be </w:t>
      </w:r>
      <w:bookmarkStart w:id="35" w:name="_Hlk29123636"/>
      <w:r w:rsidR="00805A18" w:rsidRPr="00F25D02">
        <w:rPr>
          <w:rFonts w:ascii="Times New Roman"/>
          <w:kern w:val="22"/>
        </w:rPr>
        <w:t>coordinated with INSDC databases</w:t>
      </w:r>
      <w:bookmarkEnd w:id="35"/>
      <w:r w:rsidR="00805A18" w:rsidRPr="00F25D02">
        <w:rPr>
          <w:rFonts w:ascii="Times New Roman"/>
          <w:kern w:val="22"/>
        </w:rPr>
        <w:t xml:space="preserve"> and/or new sequencing Centers</w:t>
      </w:r>
      <w:r w:rsidR="007579D4" w:rsidRPr="00F25D02">
        <w:rPr>
          <w:rFonts w:ascii="Times New Roman"/>
          <w:kern w:val="22"/>
        </w:rPr>
        <w:t>;</w:t>
      </w:r>
      <w:r w:rsidR="00013912" w:rsidRPr="00F25D02">
        <w:rPr>
          <w:rStyle w:val="FootnoteReference"/>
          <w:rFonts w:ascii="Times New Roman"/>
          <w:kern w:val="22"/>
        </w:rPr>
        <w:footnoteReference w:id="142"/>
      </w:r>
      <w:r w:rsidR="00805A18" w:rsidRPr="00F25D02">
        <w:rPr>
          <w:rFonts w:ascii="Times New Roman"/>
          <w:kern w:val="22"/>
        </w:rPr>
        <w:t xml:space="preserve"> </w:t>
      </w:r>
    </w:p>
    <w:p w14:paraId="50F6817E" w14:textId="01B2AEC0" w:rsidR="00805A18" w:rsidRPr="00F25D02" w:rsidRDefault="00D67DC5"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I</w:t>
      </w:r>
      <w:r w:rsidR="00805A18" w:rsidRPr="00F25D02">
        <w:rPr>
          <w:rFonts w:ascii="Times New Roman"/>
          <w:kern w:val="22"/>
        </w:rPr>
        <w:t>ntensify</w:t>
      </w:r>
      <w:r w:rsidR="007579D4" w:rsidRPr="00F25D02">
        <w:rPr>
          <w:rFonts w:ascii="Times New Roman"/>
          <w:kern w:val="22"/>
        </w:rPr>
        <w:t>ing</w:t>
      </w:r>
      <w:r w:rsidR="00805A18" w:rsidRPr="00F25D02">
        <w:rPr>
          <w:rFonts w:ascii="Times New Roman"/>
          <w:kern w:val="22"/>
        </w:rPr>
        <w:t xml:space="preserve"> joint research </w:t>
      </w:r>
      <w:bookmarkStart w:id="37" w:name="_Hlk29124239"/>
      <w:r w:rsidR="00805A18" w:rsidRPr="00F25D02">
        <w:rPr>
          <w:rFonts w:ascii="Times New Roman"/>
          <w:kern w:val="22"/>
        </w:rPr>
        <w:t xml:space="preserve">involving generation and analysis of </w:t>
      </w:r>
      <w:r w:rsidR="00BB7978" w:rsidRPr="00F25D02">
        <w:rPr>
          <w:rFonts w:ascii="Times New Roman"/>
          <w:kern w:val="22"/>
        </w:rPr>
        <w:t>digital sequence information</w:t>
      </w:r>
      <w:r w:rsidR="00805A18" w:rsidRPr="00F25D02">
        <w:rPr>
          <w:rFonts w:ascii="Times New Roman"/>
          <w:kern w:val="22"/>
        </w:rPr>
        <w:t xml:space="preserve"> </w:t>
      </w:r>
      <w:bookmarkEnd w:id="37"/>
      <w:r w:rsidR="00805A18" w:rsidRPr="00F25D02">
        <w:rPr>
          <w:rFonts w:ascii="Times New Roman"/>
          <w:kern w:val="22"/>
        </w:rPr>
        <w:t>including training as part of research (which often made available to visitors and colleagues from developing countries)</w:t>
      </w:r>
      <w:r w:rsidR="00613133" w:rsidRPr="00F25D02">
        <w:rPr>
          <w:rFonts w:ascii="Times New Roman"/>
          <w:kern w:val="22"/>
        </w:rPr>
        <w:t xml:space="preserve"> and the application of genetic markers for improved biodiversity management</w:t>
      </w:r>
      <w:r w:rsidR="00AA5228" w:rsidRPr="00F25D02">
        <w:rPr>
          <w:rFonts w:ascii="Times New Roman"/>
          <w:kern w:val="22"/>
        </w:rPr>
        <w:t>;</w:t>
      </w:r>
      <w:r w:rsidR="00013912" w:rsidRPr="00F25D02">
        <w:rPr>
          <w:rStyle w:val="FootnoteReference"/>
          <w:rFonts w:ascii="Times New Roman"/>
          <w:kern w:val="22"/>
        </w:rPr>
        <w:footnoteReference w:id="143"/>
      </w:r>
      <w:r w:rsidR="00805A18" w:rsidRPr="00F25D02">
        <w:rPr>
          <w:rFonts w:ascii="Times New Roman"/>
          <w:kern w:val="22"/>
        </w:rPr>
        <w:t xml:space="preserve"> </w:t>
      </w:r>
    </w:p>
    <w:p w14:paraId="2C122FD5" w14:textId="1C654969" w:rsidR="00805A18" w:rsidRPr="00F25D02" w:rsidRDefault="00D67DC5"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I</w:t>
      </w:r>
      <w:r w:rsidR="007579D4" w:rsidRPr="00F25D02">
        <w:rPr>
          <w:rFonts w:ascii="Times New Roman"/>
          <w:kern w:val="22"/>
        </w:rPr>
        <w:t xml:space="preserve">mproving </w:t>
      </w:r>
      <w:r w:rsidR="00805A18" w:rsidRPr="00F25D02">
        <w:rPr>
          <w:rFonts w:ascii="Times New Roman"/>
          <w:kern w:val="22"/>
        </w:rPr>
        <w:t xml:space="preserve">access to </w:t>
      </w:r>
      <w:r w:rsidR="002E72A6" w:rsidRPr="00F25D02">
        <w:rPr>
          <w:rFonts w:ascii="Times New Roman"/>
          <w:kern w:val="22"/>
        </w:rPr>
        <w:t xml:space="preserve">sequencing </w:t>
      </w:r>
      <w:r w:rsidR="00805A18" w:rsidRPr="00F25D02">
        <w:rPr>
          <w:rFonts w:ascii="Times New Roman"/>
          <w:kern w:val="22"/>
        </w:rPr>
        <w:t>equipmen</w:t>
      </w:r>
      <w:r w:rsidR="002E72A6" w:rsidRPr="00F25D02">
        <w:rPr>
          <w:rFonts w:ascii="Times New Roman"/>
          <w:kern w:val="22"/>
        </w:rPr>
        <w:t xml:space="preserve">t, </w:t>
      </w:r>
      <w:r w:rsidR="00805A18" w:rsidRPr="00F25D02">
        <w:rPr>
          <w:rFonts w:ascii="Times New Roman"/>
          <w:kern w:val="22"/>
        </w:rPr>
        <w:t>computer software and know-how</w:t>
      </w:r>
      <w:r w:rsidR="007579D4" w:rsidRPr="00F25D02">
        <w:rPr>
          <w:rStyle w:val="FootnoteReference"/>
          <w:rFonts w:ascii="Times New Roman"/>
          <w:kern w:val="22"/>
        </w:rPr>
        <w:footnoteReference w:id="144"/>
      </w:r>
      <w:r w:rsidR="00805A18" w:rsidRPr="00F25D02">
        <w:rPr>
          <w:rFonts w:ascii="Times New Roman"/>
          <w:kern w:val="22"/>
        </w:rPr>
        <w:t xml:space="preserve"> </w:t>
      </w:r>
      <w:r w:rsidR="00F81EA9" w:rsidRPr="00F25D02">
        <w:rPr>
          <w:rFonts w:ascii="Times New Roman"/>
          <w:kern w:val="22"/>
        </w:rPr>
        <w:t>and providing foundry support for synthesizing modified/synthetic sequences for R&amp;D</w:t>
      </w:r>
      <w:r w:rsidR="002E72A6" w:rsidRPr="00F25D02">
        <w:rPr>
          <w:rFonts w:ascii="Times New Roman"/>
          <w:kern w:val="22"/>
        </w:rPr>
        <w:t>, including for</w:t>
      </w:r>
      <w:r w:rsidR="00F81EA9" w:rsidRPr="00F25D02">
        <w:rPr>
          <w:rFonts w:ascii="Times New Roman"/>
          <w:kern w:val="22"/>
        </w:rPr>
        <w:t xml:space="preserve"> </w:t>
      </w:r>
      <w:r w:rsidR="002E72A6" w:rsidRPr="00F25D02">
        <w:rPr>
          <w:rFonts w:ascii="Times New Roman"/>
          <w:kern w:val="22"/>
        </w:rPr>
        <w:t>commercial purposes</w:t>
      </w:r>
      <w:r w:rsidR="00AA5228" w:rsidRPr="00F25D02">
        <w:rPr>
          <w:rFonts w:ascii="Times New Roman"/>
          <w:kern w:val="22"/>
        </w:rPr>
        <w:t>;</w:t>
      </w:r>
      <w:r w:rsidR="00F81EA9" w:rsidRPr="00F25D02">
        <w:rPr>
          <w:rStyle w:val="FootnoteReference"/>
          <w:rFonts w:ascii="Times New Roman"/>
          <w:kern w:val="22"/>
        </w:rPr>
        <w:footnoteReference w:id="145"/>
      </w:r>
    </w:p>
    <w:p w14:paraId="750809B2" w14:textId="29EC6C0D" w:rsidR="00F81EA9" w:rsidRPr="00F25D02" w:rsidRDefault="00D67DC5"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bookmarkStart w:id="38" w:name="_Hlk29124332"/>
      <w:r w:rsidRPr="00F25D02">
        <w:rPr>
          <w:rFonts w:ascii="Times New Roman"/>
          <w:kern w:val="22"/>
        </w:rPr>
        <w:t>S</w:t>
      </w:r>
      <w:r w:rsidR="00F81EA9" w:rsidRPr="00F25D02">
        <w:rPr>
          <w:rFonts w:ascii="Times New Roman"/>
          <w:kern w:val="22"/>
        </w:rPr>
        <w:t>trengthening bioinformatics, datamining and use of databases/repositories</w:t>
      </w:r>
      <w:bookmarkEnd w:id="38"/>
      <w:r w:rsidR="00F81EA9" w:rsidRPr="00F25D02">
        <w:rPr>
          <w:rFonts w:ascii="Times New Roman"/>
          <w:kern w:val="22"/>
        </w:rPr>
        <w:t>;</w:t>
      </w:r>
      <w:r w:rsidR="00F81EA9" w:rsidRPr="00F25D02">
        <w:rPr>
          <w:rStyle w:val="FootnoteReference"/>
          <w:rFonts w:ascii="Times New Roman"/>
          <w:kern w:val="22"/>
        </w:rPr>
        <w:footnoteReference w:id="146"/>
      </w:r>
      <w:r w:rsidR="00F81EA9" w:rsidRPr="00F25D02">
        <w:rPr>
          <w:rFonts w:ascii="Times New Roman"/>
          <w:kern w:val="22"/>
        </w:rPr>
        <w:t xml:space="preserve"> particularly regarding use of </w:t>
      </w:r>
      <w:r w:rsidR="00BB7978" w:rsidRPr="00F25D02">
        <w:rPr>
          <w:rFonts w:ascii="Times New Roman"/>
          <w:kern w:val="22"/>
        </w:rPr>
        <w:t>digital sequence information</w:t>
      </w:r>
      <w:r w:rsidR="00F81EA9" w:rsidRPr="00F25D02">
        <w:rPr>
          <w:rFonts w:ascii="Times New Roman"/>
          <w:kern w:val="22"/>
        </w:rPr>
        <w:t xml:space="preserve"> for analysis of environmental DNA (e.g. samples of organisms taken from soil and water to monitor the species composition)</w:t>
      </w:r>
      <w:r w:rsidR="00F81EA9" w:rsidRPr="00F25D02">
        <w:rPr>
          <w:rStyle w:val="FootnoteReference"/>
          <w:rFonts w:ascii="Times New Roman"/>
          <w:kern w:val="22"/>
        </w:rPr>
        <w:footnoteReference w:id="147"/>
      </w:r>
      <w:r w:rsidR="00F81EA9" w:rsidRPr="00F25D02">
        <w:rPr>
          <w:rFonts w:ascii="Times New Roman"/>
          <w:kern w:val="22"/>
        </w:rPr>
        <w:t xml:space="preserve"> </w:t>
      </w:r>
      <w:r w:rsidR="002E72A6" w:rsidRPr="00F25D02">
        <w:rPr>
          <w:rFonts w:ascii="Times New Roman"/>
          <w:kern w:val="22"/>
        </w:rPr>
        <w:t xml:space="preserve">as well as </w:t>
      </w:r>
      <w:r w:rsidR="00F81EA9" w:rsidRPr="00F25D02">
        <w:rPr>
          <w:rFonts w:ascii="Times New Roman"/>
          <w:kern w:val="22"/>
        </w:rPr>
        <w:t xml:space="preserve">use of </w:t>
      </w:r>
      <w:r w:rsidR="00BB7978" w:rsidRPr="00F25D02">
        <w:rPr>
          <w:rFonts w:ascii="Times New Roman"/>
          <w:kern w:val="22"/>
        </w:rPr>
        <w:t>digital sequence information</w:t>
      </w:r>
      <w:r w:rsidR="00F81EA9" w:rsidRPr="00F25D02">
        <w:rPr>
          <w:rFonts w:ascii="Times New Roman"/>
          <w:kern w:val="22"/>
        </w:rPr>
        <w:t xml:space="preserve"> for taxonomical works (e.g. to establish a collection of microorganisms);</w:t>
      </w:r>
      <w:r w:rsidR="00F81EA9" w:rsidRPr="00F25D02">
        <w:rPr>
          <w:rStyle w:val="FootnoteReference"/>
          <w:rFonts w:ascii="Times New Roman"/>
          <w:kern w:val="22"/>
        </w:rPr>
        <w:footnoteReference w:id="148"/>
      </w:r>
      <w:r w:rsidR="00F81EA9" w:rsidRPr="00F25D02">
        <w:rPr>
          <w:rFonts w:ascii="Times New Roman"/>
          <w:kern w:val="22"/>
        </w:rPr>
        <w:t xml:space="preserve"> </w:t>
      </w:r>
    </w:p>
    <w:p w14:paraId="3BA83736" w14:textId="6162C183" w:rsidR="00F81EA9" w:rsidRPr="00F25D02" w:rsidRDefault="00D67DC5"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bookmarkStart w:id="39" w:name="_Hlk29124378"/>
      <w:r w:rsidRPr="00F25D02">
        <w:rPr>
          <w:rFonts w:ascii="Times New Roman"/>
          <w:kern w:val="22"/>
        </w:rPr>
        <w:t>T</w:t>
      </w:r>
      <w:r w:rsidR="00F81EA9" w:rsidRPr="00F25D02">
        <w:rPr>
          <w:rFonts w:ascii="Times New Roman"/>
          <w:kern w:val="22"/>
        </w:rPr>
        <w:t>raining targeting regulatory institutions and enforcement bodies (in science, technology, trade, industry, agriculture and health) responsible for developing or implementing ABS policies</w:t>
      </w:r>
      <w:bookmarkEnd w:id="39"/>
      <w:r w:rsidR="00AA5228" w:rsidRPr="00F25D02">
        <w:rPr>
          <w:rFonts w:ascii="Times New Roman"/>
          <w:kern w:val="22"/>
        </w:rPr>
        <w:t>;</w:t>
      </w:r>
      <w:r w:rsidR="00F81EA9" w:rsidRPr="00F25D02">
        <w:rPr>
          <w:rStyle w:val="FootnoteReference"/>
          <w:rFonts w:ascii="Times New Roman"/>
          <w:kern w:val="22"/>
        </w:rPr>
        <w:footnoteReference w:id="149"/>
      </w:r>
    </w:p>
    <w:p w14:paraId="3631FDCB" w14:textId="39B6A867" w:rsidR="00805A18" w:rsidRPr="00F25D02" w:rsidRDefault="00D67DC5"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T</w:t>
      </w:r>
      <w:r w:rsidR="002E72A6" w:rsidRPr="00F25D02">
        <w:rPr>
          <w:rFonts w:ascii="Times New Roman"/>
          <w:kern w:val="22"/>
        </w:rPr>
        <w:t xml:space="preserve">raining </w:t>
      </w:r>
      <w:r w:rsidR="00805A18" w:rsidRPr="00F25D02">
        <w:rPr>
          <w:rFonts w:ascii="Times New Roman"/>
          <w:kern w:val="22"/>
        </w:rPr>
        <w:t xml:space="preserve">targeting indigenous/local communities </w:t>
      </w:r>
      <w:r w:rsidR="002E72A6" w:rsidRPr="00F25D02">
        <w:rPr>
          <w:rFonts w:ascii="Times New Roman"/>
          <w:kern w:val="22"/>
        </w:rPr>
        <w:t>which</w:t>
      </w:r>
      <w:r w:rsidR="00805A18" w:rsidRPr="00F25D02">
        <w:rPr>
          <w:rFonts w:ascii="Times New Roman"/>
          <w:kern w:val="22"/>
        </w:rPr>
        <w:t xml:space="preserve"> preserve biodiversity, in order to incorporate more actively into these discussions and decision making concerning </w:t>
      </w:r>
      <w:r w:rsidR="00BB7978" w:rsidRPr="00F25D02">
        <w:rPr>
          <w:rFonts w:ascii="Times New Roman"/>
          <w:kern w:val="22"/>
        </w:rPr>
        <w:t>digital sequence information</w:t>
      </w:r>
      <w:r w:rsidR="00F81EA9" w:rsidRPr="00F25D02">
        <w:rPr>
          <w:rFonts w:ascii="Times New Roman"/>
          <w:kern w:val="22"/>
        </w:rPr>
        <w:t>;</w:t>
      </w:r>
      <w:r w:rsidR="006607B1" w:rsidRPr="00F25D02">
        <w:rPr>
          <w:rStyle w:val="FootnoteReference"/>
          <w:rFonts w:ascii="Times New Roman"/>
          <w:kern w:val="22"/>
        </w:rPr>
        <w:footnoteReference w:id="150"/>
      </w:r>
    </w:p>
    <w:p w14:paraId="36E2322F" w14:textId="209F94D4" w:rsidR="00805A18" w:rsidRPr="00F25D02" w:rsidRDefault="00D67DC5"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S</w:t>
      </w:r>
      <w:r w:rsidR="00805A18" w:rsidRPr="00F25D02">
        <w:rPr>
          <w:rFonts w:ascii="Times New Roman"/>
          <w:kern w:val="22"/>
        </w:rPr>
        <w:t>trengthening/developing global standards for ABS targeting researchers and technical staff who collect, process and/or manage biological materials that are used for DNA sequencing</w:t>
      </w:r>
      <w:r w:rsidR="007579D4" w:rsidRPr="00F25D02">
        <w:rPr>
          <w:rFonts w:ascii="Times New Roman"/>
          <w:kern w:val="22"/>
        </w:rPr>
        <w:t>;</w:t>
      </w:r>
      <w:r w:rsidR="007579D4" w:rsidRPr="00F25D02">
        <w:rPr>
          <w:rStyle w:val="FootnoteReference"/>
          <w:rFonts w:ascii="Times New Roman"/>
          <w:kern w:val="22"/>
        </w:rPr>
        <w:footnoteReference w:id="151"/>
      </w:r>
    </w:p>
    <w:p w14:paraId="1EABFBF5" w14:textId="7885A1A6" w:rsidR="00805A18" w:rsidRPr="00F25D02" w:rsidRDefault="00D67DC5"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lastRenderedPageBreak/>
        <w:t>S</w:t>
      </w:r>
      <w:r w:rsidR="00805A18" w:rsidRPr="00F25D02">
        <w:rPr>
          <w:rFonts w:ascii="Times New Roman"/>
          <w:kern w:val="22"/>
        </w:rPr>
        <w:t xml:space="preserve">trengthening/developing development of </w:t>
      </w:r>
      <w:r w:rsidR="00253ED2" w:rsidRPr="00F25D02">
        <w:rPr>
          <w:rFonts w:ascii="Times New Roman"/>
          <w:kern w:val="22"/>
        </w:rPr>
        <w:t xml:space="preserve">model </w:t>
      </w:r>
      <w:r w:rsidR="007579D4" w:rsidRPr="00F25D02">
        <w:rPr>
          <w:rFonts w:ascii="Times New Roman"/>
          <w:kern w:val="22"/>
        </w:rPr>
        <w:t>legal terms</w:t>
      </w:r>
      <w:r w:rsidR="00805A18" w:rsidRPr="00F25D02">
        <w:rPr>
          <w:rFonts w:ascii="Times New Roman"/>
          <w:kern w:val="22"/>
        </w:rPr>
        <w:t xml:space="preserve"> to authorize access to </w:t>
      </w:r>
      <w:r w:rsidR="00BB7978" w:rsidRPr="00F25D02">
        <w:rPr>
          <w:rFonts w:ascii="Times New Roman"/>
          <w:kern w:val="22"/>
        </w:rPr>
        <w:t>digital sequence information</w:t>
      </w:r>
      <w:r w:rsidR="00805A18" w:rsidRPr="00F25D02">
        <w:rPr>
          <w:rFonts w:ascii="Times New Roman"/>
          <w:kern w:val="22"/>
        </w:rPr>
        <w:t xml:space="preserve"> and mechanisms for sharing of benefits arising from their use</w:t>
      </w:r>
      <w:r w:rsidR="007579D4" w:rsidRPr="00F25D02">
        <w:rPr>
          <w:rFonts w:ascii="Times New Roman"/>
          <w:kern w:val="22"/>
        </w:rPr>
        <w:t>;</w:t>
      </w:r>
      <w:r w:rsidR="007579D4" w:rsidRPr="00F25D02">
        <w:rPr>
          <w:rStyle w:val="FootnoteReference"/>
          <w:rFonts w:ascii="Times New Roman"/>
          <w:kern w:val="22"/>
        </w:rPr>
        <w:footnoteReference w:id="152"/>
      </w:r>
      <w:r w:rsidR="00805A18" w:rsidRPr="00F25D02">
        <w:rPr>
          <w:rFonts w:ascii="Times New Roman"/>
          <w:kern w:val="22"/>
        </w:rPr>
        <w:t xml:space="preserve"> </w:t>
      </w:r>
    </w:p>
    <w:p w14:paraId="46EDB966" w14:textId="16C77131" w:rsidR="00805A18" w:rsidRPr="00F25D02" w:rsidRDefault="00D67DC5"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I</w:t>
      </w:r>
      <w:r w:rsidR="00F81EA9" w:rsidRPr="00F25D02">
        <w:rPr>
          <w:rFonts w:ascii="Times New Roman"/>
          <w:kern w:val="22"/>
        </w:rPr>
        <w:t>ncreasing r</w:t>
      </w:r>
      <w:r w:rsidR="00805A18" w:rsidRPr="00F25D02">
        <w:rPr>
          <w:rFonts w:ascii="Times New Roman"/>
          <w:kern w:val="22"/>
        </w:rPr>
        <w:t xml:space="preserve">egional projects to strengthen capacity related to </w:t>
      </w:r>
      <w:r w:rsidR="00BB7978" w:rsidRPr="00F25D02">
        <w:rPr>
          <w:rFonts w:ascii="Times New Roman"/>
          <w:kern w:val="22"/>
        </w:rPr>
        <w:t>digital sequence information</w:t>
      </w:r>
      <w:r w:rsidR="00805A18" w:rsidRPr="00F25D02">
        <w:rPr>
          <w:rFonts w:ascii="Times New Roman"/>
          <w:kern w:val="22"/>
        </w:rPr>
        <w:t>, synthetic biology, benefit</w:t>
      </w:r>
      <w:r w:rsidRPr="00F25D02">
        <w:rPr>
          <w:rFonts w:ascii="Times New Roman"/>
          <w:kern w:val="22"/>
        </w:rPr>
        <w:t>-</w:t>
      </w:r>
      <w:r w:rsidR="00805A18" w:rsidRPr="00F25D02">
        <w:rPr>
          <w:rFonts w:ascii="Times New Roman"/>
          <w:kern w:val="22"/>
        </w:rPr>
        <w:t xml:space="preserve">sharing and intellectual property associated with managing genetic resources </w:t>
      </w:r>
      <w:r w:rsidR="00B83904" w:rsidRPr="00F25D02">
        <w:rPr>
          <w:rFonts w:ascii="Times New Roman"/>
          <w:kern w:val="22"/>
        </w:rPr>
        <w:t>in the context of</w:t>
      </w:r>
      <w:r w:rsidR="00805A18" w:rsidRPr="00F25D02">
        <w:rPr>
          <w:rFonts w:ascii="Times New Roman"/>
          <w:kern w:val="22"/>
        </w:rPr>
        <w:t xml:space="preserve"> </w:t>
      </w:r>
      <w:r w:rsidR="00B83904" w:rsidRPr="00F25D02">
        <w:rPr>
          <w:rFonts w:ascii="Times New Roman"/>
          <w:kern w:val="22"/>
        </w:rPr>
        <w:t xml:space="preserve">the </w:t>
      </w:r>
      <w:r w:rsidR="00805A18" w:rsidRPr="00F25D02">
        <w:rPr>
          <w:rFonts w:ascii="Times New Roman"/>
          <w:kern w:val="22"/>
        </w:rPr>
        <w:t>post-2020 agenda</w:t>
      </w:r>
      <w:r w:rsidR="00B83904" w:rsidRPr="00F25D02">
        <w:rPr>
          <w:rFonts w:ascii="Times New Roman"/>
          <w:kern w:val="22"/>
        </w:rPr>
        <w:t xml:space="preserve"> for the CBD</w:t>
      </w:r>
      <w:r w:rsidR="007579D4" w:rsidRPr="00F25D02">
        <w:rPr>
          <w:rFonts w:ascii="Times New Roman"/>
          <w:kern w:val="22"/>
        </w:rPr>
        <w:t>;</w:t>
      </w:r>
      <w:r w:rsidR="007579D4" w:rsidRPr="00F25D02">
        <w:rPr>
          <w:rStyle w:val="FootnoteReference"/>
          <w:rFonts w:ascii="Times New Roman"/>
          <w:kern w:val="22"/>
        </w:rPr>
        <w:footnoteReference w:id="153"/>
      </w:r>
      <w:r w:rsidR="00805A18" w:rsidRPr="00F25D02">
        <w:rPr>
          <w:rFonts w:ascii="Times New Roman"/>
          <w:kern w:val="22"/>
        </w:rPr>
        <w:t xml:space="preserve"> </w:t>
      </w:r>
    </w:p>
    <w:p w14:paraId="28EE5E44" w14:textId="28D766FF" w:rsidR="00805A18" w:rsidRPr="00F25D02" w:rsidRDefault="00D67DC5"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S</w:t>
      </w:r>
      <w:r w:rsidR="00805A18" w:rsidRPr="00F25D02">
        <w:rPr>
          <w:rFonts w:ascii="Times New Roman"/>
          <w:kern w:val="22"/>
        </w:rPr>
        <w:t xml:space="preserve">ocioeconomic development </w:t>
      </w:r>
      <w:r w:rsidR="00B83904" w:rsidRPr="00F25D02">
        <w:rPr>
          <w:rFonts w:ascii="Times New Roman"/>
          <w:kern w:val="22"/>
        </w:rPr>
        <w:t>linked to</w:t>
      </w:r>
      <w:r w:rsidR="00805A18" w:rsidRPr="00F25D02">
        <w:rPr>
          <w:rFonts w:ascii="Times New Roman"/>
          <w:kern w:val="22"/>
        </w:rPr>
        <w:t xml:space="preserve"> fair and equitable sharing of benefits derived from the commercialization of </w:t>
      </w:r>
      <w:r w:rsidR="00BB7978" w:rsidRPr="00F25D02">
        <w:rPr>
          <w:rFonts w:ascii="Times New Roman"/>
          <w:kern w:val="22"/>
        </w:rPr>
        <w:t>digital sequence information</w:t>
      </w:r>
      <w:r w:rsidR="00AA5228" w:rsidRPr="00F25D02">
        <w:rPr>
          <w:rFonts w:ascii="Times New Roman"/>
          <w:kern w:val="22"/>
        </w:rPr>
        <w:t>;</w:t>
      </w:r>
      <w:r w:rsidR="007579D4" w:rsidRPr="00F25D02">
        <w:rPr>
          <w:rStyle w:val="FootnoteReference"/>
          <w:rFonts w:ascii="Times New Roman"/>
          <w:kern w:val="22"/>
        </w:rPr>
        <w:footnoteReference w:id="154"/>
      </w:r>
    </w:p>
    <w:p w14:paraId="5BA312DF" w14:textId="7CBF79FF" w:rsidR="00805A18" w:rsidRPr="00F25D02" w:rsidRDefault="00EB410D"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bookmarkStart w:id="40" w:name="_Hlk29123216"/>
      <w:r w:rsidRPr="00F25D02">
        <w:rPr>
          <w:rFonts w:ascii="Times New Roman"/>
          <w:kern w:val="22"/>
        </w:rPr>
        <w:t>Several</w:t>
      </w:r>
      <w:r w:rsidR="00805A18" w:rsidRPr="00F25D02">
        <w:rPr>
          <w:rFonts w:ascii="Times New Roman"/>
          <w:kern w:val="22"/>
        </w:rPr>
        <w:t xml:space="preserve"> submissions provided generalized examples of capacity building activities and/or initiatives they are involved in</w:t>
      </w:r>
      <w:bookmarkEnd w:id="40"/>
      <w:r w:rsidR="00805A18" w:rsidRPr="00F25D02">
        <w:rPr>
          <w:rFonts w:ascii="Times New Roman"/>
          <w:kern w:val="22"/>
        </w:rPr>
        <w:t>.</w:t>
      </w:r>
      <w:r w:rsidR="00F81EA9" w:rsidRPr="00F25D02">
        <w:rPr>
          <w:rStyle w:val="FootnoteReference"/>
          <w:rFonts w:ascii="Times New Roman"/>
          <w:kern w:val="22"/>
        </w:rPr>
        <w:footnoteReference w:id="155"/>
      </w:r>
      <w:r w:rsidR="00805A18" w:rsidRPr="00F25D02">
        <w:rPr>
          <w:rFonts w:ascii="Times New Roman"/>
          <w:kern w:val="22"/>
        </w:rPr>
        <w:t xml:space="preserve"> Illustrative examples include:</w:t>
      </w:r>
    </w:p>
    <w:p w14:paraId="1A17C962" w14:textId="0298E3C4" w:rsidR="00805A18" w:rsidRPr="00F25D02" w:rsidRDefault="00D67DC5"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bookmarkStart w:id="41" w:name="_Hlk29123295"/>
      <w:r w:rsidRPr="00F25D02">
        <w:rPr>
          <w:rFonts w:ascii="Times New Roman"/>
          <w:kern w:val="22"/>
        </w:rPr>
        <w:t>T</w:t>
      </w:r>
      <w:r w:rsidR="00805A18" w:rsidRPr="00F25D02">
        <w:rPr>
          <w:rFonts w:ascii="Times New Roman"/>
          <w:kern w:val="22"/>
        </w:rPr>
        <w:t>raining students from ‘provider’ countries to work in labs; joint research involving generation and analysis of NSD; making DNA labs available to visiting researchers and colleagues from developing countries</w:t>
      </w:r>
      <w:bookmarkEnd w:id="41"/>
      <w:r w:rsidR="00F81EA9" w:rsidRPr="00F25D02">
        <w:rPr>
          <w:rFonts w:ascii="Times New Roman"/>
          <w:kern w:val="22"/>
        </w:rPr>
        <w:t>;</w:t>
      </w:r>
      <w:r w:rsidR="00F81EA9" w:rsidRPr="00F25D02">
        <w:rPr>
          <w:rStyle w:val="FootnoteReference"/>
          <w:rFonts w:ascii="Times New Roman"/>
          <w:kern w:val="22"/>
        </w:rPr>
        <w:footnoteReference w:id="156"/>
      </w:r>
    </w:p>
    <w:p w14:paraId="1D957C4F" w14:textId="2746B850" w:rsidR="00805A18" w:rsidRPr="00F25D02" w:rsidRDefault="00D67DC5"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T</w:t>
      </w:r>
      <w:r w:rsidR="00805A18" w:rsidRPr="00F25D02">
        <w:rPr>
          <w:rFonts w:ascii="Times New Roman"/>
          <w:kern w:val="22"/>
        </w:rPr>
        <w:t>raining packages</w:t>
      </w:r>
      <w:r w:rsidR="00B83904" w:rsidRPr="00F25D02">
        <w:rPr>
          <w:rFonts w:ascii="Times New Roman"/>
          <w:kern w:val="22"/>
        </w:rPr>
        <w:t xml:space="preserve"> which focus on </w:t>
      </w:r>
      <w:r w:rsidR="00BB7978" w:rsidRPr="00F25D02">
        <w:rPr>
          <w:rFonts w:ascii="Times New Roman"/>
          <w:kern w:val="22"/>
        </w:rPr>
        <w:t>digital sequence information</w:t>
      </w:r>
      <w:r w:rsidR="00B83904" w:rsidRPr="00F25D02">
        <w:rPr>
          <w:rFonts w:ascii="Times New Roman"/>
          <w:kern w:val="22"/>
        </w:rPr>
        <w:t>, for examples as provided by the European Nucleotide Sequence Archive (ENA) maintained by the EMBL-EBI, which</w:t>
      </w:r>
      <w:r w:rsidR="00805A18" w:rsidRPr="00F25D02">
        <w:rPr>
          <w:rFonts w:ascii="Times New Roman"/>
          <w:kern w:val="22"/>
        </w:rPr>
        <w:t xml:space="preserve"> allows researchers who do not have access to the infrastructure and resources required for large scale sequencing projects to still benefit from the</w:t>
      </w:r>
      <w:r w:rsidR="00B83904" w:rsidRPr="00F25D02">
        <w:rPr>
          <w:rFonts w:ascii="Times New Roman"/>
          <w:kern w:val="22"/>
        </w:rPr>
        <w:t>se</w:t>
      </w:r>
      <w:r w:rsidR="00805A18" w:rsidRPr="00F25D02">
        <w:rPr>
          <w:rFonts w:ascii="Times New Roman"/>
          <w:kern w:val="22"/>
        </w:rPr>
        <w:t xml:space="preserve"> resource</w:t>
      </w:r>
      <w:r w:rsidR="00B83904" w:rsidRPr="00F25D02">
        <w:rPr>
          <w:rFonts w:ascii="Times New Roman"/>
          <w:kern w:val="22"/>
        </w:rPr>
        <w:t>s</w:t>
      </w:r>
      <w:r w:rsidR="001B7A28" w:rsidRPr="00F25D02">
        <w:rPr>
          <w:rFonts w:ascii="Times New Roman"/>
          <w:kern w:val="22"/>
        </w:rPr>
        <w:t>;</w:t>
      </w:r>
      <w:r w:rsidR="00F81EA9" w:rsidRPr="00F25D02">
        <w:rPr>
          <w:rStyle w:val="FootnoteReference"/>
          <w:rFonts w:ascii="Times New Roman"/>
          <w:kern w:val="22"/>
        </w:rPr>
        <w:footnoteReference w:id="157"/>
      </w:r>
      <w:r w:rsidR="00805A18" w:rsidRPr="00F25D02">
        <w:rPr>
          <w:rFonts w:ascii="Times New Roman"/>
          <w:kern w:val="22"/>
        </w:rPr>
        <w:t xml:space="preserve"> </w:t>
      </w:r>
    </w:p>
    <w:p w14:paraId="0ACEB606" w14:textId="301216A1" w:rsidR="00805A18" w:rsidRPr="00F25D02" w:rsidRDefault="00D67DC5"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N</w:t>
      </w:r>
      <w:r w:rsidR="00805A18" w:rsidRPr="00F25D02">
        <w:rPr>
          <w:rFonts w:ascii="Times New Roman"/>
          <w:kern w:val="22"/>
        </w:rPr>
        <w:t>on-commercial biodiversity research focused organizations engage in capacity building as good/standard practice within the sector and this typically involves: training concerning sequencing and data analysis at graduate, postgraduate, and professional levels; intake of PHD students and research partnerships involving researchers from developing countries; collaborations involving sequencing at cost for external researchers and supporting infrastructure growth in ‘provider’ countries</w:t>
      </w:r>
      <w:r w:rsidR="00F81EA9" w:rsidRPr="00F25D02">
        <w:rPr>
          <w:rFonts w:ascii="Times New Roman"/>
          <w:kern w:val="22"/>
        </w:rPr>
        <w:t>;</w:t>
      </w:r>
      <w:r w:rsidR="00F81EA9" w:rsidRPr="00F25D02">
        <w:rPr>
          <w:rStyle w:val="FootnoteReference"/>
          <w:rFonts w:ascii="Times New Roman"/>
          <w:kern w:val="22"/>
        </w:rPr>
        <w:footnoteReference w:id="158"/>
      </w:r>
    </w:p>
    <w:p w14:paraId="3729B70F" w14:textId="770CE093" w:rsidR="00805A18" w:rsidRPr="00F25D02" w:rsidRDefault="00D67DC5"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T</w:t>
      </w:r>
      <w:r w:rsidR="00805A18" w:rsidRPr="00F25D02">
        <w:rPr>
          <w:rFonts w:ascii="Times New Roman"/>
          <w:kern w:val="22"/>
        </w:rPr>
        <w:t>raining for research, joint research involving generation and analysis of NSD, in-house training at bachelors, masters and PHD levels and informally through professional contact; also compiled information on best practices for ABS and organized workshops for members comprising 686 organizations from 24 countries located in Africa, Asia, Australia, Europe and North America</w:t>
      </w:r>
      <w:r w:rsidR="00F81EA9" w:rsidRPr="00F25D02">
        <w:rPr>
          <w:rFonts w:ascii="Times New Roman"/>
          <w:kern w:val="22"/>
        </w:rPr>
        <w:t>.</w:t>
      </w:r>
      <w:r w:rsidR="00F81EA9" w:rsidRPr="00F25D02">
        <w:rPr>
          <w:rStyle w:val="FootnoteReference"/>
          <w:rFonts w:ascii="Times New Roman"/>
          <w:kern w:val="22"/>
        </w:rPr>
        <w:footnoteReference w:id="159"/>
      </w:r>
    </w:p>
    <w:p w14:paraId="56607ABD" w14:textId="02963046" w:rsidR="00805A18" w:rsidRPr="00F25D02" w:rsidRDefault="00CE1F65" w:rsidP="004511AA">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Several</w:t>
      </w:r>
      <w:r w:rsidR="00805A18" w:rsidRPr="00F25D02">
        <w:rPr>
          <w:rFonts w:ascii="Times New Roman"/>
          <w:kern w:val="22"/>
        </w:rPr>
        <w:t xml:space="preserve"> of submissions acknowledged the CBD Secretariat’s existing capacity building training </w:t>
      </w:r>
      <w:r w:rsidR="00FC724A" w:rsidRPr="00F25D02">
        <w:rPr>
          <w:rFonts w:ascii="Times New Roman"/>
          <w:kern w:val="22"/>
        </w:rPr>
        <w:t xml:space="preserve">program </w:t>
      </w:r>
      <w:r w:rsidR="00805A18" w:rsidRPr="00F25D02">
        <w:rPr>
          <w:rFonts w:ascii="Times New Roman"/>
          <w:kern w:val="22"/>
        </w:rPr>
        <w:t>as part of its Global Taxonomy Initiative (GTI) to promote biodiversity and sustainable use through training on DNA barcoding targeting regulatory authorities focusing on illegal trade</w:t>
      </w:r>
      <w:r w:rsidR="00F81EA9" w:rsidRPr="00F25D02">
        <w:rPr>
          <w:rFonts w:ascii="Times New Roman"/>
          <w:kern w:val="22"/>
        </w:rPr>
        <w:t xml:space="preserve"> (</w:t>
      </w:r>
      <w:r w:rsidR="00805A18" w:rsidRPr="00F25D02">
        <w:rPr>
          <w:rFonts w:ascii="Times New Roman"/>
          <w:kern w:val="22"/>
        </w:rPr>
        <w:t>including forestry/fisheries authorities and protected area managers</w:t>
      </w:r>
      <w:r w:rsidR="00F81EA9" w:rsidRPr="00F25D02">
        <w:rPr>
          <w:rFonts w:ascii="Times New Roman"/>
          <w:kern w:val="22"/>
        </w:rPr>
        <w:t>)</w:t>
      </w:r>
      <w:r w:rsidR="00F81EA9" w:rsidRPr="00F25D02">
        <w:rPr>
          <w:rStyle w:val="FootnoteReference"/>
          <w:rFonts w:ascii="Times New Roman"/>
          <w:kern w:val="22"/>
        </w:rPr>
        <w:footnoteReference w:id="160"/>
      </w:r>
      <w:r w:rsidR="00805A18" w:rsidRPr="00F25D02">
        <w:rPr>
          <w:rFonts w:ascii="Times New Roman"/>
          <w:kern w:val="22"/>
        </w:rPr>
        <w:t xml:space="preserve"> and SCBD barcoding support</w:t>
      </w:r>
      <w:r w:rsidR="00F81EA9" w:rsidRPr="00F25D02">
        <w:rPr>
          <w:rFonts w:ascii="Times New Roman"/>
          <w:kern w:val="22"/>
        </w:rPr>
        <w:t>.</w:t>
      </w:r>
      <w:r w:rsidR="00F81EA9" w:rsidRPr="00F25D02">
        <w:rPr>
          <w:rStyle w:val="FootnoteReference"/>
          <w:rFonts w:ascii="Times New Roman"/>
          <w:kern w:val="22"/>
        </w:rPr>
        <w:footnoteReference w:id="161"/>
      </w:r>
    </w:p>
    <w:p w14:paraId="610564AE" w14:textId="6027376A" w:rsidR="00705922" w:rsidRPr="00F25D02" w:rsidRDefault="00FC724A" w:rsidP="00F25D02">
      <w:pPr>
        <w:pStyle w:val="Heading1"/>
        <w:numPr>
          <w:ilvl w:val="0"/>
          <w:numId w:val="8"/>
        </w:numPr>
        <w:tabs>
          <w:tab w:val="clear" w:pos="720"/>
          <w:tab w:val="left" w:pos="1276"/>
        </w:tabs>
        <w:ind w:left="1080" w:hanging="720"/>
        <w:jc w:val="left"/>
        <w:rPr>
          <w:kern w:val="22"/>
        </w:rPr>
      </w:pPr>
      <w:r w:rsidRPr="00F25D02">
        <w:rPr>
          <w:kern w:val="22"/>
        </w:rPr>
        <w:t xml:space="preserve">IMPLICATIONS </w:t>
      </w:r>
      <w:r w:rsidR="00FE4941" w:rsidRPr="00F25D02">
        <w:rPr>
          <w:kern w:val="22"/>
        </w:rPr>
        <w:t>FOR</w:t>
      </w:r>
      <w:r w:rsidR="00E82B23" w:rsidRPr="00F25D02">
        <w:rPr>
          <w:kern w:val="22"/>
        </w:rPr>
        <w:t xml:space="preserve"> THE OBJECTIVES OF </w:t>
      </w:r>
      <w:r w:rsidR="00705922" w:rsidRPr="00F25D02">
        <w:rPr>
          <w:kern w:val="22"/>
        </w:rPr>
        <w:t>THE C</w:t>
      </w:r>
      <w:r w:rsidR="00FE4941" w:rsidRPr="00F25D02">
        <w:rPr>
          <w:kern w:val="22"/>
        </w:rPr>
        <w:t>ONVENTION AND</w:t>
      </w:r>
      <w:r w:rsidR="00705922" w:rsidRPr="00F25D02">
        <w:rPr>
          <w:kern w:val="22"/>
        </w:rPr>
        <w:t xml:space="preserve"> THE NAGOYA PROTOCOL</w:t>
      </w:r>
    </w:p>
    <w:p w14:paraId="40B9C820" w14:textId="031D037D" w:rsidR="0080452C" w:rsidRPr="00F25D02" w:rsidRDefault="0080452C" w:rsidP="00086139">
      <w:pPr>
        <w:pStyle w:val="Heading2"/>
        <w:keepLines w:val="0"/>
        <w:numPr>
          <w:ilvl w:val="0"/>
          <w:numId w:val="16"/>
        </w:numPr>
        <w:tabs>
          <w:tab w:val="left" w:pos="720"/>
        </w:tabs>
        <w:spacing w:before="120" w:after="120" w:line="240" w:lineRule="auto"/>
        <w:jc w:val="center"/>
        <w:rPr>
          <w:kern w:val="22"/>
        </w:rPr>
      </w:pPr>
      <w:r w:rsidRPr="00F25D02">
        <w:rPr>
          <w:rFonts w:ascii="Times New Roman" w:eastAsia="Times New Roman" w:hAnsi="Times New Roman" w:cs="Times New Roman"/>
          <w:b/>
          <w:bCs/>
          <w:iCs/>
          <w:color w:val="auto"/>
          <w:kern w:val="22"/>
          <w:sz w:val="22"/>
          <w:szCs w:val="24"/>
          <w:lang w:val="en-GB"/>
        </w:rPr>
        <w:t>Considerations on scope of the Convention and the Nagoya Protocol</w:t>
      </w:r>
    </w:p>
    <w:p w14:paraId="2F84E98D" w14:textId="15109542" w:rsidR="00524A30" w:rsidRPr="00F25D02" w:rsidRDefault="00524A30" w:rsidP="00F25D02">
      <w:pPr>
        <w:pStyle w:val="ListParagraph"/>
        <w:numPr>
          <w:ilvl w:val="0"/>
          <w:numId w:val="2"/>
        </w:numPr>
        <w:tabs>
          <w:tab w:val="left" w:pos="720"/>
          <w:tab w:val="left" w:pos="1170"/>
        </w:tabs>
        <w:spacing w:before="120" w:after="120" w:line="240" w:lineRule="auto"/>
        <w:ind w:left="0" w:firstLine="0"/>
        <w:contextualSpacing w:val="0"/>
        <w:jc w:val="both"/>
        <w:rPr>
          <w:rFonts w:ascii="Times New Roman"/>
          <w:i/>
          <w:kern w:val="22"/>
        </w:rPr>
      </w:pPr>
      <w:r w:rsidRPr="00F25D02">
        <w:rPr>
          <w:rFonts w:ascii="Times New Roman"/>
          <w:kern w:val="22"/>
        </w:rPr>
        <w:t xml:space="preserve">Several of submissions considered digital sequence information not to be within the scope of the ABS framework of the CBD and </w:t>
      </w:r>
      <w:r w:rsidR="004C6AA7" w:rsidRPr="00F25D02">
        <w:rPr>
          <w:rFonts w:ascii="Times New Roman"/>
          <w:kern w:val="22"/>
        </w:rPr>
        <w:t xml:space="preserve">the </w:t>
      </w:r>
      <w:r w:rsidRPr="00F25D02">
        <w:rPr>
          <w:rFonts w:ascii="Times New Roman"/>
          <w:kern w:val="22"/>
        </w:rPr>
        <w:t>Nagoya Protocol</w:t>
      </w:r>
      <w:r w:rsidR="00643615" w:rsidRPr="00F25D02">
        <w:rPr>
          <w:rFonts w:ascii="Times New Roman"/>
          <w:kern w:val="22"/>
        </w:rPr>
        <w:t xml:space="preserve">, including </w:t>
      </w:r>
      <w:r w:rsidRPr="00F25D02">
        <w:rPr>
          <w:rFonts w:ascii="Times New Roman"/>
          <w:kern w:val="22"/>
        </w:rPr>
        <w:t>on the basis that digital sequence information is distinct from and does not equate to, is not equivalent to, or does not fall within the definition of, ‘genetic material’, ‘genetic resource’ and/or ‘derivatives’.</w:t>
      </w:r>
      <w:r w:rsidRPr="00F25D02">
        <w:rPr>
          <w:rStyle w:val="FootnoteReference"/>
          <w:rFonts w:ascii="Times New Roman"/>
          <w:kern w:val="22"/>
        </w:rPr>
        <w:footnoteReference w:id="162"/>
      </w:r>
      <w:r w:rsidRPr="00F25D02">
        <w:rPr>
          <w:rFonts w:ascii="Times New Roman"/>
          <w:kern w:val="22"/>
        </w:rPr>
        <w:t xml:space="preserve"> Additionally, two submissions </w:t>
      </w:r>
      <w:r w:rsidRPr="00F25D02">
        <w:rPr>
          <w:rFonts w:ascii="Times New Roman"/>
          <w:kern w:val="22"/>
        </w:rPr>
        <w:lastRenderedPageBreak/>
        <w:t>stressed that to consider/equate digital sequence information a genetic resources would require a renegotiation of CBD/Nagoya to redefine ‘genetic material’.</w:t>
      </w:r>
      <w:r w:rsidRPr="00F25D02">
        <w:rPr>
          <w:rStyle w:val="FootnoteReference"/>
          <w:rFonts w:ascii="Times New Roman"/>
          <w:kern w:val="22"/>
        </w:rPr>
        <w:footnoteReference w:id="163"/>
      </w:r>
      <w:r w:rsidRPr="00F25D02">
        <w:rPr>
          <w:rFonts w:ascii="Times New Roman"/>
          <w:kern w:val="22"/>
        </w:rPr>
        <w:t xml:space="preserve"> </w:t>
      </w:r>
    </w:p>
    <w:p w14:paraId="1900A54F" w14:textId="1A08FFD9" w:rsidR="00524A30" w:rsidRPr="00F25D02" w:rsidRDefault="00524A30" w:rsidP="00524A30">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Conversely, several of submissions explicitly considered digital sequence information to be within the scope of the ABS framework of the CBD and Nagoya Protocol</w:t>
      </w:r>
      <w:r w:rsidR="00AC09A2" w:rsidRPr="00F25D02">
        <w:rPr>
          <w:rFonts w:ascii="Times New Roman"/>
          <w:kern w:val="22"/>
        </w:rPr>
        <w:t xml:space="preserve">, </w:t>
      </w:r>
      <w:r w:rsidR="00315FC9" w:rsidRPr="00F25D02">
        <w:rPr>
          <w:rFonts w:ascii="Times New Roman"/>
          <w:kern w:val="22"/>
        </w:rPr>
        <w:t>and hence subject to PIC and/or MAT</w:t>
      </w:r>
      <w:r w:rsidR="007F79F6" w:rsidRPr="00F25D02">
        <w:rPr>
          <w:rFonts w:ascii="Times New Roman"/>
          <w:kern w:val="22"/>
        </w:rPr>
        <w:t>,</w:t>
      </w:r>
      <w:r w:rsidR="00315FC9" w:rsidRPr="00F25D02">
        <w:rPr>
          <w:rFonts w:ascii="Times New Roman"/>
          <w:kern w:val="22"/>
        </w:rPr>
        <w:t xml:space="preserve"> and/or benefit sharing, </w:t>
      </w:r>
      <w:r w:rsidR="00AC09A2" w:rsidRPr="00F25D02">
        <w:rPr>
          <w:rFonts w:ascii="Times New Roman"/>
          <w:kern w:val="22"/>
        </w:rPr>
        <w:t>including</w:t>
      </w:r>
      <w:r w:rsidRPr="00F25D02">
        <w:rPr>
          <w:rFonts w:ascii="Times New Roman"/>
          <w:kern w:val="22"/>
        </w:rPr>
        <w:t xml:space="preserve"> on the basis that access to digital sequence information is equivalent to access to genetic resources and/or falls within the definition of, ‘genetic material’, ‘genetic resource’ and/or ‘utilization of genetic resources’.</w:t>
      </w:r>
      <w:r w:rsidRPr="00F25D02">
        <w:rPr>
          <w:rStyle w:val="FootnoteReference"/>
          <w:rFonts w:ascii="Times New Roman"/>
          <w:kern w:val="22"/>
        </w:rPr>
        <w:footnoteReference w:id="164"/>
      </w:r>
      <w:r w:rsidRPr="00F25D02">
        <w:rPr>
          <w:rFonts w:ascii="Times New Roman"/>
          <w:kern w:val="22"/>
        </w:rPr>
        <w:t xml:space="preserve"> </w:t>
      </w:r>
    </w:p>
    <w:p w14:paraId="48D28E6E" w14:textId="77777777" w:rsidR="00524A30" w:rsidRPr="00F25D02" w:rsidRDefault="00524A30" w:rsidP="00524A30">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Several submissions did not consider access to digital sequence information to be equivalent to access to genetic resources but nevertheless considered digital sequence information to be within the scope of the ABS framework of the CBD and Nagoya Protocol on the basis that its use can be governed by a provider country through PIC and MAT for access to the underlying genetic resources.</w:t>
      </w:r>
      <w:r w:rsidRPr="00F25D02">
        <w:rPr>
          <w:rStyle w:val="FootnoteReference"/>
          <w:rFonts w:ascii="Times New Roman"/>
          <w:kern w:val="22"/>
        </w:rPr>
        <w:footnoteReference w:id="165"/>
      </w:r>
    </w:p>
    <w:p w14:paraId="50AEFDC8" w14:textId="360EC6AB" w:rsidR="00524A30" w:rsidRPr="00F25D02" w:rsidRDefault="000E30FE" w:rsidP="00524A30">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One </w:t>
      </w:r>
      <w:r w:rsidR="00524A30" w:rsidRPr="00F25D02">
        <w:rPr>
          <w:rFonts w:ascii="Times New Roman"/>
          <w:kern w:val="22"/>
        </w:rPr>
        <w:t>submission highlighted the Nagoya Protocol is in its infancy and that explicitly addressing digital sequence information within the scope of CBD/Nagoya Protocol, at this stage, would exacerbate existing challenges to implementation.</w:t>
      </w:r>
      <w:r w:rsidR="00524A30" w:rsidRPr="00F25D02">
        <w:rPr>
          <w:rFonts w:ascii="Times New Roman"/>
          <w:kern w:val="22"/>
          <w:vertAlign w:val="superscript"/>
        </w:rPr>
        <w:footnoteReference w:id="166"/>
      </w:r>
      <w:r w:rsidR="00524A30" w:rsidRPr="00F25D02">
        <w:rPr>
          <w:rFonts w:ascii="Times New Roman"/>
          <w:kern w:val="22"/>
        </w:rPr>
        <w:t xml:space="preserve"> Conversely, </w:t>
      </w:r>
      <w:r w:rsidRPr="00F25D02">
        <w:rPr>
          <w:rFonts w:ascii="Times New Roman"/>
          <w:kern w:val="22"/>
        </w:rPr>
        <w:t xml:space="preserve">another </w:t>
      </w:r>
      <w:r w:rsidR="00524A30" w:rsidRPr="00F25D02">
        <w:rPr>
          <w:rFonts w:ascii="Times New Roman"/>
          <w:kern w:val="22"/>
        </w:rPr>
        <w:t>submission highlighted that enabling developing countries to better share in the monetary benefit arising from the utilization of digital sequence information represents a move towards a more sustainable, efficient and democratic model of development.</w:t>
      </w:r>
      <w:r w:rsidR="00524A30" w:rsidRPr="00F25D02">
        <w:rPr>
          <w:rStyle w:val="FootnoteReference"/>
          <w:rFonts w:ascii="Times New Roman"/>
          <w:kern w:val="22"/>
        </w:rPr>
        <w:footnoteReference w:id="167"/>
      </w:r>
      <w:r w:rsidR="00524A30" w:rsidRPr="00F25D02">
        <w:rPr>
          <w:rFonts w:ascii="Times New Roman"/>
          <w:kern w:val="22"/>
        </w:rPr>
        <w:t xml:space="preserve"> </w:t>
      </w:r>
    </w:p>
    <w:p w14:paraId="3FC4A7C1" w14:textId="6FE86C3A" w:rsidR="0080452C" w:rsidRPr="00F25D02" w:rsidRDefault="0080452C" w:rsidP="0080452C">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Three submissions considered digital sequence information on genetic resources in the context of the negotiations to finalize the </w:t>
      </w:r>
      <w:r w:rsidR="0031647C" w:rsidRPr="00F25D02">
        <w:rPr>
          <w:rFonts w:ascii="Times New Roman"/>
          <w:kern w:val="22"/>
        </w:rPr>
        <w:t xml:space="preserve">text of the Convention </w:t>
      </w:r>
      <w:r w:rsidRPr="00F25D02">
        <w:rPr>
          <w:rFonts w:ascii="Times New Roman"/>
          <w:kern w:val="22"/>
        </w:rPr>
        <w:t>and/or Nagoya Protocol. One submission considered the record of negotiations to clearly show the Convention was intended to include material resources and the information they encode</w:t>
      </w:r>
      <w:r w:rsidRPr="00F25D02">
        <w:rPr>
          <w:rStyle w:val="FootnoteReference"/>
          <w:rFonts w:ascii="Times New Roman"/>
          <w:kern w:val="22"/>
        </w:rPr>
        <w:footnoteReference w:id="168"/>
      </w:r>
      <w:r w:rsidRPr="00F25D02">
        <w:rPr>
          <w:rFonts w:ascii="Times New Roman"/>
          <w:kern w:val="22"/>
        </w:rPr>
        <w:t xml:space="preserve"> whereas other submissions considered it was explicitly contemplated</w:t>
      </w:r>
      <w:r w:rsidR="00643615" w:rsidRPr="00F25D02">
        <w:rPr>
          <w:rFonts w:ascii="Times New Roman"/>
          <w:kern w:val="22"/>
        </w:rPr>
        <w:t xml:space="preserve"> or </w:t>
      </w:r>
      <w:r w:rsidRPr="00F25D02">
        <w:rPr>
          <w:rFonts w:ascii="Times New Roman"/>
          <w:kern w:val="22"/>
        </w:rPr>
        <w:t>understood as not being within scope in the negotiations for the Convention and/or the Nagoya Protocol.</w:t>
      </w:r>
      <w:r w:rsidRPr="00F25D02">
        <w:rPr>
          <w:rStyle w:val="FootnoteReference"/>
          <w:rFonts w:ascii="Times New Roman"/>
          <w:kern w:val="22"/>
        </w:rPr>
        <w:footnoteReference w:id="169"/>
      </w:r>
      <w:r w:rsidRPr="00F25D02">
        <w:rPr>
          <w:rFonts w:ascii="Times New Roman"/>
          <w:kern w:val="22"/>
        </w:rPr>
        <w:t xml:space="preserve"> </w:t>
      </w:r>
    </w:p>
    <w:p w14:paraId="2BAED2ED" w14:textId="426A372B" w:rsidR="00705922" w:rsidRPr="00F25D02" w:rsidRDefault="00FE4941" w:rsidP="00F25D02">
      <w:pPr>
        <w:pStyle w:val="Heading2"/>
        <w:keepLines w:val="0"/>
        <w:numPr>
          <w:ilvl w:val="0"/>
          <w:numId w:val="16"/>
        </w:numPr>
        <w:tabs>
          <w:tab w:val="left" w:pos="720"/>
        </w:tabs>
        <w:spacing w:before="120" w:after="120" w:line="240" w:lineRule="auto"/>
        <w:ind w:left="0" w:firstLine="0"/>
        <w:jc w:val="center"/>
        <w:rPr>
          <w:rFonts w:ascii="Times New Roman"/>
          <w:b/>
          <w:bCs/>
          <w:iCs/>
          <w:kern w:val="22"/>
        </w:rPr>
      </w:pPr>
      <w:r w:rsidRPr="00F25D02">
        <w:rPr>
          <w:rFonts w:ascii="Times New Roman" w:eastAsia="Times New Roman" w:hAnsi="Times New Roman" w:cs="Times New Roman"/>
          <w:b/>
          <w:bCs/>
          <w:iCs/>
          <w:color w:val="auto"/>
          <w:kern w:val="22"/>
          <w:sz w:val="22"/>
          <w:szCs w:val="22"/>
          <w:lang w:val="en-GB"/>
        </w:rPr>
        <w:t>Benefits</w:t>
      </w:r>
      <w:r w:rsidRPr="00F25D02">
        <w:rPr>
          <w:rFonts w:ascii="Times New Roman" w:hAnsi="Times New Roman" w:cs="Times New Roman"/>
          <w:b/>
          <w:bCs/>
          <w:iCs/>
          <w:color w:val="auto"/>
          <w:kern w:val="22"/>
          <w:sz w:val="22"/>
          <w:szCs w:val="22"/>
        </w:rPr>
        <w:t xml:space="preserve"> associated with the o</w:t>
      </w:r>
      <w:r w:rsidR="00705922" w:rsidRPr="00F25D02">
        <w:rPr>
          <w:rFonts w:ascii="Times New Roman" w:hAnsi="Times New Roman" w:cs="Times New Roman"/>
          <w:b/>
          <w:bCs/>
          <w:iCs/>
          <w:color w:val="auto"/>
          <w:kern w:val="22"/>
          <w:sz w:val="22"/>
          <w:szCs w:val="22"/>
        </w:rPr>
        <w:t xml:space="preserve">pen exchange of </w:t>
      </w:r>
      <w:r w:rsidR="00BB7978" w:rsidRPr="00F25D02">
        <w:rPr>
          <w:rFonts w:ascii="Times New Roman" w:hAnsi="Times New Roman" w:cs="Times New Roman"/>
          <w:b/>
          <w:bCs/>
          <w:iCs/>
          <w:color w:val="auto"/>
          <w:kern w:val="22"/>
          <w:sz w:val="22"/>
          <w:szCs w:val="22"/>
        </w:rPr>
        <w:t>digital sequence information</w:t>
      </w:r>
      <w:r w:rsidR="00705922" w:rsidRPr="00F25D02">
        <w:rPr>
          <w:rFonts w:ascii="Times New Roman" w:hAnsi="Times New Roman" w:cs="Times New Roman"/>
          <w:b/>
          <w:bCs/>
          <w:iCs/>
          <w:color w:val="auto"/>
          <w:kern w:val="22"/>
          <w:sz w:val="22"/>
          <w:szCs w:val="22"/>
        </w:rPr>
        <w:t xml:space="preserve"> </w:t>
      </w:r>
    </w:p>
    <w:p w14:paraId="6CDEA1A4" w14:textId="19284D50" w:rsidR="00705922" w:rsidRPr="00F25D02" w:rsidRDefault="00705922" w:rsidP="00705922">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Several submissions indicated they consider the open exchange of </w:t>
      </w:r>
      <w:r w:rsidR="00BB7978" w:rsidRPr="00F25D02">
        <w:rPr>
          <w:rFonts w:ascii="Times New Roman"/>
          <w:kern w:val="22"/>
        </w:rPr>
        <w:t>digital sequence information</w:t>
      </w:r>
      <w:r w:rsidRPr="00F25D02">
        <w:rPr>
          <w:rFonts w:ascii="Times New Roman"/>
          <w:kern w:val="22"/>
        </w:rPr>
        <w:t xml:space="preserve"> helps to achieve or further the objectives of the CBD</w:t>
      </w:r>
      <w:r w:rsidR="00CB782B" w:rsidRPr="00F25D02">
        <w:rPr>
          <w:rFonts w:ascii="Times New Roman"/>
          <w:kern w:val="22"/>
        </w:rPr>
        <w:t>,</w:t>
      </w:r>
      <w:r w:rsidRPr="00F25D02">
        <w:rPr>
          <w:rStyle w:val="FootnoteReference"/>
          <w:rFonts w:ascii="Times New Roman"/>
          <w:kern w:val="22"/>
        </w:rPr>
        <w:footnoteReference w:id="170"/>
      </w:r>
      <w:r w:rsidRPr="00F25D02">
        <w:rPr>
          <w:rFonts w:ascii="Times New Roman"/>
          <w:kern w:val="22"/>
        </w:rPr>
        <w:t xml:space="preserve"> for example by enabling conservation and sustainable use of biodiversity</w:t>
      </w:r>
      <w:r w:rsidRPr="00F25D02">
        <w:rPr>
          <w:rStyle w:val="FootnoteReference"/>
          <w:rFonts w:ascii="Times New Roman"/>
          <w:kern w:val="22"/>
        </w:rPr>
        <w:footnoteReference w:id="171"/>
      </w:r>
      <w:r w:rsidRPr="00F25D02">
        <w:rPr>
          <w:rFonts w:ascii="Times New Roman"/>
          <w:kern w:val="22"/>
        </w:rPr>
        <w:t xml:space="preserve"> as well as by advancing research and development that create significant downstream benefits (commercial and non-commercial).</w:t>
      </w:r>
      <w:r w:rsidRPr="00F25D02">
        <w:rPr>
          <w:rStyle w:val="FootnoteReference"/>
          <w:rFonts w:ascii="Times New Roman"/>
          <w:kern w:val="22"/>
        </w:rPr>
        <w:footnoteReference w:id="172"/>
      </w:r>
      <w:r w:rsidRPr="00F25D02">
        <w:rPr>
          <w:rFonts w:ascii="Times New Roman"/>
          <w:kern w:val="22"/>
        </w:rPr>
        <w:t xml:space="preserve"> In doing so, several of submissions considered:</w:t>
      </w:r>
    </w:p>
    <w:p w14:paraId="33EBFEB9" w14:textId="48FC6BD0" w:rsidR="00705922" w:rsidRPr="00F25D02" w:rsidRDefault="00D67DC5"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lastRenderedPageBreak/>
        <w:t>S</w:t>
      </w:r>
      <w:r w:rsidR="00705922" w:rsidRPr="00F25D02">
        <w:rPr>
          <w:rFonts w:ascii="Times New Roman"/>
          <w:kern w:val="22"/>
        </w:rPr>
        <w:t>pecific provisions of the CBD in support of their reasoning, including Article 5 regarding cooperation</w:t>
      </w:r>
      <w:r w:rsidR="00705922" w:rsidRPr="00F25D02">
        <w:rPr>
          <w:rStyle w:val="FootnoteReference"/>
          <w:rFonts w:ascii="Times New Roman"/>
          <w:kern w:val="22"/>
        </w:rPr>
        <w:footnoteReference w:id="173"/>
      </w:r>
      <w:r w:rsidR="00705922" w:rsidRPr="00F25D02">
        <w:rPr>
          <w:rFonts w:ascii="Times New Roman"/>
          <w:kern w:val="22"/>
        </w:rPr>
        <w:t>; Article 15 regarding access to genetic resources</w:t>
      </w:r>
      <w:r w:rsidR="00705922" w:rsidRPr="00F25D02">
        <w:rPr>
          <w:rStyle w:val="FootnoteReference"/>
          <w:rFonts w:ascii="Times New Roman"/>
          <w:kern w:val="22"/>
        </w:rPr>
        <w:footnoteReference w:id="174"/>
      </w:r>
      <w:r w:rsidR="00705922" w:rsidRPr="00F25D02">
        <w:rPr>
          <w:rFonts w:ascii="Times New Roman"/>
          <w:kern w:val="22"/>
        </w:rPr>
        <w:t xml:space="preserve">; Article 16 regarding access to and transfer of technology </w:t>
      </w:r>
      <w:r w:rsidR="00705922" w:rsidRPr="00F25D02">
        <w:rPr>
          <w:rStyle w:val="FootnoteReference"/>
          <w:rFonts w:ascii="Times New Roman"/>
          <w:kern w:val="22"/>
        </w:rPr>
        <w:footnoteReference w:id="175"/>
      </w:r>
      <w:r w:rsidR="00705922" w:rsidRPr="00F25D02">
        <w:rPr>
          <w:rFonts w:ascii="Times New Roman"/>
          <w:kern w:val="22"/>
        </w:rPr>
        <w:t>; and Article 17 regarding the exchange of information</w:t>
      </w:r>
      <w:r w:rsidR="00705922" w:rsidRPr="00F25D02">
        <w:rPr>
          <w:rStyle w:val="FootnoteReference"/>
          <w:rFonts w:ascii="Times New Roman"/>
          <w:kern w:val="22"/>
        </w:rPr>
        <w:footnoteReference w:id="176"/>
      </w:r>
      <w:r w:rsidR="00705922" w:rsidRPr="00F25D02">
        <w:rPr>
          <w:rFonts w:ascii="Times New Roman"/>
          <w:kern w:val="22"/>
        </w:rPr>
        <w:t>; and</w:t>
      </w:r>
    </w:p>
    <w:p w14:paraId="7F97D9A4" w14:textId="428CF2AB" w:rsidR="00705922" w:rsidRPr="00F25D02" w:rsidRDefault="00D67DC5"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T</w:t>
      </w:r>
      <w:r w:rsidR="00705922" w:rsidRPr="00F25D02">
        <w:rPr>
          <w:rFonts w:ascii="Times New Roman"/>
          <w:kern w:val="22"/>
        </w:rPr>
        <w:t xml:space="preserve">he open exchange of </w:t>
      </w:r>
      <w:r w:rsidR="00BB7978" w:rsidRPr="00F25D02">
        <w:rPr>
          <w:rFonts w:ascii="Times New Roman"/>
          <w:kern w:val="22"/>
        </w:rPr>
        <w:t>digital sequence information</w:t>
      </w:r>
      <w:r w:rsidR="00705922" w:rsidRPr="00F25D02">
        <w:rPr>
          <w:rFonts w:ascii="Times New Roman"/>
          <w:kern w:val="22"/>
        </w:rPr>
        <w:t xml:space="preserve"> to be consistent with or to further the objectives of Aichi </w:t>
      </w:r>
      <w:r w:rsidR="001E1C36" w:rsidRPr="00F25D02">
        <w:rPr>
          <w:rFonts w:ascii="Times New Roman"/>
          <w:kern w:val="22"/>
        </w:rPr>
        <w:t>Biodiversity T</w:t>
      </w:r>
      <w:r w:rsidR="00705922" w:rsidRPr="00F25D02">
        <w:rPr>
          <w:rFonts w:ascii="Times New Roman"/>
          <w:kern w:val="22"/>
        </w:rPr>
        <w:t>arget 19</w:t>
      </w:r>
      <w:r w:rsidR="00705922" w:rsidRPr="00F25D02">
        <w:rPr>
          <w:rStyle w:val="FootnoteReference"/>
          <w:rFonts w:ascii="Times New Roman"/>
          <w:kern w:val="22"/>
        </w:rPr>
        <w:footnoteReference w:id="177"/>
      </w:r>
      <w:r w:rsidR="00705922" w:rsidRPr="00F25D02">
        <w:rPr>
          <w:rFonts w:ascii="Times New Roman"/>
          <w:kern w:val="22"/>
        </w:rPr>
        <w:t xml:space="preserve"> (i.e. that</w:t>
      </w:r>
      <w:r w:rsidR="00705922" w:rsidRPr="00F25D02">
        <w:rPr>
          <w:rFonts w:ascii="Times New Roman"/>
          <w:b/>
          <w:kern w:val="22"/>
        </w:rPr>
        <w:t xml:space="preserve"> </w:t>
      </w:r>
      <w:r w:rsidR="00705922" w:rsidRPr="00F25D02">
        <w:rPr>
          <w:rFonts w:ascii="Times New Roman"/>
          <w:kern w:val="22"/>
        </w:rPr>
        <w:t>by 2020, knowledge, the science base and technologies relating to biodiversity, its values, functioning, status and trends, and the consequences of its loss, are improved, widely shared and transferred, and applied)</w:t>
      </w:r>
      <w:r w:rsidR="00705922" w:rsidRPr="00F25D02">
        <w:rPr>
          <w:rFonts w:ascii="Times New Roman"/>
          <w:i/>
          <w:kern w:val="22"/>
        </w:rPr>
        <w:t>.</w:t>
      </w:r>
      <w:r w:rsidR="00705922" w:rsidRPr="00F25D02">
        <w:rPr>
          <w:rStyle w:val="FootnoteReference"/>
          <w:rFonts w:ascii="Times New Roman"/>
          <w:iCs/>
          <w:kern w:val="22"/>
        </w:rPr>
        <w:footnoteReference w:id="178"/>
      </w:r>
      <w:r w:rsidR="00705922" w:rsidRPr="00F25D02">
        <w:rPr>
          <w:rFonts w:ascii="Times New Roman"/>
          <w:iCs/>
          <w:kern w:val="22"/>
        </w:rPr>
        <w:t xml:space="preserve"> </w:t>
      </w:r>
    </w:p>
    <w:p w14:paraId="7F8571FE" w14:textId="306AEA45" w:rsidR="00705922" w:rsidRPr="00F25D02" w:rsidRDefault="00705922" w:rsidP="00705922">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Several submissions explicitly considered the open exchange of </w:t>
      </w:r>
      <w:r w:rsidR="00BB7978" w:rsidRPr="00F25D02">
        <w:rPr>
          <w:rFonts w:ascii="Times New Roman"/>
          <w:kern w:val="22"/>
        </w:rPr>
        <w:t>digital sequence information</w:t>
      </w:r>
      <w:r w:rsidRPr="00F25D02">
        <w:rPr>
          <w:rFonts w:ascii="Times New Roman"/>
          <w:kern w:val="22"/>
        </w:rPr>
        <w:t xml:space="preserve"> to constitute an important form of non-monetary benefit sharing in furtherance of the objectives of the CBD and/or for the benefit of society.</w:t>
      </w:r>
      <w:r w:rsidRPr="00F25D02">
        <w:rPr>
          <w:rStyle w:val="FootnoteReference"/>
          <w:rFonts w:ascii="Times New Roman"/>
          <w:kern w:val="22"/>
        </w:rPr>
        <w:footnoteReference w:id="179"/>
      </w:r>
      <w:r w:rsidRPr="00F25D02">
        <w:rPr>
          <w:rFonts w:ascii="Times New Roman"/>
          <w:kern w:val="22"/>
        </w:rPr>
        <w:t xml:space="preserve"> Submissions elaborated on this point by highlighting:</w:t>
      </w:r>
    </w:p>
    <w:p w14:paraId="3D732292" w14:textId="6AE8D18A" w:rsidR="00705922" w:rsidRPr="00F25D02" w:rsidRDefault="00D67DC5"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T</w:t>
      </w:r>
      <w:r w:rsidR="00705922" w:rsidRPr="00F25D02">
        <w:rPr>
          <w:rFonts w:ascii="Times New Roman"/>
          <w:kern w:val="22"/>
        </w:rPr>
        <w:t xml:space="preserve">he availability of </w:t>
      </w:r>
      <w:r w:rsidR="00BB7978" w:rsidRPr="00F25D02">
        <w:rPr>
          <w:rFonts w:ascii="Times New Roman"/>
          <w:kern w:val="22"/>
        </w:rPr>
        <w:t>digital sequence information</w:t>
      </w:r>
      <w:r w:rsidR="00705922" w:rsidRPr="00F25D02">
        <w:rPr>
          <w:rFonts w:ascii="Times New Roman"/>
          <w:kern w:val="22"/>
        </w:rPr>
        <w:t xml:space="preserve"> enhances scientific research, innovation and collaboration</w:t>
      </w:r>
      <w:r w:rsidR="00705922" w:rsidRPr="00F25D02">
        <w:rPr>
          <w:rStyle w:val="FootnoteReference"/>
          <w:rFonts w:ascii="Times New Roman"/>
          <w:kern w:val="22"/>
        </w:rPr>
        <w:footnoteReference w:id="180"/>
      </w:r>
      <w:r w:rsidR="00705922" w:rsidRPr="00F25D02">
        <w:rPr>
          <w:rFonts w:ascii="Times New Roman"/>
          <w:kern w:val="22"/>
        </w:rPr>
        <w:t>, and allows scientists to replicate research results (which is a cornerstone of scientific research and which would not be possible if the data were not openly available);</w:t>
      </w:r>
      <w:r w:rsidR="00705922" w:rsidRPr="00F25D02">
        <w:rPr>
          <w:rStyle w:val="FootnoteReference"/>
          <w:rFonts w:ascii="Times New Roman"/>
          <w:kern w:val="22"/>
        </w:rPr>
        <w:footnoteReference w:id="181"/>
      </w:r>
      <w:r w:rsidR="00705922" w:rsidRPr="00F25D02">
        <w:rPr>
          <w:rFonts w:ascii="Times New Roman"/>
          <w:kern w:val="22"/>
        </w:rPr>
        <w:t xml:space="preserve"> </w:t>
      </w:r>
    </w:p>
    <w:p w14:paraId="05021A47" w14:textId="35F2DEA2" w:rsidR="00705922" w:rsidRPr="00F25D02" w:rsidRDefault="00D67DC5"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T</w:t>
      </w:r>
      <w:r w:rsidR="00705922" w:rsidRPr="00F25D02">
        <w:rPr>
          <w:rFonts w:ascii="Times New Roman"/>
          <w:kern w:val="22"/>
        </w:rPr>
        <w:t xml:space="preserve">he development of the field of genomics is a direct result of </w:t>
      </w:r>
      <w:r w:rsidR="00BB7978" w:rsidRPr="00F25D02">
        <w:rPr>
          <w:rFonts w:ascii="Times New Roman"/>
          <w:kern w:val="22"/>
        </w:rPr>
        <w:t>digital sequence information</w:t>
      </w:r>
      <w:r w:rsidR="00705922" w:rsidRPr="00F25D02">
        <w:rPr>
          <w:rFonts w:ascii="Times New Roman"/>
          <w:kern w:val="22"/>
        </w:rPr>
        <w:t xml:space="preserve"> being shared globally in easy to access public databases</w:t>
      </w:r>
      <w:r w:rsidR="00705922" w:rsidRPr="00F25D02">
        <w:rPr>
          <w:rStyle w:val="FootnoteReference"/>
          <w:rFonts w:ascii="Times New Roman"/>
          <w:kern w:val="22"/>
        </w:rPr>
        <w:footnoteReference w:id="182"/>
      </w:r>
      <w:r w:rsidR="00705922" w:rsidRPr="00F25D02">
        <w:rPr>
          <w:rFonts w:ascii="Times New Roman"/>
          <w:kern w:val="22"/>
        </w:rPr>
        <w:t xml:space="preserve"> and this has allowed pooling of expertise and resources to solve problems of regional and global significance;</w:t>
      </w:r>
      <w:r w:rsidR="00705922" w:rsidRPr="00F25D02">
        <w:rPr>
          <w:rStyle w:val="FootnoteReference"/>
          <w:rFonts w:ascii="Times New Roman"/>
          <w:kern w:val="22"/>
        </w:rPr>
        <w:footnoteReference w:id="183"/>
      </w:r>
      <w:r w:rsidR="00705922" w:rsidRPr="00F25D02">
        <w:rPr>
          <w:rFonts w:ascii="Times New Roman"/>
          <w:kern w:val="22"/>
        </w:rPr>
        <w:t xml:space="preserve"> </w:t>
      </w:r>
    </w:p>
    <w:p w14:paraId="3CB6C419" w14:textId="41F25FDD" w:rsidR="00705922" w:rsidRPr="00F25D02" w:rsidRDefault="00D67DC5"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O</w:t>
      </w:r>
      <w:r w:rsidR="00705922" w:rsidRPr="00F25D02">
        <w:rPr>
          <w:rFonts w:ascii="Times New Roman"/>
          <w:kern w:val="22"/>
        </w:rPr>
        <w:t xml:space="preserve">nce published, </w:t>
      </w:r>
      <w:r w:rsidR="00BB7978" w:rsidRPr="00F25D02">
        <w:rPr>
          <w:rFonts w:ascii="Times New Roman"/>
          <w:kern w:val="22"/>
        </w:rPr>
        <w:t>digital sequence information</w:t>
      </w:r>
      <w:r w:rsidR="00705922" w:rsidRPr="00F25D02">
        <w:rPr>
          <w:rFonts w:ascii="Times New Roman"/>
          <w:kern w:val="22"/>
        </w:rPr>
        <w:t xml:space="preserve"> is available to international community at zero marginal cost</w:t>
      </w:r>
      <w:r w:rsidR="00705922" w:rsidRPr="00F25D02">
        <w:rPr>
          <w:rStyle w:val="FootnoteReference"/>
          <w:rFonts w:ascii="Times New Roman"/>
          <w:kern w:val="22"/>
        </w:rPr>
        <w:footnoteReference w:id="184"/>
      </w:r>
      <w:r w:rsidR="00705922" w:rsidRPr="00F25D02">
        <w:rPr>
          <w:rFonts w:ascii="Times New Roman"/>
          <w:kern w:val="22"/>
        </w:rPr>
        <w:t xml:space="preserve"> thus providing a greater return on investment for taxpayers and avoiding unnecessary duplication and substantial cost of generating data</w:t>
      </w:r>
      <w:r w:rsidR="00705922" w:rsidRPr="00F25D02">
        <w:rPr>
          <w:rStyle w:val="FootnoteReference"/>
          <w:rFonts w:ascii="Times New Roman"/>
          <w:kern w:val="22"/>
        </w:rPr>
        <w:footnoteReference w:id="185"/>
      </w:r>
      <w:r w:rsidR="00705922" w:rsidRPr="00F25D02">
        <w:rPr>
          <w:rFonts w:ascii="Times New Roman"/>
          <w:kern w:val="22"/>
        </w:rPr>
        <w:t>, which leads to significant cost savings in research projects;</w:t>
      </w:r>
      <w:r w:rsidR="00705922" w:rsidRPr="00F25D02">
        <w:rPr>
          <w:rStyle w:val="FootnoteReference"/>
          <w:rFonts w:ascii="Times New Roman"/>
          <w:kern w:val="22"/>
        </w:rPr>
        <w:footnoteReference w:id="186"/>
      </w:r>
      <w:r w:rsidR="00705922" w:rsidRPr="00F25D02">
        <w:rPr>
          <w:rFonts w:ascii="Times New Roman"/>
          <w:kern w:val="22"/>
        </w:rPr>
        <w:t xml:space="preserve"> </w:t>
      </w:r>
    </w:p>
    <w:p w14:paraId="4A8DD6A9" w14:textId="3A2AC26A" w:rsidR="00705922" w:rsidRPr="00F25D02" w:rsidRDefault="00D67DC5"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T</w:t>
      </w:r>
      <w:r w:rsidR="00705922" w:rsidRPr="00F25D02">
        <w:rPr>
          <w:rFonts w:ascii="Times New Roman"/>
          <w:kern w:val="22"/>
        </w:rPr>
        <w:t xml:space="preserve">he availability of </w:t>
      </w:r>
      <w:r w:rsidR="00BB7978" w:rsidRPr="00F25D02">
        <w:rPr>
          <w:rFonts w:ascii="Times New Roman"/>
          <w:kern w:val="22"/>
        </w:rPr>
        <w:t>digital sequence information</w:t>
      </w:r>
      <w:r w:rsidR="00705922" w:rsidRPr="00F25D02">
        <w:rPr>
          <w:rFonts w:ascii="Times New Roman"/>
          <w:kern w:val="22"/>
        </w:rPr>
        <w:t xml:space="preserve"> reinforces/creates other non-monetary benefits, such as capacity</w:t>
      </w:r>
      <w:r w:rsidR="0054739D" w:rsidRPr="00F25D02">
        <w:rPr>
          <w:rFonts w:ascii="Times New Roman"/>
          <w:kern w:val="22"/>
        </w:rPr>
        <w:noBreakHyphen/>
      </w:r>
      <w:r w:rsidR="00705922" w:rsidRPr="00F25D02">
        <w:rPr>
          <w:rFonts w:ascii="Times New Roman"/>
          <w:kern w:val="22"/>
        </w:rPr>
        <w:t>building, education and training</w:t>
      </w:r>
      <w:r w:rsidR="00613133" w:rsidRPr="00F25D02">
        <w:rPr>
          <w:rFonts w:ascii="Times New Roman"/>
          <w:kern w:val="22"/>
        </w:rPr>
        <w:t>,</w:t>
      </w:r>
      <w:r w:rsidR="00705922" w:rsidRPr="00F25D02">
        <w:rPr>
          <w:rStyle w:val="FootnoteReference"/>
          <w:rFonts w:ascii="Times New Roman"/>
          <w:kern w:val="22"/>
        </w:rPr>
        <w:footnoteReference w:id="187"/>
      </w:r>
      <w:r w:rsidR="00705922" w:rsidRPr="00F25D02">
        <w:rPr>
          <w:rFonts w:ascii="Times New Roman"/>
          <w:kern w:val="22"/>
        </w:rPr>
        <w:t xml:space="preserve"> often involving international collaboration.</w:t>
      </w:r>
      <w:r w:rsidR="00705922" w:rsidRPr="00F25D02">
        <w:rPr>
          <w:rStyle w:val="FootnoteReference"/>
          <w:rFonts w:ascii="Times New Roman"/>
          <w:kern w:val="22"/>
        </w:rPr>
        <w:footnoteReference w:id="188"/>
      </w:r>
      <w:r w:rsidR="00705922" w:rsidRPr="00F25D02">
        <w:rPr>
          <w:rFonts w:ascii="Times New Roman"/>
          <w:kern w:val="22"/>
        </w:rPr>
        <w:t xml:space="preserve"> </w:t>
      </w:r>
    </w:p>
    <w:p w14:paraId="3E70FA98" w14:textId="0E0B712B" w:rsidR="00705922" w:rsidRPr="00F25D02" w:rsidRDefault="00705922" w:rsidP="00705922">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Some of these submissions explicitly acknowledged concerns that freely available </w:t>
      </w:r>
      <w:r w:rsidR="00BB7978" w:rsidRPr="00F25D02">
        <w:rPr>
          <w:rFonts w:ascii="Times New Roman"/>
          <w:kern w:val="22"/>
        </w:rPr>
        <w:t>digital sequence information</w:t>
      </w:r>
      <w:r w:rsidRPr="00F25D02">
        <w:rPr>
          <w:rFonts w:ascii="Times New Roman"/>
          <w:kern w:val="22"/>
        </w:rPr>
        <w:t xml:space="preserve"> may be used for commercial purposes without triggering any obligation to share benefits with provider countries from which the genetic resource was acquired. However, on balance they considered that regulating open exchange of </w:t>
      </w:r>
      <w:r w:rsidR="00BB7978" w:rsidRPr="00F25D02">
        <w:rPr>
          <w:rFonts w:ascii="Times New Roman"/>
          <w:kern w:val="22"/>
        </w:rPr>
        <w:t>digital sequence information</w:t>
      </w:r>
      <w:r w:rsidRPr="00F25D02">
        <w:rPr>
          <w:rFonts w:ascii="Times New Roman"/>
          <w:kern w:val="22"/>
        </w:rPr>
        <w:t xml:space="preserve"> would do more harm than good</w:t>
      </w:r>
      <w:r w:rsidRPr="00F25D02">
        <w:rPr>
          <w:rStyle w:val="FootnoteReference"/>
          <w:rFonts w:ascii="Times New Roman"/>
          <w:kern w:val="22"/>
        </w:rPr>
        <w:footnoteReference w:id="189"/>
      </w:r>
      <w:r w:rsidRPr="00F25D02">
        <w:rPr>
          <w:rFonts w:ascii="Times New Roman"/>
          <w:kern w:val="22"/>
        </w:rPr>
        <w:t xml:space="preserve"> or that the benefits that that flow from such use outweigh the risks.</w:t>
      </w:r>
      <w:r w:rsidRPr="00F25D02">
        <w:rPr>
          <w:rStyle w:val="FootnoteReference"/>
          <w:rFonts w:ascii="Times New Roman"/>
          <w:kern w:val="22"/>
        </w:rPr>
        <w:footnoteReference w:id="190"/>
      </w:r>
    </w:p>
    <w:p w14:paraId="0F4A73F6" w14:textId="1D1ACE51" w:rsidR="00705922" w:rsidRPr="00F25D02" w:rsidRDefault="00705922" w:rsidP="00705922">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By way of contrast, several submissions explicitly </w:t>
      </w:r>
      <w:r w:rsidR="0031647C" w:rsidRPr="00F25D02">
        <w:rPr>
          <w:rFonts w:ascii="Times New Roman"/>
          <w:kern w:val="22"/>
        </w:rPr>
        <w:t xml:space="preserve">acknowledged </w:t>
      </w:r>
      <w:r w:rsidRPr="00F25D02">
        <w:rPr>
          <w:rFonts w:ascii="Times New Roman"/>
          <w:kern w:val="22"/>
        </w:rPr>
        <w:t xml:space="preserve">the societal benefits generated by open exchange of </w:t>
      </w:r>
      <w:r w:rsidR="00BB7978" w:rsidRPr="00F25D02">
        <w:rPr>
          <w:rFonts w:ascii="Times New Roman"/>
          <w:kern w:val="22"/>
        </w:rPr>
        <w:t>digital sequence information</w:t>
      </w:r>
      <w:r w:rsidRPr="00F25D02">
        <w:rPr>
          <w:rFonts w:ascii="Times New Roman"/>
          <w:kern w:val="22"/>
        </w:rPr>
        <w:t xml:space="preserve"> and/or its role in furthering of the objectives of the </w:t>
      </w:r>
      <w:r w:rsidRPr="00F25D02">
        <w:rPr>
          <w:rFonts w:ascii="Times New Roman"/>
          <w:kern w:val="22"/>
        </w:rPr>
        <w:lastRenderedPageBreak/>
        <w:t xml:space="preserve">CBD, and concluded that </w:t>
      </w:r>
      <w:r w:rsidR="0031647C" w:rsidRPr="00F25D02">
        <w:rPr>
          <w:rFonts w:ascii="Times New Roman"/>
          <w:kern w:val="22"/>
        </w:rPr>
        <w:t xml:space="preserve">such benefits </w:t>
      </w:r>
      <w:r w:rsidRPr="00F25D02">
        <w:rPr>
          <w:rFonts w:ascii="Times New Roman"/>
          <w:kern w:val="22"/>
        </w:rPr>
        <w:t xml:space="preserve">should not </w:t>
      </w:r>
      <w:r w:rsidR="00E46FFB" w:rsidRPr="00F25D02">
        <w:rPr>
          <w:rFonts w:ascii="Times New Roman"/>
          <w:kern w:val="22"/>
        </w:rPr>
        <w:t>be considered in isolation in</w:t>
      </w:r>
      <w:r w:rsidR="0031647C" w:rsidRPr="00F25D02">
        <w:rPr>
          <w:rFonts w:ascii="Times New Roman"/>
          <w:kern w:val="22"/>
        </w:rPr>
        <w:t xml:space="preserve"> </w:t>
      </w:r>
      <w:r w:rsidRPr="00F25D02">
        <w:rPr>
          <w:rFonts w:ascii="Times New Roman"/>
          <w:kern w:val="22"/>
        </w:rPr>
        <w:t>determin</w:t>
      </w:r>
      <w:r w:rsidR="00E46FFB" w:rsidRPr="00F25D02">
        <w:rPr>
          <w:rFonts w:ascii="Times New Roman"/>
          <w:kern w:val="22"/>
        </w:rPr>
        <w:t>ing</w:t>
      </w:r>
      <w:r w:rsidRPr="00F25D02">
        <w:rPr>
          <w:rFonts w:ascii="Times New Roman"/>
          <w:kern w:val="22"/>
        </w:rPr>
        <w:t xml:space="preserve"> </w:t>
      </w:r>
      <w:r w:rsidR="00E46FFB" w:rsidRPr="00F25D02">
        <w:rPr>
          <w:rFonts w:ascii="Times New Roman"/>
          <w:kern w:val="22"/>
        </w:rPr>
        <w:t>whether or not to r</w:t>
      </w:r>
      <w:r w:rsidR="0031647C" w:rsidRPr="00F25D02">
        <w:rPr>
          <w:rFonts w:ascii="Times New Roman"/>
          <w:kern w:val="22"/>
        </w:rPr>
        <w:t>egulat</w:t>
      </w:r>
      <w:r w:rsidR="00E46FFB" w:rsidRPr="00F25D02">
        <w:rPr>
          <w:rFonts w:ascii="Times New Roman"/>
          <w:kern w:val="22"/>
        </w:rPr>
        <w:t>e</w:t>
      </w:r>
      <w:r w:rsidR="0031647C" w:rsidRPr="00F25D02">
        <w:rPr>
          <w:rFonts w:ascii="Times New Roman"/>
          <w:kern w:val="22"/>
        </w:rPr>
        <w:t xml:space="preserve"> </w:t>
      </w:r>
      <w:r w:rsidR="00E46FFB" w:rsidRPr="00F25D02">
        <w:rPr>
          <w:rFonts w:ascii="Times New Roman"/>
          <w:kern w:val="22"/>
        </w:rPr>
        <w:t xml:space="preserve">the </w:t>
      </w:r>
      <w:r w:rsidR="0031647C" w:rsidRPr="00F25D02">
        <w:rPr>
          <w:rFonts w:ascii="Times New Roman"/>
          <w:kern w:val="22"/>
        </w:rPr>
        <w:t>open exchange of digital sequence information</w:t>
      </w:r>
      <w:r w:rsidR="00E46FFB" w:rsidRPr="00F25D02">
        <w:rPr>
          <w:rFonts w:ascii="Times New Roman"/>
          <w:kern w:val="22"/>
        </w:rPr>
        <w:t>.</w:t>
      </w:r>
      <w:r w:rsidRPr="00F25D02">
        <w:rPr>
          <w:rStyle w:val="FootnoteReference"/>
          <w:rFonts w:ascii="Times New Roman"/>
          <w:kern w:val="22"/>
        </w:rPr>
        <w:footnoteReference w:id="191"/>
      </w:r>
      <w:r w:rsidRPr="00F25D02">
        <w:rPr>
          <w:rFonts w:ascii="Times New Roman"/>
          <w:kern w:val="22"/>
        </w:rPr>
        <w:t xml:space="preserve"> Submissions elaborated on this point as follows:</w:t>
      </w:r>
    </w:p>
    <w:p w14:paraId="364F5692" w14:textId="7F87B2CD" w:rsidR="00705922" w:rsidRPr="00F25D02" w:rsidRDefault="00D67DC5"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N</w:t>
      </w:r>
      <w:r w:rsidR="00705922" w:rsidRPr="00F25D02">
        <w:rPr>
          <w:rFonts w:ascii="Times New Roman"/>
          <w:kern w:val="22"/>
        </w:rPr>
        <w:t>on-monetary benefits, however beneficial to society, are no substitute for and should not occur at the expense of sovereignty or monetary benefit sharing where there are commercial benefits arising from the utilization of a genetic resource;</w:t>
      </w:r>
      <w:r w:rsidR="00705922" w:rsidRPr="00F25D02">
        <w:rPr>
          <w:rStyle w:val="FootnoteReference"/>
          <w:rFonts w:ascii="Times New Roman"/>
          <w:kern w:val="22"/>
        </w:rPr>
        <w:footnoteReference w:id="192"/>
      </w:r>
      <w:r w:rsidR="00705922" w:rsidRPr="00F25D02">
        <w:rPr>
          <w:rFonts w:ascii="Times New Roman"/>
          <w:kern w:val="22"/>
        </w:rPr>
        <w:t xml:space="preserve"> </w:t>
      </w:r>
    </w:p>
    <w:p w14:paraId="1CB8ED57" w14:textId="4BF606F9" w:rsidR="00705922" w:rsidRPr="00F25D02" w:rsidRDefault="00D67DC5"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F</w:t>
      </w:r>
      <w:r w:rsidR="00705922" w:rsidRPr="00F25D02">
        <w:rPr>
          <w:rFonts w:ascii="Times New Roman"/>
          <w:kern w:val="22"/>
        </w:rPr>
        <w:t xml:space="preserve">ocusing on </w:t>
      </w:r>
      <w:r w:rsidR="00BB7978" w:rsidRPr="00F25D02">
        <w:rPr>
          <w:rFonts w:ascii="Times New Roman"/>
          <w:kern w:val="22"/>
        </w:rPr>
        <w:t>digital sequence information</w:t>
      </w:r>
      <w:r w:rsidR="00705922" w:rsidRPr="00F25D02">
        <w:rPr>
          <w:rFonts w:ascii="Times New Roman"/>
          <w:kern w:val="22"/>
        </w:rPr>
        <w:t xml:space="preserve"> as a form of non-monetary benefit sharing misses the point of the fair and equitable sharing objectives under the convention</w:t>
      </w:r>
      <w:r w:rsidR="00705922" w:rsidRPr="00F25D02">
        <w:rPr>
          <w:rStyle w:val="FootnoteReference"/>
          <w:rFonts w:ascii="Times New Roman"/>
          <w:kern w:val="22"/>
        </w:rPr>
        <w:footnoteReference w:id="193"/>
      </w:r>
      <w:r w:rsidR="00705922" w:rsidRPr="00F25D02">
        <w:rPr>
          <w:rFonts w:ascii="Times New Roman"/>
          <w:kern w:val="22"/>
        </w:rPr>
        <w:t xml:space="preserve"> to the detriment of developing countries, farmers and indigenous/local communities who preserve biodiversity;</w:t>
      </w:r>
      <w:r w:rsidR="00705922" w:rsidRPr="00F25D02">
        <w:rPr>
          <w:rStyle w:val="FootnoteReference"/>
          <w:rFonts w:ascii="Times New Roman"/>
          <w:kern w:val="22"/>
        </w:rPr>
        <w:footnoteReference w:id="194"/>
      </w:r>
      <w:r w:rsidR="00705922" w:rsidRPr="00F25D02">
        <w:rPr>
          <w:rFonts w:ascii="Times New Roman"/>
          <w:kern w:val="22"/>
        </w:rPr>
        <w:t xml:space="preserve">   </w:t>
      </w:r>
    </w:p>
    <w:p w14:paraId="7D75F553" w14:textId="2869B419" w:rsidR="00705922" w:rsidRPr="00F25D02" w:rsidRDefault="00D67DC5" w:rsidP="00D67DC5">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T</w:t>
      </w:r>
      <w:r w:rsidR="00705922" w:rsidRPr="00F25D02">
        <w:rPr>
          <w:rFonts w:ascii="Times New Roman"/>
          <w:kern w:val="22"/>
        </w:rPr>
        <w:t xml:space="preserve">he speed with which technology for sequencing and analysis is maturing is resulting in a rapid accumulation of </w:t>
      </w:r>
      <w:r w:rsidR="00BB7978" w:rsidRPr="00F25D02">
        <w:rPr>
          <w:rFonts w:ascii="Times New Roman"/>
          <w:kern w:val="22"/>
        </w:rPr>
        <w:t>digital sequence information</w:t>
      </w:r>
      <w:r w:rsidR="00705922" w:rsidRPr="00F25D02">
        <w:rPr>
          <w:rFonts w:ascii="Times New Roman"/>
          <w:kern w:val="22"/>
        </w:rPr>
        <w:t xml:space="preserve"> for which future commercial uses can be confidently foreseen</w:t>
      </w:r>
      <w:r w:rsidR="00705922" w:rsidRPr="00F25D02">
        <w:rPr>
          <w:rStyle w:val="FootnoteReference"/>
          <w:rFonts w:ascii="Times New Roman"/>
          <w:kern w:val="22"/>
        </w:rPr>
        <w:footnoteReference w:id="195"/>
      </w:r>
      <w:r w:rsidR="00705922" w:rsidRPr="00F25D02">
        <w:rPr>
          <w:rFonts w:ascii="Times New Roman"/>
          <w:kern w:val="22"/>
        </w:rPr>
        <w:t xml:space="preserve"> so if commercial users of </w:t>
      </w:r>
      <w:r w:rsidR="00BB7978" w:rsidRPr="00F25D02">
        <w:rPr>
          <w:rFonts w:ascii="Times New Roman"/>
          <w:kern w:val="22"/>
        </w:rPr>
        <w:t>digital sequence information</w:t>
      </w:r>
      <w:r w:rsidR="00705922" w:rsidRPr="00F25D02">
        <w:rPr>
          <w:rFonts w:ascii="Times New Roman"/>
          <w:kern w:val="22"/>
        </w:rPr>
        <w:t xml:space="preserve"> can bypass benefit sharing obligations, implementing the third objective of the </w:t>
      </w:r>
      <w:r w:rsidR="00AA5228" w:rsidRPr="00F25D02">
        <w:rPr>
          <w:rFonts w:ascii="Times New Roman"/>
          <w:kern w:val="22"/>
        </w:rPr>
        <w:t>P</w:t>
      </w:r>
      <w:r w:rsidR="00705922" w:rsidRPr="00F25D02">
        <w:rPr>
          <w:rFonts w:ascii="Times New Roman"/>
          <w:kern w:val="22"/>
        </w:rPr>
        <w:t>rotocol will prove impossible and the CBD and the Nagoya Protocol will be undermined.</w:t>
      </w:r>
      <w:r w:rsidR="00705922" w:rsidRPr="00F25D02">
        <w:rPr>
          <w:rStyle w:val="FootnoteReference"/>
          <w:rFonts w:ascii="Times New Roman"/>
          <w:kern w:val="22"/>
        </w:rPr>
        <w:footnoteReference w:id="196"/>
      </w:r>
      <w:r w:rsidR="00705922" w:rsidRPr="00F25D02">
        <w:rPr>
          <w:rFonts w:ascii="Times New Roman"/>
          <w:kern w:val="22"/>
        </w:rPr>
        <w:t xml:space="preserve"> </w:t>
      </w:r>
    </w:p>
    <w:p w14:paraId="31515F60" w14:textId="670AAF71" w:rsidR="00705922" w:rsidRPr="00F25D02" w:rsidRDefault="00705922" w:rsidP="00705922">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Two submissions stressed that non-monetary benefits and monetary benefit sharing for commercial use should not be considered as mutually exclusive as it is possible to allow facilitated access to </w:t>
      </w:r>
      <w:r w:rsidR="00BB7978" w:rsidRPr="00F25D02">
        <w:rPr>
          <w:rFonts w:ascii="Times New Roman"/>
          <w:kern w:val="22"/>
        </w:rPr>
        <w:t>digital sequence information</w:t>
      </w:r>
      <w:r w:rsidRPr="00F25D02">
        <w:rPr>
          <w:rFonts w:ascii="Times New Roman"/>
          <w:kern w:val="22"/>
        </w:rPr>
        <w:t xml:space="preserve"> for basic research and to regulate commercial use to ensure benefit sharing.</w:t>
      </w:r>
      <w:r w:rsidRPr="00F25D02">
        <w:rPr>
          <w:rStyle w:val="FootnoteReference"/>
          <w:rFonts w:ascii="Times New Roman"/>
          <w:kern w:val="22"/>
        </w:rPr>
        <w:footnoteReference w:id="197"/>
      </w:r>
      <w:r w:rsidRPr="00F25D02">
        <w:rPr>
          <w:rFonts w:ascii="Times New Roman"/>
          <w:kern w:val="22"/>
        </w:rPr>
        <w:t xml:space="preserve"> One of these stressed that it is possible to strike a fair balance to resolve the complexities and accommodate access and use of </w:t>
      </w:r>
      <w:r w:rsidR="00BB7978" w:rsidRPr="00F25D02">
        <w:rPr>
          <w:rFonts w:ascii="Times New Roman"/>
          <w:kern w:val="22"/>
        </w:rPr>
        <w:t>digital sequence information</w:t>
      </w:r>
      <w:r w:rsidRPr="00F25D02">
        <w:rPr>
          <w:rFonts w:ascii="Times New Roman"/>
          <w:kern w:val="22"/>
        </w:rPr>
        <w:t xml:space="preserve"> and presented its national ABS framework as a model for CBD </w:t>
      </w:r>
      <w:r w:rsidR="00B34AD9" w:rsidRPr="00F25D02">
        <w:rPr>
          <w:rFonts w:ascii="Times New Roman"/>
          <w:kern w:val="22"/>
        </w:rPr>
        <w:t>P</w:t>
      </w:r>
      <w:r w:rsidRPr="00F25D02">
        <w:rPr>
          <w:rFonts w:ascii="Times New Roman"/>
          <w:kern w:val="22"/>
        </w:rPr>
        <w:t xml:space="preserve">arties to consider (as further explained summarized in </w:t>
      </w:r>
      <w:r w:rsidR="00250FB8" w:rsidRPr="00F25D02">
        <w:rPr>
          <w:rFonts w:ascii="Times New Roman"/>
          <w:kern w:val="22"/>
        </w:rPr>
        <w:t>para. 39)</w:t>
      </w:r>
      <w:r w:rsidR="00A43BD3" w:rsidRPr="00F25D02">
        <w:rPr>
          <w:rFonts w:ascii="Times New Roman"/>
          <w:kern w:val="22"/>
        </w:rPr>
        <w:t>.</w:t>
      </w:r>
      <w:r w:rsidRPr="00F25D02">
        <w:rPr>
          <w:rStyle w:val="FootnoteReference"/>
          <w:rFonts w:ascii="Times New Roman"/>
          <w:kern w:val="22"/>
        </w:rPr>
        <w:footnoteReference w:id="198"/>
      </w:r>
      <w:r w:rsidRPr="00F25D02">
        <w:rPr>
          <w:rFonts w:ascii="Times New Roman"/>
          <w:kern w:val="22"/>
        </w:rPr>
        <w:t xml:space="preserve"> </w:t>
      </w:r>
    </w:p>
    <w:p w14:paraId="275B5670" w14:textId="57314CA9" w:rsidR="00705922" w:rsidRPr="00F25D02" w:rsidRDefault="00524A30" w:rsidP="00F25D02">
      <w:pPr>
        <w:spacing w:before="120" w:after="120" w:line="240" w:lineRule="auto"/>
        <w:ind w:left="810" w:right="437" w:hanging="526"/>
        <w:jc w:val="both"/>
        <w:rPr>
          <w:rFonts w:ascii="Times New Roman"/>
          <w:b/>
          <w:iCs/>
          <w:kern w:val="22"/>
        </w:rPr>
      </w:pPr>
      <w:r w:rsidRPr="00F25D02">
        <w:rPr>
          <w:rFonts w:ascii="Times New Roman"/>
          <w:b/>
          <w:iCs/>
          <w:kern w:val="22"/>
        </w:rPr>
        <w:t>C.</w:t>
      </w:r>
      <w:r w:rsidRPr="00F25D02">
        <w:rPr>
          <w:rFonts w:ascii="Times New Roman"/>
          <w:b/>
          <w:i/>
          <w:kern w:val="22"/>
        </w:rPr>
        <w:t xml:space="preserve"> </w:t>
      </w:r>
      <w:r w:rsidR="008D6368" w:rsidRPr="00F25D02">
        <w:rPr>
          <w:rFonts w:ascii="Times New Roman"/>
          <w:b/>
          <w:iCs/>
          <w:kern w:val="22"/>
        </w:rPr>
        <w:tab/>
      </w:r>
      <w:r w:rsidR="00FE4941" w:rsidRPr="00F25D02">
        <w:rPr>
          <w:rFonts w:ascii="Times New Roman"/>
          <w:b/>
          <w:iCs/>
          <w:kern w:val="22"/>
        </w:rPr>
        <w:t>Potentially adverse</w:t>
      </w:r>
      <w:r w:rsidR="00705922" w:rsidRPr="00F25D02">
        <w:rPr>
          <w:rFonts w:ascii="Times New Roman"/>
          <w:b/>
          <w:iCs/>
          <w:kern w:val="22"/>
        </w:rPr>
        <w:t xml:space="preserve"> consequences</w:t>
      </w:r>
      <w:r w:rsidR="00705922" w:rsidRPr="00F25D02">
        <w:rPr>
          <w:rFonts w:ascii="Times New Roman"/>
          <w:iCs/>
          <w:kern w:val="22"/>
        </w:rPr>
        <w:t xml:space="preserve"> </w:t>
      </w:r>
      <w:r w:rsidR="00705922" w:rsidRPr="00F25D02">
        <w:rPr>
          <w:rFonts w:ascii="Times New Roman"/>
          <w:b/>
          <w:iCs/>
          <w:kern w:val="22"/>
        </w:rPr>
        <w:t>of</w:t>
      </w:r>
      <w:r w:rsidR="00705922" w:rsidRPr="00F25D02">
        <w:rPr>
          <w:rFonts w:ascii="Times New Roman"/>
          <w:iCs/>
          <w:kern w:val="22"/>
        </w:rPr>
        <w:t xml:space="preserve"> </w:t>
      </w:r>
      <w:r w:rsidR="00705922" w:rsidRPr="00F25D02">
        <w:rPr>
          <w:rFonts w:ascii="Times New Roman"/>
          <w:b/>
          <w:iCs/>
          <w:kern w:val="22"/>
        </w:rPr>
        <w:t xml:space="preserve">regulating access and/or use of </w:t>
      </w:r>
      <w:r w:rsidR="00BB7978" w:rsidRPr="00F25D02">
        <w:rPr>
          <w:rFonts w:ascii="Times New Roman"/>
          <w:b/>
          <w:iCs/>
          <w:kern w:val="22"/>
        </w:rPr>
        <w:t>digital sequence information</w:t>
      </w:r>
    </w:p>
    <w:p w14:paraId="760FC39A" w14:textId="1FF9621C" w:rsidR="00705922" w:rsidRPr="00F25D02" w:rsidRDefault="00705922" w:rsidP="00705922">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Several of submissions, highlighted concerns regarding the potential </w:t>
      </w:r>
      <w:r w:rsidR="00FE4941" w:rsidRPr="00F25D02">
        <w:rPr>
          <w:rFonts w:ascii="Times New Roman"/>
          <w:kern w:val="22"/>
        </w:rPr>
        <w:t xml:space="preserve">for adverse </w:t>
      </w:r>
      <w:r w:rsidRPr="00F25D02">
        <w:rPr>
          <w:rFonts w:ascii="Times New Roman"/>
          <w:kern w:val="22"/>
        </w:rPr>
        <w:t xml:space="preserve">consequences that could result from attempts to regulate access and/or use of </w:t>
      </w:r>
      <w:r w:rsidR="00BB7978" w:rsidRPr="00F25D02">
        <w:rPr>
          <w:rFonts w:ascii="Times New Roman"/>
          <w:kern w:val="22"/>
        </w:rPr>
        <w:t>digital sequence information</w:t>
      </w:r>
      <w:r w:rsidRPr="00F25D02">
        <w:rPr>
          <w:rFonts w:ascii="Times New Roman"/>
          <w:kern w:val="22"/>
        </w:rPr>
        <w:t xml:space="preserve"> under </w:t>
      </w:r>
      <w:r w:rsidR="00AA5228" w:rsidRPr="00F25D02">
        <w:rPr>
          <w:rFonts w:ascii="Times New Roman"/>
          <w:kern w:val="22"/>
        </w:rPr>
        <w:t>national</w:t>
      </w:r>
      <w:r w:rsidRPr="00F25D02">
        <w:rPr>
          <w:rFonts w:ascii="Times New Roman"/>
          <w:kern w:val="22"/>
        </w:rPr>
        <w:t xml:space="preserve"> ABS framework</w:t>
      </w:r>
      <w:r w:rsidR="00AA5228" w:rsidRPr="00F25D02">
        <w:rPr>
          <w:rFonts w:ascii="Times New Roman"/>
          <w:kern w:val="22"/>
        </w:rPr>
        <w:t>s</w:t>
      </w:r>
      <w:r w:rsidRPr="00F25D02">
        <w:rPr>
          <w:rFonts w:ascii="Times New Roman"/>
          <w:kern w:val="22"/>
        </w:rPr>
        <w:t>.</w:t>
      </w:r>
      <w:r w:rsidRPr="00F25D02">
        <w:rPr>
          <w:rStyle w:val="FootnoteReference"/>
          <w:rFonts w:ascii="Times New Roman"/>
          <w:kern w:val="22"/>
        </w:rPr>
        <w:footnoteReference w:id="199"/>
      </w:r>
      <w:r w:rsidRPr="00F25D02">
        <w:rPr>
          <w:rFonts w:ascii="Times New Roman"/>
          <w:kern w:val="22"/>
        </w:rPr>
        <w:t xml:space="preserve"> Concerns focused on the following, which are not mutually exclusive:</w:t>
      </w:r>
    </w:p>
    <w:p w14:paraId="55CFDEA2" w14:textId="33C5DFED" w:rsidR="00705922" w:rsidRPr="00F25D02" w:rsidRDefault="00951BCE" w:rsidP="00860281">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U</w:t>
      </w:r>
      <w:r w:rsidR="00705922" w:rsidRPr="00F25D02">
        <w:rPr>
          <w:rFonts w:ascii="Times New Roman"/>
          <w:kern w:val="22"/>
        </w:rPr>
        <w:t>ndermine efforts to promote the objectives of CBD/Nagoya concerning the sustainable use and conservation of biodiversity</w:t>
      </w:r>
      <w:r w:rsidR="00705922" w:rsidRPr="00F25D02">
        <w:rPr>
          <w:rStyle w:val="FootnoteReference"/>
          <w:rFonts w:ascii="Times New Roman"/>
          <w:kern w:val="22"/>
        </w:rPr>
        <w:footnoteReference w:id="200"/>
      </w:r>
      <w:r w:rsidR="00705922" w:rsidRPr="00F25D02">
        <w:rPr>
          <w:rFonts w:ascii="Times New Roman"/>
          <w:kern w:val="22"/>
        </w:rPr>
        <w:t xml:space="preserve"> as well as benefits to society, including non-monetary benefits related to training, capacity</w:t>
      </w:r>
      <w:r w:rsidRPr="00F25D02">
        <w:rPr>
          <w:rFonts w:ascii="Times New Roman"/>
          <w:kern w:val="22"/>
        </w:rPr>
        <w:t>-</w:t>
      </w:r>
      <w:r w:rsidR="00705922" w:rsidRPr="00F25D02">
        <w:rPr>
          <w:rFonts w:ascii="Times New Roman"/>
          <w:kern w:val="22"/>
        </w:rPr>
        <w:t>building and knowledge/technology transfer;</w:t>
      </w:r>
      <w:r w:rsidR="00705922" w:rsidRPr="00F25D02">
        <w:rPr>
          <w:rStyle w:val="FootnoteReference"/>
          <w:rFonts w:ascii="Times New Roman"/>
          <w:kern w:val="22"/>
        </w:rPr>
        <w:footnoteReference w:id="201"/>
      </w:r>
      <w:r w:rsidR="00705922" w:rsidRPr="00F25D02">
        <w:rPr>
          <w:rFonts w:ascii="Times New Roman"/>
          <w:kern w:val="22"/>
        </w:rPr>
        <w:t xml:space="preserve"> </w:t>
      </w:r>
    </w:p>
    <w:p w14:paraId="229CD813" w14:textId="492C5E9D" w:rsidR="00705922" w:rsidRPr="00F25D02" w:rsidRDefault="00951BCE" w:rsidP="00860281">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C</w:t>
      </w:r>
      <w:r w:rsidR="00705922" w:rsidRPr="00F25D02">
        <w:rPr>
          <w:rFonts w:ascii="Times New Roman"/>
          <w:kern w:val="22"/>
        </w:rPr>
        <w:t xml:space="preserve">hilling effect on access and use of </w:t>
      </w:r>
      <w:r w:rsidR="00BB7978" w:rsidRPr="00F25D02">
        <w:rPr>
          <w:rFonts w:ascii="Times New Roman"/>
          <w:kern w:val="22"/>
        </w:rPr>
        <w:t>digital sequence information</w:t>
      </w:r>
      <w:r w:rsidR="00705922" w:rsidRPr="00F25D02">
        <w:rPr>
          <w:rStyle w:val="FootnoteReference"/>
          <w:rFonts w:ascii="Times New Roman"/>
          <w:kern w:val="22"/>
        </w:rPr>
        <w:footnoteReference w:id="202"/>
      </w:r>
      <w:r w:rsidR="00705922" w:rsidRPr="00F25D02">
        <w:rPr>
          <w:rFonts w:ascii="Times New Roman"/>
          <w:kern w:val="22"/>
        </w:rPr>
        <w:t xml:space="preserve"> and increasing barriers to scientific research, data sharing, and innovation across a wide array of research fields</w:t>
      </w:r>
      <w:r w:rsidR="00860281" w:rsidRPr="00F25D02">
        <w:rPr>
          <w:rFonts w:ascii="Times New Roman"/>
          <w:kern w:val="22"/>
        </w:rPr>
        <w:t>;</w:t>
      </w:r>
      <w:r w:rsidR="00705922" w:rsidRPr="00F25D02">
        <w:rPr>
          <w:rStyle w:val="FootnoteReference"/>
          <w:rFonts w:ascii="Times New Roman"/>
          <w:kern w:val="22"/>
        </w:rPr>
        <w:footnoteReference w:id="203"/>
      </w:r>
    </w:p>
    <w:p w14:paraId="761A27F7" w14:textId="46368CDE" w:rsidR="00705922" w:rsidRPr="00F25D02" w:rsidRDefault="001F4F81" w:rsidP="00860281">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R</w:t>
      </w:r>
      <w:r w:rsidR="00705922" w:rsidRPr="00F25D02">
        <w:rPr>
          <w:rFonts w:ascii="Times New Roman"/>
          <w:kern w:val="22"/>
        </w:rPr>
        <w:t>educed international collaboration and diminished ability to tackle complex global challenges which rely on open access research findings and data</w:t>
      </w:r>
      <w:r w:rsidR="00860281" w:rsidRPr="00F25D02">
        <w:rPr>
          <w:rFonts w:ascii="Times New Roman"/>
          <w:kern w:val="22"/>
        </w:rPr>
        <w:t>;</w:t>
      </w:r>
      <w:r w:rsidR="00705922" w:rsidRPr="00F25D02">
        <w:rPr>
          <w:rStyle w:val="FootnoteReference"/>
          <w:rFonts w:ascii="Times New Roman"/>
          <w:kern w:val="22"/>
        </w:rPr>
        <w:footnoteReference w:id="204"/>
      </w:r>
      <w:r w:rsidR="00705922" w:rsidRPr="00F25D02">
        <w:rPr>
          <w:rFonts w:ascii="Times New Roman"/>
          <w:kern w:val="22"/>
        </w:rPr>
        <w:t xml:space="preserve"> </w:t>
      </w:r>
    </w:p>
    <w:p w14:paraId="647C317A" w14:textId="35C706B4" w:rsidR="00705922" w:rsidRPr="00F25D02" w:rsidRDefault="001F4F81" w:rsidP="00860281">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D</w:t>
      </w:r>
      <w:r w:rsidR="00705922" w:rsidRPr="00F25D02">
        <w:rPr>
          <w:rFonts w:ascii="Times New Roman"/>
          <w:kern w:val="22"/>
        </w:rPr>
        <w:t>ecrease reproducibility thereby increasing the cost and duplication of scientific research</w:t>
      </w:r>
      <w:r w:rsidR="00860281" w:rsidRPr="00F25D02">
        <w:rPr>
          <w:rFonts w:ascii="Times New Roman"/>
          <w:kern w:val="22"/>
        </w:rPr>
        <w:t>;</w:t>
      </w:r>
      <w:r w:rsidR="00705922" w:rsidRPr="00F25D02">
        <w:rPr>
          <w:rStyle w:val="FootnoteReference"/>
          <w:rFonts w:ascii="Times New Roman"/>
          <w:kern w:val="22"/>
        </w:rPr>
        <w:footnoteReference w:id="205"/>
      </w:r>
      <w:r w:rsidR="00705922" w:rsidRPr="00F25D02">
        <w:rPr>
          <w:rFonts w:ascii="Times New Roman"/>
          <w:kern w:val="22"/>
        </w:rPr>
        <w:t xml:space="preserve"> </w:t>
      </w:r>
    </w:p>
    <w:p w14:paraId="0B83142D" w14:textId="77777777" w:rsidR="00705922" w:rsidRPr="00F25D02" w:rsidRDefault="00705922" w:rsidP="00860281">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lastRenderedPageBreak/>
        <w:t>increase legal uncertainty, transaction costs, regulatory burden, due diligence and/or bureaucracy</w:t>
      </w:r>
      <w:r w:rsidRPr="00F25D02">
        <w:rPr>
          <w:rStyle w:val="FootnoteReference"/>
          <w:rFonts w:ascii="Times New Roman"/>
          <w:kern w:val="22"/>
        </w:rPr>
        <w:footnoteReference w:id="206"/>
      </w:r>
      <w:r w:rsidRPr="00F25D02">
        <w:rPr>
          <w:rFonts w:ascii="Times New Roman"/>
          <w:kern w:val="22"/>
        </w:rPr>
        <w:t xml:space="preserve"> as elaborated by submissions expressing concerns addressing: </w:t>
      </w:r>
    </w:p>
    <w:p w14:paraId="3EA9C9AE" w14:textId="2F58EA01" w:rsidR="00705922" w:rsidRPr="00F25D02" w:rsidRDefault="001F4F81" w:rsidP="00086139">
      <w:pPr>
        <w:pStyle w:val="ListParagraph"/>
        <w:numPr>
          <w:ilvl w:val="0"/>
          <w:numId w:val="15"/>
        </w:numPr>
        <w:tabs>
          <w:tab w:val="left" w:pos="360"/>
          <w:tab w:val="left" w:pos="1170"/>
        </w:tabs>
        <w:spacing w:before="120" w:after="120"/>
        <w:ind w:left="1843"/>
        <w:contextualSpacing w:val="0"/>
        <w:jc w:val="both"/>
        <w:rPr>
          <w:rFonts w:ascii="Times New Roman"/>
          <w:kern w:val="22"/>
        </w:rPr>
      </w:pPr>
      <w:r w:rsidRPr="00F25D02">
        <w:rPr>
          <w:rFonts w:ascii="Times New Roman"/>
          <w:kern w:val="22"/>
        </w:rPr>
        <w:t>A</w:t>
      </w:r>
      <w:r w:rsidR="00705922" w:rsidRPr="00F25D02">
        <w:rPr>
          <w:rFonts w:ascii="Times New Roman"/>
          <w:kern w:val="22"/>
        </w:rPr>
        <w:t xml:space="preserve"> shift to bilateral data-sharing agreements which may operate as a be a barrier to access, particularly for researchers in low- and middle-income countries;</w:t>
      </w:r>
      <w:r w:rsidR="00705922" w:rsidRPr="00F25D02">
        <w:rPr>
          <w:rStyle w:val="FootnoteReference"/>
          <w:rFonts w:ascii="Times New Roman"/>
          <w:kern w:val="22"/>
        </w:rPr>
        <w:footnoteReference w:id="207"/>
      </w:r>
      <w:r w:rsidR="00705922" w:rsidRPr="00F25D02">
        <w:rPr>
          <w:rFonts w:ascii="Times New Roman"/>
          <w:kern w:val="22"/>
        </w:rPr>
        <w:t xml:space="preserve"> </w:t>
      </w:r>
    </w:p>
    <w:p w14:paraId="12AAEF0E" w14:textId="0115EE33" w:rsidR="00705922" w:rsidRPr="00F25D02" w:rsidRDefault="001F4F81" w:rsidP="00086139">
      <w:pPr>
        <w:pStyle w:val="ListParagraph"/>
        <w:numPr>
          <w:ilvl w:val="0"/>
          <w:numId w:val="15"/>
        </w:numPr>
        <w:tabs>
          <w:tab w:val="left" w:pos="360"/>
          <w:tab w:val="left" w:pos="1170"/>
        </w:tabs>
        <w:spacing w:before="120" w:after="120"/>
        <w:ind w:left="1843"/>
        <w:contextualSpacing w:val="0"/>
        <w:jc w:val="both"/>
        <w:rPr>
          <w:rFonts w:ascii="Times New Roman"/>
          <w:kern w:val="22"/>
        </w:rPr>
      </w:pPr>
      <w:r w:rsidRPr="00F25D02">
        <w:rPr>
          <w:rFonts w:ascii="Times New Roman"/>
          <w:kern w:val="22"/>
        </w:rPr>
        <w:t>D</w:t>
      </w:r>
      <w:r w:rsidR="00705922" w:rsidRPr="00F25D02">
        <w:rPr>
          <w:rFonts w:ascii="Times New Roman"/>
          <w:kern w:val="22"/>
        </w:rPr>
        <w:t xml:space="preserve">iscourage overall investment in bio-based R&amp;D and decreased use of </w:t>
      </w:r>
      <w:r w:rsidR="00BB7978" w:rsidRPr="00F25D02">
        <w:rPr>
          <w:rFonts w:ascii="Times New Roman"/>
          <w:kern w:val="22"/>
        </w:rPr>
        <w:t>digital sequence information</w:t>
      </w:r>
      <w:r w:rsidR="00705922" w:rsidRPr="00F25D02">
        <w:rPr>
          <w:rFonts w:ascii="Times New Roman"/>
          <w:kern w:val="22"/>
        </w:rPr>
        <w:t>;</w:t>
      </w:r>
      <w:r w:rsidR="00705922" w:rsidRPr="00F25D02">
        <w:rPr>
          <w:rStyle w:val="FootnoteReference"/>
          <w:rFonts w:ascii="Times New Roman"/>
          <w:kern w:val="22"/>
        </w:rPr>
        <w:footnoteReference w:id="208"/>
      </w:r>
      <w:r w:rsidR="00705922" w:rsidRPr="00F25D02">
        <w:rPr>
          <w:rFonts w:ascii="Times New Roman"/>
          <w:kern w:val="22"/>
        </w:rPr>
        <w:t xml:space="preserve"> </w:t>
      </w:r>
    </w:p>
    <w:p w14:paraId="42A1B391" w14:textId="415FD918" w:rsidR="00705922" w:rsidRPr="00F25D02" w:rsidRDefault="001F4F81" w:rsidP="00086139">
      <w:pPr>
        <w:pStyle w:val="ListParagraph"/>
        <w:numPr>
          <w:ilvl w:val="0"/>
          <w:numId w:val="15"/>
        </w:numPr>
        <w:tabs>
          <w:tab w:val="left" w:pos="360"/>
          <w:tab w:val="left" w:pos="1170"/>
        </w:tabs>
        <w:spacing w:before="120" w:after="120"/>
        <w:ind w:left="1843"/>
        <w:contextualSpacing w:val="0"/>
        <w:jc w:val="both"/>
        <w:rPr>
          <w:rFonts w:ascii="Times New Roman"/>
          <w:kern w:val="22"/>
        </w:rPr>
      </w:pPr>
      <w:r w:rsidRPr="00F25D02">
        <w:rPr>
          <w:rFonts w:ascii="Times New Roman"/>
          <w:kern w:val="22"/>
        </w:rPr>
        <w:t>W</w:t>
      </w:r>
      <w:r w:rsidR="00705922" w:rsidRPr="00F25D02">
        <w:rPr>
          <w:rFonts w:ascii="Times New Roman"/>
          <w:kern w:val="22"/>
        </w:rPr>
        <w:t>idespread non-compliance (exacerbating mistrust and hindering the incorporation of ABS to research workflows globally)</w:t>
      </w:r>
      <w:r w:rsidR="00705922" w:rsidRPr="00F25D02">
        <w:rPr>
          <w:rStyle w:val="FootnoteReference"/>
          <w:rFonts w:ascii="Times New Roman"/>
          <w:kern w:val="22"/>
        </w:rPr>
        <w:footnoteReference w:id="209"/>
      </w:r>
      <w:r w:rsidR="00705922" w:rsidRPr="00F25D02">
        <w:rPr>
          <w:rFonts w:ascii="Times New Roman"/>
          <w:kern w:val="22"/>
        </w:rPr>
        <w:t xml:space="preserve"> or avoidance (as researchers will be incentivized to avoid using </w:t>
      </w:r>
      <w:r w:rsidR="00BB7978" w:rsidRPr="00F25D02">
        <w:rPr>
          <w:rFonts w:ascii="Times New Roman"/>
          <w:kern w:val="22"/>
        </w:rPr>
        <w:t>digital sequence information</w:t>
      </w:r>
      <w:r w:rsidR="00705922" w:rsidRPr="00F25D02">
        <w:rPr>
          <w:rFonts w:ascii="Times New Roman"/>
          <w:kern w:val="22"/>
        </w:rPr>
        <w:t xml:space="preserve"> from countries with onerous requirements);</w:t>
      </w:r>
      <w:r w:rsidR="00705922" w:rsidRPr="00F25D02">
        <w:rPr>
          <w:rStyle w:val="FootnoteReference"/>
          <w:rFonts w:ascii="Times New Roman"/>
          <w:kern w:val="22"/>
        </w:rPr>
        <w:footnoteReference w:id="210"/>
      </w:r>
      <w:r w:rsidR="00705922" w:rsidRPr="00F25D02">
        <w:rPr>
          <w:rFonts w:ascii="Times New Roman"/>
          <w:kern w:val="22"/>
        </w:rPr>
        <w:t xml:space="preserve"> </w:t>
      </w:r>
    </w:p>
    <w:p w14:paraId="5072A674" w14:textId="15183AE6" w:rsidR="00705922" w:rsidRPr="00F25D02" w:rsidRDefault="001F4F81" w:rsidP="00086139">
      <w:pPr>
        <w:pStyle w:val="ListParagraph"/>
        <w:numPr>
          <w:ilvl w:val="0"/>
          <w:numId w:val="15"/>
        </w:numPr>
        <w:tabs>
          <w:tab w:val="left" w:pos="360"/>
          <w:tab w:val="left" w:pos="1170"/>
        </w:tabs>
        <w:spacing w:before="120" w:after="120"/>
        <w:ind w:left="1843"/>
        <w:contextualSpacing w:val="0"/>
        <w:jc w:val="both"/>
        <w:rPr>
          <w:rFonts w:ascii="Times New Roman"/>
          <w:kern w:val="22"/>
        </w:rPr>
      </w:pPr>
      <w:r w:rsidRPr="00F25D02">
        <w:rPr>
          <w:rFonts w:ascii="Times New Roman"/>
          <w:kern w:val="22"/>
        </w:rPr>
        <w:t>P</w:t>
      </w:r>
      <w:r w:rsidR="00705922" w:rsidRPr="00F25D02">
        <w:rPr>
          <w:rFonts w:ascii="Times New Roman"/>
          <w:kern w:val="22"/>
        </w:rPr>
        <w:t>otential conflicts with other fields of law such as data protection, intellectual property rights, and trade secrets.</w:t>
      </w:r>
      <w:r w:rsidR="00705922" w:rsidRPr="00F25D02">
        <w:rPr>
          <w:rStyle w:val="FootnoteReference"/>
          <w:rFonts w:ascii="Times New Roman"/>
          <w:kern w:val="22"/>
        </w:rPr>
        <w:footnoteReference w:id="211"/>
      </w:r>
    </w:p>
    <w:p w14:paraId="596895BE" w14:textId="5400E74C" w:rsidR="00705922" w:rsidRPr="00F25D02" w:rsidRDefault="00705922" w:rsidP="00705922">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Additionally, some submissions expressed concerns that countries are adopting different approaches for regulating access and use of </w:t>
      </w:r>
      <w:r w:rsidR="00BB7978" w:rsidRPr="00F25D02">
        <w:rPr>
          <w:rFonts w:ascii="Times New Roman"/>
          <w:kern w:val="22"/>
        </w:rPr>
        <w:t>digital sequence information</w:t>
      </w:r>
      <w:r w:rsidRPr="00F25D02">
        <w:rPr>
          <w:rFonts w:ascii="Times New Roman"/>
          <w:kern w:val="22"/>
        </w:rPr>
        <w:t xml:space="preserve"> under national legislation and that this is already leading to fragmentation, legal uncertainty and increased transaction costs.</w:t>
      </w:r>
      <w:r w:rsidRPr="00F25D02">
        <w:rPr>
          <w:rStyle w:val="FootnoteReference"/>
          <w:rFonts w:ascii="Times New Roman"/>
          <w:kern w:val="22"/>
        </w:rPr>
        <w:footnoteReference w:id="212"/>
      </w:r>
      <w:r w:rsidRPr="00F25D02">
        <w:rPr>
          <w:rFonts w:ascii="Times New Roman"/>
          <w:kern w:val="22"/>
        </w:rPr>
        <w:t xml:space="preserve"> </w:t>
      </w:r>
    </w:p>
    <w:p w14:paraId="1C457F8E" w14:textId="5D984BF1" w:rsidR="00705922" w:rsidRPr="00F25D02" w:rsidRDefault="00705922" w:rsidP="00705922">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Several submissions warned that regulating access and use of </w:t>
      </w:r>
      <w:r w:rsidR="00BB7978" w:rsidRPr="00F25D02">
        <w:rPr>
          <w:rFonts w:ascii="Times New Roman"/>
          <w:kern w:val="22"/>
        </w:rPr>
        <w:t>digital sequence information</w:t>
      </w:r>
      <w:r w:rsidRPr="00F25D02">
        <w:rPr>
          <w:rFonts w:ascii="Times New Roman"/>
          <w:kern w:val="22"/>
        </w:rPr>
        <w:t xml:space="preserve"> under an ABS framework could be particularly disruptive to certain users and industries</w:t>
      </w:r>
      <w:r w:rsidRPr="00F25D02">
        <w:rPr>
          <w:rStyle w:val="FootnoteReference"/>
          <w:rFonts w:ascii="Times New Roman"/>
          <w:kern w:val="22"/>
        </w:rPr>
        <w:footnoteReference w:id="213"/>
      </w:r>
      <w:r w:rsidRPr="00F25D02">
        <w:rPr>
          <w:rFonts w:ascii="Times New Roman"/>
          <w:kern w:val="22"/>
        </w:rPr>
        <w:t xml:space="preserve"> including a disproportionate effect on academic and public institutions, particularly research institutions in developing countries</w:t>
      </w:r>
      <w:r w:rsidR="00780D62" w:rsidRPr="00F25D02">
        <w:rPr>
          <w:rFonts w:ascii="Times New Roman"/>
          <w:kern w:val="22"/>
        </w:rPr>
        <w:t>,</w:t>
      </w:r>
      <w:r w:rsidRPr="00F25D02">
        <w:rPr>
          <w:rStyle w:val="FootnoteReference"/>
          <w:rFonts w:ascii="Times New Roman"/>
          <w:kern w:val="22"/>
        </w:rPr>
        <w:footnoteReference w:id="214"/>
      </w:r>
      <w:r w:rsidRPr="00F25D02">
        <w:rPr>
          <w:rFonts w:ascii="Times New Roman"/>
          <w:kern w:val="22"/>
        </w:rPr>
        <w:t xml:space="preserve"> as well as SMEs.</w:t>
      </w:r>
      <w:r w:rsidRPr="00F25D02">
        <w:rPr>
          <w:rStyle w:val="FootnoteReference"/>
          <w:rFonts w:ascii="Times New Roman"/>
          <w:kern w:val="22"/>
        </w:rPr>
        <w:footnoteReference w:id="215"/>
      </w:r>
      <w:r w:rsidRPr="00F25D02">
        <w:rPr>
          <w:rFonts w:ascii="Times New Roman"/>
          <w:kern w:val="22"/>
        </w:rPr>
        <w:t xml:space="preserve"> </w:t>
      </w:r>
    </w:p>
    <w:p w14:paraId="313B22C9" w14:textId="3D35A0C4" w:rsidR="00705922" w:rsidRPr="00F25D02" w:rsidRDefault="00705922" w:rsidP="00705922">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 xml:space="preserve">Two submissions noted a shift in user behavior may already be underway regarding access and/or use of </w:t>
      </w:r>
      <w:r w:rsidR="00BB7978" w:rsidRPr="00F25D02">
        <w:rPr>
          <w:rFonts w:ascii="Times New Roman"/>
          <w:kern w:val="22"/>
        </w:rPr>
        <w:t>digital sequence information</w:t>
      </w:r>
      <w:r w:rsidRPr="00F25D02">
        <w:rPr>
          <w:rFonts w:ascii="Times New Roman"/>
          <w:kern w:val="22"/>
        </w:rPr>
        <w:t xml:space="preserve"> in life sciences industries.</w:t>
      </w:r>
      <w:r w:rsidRPr="00F25D02">
        <w:rPr>
          <w:rStyle w:val="FootnoteReference"/>
          <w:rFonts w:ascii="Times New Roman"/>
          <w:kern w:val="22"/>
        </w:rPr>
        <w:footnoteReference w:id="216"/>
      </w:r>
      <w:r w:rsidRPr="00F25D02">
        <w:rPr>
          <w:rFonts w:ascii="Times New Roman"/>
          <w:kern w:val="22"/>
        </w:rPr>
        <w:t xml:space="preserve"> An example was provided in which a major biotech company conducting research on ‘out of scope’ material decided, after conducting due diligence, not to pursue a similar research program over in-scope materials due to lack of legal certainty and operational clarity regarding the administrative processes in the country of origin.</w:t>
      </w:r>
      <w:r w:rsidRPr="00F25D02">
        <w:rPr>
          <w:rStyle w:val="FootnoteReference"/>
          <w:rFonts w:ascii="Times New Roman"/>
          <w:kern w:val="22"/>
        </w:rPr>
        <w:footnoteReference w:id="217"/>
      </w:r>
    </w:p>
    <w:p w14:paraId="7C53B07B" w14:textId="57DF0BA8" w:rsidR="00E3778E" w:rsidRPr="00F25D02" w:rsidRDefault="00524A30" w:rsidP="00086139">
      <w:pPr>
        <w:pStyle w:val="Heading1"/>
        <w:numPr>
          <w:ilvl w:val="0"/>
          <w:numId w:val="8"/>
        </w:numPr>
        <w:ind w:left="1080" w:hanging="720"/>
        <w:rPr>
          <w:kern w:val="22"/>
        </w:rPr>
      </w:pPr>
      <w:r w:rsidRPr="00F25D02">
        <w:rPr>
          <w:kern w:val="22"/>
        </w:rPr>
        <w:t>POTENTIAL NEED FOR FURTHER INFORMATION</w:t>
      </w:r>
    </w:p>
    <w:p w14:paraId="1F360216" w14:textId="2E16BED0" w:rsidR="00C04643" w:rsidRPr="00F25D02" w:rsidRDefault="004C6AA7" w:rsidP="00BE3CA6">
      <w:pPr>
        <w:pStyle w:val="ListParagraph"/>
        <w:numPr>
          <w:ilvl w:val="0"/>
          <w:numId w:val="2"/>
        </w:numPr>
        <w:tabs>
          <w:tab w:val="left" w:pos="720"/>
          <w:tab w:val="left" w:pos="1170"/>
        </w:tabs>
        <w:spacing w:before="120" w:after="120" w:line="240" w:lineRule="auto"/>
        <w:ind w:left="0" w:firstLine="0"/>
        <w:contextualSpacing w:val="0"/>
        <w:jc w:val="both"/>
        <w:rPr>
          <w:rFonts w:ascii="Times New Roman"/>
          <w:kern w:val="22"/>
        </w:rPr>
      </w:pPr>
      <w:r w:rsidRPr="00F25D02">
        <w:rPr>
          <w:rFonts w:ascii="Times New Roman"/>
          <w:kern w:val="22"/>
        </w:rPr>
        <w:t>Several</w:t>
      </w:r>
      <w:r w:rsidR="00E82B23" w:rsidRPr="00F25D02">
        <w:rPr>
          <w:rFonts w:ascii="Times New Roman"/>
          <w:kern w:val="22"/>
        </w:rPr>
        <w:t xml:space="preserve"> </w:t>
      </w:r>
      <w:r w:rsidR="00E50BC5" w:rsidRPr="00F25D02">
        <w:rPr>
          <w:rFonts w:ascii="Times New Roman"/>
          <w:kern w:val="22"/>
        </w:rPr>
        <w:t>considerations</w:t>
      </w:r>
      <w:r w:rsidR="00C04643" w:rsidRPr="00F25D02">
        <w:rPr>
          <w:rFonts w:ascii="Times New Roman"/>
          <w:kern w:val="22"/>
        </w:rPr>
        <w:t xml:space="preserve"> relevant to clarifying the concept of </w:t>
      </w:r>
      <w:r w:rsidR="00BB7978" w:rsidRPr="00F25D02">
        <w:rPr>
          <w:rFonts w:ascii="Times New Roman"/>
          <w:kern w:val="22"/>
        </w:rPr>
        <w:t>digital sequence information</w:t>
      </w:r>
      <w:r w:rsidR="00E3778E" w:rsidRPr="00F25D02">
        <w:rPr>
          <w:rFonts w:ascii="Times New Roman"/>
          <w:kern w:val="22"/>
        </w:rPr>
        <w:t xml:space="preserve"> were </w:t>
      </w:r>
      <w:r w:rsidRPr="00F25D02">
        <w:rPr>
          <w:rFonts w:ascii="Times New Roman"/>
          <w:kern w:val="22"/>
        </w:rPr>
        <w:t xml:space="preserve">further </w:t>
      </w:r>
      <w:r w:rsidR="00E3778E" w:rsidRPr="00F25D02">
        <w:rPr>
          <w:rFonts w:ascii="Times New Roman"/>
          <w:kern w:val="22"/>
        </w:rPr>
        <w:t>identified</w:t>
      </w:r>
      <w:r w:rsidR="00C04643" w:rsidRPr="00F25D02">
        <w:rPr>
          <w:rFonts w:ascii="Times New Roman"/>
          <w:kern w:val="22"/>
        </w:rPr>
        <w:t xml:space="preserve">, including: </w:t>
      </w:r>
    </w:p>
    <w:p w14:paraId="75FABD83" w14:textId="5CB67F61" w:rsidR="00C04643" w:rsidRPr="00F25D02" w:rsidRDefault="00860281" w:rsidP="00860281">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F</w:t>
      </w:r>
      <w:r w:rsidR="00C04643" w:rsidRPr="00F25D02">
        <w:rPr>
          <w:rFonts w:ascii="Times New Roman"/>
          <w:kern w:val="22"/>
        </w:rPr>
        <w:t xml:space="preserve">urther discussion on the relationship between </w:t>
      </w:r>
      <w:r w:rsidR="00BB7978" w:rsidRPr="00F25D02">
        <w:rPr>
          <w:rFonts w:ascii="Times New Roman"/>
          <w:kern w:val="22"/>
        </w:rPr>
        <w:t>digital sequence information</w:t>
      </w:r>
      <w:r w:rsidR="00C04643" w:rsidRPr="00F25D02">
        <w:rPr>
          <w:rFonts w:ascii="Times New Roman"/>
          <w:kern w:val="22"/>
        </w:rPr>
        <w:t xml:space="preserve"> and </w:t>
      </w:r>
      <w:r w:rsidR="007B7F3E" w:rsidRPr="00F25D02">
        <w:rPr>
          <w:rFonts w:ascii="Times New Roman"/>
          <w:kern w:val="22"/>
        </w:rPr>
        <w:t xml:space="preserve">the </w:t>
      </w:r>
      <w:r w:rsidR="00C04643" w:rsidRPr="00F25D02">
        <w:rPr>
          <w:rFonts w:ascii="Times New Roman"/>
          <w:kern w:val="22"/>
        </w:rPr>
        <w:t>objectives of the CBD;</w:t>
      </w:r>
      <w:r w:rsidR="00C04643" w:rsidRPr="00F25D02">
        <w:rPr>
          <w:rStyle w:val="FootnoteReference"/>
          <w:rFonts w:ascii="Times New Roman"/>
          <w:kern w:val="22"/>
        </w:rPr>
        <w:footnoteReference w:id="218"/>
      </w:r>
      <w:r w:rsidR="00C04643" w:rsidRPr="00F25D02">
        <w:rPr>
          <w:rFonts w:ascii="Times New Roman"/>
          <w:kern w:val="22"/>
        </w:rPr>
        <w:t xml:space="preserve"> </w:t>
      </w:r>
    </w:p>
    <w:p w14:paraId="2F453B49" w14:textId="3B2C9299" w:rsidR="00C04643" w:rsidRPr="00F25D02" w:rsidRDefault="00860281" w:rsidP="00860281">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A</w:t>
      </w:r>
      <w:r w:rsidR="00C04643" w:rsidRPr="00F25D02">
        <w:rPr>
          <w:rFonts w:ascii="Times New Roman"/>
          <w:kern w:val="22"/>
        </w:rPr>
        <w:t xml:space="preserve"> better understanding of the key actors (including private databases, public databases and indigenous/local communities)</w:t>
      </w:r>
      <w:r w:rsidR="00C04643" w:rsidRPr="00F25D02">
        <w:rPr>
          <w:rStyle w:val="FootnoteReference"/>
          <w:rFonts w:ascii="Times New Roman"/>
          <w:kern w:val="22"/>
        </w:rPr>
        <w:footnoteReference w:id="219"/>
      </w:r>
      <w:r w:rsidR="00C04643" w:rsidRPr="00F25D02">
        <w:rPr>
          <w:rFonts w:ascii="Times New Roman"/>
          <w:kern w:val="22"/>
        </w:rPr>
        <w:t xml:space="preserve"> as well as the ultimate beneficiaries of outcomes (e.g. new medicines, improved crops, new materials, etc.) that are facilitated by the open sharing of </w:t>
      </w:r>
      <w:r w:rsidR="00BB7978" w:rsidRPr="00F25D02">
        <w:rPr>
          <w:rFonts w:ascii="Times New Roman"/>
          <w:kern w:val="22"/>
        </w:rPr>
        <w:t>digital sequence information</w:t>
      </w:r>
      <w:r w:rsidR="00C04643" w:rsidRPr="00F25D02">
        <w:rPr>
          <w:rFonts w:ascii="Times New Roman"/>
          <w:kern w:val="22"/>
        </w:rPr>
        <w:t>;</w:t>
      </w:r>
      <w:r w:rsidR="00C04643" w:rsidRPr="00F25D02">
        <w:rPr>
          <w:rStyle w:val="FootnoteReference"/>
          <w:rFonts w:ascii="Times New Roman"/>
          <w:kern w:val="22"/>
        </w:rPr>
        <w:footnoteReference w:id="220"/>
      </w:r>
      <w:r w:rsidR="00C04643" w:rsidRPr="00F25D02">
        <w:rPr>
          <w:rFonts w:ascii="Times New Roman"/>
          <w:kern w:val="22"/>
        </w:rPr>
        <w:t xml:space="preserve"> </w:t>
      </w:r>
    </w:p>
    <w:p w14:paraId="0E001A31" w14:textId="36A633D8" w:rsidR="00C04643" w:rsidRPr="00F25D02" w:rsidRDefault="00860281" w:rsidP="00860281">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lastRenderedPageBreak/>
        <w:t>M</w:t>
      </w:r>
      <w:r w:rsidR="00C04643" w:rsidRPr="00F25D02">
        <w:rPr>
          <w:rFonts w:ascii="Times New Roman"/>
          <w:kern w:val="22"/>
        </w:rPr>
        <w:t xml:space="preserve">ore comprehensive and fact-based information regarding how </w:t>
      </w:r>
      <w:r w:rsidR="00BB7978" w:rsidRPr="00F25D02">
        <w:rPr>
          <w:rFonts w:ascii="Times New Roman"/>
          <w:kern w:val="22"/>
        </w:rPr>
        <w:t>digital sequence information</w:t>
      </w:r>
      <w:r w:rsidR="00C04643" w:rsidRPr="00F25D02">
        <w:rPr>
          <w:rFonts w:ascii="Times New Roman"/>
          <w:kern w:val="22"/>
        </w:rPr>
        <w:t xml:space="preserve"> is collected, generated, shared and used in biological research</w:t>
      </w:r>
      <w:r w:rsidR="003A1006" w:rsidRPr="00F25D02">
        <w:rPr>
          <w:rFonts w:ascii="Times New Roman"/>
          <w:kern w:val="22"/>
        </w:rPr>
        <w:t>,</w:t>
      </w:r>
      <w:r w:rsidR="00C04643" w:rsidRPr="00F25D02">
        <w:rPr>
          <w:rStyle w:val="FootnoteReference"/>
          <w:rFonts w:ascii="Times New Roman"/>
          <w:kern w:val="22"/>
        </w:rPr>
        <w:footnoteReference w:id="221"/>
      </w:r>
      <w:r w:rsidR="00C04643" w:rsidRPr="00F25D02">
        <w:rPr>
          <w:rFonts w:ascii="Times New Roman"/>
          <w:kern w:val="22"/>
        </w:rPr>
        <w:t xml:space="preserve"> </w:t>
      </w:r>
      <w:r w:rsidR="003A1006" w:rsidRPr="00F25D02">
        <w:rPr>
          <w:rFonts w:ascii="Times New Roman"/>
          <w:kern w:val="22"/>
        </w:rPr>
        <w:t>including the use of digital object identifiers (DOIs) as metadata for sequencing and genotyping in research</w:t>
      </w:r>
      <w:r w:rsidR="00A43BD3" w:rsidRPr="00F25D02">
        <w:rPr>
          <w:rFonts w:ascii="Times New Roman"/>
          <w:kern w:val="22"/>
        </w:rPr>
        <w:t xml:space="preserve">, </w:t>
      </w:r>
      <w:r w:rsidR="00253ED2" w:rsidRPr="00F25D02">
        <w:rPr>
          <w:rFonts w:ascii="Times New Roman"/>
          <w:kern w:val="22"/>
        </w:rPr>
        <w:t xml:space="preserve">and the disclosure of </w:t>
      </w:r>
      <w:r w:rsidR="00A43BD3" w:rsidRPr="00F25D02">
        <w:rPr>
          <w:rFonts w:ascii="Times New Roman"/>
          <w:kern w:val="22"/>
        </w:rPr>
        <w:t>country of origin information in metadata</w:t>
      </w:r>
      <w:r w:rsidR="00780D62" w:rsidRPr="00F25D02">
        <w:rPr>
          <w:rFonts w:ascii="Times New Roman"/>
          <w:kern w:val="22"/>
        </w:rPr>
        <w:t>;</w:t>
      </w:r>
      <w:r w:rsidR="003A1006" w:rsidRPr="00F25D02">
        <w:rPr>
          <w:rStyle w:val="FootnoteReference"/>
          <w:rFonts w:ascii="Times New Roman"/>
          <w:kern w:val="22"/>
        </w:rPr>
        <w:footnoteReference w:id="222"/>
      </w:r>
    </w:p>
    <w:p w14:paraId="34F985E5" w14:textId="13F4C8FF" w:rsidR="00C04643" w:rsidRPr="00F25D02" w:rsidRDefault="00860281" w:rsidP="00860281">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D</w:t>
      </w:r>
      <w:r w:rsidR="00C04643" w:rsidRPr="00F25D02">
        <w:rPr>
          <w:rFonts w:ascii="Times New Roman"/>
          <w:kern w:val="22"/>
        </w:rPr>
        <w:t>etailed case studies by the international business community in order to provide further insights on the well-functioning of the current system;</w:t>
      </w:r>
      <w:r w:rsidR="00C04643" w:rsidRPr="00F25D02">
        <w:rPr>
          <w:rStyle w:val="FootnoteReference"/>
          <w:rFonts w:ascii="Times New Roman"/>
          <w:kern w:val="22"/>
        </w:rPr>
        <w:footnoteReference w:id="223"/>
      </w:r>
      <w:r w:rsidR="00C04643" w:rsidRPr="00F25D02">
        <w:rPr>
          <w:rFonts w:ascii="Times New Roman"/>
          <w:kern w:val="22"/>
        </w:rPr>
        <w:t xml:space="preserve"> </w:t>
      </w:r>
    </w:p>
    <w:p w14:paraId="63926F97" w14:textId="2476A4AA" w:rsidR="00C04643" w:rsidRPr="00F25D02" w:rsidRDefault="00860281" w:rsidP="00860281">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E</w:t>
      </w:r>
      <w:r w:rsidR="00C04643" w:rsidRPr="00F25D02">
        <w:rPr>
          <w:rFonts w:ascii="Times New Roman"/>
          <w:kern w:val="22"/>
        </w:rPr>
        <w:t xml:space="preserve">conomic modelling to quantify and compare the value which unencumbered access and use of </w:t>
      </w:r>
      <w:r w:rsidR="00BB7978" w:rsidRPr="00F25D02">
        <w:rPr>
          <w:rFonts w:ascii="Times New Roman"/>
          <w:kern w:val="22"/>
        </w:rPr>
        <w:t>digital sequence information</w:t>
      </w:r>
      <w:r w:rsidR="00C04643" w:rsidRPr="00F25D02">
        <w:rPr>
          <w:rFonts w:ascii="Times New Roman"/>
          <w:kern w:val="22"/>
        </w:rPr>
        <w:t xml:space="preserve"> represents for furthering objectives of CBD and N</w:t>
      </w:r>
      <w:r w:rsidR="00AA5228" w:rsidRPr="00F25D02">
        <w:rPr>
          <w:rFonts w:ascii="Times New Roman"/>
          <w:kern w:val="22"/>
        </w:rPr>
        <w:t>agoya Protocol</w:t>
      </w:r>
      <w:r w:rsidR="00C04643" w:rsidRPr="00F25D02">
        <w:rPr>
          <w:rFonts w:ascii="Times New Roman"/>
          <w:kern w:val="22"/>
        </w:rPr>
        <w:t xml:space="preserve">, as well as revenue potential and implementation costs for alternative models for regulating access and use </w:t>
      </w:r>
      <w:r w:rsidR="00BB7978" w:rsidRPr="00F25D02">
        <w:rPr>
          <w:rFonts w:ascii="Times New Roman"/>
          <w:kern w:val="22"/>
        </w:rPr>
        <w:t>digital sequence information</w:t>
      </w:r>
      <w:r w:rsidR="00C04643" w:rsidRPr="00F25D02">
        <w:rPr>
          <w:rFonts w:ascii="Times New Roman"/>
          <w:kern w:val="22"/>
        </w:rPr>
        <w:t>;</w:t>
      </w:r>
      <w:r w:rsidR="00C04643" w:rsidRPr="00F25D02">
        <w:rPr>
          <w:rStyle w:val="FootnoteReference"/>
          <w:rFonts w:ascii="Times New Roman"/>
          <w:kern w:val="22"/>
        </w:rPr>
        <w:footnoteReference w:id="224"/>
      </w:r>
      <w:r w:rsidR="00C04643" w:rsidRPr="00F25D02">
        <w:rPr>
          <w:rFonts w:ascii="Times New Roman"/>
          <w:kern w:val="22"/>
        </w:rPr>
        <w:t xml:space="preserve"> </w:t>
      </w:r>
    </w:p>
    <w:p w14:paraId="528F6F1F" w14:textId="448027E2" w:rsidR="00613133" w:rsidRPr="00F25D02" w:rsidRDefault="00860281" w:rsidP="00860281">
      <w:pPr>
        <w:pStyle w:val="ListParagraph"/>
        <w:numPr>
          <w:ilvl w:val="1"/>
          <w:numId w:val="2"/>
        </w:numPr>
        <w:tabs>
          <w:tab w:val="left" w:pos="1440"/>
        </w:tabs>
        <w:spacing w:before="120" w:after="120" w:line="240" w:lineRule="auto"/>
        <w:ind w:left="0" w:firstLine="720"/>
        <w:contextualSpacing w:val="0"/>
        <w:jc w:val="both"/>
        <w:rPr>
          <w:rFonts w:ascii="Times New Roman"/>
          <w:kern w:val="22"/>
        </w:rPr>
      </w:pPr>
      <w:r w:rsidRPr="00F25D02">
        <w:rPr>
          <w:rFonts w:ascii="Times New Roman"/>
          <w:kern w:val="22"/>
        </w:rPr>
        <w:t>F</w:t>
      </w:r>
      <w:r w:rsidR="00C04643" w:rsidRPr="00F25D02">
        <w:rPr>
          <w:rFonts w:ascii="Times New Roman"/>
          <w:kern w:val="22"/>
        </w:rPr>
        <w:t>urther research to identify cost-effective solutions that mitigate the risks of data being used for commercial purposes without monetary benefits flowing back to the country of origin, without increasing the risk of loss of non-monetary benefits</w:t>
      </w:r>
      <w:r w:rsidR="00613133" w:rsidRPr="00F25D02">
        <w:rPr>
          <w:rFonts w:ascii="Times New Roman"/>
          <w:kern w:val="22"/>
        </w:rPr>
        <w:t>;</w:t>
      </w:r>
      <w:r w:rsidR="00C04643" w:rsidRPr="00F25D02">
        <w:rPr>
          <w:rStyle w:val="FootnoteReference"/>
          <w:rFonts w:ascii="Times New Roman"/>
          <w:kern w:val="22"/>
        </w:rPr>
        <w:footnoteReference w:id="225"/>
      </w:r>
      <w:r w:rsidR="00C04643" w:rsidRPr="00F25D02">
        <w:rPr>
          <w:rFonts w:ascii="Times New Roman"/>
          <w:kern w:val="22"/>
        </w:rPr>
        <w:t xml:space="preserve"> </w:t>
      </w:r>
    </w:p>
    <w:p w14:paraId="278A412E" w14:textId="3B048E55" w:rsidR="00814401" w:rsidRPr="00F25D02" w:rsidRDefault="00860281" w:rsidP="00411BC4">
      <w:pPr>
        <w:pStyle w:val="ListParagraph"/>
        <w:numPr>
          <w:ilvl w:val="1"/>
          <w:numId w:val="2"/>
        </w:numPr>
        <w:tabs>
          <w:tab w:val="left" w:pos="1440"/>
        </w:tabs>
        <w:spacing w:before="120" w:after="120" w:line="240" w:lineRule="auto"/>
        <w:ind w:left="0" w:firstLine="720"/>
        <w:contextualSpacing w:val="0"/>
        <w:jc w:val="both"/>
        <w:rPr>
          <w:kern w:val="22"/>
        </w:rPr>
      </w:pPr>
      <w:r w:rsidRPr="00F25D02">
        <w:rPr>
          <w:rFonts w:ascii="Times New Roman"/>
          <w:kern w:val="22"/>
        </w:rPr>
        <w:t>E</w:t>
      </w:r>
      <w:r w:rsidR="00742721" w:rsidRPr="00F25D02">
        <w:rPr>
          <w:rFonts w:ascii="Times New Roman"/>
          <w:kern w:val="22"/>
        </w:rPr>
        <w:t>xploring mechanisms for greater harmonization/uniformity such as through universal regulatory mechanisms</w:t>
      </w:r>
      <w:r w:rsidR="00613133" w:rsidRPr="00F25D02">
        <w:rPr>
          <w:rFonts w:ascii="Times New Roman"/>
          <w:kern w:val="22"/>
        </w:rPr>
        <w:t>,</w:t>
      </w:r>
      <w:r w:rsidR="00742721" w:rsidRPr="00F25D02">
        <w:rPr>
          <w:rStyle w:val="FootnoteReference"/>
          <w:rFonts w:ascii="Times New Roman"/>
          <w:kern w:val="22"/>
        </w:rPr>
        <w:footnoteReference w:id="226"/>
      </w:r>
      <w:r w:rsidR="00742721" w:rsidRPr="00F25D02">
        <w:rPr>
          <w:rFonts w:ascii="Times New Roman"/>
          <w:kern w:val="22"/>
        </w:rPr>
        <w:t xml:space="preserve"> internationally harmonized mechanisms, and</w:t>
      </w:r>
      <w:r w:rsidR="00742721" w:rsidRPr="00F25D02">
        <w:rPr>
          <w:rStyle w:val="FootnoteReference"/>
          <w:rFonts w:ascii="Times New Roman"/>
          <w:kern w:val="22"/>
        </w:rPr>
        <w:footnoteReference w:id="227"/>
      </w:r>
      <w:r w:rsidR="00742721" w:rsidRPr="00F25D02">
        <w:rPr>
          <w:rFonts w:ascii="Times New Roman"/>
          <w:kern w:val="22"/>
        </w:rPr>
        <w:t xml:space="preserve"> multilateral ABS systems.</w:t>
      </w:r>
      <w:r w:rsidR="00742721" w:rsidRPr="00F25D02">
        <w:rPr>
          <w:rStyle w:val="FootnoteReference"/>
          <w:rFonts w:ascii="Times New Roman"/>
          <w:kern w:val="22"/>
        </w:rPr>
        <w:footnoteReference w:id="228"/>
      </w:r>
      <w:r w:rsidR="00814401" w:rsidRPr="00F25D02">
        <w:rPr>
          <w:rFonts w:ascii="Times New Roman"/>
          <w:kern w:val="22"/>
        </w:rPr>
        <w:t xml:space="preserve"> </w:t>
      </w:r>
      <w:r w:rsidR="00814401" w:rsidRPr="00F25D02">
        <w:rPr>
          <w:kern w:val="22"/>
        </w:rPr>
        <w:br w:type="page"/>
      </w:r>
    </w:p>
    <w:p w14:paraId="44F63548" w14:textId="211FB066" w:rsidR="00814401" w:rsidRPr="00F25D02" w:rsidRDefault="00814401" w:rsidP="00A23DFE">
      <w:pPr>
        <w:jc w:val="center"/>
        <w:rPr>
          <w:rFonts w:ascii="Times New Roman"/>
          <w:i/>
          <w:iCs/>
          <w:kern w:val="22"/>
        </w:rPr>
      </w:pPr>
      <w:r w:rsidRPr="00F25D02">
        <w:rPr>
          <w:rFonts w:ascii="Times New Roman"/>
          <w:i/>
          <w:iCs/>
          <w:kern w:val="22"/>
        </w:rPr>
        <w:lastRenderedPageBreak/>
        <w:t xml:space="preserve">Annex to </w:t>
      </w:r>
      <w:r w:rsidR="00B14939" w:rsidRPr="00F25D02">
        <w:rPr>
          <w:rFonts w:ascii="Times New Roman"/>
          <w:i/>
          <w:iCs/>
          <w:kern w:val="22"/>
        </w:rPr>
        <w:t>the s</w:t>
      </w:r>
      <w:r w:rsidRPr="00F25D02">
        <w:rPr>
          <w:rFonts w:ascii="Times New Roman"/>
          <w:i/>
          <w:iCs/>
          <w:kern w:val="22"/>
        </w:rPr>
        <w:t>ynthesis</w:t>
      </w:r>
    </w:p>
    <w:p w14:paraId="3466ED9D" w14:textId="77777777" w:rsidR="00814401" w:rsidRPr="00F25D02" w:rsidRDefault="00814401" w:rsidP="00814401">
      <w:pPr>
        <w:rPr>
          <w:rFonts w:ascii="Times New Roman"/>
          <w:b/>
          <w:bCs/>
          <w:kern w:val="22"/>
        </w:rPr>
      </w:pPr>
      <w:r w:rsidRPr="00F25D02">
        <w:rPr>
          <w:rFonts w:ascii="Times New Roman"/>
          <w:b/>
          <w:bCs/>
          <w:kern w:val="22"/>
        </w:rPr>
        <w:t>LIST OF SUBMISSIONS</w:t>
      </w:r>
    </w:p>
    <w:p w14:paraId="6BB66D6F" w14:textId="421316F0" w:rsidR="00814401" w:rsidRPr="00F25D02" w:rsidRDefault="00814401" w:rsidP="00814401">
      <w:pPr>
        <w:rPr>
          <w:rFonts w:ascii="Times New Roman"/>
          <w:kern w:val="22"/>
        </w:rPr>
      </w:pPr>
      <w:r w:rsidRPr="00F25D02">
        <w:rPr>
          <w:rFonts w:ascii="Times New Roman"/>
          <w:kern w:val="22"/>
        </w:rPr>
        <w:t>As described above, by notification (2017-37) of 5 February 2019 the Executive Secretary invited the submission of views and expression of interest to undertake studies pursuant to decisions 14/20 and NP-3/12.</w:t>
      </w:r>
    </w:p>
    <w:p w14:paraId="50912D84" w14:textId="77777777" w:rsidR="00814401" w:rsidRPr="00F25D02" w:rsidRDefault="00814401" w:rsidP="00814401">
      <w:pPr>
        <w:rPr>
          <w:rFonts w:ascii="Times New Roman"/>
          <w:kern w:val="22"/>
        </w:rPr>
      </w:pPr>
      <w:r w:rsidRPr="00F25D02">
        <w:rPr>
          <w:rFonts w:ascii="Times New Roman"/>
          <w:kern w:val="22"/>
        </w:rPr>
        <w:t>Submissions received by the Secretariat in response are listed below. The full text of submissions has been made available online.</w:t>
      </w:r>
      <w:r w:rsidRPr="00F25D02">
        <w:rPr>
          <w:rStyle w:val="FootnoteReference"/>
          <w:rFonts w:ascii="Times New Roman"/>
          <w:kern w:val="22"/>
        </w:rPr>
        <w:footnoteReference w:id="229"/>
      </w:r>
    </w:p>
    <w:p w14:paraId="6C8BF3E5" w14:textId="77777777" w:rsidR="00814401" w:rsidRPr="00F25D02" w:rsidRDefault="00814401" w:rsidP="00F25D02">
      <w:pPr>
        <w:spacing w:before="120" w:after="120"/>
        <w:ind w:left="720" w:hanging="720"/>
        <w:rPr>
          <w:rFonts w:ascii="Times New Roman"/>
          <w:kern w:val="22"/>
        </w:rPr>
      </w:pPr>
      <w:r w:rsidRPr="00F25D02">
        <w:rPr>
          <w:rFonts w:ascii="Times New Roman"/>
          <w:kern w:val="22"/>
        </w:rPr>
        <w:t>(a)</w:t>
      </w:r>
      <w:r w:rsidRPr="00F25D02">
        <w:rPr>
          <w:rFonts w:ascii="Times New Roman"/>
          <w:kern w:val="22"/>
        </w:rPr>
        <w:tab/>
        <w:t xml:space="preserve">Parties to the Convention: </w:t>
      </w:r>
    </w:p>
    <w:p w14:paraId="50189B51" w14:textId="57BF051B" w:rsidR="00814401" w:rsidRPr="00F25D02" w:rsidRDefault="00814401" w:rsidP="00F25D02">
      <w:pPr>
        <w:spacing w:before="120" w:after="120"/>
        <w:rPr>
          <w:rFonts w:ascii="Times New Roman"/>
          <w:kern w:val="22"/>
        </w:rPr>
      </w:pPr>
      <w:bookmarkStart w:id="43" w:name="_Hlk34042042"/>
      <w:r w:rsidRPr="00F25D02">
        <w:rPr>
          <w:rFonts w:ascii="Times New Roman"/>
          <w:kern w:val="22"/>
        </w:rPr>
        <w:t>Argentina, Australia, Belarus, Brazil, Canada, Colombia, Costa Rica, Ethiopia, European Union and its Member States, India, Iran, Japan, Madagascar, Mexico, Republic of Korea, South Africa, and Switzerland</w:t>
      </w:r>
      <w:r w:rsidR="00E463FD" w:rsidRPr="00F25D02">
        <w:rPr>
          <w:rFonts w:ascii="Times New Roman"/>
          <w:kern w:val="22"/>
        </w:rPr>
        <w:t>;</w:t>
      </w:r>
      <w:r w:rsidRPr="00F25D02">
        <w:rPr>
          <w:rFonts w:ascii="Times New Roman"/>
          <w:kern w:val="22"/>
        </w:rPr>
        <w:t xml:space="preserve"> </w:t>
      </w:r>
    </w:p>
    <w:p w14:paraId="5AC1A6A7" w14:textId="4390DCC4" w:rsidR="00814401" w:rsidRPr="00F25D02" w:rsidRDefault="00814401" w:rsidP="00F25D02">
      <w:pPr>
        <w:pStyle w:val="ListParagraph"/>
        <w:numPr>
          <w:ilvl w:val="0"/>
          <w:numId w:val="17"/>
        </w:numPr>
        <w:spacing w:before="120" w:after="120" w:line="248" w:lineRule="auto"/>
        <w:ind w:firstLine="0"/>
        <w:contextualSpacing w:val="0"/>
        <w:jc w:val="both"/>
        <w:rPr>
          <w:rFonts w:ascii="Times New Roman"/>
          <w:kern w:val="22"/>
        </w:rPr>
      </w:pPr>
      <w:r w:rsidRPr="00F25D02">
        <w:rPr>
          <w:rFonts w:ascii="Times New Roman"/>
          <w:kern w:val="22"/>
        </w:rPr>
        <w:t>A non-Party: United States of America</w:t>
      </w:r>
      <w:r w:rsidR="00E463FD" w:rsidRPr="00F25D02">
        <w:rPr>
          <w:rFonts w:ascii="Times New Roman"/>
          <w:kern w:val="22"/>
        </w:rPr>
        <w:t>;</w:t>
      </w:r>
    </w:p>
    <w:p w14:paraId="52232943" w14:textId="77777777" w:rsidR="00814401" w:rsidRPr="00F25D02" w:rsidRDefault="00814401" w:rsidP="00F25D02">
      <w:pPr>
        <w:pStyle w:val="ListParagraph"/>
        <w:numPr>
          <w:ilvl w:val="0"/>
          <w:numId w:val="17"/>
        </w:numPr>
        <w:spacing w:before="120" w:after="120" w:line="248" w:lineRule="auto"/>
        <w:ind w:firstLine="0"/>
        <w:contextualSpacing w:val="0"/>
        <w:jc w:val="both"/>
        <w:rPr>
          <w:rFonts w:ascii="Times New Roman"/>
          <w:kern w:val="22"/>
        </w:rPr>
      </w:pPr>
      <w:r w:rsidRPr="00F25D02">
        <w:rPr>
          <w:rFonts w:ascii="Times New Roman"/>
          <w:kern w:val="22"/>
        </w:rPr>
        <w:t xml:space="preserve">Intergovernmental and other relevant organizations and stakeholders: </w:t>
      </w:r>
    </w:p>
    <w:p w14:paraId="62871699" w14:textId="77777777" w:rsidR="00814401" w:rsidRPr="00F25D02" w:rsidRDefault="00814401" w:rsidP="00086139">
      <w:pPr>
        <w:pStyle w:val="ListParagraph"/>
        <w:numPr>
          <w:ilvl w:val="0"/>
          <w:numId w:val="18"/>
        </w:numPr>
        <w:spacing w:before="120" w:after="120" w:line="248" w:lineRule="auto"/>
        <w:ind w:left="1080"/>
        <w:jc w:val="both"/>
        <w:rPr>
          <w:rFonts w:ascii="Times New Roman"/>
          <w:kern w:val="22"/>
        </w:rPr>
      </w:pPr>
      <w:r w:rsidRPr="00F25D02">
        <w:rPr>
          <w:rFonts w:ascii="Times New Roman"/>
          <w:kern w:val="22"/>
        </w:rPr>
        <w:t xml:space="preserve">African Union Commission on behalf of the African Group; </w:t>
      </w:r>
    </w:p>
    <w:p w14:paraId="737AC5F1" w14:textId="4A40274B" w:rsidR="00814401" w:rsidRPr="00F25D02" w:rsidRDefault="00814401" w:rsidP="00086139">
      <w:pPr>
        <w:pStyle w:val="ListParagraph"/>
        <w:numPr>
          <w:ilvl w:val="0"/>
          <w:numId w:val="18"/>
        </w:numPr>
        <w:spacing w:before="120" w:after="120" w:line="248" w:lineRule="auto"/>
        <w:ind w:left="1080"/>
        <w:jc w:val="both"/>
        <w:rPr>
          <w:rFonts w:ascii="Times New Roman"/>
          <w:kern w:val="22"/>
        </w:rPr>
      </w:pPr>
      <w:r w:rsidRPr="00F25D02">
        <w:rPr>
          <w:rFonts w:ascii="Times New Roman"/>
          <w:kern w:val="22"/>
        </w:rPr>
        <w:t xml:space="preserve">Secretariat of the International Treaty on Plant Genetic Resources for Food and Agriculture (ITPGRFA); </w:t>
      </w:r>
    </w:p>
    <w:p w14:paraId="4808B100" w14:textId="77777777" w:rsidR="00814401" w:rsidRPr="00F25D02" w:rsidRDefault="00814401" w:rsidP="00086139">
      <w:pPr>
        <w:pStyle w:val="ListParagraph"/>
        <w:numPr>
          <w:ilvl w:val="0"/>
          <w:numId w:val="18"/>
        </w:numPr>
        <w:spacing w:before="120" w:after="120" w:line="248" w:lineRule="auto"/>
        <w:ind w:left="1080"/>
        <w:jc w:val="both"/>
        <w:rPr>
          <w:rFonts w:ascii="Times New Roman"/>
          <w:kern w:val="22"/>
        </w:rPr>
      </w:pPr>
      <w:r w:rsidRPr="00F25D02">
        <w:rPr>
          <w:rFonts w:ascii="Times New Roman"/>
          <w:kern w:val="22"/>
        </w:rPr>
        <w:t xml:space="preserve">Consortium of European Taxonomic Facilities (CETAF); </w:t>
      </w:r>
    </w:p>
    <w:p w14:paraId="107B2FFC" w14:textId="77777777" w:rsidR="00814401" w:rsidRPr="00F25D02" w:rsidRDefault="00814401" w:rsidP="00086139">
      <w:pPr>
        <w:pStyle w:val="ListParagraph"/>
        <w:numPr>
          <w:ilvl w:val="0"/>
          <w:numId w:val="18"/>
        </w:numPr>
        <w:spacing w:before="120" w:after="120" w:line="248" w:lineRule="auto"/>
        <w:ind w:left="1080"/>
        <w:jc w:val="both"/>
        <w:rPr>
          <w:rFonts w:ascii="Times New Roman"/>
          <w:kern w:val="22"/>
        </w:rPr>
      </w:pPr>
      <w:r w:rsidRPr="00F25D02">
        <w:rPr>
          <w:rFonts w:ascii="Times New Roman"/>
          <w:kern w:val="22"/>
        </w:rPr>
        <w:t xml:space="preserve">Consortium of German Natural History Collections (Deutsche </w:t>
      </w:r>
      <w:proofErr w:type="spellStart"/>
      <w:r w:rsidRPr="00F25D02">
        <w:rPr>
          <w:rFonts w:ascii="Times New Roman"/>
          <w:kern w:val="22"/>
        </w:rPr>
        <w:t>Naturwissenschaftliche</w:t>
      </w:r>
      <w:proofErr w:type="spellEnd"/>
      <w:r w:rsidRPr="00F25D02">
        <w:rPr>
          <w:rFonts w:ascii="Times New Roman"/>
          <w:kern w:val="22"/>
        </w:rPr>
        <w:t xml:space="preserve"> </w:t>
      </w:r>
      <w:proofErr w:type="spellStart"/>
      <w:r w:rsidRPr="00F25D02">
        <w:rPr>
          <w:rFonts w:ascii="Times New Roman"/>
          <w:kern w:val="22"/>
        </w:rPr>
        <w:t>Forschungssammlungen</w:t>
      </w:r>
      <w:proofErr w:type="spellEnd"/>
      <w:r w:rsidRPr="00F25D02">
        <w:rPr>
          <w:rFonts w:ascii="Times New Roman"/>
          <w:kern w:val="22"/>
        </w:rPr>
        <w:t>); German Life Sciences Association (</w:t>
      </w:r>
      <w:proofErr w:type="spellStart"/>
      <w:r w:rsidRPr="00F25D02">
        <w:rPr>
          <w:rFonts w:ascii="Times New Roman"/>
          <w:kern w:val="22"/>
        </w:rPr>
        <w:t>Verband</w:t>
      </w:r>
      <w:proofErr w:type="spellEnd"/>
      <w:r w:rsidRPr="00F25D02">
        <w:rPr>
          <w:rFonts w:ascii="Times New Roman"/>
          <w:kern w:val="22"/>
        </w:rPr>
        <w:t xml:space="preserve"> </w:t>
      </w:r>
      <w:proofErr w:type="spellStart"/>
      <w:r w:rsidRPr="00F25D02">
        <w:rPr>
          <w:rFonts w:ascii="Times New Roman"/>
          <w:kern w:val="22"/>
        </w:rPr>
        <w:t>Biowissenschaften</w:t>
      </w:r>
      <w:proofErr w:type="spellEnd"/>
      <w:r w:rsidRPr="00F25D02">
        <w:rPr>
          <w:rFonts w:ascii="Times New Roman"/>
          <w:kern w:val="22"/>
        </w:rPr>
        <w:t xml:space="preserve">, </w:t>
      </w:r>
      <w:proofErr w:type="spellStart"/>
      <w:r w:rsidRPr="00F25D02">
        <w:rPr>
          <w:rFonts w:ascii="Times New Roman"/>
          <w:kern w:val="22"/>
        </w:rPr>
        <w:t>Biologie</w:t>
      </w:r>
      <w:proofErr w:type="spellEnd"/>
      <w:r w:rsidRPr="00F25D02">
        <w:rPr>
          <w:rFonts w:ascii="Times New Roman"/>
          <w:kern w:val="22"/>
        </w:rPr>
        <w:t xml:space="preserve"> und </w:t>
      </w:r>
      <w:proofErr w:type="spellStart"/>
      <w:r w:rsidRPr="00F25D02">
        <w:rPr>
          <w:rFonts w:ascii="Times New Roman"/>
          <w:kern w:val="22"/>
        </w:rPr>
        <w:t>Biomedizin</w:t>
      </w:r>
      <w:proofErr w:type="spellEnd"/>
      <w:r w:rsidRPr="00F25D02">
        <w:rPr>
          <w:rFonts w:ascii="Times New Roman"/>
          <w:kern w:val="22"/>
        </w:rPr>
        <w:t xml:space="preserve"> in Deutschland) and the Leibniz Biodiversity Research Alliance (Leibniz </w:t>
      </w:r>
      <w:proofErr w:type="spellStart"/>
      <w:r w:rsidRPr="00F25D02">
        <w:rPr>
          <w:rFonts w:ascii="Times New Roman"/>
          <w:kern w:val="22"/>
        </w:rPr>
        <w:t>Verbund</w:t>
      </w:r>
      <w:proofErr w:type="spellEnd"/>
      <w:r w:rsidRPr="00F25D02">
        <w:rPr>
          <w:rFonts w:ascii="Times New Roman"/>
          <w:kern w:val="22"/>
        </w:rPr>
        <w:t xml:space="preserve"> </w:t>
      </w:r>
      <w:proofErr w:type="spellStart"/>
      <w:r w:rsidRPr="00F25D02">
        <w:rPr>
          <w:rFonts w:ascii="Times New Roman"/>
          <w:kern w:val="22"/>
        </w:rPr>
        <w:t>Biodiversität</w:t>
      </w:r>
      <w:proofErr w:type="spellEnd"/>
      <w:r w:rsidRPr="00F25D02">
        <w:rPr>
          <w:rFonts w:ascii="Times New Roman"/>
          <w:kern w:val="22"/>
        </w:rPr>
        <w:t xml:space="preserve">) (Joint submission by Consortium of German Natural History Collections and others); </w:t>
      </w:r>
    </w:p>
    <w:p w14:paraId="60EC87FF" w14:textId="77777777" w:rsidR="00814401" w:rsidRPr="00F25D02" w:rsidRDefault="00814401" w:rsidP="00086139">
      <w:pPr>
        <w:pStyle w:val="ListParagraph"/>
        <w:numPr>
          <w:ilvl w:val="0"/>
          <w:numId w:val="18"/>
        </w:numPr>
        <w:spacing w:before="120" w:after="120" w:line="248" w:lineRule="auto"/>
        <w:ind w:left="1080"/>
        <w:jc w:val="both"/>
        <w:rPr>
          <w:rFonts w:ascii="Times New Roman"/>
          <w:kern w:val="22"/>
        </w:rPr>
      </w:pPr>
      <w:r w:rsidRPr="00F25D02">
        <w:rPr>
          <w:rFonts w:ascii="Times New Roman"/>
          <w:kern w:val="22"/>
        </w:rPr>
        <w:t xml:space="preserve">Chartered Institute of Patent Attorneys (CIPA); </w:t>
      </w:r>
    </w:p>
    <w:p w14:paraId="6D2A3D57" w14:textId="77777777" w:rsidR="00814401" w:rsidRPr="00F25D02" w:rsidRDefault="00814401" w:rsidP="00086139">
      <w:pPr>
        <w:pStyle w:val="ListParagraph"/>
        <w:numPr>
          <w:ilvl w:val="0"/>
          <w:numId w:val="18"/>
        </w:numPr>
        <w:spacing w:before="120" w:after="120" w:line="248" w:lineRule="auto"/>
        <w:ind w:left="1080"/>
        <w:jc w:val="both"/>
        <w:rPr>
          <w:rFonts w:ascii="Times New Roman"/>
          <w:kern w:val="22"/>
        </w:rPr>
      </w:pPr>
      <w:bookmarkStart w:id="44" w:name="_Hlk34041273"/>
      <w:proofErr w:type="spellStart"/>
      <w:r w:rsidRPr="00F25D02">
        <w:rPr>
          <w:rFonts w:ascii="Times New Roman"/>
          <w:kern w:val="22"/>
        </w:rPr>
        <w:t>EcoHealth</w:t>
      </w:r>
      <w:proofErr w:type="spellEnd"/>
      <w:r w:rsidRPr="00F25D02">
        <w:rPr>
          <w:rFonts w:ascii="Times New Roman"/>
          <w:kern w:val="22"/>
        </w:rPr>
        <w:t xml:space="preserve"> Alliance</w:t>
      </w:r>
      <w:bookmarkEnd w:id="44"/>
      <w:r w:rsidRPr="00F25D02">
        <w:rPr>
          <w:rFonts w:ascii="Times New Roman"/>
          <w:kern w:val="22"/>
        </w:rPr>
        <w:t xml:space="preserve">; </w:t>
      </w:r>
    </w:p>
    <w:p w14:paraId="08802E8A" w14:textId="77777777" w:rsidR="00814401" w:rsidRPr="00F25D02" w:rsidRDefault="00814401" w:rsidP="00086139">
      <w:pPr>
        <w:pStyle w:val="ListParagraph"/>
        <w:numPr>
          <w:ilvl w:val="0"/>
          <w:numId w:val="18"/>
        </w:numPr>
        <w:spacing w:before="120" w:after="120" w:line="248" w:lineRule="auto"/>
        <w:ind w:left="1080"/>
        <w:jc w:val="both"/>
        <w:rPr>
          <w:rFonts w:ascii="Times New Roman"/>
          <w:kern w:val="22"/>
        </w:rPr>
      </w:pPr>
      <w:proofErr w:type="spellStart"/>
      <w:r w:rsidRPr="00F25D02">
        <w:rPr>
          <w:rFonts w:ascii="Times New Roman"/>
          <w:kern w:val="22"/>
        </w:rPr>
        <w:t>EuropaBio</w:t>
      </w:r>
      <w:proofErr w:type="spellEnd"/>
      <w:r w:rsidRPr="00F25D02">
        <w:rPr>
          <w:rFonts w:ascii="Times New Roman"/>
          <w:kern w:val="22"/>
        </w:rPr>
        <w:t xml:space="preserve"> - The European Association for Bioindustries, </w:t>
      </w:r>
    </w:p>
    <w:p w14:paraId="38862865" w14:textId="77777777" w:rsidR="00814401" w:rsidRPr="00F25D02" w:rsidRDefault="00814401" w:rsidP="00086139">
      <w:pPr>
        <w:pStyle w:val="ListParagraph"/>
        <w:numPr>
          <w:ilvl w:val="0"/>
          <w:numId w:val="18"/>
        </w:numPr>
        <w:spacing w:before="120" w:after="120" w:line="248" w:lineRule="auto"/>
        <w:ind w:left="1080"/>
        <w:jc w:val="both"/>
        <w:rPr>
          <w:rFonts w:ascii="Times New Roman"/>
          <w:kern w:val="22"/>
        </w:rPr>
      </w:pPr>
      <w:r w:rsidRPr="00F25D02">
        <w:rPr>
          <w:rFonts w:ascii="Times New Roman"/>
          <w:kern w:val="22"/>
        </w:rPr>
        <w:t>International Barcode of Life Consortium (</w:t>
      </w:r>
      <w:proofErr w:type="spellStart"/>
      <w:r w:rsidRPr="00F25D02">
        <w:rPr>
          <w:rFonts w:ascii="Times New Roman"/>
          <w:kern w:val="22"/>
        </w:rPr>
        <w:t>iBOL</w:t>
      </w:r>
      <w:proofErr w:type="spellEnd"/>
      <w:r w:rsidRPr="00F25D02">
        <w:rPr>
          <w:rFonts w:ascii="Times New Roman"/>
          <w:kern w:val="22"/>
        </w:rPr>
        <w:t xml:space="preserve">); </w:t>
      </w:r>
    </w:p>
    <w:p w14:paraId="0DC87061" w14:textId="77777777" w:rsidR="00814401" w:rsidRPr="00F25D02" w:rsidRDefault="00814401" w:rsidP="00086139">
      <w:pPr>
        <w:pStyle w:val="ListParagraph"/>
        <w:numPr>
          <w:ilvl w:val="0"/>
          <w:numId w:val="18"/>
        </w:numPr>
        <w:spacing w:before="120" w:after="120" w:line="248" w:lineRule="auto"/>
        <w:ind w:left="1080"/>
        <w:jc w:val="both"/>
        <w:rPr>
          <w:rFonts w:ascii="Times New Roman"/>
          <w:kern w:val="22"/>
        </w:rPr>
      </w:pPr>
      <w:r w:rsidRPr="00F25D02">
        <w:rPr>
          <w:rFonts w:ascii="Times New Roman"/>
          <w:kern w:val="22"/>
        </w:rPr>
        <w:t>International Chamber of Commerce (ICC);</w:t>
      </w:r>
    </w:p>
    <w:p w14:paraId="5D8BE9DE" w14:textId="77777777" w:rsidR="00814401" w:rsidRPr="00F25D02" w:rsidRDefault="00814401" w:rsidP="00086139">
      <w:pPr>
        <w:pStyle w:val="ListParagraph"/>
        <w:numPr>
          <w:ilvl w:val="0"/>
          <w:numId w:val="18"/>
        </w:numPr>
        <w:spacing w:before="120" w:after="120" w:line="248" w:lineRule="auto"/>
        <w:ind w:left="1080"/>
        <w:jc w:val="both"/>
        <w:rPr>
          <w:rFonts w:ascii="Times New Roman"/>
          <w:kern w:val="22"/>
        </w:rPr>
      </w:pPr>
      <w:r w:rsidRPr="00F25D02">
        <w:rPr>
          <w:rFonts w:ascii="Times New Roman"/>
          <w:kern w:val="22"/>
        </w:rPr>
        <w:t xml:space="preserve">International Fragrance Association (IFRA) and International Organization for the Flavor Industry (IOFI) (IFRA and IOFI); </w:t>
      </w:r>
    </w:p>
    <w:p w14:paraId="5B97BF11" w14:textId="77777777" w:rsidR="00814401" w:rsidRPr="00F25D02" w:rsidRDefault="00814401" w:rsidP="00086139">
      <w:pPr>
        <w:pStyle w:val="ListParagraph"/>
        <w:numPr>
          <w:ilvl w:val="0"/>
          <w:numId w:val="18"/>
        </w:numPr>
        <w:spacing w:before="120" w:after="120" w:line="248" w:lineRule="auto"/>
        <w:ind w:left="1080"/>
        <w:jc w:val="both"/>
        <w:rPr>
          <w:rFonts w:ascii="Times New Roman"/>
          <w:kern w:val="22"/>
        </w:rPr>
      </w:pPr>
      <w:r w:rsidRPr="00F25D02">
        <w:rPr>
          <w:rFonts w:ascii="Times New Roman"/>
          <w:kern w:val="22"/>
        </w:rPr>
        <w:t xml:space="preserve">International Nucleotide Sequence Database Collaboration (INSDC); </w:t>
      </w:r>
    </w:p>
    <w:p w14:paraId="6789CBB6" w14:textId="1A3043AA" w:rsidR="00814401" w:rsidRPr="00F25D02" w:rsidRDefault="00814401" w:rsidP="00086139">
      <w:pPr>
        <w:pStyle w:val="ListParagraph"/>
        <w:numPr>
          <w:ilvl w:val="0"/>
          <w:numId w:val="18"/>
        </w:numPr>
        <w:spacing w:before="120" w:after="120" w:line="248" w:lineRule="auto"/>
        <w:ind w:left="1080"/>
        <w:jc w:val="both"/>
        <w:rPr>
          <w:rFonts w:ascii="Times New Roman"/>
          <w:kern w:val="22"/>
        </w:rPr>
      </w:pPr>
      <w:r w:rsidRPr="00F25D02">
        <w:rPr>
          <w:rFonts w:ascii="Times New Roman"/>
          <w:kern w:val="22"/>
        </w:rPr>
        <w:t xml:space="preserve">Japan Bioindustry Association (JBA); </w:t>
      </w:r>
    </w:p>
    <w:p w14:paraId="2C58EB79" w14:textId="77777777" w:rsidR="00814401" w:rsidRPr="00F25D02" w:rsidRDefault="00814401" w:rsidP="00086139">
      <w:pPr>
        <w:pStyle w:val="ListParagraph"/>
        <w:numPr>
          <w:ilvl w:val="0"/>
          <w:numId w:val="18"/>
        </w:numPr>
        <w:spacing w:before="120" w:after="120" w:line="248" w:lineRule="auto"/>
        <w:ind w:left="1080"/>
        <w:jc w:val="both"/>
        <w:rPr>
          <w:rFonts w:ascii="Times New Roman"/>
          <w:kern w:val="22"/>
        </w:rPr>
      </w:pPr>
      <w:r w:rsidRPr="00F25D02">
        <w:rPr>
          <w:rFonts w:ascii="Times New Roman"/>
          <w:kern w:val="22"/>
        </w:rPr>
        <w:t xml:space="preserve">League of European Research Universities (LERU) </w:t>
      </w:r>
    </w:p>
    <w:p w14:paraId="6A4E3913" w14:textId="77777777" w:rsidR="00814401" w:rsidRPr="00F25D02" w:rsidRDefault="00814401" w:rsidP="00086139">
      <w:pPr>
        <w:pStyle w:val="ListParagraph"/>
        <w:numPr>
          <w:ilvl w:val="0"/>
          <w:numId w:val="18"/>
        </w:numPr>
        <w:spacing w:before="120" w:after="120" w:line="248" w:lineRule="auto"/>
        <w:ind w:left="1080"/>
        <w:jc w:val="both"/>
        <w:rPr>
          <w:rFonts w:ascii="Times New Roman"/>
          <w:kern w:val="22"/>
        </w:rPr>
      </w:pPr>
      <w:bookmarkStart w:id="45" w:name="_Hlk33799131"/>
      <w:r w:rsidRPr="00F25D02">
        <w:rPr>
          <w:rFonts w:ascii="Times New Roman"/>
          <w:kern w:val="22"/>
        </w:rPr>
        <w:t>Joint statement from group of stakeholder organizations</w:t>
      </w:r>
    </w:p>
    <w:bookmarkEnd w:id="45"/>
    <w:p w14:paraId="55F08FFA" w14:textId="77777777" w:rsidR="00814401" w:rsidRPr="00F25D02" w:rsidRDefault="00814401" w:rsidP="00086139">
      <w:pPr>
        <w:pStyle w:val="ListParagraph"/>
        <w:numPr>
          <w:ilvl w:val="0"/>
          <w:numId w:val="18"/>
        </w:numPr>
        <w:spacing w:before="120" w:after="120" w:line="248" w:lineRule="auto"/>
        <w:ind w:left="1080"/>
        <w:jc w:val="both"/>
        <w:rPr>
          <w:rFonts w:ascii="Times New Roman"/>
          <w:kern w:val="22"/>
        </w:rPr>
      </w:pPr>
      <w:r w:rsidRPr="00F25D02">
        <w:rPr>
          <w:rFonts w:ascii="Times New Roman"/>
          <w:kern w:val="22"/>
        </w:rPr>
        <w:t xml:space="preserve">Joint submission from the Natural History Museum UK, Royal Botanic Gardens Kew, and Royal Botanic Gardens Edinburgh (Joint submission by Natural History Museum UK and others); </w:t>
      </w:r>
    </w:p>
    <w:p w14:paraId="08D05040" w14:textId="77777777" w:rsidR="00814401" w:rsidRPr="00F25D02" w:rsidRDefault="00814401" w:rsidP="00086139">
      <w:pPr>
        <w:pStyle w:val="ListParagraph"/>
        <w:numPr>
          <w:ilvl w:val="0"/>
          <w:numId w:val="18"/>
        </w:numPr>
        <w:spacing w:before="120" w:after="120" w:line="248" w:lineRule="auto"/>
        <w:ind w:left="1080"/>
        <w:jc w:val="both"/>
        <w:rPr>
          <w:rFonts w:ascii="Times New Roman"/>
          <w:kern w:val="22"/>
        </w:rPr>
      </w:pPr>
      <w:bookmarkStart w:id="46" w:name="_Hlk33798874"/>
      <w:r w:rsidRPr="00F25D02">
        <w:rPr>
          <w:rFonts w:ascii="Times New Roman"/>
          <w:kern w:val="22"/>
        </w:rPr>
        <w:t>Natural History Museum Vienna</w:t>
      </w:r>
      <w:bookmarkEnd w:id="46"/>
      <w:r w:rsidRPr="00F25D02">
        <w:rPr>
          <w:rFonts w:ascii="Times New Roman"/>
          <w:kern w:val="22"/>
        </w:rPr>
        <w:t xml:space="preserve">; </w:t>
      </w:r>
    </w:p>
    <w:p w14:paraId="3AA36657" w14:textId="77777777" w:rsidR="00814401" w:rsidRPr="00F25D02" w:rsidRDefault="00814401" w:rsidP="00086139">
      <w:pPr>
        <w:pStyle w:val="ListParagraph"/>
        <w:numPr>
          <w:ilvl w:val="0"/>
          <w:numId w:val="18"/>
        </w:numPr>
        <w:spacing w:before="120" w:after="120" w:line="248" w:lineRule="auto"/>
        <w:ind w:left="1080"/>
        <w:jc w:val="both"/>
        <w:rPr>
          <w:rFonts w:ascii="Times New Roman"/>
          <w:kern w:val="22"/>
        </w:rPr>
      </w:pPr>
      <w:r w:rsidRPr="00F25D02">
        <w:rPr>
          <w:rFonts w:ascii="Times New Roman"/>
          <w:kern w:val="22"/>
        </w:rPr>
        <w:t xml:space="preserve">Society for the Preservation of Natural History Collections (SPNHC); </w:t>
      </w:r>
    </w:p>
    <w:p w14:paraId="2999EF33" w14:textId="77777777" w:rsidR="00814401" w:rsidRPr="00F25D02" w:rsidRDefault="00814401" w:rsidP="00086139">
      <w:pPr>
        <w:pStyle w:val="ListParagraph"/>
        <w:numPr>
          <w:ilvl w:val="0"/>
          <w:numId w:val="18"/>
        </w:numPr>
        <w:spacing w:before="120" w:after="120" w:line="248" w:lineRule="auto"/>
        <w:ind w:left="1080"/>
        <w:jc w:val="both"/>
        <w:rPr>
          <w:rFonts w:ascii="Times New Roman"/>
          <w:kern w:val="22"/>
        </w:rPr>
      </w:pPr>
      <w:r w:rsidRPr="00F25D02">
        <w:rPr>
          <w:rFonts w:ascii="Times New Roman"/>
          <w:kern w:val="22"/>
        </w:rPr>
        <w:t xml:space="preserve">Third World Network; </w:t>
      </w:r>
    </w:p>
    <w:p w14:paraId="117A37F8" w14:textId="77777777" w:rsidR="00814401" w:rsidRPr="00F25D02" w:rsidRDefault="00814401" w:rsidP="00086139">
      <w:pPr>
        <w:pStyle w:val="ListParagraph"/>
        <w:numPr>
          <w:ilvl w:val="0"/>
          <w:numId w:val="18"/>
        </w:numPr>
        <w:spacing w:before="120" w:after="120" w:line="248" w:lineRule="auto"/>
        <w:ind w:left="1080"/>
        <w:jc w:val="both"/>
        <w:rPr>
          <w:rFonts w:ascii="Times New Roman"/>
          <w:kern w:val="22"/>
        </w:rPr>
      </w:pPr>
      <w:r w:rsidRPr="00F25D02">
        <w:rPr>
          <w:rFonts w:ascii="Times New Roman"/>
          <w:kern w:val="22"/>
        </w:rPr>
        <w:t xml:space="preserve">UK </w:t>
      </w:r>
      <w:proofErr w:type="spellStart"/>
      <w:r w:rsidRPr="00F25D02">
        <w:rPr>
          <w:rFonts w:ascii="Times New Roman"/>
          <w:kern w:val="22"/>
        </w:rPr>
        <w:t>BioIndustry</w:t>
      </w:r>
      <w:proofErr w:type="spellEnd"/>
      <w:r w:rsidRPr="00F25D02">
        <w:rPr>
          <w:rFonts w:ascii="Times New Roman"/>
          <w:kern w:val="22"/>
        </w:rPr>
        <w:t xml:space="preserve"> Association (BIA); and </w:t>
      </w:r>
    </w:p>
    <w:p w14:paraId="18C1E0AA" w14:textId="77777777" w:rsidR="00814401" w:rsidRPr="00F25D02" w:rsidRDefault="00814401" w:rsidP="00086139">
      <w:pPr>
        <w:pStyle w:val="ListParagraph"/>
        <w:numPr>
          <w:ilvl w:val="0"/>
          <w:numId w:val="18"/>
        </w:numPr>
        <w:spacing w:before="120" w:after="120" w:line="248" w:lineRule="auto"/>
        <w:ind w:left="1080"/>
        <w:jc w:val="both"/>
        <w:rPr>
          <w:rFonts w:ascii="Times New Roman"/>
          <w:kern w:val="22"/>
        </w:rPr>
      </w:pPr>
      <w:proofErr w:type="spellStart"/>
      <w:r w:rsidRPr="00F25D02">
        <w:rPr>
          <w:rFonts w:ascii="Times New Roman"/>
          <w:kern w:val="22"/>
        </w:rPr>
        <w:t>Wellcome</w:t>
      </w:r>
      <w:proofErr w:type="spellEnd"/>
      <w:r w:rsidRPr="00F25D02">
        <w:rPr>
          <w:rFonts w:ascii="Times New Roman"/>
          <w:kern w:val="22"/>
        </w:rPr>
        <w:t xml:space="preserve"> Sanger Institute. </w:t>
      </w:r>
    </w:p>
    <w:bookmarkEnd w:id="43"/>
    <w:p w14:paraId="60D49CBE" w14:textId="77777777" w:rsidR="00814401" w:rsidRPr="00F25D02" w:rsidRDefault="00814401" w:rsidP="00814401">
      <w:pPr>
        <w:rPr>
          <w:rFonts w:ascii="Times New Roman"/>
          <w:kern w:val="22"/>
        </w:rPr>
      </w:pPr>
    </w:p>
    <w:p w14:paraId="676A9FE0" w14:textId="16DAA45D" w:rsidR="00127207" w:rsidRPr="00F25D02" w:rsidRDefault="00E463FD" w:rsidP="00F25D02">
      <w:pPr>
        <w:jc w:val="center"/>
        <w:rPr>
          <w:rFonts w:ascii="Times New Roman"/>
          <w:kern w:val="22"/>
        </w:rPr>
      </w:pPr>
      <w:r w:rsidRPr="00F25D02">
        <w:rPr>
          <w:rFonts w:ascii="Times New Roman"/>
          <w:kern w:val="22"/>
        </w:rPr>
        <w:t>__________</w:t>
      </w:r>
    </w:p>
    <w:sectPr w:rsidR="00127207" w:rsidRPr="00F25D02" w:rsidSect="00890407">
      <w:headerReference w:type="even" r:id="rId16"/>
      <w:headerReference w:type="default" r:id="rId17"/>
      <w:pgSz w:w="11906" w:h="16838"/>
      <w:pgMar w:top="426" w:right="1411" w:bottom="1411" w:left="141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64D49" w14:textId="77777777" w:rsidR="00882583" w:rsidRDefault="00882583" w:rsidP="009B114C">
      <w:pPr>
        <w:spacing w:after="0" w:line="240" w:lineRule="auto"/>
      </w:pPr>
      <w:r>
        <w:separator/>
      </w:r>
    </w:p>
  </w:endnote>
  <w:endnote w:type="continuationSeparator" w:id="0">
    <w:p w14:paraId="04909327" w14:textId="77777777" w:rsidR="00882583" w:rsidRDefault="00882583" w:rsidP="009B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20066" w14:textId="77777777" w:rsidR="00882583" w:rsidRDefault="00882583" w:rsidP="009B114C">
      <w:pPr>
        <w:spacing w:after="0" w:line="240" w:lineRule="auto"/>
      </w:pPr>
      <w:r>
        <w:separator/>
      </w:r>
    </w:p>
  </w:footnote>
  <w:footnote w:type="continuationSeparator" w:id="0">
    <w:p w14:paraId="6FC07FF7" w14:textId="77777777" w:rsidR="00882583" w:rsidRDefault="00882583" w:rsidP="009B114C">
      <w:pPr>
        <w:spacing w:after="0" w:line="240" w:lineRule="auto"/>
      </w:pPr>
      <w:r>
        <w:continuationSeparator/>
      </w:r>
    </w:p>
  </w:footnote>
  <w:footnote w:id="1">
    <w:p w14:paraId="1B9609D6" w14:textId="671FCD40" w:rsidR="00814401" w:rsidRPr="00411BC4" w:rsidRDefault="00814401" w:rsidP="00F4202E">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Available at </w:t>
      </w:r>
      <w:hyperlink r:id="rId1" w:history="1">
        <w:r w:rsidRPr="00411BC4">
          <w:rPr>
            <w:rStyle w:val="Hyperlink"/>
            <w:rFonts w:ascii="Times New Roman"/>
            <w:color w:val="auto"/>
            <w:sz w:val="18"/>
            <w:szCs w:val="18"/>
          </w:rPr>
          <w:t>https://www.cbd.int/doc/notifications/2019/ntf-2019-012-abs-en.pdf</w:t>
        </w:r>
      </w:hyperlink>
      <w:r w:rsidR="000E3408" w:rsidRPr="00411BC4">
        <w:rPr>
          <w:rStyle w:val="Hyperlink"/>
          <w:rFonts w:ascii="Times New Roman"/>
          <w:color w:val="auto"/>
          <w:sz w:val="18"/>
          <w:szCs w:val="18"/>
        </w:rPr>
        <w:t>.</w:t>
      </w:r>
      <w:r w:rsidRPr="00411BC4">
        <w:rPr>
          <w:rFonts w:ascii="Times New Roman"/>
          <w:sz w:val="18"/>
          <w:szCs w:val="18"/>
        </w:rPr>
        <w:tab/>
      </w:r>
    </w:p>
  </w:footnote>
  <w:footnote w:id="2">
    <w:p w14:paraId="22FF963D" w14:textId="4A11EBF6" w:rsidR="00814401" w:rsidRPr="00411BC4" w:rsidRDefault="00814401" w:rsidP="00F4202E">
      <w:pPr>
        <w:pStyle w:val="FootnoteText"/>
        <w:suppressLineNumbers/>
        <w:suppressAutoHyphens/>
        <w:kinsoku w:val="0"/>
        <w:overflowPunct w:val="0"/>
        <w:autoSpaceDE w:val="0"/>
        <w:autoSpaceDN w:val="0"/>
        <w:adjustRightInd w:val="0"/>
        <w:snapToGrid w:val="0"/>
        <w:rPr>
          <w:rFonts w:ascii="Times New Roman"/>
          <w:kern w:val="18"/>
          <w:sz w:val="18"/>
          <w:szCs w:val="18"/>
        </w:rPr>
      </w:pPr>
      <w:r w:rsidRPr="00411BC4">
        <w:rPr>
          <w:rStyle w:val="FootnoteReference"/>
          <w:rFonts w:ascii="Times New Roman"/>
          <w:kern w:val="18"/>
          <w:sz w:val="18"/>
          <w:szCs w:val="18"/>
        </w:rPr>
        <w:footnoteRef/>
      </w:r>
      <w:r w:rsidRPr="00411BC4">
        <w:rPr>
          <w:rFonts w:ascii="Times New Roman"/>
          <w:kern w:val="18"/>
          <w:sz w:val="18"/>
          <w:szCs w:val="18"/>
        </w:rPr>
        <w:t xml:space="preserve"> </w:t>
      </w:r>
      <w:r w:rsidRPr="00411BC4">
        <w:rPr>
          <w:rFonts w:ascii="Times New Roman"/>
          <w:sz w:val="18"/>
          <w:szCs w:val="18"/>
        </w:rPr>
        <w:t xml:space="preserve">Available at </w:t>
      </w:r>
      <w:hyperlink r:id="rId2" w:history="1">
        <w:r w:rsidRPr="00411BC4">
          <w:rPr>
            <w:rStyle w:val="Hyperlink"/>
            <w:rFonts w:ascii="Times New Roman"/>
            <w:color w:val="auto"/>
            <w:sz w:val="18"/>
            <w:szCs w:val="18"/>
          </w:rPr>
          <w:t>https://www.cbd.int/dsi-gr/2019-2020/submissions/</w:t>
        </w:r>
      </w:hyperlink>
      <w:r w:rsidR="000E3408" w:rsidRPr="00411BC4">
        <w:rPr>
          <w:rStyle w:val="Hyperlink"/>
          <w:rFonts w:ascii="Times New Roman"/>
          <w:color w:val="auto"/>
          <w:sz w:val="18"/>
          <w:szCs w:val="18"/>
        </w:rPr>
        <w:t>.</w:t>
      </w:r>
      <w:r w:rsidRPr="00411BC4">
        <w:rPr>
          <w:rFonts w:ascii="Times New Roman"/>
          <w:sz w:val="18"/>
          <w:szCs w:val="18"/>
        </w:rPr>
        <w:tab/>
      </w:r>
      <w:r w:rsidRPr="00411BC4" w:rsidDel="0080452C">
        <w:rPr>
          <w:rFonts w:ascii="Times New Roman"/>
          <w:sz w:val="18"/>
          <w:szCs w:val="18"/>
        </w:rPr>
        <w:t xml:space="preserve"> </w:t>
      </w:r>
    </w:p>
  </w:footnote>
  <w:footnote w:id="3">
    <w:p w14:paraId="29A5E393" w14:textId="520D33E6"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w:t>
      </w:r>
      <w:r w:rsidR="000E3408" w:rsidRPr="000E3408">
        <w:rPr>
          <w:rFonts w:ascii="Times New Roman"/>
          <w:sz w:val="18"/>
          <w:szCs w:val="18"/>
        </w:rPr>
        <w:t>CBD/AHTEG/DSI/2020/1/3</w:t>
      </w:r>
      <w:r w:rsidR="000E3408">
        <w:rPr>
          <w:rFonts w:ascii="Times New Roman"/>
          <w:sz w:val="18"/>
          <w:szCs w:val="18"/>
        </w:rPr>
        <w:t xml:space="preserve">. </w:t>
      </w:r>
      <w:r w:rsidRPr="00411BC4">
        <w:rPr>
          <w:rFonts w:ascii="Times New Roman"/>
          <w:sz w:val="18"/>
          <w:szCs w:val="18"/>
        </w:rPr>
        <w:t>Available at</w:t>
      </w:r>
      <w:r w:rsidRPr="00411BC4">
        <w:t xml:space="preserve"> </w:t>
      </w:r>
      <w:hyperlink r:id="rId3" w:history="1">
        <w:r w:rsidRPr="00411BC4">
          <w:rPr>
            <w:rStyle w:val="Hyperlink"/>
            <w:rFonts w:ascii="Times New Roman"/>
            <w:color w:val="auto"/>
            <w:sz w:val="18"/>
            <w:szCs w:val="18"/>
          </w:rPr>
          <w:t>https://www.cbd.int/meetings/DSI-AHTEG-2020-01</w:t>
        </w:r>
      </w:hyperlink>
      <w:r w:rsidRPr="00411BC4">
        <w:rPr>
          <w:rFonts w:ascii="Times New Roman"/>
          <w:sz w:val="18"/>
          <w:szCs w:val="18"/>
        </w:rPr>
        <w:t>.</w:t>
      </w:r>
      <w:r w:rsidRPr="00411BC4">
        <w:rPr>
          <w:rFonts w:ascii="Times New Roman"/>
          <w:sz w:val="18"/>
          <w:szCs w:val="18"/>
        </w:rPr>
        <w:tab/>
      </w:r>
      <w:r w:rsidRPr="00411BC4">
        <w:t xml:space="preserve"> </w:t>
      </w:r>
    </w:p>
  </w:footnote>
  <w:footnote w:id="4">
    <w:p w14:paraId="0C583E14" w14:textId="55B042F3" w:rsidR="00814401" w:rsidRPr="00411BC4" w:rsidRDefault="00814401" w:rsidP="00FC724A">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Switzerland.</w:t>
      </w:r>
    </w:p>
  </w:footnote>
  <w:footnote w:id="5">
    <w:p w14:paraId="305243AF" w14:textId="66054C0D" w:rsidR="00814401" w:rsidRPr="00411BC4" w:rsidRDefault="00814401" w:rsidP="00FC724A">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LERU.</w:t>
      </w:r>
    </w:p>
  </w:footnote>
  <w:footnote w:id="6">
    <w:p w14:paraId="5EFB4FD0" w14:textId="27F9C408" w:rsidR="00814401" w:rsidRPr="00411BC4" w:rsidRDefault="00814401" w:rsidP="00FC724A">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Brazil; Mexico; South Africa; African Union Commission on behalf of the African Group; Third World Network.</w:t>
      </w:r>
    </w:p>
  </w:footnote>
  <w:footnote w:id="7">
    <w:p w14:paraId="123C84EB" w14:textId="33E21C8E" w:rsidR="00814401" w:rsidRPr="00411BC4" w:rsidRDefault="00814401" w:rsidP="00FC724A">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African Union Commission on behalf of the African Group; CETAF; SPNHC; Joint submission by Consortium of German Natural History Collections and others.</w:t>
      </w:r>
    </w:p>
  </w:footnote>
  <w:footnote w:id="8">
    <w:p w14:paraId="02E2F9AD" w14:textId="349F6565" w:rsidR="00814401" w:rsidRPr="00411BC4" w:rsidRDefault="00814401" w:rsidP="00BE3CA6">
      <w:pPr>
        <w:pStyle w:val="FootnoteText"/>
        <w:tabs>
          <w:tab w:val="left" w:pos="2992"/>
        </w:tabs>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Mexico; European Union and its Member States; African Union Commission on behalf of the African Group.</w:t>
      </w:r>
      <w:r w:rsidRPr="00411BC4">
        <w:rPr>
          <w:rFonts w:ascii="Times New Roman"/>
          <w:sz w:val="18"/>
          <w:szCs w:val="18"/>
        </w:rPr>
        <w:tab/>
      </w:r>
    </w:p>
  </w:footnote>
  <w:footnote w:id="9">
    <w:p w14:paraId="72839C6B" w14:textId="753FEE04"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Australia; United States of America, Switzerland, INSDC.</w:t>
      </w:r>
    </w:p>
  </w:footnote>
  <w:footnote w:id="10">
    <w:p w14:paraId="716F93B2" w14:textId="0FDFB3D4"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Belarus; Colombia; Madagascar; Brazil; India; African Union Commission on behalf of the African Group.</w:t>
      </w:r>
    </w:p>
  </w:footnote>
  <w:footnote w:id="11">
    <w:p w14:paraId="1CC740F4" w14:textId="24408190" w:rsidR="00814401" w:rsidRPr="00411BC4" w:rsidRDefault="00814401" w:rsidP="00986785">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Switzerland; Costa Rica; Third World Network.</w:t>
      </w:r>
    </w:p>
  </w:footnote>
  <w:footnote w:id="12">
    <w:p w14:paraId="3BAC04A7" w14:textId="77777777" w:rsidR="00814401" w:rsidRPr="00411BC4" w:rsidRDefault="00814401" w:rsidP="00986785">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Comprising the following: (a) nucleic acid sequence reads and the associated data; (b) information on the sequence assembly, its annotation and genetic mapping. This information may describe whole genomes, individual genes or fragments thereof, barcodes, organelle genomes or single nucleotide polymorphisms; (c) information on gene expression; (d) data on macromolecules and cellular metabolites; (e) information on ecological relationships, and abiotic factors of the environment; (f) function, such as behavioral data; (g) structure, including morphological data and phenotype; (h) information related to taxonomy; (</w:t>
      </w:r>
      <w:proofErr w:type="spellStart"/>
      <w:r w:rsidRPr="00411BC4">
        <w:rPr>
          <w:rFonts w:ascii="Times New Roman"/>
          <w:sz w:val="18"/>
          <w:szCs w:val="18"/>
        </w:rPr>
        <w:t>i</w:t>
      </w:r>
      <w:proofErr w:type="spellEnd"/>
      <w:r w:rsidRPr="00411BC4">
        <w:rPr>
          <w:rFonts w:ascii="Times New Roman"/>
          <w:sz w:val="18"/>
          <w:szCs w:val="18"/>
        </w:rPr>
        <w:t xml:space="preserve">) modalities of use. </w:t>
      </w:r>
      <w:bookmarkStart w:id="19" w:name="_Hlk33637797"/>
      <w:r w:rsidRPr="00411BC4">
        <w:rPr>
          <w:rFonts w:ascii="Times New Roman"/>
          <w:sz w:val="18"/>
          <w:szCs w:val="18"/>
        </w:rPr>
        <w:t xml:space="preserve">The AHTEG report is available at </w:t>
      </w:r>
      <w:hyperlink r:id="rId4" w:history="1">
        <w:r w:rsidRPr="00411BC4">
          <w:rPr>
            <w:rStyle w:val="Hyperlink"/>
            <w:rFonts w:ascii="Times New Roman"/>
            <w:color w:val="auto"/>
            <w:sz w:val="18"/>
            <w:szCs w:val="18"/>
          </w:rPr>
          <w:t>https://www.cbd.int/doc/c/4f53/a660/20273cadac313787b058a7b6/dsi-ahteg-2018-01-04-en.pdf</w:t>
        </w:r>
      </w:hyperlink>
      <w:bookmarkEnd w:id="19"/>
    </w:p>
  </w:footnote>
  <w:footnote w:id="13">
    <w:p w14:paraId="7D8A9CC1" w14:textId="75FEDE97" w:rsidR="00814401" w:rsidRPr="00411BC4" w:rsidRDefault="00814401">
      <w:pPr>
        <w:pStyle w:val="FootnoteText"/>
      </w:pPr>
      <w:r w:rsidRPr="00411BC4">
        <w:rPr>
          <w:rStyle w:val="FootnoteReference"/>
        </w:rPr>
        <w:footnoteRef/>
      </w:r>
      <w:r w:rsidRPr="00411BC4">
        <w:t xml:space="preserve"> </w:t>
      </w:r>
      <w:r w:rsidRPr="00411BC4">
        <w:rPr>
          <w:rFonts w:ascii="Times New Roman"/>
          <w:sz w:val="18"/>
          <w:szCs w:val="18"/>
        </w:rPr>
        <w:t>In DNA.</w:t>
      </w:r>
    </w:p>
  </w:footnote>
  <w:footnote w:id="14">
    <w:p w14:paraId="2EF4DE23" w14:textId="20A7C8DB" w:rsidR="00814401" w:rsidRPr="00411BC4" w:rsidRDefault="00814401">
      <w:pPr>
        <w:pStyle w:val="FootnoteText"/>
      </w:pPr>
      <w:r w:rsidRPr="00411BC4">
        <w:rPr>
          <w:rStyle w:val="FootnoteReference"/>
        </w:rPr>
        <w:footnoteRef/>
      </w:r>
      <w:r w:rsidRPr="00411BC4">
        <w:t xml:space="preserve"> </w:t>
      </w:r>
      <w:r w:rsidRPr="00411BC4">
        <w:rPr>
          <w:rFonts w:ascii="Times New Roman"/>
          <w:sz w:val="18"/>
          <w:szCs w:val="18"/>
        </w:rPr>
        <w:t>In RNA.</w:t>
      </w:r>
    </w:p>
  </w:footnote>
  <w:footnote w:id="15">
    <w:p w14:paraId="71B05D9D" w14:textId="1C161088" w:rsidR="00814401" w:rsidRPr="00411BC4" w:rsidRDefault="00814401" w:rsidP="001A11B9">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w:t>
      </w:r>
      <w:bookmarkStart w:id="20" w:name="_Hlk33714260"/>
      <w:r w:rsidRPr="00411BC4">
        <w:rPr>
          <w:rFonts w:ascii="Times New Roman"/>
          <w:sz w:val="18"/>
          <w:szCs w:val="18"/>
        </w:rPr>
        <w:t xml:space="preserve">United States of America; Japan; </w:t>
      </w:r>
      <w:proofErr w:type="spellStart"/>
      <w:r w:rsidRPr="00411BC4">
        <w:rPr>
          <w:rFonts w:ascii="Times New Roman"/>
          <w:sz w:val="18"/>
          <w:szCs w:val="18"/>
        </w:rPr>
        <w:t>EuropaBio</w:t>
      </w:r>
      <w:proofErr w:type="spellEnd"/>
      <w:r w:rsidRPr="00411BC4">
        <w:rPr>
          <w:rFonts w:ascii="Times New Roman"/>
          <w:sz w:val="18"/>
          <w:szCs w:val="18"/>
        </w:rPr>
        <w:t>; CETAF; SPNHC; Joint submission by Consortium of German Natural History Collections and others; Joint submission by Natural History Museum UK and others.</w:t>
      </w:r>
      <w:bookmarkEnd w:id="20"/>
    </w:p>
  </w:footnote>
  <w:footnote w:id="16">
    <w:p w14:paraId="160441A1" w14:textId="57679B13" w:rsidR="00814401" w:rsidRPr="00411BC4" w:rsidRDefault="00814401" w:rsidP="00EE700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w:t>
      </w:r>
      <w:proofErr w:type="spellStart"/>
      <w:r w:rsidRPr="00411BC4">
        <w:rPr>
          <w:rFonts w:ascii="Times New Roman"/>
          <w:sz w:val="18"/>
          <w:szCs w:val="18"/>
        </w:rPr>
        <w:t>EuropaBio</w:t>
      </w:r>
      <w:proofErr w:type="spellEnd"/>
      <w:r w:rsidRPr="00411BC4">
        <w:rPr>
          <w:rFonts w:ascii="Times New Roman"/>
          <w:sz w:val="18"/>
          <w:szCs w:val="18"/>
        </w:rPr>
        <w:t>; ICC.</w:t>
      </w:r>
    </w:p>
  </w:footnote>
  <w:footnote w:id="17">
    <w:p w14:paraId="3C567F0D" w14:textId="3CB51B11" w:rsidR="00814401" w:rsidRPr="00411BC4" w:rsidRDefault="00814401" w:rsidP="00EE700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Joint submission by Natural History Museum UK and others.</w:t>
      </w:r>
    </w:p>
  </w:footnote>
  <w:footnote w:id="18">
    <w:p w14:paraId="5D54ED16" w14:textId="3DF60019" w:rsidR="00814401" w:rsidRPr="00411BC4" w:rsidRDefault="00814401" w:rsidP="00EE700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w:t>
      </w:r>
      <w:proofErr w:type="spellStart"/>
      <w:r w:rsidRPr="00411BC4">
        <w:rPr>
          <w:rFonts w:ascii="Times New Roman"/>
          <w:sz w:val="18"/>
          <w:szCs w:val="18"/>
        </w:rPr>
        <w:t>EuropaBio</w:t>
      </w:r>
      <w:proofErr w:type="spellEnd"/>
      <w:r w:rsidRPr="00411BC4">
        <w:rPr>
          <w:rFonts w:ascii="Times New Roman"/>
          <w:sz w:val="18"/>
          <w:szCs w:val="18"/>
        </w:rPr>
        <w:t>; ICC</w:t>
      </w:r>
    </w:p>
  </w:footnote>
  <w:footnote w:id="19">
    <w:p w14:paraId="1E185D41" w14:textId="216E98D9" w:rsidR="00814401" w:rsidRPr="00411BC4" w:rsidRDefault="00814401" w:rsidP="00EE700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Joint submission by Natural History Museum UK and others;</w:t>
      </w:r>
    </w:p>
  </w:footnote>
  <w:footnote w:id="20">
    <w:p w14:paraId="27BE4E8C" w14:textId="025E7049" w:rsidR="00814401" w:rsidRPr="00411BC4" w:rsidRDefault="00814401" w:rsidP="00EE700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CETAF, Joint submission by Consortium of German Natural History Collections and others.</w:t>
      </w:r>
    </w:p>
  </w:footnote>
  <w:footnote w:id="21">
    <w:p w14:paraId="4AD812B9" w14:textId="18054401" w:rsidR="00814401" w:rsidRPr="004C6AA7" w:rsidRDefault="00814401" w:rsidP="00EE700C">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w:t>
      </w:r>
      <w:proofErr w:type="spellStart"/>
      <w:r w:rsidRPr="004C6AA7">
        <w:rPr>
          <w:rFonts w:ascii="Times New Roman"/>
          <w:sz w:val="18"/>
          <w:szCs w:val="18"/>
          <w:lang w:val="es-ES"/>
        </w:rPr>
        <w:t>EuropaBio</w:t>
      </w:r>
      <w:proofErr w:type="spellEnd"/>
      <w:r w:rsidRPr="004C6AA7">
        <w:rPr>
          <w:rFonts w:ascii="Times New Roman"/>
          <w:sz w:val="18"/>
          <w:szCs w:val="18"/>
          <w:lang w:val="es-ES"/>
        </w:rPr>
        <w:t>; ICC.</w:t>
      </w:r>
    </w:p>
  </w:footnote>
  <w:footnote w:id="22">
    <w:p w14:paraId="5E531015" w14:textId="6D66666F" w:rsidR="00814401" w:rsidRPr="004C6AA7" w:rsidRDefault="00814401" w:rsidP="00EE700C">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Costa Rica.</w:t>
      </w:r>
    </w:p>
  </w:footnote>
  <w:footnote w:id="23">
    <w:p w14:paraId="339CDD68" w14:textId="0C74A0DF" w:rsidR="00814401" w:rsidRPr="004C6AA7" w:rsidRDefault="00814401" w:rsidP="00EE700C">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w:t>
      </w:r>
      <w:proofErr w:type="spellStart"/>
      <w:r w:rsidRPr="004C6AA7">
        <w:rPr>
          <w:rFonts w:ascii="Times New Roman"/>
          <w:sz w:val="18"/>
          <w:szCs w:val="18"/>
          <w:lang w:val="es-ES"/>
        </w:rPr>
        <w:t>Iran</w:t>
      </w:r>
      <w:proofErr w:type="spellEnd"/>
      <w:r w:rsidRPr="004C6AA7">
        <w:rPr>
          <w:rFonts w:ascii="Times New Roman"/>
          <w:sz w:val="18"/>
          <w:szCs w:val="18"/>
          <w:lang w:val="es-ES"/>
        </w:rPr>
        <w:t>.</w:t>
      </w:r>
    </w:p>
  </w:footnote>
  <w:footnote w:id="24">
    <w:p w14:paraId="23E6A837" w14:textId="714C37E4" w:rsidR="00814401" w:rsidRPr="00411BC4" w:rsidRDefault="00814401" w:rsidP="00EE700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India.</w:t>
      </w:r>
    </w:p>
  </w:footnote>
  <w:footnote w:id="25">
    <w:p w14:paraId="62CFF9C1" w14:textId="14091E77" w:rsidR="00814401" w:rsidRPr="00411BC4" w:rsidRDefault="00814401" w:rsidP="00EE700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Mexico.</w:t>
      </w:r>
    </w:p>
  </w:footnote>
  <w:footnote w:id="26">
    <w:p w14:paraId="5FAD4EA8" w14:textId="3CE27FCA" w:rsidR="00814401" w:rsidRPr="00411BC4" w:rsidRDefault="00814401" w:rsidP="00EE700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Third World Network.</w:t>
      </w:r>
    </w:p>
  </w:footnote>
  <w:footnote w:id="27">
    <w:p w14:paraId="16AF724D" w14:textId="584D49F0" w:rsidR="00814401" w:rsidRPr="004C6AA7" w:rsidRDefault="00814401" w:rsidP="00EE700C">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w:t>
      </w:r>
      <w:proofErr w:type="spellStart"/>
      <w:r w:rsidRPr="004C6AA7">
        <w:rPr>
          <w:rFonts w:ascii="Times New Roman"/>
          <w:sz w:val="18"/>
          <w:szCs w:val="18"/>
          <w:lang w:val="es-ES"/>
        </w:rPr>
        <w:t>Japan</w:t>
      </w:r>
      <w:proofErr w:type="spellEnd"/>
      <w:r w:rsidRPr="004C6AA7">
        <w:rPr>
          <w:rFonts w:ascii="Times New Roman"/>
          <w:sz w:val="18"/>
          <w:szCs w:val="18"/>
          <w:lang w:val="es-ES"/>
        </w:rPr>
        <w:t>.</w:t>
      </w:r>
    </w:p>
  </w:footnote>
  <w:footnote w:id="28">
    <w:p w14:paraId="63C0C3B2" w14:textId="281A690F" w:rsidR="00814401" w:rsidRPr="004C6AA7" w:rsidRDefault="00814401" w:rsidP="00EE700C">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w:t>
      </w:r>
      <w:proofErr w:type="spellStart"/>
      <w:r w:rsidRPr="004C6AA7">
        <w:rPr>
          <w:rFonts w:ascii="Times New Roman"/>
          <w:sz w:val="18"/>
          <w:szCs w:val="18"/>
          <w:lang w:val="es-ES"/>
        </w:rPr>
        <w:t>Japan</w:t>
      </w:r>
      <w:proofErr w:type="spellEnd"/>
      <w:r w:rsidRPr="004C6AA7">
        <w:rPr>
          <w:rFonts w:ascii="Times New Roman"/>
          <w:sz w:val="18"/>
          <w:szCs w:val="18"/>
          <w:lang w:val="es-ES"/>
        </w:rPr>
        <w:t>.</w:t>
      </w:r>
    </w:p>
  </w:footnote>
  <w:footnote w:id="29">
    <w:p w14:paraId="752067B1" w14:textId="183D3B5E" w:rsidR="00814401" w:rsidRPr="004C6AA7" w:rsidRDefault="00814401" w:rsidP="00EE700C">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ICC.</w:t>
      </w:r>
    </w:p>
  </w:footnote>
  <w:footnote w:id="30">
    <w:p w14:paraId="70E5C5A0" w14:textId="001B539A" w:rsidR="00814401" w:rsidRPr="004C6AA7" w:rsidRDefault="00814401" w:rsidP="00EE700C">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BIA.</w:t>
      </w:r>
    </w:p>
  </w:footnote>
  <w:footnote w:id="31">
    <w:p w14:paraId="39DB815D" w14:textId="56DC4F4E" w:rsidR="00814401" w:rsidRPr="004C6AA7" w:rsidRDefault="00814401" w:rsidP="00EE700C">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w:t>
      </w:r>
      <w:proofErr w:type="spellStart"/>
      <w:r w:rsidRPr="004C6AA7">
        <w:rPr>
          <w:rFonts w:ascii="Times New Roman"/>
          <w:sz w:val="18"/>
          <w:szCs w:val="18"/>
          <w:lang w:val="es-ES"/>
        </w:rPr>
        <w:t>Canada</w:t>
      </w:r>
      <w:proofErr w:type="spellEnd"/>
      <w:r w:rsidRPr="004C6AA7">
        <w:rPr>
          <w:rFonts w:ascii="Times New Roman"/>
          <w:sz w:val="18"/>
          <w:szCs w:val="18"/>
          <w:lang w:val="es-ES"/>
        </w:rPr>
        <w:t>; BIA; LERU.</w:t>
      </w:r>
    </w:p>
  </w:footnote>
  <w:footnote w:id="32">
    <w:p w14:paraId="34FE988A" w14:textId="4607EE68" w:rsidR="00814401" w:rsidRPr="00411BC4" w:rsidRDefault="00814401" w:rsidP="00EE700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Canada.</w:t>
      </w:r>
    </w:p>
  </w:footnote>
  <w:footnote w:id="33">
    <w:p w14:paraId="262EB21D" w14:textId="3951E5B2" w:rsidR="00814401" w:rsidRPr="00411BC4" w:rsidRDefault="00814401" w:rsidP="00EE700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BIA.</w:t>
      </w:r>
    </w:p>
  </w:footnote>
  <w:footnote w:id="34">
    <w:p w14:paraId="6873BD0D" w14:textId="15E5B64F" w:rsidR="00814401" w:rsidRPr="00411BC4" w:rsidRDefault="00814401" w:rsidP="00EE700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LERU.</w:t>
      </w:r>
    </w:p>
  </w:footnote>
  <w:footnote w:id="35">
    <w:p w14:paraId="489D6111" w14:textId="46C60071" w:rsidR="00814401" w:rsidRPr="00411BC4" w:rsidRDefault="00814401" w:rsidP="00F4202E">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South Africa; African Union Commission on behalf of the African Group. As per decision 14/20 adopted by the Conference of the Parties to the Convention on Biological Diversity available at </w:t>
      </w:r>
      <w:hyperlink r:id="rId5" w:history="1">
        <w:r w:rsidRPr="00411BC4">
          <w:rPr>
            <w:rStyle w:val="Hyperlink"/>
            <w:rFonts w:ascii="Times New Roman"/>
            <w:color w:val="auto"/>
            <w:sz w:val="18"/>
            <w:szCs w:val="18"/>
          </w:rPr>
          <w:t>https://www.cbd.int/doc/decisions/cop-14/cop-14-dec-20-en.pdf</w:t>
        </w:r>
      </w:hyperlink>
      <w:r w:rsidRPr="00411BC4">
        <w:rPr>
          <w:rFonts w:ascii="Times New Roman"/>
          <w:sz w:val="18"/>
          <w:szCs w:val="18"/>
        </w:rPr>
        <w:t>) which acknowledges that the term “digital sequence information” may not be the most appropriate term capture the various types of information on genetic resources that may be relevant to the objectives of the Convention.</w:t>
      </w:r>
    </w:p>
  </w:footnote>
  <w:footnote w:id="36">
    <w:p w14:paraId="69EF1B9C" w14:textId="5AF3CC92"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African Union Commission on behalf of the African Group; Republic of Korea; South Africa; ICC; Third World Network.  ICC noted the Report of the Ad Hoc Technical Expert Group on digital sequence information, pursuant to meeting held in February 2018, in Montreal, Canada, also used DSI as a placeholder term. The Report is available at </w:t>
      </w:r>
      <w:hyperlink r:id="rId6" w:history="1">
        <w:r w:rsidRPr="00411BC4">
          <w:rPr>
            <w:rStyle w:val="Hyperlink"/>
            <w:rFonts w:ascii="Times New Roman"/>
            <w:color w:val="auto"/>
            <w:sz w:val="18"/>
            <w:szCs w:val="18"/>
          </w:rPr>
          <w:t>https://www.cbd.int/doc/c/f99e/e90a/71f19b77945c76423f1da805/dsi-ahteg-2018-01-04-en.pdf</w:t>
        </w:r>
      </w:hyperlink>
      <w:r w:rsidRPr="00411BC4">
        <w:rPr>
          <w:rStyle w:val="Hyperlink"/>
          <w:rFonts w:ascii="Times New Roman"/>
          <w:color w:val="auto"/>
          <w:sz w:val="18"/>
          <w:szCs w:val="18"/>
        </w:rPr>
        <w:t>.</w:t>
      </w:r>
    </w:p>
  </w:footnote>
  <w:footnote w:id="37">
    <w:p w14:paraId="4C35C4DF" w14:textId="41210D12" w:rsidR="00814401" w:rsidRPr="00411BC4" w:rsidRDefault="00814401" w:rsidP="00A810A0">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Third World Network.</w:t>
      </w:r>
    </w:p>
  </w:footnote>
  <w:footnote w:id="38">
    <w:p w14:paraId="28E7F7DB" w14:textId="48BAD9B3" w:rsidR="00814401" w:rsidRPr="00411BC4" w:rsidRDefault="00814401" w:rsidP="0034162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African Union Commission on behalf of the African Group; Canada; Ethiopia; India; Switzerland; CETAF; </w:t>
      </w:r>
      <w:proofErr w:type="spellStart"/>
      <w:r w:rsidRPr="00411BC4">
        <w:rPr>
          <w:rFonts w:ascii="Times New Roman"/>
          <w:sz w:val="18"/>
          <w:szCs w:val="18"/>
        </w:rPr>
        <w:t>EuropaBio</w:t>
      </w:r>
      <w:proofErr w:type="spellEnd"/>
      <w:r w:rsidRPr="00411BC4">
        <w:rPr>
          <w:rFonts w:ascii="Times New Roman"/>
          <w:sz w:val="18"/>
          <w:szCs w:val="18"/>
        </w:rPr>
        <w:t xml:space="preserve">; ICC; Joint submission by Natural History Museum UK and others. </w:t>
      </w:r>
    </w:p>
  </w:footnote>
  <w:footnote w:id="39">
    <w:p w14:paraId="661C58D5" w14:textId="0F385738" w:rsidR="00814401" w:rsidRPr="00411BC4" w:rsidRDefault="00814401" w:rsidP="0034162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Canada.</w:t>
      </w:r>
    </w:p>
  </w:footnote>
  <w:footnote w:id="40">
    <w:p w14:paraId="6888E022" w14:textId="7F76C82C" w:rsidR="00814401" w:rsidRPr="00411BC4" w:rsidRDefault="00814401" w:rsidP="0034162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Switzerland.</w:t>
      </w:r>
    </w:p>
  </w:footnote>
  <w:footnote w:id="41">
    <w:p w14:paraId="660B62BF" w14:textId="0AEA2F1B" w:rsidR="00814401" w:rsidRPr="00411BC4" w:rsidRDefault="00814401" w:rsidP="0034162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India.</w:t>
      </w:r>
    </w:p>
  </w:footnote>
  <w:footnote w:id="42">
    <w:p w14:paraId="43BA237A" w14:textId="6656DE2C" w:rsidR="00814401" w:rsidRPr="00411BC4" w:rsidRDefault="00814401" w:rsidP="0034162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Argentina; Brazil; Canada; Mexico; Republic of South Korea; CETAF; ICC; SPNHC; Third World Network; Joint submission by Consortium of German Natural History Collections and others; Joint submission by Natural History Museum UK and others.</w:t>
      </w:r>
    </w:p>
  </w:footnote>
  <w:footnote w:id="43">
    <w:p w14:paraId="56EFE299" w14:textId="72AC26AC" w:rsidR="00814401" w:rsidRPr="00411BC4" w:rsidRDefault="00814401" w:rsidP="0034162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Brazil; Mexico; Joint submission by Natural History Museum UK and others; SPNHC.</w:t>
      </w:r>
    </w:p>
  </w:footnote>
  <w:footnote w:id="44">
    <w:p w14:paraId="4BD4FB45" w14:textId="5A8DFA87" w:rsidR="00814401" w:rsidRPr="00411BC4" w:rsidRDefault="00814401" w:rsidP="0034162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ICC.</w:t>
      </w:r>
    </w:p>
  </w:footnote>
  <w:footnote w:id="45">
    <w:p w14:paraId="44B8714A" w14:textId="61FF841D" w:rsidR="00814401" w:rsidRPr="00411BC4" w:rsidRDefault="00814401" w:rsidP="0034162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Argentina; Mexico; Republic of South Korea; CETAF; SPNHC; Third World Network; Joint submission by Natural History Museum UK and others.</w:t>
      </w:r>
    </w:p>
  </w:footnote>
  <w:footnote w:id="46">
    <w:p w14:paraId="72DEFAF2" w14:textId="227C30CB" w:rsidR="00814401" w:rsidRPr="00411BC4" w:rsidRDefault="00814401" w:rsidP="0034162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Republic of South Korea.</w:t>
      </w:r>
    </w:p>
  </w:footnote>
  <w:footnote w:id="47">
    <w:p w14:paraId="456B7593" w14:textId="5113A6D7" w:rsidR="00814401" w:rsidRPr="00411BC4" w:rsidRDefault="00814401" w:rsidP="0034162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Brazil.</w:t>
      </w:r>
    </w:p>
  </w:footnote>
  <w:footnote w:id="48">
    <w:p w14:paraId="468A6FBA" w14:textId="79F47572" w:rsidR="00814401" w:rsidRPr="00411BC4" w:rsidRDefault="00814401" w:rsidP="0034162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Canada.</w:t>
      </w:r>
    </w:p>
  </w:footnote>
  <w:footnote w:id="49">
    <w:p w14:paraId="47ED1EEB" w14:textId="324A9378" w:rsidR="00814401" w:rsidRPr="00411BC4" w:rsidRDefault="00814401" w:rsidP="0034162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Argentina.</w:t>
      </w:r>
    </w:p>
  </w:footnote>
  <w:footnote w:id="50">
    <w:p w14:paraId="64EA0D2E" w14:textId="1B8E66DB" w:rsidR="00814401" w:rsidRPr="00411BC4" w:rsidRDefault="00814401" w:rsidP="0034162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Canada; European Union and its Member States; Republic of South Korea; CETAF; SPNHC; Joint submission by Consortium of German Natural History Collections and others; Joint submission by Natural History Museum UK and others.</w:t>
      </w:r>
    </w:p>
  </w:footnote>
  <w:footnote w:id="51">
    <w:p w14:paraId="02087887" w14:textId="410C91B0" w:rsidR="00814401" w:rsidRPr="00411BC4" w:rsidRDefault="00814401" w:rsidP="0034162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European Union and its Member States; Republic of South Korea.</w:t>
      </w:r>
      <w:r w:rsidRPr="00411BC4" w:rsidDel="00D22DEE">
        <w:rPr>
          <w:rFonts w:ascii="Times New Roman"/>
          <w:sz w:val="18"/>
          <w:szCs w:val="18"/>
          <w:highlight w:val="yellow"/>
        </w:rPr>
        <w:t xml:space="preserve"> </w:t>
      </w:r>
    </w:p>
  </w:footnote>
  <w:footnote w:id="52">
    <w:p w14:paraId="1A048C37" w14:textId="719E8C97" w:rsidR="00814401" w:rsidRPr="00411BC4" w:rsidRDefault="00814401" w:rsidP="0034162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Canada; CETAF; SPNHC; Joint submission by Consortium of German Natural History Collections and others; Joint submission by Natural History Museum UK and </w:t>
      </w:r>
      <w:proofErr w:type="gramStart"/>
      <w:r w:rsidRPr="00411BC4">
        <w:rPr>
          <w:rFonts w:ascii="Times New Roman"/>
          <w:sz w:val="18"/>
          <w:szCs w:val="18"/>
        </w:rPr>
        <w:t>others;.</w:t>
      </w:r>
      <w:proofErr w:type="gramEnd"/>
    </w:p>
  </w:footnote>
  <w:footnote w:id="53">
    <w:p w14:paraId="3B83E42A" w14:textId="211361FF" w:rsidR="00814401" w:rsidRPr="00411BC4" w:rsidRDefault="00814401" w:rsidP="0034162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Republic of South Korea; CETAF; SPNHC; Joint submission by Consortium of German Natural History Collections and others; Joint submission by Natural History Museum UK and </w:t>
      </w:r>
      <w:proofErr w:type="gramStart"/>
      <w:r w:rsidRPr="00411BC4">
        <w:rPr>
          <w:rFonts w:ascii="Times New Roman"/>
          <w:sz w:val="18"/>
          <w:szCs w:val="18"/>
        </w:rPr>
        <w:t>others;.</w:t>
      </w:r>
      <w:proofErr w:type="gramEnd"/>
    </w:p>
  </w:footnote>
  <w:footnote w:id="54">
    <w:p w14:paraId="4DD4E2FE" w14:textId="20EB4AEB" w:rsidR="00814401" w:rsidRPr="00411BC4" w:rsidRDefault="00814401" w:rsidP="0034162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CETAF; SPNHC; Joint submission by Consortium of German Natural History Collections and others; Joint submission by Natural History Museum UK and others.</w:t>
      </w:r>
    </w:p>
  </w:footnote>
  <w:footnote w:id="55">
    <w:p w14:paraId="6F5148CB" w14:textId="5E84FD6C" w:rsidR="00814401" w:rsidRPr="004C6AA7" w:rsidRDefault="00814401">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Australia; </w:t>
      </w:r>
      <w:proofErr w:type="spellStart"/>
      <w:r w:rsidRPr="004C6AA7">
        <w:rPr>
          <w:rFonts w:ascii="Times New Roman"/>
          <w:sz w:val="18"/>
          <w:szCs w:val="18"/>
          <w:lang w:val="es-ES"/>
        </w:rPr>
        <w:t>Brazil</w:t>
      </w:r>
      <w:proofErr w:type="spellEnd"/>
      <w:r w:rsidRPr="004C6AA7">
        <w:rPr>
          <w:rFonts w:ascii="Times New Roman"/>
          <w:sz w:val="18"/>
          <w:szCs w:val="18"/>
          <w:lang w:val="es-ES"/>
        </w:rPr>
        <w:t>; Argentina.</w:t>
      </w:r>
    </w:p>
  </w:footnote>
  <w:footnote w:id="56">
    <w:p w14:paraId="4D1BCC21" w14:textId="07337E7C" w:rsidR="00814401" w:rsidRPr="004C6AA7" w:rsidRDefault="00814401">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w:t>
      </w:r>
      <w:proofErr w:type="spellStart"/>
      <w:r w:rsidRPr="004C6AA7">
        <w:rPr>
          <w:rFonts w:ascii="Times New Roman"/>
          <w:sz w:val="18"/>
          <w:szCs w:val="18"/>
          <w:lang w:val="es-ES"/>
        </w:rPr>
        <w:t>Switzerland</w:t>
      </w:r>
      <w:proofErr w:type="spellEnd"/>
      <w:r w:rsidRPr="004C6AA7">
        <w:rPr>
          <w:rFonts w:ascii="Times New Roman"/>
          <w:sz w:val="18"/>
          <w:szCs w:val="18"/>
          <w:lang w:val="es-ES"/>
        </w:rPr>
        <w:t xml:space="preserve">. </w:t>
      </w:r>
    </w:p>
  </w:footnote>
  <w:footnote w:id="57">
    <w:p w14:paraId="10D2D8E1" w14:textId="2FF32B69" w:rsidR="00814401" w:rsidRPr="004C6AA7" w:rsidRDefault="00814401">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Australia; </w:t>
      </w:r>
      <w:proofErr w:type="spellStart"/>
      <w:r w:rsidRPr="004C6AA7">
        <w:rPr>
          <w:rFonts w:ascii="Times New Roman"/>
          <w:sz w:val="18"/>
          <w:szCs w:val="18"/>
          <w:lang w:val="es-ES"/>
        </w:rPr>
        <w:t>Brazil</w:t>
      </w:r>
      <w:proofErr w:type="spellEnd"/>
      <w:r w:rsidRPr="004C6AA7">
        <w:rPr>
          <w:rFonts w:ascii="Times New Roman"/>
          <w:sz w:val="18"/>
          <w:szCs w:val="18"/>
          <w:lang w:val="es-ES"/>
        </w:rPr>
        <w:t>.</w:t>
      </w:r>
    </w:p>
  </w:footnote>
  <w:footnote w:id="58">
    <w:p w14:paraId="16658389" w14:textId="01EB9958"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Japan; </w:t>
      </w:r>
      <w:bookmarkStart w:id="21" w:name="_Hlk34071190"/>
      <w:r w:rsidRPr="00411BC4">
        <w:rPr>
          <w:rFonts w:ascii="Times New Roman"/>
          <w:sz w:val="18"/>
          <w:szCs w:val="18"/>
        </w:rPr>
        <w:t>European Union and its Member States</w:t>
      </w:r>
      <w:bookmarkEnd w:id="21"/>
      <w:r w:rsidRPr="00411BC4">
        <w:rPr>
          <w:rFonts w:ascii="Times New Roman"/>
          <w:sz w:val="18"/>
          <w:szCs w:val="18"/>
        </w:rPr>
        <w:t>; Canada, Brazil.</w:t>
      </w:r>
    </w:p>
  </w:footnote>
  <w:footnote w:id="59">
    <w:p w14:paraId="01FCD64E" w14:textId="6A2E244D"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Switzerland.</w:t>
      </w:r>
    </w:p>
  </w:footnote>
  <w:footnote w:id="60">
    <w:p w14:paraId="4E5BE694" w14:textId="64040DEA" w:rsidR="00814401" w:rsidRPr="00411BC4" w:rsidRDefault="00814401" w:rsidP="00F4202E">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The Ad Hoc Open-ended Working Group to Enhance the Functioning of the Multilateral System (MLS) of access and benefit-sharing (ABS) of the International Treaty on Plant Genetic Resources for Food and Agriculture.</w:t>
      </w:r>
    </w:p>
  </w:footnote>
  <w:footnote w:id="61">
    <w:p w14:paraId="66FC91A2" w14:textId="621DDDD5" w:rsidR="00814401" w:rsidRPr="00411BC4" w:rsidRDefault="00814401" w:rsidP="00FF7F04">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Noted by Brazil, Argentina, and the ITPGRFA. Following the 8</w:t>
      </w:r>
      <w:r w:rsidRPr="00411BC4">
        <w:rPr>
          <w:rFonts w:ascii="Times New Roman"/>
          <w:sz w:val="18"/>
          <w:szCs w:val="18"/>
          <w:vertAlign w:val="superscript"/>
        </w:rPr>
        <w:t>th</w:t>
      </w:r>
      <w:r w:rsidRPr="00411BC4">
        <w:rPr>
          <w:rFonts w:ascii="Times New Roman"/>
          <w:sz w:val="18"/>
          <w:szCs w:val="18"/>
        </w:rPr>
        <w:t xml:space="preserve"> Governing Body Meeting in Rome in October 2019, there does not appear to be consensus for Working Group to continue this work so it is unclear if/how the issue of DSI will continue to be addressed in </w:t>
      </w:r>
      <w:proofErr w:type="gramStart"/>
      <w:r w:rsidRPr="00411BC4">
        <w:rPr>
          <w:rFonts w:ascii="Times New Roman"/>
          <w:sz w:val="18"/>
          <w:szCs w:val="18"/>
        </w:rPr>
        <w:t>this fora</w:t>
      </w:r>
      <w:proofErr w:type="gramEnd"/>
      <w:r w:rsidRPr="00411BC4">
        <w:rPr>
          <w:rFonts w:ascii="Times New Roman"/>
          <w:sz w:val="18"/>
          <w:szCs w:val="18"/>
        </w:rPr>
        <w:t xml:space="preserve"> in the future.</w:t>
      </w:r>
    </w:p>
  </w:footnote>
  <w:footnote w:id="62">
    <w:p w14:paraId="7C8DDFBA" w14:textId="7A336556" w:rsidR="00814401" w:rsidRPr="00411BC4" w:rsidRDefault="00814401">
      <w:pPr>
        <w:pStyle w:val="FootnoteText"/>
      </w:pPr>
      <w:r w:rsidRPr="00411BC4">
        <w:rPr>
          <w:rStyle w:val="FootnoteReference"/>
          <w:rFonts w:ascii="Times New Roman"/>
          <w:sz w:val="18"/>
          <w:szCs w:val="18"/>
        </w:rPr>
        <w:footnoteRef/>
      </w:r>
      <w:r w:rsidRPr="00411BC4">
        <w:rPr>
          <w:rStyle w:val="FootnoteReference"/>
          <w:rFonts w:ascii="Times New Roman"/>
          <w:sz w:val="18"/>
          <w:szCs w:val="18"/>
        </w:rPr>
        <w:t xml:space="preserve"> </w:t>
      </w:r>
      <w:r w:rsidRPr="00411BC4">
        <w:rPr>
          <w:rFonts w:ascii="Times New Roman"/>
          <w:sz w:val="18"/>
          <w:szCs w:val="18"/>
        </w:rPr>
        <w:t>Brazil (noted); ITPGRFA (noted).</w:t>
      </w:r>
    </w:p>
  </w:footnote>
  <w:footnote w:id="63">
    <w:p w14:paraId="1BD30D80" w14:textId="33264D31" w:rsidR="00814401" w:rsidRPr="00411BC4" w:rsidRDefault="00814401">
      <w:pPr>
        <w:pStyle w:val="FootnoteText"/>
      </w:pPr>
      <w:r w:rsidRPr="00411BC4">
        <w:rPr>
          <w:rStyle w:val="FootnoteReference"/>
          <w:rFonts w:ascii="Times New Roman"/>
          <w:sz w:val="18"/>
          <w:szCs w:val="18"/>
        </w:rPr>
        <w:footnoteRef/>
      </w:r>
      <w:r w:rsidRPr="00411BC4">
        <w:t xml:space="preserve"> </w:t>
      </w:r>
      <w:r w:rsidRPr="00411BC4">
        <w:rPr>
          <w:rFonts w:ascii="Times New Roman"/>
          <w:sz w:val="18"/>
          <w:szCs w:val="18"/>
        </w:rPr>
        <w:t>Australia (noted); Brazil (noted).</w:t>
      </w:r>
    </w:p>
  </w:footnote>
  <w:footnote w:id="64">
    <w:p w14:paraId="2DB4DEAB" w14:textId="2A6F4EAB" w:rsidR="00814401" w:rsidRPr="00411BC4" w:rsidRDefault="00814401" w:rsidP="00F4202E">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Brazil (noted); South Africa (Noted); African Union Commission on behalf of the African Group (one of two preferred). </w:t>
      </w:r>
    </w:p>
  </w:footnote>
  <w:footnote w:id="65">
    <w:p w14:paraId="190C5F23" w14:textId="455128AC" w:rsidR="00814401" w:rsidRPr="00411BC4" w:rsidRDefault="00814401" w:rsidP="00F4202E">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India (noted).</w:t>
      </w:r>
    </w:p>
  </w:footnote>
  <w:footnote w:id="66">
    <w:p w14:paraId="12FAD75F" w14:textId="68EF388D"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Iran (noted).</w:t>
      </w:r>
    </w:p>
  </w:footnote>
  <w:footnote w:id="67">
    <w:p w14:paraId="205A40FE" w14:textId="6AC4BE22"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India (noted).</w:t>
      </w:r>
    </w:p>
  </w:footnote>
  <w:footnote w:id="68">
    <w:p w14:paraId="269749C2" w14:textId="04DB841F"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Argentina (preferred); South Africa (noted); African Union Commission on behalf of the African Group (one of two preferred); Ethiopia (one of two preferred); ITPGRFA (noted).</w:t>
      </w:r>
    </w:p>
  </w:footnote>
  <w:footnote w:id="69">
    <w:p w14:paraId="4955DB1F" w14:textId="245F69A2"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Brazil (preferred).</w:t>
      </w:r>
    </w:p>
  </w:footnote>
  <w:footnote w:id="70">
    <w:p w14:paraId="109C2DD6" w14:textId="3BFCF5F4"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Canada (one of two preferred).</w:t>
      </w:r>
    </w:p>
  </w:footnote>
  <w:footnote w:id="71">
    <w:p w14:paraId="18C9FD52" w14:textId="7C9519C8" w:rsidR="00814401" w:rsidRPr="00411BC4" w:rsidRDefault="00814401" w:rsidP="00F4202E">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Brazil (noted); Canada (one of two preferred); Ethiopia (one of two preferred); European Union and its Member States (noted); Japan (preferred); Republic of South Korea (preferred); South Africa (noted); Switzerland (noted); United States of America (noted); CETAF (noted); INSDC (noted); SPNHC (noted);</w:t>
      </w:r>
      <w:r w:rsidRPr="00411BC4" w:rsidDel="0008161A">
        <w:rPr>
          <w:rFonts w:ascii="Times New Roman"/>
          <w:sz w:val="18"/>
          <w:szCs w:val="18"/>
        </w:rPr>
        <w:t xml:space="preserve"> </w:t>
      </w:r>
      <w:r w:rsidRPr="00411BC4">
        <w:rPr>
          <w:rFonts w:ascii="Times New Roman"/>
          <w:sz w:val="18"/>
          <w:szCs w:val="18"/>
        </w:rPr>
        <w:t xml:space="preserve">Joint submission by Natural History Museum UK and others (noted). </w:t>
      </w:r>
    </w:p>
  </w:footnote>
  <w:footnote w:id="72">
    <w:p w14:paraId="6938F372" w14:textId="7F430363" w:rsidR="00814401" w:rsidRPr="00411BC4" w:rsidRDefault="00814401" w:rsidP="00F4202E">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Republic of South Korea; Japan; European Union and its Member States.</w:t>
      </w:r>
    </w:p>
  </w:footnote>
  <w:footnote w:id="73">
    <w:p w14:paraId="5B066549" w14:textId="1E4DCCB9" w:rsidR="00814401" w:rsidRPr="00411BC4" w:rsidRDefault="00814401" w:rsidP="00F4202E">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Japan.</w:t>
      </w:r>
    </w:p>
  </w:footnote>
  <w:footnote w:id="74">
    <w:p w14:paraId="0CCD7E1D" w14:textId="1452824E" w:rsidR="00814401" w:rsidRPr="00411BC4" w:rsidRDefault="00814401" w:rsidP="00F4202E">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Republic of South Korea; Japan; CETAF; INSDC.</w:t>
      </w:r>
    </w:p>
  </w:footnote>
  <w:footnote w:id="75">
    <w:p w14:paraId="62633D4A" w14:textId="600FC171" w:rsidR="00814401" w:rsidRPr="004C6AA7" w:rsidRDefault="00814401">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w:t>
      </w:r>
      <w:bookmarkStart w:id="23" w:name="_Hlk15912482"/>
      <w:proofErr w:type="spellStart"/>
      <w:r w:rsidRPr="004C6AA7">
        <w:rPr>
          <w:rFonts w:ascii="Times New Roman"/>
          <w:sz w:val="18"/>
          <w:szCs w:val="18"/>
          <w:lang w:val="es-ES"/>
        </w:rPr>
        <w:t>EuropaBio</w:t>
      </w:r>
      <w:proofErr w:type="spellEnd"/>
      <w:r w:rsidRPr="004C6AA7">
        <w:rPr>
          <w:rFonts w:ascii="Times New Roman"/>
          <w:sz w:val="18"/>
          <w:szCs w:val="18"/>
          <w:lang w:val="es-ES"/>
        </w:rPr>
        <w:t>; ICC</w:t>
      </w:r>
      <w:bookmarkEnd w:id="23"/>
      <w:r w:rsidRPr="004C6AA7">
        <w:rPr>
          <w:rFonts w:ascii="Times New Roman"/>
          <w:sz w:val="18"/>
          <w:szCs w:val="18"/>
          <w:lang w:val="es-ES"/>
        </w:rPr>
        <w:t>; IFRA and IOFI.</w:t>
      </w:r>
    </w:p>
  </w:footnote>
  <w:footnote w:id="76">
    <w:p w14:paraId="26AD3C9C" w14:textId="48202041"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European Union and its Member States (noted); CETAF (preferred); LERU (preferred); </w:t>
      </w:r>
      <w:bookmarkStart w:id="24" w:name="_Hlk33799565"/>
      <w:r w:rsidRPr="00411BC4">
        <w:rPr>
          <w:rFonts w:ascii="Times New Roman"/>
          <w:sz w:val="18"/>
          <w:szCs w:val="18"/>
        </w:rPr>
        <w:t>Natural History Museum Vienna (preferred); Joint submission by Consortium of German Natural History Collections and others (preferred); Joint submission by Natural History Museum UK and others</w:t>
      </w:r>
      <w:bookmarkEnd w:id="24"/>
      <w:r w:rsidRPr="00411BC4">
        <w:rPr>
          <w:rFonts w:ascii="Times New Roman"/>
          <w:sz w:val="18"/>
          <w:szCs w:val="18"/>
        </w:rPr>
        <w:t xml:space="preserve"> (preferred).</w:t>
      </w:r>
    </w:p>
  </w:footnote>
  <w:footnote w:id="77">
    <w:p w14:paraId="002EF053" w14:textId="6C001DFF"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JBA (preferred).</w:t>
      </w:r>
    </w:p>
  </w:footnote>
  <w:footnote w:id="78">
    <w:p w14:paraId="03AB7FC1" w14:textId="2C70199D"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JBA.</w:t>
      </w:r>
    </w:p>
  </w:footnote>
  <w:footnote w:id="79">
    <w:p w14:paraId="30AA619E" w14:textId="215F3FE9"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Available at </w:t>
      </w:r>
      <w:hyperlink r:id="rId7" w:history="1">
        <w:r w:rsidRPr="00411BC4">
          <w:rPr>
            <w:rStyle w:val="Hyperlink"/>
            <w:rFonts w:ascii="Times New Roman"/>
            <w:color w:val="auto"/>
            <w:sz w:val="18"/>
            <w:szCs w:val="18"/>
          </w:rPr>
          <w:t>https://www.cbd.int/meetings/DSI-AHTEG-2020-01</w:t>
        </w:r>
      </w:hyperlink>
      <w:r w:rsidRPr="00411BC4">
        <w:rPr>
          <w:rFonts w:ascii="Times New Roman"/>
          <w:sz w:val="18"/>
          <w:szCs w:val="18"/>
        </w:rPr>
        <w:t>.</w:t>
      </w:r>
      <w:r w:rsidRPr="00411BC4">
        <w:rPr>
          <w:rFonts w:ascii="Times New Roman"/>
          <w:sz w:val="18"/>
          <w:szCs w:val="18"/>
        </w:rPr>
        <w:tab/>
      </w:r>
      <w:r w:rsidRPr="00411BC4" w:rsidDel="00524A30">
        <w:rPr>
          <w:rFonts w:ascii="Times New Roman"/>
          <w:sz w:val="18"/>
          <w:szCs w:val="18"/>
        </w:rPr>
        <w:t xml:space="preserve"> </w:t>
      </w:r>
    </w:p>
  </w:footnote>
  <w:footnote w:id="80">
    <w:p w14:paraId="224B6856" w14:textId="33580A1D"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South Africa. </w:t>
      </w:r>
    </w:p>
  </w:footnote>
  <w:footnote w:id="81">
    <w:p w14:paraId="44061968" w14:textId="5388CCF5"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Natural History Museum Vienna.</w:t>
      </w:r>
    </w:p>
  </w:footnote>
  <w:footnote w:id="82">
    <w:p w14:paraId="037055A5" w14:textId="422BA55A"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Natural History Museum Vienna.</w:t>
      </w:r>
    </w:p>
  </w:footnote>
  <w:footnote w:id="83">
    <w:p w14:paraId="2F64375D" w14:textId="2DD252B0"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w:t>
      </w:r>
      <w:proofErr w:type="spellStart"/>
      <w:r w:rsidRPr="00411BC4">
        <w:rPr>
          <w:rFonts w:ascii="Times New Roman"/>
          <w:sz w:val="18"/>
          <w:szCs w:val="18"/>
        </w:rPr>
        <w:t>EuropaBio</w:t>
      </w:r>
      <w:proofErr w:type="spellEnd"/>
      <w:r w:rsidRPr="00411BC4">
        <w:rPr>
          <w:rFonts w:ascii="Times New Roman"/>
          <w:sz w:val="18"/>
          <w:szCs w:val="18"/>
        </w:rPr>
        <w:t>; ICC; Natural History Museum Vienna; SPNHC; Joint statement from group of stakeholder organizations; Joint submission by Consortium of German Natural History Collections and others.</w:t>
      </w:r>
    </w:p>
  </w:footnote>
  <w:footnote w:id="84">
    <w:p w14:paraId="7B53AF7F" w14:textId="65E11242"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INSDC; Natural History Museum Vienna; </w:t>
      </w:r>
      <w:proofErr w:type="spellStart"/>
      <w:r w:rsidRPr="00411BC4">
        <w:rPr>
          <w:rFonts w:ascii="Times New Roman"/>
          <w:sz w:val="18"/>
          <w:szCs w:val="18"/>
        </w:rPr>
        <w:t>Wellcome</w:t>
      </w:r>
      <w:proofErr w:type="spellEnd"/>
      <w:r w:rsidRPr="00411BC4">
        <w:rPr>
          <w:rFonts w:ascii="Times New Roman"/>
          <w:sz w:val="18"/>
          <w:szCs w:val="18"/>
        </w:rPr>
        <w:t xml:space="preserve"> Sanger Institute; Joint submission by Consortium of German Natural History Collections and others; Joint submission by Natural History Museum UK and others.</w:t>
      </w:r>
    </w:p>
  </w:footnote>
  <w:footnote w:id="85">
    <w:p w14:paraId="264B1ED1" w14:textId="08B07D3D"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Mexico</w:t>
      </w:r>
    </w:p>
  </w:footnote>
  <w:footnote w:id="86">
    <w:p w14:paraId="38466CFD" w14:textId="77777777" w:rsidR="00814401" w:rsidRPr="00411BC4" w:rsidRDefault="00814401" w:rsidP="00E16913">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 partnership between the National Institute of Genetics’ DNA Data Bank of Japan (DDJB), the European Molecular Biology Laboratory’s European Bioinformatic Institute (EMBL-EBI), and the US National Institutes of Health’s National Library of Medicine, National Center for Biotechnology Information (NCBI).</w:t>
      </w:r>
    </w:p>
  </w:footnote>
  <w:footnote w:id="87">
    <w:p w14:paraId="2EDA2276" w14:textId="06FD816E"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United States of America; JBA; INSDC.</w:t>
      </w:r>
    </w:p>
  </w:footnote>
  <w:footnote w:id="88">
    <w:p w14:paraId="13947167" w14:textId="465AFCDA"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JBA.</w:t>
      </w:r>
    </w:p>
  </w:footnote>
  <w:footnote w:id="89">
    <w:p w14:paraId="6F42E539" w14:textId="2BA31143"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INSDC.</w:t>
      </w:r>
    </w:p>
  </w:footnote>
  <w:footnote w:id="90">
    <w:p w14:paraId="017B9416" w14:textId="15FB8963"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INSDC.</w:t>
      </w:r>
    </w:p>
  </w:footnote>
  <w:footnote w:id="91">
    <w:p w14:paraId="1BD4CE65" w14:textId="40DDB3B3" w:rsidR="00814401" w:rsidRPr="00411BC4" w:rsidRDefault="00814401" w:rsidP="00381AB3">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ICC; JBA; Joint statement from group of stakeholder organizations; Joint submission by Consortium of German Natural History Collections and others.</w:t>
      </w:r>
    </w:p>
  </w:footnote>
  <w:footnote w:id="92">
    <w:p w14:paraId="5EE95B3B" w14:textId="3CB546A5" w:rsidR="00814401" w:rsidRPr="00411BC4" w:rsidRDefault="00814401">
      <w:pPr>
        <w:pStyle w:val="FootnoteText"/>
      </w:pPr>
      <w:r w:rsidRPr="00411BC4">
        <w:rPr>
          <w:rStyle w:val="FootnoteReference"/>
          <w:rFonts w:ascii="Times New Roman"/>
          <w:sz w:val="18"/>
          <w:szCs w:val="18"/>
        </w:rPr>
        <w:footnoteRef/>
      </w:r>
      <w:r w:rsidRPr="00411BC4">
        <w:rPr>
          <w:rStyle w:val="FootnoteReference"/>
          <w:rFonts w:ascii="Times New Roman"/>
          <w:sz w:val="18"/>
          <w:szCs w:val="18"/>
        </w:rPr>
        <w:t xml:space="preserve"> </w:t>
      </w:r>
      <w:r w:rsidRPr="00411BC4">
        <w:rPr>
          <w:rFonts w:ascii="Times New Roman"/>
          <w:sz w:val="18"/>
          <w:szCs w:val="18"/>
        </w:rPr>
        <w:t>Joint submission by Natural History Museum UK and others.</w:t>
      </w:r>
    </w:p>
  </w:footnote>
  <w:footnote w:id="93">
    <w:p w14:paraId="43392F1E" w14:textId="33507C3C"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BIA.</w:t>
      </w:r>
    </w:p>
  </w:footnote>
  <w:footnote w:id="94">
    <w:p w14:paraId="672A9624" w14:textId="2804B143" w:rsidR="00814401" w:rsidRPr="00411BC4" w:rsidRDefault="00814401" w:rsidP="00CD2E43">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ICC; INSDC; CETAF; </w:t>
      </w:r>
      <w:proofErr w:type="spellStart"/>
      <w:r w:rsidRPr="00411BC4">
        <w:rPr>
          <w:rFonts w:ascii="Times New Roman"/>
          <w:sz w:val="18"/>
          <w:szCs w:val="18"/>
        </w:rPr>
        <w:t>Wellcome</w:t>
      </w:r>
      <w:proofErr w:type="spellEnd"/>
      <w:r w:rsidRPr="00411BC4">
        <w:rPr>
          <w:rFonts w:ascii="Times New Roman"/>
          <w:sz w:val="18"/>
          <w:szCs w:val="18"/>
        </w:rPr>
        <w:t xml:space="preserve"> Sanger Institute; Joint submission by Consortium of German Natural History Collections and others. </w:t>
      </w:r>
    </w:p>
  </w:footnote>
  <w:footnote w:id="95">
    <w:p w14:paraId="111CD3C1" w14:textId="57112B1C"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w:t>
      </w:r>
      <w:proofErr w:type="spellStart"/>
      <w:r w:rsidRPr="00411BC4">
        <w:rPr>
          <w:rFonts w:ascii="Times New Roman"/>
          <w:sz w:val="18"/>
          <w:szCs w:val="18"/>
        </w:rPr>
        <w:t>Wellcome</w:t>
      </w:r>
      <w:proofErr w:type="spellEnd"/>
      <w:r w:rsidRPr="00411BC4">
        <w:rPr>
          <w:rFonts w:ascii="Times New Roman"/>
          <w:sz w:val="18"/>
          <w:szCs w:val="18"/>
        </w:rPr>
        <w:t xml:space="preserve"> Sanger Institute.</w:t>
      </w:r>
    </w:p>
  </w:footnote>
  <w:footnote w:id="96">
    <w:p w14:paraId="6BAB982F" w14:textId="48AFADDC"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INSDC.</w:t>
      </w:r>
    </w:p>
  </w:footnote>
  <w:footnote w:id="97">
    <w:p w14:paraId="7584B6D3" w14:textId="77777777" w:rsidR="00814401" w:rsidRPr="00411BC4" w:rsidRDefault="00814401" w:rsidP="00D659B0">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Available at: </w:t>
      </w:r>
      <w:hyperlink r:id="rId8" w:history="1">
        <w:r w:rsidRPr="00411BC4">
          <w:rPr>
            <w:rStyle w:val="Hyperlink"/>
            <w:rFonts w:ascii="Times New Roman"/>
            <w:color w:val="auto"/>
            <w:sz w:val="18"/>
            <w:szCs w:val="18"/>
          </w:rPr>
          <w:t>https://www.cbd.int/meetings/DSI-AHTEG-2018-01</w:t>
        </w:r>
      </w:hyperlink>
      <w:r w:rsidRPr="00411BC4">
        <w:rPr>
          <w:rFonts w:ascii="Times New Roman"/>
          <w:sz w:val="18"/>
          <w:szCs w:val="18"/>
        </w:rPr>
        <w:t>. The document was also considered by the 22nd meeting of the Subsidiary Body on Scientific, Technical and Technological Advice held 2-7 July in Montreal, Canada, as well as the 14th meeting of the Conference of the Parties to the Convention on Biological Diversity and 3rd meeting of the Conference of the Parties serving as the meeting of the Parties to the Nagoya Protocol on Access and Benefit-Sharing, held 17-29 November 2018 in Sharm El-Sheikh, Egypt.</w:t>
      </w:r>
    </w:p>
  </w:footnote>
  <w:footnote w:id="98">
    <w:p w14:paraId="27A5B1E7" w14:textId="1DB3C114"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European Union and its Member States; United States of America.</w:t>
      </w:r>
    </w:p>
  </w:footnote>
  <w:footnote w:id="99">
    <w:p w14:paraId="69197170" w14:textId="5141C2D1"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Canada.</w:t>
      </w:r>
    </w:p>
  </w:footnote>
  <w:footnote w:id="100">
    <w:p w14:paraId="0997B760" w14:textId="19000E43"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Australia; European Union and its Member States; South Africa; United States of America; ICC; Joint submission by Natural History Museum UK and others.</w:t>
      </w:r>
    </w:p>
  </w:footnote>
  <w:footnote w:id="101">
    <w:p w14:paraId="2ECCF4AC" w14:textId="20F3DB72"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South Africa; Japan; European Union and its Member States; CIPA; ICC; INSDC.</w:t>
      </w:r>
    </w:p>
  </w:footnote>
  <w:footnote w:id="102">
    <w:p w14:paraId="6E0E844F" w14:textId="2A82FC2A"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Japan; South Africa; United States of America; CIPA; ICC; INSDC.</w:t>
      </w:r>
    </w:p>
  </w:footnote>
  <w:footnote w:id="103">
    <w:p w14:paraId="52006D72" w14:textId="58F76CAE"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European Union and its Member States South Africa; CIPA; </w:t>
      </w:r>
      <w:proofErr w:type="spellStart"/>
      <w:r w:rsidR="00613133" w:rsidRPr="00411BC4">
        <w:rPr>
          <w:rFonts w:ascii="Times New Roman"/>
          <w:sz w:val="18"/>
          <w:szCs w:val="18"/>
        </w:rPr>
        <w:t>iBOL</w:t>
      </w:r>
      <w:proofErr w:type="spellEnd"/>
      <w:r w:rsidR="00613133" w:rsidRPr="00411BC4">
        <w:rPr>
          <w:rFonts w:ascii="Times New Roman"/>
          <w:sz w:val="18"/>
          <w:szCs w:val="18"/>
        </w:rPr>
        <w:t xml:space="preserve">; </w:t>
      </w:r>
      <w:proofErr w:type="spellStart"/>
      <w:r w:rsidRPr="00411BC4">
        <w:rPr>
          <w:rFonts w:ascii="Times New Roman"/>
          <w:sz w:val="18"/>
          <w:szCs w:val="18"/>
        </w:rPr>
        <w:t>Wellcome</w:t>
      </w:r>
      <w:proofErr w:type="spellEnd"/>
      <w:r w:rsidRPr="00411BC4">
        <w:rPr>
          <w:rFonts w:ascii="Times New Roman"/>
          <w:sz w:val="18"/>
          <w:szCs w:val="18"/>
        </w:rPr>
        <w:t xml:space="preserve"> Sanger Institute.</w:t>
      </w:r>
    </w:p>
  </w:footnote>
  <w:footnote w:id="104">
    <w:p w14:paraId="236DA0CE" w14:textId="69F99EE9"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CIPA.</w:t>
      </w:r>
    </w:p>
  </w:footnote>
  <w:footnote w:id="105">
    <w:p w14:paraId="351C7208" w14:textId="27112634"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Third World Network.</w:t>
      </w:r>
    </w:p>
  </w:footnote>
  <w:footnote w:id="106">
    <w:p w14:paraId="6BBBA4E1" w14:textId="1D45B482"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w:t>
      </w:r>
      <w:r w:rsidR="00E13346" w:rsidRPr="00E13346">
        <w:rPr>
          <w:rFonts w:ascii="Times New Roman"/>
        </w:rPr>
        <w:t>CBD/AHTEG/DSI/2020/1/5</w:t>
      </w:r>
      <w:r w:rsidR="00E13346">
        <w:rPr>
          <w:rFonts w:ascii="Times New Roman"/>
        </w:rPr>
        <w:t xml:space="preserve">. </w:t>
      </w:r>
      <w:r w:rsidRPr="00411BC4">
        <w:rPr>
          <w:rFonts w:ascii="Times New Roman"/>
          <w:sz w:val="18"/>
          <w:szCs w:val="18"/>
        </w:rPr>
        <w:t xml:space="preserve">Available at </w:t>
      </w:r>
      <w:hyperlink r:id="rId9" w:history="1">
        <w:r w:rsidRPr="00411BC4">
          <w:rPr>
            <w:rStyle w:val="Hyperlink"/>
            <w:rFonts w:ascii="Times New Roman"/>
            <w:color w:val="auto"/>
            <w:sz w:val="18"/>
            <w:szCs w:val="18"/>
          </w:rPr>
          <w:t>https://www.cbd.int/meetings/DSI-AHTEG-2020-01</w:t>
        </w:r>
      </w:hyperlink>
      <w:r w:rsidRPr="00411BC4">
        <w:rPr>
          <w:rFonts w:ascii="Times New Roman"/>
          <w:sz w:val="18"/>
          <w:szCs w:val="18"/>
        </w:rPr>
        <w:t>.</w:t>
      </w:r>
      <w:r w:rsidRPr="00411BC4">
        <w:rPr>
          <w:rFonts w:ascii="Times New Roman"/>
          <w:sz w:val="18"/>
          <w:szCs w:val="18"/>
        </w:rPr>
        <w:tab/>
      </w:r>
    </w:p>
  </w:footnote>
  <w:footnote w:id="107">
    <w:p w14:paraId="51149908" w14:textId="57F36E4F"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Other sources of information include the ABS Clearing-House (ABSCH), literature and website reviews, interviews, and responses to a survey specifically on domestic measures which was designed by the authors and circulated by the CBD Secretariat, to which thirty-six Contracting Parties responded, as indicated in Section 1.4 ‘Methodology and Sources of Information’ of the study.</w:t>
      </w:r>
    </w:p>
  </w:footnote>
  <w:footnote w:id="108">
    <w:p w14:paraId="612E7FC8" w14:textId="3C07C895"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Australia; Canada; Japan; Republic of South Korea; Switzerland; BIA (referring to UK legislation).</w:t>
      </w:r>
    </w:p>
  </w:footnote>
  <w:footnote w:id="109">
    <w:p w14:paraId="454DDF71" w14:textId="19E973FD"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Australia; Japan; Republic of South Korea; United States of America.</w:t>
      </w:r>
    </w:p>
  </w:footnote>
  <w:footnote w:id="110">
    <w:p w14:paraId="4CA5ECFC" w14:textId="7AA611B9" w:rsidR="00814401" w:rsidRPr="00411BC4" w:rsidRDefault="00814401">
      <w:pPr>
        <w:pStyle w:val="FootnoteText"/>
      </w:pPr>
      <w:r w:rsidRPr="00411BC4">
        <w:rPr>
          <w:rStyle w:val="FootnoteReference"/>
          <w:rFonts w:ascii="Times New Roman"/>
          <w:sz w:val="18"/>
          <w:szCs w:val="18"/>
        </w:rPr>
        <w:footnoteRef/>
      </w:r>
      <w:r w:rsidRPr="00411BC4">
        <w:t xml:space="preserve"> </w:t>
      </w:r>
      <w:r w:rsidRPr="00411BC4">
        <w:rPr>
          <w:rFonts w:ascii="Times New Roman"/>
          <w:sz w:val="18"/>
          <w:szCs w:val="18"/>
        </w:rPr>
        <w:t>Colombia.</w:t>
      </w:r>
    </w:p>
  </w:footnote>
  <w:footnote w:id="111">
    <w:p w14:paraId="38D825BD" w14:textId="01775F30"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India.</w:t>
      </w:r>
    </w:p>
  </w:footnote>
  <w:footnote w:id="112">
    <w:p w14:paraId="3948C2C2" w14:textId="74A1B12A"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South Africa.</w:t>
      </w:r>
    </w:p>
  </w:footnote>
  <w:footnote w:id="113">
    <w:p w14:paraId="336384BC" w14:textId="2A1F1C24"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South Africa.</w:t>
      </w:r>
      <w:r w:rsidRPr="00411BC4" w:rsidDel="00E204AD">
        <w:rPr>
          <w:rFonts w:ascii="Times New Roman"/>
          <w:sz w:val="18"/>
          <w:szCs w:val="18"/>
        </w:rPr>
        <w:t xml:space="preserve"> </w:t>
      </w:r>
    </w:p>
  </w:footnote>
  <w:footnote w:id="114">
    <w:p w14:paraId="73E201BC" w14:textId="62C427D0"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South Africa.</w:t>
      </w:r>
      <w:r w:rsidRPr="00411BC4" w:rsidDel="00E204AD">
        <w:rPr>
          <w:rFonts w:ascii="Times New Roman"/>
          <w:sz w:val="18"/>
          <w:szCs w:val="18"/>
        </w:rPr>
        <w:t xml:space="preserve"> </w:t>
      </w:r>
    </w:p>
  </w:footnote>
  <w:footnote w:id="115">
    <w:p w14:paraId="68BDF0FB" w14:textId="7BCA8868"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Belarus; Madagascar; Switzerland.</w:t>
      </w:r>
    </w:p>
  </w:footnote>
  <w:footnote w:id="116">
    <w:p w14:paraId="4B80C0FF" w14:textId="607BFC9C"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Ethiopia elaborated that it anticipates issuing an ABS proclamation which will incorporate digital sequence information into the scope of genetic resources by defining genetic resource as “any material of biological resource containing genetic information having actual or potential values for humanity and includes derivatives.”</w:t>
      </w:r>
    </w:p>
  </w:footnote>
  <w:footnote w:id="117">
    <w:p w14:paraId="59A18919" w14:textId="6F8B2D7E" w:rsidR="00814401" w:rsidRPr="00411BC4" w:rsidRDefault="00814401" w:rsidP="000A70FA">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JBA. The submission indicated that the domestic ABS framework implementing the Nagoya Protocol in Japan stipulates that information concerning genetic resources such as nucleic acid sequences is outside the scope of application because it does not fall under the category of genetic resources to which Protocol applies. This stipulation is not explicitly mentioned in the submission by the Government of Japan.</w:t>
      </w:r>
    </w:p>
  </w:footnote>
  <w:footnote w:id="118">
    <w:p w14:paraId="1660F8B6" w14:textId="223046AB" w:rsidR="00814401" w:rsidRPr="004C6AA7" w:rsidRDefault="00814401">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Costa Rica; </w:t>
      </w:r>
      <w:proofErr w:type="spellStart"/>
      <w:r w:rsidRPr="004C6AA7">
        <w:rPr>
          <w:rFonts w:ascii="Times New Roman"/>
          <w:sz w:val="18"/>
          <w:szCs w:val="18"/>
          <w:lang w:val="es-ES"/>
        </w:rPr>
        <w:t>Brazil</w:t>
      </w:r>
      <w:proofErr w:type="spellEnd"/>
      <w:r w:rsidRPr="004C6AA7">
        <w:rPr>
          <w:rFonts w:ascii="Times New Roman"/>
          <w:sz w:val="18"/>
          <w:szCs w:val="18"/>
          <w:lang w:val="es-ES"/>
        </w:rPr>
        <w:t>.</w:t>
      </w:r>
    </w:p>
  </w:footnote>
  <w:footnote w:id="119">
    <w:p w14:paraId="25155827" w14:textId="4C0586D2" w:rsidR="00814401" w:rsidRPr="004C6AA7" w:rsidRDefault="00814401" w:rsidP="000A70FA">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Ley de Biodiversidad #7788.</w:t>
      </w:r>
    </w:p>
  </w:footnote>
  <w:footnote w:id="120">
    <w:p w14:paraId="3EE3A25D" w14:textId="77777777" w:rsidR="00814401" w:rsidRPr="00411BC4" w:rsidRDefault="00814401" w:rsidP="000A70FA">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Law #13,123 as regulated by Decree #8,772 in force since 2017 and as was complemented by Provisional Act # 2,186-16/2001.</w:t>
      </w:r>
    </w:p>
  </w:footnote>
  <w:footnote w:id="121">
    <w:p w14:paraId="3DD8AD97" w14:textId="77777777" w:rsidR="00814401" w:rsidRPr="00411BC4" w:rsidRDefault="00814401" w:rsidP="000A70FA">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The term ‘genetic heritage’ which is used in Brazil’s 1988 constitution, is considered and used as equivalent to the term ‘genetic resources ‘under the CBD.</w:t>
      </w:r>
    </w:p>
  </w:footnote>
  <w:footnote w:id="122">
    <w:p w14:paraId="3C885199" w14:textId="77777777" w:rsidR="00814401" w:rsidRPr="00411BC4" w:rsidRDefault="00814401" w:rsidP="000A70FA">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Whether contained in samples or all or part of a plant, fungal, microbial or animal species, in the form of molecules and substances originating from the metabolism of these living beings, and in extracts obtained from in-situ conditions (including domesticated or kept in ex-situ collections, if collected from in-situ conditions) within the Brazilian territory, on the continental shelf or in the exclusive economic zone.</w:t>
      </w:r>
    </w:p>
  </w:footnote>
  <w:footnote w:id="123">
    <w:p w14:paraId="38986E7E" w14:textId="75FF8C8A" w:rsidR="00814401" w:rsidRPr="00411BC4" w:rsidRDefault="00814401">
      <w:pPr>
        <w:pStyle w:val="FootnoteText"/>
      </w:pPr>
      <w:r w:rsidRPr="00411BC4">
        <w:rPr>
          <w:rStyle w:val="FootnoteReference"/>
          <w:rFonts w:ascii="Times New Roman"/>
          <w:sz w:val="18"/>
          <w:szCs w:val="18"/>
        </w:rPr>
        <w:footnoteRef/>
      </w:r>
      <w:r w:rsidRPr="00411BC4">
        <w:rPr>
          <w:rStyle w:val="FootnoteReference"/>
          <w:rFonts w:ascii="Times New Roman"/>
          <w:sz w:val="18"/>
          <w:szCs w:val="18"/>
        </w:rPr>
        <w:t xml:space="preserve"> </w:t>
      </w:r>
      <w:r w:rsidRPr="00411BC4">
        <w:rPr>
          <w:rFonts w:ascii="Times New Roman"/>
          <w:sz w:val="18"/>
          <w:szCs w:val="18"/>
        </w:rPr>
        <w:t xml:space="preserve">African Union Commission on behalf of the African Group. Further information concerning country-level ABS legislation is available in the </w:t>
      </w:r>
      <w:r w:rsidR="00F60743">
        <w:rPr>
          <w:rFonts w:ascii="Times New Roman"/>
          <w:sz w:val="18"/>
          <w:szCs w:val="18"/>
        </w:rPr>
        <w:t>s</w:t>
      </w:r>
      <w:r w:rsidR="00F60743" w:rsidRPr="00F60743">
        <w:rPr>
          <w:rFonts w:ascii="Times New Roman"/>
          <w:sz w:val="18"/>
          <w:szCs w:val="18"/>
        </w:rPr>
        <w:t xml:space="preserve">tudy on how domestic measures address benefit-sharing arising from commercial and non-commercial use of digital </w:t>
      </w:r>
      <w:r w:rsidR="00F60743" w:rsidRPr="00411BC4">
        <w:rPr>
          <w:rFonts w:ascii="Times New Roman"/>
          <w:sz w:val="18"/>
          <w:szCs w:val="18"/>
        </w:rPr>
        <w:t xml:space="preserve">sequence information on genetic resources, and address the use of digital sequence information on genetic resources for research and development (CBD/AHTEG/DSI/2020/1/5) available at </w:t>
      </w:r>
      <w:hyperlink r:id="rId10" w:history="1">
        <w:r w:rsidR="00704818" w:rsidRPr="00411BC4">
          <w:rPr>
            <w:rStyle w:val="Hyperlink"/>
            <w:rFonts w:ascii="Times New Roman"/>
            <w:color w:val="auto"/>
            <w:sz w:val="18"/>
            <w:szCs w:val="18"/>
          </w:rPr>
          <w:t>https://www.cbd.int/meetings/DSI-AHTEG-2020-01</w:t>
        </w:r>
      </w:hyperlink>
      <w:r w:rsidRPr="00411BC4">
        <w:rPr>
          <w:rFonts w:ascii="Times New Roman"/>
          <w:sz w:val="18"/>
          <w:szCs w:val="18"/>
        </w:rPr>
        <w:t>.</w:t>
      </w:r>
      <w:r w:rsidRPr="00411BC4">
        <w:t xml:space="preserve"> </w:t>
      </w:r>
    </w:p>
  </w:footnote>
  <w:footnote w:id="124">
    <w:p w14:paraId="451F5BBF" w14:textId="2F1BE634" w:rsidR="00814401" w:rsidRPr="00411BC4" w:rsidRDefault="00814401">
      <w:pPr>
        <w:pStyle w:val="FootnoteText"/>
      </w:pPr>
      <w:r w:rsidRPr="00411BC4">
        <w:rPr>
          <w:rStyle w:val="FootnoteReference"/>
        </w:rPr>
        <w:footnoteRef/>
      </w:r>
      <w:r w:rsidRPr="00411BC4">
        <w:t xml:space="preserve"> </w:t>
      </w:r>
      <w:r w:rsidRPr="00411BC4">
        <w:rPr>
          <w:rFonts w:ascii="Times New Roman"/>
          <w:sz w:val="18"/>
          <w:szCs w:val="18"/>
        </w:rPr>
        <w:t xml:space="preserve">Accessible at </w:t>
      </w:r>
      <w:hyperlink r:id="rId11" w:history="1">
        <w:r w:rsidRPr="00411BC4">
          <w:rPr>
            <w:rStyle w:val="Hyperlink"/>
            <w:rFonts w:ascii="Times New Roman"/>
            <w:color w:val="auto"/>
            <w:sz w:val="18"/>
            <w:szCs w:val="18"/>
          </w:rPr>
          <w:t>https://www.cbd.int/abs/DSI-views/2019/Brazil-DSI.pdf</w:t>
        </w:r>
      </w:hyperlink>
      <w:r w:rsidRPr="00411BC4">
        <w:rPr>
          <w:rStyle w:val="Hyperlink"/>
          <w:rFonts w:ascii="Times New Roman"/>
          <w:color w:val="auto"/>
          <w:sz w:val="18"/>
          <w:szCs w:val="18"/>
        </w:rPr>
        <w:t xml:space="preserve">. </w:t>
      </w:r>
      <w:r w:rsidRPr="00411BC4">
        <w:tab/>
      </w:r>
    </w:p>
  </w:footnote>
  <w:footnote w:id="125">
    <w:p w14:paraId="60B33B1D" w14:textId="2D03351C" w:rsidR="00704818" w:rsidRDefault="00704818">
      <w:pPr>
        <w:pStyle w:val="FootnoteText"/>
      </w:pPr>
      <w:r>
        <w:rPr>
          <w:rStyle w:val="FootnoteReference"/>
        </w:rPr>
        <w:footnoteRef/>
      </w:r>
      <w:r w:rsidRPr="00411BC4">
        <w:rPr>
          <w:rStyle w:val="FootnoteReference"/>
        </w:rPr>
        <w:t xml:space="preserve"> </w:t>
      </w:r>
      <w:r>
        <w:rPr>
          <w:rFonts w:ascii="Times New Roman"/>
          <w:sz w:val="18"/>
          <w:szCs w:val="18"/>
        </w:rPr>
        <w:t>S</w:t>
      </w:r>
      <w:r w:rsidRPr="00411BC4">
        <w:rPr>
          <w:rFonts w:ascii="Times New Roman"/>
          <w:sz w:val="18"/>
          <w:szCs w:val="18"/>
        </w:rPr>
        <w:t xml:space="preserve">tudy on how domestic measures address benefit-sharing arising from commercial and non-commercial use of digital sequence information on genetic resources, and address the use of digital sequence information on genetic resources for research and development (CBD/AHTEG/DSI/2020/1/5) available at </w:t>
      </w:r>
      <w:hyperlink r:id="rId12" w:history="1">
        <w:r w:rsidRPr="00411BC4">
          <w:rPr>
            <w:rStyle w:val="Hyperlink"/>
            <w:rFonts w:ascii="Times New Roman"/>
            <w:color w:val="auto"/>
            <w:sz w:val="18"/>
            <w:szCs w:val="18"/>
          </w:rPr>
          <w:t>https://www.cbd.int/meetings/DSI-AHTEG-2020-01</w:t>
        </w:r>
      </w:hyperlink>
      <w:r w:rsidRPr="00411BC4">
        <w:rPr>
          <w:rFonts w:ascii="Times New Roman"/>
          <w:sz w:val="18"/>
          <w:szCs w:val="18"/>
        </w:rPr>
        <w:t>.</w:t>
      </w:r>
    </w:p>
  </w:footnote>
  <w:footnote w:id="126">
    <w:p w14:paraId="0F3DF9C0" w14:textId="3113DCF2" w:rsidR="00814401" w:rsidRPr="00411BC4" w:rsidRDefault="00814401" w:rsidP="00B34AD9">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i.e. 64 are equivalent to ‘benefit-sharing arrangements arising from commercial use of genetic sequence information on genetic resources’ and the remaining 385 are equivalent to ‘benefit-sharing arrangements arising from non-commercial use of genetic sequence information on genetic </w:t>
      </w:r>
      <w:proofErr w:type="gramStart"/>
      <w:r w:rsidRPr="00411BC4">
        <w:rPr>
          <w:rFonts w:ascii="Times New Roman"/>
          <w:sz w:val="18"/>
          <w:szCs w:val="18"/>
        </w:rPr>
        <w:t>resources’</w:t>
      </w:r>
      <w:proofErr w:type="gramEnd"/>
      <w:r w:rsidRPr="00411BC4">
        <w:rPr>
          <w:rFonts w:ascii="Times New Roman"/>
          <w:sz w:val="18"/>
          <w:szCs w:val="18"/>
        </w:rPr>
        <w:t>.</w:t>
      </w:r>
    </w:p>
  </w:footnote>
  <w:footnote w:id="127">
    <w:p w14:paraId="55EC4351" w14:textId="77777777" w:rsidR="00814401" w:rsidRPr="00411BC4" w:rsidRDefault="00814401" w:rsidP="00A4124D">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Accessible at </w:t>
      </w:r>
      <w:hyperlink r:id="rId13" w:history="1">
        <w:r w:rsidRPr="00411BC4">
          <w:rPr>
            <w:rStyle w:val="Hyperlink"/>
            <w:rFonts w:ascii="Times New Roman"/>
            <w:color w:val="auto"/>
            <w:sz w:val="18"/>
            <w:szCs w:val="18"/>
          </w:rPr>
          <w:t>https://www.cbd.int/abs/theabsch.shtml</w:t>
        </w:r>
      </w:hyperlink>
      <w:r w:rsidRPr="00411BC4">
        <w:rPr>
          <w:rFonts w:ascii="Times New Roman"/>
          <w:sz w:val="18"/>
          <w:szCs w:val="18"/>
        </w:rPr>
        <w:t>.</w:t>
      </w:r>
    </w:p>
  </w:footnote>
  <w:footnote w:id="128">
    <w:p w14:paraId="470E571F" w14:textId="779DF07F"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South Africa.</w:t>
      </w:r>
      <w:r w:rsidRPr="00411BC4" w:rsidDel="00E204AD">
        <w:rPr>
          <w:rFonts w:ascii="Times New Roman"/>
          <w:sz w:val="18"/>
          <w:szCs w:val="18"/>
        </w:rPr>
        <w:t xml:space="preserve"> </w:t>
      </w:r>
    </w:p>
  </w:footnote>
  <w:footnote w:id="129">
    <w:p w14:paraId="2E8C4037" w14:textId="1E44A15F" w:rsidR="006E0B48" w:rsidRDefault="006E0B48">
      <w:pPr>
        <w:pStyle w:val="FootnoteText"/>
      </w:pPr>
      <w:r>
        <w:rPr>
          <w:rStyle w:val="FootnoteReference"/>
        </w:rPr>
        <w:footnoteRef/>
      </w:r>
      <w:r w:rsidRPr="00411BC4">
        <w:rPr>
          <w:rStyle w:val="FootnoteReference"/>
          <w:rFonts w:ascii="Times New Roman"/>
          <w:sz w:val="18"/>
          <w:szCs w:val="18"/>
        </w:rPr>
        <w:t xml:space="preserve"> </w:t>
      </w:r>
      <w:r w:rsidRPr="00411BC4">
        <w:rPr>
          <w:rFonts w:ascii="Times New Roman"/>
          <w:sz w:val="18"/>
          <w:szCs w:val="18"/>
        </w:rPr>
        <w:t>Brazil.</w:t>
      </w:r>
    </w:p>
  </w:footnote>
  <w:footnote w:id="130">
    <w:p w14:paraId="1746AFB7" w14:textId="77777777" w:rsidR="00814401" w:rsidRPr="00411BC4" w:rsidRDefault="00814401" w:rsidP="000A70FA">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The submission notes that a study of specific instances in which it is necessary to restrict publication of DSI should be undertaken by the Parties.</w:t>
      </w:r>
    </w:p>
  </w:footnote>
  <w:footnote w:id="131">
    <w:p w14:paraId="6FD3A7E3" w14:textId="18D43F13"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Australia; Canada, European Union and its Member States; Republic of South Korea; Japan; United States of America.</w:t>
      </w:r>
    </w:p>
  </w:footnote>
  <w:footnote w:id="132">
    <w:p w14:paraId="4150ADA7" w14:textId="7320E7DD"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Belarus; Iran.</w:t>
      </w:r>
    </w:p>
  </w:footnote>
  <w:footnote w:id="133">
    <w:p w14:paraId="038D3B1C" w14:textId="59E776F3"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Third World Network.</w:t>
      </w:r>
    </w:p>
  </w:footnote>
  <w:footnote w:id="134">
    <w:p w14:paraId="6B878CB7" w14:textId="6A68DAD6" w:rsidR="00814401" w:rsidRPr="00411BC4" w:rsidRDefault="00814401">
      <w:pPr>
        <w:pStyle w:val="FootnoteText"/>
      </w:pPr>
      <w:r w:rsidRPr="00411BC4">
        <w:rPr>
          <w:rStyle w:val="FootnoteReference"/>
          <w:rFonts w:ascii="Times New Roman"/>
          <w:sz w:val="18"/>
          <w:szCs w:val="18"/>
        </w:rPr>
        <w:footnoteRef/>
      </w:r>
      <w:r w:rsidRPr="00411BC4">
        <w:rPr>
          <w:rStyle w:val="FootnoteReference"/>
          <w:rFonts w:ascii="Times New Roman"/>
          <w:sz w:val="18"/>
          <w:szCs w:val="18"/>
        </w:rPr>
        <w:t xml:space="preserve"> </w:t>
      </w:r>
      <w:r w:rsidRPr="00411BC4">
        <w:rPr>
          <w:rFonts w:ascii="Times New Roman"/>
          <w:sz w:val="18"/>
          <w:szCs w:val="18"/>
        </w:rPr>
        <w:t>South Africa.</w:t>
      </w:r>
    </w:p>
  </w:footnote>
  <w:footnote w:id="135">
    <w:p w14:paraId="35DC3758" w14:textId="1776FE09" w:rsidR="00814401" w:rsidRPr="00411BC4" w:rsidRDefault="00814401">
      <w:pPr>
        <w:pStyle w:val="FootnoteText"/>
      </w:pPr>
      <w:r w:rsidRPr="00411BC4">
        <w:rPr>
          <w:rStyle w:val="FootnoteReference"/>
          <w:rFonts w:ascii="Times New Roman"/>
          <w:sz w:val="18"/>
          <w:szCs w:val="18"/>
        </w:rPr>
        <w:footnoteRef/>
      </w:r>
      <w:r w:rsidRPr="00411BC4">
        <w:t xml:space="preserve"> </w:t>
      </w:r>
      <w:r w:rsidRPr="00411BC4">
        <w:rPr>
          <w:rFonts w:ascii="Times New Roman"/>
          <w:sz w:val="18"/>
          <w:szCs w:val="18"/>
        </w:rPr>
        <w:t>South Korea.</w:t>
      </w:r>
    </w:p>
  </w:footnote>
  <w:footnote w:id="136">
    <w:p w14:paraId="520387CD" w14:textId="79B95A98"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Canada; European Union and its Member States; Ethiopia; India; Madagascar;</w:t>
      </w:r>
      <w:r w:rsidRPr="00411BC4" w:rsidDel="00FD53B9">
        <w:rPr>
          <w:rFonts w:ascii="Times New Roman"/>
          <w:sz w:val="18"/>
          <w:szCs w:val="18"/>
        </w:rPr>
        <w:t xml:space="preserve"> </w:t>
      </w:r>
      <w:r w:rsidRPr="00411BC4">
        <w:rPr>
          <w:rFonts w:ascii="Times New Roman"/>
          <w:sz w:val="18"/>
          <w:szCs w:val="18"/>
        </w:rPr>
        <w:t>South Africa; African Union Commission on behalf of the African Group;  Joint statement from group of stakeholder organizations; Joint submission by Consortium of German Natural History Collections and others; Joint submission by Natural History Museum UK and others.</w:t>
      </w:r>
    </w:p>
  </w:footnote>
  <w:footnote w:id="137">
    <w:p w14:paraId="0DA8D3AC" w14:textId="4DBCB970"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Joint submission by Natural History Museum UK and others.</w:t>
      </w:r>
    </w:p>
  </w:footnote>
  <w:footnote w:id="138">
    <w:p w14:paraId="557EDF3B" w14:textId="3D91004A"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India; Ethiopia.</w:t>
      </w:r>
    </w:p>
  </w:footnote>
  <w:footnote w:id="139">
    <w:p w14:paraId="1A34C5BA" w14:textId="050C597B"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Madagascar; African Union Commission on behalf of the African Group; Joint statement from group of stakeholder organizations.</w:t>
      </w:r>
    </w:p>
  </w:footnote>
  <w:footnote w:id="140">
    <w:p w14:paraId="4DF6E94F" w14:textId="08960E6E"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African Union Commission on behalf of the African Group.</w:t>
      </w:r>
    </w:p>
  </w:footnote>
  <w:footnote w:id="141">
    <w:p w14:paraId="024A8841" w14:textId="123607B9" w:rsidR="00814401" w:rsidRPr="00411BC4" w:rsidRDefault="00814401" w:rsidP="007579D4">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African Union Commission on behalf of the African Group.</w:t>
      </w:r>
    </w:p>
  </w:footnote>
  <w:footnote w:id="142">
    <w:p w14:paraId="22441CFB" w14:textId="02D5D7A6"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w:t>
      </w:r>
      <w:bookmarkStart w:id="36" w:name="_Hlk17107365"/>
      <w:r w:rsidRPr="00411BC4">
        <w:rPr>
          <w:rFonts w:ascii="Times New Roman"/>
          <w:sz w:val="18"/>
          <w:szCs w:val="18"/>
        </w:rPr>
        <w:t>Joint submission by Consortium of German Natural History Collections and others.</w:t>
      </w:r>
      <w:bookmarkEnd w:id="36"/>
    </w:p>
  </w:footnote>
  <w:footnote w:id="143">
    <w:p w14:paraId="769D29F9" w14:textId="7192C9D0"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w:t>
      </w:r>
      <w:proofErr w:type="spellStart"/>
      <w:r w:rsidR="00613133" w:rsidRPr="00411BC4">
        <w:rPr>
          <w:rFonts w:ascii="Times New Roman"/>
          <w:sz w:val="18"/>
          <w:szCs w:val="18"/>
        </w:rPr>
        <w:t>iBOL</w:t>
      </w:r>
      <w:proofErr w:type="spellEnd"/>
      <w:r w:rsidR="00613133" w:rsidRPr="00411BC4">
        <w:rPr>
          <w:rFonts w:ascii="Times New Roman"/>
          <w:sz w:val="18"/>
          <w:szCs w:val="18"/>
        </w:rPr>
        <w:t xml:space="preserve">; </w:t>
      </w:r>
      <w:r w:rsidRPr="00411BC4">
        <w:rPr>
          <w:rFonts w:ascii="Times New Roman"/>
          <w:sz w:val="18"/>
          <w:szCs w:val="18"/>
        </w:rPr>
        <w:t>Joint submission by Consortium of German Natural History Collections and others.</w:t>
      </w:r>
    </w:p>
  </w:footnote>
  <w:footnote w:id="144">
    <w:p w14:paraId="2B2E3565" w14:textId="0A989CD1"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Iran.</w:t>
      </w:r>
    </w:p>
  </w:footnote>
  <w:footnote w:id="145">
    <w:p w14:paraId="0D88970E" w14:textId="76903B39" w:rsidR="00814401" w:rsidRPr="00411BC4" w:rsidRDefault="00814401" w:rsidP="00F81EA9">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Canada; South Africa; African Union Commission on behalf of the African Group.</w:t>
      </w:r>
    </w:p>
  </w:footnote>
  <w:footnote w:id="146">
    <w:p w14:paraId="5068ECFF" w14:textId="3BD376D3" w:rsidR="00814401" w:rsidRPr="004C6AA7" w:rsidRDefault="00814401" w:rsidP="00F81EA9">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Costa Rica.</w:t>
      </w:r>
    </w:p>
  </w:footnote>
  <w:footnote w:id="147">
    <w:p w14:paraId="6458CBE0" w14:textId="33686687" w:rsidR="00814401" w:rsidRPr="004C6AA7" w:rsidRDefault="00814401" w:rsidP="00F81EA9">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w:t>
      </w:r>
      <w:proofErr w:type="spellStart"/>
      <w:r w:rsidRPr="004C6AA7">
        <w:rPr>
          <w:rFonts w:ascii="Times New Roman"/>
          <w:sz w:val="18"/>
          <w:szCs w:val="18"/>
          <w:lang w:val="es-ES"/>
        </w:rPr>
        <w:t>Japan</w:t>
      </w:r>
      <w:proofErr w:type="spellEnd"/>
      <w:r w:rsidRPr="004C6AA7">
        <w:rPr>
          <w:rFonts w:ascii="Times New Roman"/>
          <w:sz w:val="18"/>
          <w:szCs w:val="18"/>
          <w:lang w:val="es-ES"/>
        </w:rPr>
        <w:t>.</w:t>
      </w:r>
    </w:p>
  </w:footnote>
  <w:footnote w:id="148">
    <w:p w14:paraId="3D923707" w14:textId="668E4B02" w:rsidR="00814401" w:rsidRPr="004C6AA7" w:rsidRDefault="00814401" w:rsidP="00F81EA9">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w:t>
      </w:r>
      <w:proofErr w:type="spellStart"/>
      <w:r w:rsidRPr="004C6AA7">
        <w:rPr>
          <w:rFonts w:ascii="Times New Roman"/>
          <w:sz w:val="18"/>
          <w:szCs w:val="18"/>
          <w:lang w:val="es-ES"/>
        </w:rPr>
        <w:t>Japan</w:t>
      </w:r>
      <w:proofErr w:type="spellEnd"/>
      <w:r w:rsidRPr="004C6AA7">
        <w:rPr>
          <w:rFonts w:ascii="Times New Roman"/>
          <w:sz w:val="18"/>
          <w:szCs w:val="18"/>
          <w:lang w:val="es-ES"/>
        </w:rPr>
        <w:t>.</w:t>
      </w:r>
    </w:p>
  </w:footnote>
  <w:footnote w:id="149">
    <w:p w14:paraId="3F5ADCDF" w14:textId="71EE7261" w:rsidR="00814401" w:rsidRPr="004C6AA7" w:rsidRDefault="00814401" w:rsidP="00F81EA9">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South </w:t>
      </w:r>
      <w:proofErr w:type="spellStart"/>
      <w:r w:rsidRPr="004C6AA7">
        <w:rPr>
          <w:rFonts w:ascii="Times New Roman"/>
          <w:sz w:val="18"/>
          <w:szCs w:val="18"/>
          <w:lang w:val="es-ES"/>
        </w:rPr>
        <w:t>Africa</w:t>
      </w:r>
      <w:proofErr w:type="spellEnd"/>
      <w:r w:rsidRPr="004C6AA7">
        <w:rPr>
          <w:rFonts w:ascii="Times New Roman"/>
          <w:sz w:val="18"/>
          <w:szCs w:val="18"/>
          <w:lang w:val="es-ES"/>
        </w:rPr>
        <w:t xml:space="preserve">. </w:t>
      </w:r>
    </w:p>
  </w:footnote>
  <w:footnote w:id="150">
    <w:p w14:paraId="2F6752D5" w14:textId="161AEC18" w:rsidR="00814401" w:rsidRPr="004C6AA7" w:rsidRDefault="00814401">
      <w:pPr>
        <w:pStyle w:val="FootnoteText"/>
        <w:rPr>
          <w:lang w:val="es-ES"/>
        </w:rPr>
      </w:pPr>
      <w:r w:rsidRPr="00411BC4">
        <w:rPr>
          <w:rStyle w:val="FootnoteReference"/>
          <w:rFonts w:ascii="Times New Roman"/>
          <w:sz w:val="18"/>
          <w:szCs w:val="18"/>
        </w:rPr>
        <w:footnoteRef/>
      </w:r>
      <w:r w:rsidRPr="004C6AA7">
        <w:rPr>
          <w:rStyle w:val="FootnoteReference"/>
          <w:rFonts w:ascii="Times New Roman"/>
          <w:sz w:val="18"/>
          <w:szCs w:val="18"/>
          <w:lang w:val="es-ES"/>
        </w:rPr>
        <w:t xml:space="preserve"> </w:t>
      </w:r>
      <w:proofErr w:type="spellStart"/>
      <w:r w:rsidRPr="004C6AA7">
        <w:rPr>
          <w:rFonts w:ascii="Times New Roman"/>
          <w:sz w:val="18"/>
          <w:szCs w:val="18"/>
          <w:lang w:val="es-ES"/>
        </w:rPr>
        <w:t>Mexico</w:t>
      </w:r>
      <w:proofErr w:type="spellEnd"/>
      <w:r w:rsidRPr="004C6AA7">
        <w:rPr>
          <w:rFonts w:ascii="Times New Roman"/>
          <w:sz w:val="18"/>
          <w:szCs w:val="18"/>
          <w:lang w:val="es-ES"/>
        </w:rPr>
        <w:t>.</w:t>
      </w:r>
    </w:p>
  </w:footnote>
  <w:footnote w:id="151">
    <w:p w14:paraId="554EDA10" w14:textId="38309DFC" w:rsidR="00814401" w:rsidRPr="004C6AA7" w:rsidRDefault="00814401">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South </w:t>
      </w:r>
      <w:proofErr w:type="spellStart"/>
      <w:r w:rsidRPr="004C6AA7">
        <w:rPr>
          <w:rFonts w:ascii="Times New Roman"/>
          <w:sz w:val="18"/>
          <w:szCs w:val="18"/>
          <w:lang w:val="es-ES"/>
        </w:rPr>
        <w:t>Africa</w:t>
      </w:r>
      <w:proofErr w:type="spellEnd"/>
      <w:r w:rsidRPr="004C6AA7">
        <w:rPr>
          <w:rFonts w:ascii="Times New Roman"/>
          <w:sz w:val="18"/>
          <w:szCs w:val="18"/>
          <w:lang w:val="es-ES"/>
        </w:rPr>
        <w:t xml:space="preserve"> </w:t>
      </w:r>
    </w:p>
  </w:footnote>
  <w:footnote w:id="152">
    <w:p w14:paraId="38830FAB" w14:textId="7E916DF7" w:rsidR="00814401" w:rsidRPr="004C6AA7" w:rsidRDefault="00814401">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Colombia; Costa Rica.</w:t>
      </w:r>
    </w:p>
  </w:footnote>
  <w:footnote w:id="153">
    <w:p w14:paraId="69372F70" w14:textId="2669215D"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Colombia.</w:t>
      </w:r>
    </w:p>
  </w:footnote>
  <w:footnote w:id="154">
    <w:p w14:paraId="43F29358" w14:textId="6761780A"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South Africa.</w:t>
      </w:r>
    </w:p>
  </w:footnote>
  <w:footnote w:id="155">
    <w:p w14:paraId="5C4FBF83" w14:textId="2A065F0A"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CETAF; SPNHC; </w:t>
      </w:r>
      <w:proofErr w:type="spellStart"/>
      <w:r w:rsidRPr="00411BC4">
        <w:rPr>
          <w:rFonts w:ascii="Times New Roman"/>
          <w:sz w:val="18"/>
          <w:szCs w:val="18"/>
        </w:rPr>
        <w:t>Wellcome</w:t>
      </w:r>
      <w:proofErr w:type="spellEnd"/>
      <w:r w:rsidRPr="00411BC4">
        <w:rPr>
          <w:rFonts w:ascii="Times New Roman"/>
          <w:sz w:val="18"/>
          <w:szCs w:val="18"/>
        </w:rPr>
        <w:t xml:space="preserve"> Sanger Institute; Joint submission by Consortium of German Natural History Collections and others; Joint submission by Natural History Museum UK and others.</w:t>
      </w:r>
    </w:p>
  </w:footnote>
  <w:footnote w:id="156">
    <w:p w14:paraId="6EA90BFA" w14:textId="233D374F"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CETAF; Joint submission by Consortium of German Natural History Collections and others.</w:t>
      </w:r>
    </w:p>
  </w:footnote>
  <w:footnote w:id="157">
    <w:p w14:paraId="3E035DE6" w14:textId="7E7F859F"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w:t>
      </w:r>
      <w:proofErr w:type="spellStart"/>
      <w:r w:rsidRPr="00411BC4">
        <w:rPr>
          <w:rFonts w:ascii="Times New Roman"/>
          <w:sz w:val="18"/>
          <w:szCs w:val="18"/>
        </w:rPr>
        <w:t>Wellcome</w:t>
      </w:r>
      <w:proofErr w:type="spellEnd"/>
      <w:r w:rsidRPr="00411BC4">
        <w:rPr>
          <w:rFonts w:ascii="Times New Roman"/>
          <w:sz w:val="18"/>
          <w:szCs w:val="18"/>
        </w:rPr>
        <w:t xml:space="preserve"> Sanger Institute.</w:t>
      </w:r>
    </w:p>
  </w:footnote>
  <w:footnote w:id="158">
    <w:p w14:paraId="55891241" w14:textId="7D36203D"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Joint submission by Natural History Museum UK and others.</w:t>
      </w:r>
    </w:p>
  </w:footnote>
  <w:footnote w:id="159">
    <w:p w14:paraId="1DB2F913" w14:textId="2F46BA38"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w:t>
      </w:r>
      <w:bookmarkStart w:id="42" w:name="_Hlk17207706"/>
      <w:r w:rsidRPr="00411BC4">
        <w:rPr>
          <w:rFonts w:ascii="Times New Roman"/>
          <w:sz w:val="18"/>
          <w:szCs w:val="18"/>
        </w:rPr>
        <w:t>SPNHC</w:t>
      </w:r>
      <w:bookmarkEnd w:id="42"/>
      <w:r w:rsidRPr="00411BC4">
        <w:rPr>
          <w:rFonts w:ascii="Times New Roman"/>
          <w:sz w:val="18"/>
          <w:szCs w:val="18"/>
        </w:rPr>
        <w:t>.</w:t>
      </w:r>
    </w:p>
  </w:footnote>
  <w:footnote w:id="160">
    <w:p w14:paraId="3865C0D4" w14:textId="28FDE202"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South Africa. </w:t>
      </w:r>
    </w:p>
  </w:footnote>
  <w:footnote w:id="161">
    <w:p w14:paraId="11F4A926" w14:textId="3E566441" w:rsidR="00814401" w:rsidRPr="00411BC4" w:rsidRDefault="0081440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CTAF; SPNHC; Joint submission by Consortium of German Natural History Collections and others.</w:t>
      </w:r>
    </w:p>
  </w:footnote>
  <w:footnote w:id="162">
    <w:p w14:paraId="1F522F45" w14:textId="6B81EBE4" w:rsidR="00814401" w:rsidRPr="00411BC4" w:rsidRDefault="00814401" w:rsidP="00524A30">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Australia; Canada; European Union and its Member States; Japan; Republic of South Korea; Switzerland; United States of America; CIPA; BIA; IFRA and IOFI; JBA; LERU; </w:t>
      </w:r>
      <w:proofErr w:type="spellStart"/>
      <w:r w:rsidRPr="00411BC4">
        <w:rPr>
          <w:rFonts w:ascii="Times New Roman"/>
          <w:sz w:val="18"/>
          <w:szCs w:val="18"/>
        </w:rPr>
        <w:t>Wellcome</w:t>
      </w:r>
      <w:proofErr w:type="spellEnd"/>
      <w:r w:rsidRPr="00411BC4">
        <w:rPr>
          <w:rFonts w:ascii="Times New Roman"/>
          <w:sz w:val="18"/>
          <w:szCs w:val="18"/>
        </w:rPr>
        <w:t xml:space="preserve"> Sanger Institute. </w:t>
      </w:r>
    </w:p>
  </w:footnote>
  <w:footnote w:id="163">
    <w:p w14:paraId="2EEC349F" w14:textId="05E4EAA3" w:rsidR="00814401" w:rsidRPr="00411BC4" w:rsidRDefault="00814401" w:rsidP="00524A30">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Australia; BIA.</w:t>
      </w:r>
    </w:p>
  </w:footnote>
  <w:footnote w:id="164">
    <w:p w14:paraId="36AB8756" w14:textId="457926DB" w:rsidR="00814401" w:rsidRPr="00411BC4" w:rsidRDefault="00814401" w:rsidP="00524A30">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Argentina; Belarus; Colombia; Costa Rica; Ethiopia; India; Iran; Madagascar; South Africa; African Union Commission on behalf of the African Group.</w:t>
      </w:r>
    </w:p>
  </w:footnote>
  <w:footnote w:id="165">
    <w:p w14:paraId="6D73C455" w14:textId="34207AE1" w:rsidR="00814401" w:rsidRPr="00411BC4" w:rsidRDefault="00814401" w:rsidP="00524A30">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Canada; European Union and its Member States; Japan; Switzerland; </w:t>
      </w:r>
      <w:proofErr w:type="spellStart"/>
      <w:r w:rsidRPr="00411BC4">
        <w:rPr>
          <w:rFonts w:ascii="Times New Roman"/>
          <w:sz w:val="18"/>
          <w:szCs w:val="18"/>
        </w:rPr>
        <w:t>EuropaBio</w:t>
      </w:r>
      <w:proofErr w:type="spellEnd"/>
      <w:r w:rsidRPr="00411BC4">
        <w:rPr>
          <w:rFonts w:ascii="Times New Roman"/>
          <w:sz w:val="18"/>
          <w:szCs w:val="18"/>
        </w:rPr>
        <w:t xml:space="preserve">; ICC; JBA; Joint statement from group of stakeholder organizations; </w:t>
      </w:r>
      <w:proofErr w:type="spellStart"/>
      <w:r w:rsidRPr="00411BC4">
        <w:rPr>
          <w:rFonts w:ascii="Times New Roman"/>
          <w:sz w:val="18"/>
          <w:szCs w:val="18"/>
        </w:rPr>
        <w:t>Wellcome</w:t>
      </w:r>
      <w:proofErr w:type="spellEnd"/>
      <w:r w:rsidRPr="00411BC4">
        <w:rPr>
          <w:rFonts w:ascii="Times New Roman"/>
          <w:sz w:val="18"/>
          <w:szCs w:val="18"/>
        </w:rPr>
        <w:t xml:space="preserve"> Sanger Institute.</w:t>
      </w:r>
    </w:p>
  </w:footnote>
  <w:footnote w:id="166">
    <w:p w14:paraId="675E77D4" w14:textId="73896A39" w:rsidR="00814401" w:rsidRPr="00411BC4" w:rsidRDefault="00814401" w:rsidP="00524A30">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BIA, citing a report from the Commission to the European Parliament and the Council</w:t>
      </w:r>
      <w:r w:rsidRPr="00411BC4" w:rsidDel="00741111">
        <w:rPr>
          <w:rFonts w:ascii="Times New Roman"/>
          <w:sz w:val="18"/>
          <w:szCs w:val="18"/>
        </w:rPr>
        <w:t xml:space="preserve"> </w:t>
      </w:r>
      <w:r w:rsidRPr="00411BC4">
        <w:rPr>
          <w:rFonts w:ascii="Times New Roman"/>
          <w:sz w:val="18"/>
          <w:szCs w:val="18"/>
        </w:rPr>
        <w:t xml:space="preserve">highlighting constraints in ABS implementation and compliance included but not limited to financial resources devoted to implementation; lack of specialized personnel and qualified experts; administrative burden and costs; interpretation challenges. The ‘Report From the Commission to the European Parliament and the Council Regulation (EU) No 511/2014 of the European Parliament and of the Council of 16 April 2014 on compliance measures for users from the Nagoya Protocol on Access to Genetic Resources and the Fair and Equitable Sharing of Benefits Arising from their Utilization in the Union’ is available at </w:t>
      </w:r>
      <w:hyperlink r:id="rId14" w:history="1">
        <w:r w:rsidRPr="00411BC4">
          <w:rPr>
            <w:rStyle w:val="Hyperlink"/>
            <w:rFonts w:ascii="Times New Roman"/>
            <w:color w:val="auto"/>
            <w:sz w:val="18"/>
            <w:szCs w:val="18"/>
          </w:rPr>
          <w:t>https://eur-lex.europa.eu/legal-content/EN/TXT/?qid=1548339471740&amp;uri=COM%3A2019%3A13%3AFIN</w:t>
        </w:r>
      </w:hyperlink>
      <w:r w:rsidRPr="00411BC4">
        <w:rPr>
          <w:rFonts w:ascii="Times New Roman"/>
          <w:sz w:val="18"/>
          <w:szCs w:val="18"/>
        </w:rPr>
        <w:t>.</w:t>
      </w:r>
      <w:r w:rsidRPr="00411BC4">
        <w:rPr>
          <w:rFonts w:ascii="Times New Roman"/>
          <w:sz w:val="18"/>
          <w:szCs w:val="18"/>
        </w:rPr>
        <w:tab/>
      </w:r>
    </w:p>
  </w:footnote>
  <w:footnote w:id="167">
    <w:p w14:paraId="2E27E1E0" w14:textId="0E705CFC" w:rsidR="00814401" w:rsidRPr="00411BC4" w:rsidRDefault="00814401" w:rsidP="00524A30">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Brazil.</w:t>
      </w:r>
    </w:p>
  </w:footnote>
  <w:footnote w:id="168">
    <w:p w14:paraId="7AB6F0F6" w14:textId="4D3CBD9E" w:rsidR="00814401" w:rsidRPr="00411BC4" w:rsidRDefault="00814401" w:rsidP="0080452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African Union Commission on behalf of the African Group.</w:t>
      </w:r>
    </w:p>
  </w:footnote>
  <w:footnote w:id="169">
    <w:p w14:paraId="57471417" w14:textId="61F7AD55" w:rsidR="00814401" w:rsidRPr="00411BC4" w:rsidRDefault="00814401" w:rsidP="0080452C">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Australia; Canada; Switzerland.</w:t>
      </w:r>
    </w:p>
  </w:footnote>
  <w:footnote w:id="170">
    <w:p w14:paraId="44B23556" w14:textId="4CEA74F7"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Canada; Costa Rica; European Union and its Member States; Japan; Republic of South Korea; CTAF; CIPA; ICC; </w:t>
      </w:r>
      <w:proofErr w:type="spellStart"/>
      <w:r w:rsidRPr="00411BC4">
        <w:rPr>
          <w:rFonts w:ascii="Times New Roman"/>
          <w:sz w:val="18"/>
          <w:szCs w:val="18"/>
        </w:rPr>
        <w:t>EuropaBio</w:t>
      </w:r>
      <w:proofErr w:type="spellEnd"/>
      <w:r w:rsidRPr="00411BC4">
        <w:rPr>
          <w:rFonts w:ascii="Times New Roman"/>
          <w:sz w:val="18"/>
          <w:szCs w:val="18"/>
        </w:rPr>
        <w:t>; SPNHC; Joint submission by Consortium of German Natural History Collections and others; Joint submission by Natural History Museum UK and others.</w:t>
      </w:r>
    </w:p>
  </w:footnote>
  <w:footnote w:id="171">
    <w:p w14:paraId="03B5068D" w14:textId="5996064A" w:rsidR="00814401" w:rsidRPr="004C6AA7" w:rsidRDefault="00814401" w:rsidP="00705922">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w:t>
      </w:r>
      <w:proofErr w:type="spellStart"/>
      <w:r w:rsidRPr="004C6AA7">
        <w:rPr>
          <w:rFonts w:ascii="Times New Roman"/>
          <w:sz w:val="18"/>
          <w:szCs w:val="18"/>
          <w:lang w:val="es-ES"/>
        </w:rPr>
        <w:t>EuropaBio</w:t>
      </w:r>
      <w:proofErr w:type="spellEnd"/>
      <w:r w:rsidRPr="004C6AA7">
        <w:rPr>
          <w:rFonts w:ascii="Times New Roman"/>
          <w:sz w:val="18"/>
          <w:szCs w:val="18"/>
          <w:lang w:val="es-ES"/>
        </w:rPr>
        <w:t>.</w:t>
      </w:r>
    </w:p>
  </w:footnote>
  <w:footnote w:id="172">
    <w:p w14:paraId="52C90EB0" w14:textId="1506A19F" w:rsidR="00814401" w:rsidRPr="004C6AA7" w:rsidRDefault="00814401" w:rsidP="00705922">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Europa Bio; ICC.</w:t>
      </w:r>
    </w:p>
  </w:footnote>
  <w:footnote w:id="173">
    <w:p w14:paraId="06454A03" w14:textId="3A73103A" w:rsidR="00814401" w:rsidRPr="004C6AA7" w:rsidRDefault="00814401" w:rsidP="00705922">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CIPA.</w:t>
      </w:r>
    </w:p>
  </w:footnote>
  <w:footnote w:id="174">
    <w:p w14:paraId="2B3500ED" w14:textId="2198CA7C"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CTAF; SPNHC; Joint submission by Consortium of German Natural History Collections and others.</w:t>
      </w:r>
    </w:p>
  </w:footnote>
  <w:footnote w:id="175">
    <w:p w14:paraId="2B71418A" w14:textId="6B29E17C"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CIPA.</w:t>
      </w:r>
    </w:p>
  </w:footnote>
  <w:footnote w:id="176">
    <w:p w14:paraId="32EC22E0" w14:textId="7D9CC844"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CIPA. ICC.</w:t>
      </w:r>
    </w:p>
  </w:footnote>
  <w:footnote w:id="177">
    <w:p w14:paraId="2802B9C0" w14:textId="2CD0CA59"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CETAF; SPNHC; Joint submission by Consortium of German Natural History Collections and others; Joint submission by Natural History Museum UK and others. As per the Aichi Biodiversity target available at </w:t>
      </w:r>
      <w:hyperlink r:id="rId15" w:history="1">
        <w:r w:rsidRPr="00411BC4">
          <w:rPr>
            <w:rStyle w:val="Hyperlink"/>
            <w:rFonts w:ascii="Times New Roman"/>
            <w:color w:val="auto"/>
            <w:sz w:val="18"/>
            <w:szCs w:val="18"/>
          </w:rPr>
          <w:t>https://www.cbd.int/sp/targets/rationale/target-19/</w:t>
        </w:r>
      </w:hyperlink>
      <w:r w:rsidRPr="00411BC4">
        <w:rPr>
          <w:rStyle w:val="Hyperlink"/>
          <w:rFonts w:ascii="Times New Roman"/>
          <w:color w:val="auto"/>
          <w:sz w:val="18"/>
          <w:szCs w:val="18"/>
        </w:rPr>
        <w:t>.</w:t>
      </w:r>
    </w:p>
  </w:footnote>
  <w:footnote w:id="178">
    <w:p w14:paraId="0B9CD471" w14:textId="14F7BC00"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CETAF.</w:t>
      </w:r>
    </w:p>
  </w:footnote>
  <w:footnote w:id="179">
    <w:p w14:paraId="1A8EB6CA" w14:textId="661179A8"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Belarus; Canada; European Union and its Member States; Japan; United States of America; BIA; CIPA; CETAF; </w:t>
      </w:r>
      <w:proofErr w:type="spellStart"/>
      <w:r w:rsidRPr="00411BC4">
        <w:rPr>
          <w:rFonts w:ascii="Times New Roman"/>
          <w:sz w:val="18"/>
          <w:szCs w:val="18"/>
        </w:rPr>
        <w:t>EuropaBio</w:t>
      </w:r>
      <w:proofErr w:type="spellEnd"/>
      <w:r w:rsidRPr="00411BC4">
        <w:rPr>
          <w:rFonts w:ascii="Times New Roman"/>
          <w:sz w:val="18"/>
          <w:szCs w:val="18"/>
        </w:rPr>
        <w:t>; ICC; INSDC; Natural History Museum Vienna;</w:t>
      </w:r>
      <w:r w:rsidRPr="00411BC4" w:rsidDel="001E1C36">
        <w:rPr>
          <w:rFonts w:ascii="Times New Roman"/>
          <w:sz w:val="18"/>
          <w:szCs w:val="18"/>
        </w:rPr>
        <w:t xml:space="preserve"> </w:t>
      </w:r>
      <w:r w:rsidRPr="00411BC4">
        <w:rPr>
          <w:rFonts w:ascii="Times New Roman"/>
          <w:sz w:val="18"/>
          <w:szCs w:val="18"/>
        </w:rPr>
        <w:t xml:space="preserve">LERU; SPNHC; </w:t>
      </w:r>
      <w:proofErr w:type="spellStart"/>
      <w:r w:rsidRPr="00411BC4">
        <w:rPr>
          <w:rFonts w:ascii="Times New Roman"/>
          <w:sz w:val="18"/>
          <w:szCs w:val="18"/>
        </w:rPr>
        <w:t>Wellcome</w:t>
      </w:r>
      <w:proofErr w:type="spellEnd"/>
      <w:r w:rsidRPr="00411BC4">
        <w:rPr>
          <w:rFonts w:ascii="Times New Roman"/>
          <w:sz w:val="18"/>
          <w:szCs w:val="18"/>
        </w:rPr>
        <w:t xml:space="preserve"> Sanger Institute; Joint statement from group of stakeholder organizations</w:t>
      </w:r>
      <w:r w:rsidRPr="00411BC4" w:rsidDel="00EA5C11">
        <w:rPr>
          <w:rFonts w:ascii="Times New Roman"/>
          <w:sz w:val="18"/>
          <w:szCs w:val="18"/>
        </w:rPr>
        <w:t xml:space="preserve"> </w:t>
      </w:r>
      <w:r w:rsidRPr="00411BC4">
        <w:rPr>
          <w:rFonts w:ascii="Times New Roman"/>
          <w:sz w:val="18"/>
          <w:szCs w:val="18"/>
        </w:rPr>
        <w:t>;Joint submission by Consortium of German Natural History Collections and others; Joint submission by Natural History Museum UK and others.</w:t>
      </w:r>
    </w:p>
  </w:footnote>
  <w:footnote w:id="180">
    <w:p w14:paraId="70071EA6" w14:textId="644FD3B2"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United States of America;</w:t>
      </w:r>
      <w:r w:rsidRPr="00411BC4" w:rsidDel="00FC4482">
        <w:rPr>
          <w:rFonts w:ascii="Times New Roman"/>
          <w:sz w:val="18"/>
          <w:szCs w:val="18"/>
        </w:rPr>
        <w:t xml:space="preserve"> </w:t>
      </w:r>
      <w:r w:rsidRPr="00411BC4">
        <w:rPr>
          <w:rFonts w:ascii="Times New Roman"/>
          <w:sz w:val="18"/>
          <w:szCs w:val="18"/>
        </w:rPr>
        <w:t>ICC; INSDC.</w:t>
      </w:r>
    </w:p>
  </w:footnote>
  <w:footnote w:id="181">
    <w:p w14:paraId="5C2FBA24" w14:textId="0661B3F7"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CETAF; Natural History Museum Vienna; SPNHC; Joint submission by Consortium of German Natural History Collections and others. </w:t>
      </w:r>
    </w:p>
  </w:footnote>
  <w:footnote w:id="182">
    <w:p w14:paraId="2E04F063" w14:textId="7F2EFB21"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w:t>
      </w:r>
      <w:proofErr w:type="spellStart"/>
      <w:r w:rsidRPr="00411BC4">
        <w:rPr>
          <w:rFonts w:ascii="Times New Roman"/>
          <w:sz w:val="18"/>
          <w:szCs w:val="18"/>
        </w:rPr>
        <w:t>Wellcome</w:t>
      </w:r>
      <w:proofErr w:type="spellEnd"/>
      <w:r w:rsidRPr="00411BC4">
        <w:rPr>
          <w:rFonts w:ascii="Times New Roman"/>
          <w:sz w:val="18"/>
          <w:szCs w:val="18"/>
        </w:rPr>
        <w:t xml:space="preserve"> Sanger Institute.</w:t>
      </w:r>
    </w:p>
  </w:footnote>
  <w:footnote w:id="183">
    <w:p w14:paraId="0E86E2BB" w14:textId="6B77BDF5"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ICC.</w:t>
      </w:r>
    </w:p>
  </w:footnote>
  <w:footnote w:id="184">
    <w:p w14:paraId="67B4CE76" w14:textId="043E907E"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CETAF; SPNHC.</w:t>
      </w:r>
    </w:p>
  </w:footnote>
  <w:footnote w:id="185">
    <w:p w14:paraId="1E617D5B" w14:textId="508BD7B9"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w:t>
      </w:r>
      <w:proofErr w:type="spellStart"/>
      <w:r w:rsidRPr="00411BC4">
        <w:rPr>
          <w:rFonts w:ascii="Times New Roman"/>
          <w:sz w:val="18"/>
          <w:szCs w:val="18"/>
        </w:rPr>
        <w:t>Wellcome</w:t>
      </w:r>
      <w:proofErr w:type="spellEnd"/>
      <w:r w:rsidRPr="00411BC4">
        <w:rPr>
          <w:rFonts w:ascii="Times New Roman"/>
          <w:sz w:val="18"/>
          <w:szCs w:val="18"/>
        </w:rPr>
        <w:t xml:space="preserve"> Sanger Institute.</w:t>
      </w:r>
    </w:p>
  </w:footnote>
  <w:footnote w:id="186">
    <w:p w14:paraId="1D12C289" w14:textId="6413694C"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LERU.</w:t>
      </w:r>
    </w:p>
  </w:footnote>
  <w:footnote w:id="187">
    <w:p w14:paraId="73BDB744" w14:textId="6A0B143C"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Japan; United States of America.</w:t>
      </w:r>
    </w:p>
  </w:footnote>
  <w:footnote w:id="188">
    <w:p w14:paraId="502CA011" w14:textId="742AB5A0"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United States of America; ICC; INSDC; </w:t>
      </w:r>
      <w:proofErr w:type="spellStart"/>
      <w:r w:rsidRPr="00411BC4">
        <w:rPr>
          <w:rFonts w:ascii="Times New Roman"/>
          <w:sz w:val="18"/>
          <w:szCs w:val="18"/>
        </w:rPr>
        <w:t>Wellcome</w:t>
      </w:r>
      <w:proofErr w:type="spellEnd"/>
      <w:r w:rsidRPr="00411BC4">
        <w:rPr>
          <w:rFonts w:ascii="Times New Roman"/>
          <w:sz w:val="18"/>
          <w:szCs w:val="18"/>
        </w:rPr>
        <w:t xml:space="preserve"> Sanger Institute.</w:t>
      </w:r>
    </w:p>
  </w:footnote>
  <w:footnote w:id="189">
    <w:p w14:paraId="5B058976" w14:textId="23554B98"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w:t>
      </w:r>
      <w:proofErr w:type="spellStart"/>
      <w:r w:rsidRPr="00411BC4">
        <w:rPr>
          <w:rFonts w:ascii="Times New Roman"/>
          <w:sz w:val="18"/>
          <w:szCs w:val="18"/>
        </w:rPr>
        <w:t>Wellcome</w:t>
      </w:r>
      <w:proofErr w:type="spellEnd"/>
      <w:r w:rsidRPr="00411BC4">
        <w:rPr>
          <w:rFonts w:ascii="Times New Roman"/>
          <w:sz w:val="18"/>
          <w:szCs w:val="18"/>
        </w:rPr>
        <w:t xml:space="preserve"> Sanger Institute.</w:t>
      </w:r>
    </w:p>
  </w:footnote>
  <w:footnote w:id="190">
    <w:p w14:paraId="7E77532C" w14:textId="4E192679"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SPNHC; Joint submission by Natural History Museum UK and others.</w:t>
      </w:r>
    </w:p>
  </w:footnote>
  <w:footnote w:id="191">
    <w:p w14:paraId="42BEC0FC" w14:textId="72956548"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Brazil; Costa Rica; Mexico; African Union Commission on behalf of the African Group; Third World Network.</w:t>
      </w:r>
    </w:p>
  </w:footnote>
  <w:footnote w:id="192">
    <w:p w14:paraId="2AFE6315" w14:textId="00DB1109" w:rsidR="00814401" w:rsidRPr="00411BC4" w:rsidRDefault="00814401" w:rsidP="00705922">
      <w:pPr>
        <w:pStyle w:val="FootnoteText"/>
        <w:rPr>
          <w:rFonts w:ascii="Times New Roman"/>
          <w:b/>
          <w:sz w:val="18"/>
          <w:szCs w:val="18"/>
        </w:rPr>
      </w:pPr>
      <w:r w:rsidRPr="00411BC4">
        <w:rPr>
          <w:rStyle w:val="FootnoteReference"/>
          <w:rFonts w:ascii="Times New Roman"/>
          <w:sz w:val="18"/>
          <w:szCs w:val="18"/>
        </w:rPr>
        <w:footnoteRef/>
      </w:r>
      <w:r w:rsidRPr="00411BC4">
        <w:rPr>
          <w:rFonts w:ascii="Times New Roman"/>
          <w:sz w:val="18"/>
          <w:szCs w:val="18"/>
        </w:rPr>
        <w:t xml:space="preserve"> African Union Commission on behalf of the African Group; Third World Network.</w:t>
      </w:r>
    </w:p>
  </w:footnote>
  <w:footnote w:id="193">
    <w:p w14:paraId="7C2BE6CE" w14:textId="23827B68"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Costa Rica; Mexico; African Union Commission on behalf of the African Group.</w:t>
      </w:r>
    </w:p>
  </w:footnote>
  <w:footnote w:id="194">
    <w:p w14:paraId="3B42664C" w14:textId="1A5010B5"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Mexico; African Union Commission on behalf of the African Group.</w:t>
      </w:r>
    </w:p>
  </w:footnote>
  <w:footnote w:id="195">
    <w:p w14:paraId="7D5B3604" w14:textId="2FC52D23"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African Union Commission on behalf of the African Group; Third World Network.</w:t>
      </w:r>
    </w:p>
  </w:footnote>
  <w:footnote w:id="196">
    <w:p w14:paraId="2F343170" w14:textId="45543D05" w:rsidR="00814401" w:rsidRPr="004C6AA7" w:rsidRDefault="00814401" w:rsidP="00705922">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w:t>
      </w:r>
      <w:proofErr w:type="spellStart"/>
      <w:r w:rsidRPr="004C6AA7">
        <w:rPr>
          <w:rFonts w:ascii="Times New Roman"/>
          <w:sz w:val="18"/>
          <w:szCs w:val="18"/>
          <w:lang w:val="es-ES"/>
        </w:rPr>
        <w:t>Mexico</w:t>
      </w:r>
      <w:proofErr w:type="spellEnd"/>
      <w:r w:rsidRPr="004C6AA7">
        <w:rPr>
          <w:rFonts w:ascii="Times New Roman"/>
          <w:sz w:val="18"/>
          <w:szCs w:val="18"/>
          <w:lang w:val="es-ES"/>
        </w:rPr>
        <w:t>.</w:t>
      </w:r>
    </w:p>
  </w:footnote>
  <w:footnote w:id="197">
    <w:p w14:paraId="00596471" w14:textId="6F2C5DEE" w:rsidR="00814401" w:rsidRPr="004C6AA7" w:rsidRDefault="00814401" w:rsidP="00705922">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w:t>
      </w:r>
      <w:proofErr w:type="spellStart"/>
      <w:r w:rsidRPr="004C6AA7">
        <w:rPr>
          <w:rFonts w:ascii="Times New Roman"/>
          <w:sz w:val="18"/>
          <w:szCs w:val="18"/>
          <w:lang w:val="es-ES"/>
        </w:rPr>
        <w:t>Brazil</w:t>
      </w:r>
      <w:proofErr w:type="spellEnd"/>
      <w:r w:rsidRPr="004C6AA7">
        <w:rPr>
          <w:rFonts w:ascii="Times New Roman"/>
          <w:sz w:val="18"/>
          <w:szCs w:val="18"/>
          <w:lang w:val="es-ES"/>
        </w:rPr>
        <w:t>; Costa Rica.</w:t>
      </w:r>
    </w:p>
  </w:footnote>
  <w:footnote w:id="198">
    <w:p w14:paraId="006EF2DC" w14:textId="49A5E22E" w:rsidR="00814401" w:rsidRPr="004C6AA7" w:rsidRDefault="00814401" w:rsidP="00705922">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w:t>
      </w:r>
      <w:proofErr w:type="spellStart"/>
      <w:r w:rsidRPr="004C6AA7">
        <w:rPr>
          <w:rFonts w:ascii="Times New Roman"/>
          <w:sz w:val="18"/>
          <w:szCs w:val="18"/>
          <w:lang w:val="es-ES"/>
        </w:rPr>
        <w:t>Brazil</w:t>
      </w:r>
      <w:proofErr w:type="spellEnd"/>
      <w:r w:rsidRPr="004C6AA7">
        <w:rPr>
          <w:rFonts w:ascii="Times New Roman"/>
          <w:sz w:val="18"/>
          <w:szCs w:val="18"/>
          <w:lang w:val="es-ES"/>
        </w:rPr>
        <w:t>.</w:t>
      </w:r>
    </w:p>
  </w:footnote>
  <w:footnote w:id="199">
    <w:p w14:paraId="3B67910E" w14:textId="31CE9762"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Japan; BIA; JBA; SPNHC; CIPA; CETAF.</w:t>
      </w:r>
    </w:p>
  </w:footnote>
  <w:footnote w:id="200">
    <w:p w14:paraId="0F34919B" w14:textId="6CC615A2"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Switzerland; United States of America; CIPA; SPNHC; ICC; </w:t>
      </w:r>
      <w:proofErr w:type="spellStart"/>
      <w:r w:rsidRPr="00411BC4">
        <w:rPr>
          <w:rFonts w:ascii="Times New Roman"/>
          <w:sz w:val="18"/>
          <w:szCs w:val="18"/>
        </w:rPr>
        <w:t>Wellcome</w:t>
      </w:r>
      <w:proofErr w:type="spellEnd"/>
      <w:r w:rsidRPr="00411BC4">
        <w:rPr>
          <w:rFonts w:ascii="Times New Roman"/>
          <w:sz w:val="18"/>
          <w:szCs w:val="18"/>
        </w:rPr>
        <w:t xml:space="preserve"> Sanger Institute; Joint statement from group of stakeholder organizations; Joint submission by Consortium of German Natural History Collections and others.</w:t>
      </w:r>
    </w:p>
  </w:footnote>
  <w:footnote w:id="201">
    <w:p w14:paraId="6EC292FD" w14:textId="4FB4C5A4"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CIPA; ICC; </w:t>
      </w:r>
      <w:proofErr w:type="spellStart"/>
      <w:r w:rsidRPr="00411BC4">
        <w:rPr>
          <w:rFonts w:ascii="Times New Roman"/>
          <w:sz w:val="18"/>
          <w:szCs w:val="18"/>
        </w:rPr>
        <w:t>EuropaBio</w:t>
      </w:r>
      <w:proofErr w:type="spellEnd"/>
      <w:r w:rsidRPr="00411BC4">
        <w:rPr>
          <w:rFonts w:ascii="Times New Roman"/>
          <w:sz w:val="18"/>
          <w:szCs w:val="18"/>
        </w:rPr>
        <w:t>; ICC; IFRA and IOFI; Joint submission by Consortium of German Natural History Collections and others.</w:t>
      </w:r>
    </w:p>
  </w:footnote>
  <w:footnote w:id="202">
    <w:p w14:paraId="398DF024" w14:textId="36B38E34"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ICC; JBA; SPNHC; Joint statement from group of stakeholder organizations. </w:t>
      </w:r>
    </w:p>
  </w:footnote>
  <w:footnote w:id="203">
    <w:p w14:paraId="15427537" w14:textId="527E07F4"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Belarus;</w:t>
      </w:r>
      <w:r w:rsidRPr="00411BC4" w:rsidDel="00AB09F2">
        <w:rPr>
          <w:rFonts w:ascii="Times New Roman"/>
          <w:sz w:val="18"/>
          <w:szCs w:val="18"/>
        </w:rPr>
        <w:t xml:space="preserve"> </w:t>
      </w:r>
      <w:r w:rsidRPr="00411BC4">
        <w:rPr>
          <w:rFonts w:ascii="Times New Roman"/>
          <w:sz w:val="18"/>
          <w:szCs w:val="18"/>
        </w:rPr>
        <w:t xml:space="preserve">European Union and its Member States; United States of America; BIA; CIPA; ICC; INSDC; JBA; LERU; </w:t>
      </w:r>
      <w:proofErr w:type="spellStart"/>
      <w:r w:rsidRPr="00411BC4">
        <w:rPr>
          <w:rFonts w:ascii="Times New Roman"/>
          <w:sz w:val="18"/>
          <w:szCs w:val="18"/>
        </w:rPr>
        <w:t>Wellcome</w:t>
      </w:r>
      <w:proofErr w:type="spellEnd"/>
      <w:r w:rsidRPr="00411BC4">
        <w:rPr>
          <w:rFonts w:ascii="Times New Roman"/>
          <w:sz w:val="18"/>
          <w:szCs w:val="18"/>
        </w:rPr>
        <w:t xml:space="preserve"> Sanger Institute; Joint statement from group of stakeholder organizations. </w:t>
      </w:r>
    </w:p>
  </w:footnote>
  <w:footnote w:id="204">
    <w:p w14:paraId="3197742E" w14:textId="5B2F53A9"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JBA</w:t>
      </w:r>
    </w:p>
  </w:footnote>
  <w:footnote w:id="205">
    <w:p w14:paraId="1A50E134" w14:textId="679F338D"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ICC; LERU; </w:t>
      </w:r>
      <w:proofErr w:type="spellStart"/>
      <w:r w:rsidRPr="00411BC4">
        <w:rPr>
          <w:rFonts w:ascii="Times New Roman"/>
          <w:sz w:val="18"/>
          <w:szCs w:val="18"/>
        </w:rPr>
        <w:t>Wellcome</w:t>
      </w:r>
      <w:proofErr w:type="spellEnd"/>
      <w:r w:rsidRPr="00411BC4">
        <w:rPr>
          <w:rFonts w:ascii="Times New Roman"/>
          <w:sz w:val="18"/>
          <w:szCs w:val="18"/>
        </w:rPr>
        <w:t xml:space="preserve"> Sanger Institute; Joint statement from group of stakeholder organizations.</w:t>
      </w:r>
    </w:p>
  </w:footnote>
  <w:footnote w:id="206">
    <w:p w14:paraId="2BDC4F39" w14:textId="0ADDB5D2"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European Union and its Member States; BIA; CETAF; CIPA; IFRA and IOFI; </w:t>
      </w:r>
      <w:proofErr w:type="spellStart"/>
      <w:r w:rsidRPr="00411BC4">
        <w:rPr>
          <w:rFonts w:ascii="Times New Roman"/>
          <w:sz w:val="18"/>
          <w:szCs w:val="18"/>
        </w:rPr>
        <w:t>Wellcome</w:t>
      </w:r>
      <w:proofErr w:type="spellEnd"/>
      <w:r w:rsidRPr="00411BC4">
        <w:rPr>
          <w:rFonts w:ascii="Times New Roman"/>
          <w:sz w:val="18"/>
          <w:szCs w:val="18"/>
        </w:rPr>
        <w:t xml:space="preserve"> Sanger Institute; Joint submission by Consortium of German Natural History Collections and others.</w:t>
      </w:r>
    </w:p>
  </w:footnote>
  <w:footnote w:id="207">
    <w:p w14:paraId="3DD8148D" w14:textId="2A27F12E"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w:t>
      </w:r>
      <w:proofErr w:type="spellStart"/>
      <w:r w:rsidRPr="00411BC4">
        <w:rPr>
          <w:rFonts w:ascii="Times New Roman"/>
          <w:sz w:val="18"/>
          <w:szCs w:val="18"/>
        </w:rPr>
        <w:t>Wellcome</w:t>
      </w:r>
      <w:proofErr w:type="spellEnd"/>
      <w:r w:rsidRPr="00411BC4">
        <w:rPr>
          <w:rFonts w:ascii="Times New Roman"/>
          <w:sz w:val="18"/>
          <w:szCs w:val="18"/>
        </w:rPr>
        <w:t xml:space="preserve"> Sanger Institute;</w:t>
      </w:r>
    </w:p>
  </w:footnote>
  <w:footnote w:id="208">
    <w:p w14:paraId="25992CB5" w14:textId="3E558264"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CIPA; IFRA and IOFI; Joint submission by Natural History Museum UK and others.</w:t>
      </w:r>
    </w:p>
  </w:footnote>
  <w:footnote w:id="209">
    <w:p w14:paraId="0054DA2C" w14:textId="7FD8AB12"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CIPA; CETAF.</w:t>
      </w:r>
    </w:p>
  </w:footnote>
  <w:footnote w:id="210">
    <w:p w14:paraId="52428939" w14:textId="7A2D0ED8"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CETAF; CETAF; SPNHC;</w:t>
      </w:r>
      <w:r w:rsidRPr="00411BC4" w:rsidDel="00501678">
        <w:rPr>
          <w:rFonts w:ascii="Times New Roman"/>
          <w:sz w:val="18"/>
          <w:szCs w:val="18"/>
        </w:rPr>
        <w:t xml:space="preserve"> </w:t>
      </w:r>
      <w:r w:rsidRPr="00411BC4">
        <w:rPr>
          <w:rFonts w:ascii="Times New Roman"/>
          <w:sz w:val="18"/>
          <w:szCs w:val="18"/>
        </w:rPr>
        <w:t>Joint submission by Consortium of German Natural History Collections and others.</w:t>
      </w:r>
    </w:p>
  </w:footnote>
  <w:footnote w:id="211">
    <w:p w14:paraId="5D97353C" w14:textId="25B0BFF7"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Switzerland; SPNHC; Joint submission by Natural History Museum UK and others.</w:t>
      </w:r>
    </w:p>
  </w:footnote>
  <w:footnote w:id="212">
    <w:p w14:paraId="0CE22BBF" w14:textId="2D8B0F70"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CETAF; Joint submission by Natural History Museum UK and others; SPNHC.</w:t>
      </w:r>
    </w:p>
  </w:footnote>
  <w:footnote w:id="213">
    <w:p w14:paraId="5BB4F5E8" w14:textId="7E7BE072"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BIA; Joint statement from group of stakeholder organizations.</w:t>
      </w:r>
    </w:p>
  </w:footnote>
  <w:footnote w:id="214">
    <w:p w14:paraId="484AB5F9" w14:textId="4CA8649D"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ICC.</w:t>
      </w:r>
    </w:p>
  </w:footnote>
  <w:footnote w:id="215">
    <w:p w14:paraId="7533F27C" w14:textId="08DA5450" w:rsidR="00814401" w:rsidRPr="00411BC4" w:rsidRDefault="00814401" w:rsidP="00705922">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BIA; </w:t>
      </w:r>
      <w:proofErr w:type="spellStart"/>
      <w:r w:rsidRPr="00411BC4">
        <w:rPr>
          <w:rFonts w:ascii="Times New Roman"/>
          <w:sz w:val="18"/>
          <w:szCs w:val="18"/>
        </w:rPr>
        <w:t>Wellcome</w:t>
      </w:r>
      <w:proofErr w:type="spellEnd"/>
      <w:r w:rsidRPr="00411BC4">
        <w:rPr>
          <w:rFonts w:ascii="Times New Roman"/>
          <w:sz w:val="18"/>
          <w:szCs w:val="18"/>
        </w:rPr>
        <w:t xml:space="preserve"> Sanger Institute.  </w:t>
      </w:r>
    </w:p>
  </w:footnote>
  <w:footnote w:id="216">
    <w:p w14:paraId="64EA87DD" w14:textId="7B4BBED8" w:rsidR="00814401" w:rsidRPr="004C6AA7" w:rsidRDefault="00814401" w:rsidP="00705922">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CIPA; BIA.</w:t>
      </w:r>
    </w:p>
  </w:footnote>
  <w:footnote w:id="217">
    <w:p w14:paraId="146B1D34" w14:textId="33707F81" w:rsidR="00814401" w:rsidRPr="004C6AA7" w:rsidRDefault="00814401" w:rsidP="00705922">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CIPA.</w:t>
      </w:r>
    </w:p>
  </w:footnote>
  <w:footnote w:id="218">
    <w:p w14:paraId="300BE619" w14:textId="17B859EE" w:rsidR="00814401" w:rsidRPr="004C6AA7" w:rsidRDefault="00814401" w:rsidP="00C04643">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w:t>
      </w:r>
      <w:proofErr w:type="spellStart"/>
      <w:r w:rsidRPr="004C6AA7">
        <w:rPr>
          <w:rFonts w:ascii="Times New Roman"/>
          <w:sz w:val="18"/>
          <w:szCs w:val="18"/>
          <w:lang w:val="es-ES"/>
        </w:rPr>
        <w:t>Canada</w:t>
      </w:r>
      <w:proofErr w:type="spellEnd"/>
      <w:r w:rsidRPr="004C6AA7">
        <w:rPr>
          <w:rFonts w:ascii="Times New Roman"/>
          <w:sz w:val="18"/>
          <w:szCs w:val="18"/>
          <w:lang w:val="es-ES"/>
        </w:rPr>
        <w:t>.</w:t>
      </w:r>
    </w:p>
  </w:footnote>
  <w:footnote w:id="219">
    <w:p w14:paraId="538721FA" w14:textId="20988F26" w:rsidR="00814401" w:rsidRPr="004C6AA7" w:rsidRDefault="00814401" w:rsidP="00C04643">
      <w:pPr>
        <w:pStyle w:val="FootnoteText"/>
        <w:rPr>
          <w:rFonts w:ascii="Times New Roman"/>
          <w:sz w:val="18"/>
          <w:szCs w:val="18"/>
          <w:lang w:val="es-ES"/>
        </w:rPr>
      </w:pPr>
      <w:r w:rsidRPr="00411BC4">
        <w:rPr>
          <w:rStyle w:val="FootnoteReference"/>
          <w:rFonts w:ascii="Times New Roman"/>
          <w:sz w:val="18"/>
          <w:szCs w:val="18"/>
        </w:rPr>
        <w:footnoteRef/>
      </w:r>
      <w:r w:rsidRPr="004C6AA7">
        <w:rPr>
          <w:rFonts w:ascii="Times New Roman"/>
          <w:sz w:val="18"/>
          <w:szCs w:val="18"/>
          <w:lang w:val="es-ES"/>
        </w:rPr>
        <w:t xml:space="preserve"> </w:t>
      </w:r>
      <w:proofErr w:type="spellStart"/>
      <w:r w:rsidRPr="004C6AA7">
        <w:rPr>
          <w:rFonts w:ascii="Times New Roman"/>
          <w:sz w:val="18"/>
          <w:szCs w:val="18"/>
          <w:lang w:val="es-ES"/>
        </w:rPr>
        <w:t>Mexico</w:t>
      </w:r>
      <w:proofErr w:type="spellEnd"/>
      <w:r w:rsidRPr="004C6AA7">
        <w:rPr>
          <w:rFonts w:ascii="Times New Roman"/>
          <w:sz w:val="18"/>
          <w:szCs w:val="18"/>
          <w:lang w:val="es-ES"/>
        </w:rPr>
        <w:t>.</w:t>
      </w:r>
    </w:p>
  </w:footnote>
  <w:footnote w:id="220">
    <w:p w14:paraId="022F45F2" w14:textId="0C3D23F1" w:rsidR="00814401" w:rsidRPr="00411BC4" w:rsidRDefault="00814401" w:rsidP="00C04643">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CIPA.</w:t>
      </w:r>
    </w:p>
  </w:footnote>
  <w:footnote w:id="221">
    <w:p w14:paraId="6A9B0B62" w14:textId="7DD846D6" w:rsidR="00814401" w:rsidRPr="00411BC4" w:rsidRDefault="00814401" w:rsidP="00C04643">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Joint statement from group of stakeholder organizations.</w:t>
      </w:r>
    </w:p>
  </w:footnote>
  <w:footnote w:id="222">
    <w:p w14:paraId="30242A53" w14:textId="60CF6E7F" w:rsidR="00814401" w:rsidRPr="00411BC4" w:rsidRDefault="00814401">
      <w:pPr>
        <w:pStyle w:val="FootnoteText"/>
      </w:pPr>
      <w:r w:rsidRPr="00411BC4">
        <w:rPr>
          <w:rStyle w:val="FootnoteReference"/>
          <w:rFonts w:ascii="Times New Roman"/>
          <w:sz w:val="18"/>
          <w:szCs w:val="18"/>
        </w:rPr>
        <w:footnoteRef/>
      </w:r>
      <w:r w:rsidRPr="00411BC4">
        <w:t xml:space="preserve"> </w:t>
      </w:r>
      <w:r w:rsidRPr="00411BC4">
        <w:rPr>
          <w:rFonts w:ascii="Times New Roman"/>
          <w:sz w:val="18"/>
          <w:szCs w:val="18"/>
        </w:rPr>
        <w:t>Costa Rica; ITPGRFA.</w:t>
      </w:r>
    </w:p>
  </w:footnote>
  <w:footnote w:id="223">
    <w:p w14:paraId="5910B0D4" w14:textId="6D226AD0" w:rsidR="00814401" w:rsidRPr="00411BC4" w:rsidRDefault="00814401" w:rsidP="00C04643">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w:t>
      </w:r>
      <w:proofErr w:type="spellStart"/>
      <w:r w:rsidRPr="00411BC4">
        <w:rPr>
          <w:rFonts w:ascii="Times New Roman"/>
          <w:sz w:val="18"/>
          <w:szCs w:val="18"/>
        </w:rPr>
        <w:t>EuropaBio</w:t>
      </w:r>
      <w:proofErr w:type="spellEnd"/>
      <w:r w:rsidRPr="00411BC4">
        <w:rPr>
          <w:rFonts w:ascii="Times New Roman"/>
          <w:sz w:val="18"/>
          <w:szCs w:val="18"/>
        </w:rPr>
        <w:t>.</w:t>
      </w:r>
    </w:p>
  </w:footnote>
  <w:footnote w:id="224">
    <w:p w14:paraId="705C9A04" w14:textId="3460E6A9" w:rsidR="00814401" w:rsidRPr="00411BC4" w:rsidRDefault="00814401" w:rsidP="00C04643">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Joint statement from group of stakeholder organizations.</w:t>
      </w:r>
    </w:p>
  </w:footnote>
  <w:footnote w:id="225">
    <w:p w14:paraId="2B8D85F6" w14:textId="047DBBE9" w:rsidR="00814401" w:rsidRPr="00411BC4" w:rsidRDefault="00814401" w:rsidP="00C04643">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Joint submission by Natural History Museum UK and others.</w:t>
      </w:r>
    </w:p>
  </w:footnote>
  <w:footnote w:id="226">
    <w:p w14:paraId="35523924" w14:textId="3C4DEE14" w:rsidR="00814401" w:rsidRPr="00411BC4" w:rsidRDefault="00814401" w:rsidP="0074272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Belarus.</w:t>
      </w:r>
    </w:p>
  </w:footnote>
  <w:footnote w:id="227">
    <w:p w14:paraId="2E66F019" w14:textId="669E9D4E" w:rsidR="00814401" w:rsidRPr="00411BC4" w:rsidRDefault="00814401" w:rsidP="0074272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w:t>
      </w:r>
      <w:proofErr w:type="spellStart"/>
      <w:r w:rsidRPr="00411BC4">
        <w:rPr>
          <w:rFonts w:ascii="Times New Roman"/>
          <w:sz w:val="18"/>
          <w:szCs w:val="18"/>
        </w:rPr>
        <w:t>EcoHealth</w:t>
      </w:r>
      <w:proofErr w:type="spellEnd"/>
      <w:r w:rsidRPr="00411BC4">
        <w:rPr>
          <w:rFonts w:ascii="Times New Roman"/>
          <w:sz w:val="18"/>
          <w:szCs w:val="18"/>
        </w:rPr>
        <w:t xml:space="preserve"> Alliance.</w:t>
      </w:r>
    </w:p>
  </w:footnote>
  <w:footnote w:id="228">
    <w:p w14:paraId="3E15B6A4" w14:textId="4B26977F" w:rsidR="00814401" w:rsidRPr="00411BC4" w:rsidRDefault="00814401" w:rsidP="00742721">
      <w:pPr>
        <w:pStyle w:val="FootnoteText"/>
        <w:rPr>
          <w:rFonts w:ascii="Times New Roman"/>
          <w:sz w:val="18"/>
          <w:szCs w:val="18"/>
        </w:rPr>
      </w:pPr>
      <w:r w:rsidRPr="00411BC4">
        <w:rPr>
          <w:rStyle w:val="FootnoteReference"/>
          <w:rFonts w:ascii="Times New Roman"/>
          <w:sz w:val="18"/>
          <w:szCs w:val="18"/>
        </w:rPr>
        <w:footnoteRef/>
      </w:r>
      <w:r w:rsidRPr="00411BC4">
        <w:rPr>
          <w:rFonts w:ascii="Times New Roman"/>
          <w:sz w:val="18"/>
          <w:szCs w:val="18"/>
        </w:rPr>
        <w:t xml:space="preserve"> Brazil; Costa Rica.</w:t>
      </w:r>
    </w:p>
  </w:footnote>
  <w:footnote w:id="229">
    <w:p w14:paraId="7FB05C59" w14:textId="1B71EF0C" w:rsidR="00814401" w:rsidRPr="00411BC4" w:rsidRDefault="00814401" w:rsidP="00814401">
      <w:pPr>
        <w:pStyle w:val="FootnoteText"/>
      </w:pPr>
      <w:r w:rsidRPr="00411BC4">
        <w:rPr>
          <w:rStyle w:val="FootnoteReference"/>
          <w:rFonts w:ascii="Times New Roman"/>
          <w:sz w:val="18"/>
          <w:szCs w:val="18"/>
        </w:rPr>
        <w:footnoteRef/>
      </w:r>
      <w:r w:rsidRPr="00411BC4">
        <w:rPr>
          <w:rStyle w:val="FootnoteReference"/>
        </w:rPr>
        <w:t xml:space="preserve"> </w:t>
      </w:r>
      <w:hyperlink r:id="rId16" w:history="1">
        <w:r w:rsidRPr="00840147">
          <w:rPr>
            <w:rStyle w:val="Hyperlink"/>
            <w:rFonts w:ascii="Times New Roman"/>
            <w:color w:val="auto"/>
            <w:sz w:val="18"/>
            <w:szCs w:val="18"/>
          </w:rPr>
          <w:t>https://www.cbd.int/dsi-gr/2019-2020/submissions/</w:t>
        </w:r>
      </w:hyperlink>
      <w:r w:rsidR="00840147">
        <w:rPr>
          <w:rFonts w:ascii="Times New Roman"/>
          <w:sz w:val="18"/>
          <w:szCs w:val="18"/>
        </w:rPr>
        <w:t>.</w:t>
      </w:r>
      <w:r w:rsidR="00840147">
        <w:rPr>
          <w:rFonts w:ascii="Times New Roman"/>
          <w:sz w:val="18"/>
          <w:szCs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9C07" w14:textId="2D789422" w:rsidR="00814401" w:rsidRPr="00890407" w:rsidRDefault="00814401" w:rsidP="00890407">
    <w:pPr>
      <w:pStyle w:val="Header"/>
      <w:rPr>
        <w:rFonts w:ascii="Times New Roman"/>
        <w:noProof/>
        <w:snapToGrid w:val="0"/>
        <w:kern w:val="22"/>
      </w:rPr>
    </w:pPr>
    <w:r w:rsidRPr="00890407">
      <w:rPr>
        <w:rFonts w:ascii="Times New Roman"/>
        <w:noProof/>
        <w:snapToGrid w:val="0"/>
        <w:kern w:val="22"/>
      </w:rPr>
      <w:t>CBD/DSI/AHTEG/2020/1/</w:t>
    </w:r>
    <w:r>
      <w:rPr>
        <w:rFonts w:ascii="Times New Roman"/>
        <w:noProof/>
        <w:snapToGrid w:val="0"/>
        <w:kern w:val="22"/>
      </w:rPr>
      <w:t>2</w:t>
    </w:r>
  </w:p>
  <w:p w14:paraId="35A2A890" w14:textId="77777777" w:rsidR="00814401" w:rsidRPr="00890407" w:rsidRDefault="00814401" w:rsidP="00890407">
    <w:pPr>
      <w:pStyle w:val="Header"/>
      <w:rPr>
        <w:rFonts w:ascii="Times New Roman"/>
        <w:noProof/>
        <w:snapToGrid w:val="0"/>
        <w:kern w:val="22"/>
      </w:rPr>
    </w:pPr>
    <w:r w:rsidRPr="00890407">
      <w:rPr>
        <w:rFonts w:ascii="Times New Roman"/>
        <w:noProof/>
        <w:snapToGrid w:val="0"/>
        <w:kern w:val="22"/>
      </w:rPr>
      <w:t xml:space="preserve">Page </w:t>
    </w:r>
    <w:r w:rsidRPr="00890407">
      <w:rPr>
        <w:rFonts w:ascii="Times New Roman"/>
        <w:noProof/>
        <w:snapToGrid w:val="0"/>
        <w:kern w:val="22"/>
      </w:rPr>
      <w:fldChar w:fldCharType="begin"/>
    </w:r>
    <w:r w:rsidRPr="00890407">
      <w:rPr>
        <w:rFonts w:ascii="Times New Roman"/>
        <w:noProof/>
        <w:snapToGrid w:val="0"/>
        <w:kern w:val="22"/>
      </w:rPr>
      <w:instrText xml:space="preserve"> PAGE   \* MERGEFORMAT </w:instrText>
    </w:r>
    <w:r w:rsidRPr="00890407">
      <w:rPr>
        <w:rFonts w:ascii="Times New Roman"/>
        <w:noProof/>
        <w:snapToGrid w:val="0"/>
        <w:kern w:val="22"/>
      </w:rPr>
      <w:fldChar w:fldCharType="separate"/>
    </w:r>
    <w:r w:rsidRPr="00890407">
      <w:rPr>
        <w:rFonts w:ascii="Times New Roman"/>
        <w:noProof/>
        <w:snapToGrid w:val="0"/>
        <w:kern w:val="22"/>
      </w:rPr>
      <w:t>2</w:t>
    </w:r>
    <w:r w:rsidRPr="00890407">
      <w:rPr>
        <w:rFonts w:ascii="Times New Roman"/>
        <w:noProof/>
        <w:snapToGrid w:val="0"/>
        <w:kern w:val="22"/>
      </w:rPr>
      <w:fldChar w:fldCharType="end"/>
    </w:r>
  </w:p>
  <w:p w14:paraId="5417C338" w14:textId="77777777" w:rsidR="00814401" w:rsidRPr="00890407" w:rsidRDefault="00814401">
    <w:pPr>
      <w:pStyle w:val="Header"/>
      <w:rPr>
        <w:rFonts w:asci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2C9E1" w14:textId="77777777" w:rsidR="00814401" w:rsidRPr="00890407" w:rsidRDefault="00814401" w:rsidP="00890407">
    <w:pPr>
      <w:pStyle w:val="Header"/>
      <w:jc w:val="right"/>
      <w:rPr>
        <w:rFonts w:ascii="Times New Roman"/>
        <w:noProof/>
        <w:snapToGrid w:val="0"/>
        <w:kern w:val="22"/>
      </w:rPr>
    </w:pPr>
    <w:r w:rsidRPr="00890407">
      <w:rPr>
        <w:rFonts w:ascii="Times New Roman"/>
        <w:noProof/>
        <w:snapToGrid w:val="0"/>
        <w:kern w:val="22"/>
      </w:rPr>
      <w:t>CBD/DSI/AHTEG/2020/1/</w:t>
    </w:r>
    <w:r>
      <w:rPr>
        <w:rFonts w:ascii="Times New Roman"/>
        <w:noProof/>
        <w:snapToGrid w:val="0"/>
        <w:kern w:val="22"/>
      </w:rPr>
      <w:t>2</w:t>
    </w:r>
  </w:p>
  <w:p w14:paraId="05E7A664" w14:textId="77777777" w:rsidR="00814401" w:rsidRPr="00890407" w:rsidRDefault="00814401" w:rsidP="00890407">
    <w:pPr>
      <w:pStyle w:val="Header"/>
      <w:jc w:val="right"/>
      <w:rPr>
        <w:rFonts w:ascii="Times New Roman"/>
        <w:noProof/>
        <w:snapToGrid w:val="0"/>
        <w:kern w:val="22"/>
      </w:rPr>
    </w:pPr>
    <w:r w:rsidRPr="00890407">
      <w:rPr>
        <w:rFonts w:ascii="Times New Roman"/>
        <w:noProof/>
        <w:snapToGrid w:val="0"/>
        <w:kern w:val="22"/>
      </w:rPr>
      <w:t xml:space="preserve">Page </w:t>
    </w:r>
    <w:r w:rsidRPr="00890407">
      <w:rPr>
        <w:rFonts w:ascii="Times New Roman"/>
        <w:noProof/>
        <w:snapToGrid w:val="0"/>
        <w:kern w:val="22"/>
      </w:rPr>
      <w:fldChar w:fldCharType="begin"/>
    </w:r>
    <w:r w:rsidRPr="00890407">
      <w:rPr>
        <w:rFonts w:ascii="Times New Roman"/>
        <w:noProof/>
        <w:snapToGrid w:val="0"/>
        <w:kern w:val="22"/>
      </w:rPr>
      <w:instrText xml:space="preserve"> PAGE   \* MERGEFORMAT </w:instrText>
    </w:r>
    <w:r w:rsidRPr="00890407">
      <w:rPr>
        <w:rFonts w:ascii="Times New Roman"/>
        <w:noProof/>
        <w:snapToGrid w:val="0"/>
        <w:kern w:val="22"/>
      </w:rPr>
      <w:fldChar w:fldCharType="separate"/>
    </w:r>
    <w:r w:rsidRPr="00890407">
      <w:rPr>
        <w:rFonts w:ascii="Times New Roman"/>
        <w:noProof/>
        <w:snapToGrid w:val="0"/>
        <w:kern w:val="22"/>
      </w:rPr>
      <w:t>3</w:t>
    </w:r>
    <w:r w:rsidRPr="00890407">
      <w:rPr>
        <w:rFonts w:ascii="Times New Roman"/>
        <w:noProof/>
        <w:snapToGrid w:val="0"/>
        <w:kern w:val="22"/>
      </w:rPr>
      <w:fldChar w:fldCharType="end"/>
    </w:r>
  </w:p>
  <w:p w14:paraId="22E70227" w14:textId="77777777" w:rsidR="00814401" w:rsidRPr="00890407" w:rsidRDefault="00814401" w:rsidP="00890407">
    <w:pPr>
      <w:pStyle w:val="Header"/>
      <w:jc w:val="right"/>
      <w:rPr>
        <w:rFonts w:ascii="Times New Roman"/>
        <w:noProof/>
        <w:snapToGrid w:val="0"/>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8AB"/>
    <w:multiLevelType w:val="hybridMultilevel"/>
    <w:tmpl w:val="1E8A149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BD7FF2"/>
    <w:multiLevelType w:val="hybridMultilevel"/>
    <w:tmpl w:val="52285984"/>
    <w:lvl w:ilvl="0" w:tplc="188C1304">
      <w:start w:val="1"/>
      <w:numFmt w:val="lowerRoman"/>
      <w:lvlText w:val="(%1)"/>
      <w:lvlJc w:val="right"/>
      <w:pPr>
        <w:ind w:left="2160" w:hanging="1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96320"/>
    <w:multiLevelType w:val="hybridMultilevel"/>
    <w:tmpl w:val="362EFA9A"/>
    <w:lvl w:ilvl="0" w:tplc="188C1304">
      <w:start w:val="1"/>
      <w:numFmt w:val="lowerRoman"/>
      <w:lvlText w:val="(%1)"/>
      <w:lvlJc w:val="right"/>
      <w:pPr>
        <w:ind w:left="2160" w:hanging="18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D0028"/>
    <w:multiLevelType w:val="hybridMultilevel"/>
    <w:tmpl w:val="D402E9F8"/>
    <w:lvl w:ilvl="0" w:tplc="43EC0C20">
      <w:start w:val="1"/>
      <w:numFmt w:val="decimal"/>
      <w:lvlText w:val="%1."/>
      <w:lvlJc w:val="left"/>
      <w:pPr>
        <w:ind w:left="720" w:hanging="360"/>
      </w:pPr>
      <w:rPr>
        <w:i w:val="0"/>
      </w:rPr>
    </w:lvl>
    <w:lvl w:ilvl="1" w:tplc="4CE4476C">
      <w:start w:val="1"/>
      <w:numFmt w:val="lowerLetter"/>
      <w:lvlText w:val="%2)"/>
      <w:lvlJc w:val="left"/>
      <w:pPr>
        <w:ind w:left="1440" w:hanging="360"/>
      </w:pPr>
      <w:rPr>
        <w:color w:val="auto"/>
      </w:rPr>
    </w:lvl>
    <w:lvl w:ilvl="2" w:tplc="188C1304">
      <w:start w:val="1"/>
      <w:numFmt w:val="lowerRoman"/>
      <w:lvlText w:val="(%3)"/>
      <w:lvlJc w:val="right"/>
      <w:pPr>
        <w:ind w:left="2160" w:hanging="180"/>
      </w:pPr>
      <w:rPr>
        <w:rFonts w:hint="default"/>
        <w:color w:val="auto"/>
      </w:rPr>
    </w:lvl>
    <w:lvl w:ilvl="3" w:tplc="04090017">
      <w:start w:val="1"/>
      <w:numFmt w:val="lowerLetter"/>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C5CD4"/>
    <w:multiLevelType w:val="hybridMultilevel"/>
    <w:tmpl w:val="DAE6464E"/>
    <w:lvl w:ilvl="0" w:tplc="ADE22454">
      <w:start w:val="2"/>
      <w:numFmt w:val="bullet"/>
      <w:lvlText w:val="-"/>
      <w:lvlJc w:val="left"/>
      <w:pPr>
        <w:ind w:left="1800" w:hanging="360"/>
      </w:pPr>
      <w:rPr>
        <w:rFonts w:ascii="Times New Roman" w:eastAsia="Times New Roman"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8D27236"/>
    <w:multiLevelType w:val="hybridMultilevel"/>
    <w:tmpl w:val="40FEB704"/>
    <w:lvl w:ilvl="0" w:tplc="7AF23D2C">
      <w:start w:val="2"/>
      <w:numFmt w:val="lowerLetter"/>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6" w15:restartNumberingAfterBreak="0">
    <w:nsid w:val="39D55169"/>
    <w:multiLevelType w:val="hybridMultilevel"/>
    <w:tmpl w:val="1E8A149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A5A4D85"/>
    <w:multiLevelType w:val="hybridMultilevel"/>
    <w:tmpl w:val="104CA6D6"/>
    <w:lvl w:ilvl="0" w:tplc="CB2CF296">
      <w:start w:val="1"/>
      <w:numFmt w:val="upperRoman"/>
      <w:lvlText w:val="%1."/>
      <w:lvlJc w:val="left"/>
      <w:pPr>
        <w:ind w:left="720" w:hanging="360"/>
      </w:pPr>
      <w:rPr>
        <w:rFonts w:ascii="Times New Roman" w:eastAsia="Times New Roman" w:hAnsi="Times New Roman" w:cs="Times New Roman" w:hint="default"/>
      </w:rPr>
    </w:lvl>
    <w:lvl w:ilvl="1" w:tplc="EFE005E4">
      <w:start w:val="1"/>
      <w:numFmt w:val="upperLetter"/>
      <w:lvlText w:val="%2."/>
      <w:lvlJc w:val="left"/>
      <w:pPr>
        <w:ind w:left="1440" w:hanging="360"/>
      </w:pPr>
      <w:rPr>
        <w:color w:val="auto"/>
      </w:rPr>
    </w:lvl>
    <w:lvl w:ilvl="2" w:tplc="D714AB46">
      <w:start w:val="1"/>
      <w:numFmt w:val="lowerRoman"/>
      <w:lvlText w:val="%3."/>
      <w:lvlJc w:val="right"/>
      <w:pPr>
        <w:ind w:left="2160" w:hanging="180"/>
      </w:pPr>
      <w:rPr>
        <w:color w:val="auto"/>
      </w:rPr>
    </w:lvl>
    <w:lvl w:ilvl="3" w:tplc="04090017">
      <w:start w:val="1"/>
      <w:numFmt w:val="lowerLetter"/>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01B65"/>
    <w:multiLevelType w:val="hybridMultilevel"/>
    <w:tmpl w:val="CC440A06"/>
    <w:lvl w:ilvl="0" w:tplc="5BD8F538">
      <w:start w:val="1"/>
      <w:numFmt w:val="decimal"/>
      <w:lvlText w:val="%1."/>
      <w:lvlJc w:val="left"/>
      <w:pPr>
        <w:ind w:left="720" w:hanging="360"/>
      </w:pPr>
      <w:rPr>
        <w:b w:val="0"/>
        <w:i w:val="0"/>
        <w:color w:val="auto"/>
      </w:rPr>
    </w:lvl>
    <w:lvl w:ilvl="1" w:tplc="DCA68AC8">
      <w:start w:val="1"/>
      <w:numFmt w:val="lowerLetter"/>
      <w:lvlText w:val="(%2)"/>
      <w:lvlJc w:val="left"/>
      <w:pPr>
        <w:ind w:left="1440" w:hanging="360"/>
      </w:pPr>
      <w:rPr>
        <w:rFonts w:ascii="Times New Roman" w:hAnsi="Times New Roman" w:cs="Times New Roman" w:hint="default"/>
        <w:b w:val="0"/>
        <w:i w:val="0"/>
        <w:color w:val="auto"/>
      </w:rPr>
    </w:lvl>
    <w:lvl w:ilvl="2" w:tplc="CA1884E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4286A"/>
    <w:multiLevelType w:val="hybridMultilevel"/>
    <w:tmpl w:val="1E8A149E"/>
    <w:lvl w:ilvl="0" w:tplc="0409000F">
      <w:start w:val="1"/>
      <w:numFmt w:val="decimal"/>
      <w:lvlText w:val="%1."/>
      <w:lvlJc w:val="left"/>
      <w:pPr>
        <w:ind w:left="693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DF56AD7"/>
    <w:multiLevelType w:val="hybridMultilevel"/>
    <w:tmpl w:val="D1BE114C"/>
    <w:lvl w:ilvl="0" w:tplc="EA0A2826">
      <w:start w:val="1"/>
      <w:numFmt w:val="upperLetter"/>
      <w:lvlText w:val="%1."/>
      <w:lvlJc w:val="left"/>
      <w:pPr>
        <w:ind w:left="1440" w:hanging="360"/>
      </w:pPr>
      <w:rPr>
        <w:rFonts w:ascii="Times New Roman" w:hAnsi="Times New Roman" w:cs="Times New Roman"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2B4"/>
    <w:multiLevelType w:val="multilevel"/>
    <w:tmpl w:val="8CAAF44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0CA249D"/>
    <w:multiLevelType w:val="hybridMultilevel"/>
    <w:tmpl w:val="31FCFD8A"/>
    <w:lvl w:ilvl="0" w:tplc="D6EA769C">
      <w:start w:val="1"/>
      <w:numFmt w:val="upperRoman"/>
      <w:lvlText w:val="%1."/>
      <w:lvlJc w:val="left"/>
      <w:pPr>
        <w:ind w:left="720" w:hanging="360"/>
      </w:pPr>
      <w:rPr>
        <w:rFonts w:ascii="Times New Roman" w:eastAsia="Times New Roman" w:hAnsi="Times New Roman" w:cs="Times New Roman" w:hint="default"/>
      </w:rPr>
    </w:lvl>
    <w:lvl w:ilvl="1" w:tplc="595A40C6">
      <w:start w:val="1"/>
      <w:numFmt w:val="upperLetter"/>
      <w:lvlText w:val="%2."/>
      <w:lvlJc w:val="left"/>
      <w:pPr>
        <w:ind w:left="1440" w:hanging="360"/>
      </w:pPr>
      <w:rPr>
        <w:color w:val="auto"/>
      </w:rPr>
    </w:lvl>
    <w:lvl w:ilvl="2" w:tplc="D714AB46">
      <w:start w:val="1"/>
      <w:numFmt w:val="lowerRoman"/>
      <w:lvlText w:val="%3."/>
      <w:lvlJc w:val="right"/>
      <w:pPr>
        <w:ind w:left="2160" w:hanging="180"/>
      </w:pPr>
      <w:rPr>
        <w:color w:val="auto"/>
      </w:rPr>
    </w:lvl>
    <w:lvl w:ilvl="3" w:tplc="04090017">
      <w:start w:val="1"/>
      <w:numFmt w:val="lowerLetter"/>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45716"/>
    <w:multiLevelType w:val="hybridMultilevel"/>
    <w:tmpl w:val="4F2E0786"/>
    <w:lvl w:ilvl="0" w:tplc="188C1304">
      <w:start w:val="1"/>
      <w:numFmt w:val="lowerRoman"/>
      <w:lvlText w:val="(%1)"/>
      <w:lvlJc w:val="right"/>
      <w:pPr>
        <w:ind w:left="2160" w:hanging="1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551C8"/>
    <w:multiLevelType w:val="hybridMultilevel"/>
    <w:tmpl w:val="59C40AF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69EE2E88"/>
    <w:multiLevelType w:val="hybridMultilevel"/>
    <w:tmpl w:val="946C6F5A"/>
    <w:lvl w:ilvl="0" w:tplc="188C1304">
      <w:start w:val="1"/>
      <w:numFmt w:val="lowerRoman"/>
      <w:lvlText w:val="(%1)"/>
      <w:lvlJc w:val="right"/>
      <w:pPr>
        <w:ind w:left="2160" w:hanging="1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63654"/>
    <w:multiLevelType w:val="hybridMultilevel"/>
    <w:tmpl w:val="C1F20A8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7D9F7F81"/>
    <w:multiLevelType w:val="hybridMultilevel"/>
    <w:tmpl w:val="59C40AF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8"/>
  </w:num>
  <w:num w:numId="3">
    <w:abstractNumId w:val="3"/>
  </w:num>
  <w:num w:numId="4">
    <w:abstractNumId w:val="11"/>
  </w:num>
  <w:num w:numId="5">
    <w:abstractNumId w:val="14"/>
  </w:num>
  <w:num w:numId="6">
    <w:abstractNumId w:val="6"/>
  </w:num>
  <w:num w:numId="7">
    <w:abstractNumId w:val="0"/>
  </w:num>
  <w:num w:numId="8">
    <w:abstractNumId w:val="12"/>
  </w:num>
  <w:num w:numId="9">
    <w:abstractNumId w:val="9"/>
  </w:num>
  <w:num w:numId="10">
    <w:abstractNumId w:val="16"/>
  </w:num>
  <w:num w:numId="11">
    <w:abstractNumId w:val="17"/>
  </w:num>
  <w:num w:numId="12">
    <w:abstractNumId w:val="1"/>
  </w:num>
  <w:num w:numId="13">
    <w:abstractNumId w:val="13"/>
  </w:num>
  <w:num w:numId="14">
    <w:abstractNumId w:val="15"/>
  </w:num>
  <w:num w:numId="15">
    <w:abstractNumId w:val="2"/>
  </w:num>
  <w:num w:numId="16">
    <w:abstractNumId w:val="10"/>
  </w:num>
  <w:num w:numId="17">
    <w:abstractNumId w:val="5"/>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CA"/>
    <w:rsid w:val="00000C84"/>
    <w:rsid w:val="00003E4D"/>
    <w:rsid w:val="0000613E"/>
    <w:rsid w:val="00013912"/>
    <w:rsid w:val="00025087"/>
    <w:rsid w:val="0002602A"/>
    <w:rsid w:val="00030DC5"/>
    <w:rsid w:val="000315ED"/>
    <w:rsid w:val="00034195"/>
    <w:rsid w:val="00040908"/>
    <w:rsid w:val="00044AAF"/>
    <w:rsid w:val="00044F80"/>
    <w:rsid w:val="00045B57"/>
    <w:rsid w:val="00047BE8"/>
    <w:rsid w:val="000529D5"/>
    <w:rsid w:val="000530E0"/>
    <w:rsid w:val="000631AD"/>
    <w:rsid w:val="000638F5"/>
    <w:rsid w:val="00077561"/>
    <w:rsid w:val="0008161A"/>
    <w:rsid w:val="00083A1C"/>
    <w:rsid w:val="00085282"/>
    <w:rsid w:val="00085F0B"/>
    <w:rsid w:val="00086139"/>
    <w:rsid w:val="000869F9"/>
    <w:rsid w:val="000878C2"/>
    <w:rsid w:val="000930B6"/>
    <w:rsid w:val="000962DC"/>
    <w:rsid w:val="000974A3"/>
    <w:rsid w:val="000A092F"/>
    <w:rsid w:val="000A4BA8"/>
    <w:rsid w:val="000A70FA"/>
    <w:rsid w:val="000B1402"/>
    <w:rsid w:val="000B15CB"/>
    <w:rsid w:val="000D1A70"/>
    <w:rsid w:val="000D2C12"/>
    <w:rsid w:val="000D3003"/>
    <w:rsid w:val="000E05DB"/>
    <w:rsid w:val="000E1148"/>
    <w:rsid w:val="000E30FE"/>
    <w:rsid w:val="000E3408"/>
    <w:rsid w:val="000F2DDC"/>
    <w:rsid w:val="000F4499"/>
    <w:rsid w:val="000F6D08"/>
    <w:rsid w:val="0010492D"/>
    <w:rsid w:val="00105D47"/>
    <w:rsid w:val="00114B33"/>
    <w:rsid w:val="00115A61"/>
    <w:rsid w:val="001204A5"/>
    <w:rsid w:val="00121BB3"/>
    <w:rsid w:val="00122A52"/>
    <w:rsid w:val="00127207"/>
    <w:rsid w:val="00136815"/>
    <w:rsid w:val="001418CB"/>
    <w:rsid w:val="00147EAD"/>
    <w:rsid w:val="00155AF0"/>
    <w:rsid w:val="00157ADD"/>
    <w:rsid w:val="00175CEB"/>
    <w:rsid w:val="00176D02"/>
    <w:rsid w:val="0017708F"/>
    <w:rsid w:val="00180FDE"/>
    <w:rsid w:val="00183695"/>
    <w:rsid w:val="001861AA"/>
    <w:rsid w:val="00186DCE"/>
    <w:rsid w:val="00186F3F"/>
    <w:rsid w:val="00192B59"/>
    <w:rsid w:val="001953B1"/>
    <w:rsid w:val="001A11B9"/>
    <w:rsid w:val="001A221D"/>
    <w:rsid w:val="001B353A"/>
    <w:rsid w:val="001B4F0F"/>
    <w:rsid w:val="001B7A28"/>
    <w:rsid w:val="001C1D77"/>
    <w:rsid w:val="001C5E9C"/>
    <w:rsid w:val="001D0876"/>
    <w:rsid w:val="001D33CC"/>
    <w:rsid w:val="001D498C"/>
    <w:rsid w:val="001E1C36"/>
    <w:rsid w:val="001E54C0"/>
    <w:rsid w:val="001F28AC"/>
    <w:rsid w:val="001F3AFF"/>
    <w:rsid w:val="001F4F81"/>
    <w:rsid w:val="001F5294"/>
    <w:rsid w:val="001F5368"/>
    <w:rsid w:val="0021054C"/>
    <w:rsid w:val="00210B9D"/>
    <w:rsid w:val="00212A05"/>
    <w:rsid w:val="00217A04"/>
    <w:rsid w:val="00236390"/>
    <w:rsid w:val="0024661A"/>
    <w:rsid w:val="002509F2"/>
    <w:rsid w:val="00250FB8"/>
    <w:rsid w:val="002520E1"/>
    <w:rsid w:val="00252BDE"/>
    <w:rsid w:val="00252FE0"/>
    <w:rsid w:val="00253DE1"/>
    <w:rsid w:val="00253ED2"/>
    <w:rsid w:val="00260587"/>
    <w:rsid w:val="00263499"/>
    <w:rsid w:val="00263611"/>
    <w:rsid w:val="002715F2"/>
    <w:rsid w:val="00284283"/>
    <w:rsid w:val="002842BB"/>
    <w:rsid w:val="0028598A"/>
    <w:rsid w:val="00287F78"/>
    <w:rsid w:val="002A3AF4"/>
    <w:rsid w:val="002B1798"/>
    <w:rsid w:val="002B1F9F"/>
    <w:rsid w:val="002B64F9"/>
    <w:rsid w:val="002C081E"/>
    <w:rsid w:val="002C470D"/>
    <w:rsid w:val="002C6C10"/>
    <w:rsid w:val="002C6C98"/>
    <w:rsid w:val="002C7BCF"/>
    <w:rsid w:val="002D62E6"/>
    <w:rsid w:val="002E0A32"/>
    <w:rsid w:val="002E2FCC"/>
    <w:rsid w:val="002E399D"/>
    <w:rsid w:val="002E59C9"/>
    <w:rsid w:val="002E72A6"/>
    <w:rsid w:val="002F2F3A"/>
    <w:rsid w:val="002F4942"/>
    <w:rsid w:val="002F5FC5"/>
    <w:rsid w:val="003030A0"/>
    <w:rsid w:val="00315FC9"/>
    <w:rsid w:val="0031647C"/>
    <w:rsid w:val="003202D7"/>
    <w:rsid w:val="00322413"/>
    <w:rsid w:val="00323E67"/>
    <w:rsid w:val="00326B5B"/>
    <w:rsid w:val="00335AF3"/>
    <w:rsid w:val="00336AD7"/>
    <w:rsid w:val="003370CB"/>
    <w:rsid w:val="00340E4C"/>
    <w:rsid w:val="0034162C"/>
    <w:rsid w:val="0034558F"/>
    <w:rsid w:val="0034776D"/>
    <w:rsid w:val="00350232"/>
    <w:rsid w:val="0035241B"/>
    <w:rsid w:val="003642FD"/>
    <w:rsid w:val="0036687C"/>
    <w:rsid w:val="00370BDF"/>
    <w:rsid w:val="0037230F"/>
    <w:rsid w:val="003801FE"/>
    <w:rsid w:val="00381AB3"/>
    <w:rsid w:val="00383792"/>
    <w:rsid w:val="00384B86"/>
    <w:rsid w:val="00385609"/>
    <w:rsid w:val="00386690"/>
    <w:rsid w:val="00396DBD"/>
    <w:rsid w:val="003A1006"/>
    <w:rsid w:val="003B72B4"/>
    <w:rsid w:val="003C56D9"/>
    <w:rsid w:val="003C5827"/>
    <w:rsid w:val="003D070E"/>
    <w:rsid w:val="003D2DF7"/>
    <w:rsid w:val="003D61FC"/>
    <w:rsid w:val="003F066E"/>
    <w:rsid w:val="003F0B47"/>
    <w:rsid w:val="003F1390"/>
    <w:rsid w:val="003F69FE"/>
    <w:rsid w:val="003F7D1F"/>
    <w:rsid w:val="00403095"/>
    <w:rsid w:val="00404833"/>
    <w:rsid w:val="0041137F"/>
    <w:rsid w:val="00411BC4"/>
    <w:rsid w:val="00414E8B"/>
    <w:rsid w:val="00417242"/>
    <w:rsid w:val="00431409"/>
    <w:rsid w:val="004317A5"/>
    <w:rsid w:val="0043300D"/>
    <w:rsid w:val="00434E2E"/>
    <w:rsid w:val="00435E4B"/>
    <w:rsid w:val="004400B5"/>
    <w:rsid w:val="00443F25"/>
    <w:rsid w:val="00444774"/>
    <w:rsid w:val="00444E82"/>
    <w:rsid w:val="004511AA"/>
    <w:rsid w:val="00452417"/>
    <w:rsid w:val="00452D88"/>
    <w:rsid w:val="00462E6B"/>
    <w:rsid w:val="0046449A"/>
    <w:rsid w:val="00481815"/>
    <w:rsid w:val="004822ED"/>
    <w:rsid w:val="0048574F"/>
    <w:rsid w:val="00485C81"/>
    <w:rsid w:val="004920E7"/>
    <w:rsid w:val="0049428A"/>
    <w:rsid w:val="0049642D"/>
    <w:rsid w:val="00497A6D"/>
    <w:rsid w:val="004A2D1B"/>
    <w:rsid w:val="004A466F"/>
    <w:rsid w:val="004A73BE"/>
    <w:rsid w:val="004B6AAC"/>
    <w:rsid w:val="004C27DF"/>
    <w:rsid w:val="004C6663"/>
    <w:rsid w:val="004C6AA7"/>
    <w:rsid w:val="004D0AC2"/>
    <w:rsid w:val="004D4A7F"/>
    <w:rsid w:val="004E6562"/>
    <w:rsid w:val="004E7FFA"/>
    <w:rsid w:val="004F6DD3"/>
    <w:rsid w:val="00501678"/>
    <w:rsid w:val="0050783A"/>
    <w:rsid w:val="0051318B"/>
    <w:rsid w:val="005137F3"/>
    <w:rsid w:val="005221B3"/>
    <w:rsid w:val="00523F9C"/>
    <w:rsid w:val="00524A30"/>
    <w:rsid w:val="0052775B"/>
    <w:rsid w:val="00527E2B"/>
    <w:rsid w:val="00531E49"/>
    <w:rsid w:val="00537E82"/>
    <w:rsid w:val="005425AD"/>
    <w:rsid w:val="0054739D"/>
    <w:rsid w:val="00547B92"/>
    <w:rsid w:val="005553DE"/>
    <w:rsid w:val="005564DD"/>
    <w:rsid w:val="00556BBF"/>
    <w:rsid w:val="0055715E"/>
    <w:rsid w:val="005727A9"/>
    <w:rsid w:val="0057591E"/>
    <w:rsid w:val="005832F9"/>
    <w:rsid w:val="005846BB"/>
    <w:rsid w:val="00585C2F"/>
    <w:rsid w:val="005875CA"/>
    <w:rsid w:val="00590DB1"/>
    <w:rsid w:val="005911F1"/>
    <w:rsid w:val="005915CA"/>
    <w:rsid w:val="00591C63"/>
    <w:rsid w:val="005955F3"/>
    <w:rsid w:val="005A250D"/>
    <w:rsid w:val="005A2DEC"/>
    <w:rsid w:val="005A3584"/>
    <w:rsid w:val="005A511C"/>
    <w:rsid w:val="005A5BC8"/>
    <w:rsid w:val="005C1221"/>
    <w:rsid w:val="005D1EB0"/>
    <w:rsid w:val="005D201F"/>
    <w:rsid w:val="005D28B2"/>
    <w:rsid w:val="005D3BCB"/>
    <w:rsid w:val="005D3D2C"/>
    <w:rsid w:val="005D6F17"/>
    <w:rsid w:val="005E3D8A"/>
    <w:rsid w:val="005E73AF"/>
    <w:rsid w:val="005E7E80"/>
    <w:rsid w:val="005F3754"/>
    <w:rsid w:val="005F510D"/>
    <w:rsid w:val="005F517B"/>
    <w:rsid w:val="005F6BF6"/>
    <w:rsid w:val="006048F4"/>
    <w:rsid w:val="00613133"/>
    <w:rsid w:val="00620758"/>
    <w:rsid w:val="00620DF2"/>
    <w:rsid w:val="006302FF"/>
    <w:rsid w:val="006357CE"/>
    <w:rsid w:val="00642E92"/>
    <w:rsid w:val="00643615"/>
    <w:rsid w:val="006453E5"/>
    <w:rsid w:val="00653869"/>
    <w:rsid w:val="006607B1"/>
    <w:rsid w:val="00666A89"/>
    <w:rsid w:val="00672070"/>
    <w:rsid w:val="006805F0"/>
    <w:rsid w:val="00683114"/>
    <w:rsid w:val="006870B4"/>
    <w:rsid w:val="00690773"/>
    <w:rsid w:val="00697F52"/>
    <w:rsid w:val="006C0E23"/>
    <w:rsid w:val="006C20F3"/>
    <w:rsid w:val="006C4AA7"/>
    <w:rsid w:val="006D05D8"/>
    <w:rsid w:val="006D247B"/>
    <w:rsid w:val="006D4422"/>
    <w:rsid w:val="006D59EE"/>
    <w:rsid w:val="006E0B48"/>
    <w:rsid w:val="006E10D6"/>
    <w:rsid w:val="006E47B1"/>
    <w:rsid w:val="006E6006"/>
    <w:rsid w:val="006F00B0"/>
    <w:rsid w:val="006F30F6"/>
    <w:rsid w:val="006F33AB"/>
    <w:rsid w:val="006F4F40"/>
    <w:rsid w:val="00704818"/>
    <w:rsid w:val="00705922"/>
    <w:rsid w:val="00707B6D"/>
    <w:rsid w:val="00712EFC"/>
    <w:rsid w:val="0071534F"/>
    <w:rsid w:val="00723DDC"/>
    <w:rsid w:val="00731DA3"/>
    <w:rsid w:val="007335DF"/>
    <w:rsid w:val="00735D70"/>
    <w:rsid w:val="007361C9"/>
    <w:rsid w:val="00741111"/>
    <w:rsid w:val="00742721"/>
    <w:rsid w:val="0074671F"/>
    <w:rsid w:val="00755629"/>
    <w:rsid w:val="007579D4"/>
    <w:rsid w:val="00765D43"/>
    <w:rsid w:val="00765F48"/>
    <w:rsid w:val="00775565"/>
    <w:rsid w:val="00780D62"/>
    <w:rsid w:val="00782037"/>
    <w:rsid w:val="00785CB7"/>
    <w:rsid w:val="00786243"/>
    <w:rsid w:val="007868C6"/>
    <w:rsid w:val="00793785"/>
    <w:rsid w:val="00794346"/>
    <w:rsid w:val="00797570"/>
    <w:rsid w:val="007A671C"/>
    <w:rsid w:val="007B07A6"/>
    <w:rsid w:val="007B494B"/>
    <w:rsid w:val="007B4F40"/>
    <w:rsid w:val="007B6123"/>
    <w:rsid w:val="007B64F8"/>
    <w:rsid w:val="007B7F3E"/>
    <w:rsid w:val="007C0B72"/>
    <w:rsid w:val="007C4210"/>
    <w:rsid w:val="007D370E"/>
    <w:rsid w:val="007D5827"/>
    <w:rsid w:val="007D69AC"/>
    <w:rsid w:val="007F27FE"/>
    <w:rsid w:val="007F2FAA"/>
    <w:rsid w:val="007F4237"/>
    <w:rsid w:val="007F79F6"/>
    <w:rsid w:val="0080452C"/>
    <w:rsid w:val="00805A18"/>
    <w:rsid w:val="00812AD8"/>
    <w:rsid w:val="00814401"/>
    <w:rsid w:val="00815F22"/>
    <w:rsid w:val="00826F99"/>
    <w:rsid w:val="008318AD"/>
    <w:rsid w:val="00840147"/>
    <w:rsid w:val="00843735"/>
    <w:rsid w:val="00846D2F"/>
    <w:rsid w:val="0085417F"/>
    <w:rsid w:val="00860281"/>
    <w:rsid w:val="008632B5"/>
    <w:rsid w:val="00866A76"/>
    <w:rsid w:val="00867DBB"/>
    <w:rsid w:val="00882583"/>
    <w:rsid w:val="00887F7C"/>
    <w:rsid w:val="00890407"/>
    <w:rsid w:val="008B04D5"/>
    <w:rsid w:val="008B2AEC"/>
    <w:rsid w:val="008D1DEE"/>
    <w:rsid w:val="008D350D"/>
    <w:rsid w:val="008D6368"/>
    <w:rsid w:val="008E60B5"/>
    <w:rsid w:val="008F3D1C"/>
    <w:rsid w:val="00901E06"/>
    <w:rsid w:val="0090339A"/>
    <w:rsid w:val="009173C8"/>
    <w:rsid w:val="009231B4"/>
    <w:rsid w:val="00931550"/>
    <w:rsid w:val="009349D3"/>
    <w:rsid w:val="00935C09"/>
    <w:rsid w:val="00947A9C"/>
    <w:rsid w:val="00951BCE"/>
    <w:rsid w:val="00956C82"/>
    <w:rsid w:val="009633EC"/>
    <w:rsid w:val="0096392D"/>
    <w:rsid w:val="00971279"/>
    <w:rsid w:val="00975498"/>
    <w:rsid w:val="00980301"/>
    <w:rsid w:val="00984812"/>
    <w:rsid w:val="00985301"/>
    <w:rsid w:val="00986315"/>
    <w:rsid w:val="00986785"/>
    <w:rsid w:val="009911ED"/>
    <w:rsid w:val="0099403E"/>
    <w:rsid w:val="00995ECC"/>
    <w:rsid w:val="00996D1F"/>
    <w:rsid w:val="009A1659"/>
    <w:rsid w:val="009B114C"/>
    <w:rsid w:val="009B2328"/>
    <w:rsid w:val="009D399F"/>
    <w:rsid w:val="009D6D65"/>
    <w:rsid w:val="009E2130"/>
    <w:rsid w:val="009E26F6"/>
    <w:rsid w:val="009E36CE"/>
    <w:rsid w:val="009E4209"/>
    <w:rsid w:val="009F2F90"/>
    <w:rsid w:val="00A13C65"/>
    <w:rsid w:val="00A16FC5"/>
    <w:rsid w:val="00A214B0"/>
    <w:rsid w:val="00A2388B"/>
    <w:rsid w:val="00A23DFE"/>
    <w:rsid w:val="00A23E6E"/>
    <w:rsid w:val="00A3254C"/>
    <w:rsid w:val="00A33524"/>
    <w:rsid w:val="00A35952"/>
    <w:rsid w:val="00A4124D"/>
    <w:rsid w:val="00A43BD3"/>
    <w:rsid w:val="00A4456D"/>
    <w:rsid w:val="00A46752"/>
    <w:rsid w:val="00A53E64"/>
    <w:rsid w:val="00A56A3C"/>
    <w:rsid w:val="00A61D1D"/>
    <w:rsid w:val="00A7015B"/>
    <w:rsid w:val="00A713C2"/>
    <w:rsid w:val="00A71AEB"/>
    <w:rsid w:val="00A810A0"/>
    <w:rsid w:val="00A94459"/>
    <w:rsid w:val="00A95EED"/>
    <w:rsid w:val="00A96419"/>
    <w:rsid w:val="00AA5228"/>
    <w:rsid w:val="00AA5E09"/>
    <w:rsid w:val="00AA6ED0"/>
    <w:rsid w:val="00AB09F2"/>
    <w:rsid w:val="00AB2F50"/>
    <w:rsid w:val="00AC09A2"/>
    <w:rsid w:val="00AC2EAE"/>
    <w:rsid w:val="00AC30BA"/>
    <w:rsid w:val="00AC341E"/>
    <w:rsid w:val="00AC3DD2"/>
    <w:rsid w:val="00AC48CC"/>
    <w:rsid w:val="00AD6EAB"/>
    <w:rsid w:val="00B04CC1"/>
    <w:rsid w:val="00B07AEA"/>
    <w:rsid w:val="00B10BC5"/>
    <w:rsid w:val="00B1199F"/>
    <w:rsid w:val="00B14939"/>
    <w:rsid w:val="00B2192F"/>
    <w:rsid w:val="00B21B29"/>
    <w:rsid w:val="00B25F56"/>
    <w:rsid w:val="00B26D78"/>
    <w:rsid w:val="00B2727E"/>
    <w:rsid w:val="00B300B2"/>
    <w:rsid w:val="00B31DF6"/>
    <w:rsid w:val="00B3256C"/>
    <w:rsid w:val="00B32E97"/>
    <w:rsid w:val="00B333CE"/>
    <w:rsid w:val="00B34AD9"/>
    <w:rsid w:val="00B36A3B"/>
    <w:rsid w:val="00B37FBC"/>
    <w:rsid w:val="00B40DB9"/>
    <w:rsid w:val="00B41FC3"/>
    <w:rsid w:val="00B4266F"/>
    <w:rsid w:val="00B42E54"/>
    <w:rsid w:val="00B47CD1"/>
    <w:rsid w:val="00B47D4F"/>
    <w:rsid w:val="00B523AD"/>
    <w:rsid w:val="00B72698"/>
    <w:rsid w:val="00B807C8"/>
    <w:rsid w:val="00B83904"/>
    <w:rsid w:val="00B92932"/>
    <w:rsid w:val="00BA2B57"/>
    <w:rsid w:val="00BA4065"/>
    <w:rsid w:val="00BA45A6"/>
    <w:rsid w:val="00BB1052"/>
    <w:rsid w:val="00BB14BB"/>
    <w:rsid w:val="00BB15FC"/>
    <w:rsid w:val="00BB4BC8"/>
    <w:rsid w:val="00BB7165"/>
    <w:rsid w:val="00BB7978"/>
    <w:rsid w:val="00BB7ADD"/>
    <w:rsid w:val="00BC288C"/>
    <w:rsid w:val="00BC36A1"/>
    <w:rsid w:val="00BD0256"/>
    <w:rsid w:val="00BD22EF"/>
    <w:rsid w:val="00BE3CA6"/>
    <w:rsid w:val="00BE5556"/>
    <w:rsid w:val="00BF00F3"/>
    <w:rsid w:val="00BF22BD"/>
    <w:rsid w:val="00BF31D9"/>
    <w:rsid w:val="00BF413C"/>
    <w:rsid w:val="00BF7FBE"/>
    <w:rsid w:val="00C04643"/>
    <w:rsid w:val="00C0508F"/>
    <w:rsid w:val="00C07E02"/>
    <w:rsid w:val="00C14376"/>
    <w:rsid w:val="00C208FD"/>
    <w:rsid w:val="00C23A4D"/>
    <w:rsid w:val="00C242FA"/>
    <w:rsid w:val="00C37983"/>
    <w:rsid w:val="00C5552F"/>
    <w:rsid w:val="00C5699D"/>
    <w:rsid w:val="00C62C69"/>
    <w:rsid w:val="00C6350E"/>
    <w:rsid w:val="00C63643"/>
    <w:rsid w:val="00C63D9A"/>
    <w:rsid w:val="00C64E7F"/>
    <w:rsid w:val="00C67212"/>
    <w:rsid w:val="00C67541"/>
    <w:rsid w:val="00C74C39"/>
    <w:rsid w:val="00C82B1F"/>
    <w:rsid w:val="00C85279"/>
    <w:rsid w:val="00C85D36"/>
    <w:rsid w:val="00C86A82"/>
    <w:rsid w:val="00C934B2"/>
    <w:rsid w:val="00CA2298"/>
    <w:rsid w:val="00CA3698"/>
    <w:rsid w:val="00CA6908"/>
    <w:rsid w:val="00CB467C"/>
    <w:rsid w:val="00CB782B"/>
    <w:rsid w:val="00CC3494"/>
    <w:rsid w:val="00CC736E"/>
    <w:rsid w:val="00CD22CF"/>
    <w:rsid w:val="00CD2E43"/>
    <w:rsid w:val="00CD4925"/>
    <w:rsid w:val="00CD6D96"/>
    <w:rsid w:val="00CD7080"/>
    <w:rsid w:val="00CD7E59"/>
    <w:rsid w:val="00CE1F65"/>
    <w:rsid w:val="00CE61AC"/>
    <w:rsid w:val="00CF5EF4"/>
    <w:rsid w:val="00CF6A34"/>
    <w:rsid w:val="00D018C8"/>
    <w:rsid w:val="00D05ED9"/>
    <w:rsid w:val="00D21F49"/>
    <w:rsid w:val="00D22DEE"/>
    <w:rsid w:val="00D2652E"/>
    <w:rsid w:val="00D32AE2"/>
    <w:rsid w:val="00D3368E"/>
    <w:rsid w:val="00D359AF"/>
    <w:rsid w:val="00D431F4"/>
    <w:rsid w:val="00D434BB"/>
    <w:rsid w:val="00D64463"/>
    <w:rsid w:val="00D659B0"/>
    <w:rsid w:val="00D67DC5"/>
    <w:rsid w:val="00D70AE6"/>
    <w:rsid w:val="00D72DC4"/>
    <w:rsid w:val="00D80E63"/>
    <w:rsid w:val="00D82ACB"/>
    <w:rsid w:val="00D85C0E"/>
    <w:rsid w:val="00D90DA1"/>
    <w:rsid w:val="00D94DFB"/>
    <w:rsid w:val="00DA0DB3"/>
    <w:rsid w:val="00DA482D"/>
    <w:rsid w:val="00DA7F33"/>
    <w:rsid w:val="00DB044C"/>
    <w:rsid w:val="00DB2C9E"/>
    <w:rsid w:val="00DB44C5"/>
    <w:rsid w:val="00DB4ED1"/>
    <w:rsid w:val="00DC0414"/>
    <w:rsid w:val="00DC27CF"/>
    <w:rsid w:val="00DC5743"/>
    <w:rsid w:val="00DC68CA"/>
    <w:rsid w:val="00DD6072"/>
    <w:rsid w:val="00DE1742"/>
    <w:rsid w:val="00DF22C4"/>
    <w:rsid w:val="00E0125F"/>
    <w:rsid w:val="00E01BA3"/>
    <w:rsid w:val="00E02FD9"/>
    <w:rsid w:val="00E050E7"/>
    <w:rsid w:val="00E068E3"/>
    <w:rsid w:val="00E13346"/>
    <w:rsid w:val="00E16913"/>
    <w:rsid w:val="00E204AD"/>
    <w:rsid w:val="00E2283D"/>
    <w:rsid w:val="00E24299"/>
    <w:rsid w:val="00E27043"/>
    <w:rsid w:val="00E31AD2"/>
    <w:rsid w:val="00E3538F"/>
    <w:rsid w:val="00E3778E"/>
    <w:rsid w:val="00E463FD"/>
    <w:rsid w:val="00E46FFB"/>
    <w:rsid w:val="00E50BC5"/>
    <w:rsid w:val="00E56125"/>
    <w:rsid w:val="00E56161"/>
    <w:rsid w:val="00E60F87"/>
    <w:rsid w:val="00E63DE9"/>
    <w:rsid w:val="00E72A7B"/>
    <w:rsid w:val="00E73A45"/>
    <w:rsid w:val="00E754A3"/>
    <w:rsid w:val="00E8124B"/>
    <w:rsid w:val="00E82B23"/>
    <w:rsid w:val="00E84540"/>
    <w:rsid w:val="00E85ACA"/>
    <w:rsid w:val="00EA0D9E"/>
    <w:rsid w:val="00EA5C11"/>
    <w:rsid w:val="00EA7D1A"/>
    <w:rsid w:val="00EB18BD"/>
    <w:rsid w:val="00EB410D"/>
    <w:rsid w:val="00EB7B6C"/>
    <w:rsid w:val="00EC3ADD"/>
    <w:rsid w:val="00ED4549"/>
    <w:rsid w:val="00EE305E"/>
    <w:rsid w:val="00EE700C"/>
    <w:rsid w:val="00EF0AF4"/>
    <w:rsid w:val="00EF6DB5"/>
    <w:rsid w:val="00F01643"/>
    <w:rsid w:val="00F01962"/>
    <w:rsid w:val="00F02D8D"/>
    <w:rsid w:val="00F04C57"/>
    <w:rsid w:val="00F05B6C"/>
    <w:rsid w:val="00F125BC"/>
    <w:rsid w:val="00F13609"/>
    <w:rsid w:val="00F2330D"/>
    <w:rsid w:val="00F241DD"/>
    <w:rsid w:val="00F25D02"/>
    <w:rsid w:val="00F268E4"/>
    <w:rsid w:val="00F33648"/>
    <w:rsid w:val="00F35985"/>
    <w:rsid w:val="00F3790D"/>
    <w:rsid w:val="00F4202E"/>
    <w:rsid w:val="00F436DB"/>
    <w:rsid w:val="00F4573E"/>
    <w:rsid w:val="00F52CA3"/>
    <w:rsid w:val="00F538DD"/>
    <w:rsid w:val="00F606B3"/>
    <w:rsid w:val="00F60743"/>
    <w:rsid w:val="00F634DF"/>
    <w:rsid w:val="00F651F9"/>
    <w:rsid w:val="00F66CA2"/>
    <w:rsid w:val="00F72F9F"/>
    <w:rsid w:val="00F74BDB"/>
    <w:rsid w:val="00F76B88"/>
    <w:rsid w:val="00F80548"/>
    <w:rsid w:val="00F81EA9"/>
    <w:rsid w:val="00F844D1"/>
    <w:rsid w:val="00FA07E2"/>
    <w:rsid w:val="00FA3182"/>
    <w:rsid w:val="00FA52EC"/>
    <w:rsid w:val="00FB0616"/>
    <w:rsid w:val="00FB35E5"/>
    <w:rsid w:val="00FB5921"/>
    <w:rsid w:val="00FC4482"/>
    <w:rsid w:val="00FC724A"/>
    <w:rsid w:val="00FD0964"/>
    <w:rsid w:val="00FD4752"/>
    <w:rsid w:val="00FD53B9"/>
    <w:rsid w:val="00FD598A"/>
    <w:rsid w:val="00FE11B2"/>
    <w:rsid w:val="00FE3A04"/>
    <w:rsid w:val="00FE4941"/>
    <w:rsid w:val="00FF14D1"/>
    <w:rsid w:val="00FF7F04"/>
  </w:rsids>
  <m:mathPr>
    <m:mathFont m:val="Cambria Math"/>
    <m:brkBin m:val="before"/>
    <m:brkBinSub m:val="--"/>
    <m:smallFrac m:val="0"/>
    <m:dispDef/>
    <m:lMargin m:val="0"/>
    <m:rMargin m:val="0"/>
    <m:defJc m:val="centerGroup"/>
    <m:wrapIndent m:val="1440"/>
    <m:intLim m:val="subSup"/>
    <m:naryLim m:val="undOvr"/>
  </m:mathPr>
  <w:themeFontLang w:val="fr-F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50D5D"/>
  <w15:chartTrackingRefBased/>
  <w15:docId w15:val="{C8CECFA4-1B64-4387-A19D-AB950FA1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Heading2"/>
    <w:link w:val="Heading1Char"/>
    <w:qFormat/>
    <w:rsid w:val="00890407"/>
    <w:pPr>
      <w:keepNext/>
      <w:tabs>
        <w:tab w:val="left" w:pos="720"/>
      </w:tabs>
      <w:spacing w:before="240" w:after="120" w:line="240" w:lineRule="auto"/>
      <w:jc w:val="center"/>
      <w:outlineLvl w:val="0"/>
    </w:pPr>
    <w:rPr>
      <w:rFonts w:ascii="Times New Roman"/>
      <w:b/>
      <w:caps/>
      <w:szCs w:val="24"/>
      <w:lang w:val="en-GB"/>
    </w:rPr>
  </w:style>
  <w:style w:type="paragraph" w:styleId="Heading2">
    <w:name w:val="heading 2"/>
    <w:basedOn w:val="Normal"/>
    <w:next w:val="Normal"/>
    <w:link w:val="Heading2Char"/>
    <w:unhideWhenUsed/>
    <w:qFormat/>
    <w:rsid w:val="008904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C63643"/>
    <w:pPr>
      <w:keepNext/>
      <w:tabs>
        <w:tab w:val="left" w:pos="567"/>
      </w:tabs>
      <w:spacing w:before="120" w:after="120" w:line="240" w:lineRule="auto"/>
      <w:jc w:val="center"/>
      <w:outlineLvl w:val="2"/>
    </w:pPr>
    <w:rPr>
      <w:rFonts w:ascii="Times New Roman"/>
      <w:i/>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CA"/>
    <w:pPr>
      <w:ind w:left="720"/>
      <w:contextualSpacing/>
    </w:p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nhideWhenUsed/>
    <w:qFormat/>
    <w:rsid w:val="009B114C"/>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9B114C"/>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nhideWhenUsed/>
    <w:qFormat/>
    <w:rsid w:val="009B114C"/>
    <w:rPr>
      <w:vertAlign w:val="superscript"/>
    </w:rPr>
  </w:style>
  <w:style w:type="character" w:styleId="CommentReference">
    <w:name w:val="annotation reference"/>
    <w:basedOn w:val="DefaultParagraphFont"/>
    <w:uiPriority w:val="99"/>
    <w:semiHidden/>
    <w:unhideWhenUsed/>
    <w:rsid w:val="00CF6A34"/>
    <w:rPr>
      <w:sz w:val="16"/>
      <w:szCs w:val="16"/>
    </w:rPr>
  </w:style>
  <w:style w:type="paragraph" w:styleId="CommentText">
    <w:name w:val="annotation text"/>
    <w:basedOn w:val="Normal"/>
    <w:link w:val="CommentTextChar"/>
    <w:uiPriority w:val="99"/>
    <w:unhideWhenUsed/>
    <w:rsid w:val="00CF6A34"/>
    <w:pPr>
      <w:spacing w:line="240" w:lineRule="auto"/>
    </w:pPr>
    <w:rPr>
      <w:sz w:val="20"/>
      <w:szCs w:val="20"/>
    </w:rPr>
  </w:style>
  <w:style w:type="character" w:customStyle="1" w:styleId="CommentTextChar">
    <w:name w:val="Comment Text Char"/>
    <w:basedOn w:val="DefaultParagraphFont"/>
    <w:link w:val="CommentText"/>
    <w:uiPriority w:val="99"/>
    <w:rsid w:val="00CF6A34"/>
    <w:rPr>
      <w:sz w:val="20"/>
      <w:szCs w:val="20"/>
    </w:rPr>
  </w:style>
  <w:style w:type="paragraph" w:styleId="CommentSubject">
    <w:name w:val="annotation subject"/>
    <w:basedOn w:val="CommentText"/>
    <w:next w:val="CommentText"/>
    <w:link w:val="CommentSubjectChar"/>
    <w:uiPriority w:val="99"/>
    <w:semiHidden/>
    <w:unhideWhenUsed/>
    <w:rsid w:val="00CF6A34"/>
    <w:rPr>
      <w:b/>
      <w:bCs/>
    </w:rPr>
  </w:style>
  <w:style w:type="character" w:customStyle="1" w:styleId="CommentSubjectChar">
    <w:name w:val="Comment Subject Char"/>
    <w:basedOn w:val="CommentTextChar"/>
    <w:link w:val="CommentSubject"/>
    <w:uiPriority w:val="99"/>
    <w:semiHidden/>
    <w:rsid w:val="00CF6A34"/>
    <w:rPr>
      <w:b/>
      <w:bCs/>
      <w:sz w:val="20"/>
      <w:szCs w:val="20"/>
    </w:rPr>
  </w:style>
  <w:style w:type="paragraph" w:styleId="BalloonText">
    <w:name w:val="Balloon Text"/>
    <w:basedOn w:val="Normal"/>
    <w:link w:val="BalloonTextChar"/>
    <w:uiPriority w:val="99"/>
    <w:semiHidden/>
    <w:unhideWhenUsed/>
    <w:rsid w:val="00CF6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A34"/>
    <w:rPr>
      <w:rFonts w:ascii="Segoe UI" w:hAnsi="Segoe UI" w:cs="Segoe UI"/>
      <w:sz w:val="18"/>
      <w:szCs w:val="18"/>
    </w:rPr>
  </w:style>
  <w:style w:type="character" w:styleId="Hyperlink">
    <w:name w:val="Hyperlink"/>
    <w:basedOn w:val="DefaultParagraphFont"/>
    <w:uiPriority w:val="99"/>
    <w:unhideWhenUsed/>
    <w:rsid w:val="00F52CA3"/>
    <w:rPr>
      <w:color w:val="0000FF"/>
      <w:u w:val="single"/>
    </w:rPr>
  </w:style>
  <w:style w:type="character" w:styleId="UnresolvedMention">
    <w:name w:val="Unresolved Mention"/>
    <w:basedOn w:val="DefaultParagraphFont"/>
    <w:uiPriority w:val="99"/>
    <w:semiHidden/>
    <w:unhideWhenUsed/>
    <w:rsid w:val="00AC30BA"/>
    <w:rPr>
      <w:color w:val="605E5C"/>
      <w:shd w:val="clear" w:color="auto" w:fill="E1DFDD"/>
    </w:rPr>
  </w:style>
  <w:style w:type="paragraph" w:customStyle="1" w:styleId="Para1">
    <w:name w:val="Para1"/>
    <w:basedOn w:val="Normal"/>
    <w:rsid w:val="007335DF"/>
    <w:pPr>
      <w:numPr>
        <w:numId w:val="4"/>
      </w:numPr>
      <w:spacing w:before="120" w:after="120" w:line="240" w:lineRule="auto"/>
      <w:jc w:val="both"/>
    </w:pPr>
    <w:rPr>
      <w:rFonts w:ascii="Times New Roman"/>
      <w:snapToGrid w:val="0"/>
      <w:szCs w:val="18"/>
      <w:lang w:val="en-GB"/>
    </w:rPr>
  </w:style>
  <w:style w:type="paragraph" w:styleId="Revision">
    <w:name w:val="Revision"/>
    <w:hidden/>
    <w:uiPriority w:val="99"/>
    <w:semiHidden/>
    <w:rsid w:val="00045B57"/>
    <w:pPr>
      <w:spacing w:after="0" w:line="240" w:lineRule="auto"/>
    </w:pPr>
  </w:style>
  <w:style w:type="table" w:styleId="TableGrid">
    <w:name w:val="Table Grid"/>
    <w:basedOn w:val="TableNormal"/>
    <w:uiPriority w:val="59"/>
    <w:rsid w:val="00E3538F"/>
    <w:pPr>
      <w:spacing w:after="0" w:line="240" w:lineRule="auto"/>
    </w:pPr>
    <w:rPr>
      <w:rFonts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nernotation">
    <w:name w:val="Corner notation"/>
    <w:basedOn w:val="Normal"/>
    <w:rsid w:val="00E3538F"/>
    <w:pPr>
      <w:spacing w:after="0" w:line="240" w:lineRule="auto"/>
      <w:ind w:left="170" w:right="3119" w:hanging="170"/>
    </w:pPr>
    <w:rPr>
      <w:rFonts w:ascii="Times New Roman"/>
      <w:szCs w:val="24"/>
      <w:lang w:val="en-GB"/>
    </w:rPr>
  </w:style>
  <w:style w:type="character" w:styleId="PlaceholderText">
    <w:name w:val="Placeholder Text"/>
    <w:basedOn w:val="DefaultParagraphFont"/>
    <w:uiPriority w:val="99"/>
    <w:semiHidden/>
    <w:rsid w:val="00E3538F"/>
    <w:rPr>
      <w:color w:val="808080"/>
    </w:rPr>
  </w:style>
  <w:style w:type="character" w:customStyle="1" w:styleId="Heading1Char">
    <w:name w:val="Heading 1 Char"/>
    <w:basedOn w:val="DefaultParagraphFont"/>
    <w:link w:val="Heading1"/>
    <w:rsid w:val="00890407"/>
    <w:rPr>
      <w:rFonts w:ascii="Times New Roman"/>
      <w:b/>
      <w:caps/>
      <w:szCs w:val="24"/>
      <w:lang w:val="en-GB"/>
    </w:rPr>
  </w:style>
  <w:style w:type="character" w:customStyle="1" w:styleId="Heading2Char">
    <w:name w:val="Heading 2 Char"/>
    <w:basedOn w:val="DefaultParagraphFont"/>
    <w:link w:val="Heading2"/>
    <w:rsid w:val="0089040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90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407"/>
  </w:style>
  <w:style w:type="paragraph" w:styleId="Footer">
    <w:name w:val="footer"/>
    <w:basedOn w:val="Normal"/>
    <w:link w:val="FooterChar"/>
    <w:uiPriority w:val="99"/>
    <w:unhideWhenUsed/>
    <w:rsid w:val="00890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407"/>
  </w:style>
  <w:style w:type="character" w:customStyle="1" w:styleId="Heading3Char">
    <w:name w:val="Heading 3 Char"/>
    <w:basedOn w:val="DefaultParagraphFont"/>
    <w:link w:val="Heading3"/>
    <w:rsid w:val="00C63643"/>
    <w:rPr>
      <w:rFonts w:ascii="Times New Roman"/>
      <w:i/>
      <w:iCs/>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814401"/>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np-mop-03/np-mop-03-dec-12-en.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20-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meetings/DSI-AHTEG-2018-01" TargetMode="External"/><Relationship Id="rId13" Type="http://schemas.openxmlformats.org/officeDocument/2006/relationships/hyperlink" Target="https://www.cbd.int/abs/theabsch.shtml" TargetMode="External"/><Relationship Id="rId3" Type="http://schemas.openxmlformats.org/officeDocument/2006/relationships/hyperlink" Target="https://www.cbd.int/meetings/DSI-AHTEG-2020-01" TargetMode="External"/><Relationship Id="rId7" Type="http://schemas.openxmlformats.org/officeDocument/2006/relationships/hyperlink" Target="https://www.cbd.int/meetings/DSI-AHTEG-2020-01" TargetMode="External"/><Relationship Id="rId12" Type="http://schemas.openxmlformats.org/officeDocument/2006/relationships/hyperlink" Target="https://www.cbd.int/meetings/DSI-AHTEG-2020-01" TargetMode="External"/><Relationship Id="rId2" Type="http://schemas.openxmlformats.org/officeDocument/2006/relationships/hyperlink" Target="https://www.cbd.int/dsi-gr/2019-2020/submissions/" TargetMode="External"/><Relationship Id="rId16" Type="http://schemas.openxmlformats.org/officeDocument/2006/relationships/hyperlink" Target="https://www.cbd.int/dsi-gr/2019-2020/submissions/" TargetMode="External"/><Relationship Id="rId1" Type="http://schemas.openxmlformats.org/officeDocument/2006/relationships/hyperlink" Target="https://www.cbd.int/doc/notifications/2019/ntf-2019-012-abs-en.pdf" TargetMode="External"/><Relationship Id="rId6" Type="http://schemas.openxmlformats.org/officeDocument/2006/relationships/hyperlink" Target="https://www.cbd.int/doc/c/f99e/e90a/71f19b77945c76423f1da805/dsi-ahteg-2018-01-04-en.pdf" TargetMode="External"/><Relationship Id="rId11" Type="http://schemas.openxmlformats.org/officeDocument/2006/relationships/hyperlink" Target="https://www.cbd.int/abs/DSI-views/2019/Brazil-DSI.pdf" TargetMode="External"/><Relationship Id="rId5" Type="http://schemas.openxmlformats.org/officeDocument/2006/relationships/hyperlink" Target="https://www.cbd.int/doc/decisions/cop-14/cop-14-dec-20-en.pdf" TargetMode="External"/><Relationship Id="rId15" Type="http://schemas.openxmlformats.org/officeDocument/2006/relationships/hyperlink" Target="https://www.cbd.int/sp/targets/rationale/target-19/" TargetMode="External"/><Relationship Id="rId10" Type="http://schemas.openxmlformats.org/officeDocument/2006/relationships/hyperlink" Target="https://www.cbd.int/meetings/DSI-AHTEG-2020-01" TargetMode="External"/><Relationship Id="rId4" Type="http://schemas.openxmlformats.org/officeDocument/2006/relationships/hyperlink" Target="https://www.cbd.int/doc/c/4f53/a660/20273cadac313787b058a7b6/dsi-ahteg-2018-01-04-en.pdf" TargetMode="External"/><Relationship Id="rId9" Type="http://schemas.openxmlformats.org/officeDocument/2006/relationships/hyperlink" Target="https://www.cbd.int/meetings/DSI-AHTEG-2020-01" TargetMode="External"/><Relationship Id="rId14" Type="http://schemas.openxmlformats.org/officeDocument/2006/relationships/hyperlink" Target="https://eur-lex.europa.eu/legal-content/EN/TXT/?qid=1548339471740&amp;uri=COM%3A2019%3A13%3AFI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F2FB9DDCB5415498F2708EA11BE174"/>
        <w:category>
          <w:name w:val="General"/>
          <w:gallery w:val="placeholder"/>
        </w:category>
        <w:types>
          <w:type w:val="bbPlcHdr"/>
        </w:types>
        <w:behaviors>
          <w:behavior w:val="content"/>
        </w:behaviors>
        <w:guid w:val="{135DEDF4-F4D8-4834-9153-EED89AC65309}"/>
      </w:docPartPr>
      <w:docPartBody>
        <w:p w:rsidR="008D62D4" w:rsidRDefault="008D62D4" w:rsidP="008D62D4">
          <w:pPr>
            <w:pStyle w:val="ABF2FB9DDCB5415498F2708EA11BE174"/>
          </w:pPr>
          <w:r w:rsidRPr="007E02EB">
            <w:rPr>
              <w:rStyle w:val="PlaceholderText"/>
            </w:rPr>
            <w:t>[Status]</w:t>
          </w:r>
        </w:p>
      </w:docPartBody>
    </w:docPart>
    <w:docPart>
      <w:docPartPr>
        <w:name w:val="7292EA4716ED4A85A4E8770F200F09BF"/>
        <w:category>
          <w:name w:val="General"/>
          <w:gallery w:val="placeholder"/>
        </w:category>
        <w:types>
          <w:type w:val="bbPlcHdr"/>
        </w:types>
        <w:behaviors>
          <w:behavior w:val="content"/>
        </w:behaviors>
        <w:guid w:val="{965DC458-9160-4E04-A45D-EB5DD17FB424}"/>
      </w:docPartPr>
      <w:docPartBody>
        <w:p w:rsidR="008D62D4" w:rsidRDefault="008D62D4" w:rsidP="008D62D4">
          <w:pPr>
            <w:pStyle w:val="7292EA4716ED4A85A4E8770F200F09BF"/>
          </w:pPr>
          <w:r w:rsidRPr="007E02EB">
            <w:rPr>
              <w:rStyle w:val="PlaceholderText"/>
            </w:rPr>
            <w:t>[Subject]</w:t>
          </w:r>
        </w:p>
      </w:docPartBody>
    </w:docPart>
    <w:docPart>
      <w:docPartPr>
        <w:name w:val="8298CF8E0BA64215B7E62548B449F684"/>
        <w:category>
          <w:name w:val="General"/>
          <w:gallery w:val="placeholder"/>
        </w:category>
        <w:types>
          <w:type w:val="bbPlcHdr"/>
        </w:types>
        <w:behaviors>
          <w:behavior w:val="content"/>
        </w:behaviors>
        <w:guid w:val="{02250E5D-A3C6-4667-A89F-CC9C76F8DF02}"/>
      </w:docPartPr>
      <w:docPartBody>
        <w:p w:rsidR="008D62D4" w:rsidRDefault="008D62D4" w:rsidP="008D62D4">
          <w:pPr>
            <w:pStyle w:val="8298CF8E0BA64215B7E62548B449F684"/>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D4"/>
    <w:rsid w:val="0016486D"/>
    <w:rsid w:val="00235C37"/>
    <w:rsid w:val="00506169"/>
    <w:rsid w:val="006052E5"/>
    <w:rsid w:val="008D62D4"/>
    <w:rsid w:val="0090279D"/>
    <w:rsid w:val="009E2F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FDD"/>
    <w:rPr>
      <w:color w:val="808080"/>
    </w:rPr>
  </w:style>
  <w:style w:type="paragraph" w:customStyle="1" w:styleId="2A100F3E5C274EEBA07E17FC5C7DCD76">
    <w:name w:val="2A100F3E5C274EEBA07E17FC5C7DCD76"/>
    <w:rsid w:val="008D62D4"/>
  </w:style>
  <w:style w:type="paragraph" w:customStyle="1" w:styleId="AC3FF7B96DB54C46A72C3AD1B21BA5D2">
    <w:name w:val="AC3FF7B96DB54C46A72C3AD1B21BA5D2"/>
    <w:rsid w:val="008D62D4"/>
  </w:style>
  <w:style w:type="paragraph" w:customStyle="1" w:styleId="ABF2FB9DDCB5415498F2708EA11BE174">
    <w:name w:val="ABF2FB9DDCB5415498F2708EA11BE174"/>
    <w:rsid w:val="008D62D4"/>
  </w:style>
  <w:style w:type="paragraph" w:customStyle="1" w:styleId="7292EA4716ED4A85A4E8770F200F09BF">
    <w:name w:val="7292EA4716ED4A85A4E8770F200F09BF"/>
    <w:rsid w:val="008D62D4"/>
  </w:style>
  <w:style w:type="paragraph" w:customStyle="1" w:styleId="8298CF8E0BA64215B7E62548B449F684">
    <w:name w:val="8298CF8E0BA64215B7E62548B449F684"/>
    <w:rsid w:val="008D62D4"/>
  </w:style>
  <w:style w:type="paragraph" w:customStyle="1" w:styleId="3B0A3795753948C79C27960CA5C491A5">
    <w:name w:val="3B0A3795753948C79C27960CA5C491A5"/>
    <w:rsid w:val="009E2FD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A0165-201F-4FD9-B6B2-647B56F7B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5FB6B-C600-4C54-BC4E-2D68BF5B15D4}">
  <ds:schemaRefs>
    <ds:schemaRef ds:uri="http://schemas.microsoft.com/sharepoint/v3/contenttype/forms"/>
  </ds:schemaRefs>
</ds:datastoreItem>
</file>

<file path=customXml/itemProps3.xml><?xml version="1.0" encoding="utf-8"?>
<ds:datastoreItem xmlns:ds="http://schemas.openxmlformats.org/officeDocument/2006/customXml" ds:itemID="{CD607E08-1CE2-4418-8BCC-01D48D556A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AD902C-47CD-47CE-962F-34B2885F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9173</Words>
  <Characters>52289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SYNTHESIS OF VIEWS AND INFORMATION RELATED TO DIGITAL SEQUENCE INFORMATION ON GENETIC RESOURCES</vt:lpstr>
    </vt:vector>
  </TitlesOfParts>
  <Company/>
  <LinksUpToDate>false</LinksUpToDate>
  <CharactersWithSpaces>61340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VIEWS AND INFORMATION RELATED TO DIGITAL SEQUENCE INFORMATION ON GENETIC RESOURCES</dc:title>
  <dc:subject>CBD/DSI/AHTEG/2020/1/2</dc:subject>
  <dc:creator>Rodrigo Sara</dc:creator>
  <cp:keywords>Ad Hoc Technical Expert Group on Digital Sequence Information on Genetic Resources</cp:keywords>
  <dc:description/>
  <cp:lastModifiedBy>Veronique Lefebvre</cp:lastModifiedBy>
  <cp:revision>3</cp:revision>
  <cp:lastPrinted>2020-02-17T18:32:00Z</cp:lastPrinted>
  <dcterms:created xsi:type="dcterms:W3CDTF">2020-03-04T16:34:00Z</dcterms:created>
  <dcterms:modified xsi:type="dcterms:W3CDTF">2020-03-04T16:34:00Z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