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C02EA4" w14:paraId="53D9B4F2" w14:textId="77777777" w:rsidTr="0019402C">
        <w:trPr>
          <w:trHeight w:val="851"/>
        </w:trPr>
        <w:tc>
          <w:tcPr>
            <w:tcW w:w="465" w:type="pct"/>
            <w:tcBorders>
              <w:bottom w:val="single" w:sz="8" w:space="0" w:color="auto"/>
            </w:tcBorders>
            <w:vAlign w:val="bottom"/>
          </w:tcPr>
          <w:p w14:paraId="2FB12354" w14:textId="77777777" w:rsidR="00A96B21" w:rsidRPr="00C02EA4" w:rsidRDefault="00A96B21" w:rsidP="0019402C">
            <w:pPr>
              <w:spacing w:after="120"/>
              <w:jc w:val="left"/>
            </w:pPr>
            <w:bookmarkStart w:id="0" w:name="_Hlk137651738"/>
            <w:r w:rsidRPr="00C02EA4">
              <w:rPr>
                <w:noProof/>
                <w:lang w:eastAsia="fr-FR"/>
              </w:rPr>
              <w:drawing>
                <wp:inline distT="0" distB="0" distL="0" distR="0" wp14:anchorId="2FD4A9A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9A5258F" w14:textId="77777777" w:rsidR="00A96B21" w:rsidRPr="00C02EA4" w:rsidRDefault="00922FE7" w:rsidP="0019402C">
            <w:pPr>
              <w:spacing w:after="120"/>
              <w:jc w:val="left"/>
            </w:pPr>
            <w:r w:rsidRPr="00922FE7">
              <w:rPr>
                <w:noProof/>
                <w:lang w:eastAsia="fr-FR"/>
              </w:rPr>
              <w:drawing>
                <wp:inline distT="0" distB="0" distL="0" distR="0" wp14:anchorId="0C7D8F17" wp14:editId="73582036">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0F9EA2D6" w14:textId="29CBEFA5" w:rsidR="00C66A69" w:rsidRDefault="00F212AF">
            <w:pPr>
              <w:spacing w:after="120"/>
              <w:ind w:left="2021"/>
              <w:jc w:val="right"/>
              <w:rPr>
                <w:szCs w:val="22"/>
              </w:rPr>
            </w:pPr>
            <w:r>
              <w:rPr>
                <w:sz w:val="40"/>
                <w:szCs w:val="40"/>
              </w:rPr>
              <w:t>CBD</w:t>
            </w:r>
            <w:r>
              <w:rPr>
                <w:szCs w:val="22"/>
              </w:rPr>
              <w:t>/SBI/4/1/Add.1</w:t>
            </w:r>
            <w:r w:rsidR="004C0F82">
              <w:rPr>
                <w:rStyle w:val="FootnoteReference"/>
                <w:szCs w:val="22"/>
              </w:rPr>
              <w:footnoteReference w:customMarkFollows="1" w:id="2"/>
              <w:t>*</w:t>
            </w:r>
          </w:p>
        </w:tc>
      </w:tr>
      <w:tr w:rsidR="00A96B21" w:rsidRPr="00C02EA4" w14:paraId="03F3782B" w14:textId="77777777" w:rsidTr="0019402C">
        <w:tc>
          <w:tcPr>
            <w:tcW w:w="2297" w:type="pct"/>
            <w:gridSpan w:val="2"/>
            <w:tcBorders>
              <w:top w:val="single" w:sz="8" w:space="0" w:color="auto"/>
              <w:bottom w:val="single" w:sz="12" w:space="0" w:color="auto"/>
            </w:tcBorders>
          </w:tcPr>
          <w:p w14:paraId="61FF9382" w14:textId="77777777" w:rsidR="00A96B21" w:rsidRPr="00C02EA4" w:rsidRDefault="00922FE7" w:rsidP="0019402C">
            <w:pPr>
              <w:pStyle w:val="Cornernotation"/>
              <w:suppressLineNumbers/>
              <w:suppressAutoHyphens/>
              <w:spacing w:before="120" w:after="120"/>
              <w:ind w:left="0" w:right="0" w:firstLine="0"/>
            </w:pPr>
            <w:r w:rsidRPr="006E78A2">
              <w:rPr>
                <w:bCs/>
                <w:noProof/>
                <w:szCs w:val="22"/>
                <w:lang w:eastAsia="fr-FR"/>
              </w:rPr>
              <w:drawing>
                <wp:inline distT="0" distB="0" distL="0" distR="0" wp14:anchorId="47E71EE6" wp14:editId="6C8E089A">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24CADC23" w14:textId="348E1F6B" w:rsidR="00C66A69" w:rsidRDefault="00F212AF">
            <w:pPr>
              <w:ind w:left="2584"/>
              <w:rPr>
                <w:sz w:val="22"/>
                <w:szCs w:val="22"/>
              </w:rPr>
            </w:pPr>
            <w:r>
              <w:rPr>
                <w:sz w:val="22"/>
                <w:szCs w:val="22"/>
              </w:rPr>
              <w:t xml:space="preserve">Distr. </w:t>
            </w:r>
            <w:r w:rsidR="00362E79">
              <w:rPr>
                <w:sz w:val="22"/>
                <w:szCs w:val="22"/>
              </w:rPr>
              <w:t>g</w:t>
            </w:r>
            <w:r>
              <w:rPr>
                <w:sz w:val="22"/>
                <w:szCs w:val="22"/>
              </w:rPr>
              <w:t>énéral</w:t>
            </w:r>
            <w:r w:rsidR="00922FE7">
              <w:rPr>
                <w:sz w:val="22"/>
                <w:szCs w:val="22"/>
              </w:rPr>
              <w:t>e</w:t>
            </w:r>
          </w:p>
          <w:p w14:paraId="156BF280" w14:textId="768CF691" w:rsidR="00C66A69" w:rsidRDefault="00922FE7">
            <w:pPr>
              <w:ind w:left="2584"/>
              <w:rPr>
                <w:sz w:val="22"/>
                <w:szCs w:val="22"/>
              </w:rPr>
            </w:pPr>
            <w:r>
              <w:rPr>
                <w:sz w:val="22"/>
                <w:szCs w:val="22"/>
              </w:rPr>
              <w:t>1</w:t>
            </w:r>
            <w:r w:rsidRPr="00922FE7">
              <w:rPr>
                <w:sz w:val="22"/>
                <w:szCs w:val="22"/>
                <w:vertAlign w:val="superscript"/>
              </w:rPr>
              <w:t>er</w:t>
            </w:r>
            <w:r>
              <w:rPr>
                <w:sz w:val="22"/>
                <w:szCs w:val="22"/>
              </w:rPr>
              <w:t xml:space="preserve"> f</w:t>
            </w:r>
            <w:r w:rsidR="00F212AF">
              <w:rPr>
                <w:sz w:val="22"/>
                <w:szCs w:val="22"/>
              </w:rPr>
              <w:t>évrier 2024</w:t>
            </w:r>
          </w:p>
          <w:p w14:paraId="42A946B7" w14:textId="77777777" w:rsidR="00922FE7" w:rsidRDefault="00922FE7">
            <w:pPr>
              <w:ind w:left="2584"/>
              <w:rPr>
                <w:sz w:val="22"/>
                <w:szCs w:val="22"/>
              </w:rPr>
            </w:pPr>
            <w:r>
              <w:rPr>
                <w:sz w:val="22"/>
                <w:szCs w:val="22"/>
              </w:rPr>
              <w:t>Français</w:t>
            </w:r>
          </w:p>
          <w:p w14:paraId="730AC181" w14:textId="3FF5648D" w:rsidR="00C66A69" w:rsidRDefault="00922FE7">
            <w:pPr>
              <w:ind w:left="2584"/>
              <w:rPr>
                <w:sz w:val="22"/>
                <w:szCs w:val="22"/>
              </w:rPr>
            </w:pPr>
            <w:r>
              <w:rPr>
                <w:sz w:val="22"/>
                <w:szCs w:val="22"/>
              </w:rPr>
              <w:t xml:space="preserve">Original : </w:t>
            </w:r>
            <w:r w:rsidR="00A67D23">
              <w:rPr>
                <w:sz w:val="22"/>
                <w:szCs w:val="22"/>
              </w:rPr>
              <w:t>a</w:t>
            </w:r>
            <w:r w:rsidR="00F212AF">
              <w:rPr>
                <w:sz w:val="22"/>
                <w:szCs w:val="22"/>
              </w:rPr>
              <w:t>nglais</w:t>
            </w:r>
          </w:p>
          <w:p w14:paraId="7EAE68B2" w14:textId="77777777" w:rsidR="00A96B21" w:rsidRPr="00C02EA4" w:rsidRDefault="00A96B21" w:rsidP="0019402C"/>
        </w:tc>
      </w:tr>
    </w:tbl>
    <w:p w14:paraId="2E55B4B5" w14:textId="77777777" w:rsidR="00C66A69" w:rsidRDefault="00F212AF" w:rsidP="006A7CB3">
      <w:pPr>
        <w:pStyle w:val="Cornernotation"/>
        <w:ind w:right="6241"/>
        <w:rPr>
          <w:bCs/>
        </w:rPr>
      </w:pPr>
      <w:r>
        <w:rPr>
          <w:bCs/>
        </w:rPr>
        <w:t xml:space="preserve">Organe </w:t>
      </w:r>
      <w:r w:rsidR="003D1C96">
        <w:rPr>
          <w:bCs/>
        </w:rPr>
        <w:t>subsidiaire chargé de l’application</w:t>
      </w:r>
    </w:p>
    <w:p w14:paraId="2902483D" w14:textId="77777777" w:rsidR="00C66A69" w:rsidRDefault="00F212AF">
      <w:pPr>
        <w:pStyle w:val="Cornernotation"/>
        <w:rPr>
          <w:bCs/>
          <w:sz w:val="22"/>
          <w:szCs w:val="22"/>
        </w:rPr>
      </w:pPr>
      <w:r>
        <w:rPr>
          <w:bCs/>
          <w:sz w:val="22"/>
          <w:szCs w:val="22"/>
        </w:rPr>
        <w:t xml:space="preserve">Quatrième réunion </w:t>
      </w:r>
    </w:p>
    <w:p w14:paraId="579A26BF" w14:textId="2DBC4B79" w:rsidR="00C66A69" w:rsidRDefault="00F212AF">
      <w:pPr>
        <w:pStyle w:val="Venuedate"/>
      </w:pPr>
      <w:r>
        <w:t xml:space="preserve">Nairobi, 21-29 </w:t>
      </w:r>
      <w:r w:rsidR="007620C7">
        <w:t>m</w:t>
      </w:r>
      <w:r>
        <w:t xml:space="preserve">ai 2024 </w:t>
      </w:r>
    </w:p>
    <w:p w14:paraId="4FCD5E61" w14:textId="19B32F1E" w:rsidR="00C66A69" w:rsidRDefault="00F212AF">
      <w:pPr>
        <w:pStyle w:val="Cornernotation-Item"/>
        <w:rPr>
          <w:b w:val="0"/>
          <w:bCs w:val="0"/>
        </w:rPr>
      </w:pPr>
      <w:r>
        <w:rPr>
          <w:b w:val="0"/>
          <w:bCs w:val="0"/>
        </w:rPr>
        <w:t>Point 1 b) de l</w:t>
      </w:r>
      <w:r w:rsidR="00F81A31">
        <w:rPr>
          <w:b w:val="0"/>
          <w:bCs w:val="0"/>
        </w:rPr>
        <w:t>’</w:t>
      </w:r>
      <w:r>
        <w:rPr>
          <w:b w:val="0"/>
          <w:bCs w:val="0"/>
        </w:rPr>
        <w:t>ordre du jour</w:t>
      </w:r>
      <w:r w:rsidRPr="006A7CB3">
        <w:rPr>
          <w:b w:val="0"/>
        </w:rPr>
        <w:t xml:space="preserve"> provisoire</w:t>
      </w:r>
      <w:r>
        <w:rPr>
          <w:rStyle w:val="FootnoteReference"/>
          <w:b w:val="0"/>
          <w:bCs w:val="0"/>
        </w:rPr>
        <w:t>*</w:t>
      </w:r>
      <w:r w:rsidR="00677C82">
        <w:rPr>
          <w:rStyle w:val="FootnoteReference"/>
          <w:b w:val="0"/>
          <w:bCs w:val="0"/>
        </w:rPr>
        <w:t>*</w:t>
      </w:r>
    </w:p>
    <w:p w14:paraId="14AA85C9" w14:textId="77777777" w:rsidR="00C66A69" w:rsidRDefault="00F212AF">
      <w:pPr>
        <w:pStyle w:val="Cornernotation-Item"/>
      </w:pPr>
      <w:r>
        <w:footnoteReference w:customMarkFollows="1" w:id="3"/>
        <w:t>Adoption de l</w:t>
      </w:r>
      <w:r w:rsidR="00F81A31">
        <w:t>’</w:t>
      </w:r>
      <w:r>
        <w:t>ordre du jour et organisation des travaux</w:t>
      </w:r>
    </w:p>
    <w:bookmarkEnd w:id="0"/>
    <w:p w14:paraId="6CDB1BA0" w14:textId="77777777" w:rsidR="00C66A69" w:rsidRDefault="006A7CB3">
      <w:pPr>
        <w:pStyle w:val="Title"/>
        <w:rPr>
          <w:rFonts w:hint="eastAsia"/>
        </w:rPr>
      </w:pPr>
      <w:r>
        <w:t>Annotations à l</w:t>
      </w:r>
      <w:r w:rsidR="00F81A31">
        <w:t>’</w:t>
      </w:r>
      <w:r>
        <w:t>ordre du jour provisoire</w:t>
      </w:r>
    </w:p>
    <w:p w14:paraId="2CBFBE64" w14:textId="77777777" w:rsidR="00C66A69" w:rsidRDefault="00F212AF">
      <w:pPr>
        <w:pStyle w:val="Subtitle"/>
        <w:spacing w:before="120" w:after="120"/>
        <w:ind w:left="567"/>
        <w:jc w:val="left"/>
        <w:rPr>
          <w:rFonts w:ascii="Times New Roman" w:hAnsi="Times New Roman" w:cs="Times New Roman"/>
          <w:color w:val="auto"/>
        </w:rPr>
      </w:pPr>
      <w:r>
        <w:rPr>
          <w:rFonts w:ascii="Times New Roman" w:hAnsi="Times New Roman" w:cs="Times New Roman"/>
          <w:color w:val="auto"/>
        </w:rPr>
        <w:t>Note du Secrétariat</w:t>
      </w:r>
    </w:p>
    <w:p w14:paraId="52F7C025" w14:textId="77777777" w:rsidR="00C66A69" w:rsidRDefault="00F212AF">
      <w:pPr>
        <w:pStyle w:val="Heading1"/>
        <w:ind w:left="567" w:hanging="567"/>
        <w:rPr>
          <w:lang w:val="en-GB"/>
        </w:rPr>
      </w:pPr>
      <w:r>
        <w:t>Introduction</w:t>
      </w:r>
    </w:p>
    <w:p w14:paraId="05931FAA" w14:textId="77777777" w:rsidR="00C66A69" w:rsidRDefault="00F212AF">
      <w:pPr>
        <w:pStyle w:val="Para1"/>
      </w:pPr>
      <w:r>
        <w:t>L</w:t>
      </w:r>
      <w:r w:rsidR="00F81A31">
        <w:t>’</w:t>
      </w:r>
      <w:r>
        <w:t xml:space="preserve">Organe </w:t>
      </w:r>
      <w:r w:rsidR="003D1C96">
        <w:t>subsidiaire chargé de l’application</w:t>
      </w:r>
      <w:r>
        <w:t xml:space="preserve"> tiendra sa quatrième réunion à l</w:t>
      </w:r>
      <w:r w:rsidR="00F81A31">
        <w:t>’</w:t>
      </w:r>
      <w:r>
        <w:t>Office des Nations Unies à Nairobi</w:t>
      </w:r>
      <w:r w:rsidR="006A7CB3">
        <w:t>,</w:t>
      </w:r>
      <w:r>
        <w:t xml:space="preserve"> du 21 au 29 mai 2024. Le présent ordre du jour provisoire annoté a pour objet de faciliter la préparation de la réunion par les participants.</w:t>
      </w:r>
    </w:p>
    <w:p w14:paraId="78327686" w14:textId="77777777" w:rsidR="00C66A69" w:rsidRDefault="00F212AF">
      <w:pPr>
        <w:pStyle w:val="Para1"/>
      </w:pPr>
      <w:r>
        <w:t>L</w:t>
      </w:r>
      <w:r w:rsidR="00F81A31">
        <w:t>’</w:t>
      </w:r>
      <w:r w:rsidR="00AA038C">
        <w:t>Organe subsidiaire ainsi que</w:t>
      </w:r>
      <w:r>
        <w:t xml:space="preserve"> son mandat ont été établis par la Conférence des Parties à la Convention sur la diversité biologique par la décision </w:t>
      </w:r>
      <w:hyperlink r:id="rId14" w:history="1">
        <w:r>
          <w:rPr>
            <w:rStyle w:val="Hyperlink"/>
          </w:rPr>
          <w:t>XII/26</w:t>
        </w:r>
      </w:hyperlink>
      <w:r w:rsidR="006A7CB3">
        <w:t>, et son mode de fonctionnement</w:t>
      </w:r>
      <w:r>
        <w:t xml:space="preserve"> a été adopté par la décision </w:t>
      </w:r>
      <w:hyperlink r:id="rId15" w:history="1">
        <w:r>
          <w:rPr>
            <w:rStyle w:val="Hyperlink"/>
          </w:rPr>
          <w:t>XIII/25</w:t>
        </w:r>
      </w:hyperlink>
      <w:r>
        <w:t xml:space="preserve">. À leurs huitième et deuxième réunions, respectivement, la Conférence des </w:t>
      </w:r>
      <w:r w:rsidR="00427C4C">
        <w:t>Parties siégeant en tant que réunion</w:t>
      </w:r>
      <w:r>
        <w:t xml:space="preserve"> des Parties au Protocole de </w:t>
      </w:r>
      <w:r w:rsidR="006A7CB3">
        <w:t>Cartagena</w:t>
      </w:r>
      <w:r>
        <w:t xml:space="preserve"> sur la prévention des risques biotechnologiques et la Conférence des </w:t>
      </w:r>
      <w:r w:rsidR="00427C4C">
        <w:t>Parties siégeant en tant que réunion</w:t>
      </w:r>
      <w:r>
        <w:t xml:space="preserve"> des Parties au Protocole de Nagoya sur l</w:t>
      </w:r>
      <w:r w:rsidR="00F81A31">
        <w:t>’</w:t>
      </w:r>
      <w:r>
        <w:t>accès aux ressources génétiques et le partage juste et équitable des avantages découlant de leur utilisation ont approuvé le mode de foncti</w:t>
      </w:r>
      <w:r w:rsidR="003F3CFC">
        <w:t>onnement et décidé qu</w:t>
      </w:r>
      <w:r w:rsidR="00F81A31">
        <w:t>’</w:t>
      </w:r>
      <w:r w:rsidR="003F3CFC">
        <w:t>il</w:t>
      </w:r>
      <w:r>
        <w:t xml:space="preserve"> s</w:t>
      </w:r>
      <w:r w:rsidR="00F81A31">
        <w:t>’</w:t>
      </w:r>
      <w:r>
        <w:t>appliquer</w:t>
      </w:r>
      <w:r w:rsidR="003F3CFC">
        <w:t>a</w:t>
      </w:r>
      <w:r>
        <w:t>, mutatis mutandis, lorsque l</w:t>
      </w:r>
      <w:r w:rsidR="00F81A31">
        <w:t>’</w:t>
      </w:r>
      <w:r>
        <w:t>Orga</w:t>
      </w:r>
      <w:r w:rsidR="00C817EA">
        <w:t>ne subsidiaire agi</w:t>
      </w:r>
      <w:r w:rsidR="003F3CFC">
        <w:t>ra</w:t>
      </w:r>
      <w:r w:rsidR="006A7CB3">
        <w:t xml:space="preserve"> au titre d</w:t>
      </w:r>
      <w:r>
        <w:t xml:space="preserve">es </w:t>
      </w:r>
      <w:r w:rsidR="00922FE7">
        <w:t>Protocole</w:t>
      </w:r>
      <w:r>
        <w:t>s.</w:t>
      </w:r>
      <w:r w:rsidR="00932812" w:rsidRPr="00C02EA4">
        <w:rPr>
          <w:vertAlign w:val="superscript"/>
        </w:rPr>
        <w:footnoteReference w:id="4"/>
      </w:r>
      <w:r>
        <w:t xml:space="preserve"> </w:t>
      </w:r>
    </w:p>
    <w:p w14:paraId="42F9F49B" w14:textId="77777777" w:rsidR="00C66A69" w:rsidRDefault="00F212AF">
      <w:pPr>
        <w:pStyle w:val="Para1"/>
      </w:pPr>
      <w:r>
        <w:t>Dans sa décision XII/26, la Conférence des Parties à la Convention a décidé que le règlement intérieur de la Confé</w:t>
      </w:r>
      <w:r w:rsidR="003F3CFC">
        <w:t>rence des Parties s</w:t>
      </w:r>
      <w:r w:rsidR="00F81A31">
        <w:t>’</w:t>
      </w:r>
      <w:r w:rsidR="003F3CFC">
        <w:t>appliquera</w:t>
      </w:r>
      <w:r>
        <w:t>, mutatis mutandis, aux réunions de l</w:t>
      </w:r>
      <w:r w:rsidR="00F81A31">
        <w:t>’</w:t>
      </w:r>
      <w:r>
        <w:t>Organe subsidiaire</w:t>
      </w:r>
      <w:r w:rsidR="006A7CB3">
        <w:t>, à l</w:t>
      </w:r>
      <w:r w:rsidR="00F81A31">
        <w:t>’</w:t>
      </w:r>
      <w:r w:rsidR="006A7CB3">
        <w:t>exception de l</w:t>
      </w:r>
      <w:r w:rsidR="00F81A31">
        <w:t>’</w:t>
      </w:r>
      <w:r w:rsidR="006A7CB3">
        <w:t>article 18 concernant</w:t>
      </w:r>
      <w:r>
        <w:t xml:space="preserve"> les pou</w:t>
      </w:r>
      <w:r w:rsidR="006A7CB3">
        <w:t>voirs des représentants. Dans cette</w:t>
      </w:r>
      <w:r>
        <w:t xml:space="preserve"> même décision, la Conférence des Parties a prié l</w:t>
      </w:r>
      <w:r w:rsidR="00F81A31">
        <w:t>’</w:t>
      </w:r>
      <w:r>
        <w:t>O</w:t>
      </w:r>
      <w:r w:rsidR="006A7CB3">
        <w:t>rgane subsidiaire d</w:t>
      </w:r>
      <w:r w:rsidR="00F81A31">
        <w:t>’</w:t>
      </w:r>
      <w:r w:rsidR="006A7CB3">
        <w:t>accomplir</w:t>
      </w:r>
      <w:r>
        <w:t xml:space="preserve"> toute tâche qui relève de son manda</w:t>
      </w:r>
      <w:r w:rsidR="006A7CB3">
        <w:t>t tel qu</w:t>
      </w:r>
      <w:r w:rsidR="00F81A31">
        <w:t>’</w:t>
      </w:r>
      <w:r w:rsidR="006A7CB3">
        <w:t>énoncé</w:t>
      </w:r>
      <w:r>
        <w:t xml:space="preserve"> par la Conférence des Parties ou par la Conférence des </w:t>
      </w:r>
      <w:r w:rsidR="00427C4C">
        <w:t>Parties siégeant en tant que réunion</w:t>
      </w:r>
      <w:r>
        <w:t xml:space="preserve"> des Parties aux Protocoles et de faire rapport sur ses travaux</w:t>
      </w:r>
      <w:r w:rsidR="006A7CB3">
        <w:t xml:space="preserve"> à ces organes. Toujours dans cette</w:t>
      </w:r>
      <w:r>
        <w:t xml:space="preserve"> même décision, la Conférence des Parties a reconnu que, lorsque l</w:t>
      </w:r>
      <w:r w:rsidR="00F81A31">
        <w:t>’</w:t>
      </w:r>
      <w:r>
        <w:t>Organe subsidia</w:t>
      </w:r>
      <w:r w:rsidR="00C817EA">
        <w:t>ire agit</w:t>
      </w:r>
      <w:r w:rsidR="006A7CB3">
        <w:t xml:space="preserve"> au titre de</w:t>
      </w:r>
      <w:r>
        <w:t xml:space="preserve"> l</w:t>
      </w:r>
      <w:r w:rsidR="00F81A31">
        <w:t>’</w:t>
      </w:r>
      <w:r>
        <w:t>un des Protocoles, seules</w:t>
      </w:r>
      <w:r w:rsidR="003F3CFC">
        <w:t xml:space="preserve"> les Parties au Protocole peuv</w:t>
      </w:r>
      <w:r>
        <w:t>ent prendre des décisions au titre du Protocole.</w:t>
      </w:r>
    </w:p>
    <w:p w14:paraId="0A29B6F4" w14:textId="77777777" w:rsidR="00C66A69" w:rsidRDefault="006A7CB3">
      <w:pPr>
        <w:pStyle w:val="Para1"/>
        <w:rPr>
          <w:szCs w:val="28"/>
        </w:rPr>
      </w:pPr>
      <w:r>
        <w:t>Conformément au mode de fonctionnement</w:t>
      </w:r>
      <w:r w:rsidR="00F212AF">
        <w:t>, le Bureau de la Conférence des Parties fait office de Bureau de l</w:t>
      </w:r>
      <w:r w:rsidR="00F81A31">
        <w:t>’</w:t>
      </w:r>
      <w:r w:rsidR="00F212AF">
        <w:t xml:space="preserve">Organe </w:t>
      </w:r>
      <w:r w:rsidR="00922FE7">
        <w:t>sub</w:t>
      </w:r>
      <w:r w:rsidR="003D1C96">
        <w:t>sidiaire chargé de l’application</w:t>
      </w:r>
      <w:r>
        <w:t>. Le président</w:t>
      </w:r>
      <w:r w:rsidR="00F212AF">
        <w:t xml:space="preserve"> de l</w:t>
      </w:r>
      <w:r w:rsidR="00F81A31">
        <w:t>’</w:t>
      </w:r>
      <w:r w:rsidR="00F212AF">
        <w:t xml:space="preserve">Organe subsidiaire est élu par la Conférence des Parties pour assurer une participation active au processus préparatoire et faciliter les réunions. Le </w:t>
      </w:r>
      <w:r>
        <w:t>président</w:t>
      </w:r>
      <w:r w:rsidR="00F212AF">
        <w:t xml:space="preserve"> est élu à une réunion ordinaire de la Conférence des Parties, prend </w:t>
      </w:r>
      <w:r w:rsidR="00F212AF">
        <w:lastRenderedPageBreak/>
        <w:t>ses fonctions à la fin de cette réunion et reste en fonction jusqu</w:t>
      </w:r>
      <w:r w:rsidR="00F81A31">
        <w:t>’</w:t>
      </w:r>
      <w:r w:rsidR="00F212AF">
        <w:t>à ce qu</w:t>
      </w:r>
      <w:r w:rsidR="00F81A31">
        <w:t>’</w:t>
      </w:r>
      <w:r w:rsidR="00F212AF">
        <w:t xml:space="preserve">un successeur prenne ses fonctions à la fin de la réunion ordinaire suivante. Le </w:t>
      </w:r>
      <w:r>
        <w:t>président</w:t>
      </w:r>
      <w:r w:rsidR="00F212AF">
        <w:t xml:space="preserve"> est invité à présider les sessions du Bureau sur les questions relatives à l</w:t>
      </w:r>
      <w:r w:rsidR="00F81A31">
        <w:t>’</w:t>
      </w:r>
      <w:r w:rsidR="00F212AF">
        <w:t xml:space="preserve">Organe subsidiaire. À la reprise de la deuxième partie de sa quinzième réunion, tenue en octobre 2023, la Conférence des Parties a élu Chirra Achalender Reddy (Inde) </w:t>
      </w:r>
      <w:r>
        <w:t>président</w:t>
      </w:r>
      <w:r w:rsidR="00F212AF">
        <w:t>e de l</w:t>
      </w:r>
      <w:r w:rsidR="00F81A31">
        <w:t>’</w:t>
      </w:r>
      <w:r w:rsidR="00F212AF">
        <w:t>Organe subsidiaire jusqu</w:t>
      </w:r>
      <w:r w:rsidR="00F81A31">
        <w:t>’</w:t>
      </w:r>
      <w:r w:rsidR="00F212AF">
        <w:t>à la seizième réunion de la Conférence des Parties.</w:t>
      </w:r>
      <w:bookmarkStart w:id="1" w:name="_Hlk157676445"/>
    </w:p>
    <w:bookmarkEnd w:id="1"/>
    <w:p w14:paraId="7D5C5D8B" w14:textId="77777777" w:rsidR="00C66A69" w:rsidRDefault="00F212AF">
      <w:pPr>
        <w:pStyle w:val="Heading2"/>
        <w:spacing w:after="0"/>
      </w:pPr>
      <w:r>
        <w:t>Point 1</w:t>
      </w:r>
    </w:p>
    <w:p w14:paraId="5B7D9275" w14:textId="77777777" w:rsidR="00C66A69" w:rsidRDefault="00F212AF">
      <w:pPr>
        <w:rPr>
          <w:bCs/>
        </w:rPr>
      </w:pPr>
      <w:r>
        <w:rPr>
          <w:b/>
          <w:bCs/>
          <w:sz w:val="24"/>
        </w:rPr>
        <w:t>Questions d</w:t>
      </w:r>
      <w:r w:rsidR="00F81A31">
        <w:rPr>
          <w:b/>
          <w:bCs/>
          <w:sz w:val="24"/>
        </w:rPr>
        <w:t>’</w:t>
      </w:r>
      <w:r>
        <w:rPr>
          <w:b/>
          <w:bCs/>
          <w:sz w:val="24"/>
        </w:rPr>
        <w:t>organisation</w:t>
      </w:r>
    </w:p>
    <w:p w14:paraId="7B68812B" w14:textId="77777777" w:rsidR="00C66A69" w:rsidRDefault="00F212AF">
      <w:pPr>
        <w:pStyle w:val="Item"/>
        <w:tabs>
          <w:tab w:val="left" w:pos="1134"/>
        </w:tabs>
        <w:ind w:left="567" w:hanging="567"/>
      </w:pPr>
      <w:r>
        <w:t>a)</w:t>
      </w:r>
      <w:r>
        <w:tab/>
        <w:t>Ouverture de la réunion</w:t>
      </w:r>
    </w:p>
    <w:p w14:paraId="733059AF" w14:textId="77777777" w:rsidR="00C66A69" w:rsidRDefault="00F212AF">
      <w:pPr>
        <w:pStyle w:val="Para1"/>
      </w:pPr>
      <w:r>
        <w:t>Le président ouvrira la réunion le 21 mai 2</w:t>
      </w:r>
      <w:r w:rsidR="00AA038C">
        <w:t>024 à 10 heures. Des allocutions seront prononcée</w:t>
      </w:r>
      <w:r>
        <w:t xml:space="preserve">s par le </w:t>
      </w:r>
      <w:r w:rsidR="006A7CB3">
        <w:t>président</w:t>
      </w:r>
      <w:r>
        <w:t xml:space="preserve"> de la quinzième réunion de la Conférence des Parties ou son représentant et par le Secrétaire exécutif. Les groupes régionaux des Parties et les représentants des principaux groupes de parties prenantes seront également invités à faire des déclarations.</w:t>
      </w:r>
    </w:p>
    <w:p w14:paraId="20ED9393" w14:textId="77777777" w:rsidR="00C66A69" w:rsidRDefault="00F212AF">
      <w:pPr>
        <w:pStyle w:val="Item"/>
        <w:tabs>
          <w:tab w:val="left" w:pos="567"/>
        </w:tabs>
        <w:spacing w:before="0"/>
      </w:pPr>
      <w:r>
        <w:t>b)</w:t>
      </w:r>
      <w:r>
        <w:tab/>
        <w:t>Adoption de l</w:t>
      </w:r>
      <w:r w:rsidR="00F81A31">
        <w:t>’</w:t>
      </w:r>
      <w:r>
        <w:t xml:space="preserve">ordre du jour et organisation des travaux </w:t>
      </w:r>
    </w:p>
    <w:p w14:paraId="554331C3" w14:textId="77777777" w:rsidR="00C66A69" w:rsidRDefault="00F212AF">
      <w:pPr>
        <w:pStyle w:val="Para1"/>
      </w:pPr>
      <w:r>
        <w:t>L</w:t>
      </w:r>
      <w:r w:rsidR="00F81A31">
        <w:t>’</w:t>
      </w:r>
      <w:r>
        <w:t>ordre du jour provisoire de la quatrième réunion de l</w:t>
      </w:r>
      <w:r w:rsidR="00F81A31">
        <w:t>’</w:t>
      </w:r>
      <w:r>
        <w:t>Organe subsidiaire a été établi par le Secrétariat, en consultation avec le Bureau, conformément aux paragraphes 8 et 9 du règlement intérieur de la Conférence des Parties, compte tenu du mandat de l</w:t>
      </w:r>
      <w:r w:rsidR="00F81A31">
        <w:t>’</w:t>
      </w:r>
      <w:r>
        <w:t xml:space="preserve">Organe subsidiaire et des demandes spécifiques qui lui ont été adressées par la Conférence des Parties à ses quatorzième et quinzième réunions, par la Conférence des </w:t>
      </w:r>
      <w:r w:rsidR="00427C4C">
        <w:t>Parties siégeant en tant que réunion</w:t>
      </w:r>
      <w:r>
        <w:t xml:space="preserve"> des Parties au Protocole de </w:t>
      </w:r>
      <w:r w:rsidR="006A7CB3">
        <w:t>Cartagena</w:t>
      </w:r>
      <w:r>
        <w:t xml:space="preserve"> à sa dixième réunion et par la Conférence des </w:t>
      </w:r>
      <w:r w:rsidR="00427C4C">
        <w:t>Parties siégeant en tant que réunion</w:t>
      </w:r>
      <w:r>
        <w:t xml:space="preserve"> des Parties au Protocole de Nagoya à ses troisième et quatrième réunions.</w:t>
      </w:r>
    </w:p>
    <w:p w14:paraId="0DD8EAFF" w14:textId="77777777" w:rsidR="00C66A69" w:rsidRDefault="00AA038C">
      <w:pPr>
        <w:pStyle w:val="Para1"/>
      </w:pPr>
      <w:r>
        <w:t>La proposition d</w:t>
      </w:r>
      <w:r w:rsidR="00F81A31">
        <w:t>’</w:t>
      </w:r>
      <w:r w:rsidR="00F212AF">
        <w:t>organisation des travaux de la réunion figure à l</w:t>
      </w:r>
      <w:r w:rsidR="00F81A31">
        <w:t>’</w:t>
      </w:r>
      <w:r w:rsidR="00F212AF">
        <w:t>annexe I, et une liste des documents de travail et de référence pour la réunion figure à l</w:t>
      </w:r>
      <w:r w:rsidR="00F81A31">
        <w:t>’</w:t>
      </w:r>
      <w:r>
        <w:t>annexe II. Les documents pourront</w:t>
      </w:r>
      <w:r w:rsidR="00F212AF">
        <w:t xml:space="preserve"> être complétés par des additifs à un stade ultérieur, si nécessaire. L</w:t>
      </w:r>
      <w:r w:rsidR="00F81A31">
        <w:t>’</w:t>
      </w:r>
      <w:r w:rsidR="00F212AF">
        <w:t>Organe subsidiaire sera invité à examiner et à adopter l</w:t>
      </w:r>
      <w:r w:rsidR="00F81A31">
        <w:t>’</w:t>
      </w:r>
      <w:r w:rsidR="00F212AF">
        <w:t xml:space="preserve">ordre du jour provisoire de la </w:t>
      </w:r>
      <w:r>
        <w:t>réunion et à approuver la proposition</w:t>
      </w:r>
      <w:r w:rsidR="00F212AF">
        <w:t xml:space="preserve"> d</w:t>
      </w:r>
      <w:r w:rsidR="00F81A31">
        <w:t>’</w:t>
      </w:r>
      <w:r w:rsidR="00F212AF">
        <w:t>organisation des travaux.</w:t>
      </w:r>
    </w:p>
    <w:p w14:paraId="55BBF45B" w14:textId="77777777" w:rsidR="00C66A69" w:rsidRDefault="00F212AF">
      <w:pPr>
        <w:pStyle w:val="Item"/>
        <w:spacing w:after="0"/>
        <w:rPr>
          <w:rFonts w:eastAsiaTheme="majorEastAsia"/>
        </w:rPr>
      </w:pPr>
      <w:r>
        <w:rPr>
          <w:rFonts w:eastAsiaTheme="majorEastAsia"/>
        </w:rPr>
        <w:t>Point 2</w:t>
      </w:r>
    </w:p>
    <w:p w14:paraId="269A17FC" w14:textId="77777777" w:rsidR="00C66A69" w:rsidRDefault="00F212AF">
      <w:pPr>
        <w:pStyle w:val="Item"/>
        <w:spacing w:before="0"/>
      </w:pPr>
      <w:r>
        <w:rPr>
          <w:rFonts w:eastAsiaTheme="majorEastAsia"/>
        </w:rPr>
        <w:t>Examen de la mise en œuvre : état d</w:t>
      </w:r>
      <w:r w:rsidR="00F81A31">
        <w:rPr>
          <w:rFonts w:eastAsiaTheme="majorEastAsia"/>
        </w:rPr>
        <w:t>’</w:t>
      </w:r>
      <w:r w:rsidR="00AA038C">
        <w:rPr>
          <w:rFonts w:eastAsiaTheme="majorEastAsia"/>
        </w:rPr>
        <w:t>avancement de l’établissement</w:t>
      </w:r>
      <w:r w:rsidR="00922FE7">
        <w:rPr>
          <w:rFonts w:eastAsiaTheme="majorEastAsia"/>
        </w:rPr>
        <w:t xml:space="preserve"> des objectifs nationaux et de </w:t>
      </w:r>
      <w:r>
        <w:rPr>
          <w:rFonts w:eastAsiaTheme="majorEastAsia"/>
        </w:rPr>
        <w:t>la mise à jour des stratégies et plans d</w:t>
      </w:r>
      <w:r w:rsidR="00F81A31">
        <w:rPr>
          <w:rFonts w:eastAsiaTheme="majorEastAsia"/>
        </w:rPr>
        <w:t>’</w:t>
      </w:r>
      <w:r w:rsidR="00922FE7">
        <w:rPr>
          <w:rFonts w:eastAsiaTheme="majorEastAsia"/>
        </w:rPr>
        <w:t xml:space="preserve">action nationaux pour la </w:t>
      </w:r>
      <w:r>
        <w:rPr>
          <w:rFonts w:eastAsiaTheme="majorEastAsia"/>
        </w:rPr>
        <w:t>diversité</w:t>
      </w:r>
      <w:r w:rsidR="00922FE7">
        <w:rPr>
          <w:rFonts w:eastAsiaTheme="majorEastAsia"/>
        </w:rPr>
        <w:t xml:space="preserve"> biologique</w:t>
      </w:r>
    </w:p>
    <w:p w14:paraId="0096D89F" w14:textId="77777777" w:rsidR="00C66A69" w:rsidRDefault="00F212AF">
      <w:pPr>
        <w:pStyle w:val="Para1"/>
      </w:pPr>
      <w:r>
        <w:t xml:space="preserve">Par sa décision </w:t>
      </w:r>
      <w:hyperlink r:id="rId16" w:history="1">
        <w:r>
          <w:rPr>
            <w:rStyle w:val="Hyperlink"/>
          </w:rPr>
          <w:t>15/6</w:t>
        </w:r>
      </w:hyperlink>
      <w:r>
        <w:t>, la Conférence des Parties a adopté une approche multidimensionnelle renforcée de la planification, du suivi, de l</w:t>
      </w:r>
      <w:r w:rsidR="00F81A31">
        <w:t>’</w:t>
      </w:r>
      <w:r>
        <w:t>établissement de rapports et de l</w:t>
      </w:r>
      <w:r w:rsidR="00F81A31">
        <w:t>’</w:t>
      </w:r>
      <w:r>
        <w:t>examen, en vue d</w:t>
      </w:r>
      <w:r w:rsidR="00F81A31">
        <w:t>’</w:t>
      </w:r>
      <w:r>
        <w:t xml:space="preserve">améliorer la mise en œuvre de la Convention et du Cadre mondial de la </w:t>
      </w:r>
      <w:r w:rsidR="00922FE7">
        <w:t>biodiversité</w:t>
      </w:r>
      <w:r>
        <w:t xml:space="preserve"> de Ku</w:t>
      </w:r>
      <w:r w:rsidR="00AA038C">
        <w:t>nming-Montréal (par. 1). Dans cette même décision, elle</w:t>
      </w:r>
      <w:r>
        <w:t xml:space="preserve"> a prié les Parties de réviser et d</w:t>
      </w:r>
      <w:r w:rsidR="00AA038C">
        <w:t>e mettre à jour</w:t>
      </w:r>
      <w:r>
        <w:t xml:space="preserve"> leurs stratégies et plans</w:t>
      </w:r>
      <w:r w:rsidR="003F3CFC">
        <w:t xml:space="preserve"> d</w:t>
      </w:r>
      <w:r w:rsidR="00F81A31">
        <w:t>’</w:t>
      </w:r>
      <w:r w:rsidR="003F3CFC">
        <w:t>action nationaux pour</w:t>
      </w:r>
      <w:r>
        <w:t xml:space="preserve"> la diversité biologique, en suivant les orientations énoncées à l</w:t>
      </w:r>
      <w:r w:rsidR="00F81A31">
        <w:t>’</w:t>
      </w:r>
      <w:r>
        <w:t>annexe I de la décision, co</w:t>
      </w:r>
      <w:r w:rsidR="00AA038C">
        <w:t>nformément au Cadre et à ses objectif</w:t>
      </w:r>
      <w:r>
        <w:t xml:space="preserve">s et </w:t>
      </w:r>
      <w:r w:rsidR="00AA038C">
        <w:t>ses cible</w:t>
      </w:r>
      <w:r>
        <w:t>s, y compris ceux liés aux moyens de mise en œuvre, et de les présenter à sa seizième réunion (par. 6)</w:t>
      </w:r>
      <w:r w:rsidR="00AA038C">
        <w:t>. Elle</w:t>
      </w:r>
      <w:r>
        <w:t xml:space="preserve"> a également prié les Parties qui n</w:t>
      </w:r>
      <w:r w:rsidR="00AA038C">
        <w:t>e so</w:t>
      </w:r>
      <w:r>
        <w:t>nt pas en mesure de présenter leurs stratégies et plans d</w:t>
      </w:r>
      <w:r w:rsidR="00F81A31">
        <w:t>’</w:t>
      </w:r>
      <w:r>
        <w:t>action</w:t>
      </w:r>
      <w:r w:rsidR="00AA038C">
        <w:t xml:space="preserve"> nationaux </w:t>
      </w:r>
      <w:r w:rsidR="003F3CFC">
        <w:t>pour la</w:t>
      </w:r>
      <w:r>
        <w:t xml:space="preserve"> diversité biologique</w:t>
      </w:r>
      <w:r w:rsidR="00AA038C">
        <w:t xml:space="preserve"> révisés</w:t>
      </w:r>
      <w:r>
        <w:t xml:space="preserve"> à la seizième réunion de communiquer, avant la seizième réunion, d</w:t>
      </w:r>
      <w:r w:rsidR="00AA038C">
        <w:t>es objectifs nationaux intégrant</w:t>
      </w:r>
      <w:r>
        <w:t>,</w:t>
      </w:r>
      <w:r w:rsidR="00AA038C">
        <w:t xml:space="preserve"> le cas échéant, tous les objectifs et les cible</w:t>
      </w:r>
      <w:r>
        <w:t>s du Cadre, y compris ceux liés à tous les moyens de mise en œuvre, conformément au modèle de rapport figurant à l</w:t>
      </w:r>
      <w:r w:rsidR="00F81A31">
        <w:t>’</w:t>
      </w:r>
      <w:r>
        <w:t>annexe I de la décision, en tant que communication dist</w:t>
      </w:r>
      <w:r w:rsidR="00AA038C">
        <w:t>incte (par. 7). Toujours dans cette</w:t>
      </w:r>
      <w:r>
        <w:t xml:space="preserve"> même décisi</w:t>
      </w:r>
      <w:r w:rsidR="00AA038C">
        <w:t>on, e</w:t>
      </w:r>
      <w:r>
        <w:t>l</w:t>
      </w:r>
      <w:r w:rsidR="00AA038C">
        <w:t>le</w:t>
      </w:r>
      <w:r>
        <w:t xml:space="preserve"> a décidé d</w:t>
      </w:r>
      <w:r w:rsidR="00F81A31">
        <w:t>’</w:t>
      </w:r>
      <w:r>
        <w:t xml:space="preserve">examiner à sa seizième réunion, et à chaque réunion suivante, une analyse globale des informations fournies par les Parties sur les objectifs nationaux et les stratégies et plans </w:t>
      </w:r>
      <w:r w:rsidR="003F3CFC">
        <w:t>d</w:t>
      </w:r>
      <w:r w:rsidR="00F81A31">
        <w:t>’</w:t>
      </w:r>
      <w:r w:rsidR="003F3CFC">
        <w:t>action nationaux pour la</w:t>
      </w:r>
      <w:r>
        <w:t xml:space="preserve"> diversité biologique alignés sur le Cadre</w:t>
      </w:r>
      <w:r w:rsidR="00AA038C">
        <w:t>,</w:t>
      </w:r>
      <w:r>
        <w:t xml:space="preserve"> afin d</w:t>
      </w:r>
      <w:r w:rsidR="00F81A31">
        <w:t>’</w:t>
      </w:r>
      <w:r>
        <w:t>éva</w:t>
      </w:r>
      <w:r w:rsidR="00AA038C">
        <w:t>luer la contribution à la mise en œuvre du</w:t>
      </w:r>
      <w:r>
        <w:t xml:space="preserve"> Cadre (par. 15). </w:t>
      </w:r>
    </w:p>
    <w:p w14:paraId="3600F679" w14:textId="77777777" w:rsidR="00C66A69" w:rsidRDefault="00F212AF">
      <w:pPr>
        <w:pStyle w:val="Para1"/>
      </w:pPr>
      <w:r>
        <w:t>L</w:t>
      </w:r>
      <w:r w:rsidR="00F81A31">
        <w:t>’</w:t>
      </w:r>
      <w:r>
        <w:t>Organe subsidiaire procédera à une analyse préliminaire des informations ainsi fournies. Il sera saisi d</w:t>
      </w:r>
      <w:r w:rsidR="00F81A31">
        <w:t>’</w:t>
      </w:r>
      <w:r>
        <w:t>une note du Secrétariat sur les progrès accomplis</w:t>
      </w:r>
      <w:r w:rsidR="00AA038C">
        <w:t xml:space="preserve"> par les Parties, qui comprend</w:t>
      </w:r>
      <w:r>
        <w:t xml:space="preserve"> une </w:t>
      </w:r>
      <w:r>
        <w:lastRenderedPageBreak/>
        <w:t>analyse des informations fournies par les Parties,</w:t>
      </w:r>
      <w:r w:rsidR="00D54863" w:rsidRPr="00C02EA4">
        <w:rPr>
          <w:rStyle w:val="FootnoteReference"/>
        </w:rPr>
        <w:footnoteReference w:id="5"/>
      </w:r>
      <w:r w:rsidR="00AA038C">
        <w:t xml:space="preserve"> et pourra décider de formuler</w:t>
      </w:r>
      <w:r>
        <w:t xml:space="preserve"> une recommandation préliminaire, notant qu</w:t>
      </w:r>
      <w:r w:rsidR="00F81A31">
        <w:t>’</w:t>
      </w:r>
      <w:r>
        <w:t>à sa cinquième réunion, l</w:t>
      </w:r>
      <w:r w:rsidR="00F81A31">
        <w:t>’</w:t>
      </w:r>
      <w:r>
        <w:t>Organe subsidiaire procédera à un examen de la mise en œuvre, y compris des moyens de mise en œuvre, sur la base des communications des Parties attendues à la seizième réunion de la Conférence des Parties.</w:t>
      </w:r>
    </w:p>
    <w:p w14:paraId="5DFC47F6" w14:textId="77777777" w:rsidR="00C66A69" w:rsidRDefault="00F212AF">
      <w:pPr>
        <w:pStyle w:val="Para1"/>
      </w:pPr>
      <w:r>
        <w:t>L</w:t>
      </w:r>
      <w:r w:rsidR="00F81A31">
        <w:t>’</w:t>
      </w:r>
      <w:r>
        <w:t>Organe subsidiaire sera également saisi d</w:t>
      </w:r>
      <w:r w:rsidR="00F81A31">
        <w:t>’</w:t>
      </w:r>
      <w:r>
        <w:t>un rapport établi par le Secrétariat sur la mise en œuvre du programme de travail pluriannuel relatif à l</w:t>
      </w:r>
      <w:r w:rsidR="00F81A31">
        <w:t>’</w:t>
      </w:r>
      <w:r>
        <w:t>article 8 j) et aux dispositi</w:t>
      </w:r>
      <w:r w:rsidR="00AA038C">
        <w:t>ons connexes de l</w:t>
      </w:r>
      <w:r w:rsidR="00B50801">
        <w:t>a Convention. L</w:t>
      </w:r>
      <w:r w:rsidR="00F81A31">
        <w:t>’</w:t>
      </w:r>
      <w:r w:rsidR="00AA038C">
        <w:t>Organe subsidiaire pr</w:t>
      </w:r>
      <w:r w:rsidR="00B50801">
        <w:t>endra</w:t>
      </w:r>
      <w:r w:rsidR="00AA038C">
        <w:t xml:space="preserve"> note de ce</w:t>
      </w:r>
      <w:r>
        <w:t xml:space="preserve"> rapport.</w:t>
      </w:r>
    </w:p>
    <w:p w14:paraId="3261A307" w14:textId="77777777" w:rsidR="00C66A69" w:rsidRDefault="00F212AF">
      <w:pPr>
        <w:pStyle w:val="Item"/>
        <w:spacing w:after="0"/>
      </w:pPr>
      <w:r>
        <w:t>Point 3</w:t>
      </w:r>
    </w:p>
    <w:p w14:paraId="66B80447" w14:textId="77777777" w:rsidR="00C66A69" w:rsidRDefault="00F212AF">
      <w:pPr>
        <w:pStyle w:val="Item"/>
        <w:spacing w:before="0"/>
      </w:pPr>
      <w:r>
        <w:rPr>
          <w:rFonts w:eastAsiaTheme="majorEastAsia"/>
        </w:rPr>
        <w:t>Mécanismes</w:t>
      </w:r>
      <w:r w:rsidR="00922FE7">
        <w:t xml:space="preserve"> de planification, de suivi, d</w:t>
      </w:r>
      <w:r w:rsidR="00F81A31">
        <w:t>’</w:t>
      </w:r>
      <w:r w:rsidR="00922FE7">
        <w:t>établissement de</w:t>
      </w:r>
      <w:r>
        <w:t xml:space="preserve"> rapport</w:t>
      </w:r>
      <w:r w:rsidR="00922FE7">
        <w:t>s</w:t>
      </w:r>
      <w:r>
        <w:t xml:space="preserve"> et d</w:t>
      </w:r>
      <w:r w:rsidR="00F81A31">
        <w:t>’</w:t>
      </w:r>
      <w:r>
        <w:t>examen</w:t>
      </w:r>
    </w:p>
    <w:p w14:paraId="3C891599" w14:textId="77777777" w:rsidR="00C66A69" w:rsidRDefault="00F212AF">
      <w:pPr>
        <w:pStyle w:val="Para1"/>
      </w:pPr>
      <w:r>
        <w:t xml:space="preserve">Par sa décision </w:t>
      </w:r>
      <w:hyperlink r:id="rId17" w:history="1">
        <w:r>
          <w:rPr>
            <w:rStyle w:val="Hyperlink"/>
          </w:rPr>
          <w:t>15/5</w:t>
        </w:r>
      </w:hyperlink>
      <w:r>
        <w:t xml:space="preserve">, la Conférence des Parties a adopté le </w:t>
      </w:r>
      <w:r w:rsidR="00922FE7">
        <w:t>cadre de suivi</w:t>
      </w:r>
      <w:r>
        <w:t xml:space="preserve"> du Cadre mondial de la biodiversité de Kunming-Montréal (par. 1) et a créé un groupe spécial d</w:t>
      </w:r>
      <w:r w:rsidR="00F81A31">
        <w:t>’</w:t>
      </w:r>
      <w:r>
        <w:t>exp</w:t>
      </w:r>
      <w:r w:rsidR="00AA038C">
        <w:t xml:space="preserve">erts techniques </w:t>
      </w:r>
      <w:r w:rsidR="00424767">
        <w:t>chargé de fournir des avis</w:t>
      </w:r>
      <w:r>
        <w:t xml:space="preserve"> sur la poursuite de la mise en œuvre du </w:t>
      </w:r>
      <w:r w:rsidR="00AA038C">
        <w:t>c</w:t>
      </w:r>
      <w:r w:rsidR="00922FE7">
        <w:t>adre de suivi</w:t>
      </w:r>
      <w:r>
        <w:t xml:space="preserve"> (par. 8). La Conférence des Parties a prié l</w:t>
      </w:r>
      <w:r w:rsidR="00F81A31">
        <w:t>’</w:t>
      </w:r>
      <w:r w:rsidR="00AA038C">
        <w:t>Organe subsidiaire chargé de fournir des avis</w:t>
      </w:r>
      <w:r>
        <w:t xml:space="preserve"> scientifique</w:t>
      </w:r>
      <w:r w:rsidR="00AA038C">
        <w:t>s</w:t>
      </w:r>
      <w:r>
        <w:t>, technique</w:t>
      </w:r>
      <w:r w:rsidR="00AA038C">
        <w:t>s</w:t>
      </w:r>
      <w:r>
        <w:t xml:space="preserve"> et technologique</w:t>
      </w:r>
      <w:r w:rsidR="00AA038C">
        <w:t>s</w:t>
      </w:r>
      <w:r>
        <w:t xml:space="preserve"> d</w:t>
      </w:r>
      <w:r w:rsidR="00F81A31">
        <w:t>’</w:t>
      </w:r>
      <w:r>
        <w:t>examiner les résultats du Groupe spécial d</w:t>
      </w:r>
      <w:r w:rsidR="00F81A31">
        <w:t>’</w:t>
      </w:r>
      <w:r>
        <w:t>experts techniques sur les indicateurs, d</w:t>
      </w:r>
      <w:r w:rsidR="00F81A31">
        <w:t>’</w:t>
      </w:r>
      <w:r>
        <w:t>achever l</w:t>
      </w:r>
      <w:r w:rsidR="00F81A31">
        <w:t>’</w:t>
      </w:r>
      <w:r>
        <w:t xml:space="preserve">examen scientifique et technique du </w:t>
      </w:r>
      <w:r w:rsidR="00922FE7">
        <w:t>cadre de suivi</w:t>
      </w:r>
      <w:r>
        <w:t xml:space="preserve"> et de faire rapport sur ses conclusions</w:t>
      </w:r>
      <w:r w:rsidR="00AA038C">
        <w:t xml:space="preserve">, aux fins d’un </w:t>
      </w:r>
      <w:r>
        <w:t>examen ultérieur par l</w:t>
      </w:r>
      <w:r w:rsidR="00F81A31">
        <w:t>’</w:t>
      </w:r>
      <w:r>
        <w:t xml:space="preserve">Organe </w:t>
      </w:r>
      <w:r w:rsidR="003D1C96">
        <w:t>subsidiaire chargé de l’application</w:t>
      </w:r>
      <w:r>
        <w:t xml:space="preserve"> et par la Conférence des Parties à sa seizième réunion (par. 9).</w:t>
      </w:r>
    </w:p>
    <w:p w14:paraId="720E6772" w14:textId="77777777" w:rsidR="00C66A69" w:rsidRDefault="00F212AF">
      <w:pPr>
        <w:pStyle w:val="Para1"/>
      </w:pPr>
      <w:r>
        <w:t xml:space="preserve">Dans sa décision </w:t>
      </w:r>
      <w:hyperlink r:id="rId18" w:history="1">
        <w:r>
          <w:rPr>
            <w:rStyle w:val="Hyperlink"/>
          </w:rPr>
          <w:t>15/6</w:t>
        </w:r>
      </w:hyperlink>
      <w:r>
        <w:t>, relative aux mécanismes de planific</w:t>
      </w:r>
      <w:r w:rsidR="00F73A6C">
        <w:t>ation, de suivi, d’établissement</w:t>
      </w:r>
      <w:r>
        <w:t xml:space="preserve"> de rapports et d</w:t>
      </w:r>
      <w:r w:rsidR="00F81A31">
        <w:t>’</w:t>
      </w:r>
      <w:r>
        <w:t>examen, la Conférence des</w:t>
      </w:r>
      <w:r w:rsidR="00F73A6C">
        <w:t xml:space="preserve"> Parties a adopté les lignes directrices</w:t>
      </w:r>
      <w:r>
        <w:t xml:space="preserve"> pour les septième et huitième rapports nationaux figurant à l</w:t>
      </w:r>
      <w:r w:rsidR="00F81A31">
        <w:t>’</w:t>
      </w:r>
      <w:r>
        <w:t>annexe II de la décision, y compris le p</w:t>
      </w:r>
      <w:r w:rsidR="00F73A6C">
        <w:t xml:space="preserve">rojet de modèle </w:t>
      </w:r>
      <w:r>
        <w:t>de</w:t>
      </w:r>
      <w:r w:rsidR="00F73A6C">
        <w:t xml:space="preserve"> rapport. Dans cette</w:t>
      </w:r>
      <w:r>
        <w:t xml:space="preserve"> même décision, et comme indiqué au titre du point 2 de l</w:t>
      </w:r>
      <w:r w:rsidR="00F81A31">
        <w:t>’</w:t>
      </w:r>
      <w:r>
        <w:t>ordre du jour, la Conférence des Parties a décidé d</w:t>
      </w:r>
      <w:r w:rsidR="00F81A31">
        <w:t>’</w:t>
      </w:r>
      <w:r>
        <w:t>examiner à sa seizième réunion, et à chaque réunion ultérieure, une analyse globale des informations fournies par les Parties sur les objectifs nationaux et les stratégies et plans d</w:t>
      </w:r>
      <w:r w:rsidR="00F81A31">
        <w:t>’</w:t>
      </w:r>
      <w:r>
        <w:t>ac</w:t>
      </w:r>
      <w:r w:rsidR="003F3CFC">
        <w:t xml:space="preserve">tion nationaux pour la </w:t>
      </w:r>
      <w:r>
        <w:t>diversité</w:t>
      </w:r>
      <w:r w:rsidR="003F3CFC">
        <w:t xml:space="preserve"> biologique</w:t>
      </w:r>
      <w:r>
        <w:t xml:space="preserve"> alignés sur le Cadre</w:t>
      </w:r>
      <w:r w:rsidR="00F73A6C">
        <w:t>,</w:t>
      </w:r>
      <w:r>
        <w:t xml:space="preserve"> afin d</w:t>
      </w:r>
      <w:r w:rsidR="00F81A31">
        <w:t>’</w:t>
      </w:r>
      <w:r>
        <w:t>éva</w:t>
      </w:r>
      <w:r w:rsidR="00F73A6C">
        <w:t>luer la contribution à la mise en œuvre du Cadre (par. 15). E</w:t>
      </w:r>
      <w:r>
        <w:t>l</w:t>
      </w:r>
      <w:r w:rsidR="00F73A6C">
        <w:t>le</w:t>
      </w:r>
      <w:r>
        <w:t xml:space="preserve"> a également décidé de procéder à un examen </w:t>
      </w:r>
      <w:r w:rsidR="00F73A6C">
        <w:t>mondial</w:t>
      </w:r>
      <w:r>
        <w:t xml:space="preserve"> des progrès accomplis collectivement dans la mise en œuvre du Cadre, y compris des moyens de mise en œuvre, à ses dix-septième et di</w:t>
      </w:r>
      <w:r w:rsidR="00F73A6C">
        <w:t>x-neuvième réunions (par. 16). E</w:t>
      </w:r>
      <w:r>
        <w:t>l</w:t>
      </w:r>
      <w:r w:rsidR="00F73A6C">
        <w:t>le</w:t>
      </w:r>
      <w:r>
        <w:t xml:space="preserve"> a chargé l</w:t>
      </w:r>
      <w:r w:rsidR="00F81A31">
        <w:t>’</w:t>
      </w:r>
      <w:r>
        <w:t xml:space="preserve">Organe </w:t>
      </w:r>
      <w:r w:rsidR="003D1C96">
        <w:t>subsidiaire chargé de l’application</w:t>
      </w:r>
      <w:r>
        <w:t xml:space="preserve"> d</w:t>
      </w:r>
      <w:r w:rsidR="00F81A31">
        <w:t>’</w:t>
      </w:r>
      <w:r>
        <w:t>élaborer des procédures concrètes pour l</w:t>
      </w:r>
      <w:r w:rsidR="00F81A31">
        <w:t>’</w:t>
      </w:r>
      <w:r w:rsidR="00F73A6C">
        <w:t>examen mondi</w:t>
      </w:r>
      <w:r>
        <w:t>al, y compris sur l</w:t>
      </w:r>
      <w:r w:rsidR="00F81A31">
        <w:t>’</w:t>
      </w:r>
      <w:r>
        <w:t>utilisation d</w:t>
      </w:r>
      <w:r w:rsidR="00F81A31">
        <w:t>’</w:t>
      </w:r>
      <w:r>
        <w:t>indicateurs, pour examen à la seizième réunion de la Con</w:t>
      </w:r>
      <w:r w:rsidR="00F73A6C">
        <w:t>férence des Parties (par. 17). E</w:t>
      </w:r>
      <w:r>
        <w:t>l</w:t>
      </w:r>
      <w:r w:rsidR="00F73A6C">
        <w:t>le</w:t>
      </w:r>
      <w:r>
        <w:t xml:space="preserve"> a prié l</w:t>
      </w:r>
      <w:r w:rsidR="00F81A31">
        <w:t>’</w:t>
      </w:r>
      <w:r>
        <w:t xml:space="preserve">Organe </w:t>
      </w:r>
      <w:r w:rsidR="00F73A6C">
        <w:t>subsidiaire chargé de fournir des avis scientifiques, techniques et technologiques</w:t>
      </w:r>
      <w:r>
        <w:t>, à sa vingt-cinquième réunion, de fournir des avis sur les apports scientifiques, techniques et technologiques pertinents qui devraient éclairer l</w:t>
      </w:r>
      <w:r w:rsidR="00F81A31">
        <w:t>’</w:t>
      </w:r>
      <w:r>
        <w:t>examen mondial</w:t>
      </w:r>
      <w:r w:rsidR="00F73A6C">
        <w:t>,</w:t>
      </w:r>
      <w:r>
        <w:t xml:space="preserve"> pour examen par l</w:t>
      </w:r>
      <w:r w:rsidR="00F81A31">
        <w:t>’</w:t>
      </w:r>
      <w:r>
        <w:t xml:space="preserve">Organe </w:t>
      </w:r>
      <w:r w:rsidR="003D1C96">
        <w:t>subsidiaire chargé de l’application</w:t>
      </w:r>
      <w:r>
        <w:t xml:space="preserve"> (par. 18). L</w:t>
      </w:r>
      <w:r w:rsidR="00F81A31">
        <w:t>’</w:t>
      </w:r>
      <w:r>
        <w:t>approche multidimensionnelle renforcée de la planification, du suivi, de l</w:t>
      </w:r>
      <w:r w:rsidR="00F81A31">
        <w:t>’</w:t>
      </w:r>
      <w:r>
        <w:t>établissement de rapports et de l</w:t>
      </w:r>
      <w:r w:rsidR="00F81A31">
        <w:t>’</w:t>
      </w:r>
      <w:r>
        <w:t>examen comprend é</w:t>
      </w:r>
      <w:r w:rsidR="00F73A6C">
        <w:t>galement la mise au point et la mise à l’essai</w:t>
      </w:r>
      <w:r>
        <w:t xml:space="preserve"> d</w:t>
      </w:r>
      <w:r w:rsidR="00F81A31">
        <w:t>’</w:t>
      </w:r>
      <w:r>
        <w:t>un forum à co</w:t>
      </w:r>
      <w:r w:rsidR="00F73A6C">
        <w:t>mposition non l</w:t>
      </w:r>
      <w:r w:rsidR="001224F5">
        <w:t>imitée pour un examen facultatif</w:t>
      </w:r>
      <w:r w:rsidR="00F73A6C">
        <w:t xml:space="preserve"> par les pay</w:t>
      </w:r>
      <w:r>
        <w:t>s</w:t>
      </w:r>
      <w:r w:rsidR="00F73A6C">
        <w:t xml:space="preserve"> (par. 1 f))</w:t>
      </w:r>
      <w:r>
        <w:t xml:space="preserve">. </w:t>
      </w:r>
    </w:p>
    <w:p w14:paraId="2DA36A97" w14:textId="77777777" w:rsidR="00C66A69" w:rsidRDefault="00F73A6C">
      <w:pPr>
        <w:pStyle w:val="Para1"/>
      </w:pPr>
      <w:r>
        <w:t>Dans cette</w:t>
      </w:r>
      <w:r w:rsidR="00F212AF">
        <w:t xml:space="preserve"> même décision, la Conférence des Parties a prié le Secrétaire exécutif d</w:t>
      </w:r>
      <w:r w:rsidR="00F81A31">
        <w:t>’</w:t>
      </w:r>
      <w:r w:rsidR="00F212AF">
        <w:t>appuyer la mise en œuvre de l</w:t>
      </w:r>
      <w:r w:rsidR="00F81A31">
        <w:t>’</w:t>
      </w:r>
      <w:r w:rsidR="00F212AF">
        <w:t>approche multidimensionnelle renforcée (par. 29), notamment, selon qu</w:t>
      </w:r>
      <w:r w:rsidR="00F81A31">
        <w:t>’</w:t>
      </w:r>
      <w:r>
        <w:t>il convient</w:t>
      </w:r>
      <w:r w:rsidR="00F212AF">
        <w:t xml:space="preserve"> : a) en aidant l</w:t>
      </w:r>
      <w:r w:rsidR="00F81A31">
        <w:t>’</w:t>
      </w:r>
      <w:r w:rsidR="00F212AF">
        <w:t>Organe subsidiaire à poursuivre l</w:t>
      </w:r>
      <w:r w:rsidR="00F81A31">
        <w:t>’</w:t>
      </w:r>
      <w:r w:rsidR="00F212AF">
        <w:t>élaboration et/ou l</w:t>
      </w:r>
      <w:r w:rsidR="00F81A31">
        <w:t>’</w:t>
      </w:r>
      <w:r w:rsidR="00F212AF">
        <w:t xml:space="preserve">expérimentation du projet de modèle pour le septième rapport national et des éléments </w:t>
      </w:r>
      <w:bookmarkStart w:id="2" w:name="_Hlk152690452"/>
      <w:r>
        <w:t>essentiels pour la communication de données par les</w:t>
      </w:r>
      <w:r w:rsidR="00F212AF">
        <w:t xml:space="preserve"> acteurs </w:t>
      </w:r>
      <w:bookmarkEnd w:id="2"/>
      <w:r w:rsidR="00F212AF">
        <w:t>non étatiques (par. 29 b)) et à poursuivre l</w:t>
      </w:r>
      <w:r w:rsidR="00F81A31">
        <w:t>’</w:t>
      </w:r>
      <w:r w:rsidR="00F212AF">
        <w:t>élaboration et l</w:t>
      </w:r>
      <w:r w:rsidR="00F81A31">
        <w:t>’</w:t>
      </w:r>
      <w:r w:rsidR="00F212AF">
        <w:t>expérimentation d</w:t>
      </w:r>
      <w:r w:rsidR="00F81A31">
        <w:t>’</w:t>
      </w:r>
      <w:r>
        <w:t>un mode de fonctionnement du</w:t>
      </w:r>
      <w:r w:rsidR="00F212AF">
        <w:t xml:space="preserve"> forum </w:t>
      </w:r>
      <w:r w:rsidR="001224F5">
        <w:t>à composition non limitée pour un examen facultatif</w:t>
      </w:r>
      <w:r>
        <w:t xml:space="preserve"> par les</w:t>
      </w:r>
      <w:r w:rsidR="00F212AF">
        <w:t xml:space="preserve"> pays (par. 29 c)); b) en développant davantage l</w:t>
      </w:r>
      <w:r w:rsidR="00F81A31">
        <w:t>’</w:t>
      </w:r>
      <w:r w:rsidR="00F212AF">
        <w:t>outil de présentation de</w:t>
      </w:r>
      <w:r>
        <w:t>s</w:t>
      </w:r>
      <w:r w:rsidR="00F212AF">
        <w:t xml:space="preserve"> rapports nationaux en ligne (par. d) , l</w:t>
      </w:r>
      <w:r w:rsidR="00F81A31">
        <w:t>’</w:t>
      </w:r>
      <w:r w:rsidR="00F212AF">
        <w:t>outil d</w:t>
      </w:r>
      <w:r>
        <w:t>e suivi en ligne des décisions (par. 29 e))</w:t>
      </w:r>
      <w:r w:rsidR="00F212AF">
        <w:t xml:space="preserve"> et un mécanisme de suivi des engagements des acteurs non étatiques, y compris la communication</w:t>
      </w:r>
      <w:r>
        <w:t xml:space="preserve"> facultative de données en ligne</w:t>
      </w:r>
      <w:r w:rsidR="00F212AF">
        <w:t xml:space="preserve"> conformément au Programme d</w:t>
      </w:r>
      <w:r w:rsidR="00F81A31">
        <w:t>’</w:t>
      </w:r>
      <w:r w:rsidR="00F212AF">
        <w:t>action de Charm el-Cheikh à Kunming et au Programme d</w:t>
      </w:r>
      <w:r w:rsidR="00F81A31">
        <w:t>’</w:t>
      </w:r>
      <w:r w:rsidR="00F212AF">
        <w:t>action de Montréal pou</w:t>
      </w:r>
      <w:r>
        <w:t>r la nature et les peuples (par. 29 f))</w:t>
      </w:r>
      <w:r w:rsidR="00F212AF">
        <w:t xml:space="preserve">; c) recueillir les vues des Parties sur les procédures concrètes </w:t>
      </w:r>
      <w:r w:rsidR="00F212AF">
        <w:lastRenderedPageBreak/>
        <w:t>d</w:t>
      </w:r>
      <w:r w:rsidR="00F81A31">
        <w:t>’</w:t>
      </w:r>
      <w:r w:rsidR="00F212AF">
        <w:t xml:space="preserve">examen </w:t>
      </w:r>
      <w:r>
        <w:t>mondial</w:t>
      </w:r>
      <w:r w:rsidR="00F212AF">
        <w:t xml:space="preserve"> mentionnées au paragraphe 16 de la décision et aider l</w:t>
      </w:r>
      <w:r w:rsidR="00F81A31">
        <w:t>’</w:t>
      </w:r>
      <w:r w:rsidR="00F212AF">
        <w:t>Organe subsidi</w:t>
      </w:r>
      <w:r w:rsidR="00424767">
        <w:t xml:space="preserve">aire à élaborer ces procédures (par. 29 h)); </w:t>
      </w:r>
      <w:r w:rsidR="00F212AF">
        <w:t>d) coordonner de manière transparente l</w:t>
      </w:r>
      <w:r w:rsidR="00424767">
        <w:t>a préparation</w:t>
      </w:r>
      <w:r w:rsidR="00F212AF">
        <w:t xml:space="preserve"> des contributions visées aux paragraphes 1</w:t>
      </w:r>
      <w:r w:rsidR="00424767">
        <w:t>5 et 16 de la décision (par. 2</w:t>
      </w:r>
      <w:r w:rsidR="00F212AF">
        <w:t>9 i)).</w:t>
      </w:r>
    </w:p>
    <w:p w14:paraId="713CE52A" w14:textId="77777777" w:rsidR="00C66A69" w:rsidRDefault="00F212AF">
      <w:pPr>
        <w:pStyle w:val="Para1"/>
      </w:pPr>
      <w:r>
        <w:t>L</w:t>
      </w:r>
      <w:r w:rsidR="00F81A31">
        <w:t>’</w:t>
      </w:r>
      <w:r>
        <w:t>Organe subsidiaire sera saisi d</w:t>
      </w:r>
      <w:r w:rsidR="00F81A31">
        <w:t>’</w:t>
      </w:r>
      <w:r>
        <w:t xml:space="preserve">une note du Secrétariat, qui sera complétée par les recommandations et </w:t>
      </w:r>
      <w:r w:rsidR="00424767">
        <w:t xml:space="preserve">les </w:t>
      </w:r>
      <w:r>
        <w:t>conclusions pertinentes de l</w:t>
      </w:r>
      <w:r w:rsidR="00F81A31">
        <w:t>’</w:t>
      </w:r>
      <w:r>
        <w:t xml:space="preserve">Organe subsidiaire </w:t>
      </w:r>
      <w:r w:rsidR="00424767">
        <w:t>chargé de fournir des avis</w:t>
      </w:r>
      <w:r>
        <w:t xml:space="preserve"> scientifiques, techniques et technologiques issues de ses vingt-cinquième et vingt-sixième réunions.</w:t>
      </w:r>
    </w:p>
    <w:p w14:paraId="483072F2" w14:textId="77777777" w:rsidR="00C66A69" w:rsidRDefault="001224F5">
      <w:pPr>
        <w:pStyle w:val="Item"/>
        <w:tabs>
          <w:tab w:val="left" w:pos="567"/>
        </w:tabs>
        <w:spacing w:before="0"/>
        <w:ind w:left="567"/>
        <w:rPr>
          <w:b w:val="0"/>
          <w:bCs/>
          <w:i/>
          <w:iCs w:val="0"/>
          <w:sz w:val="22"/>
        </w:rPr>
      </w:pPr>
      <w:r>
        <w:rPr>
          <w:rFonts w:eastAsiaTheme="majorEastAsia"/>
          <w:b w:val="0"/>
          <w:bCs/>
          <w:i/>
          <w:iCs w:val="0"/>
          <w:sz w:val="22"/>
        </w:rPr>
        <w:t>Préparation d’</w:t>
      </w:r>
      <w:r w:rsidR="00F212AF">
        <w:rPr>
          <w:b w:val="0"/>
          <w:bCs/>
          <w:i/>
          <w:iCs w:val="0"/>
          <w:sz w:val="22"/>
        </w:rPr>
        <w:t xml:space="preserve">un forum </w:t>
      </w:r>
      <w:r>
        <w:rPr>
          <w:b w:val="0"/>
          <w:bCs/>
          <w:i/>
          <w:iCs w:val="0"/>
          <w:sz w:val="22"/>
        </w:rPr>
        <w:t xml:space="preserve">à composition non limitée pour un examen facultatif </w:t>
      </w:r>
      <w:r w:rsidR="00424767">
        <w:rPr>
          <w:b w:val="0"/>
          <w:bCs/>
          <w:i/>
          <w:iCs w:val="0"/>
          <w:sz w:val="22"/>
        </w:rPr>
        <w:t>par l</w:t>
      </w:r>
      <w:r w:rsidR="00F212AF">
        <w:rPr>
          <w:b w:val="0"/>
          <w:bCs/>
          <w:i/>
          <w:iCs w:val="0"/>
          <w:sz w:val="22"/>
        </w:rPr>
        <w:t>es pays</w:t>
      </w:r>
    </w:p>
    <w:p w14:paraId="05B67CF8" w14:textId="77777777" w:rsidR="00C66A69" w:rsidRDefault="00F212AF">
      <w:pPr>
        <w:pStyle w:val="Para1"/>
      </w:pPr>
      <w:r>
        <w:t>Conformément à la décision 15/6, le Secrétariat présentera une proposition visant à mettre à l</w:t>
      </w:r>
      <w:r w:rsidR="00F81A31">
        <w:t>’</w:t>
      </w:r>
      <w:r w:rsidR="00424767">
        <w:t>essai un mode de fonctionnement</w:t>
      </w:r>
      <w:r>
        <w:t xml:space="preserve"> d</w:t>
      </w:r>
      <w:r w:rsidR="00424767">
        <w:t>u</w:t>
      </w:r>
      <w:r>
        <w:t xml:space="preserve"> forum </w:t>
      </w:r>
      <w:r w:rsidR="001224F5">
        <w:t>à composition non limitée pour un examen facultatif</w:t>
      </w:r>
      <w:r w:rsidR="00424767">
        <w:t xml:space="preserve"> par les pays concernant </w:t>
      </w:r>
      <w:r>
        <w:t>la mise en œuvr</w:t>
      </w:r>
      <w:r w:rsidR="00424767">
        <w:t>e</w:t>
      </w:r>
      <w:r>
        <w:t>, en s</w:t>
      </w:r>
      <w:r w:rsidR="00F81A31">
        <w:t>’</w:t>
      </w:r>
      <w:r>
        <w:t>appuyant sur le projet figurant à l</w:t>
      </w:r>
      <w:r w:rsidR="00F81A31">
        <w:t>’</w:t>
      </w:r>
      <w:r>
        <w:t>annexe III du projet de décision sur les mécanismes de planifica</w:t>
      </w:r>
      <w:r w:rsidR="00424767">
        <w:t xml:space="preserve">tion, de suivi, d’établissement </w:t>
      </w:r>
      <w:r>
        <w:t>de rapports et d</w:t>
      </w:r>
      <w:r w:rsidR="00F81A31">
        <w:t>’</w:t>
      </w:r>
      <w:r>
        <w:t xml:space="preserve">examen figurant </w:t>
      </w:r>
      <w:r w:rsidR="00B50801">
        <w:t>dans le document CBD/COP/15/2. Il est prévu que l</w:t>
      </w:r>
      <w:r w:rsidR="00F81A31">
        <w:t>’</w:t>
      </w:r>
      <w:r w:rsidR="00B50801">
        <w:t>Organe subsidiaire définisse</w:t>
      </w:r>
      <w:r>
        <w:t xml:space="preserve"> le mode de fonctionnement d</w:t>
      </w:r>
      <w:r w:rsidR="00F81A31">
        <w:t>’</w:t>
      </w:r>
      <w:r>
        <w:t>un forum qui sera mis à l</w:t>
      </w:r>
      <w:r w:rsidR="00F81A31">
        <w:t>’</w:t>
      </w:r>
      <w:r>
        <w:t xml:space="preserve">essai à </w:t>
      </w:r>
      <w:r w:rsidR="00424767">
        <w:t>sa cinquième réunion</w:t>
      </w:r>
      <w:r w:rsidR="00B50801">
        <w:t>,</w:t>
      </w:r>
      <w:r w:rsidR="00424767">
        <w:t xml:space="preserve"> et </w:t>
      </w:r>
      <w:r w:rsidR="00B50801">
        <w:t xml:space="preserve">qu’il formule </w:t>
      </w:r>
      <w:r>
        <w:t>une recommandation à l</w:t>
      </w:r>
      <w:r w:rsidR="00F81A31">
        <w:t>’</w:t>
      </w:r>
      <w:r>
        <w:t>intention de la Conférence des Parties</w:t>
      </w:r>
      <w:r w:rsidR="00424767">
        <w:t>, qui pourra</w:t>
      </w:r>
      <w:r>
        <w:t xml:space="preserve"> être mise à jour à la lumière de l</w:t>
      </w:r>
      <w:r w:rsidR="00F81A31">
        <w:t>’</w:t>
      </w:r>
      <w:r>
        <w:t>expérience acquise dans la conduite du forum.</w:t>
      </w:r>
    </w:p>
    <w:p w14:paraId="44E4DB68" w14:textId="77777777" w:rsidR="00C66A69" w:rsidRDefault="00F212AF">
      <w:pPr>
        <w:pStyle w:val="Item"/>
        <w:spacing w:before="0"/>
        <w:ind w:left="567"/>
        <w:rPr>
          <w:b w:val="0"/>
          <w:bCs/>
          <w:i/>
          <w:iCs w:val="0"/>
          <w:sz w:val="22"/>
        </w:rPr>
      </w:pPr>
      <w:r>
        <w:rPr>
          <w:rFonts w:eastAsiaTheme="majorEastAsia"/>
          <w:b w:val="0"/>
          <w:bCs/>
          <w:i/>
          <w:iCs w:val="0"/>
          <w:sz w:val="22"/>
        </w:rPr>
        <w:t>Cadre</w:t>
      </w:r>
      <w:r>
        <w:rPr>
          <w:b w:val="0"/>
          <w:bCs/>
          <w:i/>
          <w:iCs w:val="0"/>
          <w:sz w:val="22"/>
        </w:rPr>
        <w:t xml:space="preserve"> et procédures de</w:t>
      </w:r>
      <w:r>
        <w:rPr>
          <w:rFonts w:eastAsiaTheme="majorEastAsia"/>
          <w:b w:val="0"/>
          <w:bCs/>
          <w:i/>
          <w:iCs w:val="0"/>
          <w:sz w:val="22"/>
        </w:rPr>
        <w:t xml:space="preserve"> suivi</w:t>
      </w:r>
      <w:r>
        <w:rPr>
          <w:b w:val="0"/>
          <w:bCs/>
          <w:i/>
          <w:iCs w:val="0"/>
          <w:sz w:val="22"/>
        </w:rPr>
        <w:t xml:space="preserve"> de l</w:t>
      </w:r>
      <w:r w:rsidR="00F81A31">
        <w:rPr>
          <w:b w:val="0"/>
          <w:bCs/>
          <w:i/>
          <w:iCs w:val="0"/>
          <w:sz w:val="22"/>
        </w:rPr>
        <w:t>’</w:t>
      </w:r>
      <w:r>
        <w:rPr>
          <w:b w:val="0"/>
          <w:bCs/>
          <w:i/>
          <w:iCs w:val="0"/>
          <w:sz w:val="22"/>
        </w:rPr>
        <w:t>e</w:t>
      </w:r>
      <w:r w:rsidR="00F81A31">
        <w:rPr>
          <w:b w:val="0"/>
          <w:bCs/>
          <w:i/>
          <w:iCs w:val="0"/>
          <w:sz w:val="22"/>
        </w:rPr>
        <w:t xml:space="preserve">xamen </w:t>
      </w:r>
      <w:r w:rsidR="00F73A6C">
        <w:rPr>
          <w:b w:val="0"/>
          <w:bCs/>
          <w:i/>
          <w:iCs w:val="0"/>
          <w:sz w:val="22"/>
        </w:rPr>
        <w:t>mondial</w:t>
      </w:r>
      <w:r w:rsidR="00F81A31">
        <w:rPr>
          <w:b w:val="0"/>
          <w:bCs/>
          <w:i/>
          <w:iCs w:val="0"/>
          <w:sz w:val="22"/>
        </w:rPr>
        <w:t xml:space="preserve"> des progrès accompli</w:t>
      </w:r>
      <w:r>
        <w:rPr>
          <w:b w:val="0"/>
          <w:bCs/>
          <w:i/>
          <w:iCs w:val="0"/>
          <w:sz w:val="22"/>
        </w:rPr>
        <w:t>s dans la mise en œuvre du Cadre mondial de la biodiversité de Kunming-Montréal</w:t>
      </w:r>
    </w:p>
    <w:p w14:paraId="1AC21028" w14:textId="77777777" w:rsidR="00C66A69" w:rsidRDefault="00F212AF">
      <w:pPr>
        <w:pStyle w:val="Para1"/>
      </w:pPr>
      <w:r>
        <w:t>Le Secrétariat</w:t>
      </w:r>
      <w:r w:rsidR="00424767">
        <w:t xml:space="preserve"> établira une note contenant un projet</w:t>
      </w:r>
      <w:r>
        <w:t xml:space="preserve"> de procédures pour l</w:t>
      </w:r>
      <w:r w:rsidR="00F81A31">
        <w:t>’</w:t>
      </w:r>
      <w:r>
        <w:t xml:space="preserve">examen </w:t>
      </w:r>
      <w:r w:rsidR="00F73A6C">
        <w:t>mondial</w:t>
      </w:r>
      <w:r>
        <w:t xml:space="preserve"> des progrès accomplis dans la mise en œuvre du Cadre, en tenant compte des </w:t>
      </w:r>
      <w:r w:rsidR="00424767">
        <w:t>points de vue</w:t>
      </w:r>
      <w:r>
        <w:t xml:space="preserve"> des Parties et des avis que l</w:t>
      </w:r>
      <w:r w:rsidR="00F81A31">
        <w:t>’</w:t>
      </w:r>
      <w:r>
        <w:t xml:space="preserve">Organe </w:t>
      </w:r>
      <w:r w:rsidR="00F73A6C">
        <w:t>subsidiaire chargé de fournir des avis scientifiques, techniques et technologiques</w:t>
      </w:r>
      <w:r>
        <w:t xml:space="preserve"> a fourni</w:t>
      </w:r>
      <w:r w:rsidR="00B50801">
        <w:t>s dans sa recommandation 25/3. Il est prévu que l</w:t>
      </w:r>
      <w:r w:rsidR="00F81A31">
        <w:t>’</w:t>
      </w:r>
      <w:r>
        <w:t xml:space="preserve">Organe </w:t>
      </w:r>
      <w:r w:rsidR="003D1C96">
        <w:t>subsidiaire chargé de l’application</w:t>
      </w:r>
      <w:r w:rsidR="00B50801">
        <w:t xml:space="preserve"> formule</w:t>
      </w:r>
      <w:r>
        <w:t xml:space="preserve"> une recommandation sur les procédures de l</w:t>
      </w:r>
      <w:r w:rsidR="00F81A31">
        <w:t>’</w:t>
      </w:r>
      <w:r>
        <w:t xml:space="preserve">examen </w:t>
      </w:r>
      <w:r w:rsidR="00F73A6C">
        <w:t>mondial</w:t>
      </w:r>
      <w:r w:rsidR="00D3083F">
        <w:t>,</w:t>
      </w:r>
      <w:r>
        <w:t xml:space="preserve"> pour examen par la Conférence des Parties à sa seizième réunion</w:t>
      </w:r>
      <w:r w:rsidR="00D3083F">
        <w:t>,</w:t>
      </w:r>
      <w:r w:rsidR="00B50801">
        <w:t xml:space="preserve"> et qu’il prenne</w:t>
      </w:r>
      <w:r>
        <w:t xml:space="preserve"> note des progrès accomplis par l</w:t>
      </w:r>
      <w:r w:rsidR="00F81A31">
        <w:t>’</w:t>
      </w:r>
      <w:r>
        <w:t xml:space="preserve">Organe </w:t>
      </w:r>
      <w:r w:rsidR="00F73A6C">
        <w:t>subsidiaire chargé de fournir des avis scientifiques, techniques et technologiques</w:t>
      </w:r>
      <w:r w:rsidR="00D3083F">
        <w:t xml:space="preserve"> en ce qui concerne</w:t>
      </w:r>
      <w:r>
        <w:t xml:space="preserve"> le </w:t>
      </w:r>
      <w:r w:rsidR="00922FE7">
        <w:t>cadre de suivi</w:t>
      </w:r>
      <w:r>
        <w:t>.</w:t>
      </w:r>
    </w:p>
    <w:p w14:paraId="21F28D2C" w14:textId="77777777" w:rsidR="00C66A69" w:rsidRDefault="00F81A31">
      <w:pPr>
        <w:pStyle w:val="Item"/>
        <w:tabs>
          <w:tab w:val="left" w:pos="567"/>
        </w:tabs>
        <w:spacing w:before="0"/>
        <w:ind w:left="567"/>
        <w:rPr>
          <w:b w:val="0"/>
          <w:bCs/>
          <w:i/>
          <w:iCs w:val="0"/>
          <w:sz w:val="22"/>
        </w:rPr>
      </w:pPr>
      <w:r>
        <w:rPr>
          <w:rFonts w:eastAsiaTheme="majorEastAsia"/>
          <w:b w:val="0"/>
          <w:bCs/>
          <w:i/>
          <w:iCs w:val="0"/>
          <w:sz w:val="22"/>
        </w:rPr>
        <w:t>Parachèvement</w:t>
      </w:r>
      <w:r w:rsidR="00F212AF">
        <w:rPr>
          <w:b w:val="0"/>
          <w:bCs/>
          <w:i/>
          <w:iCs w:val="0"/>
          <w:sz w:val="22"/>
        </w:rPr>
        <w:t xml:space="preserve"> des modèles de rapport</w:t>
      </w:r>
    </w:p>
    <w:p w14:paraId="711EA520" w14:textId="77777777" w:rsidR="00C66A69" w:rsidRDefault="00F212AF">
      <w:pPr>
        <w:pStyle w:val="Para1"/>
      </w:pPr>
      <w:r>
        <w:t xml:space="preserve">Le Secrétariat fournira des modèles </w:t>
      </w:r>
      <w:r w:rsidR="00D3083F">
        <w:t xml:space="preserve">de rapport </w:t>
      </w:r>
      <w:r>
        <w:t>actualisés pour les septième et huitième rapports nationaux et des él</w:t>
      </w:r>
      <w:r w:rsidR="00D3083F">
        <w:t>éments de base pour la communication de données par l</w:t>
      </w:r>
      <w:r>
        <w:t>es acteurs non étatiques, ainsi que des informations sur l</w:t>
      </w:r>
      <w:r w:rsidR="00F81A31">
        <w:t>’</w:t>
      </w:r>
      <w:r>
        <w:t xml:space="preserve">outil de présentation de rapports en ligne </w:t>
      </w:r>
      <w:r w:rsidR="00D3083F">
        <w:t>et la poursuite de l’élaboration</w:t>
      </w:r>
      <w:r>
        <w:t xml:space="preserve"> de l</w:t>
      </w:r>
      <w:r w:rsidR="00F81A31">
        <w:t>’</w:t>
      </w:r>
      <w:r>
        <w:t>outil de suivi des décisions en ligne. L</w:t>
      </w:r>
      <w:r w:rsidR="00F81A31">
        <w:t>’</w:t>
      </w:r>
      <w:r>
        <w:t xml:space="preserve">Organe </w:t>
      </w:r>
      <w:r w:rsidR="003D1C96">
        <w:t>subsidiaire chargé de l’application</w:t>
      </w:r>
      <w:r w:rsidR="00D3083F">
        <w:t xml:space="preserve"> </w:t>
      </w:r>
      <w:r w:rsidR="00B50801">
        <w:t xml:space="preserve">devrait </w:t>
      </w:r>
      <w:r>
        <w:t>examiner</w:t>
      </w:r>
      <w:r w:rsidR="00B50801">
        <w:t xml:space="preserve"> et parachever</w:t>
      </w:r>
      <w:r>
        <w:t xml:space="preserve"> les modèles </w:t>
      </w:r>
      <w:r w:rsidR="00B50801">
        <w:t>de rapport ainsi que formuler</w:t>
      </w:r>
      <w:r>
        <w:t xml:space="preserve"> une recommandation</w:t>
      </w:r>
      <w:r w:rsidR="00D3083F">
        <w:t>,</w:t>
      </w:r>
      <w:r>
        <w:t xml:space="preserve"> pour adoption par la Conférence des Parties à sa seizième réunion.</w:t>
      </w:r>
    </w:p>
    <w:p w14:paraId="3FB1BC27" w14:textId="77777777" w:rsidR="00C66A69" w:rsidRDefault="00F212AF">
      <w:pPr>
        <w:pStyle w:val="Item"/>
        <w:keepNext/>
        <w:spacing w:after="0"/>
      </w:pPr>
      <w:r>
        <w:t>Point 4</w:t>
      </w:r>
    </w:p>
    <w:p w14:paraId="208C0401" w14:textId="77777777" w:rsidR="00C66A69" w:rsidRDefault="00F212AF">
      <w:pPr>
        <w:pStyle w:val="Item"/>
        <w:keepNext/>
        <w:spacing w:before="0"/>
      </w:pPr>
      <w:r>
        <w:rPr>
          <w:rFonts w:eastAsiaTheme="majorEastAsia"/>
        </w:rPr>
        <w:t>Mobilisation</w:t>
      </w:r>
      <w:r>
        <w:t xml:space="preserve"> des</w:t>
      </w:r>
      <w:r>
        <w:rPr>
          <w:rFonts w:eastAsiaTheme="majorEastAsia"/>
        </w:rPr>
        <w:t xml:space="preserve"> ressources</w:t>
      </w:r>
      <w:r>
        <w:t xml:space="preserve"> et </w:t>
      </w:r>
      <w:r w:rsidR="00922FE7">
        <w:t>mécanisme de financement</w:t>
      </w:r>
    </w:p>
    <w:p w14:paraId="36825A0E" w14:textId="77777777" w:rsidR="00C66A69" w:rsidRDefault="00F212AF">
      <w:pPr>
        <w:pStyle w:val="Heading2"/>
      </w:pPr>
      <w:r>
        <w:t>a)</w:t>
      </w:r>
      <w:r>
        <w:tab/>
        <w:t>Mobilisation des ressources</w:t>
      </w:r>
    </w:p>
    <w:p w14:paraId="41C58DB3" w14:textId="77777777" w:rsidR="00C66A69" w:rsidRDefault="00F212AF">
      <w:pPr>
        <w:pStyle w:val="Para1"/>
      </w:pPr>
      <w:r>
        <w:t xml:space="preserve">Dans sa décision </w:t>
      </w:r>
      <w:hyperlink r:id="rId19" w:history="1">
        <w:r>
          <w:rPr>
            <w:rStyle w:val="Hyperlink"/>
          </w:rPr>
          <w:t>15/7</w:t>
        </w:r>
      </w:hyperlink>
      <w:r>
        <w:t>, la Conférence des Parties a adopté la stratégie de mobilisation des ressources pour le Cadre mondial de la biodiversité de Kunming-Montréal, qui figure à l</w:t>
      </w:r>
      <w:r w:rsidR="00F81A31">
        <w:t>’</w:t>
      </w:r>
      <w:r w:rsidR="00D3083F">
        <w:t>annexe I de sa décision. Dans cette même décision, elle</w:t>
      </w:r>
      <w:r>
        <w:t xml:space="preserve"> a prié le Fonds pour l</w:t>
      </w:r>
      <w:r w:rsidR="00F81A31">
        <w:t>’</w:t>
      </w:r>
      <w:r>
        <w:t>environnement mondial (FEM) de créer un fonds d</w:t>
      </w:r>
      <w:r w:rsidR="00F81A31">
        <w:t>’</w:t>
      </w:r>
      <w:r>
        <w:t>affectation spéciale pour appuyer la mise en œuvre du Cadre (par. 30) et a décidé d</w:t>
      </w:r>
      <w:r w:rsidR="00F81A31">
        <w:t>’</w:t>
      </w:r>
      <w:r>
        <w:t xml:space="preserve">évaluer les progrès accomplis par le Fonds </w:t>
      </w:r>
      <w:r w:rsidR="00D3083F">
        <w:t>du Cadre mondial de</w:t>
      </w:r>
      <w:r>
        <w:t xml:space="preserve"> la </w:t>
      </w:r>
      <w:r w:rsidR="00D3083F">
        <w:t>biodiversité</w:t>
      </w:r>
      <w:r>
        <w:t xml:space="preserve"> à s</w:t>
      </w:r>
      <w:r w:rsidR="00D3083F">
        <w:t>es futures réunions (par. 38). E</w:t>
      </w:r>
      <w:r>
        <w:t>l</w:t>
      </w:r>
      <w:r w:rsidR="00D3083F">
        <w:t>le</w:t>
      </w:r>
      <w:r>
        <w:t xml:space="preserve"> a également décidé d</w:t>
      </w:r>
      <w:r w:rsidR="00F81A31">
        <w:t>’</w:t>
      </w:r>
      <w:r>
        <w:t>examiner la stratégie à sa seizième réunion (par. 40) et d</w:t>
      </w:r>
      <w:r w:rsidR="00F81A31">
        <w:t>’</w:t>
      </w:r>
      <w:r w:rsidR="00D3083F">
        <w:t>examiner le contexte</w:t>
      </w:r>
      <w:r>
        <w:t xml:space="preserve"> financier actuel et les propositions relatives à un instrument mondial de financement de la diversité b</w:t>
      </w:r>
      <w:r w:rsidR="00D3083F">
        <w:t xml:space="preserve">iologique (par. 41 et 42); elle a aussi </w:t>
      </w:r>
      <w:r>
        <w:t>créé un comité consultatif sur la mobilisation des ressources qui fera rapport à l</w:t>
      </w:r>
      <w:r w:rsidR="00F81A31">
        <w:t>’</w:t>
      </w:r>
      <w:r>
        <w:t>Organe subsidiaire et à la Conférence des Parties à sa seizième réunion, conformément au mandat figurant à l</w:t>
      </w:r>
      <w:r w:rsidR="00F81A31">
        <w:t>’</w:t>
      </w:r>
      <w:r>
        <w:t>annexe II de la décision (par. 43).</w:t>
      </w:r>
    </w:p>
    <w:p w14:paraId="52D9D1DC" w14:textId="77777777" w:rsidR="00C66A69" w:rsidRDefault="00F212AF">
      <w:pPr>
        <w:pStyle w:val="Para1"/>
      </w:pPr>
      <w:r>
        <w:t>L</w:t>
      </w:r>
      <w:r w:rsidR="00F81A31">
        <w:t>’</w:t>
      </w:r>
      <w:r>
        <w:t>Organe subsidiaire sera saisi d</w:t>
      </w:r>
      <w:r w:rsidR="00F81A31">
        <w:t>’</w:t>
      </w:r>
      <w:r>
        <w:t>une note du Secrétariat, qui aura été éclairée par les travaux</w:t>
      </w:r>
      <w:r w:rsidR="00D3083F">
        <w:t xml:space="preserve"> du Comité consultatif s</w:t>
      </w:r>
      <w:r>
        <w:t>ur la mobilisation des ressources. L</w:t>
      </w:r>
      <w:r w:rsidR="00F81A31">
        <w:t>’</w:t>
      </w:r>
      <w:r w:rsidR="00D3083F">
        <w:t xml:space="preserve">Organe subsidiaire </w:t>
      </w:r>
      <w:r w:rsidR="00B50801">
        <w:t>devrait élaborer</w:t>
      </w:r>
      <w:r>
        <w:t xml:space="preserve"> une </w:t>
      </w:r>
      <w:r>
        <w:lastRenderedPageBreak/>
        <w:t>recommandation sur la mobilisation des ressources, pour examen par la Conférence des Parties à sa seizième réunion, en tenant compte, entre autres, des recommandations du Comité consultatif et des progrès accomplis dans la création et la mise en service du Fonds</w:t>
      </w:r>
      <w:r w:rsidR="00D3083F">
        <w:t xml:space="preserve"> du Cadre mondial de</w:t>
      </w:r>
      <w:r>
        <w:t xml:space="preserve"> la </w:t>
      </w:r>
      <w:r w:rsidR="00D3083F">
        <w:t>biodiversité</w:t>
      </w:r>
      <w:r>
        <w:t xml:space="preserve"> par le FEM.</w:t>
      </w:r>
      <w:r w:rsidR="00D60BF6" w:rsidRPr="00C02EA4">
        <w:rPr>
          <w:rStyle w:val="FootnoteReference"/>
        </w:rPr>
        <w:footnoteReference w:id="6"/>
      </w:r>
    </w:p>
    <w:p w14:paraId="0954C9DB" w14:textId="77777777" w:rsidR="00C66A69" w:rsidRDefault="00F212AF">
      <w:pPr>
        <w:pStyle w:val="Heading2"/>
      </w:pPr>
      <w:r>
        <w:t>b)</w:t>
      </w:r>
      <w:r>
        <w:tab/>
      </w:r>
      <w:r w:rsidR="00922FE7">
        <w:t>Mécanisme de financement</w:t>
      </w:r>
    </w:p>
    <w:p w14:paraId="14D07D60" w14:textId="77777777" w:rsidR="00C66A69" w:rsidRDefault="00F212AF">
      <w:pPr>
        <w:pStyle w:val="Para1"/>
      </w:pPr>
      <w:r>
        <w:t xml:space="preserve">Dans sa décision </w:t>
      </w:r>
      <w:hyperlink r:id="rId20" w:history="1">
        <w:r>
          <w:rPr>
            <w:rStyle w:val="Hyperlink"/>
          </w:rPr>
          <w:t>15/15</w:t>
        </w:r>
      </w:hyperlink>
      <w:r>
        <w:t>, la Conférence des Parties a décidé d</w:t>
      </w:r>
      <w:r w:rsidR="00F81A31">
        <w:t>’</w:t>
      </w:r>
      <w:r>
        <w:t>adopter, à sa seizième réunion, un cadre quadr</w:t>
      </w:r>
      <w:r w:rsidR="00F72605">
        <w:t>iennal axé sur les résultats de</w:t>
      </w:r>
      <w:r>
        <w:t xml:space="preserve"> priorités de</w:t>
      </w:r>
      <w:r w:rsidR="00F72605">
        <w:t xml:space="preserve"> programme pour l’application</w:t>
      </w:r>
      <w:r>
        <w:t xml:space="preserve"> de la Convention et de ses Protocoles</w:t>
      </w:r>
      <w:r w:rsidR="00F72605">
        <w:t>,</w:t>
      </w:r>
      <w:r>
        <w:t xml:space="preserve"> afin d</w:t>
      </w:r>
      <w:r w:rsidR="00F81A31">
        <w:t>’</w:t>
      </w:r>
      <w:r>
        <w:t>éclairer la neuvième période de reconstitution du Fonds d</w:t>
      </w:r>
      <w:r w:rsidR="00F81A31">
        <w:t>’</w:t>
      </w:r>
      <w:r>
        <w:t>affectatio</w:t>
      </w:r>
      <w:r w:rsidR="00F72605">
        <w:t>n spéciale du FEM (2026-2030). E</w:t>
      </w:r>
      <w:r>
        <w:t>l</w:t>
      </w:r>
      <w:r w:rsidR="00F72605">
        <w:t>le</w:t>
      </w:r>
      <w:r>
        <w:t xml:space="preserve"> a également adopté un mandat pour une évaluation complète du montant des fond</w:t>
      </w:r>
      <w:r w:rsidR="00F72605">
        <w:t>s nécessaires à l’application</w:t>
      </w:r>
      <w:r>
        <w:t xml:space="preserve"> de la Convention et de ses Protocoles pour la neuvième période de reconstitution des ressources et pour la sixième évaluation de l</w:t>
      </w:r>
      <w:r w:rsidR="00F81A31">
        <w:t>’</w:t>
      </w:r>
      <w:r>
        <w:t xml:space="preserve">efficacité du </w:t>
      </w:r>
      <w:r w:rsidR="00922FE7">
        <w:t>mécanisme de financement</w:t>
      </w:r>
      <w:r w:rsidR="00F72605">
        <w:t>. Dans cette</w:t>
      </w:r>
      <w:r>
        <w:t xml:space="preserve"> même décision, la Conférence des Parties a donné des orientations au FEM, notamment en lui demandant de créer un fonds d</w:t>
      </w:r>
      <w:r w:rsidR="00F81A31">
        <w:t>’</w:t>
      </w:r>
      <w:r>
        <w:t>affectation spéciale pour appuyer la mise en œuvre du Cadre mondial de la biodiversité de Kunming-Montréal.</w:t>
      </w:r>
    </w:p>
    <w:p w14:paraId="1D6682CD" w14:textId="77777777" w:rsidR="00C66A69" w:rsidRDefault="00F212AF">
      <w:pPr>
        <w:pStyle w:val="Para1"/>
      </w:pPr>
      <w:r>
        <w:t xml:space="preserve">Dans sa décision </w:t>
      </w:r>
      <w:hyperlink r:id="rId21" w:history="1">
        <w:r>
          <w:rPr>
            <w:rStyle w:val="Hyperlink"/>
          </w:rPr>
          <w:t>CP-10/6</w:t>
        </w:r>
      </w:hyperlink>
      <w:r>
        <w:t xml:space="preserve">, la Conférence des </w:t>
      </w:r>
      <w:r w:rsidR="00427C4C">
        <w:t>Parties siégeant en tant que réunion</w:t>
      </w:r>
      <w:r>
        <w:t xml:space="preserve"> des Parties au Protocole de </w:t>
      </w:r>
      <w:r w:rsidR="006A7CB3">
        <w:t>Cartagena</w:t>
      </w:r>
      <w:r>
        <w:t xml:space="preserve"> a prié le Secrétaire exécutif d</w:t>
      </w:r>
      <w:r w:rsidR="00F81A31">
        <w:t>’</w:t>
      </w:r>
      <w:r>
        <w:t>analyser l</w:t>
      </w:r>
      <w:r w:rsidR="00F81A31">
        <w:t>’</w:t>
      </w:r>
      <w:r>
        <w:t xml:space="preserve">efficacité du </w:t>
      </w:r>
      <w:r w:rsidR="00922FE7">
        <w:t>mécanisme de financement</w:t>
      </w:r>
      <w:r w:rsidR="00F72605">
        <w:t xml:space="preserve"> pour l’application</w:t>
      </w:r>
      <w:r>
        <w:t xml:space="preserve"> du Protocole</w:t>
      </w:r>
      <w:r w:rsidR="00F72605">
        <w:t>,</w:t>
      </w:r>
      <w:r>
        <w:t xml:space="preserve"> lors de la sixième évaluation de l</w:t>
      </w:r>
      <w:r w:rsidR="00F81A31">
        <w:t>’</w:t>
      </w:r>
      <w:r>
        <w:t xml:space="preserve">efficacité du </w:t>
      </w:r>
      <w:r w:rsidR="00922FE7">
        <w:t>mécanisme de financement</w:t>
      </w:r>
      <w:r>
        <w:t>, tout en examinant la pertin</w:t>
      </w:r>
      <w:r w:rsidR="00F72605">
        <w:t>ence et le processus d’élaboration</w:t>
      </w:r>
      <w:r>
        <w:t xml:space="preserve"> d</w:t>
      </w:r>
      <w:r w:rsidR="00F81A31">
        <w:t>’</w:t>
      </w:r>
      <w:r w:rsidR="00F72605">
        <w:t>un poste de financement</w:t>
      </w:r>
      <w:r>
        <w:t xml:space="preserve"> autonome pour la prévention des risques biotechnologiques, pour examen par la Conférence des </w:t>
      </w:r>
      <w:r w:rsidR="00427C4C">
        <w:t>Parties siégeant en tant que réunion</w:t>
      </w:r>
      <w:r>
        <w:t xml:space="preserve"> des Parties au Protocole à sa onzième réunion.</w:t>
      </w:r>
    </w:p>
    <w:p w14:paraId="00B4AB6C" w14:textId="77777777" w:rsidR="00C66A69" w:rsidRDefault="00F212AF">
      <w:pPr>
        <w:pStyle w:val="Para1"/>
      </w:pPr>
      <w:r>
        <w:t xml:space="preserve">Dans sa décision </w:t>
      </w:r>
      <w:hyperlink r:id="rId22" w:history="1">
        <w:r>
          <w:rPr>
            <w:rStyle w:val="Hyperlink"/>
          </w:rPr>
          <w:t>NP-4/8</w:t>
        </w:r>
      </w:hyperlink>
      <w:r>
        <w:t xml:space="preserve">, la Conférence des </w:t>
      </w:r>
      <w:r w:rsidR="00427C4C">
        <w:t>Parties siégeant en tant que réunion</w:t>
      </w:r>
      <w:r>
        <w:t xml:space="preserve"> des Parties au Protocole de Nagoya a invité les Parties au Protocole à participer activement au sixième examen de l</w:t>
      </w:r>
      <w:r w:rsidR="00F81A31">
        <w:t>’</w:t>
      </w:r>
      <w:r>
        <w:t xml:space="preserve">efficacité du </w:t>
      </w:r>
      <w:r w:rsidR="00922FE7">
        <w:t>mécanisme de financement</w:t>
      </w:r>
      <w:r w:rsidR="00F72605">
        <w:t>. E</w:t>
      </w:r>
      <w:r>
        <w:t>l</w:t>
      </w:r>
      <w:r w:rsidR="00F72605">
        <w:t>le</w:t>
      </w:r>
      <w:r>
        <w:t xml:space="preserve"> a prié le Secrétaire exécutif, dans le cadre de cet examen, de recueillir des vues et des informations auprès des Parties remplissant les conditions requises sur leurs expériences et les enseignements tirés de l</w:t>
      </w:r>
      <w:r w:rsidR="00F81A31">
        <w:t>’</w:t>
      </w:r>
      <w:r>
        <w:t xml:space="preserve">accès aux fonds du </w:t>
      </w:r>
      <w:r w:rsidR="00922FE7">
        <w:t>mécanisme de financement</w:t>
      </w:r>
      <w:r w:rsidR="00F72605">
        <w:t xml:space="preserve"> pour l’application</w:t>
      </w:r>
      <w:r>
        <w:t xml:space="preserve"> du Protocole et de leur utilisation, y compris des informations sur les difficultés rencontrées et les raisons sous-jacentes, sur l</w:t>
      </w:r>
      <w:r w:rsidR="00F81A31">
        <w:t>’</w:t>
      </w:r>
      <w:r>
        <w:t xml:space="preserve">accès aux fonds du FEM et leur utilisation et </w:t>
      </w:r>
      <w:r w:rsidR="00F72605">
        <w:t>sur les obstacles éventuels à une</w:t>
      </w:r>
      <w:r>
        <w:t xml:space="preserve"> collaboration régionale.</w:t>
      </w:r>
    </w:p>
    <w:p w14:paraId="2E210383" w14:textId="77777777" w:rsidR="00C66A69" w:rsidRDefault="00F212AF">
      <w:pPr>
        <w:pStyle w:val="Para1"/>
      </w:pPr>
      <w:r>
        <w:t>L</w:t>
      </w:r>
      <w:r w:rsidR="00F81A31">
        <w:t>’</w:t>
      </w:r>
      <w:r>
        <w:t>Organe subsidiaire sera saisi d</w:t>
      </w:r>
      <w:r w:rsidR="00F81A31">
        <w:t>’</w:t>
      </w:r>
      <w:r>
        <w:t>une note du Secrétariat et, le cas échéant, d</w:t>
      </w:r>
      <w:r w:rsidR="00F81A31">
        <w:t>’</w:t>
      </w:r>
      <w:r>
        <w:t>additifs, ainsi que du rapport préliminaire du Conseil du FEM, qui portera notamment sur la créatio</w:t>
      </w:r>
      <w:r w:rsidR="00F72605">
        <w:t xml:space="preserve">n et la mise en œuvre du Fonds du </w:t>
      </w:r>
      <w:r w:rsidR="00922FE7">
        <w:t xml:space="preserve">Cadre mondial de </w:t>
      </w:r>
      <w:r w:rsidR="00B50801">
        <w:t>la biodiversité. L’Organe subsidiaire devrait adopter</w:t>
      </w:r>
      <w:r>
        <w:t xml:space="preserve"> des recommandations</w:t>
      </w:r>
      <w:r w:rsidR="00F72605">
        <w:t>,</w:t>
      </w:r>
      <w:r>
        <w:t xml:space="preserve"> pour examen par la Conférence des Parties à sa seizième réunion et, le cas échéant, par la Conférence des </w:t>
      </w:r>
      <w:r w:rsidR="00427C4C">
        <w:t>Parties siégeant en tant que réunion</w:t>
      </w:r>
      <w:r>
        <w:t xml:space="preserve"> des Parties au Protocole de </w:t>
      </w:r>
      <w:r w:rsidR="006A7CB3">
        <w:t>Cartagena</w:t>
      </w:r>
      <w:r>
        <w:t xml:space="preserve"> à sa onzième réunion et la Conférence des </w:t>
      </w:r>
      <w:r w:rsidR="00427C4C">
        <w:t>Parties siégeant en tant que réunion</w:t>
      </w:r>
      <w:r>
        <w:t xml:space="preserve"> des Parties au Protocole de Nagoya à sa cinquième réunion, concernant : a) les orientations à donner au FEM, notamment sur un cadre quadriennal de priorités de programme, les besoins</w:t>
      </w:r>
      <w:r w:rsidR="00F72605">
        <w:t xml:space="preserve"> de financement et le Fonds du Cadre mondial de la biodiversité</w:t>
      </w:r>
      <w:r w:rsidR="001761B0">
        <w:t>;</w:t>
      </w:r>
      <w:r w:rsidR="00F72605">
        <w:t xml:space="preserve"> </w:t>
      </w:r>
      <w:r>
        <w:t xml:space="preserve">b) toute autre question pertinente relative au </w:t>
      </w:r>
      <w:r w:rsidR="00922FE7">
        <w:t>mécanisme de financement</w:t>
      </w:r>
      <w:r>
        <w:t>, notamment à la lumière des conclusions de la sixième évaluation de son efficacité.</w:t>
      </w:r>
    </w:p>
    <w:p w14:paraId="439071B0" w14:textId="77777777" w:rsidR="00C66A69" w:rsidRDefault="00F212AF">
      <w:pPr>
        <w:pStyle w:val="Item"/>
        <w:keepNext/>
        <w:spacing w:after="0"/>
        <w:ind w:right="996"/>
      </w:pPr>
      <w:r>
        <w:lastRenderedPageBreak/>
        <w:t>Point 5</w:t>
      </w:r>
    </w:p>
    <w:p w14:paraId="17663BA7" w14:textId="77777777" w:rsidR="00C66A69" w:rsidRDefault="00922FE7">
      <w:pPr>
        <w:pStyle w:val="Item"/>
        <w:keepNext/>
        <w:keepLines/>
        <w:spacing w:before="0"/>
        <w:ind w:right="996"/>
      </w:pPr>
      <w:r>
        <w:rPr>
          <w:rFonts w:eastAsiaTheme="majorEastAsia"/>
        </w:rPr>
        <w:t>Renforcement et développement des capacités</w:t>
      </w:r>
      <w:r w:rsidR="00F212AF">
        <w:t>, coopérat</w:t>
      </w:r>
      <w:r>
        <w:t>ion technique et scientifique, C</w:t>
      </w:r>
      <w:r w:rsidR="00F212AF">
        <w:t>entre d</w:t>
      </w:r>
      <w:r w:rsidR="00F81A31">
        <w:t>’</w:t>
      </w:r>
      <w:r w:rsidR="00F212AF">
        <w:t>échange et gestion des connaissances au titre de la Convention et de ses Protocoles</w:t>
      </w:r>
    </w:p>
    <w:p w14:paraId="480B3535" w14:textId="77777777" w:rsidR="00C66A69" w:rsidRDefault="00F212AF">
      <w:pPr>
        <w:pStyle w:val="Heading2"/>
        <w:jc w:val="left"/>
      </w:pPr>
      <w:r>
        <w:t>a)</w:t>
      </w:r>
      <w:r>
        <w:tab/>
      </w:r>
      <w:r w:rsidR="00922FE7">
        <w:t>Renforcement et développement des capacités, Centre d</w:t>
      </w:r>
      <w:r w:rsidR="00F81A31">
        <w:t>’</w:t>
      </w:r>
      <w:r w:rsidR="00922FE7">
        <w:t>échange</w:t>
      </w:r>
      <w:r>
        <w:t xml:space="preserve"> et gestion des connaissances</w:t>
      </w:r>
    </w:p>
    <w:p w14:paraId="71050D4A" w14:textId="77777777" w:rsidR="00C66A69" w:rsidRDefault="00922FE7">
      <w:pPr>
        <w:keepNext/>
        <w:keepLines/>
        <w:ind w:left="567"/>
        <w:rPr>
          <w:i/>
          <w:iCs/>
        </w:rPr>
      </w:pPr>
      <w:r>
        <w:rPr>
          <w:i/>
          <w:iCs/>
        </w:rPr>
        <w:t>Renforcement et développement des capacités</w:t>
      </w:r>
      <w:r w:rsidR="00F212AF">
        <w:rPr>
          <w:i/>
          <w:iCs/>
        </w:rPr>
        <w:t>, et coopération technique et scientifique</w:t>
      </w:r>
    </w:p>
    <w:p w14:paraId="69DBC452" w14:textId="77777777" w:rsidR="00C66A69" w:rsidRDefault="00F212AF">
      <w:pPr>
        <w:pStyle w:val="Para1"/>
      </w:pPr>
      <w:r>
        <w:t xml:space="preserve">Au paragraphe 1 de sa décision </w:t>
      </w:r>
      <w:hyperlink r:id="rId23" w:history="1">
        <w:r>
          <w:rPr>
            <w:rStyle w:val="Hyperlink"/>
          </w:rPr>
          <w:t>15/8</w:t>
        </w:r>
      </w:hyperlink>
      <w:r>
        <w:t xml:space="preserve">, la Conférence des Parties a adopté le cadre stratégique à long terme pour le renforcement </w:t>
      </w:r>
      <w:r w:rsidR="00922FE7">
        <w:t>et le développement des capacités</w:t>
      </w:r>
      <w:r w:rsidR="00E96891">
        <w:t>,</w:t>
      </w:r>
      <w:r>
        <w:t xml:space="preserve"> afin d</w:t>
      </w:r>
      <w:r w:rsidR="00F81A31">
        <w:t>’</w:t>
      </w:r>
      <w:r>
        <w:t>appuyer les priorités définies par les Parties dans leurs stratégies et plans</w:t>
      </w:r>
      <w:r w:rsidR="003F3CFC">
        <w:t xml:space="preserve"> d</w:t>
      </w:r>
      <w:r w:rsidR="00F81A31">
        <w:t>’</w:t>
      </w:r>
      <w:r w:rsidR="003F3CFC">
        <w:t>action nationaux pour</w:t>
      </w:r>
      <w:r w:rsidR="00E96891">
        <w:t xml:space="preserve"> la diversité biologique en vue d’assurer</w:t>
      </w:r>
      <w:r>
        <w:t xml:space="preserve"> la mise en œuvre du Cadre mondial de la </w:t>
      </w:r>
      <w:r w:rsidR="00922FE7">
        <w:t>biodiversité</w:t>
      </w:r>
      <w:r w:rsidR="00E96891">
        <w:t xml:space="preserve"> de Kunming-Montréal, qui figure</w:t>
      </w:r>
      <w:r>
        <w:t xml:space="preserve"> à l</w:t>
      </w:r>
      <w:r w:rsidR="00F81A31">
        <w:t>’</w:t>
      </w:r>
      <w:r>
        <w:t xml:space="preserve">annexe I de la </w:t>
      </w:r>
      <w:r w:rsidR="00E96891">
        <w:t>décision. Au paragraphe 24 de cette</w:t>
      </w:r>
      <w:r>
        <w:t xml:space="preserve"> même décision, la Conférence des Parties a créé un groupe consultatif informel sur la coopération technique et scientifiqu</w:t>
      </w:r>
      <w:r w:rsidR="00E96891">
        <w:t>e chargé de fournir des avis</w:t>
      </w:r>
      <w:r>
        <w:t xml:space="preserve"> strat</w:t>
      </w:r>
      <w:r w:rsidR="00E96891">
        <w:t>égiques sur les mesures concrète</w:t>
      </w:r>
      <w:r>
        <w:t>s, les outils et les possibilités de promouvoir et de faciliter la coopération technique et scientifique</w:t>
      </w:r>
      <w:r w:rsidR="00E96891">
        <w:t>,</w:t>
      </w:r>
      <w:r>
        <w:t xml:space="preserve"> conformément au mandat figurant à l</w:t>
      </w:r>
      <w:r w:rsidR="00F81A31">
        <w:t>’</w:t>
      </w:r>
      <w:r>
        <w:t>annexe III de la décision.</w:t>
      </w:r>
    </w:p>
    <w:p w14:paraId="2F07621F" w14:textId="77777777" w:rsidR="00C66A69" w:rsidRDefault="00E96891">
      <w:pPr>
        <w:pStyle w:val="Para1"/>
      </w:pPr>
      <w:r>
        <w:t>Au paragraphe 25 de cette</w:t>
      </w:r>
      <w:r w:rsidR="00F212AF">
        <w:t xml:space="preserve"> même décision, la Conférence des Parties a créé un mécanisme comprenant un réseau </w:t>
      </w:r>
      <w:r>
        <w:t>de centres régionaux et/ou infra</w:t>
      </w:r>
      <w:r w:rsidR="00F212AF">
        <w:t>régionaux d</w:t>
      </w:r>
      <w:r w:rsidR="00F81A31">
        <w:t>’</w:t>
      </w:r>
      <w:r w:rsidR="00F212AF">
        <w:t>appui à la coopération technique et scientifique, coordonné au niveau mondial par une entité de coordination mondiale, comme indiqué à l</w:t>
      </w:r>
      <w:r w:rsidR="00F81A31">
        <w:t>’</w:t>
      </w:r>
      <w:r>
        <w:t>annexe II de la décision. E</w:t>
      </w:r>
      <w:r w:rsidR="00F212AF">
        <w:t>l</w:t>
      </w:r>
      <w:r>
        <w:t>le</w:t>
      </w:r>
      <w:r w:rsidR="00F212AF">
        <w:t xml:space="preserve"> a également décidé que les modalités de mise en service de l</w:t>
      </w:r>
      <w:r w:rsidR="00F81A31">
        <w:t>’</w:t>
      </w:r>
      <w:r w:rsidR="00F212AF">
        <w:t xml:space="preserve">entité de coordination mondiale </w:t>
      </w:r>
      <w:r>
        <w:t>sero</w:t>
      </w:r>
      <w:r w:rsidR="00F212AF">
        <w:t>nt élaborées par l</w:t>
      </w:r>
      <w:r w:rsidR="00F81A31">
        <w:t>’</w:t>
      </w:r>
      <w:r w:rsidR="00F212AF">
        <w:t>Organe subsidiaire</w:t>
      </w:r>
      <w:r>
        <w:t>, aux fins d’</w:t>
      </w:r>
      <w:r w:rsidR="00F212AF">
        <w:t>examen par la Conférence des Parties à sa seizième réunion (par. 27).</w:t>
      </w:r>
    </w:p>
    <w:p w14:paraId="494BFB0E" w14:textId="77777777" w:rsidR="00C66A69" w:rsidRDefault="00E96891">
      <w:pPr>
        <w:pStyle w:val="Para1"/>
      </w:pPr>
      <w:r>
        <w:t>Toujours dans cette</w:t>
      </w:r>
      <w:r w:rsidR="00F212AF">
        <w:t xml:space="preserve"> même décision, la Conférence des Parties a prié le Groupe consultatif informel sur la coopération technique et scientifique d</w:t>
      </w:r>
      <w:r w:rsidR="00F81A31">
        <w:t>’</w:t>
      </w:r>
      <w:r w:rsidR="00F212AF">
        <w:t>élaborer de</w:t>
      </w:r>
      <w:r>
        <w:t>s recommandations sur la façon</w:t>
      </w:r>
      <w:r w:rsidR="00F212AF">
        <w:t xml:space="preserve"> de suivre les </w:t>
      </w:r>
      <w:r>
        <w:t>progrès accomplis au regard du</w:t>
      </w:r>
      <w:r w:rsidR="00F212AF">
        <w:t xml:space="preserve"> cadre stratégique à long terme pour le renforcement </w:t>
      </w:r>
      <w:r w:rsidR="00922FE7">
        <w:t>et le développement des capacités</w:t>
      </w:r>
      <w:r>
        <w:t xml:space="preserve"> et d</w:t>
      </w:r>
      <w:r w:rsidR="00F212AF">
        <w:t>u mécanisme de renforcement de la coopération technique et scientifique, pour examen par l</w:t>
      </w:r>
      <w:r w:rsidR="00F81A31">
        <w:t>’</w:t>
      </w:r>
      <w:r w:rsidR="00F212AF">
        <w:t xml:space="preserve">Organe </w:t>
      </w:r>
      <w:r w:rsidR="003D1C96">
        <w:t>subsidiaire chargé de l’application</w:t>
      </w:r>
      <w:r w:rsidR="00F212AF">
        <w:t xml:space="preserve"> à sa quatrième réunion (par. 31).</w:t>
      </w:r>
    </w:p>
    <w:p w14:paraId="02EB1FFB" w14:textId="77777777" w:rsidR="00C66A69" w:rsidRDefault="00F212AF">
      <w:pPr>
        <w:pStyle w:val="Para1"/>
      </w:pPr>
      <w:r>
        <w:t>Toujours dans sa décision 15/8, la Conférence des Parties a prié le Secrétaire exécutif, en consultation avec le Bureau de la Conférence des Parties, de mettre en œuvre un processus, décrit à l</w:t>
      </w:r>
      <w:r w:rsidR="00F81A31">
        <w:t>’</w:t>
      </w:r>
      <w:r>
        <w:t>alinéa b) du paragraphe 32 de la décision, pour sélectionner les entités et les organisations qui accueilleront les centres d</w:t>
      </w:r>
      <w:r w:rsidR="00F81A31">
        <w:t>’</w:t>
      </w:r>
      <w:r w:rsidR="00E96891">
        <w:t>appui régionaux et/ou infra</w:t>
      </w:r>
      <w:r>
        <w:t>régionaux afin de promouvoir et de faciliter la coopération tec</w:t>
      </w:r>
      <w:r w:rsidR="00E96891">
        <w:t>hnique et scientifique. E</w:t>
      </w:r>
      <w:r>
        <w:t>l</w:t>
      </w:r>
      <w:r w:rsidR="00E96891">
        <w:t>le</w:t>
      </w:r>
      <w:r>
        <w:t xml:space="preserve"> a également prié le Secrétaire exécutif de présenter un rapport sur les travaux du Groupe consultatif informel</w:t>
      </w:r>
      <w:r w:rsidR="00E96891">
        <w:t>,</w:t>
      </w:r>
      <w:r>
        <w:t xml:space="preserve"> pour examen par l</w:t>
      </w:r>
      <w:r w:rsidR="00F81A31">
        <w:t>’</w:t>
      </w:r>
      <w:r>
        <w:t>Organe subsidiair</w:t>
      </w:r>
      <w:r w:rsidR="00E96891">
        <w:t>e à une réunion qui se tiendra</w:t>
      </w:r>
      <w:r>
        <w:t xml:space="preserve"> avant la seizième réunion de la Conférence des Par</w:t>
      </w:r>
      <w:r w:rsidR="00E96891">
        <w:t>ties (par. 32 k))</w:t>
      </w:r>
      <w:r>
        <w:t>.</w:t>
      </w:r>
    </w:p>
    <w:p w14:paraId="11369623" w14:textId="77777777" w:rsidR="00C66A69" w:rsidRDefault="00F212AF">
      <w:pPr>
        <w:pStyle w:val="Para1"/>
      </w:pPr>
      <w:r>
        <w:t>L</w:t>
      </w:r>
      <w:r w:rsidR="00F81A31">
        <w:t>’</w:t>
      </w:r>
      <w:r>
        <w:t>Organe subsidiaire sera saisi d</w:t>
      </w:r>
      <w:r w:rsidR="00F81A31">
        <w:t>’</w:t>
      </w:r>
      <w:r>
        <w:t xml:space="preserve">une note du Secrétariat sur les procédures de suivi du cadre stratégique à long terme pour le renforcement </w:t>
      </w:r>
      <w:r w:rsidR="00922FE7">
        <w:t>et le développement des capacités</w:t>
      </w:r>
      <w:r>
        <w:t xml:space="preserve">, les </w:t>
      </w:r>
      <w:r w:rsidR="00F81A31">
        <w:t>progrès accomplis</w:t>
      </w:r>
      <w:r>
        <w:t xml:space="preserve"> dans la sélection des organisations qui accueilleront les centres d</w:t>
      </w:r>
      <w:r w:rsidR="00F81A31">
        <w:t>’</w:t>
      </w:r>
      <w:r w:rsidR="00E96891">
        <w:t>appui régionaux et/ou infra</w:t>
      </w:r>
      <w:r>
        <w:t>régionaux</w:t>
      </w:r>
      <w:r w:rsidR="00E96891">
        <w:t>,</w:t>
      </w:r>
      <w:r>
        <w:t xml:space="preserve"> et les options concernant les modalités de mise en œuvre de l</w:t>
      </w:r>
      <w:r w:rsidR="00F81A31">
        <w:t>’</w:t>
      </w:r>
      <w:r>
        <w:t>entité de coord</w:t>
      </w:r>
      <w:r w:rsidR="00E96891">
        <w:t>ination mondiale, établie avec l’avis du</w:t>
      </w:r>
      <w:r>
        <w:t xml:space="preserve"> Groupe consultatif informel.</w:t>
      </w:r>
      <w:r w:rsidR="009C167C" w:rsidRPr="00C02EA4">
        <w:rPr>
          <w:rStyle w:val="FootnoteReference"/>
        </w:rPr>
        <w:footnoteReference w:id="7"/>
      </w:r>
      <w:r w:rsidR="00B50801">
        <w:t xml:space="preserve"> L</w:t>
      </w:r>
      <w:r w:rsidR="00F81A31">
        <w:t>’</w:t>
      </w:r>
      <w:r w:rsidR="00E96891">
        <w:t xml:space="preserve">Organe subsidiaire </w:t>
      </w:r>
      <w:r w:rsidR="00B50801">
        <w:t xml:space="preserve">devrait </w:t>
      </w:r>
      <w:r w:rsidR="00E96891">
        <w:t>adopte</w:t>
      </w:r>
      <w:r w:rsidR="00B50801">
        <w:t>r</w:t>
      </w:r>
      <w:r>
        <w:t xml:space="preserve"> une recommandation pour examen par la Conférence des Parties à sa seizième réunion.</w:t>
      </w:r>
      <w:bookmarkStart w:id="3" w:name="_Hlk146206488"/>
    </w:p>
    <w:bookmarkEnd w:id="3"/>
    <w:p w14:paraId="762A67CC" w14:textId="77777777" w:rsidR="00C66A69" w:rsidRDefault="00922FE7">
      <w:pPr>
        <w:pStyle w:val="Heading2"/>
        <w:ind w:firstLine="0"/>
        <w:rPr>
          <w:b w:val="0"/>
          <w:bCs/>
          <w:i/>
          <w:iCs/>
          <w:sz w:val="22"/>
          <w:szCs w:val="22"/>
        </w:rPr>
      </w:pPr>
      <w:r>
        <w:rPr>
          <w:b w:val="0"/>
          <w:bCs/>
          <w:i/>
          <w:iCs/>
          <w:sz w:val="22"/>
          <w:szCs w:val="22"/>
        </w:rPr>
        <w:t>C</w:t>
      </w:r>
      <w:r w:rsidR="00F212AF">
        <w:rPr>
          <w:b w:val="0"/>
          <w:bCs/>
          <w:i/>
          <w:iCs/>
          <w:sz w:val="22"/>
          <w:szCs w:val="22"/>
        </w:rPr>
        <w:t>entre d</w:t>
      </w:r>
      <w:r w:rsidR="00F81A31">
        <w:rPr>
          <w:b w:val="0"/>
          <w:bCs/>
          <w:i/>
          <w:iCs/>
          <w:sz w:val="22"/>
          <w:szCs w:val="22"/>
        </w:rPr>
        <w:t>’</w:t>
      </w:r>
      <w:r w:rsidR="00F212AF">
        <w:rPr>
          <w:b w:val="0"/>
          <w:bCs/>
          <w:i/>
          <w:iCs/>
          <w:sz w:val="22"/>
          <w:szCs w:val="22"/>
        </w:rPr>
        <w:t>échange</w:t>
      </w:r>
    </w:p>
    <w:p w14:paraId="53DCFEF6" w14:textId="77777777" w:rsidR="00C66A69" w:rsidRDefault="00F212AF">
      <w:pPr>
        <w:pStyle w:val="Para1"/>
      </w:pPr>
      <w:r>
        <w:t xml:space="preserve">Dans sa décision </w:t>
      </w:r>
      <w:hyperlink r:id="rId24" w:history="1">
        <w:r>
          <w:rPr>
            <w:rStyle w:val="Hyperlink"/>
          </w:rPr>
          <w:t>15/16</w:t>
        </w:r>
      </w:hyperlink>
      <w:r>
        <w:t>, la Conférence des Parties a décidé de proro</w:t>
      </w:r>
      <w:r w:rsidR="00E96891">
        <w:t>ger le programme de travail du C</w:t>
      </w:r>
      <w:r>
        <w:t>entre d</w:t>
      </w:r>
      <w:r w:rsidR="00F81A31">
        <w:t>’</w:t>
      </w:r>
      <w:r>
        <w:t>échange pour la période 2021-2030 et de le mettre à jour</w:t>
      </w:r>
      <w:r w:rsidR="00E96891">
        <w:t>,</w:t>
      </w:r>
      <w:r>
        <w:t xml:space="preserve"> conformément au Cadre et aux </w:t>
      </w:r>
      <w:r>
        <w:lastRenderedPageBreak/>
        <w:t>décisions, mécanismes et stratégies pertinents, pour examen par la Conférence des Parties à sa seizième réunion (par. 6). La Conférence des Parties a prié le Secrétaire exécutif d</w:t>
      </w:r>
      <w:r w:rsidR="00F81A31">
        <w:t>’</w:t>
      </w:r>
      <w:r>
        <w:t>établir, en collaboration avec l</w:t>
      </w:r>
      <w:r w:rsidR="00E96891">
        <w:t>e Groupe consultatif informel sur</w:t>
      </w:r>
      <w:r>
        <w:t xml:space="preserve"> la coopération technique et scientifique, une proposition de programme de travail </w:t>
      </w:r>
      <w:bookmarkStart w:id="4" w:name="_Hlk158310305"/>
      <w:r>
        <w:t xml:space="preserve">actualisé </w:t>
      </w:r>
      <w:bookmarkEnd w:id="4"/>
      <w:r w:rsidR="00E96891">
        <w:t>et de la transmettre</w:t>
      </w:r>
      <w:r>
        <w:t xml:space="preserve"> </w:t>
      </w:r>
      <w:r w:rsidR="00E96891">
        <w:t xml:space="preserve">pour examen par </w:t>
      </w:r>
      <w:r>
        <w:t>l</w:t>
      </w:r>
      <w:r w:rsidR="00F81A31">
        <w:t>’</w:t>
      </w:r>
      <w:r>
        <w:t>Organe subsidiaire à sa quatrième réunion</w:t>
      </w:r>
      <w:r w:rsidR="00E96891">
        <w:t xml:space="preserve"> et par </w:t>
      </w:r>
      <w:r>
        <w:t>la Conférence des Parties</w:t>
      </w:r>
      <w:r w:rsidR="00E96891">
        <w:t xml:space="preserve"> à sa seizième réunion (par. 9 f))</w:t>
      </w:r>
      <w:r>
        <w:t>.</w:t>
      </w:r>
    </w:p>
    <w:p w14:paraId="602DF4F6" w14:textId="77777777" w:rsidR="00C66A69" w:rsidRDefault="00F212AF">
      <w:pPr>
        <w:pStyle w:val="Para1"/>
      </w:pPr>
      <w:r>
        <w:t>L</w:t>
      </w:r>
      <w:r w:rsidR="00F81A31">
        <w:t>’</w:t>
      </w:r>
      <w:r>
        <w:t>Organe subsidiaire sera saisi d</w:t>
      </w:r>
      <w:r w:rsidR="00F81A31">
        <w:t>’</w:t>
      </w:r>
      <w:r>
        <w:t xml:space="preserve">une note du Secrétariat </w:t>
      </w:r>
      <w:r w:rsidR="00E96891">
        <w:t>sur le programme de travail du C</w:t>
      </w:r>
      <w:r>
        <w:t>entre d</w:t>
      </w:r>
      <w:r w:rsidR="00F81A31">
        <w:t>’</w:t>
      </w:r>
      <w:r w:rsidR="002E10E4">
        <w:t xml:space="preserve">échange et </w:t>
      </w:r>
      <w:r w:rsidR="00B50801">
        <w:t>devrait adopter</w:t>
      </w:r>
      <w:r>
        <w:t xml:space="preserve"> une recommandation</w:t>
      </w:r>
      <w:r w:rsidR="00B50801">
        <w:t>,</w:t>
      </w:r>
      <w:r>
        <w:t xml:space="preserve"> pour examen par la Conférence des Parties à sa seizième réunion.</w:t>
      </w:r>
    </w:p>
    <w:p w14:paraId="5E1B7A26" w14:textId="77777777" w:rsidR="00C66A69" w:rsidRDefault="00F212AF">
      <w:pPr>
        <w:pStyle w:val="Heading2"/>
        <w:ind w:firstLine="0"/>
        <w:rPr>
          <w:b w:val="0"/>
          <w:bCs/>
          <w:i/>
          <w:iCs/>
          <w:sz w:val="22"/>
          <w:szCs w:val="22"/>
        </w:rPr>
      </w:pPr>
      <w:r>
        <w:rPr>
          <w:b w:val="0"/>
          <w:bCs/>
          <w:i/>
          <w:iCs/>
          <w:sz w:val="22"/>
          <w:szCs w:val="22"/>
        </w:rPr>
        <w:t>Gestion des connaissances</w:t>
      </w:r>
    </w:p>
    <w:p w14:paraId="5F29FC83" w14:textId="77777777" w:rsidR="00C66A69" w:rsidRDefault="002E10E4">
      <w:pPr>
        <w:pStyle w:val="Para1"/>
      </w:pPr>
      <w:r>
        <w:t>Dans cette</w:t>
      </w:r>
      <w:r w:rsidR="00F212AF">
        <w:t xml:space="preserve"> même décision, la Conférence des Parties a prié le Secrétaire exécutif d</w:t>
      </w:r>
      <w:r w:rsidR="00F81A31">
        <w:t>’</w:t>
      </w:r>
      <w:r w:rsidR="00F212AF">
        <w:t>élaborer plus avant, en collaboration avec les Parties et les organisations compétentes et avec l</w:t>
      </w:r>
      <w:r w:rsidR="00F81A31">
        <w:t>’</w:t>
      </w:r>
      <w:r w:rsidR="00F212AF">
        <w:t>appui d</w:t>
      </w:r>
      <w:r>
        <w:t>u Groupe consultatif informel sur</w:t>
      </w:r>
      <w:r w:rsidR="00F212AF">
        <w:t xml:space="preserve"> la coopération technique et scientifique, le projet d</w:t>
      </w:r>
      <w:r>
        <w:t>e composante de gestion des connaissances</w:t>
      </w:r>
      <w:r w:rsidR="00F212AF">
        <w:t xml:space="preserve"> du Cadre</w:t>
      </w:r>
      <w:r>
        <w:t>, aux fins d’</w:t>
      </w:r>
      <w:r w:rsidR="00F212AF">
        <w:t>examen collégial par les Parties</w:t>
      </w:r>
      <w:r>
        <w:t xml:space="preserve"> et d’examen </w:t>
      </w:r>
      <w:r w:rsidR="00F212AF">
        <w:t>par le Groupe de travail spécial intersessions à composition non limitée sur l</w:t>
      </w:r>
      <w:r w:rsidR="00F81A31">
        <w:t>’</w:t>
      </w:r>
      <w:r w:rsidR="00F212AF">
        <w:t>article 8 j) et les dispositions connexes de la Convention à sa douzième réunion</w:t>
      </w:r>
      <w:r>
        <w:t>, et pour examen</w:t>
      </w:r>
      <w:r w:rsidR="00F212AF">
        <w:t xml:space="preserve"> par l</w:t>
      </w:r>
      <w:r w:rsidR="00F81A31">
        <w:t>’</w:t>
      </w:r>
      <w:r w:rsidR="00F212AF">
        <w:t xml:space="preserve">Organe </w:t>
      </w:r>
      <w:r w:rsidR="003D1C96">
        <w:t>subsidiaire chargé de l’application</w:t>
      </w:r>
      <w:r w:rsidR="00F212AF">
        <w:t xml:space="preserve"> à sa quatrième réunion et par la Conférence des Parties à sa seizième réunion.</w:t>
      </w:r>
      <w:r w:rsidR="009F19F9" w:rsidRPr="00C02EA4">
        <w:rPr>
          <w:vertAlign w:val="superscript"/>
        </w:rPr>
        <w:footnoteReference w:id="8"/>
      </w:r>
    </w:p>
    <w:p w14:paraId="68C91F54" w14:textId="77777777" w:rsidR="00C66A69" w:rsidRDefault="00F212AF">
      <w:pPr>
        <w:pStyle w:val="Para1"/>
      </w:pPr>
      <w:r>
        <w:t>L</w:t>
      </w:r>
      <w:r w:rsidR="00F81A31">
        <w:t>’</w:t>
      </w:r>
      <w:r>
        <w:t>Organe subsidiaire sera saisi d</w:t>
      </w:r>
      <w:r w:rsidR="00F81A31">
        <w:t>’</w:t>
      </w:r>
      <w:r>
        <w:t>une note du Secrétariat contenant un projet actualisé de stratégie de gestion des connaissances à l</w:t>
      </w:r>
      <w:r w:rsidR="00F81A31">
        <w:t>’</w:t>
      </w:r>
      <w:r>
        <w:t>appui de la mise en œuvre du Cadre, ainsi que du rapport du Groupe de travail spécial intersessions à composition non limitée sur l</w:t>
      </w:r>
      <w:r w:rsidR="00F81A31">
        <w:t>’</w:t>
      </w:r>
      <w:r>
        <w:t xml:space="preserve">article 8 j) sur </w:t>
      </w:r>
      <w:r w:rsidR="002E10E4">
        <w:t>les travaux de sa douzièm</w:t>
      </w:r>
      <w:r w:rsidR="00B50801">
        <w:t>e réunion, et devrait</w:t>
      </w:r>
      <w:r w:rsidR="002E10E4">
        <w:t xml:space="preserve"> adopte</w:t>
      </w:r>
      <w:r w:rsidR="00B50801">
        <w:t>r</w:t>
      </w:r>
      <w:r>
        <w:t xml:space="preserve"> une recommandation</w:t>
      </w:r>
      <w:r w:rsidR="00B50801">
        <w:t>,</w:t>
      </w:r>
      <w:r>
        <w:t xml:space="preserve"> pour examen par la Conférence des Parties à sa seizième réunion.</w:t>
      </w:r>
    </w:p>
    <w:p w14:paraId="06C3CF62" w14:textId="77777777" w:rsidR="00C66A69" w:rsidRDefault="00F212AF">
      <w:pPr>
        <w:pStyle w:val="Heading2"/>
        <w:jc w:val="left"/>
      </w:pPr>
      <w:r>
        <w:t>b)</w:t>
      </w:r>
      <w:r>
        <w:tab/>
        <w:t>Plan d</w:t>
      </w:r>
      <w:r w:rsidR="00F81A31">
        <w:t>’</w:t>
      </w:r>
      <w:r>
        <w:t xml:space="preserve">action pour le renforcement </w:t>
      </w:r>
      <w:r w:rsidR="00922FE7">
        <w:t>et le développement des capacités</w:t>
      </w:r>
      <w:r>
        <w:t xml:space="preserve"> du Protocole de Nagoya</w:t>
      </w:r>
    </w:p>
    <w:p w14:paraId="20F78B5D" w14:textId="77777777" w:rsidR="00C66A69" w:rsidRDefault="00F212AF">
      <w:pPr>
        <w:pStyle w:val="Para1"/>
      </w:pPr>
      <w:r>
        <w:t xml:space="preserve">À sa première réunion, la Conférence des </w:t>
      </w:r>
      <w:r w:rsidR="00427C4C">
        <w:t>Parties siégeant en tant que réunion</w:t>
      </w:r>
      <w:r>
        <w:t xml:space="preserve"> des Parties au Protocole de Nagoya a adopté le cadre stratégique pour le renforcement </w:t>
      </w:r>
      <w:r w:rsidR="00922FE7">
        <w:t>et le développement des capacités</w:t>
      </w:r>
      <w:r>
        <w:t xml:space="preserve"> à l</w:t>
      </w:r>
      <w:r w:rsidR="00F81A31">
        <w:t>’</w:t>
      </w:r>
      <w:r>
        <w:t xml:space="preserve">appui de la mise en œuvre effective du Protocole (décision </w:t>
      </w:r>
      <w:hyperlink r:id="rId25" w:history="1">
        <w:r>
          <w:rPr>
            <w:rStyle w:val="Hyperlink"/>
          </w:rPr>
          <w:t>NP-1/8</w:t>
        </w:r>
      </w:hyperlink>
      <w:r>
        <w:t>) et, à sa troisième réunion, a décidé d</w:t>
      </w:r>
      <w:r w:rsidR="00F81A31">
        <w:t>’</w:t>
      </w:r>
      <w:r w:rsidR="002E10E4">
        <w:t>évaluer c</w:t>
      </w:r>
      <w:r>
        <w:t>e cadre</w:t>
      </w:r>
      <w:r w:rsidR="002E10E4">
        <w:t>,</w:t>
      </w:r>
      <w:r>
        <w:t xml:space="preserve"> sur la base des éléments figurant dans l</w:t>
      </w:r>
      <w:r w:rsidR="00F81A31">
        <w:t>’</w:t>
      </w:r>
      <w:r>
        <w:t xml:space="preserve">annexe à sa décision </w:t>
      </w:r>
      <w:hyperlink r:id="rId26" w:history="1">
        <w:r>
          <w:rPr>
            <w:rStyle w:val="Hyperlink"/>
          </w:rPr>
          <w:t>NP-3/5</w:t>
        </w:r>
      </w:hyperlink>
      <w:r>
        <w:t xml:space="preserve">. </w:t>
      </w:r>
    </w:p>
    <w:p w14:paraId="53AA416E" w14:textId="77777777" w:rsidR="00C66A69" w:rsidRDefault="00F212AF">
      <w:pPr>
        <w:pStyle w:val="Para1"/>
      </w:pPr>
      <w:r>
        <w:t xml:space="preserve">Dans sa décision </w:t>
      </w:r>
      <w:hyperlink r:id="rId27" w:history="1">
        <w:r>
          <w:rPr>
            <w:rStyle w:val="Hyperlink"/>
          </w:rPr>
          <w:t>NP-4/7</w:t>
        </w:r>
      </w:hyperlink>
      <w:r>
        <w:t xml:space="preserve">, la Conférence des </w:t>
      </w:r>
      <w:r w:rsidR="00427C4C">
        <w:t>Parties siégeant en tant que réunion</w:t>
      </w:r>
      <w:r>
        <w:t xml:space="preserve"> des Parties au Protocole de Nagoya a pris note des conclusions et</w:t>
      </w:r>
      <w:r w:rsidR="002E10E4">
        <w:t xml:space="preserve"> des</w:t>
      </w:r>
      <w:r>
        <w:t xml:space="preserve"> recommandations de l</w:t>
      </w:r>
      <w:r w:rsidR="00F81A31">
        <w:t>’</w:t>
      </w:r>
      <w:r>
        <w:t>évaluation du cadre</w:t>
      </w:r>
      <w:r w:rsidRPr="00C02EA4">
        <w:rPr>
          <w:vertAlign w:val="superscript"/>
        </w:rPr>
        <w:footnoteReference w:id="9"/>
      </w:r>
      <w:r>
        <w:t xml:space="preserve"> stratégique (par. 1) et s</w:t>
      </w:r>
      <w:r w:rsidR="00F81A31">
        <w:t>’</w:t>
      </w:r>
      <w:r>
        <w:t>est félicitée des recommandations visant à l</w:t>
      </w:r>
      <w:r w:rsidR="00F81A31">
        <w:t>’</w:t>
      </w:r>
      <w:r w:rsidR="002E10E4">
        <w:t>améliorer (par. 3). Dans cette même décision, e</w:t>
      </w:r>
      <w:r>
        <w:t>l</w:t>
      </w:r>
      <w:r w:rsidR="002E10E4">
        <w:t>le</w:t>
      </w:r>
      <w:r>
        <w:t xml:space="preserve"> a prié le Secrétaire exécutif d</w:t>
      </w:r>
      <w:r w:rsidR="00F81A31">
        <w:t>’</w:t>
      </w:r>
      <w:r>
        <w:t xml:space="preserve">élaborer, en consultation avec les Parties, un cadre stratégique révisé pour le renforcement </w:t>
      </w:r>
      <w:r w:rsidR="00922FE7">
        <w:t>et le développement des capacités</w:t>
      </w:r>
      <w:r w:rsidR="002E10E4">
        <w:t>,</w:t>
      </w:r>
      <w:r>
        <w:t xml:space="preserve"> afin d</w:t>
      </w:r>
      <w:r w:rsidR="00F81A31">
        <w:t>’</w:t>
      </w:r>
      <w:r>
        <w:t>appuyer la mise en œuvre effective du Protocole, conforméme</w:t>
      </w:r>
      <w:r w:rsidR="00922FE7">
        <w:t>nt au Cadre mondial de</w:t>
      </w:r>
      <w:r>
        <w:t xml:space="preserve"> la biodiversité de Kunming-Montréal et au cadre stratégique à long terme pour le renforcement </w:t>
      </w:r>
      <w:r w:rsidR="00922FE7">
        <w:t>et le développement des capacités</w:t>
      </w:r>
      <w:r w:rsidR="002E10E4">
        <w:t xml:space="preserve">, en tenant </w:t>
      </w:r>
      <w:r>
        <w:t>compte des conclusions de l</w:t>
      </w:r>
      <w:r w:rsidR="00F81A31">
        <w:t>’</w:t>
      </w:r>
      <w:r>
        <w:t>évaluation, pour examen par l</w:t>
      </w:r>
      <w:r w:rsidR="00F81A31">
        <w:t>’</w:t>
      </w:r>
      <w:r>
        <w:t xml:space="preserve">Organe subsidiaire à sa quatrième réunion et </w:t>
      </w:r>
      <w:r w:rsidR="002E10E4">
        <w:t>aux fins d’</w:t>
      </w:r>
      <w:r>
        <w:t xml:space="preserve">adoption par la Conférence des </w:t>
      </w:r>
      <w:r w:rsidR="00427C4C">
        <w:t>Parties siégeant en tant que réunion</w:t>
      </w:r>
      <w:r>
        <w:t xml:space="preserve"> des Parties au Protocole à sa cinquième réunion (par. 8).</w:t>
      </w:r>
    </w:p>
    <w:p w14:paraId="459D0036" w14:textId="77777777" w:rsidR="00C66A69" w:rsidRDefault="00F212AF">
      <w:pPr>
        <w:pStyle w:val="Para1"/>
      </w:pPr>
      <w:r>
        <w:t>L</w:t>
      </w:r>
      <w:r w:rsidR="00F81A31">
        <w:t>’</w:t>
      </w:r>
      <w:r>
        <w:t>Organe subsidiaire sera saisi d</w:t>
      </w:r>
      <w:r w:rsidR="00F81A31">
        <w:t>’</w:t>
      </w:r>
      <w:r>
        <w:t>une note du Secrétariat contenant une proposition de plan d</w:t>
      </w:r>
      <w:r w:rsidR="00F81A31">
        <w:t>’</w:t>
      </w:r>
      <w:r>
        <w:t xml:space="preserve">action pour le renforcement </w:t>
      </w:r>
      <w:r w:rsidR="00922FE7">
        <w:t>et le développement des capacités</w:t>
      </w:r>
      <w:r w:rsidR="002E10E4">
        <w:t xml:space="preserve"> du Protocole de Nagoya et devrait adopter</w:t>
      </w:r>
      <w:r>
        <w:t xml:space="preserve"> une recommandation à cet égard</w:t>
      </w:r>
      <w:r w:rsidR="002E10E4">
        <w:t>,</w:t>
      </w:r>
      <w:r>
        <w:t xml:space="preserve"> pour examen par la Conférence des </w:t>
      </w:r>
      <w:r w:rsidR="00427C4C">
        <w:t>Parties siégeant en tant que réunion</w:t>
      </w:r>
      <w:r>
        <w:t xml:space="preserve"> des Parties au Protocole à sa cinquième réunion.</w:t>
      </w:r>
    </w:p>
    <w:p w14:paraId="331DFCFF" w14:textId="77777777" w:rsidR="00C66A69" w:rsidRDefault="00F212AF">
      <w:pPr>
        <w:pStyle w:val="Item"/>
        <w:keepNext/>
        <w:spacing w:after="0"/>
      </w:pPr>
      <w:r>
        <w:lastRenderedPageBreak/>
        <w:t>Point 6</w:t>
      </w:r>
    </w:p>
    <w:p w14:paraId="207F9343" w14:textId="77777777" w:rsidR="00C66A69" w:rsidRDefault="00F212AF">
      <w:pPr>
        <w:pStyle w:val="Item"/>
        <w:keepNext/>
        <w:spacing w:before="0"/>
      </w:pPr>
      <w:r>
        <w:t>Communication</w:t>
      </w:r>
    </w:p>
    <w:p w14:paraId="594135E6" w14:textId="77777777" w:rsidR="00C66A69" w:rsidRDefault="00F212AF">
      <w:pPr>
        <w:pStyle w:val="Para1"/>
      </w:pPr>
      <w:r>
        <w:t xml:space="preserve">Par sa décision </w:t>
      </w:r>
      <w:hyperlink r:id="rId28" w:history="1">
        <w:r>
          <w:rPr>
            <w:rStyle w:val="Hyperlink"/>
          </w:rPr>
          <w:t>15/14</w:t>
        </w:r>
      </w:hyperlink>
      <w:r>
        <w:t>, la Conférence des Parties a adopté une stratégie de communication pour appuyer la mise en œuvre du Cadre mondial</w:t>
      </w:r>
      <w:r w:rsidR="00922FE7">
        <w:t xml:space="preserve"> de la biodiversité</w:t>
      </w:r>
      <w:r>
        <w:t xml:space="preserve"> de Kunmi</w:t>
      </w:r>
      <w:r w:rsidR="00922FE7">
        <w:t>ng-Montréal</w:t>
      </w:r>
      <w:r w:rsidR="002E10E4">
        <w:t>. Dans cette même décision, e</w:t>
      </w:r>
      <w:r>
        <w:t>l</w:t>
      </w:r>
      <w:r w:rsidR="002E10E4">
        <w:t>le</w:t>
      </w:r>
      <w:r>
        <w:t xml:space="preserve"> a prié le Secrétaire exécutif de mettre à jour le programme de travail sur la communication, l</w:t>
      </w:r>
      <w:r w:rsidR="00F81A31">
        <w:t>’</w:t>
      </w:r>
      <w:r>
        <w:t>éducation et l</w:t>
      </w:r>
      <w:r w:rsidR="002E10E4">
        <w:t>a sensibilisation du public de</w:t>
      </w:r>
      <w:r>
        <w:t xml:space="preserve"> la Convention, en collaboration avec le Comité consultat</w:t>
      </w:r>
      <w:r w:rsidR="00A06BFE">
        <w:t xml:space="preserve">if informel sur la communication, </w:t>
      </w:r>
      <w:r>
        <w:t>l</w:t>
      </w:r>
      <w:r w:rsidR="00F81A31">
        <w:t>’</w:t>
      </w:r>
      <w:r w:rsidR="00A06BFE">
        <w:t xml:space="preserve">éducation et </w:t>
      </w:r>
      <w:r>
        <w:t>la sensibilisation du public, et d</w:t>
      </w:r>
      <w:r w:rsidR="00F81A31">
        <w:t>’</w:t>
      </w:r>
      <w:r w:rsidR="00A06BFE">
        <w:t>élaborer de nouvelles lignes directrices pour une</w:t>
      </w:r>
      <w:r>
        <w:t xml:space="preserve"> mise en œuvre aux niveaux national, infranational et local, pour examen par l</w:t>
      </w:r>
      <w:r w:rsidR="00F81A31">
        <w:t>’</w:t>
      </w:r>
      <w:r>
        <w:t>Organe subsidiaire à sa quatrième réunion et par la Conférence des Parties à sa seizième réunion.</w:t>
      </w:r>
    </w:p>
    <w:p w14:paraId="35BD9A1D" w14:textId="77777777" w:rsidR="00C66A69" w:rsidRDefault="00F212AF">
      <w:pPr>
        <w:pStyle w:val="Para1"/>
      </w:pPr>
      <w:r>
        <w:t>L</w:t>
      </w:r>
      <w:r w:rsidR="00F81A31">
        <w:t>’</w:t>
      </w:r>
      <w:r>
        <w:t>Organe subsidiaire sera saisi d</w:t>
      </w:r>
      <w:r w:rsidR="00F81A31">
        <w:t>’</w:t>
      </w:r>
      <w:r>
        <w:t>une note du Secrétariat et devrait adopter une recommandation pour examen par la Conférence des Parties à sa seizième réunion.</w:t>
      </w:r>
    </w:p>
    <w:p w14:paraId="45CE110B" w14:textId="77777777" w:rsidR="00C66A69" w:rsidRDefault="00F212AF">
      <w:pPr>
        <w:pStyle w:val="Item"/>
        <w:spacing w:after="0"/>
      </w:pPr>
      <w:r>
        <w:t>Point 7</w:t>
      </w:r>
    </w:p>
    <w:p w14:paraId="0D70A9EB" w14:textId="77777777" w:rsidR="00C66A69" w:rsidRDefault="00F212AF">
      <w:pPr>
        <w:pStyle w:val="Item"/>
        <w:spacing w:before="0"/>
      </w:pPr>
      <w:r>
        <w:t>Coopération avec d</w:t>
      </w:r>
      <w:r w:rsidR="00F81A31">
        <w:t>’</w:t>
      </w:r>
      <w:r>
        <w:t>autres conventions et organisations internationales</w:t>
      </w:r>
    </w:p>
    <w:p w14:paraId="36334475" w14:textId="77777777" w:rsidR="00C66A69" w:rsidRDefault="00F212AF">
      <w:pPr>
        <w:pStyle w:val="Para1"/>
      </w:pPr>
      <w:r>
        <w:t xml:space="preserve">Dans ses décisions </w:t>
      </w:r>
      <w:hyperlink r:id="rId29" w:history="1">
        <w:r w:rsidRPr="001761B0">
          <w:rPr>
            <w:rStyle w:val="Hyperlink"/>
          </w:rPr>
          <w:t>15/4</w:t>
        </w:r>
      </w:hyperlink>
      <w:r>
        <w:t xml:space="preserve">, </w:t>
      </w:r>
      <w:hyperlink r:id="rId30" w:history="1">
        <w:r>
          <w:rPr>
            <w:rStyle w:val="Hyperlink"/>
          </w:rPr>
          <w:t>15/5</w:t>
        </w:r>
      </w:hyperlink>
      <w:r>
        <w:t xml:space="preserve">, </w:t>
      </w:r>
      <w:hyperlink r:id="rId31" w:history="1">
        <w:r>
          <w:rPr>
            <w:rStyle w:val="Hyperlink"/>
          </w:rPr>
          <w:t>15/6</w:t>
        </w:r>
      </w:hyperlink>
      <w:r>
        <w:t xml:space="preserve">, </w:t>
      </w:r>
      <w:hyperlink r:id="rId32" w:history="1">
        <w:r>
          <w:rPr>
            <w:rStyle w:val="Hyperlink"/>
          </w:rPr>
          <w:t>15/8</w:t>
        </w:r>
      </w:hyperlink>
      <w:r>
        <w:t xml:space="preserve"> et </w:t>
      </w:r>
      <w:hyperlink r:id="rId33" w:history="1">
        <w:r>
          <w:rPr>
            <w:rStyle w:val="Hyperlink"/>
          </w:rPr>
          <w:t>15/13</w:t>
        </w:r>
      </w:hyperlink>
      <w:r>
        <w:t>, entre autres, la Conférence des Parties a souligné l</w:t>
      </w:r>
      <w:r w:rsidR="00F81A31">
        <w:t>’</w:t>
      </w:r>
      <w:r>
        <w:t>importance de la coopération avec d</w:t>
      </w:r>
      <w:r w:rsidR="00F81A31">
        <w:t>’</w:t>
      </w:r>
      <w:r>
        <w:t>autres conventions et organ</w:t>
      </w:r>
      <w:r w:rsidR="00A06BFE">
        <w:t>isations internationales pour assurer le succès de la mise en œuvre</w:t>
      </w:r>
      <w:r>
        <w:t xml:space="preserve"> du Cadre mondial </w:t>
      </w:r>
      <w:r w:rsidR="00922FE7">
        <w:t xml:space="preserve">de la biodiversité </w:t>
      </w:r>
      <w:r>
        <w:t>de Kunmi</w:t>
      </w:r>
      <w:r w:rsidR="00922FE7">
        <w:t>ng-Montréal</w:t>
      </w:r>
      <w:r>
        <w:t>.</w:t>
      </w:r>
    </w:p>
    <w:p w14:paraId="67D61D29" w14:textId="77777777" w:rsidR="00C66A69" w:rsidRDefault="00F212AF">
      <w:pPr>
        <w:pStyle w:val="Para1"/>
      </w:pPr>
      <w:r>
        <w:t xml:space="preserve">Dans sa décision </w:t>
      </w:r>
      <w:hyperlink r:id="rId34" w:history="1">
        <w:r>
          <w:rPr>
            <w:rStyle w:val="Hyperlink"/>
          </w:rPr>
          <w:t>15/13</w:t>
        </w:r>
      </w:hyperlink>
      <w:r>
        <w:t>, la Conférence des Parties a prié le Secrétaire exécutif de recenser les possibilités de coopération avec les conventions relatives à la diversité biologique et d</w:t>
      </w:r>
      <w:r w:rsidR="00F81A31">
        <w:t>’</w:t>
      </w:r>
      <w:r>
        <w:t>autres accords et organisations multilatéraux sur l</w:t>
      </w:r>
      <w:r w:rsidR="00F81A31">
        <w:t>’</w:t>
      </w:r>
      <w:r>
        <w:t>envi</w:t>
      </w:r>
      <w:r w:rsidR="00A06BFE">
        <w:t>ronnement pertinents, afin de</w:t>
      </w:r>
      <w:r>
        <w:t xml:space="preserve"> con</w:t>
      </w:r>
      <w:r w:rsidR="00A06BFE">
        <w:t>tribuer à la réalisation des objectif</w:t>
      </w:r>
      <w:r>
        <w:t xml:space="preserve">s et </w:t>
      </w:r>
      <w:r w:rsidR="00A06BFE">
        <w:t>des cibles</w:t>
      </w:r>
      <w:r>
        <w:t xml:space="preserve"> du Cadre, et de fournir une liste des initiatives et plans d</w:t>
      </w:r>
      <w:r w:rsidR="00F81A31">
        <w:t>’</w:t>
      </w:r>
      <w:r>
        <w:t>action pertinents</w:t>
      </w:r>
      <w:r w:rsidR="00A06BFE">
        <w:t xml:space="preserve">, pour </w:t>
      </w:r>
      <w:r>
        <w:t>examen par l</w:t>
      </w:r>
      <w:r w:rsidR="00F81A31">
        <w:t>’</w:t>
      </w:r>
      <w:r>
        <w:t>Organe subsi</w:t>
      </w:r>
      <w:r w:rsidR="00A06BFE">
        <w:t>diaire à sa quatrième réunion. E</w:t>
      </w:r>
      <w:r>
        <w:t>l</w:t>
      </w:r>
      <w:r w:rsidR="00A06BFE">
        <w:t>le</w:t>
      </w:r>
      <w:r>
        <w:t xml:space="preserve"> a également prié le Secrétaire exécutif, entre autres, de participer activement au processus de Berne sur la coopératio</w:t>
      </w:r>
      <w:r w:rsidR="00A06BFE">
        <w:t>n entre les Parties aux différentes</w:t>
      </w:r>
      <w:r>
        <w:t xml:space="preserve"> conventions relatives à la biodiversité</w:t>
      </w:r>
      <w:r w:rsidR="00A06BFE">
        <w:t>, animé</w:t>
      </w:r>
      <w:r>
        <w:t xml:space="preserve"> par le Programme des Nations Unies pour l</w:t>
      </w:r>
      <w:r w:rsidR="00F81A31">
        <w:t>’</w:t>
      </w:r>
      <w:r>
        <w:t>environnement. En ce qui concerne ce dernier point, il convient de noter qu</w:t>
      </w:r>
      <w:r w:rsidR="00F81A31">
        <w:t>’</w:t>
      </w:r>
      <w:r>
        <w:t>une Conférence de Berne III sur la coopération entre les conventions relatives à la biodiversité pour la mise en œuvre du Cadre mondial de la biodiversité de Kunming-Montréal s</w:t>
      </w:r>
      <w:r w:rsidR="00F81A31">
        <w:t>’</w:t>
      </w:r>
      <w:r>
        <w:t>est tenue du 23 au 25 janvier 2024.</w:t>
      </w:r>
    </w:p>
    <w:p w14:paraId="1C2993E0" w14:textId="77777777" w:rsidR="00C66A69" w:rsidRDefault="00F212AF">
      <w:pPr>
        <w:pStyle w:val="Para1"/>
      </w:pPr>
      <w:r>
        <w:t>L</w:t>
      </w:r>
      <w:r w:rsidR="00F81A31">
        <w:t>’</w:t>
      </w:r>
      <w:r>
        <w:t>Organe subsidiaire sera saisi d</w:t>
      </w:r>
      <w:r w:rsidR="00F81A31">
        <w:t>’</w:t>
      </w:r>
      <w:r>
        <w:t>une note du Secrétariat et devrait adopter une recommandation sur la coopération avec d</w:t>
      </w:r>
      <w:r w:rsidR="00F81A31">
        <w:t>’</w:t>
      </w:r>
      <w:r>
        <w:t>autres conventions et organisations</w:t>
      </w:r>
      <w:r w:rsidR="00A06BFE">
        <w:t>,</w:t>
      </w:r>
      <w:r>
        <w:t xml:space="preserve"> pour examen par la Conférence des Parties à sa seizième réunion.</w:t>
      </w:r>
    </w:p>
    <w:p w14:paraId="021AB406" w14:textId="77777777" w:rsidR="00C66A69" w:rsidRDefault="00F212AF">
      <w:pPr>
        <w:pStyle w:val="Item"/>
        <w:spacing w:after="0"/>
      </w:pPr>
      <w:r>
        <w:t>Point 8</w:t>
      </w:r>
    </w:p>
    <w:p w14:paraId="5578EDC5" w14:textId="77777777" w:rsidR="00C66A69" w:rsidRDefault="00F212AF">
      <w:pPr>
        <w:pStyle w:val="Item"/>
        <w:spacing w:before="0"/>
      </w:pPr>
      <w:r>
        <w:t>Examen de l</w:t>
      </w:r>
      <w:r w:rsidR="00F81A31">
        <w:t>’</w:t>
      </w:r>
      <w:r>
        <w:t>eff</w:t>
      </w:r>
      <w:r w:rsidR="00F81A31">
        <w:t>icacité des processus établis au titre de</w:t>
      </w:r>
      <w:r>
        <w:t xml:space="preserve"> la Convention et </w:t>
      </w:r>
      <w:r w:rsidR="00F81A31">
        <w:t xml:space="preserve">de </w:t>
      </w:r>
      <w:r>
        <w:t>ses Protocoles</w:t>
      </w:r>
    </w:p>
    <w:p w14:paraId="1B468320" w14:textId="77777777" w:rsidR="00C66A69" w:rsidRDefault="00F212AF">
      <w:pPr>
        <w:pStyle w:val="Para1"/>
      </w:pPr>
      <w:r>
        <w:t xml:space="preserve">Par sa décision </w:t>
      </w:r>
      <w:hyperlink r:id="rId35" w:history="1">
        <w:r>
          <w:rPr>
            <w:rStyle w:val="Hyperlink"/>
          </w:rPr>
          <w:t>14/33</w:t>
        </w:r>
      </w:hyperlink>
      <w:r>
        <w:t>, la Conférence des Parties a approuvé une procédure visant à éviter ou à gérer les conflits d</w:t>
      </w:r>
      <w:r w:rsidR="00F81A31">
        <w:t>’</w:t>
      </w:r>
      <w:r>
        <w:t>intérêts dans les groupes d</w:t>
      </w:r>
      <w:r w:rsidR="00F81A31">
        <w:t>’</w:t>
      </w:r>
      <w:r>
        <w:t>experts et a prié le Secrétaire exécutif d</w:t>
      </w:r>
      <w:r w:rsidR="00F81A31">
        <w:t>’</w:t>
      </w:r>
      <w:r>
        <w:t>établir un rapport sur : a) l</w:t>
      </w:r>
      <w:r w:rsidR="00F81A31">
        <w:t>’</w:t>
      </w:r>
      <w:r>
        <w:t>application de la procédure</w:t>
      </w:r>
      <w:r w:rsidR="001761B0">
        <w:t>;</w:t>
      </w:r>
      <w:r w:rsidR="00A06BFE">
        <w:t xml:space="preserve"> </w:t>
      </w:r>
      <w:r>
        <w:t>b) les faits nouveaux pertinents concernant la prévention ou la gestion des conflits d</w:t>
      </w:r>
      <w:r w:rsidR="00F81A31">
        <w:t>’</w:t>
      </w:r>
      <w:r>
        <w:t>intérêts dans d</w:t>
      </w:r>
      <w:r w:rsidR="00F81A31">
        <w:t>’</w:t>
      </w:r>
      <w:r>
        <w:t>autres accords multilatéraux sur l</w:t>
      </w:r>
      <w:r w:rsidR="00F81A31">
        <w:t>’</w:t>
      </w:r>
      <w:r>
        <w:t>environnement, initiatives ou organisations</w:t>
      </w:r>
      <w:r w:rsidR="00A06BFE">
        <w:t xml:space="preserve"> intergouvernementales</w:t>
      </w:r>
      <w:r>
        <w:t xml:space="preserve"> et, le cas échéant, de proposer des mises à jour et des modifications de la procédure actuelle</w:t>
      </w:r>
      <w:r w:rsidR="00A06BFE">
        <w:t>,</w:t>
      </w:r>
      <w:r>
        <w:t xml:space="preserve"> pour examen par l</w:t>
      </w:r>
      <w:r w:rsidR="00F81A31">
        <w:t>’</w:t>
      </w:r>
      <w:r>
        <w:t xml:space="preserve">Organe subsidiaire à une réunion </w:t>
      </w:r>
      <w:r w:rsidR="00A06BFE">
        <w:t xml:space="preserve">qui se tiendra </w:t>
      </w:r>
      <w:r>
        <w:t>avant la seizième réunion de la Conférence des Parties.</w:t>
      </w:r>
    </w:p>
    <w:p w14:paraId="7B2123F6" w14:textId="77777777" w:rsidR="00C66A69" w:rsidRDefault="00A06BFE">
      <w:pPr>
        <w:pStyle w:val="Para1"/>
      </w:pPr>
      <w:r>
        <w:t>Dans les partie</w:t>
      </w:r>
      <w:r w:rsidR="00F212AF">
        <w:t xml:space="preserve">s B et C de sa décision </w:t>
      </w:r>
      <w:hyperlink r:id="rId36" w:history="1">
        <w:r w:rsidR="00F212AF">
          <w:rPr>
            <w:rStyle w:val="Hyperlink"/>
          </w:rPr>
          <w:t>15/18</w:t>
        </w:r>
      </w:hyperlink>
      <w:r w:rsidR="00F212AF">
        <w:t>, la Conférence des Parties a adopté un certain nombre de dispositions concernant l</w:t>
      </w:r>
      <w:r w:rsidR="00F81A31">
        <w:t>’</w:t>
      </w:r>
      <w:r w:rsidR="00F212AF">
        <w:t>expérience des réunions en ligne et d</w:t>
      </w:r>
      <w:r w:rsidR="00F81A31">
        <w:t>’</w:t>
      </w:r>
      <w:r w:rsidR="00F212AF">
        <w:t>autres domaines pour améliorer l</w:t>
      </w:r>
      <w:r>
        <w:t xml:space="preserve">eur </w:t>
      </w:r>
      <w:r w:rsidR="00F212AF">
        <w:t>eff</w:t>
      </w:r>
      <w:r>
        <w:t>icacité, respectivement. Dans cette même décision, e</w:t>
      </w:r>
      <w:r w:rsidR="00F212AF">
        <w:t>l</w:t>
      </w:r>
      <w:r>
        <w:t>le</w:t>
      </w:r>
      <w:r w:rsidR="00F212AF">
        <w:t xml:space="preserve"> a prié le Secrétaire exécutif de recueillir les vues des Parties et des parties prenantes concernées, ainsi que l</w:t>
      </w:r>
      <w:r w:rsidR="00F81A31">
        <w:t>’</w:t>
      </w:r>
      <w:r w:rsidR="00F212AF">
        <w:t>expérience et les études pertinentes disponibles, sur la tenue de réunions en ligne et hybrides en 2021 et 2022, et d</w:t>
      </w:r>
      <w:r w:rsidR="00F81A31">
        <w:t>’</w:t>
      </w:r>
      <w:r w:rsidR="00F212AF">
        <w:t>élaborer des options pour les proc</w:t>
      </w:r>
      <w:r>
        <w:t>édures de ces réunions hybrides</w:t>
      </w:r>
      <w:r w:rsidR="00F212AF">
        <w:t xml:space="preserve"> et</w:t>
      </w:r>
      <w:r>
        <w:t>,</w:t>
      </w:r>
      <w:r w:rsidR="00F212AF">
        <w:t xml:space="preserve"> dans des circonstances extraordinaires</w:t>
      </w:r>
      <w:r>
        <w:t>,</w:t>
      </w:r>
      <w:r w:rsidR="00F212AF">
        <w:t xml:space="preserve"> pour les réunions en ligne, pour examen par l</w:t>
      </w:r>
      <w:r w:rsidR="00F81A31">
        <w:t>’</w:t>
      </w:r>
      <w:r w:rsidR="00F212AF">
        <w:t>Organe subsidiaire à sa q</w:t>
      </w:r>
      <w:r>
        <w:t>uatrième réunion. E</w:t>
      </w:r>
      <w:r w:rsidR="00F212AF">
        <w:t>l</w:t>
      </w:r>
      <w:r>
        <w:t>le</w:t>
      </w:r>
      <w:r w:rsidR="00F212AF">
        <w:t xml:space="preserve"> a également prié le Secrétaire exécutif d</w:t>
      </w:r>
      <w:r w:rsidR="00F81A31">
        <w:t>’</w:t>
      </w:r>
      <w:r w:rsidR="00F212AF">
        <w:t xml:space="preserve">établir, en consultation avec les Parties, les </w:t>
      </w:r>
      <w:r w:rsidR="00F212AF">
        <w:lastRenderedPageBreak/>
        <w:t>membres du Bureau, les partenaires et les parties prenantes, une analyse des options permettant d</w:t>
      </w:r>
      <w:r w:rsidR="00F81A31">
        <w:t>’</w:t>
      </w:r>
      <w:r>
        <w:t>améliorer davantage</w:t>
      </w:r>
      <w:r w:rsidR="00F212AF">
        <w:t xml:space="preserve"> l</w:t>
      </w:r>
      <w:r w:rsidR="00F81A31">
        <w:t>’</w:t>
      </w:r>
      <w:r w:rsidR="00F212AF">
        <w:t>efficacité des réunions et de soumettre cette analyse à l</w:t>
      </w:r>
      <w:r w:rsidR="00F81A31">
        <w:t>’</w:t>
      </w:r>
      <w:r w:rsidR="00F212AF">
        <w:t>Organe subsidiaire</w:t>
      </w:r>
      <w:r>
        <w:t>,</w:t>
      </w:r>
      <w:r w:rsidR="00F212AF">
        <w:t xml:space="preserve"> pour examen à sa quatrième réunion.</w:t>
      </w:r>
    </w:p>
    <w:p w14:paraId="416D7D31" w14:textId="77777777" w:rsidR="00C66A69" w:rsidRDefault="00F212AF">
      <w:pPr>
        <w:pStyle w:val="Para1"/>
      </w:pPr>
      <w:r>
        <w:t>L</w:t>
      </w:r>
      <w:r w:rsidR="00F81A31">
        <w:t>’</w:t>
      </w:r>
      <w:r>
        <w:t>Organe subsidiaire sera saisi d</w:t>
      </w:r>
      <w:r w:rsidR="00F81A31">
        <w:t>’</w:t>
      </w:r>
      <w:r>
        <w:t>une note du Secrétaire exécutif et devrait adopter une recommandation</w:t>
      </w:r>
      <w:r w:rsidR="00A06BFE">
        <w:t>,</w:t>
      </w:r>
      <w:r>
        <w:t xml:space="preserve"> pour examen par la Conférence des Parties à sa seizième réunion.</w:t>
      </w:r>
    </w:p>
    <w:p w14:paraId="20689F23" w14:textId="77777777" w:rsidR="00C66A69" w:rsidRDefault="00F212AF">
      <w:pPr>
        <w:pStyle w:val="Item"/>
        <w:keepNext/>
        <w:spacing w:after="0"/>
      </w:pPr>
      <w:r>
        <w:t>Point 9</w:t>
      </w:r>
    </w:p>
    <w:p w14:paraId="68ADCF7D" w14:textId="77777777" w:rsidR="00C66A69" w:rsidRDefault="00F212AF">
      <w:pPr>
        <w:pStyle w:val="Item"/>
        <w:keepNext/>
        <w:spacing w:before="0"/>
      </w:pPr>
      <w:r>
        <w:t>Évaluatio</w:t>
      </w:r>
      <w:r w:rsidR="00922FE7">
        <w:t>n et examen de l</w:t>
      </w:r>
      <w:r w:rsidR="00F81A31">
        <w:t>’</w:t>
      </w:r>
      <w:r w:rsidR="00922FE7">
        <w:t>efficacité du P</w:t>
      </w:r>
      <w:r>
        <w:t>rotocole de Nagoya (article 31)</w:t>
      </w:r>
    </w:p>
    <w:p w14:paraId="6EFDDD14" w14:textId="77777777" w:rsidR="00C66A69" w:rsidRDefault="00F212AF">
      <w:pPr>
        <w:pStyle w:val="Para1"/>
      </w:pPr>
      <w:r>
        <w:t xml:space="preserve">Dans sa décision </w:t>
      </w:r>
      <w:hyperlink r:id="rId37" w:history="1">
        <w:r>
          <w:rPr>
            <w:rStyle w:val="Hyperlink"/>
          </w:rPr>
          <w:t>NP 3/1</w:t>
        </w:r>
      </w:hyperlink>
      <w:r>
        <w:t xml:space="preserve">, la Conférence des </w:t>
      </w:r>
      <w:r w:rsidR="00427C4C">
        <w:t>Parties siégeant en tant que réunion</w:t>
      </w:r>
      <w:r>
        <w:t xml:space="preserve"> des Parties au Protocole de Nagoya a décidé de procéder</w:t>
      </w:r>
      <w:r w:rsidR="00557459">
        <w:t xml:space="preserve"> à la d</w:t>
      </w:r>
      <w:r w:rsidR="00A06BFE">
        <w:t xml:space="preserve">euxième évaluation et </w:t>
      </w:r>
      <w:r>
        <w:t>examen de l</w:t>
      </w:r>
      <w:r w:rsidR="00F81A31">
        <w:t>’</w:t>
      </w:r>
      <w:r>
        <w:t>efficacité du Protocole à sa sixième réunion.</w:t>
      </w:r>
    </w:p>
    <w:p w14:paraId="1C172CF9" w14:textId="77777777" w:rsidR="00C66A69" w:rsidRDefault="00F212AF">
      <w:pPr>
        <w:pStyle w:val="Para1"/>
      </w:pPr>
      <w:r>
        <w:t>L</w:t>
      </w:r>
      <w:r w:rsidR="00F81A31">
        <w:t>’</w:t>
      </w:r>
      <w:r>
        <w:t>Organe subsidiaire sera saisi d</w:t>
      </w:r>
      <w:r w:rsidR="00F81A31">
        <w:t>’</w:t>
      </w:r>
      <w:r w:rsidR="00557459">
        <w:t>une n</w:t>
      </w:r>
      <w:r>
        <w:t>ote du Secrétariat contenant une proposition de méthode pour procéder à la deuxième é</w:t>
      </w:r>
      <w:r w:rsidR="00A06BFE">
        <w:t xml:space="preserve">valuation et </w:t>
      </w:r>
      <w:r>
        <w:t>examen</w:t>
      </w:r>
      <w:r w:rsidR="00A06BFE">
        <w:t>,</w:t>
      </w:r>
      <w:r>
        <w:t xml:space="preserve"> et devrait adopter une recommandation</w:t>
      </w:r>
      <w:r w:rsidR="00A06BFE">
        <w:t>,</w:t>
      </w:r>
      <w:r>
        <w:t xml:space="preserve"> pour examen par la Conférence des </w:t>
      </w:r>
      <w:r w:rsidR="00427C4C">
        <w:t>Parties siégeant en tant que réunion</w:t>
      </w:r>
      <w:r>
        <w:t xml:space="preserve"> des Parties au Protocole à sa cinquième réunion.</w:t>
      </w:r>
    </w:p>
    <w:p w14:paraId="402504BA" w14:textId="77777777" w:rsidR="00C66A69" w:rsidRDefault="00F212AF">
      <w:pPr>
        <w:pStyle w:val="Item"/>
        <w:spacing w:after="0"/>
      </w:pPr>
      <w:r>
        <w:t>Point 10</w:t>
      </w:r>
    </w:p>
    <w:p w14:paraId="67333D38" w14:textId="77777777" w:rsidR="00C66A69" w:rsidRDefault="00F212AF">
      <w:pPr>
        <w:pStyle w:val="Item"/>
        <w:spacing w:before="0"/>
      </w:pPr>
      <w:r>
        <w:t>Approc</w:t>
      </w:r>
      <w:r w:rsidR="00922FE7">
        <w:t>he stratégique à long terme en matière d</w:t>
      </w:r>
      <w:r w:rsidR="00F81A31">
        <w:t>’</w:t>
      </w:r>
      <w:r>
        <w:t>intégration</w:t>
      </w:r>
    </w:p>
    <w:p w14:paraId="33C06B88" w14:textId="77777777" w:rsidR="00C66A69" w:rsidRDefault="00F212AF">
      <w:pPr>
        <w:pStyle w:val="Para1"/>
      </w:pPr>
      <w:r>
        <w:t xml:space="preserve">Dans sa décision </w:t>
      </w:r>
      <w:hyperlink r:id="rId38" w:history="1">
        <w:r>
          <w:rPr>
            <w:rStyle w:val="Hyperlink"/>
          </w:rPr>
          <w:t>15/17</w:t>
        </w:r>
      </w:hyperlink>
      <w:r>
        <w:t>, la Conférenc</w:t>
      </w:r>
      <w:r w:rsidR="00A06BFE">
        <w:t>e des Parties a prié les Parties</w:t>
      </w:r>
      <w:r>
        <w:t xml:space="preserve"> et invité les autres gouvernements, les organisations internationales et l</w:t>
      </w:r>
      <w:r w:rsidR="00A06BFE">
        <w:t>es parties prenantes concernées à transmettre leurs points de vue</w:t>
      </w:r>
      <w:r>
        <w:t xml:space="preserve"> sur le projet d</w:t>
      </w:r>
      <w:r w:rsidR="00F81A31">
        <w:t>’</w:t>
      </w:r>
      <w:r>
        <w:t>approc</w:t>
      </w:r>
      <w:r w:rsidR="00922FE7">
        <w:t>he stratégique à long terme en matière d</w:t>
      </w:r>
      <w:r w:rsidR="00F81A31">
        <w:t>’</w:t>
      </w:r>
      <w:r w:rsidR="00A06BFE">
        <w:t>intégration et le</w:t>
      </w:r>
      <w:r>
        <w:t xml:space="preserve"> plan d</w:t>
      </w:r>
      <w:r w:rsidR="00F81A31">
        <w:t>’</w:t>
      </w:r>
      <w:r>
        <w:t>action connexe</w:t>
      </w:r>
      <w:r w:rsidR="00A06BFE">
        <w:t>,</w:t>
      </w:r>
      <w:r>
        <w:t xml:space="preserve"> et à définir les moyens d</w:t>
      </w:r>
      <w:r w:rsidR="00F81A31">
        <w:t>’</w:t>
      </w:r>
      <w:r>
        <w:t xml:space="preserve">appuyer la mise en œuvre du Cadre mondial </w:t>
      </w:r>
      <w:r w:rsidR="00922FE7">
        <w:t xml:space="preserve">de la biodiversité </w:t>
      </w:r>
      <w:r>
        <w:t>de Kunmi</w:t>
      </w:r>
      <w:r w:rsidR="00922FE7">
        <w:t>ng-Montréal</w:t>
      </w:r>
      <w:r w:rsidR="00A06BFE">
        <w:t>. E</w:t>
      </w:r>
      <w:r>
        <w:t>l</w:t>
      </w:r>
      <w:r w:rsidR="00A06BFE">
        <w:t>le</w:t>
      </w:r>
      <w:r>
        <w:t xml:space="preserve"> a également prié le Secrétaire exécutif d</w:t>
      </w:r>
      <w:r w:rsidR="00F81A31">
        <w:t>’</w:t>
      </w:r>
      <w:r>
        <w:t>organiser un forum en ligne à composition non limitée par l</w:t>
      </w:r>
      <w:r w:rsidR="00F81A31">
        <w:t>’</w:t>
      </w:r>
      <w:r w:rsidR="00A06BFE">
        <w:t>intermédiaire du C</w:t>
      </w:r>
      <w:r>
        <w:t>entre d</w:t>
      </w:r>
      <w:r w:rsidR="00F81A31">
        <w:t>’</w:t>
      </w:r>
      <w:r w:rsidR="00A06BFE">
        <w:t>échange</w:t>
      </w:r>
      <w:r>
        <w:t xml:space="preserve">, de faciliter </w:t>
      </w:r>
      <w:r w:rsidR="00A06BFE">
        <w:t>la formulation de nouveaux points de vue</w:t>
      </w:r>
      <w:r>
        <w:t xml:space="preserve"> sur les rapports et les résultats mentionnés aux paragraphes 1 et 2 de la décision</w:t>
      </w:r>
      <w:r w:rsidR="00A06BFE">
        <w:t>,</w:t>
      </w:r>
      <w:r>
        <w:t xml:space="preserve"> et de rassembler ces </w:t>
      </w:r>
      <w:r w:rsidR="00A06BFE">
        <w:t>points de vue</w:t>
      </w:r>
      <w:r>
        <w:t xml:space="preserve"> dans un rapport, y compris sur un processus intérimaire, pour examen par l</w:t>
      </w:r>
      <w:r w:rsidR="00F81A31">
        <w:t>’</w:t>
      </w:r>
      <w:r>
        <w:t>Organe subsidiaire à sa quatrième réunion.</w:t>
      </w:r>
    </w:p>
    <w:p w14:paraId="77EA003E" w14:textId="77777777" w:rsidR="00C66A69" w:rsidRDefault="00F212AF">
      <w:pPr>
        <w:pStyle w:val="Para1"/>
      </w:pPr>
      <w:r>
        <w:t>L</w:t>
      </w:r>
      <w:r w:rsidR="00F81A31">
        <w:t>’</w:t>
      </w:r>
      <w:r>
        <w:t>Organe subsidiaire sera saisi d</w:t>
      </w:r>
      <w:r w:rsidR="00F81A31">
        <w:t>’</w:t>
      </w:r>
      <w:r>
        <w:t>une note du Secrétariat et devrait adopter une recommandation pour examen par la Conférence des Parties à sa seizième réunion.</w:t>
      </w:r>
    </w:p>
    <w:p w14:paraId="6718416F" w14:textId="77777777" w:rsidR="00C66A69" w:rsidRDefault="00F212AF">
      <w:pPr>
        <w:pStyle w:val="Item"/>
        <w:keepNext/>
        <w:spacing w:after="0"/>
      </w:pPr>
      <w:r>
        <w:t>Point 11</w:t>
      </w:r>
    </w:p>
    <w:p w14:paraId="2893235B" w14:textId="77777777" w:rsidR="00C66A69" w:rsidRDefault="00F212AF">
      <w:pPr>
        <w:pStyle w:val="Item"/>
        <w:keepNext/>
        <w:spacing w:before="0"/>
      </w:pPr>
      <w:r>
        <w:t>Examen des programmes de travail de la Convention</w:t>
      </w:r>
    </w:p>
    <w:p w14:paraId="2FC02058" w14:textId="77777777" w:rsidR="00C66A69" w:rsidRDefault="00F212AF">
      <w:pPr>
        <w:pStyle w:val="Para1"/>
      </w:pPr>
      <w:r>
        <w:t xml:space="preserve">Dans sa décision </w:t>
      </w:r>
      <w:hyperlink r:id="rId39" w:history="1">
        <w:r>
          <w:rPr>
            <w:rStyle w:val="Hyperlink"/>
          </w:rPr>
          <w:t>15/4</w:t>
        </w:r>
      </w:hyperlink>
      <w:r>
        <w:t xml:space="preserve">, la Conférence des Parties a décidé que le Cadre mondial de la </w:t>
      </w:r>
      <w:r w:rsidR="00922FE7">
        <w:t xml:space="preserve">biodiversité </w:t>
      </w:r>
      <w:r>
        <w:t>de Kunming-Montréal devrait être utilisé comme plan s</w:t>
      </w:r>
      <w:r w:rsidR="004E7F17">
        <w:t>tratégique pour l’application</w:t>
      </w:r>
      <w:r>
        <w:t xml:space="preserve"> de la Con</w:t>
      </w:r>
      <w:r w:rsidR="004E7F17">
        <w:t xml:space="preserve">vention et de ses Protocoles, et pour ses organes et </w:t>
      </w:r>
      <w:r>
        <w:t>son Secrétariat</w:t>
      </w:r>
      <w:r w:rsidR="004E7F17">
        <w:t>,</w:t>
      </w:r>
      <w:r>
        <w:t xml:space="preserve"> au cours de la période 2022-2030 et que, à cet égard, le Cadre devrai</w:t>
      </w:r>
      <w:r w:rsidR="004E7F17">
        <w:t>t être utilisé pour mieux harmonise</w:t>
      </w:r>
      <w:r>
        <w:t>r et orienter les travaux des différents organes de la Convention et de ses Protocoles, de son Sec</w:t>
      </w:r>
      <w:r w:rsidR="004E7F17">
        <w:t>rétariat et de son budget (par. 8). Dans cette même décision, e</w:t>
      </w:r>
      <w:r>
        <w:t>l</w:t>
      </w:r>
      <w:r w:rsidR="004E7F17">
        <w:t>le</w:t>
      </w:r>
      <w:r>
        <w:t xml:space="preserve"> a prié le Secrétaire exécutif de procéder à un examen et à une analyse stratégiques des programmes de travail de la Convention dans le contexte du Cadre, de faciliter sa mise en œuvre et, sur la base de cette analyse, d</w:t>
      </w:r>
      <w:r w:rsidR="00F81A31">
        <w:t>’</w:t>
      </w:r>
      <w:r>
        <w:t>établir des projets de mise à jour des programmes de travail</w:t>
      </w:r>
      <w:r w:rsidR="004E7F17">
        <w:t>,</w:t>
      </w:r>
      <w:r>
        <w:t xml:space="preserve"> pour examen par l</w:t>
      </w:r>
      <w:r w:rsidR="00F81A31">
        <w:t>’</w:t>
      </w:r>
      <w:r>
        <w:t xml:space="preserve">Organe </w:t>
      </w:r>
      <w:r w:rsidR="00F73A6C">
        <w:t>subsidiaire chargé de fournir des avis scientifiques, techniques et technologiques</w:t>
      </w:r>
      <w:r>
        <w:t xml:space="preserve"> et </w:t>
      </w:r>
      <w:r w:rsidR="004E7F17">
        <w:t xml:space="preserve">par </w:t>
      </w:r>
      <w:r>
        <w:t>l</w:t>
      </w:r>
      <w:r w:rsidR="00F81A31">
        <w:t>’</w:t>
      </w:r>
      <w:r>
        <w:t xml:space="preserve">Organe </w:t>
      </w:r>
      <w:r w:rsidR="003D1C96">
        <w:t>subsidiaire chargé de l’application</w:t>
      </w:r>
      <w:r>
        <w:t>, selon qu</w:t>
      </w:r>
      <w:r w:rsidR="00F81A31">
        <w:t>’</w:t>
      </w:r>
      <w:r w:rsidR="004E7F17">
        <w:t>il convient</w:t>
      </w:r>
      <w:r>
        <w:t>, et de faire rapport sur ces travaux à la Conférence des Part</w:t>
      </w:r>
      <w:r w:rsidR="004E7F17">
        <w:t>ies à sa seizième réunion (par. </w:t>
      </w:r>
      <w:r>
        <w:t>9).</w:t>
      </w:r>
    </w:p>
    <w:p w14:paraId="78A591FA" w14:textId="77777777" w:rsidR="00C66A69" w:rsidRDefault="00F212AF">
      <w:pPr>
        <w:pStyle w:val="Para1"/>
      </w:pPr>
      <w:r>
        <w:t>À sa vingt-cinquième réunion, l</w:t>
      </w:r>
      <w:r w:rsidR="00F81A31">
        <w:t>’</w:t>
      </w:r>
      <w:r>
        <w:t xml:space="preserve">Organe </w:t>
      </w:r>
      <w:r w:rsidR="00F73A6C">
        <w:t>subsidiaire chargé de fournir des avis scientifiques, techniques et technologiques</w:t>
      </w:r>
      <w:r>
        <w:t xml:space="preserve"> a examiné une n</w:t>
      </w:r>
      <w:r w:rsidR="004E7F17">
        <w:t>ote du Secrétariat décrivant une approche éventuelle</w:t>
      </w:r>
      <w:r>
        <w:t xml:space="preserve"> pour l</w:t>
      </w:r>
      <w:r w:rsidR="00F81A31">
        <w:t>’</w:t>
      </w:r>
      <w:r>
        <w:t>examen et l</w:t>
      </w:r>
      <w:r w:rsidR="00F81A31">
        <w:t>’</w:t>
      </w:r>
      <w:r>
        <w:t>analyse des programmes de travail pertinents.</w:t>
      </w:r>
      <w:r w:rsidR="005F42BE" w:rsidRPr="00C02EA4">
        <w:rPr>
          <w:rStyle w:val="FootnoteReference"/>
        </w:rPr>
        <w:footnoteReference w:id="10"/>
      </w:r>
      <w:r>
        <w:t xml:space="preserve"> Dans sa recommandation 25/3, l</w:t>
      </w:r>
      <w:r w:rsidR="00F81A31">
        <w:t>’</w:t>
      </w:r>
      <w:r>
        <w:t xml:space="preserve">Organe subsidiaire </w:t>
      </w:r>
      <w:r w:rsidR="00424767">
        <w:t>chargé de fournir des avis</w:t>
      </w:r>
      <w:r>
        <w:t xml:space="preserve"> scientifiques, techniques et technologiques a décidé d</w:t>
      </w:r>
      <w:r w:rsidR="00F81A31">
        <w:t>’</w:t>
      </w:r>
      <w:r w:rsidR="004E7F17">
        <w:t>examiner plus avant cette</w:t>
      </w:r>
      <w:r>
        <w:t xml:space="preserve"> ques</w:t>
      </w:r>
      <w:r w:rsidR="004E7F17">
        <w:t>tion à sa vingt-sixième réunion</w:t>
      </w:r>
      <w:r>
        <w:t xml:space="preserve"> </w:t>
      </w:r>
      <w:r w:rsidR="004E7F17">
        <w:t xml:space="preserve">et </w:t>
      </w:r>
      <w:r>
        <w:t>d</w:t>
      </w:r>
      <w:r w:rsidR="00F81A31">
        <w:t>’</w:t>
      </w:r>
      <w:r>
        <w:t xml:space="preserve">examiner des recommandations </w:t>
      </w:r>
      <w:r>
        <w:lastRenderedPageBreak/>
        <w:t>concernant l</w:t>
      </w:r>
      <w:r w:rsidR="00F81A31">
        <w:t>’</w:t>
      </w:r>
      <w:r>
        <w:t>ajustement des programmes de travail pertinents</w:t>
      </w:r>
      <w:r w:rsidR="004E7F17">
        <w:t>, aux fins d’un</w:t>
      </w:r>
      <w:r>
        <w:t xml:space="preserve"> examen plus approfondi par la Conférence des Parties à sa seizième réunion.</w:t>
      </w:r>
    </w:p>
    <w:p w14:paraId="02DE2500" w14:textId="77777777" w:rsidR="00C66A69" w:rsidRDefault="00F212AF">
      <w:pPr>
        <w:pStyle w:val="Para1"/>
      </w:pPr>
      <w:r>
        <w:t>L</w:t>
      </w:r>
      <w:r w:rsidR="00F81A31">
        <w:t>’</w:t>
      </w:r>
      <w:r>
        <w:t xml:space="preserve">Organe </w:t>
      </w:r>
      <w:r w:rsidR="003D1C96">
        <w:t>subsidiaire chargé de l’application</w:t>
      </w:r>
      <w:r>
        <w:t xml:space="preserve"> souhaitera peut-être examiner le rapport de l</w:t>
      </w:r>
      <w:r w:rsidR="00F81A31">
        <w:t>’</w:t>
      </w:r>
      <w:r>
        <w:t xml:space="preserve">Organe </w:t>
      </w:r>
      <w:r w:rsidR="00F73A6C">
        <w:t>subsidiaire chargé de fournir des avis scientifiques, techniques et technologiques</w:t>
      </w:r>
      <w:r>
        <w:t xml:space="preserve"> sur sa vingt-cinquième réunion, ainsi que les résultats de ses travaux intersessions et de sa vingt-</w:t>
      </w:r>
      <w:r w:rsidR="004E7F17">
        <w:t>sixième réunion, qui se tiendra</w:t>
      </w:r>
      <w:r>
        <w:t xml:space="preserve"> immédiatement avant la présente réunion, afin de décider s</w:t>
      </w:r>
      <w:r w:rsidR="00F81A31">
        <w:t>’</w:t>
      </w:r>
      <w:r>
        <w:t>il y a lieu de présenter de nouvelles recommandations à la Conférence des Parties.</w:t>
      </w:r>
    </w:p>
    <w:p w14:paraId="1F3E2A2C" w14:textId="77777777" w:rsidR="00C66A69" w:rsidRDefault="00F212AF">
      <w:pPr>
        <w:pStyle w:val="Item"/>
        <w:keepNext/>
        <w:spacing w:after="0"/>
      </w:pPr>
      <w:r>
        <w:t>Point 12</w:t>
      </w:r>
    </w:p>
    <w:p w14:paraId="2EE4A42B" w14:textId="77777777" w:rsidR="00C66A69" w:rsidRDefault="00F212AF">
      <w:pPr>
        <w:pStyle w:val="Item"/>
        <w:spacing w:before="0"/>
      </w:pPr>
      <w:r>
        <w:t>Programme de travail pluriannuel de la Conférence des Parties</w:t>
      </w:r>
    </w:p>
    <w:p w14:paraId="147AC95C" w14:textId="77777777" w:rsidR="00C66A69" w:rsidRDefault="00F212AF">
      <w:pPr>
        <w:pStyle w:val="Para1"/>
      </w:pPr>
      <w:r>
        <w:t xml:space="preserve">Dans sa décision </w:t>
      </w:r>
      <w:hyperlink r:id="rId40" w:history="1">
        <w:r>
          <w:rPr>
            <w:rStyle w:val="Hyperlink"/>
          </w:rPr>
          <w:t>15/33</w:t>
        </w:r>
      </w:hyperlink>
      <w:r>
        <w:t>, la Conférence des Parties a noté qu</w:t>
      </w:r>
      <w:r w:rsidR="00F81A31">
        <w:t>’</w:t>
      </w:r>
      <w:r>
        <w:t>e</w:t>
      </w:r>
      <w:r w:rsidR="004E7F17">
        <w:t>lle examinera</w:t>
      </w:r>
      <w:r>
        <w:t xml:space="preserve"> les progrès accomplis dans la mise en œuvre de la Convention et du Cadre mondial de la biodiversité de Kunming-Montréal à chacune de ses réunions jusqu</w:t>
      </w:r>
      <w:r w:rsidR="00F81A31">
        <w:t>’</w:t>
      </w:r>
      <w:r>
        <w:t xml:space="preserve">en 2030 et a pris note de la liste préliminaire des questions à traiter lors de ces réunions, qui figure </w:t>
      </w:r>
      <w:r w:rsidR="004E7F17">
        <w:t>en annexe à la décision. Dans cette même décision, e</w:t>
      </w:r>
      <w:r>
        <w:t>l</w:t>
      </w:r>
      <w:r w:rsidR="004E7F17">
        <w:t>le</w:t>
      </w:r>
      <w:r>
        <w:t xml:space="preserve"> a prié le Secrétaire exécutif, agissant en consultation avec le Bureau de la Conférence des Parties, d</w:t>
      </w:r>
      <w:r w:rsidR="00F81A31">
        <w:t>’</w:t>
      </w:r>
      <w:r>
        <w:t>établir la liste des questions à examiner par la Conférence des Parties à sa seizième réunion et de proposer des éléments spécifiques correspondant à la mise en œuvre du Cadre et à des thèmes étroitement liés, pour examen par l</w:t>
      </w:r>
      <w:r w:rsidR="00F81A31">
        <w:t>’</w:t>
      </w:r>
      <w:r>
        <w:t>Organe subsidiaire à sa quatrième réunion, en vue d</w:t>
      </w:r>
      <w:r w:rsidR="00F81A31">
        <w:t>’</w:t>
      </w:r>
      <w:r>
        <w:t>achever la liste des questions à examiner à ses dix-septième, dix-huitième et dix-neuvième réunions, comme suggéré dans l</w:t>
      </w:r>
      <w:r w:rsidR="00F81A31">
        <w:t>’</w:t>
      </w:r>
      <w:r>
        <w:t>annexe à la décision.</w:t>
      </w:r>
    </w:p>
    <w:p w14:paraId="458B89B1" w14:textId="77777777" w:rsidR="00C66A69" w:rsidRDefault="00F212AF">
      <w:pPr>
        <w:pStyle w:val="Para1"/>
      </w:pPr>
      <w:r>
        <w:t>L</w:t>
      </w:r>
      <w:r w:rsidR="00F81A31">
        <w:t>’</w:t>
      </w:r>
      <w:r>
        <w:t>Organe subsidiaire sera saisi d</w:t>
      </w:r>
      <w:r w:rsidR="00F81A31">
        <w:t>’</w:t>
      </w:r>
      <w:r>
        <w:t>une note du Secrétariat et devrait adopter une recommandation pour examen par la Conférence des Parties à sa seizième réunion.</w:t>
      </w:r>
    </w:p>
    <w:p w14:paraId="152E18C8" w14:textId="77777777" w:rsidR="00C66A69" w:rsidRDefault="00F212AF">
      <w:pPr>
        <w:pStyle w:val="Item"/>
        <w:spacing w:after="0"/>
      </w:pPr>
      <w:r>
        <w:t>Point 13</w:t>
      </w:r>
    </w:p>
    <w:p w14:paraId="24795D17" w14:textId="77777777" w:rsidR="00C66A69" w:rsidRDefault="00F212AF">
      <w:pPr>
        <w:pStyle w:val="Item"/>
        <w:spacing w:before="0"/>
      </w:pPr>
      <w:r>
        <w:t>Questions administratives et budgétaires</w:t>
      </w:r>
    </w:p>
    <w:p w14:paraId="5EF50A2E" w14:textId="77777777" w:rsidR="00C66A69" w:rsidRDefault="00F212AF">
      <w:pPr>
        <w:pStyle w:val="Para1"/>
      </w:pPr>
      <w:r>
        <w:t>Le Secrétariat présentera un rapport sur ses activités et sur l</w:t>
      </w:r>
      <w:r w:rsidR="00F81A31">
        <w:t>’</w:t>
      </w:r>
      <w:r>
        <w:t>état des fonds d</w:t>
      </w:r>
      <w:r w:rsidR="00F81A31">
        <w:t>’</w:t>
      </w:r>
      <w:r>
        <w:t>affectation spéciale administrés au titre de la Convention et des Protocoles, y compris, le cas échéant, des informations sur les progrès accomplis dans l</w:t>
      </w:r>
      <w:r w:rsidR="00F81A31">
        <w:t>’</w:t>
      </w:r>
      <w:r>
        <w:t>examen fonctionnel approfondi de la structure et de l</w:t>
      </w:r>
      <w:r w:rsidR="00F81A31">
        <w:t>’</w:t>
      </w:r>
      <w:r>
        <w:t xml:space="preserve">exécution du programme de travail du Secrétariat effectué en application du paragraphe 35 de la décision </w:t>
      </w:r>
      <w:hyperlink r:id="rId41" w:history="1">
        <w:r>
          <w:rPr>
            <w:rStyle w:val="Hyperlink"/>
          </w:rPr>
          <w:t>15/34</w:t>
        </w:r>
      </w:hyperlink>
      <w:r>
        <w:t>. À la lumière de ce rapport, l</w:t>
      </w:r>
      <w:r w:rsidR="00F81A31">
        <w:t>’</w:t>
      </w:r>
      <w:r>
        <w:t>Organe subsidi</w:t>
      </w:r>
      <w:r w:rsidR="004E7F17">
        <w:t>aire souhaitera peut-être formule</w:t>
      </w:r>
      <w:r>
        <w:t>r une recommandation pour examen par la Conférence des Parties à sa seizième réunion.</w:t>
      </w:r>
    </w:p>
    <w:p w14:paraId="799463D8" w14:textId="77777777" w:rsidR="00C66A69" w:rsidRDefault="00F212AF">
      <w:pPr>
        <w:pStyle w:val="Item"/>
        <w:spacing w:after="0"/>
      </w:pPr>
      <w:r>
        <w:t>Point 14</w:t>
      </w:r>
    </w:p>
    <w:p w14:paraId="4CC74D34" w14:textId="77777777" w:rsidR="00C66A69" w:rsidRDefault="00466A49">
      <w:pPr>
        <w:pStyle w:val="Item"/>
        <w:spacing w:before="0"/>
      </w:pPr>
      <w:r>
        <w:t>Q</w:t>
      </w:r>
      <w:r w:rsidR="00F212AF">
        <w:t>uestions</w:t>
      </w:r>
      <w:r>
        <w:t xml:space="preserve"> diverses</w:t>
      </w:r>
    </w:p>
    <w:p w14:paraId="14E9A7EC" w14:textId="77777777" w:rsidR="00C66A69" w:rsidRDefault="00F212AF">
      <w:pPr>
        <w:pStyle w:val="Para1"/>
      </w:pPr>
      <w:r>
        <w:t>Au titre du point 14 de l</w:t>
      </w:r>
      <w:r w:rsidR="00F81A31">
        <w:t>’</w:t>
      </w:r>
      <w:r>
        <w:t>ordre du jour, l</w:t>
      </w:r>
      <w:r w:rsidR="00F81A31">
        <w:t>’</w:t>
      </w:r>
      <w:r>
        <w:t>Organe subsidiaire aura la possibilité d</w:t>
      </w:r>
      <w:r w:rsidR="00F81A31">
        <w:t>’</w:t>
      </w:r>
      <w:r>
        <w:t>examiner d</w:t>
      </w:r>
      <w:r w:rsidR="00F81A31">
        <w:t>’</w:t>
      </w:r>
      <w:r>
        <w:t>autres questions pertinentes.</w:t>
      </w:r>
    </w:p>
    <w:p w14:paraId="62DBCF04" w14:textId="77777777" w:rsidR="00C66A69" w:rsidRDefault="00F212AF">
      <w:pPr>
        <w:pStyle w:val="Item"/>
        <w:spacing w:after="0"/>
      </w:pPr>
      <w:r>
        <w:t>Point 15</w:t>
      </w:r>
    </w:p>
    <w:p w14:paraId="25A1B4D5" w14:textId="77777777" w:rsidR="00C66A69" w:rsidRDefault="00F212AF">
      <w:pPr>
        <w:pStyle w:val="Item"/>
        <w:spacing w:before="0"/>
      </w:pPr>
      <w:r>
        <w:t>Adoption du rapport</w:t>
      </w:r>
    </w:p>
    <w:p w14:paraId="47A303D4" w14:textId="77777777" w:rsidR="00C66A69" w:rsidRDefault="00F212AF">
      <w:pPr>
        <w:pStyle w:val="Para1"/>
      </w:pPr>
      <w:r>
        <w:t>L</w:t>
      </w:r>
      <w:r w:rsidR="00F81A31">
        <w:t>’</w:t>
      </w:r>
      <w:r>
        <w:t>Organe subsidiaire sera invité à examiner et à adopter le rapport sur sa quatrième réunion</w:t>
      </w:r>
      <w:r w:rsidR="004E7F17">
        <w:t>,</w:t>
      </w:r>
      <w:r>
        <w:t xml:space="preserve"> sur la base du projet de rapport établi par le Rapporteur.</w:t>
      </w:r>
    </w:p>
    <w:p w14:paraId="53D6BB8C" w14:textId="77777777" w:rsidR="00C66A69" w:rsidRDefault="00F212AF">
      <w:pPr>
        <w:pStyle w:val="Item"/>
        <w:spacing w:after="0"/>
      </w:pPr>
      <w:r>
        <w:t>Point 16</w:t>
      </w:r>
    </w:p>
    <w:p w14:paraId="6FE5DA66" w14:textId="77777777" w:rsidR="00C66A69" w:rsidRDefault="00F212AF">
      <w:pPr>
        <w:pStyle w:val="Item"/>
        <w:spacing w:before="0"/>
      </w:pPr>
      <w:r>
        <w:t>Clôture de la réunion</w:t>
      </w:r>
    </w:p>
    <w:p w14:paraId="5FF87483" w14:textId="77777777" w:rsidR="00C66A69" w:rsidRDefault="00F212AF">
      <w:pPr>
        <w:pStyle w:val="Para1"/>
      </w:pPr>
      <w:r>
        <w:t>La réunion devrait s</w:t>
      </w:r>
      <w:r w:rsidR="00F81A31">
        <w:t>’</w:t>
      </w:r>
      <w:r>
        <w:t>achever à 18 heures le 29 mai 2024.</w:t>
      </w:r>
    </w:p>
    <w:p w14:paraId="599AB05D" w14:textId="77777777" w:rsidR="002B559C" w:rsidRPr="00C02EA4" w:rsidRDefault="002B559C" w:rsidP="00496F5C">
      <w:pPr>
        <w:pStyle w:val="Para1"/>
        <w:numPr>
          <w:ilvl w:val="0"/>
          <w:numId w:val="0"/>
        </w:numPr>
        <w:ind w:left="567"/>
      </w:pPr>
    </w:p>
    <w:p w14:paraId="1E6CB368" w14:textId="77777777" w:rsidR="002B559C" w:rsidRPr="00C02EA4" w:rsidRDefault="002B559C" w:rsidP="00496F5C">
      <w:pPr>
        <w:pStyle w:val="Para1"/>
        <w:numPr>
          <w:ilvl w:val="0"/>
          <w:numId w:val="0"/>
        </w:numPr>
        <w:ind w:left="567"/>
        <w:sectPr w:rsidR="002B559C" w:rsidRPr="00C02EA4" w:rsidSect="000001A7">
          <w:headerReference w:type="even" r:id="rId42"/>
          <w:headerReference w:type="default" r:id="rId43"/>
          <w:footerReference w:type="even" r:id="rId44"/>
          <w:footerReference w:type="default" r:id="rId45"/>
          <w:footnotePr>
            <w:numRestart w:val="eachSect"/>
          </w:footnotePr>
          <w:pgSz w:w="12240" w:h="15840"/>
          <w:pgMar w:top="1134" w:right="1440" w:bottom="1134" w:left="1440" w:header="709" w:footer="709" w:gutter="0"/>
          <w:cols w:space="708"/>
          <w:titlePg/>
          <w:docGrid w:linePitch="360"/>
        </w:sectPr>
      </w:pPr>
    </w:p>
    <w:p w14:paraId="4B2B6B88" w14:textId="77777777" w:rsidR="00C66A69" w:rsidRDefault="00F212AF">
      <w:pPr>
        <w:pStyle w:val="Annex"/>
      </w:pPr>
      <w:r>
        <w:lastRenderedPageBreak/>
        <w:t>Annexe I</w:t>
      </w:r>
    </w:p>
    <w:p w14:paraId="5BC91693" w14:textId="77777777" w:rsidR="00C66A69" w:rsidRDefault="001E1293">
      <w:pPr>
        <w:pStyle w:val="Title"/>
        <w:spacing w:before="120"/>
        <w:ind w:left="562"/>
        <w:rPr>
          <w:rFonts w:hint="eastAsia"/>
        </w:rPr>
      </w:pPr>
      <w:r>
        <w:t>Proposition d’organisation des travaux</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953"/>
        <w:gridCol w:w="6096"/>
      </w:tblGrid>
      <w:tr w:rsidR="009720C4" w:rsidRPr="00C02EA4" w14:paraId="03A8DC0E" w14:textId="77777777" w:rsidTr="006A21C0">
        <w:trPr>
          <w:tblHeader/>
        </w:trPr>
        <w:tc>
          <w:tcPr>
            <w:tcW w:w="1413" w:type="dxa"/>
            <w:shd w:val="clear" w:color="auto" w:fill="auto"/>
          </w:tcPr>
          <w:p w14:paraId="4C73DAE5" w14:textId="77777777" w:rsidR="00C66A69" w:rsidRDefault="00F212AF">
            <w:pPr>
              <w:spacing w:after="60"/>
              <w:rPr>
                <w:rFonts w:asciiTheme="majorBidi" w:hAnsiTheme="majorBidi" w:cstheme="majorBidi"/>
                <w:bCs/>
                <w:i/>
                <w:iCs/>
                <w:sz w:val="21"/>
                <w:szCs w:val="21"/>
              </w:rPr>
            </w:pPr>
            <w:bookmarkStart w:id="7" w:name="_Hlk134803289"/>
            <w:r>
              <w:rPr>
                <w:rFonts w:asciiTheme="majorBidi" w:hAnsiTheme="majorBidi" w:cstheme="majorBidi"/>
                <w:bCs/>
                <w:i/>
                <w:iCs/>
                <w:sz w:val="21"/>
                <w:szCs w:val="21"/>
              </w:rPr>
              <w:t>Date</w:t>
            </w:r>
          </w:p>
        </w:tc>
        <w:tc>
          <w:tcPr>
            <w:tcW w:w="5953" w:type="dxa"/>
            <w:shd w:val="clear" w:color="auto" w:fill="auto"/>
          </w:tcPr>
          <w:p w14:paraId="13A166B3" w14:textId="77777777" w:rsidR="00C66A69" w:rsidRDefault="00F212AF">
            <w:pPr>
              <w:spacing w:after="60"/>
              <w:rPr>
                <w:rFonts w:asciiTheme="majorBidi" w:hAnsiTheme="majorBidi" w:cstheme="majorBidi"/>
                <w:bCs/>
                <w:i/>
                <w:iCs/>
                <w:sz w:val="21"/>
                <w:szCs w:val="21"/>
              </w:rPr>
            </w:pPr>
            <w:r>
              <w:rPr>
                <w:rFonts w:asciiTheme="majorBidi" w:hAnsiTheme="majorBidi" w:cstheme="majorBidi"/>
                <w:bCs/>
                <w:i/>
                <w:iCs/>
                <w:sz w:val="21"/>
                <w:szCs w:val="21"/>
              </w:rPr>
              <w:t>10 h à 13 h</w:t>
            </w:r>
          </w:p>
        </w:tc>
        <w:tc>
          <w:tcPr>
            <w:tcW w:w="6096" w:type="dxa"/>
            <w:tcBorders>
              <w:bottom w:val="single" w:sz="4" w:space="0" w:color="auto"/>
            </w:tcBorders>
            <w:shd w:val="clear" w:color="auto" w:fill="auto"/>
          </w:tcPr>
          <w:p w14:paraId="31ED9CE5" w14:textId="77777777" w:rsidR="00C66A69" w:rsidRDefault="004271BD">
            <w:pPr>
              <w:spacing w:after="60"/>
              <w:rPr>
                <w:rFonts w:asciiTheme="majorBidi" w:hAnsiTheme="majorBidi" w:cstheme="majorBidi"/>
                <w:bCs/>
                <w:i/>
                <w:iCs/>
                <w:sz w:val="21"/>
                <w:szCs w:val="21"/>
              </w:rPr>
            </w:pPr>
            <w:r>
              <w:rPr>
                <w:rFonts w:asciiTheme="majorBidi" w:hAnsiTheme="majorBidi" w:cstheme="majorBidi"/>
                <w:bCs/>
                <w:i/>
                <w:iCs/>
                <w:sz w:val="21"/>
                <w:szCs w:val="21"/>
              </w:rPr>
              <w:t xml:space="preserve">15h à </w:t>
            </w:r>
            <w:r w:rsidR="00F212AF">
              <w:rPr>
                <w:rFonts w:asciiTheme="majorBidi" w:hAnsiTheme="majorBidi" w:cstheme="majorBidi"/>
                <w:bCs/>
                <w:i/>
                <w:iCs/>
                <w:sz w:val="21"/>
                <w:szCs w:val="21"/>
              </w:rPr>
              <w:t>18 h</w:t>
            </w:r>
          </w:p>
        </w:tc>
      </w:tr>
      <w:tr w:rsidR="009720C4" w:rsidRPr="00C02EA4" w14:paraId="0A836FB0" w14:textId="77777777" w:rsidTr="006A21C0">
        <w:tc>
          <w:tcPr>
            <w:tcW w:w="1413" w:type="dxa"/>
            <w:shd w:val="clear" w:color="auto" w:fill="auto"/>
            <w:tcMar>
              <w:top w:w="115" w:type="dxa"/>
              <w:left w:w="115" w:type="dxa"/>
              <w:bottom w:w="115" w:type="dxa"/>
              <w:right w:w="115" w:type="dxa"/>
            </w:tcMar>
          </w:tcPr>
          <w:p w14:paraId="000EB6EB"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Mardi</w:t>
            </w:r>
          </w:p>
          <w:p w14:paraId="4F8C00D4"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21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tcPr>
          <w:p w14:paraId="4908AC58" w14:textId="77777777" w:rsidR="00C66A69" w:rsidRDefault="00F212AF">
            <w:pPr>
              <w:spacing w:after="60"/>
              <w:jc w:val="left"/>
              <w:rPr>
                <w:rFonts w:asciiTheme="majorBidi" w:hAnsiTheme="majorBidi" w:cstheme="majorBidi"/>
                <w:sz w:val="21"/>
                <w:szCs w:val="21"/>
              </w:rPr>
            </w:pPr>
            <w:r>
              <w:rPr>
                <w:rFonts w:asciiTheme="majorBidi" w:eastAsia="MS Mincho" w:hAnsiTheme="majorBidi" w:cstheme="majorBidi"/>
                <w:sz w:val="21"/>
                <w:szCs w:val="21"/>
              </w:rPr>
              <w:t>Point 1.</w:t>
            </w:r>
            <w:r>
              <w:rPr>
                <w:rFonts w:asciiTheme="majorBidi" w:eastAsia="MS Mincho" w:hAnsiTheme="majorBidi" w:cstheme="majorBidi"/>
                <w:sz w:val="21"/>
                <w:szCs w:val="21"/>
              </w:rPr>
              <w:tab/>
            </w:r>
            <w:r>
              <w:rPr>
                <w:sz w:val="21"/>
                <w:szCs w:val="21"/>
              </w:rPr>
              <w:t>Questions d</w:t>
            </w:r>
            <w:r w:rsidR="00F81A31">
              <w:rPr>
                <w:sz w:val="21"/>
                <w:szCs w:val="21"/>
              </w:rPr>
              <w:t>’</w:t>
            </w:r>
            <w:r>
              <w:rPr>
                <w:sz w:val="21"/>
                <w:szCs w:val="21"/>
              </w:rPr>
              <w:t>organisation.</w:t>
            </w:r>
          </w:p>
          <w:p w14:paraId="6CC87F96" w14:textId="77777777" w:rsidR="00C66A69" w:rsidRDefault="00F212AF">
            <w:pPr>
              <w:tabs>
                <w:tab w:val="left" w:pos="360"/>
              </w:tabs>
              <w:spacing w:after="60"/>
              <w:jc w:val="left"/>
              <w:rPr>
                <w:rFonts w:asciiTheme="majorBidi" w:hAnsiTheme="majorBidi" w:cstheme="majorBidi"/>
                <w:sz w:val="21"/>
                <w:szCs w:val="21"/>
              </w:rPr>
            </w:pPr>
            <w:r>
              <w:rPr>
                <w:rFonts w:asciiTheme="majorBidi" w:eastAsia="MS Mincho" w:hAnsiTheme="majorBidi" w:cstheme="majorBidi"/>
                <w:sz w:val="21"/>
                <w:szCs w:val="21"/>
              </w:rPr>
              <w:t>Point 2.</w:t>
            </w:r>
            <w:r>
              <w:rPr>
                <w:rFonts w:asciiTheme="majorBidi" w:eastAsia="MS Mincho" w:hAnsiTheme="majorBidi" w:cstheme="majorBidi"/>
                <w:sz w:val="21"/>
                <w:szCs w:val="21"/>
              </w:rPr>
              <w:tab/>
            </w:r>
            <w:r>
              <w:rPr>
                <w:rFonts w:asciiTheme="majorBidi" w:hAnsiTheme="majorBidi" w:cstheme="majorBidi"/>
                <w:sz w:val="21"/>
                <w:szCs w:val="21"/>
              </w:rPr>
              <w:t>Examen de la mise en œuvre : état d</w:t>
            </w:r>
            <w:r w:rsidR="00F81A31">
              <w:rPr>
                <w:rFonts w:asciiTheme="majorBidi" w:hAnsiTheme="majorBidi" w:cstheme="majorBidi"/>
                <w:sz w:val="21"/>
                <w:szCs w:val="21"/>
              </w:rPr>
              <w:t>’</w:t>
            </w:r>
            <w:r>
              <w:rPr>
                <w:rFonts w:asciiTheme="majorBidi" w:hAnsiTheme="majorBidi" w:cstheme="majorBidi"/>
                <w:sz w:val="21"/>
                <w:szCs w:val="21"/>
              </w:rPr>
              <w:t>avancement de la définition des objectifs nationaux et de la mise à jour des stratégies et plans d</w:t>
            </w:r>
            <w:r w:rsidR="00F81A31">
              <w:rPr>
                <w:rFonts w:asciiTheme="majorBidi" w:hAnsiTheme="majorBidi" w:cstheme="majorBidi"/>
                <w:sz w:val="21"/>
                <w:szCs w:val="21"/>
              </w:rPr>
              <w:t>’</w:t>
            </w:r>
            <w:r>
              <w:rPr>
                <w:rFonts w:asciiTheme="majorBidi" w:hAnsiTheme="majorBidi" w:cstheme="majorBidi"/>
                <w:sz w:val="21"/>
                <w:szCs w:val="21"/>
              </w:rPr>
              <w:t>ac</w:t>
            </w:r>
            <w:r w:rsidR="003F3CFC">
              <w:rPr>
                <w:rFonts w:asciiTheme="majorBidi" w:hAnsiTheme="majorBidi" w:cstheme="majorBidi"/>
                <w:sz w:val="21"/>
                <w:szCs w:val="21"/>
              </w:rPr>
              <w:t xml:space="preserve">tion nationaux pour la </w:t>
            </w:r>
            <w:r>
              <w:rPr>
                <w:rFonts w:asciiTheme="majorBidi" w:hAnsiTheme="majorBidi" w:cstheme="majorBidi"/>
                <w:sz w:val="21"/>
                <w:szCs w:val="21"/>
              </w:rPr>
              <w:t>diversité</w:t>
            </w:r>
            <w:r w:rsidR="003F3CFC">
              <w:rPr>
                <w:rFonts w:asciiTheme="majorBidi" w:hAnsiTheme="majorBidi" w:cstheme="majorBidi"/>
                <w:sz w:val="21"/>
                <w:szCs w:val="21"/>
              </w:rPr>
              <w:t xml:space="preserve"> biologique</w:t>
            </w:r>
            <w:r>
              <w:rPr>
                <w:rFonts w:asciiTheme="majorBidi" w:hAnsiTheme="majorBidi" w:cstheme="majorBidi"/>
                <w:sz w:val="21"/>
                <w:szCs w:val="21"/>
              </w:rPr>
              <w:t>.</w:t>
            </w:r>
          </w:p>
        </w:tc>
        <w:tc>
          <w:tcPr>
            <w:tcW w:w="6096" w:type="dxa"/>
            <w:shd w:val="clear" w:color="auto" w:fill="FFFFFF"/>
            <w:tcMar>
              <w:top w:w="115" w:type="dxa"/>
              <w:left w:w="115" w:type="dxa"/>
              <w:bottom w:w="115" w:type="dxa"/>
              <w:right w:w="115" w:type="dxa"/>
            </w:tcMar>
          </w:tcPr>
          <w:p w14:paraId="62D3929A" w14:textId="77777777" w:rsidR="00C66A69" w:rsidRDefault="00F212AF">
            <w:pPr>
              <w:tabs>
                <w:tab w:val="left" w:pos="360"/>
              </w:tabs>
              <w:spacing w:after="60"/>
              <w:jc w:val="left"/>
              <w:rPr>
                <w:rFonts w:asciiTheme="majorBidi" w:hAnsiTheme="majorBidi" w:cstheme="majorBidi"/>
                <w:iCs/>
                <w:sz w:val="21"/>
                <w:szCs w:val="21"/>
              </w:rPr>
            </w:pPr>
            <w:r>
              <w:rPr>
                <w:rFonts w:asciiTheme="majorBidi" w:eastAsia="MS Mincho" w:hAnsiTheme="majorBidi" w:cstheme="majorBidi"/>
                <w:iCs/>
                <w:sz w:val="21"/>
                <w:szCs w:val="21"/>
              </w:rPr>
              <w:t>Point 3.</w:t>
            </w:r>
            <w:r>
              <w:rPr>
                <w:rFonts w:asciiTheme="majorBidi" w:eastAsia="MS Mincho" w:hAnsiTheme="majorBidi" w:cstheme="majorBidi"/>
                <w:iCs/>
                <w:sz w:val="21"/>
                <w:szCs w:val="21"/>
              </w:rPr>
              <w:tab/>
            </w:r>
            <w:r>
              <w:rPr>
                <w:rFonts w:asciiTheme="majorBidi" w:hAnsiTheme="majorBidi" w:cstheme="majorBidi"/>
                <w:iCs/>
                <w:sz w:val="21"/>
                <w:szCs w:val="21"/>
              </w:rPr>
              <w:t>Mécanisme</w:t>
            </w:r>
            <w:r w:rsidR="00F81A31">
              <w:rPr>
                <w:rFonts w:asciiTheme="majorBidi" w:hAnsiTheme="majorBidi" w:cstheme="majorBidi"/>
                <w:iCs/>
                <w:sz w:val="21"/>
                <w:szCs w:val="21"/>
              </w:rPr>
              <w:t>s de planification, de suivi, d’établissement de</w:t>
            </w:r>
            <w:r>
              <w:rPr>
                <w:rFonts w:asciiTheme="majorBidi" w:hAnsiTheme="majorBidi" w:cstheme="majorBidi"/>
                <w:iCs/>
                <w:sz w:val="21"/>
                <w:szCs w:val="21"/>
              </w:rPr>
              <w:t xml:space="preserve"> rapport</w:t>
            </w:r>
            <w:r w:rsidR="00F81A31">
              <w:rPr>
                <w:rFonts w:asciiTheme="majorBidi" w:hAnsiTheme="majorBidi" w:cstheme="majorBidi"/>
                <w:iCs/>
                <w:sz w:val="21"/>
                <w:szCs w:val="21"/>
              </w:rPr>
              <w:t>s</w:t>
            </w:r>
            <w:r>
              <w:rPr>
                <w:rFonts w:asciiTheme="majorBidi" w:hAnsiTheme="majorBidi" w:cstheme="majorBidi"/>
                <w:iCs/>
                <w:sz w:val="21"/>
                <w:szCs w:val="21"/>
              </w:rPr>
              <w:t xml:space="preserve"> et d</w:t>
            </w:r>
            <w:r w:rsidR="00F81A31">
              <w:rPr>
                <w:rFonts w:asciiTheme="majorBidi" w:hAnsiTheme="majorBidi" w:cstheme="majorBidi"/>
                <w:iCs/>
                <w:sz w:val="21"/>
                <w:szCs w:val="21"/>
              </w:rPr>
              <w:t>’</w:t>
            </w:r>
            <w:r>
              <w:rPr>
                <w:rFonts w:asciiTheme="majorBidi" w:hAnsiTheme="majorBidi" w:cstheme="majorBidi"/>
                <w:iCs/>
                <w:sz w:val="21"/>
                <w:szCs w:val="21"/>
              </w:rPr>
              <w:t>examen.</w:t>
            </w:r>
          </w:p>
          <w:p w14:paraId="69AC1A8D" w14:textId="77777777" w:rsidR="00C66A69" w:rsidRDefault="00F212AF">
            <w:pPr>
              <w:tabs>
                <w:tab w:val="left" w:pos="360"/>
              </w:tabs>
              <w:spacing w:after="60"/>
              <w:jc w:val="left"/>
              <w:rPr>
                <w:rFonts w:asciiTheme="majorBidi" w:hAnsiTheme="majorBidi" w:cstheme="majorBidi"/>
                <w:iCs/>
                <w:sz w:val="21"/>
                <w:szCs w:val="21"/>
              </w:rPr>
            </w:pPr>
            <w:r>
              <w:rPr>
                <w:rFonts w:asciiTheme="majorBidi" w:eastAsia="MS Mincho" w:hAnsiTheme="majorBidi" w:cstheme="majorBidi"/>
                <w:iCs/>
                <w:sz w:val="21"/>
                <w:szCs w:val="21"/>
              </w:rPr>
              <w:t>Point 4.</w:t>
            </w:r>
            <w:r>
              <w:rPr>
                <w:rFonts w:asciiTheme="majorBidi" w:eastAsia="MS Mincho" w:hAnsiTheme="majorBidi" w:cstheme="majorBidi"/>
                <w:iCs/>
                <w:sz w:val="21"/>
                <w:szCs w:val="21"/>
              </w:rPr>
              <w:tab/>
            </w:r>
            <w:r>
              <w:rPr>
                <w:rFonts w:asciiTheme="majorBidi" w:hAnsiTheme="majorBidi" w:cstheme="majorBidi"/>
                <w:sz w:val="21"/>
                <w:szCs w:val="21"/>
              </w:rPr>
              <w:t xml:space="preserve">Mobilisation des ressources et </w:t>
            </w:r>
            <w:r w:rsidR="00922FE7">
              <w:rPr>
                <w:rFonts w:asciiTheme="majorBidi" w:hAnsiTheme="majorBidi" w:cstheme="majorBidi"/>
                <w:sz w:val="21"/>
                <w:szCs w:val="21"/>
              </w:rPr>
              <w:t>mécanisme de financement</w:t>
            </w:r>
            <w:r>
              <w:rPr>
                <w:rFonts w:asciiTheme="majorBidi" w:hAnsiTheme="majorBidi" w:cstheme="majorBidi"/>
                <w:iCs/>
                <w:sz w:val="21"/>
                <w:szCs w:val="21"/>
              </w:rPr>
              <w:t>.</w:t>
            </w:r>
          </w:p>
        </w:tc>
      </w:tr>
      <w:tr w:rsidR="009720C4" w:rsidRPr="00C02EA4" w14:paraId="2084B407" w14:textId="77777777" w:rsidTr="006A21C0">
        <w:trPr>
          <w:trHeight w:val="1050"/>
        </w:trPr>
        <w:tc>
          <w:tcPr>
            <w:tcW w:w="1413" w:type="dxa"/>
            <w:shd w:val="clear" w:color="auto" w:fill="auto"/>
            <w:tcMar>
              <w:top w:w="115" w:type="dxa"/>
              <w:left w:w="115" w:type="dxa"/>
              <w:bottom w:w="115" w:type="dxa"/>
              <w:right w:w="115" w:type="dxa"/>
            </w:tcMar>
          </w:tcPr>
          <w:p w14:paraId="6F606BF5"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Mercredi</w:t>
            </w:r>
          </w:p>
          <w:p w14:paraId="611A789C"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22 m</w:t>
            </w:r>
            <w:r w:rsidR="00F212AF">
              <w:rPr>
                <w:rFonts w:asciiTheme="majorBidi" w:hAnsiTheme="majorBidi" w:cstheme="majorBidi"/>
                <w:sz w:val="21"/>
                <w:szCs w:val="21"/>
              </w:rPr>
              <w:t>ai 2024</w:t>
            </w:r>
          </w:p>
        </w:tc>
        <w:tc>
          <w:tcPr>
            <w:tcW w:w="5953" w:type="dxa"/>
            <w:tcBorders>
              <w:bottom w:val="single" w:sz="4" w:space="0" w:color="auto"/>
            </w:tcBorders>
            <w:shd w:val="clear" w:color="auto" w:fill="auto"/>
            <w:tcMar>
              <w:top w:w="115" w:type="dxa"/>
              <w:left w:w="115" w:type="dxa"/>
              <w:bottom w:w="115" w:type="dxa"/>
              <w:right w:w="115" w:type="dxa"/>
            </w:tcMar>
          </w:tcPr>
          <w:p w14:paraId="4F91D402"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Point 4 (</w:t>
            </w:r>
            <w:r>
              <w:rPr>
                <w:rFonts w:asciiTheme="majorBidi" w:hAnsiTheme="majorBidi" w:cstheme="majorBidi"/>
                <w:i/>
                <w:sz w:val="21"/>
                <w:szCs w:val="21"/>
              </w:rPr>
              <w:t>suite</w:t>
            </w:r>
            <w:r>
              <w:rPr>
                <w:rFonts w:asciiTheme="majorBidi" w:hAnsiTheme="majorBidi" w:cstheme="majorBidi"/>
                <w:iCs/>
                <w:sz w:val="21"/>
                <w:szCs w:val="21"/>
              </w:rPr>
              <w:t>)</w:t>
            </w:r>
          </w:p>
          <w:p w14:paraId="287F3AAD" w14:textId="77777777" w:rsidR="00C66A69" w:rsidRDefault="00F212AF">
            <w:pPr>
              <w:tabs>
                <w:tab w:val="left" w:pos="360"/>
              </w:tabs>
              <w:spacing w:after="60"/>
              <w:jc w:val="left"/>
              <w:rPr>
                <w:rFonts w:asciiTheme="majorBidi" w:hAnsiTheme="majorBidi" w:cstheme="majorBidi"/>
                <w:iCs/>
                <w:sz w:val="21"/>
                <w:szCs w:val="21"/>
              </w:rPr>
            </w:pPr>
            <w:r>
              <w:rPr>
                <w:rFonts w:asciiTheme="majorBidi" w:eastAsia="MS Mincho" w:hAnsiTheme="majorBidi" w:cstheme="majorBidi"/>
                <w:iCs/>
                <w:sz w:val="21"/>
                <w:szCs w:val="21"/>
              </w:rPr>
              <w:t>Point 5.</w:t>
            </w:r>
            <w:r>
              <w:rPr>
                <w:rFonts w:asciiTheme="majorBidi" w:eastAsia="MS Mincho" w:hAnsiTheme="majorBidi" w:cstheme="majorBidi"/>
                <w:iCs/>
                <w:sz w:val="21"/>
                <w:szCs w:val="21"/>
              </w:rPr>
              <w:tab/>
            </w:r>
            <w:r w:rsidR="00922FE7">
              <w:rPr>
                <w:rFonts w:asciiTheme="majorBidi" w:hAnsiTheme="majorBidi" w:cstheme="majorBidi"/>
                <w:iCs/>
                <w:sz w:val="21"/>
                <w:szCs w:val="21"/>
              </w:rPr>
              <w:t>Renforcement et développement des capacités</w:t>
            </w:r>
            <w:r>
              <w:rPr>
                <w:rFonts w:asciiTheme="majorBidi" w:hAnsiTheme="majorBidi" w:cstheme="majorBidi"/>
                <w:iCs/>
                <w:sz w:val="21"/>
                <w:szCs w:val="21"/>
              </w:rPr>
              <w:t>, coopérat</w:t>
            </w:r>
            <w:r w:rsidR="00F81A31">
              <w:rPr>
                <w:rFonts w:asciiTheme="majorBidi" w:hAnsiTheme="majorBidi" w:cstheme="majorBidi"/>
                <w:iCs/>
                <w:sz w:val="21"/>
                <w:szCs w:val="21"/>
              </w:rPr>
              <w:t>ion technique et scientifique, C</w:t>
            </w:r>
            <w:r>
              <w:rPr>
                <w:rFonts w:asciiTheme="majorBidi" w:hAnsiTheme="majorBidi" w:cstheme="majorBidi"/>
                <w:iCs/>
                <w:sz w:val="21"/>
                <w:szCs w:val="21"/>
              </w:rPr>
              <w:t>entre d</w:t>
            </w:r>
            <w:r w:rsidR="00F81A31">
              <w:rPr>
                <w:rFonts w:asciiTheme="majorBidi" w:hAnsiTheme="majorBidi" w:cstheme="majorBidi"/>
                <w:iCs/>
                <w:sz w:val="21"/>
                <w:szCs w:val="21"/>
              </w:rPr>
              <w:t>’</w:t>
            </w:r>
            <w:r>
              <w:rPr>
                <w:rFonts w:asciiTheme="majorBidi" w:hAnsiTheme="majorBidi" w:cstheme="majorBidi"/>
                <w:iCs/>
                <w:sz w:val="21"/>
                <w:szCs w:val="21"/>
              </w:rPr>
              <w:t>échange et gestion des connaissances au titre de la Convention et de ses Protocoles.</w:t>
            </w:r>
          </w:p>
        </w:tc>
        <w:tc>
          <w:tcPr>
            <w:tcW w:w="6096" w:type="dxa"/>
            <w:shd w:val="clear" w:color="auto" w:fill="FFFFFF"/>
            <w:tcMar>
              <w:top w:w="115" w:type="dxa"/>
              <w:left w:w="115" w:type="dxa"/>
              <w:bottom w:w="115" w:type="dxa"/>
              <w:right w:w="115" w:type="dxa"/>
            </w:tcMar>
          </w:tcPr>
          <w:p w14:paraId="33FAD28B" w14:textId="77777777" w:rsidR="00C66A69" w:rsidRDefault="00F212AF">
            <w:pPr>
              <w:tabs>
                <w:tab w:val="left" w:pos="360"/>
              </w:tabs>
              <w:spacing w:after="60"/>
              <w:jc w:val="left"/>
              <w:rPr>
                <w:rFonts w:asciiTheme="majorBidi" w:eastAsia="MS Mincho" w:hAnsiTheme="majorBidi" w:cstheme="majorBidi"/>
                <w:sz w:val="21"/>
                <w:szCs w:val="21"/>
              </w:rPr>
            </w:pPr>
            <w:r>
              <w:rPr>
                <w:rFonts w:asciiTheme="majorBidi" w:eastAsia="MS Mincho" w:hAnsiTheme="majorBidi" w:cstheme="majorBidi"/>
                <w:iCs/>
                <w:sz w:val="21"/>
                <w:szCs w:val="21"/>
              </w:rPr>
              <w:t>Point 6.</w:t>
            </w:r>
            <w:r>
              <w:rPr>
                <w:rFonts w:asciiTheme="majorBidi" w:eastAsia="MS Mincho" w:hAnsiTheme="majorBidi" w:cstheme="majorBidi"/>
                <w:iCs/>
                <w:sz w:val="21"/>
                <w:szCs w:val="21"/>
              </w:rPr>
              <w:tab/>
              <w:t>Communication.</w:t>
            </w:r>
          </w:p>
          <w:p w14:paraId="386BF437" w14:textId="77777777" w:rsidR="00C66A69" w:rsidRDefault="00F212AF">
            <w:pPr>
              <w:tabs>
                <w:tab w:val="left" w:pos="360"/>
              </w:tabs>
              <w:spacing w:after="60"/>
              <w:jc w:val="left"/>
              <w:rPr>
                <w:rFonts w:asciiTheme="majorBidi" w:hAnsiTheme="majorBidi" w:cstheme="majorBidi"/>
                <w:iCs/>
                <w:sz w:val="21"/>
                <w:szCs w:val="21"/>
              </w:rPr>
            </w:pPr>
            <w:r>
              <w:rPr>
                <w:rFonts w:asciiTheme="majorBidi" w:eastAsia="MS Mincho" w:hAnsiTheme="majorBidi" w:cstheme="majorBidi"/>
                <w:sz w:val="21"/>
                <w:szCs w:val="21"/>
              </w:rPr>
              <w:t>Point 7.</w:t>
            </w:r>
            <w:r>
              <w:rPr>
                <w:rFonts w:asciiTheme="majorBidi" w:eastAsia="MS Mincho" w:hAnsiTheme="majorBidi" w:cstheme="majorBidi"/>
                <w:sz w:val="21"/>
                <w:szCs w:val="21"/>
              </w:rPr>
              <w:tab/>
            </w:r>
            <w:r>
              <w:rPr>
                <w:rFonts w:asciiTheme="majorBidi" w:hAnsiTheme="majorBidi" w:cstheme="majorBidi"/>
                <w:sz w:val="21"/>
                <w:szCs w:val="21"/>
              </w:rPr>
              <w:t>Coopération avec d</w:t>
            </w:r>
            <w:r w:rsidR="00F81A31">
              <w:rPr>
                <w:rFonts w:asciiTheme="majorBidi" w:hAnsiTheme="majorBidi" w:cstheme="majorBidi"/>
                <w:sz w:val="21"/>
                <w:szCs w:val="21"/>
              </w:rPr>
              <w:t>’</w:t>
            </w:r>
            <w:r>
              <w:rPr>
                <w:rFonts w:asciiTheme="majorBidi" w:hAnsiTheme="majorBidi" w:cstheme="majorBidi"/>
                <w:sz w:val="21"/>
                <w:szCs w:val="21"/>
              </w:rPr>
              <w:t>autres conventions et organisations internationales.</w:t>
            </w:r>
          </w:p>
        </w:tc>
      </w:tr>
      <w:tr w:rsidR="009720C4" w:rsidRPr="00C02EA4" w14:paraId="089AD06C" w14:textId="77777777" w:rsidTr="006A21C0">
        <w:tc>
          <w:tcPr>
            <w:tcW w:w="1413" w:type="dxa"/>
            <w:shd w:val="clear" w:color="auto" w:fill="auto"/>
            <w:tcMar>
              <w:top w:w="115" w:type="dxa"/>
              <w:left w:w="115" w:type="dxa"/>
              <w:bottom w:w="115" w:type="dxa"/>
              <w:right w:w="115" w:type="dxa"/>
            </w:tcMar>
          </w:tcPr>
          <w:p w14:paraId="1DFB466A"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Jeudi</w:t>
            </w:r>
          </w:p>
          <w:p w14:paraId="4BC90A21"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23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tcPr>
          <w:p w14:paraId="7A96619C" w14:textId="77777777" w:rsidR="00C66A69" w:rsidRDefault="00F212AF">
            <w:pPr>
              <w:tabs>
                <w:tab w:val="left" w:pos="360"/>
              </w:tabs>
              <w:spacing w:after="60"/>
              <w:jc w:val="left"/>
              <w:rPr>
                <w:rFonts w:asciiTheme="majorBidi" w:eastAsia="MS Mincho" w:hAnsiTheme="majorBidi" w:cstheme="majorBidi"/>
                <w:iCs/>
                <w:sz w:val="21"/>
                <w:szCs w:val="21"/>
              </w:rPr>
            </w:pPr>
            <w:r>
              <w:rPr>
                <w:rFonts w:asciiTheme="majorBidi" w:eastAsia="MS Mincho" w:hAnsiTheme="majorBidi" w:cstheme="majorBidi"/>
                <w:iCs/>
                <w:sz w:val="21"/>
                <w:szCs w:val="21"/>
              </w:rPr>
              <w:t>Point 8.</w:t>
            </w:r>
            <w:r>
              <w:rPr>
                <w:rFonts w:asciiTheme="majorBidi" w:eastAsia="MS Mincho" w:hAnsiTheme="majorBidi" w:cstheme="majorBidi"/>
                <w:iCs/>
                <w:sz w:val="21"/>
                <w:szCs w:val="21"/>
              </w:rPr>
              <w:tab/>
              <w:t>Examen de l</w:t>
            </w:r>
            <w:r w:rsidR="00F81A31">
              <w:rPr>
                <w:rFonts w:asciiTheme="majorBidi" w:eastAsia="MS Mincho" w:hAnsiTheme="majorBidi" w:cstheme="majorBidi"/>
                <w:iCs/>
                <w:sz w:val="21"/>
                <w:szCs w:val="21"/>
              </w:rPr>
              <w:t>’</w:t>
            </w:r>
            <w:r>
              <w:rPr>
                <w:rFonts w:asciiTheme="majorBidi" w:eastAsia="MS Mincho" w:hAnsiTheme="majorBidi" w:cstheme="majorBidi"/>
                <w:iCs/>
                <w:sz w:val="21"/>
                <w:szCs w:val="21"/>
              </w:rPr>
              <w:t>eff</w:t>
            </w:r>
            <w:r w:rsidR="00F81A31">
              <w:rPr>
                <w:rFonts w:asciiTheme="majorBidi" w:eastAsia="MS Mincho" w:hAnsiTheme="majorBidi" w:cstheme="majorBidi"/>
                <w:iCs/>
                <w:sz w:val="21"/>
                <w:szCs w:val="21"/>
              </w:rPr>
              <w:t>icacité des processus établis au titre de</w:t>
            </w:r>
            <w:r>
              <w:rPr>
                <w:rFonts w:asciiTheme="majorBidi" w:eastAsia="MS Mincho" w:hAnsiTheme="majorBidi" w:cstheme="majorBidi"/>
                <w:iCs/>
                <w:sz w:val="21"/>
                <w:szCs w:val="21"/>
              </w:rPr>
              <w:t xml:space="preserve"> la Convention et </w:t>
            </w:r>
            <w:r w:rsidR="00F81A31">
              <w:rPr>
                <w:rFonts w:asciiTheme="majorBidi" w:eastAsia="MS Mincho" w:hAnsiTheme="majorBidi" w:cstheme="majorBidi"/>
                <w:iCs/>
                <w:sz w:val="21"/>
                <w:szCs w:val="21"/>
              </w:rPr>
              <w:t xml:space="preserve">de </w:t>
            </w:r>
            <w:r>
              <w:rPr>
                <w:rFonts w:asciiTheme="majorBidi" w:eastAsia="MS Mincho" w:hAnsiTheme="majorBidi" w:cstheme="majorBidi"/>
                <w:iCs/>
                <w:sz w:val="21"/>
                <w:szCs w:val="21"/>
              </w:rPr>
              <w:t>ses Protocoles.</w:t>
            </w:r>
          </w:p>
          <w:p w14:paraId="762BA4C4" w14:textId="77777777" w:rsidR="00C66A69" w:rsidRDefault="00F212AF">
            <w:pPr>
              <w:tabs>
                <w:tab w:val="left" w:pos="360"/>
              </w:tabs>
              <w:spacing w:after="60"/>
              <w:jc w:val="left"/>
              <w:rPr>
                <w:rFonts w:asciiTheme="majorBidi" w:eastAsia="MS Mincho" w:hAnsiTheme="majorBidi" w:cstheme="majorBidi"/>
                <w:sz w:val="21"/>
                <w:szCs w:val="21"/>
              </w:rPr>
            </w:pPr>
            <w:r>
              <w:rPr>
                <w:rFonts w:asciiTheme="majorBidi" w:eastAsia="MS Mincho" w:hAnsiTheme="majorBidi" w:cstheme="majorBidi"/>
                <w:iCs/>
                <w:sz w:val="21"/>
                <w:szCs w:val="21"/>
              </w:rPr>
              <w:t xml:space="preserve">Point 9. </w:t>
            </w:r>
            <w:r>
              <w:rPr>
                <w:rFonts w:asciiTheme="majorBidi" w:eastAsia="MS Mincho" w:hAnsiTheme="majorBidi" w:cstheme="majorBidi"/>
                <w:sz w:val="21"/>
                <w:szCs w:val="21"/>
              </w:rPr>
              <w:t>Évaluation et examen de l</w:t>
            </w:r>
            <w:r w:rsidR="00F81A31">
              <w:rPr>
                <w:rFonts w:asciiTheme="majorBidi" w:eastAsia="MS Mincho" w:hAnsiTheme="majorBidi" w:cstheme="majorBidi"/>
                <w:sz w:val="21"/>
                <w:szCs w:val="21"/>
              </w:rPr>
              <w:t>’</w:t>
            </w:r>
            <w:r>
              <w:rPr>
                <w:rFonts w:asciiTheme="majorBidi" w:eastAsia="MS Mincho" w:hAnsiTheme="majorBidi" w:cstheme="majorBidi"/>
                <w:sz w:val="21"/>
                <w:szCs w:val="21"/>
              </w:rPr>
              <w:t xml:space="preserve">efficacité du </w:t>
            </w:r>
            <w:r w:rsidR="00922FE7">
              <w:rPr>
                <w:rFonts w:asciiTheme="majorBidi" w:eastAsia="MS Mincho" w:hAnsiTheme="majorBidi" w:cstheme="majorBidi"/>
                <w:sz w:val="21"/>
                <w:szCs w:val="21"/>
              </w:rPr>
              <w:t>Protocole</w:t>
            </w:r>
            <w:r>
              <w:rPr>
                <w:rFonts w:asciiTheme="majorBidi" w:eastAsia="MS Mincho" w:hAnsiTheme="majorBidi" w:cstheme="majorBidi"/>
                <w:sz w:val="21"/>
                <w:szCs w:val="21"/>
              </w:rPr>
              <w:t xml:space="preserve"> de Nagoya (article 31).</w:t>
            </w:r>
          </w:p>
          <w:p w14:paraId="035CE03A" w14:textId="77777777" w:rsidR="00C66A69" w:rsidRDefault="00F212AF">
            <w:pPr>
              <w:tabs>
                <w:tab w:val="left" w:pos="360"/>
              </w:tabs>
              <w:spacing w:after="60"/>
              <w:jc w:val="left"/>
              <w:rPr>
                <w:rFonts w:asciiTheme="majorBidi" w:hAnsiTheme="majorBidi" w:cstheme="majorBidi"/>
                <w:sz w:val="21"/>
                <w:szCs w:val="21"/>
              </w:rPr>
            </w:pPr>
            <w:r>
              <w:rPr>
                <w:rFonts w:asciiTheme="majorBidi" w:eastAsia="MS Mincho" w:hAnsiTheme="majorBidi" w:cstheme="majorBidi"/>
                <w:sz w:val="21"/>
                <w:szCs w:val="21"/>
              </w:rPr>
              <w:t xml:space="preserve">Point 10. </w:t>
            </w:r>
            <w:r>
              <w:rPr>
                <w:rFonts w:asciiTheme="majorBidi" w:hAnsiTheme="majorBidi" w:cstheme="majorBidi"/>
                <w:sz w:val="21"/>
                <w:szCs w:val="21"/>
              </w:rPr>
              <w:t>Approc</w:t>
            </w:r>
            <w:r w:rsidR="00F81A31">
              <w:rPr>
                <w:rFonts w:asciiTheme="majorBidi" w:hAnsiTheme="majorBidi" w:cstheme="majorBidi"/>
                <w:sz w:val="21"/>
                <w:szCs w:val="21"/>
              </w:rPr>
              <w:t>he stratégique à long terme en matière d’</w:t>
            </w:r>
            <w:r>
              <w:rPr>
                <w:rFonts w:asciiTheme="majorBidi" w:hAnsiTheme="majorBidi" w:cstheme="majorBidi"/>
                <w:sz w:val="21"/>
                <w:szCs w:val="21"/>
              </w:rPr>
              <w:t>intégration.</w:t>
            </w:r>
          </w:p>
        </w:tc>
        <w:tc>
          <w:tcPr>
            <w:tcW w:w="6096" w:type="dxa"/>
            <w:shd w:val="clear" w:color="auto" w:fill="auto"/>
            <w:tcMar>
              <w:top w:w="115" w:type="dxa"/>
              <w:left w:w="115" w:type="dxa"/>
              <w:bottom w:w="115" w:type="dxa"/>
              <w:right w:w="115" w:type="dxa"/>
            </w:tcMar>
          </w:tcPr>
          <w:p w14:paraId="1D12CFA3" w14:textId="77777777" w:rsidR="00C66A69" w:rsidRDefault="00F212AF">
            <w:pPr>
              <w:tabs>
                <w:tab w:val="left" w:pos="360"/>
              </w:tabs>
              <w:spacing w:after="60"/>
              <w:jc w:val="left"/>
              <w:rPr>
                <w:rFonts w:asciiTheme="majorBidi" w:eastAsia="MS Mincho" w:hAnsiTheme="majorBidi" w:cstheme="majorBidi"/>
                <w:sz w:val="21"/>
                <w:szCs w:val="21"/>
              </w:rPr>
            </w:pPr>
            <w:r>
              <w:rPr>
                <w:rFonts w:asciiTheme="majorBidi" w:eastAsia="MS Mincho" w:hAnsiTheme="majorBidi" w:cstheme="majorBidi"/>
                <w:sz w:val="21"/>
                <w:szCs w:val="21"/>
              </w:rPr>
              <w:t>Point 11. Examen des programmes de travail de la Convention.</w:t>
            </w:r>
          </w:p>
          <w:p w14:paraId="75B46D63" w14:textId="77777777" w:rsidR="00C66A69" w:rsidRDefault="00F212AF">
            <w:pPr>
              <w:tabs>
                <w:tab w:val="left" w:pos="360"/>
              </w:tabs>
              <w:spacing w:after="60"/>
              <w:jc w:val="left"/>
              <w:rPr>
                <w:rFonts w:asciiTheme="majorBidi" w:eastAsia="MS Mincho" w:hAnsiTheme="majorBidi" w:cstheme="majorBidi"/>
                <w:sz w:val="21"/>
                <w:szCs w:val="21"/>
              </w:rPr>
            </w:pPr>
            <w:r>
              <w:rPr>
                <w:rFonts w:asciiTheme="majorBidi" w:eastAsia="MS Mincho" w:hAnsiTheme="majorBidi" w:cstheme="majorBidi"/>
                <w:sz w:val="21"/>
                <w:szCs w:val="21"/>
              </w:rPr>
              <w:t>Point 12. Programme de travail pluriannuel de la Conférence des Parties.</w:t>
            </w:r>
          </w:p>
          <w:p w14:paraId="25D5729E" w14:textId="77777777" w:rsidR="00C66A69" w:rsidRDefault="00F212AF">
            <w:pPr>
              <w:tabs>
                <w:tab w:val="left" w:pos="360"/>
              </w:tabs>
              <w:spacing w:after="60"/>
              <w:jc w:val="left"/>
              <w:rPr>
                <w:rFonts w:asciiTheme="majorBidi" w:hAnsiTheme="majorBidi" w:cstheme="majorBidi"/>
                <w:sz w:val="21"/>
                <w:szCs w:val="21"/>
              </w:rPr>
            </w:pPr>
            <w:r>
              <w:rPr>
                <w:rFonts w:asciiTheme="majorBidi" w:eastAsia="MS Mincho" w:hAnsiTheme="majorBidi" w:cstheme="majorBidi"/>
                <w:sz w:val="21"/>
                <w:szCs w:val="21"/>
              </w:rPr>
              <w:t xml:space="preserve">Point 13. </w:t>
            </w:r>
            <w:r>
              <w:rPr>
                <w:rFonts w:asciiTheme="majorBidi" w:hAnsiTheme="majorBidi" w:cstheme="majorBidi"/>
                <w:sz w:val="21"/>
                <w:szCs w:val="21"/>
              </w:rPr>
              <w:t>Questions administratives et budgétaires.</w:t>
            </w:r>
          </w:p>
        </w:tc>
      </w:tr>
      <w:tr w:rsidR="009720C4" w:rsidRPr="00C02EA4" w14:paraId="337B5D33" w14:textId="77777777" w:rsidTr="006A21C0">
        <w:tc>
          <w:tcPr>
            <w:tcW w:w="1413" w:type="dxa"/>
            <w:shd w:val="clear" w:color="auto" w:fill="auto"/>
            <w:tcMar>
              <w:top w:w="115" w:type="dxa"/>
              <w:left w:w="115" w:type="dxa"/>
              <w:bottom w:w="115" w:type="dxa"/>
              <w:right w:w="115" w:type="dxa"/>
            </w:tcMar>
          </w:tcPr>
          <w:p w14:paraId="363A7B7A"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Vendredi</w:t>
            </w:r>
          </w:p>
          <w:p w14:paraId="7C9FD2A8"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24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vAlign w:val="center"/>
          </w:tcPr>
          <w:p w14:paraId="1A6160FC" w14:textId="77777777" w:rsidR="00C66A69" w:rsidRDefault="00F81A31">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sidR="00F212AF">
              <w:rPr>
                <w:rFonts w:asciiTheme="majorBidi" w:hAnsiTheme="majorBidi" w:cstheme="majorBidi"/>
                <w:i/>
                <w:sz w:val="21"/>
                <w:szCs w:val="21"/>
                <w:vertAlign w:val="superscript"/>
              </w:rPr>
              <w:t>a</w:t>
            </w:r>
          </w:p>
        </w:tc>
        <w:tc>
          <w:tcPr>
            <w:tcW w:w="6096" w:type="dxa"/>
            <w:shd w:val="clear" w:color="auto" w:fill="auto"/>
            <w:tcMar>
              <w:top w:w="115" w:type="dxa"/>
              <w:left w:w="115" w:type="dxa"/>
              <w:bottom w:w="115" w:type="dxa"/>
              <w:right w:w="115" w:type="dxa"/>
            </w:tcMar>
            <w:vAlign w:val="center"/>
          </w:tcPr>
          <w:p w14:paraId="24D25108"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r>
      <w:tr w:rsidR="009720C4" w:rsidRPr="00C02EA4" w14:paraId="32B45B7A" w14:textId="77777777" w:rsidTr="006A21C0">
        <w:tc>
          <w:tcPr>
            <w:tcW w:w="1413" w:type="dxa"/>
            <w:shd w:val="clear" w:color="auto" w:fill="auto"/>
            <w:tcMar>
              <w:top w:w="115" w:type="dxa"/>
              <w:left w:w="115" w:type="dxa"/>
              <w:bottom w:w="115" w:type="dxa"/>
              <w:right w:w="115" w:type="dxa"/>
            </w:tcMar>
          </w:tcPr>
          <w:p w14:paraId="1EB33756"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Samedi</w:t>
            </w:r>
          </w:p>
          <w:p w14:paraId="5C5E8E7F"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25 m</w:t>
            </w:r>
            <w:r w:rsidR="00F212AF">
              <w:rPr>
                <w:rFonts w:asciiTheme="majorBidi" w:hAnsiTheme="majorBidi" w:cstheme="majorBidi"/>
                <w:sz w:val="21"/>
                <w:szCs w:val="21"/>
              </w:rPr>
              <w:t>ai 2024</w:t>
            </w:r>
          </w:p>
        </w:tc>
        <w:tc>
          <w:tcPr>
            <w:tcW w:w="5953" w:type="dxa"/>
            <w:tcBorders>
              <w:bottom w:val="single" w:sz="4" w:space="0" w:color="auto"/>
              <w:right w:val="nil"/>
            </w:tcBorders>
            <w:shd w:val="clear" w:color="auto" w:fill="auto"/>
            <w:tcMar>
              <w:top w:w="115" w:type="dxa"/>
              <w:left w:w="115" w:type="dxa"/>
              <w:bottom w:w="115" w:type="dxa"/>
              <w:right w:w="115" w:type="dxa"/>
            </w:tcMar>
            <w:vAlign w:val="center"/>
          </w:tcPr>
          <w:p w14:paraId="328D7714" w14:textId="77777777" w:rsidR="00C66A69" w:rsidRDefault="00F212AF">
            <w:pPr>
              <w:spacing w:after="60"/>
              <w:jc w:val="left"/>
              <w:rPr>
                <w:rFonts w:asciiTheme="majorBidi" w:hAnsiTheme="majorBidi" w:cstheme="majorBidi"/>
                <w:i/>
                <w:sz w:val="21"/>
                <w:szCs w:val="21"/>
              </w:rPr>
            </w:pPr>
            <w:r>
              <w:rPr>
                <w:rFonts w:asciiTheme="majorBidi" w:hAnsiTheme="majorBidi" w:cstheme="majorBidi"/>
                <w:i/>
                <w:sz w:val="21"/>
                <w:szCs w:val="21"/>
              </w:rPr>
              <w:t>Jour de repos</w:t>
            </w:r>
          </w:p>
        </w:tc>
        <w:tc>
          <w:tcPr>
            <w:tcW w:w="6096" w:type="dxa"/>
            <w:tcBorders>
              <w:left w:val="nil"/>
              <w:bottom w:val="single" w:sz="4" w:space="0" w:color="auto"/>
            </w:tcBorders>
            <w:shd w:val="clear" w:color="auto" w:fill="auto"/>
            <w:tcMar>
              <w:top w:w="115" w:type="dxa"/>
              <w:left w:w="115" w:type="dxa"/>
              <w:bottom w:w="115" w:type="dxa"/>
              <w:right w:w="115" w:type="dxa"/>
            </w:tcMar>
            <w:vAlign w:val="center"/>
          </w:tcPr>
          <w:p w14:paraId="781E050A" w14:textId="77777777" w:rsidR="009720C4" w:rsidRPr="00C02EA4" w:rsidRDefault="009720C4" w:rsidP="00B470A8">
            <w:pPr>
              <w:spacing w:after="60"/>
              <w:jc w:val="left"/>
              <w:rPr>
                <w:rFonts w:asciiTheme="majorBidi" w:hAnsiTheme="majorBidi" w:cstheme="majorBidi"/>
                <w:iCs/>
                <w:sz w:val="21"/>
                <w:szCs w:val="21"/>
              </w:rPr>
            </w:pPr>
          </w:p>
        </w:tc>
      </w:tr>
      <w:tr w:rsidR="005F10FC" w:rsidRPr="00C02EA4" w14:paraId="3078C714" w14:textId="77777777" w:rsidTr="006A21C0">
        <w:tc>
          <w:tcPr>
            <w:tcW w:w="1413" w:type="dxa"/>
            <w:shd w:val="clear" w:color="auto" w:fill="auto"/>
            <w:tcMar>
              <w:top w:w="115" w:type="dxa"/>
              <w:left w:w="115" w:type="dxa"/>
              <w:bottom w:w="115" w:type="dxa"/>
              <w:right w:w="115" w:type="dxa"/>
            </w:tcMar>
          </w:tcPr>
          <w:p w14:paraId="4C262120"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Dimanche</w:t>
            </w:r>
          </w:p>
          <w:p w14:paraId="6DD19F3D"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26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vAlign w:val="center"/>
          </w:tcPr>
          <w:p w14:paraId="1DD6E677"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c>
          <w:tcPr>
            <w:tcW w:w="6096" w:type="dxa"/>
            <w:shd w:val="clear" w:color="auto" w:fill="auto"/>
            <w:tcMar>
              <w:top w:w="115" w:type="dxa"/>
              <w:left w:w="115" w:type="dxa"/>
              <w:bottom w:w="115" w:type="dxa"/>
              <w:right w:w="115" w:type="dxa"/>
            </w:tcMar>
            <w:vAlign w:val="center"/>
          </w:tcPr>
          <w:p w14:paraId="58542E15"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r>
      <w:tr w:rsidR="009720C4" w:rsidRPr="00C02EA4" w14:paraId="27D25FFC" w14:textId="77777777" w:rsidTr="006A21C0">
        <w:trPr>
          <w:cantSplit/>
        </w:trPr>
        <w:tc>
          <w:tcPr>
            <w:tcW w:w="1413" w:type="dxa"/>
            <w:shd w:val="clear" w:color="auto" w:fill="auto"/>
            <w:tcMar>
              <w:top w:w="115" w:type="dxa"/>
              <w:left w:w="115" w:type="dxa"/>
              <w:bottom w:w="115" w:type="dxa"/>
              <w:right w:w="115" w:type="dxa"/>
            </w:tcMar>
          </w:tcPr>
          <w:p w14:paraId="247A0FE0"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Lundi</w:t>
            </w:r>
          </w:p>
          <w:p w14:paraId="79BFD465"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27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vAlign w:val="center"/>
          </w:tcPr>
          <w:p w14:paraId="4F442698"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c>
          <w:tcPr>
            <w:tcW w:w="6096" w:type="dxa"/>
            <w:shd w:val="clear" w:color="auto" w:fill="auto"/>
            <w:tcMar>
              <w:top w:w="115" w:type="dxa"/>
              <w:left w:w="115" w:type="dxa"/>
              <w:bottom w:w="115" w:type="dxa"/>
              <w:right w:w="115" w:type="dxa"/>
            </w:tcMar>
            <w:vAlign w:val="center"/>
          </w:tcPr>
          <w:p w14:paraId="04897176"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r>
      <w:tr w:rsidR="009720C4" w:rsidRPr="00C02EA4" w14:paraId="50E0F586" w14:textId="77777777" w:rsidTr="006A21C0">
        <w:tc>
          <w:tcPr>
            <w:tcW w:w="1413" w:type="dxa"/>
            <w:shd w:val="clear" w:color="auto" w:fill="auto"/>
            <w:tcMar>
              <w:top w:w="115" w:type="dxa"/>
              <w:left w:w="115" w:type="dxa"/>
              <w:bottom w:w="115" w:type="dxa"/>
              <w:right w:w="115" w:type="dxa"/>
            </w:tcMar>
          </w:tcPr>
          <w:p w14:paraId="4CB90F27"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lastRenderedPageBreak/>
              <w:t>Mardi</w:t>
            </w:r>
          </w:p>
          <w:p w14:paraId="72872561"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28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vAlign w:val="center"/>
          </w:tcPr>
          <w:p w14:paraId="45B1EEC0"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c>
          <w:tcPr>
            <w:tcW w:w="6096" w:type="dxa"/>
            <w:shd w:val="clear" w:color="auto" w:fill="auto"/>
            <w:tcMar>
              <w:top w:w="115" w:type="dxa"/>
              <w:left w:w="115" w:type="dxa"/>
              <w:bottom w:w="115" w:type="dxa"/>
              <w:right w:w="115" w:type="dxa"/>
            </w:tcMar>
            <w:vAlign w:val="center"/>
          </w:tcPr>
          <w:p w14:paraId="562126F9" w14:textId="77777777" w:rsidR="00C66A69" w:rsidRDefault="00F212AF">
            <w:pPr>
              <w:spacing w:after="60"/>
              <w:jc w:val="left"/>
              <w:rPr>
                <w:rFonts w:asciiTheme="majorBidi" w:hAnsiTheme="majorBidi" w:cstheme="majorBidi"/>
                <w:iCs/>
                <w:sz w:val="21"/>
                <w:szCs w:val="21"/>
              </w:rPr>
            </w:pPr>
            <w:r>
              <w:rPr>
                <w:rFonts w:asciiTheme="majorBidi" w:hAnsiTheme="majorBidi" w:cstheme="majorBidi"/>
                <w:iCs/>
                <w:sz w:val="21"/>
                <w:szCs w:val="21"/>
              </w:rPr>
              <w:t>Examen des documents de séance.</w:t>
            </w:r>
            <w:r>
              <w:rPr>
                <w:rFonts w:asciiTheme="majorBidi" w:hAnsiTheme="majorBidi" w:cstheme="majorBidi"/>
                <w:i/>
                <w:sz w:val="21"/>
                <w:szCs w:val="21"/>
                <w:vertAlign w:val="superscript"/>
              </w:rPr>
              <w:t>a</w:t>
            </w:r>
          </w:p>
        </w:tc>
      </w:tr>
      <w:tr w:rsidR="009720C4" w:rsidRPr="00C02EA4" w14:paraId="61C0017C" w14:textId="77777777" w:rsidTr="006A21C0">
        <w:tc>
          <w:tcPr>
            <w:tcW w:w="1413" w:type="dxa"/>
            <w:shd w:val="clear" w:color="auto" w:fill="auto"/>
            <w:tcMar>
              <w:top w:w="115" w:type="dxa"/>
              <w:left w:w="115" w:type="dxa"/>
              <w:bottom w:w="115" w:type="dxa"/>
              <w:right w:w="115" w:type="dxa"/>
            </w:tcMar>
          </w:tcPr>
          <w:p w14:paraId="6137F211" w14:textId="77777777" w:rsidR="00C66A69" w:rsidRDefault="00F212AF">
            <w:pPr>
              <w:spacing w:after="60"/>
              <w:jc w:val="left"/>
              <w:rPr>
                <w:rFonts w:asciiTheme="majorBidi" w:hAnsiTheme="majorBidi" w:cstheme="majorBidi"/>
                <w:sz w:val="21"/>
                <w:szCs w:val="21"/>
              </w:rPr>
            </w:pPr>
            <w:r>
              <w:rPr>
                <w:rFonts w:asciiTheme="majorBidi" w:hAnsiTheme="majorBidi" w:cstheme="majorBidi"/>
                <w:b/>
                <w:bCs/>
                <w:sz w:val="21"/>
                <w:szCs w:val="21"/>
              </w:rPr>
              <w:t>Mercredi</w:t>
            </w:r>
          </w:p>
          <w:p w14:paraId="3A4E4E98" w14:textId="77777777" w:rsidR="00C66A69" w:rsidRDefault="00F81A31">
            <w:pPr>
              <w:spacing w:after="60"/>
              <w:jc w:val="left"/>
              <w:rPr>
                <w:rFonts w:asciiTheme="majorBidi" w:hAnsiTheme="majorBidi" w:cstheme="majorBidi"/>
                <w:sz w:val="21"/>
                <w:szCs w:val="21"/>
              </w:rPr>
            </w:pPr>
            <w:r>
              <w:rPr>
                <w:rFonts w:asciiTheme="majorBidi" w:hAnsiTheme="majorBidi" w:cstheme="majorBidi"/>
                <w:sz w:val="21"/>
                <w:szCs w:val="21"/>
              </w:rPr>
              <w:t>29 m</w:t>
            </w:r>
            <w:r w:rsidR="00F212AF">
              <w:rPr>
                <w:rFonts w:asciiTheme="majorBidi" w:hAnsiTheme="majorBidi" w:cstheme="majorBidi"/>
                <w:sz w:val="21"/>
                <w:szCs w:val="21"/>
              </w:rPr>
              <w:t>ai 2024</w:t>
            </w:r>
          </w:p>
        </w:tc>
        <w:tc>
          <w:tcPr>
            <w:tcW w:w="5953" w:type="dxa"/>
            <w:shd w:val="clear" w:color="auto" w:fill="auto"/>
            <w:tcMar>
              <w:top w:w="115" w:type="dxa"/>
              <w:left w:w="115" w:type="dxa"/>
              <w:bottom w:w="115" w:type="dxa"/>
              <w:right w:w="115" w:type="dxa"/>
            </w:tcMar>
          </w:tcPr>
          <w:p w14:paraId="6929DD94" w14:textId="77777777" w:rsidR="00C66A69" w:rsidRDefault="00F212AF">
            <w:pPr>
              <w:spacing w:after="60"/>
              <w:jc w:val="left"/>
              <w:rPr>
                <w:rFonts w:asciiTheme="majorBidi" w:hAnsiTheme="majorBidi" w:cstheme="majorBidi"/>
                <w:sz w:val="21"/>
                <w:szCs w:val="21"/>
              </w:rPr>
            </w:pPr>
            <w:r>
              <w:rPr>
                <w:rFonts w:asciiTheme="majorBidi" w:hAnsiTheme="majorBidi" w:cstheme="majorBidi"/>
                <w:sz w:val="21"/>
                <w:szCs w:val="21"/>
              </w:rPr>
              <w:t>Adoption des recommandations.</w:t>
            </w:r>
          </w:p>
          <w:p w14:paraId="06267819" w14:textId="77777777" w:rsidR="00C66A69" w:rsidRDefault="00F212AF">
            <w:pPr>
              <w:spacing w:after="60"/>
              <w:jc w:val="left"/>
              <w:rPr>
                <w:rFonts w:asciiTheme="majorBidi" w:hAnsiTheme="majorBidi" w:cstheme="majorBidi"/>
                <w:sz w:val="21"/>
                <w:szCs w:val="21"/>
              </w:rPr>
            </w:pPr>
            <w:r>
              <w:rPr>
                <w:rFonts w:asciiTheme="majorBidi" w:hAnsiTheme="majorBidi" w:cstheme="majorBidi"/>
                <w:sz w:val="21"/>
                <w:szCs w:val="21"/>
              </w:rPr>
              <w:t>Point</w:t>
            </w:r>
            <w:r w:rsidR="00F81A31">
              <w:rPr>
                <w:rFonts w:asciiTheme="majorBidi" w:hAnsiTheme="majorBidi" w:cstheme="majorBidi"/>
                <w:sz w:val="21"/>
                <w:szCs w:val="21"/>
              </w:rPr>
              <w:t xml:space="preserve"> 14. Q</w:t>
            </w:r>
            <w:r>
              <w:rPr>
                <w:rFonts w:asciiTheme="majorBidi" w:hAnsiTheme="majorBidi" w:cstheme="majorBidi"/>
                <w:sz w:val="21"/>
                <w:szCs w:val="21"/>
              </w:rPr>
              <w:t>uestions</w:t>
            </w:r>
            <w:r w:rsidR="00F81A31">
              <w:rPr>
                <w:rFonts w:asciiTheme="majorBidi" w:hAnsiTheme="majorBidi" w:cstheme="majorBidi"/>
                <w:sz w:val="21"/>
                <w:szCs w:val="21"/>
              </w:rPr>
              <w:t xml:space="preserve"> diverses</w:t>
            </w:r>
            <w:r>
              <w:rPr>
                <w:rFonts w:asciiTheme="majorBidi" w:hAnsiTheme="majorBidi" w:cstheme="majorBidi"/>
                <w:sz w:val="21"/>
                <w:szCs w:val="21"/>
              </w:rPr>
              <w:t>.</w:t>
            </w:r>
          </w:p>
        </w:tc>
        <w:tc>
          <w:tcPr>
            <w:tcW w:w="6096" w:type="dxa"/>
            <w:shd w:val="clear" w:color="auto" w:fill="auto"/>
            <w:tcMar>
              <w:top w:w="115" w:type="dxa"/>
              <w:left w:w="115" w:type="dxa"/>
              <w:bottom w:w="115" w:type="dxa"/>
              <w:right w:w="115" w:type="dxa"/>
            </w:tcMar>
          </w:tcPr>
          <w:p w14:paraId="0CD9F7D4" w14:textId="77777777" w:rsidR="00C66A69" w:rsidRDefault="00F212AF">
            <w:pPr>
              <w:spacing w:after="60"/>
              <w:jc w:val="left"/>
              <w:rPr>
                <w:rFonts w:asciiTheme="majorBidi" w:hAnsiTheme="majorBidi" w:cstheme="majorBidi"/>
                <w:sz w:val="21"/>
                <w:szCs w:val="21"/>
              </w:rPr>
            </w:pPr>
            <w:r>
              <w:rPr>
                <w:rFonts w:asciiTheme="majorBidi" w:hAnsiTheme="majorBidi" w:cstheme="majorBidi"/>
                <w:sz w:val="21"/>
                <w:szCs w:val="21"/>
              </w:rPr>
              <w:t>Point 15. Adoption du rapport.</w:t>
            </w:r>
          </w:p>
          <w:p w14:paraId="210541F4" w14:textId="77777777" w:rsidR="00C66A69" w:rsidRDefault="00F212AF">
            <w:pPr>
              <w:spacing w:after="60"/>
              <w:jc w:val="left"/>
              <w:rPr>
                <w:rFonts w:asciiTheme="majorBidi" w:hAnsiTheme="majorBidi" w:cstheme="majorBidi"/>
                <w:sz w:val="21"/>
                <w:szCs w:val="21"/>
              </w:rPr>
            </w:pPr>
            <w:r>
              <w:rPr>
                <w:rFonts w:asciiTheme="majorBidi" w:hAnsiTheme="majorBidi" w:cstheme="majorBidi"/>
                <w:sz w:val="21"/>
                <w:szCs w:val="21"/>
              </w:rPr>
              <w:t>Point 16. Clôture de la réunion.</w:t>
            </w:r>
          </w:p>
        </w:tc>
      </w:tr>
    </w:tbl>
    <w:bookmarkEnd w:id="7"/>
    <w:p w14:paraId="1E05D5B4" w14:textId="77777777" w:rsidR="00C66A69" w:rsidRDefault="00F212AF">
      <w:pPr>
        <w:spacing w:before="120"/>
      </w:pPr>
      <w:r>
        <w:rPr>
          <w:i/>
          <w:iCs/>
          <w:vertAlign w:val="superscript"/>
        </w:rPr>
        <w:t xml:space="preserve">a </w:t>
      </w:r>
      <w:r>
        <w:rPr>
          <w:sz w:val="18"/>
          <w:szCs w:val="18"/>
        </w:rPr>
        <w:t>En fonction des</w:t>
      </w:r>
      <w:r w:rsidR="00F81A31">
        <w:rPr>
          <w:sz w:val="18"/>
          <w:szCs w:val="18"/>
        </w:rPr>
        <w:t xml:space="preserve"> besoins et des progrès réalisé</w:t>
      </w:r>
      <w:r>
        <w:rPr>
          <w:sz w:val="18"/>
          <w:szCs w:val="18"/>
        </w:rPr>
        <w:t>s, les séances plénières consacrées à l</w:t>
      </w:r>
      <w:r w:rsidR="00F81A31">
        <w:rPr>
          <w:sz w:val="18"/>
          <w:szCs w:val="18"/>
        </w:rPr>
        <w:t>’</w:t>
      </w:r>
      <w:r>
        <w:rPr>
          <w:sz w:val="18"/>
          <w:szCs w:val="18"/>
        </w:rPr>
        <w:t>examen des documents de séance pourront être suspendues pour permettre la convocation de groupes de contact.</w:t>
      </w:r>
    </w:p>
    <w:p w14:paraId="60E42431" w14:textId="77777777" w:rsidR="00BF50D0" w:rsidRPr="00C02EA4" w:rsidRDefault="00BF50D0" w:rsidP="009720C4"/>
    <w:p w14:paraId="2B4D68C8" w14:textId="77777777" w:rsidR="00BF50D0" w:rsidRPr="00C02EA4" w:rsidRDefault="00BF50D0" w:rsidP="009720C4">
      <w:pPr>
        <w:sectPr w:rsidR="00BF50D0" w:rsidRPr="00C02EA4" w:rsidSect="000001A7">
          <w:footnotePr>
            <w:numRestart w:val="eachSect"/>
          </w:footnotePr>
          <w:type w:val="continuous"/>
          <w:pgSz w:w="15840" w:h="12240" w:orient="landscape"/>
          <w:pgMar w:top="1440" w:right="1134" w:bottom="1440" w:left="1134" w:header="709" w:footer="709" w:gutter="0"/>
          <w:cols w:space="708"/>
          <w:docGrid w:linePitch="360"/>
        </w:sectPr>
      </w:pPr>
    </w:p>
    <w:p w14:paraId="53B99998" w14:textId="77777777" w:rsidR="00C66A69" w:rsidRDefault="00F212AF">
      <w:pPr>
        <w:pStyle w:val="Annex"/>
      </w:pPr>
      <w:r>
        <w:lastRenderedPageBreak/>
        <w:t>Annexe II</w:t>
      </w:r>
    </w:p>
    <w:p w14:paraId="12464D5D" w14:textId="77777777" w:rsidR="00C66A69" w:rsidRDefault="00F212AF">
      <w:pPr>
        <w:pStyle w:val="Title"/>
        <w:spacing w:before="120" w:after="120"/>
        <w:ind w:left="562"/>
        <w:rPr>
          <w:rFonts w:hint="eastAsia"/>
        </w:rPr>
      </w:pPr>
      <w:r>
        <w:t>Liste des documents</w:t>
      </w:r>
    </w:p>
    <w:p w14:paraId="2E12A6E7" w14:textId="77777777" w:rsidR="00C66A69" w:rsidRDefault="00F212AF">
      <w:pPr>
        <w:spacing w:after="120"/>
      </w:pPr>
      <w:r>
        <w:rPr>
          <w:rFonts w:hint="eastAsia"/>
          <w:b/>
          <w:bCs/>
        </w:rPr>
        <w:t>Documents</w:t>
      </w:r>
      <w:r>
        <w:t xml:space="preserve"> </w:t>
      </w:r>
      <w:r w:rsidR="00E43FF3">
        <w:rPr>
          <w:b/>
        </w:rPr>
        <w:t>de travail</w:t>
      </w:r>
      <w:r w:rsidRPr="001E1293">
        <w:rPr>
          <w:rStyle w:val="FootnoteReference"/>
          <w:rFonts w:hint="eastAsia"/>
          <w:b/>
          <w:bCs/>
        </w:rPr>
        <w:t>*</w:t>
      </w:r>
    </w:p>
    <w:tbl>
      <w:tblPr>
        <w:tblW w:w="9278" w:type="dxa"/>
        <w:tblLook w:val="04A0" w:firstRow="1" w:lastRow="0" w:firstColumn="1" w:lastColumn="0" w:noHBand="0" w:noVBand="1"/>
      </w:tblPr>
      <w:tblGrid>
        <w:gridCol w:w="2095"/>
        <w:gridCol w:w="5825"/>
        <w:gridCol w:w="1358"/>
      </w:tblGrid>
      <w:tr w:rsidR="00033B9B" w:rsidRPr="00C02EA4" w14:paraId="597C4CCB" w14:textId="77777777" w:rsidTr="006A21C0">
        <w:trPr>
          <w:cantSplit/>
          <w:trHeight w:val="465"/>
          <w:tblHeader/>
        </w:trPr>
        <w:tc>
          <w:tcPr>
            <w:tcW w:w="2095" w:type="dxa"/>
            <w:noWrap/>
            <w:hideMark/>
          </w:tcPr>
          <w:p w14:paraId="1C99B5A6" w14:textId="77777777" w:rsidR="00C66A69" w:rsidRDefault="00F212AF">
            <w:pPr>
              <w:spacing w:beforeLines="40" w:before="96" w:after="40"/>
              <w:rPr>
                <w:rFonts w:asciiTheme="majorBidi" w:hAnsiTheme="majorBidi" w:cstheme="majorBidi"/>
                <w:bCs/>
                <w:i/>
                <w:iCs/>
                <w:sz w:val="21"/>
                <w:szCs w:val="21"/>
              </w:rPr>
            </w:pPr>
            <w:r>
              <w:rPr>
                <w:rFonts w:asciiTheme="majorBidi" w:hAnsiTheme="majorBidi" w:cstheme="majorBidi"/>
                <w:bCs/>
                <w:i/>
                <w:iCs/>
                <w:sz w:val="21"/>
                <w:szCs w:val="21"/>
              </w:rPr>
              <w:footnoteReference w:customMarkFollows="1" w:id="11"/>
              <w:t>Symbole</w:t>
            </w:r>
          </w:p>
        </w:tc>
        <w:tc>
          <w:tcPr>
            <w:tcW w:w="5825" w:type="dxa"/>
            <w:hideMark/>
          </w:tcPr>
          <w:p w14:paraId="4FDA70F4" w14:textId="77777777" w:rsidR="00C66A69" w:rsidRDefault="00F212AF">
            <w:pPr>
              <w:spacing w:beforeLines="40" w:before="96" w:after="40"/>
              <w:rPr>
                <w:rFonts w:asciiTheme="majorBidi" w:hAnsiTheme="majorBidi" w:cstheme="majorBidi"/>
                <w:bCs/>
                <w:i/>
                <w:iCs/>
                <w:sz w:val="21"/>
                <w:szCs w:val="21"/>
              </w:rPr>
            </w:pPr>
            <w:r>
              <w:rPr>
                <w:rFonts w:asciiTheme="majorBidi" w:hAnsiTheme="majorBidi" w:cstheme="majorBidi"/>
                <w:bCs/>
                <w:i/>
                <w:iCs/>
                <w:sz w:val="21"/>
                <w:szCs w:val="21"/>
              </w:rPr>
              <w:t>Titre</w:t>
            </w:r>
          </w:p>
        </w:tc>
        <w:tc>
          <w:tcPr>
            <w:tcW w:w="1358" w:type="dxa"/>
            <w:hideMark/>
          </w:tcPr>
          <w:p w14:paraId="0A2C1DB5" w14:textId="77777777" w:rsidR="00C66A69" w:rsidRDefault="00F212AF" w:rsidP="00573D26">
            <w:pPr>
              <w:spacing w:beforeLines="40" w:before="96" w:after="40"/>
              <w:ind w:left="-90"/>
              <w:jc w:val="right"/>
              <w:rPr>
                <w:rFonts w:asciiTheme="majorBidi" w:hAnsiTheme="majorBidi" w:cstheme="majorBidi"/>
                <w:bCs/>
                <w:i/>
                <w:iCs/>
                <w:sz w:val="21"/>
                <w:szCs w:val="21"/>
              </w:rPr>
            </w:pPr>
            <w:r>
              <w:rPr>
                <w:rFonts w:asciiTheme="majorBidi" w:hAnsiTheme="majorBidi" w:cstheme="majorBidi"/>
                <w:bCs/>
                <w:i/>
                <w:iCs/>
                <w:sz w:val="21"/>
                <w:szCs w:val="21"/>
              </w:rPr>
              <w:t>Point de l</w:t>
            </w:r>
            <w:r w:rsidR="00F81A31">
              <w:rPr>
                <w:rFonts w:asciiTheme="majorBidi" w:hAnsiTheme="majorBidi" w:cstheme="majorBidi"/>
                <w:bCs/>
                <w:i/>
                <w:iCs/>
                <w:sz w:val="21"/>
                <w:szCs w:val="21"/>
              </w:rPr>
              <w:t>’</w:t>
            </w:r>
            <w:r>
              <w:rPr>
                <w:rFonts w:asciiTheme="majorBidi" w:hAnsiTheme="majorBidi" w:cstheme="majorBidi"/>
                <w:bCs/>
                <w:i/>
                <w:iCs/>
                <w:sz w:val="21"/>
                <w:szCs w:val="21"/>
              </w:rPr>
              <w:t>ordre du jour</w:t>
            </w:r>
          </w:p>
        </w:tc>
      </w:tr>
      <w:tr w:rsidR="00033B9B" w:rsidRPr="00C02EA4" w14:paraId="0F6A09DB" w14:textId="77777777" w:rsidTr="006A21C0">
        <w:trPr>
          <w:trHeight w:val="347"/>
        </w:trPr>
        <w:tc>
          <w:tcPr>
            <w:tcW w:w="2095" w:type="dxa"/>
            <w:noWrap/>
            <w:hideMark/>
          </w:tcPr>
          <w:p w14:paraId="109AEFC0"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w:t>
            </w:r>
          </w:p>
        </w:tc>
        <w:tc>
          <w:tcPr>
            <w:tcW w:w="5825" w:type="dxa"/>
            <w:hideMark/>
          </w:tcPr>
          <w:p w14:paraId="22EC50B9"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Ordre du jour provisoire</w:t>
            </w:r>
          </w:p>
        </w:tc>
        <w:tc>
          <w:tcPr>
            <w:tcW w:w="1358" w:type="dxa"/>
            <w:hideMark/>
          </w:tcPr>
          <w:p w14:paraId="5EE196FB"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1 b)</w:t>
            </w:r>
          </w:p>
        </w:tc>
      </w:tr>
      <w:tr w:rsidR="00033B9B" w:rsidRPr="00C02EA4" w14:paraId="3DD7830C" w14:textId="77777777" w:rsidTr="006A21C0">
        <w:trPr>
          <w:trHeight w:val="302"/>
        </w:trPr>
        <w:tc>
          <w:tcPr>
            <w:tcW w:w="2095" w:type="dxa"/>
            <w:noWrap/>
            <w:hideMark/>
          </w:tcPr>
          <w:p w14:paraId="7208D4E5"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CBD/SBI/4/1/Add.1</w:t>
            </w:r>
          </w:p>
        </w:tc>
        <w:tc>
          <w:tcPr>
            <w:tcW w:w="5825" w:type="dxa"/>
            <w:hideMark/>
          </w:tcPr>
          <w:p w14:paraId="57DC5A30" w14:textId="77777777" w:rsidR="00C66A69" w:rsidRDefault="00775742">
            <w:pPr>
              <w:spacing w:beforeLines="40" w:before="96" w:after="40"/>
              <w:jc w:val="left"/>
              <w:rPr>
                <w:rFonts w:asciiTheme="majorBidi" w:hAnsiTheme="majorBidi" w:cstheme="majorBidi"/>
                <w:sz w:val="21"/>
                <w:szCs w:val="21"/>
              </w:rPr>
            </w:pPr>
            <w:r>
              <w:rPr>
                <w:rFonts w:asciiTheme="majorBidi" w:hAnsiTheme="majorBidi" w:cstheme="majorBidi"/>
                <w:sz w:val="21"/>
                <w:szCs w:val="21"/>
              </w:rPr>
              <w:t>Annotations à l’ordre du jour provisoire</w:t>
            </w:r>
          </w:p>
        </w:tc>
        <w:tc>
          <w:tcPr>
            <w:tcW w:w="1358" w:type="dxa"/>
            <w:hideMark/>
          </w:tcPr>
          <w:p w14:paraId="3B7CCD29"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1 b)</w:t>
            </w:r>
          </w:p>
        </w:tc>
      </w:tr>
      <w:tr w:rsidR="00033B9B" w:rsidRPr="00C02EA4" w14:paraId="2CC8BBE7" w14:textId="77777777" w:rsidTr="006A21C0">
        <w:trPr>
          <w:trHeight w:val="355"/>
        </w:trPr>
        <w:tc>
          <w:tcPr>
            <w:tcW w:w="2095" w:type="dxa"/>
            <w:noWrap/>
            <w:hideMark/>
          </w:tcPr>
          <w:p w14:paraId="0FCB4572"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CBD/SBI/4/2</w:t>
            </w:r>
          </w:p>
        </w:tc>
        <w:tc>
          <w:tcPr>
            <w:tcW w:w="5825" w:type="dxa"/>
            <w:hideMark/>
          </w:tcPr>
          <w:p w14:paraId="0433D0FA" w14:textId="77777777" w:rsidR="00C66A69" w:rsidRDefault="00047EA5">
            <w:pPr>
              <w:spacing w:beforeLines="40" w:before="96" w:after="40"/>
              <w:jc w:val="left"/>
              <w:rPr>
                <w:rFonts w:asciiTheme="majorBidi" w:hAnsiTheme="majorBidi" w:cstheme="majorBidi"/>
                <w:sz w:val="21"/>
                <w:szCs w:val="21"/>
              </w:rPr>
            </w:pPr>
            <w:r>
              <w:rPr>
                <w:rFonts w:asciiTheme="majorBidi" w:hAnsiTheme="majorBidi" w:cstheme="majorBidi"/>
                <w:sz w:val="21"/>
                <w:szCs w:val="21"/>
              </w:rPr>
              <w:t xml:space="preserve">Examen </w:t>
            </w:r>
            <w:r w:rsidR="00F212AF">
              <w:rPr>
                <w:rFonts w:asciiTheme="majorBidi" w:hAnsiTheme="majorBidi" w:cstheme="majorBidi"/>
                <w:sz w:val="21"/>
                <w:szCs w:val="21"/>
              </w:rPr>
              <w:t>de la mise en œuvre : progrès accomplis dans la préparation de</w:t>
            </w:r>
            <w:r w:rsidR="00573D26">
              <w:rPr>
                <w:rFonts w:asciiTheme="majorBidi" w:hAnsiTheme="majorBidi" w:cstheme="majorBidi"/>
                <w:sz w:val="21"/>
                <w:szCs w:val="21"/>
              </w:rPr>
              <w:t xml:space="preserve">s stratégies et </w:t>
            </w:r>
            <w:r w:rsidR="00F212AF">
              <w:rPr>
                <w:rFonts w:asciiTheme="majorBidi" w:hAnsiTheme="majorBidi" w:cstheme="majorBidi"/>
                <w:sz w:val="21"/>
                <w:szCs w:val="21"/>
              </w:rPr>
              <w:t>plans d</w:t>
            </w:r>
            <w:r w:rsidR="00F81A31">
              <w:rPr>
                <w:rFonts w:asciiTheme="majorBidi" w:hAnsiTheme="majorBidi" w:cstheme="majorBidi"/>
                <w:sz w:val="21"/>
                <w:szCs w:val="21"/>
              </w:rPr>
              <w:t>’</w:t>
            </w:r>
            <w:r w:rsidR="00F212AF">
              <w:rPr>
                <w:rFonts w:asciiTheme="majorBidi" w:hAnsiTheme="majorBidi" w:cstheme="majorBidi"/>
                <w:sz w:val="21"/>
                <w:szCs w:val="21"/>
              </w:rPr>
              <w:t>action nationaux</w:t>
            </w:r>
            <w:r w:rsidR="003F3CFC">
              <w:rPr>
                <w:rFonts w:asciiTheme="majorBidi" w:hAnsiTheme="majorBidi" w:cstheme="majorBidi"/>
                <w:sz w:val="21"/>
                <w:szCs w:val="21"/>
              </w:rPr>
              <w:t xml:space="preserve"> pour la diversité biologique</w:t>
            </w:r>
            <w:r w:rsidR="00F212AF">
              <w:rPr>
                <w:rFonts w:asciiTheme="majorBidi" w:hAnsiTheme="majorBidi" w:cstheme="majorBidi"/>
                <w:sz w:val="21"/>
                <w:szCs w:val="21"/>
              </w:rPr>
              <w:t xml:space="preserve"> révisés et mis à</w:t>
            </w:r>
            <w:r w:rsidR="003F3CFC">
              <w:rPr>
                <w:rFonts w:asciiTheme="majorBidi" w:hAnsiTheme="majorBidi" w:cstheme="majorBidi"/>
                <w:sz w:val="21"/>
                <w:szCs w:val="21"/>
              </w:rPr>
              <w:t xml:space="preserve"> jour</w:t>
            </w:r>
            <w:r w:rsidR="00F212AF">
              <w:rPr>
                <w:rFonts w:asciiTheme="majorBidi" w:hAnsiTheme="majorBidi" w:cstheme="majorBidi"/>
                <w:sz w:val="21"/>
                <w:szCs w:val="21"/>
              </w:rPr>
              <w:t xml:space="preserve"> et l</w:t>
            </w:r>
            <w:r w:rsidR="00F81A31">
              <w:rPr>
                <w:rFonts w:asciiTheme="majorBidi" w:hAnsiTheme="majorBidi" w:cstheme="majorBidi"/>
                <w:sz w:val="21"/>
                <w:szCs w:val="21"/>
              </w:rPr>
              <w:t>’</w:t>
            </w:r>
            <w:r w:rsidR="00F212AF">
              <w:rPr>
                <w:rFonts w:asciiTheme="majorBidi" w:hAnsiTheme="majorBidi" w:cstheme="majorBidi"/>
                <w:sz w:val="21"/>
                <w:szCs w:val="21"/>
              </w:rPr>
              <w:t>établissement d</w:t>
            </w:r>
            <w:r w:rsidR="00F81A31">
              <w:rPr>
                <w:rFonts w:asciiTheme="majorBidi" w:hAnsiTheme="majorBidi" w:cstheme="majorBidi"/>
                <w:sz w:val="21"/>
                <w:szCs w:val="21"/>
              </w:rPr>
              <w:t>’</w:t>
            </w:r>
            <w:r w:rsidR="00F212AF">
              <w:rPr>
                <w:rFonts w:asciiTheme="majorBidi" w:hAnsiTheme="majorBidi" w:cstheme="majorBidi"/>
                <w:sz w:val="21"/>
                <w:szCs w:val="21"/>
              </w:rPr>
              <w:t>objectifs nationaux conformes au Cadre mondial de la biodiversité de Kunming-Montréal</w:t>
            </w:r>
          </w:p>
        </w:tc>
        <w:tc>
          <w:tcPr>
            <w:tcW w:w="1358" w:type="dxa"/>
            <w:hideMark/>
          </w:tcPr>
          <w:p w14:paraId="52E4C0E4"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2</w:t>
            </w:r>
          </w:p>
        </w:tc>
      </w:tr>
      <w:tr w:rsidR="00C24946" w:rsidRPr="00C02EA4" w14:paraId="62BB3D21" w14:textId="77777777" w:rsidTr="00AD0BAC">
        <w:trPr>
          <w:trHeight w:val="355"/>
        </w:trPr>
        <w:tc>
          <w:tcPr>
            <w:tcW w:w="2095" w:type="dxa"/>
            <w:noWrap/>
          </w:tcPr>
          <w:p w14:paraId="2BDD54ED"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CBD/SBI/4/3</w:t>
            </w:r>
          </w:p>
        </w:tc>
        <w:tc>
          <w:tcPr>
            <w:tcW w:w="5825" w:type="dxa"/>
          </w:tcPr>
          <w:p w14:paraId="650FD0ED"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Rapport sur la mise en œuvre du programme de travail pluriannuel relatif à l</w:t>
            </w:r>
            <w:r w:rsidR="00F81A31">
              <w:rPr>
                <w:rFonts w:asciiTheme="majorBidi" w:hAnsiTheme="majorBidi" w:cstheme="majorBidi"/>
                <w:sz w:val="21"/>
                <w:szCs w:val="21"/>
              </w:rPr>
              <w:t>’</w:t>
            </w:r>
            <w:r>
              <w:rPr>
                <w:rFonts w:asciiTheme="majorBidi" w:hAnsiTheme="majorBidi" w:cstheme="majorBidi"/>
                <w:sz w:val="21"/>
                <w:szCs w:val="21"/>
              </w:rPr>
              <w:t>article 8 j) et aux dispositions connexes de la Convention sur la diversité biologique</w:t>
            </w:r>
          </w:p>
        </w:tc>
        <w:tc>
          <w:tcPr>
            <w:tcW w:w="1358" w:type="dxa"/>
          </w:tcPr>
          <w:p w14:paraId="2ACF0338"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2</w:t>
            </w:r>
          </w:p>
        </w:tc>
      </w:tr>
      <w:tr w:rsidR="00033B9B" w:rsidRPr="00C02EA4" w14:paraId="703CB59E" w14:textId="77777777" w:rsidTr="006A21C0">
        <w:trPr>
          <w:trHeight w:val="355"/>
        </w:trPr>
        <w:tc>
          <w:tcPr>
            <w:tcW w:w="2095" w:type="dxa"/>
            <w:noWrap/>
          </w:tcPr>
          <w:p w14:paraId="44250742"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CBD/SBI/4/4</w:t>
            </w:r>
          </w:p>
        </w:tc>
        <w:tc>
          <w:tcPr>
            <w:tcW w:w="5825" w:type="dxa"/>
          </w:tcPr>
          <w:p w14:paraId="5B945ADF"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Mécanismes de planification, de suivi, d</w:t>
            </w:r>
            <w:r w:rsidR="00F81A31">
              <w:rPr>
                <w:rFonts w:asciiTheme="majorBidi" w:hAnsiTheme="majorBidi" w:cstheme="majorBidi"/>
                <w:sz w:val="21"/>
                <w:szCs w:val="21"/>
              </w:rPr>
              <w:t>’</w:t>
            </w:r>
            <w:r>
              <w:rPr>
                <w:rFonts w:asciiTheme="majorBidi" w:hAnsiTheme="majorBidi" w:cstheme="majorBidi"/>
                <w:sz w:val="21"/>
                <w:szCs w:val="21"/>
              </w:rPr>
              <w:t>établissement de rapports et d</w:t>
            </w:r>
            <w:r w:rsidR="00F81A31">
              <w:rPr>
                <w:rFonts w:asciiTheme="majorBidi" w:hAnsiTheme="majorBidi" w:cstheme="majorBidi"/>
                <w:sz w:val="21"/>
                <w:szCs w:val="21"/>
              </w:rPr>
              <w:t>’</w:t>
            </w:r>
            <w:r>
              <w:rPr>
                <w:rFonts w:asciiTheme="majorBidi" w:hAnsiTheme="majorBidi" w:cstheme="majorBidi"/>
                <w:sz w:val="21"/>
                <w:szCs w:val="21"/>
              </w:rPr>
              <w:t>examen</w:t>
            </w:r>
          </w:p>
        </w:tc>
        <w:tc>
          <w:tcPr>
            <w:tcW w:w="1358" w:type="dxa"/>
          </w:tcPr>
          <w:p w14:paraId="656F0C6E"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3</w:t>
            </w:r>
          </w:p>
        </w:tc>
      </w:tr>
      <w:tr w:rsidR="00033B9B" w:rsidRPr="00C02EA4" w14:paraId="45DC43C5" w14:textId="77777777" w:rsidTr="006A21C0">
        <w:trPr>
          <w:trHeight w:val="365"/>
        </w:trPr>
        <w:tc>
          <w:tcPr>
            <w:tcW w:w="2095" w:type="dxa"/>
          </w:tcPr>
          <w:p w14:paraId="6410708C"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CBD/SBI/4/5</w:t>
            </w:r>
          </w:p>
        </w:tc>
        <w:tc>
          <w:tcPr>
            <w:tcW w:w="5825" w:type="dxa"/>
          </w:tcPr>
          <w:p w14:paraId="65BA9854"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Mobilisation des ressources</w:t>
            </w:r>
          </w:p>
        </w:tc>
        <w:tc>
          <w:tcPr>
            <w:tcW w:w="1358" w:type="dxa"/>
          </w:tcPr>
          <w:p w14:paraId="4272B6D1"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4 a)</w:t>
            </w:r>
          </w:p>
        </w:tc>
      </w:tr>
      <w:tr w:rsidR="00033B9B" w:rsidRPr="00C02EA4" w14:paraId="33171632" w14:textId="77777777" w:rsidTr="006A21C0">
        <w:trPr>
          <w:trHeight w:val="365"/>
        </w:trPr>
        <w:tc>
          <w:tcPr>
            <w:tcW w:w="2095" w:type="dxa"/>
          </w:tcPr>
          <w:p w14:paraId="2E20C039"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CBD/SBI/4/6</w:t>
            </w:r>
          </w:p>
        </w:tc>
        <w:tc>
          <w:tcPr>
            <w:tcW w:w="5825" w:type="dxa"/>
          </w:tcPr>
          <w:p w14:paraId="397B1483" w14:textId="77777777" w:rsidR="00C66A69" w:rsidRDefault="00922FE7">
            <w:pPr>
              <w:spacing w:beforeLines="40" w:before="96" w:after="40"/>
              <w:jc w:val="left"/>
              <w:rPr>
                <w:rFonts w:asciiTheme="majorBidi" w:hAnsiTheme="majorBidi" w:cstheme="majorBidi"/>
                <w:sz w:val="21"/>
                <w:szCs w:val="21"/>
              </w:rPr>
            </w:pPr>
            <w:r>
              <w:rPr>
                <w:rFonts w:asciiTheme="majorBidi" w:hAnsiTheme="majorBidi" w:cstheme="majorBidi"/>
                <w:iCs/>
                <w:sz w:val="21"/>
                <w:szCs w:val="21"/>
              </w:rPr>
              <w:t>Mécanisme de financement</w:t>
            </w:r>
            <w:r w:rsidR="00F212AF">
              <w:rPr>
                <w:rFonts w:asciiTheme="majorBidi" w:hAnsiTheme="majorBidi" w:cstheme="majorBidi"/>
                <w:iCs/>
                <w:sz w:val="21"/>
                <w:szCs w:val="21"/>
              </w:rPr>
              <w:t xml:space="preserve"> de la Convention et de ses Protocoles</w:t>
            </w:r>
          </w:p>
        </w:tc>
        <w:tc>
          <w:tcPr>
            <w:tcW w:w="1358" w:type="dxa"/>
          </w:tcPr>
          <w:p w14:paraId="41CEBC35"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4 b)</w:t>
            </w:r>
          </w:p>
        </w:tc>
      </w:tr>
      <w:tr w:rsidR="00033B9B" w:rsidRPr="00C02EA4" w14:paraId="7FEEB8DC" w14:textId="77777777" w:rsidTr="006A21C0">
        <w:trPr>
          <w:trHeight w:val="365"/>
        </w:trPr>
        <w:tc>
          <w:tcPr>
            <w:tcW w:w="2095" w:type="dxa"/>
          </w:tcPr>
          <w:p w14:paraId="17BB46F2"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CBD/SBI/4/6/Add.1</w:t>
            </w:r>
          </w:p>
        </w:tc>
        <w:tc>
          <w:tcPr>
            <w:tcW w:w="5825" w:type="dxa"/>
          </w:tcPr>
          <w:p w14:paraId="069D7009" w14:textId="77777777" w:rsidR="00C66A69" w:rsidRDefault="00F212AF">
            <w:pPr>
              <w:spacing w:beforeLines="40" w:before="96" w:after="40"/>
              <w:jc w:val="left"/>
              <w:rPr>
                <w:rFonts w:asciiTheme="majorBidi" w:hAnsiTheme="majorBidi" w:cstheme="majorBidi"/>
                <w:iCs/>
                <w:sz w:val="21"/>
                <w:szCs w:val="21"/>
              </w:rPr>
            </w:pPr>
            <w:r>
              <w:rPr>
                <w:rFonts w:asciiTheme="majorBidi" w:hAnsiTheme="majorBidi" w:cstheme="majorBidi"/>
                <w:iCs/>
                <w:sz w:val="21"/>
                <w:szCs w:val="21"/>
              </w:rPr>
              <w:t>Rapport préliminaire du Conseil du Fonds pour l</w:t>
            </w:r>
            <w:r w:rsidR="00F81A31">
              <w:rPr>
                <w:rFonts w:asciiTheme="majorBidi" w:hAnsiTheme="majorBidi" w:cstheme="majorBidi"/>
                <w:iCs/>
                <w:sz w:val="21"/>
                <w:szCs w:val="21"/>
              </w:rPr>
              <w:t>’</w:t>
            </w:r>
            <w:r>
              <w:rPr>
                <w:rFonts w:asciiTheme="majorBidi" w:hAnsiTheme="majorBidi" w:cstheme="majorBidi"/>
                <w:iCs/>
                <w:sz w:val="21"/>
                <w:szCs w:val="21"/>
              </w:rPr>
              <w:t>environnement mondial</w:t>
            </w:r>
          </w:p>
        </w:tc>
        <w:tc>
          <w:tcPr>
            <w:tcW w:w="1358" w:type="dxa"/>
          </w:tcPr>
          <w:p w14:paraId="60DFACA2"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4 b)</w:t>
            </w:r>
          </w:p>
        </w:tc>
      </w:tr>
      <w:tr w:rsidR="00033B9B" w:rsidRPr="00C02EA4" w14:paraId="329698BA" w14:textId="77777777" w:rsidTr="006A21C0">
        <w:trPr>
          <w:trHeight w:val="365"/>
        </w:trPr>
        <w:tc>
          <w:tcPr>
            <w:tcW w:w="2095" w:type="dxa"/>
          </w:tcPr>
          <w:p w14:paraId="0436D35A"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CBD/SBI/4/7</w:t>
            </w:r>
          </w:p>
        </w:tc>
        <w:tc>
          <w:tcPr>
            <w:tcW w:w="5825" w:type="dxa"/>
          </w:tcPr>
          <w:p w14:paraId="4656C7E3" w14:textId="77777777" w:rsidR="00C66A69" w:rsidRDefault="00922FE7">
            <w:pPr>
              <w:spacing w:beforeLines="40" w:before="96" w:after="40"/>
              <w:jc w:val="left"/>
              <w:rPr>
                <w:rFonts w:asciiTheme="majorBidi" w:hAnsiTheme="majorBidi" w:cstheme="majorBidi"/>
                <w:sz w:val="21"/>
                <w:szCs w:val="21"/>
              </w:rPr>
            </w:pPr>
            <w:r>
              <w:rPr>
                <w:rFonts w:asciiTheme="majorBidi" w:hAnsiTheme="majorBidi" w:cstheme="majorBidi"/>
                <w:iCs/>
                <w:sz w:val="21"/>
                <w:szCs w:val="21"/>
              </w:rPr>
              <w:t>Renforcement et développement des capacités</w:t>
            </w:r>
            <w:r w:rsidR="00F212AF">
              <w:rPr>
                <w:rFonts w:asciiTheme="majorBidi" w:hAnsiTheme="majorBidi" w:cstheme="majorBidi"/>
                <w:iCs/>
                <w:sz w:val="21"/>
                <w:szCs w:val="21"/>
              </w:rPr>
              <w:t>, coopérat</w:t>
            </w:r>
            <w:r w:rsidR="00573D26">
              <w:rPr>
                <w:rFonts w:asciiTheme="majorBidi" w:hAnsiTheme="majorBidi" w:cstheme="majorBidi"/>
                <w:iCs/>
                <w:sz w:val="21"/>
                <w:szCs w:val="21"/>
              </w:rPr>
              <w:t>ion technique et scientifique, C</w:t>
            </w:r>
            <w:r w:rsidR="00F212AF">
              <w:rPr>
                <w:rFonts w:asciiTheme="majorBidi" w:hAnsiTheme="majorBidi" w:cstheme="majorBidi"/>
                <w:iCs/>
                <w:sz w:val="21"/>
                <w:szCs w:val="21"/>
              </w:rPr>
              <w:t>entre d</w:t>
            </w:r>
            <w:r w:rsidR="00F81A31">
              <w:rPr>
                <w:rFonts w:asciiTheme="majorBidi" w:hAnsiTheme="majorBidi" w:cstheme="majorBidi"/>
                <w:iCs/>
                <w:sz w:val="21"/>
                <w:szCs w:val="21"/>
              </w:rPr>
              <w:t>’</w:t>
            </w:r>
            <w:r w:rsidR="00F212AF">
              <w:rPr>
                <w:rFonts w:asciiTheme="majorBidi" w:hAnsiTheme="majorBidi" w:cstheme="majorBidi"/>
                <w:iCs/>
                <w:sz w:val="21"/>
                <w:szCs w:val="21"/>
              </w:rPr>
              <w:t>échange et gestion des connaissances</w:t>
            </w:r>
          </w:p>
        </w:tc>
        <w:tc>
          <w:tcPr>
            <w:tcW w:w="1358" w:type="dxa"/>
          </w:tcPr>
          <w:p w14:paraId="0A3F1F0B"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5 a)</w:t>
            </w:r>
          </w:p>
        </w:tc>
      </w:tr>
      <w:tr w:rsidR="00033B9B" w:rsidRPr="00C02EA4" w14:paraId="5E74AC08" w14:textId="77777777" w:rsidTr="006A21C0">
        <w:trPr>
          <w:trHeight w:val="480"/>
        </w:trPr>
        <w:tc>
          <w:tcPr>
            <w:tcW w:w="2095" w:type="dxa"/>
            <w:noWrap/>
          </w:tcPr>
          <w:p w14:paraId="566DE618"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CBD/SBI/4/8</w:t>
            </w:r>
          </w:p>
        </w:tc>
        <w:tc>
          <w:tcPr>
            <w:tcW w:w="5825" w:type="dxa"/>
          </w:tcPr>
          <w:p w14:paraId="51210E58"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Plan d</w:t>
            </w:r>
            <w:r w:rsidR="00F81A31">
              <w:rPr>
                <w:rFonts w:asciiTheme="majorBidi" w:hAnsiTheme="majorBidi" w:cstheme="majorBidi"/>
                <w:sz w:val="21"/>
                <w:szCs w:val="21"/>
              </w:rPr>
              <w:t>’</w:t>
            </w:r>
            <w:r>
              <w:rPr>
                <w:rFonts w:asciiTheme="majorBidi" w:hAnsiTheme="majorBidi" w:cstheme="majorBidi"/>
                <w:sz w:val="21"/>
                <w:szCs w:val="21"/>
              </w:rPr>
              <w:t xml:space="preserve">action pour le renforcement </w:t>
            </w:r>
            <w:r w:rsidR="00922FE7">
              <w:rPr>
                <w:rFonts w:asciiTheme="majorBidi" w:hAnsiTheme="majorBidi" w:cstheme="majorBidi"/>
                <w:sz w:val="21"/>
                <w:szCs w:val="21"/>
              </w:rPr>
              <w:t>et le développement des capacités</w:t>
            </w:r>
            <w:r w:rsidR="00573D26">
              <w:rPr>
                <w:rFonts w:asciiTheme="majorBidi" w:hAnsiTheme="majorBidi" w:cstheme="majorBidi"/>
                <w:sz w:val="21"/>
                <w:szCs w:val="21"/>
              </w:rPr>
              <w:t xml:space="preserve"> au titre </w:t>
            </w:r>
            <w:r>
              <w:rPr>
                <w:rFonts w:asciiTheme="majorBidi" w:hAnsiTheme="majorBidi" w:cstheme="majorBidi"/>
                <w:sz w:val="21"/>
                <w:szCs w:val="21"/>
              </w:rPr>
              <w:t>du Protocole de Nagoya</w:t>
            </w:r>
          </w:p>
        </w:tc>
        <w:tc>
          <w:tcPr>
            <w:tcW w:w="1358" w:type="dxa"/>
          </w:tcPr>
          <w:p w14:paraId="7C3027D2"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5 b)</w:t>
            </w:r>
          </w:p>
        </w:tc>
      </w:tr>
      <w:tr w:rsidR="00033B9B" w:rsidRPr="00C02EA4" w14:paraId="2101B2D6" w14:textId="77777777" w:rsidTr="006A21C0">
        <w:trPr>
          <w:trHeight w:val="480"/>
        </w:trPr>
        <w:tc>
          <w:tcPr>
            <w:tcW w:w="2095" w:type="dxa"/>
            <w:noWrap/>
          </w:tcPr>
          <w:p w14:paraId="3CF89BC7"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CBD/SBI/4/9</w:t>
            </w:r>
          </w:p>
        </w:tc>
        <w:tc>
          <w:tcPr>
            <w:tcW w:w="5825" w:type="dxa"/>
          </w:tcPr>
          <w:p w14:paraId="287CF836"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Communication</w:t>
            </w:r>
          </w:p>
        </w:tc>
        <w:tc>
          <w:tcPr>
            <w:tcW w:w="1358" w:type="dxa"/>
          </w:tcPr>
          <w:p w14:paraId="5D4AFE11"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6</w:t>
            </w:r>
          </w:p>
        </w:tc>
      </w:tr>
      <w:tr w:rsidR="00033B9B" w:rsidRPr="00C02EA4" w14:paraId="7C93E88A" w14:textId="77777777" w:rsidTr="006A21C0">
        <w:trPr>
          <w:trHeight w:val="480"/>
        </w:trPr>
        <w:tc>
          <w:tcPr>
            <w:tcW w:w="2095" w:type="dxa"/>
            <w:noWrap/>
          </w:tcPr>
          <w:p w14:paraId="59367B5B"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CBD/SBI/4/10</w:t>
            </w:r>
          </w:p>
        </w:tc>
        <w:tc>
          <w:tcPr>
            <w:tcW w:w="5825" w:type="dxa"/>
          </w:tcPr>
          <w:p w14:paraId="1A273411"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Coopération avec d</w:t>
            </w:r>
            <w:r w:rsidR="00F81A31">
              <w:rPr>
                <w:rFonts w:asciiTheme="majorBidi" w:hAnsiTheme="majorBidi" w:cstheme="majorBidi"/>
                <w:sz w:val="21"/>
                <w:szCs w:val="21"/>
              </w:rPr>
              <w:t>’</w:t>
            </w:r>
            <w:r>
              <w:rPr>
                <w:rFonts w:asciiTheme="majorBidi" w:hAnsiTheme="majorBidi" w:cstheme="majorBidi"/>
                <w:sz w:val="21"/>
                <w:szCs w:val="21"/>
              </w:rPr>
              <w:t>autres conventions et organisations internationales</w:t>
            </w:r>
          </w:p>
        </w:tc>
        <w:tc>
          <w:tcPr>
            <w:tcW w:w="1358" w:type="dxa"/>
          </w:tcPr>
          <w:p w14:paraId="6D053A21"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7</w:t>
            </w:r>
          </w:p>
        </w:tc>
      </w:tr>
      <w:tr w:rsidR="00033B9B" w:rsidRPr="00C02EA4" w14:paraId="00840CD8" w14:textId="77777777" w:rsidTr="006A21C0">
        <w:trPr>
          <w:trHeight w:val="365"/>
        </w:trPr>
        <w:tc>
          <w:tcPr>
            <w:tcW w:w="2095" w:type="dxa"/>
          </w:tcPr>
          <w:p w14:paraId="514CED58"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CBD/SBI/4/11</w:t>
            </w:r>
          </w:p>
        </w:tc>
        <w:tc>
          <w:tcPr>
            <w:tcW w:w="5825" w:type="dxa"/>
          </w:tcPr>
          <w:p w14:paraId="0F3A2283"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Examen de l</w:t>
            </w:r>
            <w:r w:rsidR="00F81A31">
              <w:rPr>
                <w:rFonts w:asciiTheme="majorBidi" w:hAnsiTheme="majorBidi" w:cstheme="majorBidi"/>
                <w:sz w:val="21"/>
                <w:szCs w:val="21"/>
              </w:rPr>
              <w:t>’</w:t>
            </w:r>
            <w:r>
              <w:rPr>
                <w:rFonts w:asciiTheme="majorBidi" w:hAnsiTheme="majorBidi" w:cstheme="majorBidi"/>
                <w:sz w:val="21"/>
                <w:szCs w:val="21"/>
              </w:rPr>
              <w:t>ef</w:t>
            </w:r>
            <w:r w:rsidR="00573D26">
              <w:rPr>
                <w:rFonts w:asciiTheme="majorBidi" w:hAnsiTheme="majorBidi" w:cstheme="majorBidi"/>
                <w:sz w:val="21"/>
                <w:szCs w:val="21"/>
              </w:rPr>
              <w:t>ficacité des processus établis au titre de</w:t>
            </w:r>
            <w:r>
              <w:rPr>
                <w:rFonts w:asciiTheme="majorBidi" w:hAnsiTheme="majorBidi" w:cstheme="majorBidi"/>
                <w:sz w:val="21"/>
                <w:szCs w:val="21"/>
              </w:rPr>
              <w:t xml:space="preserve"> la Convention et </w:t>
            </w:r>
            <w:r w:rsidR="00573D26">
              <w:rPr>
                <w:rFonts w:asciiTheme="majorBidi" w:hAnsiTheme="majorBidi" w:cstheme="majorBidi"/>
                <w:sz w:val="21"/>
                <w:szCs w:val="21"/>
              </w:rPr>
              <w:t xml:space="preserve">de </w:t>
            </w:r>
            <w:r>
              <w:rPr>
                <w:rFonts w:asciiTheme="majorBidi" w:hAnsiTheme="majorBidi" w:cstheme="majorBidi"/>
                <w:sz w:val="21"/>
                <w:szCs w:val="21"/>
              </w:rPr>
              <w:t>ses Protocoles</w:t>
            </w:r>
          </w:p>
        </w:tc>
        <w:tc>
          <w:tcPr>
            <w:tcW w:w="1358" w:type="dxa"/>
          </w:tcPr>
          <w:p w14:paraId="444AB163"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8</w:t>
            </w:r>
          </w:p>
        </w:tc>
      </w:tr>
      <w:tr w:rsidR="00033B9B" w:rsidRPr="00C02EA4" w14:paraId="03B86A10" w14:textId="77777777" w:rsidTr="006A21C0">
        <w:trPr>
          <w:trHeight w:val="480"/>
        </w:trPr>
        <w:tc>
          <w:tcPr>
            <w:tcW w:w="2095" w:type="dxa"/>
            <w:noWrap/>
          </w:tcPr>
          <w:p w14:paraId="64ED60D5"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CBD/SBI/4/12</w:t>
            </w:r>
          </w:p>
        </w:tc>
        <w:tc>
          <w:tcPr>
            <w:tcW w:w="5825" w:type="dxa"/>
          </w:tcPr>
          <w:p w14:paraId="01A8A539"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Évaluation et examen de l</w:t>
            </w:r>
            <w:r w:rsidR="00F81A31">
              <w:rPr>
                <w:rFonts w:asciiTheme="majorBidi" w:hAnsiTheme="majorBidi" w:cstheme="majorBidi"/>
                <w:sz w:val="21"/>
                <w:szCs w:val="21"/>
              </w:rPr>
              <w:t>’</w:t>
            </w:r>
            <w:r>
              <w:rPr>
                <w:rFonts w:asciiTheme="majorBidi" w:hAnsiTheme="majorBidi" w:cstheme="majorBidi"/>
                <w:sz w:val="21"/>
                <w:szCs w:val="21"/>
              </w:rPr>
              <w:t xml:space="preserve">efficacité du </w:t>
            </w:r>
            <w:r w:rsidR="00922FE7">
              <w:rPr>
                <w:rFonts w:asciiTheme="majorBidi" w:hAnsiTheme="majorBidi" w:cstheme="majorBidi"/>
                <w:sz w:val="21"/>
                <w:szCs w:val="21"/>
              </w:rPr>
              <w:t>Protocole</w:t>
            </w:r>
            <w:r>
              <w:rPr>
                <w:rFonts w:asciiTheme="majorBidi" w:hAnsiTheme="majorBidi" w:cstheme="majorBidi"/>
                <w:sz w:val="21"/>
                <w:szCs w:val="21"/>
              </w:rPr>
              <w:t xml:space="preserve"> de Nagoya (article 31)</w:t>
            </w:r>
          </w:p>
        </w:tc>
        <w:tc>
          <w:tcPr>
            <w:tcW w:w="1358" w:type="dxa"/>
          </w:tcPr>
          <w:p w14:paraId="3DD7327B"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9</w:t>
            </w:r>
          </w:p>
        </w:tc>
      </w:tr>
      <w:tr w:rsidR="00033B9B" w:rsidRPr="00C02EA4" w14:paraId="0F5A966D" w14:textId="77777777" w:rsidTr="006A21C0">
        <w:trPr>
          <w:trHeight w:val="480"/>
        </w:trPr>
        <w:tc>
          <w:tcPr>
            <w:tcW w:w="2095" w:type="dxa"/>
            <w:noWrap/>
            <w:hideMark/>
          </w:tcPr>
          <w:p w14:paraId="54C98A6E"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CBD/SBI/4/13</w:t>
            </w:r>
          </w:p>
        </w:tc>
        <w:tc>
          <w:tcPr>
            <w:tcW w:w="5825" w:type="dxa"/>
            <w:hideMark/>
          </w:tcPr>
          <w:p w14:paraId="52D074A7"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Approc</w:t>
            </w:r>
            <w:r w:rsidR="00573D26">
              <w:rPr>
                <w:rFonts w:asciiTheme="majorBidi" w:hAnsiTheme="majorBidi" w:cstheme="majorBidi"/>
                <w:sz w:val="21"/>
                <w:szCs w:val="21"/>
              </w:rPr>
              <w:t>he stratégique à long terme en matière d</w:t>
            </w:r>
            <w:r w:rsidR="00F81A31">
              <w:rPr>
                <w:rFonts w:asciiTheme="majorBidi" w:hAnsiTheme="majorBidi" w:cstheme="majorBidi"/>
                <w:sz w:val="21"/>
                <w:szCs w:val="21"/>
              </w:rPr>
              <w:t>’</w:t>
            </w:r>
            <w:r>
              <w:rPr>
                <w:rFonts w:asciiTheme="majorBidi" w:hAnsiTheme="majorBidi" w:cstheme="majorBidi"/>
                <w:sz w:val="21"/>
                <w:szCs w:val="21"/>
              </w:rPr>
              <w:t>intégration</w:t>
            </w:r>
          </w:p>
        </w:tc>
        <w:tc>
          <w:tcPr>
            <w:tcW w:w="1358" w:type="dxa"/>
            <w:hideMark/>
          </w:tcPr>
          <w:p w14:paraId="22180A94"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10</w:t>
            </w:r>
          </w:p>
        </w:tc>
      </w:tr>
      <w:tr w:rsidR="00033B9B" w:rsidRPr="00C02EA4" w14:paraId="0B9EC4C8" w14:textId="77777777" w:rsidTr="006A21C0">
        <w:trPr>
          <w:trHeight w:val="480"/>
        </w:trPr>
        <w:tc>
          <w:tcPr>
            <w:tcW w:w="2095" w:type="dxa"/>
            <w:noWrap/>
            <w:hideMark/>
          </w:tcPr>
          <w:p w14:paraId="21499217"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CBD/SBI/4/14</w:t>
            </w:r>
          </w:p>
        </w:tc>
        <w:tc>
          <w:tcPr>
            <w:tcW w:w="5825" w:type="dxa"/>
            <w:hideMark/>
          </w:tcPr>
          <w:p w14:paraId="1E764291"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Examen des programmes de travail de la Convention</w:t>
            </w:r>
          </w:p>
        </w:tc>
        <w:tc>
          <w:tcPr>
            <w:tcW w:w="1358" w:type="dxa"/>
            <w:hideMark/>
          </w:tcPr>
          <w:p w14:paraId="39E46FB8"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11</w:t>
            </w:r>
          </w:p>
        </w:tc>
      </w:tr>
      <w:tr w:rsidR="00033B9B" w:rsidRPr="00C02EA4" w14:paraId="74276AA8" w14:textId="77777777" w:rsidTr="006A21C0">
        <w:trPr>
          <w:trHeight w:val="480"/>
        </w:trPr>
        <w:tc>
          <w:tcPr>
            <w:tcW w:w="2095" w:type="dxa"/>
            <w:noWrap/>
            <w:hideMark/>
          </w:tcPr>
          <w:p w14:paraId="64EFE573"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CBD/SBI/4/15</w:t>
            </w:r>
          </w:p>
        </w:tc>
        <w:tc>
          <w:tcPr>
            <w:tcW w:w="5825" w:type="dxa"/>
            <w:hideMark/>
          </w:tcPr>
          <w:p w14:paraId="624260D7"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Programme de travail pluriannuel de la Conférence des Parties</w:t>
            </w:r>
          </w:p>
        </w:tc>
        <w:tc>
          <w:tcPr>
            <w:tcW w:w="1358" w:type="dxa"/>
            <w:hideMark/>
          </w:tcPr>
          <w:p w14:paraId="2789FFCF"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12</w:t>
            </w:r>
          </w:p>
        </w:tc>
      </w:tr>
      <w:tr w:rsidR="00033B9B" w:rsidRPr="00C02EA4" w14:paraId="58ADD784" w14:textId="77777777" w:rsidTr="006A21C0">
        <w:trPr>
          <w:trHeight w:val="480"/>
        </w:trPr>
        <w:tc>
          <w:tcPr>
            <w:tcW w:w="2095" w:type="dxa"/>
            <w:noWrap/>
            <w:hideMark/>
          </w:tcPr>
          <w:p w14:paraId="2733B3A8" w14:textId="77777777" w:rsidR="00C66A69" w:rsidRDefault="00F212AF">
            <w:pPr>
              <w:spacing w:beforeLines="40" w:before="96" w:after="40"/>
              <w:rPr>
                <w:rFonts w:asciiTheme="majorBidi" w:hAnsiTheme="majorBidi" w:cstheme="majorBidi"/>
                <w:sz w:val="21"/>
                <w:szCs w:val="21"/>
              </w:rPr>
            </w:pPr>
            <w:r>
              <w:rPr>
                <w:rFonts w:asciiTheme="majorBidi" w:hAnsiTheme="majorBidi" w:cstheme="majorBidi"/>
                <w:sz w:val="21"/>
                <w:szCs w:val="21"/>
              </w:rPr>
              <w:t>CBD/SBI/4/16</w:t>
            </w:r>
          </w:p>
        </w:tc>
        <w:tc>
          <w:tcPr>
            <w:tcW w:w="5825" w:type="dxa"/>
            <w:hideMark/>
          </w:tcPr>
          <w:p w14:paraId="057FFAFE" w14:textId="77777777" w:rsidR="00C66A69" w:rsidRDefault="00F212AF">
            <w:pPr>
              <w:spacing w:beforeLines="40" w:before="96" w:after="40"/>
              <w:jc w:val="left"/>
              <w:rPr>
                <w:rFonts w:asciiTheme="majorBidi" w:hAnsiTheme="majorBidi" w:cstheme="majorBidi"/>
                <w:sz w:val="21"/>
                <w:szCs w:val="21"/>
              </w:rPr>
            </w:pPr>
            <w:r>
              <w:rPr>
                <w:rFonts w:asciiTheme="majorBidi" w:hAnsiTheme="majorBidi" w:cstheme="majorBidi"/>
                <w:sz w:val="21"/>
                <w:szCs w:val="21"/>
              </w:rPr>
              <w:t>Questions administratives et budgétaires</w:t>
            </w:r>
          </w:p>
        </w:tc>
        <w:tc>
          <w:tcPr>
            <w:tcW w:w="1358" w:type="dxa"/>
            <w:hideMark/>
          </w:tcPr>
          <w:p w14:paraId="19CC9647" w14:textId="77777777" w:rsidR="00C66A69" w:rsidRDefault="00F212AF">
            <w:pPr>
              <w:spacing w:beforeLines="40" w:before="96" w:after="40"/>
              <w:jc w:val="right"/>
              <w:rPr>
                <w:rFonts w:asciiTheme="majorBidi" w:hAnsiTheme="majorBidi" w:cstheme="majorBidi"/>
                <w:sz w:val="21"/>
                <w:szCs w:val="21"/>
              </w:rPr>
            </w:pPr>
            <w:r>
              <w:rPr>
                <w:rFonts w:asciiTheme="majorBidi" w:hAnsiTheme="majorBidi" w:cstheme="majorBidi"/>
                <w:sz w:val="21"/>
                <w:szCs w:val="21"/>
              </w:rPr>
              <w:t>13</w:t>
            </w:r>
          </w:p>
        </w:tc>
      </w:tr>
    </w:tbl>
    <w:p w14:paraId="2031C5DC" w14:textId="77777777" w:rsidR="004F05F1" w:rsidRPr="00C02EA4" w:rsidRDefault="004F05F1" w:rsidP="00573D26">
      <w:pPr>
        <w:tabs>
          <w:tab w:val="left" w:pos="8789"/>
        </w:tabs>
        <w:spacing w:beforeLines="40" w:before="96" w:after="40"/>
        <w:rPr>
          <w:b/>
          <w:bCs/>
        </w:rPr>
      </w:pPr>
    </w:p>
    <w:p w14:paraId="308059C5" w14:textId="77777777" w:rsidR="00C66A69" w:rsidRDefault="00F212AF">
      <w:pPr>
        <w:keepNext/>
        <w:spacing w:before="120" w:after="120"/>
      </w:pPr>
      <w:r>
        <w:rPr>
          <w:rFonts w:hint="eastAsia"/>
          <w:b/>
          <w:bCs/>
        </w:rPr>
        <w:t>Documents de référence</w:t>
      </w:r>
    </w:p>
    <w:tbl>
      <w:tblPr>
        <w:tblW w:w="9270" w:type="dxa"/>
        <w:tblLook w:val="04A0" w:firstRow="1" w:lastRow="0" w:firstColumn="1" w:lastColumn="0" w:noHBand="0" w:noVBand="1"/>
      </w:tblPr>
      <w:tblGrid>
        <w:gridCol w:w="2025"/>
        <w:gridCol w:w="5904"/>
        <w:gridCol w:w="1341"/>
      </w:tblGrid>
      <w:tr w:rsidR="00900F08" w:rsidRPr="00C02EA4" w14:paraId="475C709E" w14:textId="77777777" w:rsidTr="006A21C0">
        <w:trPr>
          <w:cantSplit/>
          <w:trHeight w:val="465"/>
          <w:tblHeader/>
        </w:trPr>
        <w:tc>
          <w:tcPr>
            <w:tcW w:w="2025" w:type="dxa"/>
            <w:noWrap/>
            <w:hideMark/>
          </w:tcPr>
          <w:p w14:paraId="4700B408" w14:textId="77777777" w:rsidR="00C66A69" w:rsidRDefault="00F212AF">
            <w:pPr>
              <w:spacing w:before="40" w:after="40"/>
              <w:rPr>
                <w:rFonts w:asciiTheme="majorBidi" w:hAnsiTheme="majorBidi" w:cstheme="majorBidi"/>
                <w:bCs/>
                <w:i/>
                <w:iCs/>
                <w:sz w:val="21"/>
                <w:szCs w:val="21"/>
              </w:rPr>
            </w:pPr>
            <w:r>
              <w:rPr>
                <w:rFonts w:asciiTheme="majorBidi" w:hAnsiTheme="majorBidi" w:cstheme="majorBidi"/>
                <w:bCs/>
                <w:i/>
                <w:iCs/>
                <w:sz w:val="21"/>
                <w:szCs w:val="21"/>
              </w:rPr>
              <w:t>Symbole</w:t>
            </w:r>
          </w:p>
        </w:tc>
        <w:tc>
          <w:tcPr>
            <w:tcW w:w="5904" w:type="dxa"/>
            <w:hideMark/>
          </w:tcPr>
          <w:p w14:paraId="01076C1B" w14:textId="77777777" w:rsidR="00C66A69" w:rsidRDefault="00F212AF">
            <w:pPr>
              <w:spacing w:before="40" w:after="40"/>
              <w:rPr>
                <w:rFonts w:asciiTheme="majorBidi" w:hAnsiTheme="majorBidi" w:cstheme="majorBidi"/>
                <w:bCs/>
                <w:i/>
                <w:iCs/>
                <w:sz w:val="21"/>
                <w:szCs w:val="21"/>
              </w:rPr>
            </w:pPr>
            <w:r>
              <w:rPr>
                <w:rFonts w:asciiTheme="majorBidi" w:hAnsiTheme="majorBidi" w:cstheme="majorBidi"/>
                <w:bCs/>
                <w:i/>
                <w:iCs/>
                <w:sz w:val="21"/>
                <w:szCs w:val="21"/>
              </w:rPr>
              <w:t>Titre</w:t>
            </w:r>
          </w:p>
        </w:tc>
        <w:tc>
          <w:tcPr>
            <w:tcW w:w="1341" w:type="dxa"/>
            <w:hideMark/>
          </w:tcPr>
          <w:p w14:paraId="14CAE914" w14:textId="77777777" w:rsidR="00C66A69" w:rsidRDefault="00F212AF" w:rsidP="00573D26">
            <w:pPr>
              <w:spacing w:before="40" w:after="40"/>
              <w:ind w:left="327" w:right="-52"/>
              <w:jc w:val="left"/>
              <w:rPr>
                <w:rFonts w:asciiTheme="majorBidi" w:hAnsiTheme="majorBidi" w:cstheme="majorBidi"/>
                <w:bCs/>
                <w:i/>
                <w:iCs/>
                <w:sz w:val="21"/>
                <w:szCs w:val="21"/>
              </w:rPr>
            </w:pPr>
            <w:r>
              <w:rPr>
                <w:rFonts w:asciiTheme="majorBidi" w:hAnsiTheme="majorBidi" w:cstheme="majorBidi"/>
                <w:bCs/>
                <w:i/>
                <w:iCs/>
                <w:sz w:val="21"/>
                <w:szCs w:val="21"/>
              </w:rPr>
              <w:t>Point de l</w:t>
            </w:r>
            <w:r w:rsidR="00F81A31">
              <w:rPr>
                <w:rFonts w:asciiTheme="majorBidi" w:hAnsiTheme="majorBidi" w:cstheme="majorBidi"/>
                <w:bCs/>
                <w:i/>
                <w:iCs/>
                <w:sz w:val="21"/>
                <w:szCs w:val="21"/>
              </w:rPr>
              <w:t>’</w:t>
            </w:r>
            <w:r>
              <w:rPr>
                <w:rFonts w:asciiTheme="majorBidi" w:hAnsiTheme="majorBidi" w:cstheme="majorBidi"/>
                <w:bCs/>
                <w:i/>
                <w:iCs/>
                <w:sz w:val="21"/>
                <w:szCs w:val="21"/>
              </w:rPr>
              <w:t>ordre du jour</w:t>
            </w:r>
          </w:p>
        </w:tc>
      </w:tr>
      <w:tr w:rsidR="00C457CA" w:rsidRPr="00C02EA4" w14:paraId="4C7B9380" w14:textId="77777777" w:rsidTr="006A21C0">
        <w:trPr>
          <w:trHeight w:val="891"/>
        </w:trPr>
        <w:tc>
          <w:tcPr>
            <w:tcW w:w="2025" w:type="dxa"/>
            <w:noWrap/>
            <w:hideMark/>
          </w:tcPr>
          <w:p w14:paraId="40594643" w14:textId="77777777" w:rsidR="00C66A69" w:rsidRDefault="00F212AF">
            <w:pPr>
              <w:spacing w:before="40" w:after="40"/>
              <w:rPr>
                <w:rFonts w:asciiTheme="majorBidi" w:hAnsiTheme="majorBidi" w:cstheme="majorBidi"/>
                <w:sz w:val="21"/>
                <w:szCs w:val="21"/>
              </w:rPr>
            </w:pPr>
            <w:r>
              <w:rPr>
                <w:rFonts w:asciiTheme="majorBidi" w:hAnsiTheme="majorBidi" w:cstheme="majorBidi"/>
                <w:sz w:val="21"/>
                <w:szCs w:val="21"/>
              </w:rPr>
              <w:t>CBD/WG8J/12/8</w:t>
            </w:r>
          </w:p>
        </w:tc>
        <w:tc>
          <w:tcPr>
            <w:tcW w:w="5904" w:type="dxa"/>
            <w:hideMark/>
          </w:tcPr>
          <w:p w14:paraId="3BE946DE" w14:textId="77777777" w:rsidR="00C66A69" w:rsidRDefault="00F212AF">
            <w:pPr>
              <w:spacing w:before="40" w:after="40"/>
              <w:jc w:val="left"/>
              <w:rPr>
                <w:rFonts w:asciiTheme="majorBidi" w:hAnsiTheme="majorBidi" w:cstheme="majorBidi"/>
                <w:sz w:val="21"/>
                <w:szCs w:val="21"/>
              </w:rPr>
            </w:pPr>
            <w:r>
              <w:rPr>
                <w:rFonts w:asciiTheme="majorBidi" w:hAnsiTheme="majorBidi" w:cstheme="majorBidi"/>
                <w:sz w:val="21"/>
                <w:szCs w:val="21"/>
              </w:rPr>
              <w:t>Rapport du Groupe de travail spécial intersessions à composition non limitée sur l</w:t>
            </w:r>
            <w:r w:rsidR="00F81A31">
              <w:rPr>
                <w:rFonts w:asciiTheme="majorBidi" w:hAnsiTheme="majorBidi" w:cstheme="majorBidi"/>
                <w:sz w:val="21"/>
                <w:szCs w:val="21"/>
              </w:rPr>
              <w:t>’</w:t>
            </w:r>
            <w:r w:rsidR="00573D26">
              <w:rPr>
                <w:rFonts w:asciiTheme="majorBidi" w:hAnsiTheme="majorBidi" w:cstheme="majorBidi"/>
                <w:sz w:val="21"/>
                <w:szCs w:val="21"/>
              </w:rPr>
              <w:t>article 8 j) et les dispositi</w:t>
            </w:r>
            <w:r>
              <w:rPr>
                <w:rFonts w:asciiTheme="majorBidi" w:hAnsiTheme="majorBidi" w:cstheme="majorBidi"/>
                <w:sz w:val="21"/>
                <w:szCs w:val="21"/>
              </w:rPr>
              <w:t>on</w:t>
            </w:r>
            <w:r w:rsidR="00573D26">
              <w:rPr>
                <w:rFonts w:asciiTheme="majorBidi" w:hAnsiTheme="majorBidi" w:cstheme="majorBidi"/>
                <w:sz w:val="21"/>
                <w:szCs w:val="21"/>
              </w:rPr>
              <w:t xml:space="preserve">s connexes de la Convention sur les travaux de </w:t>
            </w:r>
            <w:r>
              <w:rPr>
                <w:rFonts w:asciiTheme="majorBidi" w:hAnsiTheme="majorBidi" w:cstheme="majorBidi"/>
                <w:sz w:val="21"/>
                <w:szCs w:val="21"/>
              </w:rPr>
              <w:t>sa douzième réunion</w:t>
            </w:r>
          </w:p>
        </w:tc>
        <w:tc>
          <w:tcPr>
            <w:tcW w:w="1341" w:type="dxa"/>
            <w:hideMark/>
          </w:tcPr>
          <w:p w14:paraId="7F5073E8" w14:textId="77777777" w:rsidR="00C66A69" w:rsidRDefault="00F212AF">
            <w:pPr>
              <w:spacing w:before="40" w:after="40"/>
              <w:jc w:val="right"/>
              <w:rPr>
                <w:rFonts w:asciiTheme="majorBidi" w:hAnsiTheme="majorBidi" w:cstheme="majorBidi"/>
                <w:sz w:val="21"/>
                <w:szCs w:val="21"/>
              </w:rPr>
            </w:pPr>
            <w:r>
              <w:rPr>
                <w:rFonts w:asciiTheme="majorBidi" w:hAnsiTheme="majorBidi" w:cstheme="majorBidi"/>
                <w:sz w:val="21"/>
                <w:szCs w:val="21"/>
              </w:rPr>
              <w:t>5 a)</w:t>
            </w:r>
          </w:p>
        </w:tc>
      </w:tr>
      <w:tr w:rsidR="00C457CA" w:rsidRPr="00C02EA4" w14:paraId="5FA2B7D2" w14:textId="77777777" w:rsidTr="006A21C0">
        <w:trPr>
          <w:trHeight w:val="675"/>
        </w:trPr>
        <w:tc>
          <w:tcPr>
            <w:tcW w:w="2025" w:type="dxa"/>
            <w:noWrap/>
            <w:hideMark/>
          </w:tcPr>
          <w:p w14:paraId="3BD67808" w14:textId="77777777" w:rsidR="00C66A69" w:rsidRDefault="00F212AF">
            <w:pPr>
              <w:spacing w:before="40" w:after="40"/>
              <w:rPr>
                <w:rFonts w:asciiTheme="majorBidi" w:hAnsiTheme="majorBidi" w:cstheme="majorBidi"/>
                <w:sz w:val="21"/>
                <w:szCs w:val="21"/>
              </w:rPr>
            </w:pPr>
            <w:r>
              <w:rPr>
                <w:rFonts w:asciiTheme="majorBidi" w:hAnsiTheme="majorBidi" w:cstheme="majorBidi"/>
                <w:sz w:val="21"/>
                <w:szCs w:val="21"/>
              </w:rPr>
              <w:t>CBD/SBSTTA/25/13</w:t>
            </w:r>
          </w:p>
        </w:tc>
        <w:tc>
          <w:tcPr>
            <w:tcW w:w="5904" w:type="dxa"/>
            <w:hideMark/>
          </w:tcPr>
          <w:p w14:paraId="2DC79F47" w14:textId="77777777" w:rsidR="00C66A69" w:rsidRDefault="00F212AF">
            <w:pPr>
              <w:spacing w:before="40" w:after="40"/>
              <w:jc w:val="left"/>
              <w:rPr>
                <w:rFonts w:asciiTheme="majorBidi" w:hAnsiTheme="majorBidi" w:cstheme="majorBidi"/>
                <w:sz w:val="21"/>
                <w:szCs w:val="21"/>
              </w:rPr>
            </w:pPr>
            <w:r>
              <w:rPr>
                <w:rFonts w:asciiTheme="majorBidi" w:hAnsiTheme="majorBidi" w:cstheme="majorBidi"/>
                <w:sz w:val="21"/>
                <w:szCs w:val="21"/>
              </w:rPr>
              <w:t>Rapport de l</w:t>
            </w:r>
            <w:r w:rsidR="00F81A31">
              <w:rPr>
                <w:rFonts w:asciiTheme="majorBidi" w:hAnsiTheme="majorBidi" w:cstheme="majorBidi"/>
                <w:sz w:val="21"/>
                <w:szCs w:val="21"/>
              </w:rPr>
              <w:t>’</w:t>
            </w:r>
            <w:r>
              <w:rPr>
                <w:rFonts w:asciiTheme="majorBidi" w:hAnsiTheme="majorBidi" w:cstheme="majorBidi"/>
                <w:sz w:val="21"/>
                <w:szCs w:val="21"/>
              </w:rPr>
              <w:t xml:space="preserve">Organe subsidiaire </w:t>
            </w:r>
            <w:r w:rsidR="00424767">
              <w:rPr>
                <w:rFonts w:asciiTheme="majorBidi" w:hAnsiTheme="majorBidi" w:cstheme="majorBidi"/>
                <w:sz w:val="21"/>
                <w:szCs w:val="21"/>
              </w:rPr>
              <w:t>chargé de fournir des avis</w:t>
            </w:r>
            <w:r>
              <w:rPr>
                <w:rFonts w:asciiTheme="majorBidi" w:hAnsiTheme="majorBidi" w:cstheme="majorBidi"/>
                <w:sz w:val="21"/>
                <w:szCs w:val="21"/>
              </w:rPr>
              <w:t xml:space="preserve"> scientifiques, techniques et te</w:t>
            </w:r>
            <w:r w:rsidR="00573D26">
              <w:rPr>
                <w:rFonts w:asciiTheme="majorBidi" w:hAnsiTheme="majorBidi" w:cstheme="majorBidi"/>
                <w:sz w:val="21"/>
                <w:szCs w:val="21"/>
              </w:rPr>
              <w:t xml:space="preserve">chnologiques sur les travaux de </w:t>
            </w:r>
            <w:r>
              <w:rPr>
                <w:rFonts w:asciiTheme="majorBidi" w:hAnsiTheme="majorBidi" w:cstheme="majorBidi"/>
                <w:sz w:val="21"/>
                <w:szCs w:val="21"/>
              </w:rPr>
              <w:t>sa vingt-cinquième réunion</w:t>
            </w:r>
          </w:p>
        </w:tc>
        <w:tc>
          <w:tcPr>
            <w:tcW w:w="1341" w:type="dxa"/>
            <w:hideMark/>
          </w:tcPr>
          <w:p w14:paraId="5E362E7F" w14:textId="77777777" w:rsidR="00C66A69" w:rsidRDefault="00F212AF">
            <w:pPr>
              <w:spacing w:before="40" w:after="40"/>
              <w:jc w:val="right"/>
              <w:rPr>
                <w:rFonts w:asciiTheme="majorBidi" w:hAnsiTheme="majorBidi" w:cstheme="majorBidi"/>
                <w:sz w:val="21"/>
                <w:szCs w:val="21"/>
              </w:rPr>
            </w:pPr>
            <w:r>
              <w:rPr>
                <w:rFonts w:asciiTheme="majorBidi" w:hAnsiTheme="majorBidi" w:cstheme="majorBidi"/>
                <w:sz w:val="21"/>
                <w:szCs w:val="21"/>
              </w:rPr>
              <w:t>3 et 11</w:t>
            </w:r>
          </w:p>
        </w:tc>
      </w:tr>
    </w:tbl>
    <w:p w14:paraId="0072CC88" w14:textId="77777777" w:rsidR="00900F08" w:rsidRPr="00C02EA4" w:rsidRDefault="00900F08" w:rsidP="004D7FF9">
      <w:pPr>
        <w:rPr>
          <w:sz w:val="18"/>
          <w:szCs w:val="18"/>
        </w:rPr>
      </w:pPr>
    </w:p>
    <w:p w14:paraId="4F1D3DB2" w14:textId="77777777" w:rsidR="00C66A69" w:rsidRDefault="00F212AF">
      <w:pPr>
        <w:pStyle w:val="Para1"/>
        <w:numPr>
          <w:ilvl w:val="0"/>
          <w:numId w:val="0"/>
        </w:numPr>
        <w:jc w:val="center"/>
      </w:pPr>
      <w:r>
        <w:t>_________</w:t>
      </w:r>
    </w:p>
    <w:sectPr w:rsidR="00C66A69" w:rsidSect="000001A7">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1E02" w14:textId="77777777" w:rsidR="000001A7" w:rsidRDefault="000001A7">
      <w:r>
        <w:separator/>
      </w:r>
    </w:p>
  </w:endnote>
  <w:endnote w:type="continuationSeparator" w:id="0">
    <w:p w14:paraId="6608C626" w14:textId="77777777" w:rsidR="000001A7" w:rsidRDefault="000001A7">
      <w:r>
        <w:continuationSeparator/>
      </w:r>
    </w:p>
  </w:endnote>
  <w:endnote w:type="continuationNotice" w:id="1">
    <w:p w14:paraId="0386F5C1" w14:textId="77777777" w:rsidR="000001A7" w:rsidRDefault="00000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45602"/>
      <w:docPartObj>
        <w:docPartGallery w:val="Page Numbers (Bottom of Page)"/>
        <w:docPartUnique/>
      </w:docPartObj>
    </w:sdtPr>
    <w:sdtEndPr/>
    <w:sdtContent>
      <w:sdt>
        <w:sdtPr>
          <w:id w:val="1601221097"/>
          <w:docPartObj>
            <w:docPartGallery w:val="Page Numbers (Top of Page)"/>
            <w:docPartUnique/>
          </w:docPartObj>
        </w:sdtPr>
        <w:sdtEndPr/>
        <w:sdtContent>
          <w:p w14:paraId="06B71B7C" w14:textId="77777777" w:rsidR="002E10E4" w:rsidRDefault="002E10E4">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7459">
              <w:rPr>
                <w:noProof/>
                <w:sz w:val="20"/>
                <w:szCs w:val="20"/>
              </w:rPr>
              <w:t>14</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7459">
              <w:rPr>
                <w:noProof/>
                <w:sz w:val="20"/>
                <w:szCs w:val="20"/>
              </w:rPr>
              <w:t>14</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96978"/>
      <w:docPartObj>
        <w:docPartGallery w:val="Page Numbers (Bottom of Page)"/>
        <w:docPartUnique/>
      </w:docPartObj>
    </w:sdtPr>
    <w:sdtEndPr/>
    <w:sdtContent>
      <w:sdt>
        <w:sdtPr>
          <w:id w:val="-2045743300"/>
          <w:docPartObj>
            <w:docPartGallery w:val="Page Numbers (Top of Page)"/>
            <w:docPartUnique/>
          </w:docPartObj>
        </w:sdtPr>
        <w:sdtEndPr/>
        <w:sdtContent>
          <w:p w14:paraId="3390DBF8" w14:textId="77777777" w:rsidR="002E10E4" w:rsidRDefault="002E10E4">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557459">
              <w:rPr>
                <w:noProof/>
                <w:sz w:val="20"/>
                <w:szCs w:val="20"/>
              </w:rPr>
              <w:t>13</w:t>
            </w:r>
            <w:r w:rsidRPr="002B559C">
              <w:rPr>
                <w:sz w:val="20"/>
                <w:szCs w:val="20"/>
              </w:rPr>
              <w:fldChar w:fldCharType="end"/>
            </w:r>
            <w:r>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557459">
              <w:rPr>
                <w:noProof/>
                <w:sz w:val="20"/>
                <w:szCs w:val="20"/>
              </w:rPr>
              <w:t>14</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37C2" w14:textId="77777777" w:rsidR="000001A7" w:rsidRDefault="000001A7">
      <w:r>
        <w:separator/>
      </w:r>
    </w:p>
  </w:footnote>
  <w:footnote w:type="continuationSeparator" w:id="0">
    <w:p w14:paraId="67E2FC27" w14:textId="77777777" w:rsidR="000001A7" w:rsidRDefault="000001A7">
      <w:r>
        <w:continuationSeparator/>
      </w:r>
    </w:p>
  </w:footnote>
  <w:footnote w:type="continuationNotice" w:id="1">
    <w:p w14:paraId="6136FC82" w14:textId="77777777" w:rsidR="000001A7" w:rsidRDefault="000001A7"/>
  </w:footnote>
  <w:footnote w:id="2">
    <w:p w14:paraId="0FB56429" w14:textId="27DB566A" w:rsidR="004C0F82" w:rsidRPr="006B4608" w:rsidRDefault="004C0F82">
      <w:pPr>
        <w:pStyle w:val="FootnoteText"/>
        <w:rPr>
          <w:sz w:val="18"/>
          <w:szCs w:val="18"/>
        </w:rPr>
      </w:pPr>
      <w:r w:rsidRPr="006B4608">
        <w:rPr>
          <w:rStyle w:val="FootnoteReference"/>
          <w:sz w:val="18"/>
          <w:szCs w:val="18"/>
        </w:rPr>
        <w:t>*</w:t>
      </w:r>
      <w:r w:rsidRPr="006B4608">
        <w:rPr>
          <w:sz w:val="18"/>
          <w:szCs w:val="18"/>
        </w:rPr>
        <w:t xml:space="preserve"> Nouveau tirage pour raisons techniques (19 avril 2024).</w:t>
      </w:r>
    </w:p>
  </w:footnote>
  <w:footnote w:id="3">
    <w:p w14:paraId="094D1B48" w14:textId="55662C9E" w:rsidR="002E10E4" w:rsidRPr="006B4608" w:rsidRDefault="00677C82">
      <w:pPr>
        <w:pStyle w:val="Footnote"/>
      </w:pPr>
      <w:r w:rsidRPr="006B4608">
        <w:rPr>
          <w:rStyle w:val="FootnoteReference"/>
        </w:rPr>
        <w:t>*</w:t>
      </w:r>
      <w:r w:rsidR="002E10E4" w:rsidRPr="006B4608">
        <w:rPr>
          <w:rStyle w:val="FootnoteReference"/>
        </w:rPr>
        <w:t>*</w:t>
      </w:r>
      <w:r w:rsidR="002E10E4" w:rsidRPr="006B4608">
        <w:t xml:space="preserve"> CBD/SBI/4/1.</w:t>
      </w:r>
    </w:p>
  </w:footnote>
  <w:footnote w:id="4">
    <w:p w14:paraId="6E1C5FF6" w14:textId="77777777" w:rsidR="002E10E4" w:rsidRPr="006B4608" w:rsidRDefault="002E10E4">
      <w:pPr>
        <w:pStyle w:val="FootnoteText"/>
        <w:rPr>
          <w:sz w:val="18"/>
          <w:szCs w:val="18"/>
        </w:rPr>
      </w:pPr>
      <w:r w:rsidRPr="006B4608">
        <w:rPr>
          <w:rStyle w:val="FootnoteReference"/>
          <w:rFonts w:eastAsiaTheme="minorEastAsia"/>
          <w:sz w:val="18"/>
          <w:szCs w:val="18"/>
        </w:rPr>
        <w:footnoteRef/>
      </w:r>
      <w:r w:rsidRPr="006B4608">
        <w:rPr>
          <w:sz w:val="18"/>
          <w:szCs w:val="18"/>
        </w:rPr>
        <w:t xml:space="preserve"> Décisions CP-VIII/9 et NP-2/11, respectivement.</w:t>
      </w:r>
    </w:p>
  </w:footnote>
  <w:footnote w:id="5">
    <w:p w14:paraId="519A5328" w14:textId="77777777" w:rsidR="002E10E4" w:rsidRPr="006B4608" w:rsidRDefault="002E10E4">
      <w:pPr>
        <w:pStyle w:val="FootnoteText"/>
        <w:rPr>
          <w:sz w:val="18"/>
          <w:szCs w:val="18"/>
        </w:rPr>
      </w:pPr>
      <w:r w:rsidRPr="006B4608">
        <w:rPr>
          <w:rStyle w:val="FootnoteReference"/>
          <w:sz w:val="18"/>
          <w:szCs w:val="18"/>
        </w:rPr>
        <w:footnoteRef/>
      </w:r>
      <w:r w:rsidRPr="006B4608">
        <w:rPr>
          <w:sz w:val="18"/>
          <w:szCs w:val="18"/>
        </w:rPr>
        <w:t xml:space="preserve"> D'autres rapports, tels qu'un rapport sur les résultats des dialogues internationaux avec les peuples autochtones, les communautés locales et les parties prenantes concernées sur les progrès accomplis dans la mise en œuvre, pourraient être publiés, selon qu'il convient, donnant suite à la demande faite par la Conférence des Parties au paragraphe 11 de sa décision 15/3.</w:t>
      </w:r>
    </w:p>
  </w:footnote>
  <w:footnote w:id="6">
    <w:p w14:paraId="287509DD" w14:textId="77777777" w:rsidR="002E10E4" w:rsidRPr="006B4608" w:rsidRDefault="002E10E4">
      <w:pPr>
        <w:pStyle w:val="FootnoteText"/>
        <w:rPr>
          <w:sz w:val="18"/>
          <w:szCs w:val="18"/>
        </w:rPr>
      </w:pPr>
      <w:r w:rsidRPr="006B4608">
        <w:rPr>
          <w:rStyle w:val="FootnoteReference"/>
          <w:sz w:val="18"/>
          <w:szCs w:val="18"/>
        </w:rPr>
        <w:footnoteRef/>
      </w:r>
      <w:r w:rsidRPr="006B4608">
        <w:rPr>
          <w:sz w:val="18"/>
          <w:szCs w:val="18"/>
        </w:rPr>
        <w:t xml:space="preserve"> Les travaux menés ultérieurement par le Groupe de travail spécial à composition non limitée sur le partage des avantages découlant de l'utilisation de l’information de séquençage numérique sur les ressources génétiques seront utiles au Comité consultatif, comme indiqué au paragraphe 2 de son mandat, pour formuler des recommandations à l'Organe subsidiaire concernant l'entité chargée de recevoir et de verser les recettes générées par le mécanisme multilatéral pour le partage des avantages découlant de l'utilisation de l’information de séquençage numérique sur les ressources génétiques, y compris un fonds mondial, créé en vertu de la décision 15/9.</w:t>
      </w:r>
    </w:p>
  </w:footnote>
  <w:footnote w:id="7">
    <w:p w14:paraId="2D081F14" w14:textId="77777777" w:rsidR="002E10E4" w:rsidRPr="006B4608" w:rsidRDefault="002E10E4">
      <w:pPr>
        <w:pStyle w:val="FootnoteText"/>
        <w:rPr>
          <w:sz w:val="18"/>
          <w:szCs w:val="18"/>
        </w:rPr>
      </w:pPr>
      <w:r w:rsidRPr="006B4608">
        <w:rPr>
          <w:rStyle w:val="FootnoteReference"/>
          <w:sz w:val="18"/>
          <w:szCs w:val="18"/>
        </w:rPr>
        <w:footnoteRef/>
      </w:r>
      <w:r w:rsidRPr="006B4608">
        <w:rPr>
          <w:sz w:val="18"/>
          <w:szCs w:val="18"/>
        </w:rPr>
        <w:t xml:space="preserve"> Étant donné que la Conférence des Parties a demandé au Secrétaire exécutif de convoquer, avant chaque réunion de l'Organe subsidiaire, un forum pour faciliter la mise en réseau et le partage des données d'expérience en matière de renforcement des capacités (décision 15/8, par. 16 g)), l'examen de l'alinéa a) du point 5 de l'ordre du jour pourra également bénéficier des résultats d'un tel forum, si les ressources le permettent avant la présente séance.</w:t>
      </w:r>
    </w:p>
  </w:footnote>
  <w:footnote w:id="8">
    <w:p w14:paraId="2B9D1A28" w14:textId="77777777" w:rsidR="002E10E4" w:rsidRPr="006B4608" w:rsidRDefault="002E10E4">
      <w:pPr>
        <w:pStyle w:val="FootnoteText"/>
        <w:rPr>
          <w:sz w:val="18"/>
          <w:szCs w:val="18"/>
        </w:rPr>
      </w:pPr>
      <w:r w:rsidRPr="006B4608">
        <w:rPr>
          <w:rStyle w:val="FootnoteReference"/>
          <w:rFonts w:eastAsiaTheme="minorEastAsia"/>
          <w:sz w:val="18"/>
          <w:szCs w:val="18"/>
        </w:rPr>
        <w:footnoteRef/>
      </w:r>
      <w:r w:rsidRPr="006B4608">
        <w:rPr>
          <w:sz w:val="18"/>
          <w:szCs w:val="18"/>
        </w:rPr>
        <w:t xml:space="preserve"> </w:t>
      </w:r>
      <w:r w:rsidRPr="006B4608">
        <w:rPr>
          <w:rFonts w:eastAsia="Calibri"/>
          <w:kern w:val="22"/>
          <w:sz w:val="18"/>
          <w:szCs w:val="18"/>
        </w:rPr>
        <w:t xml:space="preserve">Le projet de composante sur la gestion des connaissances du Cadre figure dans le </w:t>
      </w:r>
      <w:r w:rsidRPr="006B4608">
        <w:rPr>
          <w:kern w:val="18"/>
          <w:sz w:val="18"/>
          <w:szCs w:val="18"/>
        </w:rPr>
        <w:t>document CBD/COP/15/2, projet de décision 13 B, annexe.</w:t>
      </w:r>
    </w:p>
  </w:footnote>
  <w:footnote w:id="9">
    <w:p w14:paraId="45014CD8" w14:textId="77777777" w:rsidR="002E10E4" w:rsidRPr="006B4608" w:rsidRDefault="002E10E4">
      <w:pPr>
        <w:pStyle w:val="FootnoteText"/>
        <w:rPr>
          <w:sz w:val="18"/>
          <w:szCs w:val="18"/>
        </w:rPr>
      </w:pPr>
      <w:r w:rsidRPr="006B4608">
        <w:rPr>
          <w:rStyle w:val="FootnoteReference"/>
          <w:rFonts w:eastAsiaTheme="minorEastAsia"/>
          <w:sz w:val="18"/>
          <w:szCs w:val="18"/>
        </w:rPr>
        <w:footnoteRef/>
      </w:r>
      <w:r w:rsidRPr="006B4608">
        <w:rPr>
          <w:sz w:val="18"/>
          <w:szCs w:val="18"/>
        </w:rPr>
        <w:t xml:space="preserve"> Un résumé de l'évaluation du cadre stratégique pour le renforcement et le développement des capacités à l'appui de la mise en œuvre effective du Protocole de Nagoya figure dans le document CBD/SBI/3/16. Le rapport d'évaluation complet a été publié sous la cote CBD/SBI/3/INF/1.</w:t>
      </w:r>
    </w:p>
  </w:footnote>
  <w:footnote w:id="10">
    <w:p w14:paraId="5DEDCBEA" w14:textId="77777777" w:rsidR="002E10E4" w:rsidRPr="006B4608" w:rsidRDefault="002E10E4">
      <w:pPr>
        <w:pStyle w:val="FootnoteText"/>
        <w:rPr>
          <w:sz w:val="18"/>
          <w:szCs w:val="18"/>
        </w:rPr>
      </w:pPr>
      <w:r w:rsidRPr="006B4608">
        <w:rPr>
          <w:rStyle w:val="FootnoteReference"/>
          <w:sz w:val="18"/>
          <w:szCs w:val="18"/>
        </w:rPr>
        <w:footnoteRef/>
      </w:r>
      <w:r w:rsidRPr="006B4608">
        <w:rPr>
          <w:sz w:val="18"/>
          <w:szCs w:val="18"/>
        </w:rPr>
        <w:t xml:space="preserve"> CBD/SBSTTA/25/4.</w:t>
      </w:r>
    </w:p>
  </w:footnote>
  <w:footnote w:id="11">
    <w:p w14:paraId="06B4BADC" w14:textId="77777777" w:rsidR="002E10E4" w:rsidRPr="006B4608" w:rsidRDefault="002E10E4">
      <w:pPr>
        <w:pStyle w:val="FootnoteText"/>
        <w:rPr>
          <w:sz w:val="18"/>
          <w:szCs w:val="18"/>
        </w:rPr>
      </w:pPr>
      <w:r w:rsidRPr="006B4608">
        <w:rPr>
          <w:rStyle w:val="FootnoteReference"/>
          <w:sz w:val="18"/>
          <w:szCs w:val="18"/>
        </w:rPr>
        <w:t xml:space="preserve">* </w:t>
      </w:r>
      <w:r w:rsidRPr="006B4608">
        <w:rPr>
          <w:sz w:val="18"/>
          <w:szCs w:val="18"/>
        </w:rPr>
        <w:t>Les documents relatifs à certains points de l'ordre du jour pourront être complétés par des additifs.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37802784"/>
  <w:bookmarkStart w:id="6" w:name="_Hlk137802785"/>
  <w:p w14:paraId="015C7304" w14:textId="77777777" w:rsidR="002E10E4" w:rsidRDefault="002E10E4">
    <w:pPr>
      <w:pStyle w:val="Header"/>
      <w:pBdr>
        <w:bottom w:val="single" w:sz="4" w:space="1" w:color="auto"/>
      </w:pBdr>
      <w:spacing w:after="240"/>
      <w:rPr>
        <w:sz w:val="20"/>
        <w:szCs w:val="20"/>
      </w:rPr>
    </w:pPr>
    <w:r>
      <w:rPr>
        <w:sz w:val="20"/>
        <w:szCs w:val="20"/>
      </w:rPr>
      <w:fldChar w:fldCharType="begin"/>
    </w:r>
    <w:r>
      <w:rPr>
        <w:sz w:val="20"/>
        <w:szCs w:val="20"/>
      </w:rPr>
      <w:instrText xml:space="preserve"> HYPERLINK \h </w:instrText>
    </w:r>
    <w:r>
      <w:rPr>
        <w:sz w:val="20"/>
        <w:szCs w:val="20"/>
      </w:rPr>
    </w:r>
    <w:r>
      <w:rPr>
        <w:sz w:val="20"/>
        <w:szCs w:val="20"/>
      </w:rPr>
      <w:fldChar w:fldCharType="separate"/>
    </w:r>
    <w:r>
      <w:rPr>
        <w:sz w:val="20"/>
        <w:szCs w:val="20"/>
      </w:rPr>
      <w:t>CBD/SBI/4/1/</w:t>
    </w:r>
    <w:r>
      <w:rPr>
        <w:sz w:val="20"/>
        <w:szCs w:val="20"/>
      </w:rPr>
      <w:fldChar w:fldCharType="end"/>
    </w:r>
    <w:hyperlink>
      <w:r>
        <w:rPr>
          <w:caps w:val="0"/>
          <w:sz w:val="20"/>
          <w:szCs w:val="20"/>
        </w:rPr>
        <w:t>Add</w:t>
      </w:r>
    </w:hyperlink>
    <w:hyperlink>
      <w:r>
        <w:rPr>
          <w:sz w:val="20"/>
          <w:szCs w:val="20"/>
        </w:rPr>
        <w:t>.1</w:t>
      </w:r>
    </w:hyperlink>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8AD78EC" w14:textId="77777777" w:rsidR="002E10E4" w:rsidRDefault="002E10E4">
        <w:pPr>
          <w:pStyle w:val="Header"/>
          <w:pBdr>
            <w:bottom w:val="single" w:sz="4" w:space="1" w:color="auto"/>
          </w:pBdr>
          <w:spacing w:after="240"/>
          <w:jc w:val="right"/>
          <w:rPr>
            <w:sz w:val="20"/>
            <w:szCs w:val="20"/>
          </w:rPr>
        </w:pPr>
        <w:r>
          <w:rPr>
            <w:sz w:val="20"/>
            <w:szCs w:val="20"/>
          </w:rPr>
          <w:t>CBD/SBI/4/1/</w:t>
        </w:r>
        <w:r>
          <w:rPr>
            <w:caps w:val="0"/>
            <w:sz w:val="20"/>
            <w:szCs w:val="20"/>
          </w:rPr>
          <w:t>Add</w:t>
        </w:r>
        <w:r>
          <w:rPr>
            <w:sz w:val="20"/>
            <w:szCs w:val="20"/>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68B70991"/>
    <w:multiLevelType w:val="hybridMultilevel"/>
    <w:tmpl w:val="C7B2AEF4"/>
    <w:lvl w:ilvl="0" w:tplc="6B98FDBC">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70926321">
    <w:abstractNumId w:val="5"/>
  </w:num>
  <w:num w:numId="2" w16cid:durableId="1435172990">
    <w:abstractNumId w:val="12"/>
  </w:num>
  <w:num w:numId="3" w16cid:durableId="2016112392">
    <w:abstractNumId w:val="13"/>
  </w:num>
  <w:num w:numId="4" w16cid:durableId="325911403">
    <w:abstractNumId w:val="0"/>
  </w:num>
  <w:num w:numId="5" w16cid:durableId="1642929265">
    <w:abstractNumId w:val="1"/>
  </w:num>
  <w:num w:numId="6" w16cid:durableId="523445881">
    <w:abstractNumId w:val="1"/>
  </w:num>
  <w:num w:numId="7" w16cid:durableId="681518873">
    <w:abstractNumId w:val="3"/>
  </w:num>
  <w:num w:numId="8" w16cid:durableId="563564054">
    <w:abstractNumId w:val="8"/>
  </w:num>
  <w:num w:numId="9" w16cid:durableId="2052873309">
    <w:abstractNumId w:val="11"/>
  </w:num>
  <w:num w:numId="10" w16cid:durableId="1625037036">
    <w:abstractNumId w:val="10"/>
  </w:num>
  <w:num w:numId="11" w16cid:durableId="552280535">
    <w:abstractNumId w:val="7"/>
  </w:num>
  <w:num w:numId="12" w16cid:durableId="543561213">
    <w:abstractNumId w:val="2"/>
  </w:num>
  <w:num w:numId="13" w16cid:durableId="197400003">
    <w:abstractNumId w:val="2"/>
    <w:lvlOverride w:ilvl="0">
      <w:startOverride w:val="1"/>
    </w:lvlOverride>
  </w:num>
  <w:num w:numId="14" w16cid:durableId="1558010544">
    <w:abstractNumId w:val="9"/>
  </w:num>
  <w:num w:numId="15" w16cid:durableId="466893659">
    <w:abstractNumId w:val="9"/>
    <w:lvlOverride w:ilvl="0">
      <w:startOverride w:val="1"/>
    </w:lvlOverride>
  </w:num>
  <w:num w:numId="16" w16cid:durableId="1738556379">
    <w:abstractNumId w:val="12"/>
    <w:lvlOverride w:ilvl="0">
      <w:startOverride w:val="1"/>
    </w:lvlOverride>
  </w:num>
  <w:num w:numId="17" w16cid:durableId="903181587">
    <w:abstractNumId w:val="9"/>
    <w:lvlOverride w:ilvl="0">
      <w:startOverride w:val="1"/>
    </w:lvlOverride>
  </w:num>
  <w:num w:numId="18" w16cid:durableId="1000157965">
    <w:abstractNumId w:val="14"/>
  </w:num>
  <w:num w:numId="19" w16cid:durableId="165218264">
    <w:abstractNumId w:val="12"/>
    <w:lvlOverride w:ilvl="0">
      <w:startOverride w:val="1"/>
    </w:lvlOverride>
  </w:num>
  <w:num w:numId="20" w16cid:durableId="1340038670">
    <w:abstractNumId w:val="12"/>
    <w:lvlOverride w:ilvl="0">
      <w:startOverride w:val="1"/>
    </w:lvlOverride>
  </w:num>
  <w:num w:numId="21" w16cid:durableId="205610362">
    <w:abstractNumId w:val="6"/>
  </w:num>
  <w:num w:numId="22" w16cid:durableId="628709460">
    <w:abstractNumId w:val="6"/>
    <w:lvlOverride w:ilvl="0">
      <w:startOverride w:val="1"/>
    </w:lvlOverride>
  </w:num>
  <w:num w:numId="23" w16cid:durableId="1699232119">
    <w:abstractNumId w:val="12"/>
    <w:lvlOverride w:ilvl="0">
      <w:startOverride w:val="1"/>
    </w:lvlOverride>
  </w:num>
  <w:num w:numId="24" w16cid:durableId="831604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D6"/>
    <w:rsid w:val="000001A7"/>
    <w:rsid w:val="000006C8"/>
    <w:rsid w:val="000013CA"/>
    <w:rsid w:val="00001FF5"/>
    <w:rsid w:val="00002391"/>
    <w:rsid w:val="00005359"/>
    <w:rsid w:val="00005594"/>
    <w:rsid w:val="00007F27"/>
    <w:rsid w:val="000116F9"/>
    <w:rsid w:val="000123F9"/>
    <w:rsid w:val="00014318"/>
    <w:rsid w:val="00015FBF"/>
    <w:rsid w:val="000160AE"/>
    <w:rsid w:val="00016C84"/>
    <w:rsid w:val="00017BE3"/>
    <w:rsid w:val="00026674"/>
    <w:rsid w:val="00027056"/>
    <w:rsid w:val="00027BF3"/>
    <w:rsid w:val="00033B9B"/>
    <w:rsid w:val="00035005"/>
    <w:rsid w:val="000379F0"/>
    <w:rsid w:val="00040598"/>
    <w:rsid w:val="00041541"/>
    <w:rsid w:val="00044DF3"/>
    <w:rsid w:val="00047EA5"/>
    <w:rsid w:val="00047ECA"/>
    <w:rsid w:val="000507CA"/>
    <w:rsid w:val="00052B66"/>
    <w:rsid w:val="0005355D"/>
    <w:rsid w:val="000558B2"/>
    <w:rsid w:val="00061EAB"/>
    <w:rsid w:val="000656AA"/>
    <w:rsid w:val="00066569"/>
    <w:rsid w:val="000669DF"/>
    <w:rsid w:val="00067544"/>
    <w:rsid w:val="000675CB"/>
    <w:rsid w:val="00073A02"/>
    <w:rsid w:val="00077E9F"/>
    <w:rsid w:val="0008350D"/>
    <w:rsid w:val="000859CE"/>
    <w:rsid w:val="000869A2"/>
    <w:rsid w:val="00086CC2"/>
    <w:rsid w:val="0008728C"/>
    <w:rsid w:val="000907DE"/>
    <w:rsid w:val="00091EC6"/>
    <w:rsid w:val="00095F0F"/>
    <w:rsid w:val="00096324"/>
    <w:rsid w:val="00097E4D"/>
    <w:rsid w:val="000A05D5"/>
    <w:rsid w:val="000A0A17"/>
    <w:rsid w:val="000A1281"/>
    <w:rsid w:val="000A165B"/>
    <w:rsid w:val="000A5E7E"/>
    <w:rsid w:val="000A6804"/>
    <w:rsid w:val="000B1710"/>
    <w:rsid w:val="000B3CAF"/>
    <w:rsid w:val="000B50B1"/>
    <w:rsid w:val="000C2B4C"/>
    <w:rsid w:val="000C3416"/>
    <w:rsid w:val="000C5941"/>
    <w:rsid w:val="000C6996"/>
    <w:rsid w:val="000C6F16"/>
    <w:rsid w:val="000D0EEF"/>
    <w:rsid w:val="000D12FC"/>
    <w:rsid w:val="000D45B0"/>
    <w:rsid w:val="000D4F28"/>
    <w:rsid w:val="000E0711"/>
    <w:rsid w:val="000F1821"/>
    <w:rsid w:val="000F1D9E"/>
    <w:rsid w:val="000F3080"/>
    <w:rsid w:val="000F4097"/>
    <w:rsid w:val="000F63CB"/>
    <w:rsid w:val="00101A1C"/>
    <w:rsid w:val="00101C22"/>
    <w:rsid w:val="0010270D"/>
    <w:rsid w:val="00110BC1"/>
    <w:rsid w:val="00111659"/>
    <w:rsid w:val="001127C6"/>
    <w:rsid w:val="0011610B"/>
    <w:rsid w:val="0012034B"/>
    <w:rsid w:val="00121254"/>
    <w:rsid w:val="0012202A"/>
    <w:rsid w:val="001224F5"/>
    <w:rsid w:val="0012539B"/>
    <w:rsid w:val="0012592E"/>
    <w:rsid w:val="00126B50"/>
    <w:rsid w:val="00126B53"/>
    <w:rsid w:val="00127FC4"/>
    <w:rsid w:val="00131992"/>
    <w:rsid w:val="00132581"/>
    <w:rsid w:val="00137D87"/>
    <w:rsid w:val="001426F9"/>
    <w:rsid w:val="00152895"/>
    <w:rsid w:val="00156271"/>
    <w:rsid w:val="00156B4D"/>
    <w:rsid w:val="00160F41"/>
    <w:rsid w:val="0016518B"/>
    <w:rsid w:val="00165C77"/>
    <w:rsid w:val="00165F1F"/>
    <w:rsid w:val="001761B0"/>
    <w:rsid w:val="00181756"/>
    <w:rsid w:val="00182617"/>
    <w:rsid w:val="00183D9E"/>
    <w:rsid w:val="00184909"/>
    <w:rsid w:val="00190968"/>
    <w:rsid w:val="00190B4B"/>
    <w:rsid w:val="00191CD1"/>
    <w:rsid w:val="00192D71"/>
    <w:rsid w:val="0019402C"/>
    <w:rsid w:val="00197B4B"/>
    <w:rsid w:val="00197F74"/>
    <w:rsid w:val="001A17DE"/>
    <w:rsid w:val="001A231C"/>
    <w:rsid w:val="001A342E"/>
    <w:rsid w:val="001A7DF1"/>
    <w:rsid w:val="001B1A4A"/>
    <w:rsid w:val="001B2549"/>
    <w:rsid w:val="001C0667"/>
    <w:rsid w:val="001C11E0"/>
    <w:rsid w:val="001D1049"/>
    <w:rsid w:val="001D35BF"/>
    <w:rsid w:val="001D7501"/>
    <w:rsid w:val="001D7F60"/>
    <w:rsid w:val="001E04C2"/>
    <w:rsid w:val="001E0B60"/>
    <w:rsid w:val="001E1293"/>
    <w:rsid w:val="001E319F"/>
    <w:rsid w:val="001E6205"/>
    <w:rsid w:val="001E727F"/>
    <w:rsid w:val="001F3A63"/>
    <w:rsid w:val="001F43E6"/>
    <w:rsid w:val="001F6597"/>
    <w:rsid w:val="001F6F13"/>
    <w:rsid w:val="00204ACE"/>
    <w:rsid w:val="00205326"/>
    <w:rsid w:val="002101D3"/>
    <w:rsid w:val="0021093F"/>
    <w:rsid w:val="00212181"/>
    <w:rsid w:val="00214E63"/>
    <w:rsid w:val="00223D54"/>
    <w:rsid w:val="002254ED"/>
    <w:rsid w:val="002300E3"/>
    <w:rsid w:val="0023084C"/>
    <w:rsid w:val="00234FD6"/>
    <w:rsid w:val="00240C34"/>
    <w:rsid w:val="00245C13"/>
    <w:rsid w:val="002515CC"/>
    <w:rsid w:val="00253108"/>
    <w:rsid w:val="00253BA6"/>
    <w:rsid w:val="0025400E"/>
    <w:rsid w:val="00255F27"/>
    <w:rsid w:val="00257059"/>
    <w:rsid w:val="00260702"/>
    <w:rsid w:val="002614BE"/>
    <w:rsid w:val="0026156F"/>
    <w:rsid w:val="00261EB0"/>
    <w:rsid w:val="00266C63"/>
    <w:rsid w:val="00271DA0"/>
    <w:rsid w:val="002723F8"/>
    <w:rsid w:val="002737AA"/>
    <w:rsid w:val="00273F8C"/>
    <w:rsid w:val="0028216B"/>
    <w:rsid w:val="00282BB0"/>
    <w:rsid w:val="00284274"/>
    <w:rsid w:val="00284AE8"/>
    <w:rsid w:val="00284FC9"/>
    <w:rsid w:val="002871E4"/>
    <w:rsid w:val="00296C6F"/>
    <w:rsid w:val="002A0C8E"/>
    <w:rsid w:val="002A2954"/>
    <w:rsid w:val="002A2AAB"/>
    <w:rsid w:val="002A43B3"/>
    <w:rsid w:val="002A56CA"/>
    <w:rsid w:val="002B00CA"/>
    <w:rsid w:val="002B1150"/>
    <w:rsid w:val="002B3E04"/>
    <w:rsid w:val="002B3F8D"/>
    <w:rsid w:val="002B559C"/>
    <w:rsid w:val="002B7186"/>
    <w:rsid w:val="002C4986"/>
    <w:rsid w:val="002C69AD"/>
    <w:rsid w:val="002C6D9B"/>
    <w:rsid w:val="002C7D1A"/>
    <w:rsid w:val="002D1CE7"/>
    <w:rsid w:val="002E0CA4"/>
    <w:rsid w:val="002E10E4"/>
    <w:rsid w:val="002E125B"/>
    <w:rsid w:val="002E1525"/>
    <w:rsid w:val="002E2BAC"/>
    <w:rsid w:val="002E58C3"/>
    <w:rsid w:val="002E690F"/>
    <w:rsid w:val="002E726E"/>
    <w:rsid w:val="002F11E9"/>
    <w:rsid w:val="002F6C28"/>
    <w:rsid w:val="002F6EA2"/>
    <w:rsid w:val="00301268"/>
    <w:rsid w:val="003063AE"/>
    <w:rsid w:val="00310608"/>
    <w:rsid w:val="00310DFB"/>
    <w:rsid w:val="003168C1"/>
    <w:rsid w:val="00316B86"/>
    <w:rsid w:val="0032068A"/>
    <w:rsid w:val="00321A02"/>
    <w:rsid w:val="003233A0"/>
    <w:rsid w:val="00323F22"/>
    <w:rsid w:val="00327395"/>
    <w:rsid w:val="003277A9"/>
    <w:rsid w:val="003307F5"/>
    <w:rsid w:val="00335DC6"/>
    <w:rsid w:val="003360DB"/>
    <w:rsid w:val="003378E3"/>
    <w:rsid w:val="00337EB6"/>
    <w:rsid w:val="0034000A"/>
    <w:rsid w:val="00345FBE"/>
    <w:rsid w:val="003476A9"/>
    <w:rsid w:val="00355EE7"/>
    <w:rsid w:val="00356088"/>
    <w:rsid w:val="003561F9"/>
    <w:rsid w:val="00356FD7"/>
    <w:rsid w:val="0036151C"/>
    <w:rsid w:val="00362E79"/>
    <w:rsid w:val="00364372"/>
    <w:rsid w:val="00364C7A"/>
    <w:rsid w:val="0036722F"/>
    <w:rsid w:val="003710F9"/>
    <w:rsid w:val="00372171"/>
    <w:rsid w:val="003724E8"/>
    <w:rsid w:val="00376EFE"/>
    <w:rsid w:val="0038048A"/>
    <w:rsid w:val="003852A8"/>
    <w:rsid w:val="0038535A"/>
    <w:rsid w:val="00386C32"/>
    <w:rsid w:val="00387976"/>
    <w:rsid w:val="00390FF7"/>
    <w:rsid w:val="00391B40"/>
    <w:rsid w:val="00393855"/>
    <w:rsid w:val="003A7A59"/>
    <w:rsid w:val="003B22B6"/>
    <w:rsid w:val="003B2F10"/>
    <w:rsid w:val="003B43FF"/>
    <w:rsid w:val="003B585F"/>
    <w:rsid w:val="003B5FC2"/>
    <w:rsid w:val="003B765F"/>
    <w:rsid w:val="003C05AE"/>
    <w:rsid w:val="003C15B5"/>
    <w:rsid w:val="003C6C2F"/>
    <w:rsid w:val="003C6F10"/>
    <w:rsid w:val="003D1396"/>
    <w:rsid w:val="003D1C96"/>
    <w:rsid w:val="003D3D52"/>
    <w:rsid w:val="003D6065"/>
    <w:rsid w:val="003E182A"/>
    <w:rsid w:val="003E307A"/>
    <w:rsid w:val="003E38F9"/>
    <w:rsid w:val="003E512B"/>
    <w:rsid w:val="003E64DB"/>
    <w:rsid w:val="003E715F"/>
    <w:rsid w:val="003E72B8"/>
    <w:rsid w:val="003F0F62"/>
    <w:rsid w:val="003F179C"/>
    <w:rsid w:val="003F3CFC"/>
    <w:rsid w:val="003F6E36"/>
    <w:rsid w:val="003F7568"/>
    <w:rsid w:val="0040104C"/>
    <w:rsid w:val="00405F7D"/>
    <w:rsid w:val="004076F5"/>
    <w:rsid w:val="00410D6A"/>
    <w:rsid w:val="0041468D"/>
    <w:rsid w:val="00424767"/>
    <w:rsid w:val="004248BC"/>
    <w:rsid w:val="00424A67"/>
    <w:rsid w:val="00424B57"/>
    <w:rsid w:val="004271BD"/>
    <w:rsid w:val="00427C4C"/>
    <w:rsid w:val="00434C38"/>
    <w:rsid w:val="00434D30"/>
    <w:rsid w:val="0043590B"/>
    <w:rsid w:val="00435C22"/>
    <w:rsid w:val="00440AF9"/>
    <w:rsid w:val="00441498"/>
    <w:rsid w:val="00441D38"/>
    <w:rsid w:val="004428ED"/>
    <w:rsid w:val="0044310C"/>
    <w:rsid w:val="00444523"/>
    <w:rsid w:val="00450B15"/>
    <w:rsid w:val="00456345"/>
    <w:rsid w:val="00457016"/>
    <w:rsid w:val="004628B3"/>
    <w:rsid w:val="00462FEC"/>
    <w:rsid w:val="00466A49"/>
    <w:rsid w:val="00466A5A"/>
    <w:rsid w:val="00467347"/>
    <w:rsid w:val="004701EE"/>
    <w:rsid w:val="00472510"/>
    <w:rsid w:val="00472FBE"/>
    <w:rsid w:val="00480A8D"/>
    <w:rsid w:val="00480B48"/>
    <w:rsid w:val="00484924"/>
    <w:rsid w:val="00487DC7"/>
    <w:rsid w:val="0049444E"/>
    <w:rsid w:val="00494FEC"/>
    <w:rsid w:val="00496529"/>
    <w:rsid w:val="00496F5C"/>
    <w:rsid w:val="004A0D06"/>
    <w:rsid w:val="004A2A2D"/>
    <w:rsid w:val="004A467E"/>
    <w:rsid w:val="004B0724"/>
    <w:rsid w:val="004B08F9"/>
    <w:rsid w:val="004B691A"/>
    <w:rsid w:val="004B7FCA"/>
    <w:rsid w:val="004C0F82"/>
    <w:rsid w:val="004C25EF"/>
    <w:rsid w:val="004C3054"/>
    <w:rsid w:val="004C397B"/>
    <w:rsid w:val="004C479D"/>
    <w:rsid w:val="004C70E5"/>
    <w:rsid w:val="004D2659"/>
    <w:rsid w:val="004D7FF9"/>
    <w:rsid w:val="004E5A26"/>
    <w:rsid w:val="004E65C1"/>
    <w:rsid w:val="004E786E"/>
    <w:rsid w:val="004E7E82"/>
    <w:rsid w:val="004E7F17"/>
    <w:rsid w:val="004F05F1"/>
    <w:rsid w:val="004F0E71"/>
    <w:rsid w:val="004F1DC8"/>
    <w:rsid w:val="004F2D42"/>
    <w:rsid w:val="004F3CCA"/>
    <w:rsid w:val="004F4CFC"/>
    <w:rsid w:val="004F6FFF"/>
    <w:rsid w:val="00505EF5"/>
    <w:rsid w:val="00506457"/>
    <w:rsid w:val="00507E13"/>
    <w:rsid w:val="00510A1C"/>
    <w:rsid w:val="0051202D"/>
    <w:rsid w:val="00513DD1"/>
    <w:rsid w:val="005201D7"/>
    <w:rsid w:val="00521C85"/>
    <w:rsid w:val="0052206A"/>
    <w:rsid w:val="00522766"/>
    <w:rsid w:val="00524331"/>
    <w:rsid w:val="0052651B"/>
    <w:rsid w:val="00526744"/>
    <w:rsid w:val="00531B2F"/>
    <w:rsid w:val="00531DDC"/>
    <w:rsid w:val="005343F7"/>
    <w:rsid w:val="0053693B"/>
    <w:rsid w:val="00537202"/>
    <w:rsid w:val="00537248"/>
    <w:rsid w:val="005403B9"/>
    <w:rsid w:val="0054121F"/>
    <w:rsid w:val="0054263D"/>
    <w:rsid w:val="00544523"/>
    <w:rsid w:val="005463FE"/>
    <w:rsid w:val="0054701D"/>
    <w:rsid w:val="005535FC"/>
    <w:rsid w:val="005535FD"/>
    <w:rsid w:val="00557459"/>
    <w:rsid w:val="00561A10"/>
    <w:rsid w:val="00564051"/>
    <w:rsid w:val="00564507"/>
    <w:rsid w:val="00566267"/>
    <w:rsid w:val="005667CC"/>
    <w:rsid w:val="00567939"/>
    <w:rsid w:val="00570EE8"/>
    <w:rsid w:val="00573D26"/>
    <w:rsid w:val="0057599D"/>
    <w:rsid w:val="00576A35"/>
    <w:rsid w:val="005777F3"/>
    <w:rsid w:val="0058097A"/>
    <w:rsid w:val="00581A9D"/>
    <w:rsid w:val="00590C5A"/>
    <w:rsid w:val="00596060"/>
    <w:rsid w:val="00596F29"/>
    <w:rsid w:val="005A018D"/>
    <w:rsid w:val="005A1223"/>
    <w:rsid w:val="005A206E"/>
    <w:rsid w:val="005A21E3"/>
    <w:rsid w:val="005A45F4"/>
    <w:rsid w:val="005C0076"/>
    <w:rsid w:val="005C1A26"/>
    <w:rsid w:val="005C5C8A"/>
    <w:rsid w:val="005C5F79"/>
    <w:rsid w:val="005D1CD2"/>
    <w:rsid w:val="005D2C44"/>
    <w:rsid w:val="005D3689"/>
    <w:rsid w:val="005D3ACB"/>
    <w:rsid w:val="005D4504"/>
    <w:rsid w:val="005D54D4"/>
    <w:rsid w:val="005D5DCA"/>
    <w:rsid w:val="005D7993"/>
    <w:rsid w:val="005E0496"/>
    <w:rsid w:val="005E1876"/>
    <w:rsid w:val="005E2605"/>
    <w:rsid w:val="005E3515"/>
    <w:rsid w:val="005E4FD3"/>
    <w:rsid w:val="005F10FC"/>
    <w:rsid w:val="005F3ADA"/>
    <w:rsid w:val="005F42BE"/>
    <w:rsid w:val="005F4ADC"/>
    <w:rsid w:val="00601470"/>
    <w:rsid w:val="00601665"/>
    <w:rsid w:val="00603CE5"/>
    <w:rsid w:val="00603EB6"/>
    <w:rsid w:val="00605FDB"/>
    <w:rsid w:val="00610E38"/>
    <w:rsid w:val="00614250"/>
    <w:rsid w:val="00615DE5"/>
    <w:rsid w:val="00616A4D"/>
    <w:rsid w:val="00620A97"/>
    <w:rsid w:val="00620E19"/>
    <w:rsid w:val="00622CCB"/>
    <w:rsid w:val="00631A41"/>
    <w:rsid w:val="00640D3A"/>
    <w:rsid w:val="00641A3E"/>
    <w:rsid w:val="00641BDA"/>
    <w:rsid w:val="006426D6"/>
    <w:rsid w:val="00644186"/>
    <w:rsid w:val="00644284"/>
    <w:rsid w:val="00644D7F"/>
    <w:rsid w:val="0065094E"/>
    <w:rsid w:val="00651C03"/>
    <w:rsid w:val="00653C00"/>
    <w:rsid w:val="00654050"/>
    <w:rsid w:val="006545B5"/>
    <w:rsid w:val="00657C3F"/>
    <w:rsid w:val="00657ED6"/>
    <w:rsid w:val="00660442"/>
    <w:rsid w:val="00661B42"/>
    <w:rsid w:val="0066252D"/>
    <w:rsid w:val="00663EAA"/>
    <w:rsid w:val="00664A7A"/>
    <w:rsid w:val="00665DFA"/>
    <w:rsid w:val="006670E1"/>
    <w:rsid w:val="00670AA4"/>
    <w:rsid w:val="0067256A"/>
    <w:rsid w:val="006769C8"/>
    <w:rsid w:val="00677C82"/>
    <w:rsid w:val="00682ACC"/>
    <w:rsid w:val="00682C4B"/>
    <w:rsid w:val="006836A6"/>
    <w:rsid w:val="00684ED3"/>
    <w:rsid w:val="0068529E"/>
    <w:rsid w:val="00690F94"/>
    <w:rsid w:val="0069196B"/>
    <w:rsid w:val="0069220C"/>
    <w:rsid w:val="006949A4"/>
    <w:rsid w:val="00696042"/>
    <w:rsid w:val="00696068"/>
    <w:rsid w:val="00696EF5"/>
    <w:rsid w:val="006A124C"/>
    <w:rsid w:val="006A15D7"/>
    <w:rsid w:val="006A1D7A"/>
    <w:rsid w:val="006A21C0"/>
    <w:rsid w:val="006A2AD6"/>
    <w:rsid w:val="006A4C1E"/>
    <w:rsid w:val="006A53C9"/>
    <w:rsid w:val="006A6BE2"/>
    <w:rsid w:val="006A742F"/>
    <w:rsid w:val="006A7CB3"/>
    <w:rsid w:val="006B293D"/>
    <w:rsid w:val="006B4608"/>
    <w:rsid w:val="006B4991"/>
    <w:rsid w:val="006B4C0C"/>
    <w:rsid w:val="006B5825"/>
    <w:rsid w:val="006B639E"/>
    <w:rsid w:val="006B7612"/>
    <w:rsid w:val="006C0711"/>
    <w:rsid w:val="006D0CC2"/>
    <w:rsid w:val="006D1849"/>
    <w:rsid w:val="006D2F86"/>
    <w:rsid w:val="006D3A32"/>
    <w:rsid w:val="006D51ED"/>
    <w:rsid w:val="006D51F5"/>
    <w:rsid w:val="006D59EA"/>
    <w:rsid w:val="006D7AE0"/>
    <w:rsid w:val="006E3896"/>
    <w:rsid w:val="006E5614"/>
    <w:rsid w:val="006F24AD"/>
    <w:rsid w:val="006F26F8"/>
    <w:rsid w:val="006F2AE7"/>
    <w:rsid w:val="006F3207"/>
    <w:rsid w:val="006F4176"/>
    <w:rsid w:val="006F774C"/>
    <w:rsid w:val="006F7A69"/>
    <w:rsid w:val="00700DEC"/>
    <w:rsid w:val="0070133A"/>
    <w:rsid w:val="007021C3"/>
    <w:rsid w:val="00704055"/>
    <w:rsid w:val="007044F5"/>
    <w:rsid w:val="00704E7C"/>
    <w:rsid w:val="00706175"/>
    <w:rsid w:val="0070794D"/>
    <w:rsid w:val="007102CD"/>
    <w:rsid w:val="00711214"/>
    <w:rsid w:val="00711EEF"/>
    <w:rsid w:val="007138C3"/>
    <w:rsid w:val="00713FD0"/>
    <w:rsid w:val="0071422A"/>
    <w:rsid w:val="0071502A"/>
    <w:rsid w:val="007164F2"/>
    <w:rsid w:val="00716A24"/>
    <w:rsid w:val="007205A3"/>
    <w:rsid w:val="00721BE0"/>
    <w:rsid w:val="0072498C"/>
    <w:rsid w:val="00727735"/>
    <w:rsid w:val="00731128"/>
    <w:rsid w:val="00732FA2"/>
    <w:rsid w:val="0073403C"/>
    <w:rsid w:val="0073574E"/>
    <w:rsid w:val="0073624F"/>
    <w:rsid w:val="00740A9B"/>
    <w:rsid w:val="00741375"/>
    <w:rsid w:val="0074149D"/>
    <w:rsid w:val="007419B7"/>
    <w:rsid w:val="00746E7B"/>
    <w:rsid w:val="00751606"/>
    <w:rsid w:val="00755F2C"/>
    <w:rsid w:val="00760BC1"/>
    <w:rsid w:val="0076120E"/>
    <w:rsid w:val="007620C7"/>
    <w:rsid w:val="007635B0"/>
    <w:rsid w:val="00763E54"/>
    <w:rsid w:val="00763F19"/>
    <w:rsid w:val="00766207"/>
    <w:rsid w:val="00767369"/>
    <w:rsid w:val="00767E7D"/>
    <w:rsid w:val="00770747"/>
    <w:rsid w:val="007721C7"/>
    <w:rsid w:val="00774825"/>
    <w:rsid w:val="00775742"/>
    <w:rsid w:val="00782E76"/>
    <w:rsid w:val="0078345D"/>
    <w:rsid w:val="00783AA1"/>
    <w:rsid w:val="007875DF"/>
    <w:rsid w:val="00790721"/>
    <w:rsid w:val="00792630"/>
    <w:rsid w:val="007934F8"/>
    <w:rsid w:val="0079462B"/>
    <w:rsid w:val="007950CE"/>
    <w:rsid w:val="00796102"/>
    <w:rsid w:val="007A0227"/>
    <w:rsid w:val="007A7546"/>
    <w:rsid w:val="007B0B51"/>
    <w:rsid w:val="007B48AA"/>
    <w:rsid w:val="007B4B87"/>
    <w:rsid w:val="007B6685"/>
    <w:rsid w:val="007B7AAE"/>
    <w:rsid w:val="007B7F90"/>
    <w:rsid w:val="007C0889"/>
    <w:rsid w:val="007C0EF2"/>
    <w:rsid w:val="007C2EEE"/>
    <w:rsid w:val="007C68B9"/>
    <w:rsid w:val="007C77BC"/>
    <w:rsid w:val="007D1479"/>
    <w:rsid w:val="007D1D42"/>
    <w:rsid w:val="007D4F69"/>
    <w:rsid w:val="007D6EC6"/>
    <w:rsid w:val="007E345D"/>
    <w:rsid w:val="007E4C94"/>
    <w:rsid w:val="007E57E1"/>
    <w:rsid w:val="007E593D"/>
    <w:rsid w:val="007F1F13"/>
    <w:rsid w:val="007F2D6B"/>
    <w:rsid w:val="007F30C4"/>
    <w:rsid w:val="0080414D"/>
    <w:rsid w:val="0080559E"/>
    <w:rsid w:val="00805C65"/>
    <w:rsid w:val="00810228"/>
    <w:rsid w:val="0081125C"/>
    <w:rsid w:val="0081191A"/>
    <w:rsid w:val="00811CC1"/>
    <w:rsid w:val="0081362C"/>
    <w:rsid w:val="00813AD6"/>
    <w:rsid w:val="008153FE"/>
    <w:rsid w:val="008178DF"/>
    <w:rsid w:val="00821428"/>
    <w:rsid w:val="00824910"/>
    <w:rsid w:val="00824DDA"/>
    <w:rsid w:val="00827A59"/>
    <w:rsid w:val="008302B0"/>
    <w:rsid w:val="008312ED"/>
    <w:rsid w:val="008336F5"/>
    <w:rsid w:val="0084302A"/>
    <w:rsid w:val="00843A3A"/>
    <w:rsid w:val="00851D93"/>
    <w:rsid w:val="008527A7"/>
    <w:rsid w:val="008543B9"/>
    <w:rsid w:val="00854444"/>
    <w:rsid w:val="00854A7A"/>
    <w:rsid w:val="00866DE3"/>
    <w:rsid w:val="0087203D"/>
    <w:rsid w:val="00874541"/>
    <w:rsid w:val="008752F4"/>
    <w:rsid w:val="00875530"/>
    <w:rsid w:val="00877625"/>
    <w:rsid w:val="008814A5"/>
    <w:rsid w:val="00882DEB"/>
    <w:rsid w:val="008832C0"/>
    <w:rsid w:val="00893806"/>
    <w:rsid w:val="0089494A"/>
    <w:rsid w:val="008966B4"/>
    <w:rsid w:val="008A0DB8"/>
    <w:rsid w:val="008A308F"/>
    <w:rsid w:val="008A3E5C"/>
    <w:rsid w:val="008A6588"/>
    <w:rsid w:val="008B2EEF"/>
    <w:rsid w:val="008B311B"/>
    <w:rsid w:val="008B3369"/>
    <w:rsid w:val="008B385A"/>
    <w:rsid w:val="008B4ABE"/>
    <w:rsid w:val="008C0B6C"/>
    <w:rsid w:val="008C3D60"/>
    <w:rsid w:val="008C7DB3"/>
    <w:rsid w:val="008D2110"/>
    <w:rsid w:val="008E0581"/>
    <w:rsid w:val="008E08FD"/>
    <w:rsid w:val="008E1080"/>
    <w:rsid w:val="008E2E49"/>
    <w:rsid w:val="008E3D93"/>
    <w:rsid w:val="008E3FD9"/>
    <w:rsid w:val="008E6C2F"/>
    <w:rsid w:val="008E7037"/>
    <w:rsid w:val="008F1ACD"/>
    <w:rsid w:val="008F3998"/>
    <w:rsid w:val="008F5906"/>
    <w:rsid w:val="008F6C8C"/>
    <w:rsid w:val="00900F08"/>
    <w:rsid w:val="00902972"/>
    <w:rsid w:val="009069A7"/>
    <w:rsid w:val="00911912"/>
    <w:rsid w:val="00911B80"/>
    <w:rsid w:val="00917770"/>
    <w:rsid w:val="00921F52"/>
    <w:rsid w:val="00922A91"/>
    <w:rsid w:val="00922FE7"/>
    <w:rsid w:val="00923477"/>
    <w:rsid w:val="0092568F"/>
    <w:rsid w:val="00932812"/>
    <w:rsid w:val="0093479B"/>
    <w:rsid w:val="00935461"/>
    <w:rsid w:val="00935466"/>
    <w:rsid w:val="00943611"/>
    <w:rsid w:val="00944C28"/>
    <w:rsid w:val="00945296"/>
    <w:rsid w:val="009459E3"/>
    <w:rsid w:val="0095005A"/>
    <w:rsid w:val="0095016F"/>
    <w:rsid w:val="00950AB5"/>
    <w:rsid w:val="0095410D"/>
    <w:rsid w:val="00954542"/>
    <w:rsid w:val="0095508E"/>
    <w:rsid w:val="00957261"/>
    <w:rsid w:val="00957690"/>
    <w:rsid w:val="00957E7C"/>
    <w:rsid w:val="00964620"/>
    <w:rsid w:val="009720C4"/>
    <w:rsid w:val="0097519D"/>
    <w:rsid w:val="00975B78"/>
    <w:rsid w:val="0098028E"/>
    <w:rsid w:val="0098091C"/>
    <w:rsid w:val="0098267A"/>
    <w:rsid w:val="00983F2A"/>
    <w:rsid w:val="00986FAF"/>
    <w:rsid w:val="0098780F"/>
    <w:rsid w:val="00991CD3"/>
    <w:rsid w:val="00995DDC"/>
    <w:rsid w:val="00996872"/>
    <w:rsid w:val="00997936"/>
    <w:rsid w:val="009A0CB6"/>
    <w:rsid w:val="009A1812"/>
    <w:rsid w:val="009A265B"/>
    <w:rsid w:val="009B365D"/>
    <w:rsid w:val="009B3903"/>
    <w:rsid w:val="009B54CA"/>
    <w:rsid w:val="009B62DC"/>
    <w:rsid w:val="009C0631"/>
    <w:rsid w:val="009C08D7"/>
    <w:rsid w:val="009C0F7A"/>
    <w:rsid w:val="009C1114"/>
    <w:rsid w:val="009C167C"/>
    <w:rsid w:val="009C3D90"/>
    <w:rsid w:val="009C4F65"/>
    <w:rsid w:val="009C5653"/>
    <w:rsid w:val="009D0E91"/>
    <w:rsid w:val="009D1EC0"/>
    <w:rsid w:val="009D3751"/>
    <w:rsid w:val="009D4609"/>
    <w:rsid w:val="009E2391"/>
    <w:rsid w:val="009E2C19"/>
    <w:rsid w:val="009E3B5E"/>
    <w:rsid w:val="009E4A0B"/>
    <w:rsid w:val="009E4C83"/>
    <w:rsid w:val="009E7D41"/>
    <w:rsid w:val="009F19F9"/>
    <w:rsid w:val="009F3913"/>
    <w:rsid w:val="009F5534"/>
    <w:rsid w:val="009F5DD2"/>
    <w:rsid w:val="009F617A"/>
    <w:rsid w:val="009F6CD7"/>
    <w:rsid w:val="00A02312"/>
    <w:rsid w:val="00A02CC0"/>
    <w:rsid w:val="00A06BFE"/>
    <w:rsid w:val="00A0747F"/>
    <w:rsid w:val="00A10A7B"/>
    <w:rsid w:val="00A118BB"/>
    <w:rsid w:val="00A2356A"/>
    <w:rsid w:val="00A25962"/>
    <w:rsid w:val="00A26B8E"/>
    <w:rsid w:val="00A270A9"/>
    <w:rsid w:val="00A32577"/>
    <w:rsid w:val="00A33BE7"/>
    <w:rsid w:val="00A35848"/>
    <w:rsid w:val="00A358E2"/>
    <w:rsid w:val="00A42AD7"/>
    <w:rsid w:val="00A44010"/>
    <w:rsid w:val="00A476B8"/>
    <w:rsid w:val="00A52832"/>
    <w:rsid w:val="00A52CFB"/>
    <w:rsid w:val="00A540FD"/>
    <w:rsid w:val="00A54FA0"/>
    <w:rsid w:val="00A575DB"/>
    <w:rsid w:val="00A6285B"/>
    <w:rsid w:val="00A639B1"/>
    <w:rsid w:val="00A644D5"/>
    <w:rsid w:val="00A64B94"/>
    <w:rsid w:val="00A65174"/>
    <w:rsid w:val="00A6533F"/>
    <w:rsid w:val="00A65C34"/>
    <w:rsid w:val="00A65EBE"/>
    <w:rsid w:val="00A6724C"/>
    <w:rsid w:val="00A67D23"/>
    <w:rsid w:val="00A70AE6"/>
    <w:rsid w:val="00A71C04"/>
    <w:rsid w:val="00A87D2A"/>
    <w:rsid w:val="00A9084E"/>
    <w:rsid w:val="00A92D83"/>
    <w:rsid w:val="00A93FAA"/>
    <w:rsid w:val="00A96B21"/>
    <w:rsid w:val="00AA038C"/>
    <w:rsid w:val="00AA3095"/>
    <w:rsid w:val="00AA30D5"/>
    <w:rsid w:val="00AA62A0"/>
    <w:rsid w:val="00AA6A21"/>
    <w:rsid w:val="00AB357B"/>
    <w:rsid w:val="00AB4A42"/>
    <w:rsid w:val="00AB797F"/>
    <w:rsid w:val="00AC0F34"/>
    <w:rsid w:val="00AC18CD"/>
    <w:rsid w:val="00AC4541"/>
    <w:rsid w:val="00AD0BAC"/>
    <w:rsid w:val="00AD3A55"/>
    <w:rsid w:val="00AE023E"/>
    <w:rsid w:val="00AE1A95"/>
    <w:rsid w:val="00AE5BC3"/>
    <w:rsid w:val="00AF0428"/>
    <w:rsid w:val="00AF1893"/>
    <w:rsid w:val="00AF4A6C"/>
    <w:rsid w:val="00AF4C8E"/>
    <w:rsid w:val="00B039A9"/>
    <w:rsid w:val="00B065FF"/>
    <w:rsid w:val="00B1016A"/>
    <w:rsid w:val="00B21AE8"/>
    <w:rsid w:val="00B21E96"/>
    <w:rsid w:val="00B22932"/>
    <w:rsid w:val="00B24AEF"/>
    <w:rsid w:val="00B25672"/>
    <w:rsid w:val="00B3093F"/>
    <w:rsid w:val="00B311CB"/>
    <w:rsid w:val="00B3140D"/>
    <w:rsid w:val="00B31E6C"/>
    <w:rsid w:val="00B3358F"/>
    <w:rsid w:val="00B33CA4"/>
    <w:rsid w:val="00B35BCF"/>
    <w:rsid w:val="00B36EA9"/>
    <w:rsid w:val="00B41651"/>
    <w:rsid w:val="00B4431E"/>
    <w:rsid w:val="00B46D79"/>
    <w:rsid w:val="00B470A8"/>
    <w:rsid w:val="00B47233"/>
    <w:rsid w:val="00B50296"/>
    <w:rsid w:val="00B50801"/>
    <w:rsid w:val="00B51369"/>
    <w:rsid w:val="00B52046"/>
    <w:rsid w:val="00B54FBE"/>
    <w:rsid w:val="00B57801"/>
    <w:rsid w:val="00B60599"/>
    <w:rsid w:val="00B61ED3"/>
    <w:rsid w:val="00B6232B"/>
    <w:rsid w:val="00B66280"/>
    <w:rsid w:val="00B67BBA"/>
    <w:rsid w:val="00B70924"/>
    <w:rsid w:val="00B724BA"/>
    <w:rsid w:val="00B72E3A"/>
    <w:rsid w:val="00B76F03"/>
    <w:rsid w:val="00B80527"/>
    <w:rsid w:val="00B81E17"/>
    <w:rsid w:val="00B86725"/>
    <w:rsid w:val="00B90511"/>
    <w:rsid w:val="00B91EDE"/>
    <w:rsid w:val="00B92761"/>
    <w:rsid w:val="00B93A5E"/>
    <w:rsid w:val="00B94BA0"/>
    <w:rsid w:val="00BA06BE"/>
    <w:rsid w:val="00BA5519"/>
    <w:rsid w:val="00BA76E3"/>
    <w:rsid w:val="00BB25AD"/>
    <w:rsid w:val="00BB5092"/>
    <w:rsid w:val="00BB5569"/>
    <w:rsid w:val="00BC1AF7"/>
    <w:rsid w:val="00BC205D"/>
    <w:rsid w:val="00BC79B0"/>
    <w:rsid w:val="00BD3475"/>
    <w:rsid w:val="00BD4C3E"/>
    <w:rsid w:val="00BD5B45"/>
    <w:rsid w:val="00BE0254"/>
    <w:rsid w:val="00BE3091"/>
    <w:rsid w:val="00BE32AA"/>
    <w:rsid w:val="00BE5174"/>
    <w:rsid w:val="00BE5BE3"/>
    <w:rsid w:val="00BE642A"/>
    <w:rsid w:val="00BE75CD"/>
    <w:rsid w:val="00BE7800"/>
    <w:rsid w:val="00BF0772"/>
    <w:rsid w:val="00BF46B0"/>
    <w:rsid w:val="00BF4731"/>
    <w:rsid w:val="00BF50D0"/>
    <w:rsid w:val="00C02BA8"/>
    <w:rsid w:val="00C02EA4"/>
    <w:rsid w:val="00C0588D"/>
    <w:rsid w:val="00C119A0"/>
    <w:rsid w:val="00C12178"/>
    <w:rsid w:val="00C12D0A"/>
    <w:rsid w:val="00C13D83"/>
    <w:rsid w:val="00C141BD"/>
    <w:rsid w:val="00C225C5"/>
    <w:rsid w:val="00C22D8E"/>
    <w:rsid w:val="00C2354A"/>
    <w:rsid w:val="00C23D41"/>
    <w:rsid w:val="00C24946"/>
    <w:rsid w:val="00C27CBE"/>
    <w:rsid w:val="00C332BC"/>
    <w:rsid w:val="00C33DF4"/>
    <w:rsid w:val="00C35DC7"/>
    <w:rsid w:val="00C402F0"/>
    <w:rsid w:val="00C42EC3"/>
    <w:rsid w:val="00C4300F"/>
    <w:rsid w:val="00C43E40"/>
    <w:rsid w:val="00C4462B"/>
    <w:rsid w:val="00C44775"/>
    <w:rsid w:val="00C457CA"/>
    <w:rsid w:val="00C5185A"/>
    <w:rsid w:val="00C53B46"/>
    <w:rsid w:val="00C56768"/>
    <w:rsid w:val="00C57F03"/>
    <w:rsid w:val="00C60A2F"/>
    <w:rsid w:val="00C61E65"/>
    <w:rsid w:val="00C62BC2"/>
    <w:rsid w:val="00C65DC0"/>
    <w:rsid w:val="00C66A69"/>
    <w:rsid w:val="00C70F1F"/>
    <w:rsid w:val="00C7418E"/>
    <w:rsid w:val="00C817EA"/>
    <w:rsid w:val="00C8475E"/>
    <w:rsid w:val="00C931B2"/>
    <w:rsid w:val="00C931E4"/>
    <w:rsid w:val="00C94C56"/>
    <w:rsid w:val="00CA026D"/>
    <w:rsid w:val="00CA04F8"/>
    <w:rsid w:val="00CA08F7"/>
    <w:rsid w:val="00CA3273"/>
    <w:rsid w:val="00CA52C7"/>
    <w:rsid w:val="00CA5E99"/>
    <w:rsid w:val="00CA62A0"/>
    <w:rsid w:val="00CA76B0"/>
    <w:rsid w:val="00CB2187"/>
    <w:rsid w:val="00CB5152"/>
    <w:rsid w:val="00CC20BE"/>
    <w:rsid w:val="00CC34C1"/>
    <w:rsid w:val="00CC4D37"/>
    <w:rsid w:val="00CC50B8"/>
    <w:rsid w:val="00CC585B"/>
    <w:rsid w:val="00CC71D6"/>
    <w:rsid w:val="00CC7514"/>
    <w:rsid w:val="00CD10AF"/>
    <w:rsid w:val="00CD16B3"/>
    <w:rsid w:val="00CD18C6"/>
    <w:rsid w:val="00CD31B0"/>
    <w:rsid w:val="00CD66B6"/>
    <w:rsid w:val="00CD6A07"/>
    <w:rsid w:val="00CD770D"/>
    <w:rsid w:val="00CD7A90"/>
    <w:rsid w:val="00CE0220"/>
    <w:rsid w:val="00CE0727"/>
    <w:rsid w:val="00CF2810"/>
    <w:rsid w:val="00CF3550"/>
    <w:rsid w:val="00CF3E13"/>
    <w:rsid w:val="00CF70AB"/>
    <w:rsid w:val="00D05024"/>
    <w:rsid w:val="00D11591"/>
    <w:rsid w:val="00D15F1F"/>
    <w:rsid w:val="00D160B5"/>
    <w:rsid w:val="00D1670F"/>
    <w:rsid w:val="00D20BD0"/>
    <w:rsid w:val="00D2281A"/>
    <w:rsid w:val="00D2651C"/>
    <w:rsid w:val="00D300AF"/>
    <w:rsid w:val="00D3059B"/>
    <w:rsid w:val="00D3083F"/>
    <w:rsid w:val="00D31ED8"/>
    <w:rsid w:val="00D322A4"/>
    <w:rsid w:val="00D405BF"/>
    <w:rsid w:val="00D4140A"/>
    <w:rsid w:val="00D458B1"/>
    <w:rsid w:val="00D45CD2"/>
    <w:rsid w:val="00D4778A"/>
    <w:rsid w:val="00D50695"/>
    <w:rsid w:val="00D5201A"/>
    <w:rsid w:val="00D5207C"/>
    <w:rsid w:val="00D54863"/>
    <w:rsid w:val="00D57731"/>
    <w:rsid w:val="00D57F85"/>
    <w:rsid w:val="00D60046"/>
    <w:rsid w:val="00D60BF6"/>
    <w:rsid w:val="00D619CC"/>
    <w:rsid w:val="00D61EC4"/>
    <w:rsid w:val="00D63B94"/>
    <w:rsid w:val="00D65151"/>
    <w:rsid w:val="00D6640A"/>
    <w:rsid w:val="00D70CF0"/>
    <w:rsid w:val="00D71230"/>
    <w:rsid w:val="00D71FFB"/>
    <w:rsid w:val="00D74474"/>
    <w:rsid w:val="00D81441"/>
    <w:rsid w:val="00D83F0B"/>
    <w:rsid w:val="00D84529"/>
    <w:rsid w:val="00D85690"/>
    <w:rsid w:val="00D910D1"/>
    <w:rsid w:val="00D91887"/>
    <w:rsid w:val="00D92BFD"/>
    <w:rsid w:val="00D931D8"/>
    <w:rsid w:val="00D94801"/>
    <w:rsid w:val="00D95D34"/>
    <w:rsid w:val="00DA0748"/>
    <w:rsid w:val="00DA1ABD"/>
    <w:rsid w:val="00DA2A94"/>
    <w:rsid w:val="00DA39AF"/>
    <w:rsid w:val="00DA5D96"/>
    <w:rsid w:val="00DB05A0"/>
    <w:rsid w:val="00DB1D59"/>
    <w:rsid w:val="00DB2CA9"/>
    <w:rsid w:val="00DB2E18"/>
    <w:rsid w:val="00DB3F4D"/>
    <w:rsid w:val="00DB69E3"/>
    <w:rsid w:val="00DC024F"/>
    <w:rsid w:val="00DC1781"/>
    <w:rsid w:val="00DC2C62"/>
    <w:rsid w:val="00DC5330"/>
    <w:rsid w:val="00DC6E17"/>
    <w:rsid w:val="00DC6EEF"/>
    <w:rsid w:val="00DD1F32"/>
    <w:rsid w:val="00DD2A42"/>
    <w:rsid w:val="00DD37B8"/>
    <w:rsid w:val="00DD7BDE"/>
    <w:rsid w:val="00DE3671"/>
    <w:rsid w:val="00DE4B36"/>
    <w:rsid w:val="00DE585C"/>
    <w:rsid w:val="00DF0E15"/>
    <w:rsid w:val="00DF263E"/>
    <w:rsid w:val="00DF3D27"/>
    <w:rsid w:val="00E02311"/>
    <w:rsid w:val="00E0494B"/>
    <w:rsid w:val="00E065C3"/>
    <w:rsid w:val="00E07296"/>
    <w:rsid w:val="00E10246"/>
    <w:rsid w:val="00E11649"/>
    <w:rsid w:val="00E124D9"/>
    <w:rsid w:val="00E13CB0"/>
    <w:rsid w:val="00E1456D"/>
    <w:rsid w:val="00E153BB"/>
    <w:rsid w:val="00E1597C"/>
    <w:rsid w:val="00E22633"/>
    <w:rsid w:val="00E25980"/>
    <w:rsid w:val="00E30AF9"/>
    <w:rsid w:val="00E312D9"/>
    <w:rsid w:val="00E36280"/>
    <w:rsid w:val="00E37C60"/>
    <w:rsid w:val="00E43FF3"/>
    <w:rsid w:val="00E459F2"/>
    <w:rsid w:val="00E46067"/>
    <w:rsid w:val="00E5428A"/>
    <w:rsid w:val="00E57084"/>
    <w:rsid w:val="00E60E17"/>
    <w:rsid w:val="00E61213"/>
    <w:rsid w:val="00E613A1"/>
    <w:rsid w:val="00E62F08"/>
    <w:rsid w:val="00E6697B"/>
    <w:rsid w:val="00E67215"/>
    <w:rsid w:val="00E71731"/>
    <w:rsid w:val="00E737A7"/>
    <w:rsid w:val="00E81E16"/>
    <w:rsid w:val="00E83443"/>
    <w:rsid w:val="00E87B1F"/>
    <w:rsid w:val="00E922A7"/>
    <w:rsid w:val="00E9433D"/>
    <w:rsid w:val="00E943FE"/>
    <w:rsid w:val="00E96891"/>
    <w:rsid w:val="00EA16DD"/>
    <w:rsid w:val="00EA199D"/>
    <w:rsid w:val="00EA2683"/>
    <w:rsid w:val="00EA419B"/>
    <w:rsid w:val="00EA5F1F"/>
    <w:rsid w:val="00EA5FCE"/>
    <w:rsid w:val="00EA6437"/>
    <w:rsid w:val="00EA77FB"/>
    <w:rsid w:val="00EB0BAF"/>
    <w:rsid w:val="00EB0E55"/>
    <w:rsid w:val="00EB3BA7"/>
    <w:rsid w:val="00EB5952"/>
    <w:rsid w:val="00EB7BAF"/>
    <w:rsid w:val="00EC480F"/>
    <w:rsid w:val="00EC4E06"/>
    <w:rsid w:val="00EC6B77"/>
    <w:rsid w:val="00EC75C6"/>
    <w:rsid w:val="00ED1732"/>
    <w:rsid w:val="00ED3849"/>
    <w:rsid w:val="00ED3A69"/>
    <w:rsid w:val="00ED3FAC"/>
    <w:rsid w:val="00ED7F68"/>
    <w:rsid w:val="00EE0420"/>
    <w:rsid w:val="00EE21C9"/>
    <w:rsid w:val="00EE34F7"/>
    <w:rsid w:val="00EE5B30"/>
    <w:rsid w:val="00EE7E30"/>
    <w:rsid w:val="00EF4787"/>
    <w:rsid w:val="00F01B23"/>
    <w:rsid w:val="00F03B30"/>
    <w:rsid w:val="00F0487B"/>
    <w:rsid w:val="00F04FB6"/>
    <w:rsid w:val="00F0526F"/>
    <w:rsid w:val="00F057C8"/>
    <w:rsid w:val="00F109AD"/>
    <w:rsid w:val="00F1786D"/>
    <w:rsid w:val="00F212AF"/>
    <w:rsid w:val="00F22919"/>
    <w:rsid w:val="00F2507D"/>
    <w:rsid w:val="00F252DB"/>
    <w:rsid w:val="00F2541A"/>
    <w:rsid w:val="00F258FB"/>
    <w:rsid w:val="00F31689"/>
    <w:rsid w:val="00F3755D"/>
    <w:rsid w:val="00F43005"/>
    <w:rsid w:val="00F474C2"/>
    <w:rsid w:val="00F514E8"/>
    <w:rsid w:val="00F529F3"/>
    <w:rsid w:val="00F52E5C"/>
    <w:rsid w:val="00F532E5"/>
    <w:rsid w:val="00F53F9B"/>
    <w:rsid w:val="00F563FC"/>
    <w:rsid w:val="00F5768F"/>
    <w:rsid w:val="00F606D2"/>
    <w:rsid w:val="00F619EE"/>
    <w:rsid w:val="00F65EC3"/>
    <w:rsid w:val="00F7233B"/>
    <w:rsid w:val="00F72605"/>
    <w:rsid w:val="00F73A6C"/>
    <w:rsid w:val="00F75F90"/>
    <w:rsid w:val="00F8107B"/>
    <w:rsid w:val="00F814B2"/>
    <w:rsid w:val="00F81A31"/>
    <w:rsid w:val="00F81BDF"/>
    <w:rsid w:val="00F82020"/>
    <w:rsid w:val="00F901AC"/>
    <w:rsid w:val="00F93C45"/>
    <w:rsid w:val="00F95665"/>
    <w:rsid w:val="00FA13C2"/>
    <w:rsid w:val="00FA18C9"/>
    <w:rsid w:val="00FA1A0F"/>
    <w:rsid w:val="00FA4C9F"/>
    <w:rsid w:val="00FA6E75"/>
    <w:rsid w:val="00FB0158"/>
    <w:rsid w:val="00FB1714"/>
    <w:rsid w:val="00FB46B8"/>
    <w:rsid w:val="00FB5222"/>
    <w:rsid w:val="00FB5A99"/>
    <w:rsid w:val="00FC2A60"/>
    <w:rsid w:val="00FC76E2"/>
    <w:rsid w:val="00FD4FF7"/>
    <w:rsid w:val="00FD6F6A"/>
    <w:rsid w:val="00FE0138"/>
    <w:rsid w:val="00FE3653"/>
    <w:rsid w:val="00FE3747"/>
    <w:rsid w:val="00FE3AB8"/>
    <w:rsid w:val="00FE47AD"/>
    <w:rsid w:val="00FF1543"/>
    <w:rsid w:val="00FF5921"/>
    <w:rsid w:val="00FF70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32DE"/>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fr-FR"/>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fr-FR"/>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fr-FR"/>
      <w14:ligatures w14:val="none"/>
    </w:rPr>
  </w:style>
  <w:style w:type="paragraph" w:customStyle="1" w:styleId="Para1">
    <w:name w:val="Para 1"/>
    <w:basedOn w:val="Normal"/>
    <w:qFormat/>
    <w:rsid w:val="00496F5C"/>
    <w:pPr>
      <w:numPr>
        <w:numId w:val="2"/>
      </w:numPr>
      <w:tabs>
        <w:tab w:val="left" w:pos="1134"/>
      </w:tabs>
      <w:spacing w:before="120"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fr-FR"/>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fr-FR"/>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fr-FR"/>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fr-FR"/>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fr-FR"/>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fr-FR"/>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fr-FR"/>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fr-FR"/>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fr-FR"/>
      <w14:ligatures w14:val="none"/>
    </w:rPr>
  </w:style>
  <w:style w:type="paragraph" w:styleId="ListParagraph">
    <w:name w:val="List Paragraph"/>
    <w:basedOn w:val="Normal"/>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customStyle="1" w:styleId="UnresolvedMention1">
    <w:name w:val="Unresolved Mention1"/>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5/cop-15-dec-06-fr.pdf" TargetMode="External"/><Relationship Id="rId26" Type="http://schemas.openxmlformats.org/officeDocument/2006/relationships/hyperlink" Target="https://www.cbd.int/doc/decisions/np-mop-03/np-mop-03-dec-05-fr.pdf" TargetMode="External"/><Relationship Id="rId39" Type="http://schemas.openxmlformats.org/officeDocument/2006/relationships/hyperlink" Target="https://www.cbd.int/doc/decisions/cop-15/cop-15-dec-04-fr.pdf" TargetMode="External"/><Relationship Id="rId21" Type="http://schemas.openxmlformats.org/officeDocument/2006/relationships/hyperlink" Target="https://www.cbd.int/doc/decisions/cp-mop-10/cp-mop-10-dec-06-fr.pdf" TargetMode="External"/><Relationship Id="rId34" Type="http://schemas.openxmlformats.org/officeDocument/2006/relationships/hyperlink" Target="https://www.cbd.int/doc/decisions/cop-15/cop-15-dec-13-fr.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5/cop-15-dec-06-fr.pdf" TargetMode="External"/><Relationship Id="rId29" Type="http://schemas.openxmlformats.org/officeDocument/2006/relationships/hyperlink" Target="https://www.cbd.int/doc/decisions/cop-15/cop-15-dec-04-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16-fr.pdf" TargetMode="External"/><Relationship Id="rId32" Type="http://schemas.openxmlformats.org/officeDocument/2006/relationships/hyperlink" Target="https://www.cbd.int/doc/decisions/cop-15/cop-15-dec-08-fr.pdf" TargetMode="External"/><Relationship Id="rId37" Type="http://schemas.openxmlformats.org/officeDocument/2006/relationships/hyperlink" Target="https://www.cbd.int/doc/decisions/np-mop-03/np-mop-03-dec-01-fr.pdf" TargetMode="External"/><Relationship Id="rId40" Type="http://schemas.openxmlformats.org/officeDocument/2006/relationships/hyperlink" Target="https://www.cbd.int/doc/decisions/cop-15/cop-15-dec-33-fr.pdf"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oc/decisions/cop-13/cop-13-dec-25-fr.pdf" TargetMode="External"/><Relationship Id="rId23" Type="http://schemas.openxmlformats.org/officeDocument/2006/relationships/hyperlink" Target="https://www.cbd.int/doc/decisions/cop-15/cop-15-dec-08-fr.pdf" TargetMode="External"/><Relationship Id="rId28" Type="http://schemas.openxmlformats.org/officeDocument/2006/relationships/hyperlink" Target="https://www.cbd.int/doc/decisions/cop-15/cop-15-dec-14-fr.pdf" TargetMode="External"/><Relationship Id="rId36" Type="http://schemas.openxmlformats.org/officeDocument/2006/relationships/hyperlink" Target="https://www.cbd.int/doc/decisions/cop-15/cop-15-dec-18-fr.pdf" TargetMode="External"/><Relationship Id="rId10" Type="http://schemas.openxmlformats.org/officeDocument/2006/relationships/endnotes" Target="endnotes.xml"/><Relationship Id="rId19" Type="http://schemas.openxmlformats.org/officeDocument/2006/relationships/hyperlink" Target="https://www.cbd.int/doc/decisions/cop-15/cop-15-dec-07-fr.pdf" TargetMode="External"/><Relationship Id="rId31" Type="http://schemas.openxmlformats.org/officeDocument/2006/relationships/hyperlink" Target="https://www.cbd.int/doc/decisions/cop-15/cop-15-dec-06-fr.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fr.pdf" TargetMode="External"/><Relationship Id="rId22" Type="http://schemas.openxmlformats.org/officeDocument/2006/relationships/hyperlink" Target="https://www.cbd.int/doc/decisions/np-mop-04/np-mop-04-dec-08-fr.pdf" TargetMode="External"/><Relationship Id="rId27" Type="http://schemas.openxmlformats.org/officeDocument/2006/relationships/hyperlink" Target="https://www.cbd.int/doc/decisions/np-mop-04/np-mop-04-dec-07-fr.pdf" TargetMode="External"/><Relationship Id="rId30" Type="http://schemas.openxmlformats.org/officeDocument/2006/relationships/hyperlink" Target="https://www.cbd.int/doc/decisions/cop-15/cop-15-dec-05-fr.pdf" TargetMode="External"/><Relationship Id="rId35" Type="http://schemas.openxmlformats.org/officeDocument/2006/relationships/hyperlink" Target="https://www.cbd.int/doc/decisions/cop-14/cop-14-dec-33-fr.pdf"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5/cop-15-dec-05-fr.pdf" TargetMode="External"/><Relationship Id="rId25" Type="http://schemas.openxmlformats.org/officeDocument/2006/relationships/hyperlink" Target="https://www.cbd.int/doc/decisions/np-mop-01/np-mop-01-dec-08-fr.pdf" TargetMode="External"/><Relationship Id="rId33" Type="http://schemas.openxmlformats.org/officeDocument/2006/relationships/hyperlink" Target="https://www.cbd.int/doc/decisions/cop-15/cop-15-dec-13-fr.pdf" TargetMode="External"/><Relationship Id="rId38" Type="http://schemas.openxmlformats.org/officeDocument/2006/relationships/hyperlink" Target="https://www.cbd.int/doc/decisions/cop-15/cop-15-dec-17-fr.pdf" TargetMode="External"/><Relationship Id="rId46" Type="http://schemas.openxmlformats.org/officeDocument/2006/relationships/fontTable" Target="fontTable.xml"/><Relationship Id="rId20" Type="http://schemas.openxmlformats.org/officeDocument/2006/relationships/hyperlink" Target="https://www.cbd.int/doc/decisions/cop-15/cop-15-dec-15-fr.pdf" TargetMode="External"/><Relationship Id="rId41" Type="http://schemas.openxmlformats.org/officeDocument/2006/relationships/hyperlink" Target="https://www.cbd.int/doc/decisions/cop-15/cop-15-dec-34-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7FFE87-F465-4B85-9B69-772C3524E1BA}">
  <ds:schemaRefs>
    <ds:schemaRef ds:uri="http://schemas.openxmlformats.org/officeDocument/2006/bibliography"/>
  </ds:schemaRefs>
</ds:datastoreItem>
</file>

<file path=customXml/itemProps2.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template-general.dotm</Template>
  <TotalTime>1</TotalTime>
  <Pages>14</Pages>
  <Words>6577</Words>
  <Characters>36245</Characters>
  <Application>Microsoft Office Word</Application>
  <DocSecurity>0</DocSecurity>
  <Lines>724</Lines>
  <Paragraphs>293</Paragraphs>
  <ScaleCrop>false</ScaleCrop>
  <HeadingPairs>
    <vt:vector size="2" baseType="variant">
      <vt:variant>
        <vt:lpstr>Title</vt:lpstr>
      </vt:variant>
      <vt:variant>
        <vt:i4>1</vt:i4>
      </vt:variant>
    </vt:vector>
  </HeadingPairs>
  <TitlesOfParts>
    <vt:vector size="1" baseType="lpstr">
      <vt:lpstr>Ordre du jour provisoire annoté</vt:lpstr>
    </vt:vector>
  </TitlesOfParts>
  <Company/>
  <LinksUpToDate>false</LinksUpToDate>
  <CharactersWithSpaces>42529</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dc:title>
  <dc:subject>CBD/SBI/4/1/Add.1</dc:subject>
  <dc:creator>veronique.lefebvre</dc:creator>
  <cp:keywords/>
  <dc:description/>
  <cp:lastModifiedBy>Tatiana Zavarzina</cp:lastModifiedBy>
  <cp:revision>6</cp:revision>
  <cp:lastPrinted>2024-01-31T20:49:00Z</cp:lastPrinted>
  <dcterms:created xsi:type="dcterms:W3CDTF">2024-04-19T16:03:00Z</dcterms:created>
  <dcterms:modified xsi:type="dcterms:W3CDTF">2024-04-19T19:15:00Z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