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C9161D" w:rsidRPr="008A63FD" w14:paraId="295F2B75" w14:textId="77777777" w:rsidTr="00BB57B6">
        <w:trPr>
          <w:trHeight w:val="851"/>
        </w:trPr>
        <w:tc>
          <w:tcPr>
            <w:tcW w:w="800" w:type="dxa"/>
            <w:tcBorders>
              <w:bottom w:val="single" w:sz="12" w:space="0" w:color="auto"/>
            </w:tcBorders>
          </w:tcPr>
          <w:p w14:paraId="706FEDCD" w14:textId="77777777" w:rsidR="00C9161D" w:rsidRPr="00AF3F86" w:rsidRDefault="00C9161D" w:rsidP="00AF3F86">
            <w:pPr>
              <w:suppressLineNumbers/>
              <w:suppressAutoHyphens/>
              <w:rPr>
                <w:kern w:val="22"/>
              </w:rPr>
            </w:pPr>
            <w:r w:rsidRPr="00AF3F86">
              <w:rPr>
                <w:noProof/>
                <w:kern w:val="22"/>
              </w:rPr>
              <w:drawing>
                <wp:anchor distT="0" distB="0" distL="114300" distR="114300" simplePos="0" relativeHeight="251658241" behindDoc="0" locked="0" layoutInCell="1" allowOverlap="1" wp14:anchorId="3EF71964" wp14:editId="2895E759">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102B462" w14:textId="77777777" w:rsidR="00FA663B" w:rsidRPr="00AF3F86" w:rsidRDefault="00C737BD" w:rsidP="00AF3F86">
            <w:pPr>
              <w:suppressLineNumbers/>
              <w:suppressAutoHyphens/>
              <w:rPr>
                <w:kern w:val="22"/>
              </w:rPr>
            </w:pPr>
            <w:r w:rsidRPr="007775AD">
              <w:rPr>
                <w:noProof/>
              </w:rPr>
              <w:drawing>
                <wp:anchor distT="0" distB="0" distL="114300" distR="114300" simplePos="0" relativeHeight="251658240" behindDoc="0" locked="0" layoutInCell="1" allowOverlap="1" wp14:anchorId="19D908E4" wp14:editId="3636D836">
                  <wp:simplePos x="0" y="0"/>
                  <wp:positionH relativeFrom="column">
                    <wp:posOffset>-176140</wp:posOffset>
                  </wp:positionH>
                  <wp:positionV relativeFrom="page">
                    <wp:posOffset>-77943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2FCEBE16" w14:textId="77777777" w:rsidR="00C9161D" w:rsidRPr="00AF3F86" w:rsidRDefault="00C9161D" w:rsidP="00AF3F86">
            <w:pPr>
              <w:suppressLineNumbers/>
              <w:suppressAutoHyphens/>
              <w:jc w:val="right"/>
              <w:rPr>
                <w:rFonts w:ascii="Arial" w:hAnsi="Arial" w:cs="Arial"/>
                <w:b/>
                <w:kern w:val="22"/>
                <w:sz w:val="32"/>
                <w:szCs w:val="32"/>
              </w:rPr>
            </w:pPr>
            <w:r w:rsidRPr="00AF3F86">
              <w:rPr>
                <w:rFonts w:ascii="Arial" w:hAnsi="Arial" w:cs="Arial"/>
                <w:b/>
                <w:kern w:val="22"/>
                <w:sz w:val="32"/>
                <w:szCs w:val="32"/>
              </w:rPr>
              <w:t>CBD</w:t>
            </w:r>
          </w:p>
        </w:tc>
      </w:tr>
      <w:tr w:rsidR="00C9161D" w:rsidRPr="008A63FD" w14:paraId="375F8E8A" w14:textId="77777777" w:rsidTr="00BB57B6">
        <w:tc>
          <w:tcPr>
            <w:tcW w:w="5941" w:type="dxa"/>
            <w:gridSpan w:val="2"/>
            <w:tcBorders>
              <w:top w:val="single" w:sz="12" w:space="0" w:color="auto"/>
              <w:bottom w:val="single" w:sz="36" w:space="0" w:color="auto"/>
            </w:tcBorders>
            <w:vAlign w:val="center"/>
          </w:tcPr>
          <w:p w14:paraId="4312FCB3" w14:textId="77777777" w:rsidR="00C9161D" w:rsidRPr="00AF3F86" w:rsidRDefault="00C9161D" w:rsidP="00AF3F86">
            <w:pPr>
              <w:suppressLineNumbers/>
              <w:suppressAutoHyphens/>
              <w:rPr>
                <w:kern w:val="22"/>
              </w:rPr>
            </w:pPr>
            <w:r w:rsidRPr="00AF3F86">
              <w:rPr>
                <w:noProof/>
                <w:kern w:val="22"/>
              </w:rPr>
              <w:drawing>
                <wp:inline distT="0" distB="0" distL="0" distR="0" wp14:anchorId="71117119" wp14:editId="452CB1F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A7526A9" w14:textId="77777777" w:rsidR="00C9161D" w:rsidRPr="00AF3F86" w:rsidRDefault="00C9161D" w:rsidP="00AF3F86">
            <w:pPr>
              <w:suppressLineNumbers/>
              <w:suppressAutoHyphens/>
              <w:ind w:left="1215"/>
              <w:jc w:val="left"/>
              <w:rPr>
                <w:kern w:val="22"/>
                <w:szCs w:val="22"/>
              </w:rPr>
            </w:pPr>
            <w:r w:rsidRPr="00AF3F86">
              <w:rPr>
                <w:kern w:val="22"/>
                <w:szCs w:val="22"/>
              </w:rPr>
              <w:t>Distr.</w:t>
            </w:r>
          </w:p>
          <w:p w14:paraId="0B58EDC0" w14:textId="77777777" w:rsidR="00C9161D" w:rsidRPr="00AF3F86" w:rsidRDefault="00134846" w:rsidP="00AF3F86">
            <w:pPr>
              <w:suppressLineNumbers/>
              <w:suppressAutoHyphens/>
              <w:ind w:left="1215"/>
              <w:jc w:val="left"/>
              <w:rPr>
                <w:kern w:val="22"/>
                <w:szCs w:val="22"/>
              </w:rPr>
            </w:pPr>
            <w:r w:rsidRPr="00AF3F86">
              <w:rPr>
                <w:kern w:val="22"/>
                <w:szCs w:val="22"/>
              </w:rPr>
              <w:t>GENERAL</w:t>
            </w:r>
          </w:p>
          <w:p w14:paraId="6DA595BF" w14:textId="77777777" w:rsidR="00C9161D" w:rsidRPr="00AF3F86" w:rsidRDefault="00C9161D" w:rsidP="00AF3F86">
            <w:pPr>
              <w:suppressLineNumbers/>
              <w:suppressAutoHyphens/>
              <w:ind w:left="1215"/>
              <w:jc w:val="left"/>
              <w:rPr>
                <w:kern w:val="22"/>
                <w:szCs w:val="22"/>
              </w:rPr>
            </w:pPr>
          </w:p>
          <w:p w14:paraId="046EA6AB" w14:textId="1A60673B" w:rsidR="00C9161D" w:rsidRPr="00AF3F86" w:rsidRDefault="00704366" w:rsidP="00AF3F86">
            <w:pPr>
              <w:suppressLineNumbers/>
              <w:suppressAutoHyphens/>
              <w:ind w:left="1215"/>
              <w:jc w:val="left"/>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30169D" w:rsidRPr="00AF3F86">
                  <w:rPr>
                    <w:kern w:val="22"/>
                  </w:rPr>
                  <w:t>CBD/</w:t>
                </w:r>
                <w:r w:rsidR="00903A6C" w:rsidRPr="00AF3F86">
                  <w:rPr>
                    <w:kern w:val="22"/>
                  </w:rPr>
                  <w:t>SBSTTA/24/</w:t>
                </w:r>
                <w:r w:rsidR="00254AD0" w:rsidRPr="00AF3F86">
                  <w:rPr>
                    <w:kern w:val="22"/>
                  </w:rPr>
                  <w:t>5</w:t>
                </w:r>
              </w:sdtContent>
            </w:sdt>
          </w:p>
          <w:p w14:paraId="23FC9F5A" w14:textId="0729F513" w:rsidR="00C9161D" w:rsidRPr="00AF3F86" w:rsidRDefault="00816EBE" w:rsidP="00AF3F86">
            <w:pPr>
              <w:suppressLineNumbers/>
              <w:suppressAutoHyphens/>
              <w:ind w:left="1215"/>
              <w:jc w:val="left"/>
              <w:rPr>
                <w:kern w:val="22"/>
                <w:szCs w:val="22"/>
              </w:rPr>
            </w:pPr>
            <w:r w:rsidRPr="00AF3F86">
              <w:rPr>
                <w:kern w:val="22"/>
                <w:szCs w:val="22"/>
              </w:rPr>
              <w:t>10 June</w:t>
            </w:r>
            <w:r w:rsidR="00F6586C" w:rsidRPr="00AF3F86">
              <w:rPr>
                <w:kern w:val="22"/>
                <w:szCs w:val="22"/>
              </w:rPr>
              <w:t xml:space="preserve"> 20</w:t>
            </w:r>
            <w:r w:rsidR="00303403" w:rsidRPr="00AF3F86">
              <w:rPr>
                <w:kern w:val="22"/>
                <w:szCs w:val="22"/>
              </w:rPr>
              <w:t>20</w:t>
            </w:r>
          </w:p>
          <w:p w14:paraId="2D7A0023" w14:textId="77777777" w:rsidR="00C9161D" w:rsidRPr="00AF3F86" w:rsidRDefault="00C9161D" w:rsidP="00AF3F86">
            <w:pPr>
              <w:suppressLineNumbers/>
              <w:suppressAutoHyphens/>
              <w:ind w:left="1215"/>
              <w:jc w:val="left"/>
              <w:rPr>
                <w:kern w:val="22"/>
                <w:szCs w:val="22"/>
              </w:rPr>
            </w:pPr>
          </w:p>
          <w:p w14:paraId="3C63FA49" w14:textId="77777777" w:rsidR="00C9161D" w:rsidRPr="00AF3F86" w:rsidRDefault="006B2290" w:rsidP="00AF3F86">
            <w:pPr>
              <w:suppressLineNumbers/>
              <w:suppressAutoHyphens/>
              <w:ind w:left="1215"/>
              <w:jc w:val="left"/>
              <w:rPr>
                <w:kern w:val="22"/>
                <w:szCs w:val="22"/>
              </w:rPr>
            </w:pPr>
            <w:r w:rsidRPr="00AF3F86">
              <w:rPr>
                <w:kern w:val="22"/>
                <w:szCs w:val="22"/>
              </w:rPr>
              <w:t xml:space="preserve">ORIGINAL: </w:t>
            </w:r>
            <w:r w:rsidR="00C9161D" w:rsidRPr="00AF3F86">
              <w:rPr>
                <w:kern w:val="22"/>
                <w:szCs w:val="22"/>
              </w:rPr>
              <w:t>ENGLISH</w:t>
            </w:r>
          </w:p>
          <w:p w14:paraId="62858581" w14:textId="77777777" w:rsidR="00C9161D" w:rsidRPr="00AF3F86" w:rsidRDefault="00C9161D" w:rsidP="00AF3F86">
            <w:pPr>
              <w:suppressLineNumbers/>
              <w:suppressAutoHyphens/>
              <w:jc w:val="left"/>
              <w:rPr>
                <w:kern w:val="22"/>
              </w:rPr>
            </w:pPr>
          </w:p>
        </w:tc>
      </w:tr>
    </w:tbl>
    <w:p w14:paraId="67EC1474" w14:textId="77777777" w:rsidR="00BB57B6" w:rsidRPr="008A63FD" w:rsidRDefault="00BB57B6" w:rsidP="00704366">
      <w:pPr>
        <w:pStyle w:val="meetingname"/>
        <w:suppressLineNumbers/>
        <w:suppressAutoHyphens/>
        <w:ind w:right="4642"/>
        <w:jc w:val="left"/>
        <w:rPr>
          <w:kern w:val="22"/>
        </w:rPr>
      </w:pPr>
      <w:r w:rsidRPr="008A63FD">
        <w:rPr>
          <w:kern w:val="22"/>
        </w:rPr>
        <w:t>SUBSIDIARY BODY ON SCIENTIFIC, TECHNICAL AND TECHNOLOGICAL ADVICE</w:t>
      </w:r>
    </w:p>
    <w:p w14:paraId="66D99B8D" w14:textId="77777777" w:rsidR="00BB57B6" w:rsidRPr="008A63FD" w:rsidRDefault="00BB57B6" w:rsidP="00704366">
      <w:pPr>
        <w:suppressLineNumbers/>
        <w:suppressAutoHyphens/>
        <w:ind w:left="142" w:right="4642" w:hanging="142"/>
        <w:jc w:val="left"/>
        <w:rPr>
          <w:snapToGrid w:val="0"/>
          <w:kern w:val="22"/>
          <w:szCs w:val="22"/>
          <w:lang w:eastAsia="nb-NO"/>
        </w:rPr>
      </w:pPr>
      <w:r w:rsidRPr="008A63FD">
        <w:rPr>
          <w:snapToGrid w:val="0"/>
          <w:kern w:val="22"/>
          <w:szCs w:val="22"/>
          <w:lang w:eastAsia="nb-NO"/>
        </w:rPr>
        <w:t>Twenty-fourth meeting</w:t>
      </w:r>
    </w:p>
    <w:p w14:paraId="45316243" w14:textId="7CA3A16F" w:rsidR="00134846" w:rsidRPr="008A63FD" w:rsidRDefault="00BD3494" w:rsidP="00704366">
      <w:pPr>
        <w:suppressLineNumbers/>
        <w:suppressAutoHyphens/>
        <w:ind w:right="4075"/>
        <w:jc w:val="left"/>
        <w:rPr>
          <w:snapToGrid w:val="0"/>
          <w:kern w:val="22"/>
          <w:szCs w:val="22"/>
          <w:lang w:eastAsia="nb-NO"/>
        </w:rPr>
      </w:pPr>
      <w:r>
        <w:rPr>
          <w:snapToGrid w:val="0"/>
          <w:kern w:val="22"/>
          <w:szCs w:val="22"/>
          <w:lang w:eastAsia="nb-NO"/>
        </w:rPr>
        <w:t>Quebec City (</w:t>
      </w:r>
      <w:r w:rsidR="009C2A6F" w:rsidRPr="008A63FD">
        <w:rPr>
          <w:snapToGrid w:val="0"/>
          <w:kern w:val="22"/>
          <w:szCs w:val="22"/>
          <w:lang w:eastAsia="nb-NO"/>
        </w:rPr>
        <w:t xml:space="preserve">to be </w:t>
      </w:r>
      <w:r>
        <w:rPr>
          <w:snapToGrid w:val="0"/>
          <w:kern w:val="22"/>
          <w:szCs w:val="22"/>
          <w:lang w:eastAsia="nb-NO"/>
        </w:rPr>
        <w:t>confirmed</w:t>
      </w:r>
      <w:r w:rsidR="009C2A6F" w:rsidRPr="008A63FD">
        <w:rPr>
          <w:snapToGrid w:val="0"/>
          <w:kern w:val="22"/>
          <w:szCs w:val="22"/>
          <w:lang w:eastAsia="nb-NO"/>
        </w:rPr>
        <w:t xml:space="preserve">), Canada, </w:t>
      </w:r>
      <w:r w:rsidR="00C20441" w:rsidRPr="008A63FD">
        <w:rPr>
          <w:snapToGrid w:val="0"/>
          <w:kern w:val="22"/>
          <w:szCs w:val="22"/>
          <w:lang w:eastAsia="nb-NO"/>
        </w:rPr>
        <w:t>2-7 November 2020</w:t>
      </w:r>
    </w:p>
    <w:p w14:paraId="12938FB7" w14:textId="2C751B69" w:rsidR="00C9161D" w:rsidRPr="00AF3F86" w:rsidRDefault="00134846" w:rsidP="00704366">
      <w:pPr>
        <w:suppressLineNumbers/>
        <w:suppressAutoHyphens/>
        <w:ind w:right="4642"/>
        <w:jc w:val="left"/>
        <w:rPr>
          <w:kern w:val="22"/>
          <w:szCs w:val="22"/>
        </w:rPr>
      </w:pPr>
      <w:r w:rsidRPr="008A63FD">
        <w:rPr>
          <w:snapToGrid w:val="0"/>
          <w:kern w:val="22"/>
          <w:szCs w:val="22"/>
        </w:rPr>
        <w:t xml:space="preserve">Item </w:t>
      </w:r>
      <w:r w:rsidR="00A84BE8" w:rsidRPr="008A63FD">
        <w:rPr>
          <w:snapToGrid w:val="0"/>
          <w:kern w:val="22"/>
          <w:szCs w:val="22"/>
        </w:rPr>
        <w:t xml:space="preserve">5 </w:t>
      </w:r>
      <w:r w:rsidRPr="008A63FD">
        <w:rPr>
          <w:snapToGrid w:val="0"/>
          <w:kern w:val="22"/>
          <w:szCs w:val="22"/>
        </w:rPr>
        <w:t>of the provisional agenda</w:t>
      </w:r>
      <w:r w:rsidR="007C6D48" w:rsidRPr="008A63FD">
        <w:rPr>
          <w:rStyle w:val="FootnoteReference"/>
          <w:snapToGrid w:val="0"/>
          <w:kern w:val="22"/>
          <w:szCs w:val="22"/>
        </w:rPr>
        <w:footnoteReference w:customMarkFollows="1" w:id="2"/>
        <w:t>*</w:t>
      </w:r>
    </w:p>
    <w:p w14:paraId="41FD1E1F" w14:textId="23A94DE8" w:rsidR="00C9161D" w:rsidRPr="007775AD" w:rsidRDefault="00704366" w:rsidP="00AF3F86">
      <w:pPr>
        <w:pStyle w:val="HEADINGNOTFORTOC"/>
        <w:suppressLineNumbers/>
        <w:tabs>
          <w:tab w:val="clear" w:pos="720"/>
        </w:tabs>
        <w:suppressAutoHyphens/>
        <w:rPr>
          <w:szCs w:val="22"/>
        </w:rPr>
      </w:pPr>
      <w:sdt>
        <w:sdtPr>
          <w:rPr>
            <w:rStyle w:val="Heading2Char"/>
            <w:b/>
            <w:bCs w:val="0"/>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892B38" w:rsidRPr="00961C05">
            <w:rPr>
              <w:rStyle w:val="Heading2Char"/>
              <w:b/>
              <w:kern w:val="22"/>
              <w:szCs w:val="22"/>
            </w:rPr>
            <w:t>R</w:t>
          </w:r>
          <w:r w:rsidR="00E94212" w:rsidRPr="008A63FD">
            <w:rPr>
              <w:rStyle w:val="Heading2Char"/>
              <w:b/>
              <w:bCs w:val="0"/>
              <w:kern w:val="22"/>
              <w:szCs w:val="22"/>
            </w:rPr>
            <w:t>isk assessment and risk management</w:t>
          </w:r>
        </w:sdtContent>
      </w:sdt>
      <w:bookmarkStart w:id="0" w:name="_GoBack"/>
      <w:bookmarkEnd w:id="0"/>
    </w:p>
    <w:p w14:paraId="26795F68" w14:textId="77777777" w:rsidR="00F6586C" w:rsidRPr="00AF3F86" w:rsidRDefault="0030169D" w:rsidP="00AF3F86">
      <w:pPr>
        <w:pStyle w:val="Style1"/>
        <w:suppressLineNumbers/>
        <w:tabs>
          <w:tab w:val="clear" w:pos="720"/>
        </w:tabs>
        <w:suppressAutoHyphens/>
        <w:rPr>
          <w:b w:val="0"/>
          <w:kern w:val="22"/>
          <w:szCs w:val="22"/>
        </w:rPr>
      </w:pPr>
      <w:r w:rsidRPr="00AF3F86">
        <w:rPr>
          <w:b w:val="0"/>
          <w:kern w:val="22"/>
          <w:szCs w:val="22"/>
        </w:rPr>
        <w:t>Note by the Executive Secretary</w:t>
      </w:r>
    </w:p>
    <w:p w14:paraId="10554182" w14:textId="55E17C1B" w:rsidR="00CA6DA6" w:rsidRPr="00AF3F86" w:rsidRDefault="00892B38" w:rsidP="00AF3F86">
      <w:pPr>
        <w:pStyle w:val="Heading1"/>
        <w:numPr>
          <w:ilvl w:val="0"/>
          <w:numId w:val="5"/>
        </w:numPr>
        <w:suppressLineNumbers/>
        <w:tabs>
          <w:tab w:val="clear" w:pos="720"/>
          <w:tab w:val="left" w:pos="284"/>
        </w:tabs>
        <w:suppressAutoHyphens/>
        <w:spacing w:before="120"/>
        <w:ind w:left="0" w:firstLine="0"/>
        <w:rPr>
          <w:kern w:val="22"/>
          <w:szCs w:val="22"/>
        </w:rPr>
      </w:pPr>
      <w:r w:rsidRPr="00AF3F86">
        <w:rPr>
          <w:kern w:val="22"/>
          <w:szCs w:val="22"/>
        </w:rPr>
        <w:t>Background</w:t>
      </w:r>
    </w:p>
    <w:p w14:paraId="3E12C1A1" w14:textId="293E06C9" w:rsidR="00CA6DA6" w:rsidRPr="00AF3F86" w:rsidRDefault="000540E1" w:rsidP="00AF3F86">
      <w:pPr>
        <w:pStyle w:val="Para1"/>
        <w:suppressLineNumbers/>
        <w:tabs>
          <w:tab w:val="clear" w:pos="360"/>
        </w:tabs>
        <w:suppressAutoHyphens/>
        <w:rPr>
          <w:spacing w:val="-2"/>
          <w:kern w:val="22"/>
          <w:szCs w:val="22"/>
        </w:rPr>
      </w:pPr>
      <w:r w:rsidRPr="00AF3F86">
        <w:rPr>
          <w:spacing w:val="-2"/>
          <w:kern w:val="22"/>
          <w:szCs w:val="22"/>
        </w:rPr>
        <w:t xml:space="preserve">At its </w:t>
      </w:r>
      <w:r w:rsidR="00AD7A7C" w:rsidRPr="00AF3F86">
        <w:rPr>
          <w:spacing w:val="-2"/>
          <w:kern w:val="22"/>
          <w:szCs w:val="22"/>
        </w:rPr>
        <w:t xml:space="preserve">ninth </w:t>
      </w:r>
      <w:r w:rsidRPr="00AF3F86">
        <w:rPr>
          <w:spacing w:val="-2"/>
          <w:kern w:val="22"/>
          <w:szCs w:val="22"/>
        </w:rPr>
        <w:t xml:space="preserve">meeting, </w:t>
      </w:r>
      <w:r w:rsidR="00F139F8" w:rsidRPr="00AF3F86">
        <w:rPr>
          <w:spacing w:val="-2"/>
          <w:kern w:val="22"/>
          <w:szCs w:val="22"/>
        </w:rPr>
        <w:t>t</w:t>
      </w:r>
      <w:r w:rsidRPr="00AF3F86">
        <w:rPr>
          <w:spacing w:val="-2"/>
          <w:kern w:val="22"/>
          <w:szCs w:val="22"/>
        </w:rPr>
        <w:t xml:space="preserve">he Conference of the Parties serving as the meeting </w:t>
      </w:r>
      <w:r w:rsidR="00AD7A7C" w:rsidRPr="00AF3F86">
        <w:rPr>
          <w:spacing w:val="-2"/>
          <w:kern w:val="22"/>
          <w:szCs w:val="22"/>
        </w:rPr>
        <w:t xml:space="preserve">of </w:t>
      </w:r>
      <w:r w:rsidRPr="00AF3F86">
        <w:rPr>
          <w:spacing w:val="-2"/>
          <w:kern w:val="22"/>
          <w:szCs w:val="22"/>
        </w:rPr>
        <w:t>the Parties to the Cartagena Protocol on Biosafety d</w:t>
      </w:r>
      <w:r w:rsidR="00CA6DA6" w:rsidRPr="00AF3F86">
        <w:rPr>
          <w:spacing w:val="-2"/>
          <w:kern w:val="22"/>
          <w:szCs w:val="22"/>
        </w:rPr>
        <w:t>ecide</w:t>
      </w:r>
      <w:r w:rsidRPr="00AF3F86">
        <w:rPr>
          <w:spacing w:val="-2"/>
          <w:kern w:val="22"/>
          <w:szCs w:val="22"/>
        </w:rPr>
        <w:t>d</w:t>
      </w:r>
      <w:r w:rsidR="00CA6DA6" w:rsidRPr="00AF3F86">
        <w:rPr>
          <w:spacing w:val="-2"/>
          <w:kern w:val="22"/>
          <w:szCs w:val="22"/>
        </w:rPr>
        <w:t xml:space="preserve"> to establish a process for the identification and prioritization of specific issues regarding risk assessment of living modified organisms</w:t>
      </w:r>
      <w:r w:rsidRPr="00AF3F86">
        <w:rPr>
          <w:spacing w:val="-2"/>
          <w:kern w:val="22"/>
          <w:szCs w:val="22"/>
        </w:rPr>
        <w:t xml:space="preserve"> (LMO</w:t>
      </w:r>
      <w:r w:rsidR="00AD7A7C" w:rsidRPr="00AF3F86">
        <w:rPr>
          <w:spacing w:val="-2"/>
          <w:kern w:val="22"/>
          <w:szCs w:val="22"/>
        </w:rPr>
        <w:t>s</w:t>
      </w:r>
      <w:r w:rsidRPr="00AF3F86">
        <w:rPr>
          <w:spacing w:val="-2"/>
          <w:kern w:val="22"/>
          <w:szCs w:val="22"/>
        </w:rPr>
        <w:t>)</w:t>
      </w:r>
      <w:r w:rsidR="00CA6DA6" w:rsidRPr="00AF3F86">
        <w:rPr>
          <w:spacing w:val="-2"/>
          <w:kern w:val="22"/>
          <w:szCs w:val="22"/>
        </w:rPr>
        <w:t xml:space="preserve"> with a view to developing further guidance on risk assessment on the specific issues identified, taking into account annex</w:t>
      </w:r>
      <w:r w:rsidR="00F8146F" w:rsidRPr="00AF3F86">
        <w:rPr>
          <w:spacing w:val="-2"/>
          <w:kern w:val="22"/>
          <w:szCs w:val="22"/>
        </w:rPr>
        <w:t> </w:t>
      </w:r>
      <w:r w:rsidR="00CA6DA6" w:rsidRPr="00AF3F86">
        <w:rPr>
          <w:spacing w:val="-2"/>
          <w:kern w:val="22"/>
          <w:szCs w:val="22"/>
        </w:rPr>
        <w:t>I</w:t>
      </w:r>
      <w:r w:rsidRPr="00AF3F86">
        <w:rPr>
          <w:spacing w:val="-2"/>
          <w:kern w:val="22"/>
          <w:szCs w:val="22"/>
        </w:rPr>
        <w:t xml:space="preserve"> of decision </w:t>
      </w:r>
      <w:hyperlink r:id="rId15" w:history="1">
        <w:r w:rsidRPr="00AF3F86">
          <w:rPr>
            <w:rStyle w:val="Hyperlink"/>
            <w:spacing w:val="-2"/>
            <w:kern w:val="22"/>
            <w:sz w:val="22"/>
            <w:szCs w:val="22"/>
          </w:rPr>
          <w:t>CP-9/13</w:t>
        </w:r>
      </w:hyperlink>
      <w:r w:rsidRPr="00AF3F86">
        <w:rPr>
          <w:spacing w:val="-2"/>
          <w:kern w:val="22"/>
          <w:szCs w:val="22"/>
        </w:rPr>
        <w:t>.</w:t>
      </w:r>
    </w:p>
    <w:p w14:paraId="40CCAEBB" w14:textId="6425A5ED" w:rsidR="00CA6DA6" w:rsidRPr="00AF3F86" w:rsidRDefault="000205C2" w:rsidP="00AF3F86">
      <w:pPr>
        <w:pStyle w:val="Para1"/>
        <w:suppressLineNumbers/>
        <w:tabs>
          <w:tab w:val="clear" w:pos="360"/>
        </w:tabs>
        <w:suppressAutoHyphens/>
        <w:rPr>
          <w:b/>
          <w:bCs/>
          <w:kern w:val="22"/>
          <w:szCs w:val="22"/>
        </w:rPr>
      </w:pPr>
      <w:r w:rsidRPr="00C16D97">
        <w:rPr>
          <w:kern w:val="22"/>
          <w:szCs w:val="22"/>
        </w:rPr>
        <w:t>The Conference of the Parties serving as the meeting of the Parties to the Protocol</w:t>
      </w:r>
      <w:r w:rsidRPr="00C16D97" w:rsidDel="00F8146F">
        <w:rPr>
          <w:kern w:val="22"/>
          <w:szCs w:val="22"/>
        </w:rPr>
        <w:t xml:space="preserve"> </w:t>
      </w:r>
      <w:r w:rsidR="000540E1" w:rsidRPr="00AF3F86">
        <w:rPr>
          <w:kern w:val="22"/>
          <w:szCs w:val="22"/>
        </w:rPr>
        <w:t>a</w:t>
      </w:r>
      <w:r w:rsidR="00CA6DA6" w:rsidRPr="00AF3F86">
        <w:rPr>
          <w:kern w:val="22"/>
          <w:szCs w:val="22"/>
        </w:rPr>
        <w:t>lso decide</w:t>
      </w:r>
      <w:r w:rsidR="000540E1" w:rsidRPr="00AF3F86">
        <w:rPr>
          <w:kern w:val="22"/>
          <w:szCs w:val="22"/>
        </w:rPr>
        <w:t>d</w:t>
      </w:r>
      <w:r w:rsidR="00CA6DA6" w:rsidRPr="00AF3F86">
        <w:rPr>
          <w:kern w:val="22"/>
          <w:szCs w:val="22"/>
        </w:rPr>
        <w:t xml:space="preserve"> to consider, at its tenth meeting, whether additional guidance materials on risk assessment are needed for (a) living modified organisms containing engineered gene drives, and (b) living modified fish</w:t>
      </w:r>
      <w:r w:rsidR="00E83DE6" w:rsidRPr="00AF3F86">
        <w:rPr>
          <w:kern w:val="22"/>
          <w:szCs w:val="22"/>
        </w:rPr>
        <w:t xml:space="preserve">. </w:t>
      </w:r>
      <w:r w:rsidR="00283E34">
        <w:rPr>
          <w:kern w:val="22"/>
          <w:szCs w:val="22"/>
        </w:rPr>
        <w:t xml:space="preserve">It </w:t>
      </w:r>
      <w:r w:rsidR="00CA6DA6" w:rsidRPr="00AF3F86">
        <w:rPr>
          <w:kern w:val="22"/>
          <w:szCs w:val="22"/>
        </w:rPr>
        <w:t>establish</w:t>
      </w:r>
      <w:r w:rsidR="000540E1" w:rsidRPr="00AF3F86">
        <w:rPr>
          <w:kern w:val="22"/>
          <w:szCs w:val="22"/>
        </w:rPr>
        <w:t>ed</w:t>
      </w:r>
      <w:r w:rsidR="00CA6DA6" w:rsidRPr="00AF3F86">
        <w:rPr>
          <w:kern w:val="22"/>
          <w:szCs w:val="22"/>
        </w:rPr>
        <w:t xml:space="preserve"> an Ad Hoc Technical Expert Group</w:t>
      </w:r>
      <w:r w:rsidR="000540E1" w:rsidRPr="00AF3F86">
        <w:rPr>
          <w:kern w:val="22"/>
          <w:szCs w:val="22"/>
        </w:rPr>
        <w:t xml:space="preserve"> (AHTEG)</w:t>
      </w:r>
      <w:r w:rsidR="00CA6DA6" w:rsidRPr="00AF3F86">
        <w:rPr>
          <w:kern w:val="22"/>
          <w:szCs w:val="22"/>
        </w:rPr>
        <w:t xml:space="preserve"> on Risk Assessment</w:t>
      </w:r>
      <w:r w:rsidR="00E83DE6" w:rsidRPr="00AF3F86">
        <w:rPr>
          <w:kern w:val="22"/>
          <w:szCs w:val="22"/>
        </w:rPr>
        <w:t xml:space="preserve"> to undertake </w:t>
      </w:r>
      <w:proofErr w:type="gramStart"/>
      <w:r w:rsidR="00E83DE6" w:rsidRPr="00AF3F86">
        <w:rPr>
          <w:kern w:val="22"/>
          <w:szCs w:val="22"/>
        </w:rPr>
        <w:t>a number of</w:t>
      </w:r>
      <w:proofErr w:type="gramEnd"/>
      <w:r w:rsidR="00E83DE6" w:rsidRPr="00AF3F86">
        <w:rPr>
          <w:kern w:val="22"/>
          <w:szCs w:val="22"/>
        </w:rPr>
        <w:t xml:space="preserve"> tasks</w:t>
      </w:r>
      <w:r w:rsidR="00CA6DA6" w:rsidRPr="00AF3F86">
        <w:rPr>
          <w:kern w:val="22"/>
          <w:szCs w:val="22"/>
        </w:rPr>
        <w:t xml:space="preserve"> in accordance with the terms of reference contained in annex II</w:t>
      </w:r>
      <w:r w:rsidR="000540E1" w:rsidRPr="00AF3F86">
        <w:rPr>
          <w:kern w:val="22"/>
          <w:szCs w:val="22"/>
        </w:rPr>
        <w:t xml:space="preserve"> of decision CP-9/13. In addition, </w:t>
      </w:r>
      <w:r w:rsidR="00283E34">
        <w:rPr>
          <w:kern w:val="22"/>
          <w:szCs w:val="22"/>
        </w:rPr>
        <w:t xml:space="preserve">it </w:t>
      </w:r>
      <w:r w:rsidR="000540E1" w:rsidRPr="00AF3F86">
        <w:rPr>
          <w:kern w:val="22"/>
          <w:szCs w:val="22"/>
        </w:rPr>
        <w:t>d</w:t>
      </w:r>
      <w:r w:rsidR="00CA6DA6" w:rsidRPr="00AF3F86">
        <w:rPr>
          <w:kern w:val="22"/>
          <w:szCs w:val="22"/>
        </w:rPr>
        <w:t>ecide</w:t>
      </w:r>
      <w:r w:rsidR="000540E1" w:rsidRPr="00AF3F86">
        <w:rPr>
          <w:kern w:val="22"/>
          <w:szCs w:val="22"/>
        </w:rPr>
        <w:t>d</w:t>
      </w:r>
      <w:r w:rsidR="00CA6DA6" w:rsidRPr="00AF3F86">
        <w:rPr>
          <w:kern w:val="22"/>
          <w:szCs w:val="22"/>
        </w:rPr>
        <w:t xml:space="preserve"> to extend the </w:t>
      </w:r>
      <w:r w:rsidR="00CC0CC9" w:rsidRPr="00AF3F86">
        <w:rPr>
          <w:kern w:val="22"/>
          <w:szCs w:val="22"/>
        </w:rPr>
        <w:t>O</w:t>
      </w:r>
      <w:r w:rsidR="00834483" w:rsidRPr="00AF3F86">
        <w:rPr>
          <w:kern w:val="22"/>
          <w:szCs w:val="22"/>
        </w:rPr>
        <w:t xml:space="preserve">pen-ended </w:t>
      </w:r>
      <w:r w:rsidR="00CC0CC9" w:rsidRPr="00AF3F86">
        <w:rPr>
          <w:kern w:val="22"/>
          <w:szCs w:val="22"/>
        </w:rPr>
        <w:t>O</w:t>
      </w:r>
      <w:r w:rsidR="00CA6DA6" w:rsidRPr="00AF3F86">
        <w:rPr>
          <w:kern w:val="22"/>
          <w:szCs w:val="22"/>
        </w:rPr>
        <w:t xml:space="preserve">nline </w:t>
      </w:r>
      <w:r w:rsidR="00CC0CC9" w:rsidRPr="00AF3F86">
        <w:rPr>
          <w:kern w:val="22"/>
          <w:szCs w:val="22"/>
        </w:rPr>
        <w:t>F</w:t>
      </w:r>
      <w:r w:rsidR="00CA6DA6" w:rsidRPr="00AF3F86">
        <w:rPr>
          <w:kern w:val="22"/>
          <w:szCs w:val="22"/>
        </w:rPr>
        <w:t xml:space="preserve">orum on </w:t>
      </w:r>
      <w:r w:rsidR="00CC0CC9" w:rsidRPr="00AF3F86">
        <w:rPr>
          <w:kern w:val="22"/>
          <w:szCs w:val="22"/>
        </w:rPr>
        <w:t>R</w:t>
      </w:r>
      <w:r w:rsidR="00CA6DA6" w:rsidRPr="00AF3F86">
        <w:rPr>
          <w:kern w:val="22"/>
          <w:szCs w:val="22"/>
        </w:rPr>
        <w:t xml:space="preserve">isk </w:t>
      </w:r>
      <w:r w:rsidR="00CC0CC9" w:rsidRPr="00AF3F86">
        <w:rPr>
          <w:kern w:val="22"/>
          <w:szCs w:val="22"/>
        </w:rPr>
        <w:t>A</w:t>
      </w:r>
      <w:r w:rsidR="00CA6DA6" w:rsidRPr="00AF3F86">
        <w:rPr>
          <w:kern w:val="22"/>
          <w:szCs w:val="22"/>
        </w:rPr>
        <w:t xml:space="preserve">ssessment and </w:t>
      </w:r>
      <w:r w:rsidR="00CC0CC9" w:rsidRPr="00AF3F86">
        <w:rPr>
          <w:kern w:val="22"/>
          <w:szCs w:val="22"/>
        </w:rPr>
        <w:t>R</w:t>
      </w:r>
      <w:r w:rsidR="00CA6DA6" w:rsidRPr="00AF3F86">
        <w:rPr>
          <w:kern w:val="22"/>
          <w:szCs w:val="22"/>
        </w:rPr>
        <w:t xml:space="preserve">isk </w:t>
      </w:r>
      <w:r w:rsidR="00CC0CC9" w:rsidRPr="00AF3F86">
        <w:rPr>
          <w:kern w:val="22"/>
          <w:szCs w:val="22"/>
        </w:rPr>
        <w:t>M</w:t>
      </w:r>
      <w:r w:rsidR="00CA6DA6" w:rsidRPr="00AF3F86">
        <w:rPr>
          <w:kern w:val="22"/>
          <w:szCs w:val="22"/>
        </w:rPr>
        <w:t xml:space="preserve">anagement in order to assist the </w:t>
      </w:r>
      <w:r w:rsidR="000540E1" w:rsidRPr="00AF3F86">
        <w:rPr>
          <w:kern w:val="22"/>
          <w:szCs w:val="22"/>
        </w:rPr>
        <w:t>AHTEG, and i</w:t>
      </w:r>
      <w:r w:rsidR="00CA6DA6" w:rsidRPr="00AF3F86">
        <w:rPr>
          <w:kern w:val="22"/>
          <w:szCs w:val="22"/>
        </w:rPr>
        <w:t>nvite</w:t>
      </w:r>
      <w:r w:rsidR="000540E1" w:rsidRPr="00AF3F86">
        <w:rPr>
          <w:kern w:val="22"/>
          <w:szCs w:val="22"/>
        </w:rPr>
        <w:t>d</w:t>
      </w:r>
      <w:r w:rsidR="00CA6DA6" w:rsidRPr="00AF3F86">
        <w:rPr>
          <w:kern w:val="22"/>
          <w:szCs w:val="22"/>
        </w:rPr>
        <w:t xml:space="preserve"> Parties, other Governments, indigenous peoples and local communities, and relevant organizations to submit to the Executive Secretary information relevant to the work of the online forum and the </w:t>
      </w:r>
      <w:r w:rsidR="00AD7A7C" w:rsidRPr="00AF3F86">
        <w:rPr>
          <w:kern w:val="22"/>
          <w:szCs w:val="22"/>
        </w:rPr>
        <w:t>AHTEG.</w:t>
      </w:r>
    </w:p>
    <w:p w14:paraId="165F5E3B" w14:textId="33B33ABE" w:rsidR="000540E1" w:rsidRPr="00AF3F86" w:rsidRDefault="000540E1" w:rsidP="00AF3F86">
      <w:pPr>
        <w:pStyle w:val="Para1"/>
        <w:suppressLineNumbers/>
        <w:tabs>
          <w:tab w:val="clear" w:pos="360"/>
        </w:tabs>
        <w:suppressAutoHyphens/>
        <w:rPr>
          <w:b/>
          <w:bCs/>
          <w:kern w:val="22"/>
          <w:szCs w:val="22"/>
        </w:rPr>
      </w:pPr>
      <w:r w:rsidRPr="00AF3F86">
        <w:rPr>
          <w:kern w:val="22"/>
          <w:szCs w:val="22"/>
        </w:rPr>
        <w:t xml:space="preserve">Based on the above, the </w:t>
      </w:r>
      <w:r w:rsidR="00804B70" w:rsidRPr="00AF3F86">
        <w:rPr>
          <w:kern w:val="22"/>
          <w:szCs w:val="22"/>
        </w:rPr>
        <w:t>Conference of the Parties serving as the meeting of the Parties to the Protocol</w:t>
      </w:r>
      <w:r w:rsidR="00804B70" w:rsidRPr="00AF3F86" w:rsidDel="00F8146F">
        <w:rPr>
          <w:kern w:val="22"/>
          <w:szCs w:val="22"/>
        </w:rPr>
        <w:t xml:space="preserve"> </w:t>
      </w:r>
      <w:r w:rsidRPr="00AF3F86">
        <w:rPr>
          <w:kern w:val="22"/>
          <w:szCs w:val="22"/>
        </w:rPr>
        <w:t>r</w:t>
      </w:r>
      <w:r w:rsidR="00CA6DA6" w:rsidRPr="00AF3F86">
        <w:rPr>
          <w:kern w:val="22"/>
          <w:szCs w:val="22"/>
        </w:rPr>
        <w:t>equest</w:t>
      </w:r>
      <w:r w:rsidRPr="00AF3F86">
        <w:rPr>
          <w:kern w:val="22"/>
          <w:szCs w:val="22"/>
        </w:rPr>
        <w:t>ed</w:t>
      </w:r>
      <w:r w:rsidR="00CA6DA6" w:rsidRPr="00AF3F86">
        <w:rPr>
          <w:kern w:val="22"/>
          <w:szCs w:val="22"/>
        </w:rPr>
        <w:t xml:space="preserve"> the Executive Secretary, subject to the availability of resources</w:t>
      </w:r>
      <w:r w:rsidRPr="00AF3F86">
        <w:rPr>
          <w:kern w:val="22"/>
          <w:szCs w:val="22"/>
        </w:rPr>
        <w:t>:</w:t>
      </w:r>
    </w:p>
    <w:p w14:paraId="56400185" w14:textId="5748E2F5" w:rsidR="00CA6DA6" w:rsidRPr="00AF3F86" w:rsidRDefault="00633332" w:rsidP="00AF3F86">
      <w:pPr>
        <w:pStyle w:val="Heading2"/>
        <w:keepNext w:val="0"/>
        <w:numPr>
          <w:ilvl w:val="0"/>
          <w:numId w:val="8"/>
        </w:numPr>
        <w:suppressLineNumbers/>
        <w:tabs>
          <w:tab w:val="clear" w:pos="720"/>
        </w:tabs>
        <w:suppressAutoHyphens/>
        <w:ind w:left="0" w:firstLine="720"/>
        <w:jc w:val="both"/>
        <w:rPr>
          <w:b w:val="0"/>
          <w:bCs w:val="0"/>
          <w:kern w:val="22"/>
          <w:szCs w:val="22"/>
        </w:rPr>
      </w:pPr>
      <w:r w:rsidRPr="00AF3F86">
        <w:rPr>
          <w:b w:val="0"/>
          <w:bCs w:val="0"/>
          <w:kern w:val="22"/>
          <w:szCs w:val="22"/>
        </w:rPr>
        <w:t>To c</w:t>
      </w:r>
      <w:r w:rsidR="00CA6DA6" w:rsidRPr="00AF3F86">
        <w:rPr>
          <w:b w:val="0"/>
          <w:bCs w:val="0"/>
          <w:kern w:val="22"/>
          <w:szCs w:val="22"/>
        </w:rPr>
        <w:t xml:space="preserve">ommission a study informing the application of annex I </w:t>
      </w:r>
      <w:r w:rsidR="00834483" w:rsidRPr="00AF3F86">
        <w:rPr>
          <w:b w:val="0"/>
          <w:bCs w:val="0"/>
          <w:kern w:val="22"/>
          <w:szCs w:val="22"/>
        </w:rPr>
        <w:t xml:space="preserve">of the decision </w:t>
      </w:r>
      <w:r w:rsidR="00CA6DA6" w:rsidRPr="00AF3F86">
        <w:rPr>
          <w:b w:val="0"/>
          <w:bCs w:val="0"/>
          <w:kern w:val="22"/>
          <w:szCs w:val="22"/>
        </w:rPr>
        <w:t>to (</w:t>
      </w:r>
      <w:proofErr w:type="spellStart"/>
      <w:r w:rsidR="00CA6DA6" w:rsidRPr="00AF3F86">
        <w:rPr>
          <w:b w:val="0"/>
          <w:bCs w:val="0"/>
          <w:kern w:val="22"/>
          <w:szCs w:val="22"/>
        </w:rPr>
        <w:t>i</w:t>
      </w:r>
      <w:proofErr w:type="spellEnd"/>
      <w:r w:rsidR="00CA6DA6" w:rsidRPr="00AF3F86">
        <w:rPr>
          <w:b w:val="0"/>
          <w:bCs w:val="0"/>
          <w:kern w:val="22"/>
          <w:szCs w:val="22"/>
        </w:rPr>
        <w:t xml:space="preserve">) living modified organisms containing engineered gene drives and (ii) living modified fish, to facilitate the process </w:t>
      </w:r>
      <w:r w:rsidR="000540E1" w:rsidRPr="00AF3F86">
        <w:rPr>
          <w:b w:val="0"/>
          <w:bCs w:val="0"/>
          <w:kern w:val="22"/>
          <w:szCs w:val="22"/>
        </w:rPr>
        <w:t>of identification and prioritization</w:t>
      </w:r>
      <w:r w:rsidR="00CA6DA6" w:rsidRPr="00AF3F86">
        <w:rPr>
          <w:b w:val="0"/>
          <w:bCs w:val="0"/>
          <w:kern w:val="22"/>
          <w:szCs w:val="22"/>
        </w:rPr>
        <w:t xml:space="preserve">, and present it to the </w:t>
      </w:r>
      <w:r w:rsidR="008B3DF0" w:rsidRPr="00AF3F86">
        <w:rPr>
          <w:b w:val="0"/>
          <w:bCs w:val="0"/>
          <w:kern w:val="22"/>
          <w:szCs w:val="22"/>
        </w:rPr>
        <w:t>O</w:t>
      </w:r>
      <w:r w:rsidR="00CA6DA6" w:rsidRPr="00AF3F86">
        <w:rPr>
          <w:b w:val="0"/>
          <w:bCs w:val="0"/>
          <w:kern w:val="22"/>
          <w:szCs w:val="22"/>
        </w:rPr>
        <w:t xml:space="preserve">pen-ended </w:t>
      </w:r>
      <w:r w:rsidR="008B3DF0" w:rsidRPr="00AF3F86">
        <w:rPr>
          <w:b w:val="0"/>
          <w:bCs w:val="0"/>
          <w:kern w:val="22"/>
          <w:szCs w:val="22"/>
        </w:rPr>
        <w:t>O</w:t>
      </w:r>
      <w:r w:rsidR="00CA6DA6" w:rsidRPr="00AF3F86">
        <w:rPr>
          <w:b w:val="0"/>
          <w:bCs w:val="0"/>
          <w:kern w:val="22"/>
          <w:szCs w:val="22"/>
        </w:rPr>
        <w:t xml:space="preserve">nline </w:t>
      </w:r>
      <w:r w:rsidR="008B3DF0" w:rsidRPr="00AF3F86">
        <w:rPr>
          <w:b w:val="0"/>
          <w:bCs w:val="0"/>
          <w:kern w:val="22"/>
          <w:szCs w:val="22"/>
        </w:rPr>
        <w:t>F</w:t>
      </w:r>
      <w:r w:rsidR="00CA6DA6" w:rsidRPr="00AF3F86">
        <w:rPr>
          <w:b w:val="0"/>
          <w:bCs w:val="0"/>
          <w:kern w:val="22"/>
          <w:szCs w:val="22"/>
        </w:rPr>
        <w:t xml:space="preserve">orum and </w:t>
      </w:r>
      <w:r w:rsidR="005C7D30" w:rsidRPr="00AF3F86">
        <w:rPr>
          <w:b w:val="0"/>
          <w:bCs w:val="0"/>
          <w:kern w:val="22"/>
          <w:szCs w:val="22"/>
        </w:rPr>
        <w:t xml:space="preserve">the </w:t>
      </w:r>
      <w:r w:rsidR="000540E1" w:rsidRPr="00AF3F86">
        <w:rPr>
          <w:b w:val="0"/>
          <w:bCs w:val="0"/>
          <w:kern w:val="22"/>
          <w:szCs w:val="22"/>
        </w:rPr>
        <w:t>AHTEG</w:t>
      </w:r>
      <w:r w:rsidR="00CA6DA6" w:rsidRPr="00AF3F86">
        <w:rPr>
          <w:b w:val="0"/>
          <w:bCs w:val="0"/>
          <w:kern w:val="22"/>
          <w:szCs w:val="22"/>
        </w:rPr>
        <w:t xml:space="preserve"> on Risk Assessment</w:t>
      </w:r>
      <w:r w:rsidR="00AD7A7C" w:rsidRPr="00AF3F86">
        <w:rPr>
          <w:b w:val="0"/>
          <w:bCs w:val="0"/>
          <w:kern w:val="22"/>
          <w:szCs w:val="22"/>
        </w:rPr>
        <w:t>;</w:t>
      </w:r>
    </w:p>
    <w:p w14:paraId="3F017222" w14:textId="2E0E7D95" w:rsidR="00141E40" w:rsidRPr="00AF3F86" w:rsidRDefault="00633332" w:rsidP="00AF3F86">
      <w:pPr>
        <w:pStyle w:val="Heading2"/>
        <w:keepNext w:val="0"/>
        <w:numPr>
          <w:ilvl w:val="0"/>
          <w:numId w:val="8"/>
        </w:numPr>
        <w:suppressLineNumbers/>
        <w:tabs>
          <w:tab w:val="clear" w:pos="720"/>
        </w:tabs>
        <w:suppressAutoHyphens/>
        <w:ind w:left="0" w:firstLine="720"/>
        <w:jc w:val="both"/>
        <w:rPr>
          <w:b w:val="0"/>
          <w:bCs w:val="0"/>
          <w:kern w:val="22"/>
          <w:szCs w:val="22"/>
        </w:rPr>
      </w:pPr>
      <w:r w:rsidRPr="00AF3F86">
        <w:rPr>
          <w:b w:val="0"/>
          <w:bCs w:val="0"/>
          <w:kern w:val="22"/>
          <w:szCs w:val="22"/>
        </w:rPr>
        <w:t>To c</w:t>
      </w:r>
      <w:r w:rsidR="00CA6DA6" w:rsidRPr="00AF3F86">
        <w:rPr>
          <w:b w:val="0"/>
          <w:bCs w:val="0"/>
          <w:kern w:val="22"/>
          <w:szCs w:val="22"/>
        </w:rPr>
        <w:t xml:space="preserve">ollect and synthesize relevant information to facilitate the work of the </w:t>
      </w:r>
      <w:r w:rsidR="0084120C" w:rsidRPr="00AF3F86">
        <w:rPr>
          <w:b w:val="0"/>
          <w:bCs w:val="0"/>
          <w:kern w:val="22"/>
          <w:szCs w:val="22"/>
        </w:rPr>
        <w:t>O</w:t>
      </w:r>
      <w:r w:rsidR="00CA6DA6" w:rsidRPr="00AF3F86">
        <w:rPr>
          <w:b w:val="0"/>
          <w:bCs w:val="0"/>
          <w:kern w:val="22"/>
          <w:szCs w:val="22"/>
        </w:rPr>
        <w:t xml:space="preserve">nline </w:t>
      </w:r>
      <w:r w:rsidR="0084120C" w:rsidRPr="00AF3F86">
        <w:rPr>
          <w:b w:val="0"/>
          <w:bCs w:val="0"/>
          <w:kern w:val="22"/>
          <w:szCs w:val="22"/>
        </w:rPr>
        <w:t>F</w:t>
      </w:r>
      <w:r w:rsidR="00CA6DA6" w:rsidRPr="00AF3F86">
        <w:rPr>
          <w:b w:val="0"/>
          <w:bCs w:val="0"/>
          <w:kern w:val="22"/>
          <w:szCs w:val="22"/>
        </w:rPr>
        <w:t xml:space="preserve">orum and the </w:t>
      </w:r>
      <w:r w:rsidR="00834483" w:rsidRPr="00AF3F86">
        <w:rPr>
          <w:b w:val="0"/>
          <w:bCs w:val="0"/>
          <w:kern w:val="22"/>
          <w:szCs w:val="22"/>
        </w:rPr>
        <w:t>AHTEG</w:t>
      </w:r>
      <w:r w:rsidR="00AD3D6D" w:rsidRPr="00AF3F86">
        <w:rPr>
          <w:b w:val="0"/>
          <w:bCs w:val="0"/>
          <w:kern w:val="22"/>
          <w:szCs w:val="22"/>
        </w:rPr>
        <w:t>;</w:t>
      </w:r>
    </w:p>
    <w:p w14:paraId="2B3697B3" w14:textId="5F8A943A" w:rsidR="00141E40" w:rsidRPr="00AF3F86" w:rsidRDefault="00B63559" w:rsidP="00AF3F86">
      <w:pPr>
        <w:pStyle w:val="Heading2"/>
        <w:keepNext w:val="0"/>
        <w:numPr>
          <w:ilvl w:val="0"/>
          <w:numId w:val="8"/>
        </w:numPr>
        <w:suppressLineNumbers/>
        <w:tabs>
          <w:tab w:val="clear" w:pos="720"/>
        </w:tabs>
        <w:suppressAutoHyphens/>
        <w:ind w:left="0" w:firstLine="720"/>
        <w:jc w:val="both"/>
        <w:rPr>
          <w:b w:val="0"/>
          <w:bCs w:val="0"/>
          <w:kern w:val="22"/>
          <w:szCs w:val="22"/>
        </w:rPr>
      </w:pPr>
      <w:r w:rsidRPr="00AF3F86">
        <w:rPr>
          <w:b w:val="0"/>
          <w:bCs w:val="0"/>
          <w:kern w:val="22"/>
          <w:szCs w:val="22"/>
        </w:rPr>
        <w:t xml:space="preserve">To assist the lead moderator of the </w:t>
      </w:r>
      <w:r w:rsidR="0084120C" w:rsidRPr="00AF3F86">
        <w:rPr>
          <w:b w:val="0"/>
          <w:bCs w:val="0"/>
          <w:kern w:val="22"/>
          <w:szCs w:val="22"/>
        </w:rPr>
        <w:t>O</w:t>
      </w:r>
      <w:r w:rsidRPr="00AF3F86">
        <w:rPr>
          <w:b w:val="0"/>
          <w:bCs w:val="0"/>
          <w:kern w:val="22"/>
          <w:szCs w:val="22"/>
        </w:rPr>
        <w:t xml:space="preserve">nline </w:t>
      </w:r>
      <w:r w:rsidR="0084120C" w:rsidRPr="00AF3F86">
        <w:rPr>
          <w:b w:val="0"/>
          <w:bCs w:val="0"/>
          <w:kern w:val="22"/>
          <w:szCs w:val="22"/>
        </w:rPr>
        <w:t>F</w:t>
      </w:r>
      <w:r w:rsidRPr="00AF3F86">
        <w:rPr>
          <w:b w:val="0"/>
          <w:bCs w:val="0"/>
          <w:kern w:val="22"/>
          <w:szCs w:val="22"/>
        </w:rPr>
        <w:t>orum in convening discussions and reporting on the results of the discussions;</w:t>
      </w:r>
    </w:p>
    <w:p w14:paraId="535B506E" w14:textId="626566CF" w:rsidR="000540E1" w:rsidRPr="00AF3F86" w:rsidRDefault="00633332" w:rsidP="00AF3F86">
      <w:pPr>
        <w:pStyle w:val="Heading2"/>
        <w:keepNext w:val="0"/>
        <w:numPr>
          <w:ilvl w:val="0"/>
          <w:numId w:val="8"/>
        </w:numPr>
        <w:suppressLineNumbers/>
        <w:tabs>
          <w:tab w:val="clear" w:pos="720"/>
        </w:tabs>
        <w:suppressAutoHyphens/>
        <w:ind w:left="0" w:firstLine="720"/>
        <w:jc w:val="both"/>
        <w:rPr>
          <w:b w:val="0"/>
          <w:bCs w:val="0"/>
          <w:kern w:val="22"/>
          <w:szCs w:val="22"/>
        </w:rPr>
      </w:pPr>
      <w:r w:rsidRPr="00AF3F86">
        <w:rPr>
          <w:b w:val="0"/>
          <w:bCs w:val="0"/>
          <w:kern w:val="22"/>
          <w:szCs w:val="22"/>
        </w:rPr>
        <w:t>To c</w:t>
      </w:r>
      <w:r w:rsidR="00CA6DA6" w:rsidRPr="00AF3F86">
        <w:rPr>
          <w:b w:val="0"/>
          <w:bCs w:val="0"/>
          <w:kern w:val="22"/>
          <w:szCs w:val="22"/>
        </w:rPr>
        <w:t xml:space="preserve">onvene a face-to-face meeting of the </w:t>
      </w:r>
      <w:r w:rsidR="005C7D30" w:rsidRPr="00AF3F86">
        <w:rPr>
          <w:b w:val="0"/>
          <w:bCs w:val="0"/>
          <w:kern w:val="22"/>
          <w:szCs w:val="22"/>
        </w:rPr>
        <w:t>AHTEG</w:t>
      </w:r>
      <w:r w:rsidR="00AD7A7C" w:rsidRPr="00AF3F86">
        <w:rPr>
          <w:b w:val="0"/>
          <w:bCs w:val="0"/>
          <w:kern w:val="22"/>
          <w:szCs w:val="22"/>
        </w:rPr>
        <w:t>.</w:t>
      </w:r>
    </w:p>
    <w:p w14:paraId="3AFE3303" w14:textId="393679F0" w:rsidR="00B63559" w:rsidRPr="00AF3F86" w:rsidRDefault="00B63559" w:rsidP="00AF3F86">
      <w:pPr>
        <w:pStyle w:val="Para1"/>
        <w:suppressLineNumbers/>
        <w:tabs>
          <w:tab w:val="clear" w:pos="360"/>
        </w:tabs>
        <w:suppressAutoHyphens/>
        <w:rPr>
          <w:kern w:val="22"/>
          <w:szCs w:val="22"/>
        </w:rPr>
      </w:pPr>
      <w:r w:rsidRPr="00AF3F86">
        <w:rPr>
          <w:kern w:val="22"/>
          <w:szCs w:val="22"/>
        </w:rPr>
        <w:t xml:space="preserve">Finally, the </w:t>
      </w:r>
      <w:bookmarkStart w:id="1" w:name="_Hlk42781527"/>
      <w:r w:rsidRPr="00AF3F86">
        <w:rPr>
          <w:kern w:val="22"/>
          <w:szCs w:val="22"/>
        </w:rPr>
        <w:t xml:space="preserve">Subsidiary Body on Scientific, Technical and Technological Advice </w:t>
      </w:r>
      <w:bookmarkEnd w:id="1"/>
      <w:r w:rsidR="005C5B5A" w:rsidRPr="00AF3F86">
        <w:rPr>
          <w:kern w:val="22"/>
          <w:szCs w:val="22"/>
        </w:rPr>
        <w:t xml:space="preserve">was requested </w:t>
      </w:r>
      <w:r w:rsidRPr="00AF3F86">
        <w:rPr>
          <w:kern w:val="22"/>
          <w:szCs w:val="22"/>
        </w:rPr>
        <w:t xml:space="preserve">to make a recommendation as to whether additional guidance materials on risk assessment are needed for (a) living modified organisms containing engineered gene drives, and (b) living modified fish for consideration </w:t>
      </w:r>
      <w:r w:rsidRPr="00AF3F86">
        <w:rPr>
          <w:kern w:val="22"/>
          <w:szCs w:val="22"/>
        </w:rPr>
        <w:lastRenderedPageBreak/>
        <w:t>by the Conference of the Parties serving as the meeting of the Parties to the Cartagena Protocol at its tenth meeting.</w:t>
      </w:r>
    </w:p>
    <w:p w14:paraId="466308E0" w14:textId="1058AED8" w:rsidR="00CA6DA6" w:rsidRPr="00AF3F86" w:rsidRDefault="00CA6DA6" w:rsidP="00AF3F86">
      <w:pPr>
        <w:pStyle w:val="Para1"/>
        <w:suppressLineNumbers/>
        <w:tabs>
          <w:tab w:val="clear" w:pos="360"/>
        </w:tabs>
        <w:suppressAutoHyphens/>
        <w:rPr>
          <w:b/>
          <w:bCs/>
          <w:kern w:val="22"/>
          <w:szCs w:val="22"/>
        </w:rPr>
      </w:pPr>
      <w:r w:rsidRPr="00AF3F86">
        <w:rPr>
          <w:kern w:val="22"/>
          <w:szCs w:val="22"/>
        </w:rPr>
        <w:t xml:space="preserve">Section II </w:t>
      </w:r>
      <w:r w:rsidR="0009205A">
        <w:rPr>
          <w:kern w:val="22"/>
          <w:szCs w:val="22"/>
        </w:rPr>
        <w:t>below</w:t>
      </w:r>
      <w:r w:rsidRPr="00AF3F86">
        <w:rPr>
          <w:kern w:val="22"/>
          <w:szCs w:val="22"/>
        </w:rPr>
        <w:t xml:space="preserve"> provides an overview of the 2019-2020 </w:t>
      </w:r>
      <w:r w:rsidR="00222EB3" w:rsidRPr="00AF3F86">
        <w:rPr>
          <w:kern w:val="22"/>
          <w:szCs w:val="22"/>
        </w:rPr>
        <w:t>activities carried out in response to decision CP-9/13</w:t>
      </w:r>
      <w:r w:rsidR="000D6E31" w:rsidRPr="00AF3F86">
        <w:rPr>
          <w:kern w:val="22"/>
          <w:szCs w:val="22"/>
        </w:rPr>
        <w:t>.</w:t>
      </w:r>
      <w:r w:rsidRPr="00AF3F86">
        <w:rPr>
          <w:kern w:val="22"/>
          <w:szCs w:val="22"/>
        </w:rPr>
        <w:t xml:space="preserve"> </w:t>
      </w:r>
      <w:r w:rsidR="000D6E31" w:rsidRPr="00AF3F86">
        <w:rPr>
          <w:kern w:val="22"/>
          <w:szCs w:val="22"/>
        </w:rPr>
        <w:t>S</w:t>
      </w:r>
      <w:r w:rsidRPr="00AF3F86">
        <w:rPr>
          <w:kern w:val="22"/>
          <w:szCs w:val="22"/>
        </w:rPr>
        <w:t xml:space="preserve">ection III provides a draft recommendation for consideration by the </w:t>
      </w:r>
      <w:r w:rsidR="00EF1747" w:rsidRPr="00AF3F86">
        <w:rPr>
          <w:kern w:val="22"/>
          <w:szCs w:val="22"/>
        </w:rPr>
        <w:t>Subsidiary Body on Scientific, Technical and Technological Advice</w:t>
      </w:r>
      <w:r w:rsidRPr="00AF3F86">
        <w:rPr>
          <w:kern w:val="22"/>
          <w:szCs w:val="22"/>
        </w:rPr>
        <w:t>.</w:t>
      </w:r>
    </w:p>
    <w:p w14:paraId="7B2CC4B0" w14:textId="3538422D" w:rsidR="00960E01" w:rsidRPr="00431F85" w:rsidRDefault="00892B38" w:rsidP="00AF3F86">
      <w:pPr>
        <w:pStyle w:val="Heading1"/>
        <w:numPr>
          <w:ilvl w:val="0"/>
          <w:numId w:val="5"/>
        </w:numPr>
        <w:suppressLineNumbers/>
        <w:tabs>
          <w:tab w:val="clear" w:pos="720"/>
          <w:tab w:val="left" w:pos="426"/>
        </w:tabs>
        <w:suppressAutoHyphens/>
        <w:spacing w:before="120"/>
        <w:ind w:left="0" w:firstLine="0"/>
        <w:rPr>
          <w:kern w:val="22"/>
          <w:szCs w:val="22"/>
        </w:rPr>
      </w:pPr>
      <w:r w:rsidRPr="00431F85">
        <w:rPr>
          <w:kern w:val="22"/>
          <w:szCs w:val="22"/>
        </w:rPr>
        <w:t>OVERVIEW OF PROCESS</w:t>
      </w:r>
      <w:r w:rsidR="004C2540" w:rsidRPr="00431F85">
        <w:rPr>
          <w:kern w:val="22"/>
          <w:szCs w:val="22"/>
        </w:rPr>
        <w:t>ES</w:t>
      </w:r>
      <w:r w:rsidRPr="00431F85">
        <w:rPr>
          <w:kern w:val="22"/>
          <w:szCs w:val="22"/>
        </w:rPr>
        <w:t xml:space="preserve"> CARRIED OUT AS PER DECISION CP-9/13</w:t>
      </w:r>
    </w:p>
    <w:p w14:paraId="5FE52729" w14:textId="09062867" w:rsidR="00960E01" w:rsidRPr="00AF3F86" w:rsidRDefault="00960E01" w:rsidP="00AF3F86">
      <w:pPr>
        <w:pStyle w:val="Para1"/>
        <w:suppressLineNumbers/>
        <w:tabs>
          <w:tab w:val="clear" w:pos="360"/>
        </w:tabs>
        <w:suppressAutoHyphens/>
        <w:rPr>
          <w:kern w:val="22"/>
          <w:szCs w:val="22"/>
        </w:rPr>
      </w:pPr>
      <w:r w:rsidRPr="00AF3F86">
        <w:rPr>
          <w:kern w:val="22"/>
          <w:szCs w:val="22"/>
        </w:rPr>
        <w:t xml:space="preserve">Further to the elements of decision CP-9/13 as summarized in paragraphs 2 and 3 above, the Executive Secretary: (a) invited the submission of information on </w:t>
      </w:r>
      <w:r w:rsidR="0013703F" w:rsidRPr="00AF3F86">
        <w:rPr>
          <w:kern w:val="22"/>
          <w:szCs w:val="22"/>
        </w:rPr>
        <w:t>risk assessment</w:t>
      </w:r>
      <w:r w:rsidRPr="00AF3F86">
        <w:rPr>
          <w:kern w:val="22"/>
          <w:szCs w:val="22"/>
        </w:rPr>
        <w:t xml:space="preserve">; (b) convened moderated discussions of the </w:t>
      </w:r>
      <w:r w:rsidR="005C7D30" w:rsidRPr="00AF3F86">
        <w:rPr>
          <w:kern w:val="22"/>
          <w:szCs w:val="22"/>
        </w:rPr>
        <w:t>o</w:t>
      </w:r>
      <w:r w:rsidRPr="00AF3F86">
        <w:rPr>
          <w:kern w:val="22"/>
          <w:szCs w:val="22"/>
        </w:rPr>
        <w:t xml:space="preserve">nline </w:t>
      </w:r>
      <w:r w:rsidR="005C7D30" w:rsidRPr="00AF3F86">
        <w:rPr>
          <w:kern w:val="22"/>
          <w:szCs w:val="22"/>
        </w:rPr>
        <w:t>f</w:t>
      </w:r>
      <w:r w:rsidRPr="00AF3F86">
        <w:rPr>
          <w:kern w:val="22"/>
          <w:szCs w:val="22"/>
        </w:rPr>
        <w:t>orum; (c) collected and synthesi</w:t>
      </w:r>
      <w:r w:rsidR="00F57D32" w:rsidRPr="00AF3F86">
        <w:rPr>
          <w:kern w:val="22"/>
          <w:szCs w:val="22"/>
        </w:rPr>
        <w:t>z</w:t>
      </w:r>
      <w:r w:rsidRPr="00AF3F86">
        <w:rPr>
          <w:kern w:val="22"/>
          <w:szCs w:val="22"/>
        </w:rPr>
        <w:t xml:space="preserve">ed relevant information to facilitate the work of the </w:t>
      </w:r>
      <w:r w:rsidR="0042779B" w:rsidRPr="00AF3F86">
        <w:rPr>
          <w:kern w:val="22"/>
          <w:szCs w:val="22"/>
        </w:rPr>
        <w:t>O</w:t>
      </w:r>
      <w:r w:rsidRPr="00AF3F86">
        <w:rPr>
          <w:kern w:val="22"/>
          <w:szCs w:val="22"/>
        </w:rPr>
        <w:t xml:space="preserve">nline </w:t>
      </w:r>
      <w:r w:rsidR="0042779B" w:rsidRPr="00AF3F86">
        <w:rPr>
          <w:kern w:val="22"/>
          <w:szCs w:val="22"/>
        </w:rPr>
        <w:t>F</w:t>
      </w:r>
      <w:r w:rsidRPr="00AF3F86">
        <w:rPr>
          <w:kern w:val="22"/>
          <w:szCs w:val="22"/>
        </w:rPr>
        <w:t>orum and the AHTEG, and (d) convened a meeting of the AHTEG.</w:t>
      </w:r>
      <w:r w:rsidR="005C7D30" w:rsidRPr="00AF3F86">
        <w:rPr>
          <w:kern w:val="22"/>
          <w:szCs w:val="22"/>
        </w:rPr>
        <w:t xml:space="preserve"> More information on these activities is provided in the following subsections.</w:t>
      </w:r>
    </w:p>
    <w:p w14:paraId="441E989C" w14:textId="4C48A2BA" w:rsidR="003350EC" w:rsidRPr="00431F85" w:rsidRDefault="00960E01" w:rsidP="00AF3F86">
      <w:pPr>
        <w:pStyle w:val="Heading2"/>
        <w:numPr>
          <w:ilvl w:val="0"/>
          <w:numId w:val="73"/>
        </w:numPr>
        <w:suppressLineNumbers/>
        <w:tabs>
          <w:tab w:val="clear" w:pos="720"/>
        </w:tabs>
        <w:suppressAutoHyphens/>
        <w:ind w:left="714" w:hanging="357"/>
        <w:rPr>
          <w:kern w:val="22"/>
          <w:szCs w:val="22"/>
        </w:rPr>
      </w:pPr>
      <w:r w:rsidRPr="00431F85">
        <w:rPr>
          <w:kern w:val="22"/>
          <w:szCs w:val="22"/>
        </w:rPr>
        <w:t>Submissions of information on risk assessment</w:t>
      </w:r>
    </w:p>
    <w:p w14:paraId="406D77BE" w14:textId="75CF1A23" w:rsidR="006D044D" w:rsidRPr="00AF3F86" w:rsidRDefault="003350EC" w:rsidP="00AF3F86">
      <w:pPr>
        <w:pStyle w:val="Para1"/>
        <w:suppressLineNumbers/>
        <w:tabs>
          <w:tab w:val="clear" w:pos="360"/>
        </w:tabs>
        <w:suppressAutoHyphens/>
        <w:rPr>
          <w:kern w:val="22"/>
          <w:szCs w:val="22"/>
        </w:rPr>
      </w:pPr>
      <w:r w:rsidRPr="00AF3F86">
        <w:rPr>
          <w:kern w:val="22"/>
          <w:szCs w:val="22"/>
        </w:rPr>
        <w:t xml:space="preserve">The Executive Secretary issued notification </w:t>
      </w:r>
      <w:hyperlink r:id="rId16" w:history="1">
        <w:r w:rsidRPr="00AF3F86">
          <w:rPr>
            <w:rStyle w:val="Hyperlink"/>
            <w:kern w:val="22"/>
            <w:sz w:val="22"/>
            <w:szCs w:val="22"/>
          </w:rPr>
          <w:t>2019-009</w:t>
        </w:r>
      </w:hyperlink>
      <w:r w:rsidRPr="00AF3F86">
        <w:rPr>
          <w:kern w:val="22"/>
          <w:szCs w:val="22"/>
        </w:rPr>
        <w:t xml:space="preserve"> (dated 1 February 2019), inviting Parties, other Governments, relevant organizations and indigenous peoples and local communities to submit information related to:</w:t>
      </w:r>
    </w:p>
    <w:p w14:paraId="2559D860" w14:textId="0150C560" w:rsidR="003350EC" w:rsidRPr="00AF3F86" w:rsidRDefault="003350EC" w:rsidP="00AF3F86">
      <w:pPr>
        <w:pStyle w:val="ListParagraph"/>
        <w:numPr>
          <w:ilvl w:val="0"/>
          <w:numId w:val="9"/>
        </w:numPr>
        <w:suppressLineNumbers/>
        <w:suppressAutoHyphens/>
        <w:spacing w:after="120"/>
        <w:ind w:left="0" w:firstLine="720"/>
        <w:contextualSpacing w:val="0"/>
        <w:rPr>
          <w:kern w:val="22"/>
          <w:szCs w:val="22"/>
        </w:rPr>
      </w:pPr>
      <w:r w:rsidRPr="00AF3F86">
        <w:rPr>
          <w:kern w:val="22"/>
          <w:szCs w:val="22"/>
        </w:rPr>
        <w:t>Experience in undertaking risk assessment of living modified organisms containing engineered gene drives and living modified fish (detailing how and for which cases); or else, lack of experience in doing so;</w:t>
      </w:r>
    </w:p>
    <w:p w14:paraId="02CEA55C" w14:textId="25508F87" w:rsidR="003350EC" w:rsidRPr="00AF3F86" w:rsidRDefault="003350EC" w:rsidP="00AF3F86">
      <w:pPr>
        <w:pStyle w:val="ListParagraph"/>
        <w:numPr>
          <w:ilvl w:val="0"/>
          <w:numId w:val="9"/>
        </w:numPr>
        <w:suppressLineNumbers/>
        <w:suppressAutoHyphens/>
        <w:spacing w:after="120"/>
        <w:ind w:left="0" w:firstLine="720"/>
        <w:contextualSpacing w:val="0"/>
        <w:rPr>
          <w:kern w:val="22"/>
          <w:szCs w:val="22"/>
        </w:rPr>
      </w:pPr>
      <w:r w:rsidRPr="00AF3F86">
        <w:rPr>
          <w:kern w:val="22"/>
          <w:szCs w:val="22"/>
        </w:rPr>
        <w:t>Challenges experienced or foreseen in undertaking risk assessment of living modified organisms containing engineered gene drives and living modified fish;</w:t>
      </w:r>
    </w:p>
    <w:p w14:paraId="4996D48D" w14:textId="1C8E8593" w:rsidR="006D044D" w:rsidRPr="00AF3F86" w:rsidRDefault="003350EC" w:rsidP="00AF3F86">
      <w:pPr>
        <w:pStyle w:val="ListParagraph"/>
        <w:numPr>
          <w:ilvl w:val="0"/>
          <w:numId w:val="9"/>
        </w:numPr>
        <w:suppressLineNumbers/>
        <w:suppressAutoHyphens/>
        <w:spacing w:after="120"/>
        <w:ind w:left="0" w:firstLine="720"/>
        <w:contextualSpacing w:val="0"/>
        <w:rPr>
          <w:kern w:val="22"/>
          <w:szCs w:val="22"/>
        </w:rPr>
      </w:pPr>
      <w:r w:rsidRPr="00AF3F86">
        <w:rPr>
          <w:kern w:val="22"/>
          <w:szCs w:val="22"/>
        </w:rPr>
        <w:t>Specific needs (if any) to properly undertake risk assessment of living modified organisms containing engineered gene drives.</w:t>
      </w:r>
    </w:p>
    <w:p w14:paraId="0EE9AACF" w14:textId="30A6F07B" w:rsidR="00960E01" w:rsidRPr="00AF3F86" w:rsidRDefault="003350EC" w:rsidP="00AF3F86">
      <w:pPr>
        <w:pStyle w:val="Para1"/>
        <w:suppressLineNumbers/>
        <w:tabs>
          <w:tab w:val="clear" w:pos="360"/>
        </w:tabs>
        <w:suppressAutoHyphens/>
        <w:rPr>
          <w:kern w:val="22"/>
          <w:szCs w:val="22"/>
        </w:rPr>
      </w:pPr>
      <w:r w:rsidRPr="00AF3F86">
        <w:rPr>
          <w:kern w:val="22"/>
          <w:szCs w:val="22"/>
        </w:rPr>
        <w:t xml:space="preserve">A total of 29 submissions were received by the Secretariat, of which 22 were from Parties, 2 from non-Parties, and 5 from organizations. A synthesis of the submissions has been issued as </w:t>
      </w:r>
      <w:hyperlink r:id="rId17" w:history="1">
        <w:r w:rsidRPr="00AF3F86">
          <w:rPr>
            <w:rStyle w:val="Hyperlink"/>
            <w:kern w:val="22"/>
            <w:sz w:val="22"/>
            <w:szCs w:val="22"/>
          </w:rPr>
          <w:t>CBD/CP/RA/AHTEG/2020/1/INF/1</w:t>
        </w:r>
      </w:hyperlink>
      <w:r w:rsidRPr="00AF3F86">
        <w:rPr>
          <w:kern w:val="22"/>
          <w:szCs w:val="22"/>
        </w:rPr>
        <w:t xml:space="preserve"> and the original submissions are available through the Biosafety Clearing-House at </w:t>
      </w:r>
      <w:hyperlink r:id="rId18" w:history="1">
        <w:r w:rsidR="00E30D46" w:rsidRPr="00AF3F86">
          <w:rPr>
            <w:rStyle w:val="Hyperlink"/>
            <w:kern w:val="22"/>
            <w:sz w:val="22"/>
            <w:szCs w:val="22"/>
          </w:rPr>
          <w:t>https://bch.cbd.int/onlineconferences/submissions.shtml</w:t>
        </w:r>
      </w:hyperlink>
      <w:r w:rsidRPr="00AF3F86">
        <w:rPr>
          <w:kern w:val="22"/>
          <w:szCs w:val="22"/>
        </w:rPr>
        <w:t>.</w:t>
      </w:r>
      <w:r w:rsidR="00E30D46" w:rsidRPr="00AF3F86">
        <w:rPr>
          <w:kern w:val="22"/>
          <w:szCs w:val="22"/>
        </w:rPr>
        <w:t xml:space="preserve"> </w:t>
      </w:r>
      <w:r w:rsidR="00163787" w:rsidRPr="00AF3F86">
        <w:rPr>
          <w:kern w:val="22"/>
          <w:szCs w:val="22"/>
        </w:rPr>
        <w:t>Relevant information from the submissions was included in the working document for the AHTEG</w:t>
      </w:r>
      <w:r w:rsidR="00C46B71" w:rsidRPr="00AF3F86">
        <w:rPr>
          <w:kern w:val="22"/>
          <w:szCs w:val="22"/>
        </w:rPr>
        <w:t>.</w:t>
      </w:r>
      <w:r w:rsidR="0034428E" w:rsidRPr="00AF3F86">
        <w:rPr>
          <w:rStyle w:val="FootnoteReference"/>
          <w:kern w:val="22"/>
          <w:szCs w:val="22"/>
        </w:rPr>
        <w:footnoteReference w:id="3"/>
      </w:r>
    </w:p>
    <w:p w14:paraId="03D0D677" w14:textId="66EDB597" w:rsidR="006D044D" w:rsidRPr="00431F85" w:rsidRDefault="00892B38" w:rsidP="00AF3F86">
      <w:pPr>
        <w:pStyle w:val="Heading2"/>
        <w:numPr>
          <w:ilvl w:val="0"/>
          <w:numId w:val="73"/>
        </w:numPr>
        <w:suppressLineNumbers/>
        <w:tabs>
          <w:tab w:val="clear" w:pos="720"/>
        </w:tabs>
        <w:suppressAutoHyphens/>
        <w:ind w:left="1208" w:hanging="357"/>
        <w:jc w:val="left"/>
        <w:rPr>
          <w:kern w:val="22"/>
          <w:szCs w:val="22"/>
        </w:rPr>
      </w:pPr>
      <w:r w:rsidRPr="00431F85">
        <w:rPr>
          <w:iCs w:val="0"/>
          <w:kern w:val="22"/>
          <w:szCs w:val="22"/>
        </w:rPr>
        <w:t>Commissioning of studies</w:t>
      </w:r>
      <w:r w:rsidR="00E009B1" w:rsidRPr="00431F85">
        <w:rPr>
          <w:iCs w:val="0"/>
          <w:kern w:val="22"/>
          <w:szCs w:val="22"/>
        </w:rPr>
        <w:t xml:space="preserve"> and Open-ended Online Forum on Risk Assessment and Risk</w:t>
      </w:r>
      <w:r w:rsidR="007B5F11" w:rsidRPr="00431F85">
        <w:rPr>
          <w:iCs w:val="0"/>
          <w:kern w:val="22"/>
          <w:szCs w:val="22"/>
        </w:rPr>
        <w:t> </w:t>
      </w:r>
      <w:r w:rsidR="00E009B1" w:rsidRPr="00431F85">
        <w:rPr>
          <w:iCs w:val="0"/>
          <w:kern w:val="22"/>
          <w:szCs w:val="22"/>
        </w:rPr>
        <w:t>Management</w:t>
      </w:r>
    </w:p>
    <w:p w14:paraId="6A97A22B" w14:textId="485C53F9" w:rsidR="00DF2856" w:rsidRPr="00AF3F86" w:rsidRDefault="00E92866" w:rsidP="00AF3F86">
      <w:pPr>
        <w:pStyle w:val="Para1"/>
        <w:suppressLineNumbers/>
        <w:tabs>
          <w:tab w:val="clear" w:pos="360"/>
        </w:tabs>
        <w:suppressAutoHyphens/>
        <w:rPr>
          <w:kern w:val="22"/>
          <w:szCs w:val="22"/>
        </w:rPr>
      </w:pPr>
      <w:r w:rsidRPr="00AF3F86">
        <w:rPr>
          <w:kern w:val="22"/>
          <w:szCs w:val="22"/>
        </w:rPr>
        <w:t xml:space="preserve">With the financial support of the Governments of Germany and the Netherlands, the Executive Secretary commissioned two studies to inform the application of annex I of decision CP-9/13 to (a) </w:t>
      </w:r>
      <w:r w:rsidR="0030183F" w:rsidRPr="00AF3F86">
        <w:rPr>
          <w:kern w:val="22"/>
          <w:szCs w:val="22"/>
        </w:rPr>
        <w:t>living modified organisms containing engineered gene drives</w:t>
      </w:r>
      <w:r w:rsidRPr="00AF3F86">
        <w:rPr>
          <w:kern w:val="22"/>
          <w:szCs w:val="22"/>
        </w:rPr>
        <w:t>, and (b)</w:t>
      </w:r>
      <w:r w:rsidR="0030183F" w:rsidRPr="00AF3F86">
        <w:rPr>
          <w:kern w:val="22"/>
          <w:szCs w:val="22"/>
        </w:rPr>
        <w:t xml:space="preserve"> living modified fish</w:t>
      </w:r>
      <w:r w:rsidR="00911042" w:rsidRPr="00AF3F86">
        <w:rPr>
          <w:kern w:val="22"/>
          <w:szCs w:val="22"/>
        </w:rPr>
        <w:t>.</w:t>
      </w:r>
    </w:p>
    <w:p w14:paraId="792920BB" w14:textId="4E6B0F37" w:rsidR="00703160" w:rsidRPr="00AF3F86" w:rsidRDefault="00911042" w:rsidP="00AF3F86">
      <w:pPr>
        <w:pStyle w:val="Para1"/>
        <w:suppressLineNumbers/>
        <w:tabs>
          <w:tab w:val="clear" w:pos="360"/>
        </w:tabs>
        <w:suppressAutoHyphens/>
        <w:rPr>
          <w:kern w:val="22"/>
          <w:szCs w:val="22"/>
        </w:rPr>
      </w:pPr>
      <w:r w:rsidRPr="00AF3F86">
        <w:rPr>
          <w:kern w:val="22"/>
          <w:szCs w:val="22"/>
        </w:rPr>
        <w:t xml:space="preserve">Drafts of the studies were </w:t>
      </w:r>
      <w:r w:rsidR="00DF2856" w:rsidRPr="00AF3F86">
        <w:rPr>
          <w:kern w:val="22"/>
          <w:szCs w:val="22"/>
        </w:rPr>
        <w:t>made available for discussion in</w:t>
      </w:r>
      <w:r w:rsidRPr="00AF3F86">
        <w:rPr>
          <w:kern w:val="22"/>
          <w:szCs w:val="22"/>
        </w:rPr>
        <w:t xml:space="preserve"> the </w:t>
      </w:r>
      <w:r w:rsidR="005656F6" w:rsidRPr="00AF3F86">
        <w:rPr>
          <w:kern w:val="22"/>
          <w:szCs w:val="22"/>
        </w:rPr>
        <w:t>O</w:t>
      </w:r>
      <w:r w:rsidR="00DF2856" w:rsidRPr="00AF3F86">
        <w:rPr>
          <w:kern w:val="22"/>
          <w:szCs w:val="22"/>
        </w:rPr>
        <w:t xml:space="preserve">nline </w:t>
      </w:r>
      <w:r w:rsidR="005656F6" w:rsidRPr="00AF3F86">
        <w:rPr>
          <w:kern w:val="22"/>
          <w:szCs w:val="22"/>
        </w:rPr>
        <w:t>F</w:t>
      </w:r>
      <w:r w:rsidR="00DF2856" w:rsidRPr="00AF3F86">
        <w:rPr>
          <w:kern w:val="22"/>
          <w:szCs w:val="22"/>
        </w:rPr>
        <w:t xml:space="preserve">orum </w:t>
      </w:r>
      <w:r w:rsidR="0016390D" w:rsidRPr="00AF3F86">
        <w:rPr>
          <w:kern w:val="22"/>
          <w:szCs w:val="22"/>
        </w:rPr>
        <w:t>convened through the Biosafety Clearing-House.</w:t>
      </w:r>
      <w:r w:rsidR="0016390D" w:rsidRPr="00AF3F86">
        <w:rPr>
          <w:rStyle w:val="FootnoteReference"/>
          <w:kern w:val="22"/>
          <w:szCs w:val="22"/>
        </w:rPr>
        <w:footnoteReference w:id="4"/>
      </w:r>
      <w:r w:rsidR="0016390D" w:rsidRPr="00AF3F86">
        <w:rPr>
          <w:kern w:val="22"/>
          <w:szCs w:val="22"/>
        </w:rPr>
        <w:t xml:space="preserve"> The discussions were held</w:t>
      </w:r>
      <w:r w:rsidRPr="00AF3F86">
        <w:rPr>
          <w:kern w:val="22"/>
          <w:szCs w:val="22"/>
        </w:rPr>
        <w:t xml:space="preserve"> </w:t>
      </w:r>
      <w:r w:rsidR="00A04F9F" w:rsidRPr="00AF3F86">
        <w:rPr>
          <w:kern w:val="22"/>
          <w:szCs w:val="22"/>
        </w:rPr>
        <w:t xml:space="preserve">from 20 January to 1 February 2020 and were moderated by Ms. </w:t>
      </w:r>
      <w:proofErr w:type="spellStart"/>
      <w:r w:rsidR="00A04F9F" w:rsidRPr="00AF3F86">
        <w:rPr>
          <w:kern w:val="22"/>
          <w:szCs w:val="22"/>
        </w:rPr>
        <w:t>Marja</w:t>
      </w:r>
      <w:proofErr w:type="spellEnd"/>
      <w:r w:rsidR="00A04F9F" w:rsidRPr="00AF3F86">
        <w:rPr>
          <w:kern w:val="22"/>
          <w:szCs w:val="22"/>
        </w:rPr>
        <w:t xml:space="preserve"> </w:t>
      </w:r>
      <w:proofErr w:type="spellStart"/>
      <w:r w:rsidR="00A04F9F" w:rsidRPr="00AF3F86">
        <w:rPr>
          <w:kern w:val="22"/>
          <w:szCs w:val="22"/>
        </w:rPr>
        <w:t>Ruohonen-Lehto</w:t>
      </w:r>
      <w:proofErr w:type="spellEnd"/>
      <w:r w:rsidR="00A04F9F" w:rsidRPr="00AF3F86">
        <w:rPr>
          <w:kern w:val="22"/>
          <w:szCs w:val="22"/>
        </w:rPr>
        <w:t xml:space="preserve"> from Finland.</w:t>
      </w:r>
    </w:p>
    <w:p w14:paraId="77DD29E7" w14:textId="7C339ADA" w:rsidR="00A26CAD" w:rsidRPr="00AF3F86" w:rsidRDefault="00F20F98" w:rsidP="00AF3F86">
      <w:pPr>
        <w:pStyle w:val="Para1"/>
        <w:suppressLineNumbers/>
        <w:tabs>
          <w:tab w:val="clear" w:pos="360"/>
        </w:tabs>
        <w:suppressAutoHyphens/>
        <w:rPr>
          <w:kern w:val="22"/>
          <w:szCs w:val="22"/>
        </w:rPr>
      </w:pPr>
      <w:r w:rsidRPr="00AF3F86">
        <w:rPr>
          <w:kern w:val="22"/>
          <w:szCs w:val="22"/>
        </w:rPr>
        <w:t>By notification 2019-095</w:t>
      </w:r>
      <w:r w:rsidR="00E653A2" w:rsidRPr="00AF3F86">
        <w:rPr>
          <w:kern w:val="22"/>
          <w:szCs w:val="22"/>
        </w:rPr>
        <w:t xml:space="preserve"> (24 October 2019)</w:t>
      </w:r>
      <w:r w:rsidRPr="00AF3F86">
        <w:rPr>
          <w:kern w:val="22"/>
          <w:szCs w:val="22"/>
        </w:rPr>
        <w:t xml:space="preserve">, </w:t>
      </w:r>
      <w:r w:rsidR="00E653A2" w:rsidRPr="00AF3F86">
        <w:rPr>
          <w:kern w:val="22"/>
          <w:szCs w:val="22"/>
        </w:rPr>
        <w:t xml:space="preserve">Parties, other Governments, </w:t>
      </w:r>
      <w:r w:rsidR="00BF68DE" w:rsidRPr="00AF3F86">
        <w:rPr>
          <w:kern w:val="22"/>
          <w:szCs w:val="22"/>
        </w:rPr>
        <w:t xml:space="preserve">indigenous peoples and local communities </w:t>
      </w:r>
      <w:r w:rsidR="00E653A2" w:rsidRPr="00AF3F86">
        <w:rPr>
          <w:kern w:val="22"/>
          <w:szCs w:val="22"/>
        </w:rPr>
        <w:t xml:space="preserve">and relevant organizations were invited to nominate experts to participate </w:t>
      </w:r>
      <w:r w:rsidR="0077250B" w:rsidRPr="00AF3F86">
        <w:rPr>
          <w:kern w:val="22"/>
          <w:szCs w:val="22"/>
        </w:rPr>
        <w:t xml:space="preserve">in the </w:t>
      </w:r>
      <w:r w:rsidR="00EC14D6" w:rsidRPr="00AF3F86">
        <w:rPr>
          <w:kern w:val="22"/>
          <w:szCs w:val="22"/>
        </w:rPr>
        <w:t>f</w:t>
      </w:r>
      <w:r w:rsidR="0077250B" w:rsidRPr="00AF3F86">
        <w:rPr>
          <w:kern w:val="22"/>
          <w:szCs w:val="22"/>
        </w:rPr>
        <w:t>orum.</w:t>
      </w:r>
    </w:p>
    <w:p w14:paraId="544FEB46" w14:textId="62C89049" w:rsidR="00395C3A" w:rsidRPr="00AF3F86" w:rsidRDefault="00A26CAD" w:rsidP="00AF3F86">
      <w:pPr>
        <w:pStyle w:val="Para1"/>
        <w:suppressLineNumbers/>
        <w:tabs>
          <w:tab w:val="clear" w:pos="360"/>
        </w:tabs>
        <w:suppressAutoHyphens/>
        <w:rPr>
          <w:kern w:val="22"/>
          <w:szCs w:val="22"/>
        </w:rPr>
      </w:pPr>
      <w:r w:rsidRPr="00AF3F86">
        <w:rPr>
          <w:kern w:val="22"/>
          <w:szCs w:val="22"/>
        </w:rPr>
        <w:t xml:space="preserve">The total number of participants registered for the </w:t>
      </w:r>
      <w:r w:rsidR="00EC14D6" w:rsidRPr="00AF3F86">
        <w:rPr>
          <w:kern w:val="22"/>
          <w:szCs w:val="22"/>
        </w:rPr>
        <w:t>f</w:t>
      </w:r>
      <w:r w:rsidRPr="00AF3F86">
        <w:rPr>
          <w:kern w:val="22"/>
          <w:szCs w:val="22"/>
        </w:rPr>
        <w:t xml:space="preserve">orum was 199. Of this total, 149 were from Parties, 4 were from non-Parties, 45 were from </w:t>
      </w:r>
      <w:r w:rsidR="005F6CB9" w:rsidRPr="00AF3F86">
        <w:rPr>
          <w:kern w:val="22"/>
          <w:szCs w:val="22"/>
        </w:rPr>
        <w:t xml:space="preserve">organizations </w:t>
      </w:r>
      <w:r w:rsidRPr="00AF3F86">
        <w:rPr>
          <w:kern w:val="22"/>
          <w:szCs w:val="22"/>
        </w:rPr>
        <w:t>and 1 represented indigenous peoples and local communities.</w:t>
      </w:r>
      <w:r w:rsidR="00395C3A" w:rsidRPr="00AF3F86">
        <w:rPr>
          <w:kern w:val="22"/>
          <w:szCs w:val="22"/>
        </w:rPr>
        <w:t xml:space="preserve"> </w:t>
      </w:r>
      <w:r w:rsidRPr="00AF3F86">
        <w:rPr>
          <w:kern w:val="22"/>
          <w:szCs w:val="22"/>
        </w:rPr>
        <w:t xml:space="preserve">A total of 59 participants were active, and 96 interventions were made. Out of this total, 56 interventions were made by Parties, 4 by non-Parties, </w:t>
      </w:r>
      <w:r w:rsidR="005F6CB9" w:rsidRPr="00AF3F86">
        <w:rPr>
          <w:kern w:val="22"/>
          <w:szCs w:val="22"/>
        </w:rPr>
        <w:t xml:space="preserve">and </w:t>
      </w:r>
      <w:r w:rsidRPr="00AF3F86">
        <w:rPr>
          <w:kern w:val="22"/>
          <w:szCs w:val="22"/>
        </w:rPr>
        <w:t xml:space="preserve">36 by organizations. There were no interventions made by representatives of </w:t>
      </w:r>
      <w:r w:rsidR="00985283" w:rsidRPr="00AF3F86">
        <w:rPr>
          <w:kern w:val="22"/>
          <w:szCs w:val="22"/>
        </w:rPr>
        <w:t>indigenous peoples and local communities</w:t>
      </w:r>
      <w:r w:rsidRPr="00AF3F86">
        <w:rPr>
          <w:kern w:val="22"/>
          <w:szCs w:val="22"/>
        </w:rPr>
        <w:t>.</w:t>
      </w:r>
    </w:p>
    <w:p w14:paraId="512696FE" w14:textId="43541A5C" w:rsidR="00395C3A" w:rsidRPr="00AF3F86" w:rsidRDefault="00395C3A" w:rsidP="00AF3F86">
      <w:pPr>
        <w:pStyle w:val="Para1"/>
        <w:suppressLineNumbers/>
        <w:tabs>
          <w:tab w:val="clear" w:pos="360"/>
        </w:tabs>
        <w:suppressAutoHyphens/>
        <w:rPr>
          <w:kern w:val="22"/>
          <w:szCs w:val="22"/>
        </w:rPr>
      </w:pPr>
      <w:r w:rsidRPr="00AF3F86">
        <w:rPr>
          <w:kern w:val="22"/>
          <w:szCs w:val="22"/>
        </w:rPr>
        <w:lastRenderedPageBreak/>
        <w:t>In making their interventions, participants were encouraged to focus their comments on the substance of the studies rather than on editorial suggestions, and to share information that:</w:t>
      </w:r>
    </w:p>
    <w:p w14:paraId="507B6D82" w14:textId="6DC760EF" w:rsidR="00395C3A" w:rsidRPr="00AF3F86" w:rsidRDefault="00395C3A" w:rsidP="00AF3F86">
      <w:pPr>
        <w:pStyle w:val="ListParagraph"/>
        <w:numPr>
          <w:ilvl w:val="0"/>
          <w:numId w:val="10"/>
        </w:numPr>
        <w:suppressLineNumbers/>
        <w:suppressAutoHyphens/>
        <w:spacing w:before="120" w:after="120"/>
        <w:ind w:left="0" w:firstLine="720"/>
        <w:contextualSpacing w:val="0"/>
        <w:rPr>
          <w:kern w:val="22"/>
          <w:szCs w:val="22"/>
        </w:rPr>
      </w:pPr>
      <w:r w:rsidRPr="00AF3F86">
        <w:rPr>
          <w:kern w:val="22"/>
          <w:szCs w:val="22"/>
        </w:rPr>
        <w:t xml:space="preserve">Could complement the studies, </w:t>
      </w:r>
      <w:r w:rsidR="00890BCE" w:rsidRPr="00AF3F86">
        <w:rPr>
          <w:kern w:val="22"/>
          <w:szCs w:val="22"/>
        </w:rPr>
        <w:t>e.g.</w:t>
      </w:r>
      <w:r w:rsidRPr="00AF3F86">
        <w:rPr>
          <w:kern w:val="22"/>
          <w:szCs w:val="22"/>
        </w:rPr>
        <w:t xml:space="preserve"> further development of concepts, explanatory comments, relevant resources, bibliographic references, among others;</w:t>
      </w:r>
    </w:p>
    <w:p w14:paraId="2A24E8E6" w14:textId="77777777" w:rsidR="00395C3A" w:rsidRPr="00AF3F86" w:rsidRDefault="00395C3A" w:rsidP="00AF3F86">
      <w:pPr>
        <w:pStyle w:val="ListParagraph"/>
        <w:numPr>
          <w:ilvl w:val="0"/>
          <w:numId w:val="10"/>
        </w:numPr>
        <w:suppressLineNumbers/>
        <w:suppressAutoHyphens/>
        <w:spacing w:before="120" w:after="120"/>
        <w:ind w:left="0" w:firstLine="720"/>
        <w:contextualSpacing w:val="0"/>
        <w:rPr>
          <w:kern w:val="22"/>
          <w:szCs w:val="22"/>
        </w:rPr>
      </w:pPr>
      <w:r w:rsidRPr="00AF3F86">
        <w:rPr>
          <w:kern w:val="22"/>
          <w:szCs w:val="22"/>
        </w:rPr>
        <w:t>Could identify any information gaps or factual errors;</w:t>
      </w:r>
    </w:p>
    <w:p w14:paraId="36233AC6" w14:textId="14DE9635" w:rsidR="002178CB" w:rsidRPr="00AF3F86" w:rsidRDefault="00890BCE" w:rsidP="00AF3F86">
      <w:pPr>
        <w:pStyle w:val="ListParagraph"/>
        <w:numPr>
          <w:ilvl w:val="0"/>
          <w:numId w:val="10"/>
        </w:numPr>
        <w:suppressLineNumbers/>
        <w:suppressAutoHyphens/>
        <w:spacing w:before="120" w:after="120"/>
        <w:ind w:left="0" w:firstLine="720"/>
        <w:contextualSpacing w:val="0"/>
        <w:rPr>
          <w:kern w:val="22"/>
          <w:szCs w:val="22"/>
        </w:rPr>
      </w:pPr>
      <w:r w:rsidRPr="00AF3F86">
        <w:rPr>
          <w:kern w:val="22"/>
          <w:szCs w:val="22"/>
        </w:rPr>
        <w:t>Wa</w:t>
      </w:r>
      <w:r w:rsidR="00395C3A" w:rsidRPr="00AF3F86">
        <w:rPr>
          <w:kern w:val="22"/>
          <w:szCs w:val="22"/>
        </w:rPr>
        <w:t>s relevant to one or more of the aspects of annex I to decision CP-9/13.</w:t>
      </w:r>
    </w:p>
    <w:p w14:paraId="2E082FBF" w14:textId="40F72B1C" w:rsidR="00DB37BC" w:rsidRPr="00AF3F86" w:rsidRDefault="002F3094" w:rsidP="00AF3F86">
      <w:pPr>
        <w:pStyle w:val="Para1"/>
        <w:suppressLineNumbers/>
        <w:tabs>
          <w:tab w:val="clear" w:pos="360"/>
        </w:tabs>
        <w:suppressAutoHyphens/>
        <w:rPr>
          <w:b/>
          <w:bCs/>
          <w:kern w:val="22"/>
          <w:szCs w:val="22"/>
        </w:rPr>
      </w:pPr>
      <w:r w:rsidRPr="00AF3F86">
        <w:rPr>
          <w:kern w:val="22"/>
          <w:szCs w:val="22"/>
        </w:rPr>
        <w:t>D</w:t>
      </w:r>
      <w:r w:rsidR="00395C3A" w:rsidRPr="00AF3F86">
        <w:rPr>
          <w:kern w:val="22"/>
          <w:szCs w:val="22"/>
        </w:rPr>
        <w:t>ocument</w:t>
      </w:r>
      <w:hyperlink r:id="rId19" w:history="1">
        <w:r w:rsidRPr="00AF3F86">
          <w:rPr>
            <w:rStyle w:val="Hyperlink"/>
            <w:kern w:val="22"/>
            <w:sz w:val="22"/>
            <w:szCs w:val="22"/>
          </w:rPr>
          <w:t xml:space="preserve"> CBD/CP/RA/AHTEG/2020/1/INF/2</w:t>
        </w:r>
      </w:hyperlink>
      <w:r w:rsidR="00395C3A" w:rsidRPr="00AF3F86">
        <w:rPr>
          <w:kern w:val="22"/>
          <w:szCs w:val="22"/>
        </w:rPr>
        <w:t xml:space="preserve"> provides a synthesis of the views shared through the </w:t>
      </w:r>
      <w:r w:rsidR="00710AB3" w:rsidRPr="00AF3F86">
        <w:rPr>
          <w:kern w:val="22"/>
          <w:szCs w:val="22"/>
        </w:rPr>
        <w:t>O</w:t>
      </w:r>
      <w:r w:rsidR="00395C3A" w:rsidRPr="00AF3F86">
        <w:rPr>
          <w:kern w:val="22"/>
          <w:szCs w:val="22"/>
        </w:rPr>
        <w:t xml:space="preserve">nline </w:t>
      </w:r>
      <w:r w:rsidR="00710AB3" w:rsidRPr="00AF3F86">
        <w:rPr>
          <w:kern w:val="22"/>
          <w:szCs w:val="22"/>
        </w:rPr>
        <w:t>F</w:t>
      </w:r>
      <w:r w:rsidR="00395C3A" w:rsidRPr="00AF3F86">
        <w:rPr>
          <w:kern w:val="22"/>
          <w:szCs w:val="22"/>
        </w:rPr>
        <w:t>orum. For a full account of all views, it is recommended to refer to the original online interventions through the Biosafety Clearing-House (</w:t>
      </w:r>
      <w:hyperlink r:id="rId20" w:history="1">
        <w:r w:rsidR="001844FC" w:rsidRPr="00AF3F86">
          <w:rPr>
            <w:rStyle w:val="Hyperlink"/>
            <w:kern w:val="22"/>
            <w:sz w:val="22"/>
            <w:szCs w:val="22"/>
          </w:rPr>
          <w:t>https://bch.cbd.int/onlineconferences/forum_ra/discussion.shtml</w:t>
        </w:r>
      </w:hyperlink>
      <w:r w:rsidR="00395C3A" w:rsidRPr="00AF3F86">
        <w:rPr>
          <w:kern w:val="22"/>
          <w:szCs w:val="22"/>
        </w:rPr>
        <w:t>).</w:t>
      </w:r>
    </w:p>
    <w:p w14:paraId="4410C403" w14:textId="3C1BEC2D" w:rsidR="00A26CAD" w:rsidRPr="00AF3F86" w:rsidRDefault="00EB0560" w:rsidP="00AF3F86">
      <w:pPr>
        <w:pStyle w:val="Para1"/>
        <w:suppressLineNumbers/>
        <w:tabs>
          <w:tab w:val="clear" w:pos="360"/>
        </w:tabs>
        <w:suppressAutoHyphens/>
        <w:rPr>
          <w:kern w:val="22"/>
          <w:szCs w:val="22"/>
        </w:rPr>
      </w:pPr>
      <w:r w:rsidRPr="00AF3F86">
        <w:rPr>
          <w:kern w:val="22"/>
          <w:szCs w:val="22"/>
        </w:rPr>
        <w:t xml:space="preserve">Following the discussions in the </w:t>
      </w:r>
      <w:r w:rsidR="00910518" w:rsidRPr="00AF3F86">
        <w:rPr>
          <w:kern w:val="22"/>
          <w:szCs w:val="22"/>
        </w:rPr>
        <w:t>O</w:t>
      </w:r>
      <w:r w:rsidRPr="00AF3F86">
        <w:rPr>
          <w:kern w:val="22"/>
          <w:szCs w:val="22"/>
        </w:rPr>
        <w:t xml:space="preserve">nline </w:t>
      </w:r>
      <w:r w:rsidR="00910518" w:rsidRPr="00AF3F86">
        <w:rPr>
          <w:kern w:val="22"/>
          <w:szCs w:val="22"/>
        </w:rPr>
        <w:t>F</w:t>
      </w:r>
      <w:r w:rsidRPr="00AF3F86">
        <w:rPr>
          <w:kern w:val="22"/>
          <w:szCs w:val="22"/>
        </w:rPr>
        <w:t>orum, the consultan</w:t>
      </w:r>
      <w:r w:rsidR="00D20191" w:rsidRPr="00AF3F86">
        <w:rPr>
          <w:kern w:val="22"/>
          <w:szCs w:val="22"/>
        </w:rPr>
        <w:t>t</w:t>
      </w:r>
      <w:r w:rsidRPr="00AF3F86">
        <w:rPr>
          <w:kern w:val="22"/>
          <w:szCs w:val="22"/>
        </w:rPr>
        <w:t xml:space="preserve">s revised and finalized the studies </w:t>
      </w:r>
      <w:proofErr w:type="gramStart"/>
      <w:r w:rsidRPr="00AF3F86">
        <w:rPr>
          <w:kern w:val="22"/>
          <w:szCs w:val="22"/>
        </w:rPr>
        <w:t>taking into account</w:t>
      </w:r>
      <w:proofErr w:type="gramEnd"/>
      <w:r w:rsidRPr="00AF3F86">
        <w:rPr>
          <w:kern w:val="22"/>
          <w:szCs w:val="22"/>
        </w:rPr>
        <w:t xml:space="preserve"> the comments made.</w:t>
      </w:r>
      <w:r w:rsidR="00D20191" w:rsidRPr="00AF3F86">
        <w:rPr>
          <w:kern w:val="22"/>
          <w:szCs w:val="22"/>
        </w:rPr>
        <w:t xml:space="preserve"> T</w:t>
      </w:r>
      <w:r w:rsidR="00DB37BC" w:rsidRPr="00AF3F86">
        <w:rPr>
          <w:kern w:val="22"/>
          <w:szCs w:val="22"/>
        </w:rPr>
        <w:t>he final versions</w:t>
      </w:r>
      <w:r w:rsidR="00D20191" w:rsidRPr="00AF3F86">
        <w:rPr>
          <w:kern w:val="22"/>
          <w:szCs w:val="22"/>
        </w:rPr>
        <w:t xml:space="preserve"> of the studies</w:t>
      </w:r>
      <w:r w:rsidR="00DB37BC" w:rsidRPr="00AF3F86">
        <w:rPr>
          <w:kern w:val="22"/>
          <w:szCs w:val="22"/>
        </w:rPr>
        <w:t xml:space="preserve"> were made available on the BCH</w:t>
      </w:r>
      <w:r w:rsidR="00DB37BC" w:rsidRPr="00AF3F86">
        <w:rPr>
          <w:rStyle w:val="FootnoteReference"/>
          <w:kern w:val="22"/>
          <w:szCs w:val="22"/>
        </w:rPr>
        <w:footnoteReference w:id="5"/>
      </w:r>
      <w:r w:rsidR="00DB37BC" w:rsidRPr="00AF3F86">
        <w:rPr>
          <w:kern w:val="22"/>
          <w:szCs w:val="22"/>
        </w:rPr>
        <w:t xml:space="preserve"> and to the AHTEG for its meeting.</w:t>
      </w:r>
      <w:r w:rsidR="001844FC" w:rsidRPr="00AF3F86">
        <w:rPr>
          <w:kern w:val="22"/>
          <w:szCs w:val="22"/>
        </w:rPr>
        <w:t xml:space="preserve"> </w:t>
      </w:r>
      <w:r w:rsidR="00CF253C" w:rsidRPr="00AF3F86">
        <w:rPr>
          <w:kern w:val="22"/>
          <w:szCs w:val="22"/>
        </w:rPr>
        <w:t xml:space="preserve">The studies have also been made available as information documents for </w:t>
      </w:r>
      <w:r w:rsidR="000A6BFC" w:rsidRPr="00AF3F86">
        <w:rPr>
          <w:kern w:val="22"/>
          <w:szCs w:val="22"/>
        </w:rPr>
        <w:t>the twenty-fourth meeting of the Subsidiary Body on Scientific, Technical and Technological Advice</w:t>
      </w:r>
      <w:r w:rsidR="00CF253C" w:rsidRPr="00AF3F86">
        <w:rPr>
          <w:kern w:val="22"/>
          <w:szCs w:val="22"/>
        </w:rPr>
        <w:t xml:space="preserve"> (see documents </w:t>
      </w:r>
      <w:hyperlink r:id="rId21" w:history="1">
        <w:r w:rsidR="00CF253C" w:rsidRPr="00AF3F86">
          <w:rPr>
            <w:rStyle w:val="Hyperlink"/>
            <w:kern w:val="22"/>
            <w:sz w:val="22"/>
            <w:szCs w:val="22"/>
          </w:rPr>
          <w:t>CBD/CP/RA/AHTEG/2020/1/3</w:t>
        </w:r>
      </w:hyperlink>
      <w:r w:rsidR="00CF253C" w:rsidRPr="00AF3F86">
        <w:rPr>
          <w:kern w:val="22"/>
          <w:szCs w:val="22"/>
        </w:rPr>
        <w:t xml:space="preserve"> and </w:t>
      </w:r>
      <w:hyperlink r:id="rId22" w:history="1">
        <w:r w:rsidR="00CF253C" w:rsidRPr="00AF3F86">
          <w:rPr>
            <w:rStyle w:val="Hyperlink"/>
            <w:kern w:val="22"/>
            <w:sz w:val="22"/>
            <w:szCs w:val="22"/>
          </w:rPr>
          <w:t>CBD/CP/RA/AHTEG/2020/1/4</w:t>
        </w:r>
      </w:hyperlink>
      <w:r w:rsidR="00CF253C" w:rsidRPr="00AF3F86">
        <w:rPr>
          <w:rStyle w:val="Hyperlink"/>
          <w:kern w:val="22"/>
          <w:sz w:val="22"/>
          <w:szCs w:val="22"/>
        </w:rPr>
        <w:t>).</w:t>
      </w:r>
    </w:p>
    <w:p w14:paraId="2E5C4B57" w14:textId="3DF8BAF4" w:rsidR="00AA3915" w:rsidRPr="00AF3F86" w:rsidRDefault="00960E01" w:rsidP="00AF3F86">
      <w:pPr>
        <w:pStyle w:val="Heading2"/>
        <w:numPr>
          <w:ilvl w:val="0"/>
          <w:numId w:val="73"/>
        </w:numPr>
        <w:suppressLineNumbers/>
        <w:tabs>
          <w:tab w:val="clear" w:pos="720"/>
          <w:tab w:val="left" w:pos="1134"/>
        </w:tabs>
        <w:suppressAutoHyphens/>
        <w:ind w:left="1134"/>
        <w:jc w:val="left"/>
        <w:rPr>
          <w:b w:val="0"/>
          <w:bCs w:val="0"/>
          <w:kern w:val="22"/>
          <w:szCs w:val="22"/>
        </w:rPr>
      </w:pPr>
      <w:r w:rsidRPr="00AF3F86">
        <w:rPr>
          <w:kern w:val="22"/>
          <w:szCs w:val="22"/>
        </w:rPr>
        <w:t xml:space="preserve">Collection and synthesis of relevant information to facilitate the work of the </w:t>
      </w:r>
      <w:r w:rsidR="00F107B1" w:rsidRPr="00AF3F86">
        <w:rPr>
          <w:kern w:val="22"/>
          <w:szCs w:val="22"/>
        </w:rPr>
        <w:t>O</w:t>
      </w:r>
      <w:r w:rsidRPr="00AF3F86">
        <w:rPr>
          <w:kern w:val="22"/>
          <w:szCs w:val="22"/>
        </w:rPr>
        <w:t xml:space="preserve">nline </w:t>
      </w:r>
      <w:r w:rsidR="00F107B1" w:rsidRPr="00AF3F86">
        <w:rPr>
          <w:kern w:val="22"/>
          <w:szCs w:val="22"/>
        </w:rPr>
        <w:t>F</w:t>
      </w:r>
      <w:r w:rsidRPr="00AF3F86">
        <w:rPr>
          <w:kern w:val="22"/>
          <w:szCs w:val="22"/>
        </w:rPr>
        <w:t>orum and the AHTEG</w:t>
      </w:r>
    </w:p>
    <w:p w14:paraId="71838098" w14:textId="60C9D399" w:rsidR="00AA3915" w:rsidRPr="00AF3F86" w:rsidRDefault="00AA3915" w:rsidP="00AF3F86">
      <w:pPr>
        <w:pStyle w:val="Para1"/>
        <w:suppressLineNumbers/>
        <w:tabs>
          <w:tab w:val="clear" w:pos="360"/>
        </w:tabs>
        <w:suppressAutoHyphens/>
        <w:rPr>
          <w:kern w:val="22"/>
          <w:szCs w:val="22"/>
        </w:rPr>
      </w:pPr>
      <w:proofErr w:type="gramStart"/>
      <w:r w:rsidRPr="00AF3F86">
        <w:rPr>
          <w:kern w:val="22"/>
          <w:szCs w:val="22"/>
        </w:rPr>
        <w:t>On the basis of</w:t>
      </w:r>
      <w:proofErr w:type="gramEnd"/>
      <w:r w:rsidRPr="00AF3F86">
        <w:rPr>
          <w:kern w:val="22"/>
          <w:szCs w:val="22"/>
        </w:rPr>
        <w:t xml:space="preserve"> decision CP-9/13, paragraph 11, in which the Executive Secretary was requested to collect and synthesize relevant information to facilitate the work of the Online Forum and the AHTEG, the information </w:t>
      </w:r>
      <w:r w:rsidR="00D42340">
        <w:rPr>
          <w:kern w:val="22"/>
          <w:szCs w:val="22"/>
        </w:rPr>
        <w:t xml:space="preserve">that appears below </w:t>
      </w:r>
      <w:r w:rsidRPr="00AF3F86">
        <w:rPr>
          <w:kern w:val="22"/>
          <w:szCs w:val="22"/>
        </w:rPr>
        <w:t>has been gather</w:t>
      </w:r>
      <w:r w:rsidR="00077816" w:rsidRPr="00AF3F86">
        <w:rPr>
          <w:kern w:val="22"/>
          <w:szCs w:val="22"/>
        </w:rPr>
        <w:t>ed</w:t>
      </w:r>
      <w:r w:rsidRPr="00AF3F86">
        <w:rPr>
          <w:kern w:val="22"/>
          <w:szCs w:val="22"/>
        </w:rPr>
        <w:t xml:space="preserve"> by the Secretariat</w:t>
      </w:r>
      <w:r w:rsidR="00D42340">
        <w:rPr>
          <w:kern w:val="22"/>
          <w:szCs w:val="22"/>
        </w:rPr>
        <w:t>.</w:t>
      </w:r>
    </w:p>
    <w:p w14:paraId="6046480A" w14:textId="25CF4D51" w:rsidR="006D044D" w:rsidRPr="00AF3F86" w:rsidRDefault="00AA3915" w:rsidP="00AF3F86">
      <w:pPr>
        <w:pStyle w:val="ListParagraph"/>
        <w:numPr>
          <w:ilvl w:val="0"/>
          <w:numId w:val="11"/>
        </w:numPr>
        <w:suppressLineNumbers/>
        <w:suppressAutoHyphens/>
        <w:spacing w:before="120" w:after="120"/>
        <w:contextualSpacing w:val="0"/>
        <w:rPr>
          <w:kern w:val="22"/>
          <w:szCs w:val="22"/>
        </w:rPr>
      </w:pPr>
      <w:r w:rsidRPr="00AF3F86">
        <w:rPr>
          <w:i/>
          <w:iCs/>
          <w:kern w:val="22"/>
          <w:szCs w:val="22"/>
        </w:rPr>
        <w:t>Information on needs for guidance identified by Parties in their fourth national reports on the implementation of the Protocol</w:t>
      </w:r>
    </w:p>
    <w:p w14:paraId="3B689C8F" w14:textId="4B10CF74" w:rsidR="00AA3915" w:rsidRPr="00AF3F86" w:rsidRDefault="00890BCE" w:rsidP="00AF3F86">
      <w:pPr>
        <w:pStyle w:val="Para1"/>
        <w:suppressLineNumbers/>
        <w:tabs>
          <w:tab w:val="clear" w:pos="360"/>
        </w:tabs>
        <w:suppressAutoHyphens/>
        <w:rPr>
          <w:kern w:val="22"/>
          <w:szCs w:val="22"/>
        </w:rPr>
      </w:pPr>
      <w:r w:rsidRPr="00AF3F86">
        <w:rPr>
          <w:kern w:val="22"/>
          <w:szCs w:val="22"/>
        </w:rPr>
        <w:t>F</w:t>
      </w:r>
      <w:r w:rsidR="00AA3915" w:rsidRPr="00AF3F86">
        <w:rPr>
          <w:kern w:val="22"/>
          <w:szCs w:val="22"/>
        </w:rPr>
        <w:t>ourth national reports o</w:t>
      </w:r>
      <w:r w:rsidR="00781C6A" w:rsidRPr="00AF3F86">
        <w:rPr>
          <w:kern w:val="22"/>
          <w:szCs w:val="22"/>
        </w:rPr>
        <w:t>n</w:t>
      </w:r>
      <w:r w:rsidR="00AA3915" w:rsidRPr="00AF3F86">
        <w:rPr>
          <w:kern w:val="22"/>
          <w:szCs w:val="22"/>
        </w:rPr>
        <w:t xml:space="preserve"> the implementation of the Cartagena Protocol were due</w:t>
      </w:r>
      <w:r w:rsidRPr="00AF3F86">
        <w:rPr>
          <w:kern w:val="22"/>
          <w:szCs w:val="22"/>
        </w:rPr>
        <w:t xml:space="preserve"> on 1 October 2019. Q</w:t>
      </w:r>
      <w:r w:rsidR="00AA3915" w:rsidRPr="00AF3F86">
        <w:rPr>
          <w:kern w:val="22"/>
          <w:szCs w:val="22"/>
        </w:rPr>
        <w:t>uestion 69</w:t>
      </w:r>
      <w:r w:rsidRPr="00AF3F86">
        <w:rPr>
          <w:kern w:val="22"/>
          <w:szCs w:val="22"/>
        </w:rPr>
        <w:t xml:space="preserve"> of the reporting format asked</w:t>
      </w:r>
      <w:r w:rsidR="005D0420">
        <w:rPr>
          <w:kern w:val="22"/>
          <w:szCs w:val="22"/>
        </w:rPr>
        <w:t>,</w:t>
      </w:r>
      <w:r w:rsidR="001844FC" w:rsidRPr="00AF3F86">
        <w:rPr>
          <w:kern w:val="22"/>
          <w:szCs w:val="22"/>
        </w:rPr>
        <w:t xml:space="preserve"> </w:t>
      </w:r>
      <w:r w:rsidRPr="00AF3F86">
        <w:rPr>
          <w:kern w:val="22"/>
          <w:szCs w:val="22"/>
        </w:rPr>
        <w:t>“</w:t>
      </w:r>
      <w:r w:rsidR="00210CA2" w:rsidRPr="00AF3F86">
        <w:rPr>
          <w:kern w:val="22"/>
          <w:szCs w:val="22"/>
        </w:rPr>
        <w:t>Does your country have specific needs for further guidance on specific topics of risk assessment of LMOs?</w:t>
      </w:r>
      <w:r w:rsidRPr="00AF3F86">
        <w:rPr>
          <w:kern w:val="22"/>
          <w:szCs w:val="22"/>
        </w:rPr>
        <w:t>”</w:t>
      </w:r>
      <w:r w:rsidR="0031181A" w:rsidRPr="00AF3F86">
        <w:rPr>
          <w:kern w:val="22"/>
          <w:szCs w:val="22"/>
        </w:rPr>
        <w:t>.</w:t>
      </w:r>
      <w:r w:rsidR="001A24D6" w:rsidRPr="00AF3F86">
        <w:rPr>
          <w:kern w:val="22"/>
          <w:szCs w:val="22"/>
        </w:rPr>
        <w:t xml:space="preserve"> Some Parties </w:t>
      </w:r>
      <w:r w:rsidR="00B44D13" w:rsidRPr="00AF3F86">
        <w:rPr>
          <w:kern w:val="22"/>
          <w:szCs w:val="22"/>
        </w:rPr>
        <w:t xml:space="preserve">also provided </w:t>
      </w:r>
      <w:r w:rsidR="00D346F3" w:rsidRPr="00AF3F86">
        <w:rPr>
          <w:kern w:val="22"/>
          <w:szCs w:val="22"/>
        </w:rPr>
        <w:t>information on needs for further guidance on risk assessment of LMOs in the free text field under question</w:t>
      </w:r>
      <w:r w:rsidR="00EF2EB3">
        <w:rPr>
          <w:kern w:val="22"/>
          <w:szCs w:val="22"/>
        </w:rPr>
        <w:t> </w:t>
      </w:r>
      <w:r w:rsidR="002A6FC6" w:rsidRPr="00AF3F86">
        <w:rPr>
          <w:kern w:val="22"/>
          <w:szCs w:val="22"/>
        </w:rPr>
        <w:t>84</w:t>
      </w:r>
      <w:r w:rsidR="00D346F3" w:rsidRPr="00AF3F86">
        <w:rPr>
          <w:kern w:val="22"/>
          <w:szCs w:val="22"/>
        </w:rPr>
        <w:t>.</w:t>
      </w:r>
    </w:p>
    <w:p w14:paraId="058F0A98" w14:textId="3E4A111A" w:rsidR="00AA3915" w:rsidRPr="00AF3F86" w:rsidRDefault="00AA3915" w:rsidP="00AF3F86">
      <w:pPr>
        <w:pStyle w:val="Para1"/>
        <w:suppressLineNumbers/>
        <w:tabs>
          <w:tab w:val="clear" w:pos="360"/>
        </w:tabs>
        <w:suppressAutoHyphens/>
        <w:rPr>
          <w:kern w:val="22"/>
          <w:szCs w:val="22"/>
        </w:rPr>
      </w:pPr>
      <w:r w:rsidRPr="00AF3F86">
        <w:rPr>
          <w:kern w:val="22"/>
          <w:szCs w:val="22"/>
        </w:rPr>
        <w:t xml:space="preserve">Based on the above, the Secretariat </w:t>
      </w:r>
      <w:r w:rsidR="00210CA2" w:rsidRPr="00AF3F86">
        <w:rPr>
          <w:kern w:val="22"/>
          <w:szCs w:val="22"/>
        </w:rPr>
        <w:t>summari</w:t>
      </w:r>
      <w:r w:rsidR="00F23571" w:rsidRPr="00AF3F86">
        <w:rPr>
          <w:kern w:val="22"/>
          <w:szCs w:val="22"/>
        </w:rPr>
        <w:t>z</w:t>
      </w:r>
      <w:r w:rsidR="00210CA2" w:rsidRPr="00AF3F86">
        <w:rPr>
          <w:kern w:val="22"/>
          <w:szCs w:val="22"/>
        </w:rPr>
        <w:t>ed</w:t>
      </w:r>
      <w:r w:rsidRPr="00AF3F86">
        <w:rPr>
          <w:kern w:val="22"/>
          <w:szCs w:val="22"/>
        </w:rPr>
        <w:t xml:space="preserve"> </w:t>
      </w:r>
      <w:r w:rsidR="00210CA2" w:rsidRPr="00AF3F86">
        <w:rPr>
          <w:kern w:val="22"/>
          <w:szCs w:val="22"/>
        </w:rPr>
        <w:t>the</w:t>
      </w:r>
      <w:r w:rsidRPr="00AF3F86">
        <w:rPr>
          <w:kern w:val="22"/>
          <w:szCs w:val="22"/>
        </w:rPr>
        <w:t xml:space="preserve"> information from the fourth national reports </w:t>
      </w:r>
      <w:r w:rsidR="00210CA2" w:rsidRPr="00AF3F86">
        <w:rPr>
          <w:kern w:val="22"/>
          <w:szCs w:val="22"/>
        </w:rPr>
        <w:t xml:space="preserve">and included it </w:t>
      </w:r>
      <w:r w:rsidR="008065A3" w:rsidRPr="00AF3F86">
        <w:rPr>
          <w:kern w:val="22"/>
          <w:szCs w:val="22"/>
        </w:rPr>
        <w:t xml:space="preserve">in </w:t>
      </w:r>
      <w:r w:rsidR="00210CA2" w:rsidRPr="00AF3F86">
        <w:rPr>
          <w:kern w:val="22"/>
          <w:szCs w:val="22"/>
        </w:rPr>
        <w:t xml:space="preserve">document </w:t>
      </w:r>
      <w:hyperlink r:id="rId23" w:history="1">
        <w:r w:rsidR="00210CA2" w:rsidRPr="00AF3F86">
          <w:rPr>
            <w:rStyle w:val="Hyperlink"/>
            <w:kern w:val="22"/>
            <w:sz w:val="22"/>
            <w:szCs w:val="22"/>
          </w:rPr>
          <w:t>CBD/CP/RA/AHTEG/2020/1/2</w:t>
        </w:r>
      </w:hyperlink>
      <w:r w:rsidR="007C5E0A">
        <w:rPr>
          <w:rStyle w:val="Hyperlink"/>
          <w:kern w:val="22"/>
          <w:sz w:val="22"/>
          <w:szCs w:val="22"/>
        </w:rPr>
        <w:t>,</w:t>
      </w:r>
      <w:r w:rsidR="007C5E0A" w:rsidRPr="007C5E0A">
        <w:rPr>
          <w:kern w:val="22"/>
          <w:szCs w:val="22"/>
        </w:rPr>
        <w:t xml:space="preserve"> </w:t>
      </w:r>
      <w:r w:rsidR="007C5E0A" w:rsidRPr="000D3EF7">
        <w:rPr>
          <w:kern w:val="22"/>
          <w:szCs w:val="22"/>
        </w:rPr>
        <w:t>section IV</w:t>
      </w:r>
      <w:r w:rsidR="00210CA2" w:rsidRPr="00AF3F86">
        <w:rPr>
          <w:kern w:val="22"/>
          <w:szCs w:val="22"/>
        </w:rPr>
        <w:t xml:space="preserve">. </w:t>
      </w:r>
      <w:r w:rsidR="004900D3" w:rsidRPr="00AF3F86">
        <w:rPr>
          <w:kern w:val="22"/>
          <w:szCs w:val="22"/>
        </w:rPr>
        <w:t xml:space="preserve">An updated version of this information is </w:t>
      </w:r>
      <w:r w:rsidR="00210CA2" w:rsidRPr="00AF3F86">
        <w:rPr>
          <w:kern w:val="22"/>
          <w:szCs w:val="22"/>
        </w:rPr>
        <w:t xml:space="preserve">also presented </w:t>
      </w:r>
      <w:r w:rsidR="00D7774C" w:rsidRPr="00AF3F86">
        <w:rPr>
          <w:kern w:val="22"/>
          <w:szCs w:val="22"/>
        </w:rPr>
        <w:t>i</w:t>
      </w:r>
      <w:r w:rsidR="000E74E1" w:rsidRPr="00AF3F86">
        <w:rPr>
          <w:kern w:val="22"/>
          <w:szCs w:val="22"/>
        </w:rPr>
        <w:t xml:space="preserve">n information document </w:t>
      </w:r>
      <w:r w:rsidR="004B1BE8" w:rsidRPr="00AF3F86">
        <w:rPr>
          <w:kern w:val="22"/>
          <w:szCs w:val="22"/>
        </w:rPr>
        <w:t>CBD/SBSTTA/24/INF/13</w:t>
      </w:r>
      <w:r w:rsidR="00210CA2" w:rsidRPr="00AF3F86">
        <w:rPr>
          <w:kern w:val="22"/>
          <w:szCs w:val="22"/>
        </w:rPr>
        <w:t>.</w:t>
      </w:r>
    </w:p>
    <w:p w14:paraId="2E1BDB68" w14:textId="3A7EEA1D" w:rsidR="000563FE" w:rsidRPr="00AF3F86" w:rsidRDefault="00AA3915" w:rsidP="00AF3F86">
      <w:pPr>
        <w:pStyle w:val="ListParagraph"/>
        <w:numPr>
          <w:ilvl w:val="0"/>
          <w:numId w:val="11"/>
        </w:numPr>
        <w:suppressLineNumbers/>
        <w:suppressAutoHyphens/>
        <w:contextualSpacing w:val="0"/>
        <w:rPr>
          <w:kern w:val="22"/>
          <w:szCs w:val="22"/>
        </w:rPr>
      </w:pPr>
      <w:r w:rsidRPr="00AF3F86">
        <w:rPr>
          <w:i/>
          <w:iCs/>
          <w:kern w:val="22"/>
          <w:szCs w:val="22"/>
        </w:rPr>
        <w:t>List of bibliographic references on engineered gene drives and living modified fish</w:t>
      </w:r>
    </w:p>
    <w:p w14:paraId="6E392837" w14:textId="6FC6CB25" w:rsidR="00AA3915" w:rsidRPr="00AF3F86" w:rsidRDefault="00921F1C" w:rsidP="00AF3F86">
      <w:pPr>
        <w:pStyle w:val="Para1"/>
        <w:suppressLineNumbers/>
        <w:tabs>
          <w:tab w:val="clear" w:pos="360"/>
        </w:tabs>
        <w:suppressAutoHyphens/>
        <w:rPr>
          <w:kern w:val="22"/>
          <w:szCs w:val="22"/>
        </w:rPr>
      </w:pPr>
      <w:r w:rsidRPr="00AF3F86">
        <w:rPr>
          <w:kern w:val="22"/>
          <w:szCs w:val="22"/>
        </w:rPr>
        <w:t xml:space="preserve">The Secretariat prepared </w:t>
      </w:r>
      <w:r w:rsidR="009A37D6" w:rsidRPr="00AF3F86">
        <w:rPr>
          <w:kern w:val="22"/>
          <w:szCs w:val="22"/>
        </w:rPr>
        <w:t xml:space="preserve">a </w:t>
      </w:r>
      <w:r w:rsidRPr="00AF3F86">
        <w:rPr>
          <w:kern w:val="22"/>
          <w:szCs w:val="22"/>
        </w:rPr>
        <w:t>document compil</w:t>
      </w:r>
      <w:r w:rsidR="009A37D6" w:rsidRPr="00AF3F86">
        <w:rPr>
          <w:kern w:val="22"/>
          <w:szCs w:val="22"/>
        </w:rPr>
        <w:t>ing</w:t>
      </w:r>
      <w:r w:rsidRPr="00AF3F86">
        <w:rPr>
          <w:kern w:val="22"/>
          <w:szCs w:val="22"/>
        </w:rPr>
        <w:t xml:space="preserve"> a list of references</w:t>
      </w:r>
      <w:r w:rsidR="009A37D6" w:rsidRPr="00AF3F86">
        <w:rPr>
          <w:kern w:val="22"/>
          <w:szCs w:val="22"/>
        </w:rPr>
        <w:t xml:space="preserve"> on engineered gene drives and living modified fish</w:t>
      </w:r>
      <w:r w:rsidRPr="00AF3F86">
        <w:rPr>
          <w:kern w:val="22"/>
          <w:szCs w:val="22"/>
        </w:rPr>
        <w:t xml:space="preserve"> from various sources with the aim </w:t>
      </w:r>
      <w:r w:rsidR="006C7815">
        <w:rPr>
          <w:kern w:val="22"/>
          <w:szCs w:val="22"/>
        </w:rPr>
        <w:t>of</w:t>
      </w:r>
      <w:r w:rsidR="006C7815" w:rsidRPr="00AF3F86">
        <w:rPr>
          <w:kern w:val="22"/>
          <w:szCs w:val="22"/>
        </w:rPr>
        <w:t xml:space="preserve"> </w:t>
      </w:r>
      <w:r w:rsidRPr="00AF3F86">
        <w:rPr>
          <w:kern w:val="22"/>
          <w:szCs w:val="22"/>
        </w:rPr>
        <w:t>support</w:t>
      </w:r>
      <w:r w:rsidR="006C7815">
        <w:rPr>
          <w:kern w:val="22"/>
          <w:szCs w:val="22"/>
        </w:rPr>
        <w:t>ing</w:t>
      </w:r>
      <w:r w:rsidRPr="00AF3F86">
        <w:rPr>
          <w:kern w:val="22"/>
          <w:szCs w:val="22"/>
        </w:rPr>
        <w:t xml:space="preserve"> the deliberations of the AHTEG by providing background information that </w:t>
      </w:r>
      <w:r w:rsidR="006C7815">
        <w:rPr>
          <w:kern w:val="22"/>
          <w:szCs w:val="22"/>
        </w:rPr>
        <w:t>could</w:t>
      </w:r>
      <w:r w:rsidR="006C7815" w:rsidRPr="00AF3F86">
        <w:rPr>
          <w:kern w:val="22"/>
          <w:szCs w:val="22"/>
        </w:rPr>
        <w:t xml:space="preserve"> </w:t>
      </w:r>
      <w:r w:rsidRPr="00AF3F86">
        <w:rPr>
          <w:kern w:val="22"/>
          <w:szCs w:val="22"/>
        </w:rPr>
        <w:t>be relevant for discussion on the various agenda items.</w:t>
      </w:r>
      <w:r w:rsidR="003469EF" w:rsidRPr="00AF3F86">
        <w:rPr>
          <w:rStyle w:val="FootnoteReference"/>
          <w:kern w:val="22"/>
          <w:szCs w:val="22"/>
        </w:rPr>
        <w:footnoteReference w:id="6"/>
      </w:r>
      <w:r w:rsidR="000563FE" w:rsidRPr="00AF3F86">
        <w:rPr>
          <w:kern w:val="22"/>
          <w:szCs w:val="22"/>
        </w:rPr>
        <w:t xml:space="preserve"> </w:t>
      </w:r>
      <w:r w:rsidRPr="00AF3F86">
        <w:rPr>
          <w:kern w:val="22"/>
          <w:szCs w:val="22"/>
        </w:rPr>
        <w:t>Additional bibliographic references were provided by some of the AHTEG members during the meeting</w:t>
      </w:r>
      <w:r w:rsidR="00EE71E8" w:rsidRPr="00AF3F86">
        <w:rPr>
          <w:kern w:val="22"/>
          <w:szCs w:val="22"/>
        </w:rPr>
        <w:t>. The list of references was</w:t>
      </w:r>
      <w:r w:rsidRPr="00AF3F86">
        <w:rPr>
          <w:kern w:val="22"/>
          <w:szCs w:val="22"/>
        </w:rPr>
        <w:t xml:space="preserve"> updated </w:t>
      </w:r>
      <w:r w:rsidR="00EE71E8" w:rsidRPr="00AF3F86">
        <w:rPr>
          <w:kern w:val="22"/>
          <w:szCs w:val="22"/>
        </w:rPr>
        <w:t>accordingly and</w:t>
      </w:r>
      <w:r w:rsidR="005B281B" w:rsidRPr="00AF3F86">
        <w:rPr>
          <w:kern w:val="22"/>
          <w:szCs w:val="22"/>
        </w:rPr>
        <w:t xml:space="preserve"> has been </w:t>
      </w:r>
      <w:r w:rsidR="00EE71E8" w:rsidRPr="00AF3F86">
        <w:rPr>
          <w:kern w:val="22"/>
          <w:szCs w:val="22"/>
        </w:rPr>
        <w:t>made available</w:t>
      </w:r>
      <w:r w:rsidR="005B281B" w:rsidRPr="00AF3F86">
        <w:rPr>
          <w:kern w:val="22"/>
          <w:szCs w:val="22"/>
        </w:rPr>
        <w:t xml:space="preserve"> as information document </w:t>
      </w:r>
      <w:hyperlink r:id="rId24" w:history="1">
        <w:r w:rsidR="00A6266B" w:rsidRPr="00AF3F86">
          <w:rPr>
            <w:rStyle w:val="Hyperlink"/>
            <w:kern w:val="22"/>
            <w:sz w:val="22"/>
            <w:szCs w:val="22"/>
          </w:rPr>
          <w:t>CBD/SBSTTA/</w:t>
        </w:r>
        <w:r w:rsidR="008065A3" w:rsidRPr="00AF3F86">
          <w:rPr>
            <w:rStyle w:val="Hyperlink"/>
            <w:kern w:val="22"/>
            <w:sz w:val="22"/>
            <w:szCs w:val="22"/>
          </w:rPr>
          <w:t>24/</w:t>
        </w:r>
        <w:r w:rsidR="00A6266B" w:rsidRPr="00AF3F86">
          <w:rPr>
            <w:rStyle w:val="Hyperlink"/>
            <w:kern w:val="22"/>
            <w:sz w:val="22"/>
            <w:szCs w:val="22"/>
          </w:rPr>
          <w:t>INF/7</w:t>
        </w:r>
      </w:hyperlink>
      <w:r w:rsidR="005B281B" w:rsidRPr="00AF3F86">
        <w:rPr>
          <w:kern w:val="22"/>
          <w:szCs w:val="22"/>
        </w:rPr>
        <w:t>.</w:t>
      </w:r>
    </w:p>
    <w:p w14:paraId="4E4C76E9" w14:textId="4C19A7D0" w:rsidR="00386290" w:rsidRPr="00AF3F86" w:rsidRDefault="00892B38" w:rsidP="00AF3F86">
      <w:pPr>
        <w:pStyle w:val="Heading2"/>
        <w:numPr>
          <w:ilvl w:val="0"/>
          <w:numId w:val="73"/>
        </w:numPr>
        <w:suppressLineNumbers/>
        <w:tabs>
          <w:tab w:val="clear" w:pos="720"/>
          <w:tab w:val="left" w:pos="426"/>
        </w:tabs>
        <w:suppressAutoHyphens/>
        <w:ind w:left="0" w:firstLine="0"/>
        <w:rPr>
          <w:b w:val="0"/>
          <w:bCs w:val="0"/>
          <w:kern w:val="22"/>
          <w:szCs w:val="22"/>
        </w:rPr>
      </w:pPr>
      <w:r w:rsidRPr="00AF3F86">
        <w:rPr>
          <w:kern w:val="22"/>
          <w:szCs w:val="22"/>
        </w:rPr>
        <w:t>Meeting of the A</w:t>
      </w:r>
      <w:r w:rsidR="00894430" w:rsidRPr="00AF3F86">
        <w:rPr>
          <w:kern w:val="22"/>
          <w:szCs w:val="22"/>
        </w:rPr>
        <w:t>d</w:t>
      </w:r>
      <w:r w:rsidRPr="00AF3F86">
        <w:rPr>
          <w:kern w:val="22"/>
          <w:szCs w:val="22"/>
        </w:rPr>
        <w:t xml:space="preserve"> </w:t>
      </w:r>
      <w:r w:rsidR="00894430" w:rsidRPr="00AF3F86">
        <w:rPr>
          <w:kern w:val="22"/>
          <w:szCs w:val="22"/>
        </w:rPr>
        <w:t>H</w:t>
      </w:r>
      <w:r w:rsidRPr="00AF3F86">
        <w:rPr>
          <w:kern w:val="22"/>
          <w:szCs w:val="22"/>
        </w:rPr>
        <w:t xml:space="preserve">oc Technical Expert Group on </w:t>
      </w:r>
      <w:r w:rsidR="00894430" w:rsidRPr="00AF3F86">
        <w:rPr>
          <w:kern w:val="22"/>
          <w:szCs w:val="22"/>
        </w:rPr>
        <w:t>R</w:t>
      </w:r>
      <w:r w:rsidRPr="00AF3F86">
        <w:rPr>
          <w:kern w:val="22"/>
          <w:szCs w:val="22"/>
        </w:rPr>
        <w:t xml:space="preserve">isk </w:t>
      </w:r>
      <w:r w:rsidR="00894430" w:rsidRPr="00AF3F86">
        <w:rPr>
          <w:kern w:val="22"/>
          <w:szCs w:val="22"/>
        </w:rPr>
        <w:t>A</w:t>
      </w:r>
      <w:r w:rsidRPr="00AF3F86">
        <w:rPr>
          <w:kern w:val="22"/>
          <w:szCs w:val="22"/>
        </w:rPr>
        <w:t>ssessment</w:t>
      </w:r>
    </w:p>
    <w:p w14:paraId="51D4432C" w14:textId="4928A782" w:rsidR="000F09E6" w:rsidRPr="00AF3F86" w:rsidRDefault="00894430" w:rsidP="00AF3F86">
      <w:pPr>
        <w:pStyle w:val="Para1"/>
        <w:suppressLineNumbers/>
        <w:tabs>
          <w:tab w:val="clear" w:pos="360"/>
        </w:tabs>
        <w:suppressAutoHyphens/>
        <w:rPr>
          <w:kern w:val="22"/>
          <w:szCs w:val="22"/>
        </w:rPr>
      </w:pPr>
      <w:r w:rsidRPr="00AF3F86">
        <w:rPr>
          <w:kern w:val="22"/>
          <w:szCs w:val="22"/>
        </w:rPr>
        <w:t>I</w:t>
      </w:r>
      <w:r w:rsidR="000F09E6" w:rsidRPr="00AF3F86">
        <w:rPr>
          <w:kern w:val="22"/>
          <w:szCs w:val="22"/>
        </w:rPr>
        <w:t xml:space="preserve">n decision CP-9/13, the </w:t>
      </w:r>
      <w:r w:rsidR="00B7193F" w:rsidRPr="00AF3F86">
        <w:rPr>
          <w:kern w:val="22"/>
          <w:szCs w:val="22"/>
        </w:rPr>
        <w:t>Conference of the Parties serving as the meeting of the Parties to the Protocol</w:t>
      </w:r>
      <w:r w:rsidR="00B7193F" w:rsidRPr="00AF3F86" w:rsidDel="00F8146F">
        <w:rPr>
          <w:b/>
          <w:bCs/>
          <w:kern w:val="22"/>
          <w:szCs w:val="22"/>
        </w:rPr>
        <w:t xml:space="preserve"> </w:t>
      </w:r>
      <w:r w:rsidR="000F09E6" w:rsidRPr="00AF3F86">
        <w:rPr>
          <w:kern w:val="22"/>
          <w:szCs w:val="22"/>
        </w:rPr>
        <w:t xml:space="preserve">decided to establish an </w:t>
      </w:r>
      <w:r w:rsidR="00AD7694" w:rsidRPr="00AD7694">
        <w:rPr>
          <w:kern w:val="22"/>
          <w:szCs w:val="22"/>
        </w:rPr>
        <w:t xml:space="preserve">Ad Hoc Technical Expert Group </w:t>
      </w:r>
      <w:r w:rsidR="000F09E6" w:rsidRPr="00AF3F86">
        <w:rPr>
          <w:kern w:val="22"/>
          <w:szCs w:val="22"/>
        </w:rPr>
        <w:t xml:space="preserve">on </w:t>
      </w:r>
      <w:r w:rsidR="00AD7694">
        <w:rPr>
          <w:kern w:val="22"/>
          <w:szCs w:val="22"/>
        </w:rPr>
        <w:t>R</w:t>
      </w:r>
      <w:r w:rsidR="000F09E6" w:rsidRPr="00AF3F86">
        <w:rPr>
          <w:kern w:val="22"/>
          <w:szCs w:val="22"/>
        </w:rPr>
        <w:t xml:space="preserve">isk </w:t>
      </w:r>
      <w:r w:rsidR="00AD7694">
        <w:rPr>
          <w:kern w:val="22"/>
          <w:szCs w:val="22"/>
        </w:rPr>
        <w:t>A</w:t>
      </w:r>
      <w:r w:rsidR="000F09E6" w:rsidRPr="00AF3F86">
        <w:rPr>
          <w:kern w:val="22"/>
          <w:szCs w:val="22"/>
        </w:rPr>
        <w:t>ssessment</w:t>
      </w:r>
      <w:r w:rsidR="00AD7694">
        <w:rPr>
          <w:kern w:val="22"/>
          <w:szCs w:val="22"/>
        </w:rPr>
        <w:t xml:space="preserve"> (</w:t>
      </w:r>
      <w:r w:rsidR="00AD7694" w:rsidRPr="00C16D97">
        <w:rPr>
          <w:kern w:val="22"/>
          <w:szCs w:val="22"/>
        </w:rPr>
        <w:t>AHTEG</w:t>
      </w:r>
      <w:r w:rsidR="00AD7694">
        <w:rPr>
          <w:kern w:val="22"/>
          <w:szCs w:val="22"/>
        </w:rPr>
        <w:t>)</w:t>
      </w:r>
      <w:r w:rsidR="00942B1F" w:rsidRPr="00AF3F86">
        <w:rPr>
          <w:kern w:val="22"/>
          <w:szCs w:val="22"/>
        </w:rPr>
        <w:t xml:space="preserve">. </w:t>
      </w:r>
      <w:r w:rsidR="00FE4141">
        <w:rPr>
          <w:kern w:val="22"/>
          <w:szCs w:val="22"/>
        </w:rPr>
        <w:t>T</w:t>
      </w:r>
      <w:r w:rsidR="00FE4141" w:rsidRPr="00271816">
        <w:rPr>
          <w:kern w:val="22"/>
          <w:szCs w:val="22"/>
        </w:rPr>
        <w:t>he terms of reference for the AHTEG</w:t>
      </w:r>
      <w:r w:rsidR="00FE4141">
        <w:rPr>
          <w:kern w:val="22"/>
          <w:szCs w:val="22"/>
        </w:rPr>
        <w:t>,</w:t>
      </w:r>
      <w:r w:rsidR="00FE4141" w:rsidRPr="00AF3F86">
        <w:rPr>
          <w:kern w:val="22"/>
          <w:szCs w:val="22"/>
        </w:rPr>
        <w:t xml:space="preserve"> </w:t>
      </w:r>
      <w:r w:rsidR="00FE4141" w:rsidRPr="003B09A6">
        <w:rPr>
          <w:kern w:val="22"/>
          <w:szCs w:val="22"/>
        </w:rPr>
        <w:t>set out</w:t>
      </w:r>
      <w:r w:rsidR="00FE4141" w:rsidRPr="00AF3F86">
        <w:rPr>
          <w:kern w:val="22"/>
          <w:szCs w:val="22"/>
        </w:rPr>
        <w:t xml:space="preserve"> </w:t>
      </w:r>
      <w:r w:rsidR="00FE4141">
        <w:rPr>
          <w:kern w:val="22"/>
          <w:szCs w:val="22"/>
        </w:rPr>
        <w:t>in a</w:t>
      </w:r>
      <w:r w:rsidR="00942B1F" w:rsidRPr="00AF3F86">
        <w:rPr>
          <w:kern w:val="22"/>
          <w:szCs w:val="22"/>
        </w:rPr>
        <w:t>nnex II to the decision</w:t>
      </w:r>
      <w:r w:rsidR="00FE4141">
        <w:rPr>
          <w:kern w:val="22"/>
          <w:szCs w:val="22"/>
        </w:rPr>
        <w:t>,</w:t>
      </w:r>
      <w:r w:rsidR="00C2579B" w:rsidRPr="00AF3F86">
        <w:rPr>
          <w:kern w:val="22"/>
          <w:szCs w:val="22"/>
        </w:rPr>
        <w:t xml:space="preserve"> provide that the AHTEG, </w:t>
      </w:r>
      <w:proofErr w:type="gramStart"/>
      <w:r w:rsidR="00C2579B" w:rsidRPr="00AF3F86">
        <w:rPr>
          <w:kern w:val="22"/>
          <w:szCs w:val="22"/>
        </w:rPr>
        <w:t>taking into account</w:t>
      </w:r>
      <w:proofErr w:type="gramEnd"/>
      <w:r w:rsidR="00C2579B" w:rsidRPr="00AF3F86">
        <w:rPr>
          <w:kern w:val="22"/>
          <w:szCs w:val="22"/>
        </w:rPr>
        <w:t xml:space="preserve"> the work undertaken by the Ad Hoc Technical Expert Group on Synthetic Biology, shall</w:t>
      </w:r>
      <w:r w:rsidR="000F09E6" w:rsidRPr="00AF3F86">
        <w:rPr>
          <w:kern w:val="22"/>
          <w:szCs w:val="22"/>
        </w:rPr>
        <w:t>:</w:t>
      </w:r>
    </w:p>
    <w:p w14:paraId="5721C91F" w14:textId="51D8A45F" w:rsidR="000F09E6" w:rsidRPr="00AF3F86" w:rsidRDefault="000F09E6" w:rsidP="00AF3F86">
      <w:pPr>
        <w:pStyle w:val="ListParagraph"/>
        <w:suppressLineNumbers/>
        <w:suppressAutoHyphens/>
        <w:spacing w:before="120" w:after="120"/>
        <w:ind w:left="0" w:firstLine="720"/>
        <w:contextualSpacing w:val="0"/>
        <w:rPr>
          <w:kern w:val="22"/>
          <w:szCs w:val="22"/>
        </w:rPr>
      </w:pPr>
      <w:r w:rsidRPr="00AF3F86">
        <w:rPr>
          <w:kern w:val="22"/>
          <w:szCs w:val="22"/>
        </w:rPr>
        <w:lastRenderedPageBreak/>
        <w:t>(a)</w:t>
      </w:r>
      <w:r w:rsidR="00B7193F" w:rsidRPr="00AF3F86">
        <w:rPr>
          <w:kern w:val="22"/>
          <w:szCs w:val="22"/>
        </w:rPr>
        <w:tab/>
      </w:r>
      <w:r w:rsidRPr="00AF3F86">
        <w:rPr>
          <w:kern w:val="22"/>
          <w:szCs w:val="22"/>
        </w:rPr>
        <w:t>Review the stud</w:t>
      </w:r>
      <w:r w:rsidR="00145671" w:rsidRPr="00AF3F86">
        <w:rPr>
          <w:kern w:val="22"/>
          <w:szCs w:val="22"/>
        </w:rPr>
        <w:t>ies</w:t>
      </w:r>
      <w:r w:rsidRPr="00AF3F86">
        <w:rPr>
          <w:kern w:val="22"/>
          <w:szCs w:val="22"/>
        </w:rPr>
        <w:t xml:space="preserve"> </w:t>
      </w:r>
      <w:r w:rsidR="00145671" w:rsidRPr="00AF3F86">
        <w:rPr>
          <w:kern w:val="22"/>
          <w:szCs w:val="22"/>
        </w:rPr>
        <w:t xml:space="preserve">informing the application of </w:t>
      </w:r>
      <w:r w:rsidR="00A00C63" w:rsidRPr="00AF3F86">
        <w:rPr>
          <w:kern w:val="22"/>
          <w:szCs w:val="22"/>
        </w:rPr>
        <w:t>a</w:t>
      </w:r>
      <w:r w:rsidR="00145671" w:rsidRPr="00AF3F86">
        <w:rPr>
          <w:kern w:val="22"/>
          <w:szCs w:val="22"/>
        </w:rPr>
        <w:t>nnex I of the</w:t>
      </w:r>
      <w:r w:rsidRPr="00AF3F86">
        <w:rPr>
          <w:kern w:val="22"/>
          <w:szCs w:val="22"/>
        </w:rPr>
        <w:t xml:space="preserve"> decision </w:t>
      </w:r>
      <w:r w:rsidR="00145671" w:rsidRPr="00AF3F86">
        <w:rPr>
          <w:kern w:val="22"/>
          <w:szCs w:val="22"/>
        </w:rPr>
        <w:t>to</w:t>
      </w:r>
      <w:r w:rsidRPr="00AF3F86">
        <w:rPr>
          <w:kern w:val="22"/>
          <w:szCs w:val="22"/>
        </w:rPr>
        <w:t xml:space="preserve"> (</w:t>
      </w:r>
      <w:proofErr w:type="spellStart"/>
      <w:r w:rsidRPr="00AF3F86">
        <w:rPr>
          <w:kern w:val="22"/>
          <w:szCs w:val="22"/>
        </w:rPr>
        <w:t>i</w:t>
      </w:r>
      <w:proofErr w:type="spellEnd"/>
      <w:r w:rsidRPr="00AF3F86">
        <w:rPr>
          <w:kern w:val="22"/>
          <w:szCs w:val="22"/>
        </w:rPr>
        <w:t>) living modified organisms containing engineered gene drives and (ii) living modified fish,</w:t>
      </w:r>
      <w:r w:rsidR="00C07AEF" w:rsidRPr="00AF3F86">
        <w:rPr>
          <w:kern w:val="22"/>
          <w:szCs w:val="22"/>
        </w:rPr>
        <w:t xml:space="preserve"> and perform an analysis of these two groups of LMOs</w:t>
      </w:r>
      <w:r w:rsidRPr="00AF3F86">
        <w:rPr>
          <w:kern w:val="22"/>
          <w:szCs w:val="22"/>
        </w:rPr>
        <w:t xml:space="preserve"> according to annex I</w:t>
      </w:r>
      <w:r w:rsidR="00272F3A" w:rsidRPr="00AF3F86">
        <w:rPr>
          <w:kern w:val="22"/>
          <w:szCs w:val="22"/>
        </w:rPr>
        <w:t xml:space="preserve"> of </w:t>
      </w:r>
      <w:r w:rsidR="00C07AEF" w:rsidRPr="00AF3F86">
        <w:rPr>
          <w:kern w:val="22"/>
          <w:szCs w:val="22"/>
        </w:rPr>
        <w:t xml:space="preserve">the </w:t>
      </w:r>
      <w:r w:rsidR="00272F3A" w:rsidRPr="00AF3F86">
        <w:rPr>
          <w:kern w:val="22"/>
          <w:szCs w:val="22"/>
        </w:rPr>
        <w:t>decision</w:t>
      </w:r>
      <w:r w:rsidRPr="00AF3F86">
        <w:rPr>
          <w:kern w:val="22"/>
          <w:szCs w:val="22"/>
        </w:rPr>
        <w:t>, and supported by the data in the study;</w:t>
      </w:r>
    </w:p>
    <w:p w14:paraId="462D97CF" w14:textId="7F26A3AE" w:rsidR="000F09E6" w:rsidRPr="00AF3F86" w:rsidRDefault="000F09E6" w:rsidP="00AF3F86">
      <w:pPr>
        <w:pStyle w:val="ListParagraph"/>
        <w:suppressLineNumbers/>
        <w:suppressAutoHyphens/>
        <w:spacing w:before="120" w:after="120"/>
        <w:ind w:left="0" w:firstLine="720"/>
        <w:contextualSpacing w:val="0"/>
        <w:rPr>
          <w:kern w:val="22"/>
          <w:szCs w:val="22"/>
        </w:rPr>
      </w:pPr>
      <w:r w:rsidRPr="00AF3F86">
        <w:rPr>
          <w:kern w:val="22"/>
          <w:szCs w:val="22"/>
        </w:rPr>
        <w:t>(b)</w:t>
      </w:r>
      <w:r w:rsidR="00B7193F" w:rsidRPr="00AF3F86">
        <w:rPr>
          <w:kern w:val="22"/>
          <w:szCs w:val="22"/>
        </w:rPr>
        <w:tab/>
      </w:r>
      <w:r w:rsidRPr="00AF3F86">
        <w:rPr>
          <w:kern w:val="22"/>
          <w:szCs w:val="22"/>
        </w:rPr>
        <w:t xml:space="preserve">Consider the needs and priorities for further guidance and gaps in existing guidance identified by Parties in response to decision </w:t>
      </w:r>
      <w:hyperlink r:id="rId25" w:history="1">
        <w:r w:rsidRPr="00AF3F86">
          <w:rPr>
            <w:rStyle w:val="Hyperlink"/>
            <w:kern w:val="22"/>
            <w:sz w:val="22"/>
            <w:szCs w:val="22"/>
          </w:rPr>
          <w:t>CP-VIII/12</w:t>
        </w:r>
      </w:hyperlink>
      <w:r w:rsidRPr="00AF3F86">
        <w:rPr>
          <w:kern w:val="22"/>
          <w:szCs w:val="22"/>
        </w:rPr>
        <w:t xml:space="preserve"> with regard to specific topics of risk assessment and prepare an analysis;</w:t>
      </w:r>
    </w:p>
    <w:p w14:paraId="5E25A91A" w14:textId="08623BE2" w:rsidR="000F09E6" w:rsidRPr="00AF3F86" w:rsidRDefault="000F09E6" w:rsidP="00AF3F86">
      <w:pPr>
        <w:pStyle w:val="ListParagraph"/>
        <w:suppressLineNumbers/>
        <w:suppressAutoHyphens/>
        <w:spacing w:before="120" w:after="120"/>
        <w:ind w:left="0" w:firstLine="720"/>
        <w:contextualSpacing w:val="0"/>
        <w:rPr>
          <w:kern w:val="22"/>
          <w:szCs w:val="22"/>
        </w:rPr>
      </w:pPr>
      <w:r w:rsidRPr="00AF3F86">
        <w:rPr>
          <w:kern w:val="22"/>
          <w:szCs w:val="22"/>
        </w:rPr>
        <w:t>(c)</w:t>
      </w:r>
      <w:r w:rsidR="00B7193F" w:rsidRPr="00AF3F86">
        <w:rPr>
          <w:kern w:val="22"/>
          <w:szCs w:val="22"/>
        </w:rPr>
        <w:tab/>
      </w:r>
      <w:r w:rsidRPr="00AF3F86">
        <w:rPr>
          <w:kern w:val="22"/>
          <w:szCs w:val="22"/>
        </w:rPr>
        <w:t>Make recommendations on (</w:t>
      </w:r>
      <w:proofErr w:type="spellStart"/>
      <w:r w:rsidRPr="00AF3F86">
        <w:rPr>
          <w:kern w:val="22"/>
          <w:szCs w:val="22"/>
        </w:rPr>
        <w:t>i</w:t>
      </w:r>
      <w:proofErr w:type="spellEnd"/>
      <w:r w:rsidRPr="00AF3F86">
        <w:rPr>
          <w:kern w:val="22"/>
          <w:szCs w:val="22"/>
        </w:rPr>
        <w:t>) the need for guidance to be developed on risk assessment of living modified organisms containing engineered gene drives and living modified fish, and (ii) any adjustments to annex I of decision CP-9/13;</w:t>
      </w:r>
    </w:p>
    <w:p w14:paraId="19CE47C9" w14:textId="3B9FEF58" w:rsidR="000F09E6" w:rsidRPr="00AF3F86" w:rsidRDefault="000F09E6" w:rsidP="00AF3F86">
      <w:pPr>
        <w:pStyle w:val="ListParagraph"/>
        <w:suppressLineNumbers/>
        <w:suppressAutoHyphens/>
        <w:spacing w:before="120" w:after="120"/>
        <w:ind w:left="0" w:firstLine="720"/>
        <w:contextualSpacing w:val="0"/>
        <w:rPr>
          <w:kern w:val="22"/>
          <w:szCs w:val="22"/>
        </w:rPr>
      </w:pPr>
      <w:r w:rsidRPr="00AF3F86">
        <w:rPr>
          <w:kern w:val="22"/>
          <w:szCs w:val="22"/>
        </w:rPr>
        <w:t>(d)</w:t>
      </w:r>
      <w:r w:rsidR="00B7193F" w:rsidRPr="00AF3F86">
        <w:rPr>
          <w:kern w:val="22"/>
          <w:szCs w:val="22"/>
        </w:rPr>
        <w:tab/>
      </w:r>
      <w:r w:rsidRPr="00AF3F86">
        <w:rPr>
          <w:kern w:val="22"/>
          <w:szCs w:val="22"/>
        </w:rPr>
        <w:t>Prepare a report for consideration by the Subsidiary Body on Scientific, Technical and Technological Advice with a view to enabling the Subsidiary Body to prepare a recommendation for consideration by the Conference of the Parties serving as the meeting of the Parties to the Cartagena Protocol on Biosafety at its tenth meeting.</w:t>
      </w:r>
    </w:p>
    <w:p w14:paraId="63B87F02" w14:textId="3E9B5444" w:rsidR="000F09E6" w:rsidRPr="00AF3F86" w:rsidRDefault="000F09E6" w:rsidP="00AF3F86">
      <w:pPr>
        <w:pStyle w:val="Para1"/>
        <w:suppressLineNumbers/>
        <w:tabs>
          <w:tab w:val="clear" w:pos="360"/>
        </w:tabs>
        <w:suppressAutoHyphens/>
        <w:rPr>
          <w:kern w:val="22"/>
          <w:szCs w:val="22"/>
        </w:rPr>
      </w:pPr>
      <w:r w:rsidRPr="00AF3F86">
        <w:rPr>
          <w:kern w:val="22"/>
          <w:szCs w:val="22"/>
        </w:rPr>
        <w:t xml:space="preserve">By notification </w:t>
      </w:r>
      <w:hyperlink r:id="rId26" w:history="1">
        <w:r w:rsidRPr="00AF3F86">
          <w:rPr>
            <w:rStyle w:val="Hyperlink"/>
            <w:kern w:val="22"/>
            <w:sz w:val="22"/>
            <w:szCs w:val="22"/>
          </w:rPr>
          <w:t>2019-095</w:t>
        </w:r>
      </w:hyperlink>
      <w:r w:rsidRPr="00AF3F86">
        <w:rPr>
          <w:kern w:val="22"/>
          <w:szCs w:val="22"/>
        </w:rPr>
        <w:t xml:space="preserve"> of 24 October 2019, Parties, other Governments, indigenous peoples and local communities, relevant organizations and stakeholders were invited to nominate experts to the AHTEG.</w:t>
      </w:r>
    </w:p>
    <w:p w14:paraId="37ED68BD" w14:textId="060B223A" w:rsidR="000F09E6" w:rsidRPr="00AF3F86" w:rsidRDefault="000F09E6" w:rsidP="00AF3F86">
      <w:pPr>
        <w:pStyle w:val="Para1"/>
        <w:suppressLineNumbers/>
        <w:tabs>
          <w:tab w:val="clear" w:pos="360"/>
        </w:tabs>
        <w:suppressAutoHyphens/>
        <w:rPr>
          <w:kern w:val="22"/>
          <w:szCs w:val="22"/>
        </w:rPr>
      </w:pPr>
      <w:r w:rsidRPr="00AF3F86">
        <w:rPr>
          <w:kern w:val="22"/>
          <w:szCs w:val="22"/>
        </w:rPr>
        <w:t xml:space="preserve">The Secretariat received a total of 76 nominations from Parties to the Protocol and 23 nominations from observers, of which 3 were from non-Parties, 1 was from indigenous peoples and local communities, and 19 were from relevant organizations. The experts were selected in accordance with the consolidated modus operandi of the </w:t>
      </w:r>
      <w:r w:rsidR="00D96E7B" w:rsidRPr="00AF3F86">
        <w:rPr>
          <w:kern w:val="22"/>
          <w:szCs w:val="22"/>
        </w:rPr>
        <w:t xml:space="preserve">Subsidiary Body on Scientific, Technical and Technological Advice </w:t>
      </w:r>
      <w:r w:rsidRPr="00AF3F86">
        <w:rPr>
          <w:kern w:val="22"/>
          <w:szCs w:val="22"/>
        </w:rPr>
        <w:t xml:space="preserve">(see decision VIII/10, annex III), and through the application of decision 14/33 on the procedure for avoiding or managing conflicts of interest in expert groups. The selection also </w:t>
      </w:r>
      <w:proofErr w:type="gramStart"/>
      <w:r w:rsidRPr="00AF3F86">
        <w:rPr>
          <w:kern w:val="22"/>
          <w:szCs w:val="22"/>
        </w:rPr>
        <w:t>took into account</w:t>
      </w:r>
      <w:proofErr w:type="gramEnd"/>
      <w:r w:rsidRPr="00AF3F86">
        <w:rPr>
          <w:kern w:val="22"/>
          <w:szCs w:val="22"/>
        </w:rPr>
        <w:t xml:space="preserve"> the expertise and experience of the nominees and the need </w:t>
      </w:r>
      <w:r w:rsidR="000870E5" w:rsidRPr="00AF3F86">
        <w:rPr>
          <w:kern w:val="22"/>
          <w:szCs w:val="22"/>
        </w:rPr>
        <w:t>for</w:t>
      </w:r>
      <w:r w:rsidRPr="00AF3F86">
        <w:rPr>
          <w:kern w:val="22"/>
          <w:szCs w:val="22"/>
        </w:rPr>
        <w:t xml:space="preserve"> equitable geographical distribution and gender balance.</w:t>
      </w:r>
    </w:p>
    <w:p w14:paraId="01C6B248" w14:textId="742CCFDB" w:rsidR="000F09E6" w:rsidRPr="00AF3F86" w:rsidRDefault="000F09E6" w:rsidP="00AF3F86">
      <w:pPr>
        <w:pStyle w:val="Para1"/>
        <w:suppressLineNumbers/>
        <w:tabs>
          <w:tab w:val="clear" w:pos="360"/>
        </w:tabs>
        <w:suppressAutoHyphens/>
        <w:rPr>
          <w:kern w:val="22"/>
          <w:szCs w:val="22"/>
        </w:rPr>
      </w:pPr>
      <w:r w:rsidRPr="00AF3F86">
        <w:rPr>
          <w:kern w:val="22"/>
          <w:szCs w:val="22"/>
        </w:rPr>
        <w:t>Following consultation with the Bureau</w:t>
      </w:r>
      <w:r w:rsidR="00350667" w:rsidRPr="00AF3F86">
        <w:rPr>
          <w:kern w:val="22"/>
          <w:szCs w:val="22"/>
        </w:rPr>
        <w:t xml:space="preserve"> of the Subsidiary Body</w:t>
      </w:r>
      <w:r w:rsidRPr="00AF3F86">
        <w:rPr>
          <w:kern w:val="22"/>
          <w:szCs w:val="22"/>
        </w:rPr>
        <w:t xml:space="preserve">, the composition of the AHTEG was announced in notification </w:t>
      </w:r>
      <w:hyperlink r:id="rId27" w:history="1">
        <w:r w:rsidRPr="00AF3F86">
          <w:rPr>
            <w:rStyle w:val="Hyperlink"/>
            <w:kern w:val="22"/>
            <w:sz w:val="22"/>
            <w:szCs w:val="22"/>
          </w:rPr>
          <w:t>2019-119</w:t>
        </w:r>
      </w:hyperlink>
      <w:r w:rsidRPr="00AF3F86">
        <w:rPr>
          <w:kern w:val="22"/>
          <w:szCs w:val="22"/>
        </w:rPr>
        <w:t xml:space="preserve"> of 23 December 2019.</w:t>
      </w:r>
    </w:p>
    <w:p w14:paraId="30D56393" w14:textId="762EEBA6" w:rsidR="003817D9" w:rsidRPr="00AF3F86" w:rsidRDefault="003817D9" w:rsidP="00AF3F86">
      <w:pPr>
        <w:pStyle w:val="Para1"/>
        <w:suppressLineNumbers/>
        <w:tabs>
          <w:tab w:val="clear" w:pos="360"/>
        </w:tabs>
        <w:suppressAutoHyphens/>
        <w:rPr>
          <w:kern w:val="22"/>
          <w:szCs w:val="22"/>
        </w:rPr>
      </w:pPr>
      <w:r w:rsidRPr="00AF3F86">
        <w:rPr>
          <w:kern w:val="22"/>
          <w:szCs w:val="22"/>
        </w:rPr>
        <w:t xml:space="preserve">A face-to-face meeting of the AHTEG was scheduled to </w:t>
      </w:r>
      <w:r w:rsidR="0012154C">
        <w:rPr>
          <w:kern w:val="22"/>
          <w:szCs w:val="22"/>
        </w:rPr>
        <w:t>be held</w:t>
      </w:r>
      <w:r w:rsidRPr="00AF3F86">
        <w:rPr>
          <w:kern w:val="22"/>
          <w:szCs w:val="22"/>
        </w:rPr>
        <w:t xml:space="preserve"> in Montreal. However, due to difficulties related to the global pandemic of COVID-19, the meeting was changed to a virtual meeting. The decision to change the format of the meeting was made in consultation with the Bureau of the Conference of the Parties.</w:t>
      </w:r>
    </w:p>
    <w:p w14:paraId="4492AB5A" w14:textId="03787968" w:rsidR="005F011D" w:rsidRPr="00AF3F86" w:rsidRDefault="00272F3A" w:rsidP="00AF3F86">
      <w:pPr>
        <w:pStyle w:val="Para1"/>
        <w:suppressLineNumbers/>
        <w:tabs>
          <w:tab w:val="clear" w:pos="360"/>
        </w:tabs>
        <w:suppressAutoHyphens/>
        <w:rPr>
          <w:kern w:val="22"/>
          <w:szCs w:val="22"/>
        </w:rPr>
      </w:pPr>
      <w:r w:rsidRPr="00AF3F86">
        <w:rPr>
          <w:kern w:val="22"/>
          <w:szCs w:val="22"/>
        </w:rPr>
        <w:t>Accordingly, t</w:t>
      </w:r>
      <w:r w:rsidR="003817D9" w:rsidRPr="00AF3F86">
        <w:rPr>
          <w:kern w:val="22"/>
          <w:szCs w:val="22"/>
        </w:rPr>
        <w:t xml:space="preserve">he meeting was held virtually </w:t>
      </w:r>
      <w:r w:rsidR="00F903F4" w:rsidRPr="00AF3F86">
        <w:rPr>
          <w:kern w:val="22"/>
          <w:szCs w:val="22"/>
        </w:rPr>
        <w:t xml:space="preserve">from 30 March to 3 April 2020 </w:t>
      </w:r>
      <w:r w:rsidR="003817D9" w:rsidRPr="00AF3F86">
        <w:rPr>
          <w:kern w:val="22"/>
          <w:szCs w:val="22"/>
        </w:rPr>
        <w:t>through a combination of live sessions and discussions through an online forum</w:t>
      </w:r>
      <w:r w:rsidR="001B036F" w:rsidRPr="00AF3F86">
        <w:rPr>
          <w:kern w:val="22"/>
          <w:szCs w:val="22"/>
        </w:rPr>
        <w:t xml:space="preserve"> </w:t>
      </w:r>
      <w:r w:rsidR="00894430" w:rsidRPr="00AF3F86">
        <w:rPr>
          <w:kern w:val="22"/>
          <w:szCs w:val="22"/>
        </w:rPr>
        <w:t xml:space="preserve">on the </w:t>
      </w:r>
      <w:r w:rsidR="00354E38">
        <w:rPr>
          <w:kern w:val="22"/>
          <w:szCs w:val="22"/>
        </w:rPr>
        <w:t>Biosafety Clearing-House</w:t>
      </w:r>
      <w:r w:rsidR="00354E38" w:rsidRPr="00AF3F86">
        <w:rPr>
          <w:kern w:val="22"/>
          <w:szCs w:val="22"/>
        </w:rPr>
        <w:t xml:space="preserve"> </w:t>
      </w:r>
      <w:r w:rsidR="001B036F" w:rsidRPr="00AF3F86">
        <w:rPr>
          <w:kern w:val="22"/>
          <w:szCs w:val="22"/>
        </w:rPr>
        <w:t xml:space="preserve">and was chaired by Ms. </w:t>
      </w:r>
      <w:proofErr w:type="spellStart"/>
      <w:r w:rsidR="001B036F" w:rsidRPr="00AF3F86">
        <w:rPr>
          <w:kern w:val="22"/>
          <w:szCs w:val="22"/>
        </w:rPr>
        <w:t>Wadzi</w:t>
      </w:r>
      <w:proofErr w:type="spellEnd"/>
      <w:r w:rsidR="001B036F" w:rsidRPr="00AF3F86">
        <w:rPr>
          <w:kern w:val="22"/>
          <w:szCs w:val="22"/>
        </w:rPr>
        <w:t xml:space="preserve"> </w:t>
      </w:r>
      <w:proofErr w:type="spellStart"/>
      <w:r w:rsidR="001B036F" w:rsidRPr="00AF3F86">
        <w:rPr>
          <w:kern w:val="22"/>
          <w:szCs w:val="22"/>
        </w:rPr>
        <w:t>Mandivenyi</w:t>
      </w:r>
      <w:proofErr w:type="spellEnd"/>
      <w:r w:rsidR="001B036F" w:rsidRPr="00AF3F86">
        <w:rPr>
          <w:kern w:val="22"/>
          <w:szCs w:val="22"/>
        </w:rPr>
        <w:t xml:space="preserve"> from South Africa</w:t>
      </w:r>
      <w:r w:rsidR="003817D9" w:rsidRPr="00AF3F86">
        <w:rPr>
          <w:kern w:val="22"/>
          <w:szCs w:val="22"/>
        </w:rPr>
        <w:t xml:space="preserve">. </w:t>
      </w:r>
      <w:r w:rsidR="00EC16C6" w:rsidRPr="00AF3F86">
        <w:rPr>
          <w:kern w:val="22"/>
          <w:szCs w:val="22"/>
        </w:rPr>
        <w:t xml:space="preserve">The outcomes of the deliberations of the AHTEG </w:t>
      </w:r>
      <w:r w:rsidR="00FF4B53" w:rsidRPr="00AF3F86">
        <w:rPr>
          <w:kern w:val="22"/>
          <w:szCs w:val="22"/>
        </w:rPr>
        <w:t>are</w:t>
      </w:r>
      <w:r w:rsidR="00EC16C6" w:rsidRPr="00AF3F86">
        <w:rPr>
          <w:kern w:val="22"/>
          <w:szCs w:val="22"/>
        </w:rPr>
        <w:t xml:space="preserve"> reproduced in the annex </w:t>
      </w:r>
      <w:r w:rsidR="005D7C56">
        <w:rPr>
          <w:kern w:val="22"/>
          <w:szCs w:val="22"/>
        </w:rPr>
        <w:t>below</w:t>
      </w:r>
      <w:r w:rsidR="00FF4B53" w:rsidRPr="00AF3F86">
        <w:rPr>
          <w:kern w:val="22"/>
          <w:szCs w:val="22"/>
        </w:rPr>
        <w:t>.</w:t>
      </w:r>
    </w:p>
    <w:p w14:paraId="5571F60D" w14:textId="40E269BA" w:rsidR="002A1EA6" w:rsidRPr="00AF3F86" w:rsidRDefault="008418D2" w:rsidP="00AF3F86">
      <w:pPr>
        <w:pStyle w:val="Para1"/>
        <w:suppressLineNumbers/>
        <w:tabs>
          <w:tab w:val="clear" w:pos="360"/>
        </w:tabs>
        <w:suppressAutoHyphens/>
        <w:rPr>
          <w:kern w:val="22"/>
          <w:szCs w:val="22"/>
        </w:rPr>
      </w:pPr>
      <w:r w:rsidRPr="00AF3F86">
        <w:rPr>
          <w:kern w:val="22"/>
          <w:szCs w:val="22"/>
        </w:rPr>
        <w:t xml:space="preserve">Section I of the annex addresses </w:t>
      </w:r>
      <w:r w:rsidR="00CE578E" w:rsidRPr="00AF3F86">
        <w:rPr>
          <w:kern w:val="22"/>
          <w:szCs w:val="22"/>
        </w:rPr>
        <w:t xml:space="preserve">the consideration </w:t>
      </w:r>
      <w:r w:rsidR="005D7C56">
        <w:rPr>
          <w:kern w:val="22"/>
          <w:szCs w:val="22"/>
        </w:rPr>
        <w:t xml:space="preserve">by the </w:t>
      </w:r>
      <w:r w:rsidR="005D7C56" w:rsidRPr="000B6B4E">
        <w:rPr>
          <w:kern w:val="22"/>
          <w:szCs w:val="22"/>
        </w:rPr>
        <w:t xml:space="preserve">AHTEG </w:t>
      </w:r>
      <w:r w:rsidR="00CE578E" w:rsidRPr="00AF3F86">
        <w:rPr>
          <w:kern w:val="22"/>
          <w:szCs w:val="22"/>
        </w:rPr>
        <w:t xml:space="preserve">of the topic of living modified fish, including its review of the study, analysis according to </w:t>
      </w:r>
      <w:r w:rsidR="00902123" w:rsidRPr="00AF3F86">
        <w:rPr>
          <w:kern w:val="22"/>
          <w:szCs w:val="22"/>
        </w:rPr>
        <w:t xml:space="preserve">the criteria in </w:t>
      </w:r>
      <w:r w:rsidR="00CE578E" w:rsidRPr="00AF3F86">
        <w:rPr>
          <w:kern w:val="22"/>
          <w:szCs w:val="22"/>
        </w:rPr>
        <w:t>annex I of decision CP-9/13</w:t>
      </w:r>
      <w:r w:rsidR="003B31ED" w:rsidRPr="00AF3F86">
        <w:rPr>
          <w:kern w:val="22"/>
          <w:szCs w:val="22"/>
        </w:rPr>
        <w:t xml:space="preserve">, stocking of resources on similar issues and </w:t>
      </w:r>
      <w:r w:rsidR="001801BC" w:rsidRPr="00AF3F86">
        <w:rPr>
          <w:kern w:val="22"/>
          <w:szCs w:val="22"/>
        </w:rPr>
        <w:t>consideration of the need for guidance to be developed on risk assessment of living modified fish.</w:t>
      </w:r>
      <w:r w:rsidR="00AB35E2" w:rsidRPr="00AF3F86">
        <w:rPr>
          <w:kern w:val="22"/>
          <w:szCs w:val="22"/>
        </w:rPr>
        <w:t xml:space="preserve"> S</w:t>
      </w:r>
      <w:r w:rsidR="00855286" w:rsidRPr="00AF3F86">
        <w:rPr>
          <w:kern w:val="22"/>
          <w:szCs w:val="22"/>
        </w:rPr>
        <w:t xml:space="preserve">ection II contains the conclusions </w:t>
      </w:r>
      <w:r w:rsidR="00906479">
        <w:rPr>
          <w:kern w:val="22"/>
          <w:szCs w:val="22"/>
        </w:rPr>
        <w:t xml:space="preserve">of the </w:t>
      </w:r>
      <w:r w:rsidR="00906479" w:rsidRPr="00702DBF">
        <w:rPr>
          <w:kern w:val="22"/>
          <w:szCs w:val="22"/>
        </w:rPr>
        <w:t xml:space="preserve">AHTEG </w:t>
      </w:r>
      <w:r w:rsidR="00855286" w:rsidRPr="00AF3F86">
        <w:rPr>
          <w:kern w:val="22"/>
          <w:szCs w:val="22"/>
        </w:rPr>
        <w:t>on the topic of LMOs containing engineered gene drives</w:t>
      </w:r>
      <w:r w:rsidR="00906479">
        <w:rPr>
          <w:kern w:val="22"/>
          <w:szCs w:val="22"/>
        </w:rPr>
        <w:t>,</w:t>
      </w:r>
      <w:r w:rsidR="00855286" w:rsidRPr="00AF3F86">
        <w:rPr>
          <w:kern w:val="22"/>
          <w:szCs w:val="22"/>
        </w:rPr>
        <w:t xml:space="preserve"> including its review of the study, analysis according to the criteria in annex I of decision CP-9/13, stocking of resources on similar issues and </w:t>
      </w:r>
      <w:r w:rsidR="008C4CD6">
        <w:rPr>
          <w:kern w:val="22"/>
          <w:szCs w:val="22"/>
        </w:rPr>
        <w:t xml:space="preserve">a </w:t>
      </w:r>
      <w:r w:rsidR="00855286" w:rsidRPr="00AF3F86">
        <w:rPr>
          <w:kern w:val="22"/>
          <w:szCs w:val="22"/>
        </w:rPr>
        <w:t>recommendation on the need for guidance to be developed on risk assessment of</w:t>
      </w:r>
      <w:r w:rsidR="005F011D" w:rsidRPr="00AF3F86">
        <w:rPr>
          <w:kern w:val="22"/>
          <w:szCs w:val="22"/>
        </w:rPr>
        <w:t xml:space="preserve"> LMOs containing engineered gene drives. Section III </w:t>
      </w:r>
      <w:r w:rsidR="00F7172F" w:rsidRPr="00AF3F86">
        <w:rPr>
          <w:kern w:val="22"/>
          <w:szCs w:val="22"/>
        </w:rPr>
        <w:t xml:space="preserve">presents the outcomes of the discussions on </w:t>
      </w:r>
      <w:r w:rsidR="00D614BB" w:rsidRPr="00AF3F86">
        <w:rPr>
          <w:kern w:val="22"/>
          <w:szCs w:val="22"/>
        </w:rPr>
        <w:t>possible adjustments to annex I of decision CP-9/13</w:t>
      </w:r>
      <w:r w:rsidR="00CE6493">
        <w:rPr>
          <w:kern w:val="22"/>
          <w:szCs w:val="22"/>
        </w:rPr>
        <w:t>,</w:t>
      </w:r>
      <w:r w:rsidR="00D614BB" w:rsidRPr="00AF3F86">
        <w:rPr>
          <w:kern w:val="22"/>
          <w:szCs w:val="22"/>
        </w:rPr>
        <w:t xml:space="preserve"> while section IV </w:t>
      </w:r>
      <w:r w:rsidR="00D47463" w:rsidRPr="00AF3F86">
        <w:rPr>
          <w:kern w:val="22"/>
          <w:szCs w:val="22"/>
        </w:rPr>
        <w:t>contains the outcomes of the discussions</w:t>
      </w:r>
      <w:r w:rsidR="004979B3" w:rsidRPr="00AF3F86">
        <w:rPr>
          <w:kern w:val="22"/>
          <w:szCs w:val="22"/>
        </w:rPr>
        <w:t xml:space="preserve"> on needs and priorities for further guidance</w:t>
      </w:r>
      <w:r w:rsidR="005B0AA3" w:rsidRPr="00AF3F86">
        <w:rPr>
          <w:kern w:val="22"/>
          <w:szCs w:val="22"/>
        </w:rPr>
        <w:t xml:space="preserve"> and gaps in existing guidance identified by Parties in response to decision CP-VIII/12.</w:t>
      </w:r>
    </w:p>
    <w:p w14:paraId="3CB984AB" w14:textId="3F70C73A" w:rsidR="00EC16C6" w:rsidRPr="00AF3F86" w:rsidRDefault="00EC16C6" w:rsidP="00AF3F86">
      <w:pPr>
        <w:pStyle w:val="Para1"/>
        <w:suppressLineNumbers/>
        <w:tabs>
          <w:tab w:val="clear" w:pos="360"/>
        </w:tabs>
        <w:suppressAutoHyphens/>
        <w:rPr>
          <w:kern w:val="22"/>
          <w:szCs w:val="22"/>
        </w:rPr>
      </w:pPr>
      <w:r w:rsidRPr="00AF3F86">
        <w:rPr>
          <w:kern w:val="22"/>
          <w:szCs w:val="22"/>
        </w:rPr>
        <w:t xml:space="preserve">The full report </w:t>
      </w:r>
      <w:r w:rsidR="00E16436" w:rsidRPr="00AF3F86">
        <w:rPr>
          <w:kern w:val="22"/>
          <w:szCs w:val="22"/>
        </w:rPr>
        <w:t xml:space="preserve">of the meeting of the AHTEG </w:t>
      </w:r>
      <w:r w:rsidRPr="00AF3F86">
        <w:rPr>
          <w:kern w:val="22"/>
          <w:szCs w:val="22"/>
        </w:rPr>
        <w:t xml:space="preserve">is also available as information document </w:t>
      </w:r>
      <w:hyperlink r:id="rId28" w:history="1">
        <w:r w:rsidR="00174E54" w:rsidRPr="00AF3F86">
          <w:rPr>
            <w:rStyle w:val="Hyperlink"/>
            <w:kern w:val="22"/>
            <w:sz w:val="22"/>
            <w:szCs w:val="22"/>
          </w:rPr>
          <w:t>CBD/CP/RA/AHTEG/2020/1/5</w:t>
        </w:r>
      </w:hyperlink>
      <w:r w:rsidR="00B37DAD" w:rsidRPr="00AF3F86">
        <w:rPr>
          <w:kern w:val="22"/>
          <w:szCs w:val="22"/>
        </w:rPr>
        <w:t>.</w:t>
      </w:r>
    </w:p>
    <w:p w14:paraId="4436788A" w14:textId="1B9110E5" w:rsidR="00892B38" w:rsidRPr="00AF3F86" w:rsidRDefault="00892B38" w:rsidP="00AF3F86">
      <w:pPr>
        <w:pStyle w:val="Heading1"/>
        <w:numPr>
          <w:ilvl w:val="0"/>
          <w:numId w:val="5"/>
        </w:numPr>
        <w:suppressLineNumbers/>
        <w:suppressAutoHyphens/>
        <w:spacing w:before="120"/>
        <w:ind w:left="0" w:firstLine="0"/>
        <w:rPr>
          <w:b w:val="0"/>
          <w:kern w:val="22"/>
          <w:szCs w:val="22"/>
        </w:rPr>
      </w:pPr>
      <w:r w:rsidRPr="00AF3F86">
        <w:rPr>
          <w:kern w:val="22"/>
          <w:szCs w:val="22"/>
        </w:rPr>
        <w:lastRenderedPageBreak/>
        <w:t>SUGGESTED RECOMMENDATION</w:t>
      </w:r>
    </w:p>
    <w:p w14:paraId="7BFB78E2" w14:textId="34761F94" w:rsidR="00C36FC5" w:rsidRPr="00AF3F86" w:rsidRDefault="00D137CD" w:rsidP="00AF3F86">
      <w:pPr>
        <w:pStyle w:val="Para1"/>
        <w:suppressLineNumbers/>
        <w:tabs>
          <w:tab w:val="clear" w:pos="360"/>
        </w:tabs>
        <w:suppressAutoHyphens/>
        <w:rPr>
          <w:kern w:val="22"/>
          <w:szCs w:val="22"/>
        </w:rPr>
      </w:pPr>
      <w:r w:rsidRPr="00AF3F86">
        <w:rPr>
          <w:kern w:val="22"/>
          <w:szCs w:val="22"/>
        </w:rPr>
        <w:t xml:space="preserve">Further to the request of </w:t>
      </w:r>
      <w:r w:rsidR="00A00C63" w:rsidRPr="00AF3F86">
        <w:rPr>
          <w:kern w:val="22"/>
          <w:szCs w:val="22"/>
        </w:rPr>
        <w:t>the Conference of the Parties serving as the meeting of the Parties to the Protocol</w:t>
      </w:r>
      <w:r w:rsidR="00A00C63" w:rsidRPr="00AF3F86" w:rsidDel="00F8146F">
        <w:rPr>
          <w:kern w:val="22"/>
          <w:szCs w:val="22"/>
        </w:rPr>
        <w:t xml:space="preserve"> </w:t>
      </w:r>
      <w:r w:rsidRPr="00AF3F86">
        <w:rPr>
          <w:kern w:val="22"/>
          <w:szCs w:val="22"/>
        </w:rPr>
        <w:t>in decision CP-9/13</w:t>
      </w:r>
      <w:r w:rsidR="00CC41D8" w:rsidRPr="00AF3F86">
        <w:rPr>
          <w:kern w:val="22"/>
          <w:szCs w:val="22"/>
        </w:rPr>
        <w:t>,</w:t>
      </w:r>
      <w:r w:rsidRPr="00AF3F86">
        <w:rPr>
          <w:kern w:val="22"/>
          <w:szCs w:val="22"/>
        </w:rPr>
        <w:t xml:space="preserve"> para</w:t>
      </w:r>
      <w:r w:rsidR="00CC41D8" w:rsidRPr="00AF3F86">
        <w:rPr>
          <w:kern w:val="22"/>
          <w:szCs w:val="22"/>
        </w:rPr>
        <w:t>graph</w:t>
      </w:r>
      <w:r w:rsidRPr="00AF3F86">
        <w:rPr>
          <w:kern w:val="22"/>
          <w:szCs w:val="22"/>
        </w:rPr>
        <w:t xml:space="preserve"> 12, and in </w:t>
      </w:r>
      <w:r w:rsidR="00CC41D8">
        <w:rPr>
          <w:kern w:val="22"/>
          <w:szCs w:val="22"/>
        </w:rPr>
        <w:t xml:space="preserve">the </w:t>
      </w:r>
      <w:r w:rsidRPr="00AF3F86">
        <w:rPr>
          <w:kern w:val="22"/>
          <w:szCs w:val="22"/>
        </w:rPr>
        <w:t xml:space="preserve">light of the outcomes of the </w:t>
      </w:r>
      <w:r w:rsidR="00B94296">
        <w:rPr>
          <w:kern w:val="22"/>
          <w:szCs w:val="22"/>
        </w:rPr>
        <w:t xml:space="preserve">discussions of the </w:t>
      </w:r>
      <w:r w:rsidRPr="00AF3F86">
        <w:rPr>
          <w:kern w:val="22"/>
          <w:szCs w:val="22"/>
        </w:rPr>
        <w:t>AHTEG, t</w:t>
      </w:r>
      <w:r w:rsidR="00C36FC5" w:rsidRPr="00AF3F86">
        <w:rPr>
          <w:kern w:val="22"/>
          <w:szCs w:val="22"/>
        </w:rPr>
        <w:t>he Subsidiary Body on Scientific, Technical and Technological Advice may wish to recommend that the Conference of the Parties serving as the meeting of the Parties to the Cartagena Protocol on Biosafety, at its tenth meeting</w:t>
      </w:r>
      <w:r w:rsidR="00272F3A" w:rsidRPr="00AF3F86">
        <w:rPr>
          <w:kern w:val="22"/>
          <w:szCs w:val="22"/>
        </w:rPr>
        <w:t>,</w:t>
      </w:r>
      <w:r w:rsidR="00C36FC5" w:rsidRPr="00AF3F86">
        <w:rPr>
          <w:kern w:val="22"/>
          <w:szCs w:val="22"/>
        </w:rPr>
        <w:t xml:space="preserve"> adopt a decision along the following lines:</w:t>
      </w:r>
    </w:p>
    <w:p w14:paraId="1E0E5109" w14:textId="068A1F84" w:rsidR="005761BF" w:rsidRPr="00AF3F86" w:rsidRDefault="00C36FC5" w:rsidP="00AF3F86">
      <w:pPr>
        <w:pStyle w:val="Para1"/>
        <w:numPr>
          <w:ilvl w:val="0"/>
          <w:numId w:val="0"/>
        </w:numPr>
        <w:suppressLineNumbers/>
        <w:suppressAutoHyphens/>
        <w:ind w:firstLine="709"/>
        <w:rPr>
          <w:i/>
          <w:iCs/>
          <w:kern w:val="22"/>
          <w:szCs w:val="22"/>
        </w:rPr>
      </w:pPr>
      <w:r w:rsidRPr="00AF3F86">
        <w:rPr>
          <w:i/>
          <w:iCs/>
          <w:kern w:val="22"/>
          <w:szCs w:val="22"/>
        </w:rPr>
        <w:t>The Conference of the Parties serving as the meeting to the Parties to the Cartagena Protocol on Biosafety,</w:t>
      </w:r>
    </w:p>
    <w:p w14:paraId="02166409" w14:textId="4923F5F4" w:rsidR="0007766A" w:rsidRPr="00AF3F86" w:rsidRDefault="0007766A" w:rsidP="00AF3F86">
      <w:pPr>
        <w:pStyle w:val="Para1"/>
        <w:numPr>
          <w:ilvl w:val="0"/>
          <w:numId w:val="0"/>
        </w:numPr>
        <w:suppressLineNumbers/>
        <w:suppressAutoHyphens/>
        <w:ind w:firstLine="709"/>
        <w:rPr>
          <w:kern w:val="22"/>
          <w:szCs w:val="22"/>
        </w:rPr>
      </w:pPr>
      <w:r w:rsidRPr="00AF3F86">
        <w:rPr>
          <w:i/>
          <w:iCs/>
          <w:kern w:val="22"/>
          <w:szCs w:val="22"/>
        </w:rPr>
        <w:t>Recalling</w:t>
      </w:r>
      <w:r w:rsidRPr="00AF3F86">
        <w:rPr>
          <w:kern w:val="22"/>
          <w:szCs w:val="22"/>
        </w:rPr>
        <w:t xml:space="preserve"> of decision CP-9/13</w:t>
      </w:r>
      <w:r w:rsidR="00375473">
        <w:rPr>
          <w:kern w:val="22"/>
          <w:szCs w:val="22"/>
        </w:rPr>
        <w:t>,</w:t>
      </w:r>
      <w:r w:rsidR="00375473" w:rsidRPr="00375473">
        <w:rPr>
          <w:kern w:val="22"/>
          <w:szCs w:val="22"/>
        </w:rPr>
        <w:t xml:space="preserve"> </w:t>
      </w:r>
      <w:r w:rsidR="00375473" w:rsidRPr="00042C24">
        <w:rPr>
          <w:kern w:val="22"/>
          <w:szCs w:val="22"/>
        </w:rPr>
        <w:t>paragraph 7</w:t>
      </w:r>
      <w:r w:rsidRPr="00AF3F86">
        <w:rPr>
          <w:kern w:val="22"/>
          <w:szCs w:val="22"/>
        </w:rPr>
        <w:t xml:space="preserve">, </w:t>
      </w:r>
      <w:r w:rsidR="00B94296">
        <w:rPr>
          <w:kern w:val="22"/>
          <w:szCs w:val="22"/>
        </w:rPr>
        <w:t>in which</w:t>
      </w:r>
      <w:r w:rsidR="00B94296" w:rsidRPr="00AF3F86">
        <w:rPr>
          <w:kern w:val="22"/>
          <w:szCs w:val="22"/>
        </w:rPr>
        <w:t xml:space="preserve"> </w:t>
      </w:r>
      <w:r w:rsidRPr="00AF3F86">
        <w:rPr>
          <w:kern w:val="22"/>
          <w:szCs w:val="22"/>
        </w:rPr>
        <w:t>it decided to consider, at its tenth meeting, whether additional guidance materials on risk assessment are needed for (a) living modified organisms containing engineered gene drives, and (b) living modified fish,</w:t>
      </w:r>
    </w:p>
    <w:p w14:paraId="001EC961" w14:textId="060A8D6F" w:rsidR="00913EB8" w:rsidRPr="00AF3F86" w:rsidRDefault="00D63AE7" w:rsidP="00AF3F86">
      <w:pPr>
        <w:pStyle w:val="Para1"/>
        <w:numPr>
          <w:ilvl w:val="0"/>
          <w:numId w:val="12"/>
        </w:numPr>
        <w:suppressLineNumbers/>
        <w:suppressAutoHyphens/>
        <w:ind w:left="0" w:firstLine="720"/>
        <w:rPr>
          <w:kern w:val="22"/>
          <w:szCs w:val="22"/>
        </w:rPr>
      </w:pPr>
      <w:r w:rsidRPr="00AF3F86">
        <w:rPr>
          <w:i/>
          <w:iCs/>
          <w:kern w:val="22"/>
          <w:szCs w:val="22"/>
        </w:rPr>
        <w:t>Welcomes</w:t>
      </w:r>
      <w:r w:rsidRPr="00AF3F86">
        <w:rPr>
          <w:kern w:val="22"/>
          <w:szCs w:val="22"/>
        </w:rPr>
        <w:t xml:space="preserve"> </w:t>
      </w:r>
      <w:r w:rsidR="00913EB8" w:rsidRPr="00AF3F86">
        <w:rPr>
          <w:kern w:val="22"/>
          <w:szCs w:val="22"/>
        </w:rPr>
        <w:t xml:space="preserve">the outcomes </w:t>
      </w:r>
      <w:r w:rsidR="00953051">
        <w:rPr>
          <w:kern w:val="22"/>
          <w:szCs w:val="22"/>
        </w:rPr>
        <w:t xml:space="preserve">of the discussions </w:t>
      </w:r>
      <w:r w:rsidR="00913EB8" w:rsidRPr="00AF3F86">
        <w:rPr>
          <w:kern w:val="22"/>
          <w:szCs w:val="22"/>
        </w:rPr>
        <w:t xml:space="preserve">of the </w:t>
      </w:r>
      <w:bookmarkStart w:id="2" w:name="_Hlk42864449"/>
      <w:r w:rsidR="006E00B1" w:rsidRPr="00AF3F86">
        <w:rPr>
          <w:kern w:val="22"/>
          <w:szCs w:val="22"/>
        </w:rPr>
        <w:t xml:space="preserve">Ad Hoc Technical Expert Group </w:t>
      </w:r>
      <w:bookmarkEnd w:id="2"/>
      <w:r w:rsidR="006E00B1" w:rsidRPr="00AF3F86">
        <w:rPr>
          <w:kern w:val="22"/>
          <w:szCs w:val="22"/>
        </w:rPr>
        <w:t>on Risk Assessment</w:t>
      </w:r>
      <w:r w:rsidR="00EA41E0" w:rsidRPr="00AF3F86">
        <w:rPr>
          <w:kern w:val="22"/>
          <w:szCs w:val="22"/>
        </w:rPr>
        <w:t>;</w:t>
      </w:r>
      <w:r w:rsidR="001E7A77" w:rsidRPr="00AF3F86">
        <w:rPr>
          <w:rStyle w:val="FootnoteReference"/>
          <w:kern w:val="22"/>
          <w:szCs w:val="22"/>
        </w:rPr>
        <w:footnoteReference w:id="7"/>
      </w:r>
    </w:p>
    <w:p w14:paraId="556C1103" w14:textId="0ABC212F" w:rsidR="00D63AE7" w:rsidRPr="00AF3F86" w:rsidRDefault="00913EB8" w:rsidP="00AF3F86">
      <w:pPr>
        <w:pStyle w:val="Para1"/>
        <w:numPr>
          <w:ilvl w:val="0"/>
          <w:numId w:val="12"/>
        </w:numPr>
        <w:suppressLineNumbers/>
        <w:suppressAutoHyphens/>
        <w:ind w:left="0" w:firstLine="720"/>
        <w:rPr>
          <w:kern w:val="22"/>
          <w:szCs w:val="22"/>
        </w:rPr>
      </w:pPr>
      <w:r w:rsidRPr="00AF3F86">
        <w:rPr>
          <w:i/>
          <w:iCs/>
          <w:kern w:val="22"/>
          <w:szCs w:val="22"/>
        </w:rPr>
        <w:t>Takes note</w:t>
      </w:r>
      <w:r w:rsidRPr="00AF3F86">
        <w:rPr>
          <w:kern w:val="22"/>
          <w:szCs w:val="22"/>
        </w:rPr>
        <w:t xml:space="preserve"> of </w:t>
      </w:r>
      <w:r w:rsidR="00D63AE7" w:rsidRPr="00AF3F86">
        <w:rPr>
          <w:kern w:val="22"/>
          <w:szCs w:val="22"/>
        </w:rPr>
        <w:t xml:space="preserve">the clarifications </w:t>
      </w:r>
      <w:r w:rsidR="00FD65BD" w:rsidRPr="00AF3F86">
        <w:rPr>
          <w:kern w:val="22"/>
          <w:szCs w:val="22"/>
        </w:rPr>
        <w:t xml:space="preserve">made by the </w:t>
      </w:r>
      <w:r w:rsidR="00D97D1C" w:rsidRPr="00AF3F86">
        <w:rPr>
          <w:kern w:val="22"/>
          <w:szCs w:val="22"/>
        </w:rPr>
        <w:t xml:space="preserve">Ad Hoc Technical Expert Group </w:t>
      </w:r>
      <w:r w:rsidR="00FD65BD" w:rsidRPr="00AF3F86">
        <w:rPr>
          <w:kern w:val="22"/>
          <w:szCs w:val="22"/>
        </w:rPr>
        <w:t>to</w:t>
      </w:r>
      <w:r w:rsidR="00D63AE7" w:rsidRPr="00AF3F86">
        <w:rPr>
          <w:kern w:val="22"/>
          <w:szCs w:val="22"/>
        </w:rPr>
        <w:t xml:space="preserve"> annex I of decision CP-9/13</w:t>
      </w:r>
      <w:r w:rsidR="004B69A9" w:rsidRPr="00AF3F86">
        <w:rPr>
          <w:kern w:val="22"/>
          <w:szCs w:val="22"/>
        </w:rPr>
        <w:t xml:space="preserve"> regarding </w:t>
      </w:r>
      <w:r w:rsidR="00DE4CE0" w:rsidRPr="00AF3F86">
        <w:rPr>
          <w:kern w:val="22"/>
          <w:szCs w:val="22"/>
        </w:rPr>
        <w:t>t</w:t>
      </w:r>
      <w:r w:rsidR="004B69A9" w:rsidRPr="00AF3F86">
        <w:rPr>
          <w:kern w:val="22"/>
          <w:szCs w:val="22"/>
        </w:rPr>
        <w:t xml:space="preserve">he </w:t>
      </w:r>
      <w:r w:rsidR="00DE4CE0" w:rsidRPr="00AF3F86">
        <w:rPr>
          <w:kern w:val="22"/>
          <w:szCs w:val="22"/>
        </w:rPr>
        <w:t xml:space="preserve">process for </w:t>
      </w:r>
      <w:r w:rsidR="004B69A9" w:rsidRPr="00AF3F86">
        <w:rPr>
          <w:kern w:val="22"/>
          <w:szCs w:val="22"/>
        </w:rPr>
        <w:t>identification and prioritization of specific issues of risk assessment of living modified organisms that may warrant consideration</w:t>
      </w:r>
      <w:r w:rsidR="00D63AE7" w:rsidRPr="00AF3F86">
        <w:rPr>
          <w:kern w:val="22"/>
          <w:szCs w:val="22"/>
        </w:rPr>
        <w:t>;</w:t>
      </w:r>
      <w:r w:rsidR="00D63AE7" w:rsidRPr="00AF3F86">
        <w:rPr>
          <w:rStyle w:val="FootnoteReference"/>
          <w:kern w:val="22"/>
          <w:szCs w:val="22"/>
        </w:rPr>
        <w:footnoteReference w:id="8"/>
      </w:r>
    </w:p>
    <w:p w14:paraId="79C426F9" w14:textId="08429D8B" w:rsidR="0007766A" w:rsidRPr="00AF3F86" w:rsidRDefault="00240E92" w:rsidP="00AF3F86">
      <w:pPr>
        <w:pStyle w:val="Para1"/>
        <w:numPr>
          <w:ilvl w:val="0"/>
          <w:numId w:val="12"/>
        </w:numPr>
        <w:suppressLineNumbers/>
        <w:suppressAutoHyphens/>
        <w:ind w:left="0" w:firstLine="720"/>
        <w:rPr>
          <w:kern w:val="22"/>
          <w:szCs w:val="22"/>
        </w:rPr>
      </w:pPr>
      <w:r w:rsidRPr="00AF3F86">
        <w:rPr>
          <w:i/>
          <w:iCs/>
          <w:kern w:val="22"/>
          <w:szCs w:val="22"/>
        </w:rPr>
        <w:t>N</w:t>
      </w:r>
      <w:r w:rsidR="00B835D9" w:rsidRPr="00AF3F86">
        <w:rPr>
          <w:i/>
          <w:iCs/>
          <w:kern w:val="22"/>
          <w:szCs w:val="22"/>
        </w:rPr>
        <w:t>otes</w:t>
      </w:r>
      <w:r w:rsidR="00B835D9" w:rsidRPr="00AF3F86">
        <w:rPr>
          <w:kern w:val="22"/>
          <w:szCs w:val="22"/>
        </w:rPr>
        <w:t xml:space="preserve"> the analysis done </w:t>
      </w:r>
      <w:r w:rsidR="00A73817" w:rsidRPr="00AF3F86">
        <w:rPr>
          <w:kern w:val="22"/>
          <w:szCs w:val="22"/>
        </w:rPr>
        <w:t xml:space="preserve">by the </w:t>
      </w:r>
      <w:r w:rsidR="00D97D1C" w:rsidRPr="00AF3F86">
        <w:rPr>
          <w:kern w:val="22"/>
          <w:szCs w:val="22"/>
        </w:rPr>
        <w:t xml:space="preserve">Ad Hoc Technical Expert Group </w:t>
      </w:r>
      <w:r w:rsidR="00B835D9" w:rsidRPr="00AF3F86">
        <w:rPr>
          <w:kern w:val="22"/>
          <w:szCs w:val="22"/>
        </w:rPr>
        <w:t>on the topics of (</w:t>
      </w:r>
      <w:r w:rsidR="00D97D1C" w:rsidRPr="00AF3F86">
        <w:rPr>
          <w:kern w:val="22"/>
          <w:szCs w:val="22"/>
        </w:rPr>
        <w:t>a</w:t>
      </w:r>
      <w:r w:rsidR="00B835D9" w:rsidRPr="00AF3F86">
        <w:rPr>
          <w:kern w:val="22"/>
          <w:szCs w:val="22"/>
        </w:rPr>
        <w:t>) living modified organisms containing engineering gene drives and (</w:t>
      </w:r>
      <w:r w:rsidR="00D97D1C" w:rsidRPr="00AF3F86">
        <w:rPr>
          <w:kern w:val="22"/>
          <w:szCs w:val="22"/>
        </w:rPr>
        <w:t>b</w:t>
      </w:r>
      <w:r w:rsidR="00B835D9" w:rsidRPr="00AF3F86">
        <w:rPr>
          <w:kern w:val="22"/>
          <w:szCs w:val="22"/>
        </w:rPr>
        <w:t xml:space="preserve">) living modified fish </w:t>
      </w:r>
      <w:r w:rsidR="00F968F9" w:rsidRPr="00AF3F86">
        <w:rPr>
          <w:kern w:val="22"/>
          <w:szCs w:val="22"/>
        </w:rPr>
        <w:t>according to</w:t>
      </w:r>
      <w:r w:rsidR="00B835D9" w:rsidRPr="00AF3F86">
        <w:rPr>
          <w:kern w:val="22"/>
          <w:szCs w:val="22"/>
        </w:rPr>
        <w:t xml:space="preserve"> decision CP-9/13</w:t>
      </w:r>
      <w:r w:rsidR="00FC6D90">
        <w:rPr>
          <w:kern w:val="22"/>
          <w:szCs w:val="22"/>
        </w:rPr>
        <w:t>,</w:t>
      </w:r>
      <w:r w:rsidR="00FC6D90" w:rsidRPr="00FC6D90">
        <w:rPr>
          <w:kern w:val="22"/>
          <w:szCs w:val="22"/>
        </w:rPr>
        <w:t xml:space="preserve"> </w:t>
      </w:r>
      <w:r w:rsidR="00FC6D90" w:rsidRPr="003E01D9">
        <w:rPr>
          <w:kern w:val="22"/>
          <w:szCs w:val="22"/>
        </w:rPr>
        <w:t>annex</w:t>
      </w:r>
      <w:r w:rsidR="00FC6D90">
        <w:rPr>
          <w:kern w:val="22"/>
          <w:szCs w:val="22"/>
        </w:rPr>
        <w:t> </w:t>
      </w:r>
      <w:r w:rsidR="00FC6D90" w:rsidRPr="003E01D9">
        <w:rPr>
          <w:kern w:val="22"/>
          <w:szCs w:val="22"/>
        </w:rPr>
        <w:t>I</w:t>
      </w:r>
      <w:r w:rsidR="00174E54" w:rsidRPr="00AF3F86">
        <w:rPr>
          <w:kern w:val="22"/>
          <w:szCs w:val="22"/>
        </w:rPr>
        <w:t>;</w:t>
      </w:r>
    </w:p>
    <w:p w14:paraId="5981AF15" w14:textId="7EA28907" w:rsidR="00DE4CE0" w:rsidRPr="00AF3F86" w:rsidRDefault="003A4C0F" w:rsidP="00AF3F86">
      <w:pPr>
        <w:pStyle w:val="Para1"/>
        <w:numPr>
          <w:ilvl w:val="0"/>
          <w:numId w:val="12"/>
        </w:numPr>
        <w:suppressLineNumbers/>
        <w:suppressAutoHyphens/>
        <w:ind w:left="0" w:firstLine="720"/>
        <w:rPr>
          <w:kern w:val="22"/>
          <w:szCs w:val="22"/>
        </w:rPr>
      </w:pPr>
      <w:r w:rsidRPr="00AF3F86">
        <w:rPr>
          <w:i/>
          <w:iCs/>
          <w:kern w:val="22"/>
          <w:szCs w:val="22"/>
        </w:rPr>
        <w:t xml:space="preserve">Notes </w:t>
      </w:r>
      <w:r w:rsidRPr="00AF3F86">
        <w:rPr>
          <w:kern w:val="22"/>
          <w:szCs w:val="22"/>
        </w:rPr>
        <w:t>the range of perspectives on the need for the development of guidance on risk assessment of living modified fish</w:t>
      </w:r>
      <w:r w:rsidR="00FC6D90">
        <w:rPr>
          <w:kern w:val="22"/>
          <w:szCs w:val="22"/>
        </w:rPr>
        <w:t>,</w:t>
      </w:r>
      <w:r w:rsidR="004B69A9" w:rsidRPr="00AF3F86">
        <w:rPr>
          <w:kern w:val="22"/>
          <w:szCs w:val="22"/>
        </w:rPr>
        <w:t xml:space="preserve"> </w:t>
      </w:r>
      <w:r w:rsidR="00DE4CE0" w:rsidRPr="00AF3F86">
        <w:rPr>
          <w:kern w:val="22"/>
          <w:szCs w:val="22"/>
        </w:rPr>
        <w:t>and</w:t>
      </w:r>
      <w:r w:rsidR="00DE4CE0" w:rsidRPr="00AF3F86">
        <w:rPr>
          <w:i/>
          <w:iCs/>
          <w:kern w:val="22"/>
          <w:szCs w:val="22"/>
        </w:rPr>
        <w:t xml:space="preserve"> decides </w:t>
      </w:r>
      <w:r w:rsidR="00DE4CE0" w:rsidRPr="00AF3F86">
        <w:rPr>
          <w:kern w:val="22"/>
          <w:szCs w:val="22"/>
        </w:rPr>
        <w:t>not to develop</w:t>
      </w:r>
      <w:r w:rsidR="00AC53B2">
        <w:rPr>
          <w:kern w:val="22"/>
          <w:szCs w:val="22"/>
        </w:rPr>
        <w:t>,</w:t>
      </w:r>
      <w:r w:rsidR="00DE4CE0" w:rsidRPr="00AF3F86">
        <w:rPr>
          <w:kern w:val="22"/>
          <w:szCs w:val="22"/>
        </w:rPr>
        <w:t xml:space="preserve"> at this stage</w:t>
      </w:r>
      <w:r w:rsidR="00AC53B2">
        <w:rPr>
          <w:kern w:val="22"/>
          <w:szCs w:val="22"/>
        </w:rPr>
        <w:t>,</w:t>
      </w:r>
      <w:r w:rsidR="00DE4CE0" w:rsidRPr="00AF3F86">
        <w:rPr>
          <w:kern w:val="22"/>
          <w:szCs w:val="22"/>
        </w:rPr>
        <w:t xml:space="preserve"> additional guidance materials on risk assessment regarding living modified fish;</w:t>
      </w:r>
    </w:p>
    <w:p w14:paraId="64D39886" w14:textId="3C6FBFD7" w:rsidR="00DE4CE0" w:rsidRPr="00AF3F86" w:rsidRDefault="00DE4CE0" w:rsidP="00AF3F86">
      <w:pPr>
        <w:pStyle w:val="Para1"/>
        <w:numPr>
          <w:ilvl w:val="0"/>
          <w:numId w:val="12"/>
        </w:numPr>
        <w:suppressLineNumbers/>
        <w:suppressAutoHyphens/>
        <w:ind w:left="0" w:firstLine="720"/>
        <w:rPr>
          <w:kern w:val="22"/>
          <w:szCs w:val="22"/>
        </w:rPr>
      </w:pPr>
      <w:r w:rsidRPr="00AF3F86">
        <w:rPr>
          <w:i/>
          <w:iCs/>
          <w:kern w:val="22"/>
          <w:szCs w:val="22"/>
        </w:rPr>
        <w:t xml:space="preserve">Endorses </w:t>
      </w:r>
      <w:r w:rsidRPr="00AF3F86">
        <w:rPr>
          <w:kern w:val="22"/>
          <w:szCs w:val="22"/>
        </w:rPr>
        <w:t xml:space="preserve">the recommendation of the </w:t>
      </w:r>
      <w:r w:rsidR="00967982" w:rsidRPr="00AF3F86">
        <w:rPr>
          <w:kern w:val="22"/>
          <w:szCs w:val="22"/>
        </w:rPr>
        <w:t xml:space="preserve">Ad Hoc Technical Expert Group </w:t>
      </w:r>
      <w:r w:rsidRPr="00AF3F86">
        <w:rPr>
          <w:kern w:val="22"/>
          <w:szCs w:val="22"/>
        </w:rPr>
        <w:t>that guidance for the risk assessment on living modified organisms containing engineered gene drives should be developed;</w:t>
      </w:r>
    </w:p>
    <w:p w14:paraId="0115723D" w14:textId="7A190D79" w:rsidR="00DE4CE0" w:rsidRPr="00AF3F86" w:rsidRDefault="00DE4CE0" w:rsidP="00AF3F86">
      <w:pPr>
        <w:pStyle w:val="Para1"/>
        <w:numPr>
          <w:ilvl w:val="0"/>
          <w:numId w:val="12"/>
        </w:numPr>
        <w:suppressLineNumbers/>
        <w:suppressAutoHyphens/>
        <w:ind w:left="0" w:firstLine="720"/>
        <w:rPr>
          <w:kern w:val="22"/>
          <w:szCs w:val="22"/>
        </w:rPr>
      </w:pPr>
      <w:r w:rsidRPr="00AF3F86">
        <w:rPr>
          <w:i/>
          <w:iCs/>
          <w:kern w:val="22"/>
          <w:szCs w:val="22"/>
        </w:rPr>
        <w:t xml:space="preserve">Decides </w:t>
      </w:r>
      <w:r w:rsidRPr="00AF3F86">
        <w:rPr>
          <w:kern w:val="22"/>
          <w:szCs w:val="22"/>
        </w:rPr>
        <w:t>to establish an Ad Hoc Technical Expert Group on Risk Assessment to develop additional guidance materials on risk assessment for living modified organisms containing engineered gene drives according to the terms of reference annexed hereto;</w:t>
      </w:r>
    </w:p>
    <w:p w14:paraId="7440A14A" w14:textId="261F5CF8" w:rsidR="003A4C0F" w:rsidRPr="00AF3F86" w:rsidRDefault="00DE4CE0" w:rsidP="00AF3F86">
      <w:pPr>
        <w:pStyle w:val="Para1"/>
        <w:numPr>
          <w:ilvl w:val="0"/>
          <w:numId w:val="12"/>
        </w:numPr>
        <w:suppressLineNumbers/>
        <w:suppressAutoHyphens/>
        <w:ind w:left="0" w:firstLine="720"/>
        <w:rPr>
          <w:kern w:val="22"/>
          <w:szCs w:val="22"/>
        </w:rPr>
      </w:pPr>
      <w:r w:rsidRPr="00AF3F86">
        <w:rPr>
          <w:i/>
          <w:iCs/>
          <w:kern w:val="22"/>
          <w:szCs w:val="22"/>
        </w:rPr>
        <w:t xml:space="preserve">Invites </w:t>
      </w:r>
      <w:r w:rsidRPr="00AF3F86">
        <w:rPr>
          <w:kern w:val="22"/>
          <w:szCs w:val="22"/>
        </w:rPr>
        <w:t>Parties, other Governments, indigenous peoples and local communities and relevant organizations to submit to the Executive Secretary information relevant to the work of the Ad Hoc Technical Expert Group, prior to its first meeting;</w:t>
      </w:r>
    </w:p>
    <w:p w14:paraId="0511F818" w14:textId="3DBBB489" w:rsidR="00324E61" w:rsidRPr="00AF3F86" w:rsidRDefault="00324E61" w:rsidP="00AF3F86">
      <w:pPr>
        <w:pStyle w:val="Para1"/>
        <w:numPr>
          <w:ilvl w:val="0"/>
          <w:numId w:val="12"/>
        </w:numPr>
        <w:suppressLineNumbers/>
        <w:suppressAutoHyphens/>
        <w:ind w:left="0" w:firstLine="720"/>
        <w:rPr>
          <w:kern w:val="22"/>
          <w:szCs w:val="22"/>
        </w:rPr>
      </w:pPr>
      <w:r w:rsidRPr="00AF3F86">
        <w:rPr>
          <w:i/>
          <w:iCs/>
          <w:kern w:val="22"/>
          <w:szCs w:val="22"/>
        </w:rPr>
        <w:t xml:space="preserve">Requests </w:t>
      </w:r>
      <w:r w:rsidRPr="00AF3F86">
        <w:rPr>
          <w:kern w:val="22"/>
          <w:szCs w:val="22"/>
        </w:rPr>
        <w:t>the Executive Secretary:</w:t>
      </w:r>
    </w:p>
    <w:p w14:paraId="6DED4BE7" w14:textId="78D06DC9" w:rsidR="00E730BF" w:rsidRPr="00AF3F86" w:rsidRDefault="00E730BF" w:rsidP="00AF3F86">
      <w:pPr>
        <w:pStyle w:val="Para1"/>
        <w:numPr>
          <w:ilvl w:val="2"/>
          <w:numId w:val="13"/>
        </w:numPr>
        <w:suppressLineNumbers/>
        <w:suppressAutoHyphens/>
        <w:ind w:left="0" w:firstLine="709"/>
        <w:rPr>
          <w:kern w:val="22"/>
          <w:szCs w:val="22"/>
        </w:rPr>
      </w:pPr>
      <w:r w:rsidRPr="00AF3F86">
        <w:rPr>
          <w:kern w:val="22"/>
          <w:szCs w:val="22"/>
        </w:rPr>
        <w:t>To convene online discussions</w:t>
      </w:r>
      <w:r w:rsidR="0084007F" w:rsidRPr="00AF3F86">
        <w:rPr>
          <w:kern w:val="22"/>
          <w:szCs w:val="22"/>
        </w:rPr>
        <w:t xml:space="preserve"> of the</w:t>
      </w:r>
      <w:r w:rsidR="00505B79" w:rsidRPr="00AF3F86">
        <w:rPr>
          <w:kern w:val="22"/>
          <w:szCs w:val="22"/>
        </w:rPr>
        <w:t xml:space="preserve"> </w:t>
      </w:r>
      <w:r w:rsidR="00790B0E" w:rsidRPr="00AF3F86">
        <w:rPr>
          <w:kern w:val="22"/>
          <w:szCs w:val="22"/>
        </w:rPr>
        <w:t>O</w:t>
      </w:r>
      <w:r w:rsidR="00505B79" w:rsidRPr="00AF3F86">
        <w:rPr>
          <w:kern w:val="22"/>
          <w:szCs w:val="22"/>
        </w:rPr>
        <w:t>pen-ended</w:t>
      </w:r>
      <w:r w:rsidR="0084007F" w:rsidRPr="00AF3F86">
        <w:rPr>
          <w:kern w:val="22"/>
          <w:szCs w:val="22"/>
        </w:rPr>
        <w:t xml:space="preserve"> </w:t>
      </w:r>
      <w:r w:rsidR="00790B0E" w:rsidRPr="00AF3F86">
        <w:rPr>
          <w:kern w:val="22"/>
          <w:szCs w:val="22"/>
        </w:rPr>
        <w:t>O</w:t>
      </w:r>
      <w:r w:rsidR="0084007F" w:rsidRPr="00AF3F86">
        <w:rPr>
          <w:kern w:val="22"/>
          <w:szCs w:val="22"/>
        </w:rPr>
        <w:t xml:space="preserve">nline </w:t>
      </w:r>
      <w:r w:rsidR="00790B0E" w:rsidRPr="00AF3F86">
        <w:rPr>
          <w:kern w:val="22"/>
          <w:szCs w:val="22"/>
        </w:rPr>
        <w:t>F</w:t>
      </w:r>
      <w:r w:rsidR="0084007F" w:rsidRPr="00AF3F86">
        <w:rPr>
          <w:kern w:val="22"/>
          <w:szCs w:val="22"/>
        </w:rPr>
        <w:t>orum</w:t>
      </w:r>
      <w:r w:rsidR="00505B79" w:rsidRPr="00AF3F86">
        <w:rPr>
          <w:kern w:val="22"/>
          <w:szCs w:val="22"/>
        </w:rPr>
        <w:t xml:space="preserve"> on </w:t>
      </w:r>
      <w:r w:rsidR="00790B0E" w:rsidRPr="00AF3F86">
        <w:rPr>
          <w:kern w:val="22"/>
          <w:szCs w:val="22"/>
        </w:rPr>
        <w:t>R</w:t>
      </w:r>
      <w:r w:rsidR="00505B79" w:rsidRPr="00AF3F86">
        <w:rPr>
          <w:kern w:val="22"/>
          <w:szCs w:val="22"/>
        </w:rPr>
        <w:t xml:space="preserve">isk </w:t>
      </w:r>
      <w:r w:rsidR="00790B0E" w:rsidRPr="00AF3F86">
        <w:rPr>
          <w:kern w:val="22"/>
          <w:szCs w:val="22"/>
        </w:rPr>
        <w:t>A</w:t>
      </w:r>
      <w:r w:rsidR="00505B79" w:rsidRPr="00AF3F86">
        <w:rPr>
          <w:kern w:val="22"/>
          <w:szCs w:val="22"/>
        </w:rPr>
        <w:t xml:space="preserve">ssessment and </w:t>
      </w:r>
      <w:r w:rsidR="00790B0E" w:rsidRPr="00AF3F86">
        <w:rPr>
          <w:kern w:val="22"/>
          <w:szCs w:val="22"/>
        </w:rPr>
        <w:t>R</w:t>
      </w:r>
      <w:r w:rsidR="00505B79" w:rsidRPr="00AF3F86">
        <w:rPr>
          <w:kern w:val="22"/>
          <w:szCs w:val="22"/>
        </w:rPr>
        <w:t xml:space="preserve">isk </w:t>
      </w:r>
      <w:r w:rsidR="00790B0E" w:rsidRPr="00AF3F86">
        <w:rPr>
          <w:kern w:val="22"/>
          <w:szCs w:val="22"/>
        </w:rPr>
        <w:t>M</w:t>
      </w:r>
      <w:r w:rsidR="00505B79" w:rsidRPr="00AF3F86">
        <w:rPr>
          <w:kern w:val="22"/>
          <w:szCs w:val="22"/>
        </w:rPr>
        <w:t>anagement</w:t>
      </w:r>
      <w:r w:rsidRPr="00AF3F86">
        <w:rPr>
          <w:kern w:val="22"/>
          <w:szCs w:val="22"/>
        </w:rPr>
        <w:t xml:space="preserve"> to support the work of the </w:t>
      </w:r>
      <w:r w:rsidR="00CD6353" w:rsidRPr="00AF3F86">
        <w:rPr>
          <w:kern w:val="22"/>
          <w:szCs w:val="22"/>
        </w:rPr>
        <w:t>A</w:t>
      </w:r>
      <w:r w:rsidR="00397724" w:rsidRPr="00AF3F86">
        <w:rPr>
          <w:kern w:val="22"/>
          <w:szCs w:val="22"/>
        </w:rPr>
        <w:t xml:space="preserve">d </w:t>
      </w:r>
      <w:r w:rsidR="00CD6353" w:rsidRPr="00AF3F86">
        <w:rPr>
          <w:kern w:val="22"/>
          <w:szCs w:val="22"/>
        </w:rPr>
        <w:t>H</w:t>
      </w:r>
      <w:r w:rsidR="00397724" w:rsidRPr="00AF3F86">
        <w:rPr>
          <w:kern w:val="22"/>
          <w:szCs w:val="22"/>
        </w:rPr>
        <w:t xml:space="preserve">oc </w:t>
      </w:r>
      <w:r w:rsidR="00CD6353" w:rsidRPr="00AF3F86">
        <w:rPr>
          <w:kern w:val="22"/>
          <w:szCs w:val="22"/>
        </w:rPr>
        <w:t>T</w:t>
      </w:r>
      <w:r w:rsidR="00397724" w:rsidRPr="00AF3F86">
        <w:rPr>
          <w:kern w:val="22"/>
          <w:szCs w:val="22"/>
        </w:rPr>
        <w:t xml:space="preserve">echnical </w:t>
      </w:r>
      <w:r w:rsidR="00CD6353" w:rsidRPr="00AF3F86">
        <w:rPr>
          <w:kern w:val="22"/>
          <w:szCs w:val="22"/>
        </w:rPr>
        <w:t>E</w:t>
      </w:r>
      <w:r w:rsidR="00397724" w:rsidRPr="00AF3F86">
        <w:rPr>
          <w:kern w:val="22"/>
          <w:szCs w:val="22"/>
        </w:rPr>
        <w:t xml:space="preserve">xpert </w:t>
      </w:r>
      <w:r w:rsidR="00CD6353" w:rsidRPr="00AF3F86">
        <w:rPr>
          <w:kern w:val="22"/>
          <w:szCs w:val="22"/>
        </w:rPr>
        <w:t>G</w:t>
      </w:r>
      <w:r w:rsidR="00397724" w:rsidRPr="00AF3F86">
        <w:rPr>
          <w:kern w:val="22"/>
          <w:szCs w:val="22"/>
        </w:rPr>
        <w:t>roup;</w:t>
      </w:r>
    </w:p>
    <w:p w14:paraId="54125EE1" w14:textId="38C1F676" w:rsidR="001F0DF5" w:rsidRPr="00AF3F86" w:rsidRDefault="001F0DF5" w:rsidP="00AF3F86">
      <w:pPr>
        <w:pStyle w:val="Para1"/>
        <w:numPr>
          <w:ilvl w:val="2"/>
          <w:numId w:val="13"/>
        </w:numPr>
        <w:suppressLineNumbers/>
        <w:suppressAutoHyphens/>
        <w:ind w:left="0" w:firstLine="709"/>
        <w:rPr>
          <w:kern w:val="22"/>
          <w:szCs w:val="22"/>
        </w:rPr>
      </w:pPr>
      <w:r w:rsidRPr="00AF3F86">
        <w:rPr>
          <w:kern w:val="22"/>
          <w:szCs w:val="22"/>
        </w:rPr>
        <w:t xml:space="preserve">To collect and synthesize relevant information to facilitate the work of the </w:t>
      </w:r>
      <w:r w:rsidR="005D5B4B" w:rsidRPr="00AF3F86">
        <w:rPr>
          <w:kern w:val="22"/>
          <w:szCs w:val="22"/>
        </w:rPr>
        <w:t>O</w:t>
      </w:r>
      <w:r w:rsidRPr="00AF3F86">
        <w:rPr>
          <w:kern w:val="22"/>
          <w:szCs w:val="22"/>
        </w:rPr>
        <w:t xml:space="preserve">nline </w:t>
      </w:r>
      <w:r w:rsidR="005D5B4B" w:rsidRPr="00AF3F86">
        <w:rPr>
          <w:kern w:val="22"/>
          <w:szCs w:val="22"/>
        </w:rPr>
        <w:t>F</w:t>
      </w:r>
      <w:r w:rsidRPr="00AF3F86">
        <w:rPr>
          <w:kern w:val="22"/>
          <w:szCs w:val="22"/>
        </w:rPr>
        <w:t xml:space="preserve">orum and the </w:t>
      </w:r>
      <w:r w:rsidR="0077515E" w:rsidRPr="00AF3F86">
        <w:rPr>
          <w:kern w:val="22"/>
          <w:szCs w:val="22"/>
        </w:rPr>
        <w:t>A</w:t>
      </w:r>
      <w:r w:rsidRPr="00AF3F86">
        <w:rPr>
          <w:kern w:val="22"/>
          <w:szCs w:val="22"/>
        </w:rPr>
        <w:t>d Hoc Technical Expert Group;</w:t>
      </w:r>
    </w:p>
    <w:p w14:paraId="39BD8E1E" w14:textId="49FB8390" w:rsidR="001F0DF5" w:rsidRPr="00AF3F86" w:rsidRDefault="001F0DF5" w:rsidP="00AF3F86">
      <w:pPr>
        <w:pStyle w:val="Para1"/>
        <w:numPr>
          <w:ilvl w:val="2"/>
          <w:numId w:val="13"/>
        </w:numPr>
        <w:suppressLineNumbers/>
        <w:suppressAutoHyphens/>
        <w:ind w:left="0" w:firstLine="709"/>
        <w:rPr>
          <w:kern w:val="22"/>
          <w:szCs w:val="22"/>
        </w:rPr>
      </w:pPr>
      <w:r w:rsidRPr="00AF3F86">
        <w:rPr>
          <w:kern w:val="22"/>
          <w:szCs w:val="22"/>
        </w:rPr>
        <w:t xml:space="preserve">To </w:t>
      </w:r>
      <w:r w:rsidR="00C9313F" w:rsidRPr="00AF3F86">
        <w:rPr>
          <w:kern w:val="22"/>
          <w:szCs w:val="22"/>
        </w:rPr>
        <w:t xml:space="preserve">synthesize </w:t>
      </w:r>
      <w:r w:rsidRPr="00AF3F86">
        <w:rPr>
          <w:kern w:val="22"/>
          <w:szCs w:val="22"/>
        </w:rPr>
        <w:t xml:space="preserve">the views referred to in paragraph </w:t>
      </w:r>
      <w:r w:rsidR="006962C7" w:rsidRPr="00AF3F86">
        <w:rPr>
          <w:kern w:val="22"/>
          <w:szCs w:val="22"/>
        </w:rPr>
        <w:t>5</w:t>
      </w:r>
      <w:r w:rsidRPr="00AF3F86">
        <w:rPr>
          <w:kern w:val="22"/>
          <w:szCs w:val="22"/>
        </w:rPr>
        <w:t xml:space="preserve"> above</w:t>
      </w:r>
      <w:r w:rsidR="00C9313F" w:rsidRPr="00AF3F86">
        <w:rPr>
          <w:kern w:val="22"/>
          <w:szCs w:val="22"/>
        </w:rPr>
        <w:t xml:space="preserve"> and the discussions in the </w:t>
      </w:r>
      <w:r w:rsidR="005901FC">
        <w:rPr>
          <w:kern w:val="22"/>
          <w:szCs w:val="22"/>
        </w:rPr>
        <w:t>O</w:t>
      </w:r>
      <w:r w:rsidR="00C9313F" w:rsidRPr="00AF3F86">
        <w:rPr>
          <w:kern w:val="22"/>
          <w:szCs w:val="22"/>
        </w:rPr>
        <w:t xml:space="preserve">nline </w:t>
      </w:r>
      <w:r w:rsidR="005901FC">
        <w:rPr>
          <w:kern w:val="22"/>
          <w:szCs w:val="22"/>
        </w:rPr>
        <w:t>F</w:t>
      </w:r>
      <w:r w:rsidR="00C9313F" w:rsidRPr="00AF3F86">
        <w:rPr>
          <w:kern w:val="22"/>
          <w:szCs w:val="22"/>
        </w:rPr>
        <w:t>orum and make them available for the Ad Hoc Technical Expert Group</w:t>
      </w:r>
      <w:r w:rsidRPr="00AF3F86">
        <w:rPr>
          <w:kern w:val="22"/>
          <w:szCs w:val="22"/>
        </w:rPr>
        <w:t>;</w:t>
      </w:r>
    </w:p>
    <w:p w14:paraId="662EF3AB" w14:textId="62E340FE" w:rsidR="001F0DF5" w:rsidRPr="00AF3F86" w:rsidRDefault="001F0DF5" w:rsidP="00AF3F86">
      <w:pPr>
        <w:pStyle w:val="Para1"/>
        <w:numPr>
          <w:ilvl w:val="2"/>
          <w:numId w:val="13"/>
        </w:numPr>
        <w:suppressLineNumbers/>
        <w:suppressAutoHyphens/>
        <w:ind w:left="0" w:firstLine="709"/>
        <w:rPr>
          <w:kern w:val="22"/>
          <w:szCs w:val="22"/>
        </w:rPr>
      </w:pPr>
      <w:r w:rsidRPr="00AF3F86">
        <w:rPr>
          <w:kern w:val="22"/>
          <w:szCs w:val="22"/>
        </w:rPr>
        <w:t>To convene</w:t>
      </w:r>
      <w:r w:rsidR="00024CB1" w:rsidRPr="00AF3F86">
        <w:rPr>
          <w:kern w:val="22"/>
          <w:szCs w:val="22"/>
        </w:rPr>
        <w:t>,</w:t>
      </w:r>
      <w:r w:rsidR="0002011C" w:rsidRPr="00AF3F86">
        <w:rPr>
          <w:kern w:val="22"/>
          <w:szCs w:val="22"/>
        </w:rPr>
        <w:t xml:space="preserve"> subject to the availability of resources,</w:t>
      </w:r>
      <w:r w:rsidRPr="00AF3F86">
        <w:rPr>
          <w:kern w:val="22"/>
          <w:szCs w:val="22"/>
        </w:rPr>
        <w:t xml:space="preserve"> </w:t>
      </w:r>
      <w:r w:rsidR="00A044CA" w:rsidRPr="00AF3F86">
        <w:rPr>
          <w:kern w:val="22"/>
          <w:szCs w:val="22"/>
        </w:rPr>
        <w:t>two</w:t>
      </w:r>
      <w:r w:rsidRPr="00AF3F86">
        <w:rPr>
          <w:kern w:val="22"/>
          <w:szCs w:val="22"/>
        </w:rPr>
        <w:t xml:space="preserve"> meeting</w:t>
      </w:r>
      <w:r w:rsidR="00A044CA" w:rsidRPr="00AF3F86">
        <w:rPr>
          <w:kern w:val="22"/>
          <w:szCs w:val="22"/>
        </w:rPr>
        <w:t>s</w:t>
      </w:r>
      <w:r w:rsidRPr="00AF3F86">
        <w:rPr>
          <w:kern w:val="22"/>
          <w:szCs w:val="22"/>
        </w:rPr>
        <w:t xml:space="preserve"> of the Ad Hoc Technical Expert Group on Risk Assessment;</w:t>
      </w:r>
    </w:p>
    <w:p w14:paraId="1B8A23FA" w14:textId="5BC685F8" w:rsidR="0002011C" w:rsidRPr="00AF3F86" w:rsidRDefault="0002011C" w:rsidP="00AF3F86">
      <w:pPr>
        <w:pStyle w:val="Para1"/>
        <w:numPr>
          <w:ilvl w:val="0"/>
          <w:numId w:val="12"/>
        </w:numPr>
        <w:suppressLineNumbers/>
        <w:suppressAutoHyphens/>
        <w:ind w:left="0" w:firstLine="709"/>
        <w:rPr>
          <w:kern w:val="22"/>
          <w:szCs w:val="22"/>
        </w:rPr>
      </w:pPr>
      <w:r w:rsidRPr="00AF3F86">
        <w:rPr>
          <w:i/>
          <w:iCs/>
          <w:kern w:val="22"/>
          <w:szCs w:val="22"/>
        </w:rPr>
        <w:t>Requests</w:t>
      </w:r>
      <w:r w:rsidRPr="00AF3F86">
        <w:rPr>
          <w:kern w:val="22"/>
          <w:szCs w:val="22"/>
        </w:rPr>
        <w:t xml:space="preserve"> the Subsidiary Body on Scientific, Technical and Technological Advice to </w:t>
      </w:r>
      <w:r w:rsidR="00024CB1" w:rsidRPr="00AF3F86">
        <w:rPr>
          <w:kern w:val="22"/>
          <w:szCs w:val="22"/>
        </w:rPr>
        <w:t xml:space="preserve">consider the outcomes of the Ad Hoc Technical Expert Group on Risk Assessment and </w:t>
      </w:r>
      <w:r w:rsidRPr="00AF3F86">
        <w:rPr>
          <w:kern w:val="22"/>
          <w:szCs w:val="22"/>
        </w:rPr>
        <w:t xml:space="preserve">make a recommendation for </w:t>
      </w:r>
      <w:r w:rsidRPr="00AF3F86">
        <w:rPr>
          <w:kern w:val="22"/>
          <w:szCs w:val="22"/>
        </w:rPr>
        <w:lastRenderedPageBreak/>
        <w:t xml:space="preserve">consideration by the Conference of the Parties serving as the meeting of the Parties to the Cartagena Protocol at its </w:t>
      </w:r>
      <w:r w:rsidR="00932B9A" w:rsidRPr="00AF3F86">
        <w:rPr>
          <w:kern w:val="22"/>
          <w:szCs w:val="22"/>
        </w:rPr>
        <w:t xml:space="preserve">eleventh </w:t>
      </w:r>
      <w:r w:rsidRPr="00AF3F86">
        <w:rPr>
          <w:kern w:val="22"/>
          <w:szCs w:val="22"/>
        </w:rPr>
        <w:t>meeting</w:t>
      </w:r>
      <w:r w:rsidR="006E00B1" w:rsidRPr="00AF3F86">
        <w:rPr>
          <w:kern w:val="22"/>
          <w:szCs w:val="22"/>
        </w:rPr>
        <w:t>;</w:t>
      </w:r>
    </w:p>
    <w:p w14:paraId="739E2D91" w14:textId="54B757B7" w:rsidR="006E00B1" w:rsidRPr="00AF3F86" w:rsidRDefault="00C27726" w:rsidP="00AF3F86">
      <w:pPr>
        <w:pStyle w:val="Para1"/>
        <w:numPr>
          <w:ilvl w:val="0"/>
          <w:numId w:val="12"/>
        </w:numPr>
        <w:suppressLineNumbers/>
        <w:suppressAutoHyphens/>
        <w:ind w:left="0" w:firstLine="709"/>
        <w:rPr>
          <w:kern w:val="22"/>
          <w:szCs w:val="22"/>
        </w:rPr>
      </w:pPr>
      <w:r w:rsidRPr="00133571">
        <w:rPr>
          <w:i/>
          <w:iCs/>
          <w:kern w:val="22"/>
          <w:szCs w:val="22"/>
        </w:rPr>
        <w:t>Decides</w:t>
      </w:r>
      <w:r w:rsidRPr="00133571">
        <w:rPr>
          <w:kern w:val="22"/>
          <w:szCs w:val="22"/>
        </w:rPr>
        <w:t xml:space="preserve"> to consider</w:t>
      </w:r>
      <w:r>
        <w:rPr>
          <w:kern w:val="22"/>
          <w:szCs w:val="22"/>
        </w:rPr>
        <w:t>,</w:t>
      </w:r>
      <w:r w:rsidRPr="00133571">
        <w:rPr>
          <w:kern w:val="22"/>
          <w:szCs w:val="22"/>
        </w:rPr>
        <w:t xml:space="preserve"> at its eleventh meeting</w:t>
      </w:r>
      <w:r>
        <w:rPr>
          <w:kern w:val="22"/>
          <w:szCs w:val="22"/>
        </w:rPr>
        <w:t>,</w:t>
      </w:r>
      <w:r w:rsidRPr="0053423A">
        <w:rPr>
          <w:kern w:val="22"/>
          <w:szCs w:val="22"/>
        </w:rPr>
        <w:t xml:space="preserve"> </w:t>
      </w:r>
      <w:r w:rsidRPr="00133571">
        <w:rPr>
          <w:kern w:val="22"/>
          <w:szCs w:val="22"/>
        </w:rPr>
        <w:t>additional issues on which guidance materials on risk assessment may be needed</w:t>
      </w:r>
      <w:r>
        <w:rPr>
          <w:kern w:val="22"/>
          <w:szCs w:val="22"/>
        </w:rPr>
        <w:t>,</w:t>
      </w:r>
      <w:r w:rsidRPr="00133571">
        <w:rPr>
          <w:kern w:val="22"/>
          <w:szCs w:val="22"/>
        </w:rPr>
        <w:t xml:space="preserve"> </w:t>
      </w:r>
      <w:r>
        <w:rPr>
          <w:kern w:val="22"/>
          <w:szCs w:val="22"/>
        </w:rPr>
        <w:t>f</w:t>
      </w:r>
      <w:r w:rsidR="0076611D" w:rsidRPr="00AF3F86">
        <w:rPr>
          <w:kern w:val="22"/>
          <w:szCs w:val="22"/>
        </w:rPr>
        <w:t xml:space="preserve">urther to </w:t>
      </w:r>
      <w:r w:rsidR="006E00B1" w:rsidRPr="00AF3F86">
        <w:rPr>
          <w:kern w:val="22"/>
          <w:szCs w:val="22"/>
        </w:rPr>
        <w:t>the process for the identification and prioriti</w:t>
      </w:r>
      <w:r w:rsidR="00E174B8" w:rsidRPr="00AF3F86">
        <w:rPr>
          <w:kern w:val="22"/>
          <w:szCs w:val="22"/>
        </w:rPr>
        <w:t>z</w:t>
      </w:r>
      <w:r w:rsidR="006E00B1" w:rsidRPr="00AF3F86">
        <w:rPr>
          <w:kern w:val="22"/>
          <w:szCs w:val="22"/>
        </w:rPr>
        <w:t>ation of specific issues of risk assessment of living modified organisms established in decision CP-9/13, taking into account priorities identified by Parties, including through their national reports.</w:t>
      </w:r>
      <w:r w:rsidR="0076611D" w:rsidRPr="00AF3F86">
        <w:rPr>
          <w:rStyle w:val="FootnoteReference"/>
          <w:kern w:val="22"/>
          <w:szCs w:val="22"/>
        </w:rPr>
        <w:footnoteReference w:id="9"/>
      </w:r>
    </w:p>
    <w:p w14:paraId="5F889230" w14:textId="18ACDABB" w:rsidR="00D8265D" w:rsidRPr="00AF3F86" w:rsidRDefault="00D8265D" w:rsidP="00AF3F86">
      <w:pPr>
        <w:keepNext/>
        <w:suppressLineNumbers/>
        <w:suppressAutoHyphens/>
        <w:spacing w:before="240" w:after="120"/>
        <w:jc w:val="center"/>
        <w:outlineLvl w:val="0"/>
        <w:rPr>
          <w:kern w:val="22"/>
          <w:szCs w:val="22"/>
        </w:rPr>
      </w:pPr>
      <w:r w:rsidRPr="00AF3F86">
        <w:rPr>
          <w:i/>
          <w:iCs/>
          <w:kern w:val="22"/>
          <w:szCs w:val="22"/>
        </w:rPr>
        <w:t>Annex</w:t>
      </w:r>
      <w:r w:rsidR="00D81FDE" w:rsidRPr="00AF3F86">
        <w:rPr>
          <w:i/>
          <w:iCs/>
          <w:kern w:val="22"/>
          <w:szCs w:val="22"/>
        </w:rPr>
        <w:t xml:space="preserve"> </w:t>
      </w:r>
      <w:r w:rsidR="004B69A9" w:rsidRPr="00AF3F86">
        <w:rPr>
          <w:i/>
          <w:iCs/>
          <w:kern w:val="22"/>
          <w:szCs w:val="22"/>
        </w:rPr>
        <w:t>(</w:t>
      </w:r>
      <w:r w:rsidR="00D81FDE" w:rsidRPr="00AF3F86">
        <w:rPr>
          <w:i/>
          <w:iCs/>
          <w:kern w:val="22"/>
          <w:szCs w:val="22"/>
        </w:rPr>
        <w:t xml:space="preserve">to </w:t>
      </w:r>
      <w:r w:rsidR="004B69A9" w:rsidRPr="00AF3F86">
        <w:rPr>
          <w:i/>
          <w:iCs/>
          <w:kern w:val="22"/>
          <w:szCs w:val="22"/>
        </w:rPr>
        <w:t>the draft</w:t>
      </w:r>
      <w:r w:rsidR="00D81FDE" w:rsidRPr="00AF3F86">
        <w:rPr>
          <w:i/>
          <w:iCs/>
          <w:kern w:val="22"/>
          <w:szCs w:val="22"/>
        </w:rPr>
        <w:t xml:space="preserve"> </w:t>
      </w:r>
      <w:r w:rsidR="004B69A9" w:rsidRPr="00AF3F86">
        <w:rPr>
          <w:i/>
          <w:iCs/>
          <w:kern w:val="22"/>
          <w:szCs w:val="22"/>
        </w:rPr>
        <w:t>decision)</w:t>
      </w:r>
    </w:p>
    <w:p w14:paraId="35FF2341" w14:textId="32580C6F" w:rsidR="00A17BBD" w:rsidRPr="00431F85" w:rsidRDefault="00A17BBD" w:rsidP="00AF3F86">
      <w:pPr>
        <w:pStyle w:val="Heading1"/>
        <w:suppressLineNumbers/>
        <w:tabs>
          <w:tab w:val="clear" w:pos="720"/>
        </w:tabs>
        <w:suppressAutoHyphens/>
        <w:spacing w:before="120"/>
        <w:rPr>
          <w:rFonts w:ascii="Times New Roman Bold" w:hAnsi="Times New Roman Bold"/>
          <w:kern w:val="22"/>
          <w:szCs w:val="22"/>
        </w:rPr>
      </w:pPr>
      <w:r w:rsidRPr="00431F85">
        <w:rPr>
          <w:rFonts w:ascii="Times New Roman Bold" w:hAnsi="Times New Roman Bold"/>
          <w:kern w:val="22"/>
          <w:szCs w:val="22"/>
        </w:rPr>
        <w:t xml:space="preserve">Terms of </w:t>
      </w:r>
      <w:r w:rsidR="00F71B7A" w:rsidRPr="00431F85">
        <w:rPr>
          <w:rFonts w:ascii="Times New Roman Bold" w:hAnsi="Times New Roman Bold"/>
          <w:kern w:val="22"/>
          <w:szCs w:val="22"/>
        </w:rPr>
        <w:t>r</w:t>
      </w:r>
      <w:r w:rsidRPr="00431F85">
        <w:rPr>
          <w:rFonts w:ascii="Times New Roman Bold" w:hAnsi="Times New Roman Bold"/>
          <w:kern w:val="22"/>
          <w:szCs w:val="22"/>
        </w:rPr>
        <w:t>eference for the Ad Hoc Technical Expert Group on Risk</w:t>
      </w:r>
      <w:r w:rsidR="00355663" w:rsidRPr="00431F85">
        <w:rPr>
          <w:rFonts w:ascii="Times New Roman Bold" w:hAnsi="Times New Roman Bold"/>
          <w:b w:val="0"/>
          <w:kern w:val="22"/>
          <w:szCs w:val="22"/>
        </w:rPr>
        <w:t> </w:t>
      </w:r>
      <w:r w:rsidRPr="00431F85">
        <w:rPr>
          <w:rFonts w:ascii="Times New Roman Bold" w:hAnsi="Times New Roman Bold"/>
          <w:kern w:val="22"/>
          <w:szCs w:val="22"/>
        </w:rPr>
        <w:t>Assessment</w:t>
      </w:r>
    </w:p>
    <w:p w14:paraId="646D4B92" w14:textId="73626A40" w:rsidR="00A17BBD" w:rsidRPr="00AF3F86" w:rsidRDefault="00A17BBD" w:rsidP="00AF3F86">
      <w:pPr>
        <w:pStyle w:val="Para1"/>
        <w:keepNext/>
        <w:numPr>
          <w:ilvl w:val="0"/>
          <w:numId w:val="0"/>
        </w:numPr>
        <w:suppressLineNumbers/>
        <w:suppressAutoHyphens/>
        <w:spacing w:before="0"/>
        <w:rPr>
          <w:kern w:val="22"/>
          <w:szCs w:val="22"/>
        </w:rPr>
      </w:pPr>
      <w:r w:rsidRPr="00AF3F86">
        <w:rPr>
          <w:kern w:val="22"/>
          <w:szCs w:val="22"/>
        </w:rPr>
        <w:t xml:space="preserve">1. </w:t>
      </w:r>
      <w:r w:rsidR="00A663E4" w:rsidRPr="00AF3F86">
        <w:rPr>
          <w:kern w:val="22"/>
          <w:szCs w:val="22"/>
        </w:rPr>
        <w:tab/>
      </w:r>
      <w:r w:rsidRPr="00AF3F86">
        <w:rPr>
          <w:kern w:val="22"/>
          <w:szCs w:val="22"/>
        </w:rPr>
        <w:t>The Ad Hoc Technical Expert Group (G</w:t>
      </w:r>
      <w:r w:rsidR="003217EA" w:rsidRPr="00AF3F86">
        <w:rPr>
          <w:kern w:val="22"/>
          <w:szCs w:val="22"/>
        </w:rPr>
        <w:t>roup</w:t>
      </w:r>
      <w:r w:rsidRPr="00AF3F86">
        <w:rPr>
          <w:kern w:val="22"/>
          <w:szCs w:val="22"/>
        </w:rPr>
        <w:t>) on Risk Assessment shall:</w:t>
      </w:r>
    </w:p>
    <w:p w14:paraId="4FF9062A" w14:textId="76E1D7EF" w:rsidR="00A17BBD" w:rsidRPr="00AF3F86" w:rsidRDefault="00A17BBD" w:rsidP="00AF3F86">
      <w:pPr>
        <w:keepNext/>
        <w:suppressLineNumbers/>
        <w:suppressAutoHyphens/>
        <w:spacing w:after="120"/>
        <w:ind w:firstLine="720"/>
        <w:rPr>
          <w:kern w:val="22"/>
          <w:szCs w:val="22"/>
        </w:rPr>
      </w:pPr>
      <w:r w:rsidRPr="00AF3F86">
        <w:rPr>
          <w:kern w:val="22"/>
          <w:szCs w:val="22"/>
        </w:rPr>
        <w:t xml:space="preserve">(a) </w:t>
      </w:r>
      <w:r w:rsidR="00A663E4" w:rsidRPr="00AF3F86">
        <w:rPr>
          <w:kern w:val="22"/>
          <w:szCs w:val="22"/>
        </w:rPr>
        <w:tab/>
      </w:r>
      <w:r w:rsidR="00665A25" w:rsidRPr="00AF3F86">
        <w:rPr>
          <w:kern w:val="22"/>
          <w:szCs w:val="22"/>
        </w:rPr>
        <w:t>Be composed of</w:t>
      </w:r>
      <w:r w:rsidRPr="00AF3F86">
        <w:rPr>
          <w:kern w:val="22"/>
          <w:szCs w:val="22"/>
        </w:rPr>
        <w:t xml:space="preserve"> experts selected in accordance with the consolidated modus operandi of the </w:t>
      </w:r>
      <w:r w:rsidR="00265564" w:rsidRPr="00AF3F86">
        <w:rPr>
          <w:kern w:val="22"/>
          <w:szCs w:val="22"/>
        </w:rPr>
        <w:t>Subsidiary Body on Scientific, Technical and Technological Advice</w:t>
      </w:r>
      <w:r w:rsidRPr="00AF3F86">
        <w:rPr>
          <w:kern w:val="22"/>
          <w:szCs w:val="22"/>
        </w:rPr>
        <w:t>;</w:t>
      </w:r>
    </w:p>
    <w:p w14:paraId="69C6B19A" w14:textId="38410A41" w:rsidR="00A17BBD" w:rsidRPr="00AF3F86" w:rsidRDefault="00A17BBD" w:rsidP="00AF3F86">
      <w:pPr>
        <w:keepNext/>
        <w:suppressLineNumbers/>
        <w:suppressAutoHyphens/>
        <w:spacing w:after="120"/>
        <w:ind w:firstLine="720"/>
        <w:rPr>
          <w:kern w:val="22"/>
          <w:szCs w:val="22"/>
        </w:rPr>
      </w:pPr>
      <w:r w:rsidRPr="00AF3F86">
        <w:rPr>
          <w:kern w:val="22"/>
          <w:szCs w:val="22"/>
        </w:rPr>
        <w:t>(</w:t>
      </w:r>
      <w:r w:rsidR="00867FFB" w:rsidRPr="00AF3F86">
        <w:rPr>
          <w:kern w:val="22"/>
          <w:szCs w:val="22"/>
        </w:rPr>
        <w:t>b</w:t>
      </w:r>
      <w:r w:rsidRPr="00AF3F86">
        <w:rPr>
          <w:kern w:val="22"/>
          <w:szCs w:val="22"/>
        </w:rPr>
        <w:t>)</w:t>
      </w:r>
      <w:r w:rsidR="00A663E4" w:rsidRPr="00AF3F86">
        <w:rPr>
          <w:kern w:val="22"/>
          <w:szCs w:val="22"/>
        </w:rPr>
        <w:tab/>
      </w:r>
      <w:r w:rsidRPr="00AF3F86">
        <w:rPr>
          <w:kern w:val="22"/>
          <w:szCs w:val="22"/>
        </w:rPr>
        <w:t xml:space="preserve">Meet twice, </w:t>
      </w:r>
      <w:r w:rsidR="003D3DEB" w:rsidRPr="00AF3F86">
        <w:rPr>
          <w:kern w:val="22"/>
          <w:szCs w:val="22"/>
        </w:rPr>
        <w:t xml:space="preserve">subject to the </w:t>
      </w:r>
      <w:r w:rsidRPr="00AF3F86">
        <w:rPr>
          <w:kern w:val="22"/>
          <w:szCs w:val="22"/>
        </w:rPr>
        <w:t>availability of funds</w:t>
      </w:r>
      <w:r w:rsidR="001208E2" w:rsidRPr="00AF3F86">
        <w:rPr>
          <w:kern w:val="22"/>
          <w:szCs w:val="22"/>
        </w:rPr>
        <w:t xml:space="preserve"> and </w:t>
      </w:r>
      <w:r w:rsidRPr="00AF3F86">
        <w:rPr>
          <w:kern w:val="22"/>
          <w:szCs w:val="22"/>
        </w:rPr>
        <w:t xml:space="preserve">prior to the </w:t>
      </w:r>
      <w:r w:rsidR="001208E2" w:rsidRPr="00AF3F86">
        <w:rPr>
          <w:kern w:val="22"/>
          <w:szCs w:val="22"/>
        </w:rPr>
        <w:t>eleventh</w:t>
      </w:r>
      <w:r w:rsidRPr="00AF3F86">
        <w:rPr>
          <w:kern w:val="22"/>
          <w:szCs w:val="22"/>
        </w:rPr>
        <w:t xml:space="preserve"> meeting of the Conference of the Parties serving as the meeting of the Parties to the </w:t>
      </w:r>
      <w:r w:rsidR="00F82040">
        <w:rPr>
          <w:kern w:val="22"/>
          <w:szCs w:val="22"/>
        </w:rPr>
        <w:t xml:space="preserve">Cartagena </w:t>
      </w:r>
      <w:r w:rsidRPr="00AF3F86">
        <w:rPr>
          <w:kern w:val="22"/>
          <w:szCs w:val="22"/>
        </w:rPr>
        <w:t>Protocol</w:t>
      </w:r>
      <w:r w:rsidR="00F82040">
        <w:rPr>
          <w:kern w:val="22"/>
          <w:szCs w:val="22"/>
        </w:rPr>
        <w:t xml:space="preserve"> on Biosafety</w:t>
      </w:r>
      <w:r w:rsidRPr="00AF3F86">
        <w:rPr>
          <w:kern w:val="22"/>
          <w:szCs w:val="22"/>
        </w:rPr>
        <w:t xml:space="preserve">, and perform necessary tasks between </w:t>
      </w:r>
      <w:r w:rsidR="001208E2" w:rsidRPr="00AF3F86">
        <w:rPr>
          <w:kern w:val="22"/>
          <w:szCs w:val="22"/>
        </w:rPr>
        <w:t>its</w:t>
      </w:r>
      <w:r w:rsidRPr="00AF3F86">
        <w:rPr>
          <w:kern w:val="22"/>
          <w:szCs w:val="22"/>
        </w:rPr>
        <w:t xml:space="preserve"> two meetings;</w:t>
      </w:r>
    </w:p>
    <w:p w14:paraId="0A497DF8" w14:textId="07D57360" w:rsidR="0025546C" w:rsidRPr="00AF3F86" w:rsidRDefault="0025546C" w:rsidP="00AF3F86">
      <w:pPr>
        <w:suppressLineNumbers/>
        <w:suppressAutoHyphens/>
        <w:spacing w:after="120"/>
        <w:ind w:firstLine="720"/>
        <w:rPr>
          <w:kern w:val="22"/>
          <w:szCs w:val="22"/>
        </w:rPr>
      </w:pPr>
      <w:r w:rsidRPr="00AF3F86">
        <w:rPr>
          <w:kern w:val="22"/>
          <w:szCs w:val="22"/>
        </w:rPr>
        <w:t>(c)</w:t>
      </w:r>
      <w:r w:rsidR="00A663E4" w:rsidRPr="00AF3F86">
        <w:rPr>
          <w:kern w:val="22"/>
          <w:szCs w:val="22"/>
        </w:rPr>
        <w:tab/>
      </w:r>
      <w:r w:rsidRPr="00AF3F86">
        <w:rPr>
          <w:kern w:val="22"/>
          <w:szCs w:val="22"/>
        </w:rPr>
        <w:t xml:space="preserve">Develop guidance </w:t>
      </w:r>
      <w:r w:rsidR="00DF244C">
        <w:rPr>
          <w:kern w:val="22"/>
          <w:szCs w:val="22"/>
        </w:rPr>
        <w:t>for</w:t>
      </w:r>
      <w:r w:rsidR="00DF244C" w:rsidRPr="00AF3F86">
        <w:rPr>
          <w:kern w:val="22"/>
          <w:szCs w:val="22"/>
        </w:rPr>
        <w:t xml:space="preserve"> </w:t>
      </w:r>
      <w:r w:rsidRPr="00AF3F86">
        <w:rPr>
          <w:kern w:val="22"/>
          <w:szCs w:val="22"/>
        </w:rPr>
        <w:t xml:space="preserve">conducting risk assessments of living modified organisms containing engineered gene drives in accordance with </w:t>
      </w:r>
      <w:r w:rsidR="00A663E4" w:rsidRPr="00AF3F86">
        <w:rPr>
          <w:kern w:val="22"/>
          <w:szCs w:val="22"/>
        </w:rPr>
        <w:t>a</w:t>
      </w:r>
      <w:r w:rsidRPr="00AF3F86">
        <w:rPr>
          <w:kern w:val="22"/>
          <w:szCs w:val="22"/>
        </w:rPr>
        <w:t>nnex III of the Protocol</w:t>
      </w:r>
      <w:r w:rsidR="006962C7" w:rsidRPr="00AF3F86">
        <w:rPr>
          <w:kern w:val="22"/>
          <w:szCs w:val="22"/>
        </w:rPr>
        <w:t>;</w:t>
      </w:r>
    </w:p>
    <w:p w14:paraId="4AB46108" w14:textId="02631AFE" w:rsidR="005A50E9" w:rsidRPr="00AF3F86" w:rsidRDefault="005C528B" w:rsidP="00AF3F86">
      <w:pPr>
        <w:suppressLineNumbers/>
        <w:suppressAutoHyphens/>
        <w:spacing w:after="120"/>
        <w:ind w:firstLine="720"/>
        <w:rPr>
          <w:kern w:val="22"/>
          <w:szCs w:val="22"/>
        </w:rPr>
      </w:pPr>
      <w:r w:rsidRPr="00AF3F86">
        <w:rPr>
          <w:kern w:val="22"/>
          <w:szCs w:val="22"/>
        </w:rPr>
        <w:t>(d)</w:t>
      </w:r>
      <w:r w:rsidR="00A663E4" w:rsidRPr="00AF3F86">
        <w:rPr>
          <w:kern w:val="22"/>
          <w:szCs w:val="22"/>
        </w:rPr>
        <w:tab/>
      </w:r>
      <w:r w:rsidRPr="00AF3F86">
        <w:rPr>
          <w:kern w:val="22"/>
          <w:szCs w:val="22"/>
        </w:rPr>
        <w:t>Prepare a report, including draft guidance, for consideration by the Subsidiary Body on Scientific, Technical and Technological Advice</w:t>
      </w:r>
      <w:r w:rsidR="00A663E4" w:rsidRPr="00AF3F86">
        <w:rPr>
          <w:kern w:val="22"/>
          <w:szCs w:val="22"/>
        </w:rPr>
        <w:t>.</w:t>
      </w:r>
    </w:p>
    <w:p w14:paraId="43F37B48" w14:textId="2F0F359A" w:rsidR="00867FFB" w:rsidRPr="00AF3F86" w:rsidRDefault="005A50E9" w:rsidP="00AF3F86">
      <w:pPr>
        <w:suppressLineNumbers/>
        <w:suppressAutoHyphens/>
        <w:rPr>
          <w:kern w:val="22"/>
          <w:szCs w:val="22"/>
        </w:rPr>
      </w:pPr>
      <w:r w:rsidRPr="00AF3F86">
        <w:rPr>
          <w:kern w:val="22"/>
          <w:szCs w:val="22"/>
        </w:rPr>
        <w:t xml:space="preserve">2. </w:t>
      </w:r>
      <w:r w:rsidR="00A663E4" w:rsidRPr="00AF3F86">
        <w:rPr>
          <w:kern w:val="22"/>
          <w:szCs w:val="22"/>
        </w:rPr>
        <w:tab/>
      </w:r>
      <w:r w:rsidRPr="00AF3F86">
        <w:rPr>
          <w:kern w:val="22"/>
          <w:szCs w:val="22"/>
        </w:rPr>
        <w:t>In undertaking its work, the Group shall consider</w:t>
      </w:r>
      <w:r w:rsidR="006E50D6" w:rsidRPr="00AF3F86">
        <w:rPr>
          <w:kern w:val="22"/>
          <w:szCs w:val="22"/>
        </w:rPr>
        <w:t xml:space="preserve"> </w:t>
      </w:r>
      <w:r w:rsidR="00CC55BE" w:rsidRPr="00AF3F86">
        <w:rPr>
          <w:kern w:val="22"/>
          <w:szCs w:val="22"/>
        </w:rPr>
        <w:t xml:space="preserve">the synthesis of views from the submissions and discussions in the online forum prepared by the Executive Secretary; </w:t>
      </w:r>
      <w:r w:rsidR="005808EB" w:rsidRPr="00AF3F86">
        <w:rPr>
          <w:kern w:val="22"/>
          <w:szCs w:val="22"/>
        </w:rPr>
        <w:t>existing resources identified in the stock</w:t>
      </w:r>
      <w:r w:rsidR="00526B29" w:rsidRPr="00AF3F86">
        <w:rPr>
          <w:kern w:val="22"/>
          <w:szCs w:val="22"/>
        </w:rPr>
        <w:t>-</w:t>
      </w:r>
      <w:r w:rsidR="005808EB" w:rsidRPr="00AF3F86">
        <w:rPr>
          <w:kern w:val="22"/>
          <w:szCs w:val="22"/>
        </w:rPr>
        <w:t>taking exercise of the</w:t>
      </w:r>
      <w:r w:rsidR="00526B29" w:rsidRPr="00AF3F86">
        <w:rPr>
          <w:kern w:val="22"/>
          <w:szCs w:val="22"/>
        </w:rPr>
        <w:t xml:space="preserve"> “study on</w:t>
      </w:r>
      <w:r w:rsidR="005808EB" w:rsidRPr="00AF3F86">
        <w:rPr>
          <w:kern w:val="22"/>
          <w:szCs w:val="22"/>
        </w:rPr>
        <w:t xml:space="preserve"> </w:t>
      </w:r>
      <w:r w:rsidR="00526B29" w:rsidRPr="00AF3F86">
        <w:rPr>
          <w:kern w:val="22"/>
          <w:szCs w:val="22"/>
        </w:rPr>
        <w:t>r</w:t>
      </w:r>
      <w:r w:rsidR="005808EB" w:rsidRPr="00AF3F86">
        <w:rPr>
          <w:kern w:val="22"/>
          <w:szCs w:val="22"/>
        </w:rPr>
        <w:t xml:space="preserve">isk </w:t>
      </w:r>
      <w:r w:rsidR="00526B29" w:rsidRPr="00AF3F86">
        <w:rPr>
          <w:kern w:val="22"/>
          <w:szCs w:val="22"/>
        </w:rPr>
        <w:t>a</w:t>
      </w:r>
      <w:r w:rsidR="005808EB" w:rsidRPr="00AF3F86">
        <w:rPr>
          <w:kern w:val="22"/>
          <w:szCs w:val="22"/>
        </w:rPr>
        <w:t>ssessment</w:t>
      </w:r>
      <w:r w:rsidR="00526B29" w:rsidRPr="00AF3F86">
        <w:rPr>
          <w:kern w:val="22"/>
          <w:szCs w:val="22"/>
        </w:rPr>
        <w:t>:</w:t>
      </w:r>
      <w:r w:rsidR="005808EB" w:rsidRPr="00AF3F86">
        <w:rPr>
          <w:kern w:val="22"/>
          <w:szCs w:val="22"/>
        </w:rPr>
        <w:t xml:space="preserve"> application of annex </w:t>
      </w:r>
      <w:r w:rsidR="00526B29" w:rsidRPr="00AF3F86">
        <w:rPr>
          <w:kern w:val="22"/>
          <w:szCs w:val="22"/>
        </w:rPr>
        <w:t>I of decision CP-9/13</w:t>
      </w:r>
      <w:r w:rsidR="005808EB" w:rsidRPr="00AF3F86">
        <w:rPr>
          <w:kern w:val="22"/>
          <w:szCs w:val="22"/>
        </w:rPr>
        <w:t xml:space="preserve"> to living modified organisms containing engineering gene drives</w:t>
      </w:r>
      <w:r w:rsidR="000F539B" w:rsidRPr="00AF3F86">
        <w:rPr>
          <w:kern w:val="22"/>
          <w:szCs w:val="22"/>
        </w:rPr>
        <w:t>”</w:t>
      </w:r>
      <w:r w:rsidR="00A37B4A">
        <w:rPr>
          <w:kern w:val="22"/>
          <w:szCs w:val="22"/>
        </w:rPr>
        <w:t>;</w:t>
      </w:r>
      <w:r w:rsidR="000F539B" w:rsidRPr="00AF3F86">
        <w:rPr>
          <w:rStyle w:val="FootnoteReference"/>
          <w:kern w:val="22"/>
          <w:szCs w:val="22"/>
        </w:rPr>
        <w:footnoteReference w:id="10"/>
      </w:r>
      <w:r w:rsidR="0025546C" w:rsidRPr="00AF3F86">
        <w:rPr>
          <w:kern w:val="22"/>
          <w:szCs w:val="22"/>
        </w:rPr>
        <w:t xml:space="preserve"> and</w:t>
      </w:r>
      <w:r w:rsidR="00C84214" w:rsidRPr="00AF3F86">
        <w:rPr>
          <w:kern w:val="22"/>
          <w:szCs w:val="22"/>
        </w:rPr>
        <w:t xml:space="preserve"> a</w:t>
      </w:r>
      <w:r w:rsidR="00DA7652" w:rsidRPr="00AF3F86">
        <w:rPr>
          <w:kern w:val="22"/>
          <w:szCs w:val="22"/>
        </w:rPr>
        <w:t xml:space="preserve">ny other relevant </w:t>
      </w:r>
      <w:r w:rsidR="00B43ABA" w:rsidRPr="00AF3F86">
        <w:rPr>
          <w:kern w:val="22"/>
          <w:szCs w:val="22"/>
        </w:rPr>
        <w:t xml:space="preserve">information </w:t>
      </w:r>
      <w:r w:rsidR="00C23D9A" w:rsidRPr="00AF3F86">
        <w:rPr>
          <w:kern w:val="22"/>
          <w:szCs w:val="22"/>
        </w:rPr>
        <w:t>collected</w:t>
      </w:r>
      <w:r w:rsidR="00DA7652" w:rsidRPr="00AF3F86">
        <w:rPr>
          <w:kern w:val="22"/>
          <w:szCs w:val="22"/>
        </w:rPr>
        <w:t xml:space="preserve"> by the</w:t>
      </w:r>
      <w:r w:rsidR="004E3E98" w:rsidRPr="00AF3F86">
        <w:rPr>
          <w:kern w:val="22"/>
          <w:szCs w:val="22"/>
        </w:rPr>
        <w:t xml:space="preserve"> Executive Secretary further to paragraph </w:t>
      </w:r>
      <w:r w:rsidR="005C528B" w:rsidRPr="00AF3F86">
        <w:rPr>
          <w:kern w:val="22"/>
          <w:szCs w:val="22"/>
        </w:rPr>
        <w:t>6</w:t>
      </w:r>
      <w:r w:rsidR="004E3E98" w:rsidRPr="00AF3F86">
        <w:rPr>
          <w:kern w:val="22"/>
          <w:szCs w:val="22"/>
        </w:rPr>
        <w:t>(b) of decision CP-</w:t>
      </w:r>
      <w:r w:rsidR="008F135B" w:rsidRPr="00AF3F86">
        <w:rPr>
          <w:kern w:val="22"/>
          <w:szCs w:val="22"/>
        </w:rPr>
        <w:t>10/--</w:t>
      </w:r>
      <w:r w:rsidR="00DA7652" w:rsidRPr="00AF3F86">
        <w:rPr>
          <w:kern w:val="22"/>
          <w:szCs w:val="22"/>
        </w:rPr>
        <w:t>.</w:t>
      </w:r>
    </w:p>
    <w:p w14:paraId="26CE2EA8" w14:textId="57893B84" w:rsidR="00A17BBD" w:rsidRPr="00AF3F86" w:rsidRDefault="00A17BBD" w:rsidP="00AF3F86">
      <w:pPr>
        <w:suppressLineNumbers/>
        <w:suppressAutoHyphens/>
        <w:rPr>
          <w:kern w:val="22"/>
          <w:szCs w:val="22"/>
        </w:rPr>
      </w:pPr>
    </w:p>
    <w:p w14:paraId="17A70BB1" w14:textId="77777777" w:rsidR="008238A5" w:rsidRPr="00AF3F86" w:rsidRDefault="008238A5" w:rsidP="00AF3F86">
      <w:pPr>
        <w:keepNext/>
        <w:suppressLineNumbers/>
        <w:suppressAutoHyphens/>
        <w:jc w:val="center"/>
        <w:rPr>
          <w:kern w:val="22"/>
          <w:szCs w:val="22"/>
        </w:rPr>
      </w:pPr>
      <w:r w:rsidRPr="00AF3F86">
        <w:rPr>
          <w:kern w:val="22"/>
          <w:szCs w:val="22"/>
        </w:rPr>
        <w:br w:type="page"/>
      </w:r>
    </w:p>
    <w:p w14:paraId="7A94B5DF" w14:textId="0127C3DA" w:rsidR="009F7993" w:rsidRPr="00AF3F86" w:rsidRDefault="00153C7C" w:rsidP="00AF3F86">
      <w:pPr>
        <w:suppressLineNumbers/>
        <w:suppressAutoHyphens/>
        <w:jc w:val="center"/>
        <w:rPr>
          <w:kern w:val="22"/>
          <w:szCs w:val="22"/>
        </w:rPr>
      </w:pPr>
      <w:r w:rsidRPr="00AF3F86">
        <w:rPr>
          <w:i/>
          <w:iCs/>
          <w:kern w:val="22"/>
          <w:szCs w:val="22"/>
        </w:rPr>
        <w:lastRenderedPageBreak/>
        <w:t>Annex</w:t>
      </w:r>
    </w:p>
    <w:p w14:paraId="7FAFAC21" w14:textId="73947DE2" w:rsidR="00B328AC" w:rsidRPr="00AF3F86" w:rsidRDefault="00450527" w:rsidP="00AF3F86">
      <w:pPr>
        <w:pStyle w:val="Heading1"/>
        <w:suppressLineNumbers/>
        <w:tabs>
          <w:tab w:val="clear" w:pos="720"/>
        </w:tabs>
        <w:suppressAutoHyphens/>
        <w:spacing w:before="120"/>
        <w:rPr>
          <w:kern w:val="22"/>
          <w:szCs w:val="22"/>
        </w:rPr>
      </w:pPr>
      <w:r w:rsidRPr="00AF3F86">
        <w:rPr>
          <w:kern w:val="22"/>
          <w:szCs w:val="22"/>
        </w:rPr>
        <w:t>Outcomes of the meeting of the Ad Hoc Technical Expert Group on Risk</w:t>
      </w:r>
      <w:r w:rsidR="00E55558" w:rsidRPr="007775AD">
        <w:rPr>
          <w:kern w:val="22"/>
          <w:szCs w:val="22"/>
        </w:rPr>
        <w:t> </w:t>
      </w:r>
      <w:r w:rsidRPr="00AF3F86">
        <w:rPr>
          <w:kern w:val="22"/>
          <w:szCs w:val="22"/>
        </w:rPr>
        <w:t>Assessment</w:t>
      </w:r>
    </w:p>
    <w:p w14:paraId="28F5A2D4" w14:textId="2F8C40BF" w:rsidR="003312CA" w:rsidRPr="00AF3F86" w:rsidRDefault="00F322B4" w:rsidP="00AF3F86">
      <w:pPr>
        <w:pStyle w:val="Heading1"/>
        <w:suppressLineNumbers/>
        <w:tabs>
          <w:tab w:val="clear" w:pos="720"/>
          <w:tab w:val="left" w:pos="284"/>
        </w:tabs>
        <w:suppressAutoHyphens/>
        <w:rPr>
          <w:rFonts w:eastAsiaTheme="minorEastAsia"/>
          <w:szCs w:val="22"/>
        </w:rPr>
      </w:pPr>
      <w:r w:rsidRPr="007775AD">
        <w:rPr>
          <w:rFonts w:eastAsia="MS Mincho"/>
          <w:szCs w:val="22"/>
        </w:rPr>
        <w:t>I.</w:t>
      </w:r>
      <w:r w:rsidRPr="007775AD">
        <w:rPr>
          <w:rFonts w:eastAsia="MS Mincho"/>
          <w:szCs w:val="22"/>
        </w:rPr>
        <w:tab/>
      </w:r>
      <w:r w:rsidR="003312CA" w:rsidRPr="008A63FD">
        <w:rPr>
          <w:rFonts w:eastAsia="MS Mincho"/>
          <w:szCs w:val="22"/>
        </w:rPr>
        <w:t>living modified fish</w:t>
      </w:r>
    </w:p>
    <w:p w14:paraId="72747195" w14:textId="77777777" w:rsidR="003312CA" w:rsidRPr="008A63FD" w:rsidRDefault="003312CA">
      <w:pPr>
        <w:pStyle w:val="Heading2"/>
        <w:suppressLineNumbers/>
        <w:tabs>
          <w:tab w:val="clear" w:pos="720"/>
          <w:tab w:val="left" w:pos="426"/>
        </w:tabs>
        <w:suppressAutoHyphens/>
        <w:spacing w:before="0"/>
        <w:rPr>
          <w:kern w:val="22"/>
          <w:szCs w:val="22"/>
        </w:rPr>
      </w:pPr>
      <w:r w:rsidRPr="008A63FD">
        <w:rPr>
          <w:kern w:val="22"/>
          <w:szCs w:val="22"/>
        </w:rPr>
        <w:t>A.</w:t>
      </w:r>
      <w:r w:rsidRPr="008A63FD">
        <w:rPr>
          <w:kern w:val="22"/>
          <w:szCs w:val="22"/>
        </w:rPr>
        <w:tab/>
        <w:t>Review of the study and analysis according to annex I of decision CP-9/13</w:t>
      </w:r>
    </w:p>
    <w:p w14:paraId="783667C6" w14:textId="77777777" w:rsidR="003312CA" w:rsidRPr="00AF3F86" w:rsidRDefault="003312CA" w:rsidP="00AF3F86">
      <w:pPr>
        <w:pStyle w:val="Para1"/>
        <w:numPr>
          <w:ilvl w:val="0"/>
          <w:numId w:val="134"/>
        </w:numPr>
        <w:suppressLineNumbers/>
        <w:tabs>
          <w:tab w:val="clear" w:pos="360"/>
        </w:tabs>
        <w:suppressAutoHyphens/>
        <w:rPr>
          <w:szCs w:val="22"/>
        </w:rPr>
      </w:pPr>
      <w:bookmarkStart w:id="3" w:name="_Hlk36746812"/>
      <w:r w:rsidRPr="007775AD">
        <w:rPr>
          <w:szCs w:val="22"/>
        </w:rPr>
        <w:t xml:space="preserve">The AHTEG agreed that the “Study on risk assessment: application of annex I of decision CP-9/13 to living modified fish” was a good basis from which to work in order to conduct its analysis. The AHTEG also identified that more information </w:t>
      </w:r>
      <w:r w:rsidRPr="00AF3F86">
        <w:rPr>
          <w:szCs w:val="22"/>
        </w:rPr>
        <w:t>on the potential impacts of living modified fish on biodiversity would be useful to complement the research presented in the study. As part of the review of the study by the AHTEG, some specific points were raised concerning risk assessment of living modified fish and these points are included as part of the analysis below.</w:t>
      </w:r>
      <w:bookmarkEnd w:id="3"/>
    </w:p>
    <w:tbl>
      <w:tblPr>
        <w:tblStyle w:val="TableGrid"/>
        <w:tblW w:w="0" w:type="auto"/>
        <w:tblLook w:val="04A0" w:firstRow="1" w:lastRow="0" w:firstColumn="1" w:lastColumn="0" w:noHBand="0" w:noVBand="1"/>
      </w:tblPr>
      <w:tblGrid>
        <w:gridCol w:w="9452"/>
      </w:tblGrid>
      <w:tr w:rsidR="003312CA" w:rsidRPr="008A63FD" w14:paraId="31782C28" w14:textId="77777777" w:rsidTr="00DE6798">
        <w:tc>
          <w:tcPr>
            <w:tcW w:w="9466" w:type="dxa"/>
          </w:tcPr>
          <w:p w14:paraId="5A380081" w14:textId="77777777" w:rsidR="003312CA" w:rsidRPr="008A63FD" w:rsidRDefault="003312CA">
            <w:pPr>
              <w:pStyle w:val="paragraph"/>
              <w:suppressLineNumbers/>
              <w:suppressAutoHyphens/>
              <w:spacing w:before="120" w:beforeAutospacing="0" w:after="120" w:afterAutospacing="0"/>
              <w:jc w:val="both"/>
              <w:textAlignment w:val="baseline"/>
              <w:rPr>
                <w:kern w:val="22"/>
                <w:sz w:val="22"/>
                <w:szCs w:val="22"/>
                <w:lang w:val="en-GB"/>
              </w:rPr>
            </w:pPr>
            <w:r w:rsidRPr="008A63FD">
              <w:rPr>
                <w:rStyle w:val="normaltextrun"/>
                <w:b/>
                <w:bCs/>
                <w:kern w:val="22"/>
                <w:sz w:val="22"/>
                <w:szCs w:val="22"/>
                <w:lang w:val="en-GB"/>
              </w:rPr>
              <w:t>(a)</w:t>
            </w:r>
            <w:r w:rsidRPr="008A63FD">
              <w:rPr>
                <w:rStyle w:val="normaltextrun"/>
                <w:b/>
                <w:bCs/>
                <w:kern w:val="22"/>
                <w:sz w:val="22"/>
                <w:szCs w:val="22"/>
                <w:lang w:val="en-GB"/>
              </w:rPr>
              <w:tab/>
              <w:t xml:space="preserve">They are identified by Parties as priorities, </w:t>
            </w:r>
            <w:proofErr w:type="gramStart"/>
            <w:r w:rsidRPr="008A63FD">
              <w:rPr>
                <w:rStyle w:val="normaltextrun"/>
                <w:b/>
                <w:bCs/>
                <w:kern w:val="22"/>
                <w:sz w:val="22"/>
                <w:szCs w:val="22"/>
                <w:lang w:val="en-GB"/>
              </w:rPr>
              <w:t>taking into account</w:t>
            </w:r>
            <w:proofErr w:type="gramEnd"/>
            <w:r w:rsidRPr="008A63FD">
              <w:rPr>
                <w:rStyle w:val="normaltextrun"/>
                <w:b/>
                <w:bCs/>
                <w:kern w:val="22"/>
                <w:sz w:val="22"/>
                <w:szCs w:val="22"/>
                <w:lang w:val="en-GB"/>
              </w:rPr>
              <w:t xml:space="preserve"> the challenges to risk assessment, particularly for developing country Parties and countries with economies in transition.</w:t>
            </w:r>
          </w:p>
        </w:tc>
      </w:tr>
    </w:tbl>
    <w:p w14:paraId="6A42C575" w14:textId="77777777" w:rsidR="003312CA" w:rsidRPr="00AF3F86" w:rsidRDefault="003312CA" w:rsidP="00AF3F86">
      <w:pPr>
        <w:pStyle w:val="Para1"/>
        <w:suppressLineNumbers/>
        <w:tabs>
          <w:tab w:val="clear" w:pos="360"/>
        </w:tabs>
        <w:suppressAutoHyphens/>
        <w:rPr>
          <w:kern w:val="22"/>
          <w:szCs w:val="22"/>
        </w:rPr>
      </w:pPr>
      <w:r w:rsidRPr="007775AD">
        <w:rPr>
          <w:kern w:val="22"/>
          <w:szCs w:val="22"/>
        </w:rPr>
        <w:t xml:space="preserve">The </w:t>
      </w:r>
      <w:r w:rsidRPr="00AF3F86">
        <w:rPr>
          <w:szCs w:val="22"/>
        </w:rPr>
        <w:t>AHTEG</w:t>
      </w:r>
      <w:r w:rsidRPr="007775AD">
        <w:rPr>
          <w:kern w:val="22"/>
          <w:szCs w:val="22"/>
        </w:rPr>
        <w:t xml:space="preserve"> recognized that the issue of living modified fish has been identified by some Parties as a priority through various sources, including the submissions of information pursuant to decision CP</w:t>
      </w:r>
      <w:r w:rsidRPr="007775AD">
        <w:rPr>
          <w:kern w:val="22"/>
          <w:szCs w:val="22"/>
        </w:rPr>
        <w:noBreakHyphen/>
        <w:t>VIII/12, the online forum in 2018, the surv</w:t>
      </w:r>
      <w:r w:rsidRPr="00AF3F86">
        <w:rPr>
          <w:kern w:val="22"/>
          <w:szCs w:val="22"/>
        </w:rPr>
        <w:t>ey conducted as part of the study, and the fourth national reports on the implementation of the Cartagena Protocol on Biosafety.</w:t>
      </w:r>
    </w:p>
    <w:p w14:paraId="1E9E0BEC" w14:textId="77777777" w:rsidR="003312CA" w:rsidRPr="00AF3F86" w:rsidRDefault="003312CA" w:rsidP="00AF3F86">
      <w:pPr>
        <w:pStyle w:val="Para1"/>
        <w:suppressLineNumbers/>
        <w:tabs>
          <w:tab w:val="clear" w:pos="360"/>
        </w:tabs>
        <w:suppressAutoHyphens/>
        <w:rPr>
          <w:kern w:val="22"/>
          <w:szCs w:val="22"/>
        </w:rPr>
      </w:pPr>
      <w:r w:rsidRPr="00AF3F86">
        <w:rPr>
          <w:kern w:val="22"/>
          <w:szCs w:val="22"/>
        </w:rPr>
        <w:t xml:space="preserve">The </w:t>
      </w:r>
      <w:r w:rsidRPr="00AF3F86">
        <w:rPr>
          <w:szCs w:val="22"/>
        </w:rPr>
        <w:t>AHTEG</w:t>
      </w:r>
      <w:r w:rsidRPr="007775AD">
        <w:rPr>
          <w:kern w:val="22"/>
          <w:szCs w:val="22"/>
        </w:rPr>
        <w:t xml:space="preserve"> acknowledged that </w:t>
      </w:r>
      <w:r w:rsidRPr="00AF3F86" w:rsidDel="00CB20C7">
        <w:rPr>
          <w:kern w:val="22"/>
          <w:szCs w:val="22"/>
        </w:rPr>
        <w:t>different</w:t>
      </w:r>
      <w:r w:rsidRPr="00AF3F86">
        <w:rPr>
          <w:kern w:val="22"/>
          <w:szCs w:val="22"/>
        </w:rPr>
        <w:t xml:space="preserve"> Parties may have different challenges for risk assessment of living modified fish and that these challenges may result in some Parties placing a higher priority on this topic. Further information on some of the challenges related to risk assessment of living modified fish are included in the analysis by the AHTEG under criterion (c) below.</w:t>
      </w:r>
    </w:p>
    <w:tbl>
      <w:tblPr>
        <w:tblStyle w:val="TableGrid"/>
        <w:tblW w:w="0" w:type="auto"/>
        <w:tblLook w:val="04A0" w:firstRow="1" w:lastRow="0" w:firstColumn="1" w:lastColumn="0" w:noHBand="0" w:noVBand="1"/>
      </w:tblPr>
      <w:tblGrid>
        <w:gridCol w:w="9452"/>
      </w:tblGrid>
      <w:tr w:rsidR="003312CA" w:rsidRPr="008A63FD" w14:paraId="0D60411C" w14:textId="77777777" w:rsidTr="00DE6798">
        <w:tc>
          <w:tcPr>
            <w:tcW w:w="9466" w:type="dxa"/>
          </w:tcPr>
          <w:p w14:paraId="303C1E39" w14:textId="77777777" w:rsidR="003312CA" w:rsidRPr="008A63FD" w:rsidRDefault="003312CA">
            <w:pPr>
              <w:pStyle w:val="paragraph"/>
              <w:suppressLineNumbers/>
              <w:suppressAutoHyphens/>
              <w:spacing w:before="120" w:beforeAutospacing="0" w:after="120" w:afterAutospacing="0"/>
              <w:jc w:val="both"/>
              <w:textAlignment w:val="baseline"/>
              <w:rPr>
                <w:kern w:val="22"/>
                <w:sz w:val="22"/>
                <w:szCs w:val="22"/>
                <w:lang w:val="en-GB"/>
              </w:rPr>
            </w:pPr>
            <w:bookmarkStart w:id="4" w:name="_Hlk36661034"/>
            <w:r w:rsidRPr="008A63FD">
              <w:rPr>
                <w:rStyle w:val="normaltextrun"/>
                <w:b/>
                <w:bCs/>
                <w:kern w:val="22"/>
                <w:sz w:val="22"/>
                <w:szCs w:val="22"/>
                <w:lang w:val="en-GB"/>
              </w:rPr>
              <w:t>(b)</w:t>
            </w:r>
            <w:r w:rsidRPr="008A63FD">
              <w:rPr>
                <w:rStyle w:val="normaltextrun"/>
                <w:b/>
                <w:bCs/>
                <w:kern w:val="22"/>
                <w:sz w:val="22"/>
                <w:szCs w:val="22"/>
                <w:lang w:val="en-GB"/>
              </w:rPr>
              <w:tab/>
              <w:t>They fall within the scope and objective of the Cartagena Protocol on Biosafety.</w:t>
            </w:r>
          </w:p>
        </w:tc>
      </w:tr>
    </w:tbl>
    <w:bookmarkEnd w:id="4"/>
    <w:p w14:paraId="40AE7ED4" w14:textId="77777777" w:rsidR="003312CA" w:rsidRPr="00AF3F86" w:rsidRDefault="003312CA" w:rsidP="00AF3F86">
      <w:pPr>
        <w:pStyle w:val="Para1"/>
        <w:suppressLineNumbers/>
        <w:tabs>
          <w:tab w:val="clear" w:pos="360"/>
        </w:tabs>
        <w:suppressAutoHyphens/>
        <w:rPr>
          <w:kern w:val="22"/>
          <w:szCs w:val="22"/>
        </w:rPr>
      </w:pPr>
      <w:r w:rsidRPr="007775AD">
        <w:rPr>
          <w:kern w:val="22"/>
          <w:szCs w:val="22"/>
        </w:rPr>
        <w:t xml:space="preserve">The AHTEG </w:t>
      </w:r>
      <w:r w:rsidRPr="00AF3F86">
        <w:rPr>
          <w:szCs w:val="22"/>
        </w:rPr>
        <w:t>considered</w:t>
      </w:r>
      <w:r w:rsidRPr="007775AD">
        <w:rPr>
          <w:kern w:val="22"/>
          <w:szCs w:val="22"/>
        </w:rPr>
        <w:t xml:space="preserve"> that living modified fish fall within the scope and objective of the Cartagena Protocol on Biosafety.</w:t>
      </w:r>
    </w:p>
    <w:tbl>
      <w:tblPr>
        <w:tblStyle w:val="TableGrid"/>
        <w:tblW w:w="0" w:type="auto"/>
        <w:tblLook w:val="04A0" w:firstRow="1" w:lastRow="0" w:firstColumn="1" w:lastColumn="0" w:noHBand="0" w:noVBand="1"/>
      </w:tblPr>
      <w:tblGrid>
        <w:gridCol w:w="9452"/>
      </w:tblGrid>
      <w:tr w:rsidR="003312CA" w:rsidRPr="008A63FD" w14:paraId="352096C9" w14:textId="77777777" w:rsidTr="00DE6798">
        <w:tc>
          <w:tcPr>
            <w:tcW w:w="9466" w:type="dxa"/>
          </w:tcPr>
          <w:p w14:paraId="01445294" w14:textId="77777777" w:rsidR="003312CA" w:rsidRPr="008A63FD" w:rsidRDefault="003312CA">
            <w:pPr>
              <w:pStyle w:val="Heading2"/>
              <w:suppressLineNumbers/>
              <w:tabs>
                <w:tab w:val="clear" w:pos="720"/>
              </w:tabs>
              <w:suppressAutoHyphens/>
              <w:jc w:val="both"/>
              <w:rPr>
                <w:b w:val="0"/>
                <w:bCs w:val="0"/>
                <w:iCs w:val="0"/>
                <w:kern w:val="22"/>
                <w:szCs w:val="22"/>
              </w:rPr>
            </w:pPr>
            <w:r w:rsidRPr="008A63FD">
              <w:rPr>
                <w:rStyle w:val="normaltextrun"/>
                <w:iCs w:val="0"/>
                <w:kern w:val="22"/>
                <w:szCs w:val="22"/>
              </w:rPr>
              <w:t>(c) They pose challenges to existing risk assessment frameworks, guidance and methodologies, for example, if the issue at hand has been assessed with existing risk assessment frameworks but poses specific technical or methodological challenges that require further attention.</w:t>
            </w:r>
          </w:p>
        </w:tc>
      </w:tr>
    </w:tbl>
    <w:p w14:paraId="3E457E81" w14:textId="77777777" w:rsidR="003312CA" w:rsidRPr="00AF3F86" w:rsidRDefault="003312CA" w:rsidP="00AF3F86">
      <w:pPr>
        <w:pStyle w:val="Para1"/>
        <w:suppressLineNumbers/>
        <w:tabs>
          <w:tab w:val="clear" w:pos="360"/>
        </w:tabs>
        <w:suppressAutoHyphens/>
        <w:rPr>
          <w:kern w:val="22"/>
          <w:szCs w:val="22"/>
        </w:rPr>
      </w:pPr>
      <w:r w:rsidRPr="007775AD">
        <w:rPr>
          <w:kern w:val="22"/>
          <w:szCs w:val="22"/>
        </w:rPr>
        <w:t xml:space="preserve">The AHTEG </w:t>
      </w:r>
      <w:r w:rsidRPr="00AF3F86">
        <w:rPr>
          <w:szCs w:val="22"/>
        </w:rPr>
        <w:t>recognized</w:t>
      </w:r>
      <w:r w:rsidRPr="007775AD">
        <w:rPr>
          <w:kern w:val="22"/>
          <w:szCs w:val="22"/>
        </w:rPr>
        <w:t xml:space="preserve"> </w:t>
      </w:r>
      <w:r w:rsidRPr="00AF3F86">
        <w:rPr>
          <w:kern w:val="22"/>
          <w:szCs w:val="22"/>
        </w:rPr>
        <w:t>that existing risk assessment methodologies would apply for living modified fish but noted that there are specific technical or methodological challenges that require further attention. These challenges may be due to:</w:t>
      </w:r>
    </w:p>
    <w:p w14:paraId="0B12E5E8" w14:textId="77777777" w:rsidR="003312CA" w:rsidRPr="008A63FD" w:rsidRDefault="003312CA" w:rsidP="00AF3F86">
      <w:pPr>
        <w:pStyle w:val="Heading2"/>
        <w:keepNext w:val="0"/>
        <w:numPr>
          <w:ilvl w:val="0"/>
          <w:numId w:val="22"/>
        </w:numPr>
        <w:suppressLineNumbers/>
        <w:tabs>
          <w:tab w:val="clear" w:pos="720"/>
        </w:tabs>
        <w:suppressAutoHyphens/>
        <w:spacing w:before="0"/>
        <w:ind w:left="0" w:firstLine="720"/>
        <w:jc w:val="both"/>
        <w:rPr>
          <w:b w:val="0"/>
          <w:bCs w:val="0"/>
          <w:kern w:val="22"/>
          <w:szCs w:val="22"/>
        </w:rPr>
      </w:pPr>
      <w:r w:rsidRPr="008A63FD">
        <w:rPr>
          <w:b w:val="0"/>
          <w:bCs w:val="0"/>
          <w:kern w:val="22"/>
          <w:szCs w:val="22"/>
        </w:rPr>
        <w:t>A lack of data or methods to collect data to inform the risk assessment process;</w:t>
      </w:r>
    </w:p>
    <w:p w14:paraId="6F0AB890" w14:textId="77777777" w:rsidR="003312CA" w:rsidRPr="008A63FD" w:rsidRDefault="003312CA" w:rsidP="00AF3F86">
      <w:pPr>
        <w:pStyle w:val="paragraph"/>
        <w:numPr>
          <w:ilvl w:val="0"/>
          <w:numId w:val="22"/>
        </w:numPr>
        <w:suppressLineNumbers/>
        <w:suppressAutoHyphens/>
        <w:spacing w:before="0" w:beforeAutospacing="0" w:after="120" w:afterAutospacing="0"/>
        <w:ind w:left="0" w:firstLine="720"/>
        <w:jc w:val="both"/>
        <w:textAlignment w:val="baseline"/>
        <w:rPr>
          <w:kern w:val="22"/>
          <w:sz w:val="22"/>
          <w:szCs w:val="22"/>
          <w:lang w:val="en-GB"/>
        </w:rPr>
      </w:pPr>
      <w:r w:rsidRPr="008A63FD">
        <w:rPr>
          <w:kern w:val="22"/>
          <w:sz w:val="22"/>
          <w:szCs w:val="22"/>
          <w:lang w:val="en-GB"/>
        </w:rPr>
        <w:t>Limited applicability of some risk assessment methodologies to living modified fish;</w:t>
      </w:r>
    </w:p>
    <w:p w14:paraId="095770DD" w14:textId="77777777" w:rsidR="003312CA" w:rsidRPr="008A63FD" w:rsidRDefault="003312CA">
      <w:pPr>
        <w:pStyle w:val="ListParagraph"/>
        <w:numPr>
          <w:ilvl w:val="0"/>
          <w:numId w:val="22"/>
        </w:numPr>
        <w:suppressLineNumbers/>
        <w:suppressAutoHyphens/>
        <w:spacing w:after="120"/>
        <w:ind w:left="0" w:firstLine="720"/>
        <w:contextualSpacing w:val="0"/>
        <w:rPr>
          <w:kern w:val="22"/>
          <w:szCs w:val="22"/>
        </w:rPr>
      </w:pPr>
      <w:r w:rsidRPr="008A63FD">
        <w:rPr>
          <w:kern w:val="22"/>
          <w:szCs w:val="22"/>
        </w:rPr>
        <w:t>Lack of tools to estimate consequences, likelihoods and uncertainty;</w:t>
      </w:r>
    </w:p>
    <w:p w14:paraId="7A918E32" w14:textId="77777777" w:rsidR="003312CA" w:rsidRPr="008A63FD" w:rsidRDefault="003312CA">
      <w:pPr>
        <w:pStyle w:val="ListParagraph"/>
        <w:numPr>
          <w:ilvl w:val="0"/>
          <w:numId w:val="22"/>
        </w:numPr>
        <w:suppressLineNumbers/>
        <w:suppressAutoHyphens/>
        <w:spacing w:after="120"/>
        <w:ind w:left="0" w:firstLine="720"/>
        <w:contextualSpacing w:val="0"/>
        <w:rPr>
          <w:kern w:val="22"/>
          <w:szCs w:val="22"/>
        </w:rPr>
      </w:pPr>
      <w:r w:rsidRPr="008A63FD">
        <w:rPr>
          <w:kern w:val="22"/>
          <w:szCs w:val="22"/>
        </w:rPr>
        <w:t>Difficulties in establishing comparator baselines;</w:t>
      </w:r>
    </w:p>
    <w:p w14:paraId="3D09120B" w14:textId="77777777" w:rsidR="003312CA" w:rsidRPr="008A63FD" w:rsidRDefault="003312CA">
      <w:pPr>
        <w:pStyle w:val="ListParagraph"/>
        <w:numPr>
          <w:ilvl w:val="0"/>
          <w:numId w:val="22"/>
        </w:numPr>
        <w:suppressLineNumbers/>
        <w:suppressAutoHyphens/>
        <w:spacing w:after="120"/>
        <w:ind w:left="0" w:firstLine="720"/>
        <w:contextualSpacing w:val="0"/>
        <w:rPr>
          <w:kern w:val="22"/>
          <w:szCs w:val="22"/>
        </w:rPr>
      </w:pPr>
      <w:r w:rsidRPr="008A63FD">
        <w:rPr>
          <w:kern w:val="22"/>
          <w:szCs w:val="22"/>
        </w:rPr>
        <w:t>Difficulties in relation to monitoring;</w:t>
      </w:r>
    </w:p>
    <w:p w14:paraId="20060FD5" w14:textId="77777777" w:rsidR="003312CA" w:rsidRPr="008A63FD" w:rsidRDefault="003312CA">
      <w:pPr>
        <w:pStyle w:val="ListParagraph"/>
        <w:numPr>
          <w:ilvl w:val="0"/>
          <w:numId w:val="22"/>
        </w:numPr>
        <w:suppressLineNumbers/>
        <w:suppressAutoHyphens/>
        <w:spacing w:after="120"/>
        <w:ind w:left="0" w:firstLine="720"/>
        <w:contextualSpacing w:val="0"/>
        <w:rPr>
          <w:kern w:val="22"/>
          <w:szCs w:val="22"/>
        </w:rPr>
      </w:pPr>
      <w:r w:rsidRPr="008A63FD">
        <w:rPr>
          <w:kern w:val="22"/>
          <w:szCs w:val="22"/>
        </w:rPr>
        <w:t>Lack of experience or capacity;</w:t>
      </w:r>
    </w:p>
    <w:p w14:paraId="239A1E12" w14:textId="77777777" w:rsidR="003312CA" w:rsidRPr="008A63FD" w:rsidRDefault="003312CA">
      <w:pPr>
        <w:pStyle w:val="ListParagraph"/>
        <w:numPr>
          <w:ilvl w:val="0"/>
          <w:numId w:val="22"/>
        </w:numPr>
        <w:suppressLineNumbers/>
        <w:suppressAutoHyphens/>
        <w:spacing w:after="120"/>
        <w:ind w:left="0" w:firstLine="720"/>
        <w:contextualSpacing w:val="0"/>
        <w:rPr>
          <w:kern w:val="22"/>
          <w:szCs w:val="22"/>
        </w:rPr>
      </w:pPr>
      <w:r w:rsidRPr="008A63FD">
        <w:rPr>
          <w:kern w:val="22"/>
          <w:szCs w:val="22"/>
        </w:rPr>
        <w:t>The specific nature of the biology of fish;</w:t>
      </w:r>
    </w:p>
    <w:p w14:paraId="6A805B26" w14:textId="77777777" w:rsidR="003312CA" w:rsidRPr="008A63FD" w:rsidRDefault="003312CA">
      <w:pPr>
        <w:pStyle w:val="ListParagraph"/>
        <w:numPr>
          <w:ilvl w:val="0"/>
          <w:numId w:val="22"/>
        </w:numPr>
        <w:suppressLineNumbers/>
        <w:suppressAutoHyphens/>
        <w:spacing w:after="120"/>
        <w:ind w:left="0" w:firstLine="720"/>
        <w:contextualSpacing w:val="0"/>
        <w:rPr>
          <w:kern w:val="22"/>
          <w:szCs w:val="22"/>
        </w:rPr>
      </w:pPr>
      <w:r w:rsidRPr="008A63FD">
        <w:rPr>
          <w:kern w:val="22"/>
          <w:szCs w:val="22"/>
        </w:rPr>
        <w:t>The specific nature of the possible genetic modifications.</w:t>
      </w:r>
    </w:p>
    <w:p w14:paraId="7B3ABDED" w14:textId="22AE3F83" w:rsidR="003312CA" w:rsidRPr="00AF3F86" w:rsidRDefault="003312CA" w:rsidP="00AF3F86">
      <w:pPr>
        <w:pStyle w:val="Para1"/>
        <w:suppressLineNumbers/>
        <w:tabs>
          <w:tab w:val="clear" w:pos="360"/>
        </w:tabs>
        <w:suppressAutoHyphens/>
        <w:rPr>
          <w:szCs w:val="22"/>
        </w:rPr>
      </w:pPr>
      <w:r w:rsidRPr="00AF3F86">
        <w:rPr>
          <w:kern w:val="22"/>
          <w:szCs w:val="22"/>
        </w:rPr>
        <w:lastRenderedPageBreak/>
        <w:t>Recognizing</w:t>
      </w:r>
      <w:r w:rsidRPr="00AF3F86">
        <w:rPr>
          <w:szCs w:val="22"/>
        </w:rPr>
        <w:t xml:space="preserve"> the linkages between criteria (c) and (d), the AHTEG further described the challenges related to living modified fish, as further detailed under criterion (d) below.</w:t>
      </w:r>
    </w:p>
    <w:tbl>
      <w:tblPr>
        <w:tblStyle w:val="TableGrid"/>
        <w:tblW w:w="0" w:type="auto"/>
        <w:tblLook w:val="04A0" w:firstRow="1" w:lastRow="0" w:firstColumn="1" w:lastColumn="0" w:noHBand="0" w:noVBand="1"/>
      </w:tblPr>
      <w:tblGrid>
        <w:gridCol w:w="9452"/>
      </w:tblGrid>
      <w:tr w:rsidR="003312CA" w:rsidRPr="008A63FD" w14:paraId="4F11EAA6" w14:textId="77777777" w:rsidTr="00DE6798">
        <w:tc>
          <w:tcPr>
            <w:tcW w:w="9466" w:type="dxa"/>
          </w:tcPr>
          <w:p w14:paraId="179520A4" w14:textId="77777777" w:rsidR="003312CA" w:rsidRPr="008A63FD" w:rsidRDefault="003312CA">
            <w:pPr>
              <w:pStyle w:val="Heading2"/>
              <w:suppressLineNumbers/>
              <w:tabs>
                <w:tab w:val="clear" w:pos="720"/>
              </w:tabs>
              <w:suppressAutoHyphens/>
              <w:jc w:val="both"/>
              <w:rPr>
                <w:kern w:val="22"/>
                <w:szCs w:val="22"/>
              </w:rPr>
            </w:pPr>
            <w:r w:rsidRPr="008A63FD">
              <w:rPr>
                <w:kern w:val="22"/>
                <w:szCs w:val="22"/>
              </w:rPr>
              <w:t>(d) The challenges in addressing the specific issue are clearly described.</w:t>
            </w:r>
          </w:p>
        </w:tc>
      </w:tr>
    </w:tbl>
    <w:p w14:paraId="7D63CF8C" w14:textId="77777777" w:rsidR="003312CA" w:rsidRPr="008A63FD" w:rsidRDefault="003312CA">
      <w:pPr>
        <w:suppressLineNumbers/>
        <w:suppressAutoHyphens/>
        <w:rPr>
          <w:kern w:val="22"/>
          <w:szCs w:val="22"/>
        </w:rPr>
      </w:pPr>
    </w:p>
    <w:p w14:paraId="791E279D" w14:textId="77777777" w:rsidR="003312CA" w:rsidRPr="00AF3F86" w:rsidRDefault="003312CA" w:rsidP="00AF3F86">
      <w:pPr>
        <w:pStyle w:val="Para1"/>
        <w:suppressLineNumbers/>
        <w:tabs>
          <w:tab w:val="clear" w:pos="360"/>
        </w:tabs>
        <w:suppressAutoHyphens/>
        <w:rPr>
          <w:kern w:val="22"/>
          <w:szCs w:val="22"/>
        </w:rPr>
      </w:pPr>
      <w:r w:rsidRPr="007775AD">
        <w:rPr>
          <w:kern w:val="22"/>
          <w:szCs w:val="22"/>
        </w:rPr>
        <w:t>Regarding the specific challenges related to the risk assessment of living modified fish, the AHTEG discussed the following potential challenges:</w:t>
      </w:r>
    </w:p>
    <w:p w14:paraId="14E2B8AF" w14:textId="77777777" w:rsidR="003312CA" w:rsidRPr="008A63FD" w:rsidRDefault="003312CA" w:rsidP="00AF3F86">
      <w:pPr>
        <w:pStyle w:val="Heading2"/>
        <w:keepNext w:val="0"/>
        <w:numPr>
          <w:ilvl w:val="1"/>
          <w:numId w:val="14"/>
        </w:numPr>
        <w:suppressLineNumbers/>
        <w:tabs>
          <w:tab w:val="clear" w:pos="720"/>
        </w:tabs>
        <w:suppressAutoHyphens/>
        <w:spacing w:before="0"/>
        <w:ind w:left="0" w:firstLine="720"/>
        <w:jc w:val="both"/>
        <w:rPr>
          <w:b w:val="0"/>
          <w:bCs w:val="0"/>
          <w:kern w:val="22"/>
          <w:szCs w:val="22"/>
        </w:rPr>
      </w:pPr>
      <w:r w:rsidRPr="008A63FD">
        <w:rPr>
          <w:b w:val="0"/>
          <w:bCs w:val="0"/>
          <w:kern w:val="22"/>
          <w:szCs w:val="22"/>
        </w:rPr>
        <w:t>Related to fish biology:</w:t>
      </w:r>
    </w:p>
    <w:p w14:paraId="58D3D4C9" w14:textId="77777777" w:rsidR="003312CA" w:rsidRPr="008A63FD" w:rsidRDefault="003312CA">
      <w:pPr>
        <w:pStyle w:val="ListParagraph"/>
        <w:numPr>
          <w:ilvl w:val="0"/>
          <w:numId w:val="17"/>
        </w:numPr>
        <w:suppressLineNumbers/>
        <w:suppressAutoHyphens/>
        <w:ind w:left="1985" w:hanging="425"/>
        <w:contextualSpacing w:val="0"/>
        <w:rPr>
          <w:kern w:val="22"/>
          <w:szCs w:val="22"/>
        </w:rPr>
      </w:pPr>
      <w:r w:rsidRPr="008A63FD">
        <w:rPr>
          <w:kern w:val="22"/>
          <w:szCs w:val="22"/>
        </w:rPr>
        <w:t>Insufficient knowledge on fish biology, genetics and ecology;</w:t>
      </w:r>
    </w:p>
    <w:p w14:paraId="5196FA3C" w14:textId="77777777" w:rsidR="003312CA" w:rsidRPr="008A63FD" w:rsidRDefault="003312CA">
      <w:pPr>
        <w:pStyle w:val="ListParagraph"/>
        <w:numPr>
          <w:ilvl w:val="0"/>
          <w:numId w:val="17"/>
        </w:numPr>
        <w:suppressLineNumbers/>
        <w:suppressAutoHyphens/>
        <w:ind w:left="1985" w:hanging="425"/>
        <w:contextualSpacing w:val="0"/>
        <w:rPr>
          <w:kern w:val="22"/>
          <w:szCs w:val="22"/>
        </w:rPr>
      </w:pPr>
      <w:r w:rsidRPr="008A63FD">
        <w:rPr>
          <w:kern w:val="22"/>
          <w:szCs w:val="22"/>
        </w:rPr>
        <w:t>Fish mobility (for example, ability to swim vast distances), and therefore to enter different ecosystems;</w:t>
      </w:r>
    </w:p>
    <w:p w14:paraId="280ABA1F" w14:textId="77777777" w:rsidR="003312CA" w:rsidRPr="008A63FD" w:rsidRDefault="003312CA">
      <w:pPr>
        <w:pStyle w:val="ListParagraph"/>
        <w:numPr>
          <w:ilvl w:val="0"/>
          <w:numId w:val="17"/>
        </w:numPr>
        <w:suppressLineNumbers/>
        <w:suppressAutoHyphens/>
        <w:ind w:left="1985" w:hanging="425"/>
        <w:contextualSpacing w:val="0"/>
        <w:rPr>
          <w:kern w:val="22"/>
          <w:szCs w:val="22"/>
        </w:rPr>
      </w:pPr>
      <w:r w:rsidRPr="008A63FD">
        <w:rPr>
          <w:kern w:val="22"/>
          <w:szCs w:val="22"/>
        </w:rPr>
        <w:t>Fish have the potential to be invasive and to hybridize with wildtype populations;</w:t>
      </w:r>
    </w:p>
    <w:p w14:paraId="3E93076F" w14:textId="77777777" w:rsidR="003312CA" w:rsidRPr="008A63FD" w:rsidRDefault="003312CA">
      <w:pPr>
        <w:pStyle w:val="ListParagraph"/>
        <w:numPr>
          <w:ilvl w:val="0"/>
          <w:numId w:val="17"/>
        </w:numPr>
        <w:suppressLineNumbers/>
        <w:suppressAutoHyphens/>
        <w:ind w:left="1985" w:hanging="425"/>
        <w:contextualSpacing w:val="0"/>
        <w:rPr>
          <w:kern w:val="22"/>
          <w:szCs w:val="22"/>
        </w:rPr>
      </w:pPr>
      <w:r w:rsidRPr="008A63FD">
        <w:rPr>
          <w:kern w:val="22"/>
          <w:szCs w:val="22"/>
        </w:rPr>
        <w:t>Fish demonstrate diverse morphological, genetic, physiological, and behavioural adaptations to highly variable aquatic environments;</w:t>
      </w:r>
    </w:p>
    <w:p w14:paraId="299114CD" w14:textId="77777777" w:rsidR="003312CA" w:rsidRPr="008A63FD" w:rsidRDefault="003312CA" w:rsidP="00AF3F86">
      <w:pPr>
        <w:pStyle w:val="Heading2"/>
        <w:keepNext w:val="0"/>
        <w:numPr>
          <w:ilvl w:val="1"/>
          <w:numId w:val="14"/>
        </w:numPr>
        <w:suppressLineNumbers/>
        <w:tabs>
          <w:tab w:val="clear" w:pos="720"/>
        </w:tabs>
        <w:suppressAutoHyphens/>
        <w:ind w:left="0" w:firstLine="720"/>
        <w:jc w:val="both"/>
        <w:rPr>
          <w:b w:val="0"/>
          <w:bCs w:val="0"/>
          <w:kern w:val="22"/>
          <w:szCs w:val="22"/>
        </w:rPr>
      </w:pPr>
      <w:r w:rsidRPr="008A63FD">
        <w:rPr>
          <w:b w:val="0"/>
          <w:bCs w:val="0"/>
          <w:kern w:val="22"/>
          <w:szCs w:val="22"/>
        </w:rPr>
        <w:t>Related to genetic modification:</w:t>
      </w:r>
    </w:p>
    <w:p w14:paraId="3DD7D065" w14:textId="77777777" w:rsidR="003312CA" w:rsidRPr="008A63FD" w:rsidRDefault="003312CA" w:rsidP="00AF3F86">
      <w:pPr>
        <w:pStyle w:val="ListParagraph"/>
        <w:numPr>
          <w:ilvl w:val="0"/>
          <w:numId w:val="23"/>
        </w:numPr>
        <w:suppressLineNumbers/>
        <w:suppressAutoHyphens/>
        <w:spacing w:before="60" w:after="60"/>
        <w:ind w:left="1984" w:hanging="425"/>
        <w:contextualSpacing w:val="0"/>
        <w:rPr>
          <w:kern w:val="22"/>
          <w:szCs w:val="22"/>
        </w:rPr>
      </w:pPr>
      <w:r w:rsidRPr="008A63FD">
        <w:rPr>
          <w:kern w:val="22"/>
          <w:szCs w:val="22"/>
        </w:rPr>
        <w:t>Introduced genetic modification (for example, enhanced growth) may confer competitive advantages within the environment;</w:t>
      </w:r>
    </w:p>
    <w:p w14:paraId="1B6276F4" w14:textId="77777777" w:rsidR="003312CA" w:rsidRPr="008A63FD" w:rsidRDefault="003312CA" w:rsidP="00AF3F86">
      <w:pPr>
        <w:pStyle w:val="ListParagraph"/>
        <w:numPr>
          <w:ilvl w:val="0"/>
          <w:numId w:val="23"/>
        </w:numPr>
        <w:suppressLineNumbers/>
        <w:suppressAutoHyphens/>
        <w:spacing w:before="60" w:after="60"/>
        <w:ind w:left="1984" w:hanging="425"/>
        <w:contextualSpacing w:val="0"/>
        <w:rPr>
          <w:kern w:val="22"/>
          <w:szCs w:val="22"/>
        </w:rPr>
      </w:pPr>
      <w:r w:rsidRPr="008A63FD">
        <w:rPr>
          <w:kern w:val="22"/>
          <w:szCs w:val="22"/>
        </w:rPr>
        <w:t>Uncertainties associated with next generation effects, including considerations of evolutionary dynamics;</w:t>
      </w:r>
    </w:p>
    <w:p w14:paraId="2B7A3453" w14:textId="77777777" w:rsidR="003312CA" w:rsidRPr="008A63FD" w:rsidRDefault="003312CA" w:rsidP="00AF3F86">
      <w:pPr>
        <w:pStyle w:val="ListParagraph"/>
        <w:numPr>
          <w:ilvl w:val="0"/>
          <w:numId w:val="23"/>
        </w:numPr>
        <w:suppressLineNumbers/>
        <w:suppressAutoHyphens/>
        <w:spacing w:before="60" w:after="60"/>
        <w:ind w:left="1984" w:hanging="425"/>
        <w:contextualSpacing w:val="0"/>
        <w:rPr>
          <w:kern w:val="22"/>
          <w:szCs w:val="22"/>
        </w:rPr>
      </w:pPr>
      <w:r w:rsidRPr="008A63FD">
        <w:rPr>
          <w:kern w:val="22"/>
          <w:szCs w:val="22"/>
        </w:rPr>
        <w:t>Some transformations of fish can result in pleiotropic and secondary effects, which can have pronounced effects on the phenology and behaviour of fish.</w:t>
      </w:r>
    </w:p>
    <w:p w14:paraId="0A362B26" w14:textId="77777777" w:rsidR="003312CA" w:rsidRPr="008A63FD" w:rsidRDefault="003312CA" w:rsidP="00AF3F86">
      <w:pPr>
        <w:pStyle w:val="Heading2"/>
        <w:keepNext w:val="0"/>
        <w:numPr>
          <w:ilvl w:val="1"/>
          <w:numId w:val="14"/>
        </w:numPr>
        <w:suppressLineNumbers/>
        <w:tabs>
          <w:tab w:val="clear" w:pos="720"/>
        </w:tabs>
        <w:suppressAutoHyphens/>
        <w:ind w:left="0" w:firstLine="720"/>
        <w:jc w:val="both"/>
        <w:rPr>
          <w:b w:val="0"/>
          <w:bCs w:val="0"/>
          <w:kern w:val="22"/>
          <w:szCs w:val="22"/>
        </w:rPr>
      </w:pPr>
      <w:r w:rsidRPr="008A63FD">
        <w:rPr>
          <w:b w:val="0"/>
          <w:bCs w:val="0"/>
          <w:kern w:val="22"/>
          <w:szCs w:val="22"/>
        </w:rPr>
        <w:t>Related to data collection and availability:</w:t>
      </w:r>
    </w:p>
    <w:p w14:paraId="5B21FFDC" w14:textId="77777777" w:rsidR="003312CA" w:rsidRPr="008A63FD" w:rsidRDefault="003312CA" w:rsidP="00AF3F86">
      <w:pPr>
        <w:pStyle w:val="ListParagraph"/>
        <w:numPr>
          <w:ilvl w:val="0"/>
          <w:numId w:val="24"/>
        </w:numPr>
        <w:suppressLineNumbers/>
        <w:suppressAutoHyphens/>
        <w:spacing w:before="60" w:after="60"/>
        <w:ind w:left="1984" w:hanging="425"/>
        <w:contextualSpacing w:val="0"/>
        <w:rPr>
          <w:kern w:val="22"/>
          <w:szCs w:val="22"/>
        </w:rPr>
      </w:pPr>
      <w:r w:rsidRPr="008A63FD">
        <w:rPr>
          <w:kern w:val="22"/>
          <w:szCs w:val="22"/>
        </w:rPr>
        <w:t>Challenges in simulating natural environments under experimental conditions;</w:t>
      </w:r>
    </w:p>
    <w:p w14:paraId="42617775" w14:textId="77777777" w:rsidR="003312CA" w:rsidRPr="008A63FD" w:rsidRDefault="003312CA" w:rsidP="00AF3F86">
      <w:pPr>
        <w:pStyle w:val="ListParagraph"/>
        <w:numPr>
          <w:ilvl w:val="0"/>
          <w:numId w:val="24"/>
        </w:numPr>
        <w:suppressLineNumbers/>
        <w:suppressAutoHyphens/>
        <w:spacing w:before="60" w:after="60"/>
        <w:ind w:left="1984" w:hanging="425"/>
        <w:contextualSpacing w:val="0"/>
        <w:rPr>
          <w:kern w:val="22"/>
          <w:szCs w:val="22"/>
        </w:rPr>
      </w:pPr>
      <w:r w:rsidRPr="008A63FD">
        <w:rPr>
          <w:kern w:val="22"/>
          <w:szCs w:val="22"/>
        </w:rPr>
        <w:t>Data on environmental behaviour (for example, interactions with different species), environmental factors which influence living modified fish reproduction and monitoring is very limited;</w:t>
      </w:r>
    </w:p>
    <w:p w14:paraId="3030A9DB" w14:textId="77777777" w:rsidR="003312CA" w:rsidRPr="008A63FD" w:rsidRDefault="003312CA" w:rsidP="00AF3F86">
      <w:pPr>
        <w:pStyle w:val="ListParagraph"/>
        <w:numPr>
          <w:ilvl w:val="0"/>
          <w:numId w:val="24"/>
        </w:numPr>
        <w:suppressLineNumbers/>
        <w:suppressAutoHyphens/>
        <w:spacing w:before="60" w:after="60"/>
        <w:ind w:left="1984" w:hanging="425"/>
        <w:contextualSpacing w:val="0"/>
        <w:rPr>
          <w:kern w:val="22"/>
          <w:szCs w:val="22"/>
        </w:rPr>
      </w:pPr>
      <w:r w:rsidRPr="008A63FD">
        <w:rPr>
          <w:kern w:val="22"/>
          <w:szCs w:val="22"/>
        </w:rPr>
        <w:t>Knowledge on aquatic environments and genotype-environment interactions;</w:t>
      </w:r>
    </w:p>
    <w:p w14:paraId="55F1150B" w14:textId="77777777" w:rsidR="003312CA" w:rsidRPr="008A63FD" w:rsidRDefault="003312CA" w:rsidP="00AF3F86">
      <w:pPr>
        <w:pStyle w:val="ListParagraph"/>
        <w:numPr>
          <w:ilvl w:val="0"/>
          <w:numId w:val="24"/>
        </w:numPr>
        <w:suppressLineNumbers/>
        <w:suppressAutoHyphens/>
        <w:spacing w:before="60" w:after="60"/>
        <w:ind w:left="1984" w:hanging="425"/>
        <w:contextualSpacing w:val="0"/>
        <w:rPr>
          <w:kern w:val="22"/>
          <w:szCs w:val="22"/>
        </w:rPr>
      </w:pPr>
      <w:bookmarkStart w:id="5" w:name="_Hlk37261687"/>
      <w:r w:rsidRPr="00AF3F86">
        <w:rPr>
          <w:kern w:val="22"/>
          <w:szCs w:val="22"/>
        </w:rPr>
        <w:t xml:space="preserve">Difficulty in determining whether survival, migration, spawning, hybridization and </w:t>
      </w:r>
      <w:r w:rsidRPr="00AF3F86">
        <w:rPr>
          <w:noProof/>
          <w:kern w:val="22"/>
          <w:szCs w:val="22"/>
        </w:rPr>
        <w:t>introgression</w:t>
      </w:r>
      <w:r w:rsidRPr="00AF3F86">
        <w:rPr>
          <w:kern w:val="22"/>
          <w:szCs w:val="22"/>
        </w:rPr>
        <w:t xml:space="preserve"> of living modified fish would occur under natural conditions and in different environments.</w:t>
      </w:r>
      <w:bookmarkEnd w:id="5"/>
    </w:p>
    <w:p w14:paraId="1CC122B6" w14:textId="77777777" w:rsidR="003312CA" w:rsidRPr="008A63FD" w:rsidRDefault="003312CA" w:rsidP="00AF3F86">
      <w:pPr>
        <w:pStyle w:val="Heading2"/>
        <w:keepNext w:val="0"/>
        <w:numPr>
          <w:ilvl w:val="1"/>
          <w:numId w:val="14"/>
        </w:numPr>
        <w:suppressLineNumbers/>
        <w:tabs>
          <w:tab w:val="clear" w:pos="720"/>
        </w:tabs>
        <w:suppressAutoHyphens/>
        <w:ind w:left="0" w:firstLine="720"/>
        <w:jc w:val="both"/>
        <w:rPr>
          <w:b w:val="0"/>
          <w:bCs w:val="0"/>
          <w:kern w:val="22"/>
          <w:szCs w:val="22"/>
        </w:rPr>
      </w:pPr>
      <w:r w:rsidRPr="008A63FD">
        <w:rPr>
          <w:b w:val="0"/>
          <w:bCs w:val="0"/>
          <w:kern w:val="22"/>
          <w:szCs w:val="22"/>
        </w:rPr>
        <w:t>Related to experience:</w:t>
      </w:r>
    </w:p>
    <w:p w14:paraId="385D602F" w14:textId="77777777" w:rsidR="003312CA" w:rsidRPr="008A63FD" w:rsidRDefault="003312CA" w:rsidP="00AF3F86">
      <w:pPr>
        <w:pStyle w:val="ListParagraph"/>
        <w:numPr>
          <w:ilvl w:val="0"/>
          <w:numId w:val="25"/>
        </w:numPr>
        <w:suppressLineNumbers/>
        <w:suppressAutoHyphens/>
        <w:spacing w:before="60" w:after="60"/>
        <w:ind w:left="1984" w:hanging="425"/>
        <w:contextualSpacing w:val="0"/>
        <w:rPr>
          <w:kern w:val="22"/>
          <w:szCs w:val="22"/>
        </w:rPr>
      </w:pPr>
      <w:r w:rsidRPr="008A63FD">
        <w:rPr>
          <w:kern w:val="22"/>
          <w:szCs w:val="22"/>
        </w:rPr>
        <w:t>Limited experience performing risk assessments of living modified fish;</w:t>
      </w:r>
    </w:p>
    <w:p w14:paraId="713FAA29" w14:textId="77777777" w:rsidR="003312CA" w:rsidRPr="008A63FD" w:rsidRDefault="003312CA" w:rsidP="00AF3F86">
      <w:pPr>
        <w:pStyle w:val="ListParagraph"/>
        <w:numPr>
          <w:ilvl w:val="0"/>
          <w:numId w:val="25"/>
        </w:numPr>
        <w:suppressLineNumbers/>
        <w:suppressAutoHyphens/>
        <w:spacing w:before="60" w:after="60"/>
        <w:ind w:left="1984" w:hanging="425"/>
        <w:contextualSpacing w:val="0"/>
        <w:rPr>
          <w:kern w:val="22"/>
          <w:szCs w:val="22"/>
        </w:rPr>
      </w:pPr>
      <w:r w:rsidRPr="008A63FD">
        <w:rPr>
          <w:kern w:val="22"/>
          <w:szCs w:val="22"/>
        </w:rPr>
        <w:t>The experience in undertaking risk assessment of living modified fish varies among countries;</w:t>
      </w:r>
    </w:p>
    <w:p w14:paraId="326FE4DA" w14:textId="77777777" w:rsidR="003312CA" w:rsidRPr="008A63FD" w:rsidRDefault="003312CA" w:rsidP="00AF3F86">
      <w:pPr>
        <w:pStyle w:val="ListParagraph"/>
        <w:numPr>
          <w:ilvl w:val="0"/>
          <w:numId w:val="25"/>
        </w:numPr>
        <w:suppressLineNumbers/>
        <w:suppressAutoHyphens/>
        <w:spacing w:before="60" w:after="60"/>
        <w:ind w:left="1984" w:hanging="425"/>
        <w:contextualSpacing w:val="0"/>
        <w:rPr>
          <w:kern w:val="22"/>
          <w:szCs w:val="22"/>
        </w:rPr>
      </w:pPr>
      <w:r w:rsidRPr="008A63FD">
        <w:rPr>
          <w:kern w:val="22"/>
          <w:szCs w:val="22"/>
        </w:rPr>
        <w:t>Experience with risk assessment of living modified fish is limited to containment</w:t>
      </w:r>
      <w:r w:rsidRPr="00AF3F86">
        <w:rPr>
          <w:kern w:val="22"/>
          <w:szCs w:val="22"/>
        </w:rPr>
        <w:t xml:space="preserve"> </w:t>
      </w:r>
      <w:r w:rsidRPr="008A63FD">
        <w:rPr>
          <w:kern w:val="22"/>
          <w:szCs w:val="22"/>
        </w:rPr>
        <w:t>conditions.</w:t>
      </w:r>
    </w:p>
    <w:p w14:paraId="09AB3FB6" w14:textId="77777777" w:rsidR="003312CA" w:rsidRPr="008A63FD" w:rsidRDefault="003312CA" w:rsidP="00AF3F86">
      <w:pPr>
        <w:pStyle w:val="Heading2"/>
        <w:keepNext w:val="0"/>
        <w:numPr>
          <w:ilvl w:val="1"/>
          <w:numId w:val="14"/>
        </w:numPr>
        <w:suppressLineNumbers/>
        <w:tabs>
          <w:tab w:val="clear" w:pos="720"/>
        </w:tabs>
        <w:suppressAutoHyphens/>
        <w:ind w:left="0" w:firstLine="720"/>
        <w:jc w:val="both"/>
        <w:rPr>
          <w:b w:val="0"/>
          <w:bCs w:val="0"/>
          <w:kern w:val="22"/>
          <w:szCs w:val="22"/>
        </w:rPr>
      </w:pPr>
      <w:r w:rsidRPr="008A63FD">
        <w:rPr>
          <w:b w:val="0"/>
          <w:bCs w:val="0"/>
          <w:kern w:val="22"/>
          <w:szCs w:val="22"/>
        </w:rPr>
        <w:t>Related to risk assessment methodologies:</w:t>
      </w:r>
    </w:p>
    <w:p w14:paraId="09B7EBA8" w14:textId="77777777" w:rsidR="003312CA" w:rsidRPr="008A63FD" w:rsidRDefault="003312CA" w:rsidP="00AF3F86">
      <w:pPr>
        <w:pStyle w:val="ListParagraph"/>
        <w:numPr>
          <w:ilvl w:val="0"/>
          <w:numId w:val="26"/>
        </w:numPr>
        <w:suppressLineNumbers/>
        <w:suppressAutoHyphens/>
        <w:spacing w:before="60" w:after="60"/>
        <w:ind w:left="1984" w:hanging="425"/>
        <w:contextualSpacing w:val="0"/>
        <w:rPr>
          <w:kern w:val="22"/>
          <w:szCs w:val="22"/>
        </w:rPr>
      </w:pPr>
      <w:r w:rsidRPr="00AF3F86">
        <w:rPr>
          <w:kern w:val="22"/>
          <w:szCs w:val="22"/>
        </w:rPr>
        <w:t>Difficulties</w:t>
      </w:r>
      <w:r w:rsidRPr="008A63FD">
        <w:rPr>
          <w:kern w:val="22"/>
          <w:szCs w:val="22"/>
        </w:rPr>
        <w:t xml:space="preserve"> in establishing baselines;</w:t>
      </w:r>
    </w:p>
    <w:p w14:paraId="6FD84AE5" w14:textId="77777777" w:rsidR="003312CA" w:rsidRPr="00AF3F86" w:rsidRDefault="003312CA" w:rsidP="00AF3F86">
      <w:pPr>
        <w:pStyle w:val="ListParagraph"/>
        <w:numPr>
          <w:ilvl w:val="0"/>
          <w:numId w:val="26"/>
        </w:numPr>
        <w:suppressLineNumbers/>
        <w:suppressAutoHyphens/>
        <w:spacing w:before="60" w:after="60"/>
        <w:ind w:left="1984" w:hanging="425"/>
        <w:contextualSpacing w:val="0"/>
        <w:rPr>
          <w:kern w:val="22"/>
          <w:szCs w:val="22"/>
        </w:rPr>
      </w:pPr>
      <w:r w:rsidRPr="00AF3F86">
        <w:rPr>
          <w:kern w:val="22"/>
          <w:szCs w:val="22"/>
        </w:rPr>
        <w:t>Need for additional tools to estimate consequences and likelihoods of risks and uncertainty because of the complexity of the species and the receiving environment.</w:t>
      </w:r>
    </w:p>
    <w:p w14:paraId="57BE1C3D" w14:textId="77777777" w:rsidR="003312CA" w:rsidRPr="008A63FD" w:rsidRDefault="003312CA" w:rsidP="00AF3F86">
      <w:pPr>
        <w:pStyle w:val="Heading2"/>
        <w:keepNext w:val="0"/>
        <w:numPr>
          <w:ilvl w:val="1"/>
          <w:numId w:val="14"/>
        </w:numPr>
        <w:suppressLineNumbers/>
        <w:tabs>
          <w:tab w:val="clear" w:pos="720"/>
        </w:tabs>
        <w:suppressAutoHyphens/>
        <w:ind w:left="0" w:firstLine="720"/>
        <w:jc w:val="both"/>
        <w:rPr>
          <w:b w:val="0"/>
          <w:bCs w:val="0"/>
          <w:kern w:val="22"/>
          <w:szCs w:val="22"/>
        </w:rPr>
      </w:pPr>
      <w:r w:rsidRPr="00AF3F86">
        <w:rPr>
          <w:b w:val="0"/>
          <w:bCs w:val="0"/>
          <w:kern w:val="22"/>
          <w:szCs w:val="22"/>
        </w:rPr>
        <w:t>Related to monitoring and risk management:</w:t>
      </w:r>
    </w:p>
    <w:p w14:paraId="334E437A" w14:textId="77777777" w:rsidR="003312CA" w:rsidRPr="00AF3F86" w:rsidRDefault="003312CA">
      <w:pPr>
        <w:pStyle w:val="ListParagraph"/>
        <w:numPr>
          <w:ilvl w:val="0"/>
          <w:numId w:val="28"/>
        </w:numPr>
        <w:suppressLineNumbers/>
        <w:suppressAutoHyphens/>
        <w:ind w:left="1985" w:hanging="425"/>
        <w:contextualSpacing w:val="0"/>
        <w:rPr>
          <w:kern w:val="22"/>
          <w:szCs w:val="22"/>
        </w:rPr>
      </w:pPr>
      <w:r w:rsidRPr="00AF3F86">
        <w:rPr>
          <w:kern w:val="22"/>
          <w:szCs w:val="22"/>
        </w:rPr>
        <w:t>Methods to monitor living modified fish in the environment.</w:t>
      </w:r>
    </w:p>
    <w:p w14:paraId="5C7F67B3" w14:textId="77777777" w:rsidR="003312CA" w:rsidRPr="00AF3F86" w:rsidRDefault="003312CA" w:rsidP="00AF3F86">
      <w:pPr>
        <w:pStyle w:val="Para1"/>
        <w:suppressLineNumbers/>
        <w:suppressAutoHyphens/>
        <w:rPr>
          <w:rFonts w:eastAsiaTheme="minorEastAsia"/>
          <w:szCs w:val="22"/>
        </w:rPr>
      </w:pPr>
      <w:r w:rsidRPr="007775AD">
        <w:rPr>
          <w:szCs w:val="22"/>
        </w:rPr>
        <w:lastRenderedPageBreak/>
        <w:t xml:space="preserve">Data on releases of non-modified, non-indigenous fish was noted as being available (for example, the United States Geological Survey’s Non-Indigenous Aquatic Species Program). </w:t>
      </w:r>
      <w:r w:rsidRPr="00AF3F86">
        <w:rPr>
          <w:szCs w:val="22"/>
        </w:rPr>
        <w:t>Similarly, it was suggested that data from non-modified fish species, such as invasive alien fish species, and lessons from commercial fish farming may be a source of experience that can inform potential environmental effects of living modified fish, without assuming an equivalence.</w:t>
      </w:r>
    </w:p>
    <w:p w14:paraId="1EBA29B4" w14:textId="77777777" w:rsidR="003312CA" w:rsidRPr="00AF3F86" w:rsidRDefault="003312CA" w:rsidP="00AF3F86">
      <w:pPr>
        <w:pStyle w:val="Para1"/>
        <w:suppressLineNumbers/>
        <w:tabs>
          <w:tab w:val="clear" w:pos="360"/>
        </w:tabs>
        <w:suppressAutoHyphens/>
        <w:rPr>
          <w:kern w:val="22"/>
          <w:szCs w:val="22"/>
        </w:rPr>
      </w:pPr>
      <w:r w:rsidRPr="00AF3F86">
        <w:rPr>
          <w:kern w:val="22"/>
          <w:szCs w:val="22"/>
        </w:rPr>
        <w:t>It was noted that while some tools exist to predict the survival and dissemination of fish species in the environment (for example, the Fish Invasiveness Screening Kit), it was also suggested that an agreed standard model for estimating dispersal and population dynamics would be useful.</w:t>
      </w:r>
    </w:p>
    <w:p w14:paraId="66DE928A" w14:textId="77777777" w:rsidR="003312CA" w:rsidRPr="00AF3F86" w:rsidRDefault="003312CA" w:rsidP="00AF3F86">
      <w:pPr>
        <w:pStyle w:val="Para1"/>
        <w:suppressLineNumbers/>
        <w:tabs>
          <w:tab w:val="clear" w:pos="360"/>
        </w:tabs>
        <w:suppressAutoHyphens/>
        <w:rPr>
          <w:rStyle w:val="eop"/>
          <w:iCs/>
          <w:kern w:val="22"/>
          <w:szCs w:val="22"/>
        </w:rPr>
      </w:pPr>
      <w:r w:rsidRPr="00AF3F86">
        <w:rPr>
          <w:kern w:val="22"/>
          <w:szCs w:val="22"/>
        </w:rPr>
        <w:t>Further, some AHTEG members noted that obtaining reliable data for risk assessment can be a challenge, but it does not necessarily mean a challenge to the risk assessment methodology itself.</w:t>
      </w:r>
    </w:p>
    <w:p w14:paraId="03A8A229" w14:textId="77777777" w:rsidR="003312CA" w:rsidRPr="008A63FD" w:rsidRDefault="003312CA">
      <w:pPr>
        <w:pStyle w:val="paragraph"/>
        <w:suppressLineNumbers/>
        <w:suppressAutoHyphens/>
        <w:spacing w:before="0" w:beforeAutospacing="0" w:after="0" w:afterAutospacing="0"/>
        <w:jc w:val="both"/>
        <w:rPr>
          <w:kern w:val="22"/>
          <w:sz w:val="22"/>
          <w:szCs w:val="22"/>
          <w:lang w:val="en-GB"/>
        </w:rPr>
      </w:pPr>
    </w:p>
    <w:tbl>
      <w:tblPr>
        <w:tblStyle w:val="TableGrid"/>
        <w:tblW w:w="0" w:type="auto"/>
        <w:tblLook w:val="04A0" w:firstRow="1" w:lastRow="0" w:firstColumn="1" w:lastColumn="0" w:noHBand="0" w:noVBand="1"/>
      </w:tblPr>
      <w:tblGrid>
        <w:gridCol w:w="9452"/>
      </w:tblGrid>
      <w:tr w:rsidR="003312CA" w:rsidRPr="008A63FD" w14:paraId="0B557506" w14:textId="77777777" w:rsidTr="00DE6798">
        <w:trPr>
          <w:trHeight w:val="2664"/>
        </w:trPr>
        <w:tc>
          <w:tcPr>
            <w:tcW w:w="9466" w:type="dxa"/>
          </w:tcPr>
          <w:p w14:paraId="7761B331" w14:textId="11C75A89" w:rsidR="003312CA" w:rsidRPr="008A63FD" w:rsidRDefault="003312CA" w:rsidP="00AF3F86">
            <w:pPr>
              <w:pStyle w:val="paragraph"/>
              <w:suppressLineNumbers/>
              <w:tabs>
                <w:tab w:val="left" w:pos="598"/>
              </w:tabs>
              <w:suppressAutoHyphens/>
              <w:spacing w:before="120" w:beforeAutospacing="0" w:after="120" w:afterAutospacing="0"/>
              <w:jc w:val="both"/>
              <w:textAlignment w:val="baseline"/>
              <w:rPr>
                <w:kern w:val="22"/>
                <w:sz w:val="22"/>
                <w:szCs w:val="22"/>
                <w:lang w:val="en-GB"/>
              </w:rPr>
            </w:pPr>
            <w:bookmarkStart w:id="6" w:name="_Hlk36661103"/>
            <w:r w:rsidRPr="008A63FD">
              <w:rPr>
                <w:rStyle w:val="normaltextrun"/>
                <w:b/>
                <w:bCs/>
                <w:kern w:val="22"/>
                <w:sz w:val="22"/>
                <w:szCs w:val="22"/>
                <w:lang w:val="en-GB"/>
              </w:rPr>
              <w:t>(e)</w:t>
            </w:r>
            <w:r w:rsidR="00AE5B9D" w:rsidRPr="008A63FD">
              <w:rPr>
                <w:rStyle w:val="normaltextrun"/>
                <w:b/>
                <w:bCs/>
                <w:kern w:val="22"/>
                <w:sz w:val="22"/>
                <w:szCs w:val="22"/>
                <w:lang w:val="en-GB"/>
              </w:rPr>
              <w:tab/>
            </w:r>
            <w:r w:rsidRPr="008A63FD">
              <w:rPr>
                <w:rStyle w:val="normaltextrun"/>
                <w:b/>
                <w:bCs/>
                <w:kern w:val="22"/>
                <w:sz w:val="22"/>
                <w:szCs w:val="22"/>
                <w:lang w:val="en-GB"/>
              </w:rPr>
              <w:t>The specific issues concerning living modified organisms that:</w:t>
            </w:r>
          </w:p>
          <w:p w14:paraId="7A2456C2" w14:textId="27E8FA5C" w:rsidR="003312CA" w:rsidRPr="008A63FD" w:rsidRDefault="003312CA" w:rsidP="00AF3F86">
            <w:pPr>
              <w:pStyle w:val="paragraph"/>
              <w:suppressLineNumbers/>
              <w:suppressAutoHyphens/>
              <w:spacing w:before="120" w:beforeAutospacing="0" w:after="120" w:afterAutospacing="0"/>
              <w:ind w:left="1166" w:hanging="567"/>
              <w:jc w:val="both"/>
              <w:textAlignment w:val="baseline"/>
              <w:rPr>
                <w:kern w:val="22"/>
                <w:sz w:val="22"/>
                <w:szCs w:val="22"/>
                <w:lang w:val="en-GB"/>
              </w:rPr>
            </w:pPr>
            <w:r w:rsidRPr="008A63FD">
              <w:rPr>
                <w:rStyle w:val="normaltextrun"/>
                <w:b/>
                <w:bCs/>
                <w:kern w:val="22"/>
                <w:sz w:val="22"/>
                <w:szCs w:val="22"/>
                <w:lang w:val="en-GB"/>
              </w:rPr>
              <w:t>(</w:t>
            </w:r>
            <w:proofErr w:type="spellStart"/>
            <w:r w:rsidRPr="008A63FD">
              <w:rPr>
                <w:rStyle w:val="normaltextrun"/>
                <w:b/>
                <w:bCs/>
                <w:kern w:val="22"/>
                <w:sz w:val="22"/>
                <w:szCs w:val="22"/>
                <w:lang w:val="en-GB"/>
              </w:rPr>
              <w:t>i</w:t>
            </w:r>
            <w:proofErr w:type="spellEnd"/>
            <w:r w:rsidRPr="008A63FD">
              <w:rPr>
                <w:rStyle w:val="normaltextrun"/>
                <w:b/>
                <w:bCs/>
                <w:kern w:val="22"/>
                <w:sz w:val="22"/>
                <w:szCs w:val="22"/>
                <w:lang w:val="en-GB"/>
              </w:rPr>
              <w:t>)</w:t>
            </w:r>
            <w:r w:rsidR="00172560" w:rsidRPr="008A63FD">
              <w:rPr>
                <w:rStyle w:val="normaltextrun"/>
                <w:b/>
                <w:bCs/>
                <w:kern w:val="22"/>
                <w:sz w:val="22"/>
                <w:szCs w:val="22"/>
                <w:lang w:val="en-GB"/>
              </w:rPr>
              <w:tab/>
            </w:r>
            <w:r w:rsidRPr="008A63FD">
              <w:rPr>
                <w:rStyle w:val="normaltextrun"/>
                <w:b/>
                <w:bCs/>
                <w:kern w:val="22"/>
                <w:sz w:val="22"/>
                <w:szCs w:val="22"/>
                <w:lang w:val="en-GB"/>
              </w:rPr>
              <w:t>Have the potential to cause adverse effects on biodiversity, in particular those that are serious or irreversible, taking into account the urgent need to protect specific aspects of biodiversity, such as an endemic/rare species or a unique habitat or ecosystem, taking into account risks to human health and the value of biological diversity to indigenous peoples and local communities;</w:t>
            </w:r>
          </w:p>
          <w:p w14:paraId="5F214956" w14:textId="2FD964EE" w:rsidR="003312CA" w:rsidRPr="008A63FD" w:rsidRDefault="003312CA" w:rsidP="00AF3F86">
            <w:pPr>
              <w:pStyle w:val="paragraph"/>
              <w:suppressLineNumbers/>
              <w:suppressAutoHyphens/>
              <w:spacing w:before="120" w:beforeAutospacing="0" w:after="120" w:afterAutospacing="0"/>
              <w:ind w:left="1166" w:hanging="567"/>
              <w:jc w:val="both"/>
              <w:textAlignment w:val="baseline"/>
              <w:rPr>
                <w:kern w:val="22"/>
                <w:sz w:val="22"/>
                <w:szCs w:val="22"/>
                <w:lang w:val="en-GB"/>
              </w:rPr>
            </w:pPr>
            <w:r w:rsidRPr="008A63FD">
              <w:rPr>
                <w:rStyle w:val="normaltextrun"/>
                <w:b/>
                <w:bCs/>
                <w:kern w:val="22"/>
                <w:sz w:val="22"/>
                <w:szCs w:val="22"/>
                <w:lang w:val="en-GB"/>
              </w:rPr>
              <w:t>(ii)</w:t>
            </w:r>
            <w:r w:rsidR="00172560" w:rsidRPr="008A63FD">
              <w:rPr>
                <w:rStyle w:val="normaltextrun"/>
                <w:b/>
                <w:bCs/>
                <w:kern w:val="22"/>
                <w:sz w:val="22"/>
                <w:szCs w:val="22"/>
                <w:lang w:val="en-GB"/>
              </w:rPr>
              <w:tab/>
            </w:r>
            <w:r w:rsidRPr="008A63FD">
              <w:rPr>
                <w:rStyle w:val="normaltextrun"/>
                <w:b/>
                <w:bCs/>
                <w:kern w:val="22"/>
                <w:sz w:val="22"/>
                <w:szCs w:val="22"/>
                <w:lang w:val="en-GB"/>
              </w:rPr>
              <w:t>May be introduced into the environment either deliberately or accidentally;</w:t>
            </w:r>
          </w:p>
          <w:p w14:paraId="1B0741A2" w14:textId="4201B934" w:rsidR="003312CA" w:rsidRPr="008A63FD" w:rsidRDefault="003312CA" w:rsidP="00AF3F86">
            <w:pPr>
              <w:pStyle w:val="paragraph"/>
              <w:suppressLineNumbers/>
              <w:suppressAutoHyphens/>
              <w:spacing w:before="120" w:beforeAutospacing="0" w:after="120" w:afterAutospacing="0"/>
              <w:ind w:left="1166" w:hanging="567"/>
              <w:jc w:val="both"/>
              <w:textAlignment w:val="baseline"/>
              <w:rPr>
                <w:kern w:val="22"/>
                <w:sz w:val="22"/>
                <w:szCs w:val="22"/>
                <w:lang w:val="en-GB"/>
              </w:rPr>
            </w:pPr>
            <w:r w:rsidRPr="008A63FD">
              <w:rPr>
                <w:rStyle w:val="normaltextrun"/>
                <w:b/>
                <w:bCs/>
                <w:kern w:val="22"/>
                <w:sz w:val="22"/>
                <w:szCs w:val="22"/>
                <w:lang w:val="en-GB"/>
              </w:rPr>
              <w:t>(iii)</w:t>
            </w:r>
            <w:r w:rsidR="00172560" w:rsidRPr="008A63FD">
              <w:rPr>
                <w:rStyle w:val="normaltextrun"/>
                <w:b/>
                <w:bCs/>
                <w:kern w:val="22"/>
                <w:sz w:val="22"/>
                <w:szCs w:val="22"/>
                <w:lang w:val="en-GB"/>
              </w:rPr>
              <w:tab/>
            </w:r>
            <w:r w:rsidRPr="008A63FD">
              <w:rPr>
                <w:rStyle w:val="normaltextrun"/>
                <w:b/>
                <w:bCs/>
                <w:kern w:val="22"/>
                <w:sz w:val="22"/>
                <w:szCs w:val="22"/>
                <w:lang w:val="en-GB"/>
              </w:rPr>
              <w:t>Have the potential to disseminate across national borders;</w:t>
            </w:r>
          </w:p>
          <w:p w14:paraId="006DB215" w14:textId="572AE950" w:rsidR="003312CA" w:rsidRPr="008A63FD" w:rsidRDefault="003312CA" w:rsidP="00AF3F86">
            <w:pPr>
              <w:pStyle w:val="paragraph"/>
              <w:suppressLineNumbers/>
              <w:suppressAutoHyphens/>
              <w:spacing w:before="120" w:beforeAutospacing="0" w:after="120" w:afterAutospacing="0"/>
              <w:ind w:left="1166" w:hanging="567"/>
              <w:jc w:val="both"/>
              <w:textAlignment w:val="baseline"/>
              <w:rPr>
                <w:kern w:val="22"/>
                <w:sz w:val="22"/>
                <w:szCs w:val="22"/>
                <w:lang w:val="en-GB"/>
              </w:rPr>
            </w:pPr>
            <w:r w:rsidRPr="008A63FD">
              <w:rPr>
                <w:rStyle w:val="normaltextrun"/>
                <w:b/>
                <w:bCs/>
                <w:kern w:val="22"/>
                <w:sz w:val="22"/>
                <w:szCs w:val="22"/>
                <w:lang w:val="en-GB"/>
              </w:rPr>
              <w:t>(iv)</w:t>
            </w:r>
            <w:r w:rsidR="00172560" w:rsidRPr="008A63FD">
              <w:rPr>
                <w:rStyle w:val="normaltextrun"/>
                <w:b/>
                <w:bCs/>
                <w:kern w:val="22"/>
                <w:sz w:val="22"/>
                <w:szCs w:val="22"/>
                <w:lang w:val="en-GB"/>
              </w:rPr>
              <w:tab/>
            </w:r>
            <w:r w:rsidRPr="008A63FD">
              <w:rPr>
                <w:rStyle w:val="normaltextrun"/>
                <w:b/>
                <w:bCs/>
                <w:kern w:val="22"/>
                <w:sz w:val="22"/>
                <w:szCs w:val="22"/>
                <w:lang w:val="en-GB"/>
              </w:rPr>
              <w:t>Are already, or are likely to be, commercialized or in use somewhere in the world.</w:t>
            </w:r>
          </w:p>
        </w:tc>
      </w:tr>
    </w:tbl>
    <w:p w14:paraId="68770CCB" w14:textId="77777777" w:rsidR="003312CA" w:rsidRPr="008A63FD" w:rsidRDefault="003312CA" w:rsidP="00AF3F86">
      <w:pPr>
        <w:suppressLineNumbers/>
        <w:suppressAutoHyphens/>
        <w:rPr>
          <w:rStyle w:val="normaltextrun"/>
          <w:kern w:val="22"/>
          <w:szCs w:val="22"/>
        </w:rPr>
      </w:pPr>
    </w:p>
    <w:bookmarkEnd w:id="6"/>
    <w:p w14:paraId="3A32B421" w14:textId="77777777" w:rsidR="003312CA" w:rsidRPr="00AF3F86" w:rsidRDefault="003312CA" w:rsidP="00AF3F86">
      <w:pPr>
        <w:pStyle w:val="Para1"/>
        <w:suppressLineNumbers/>
        <w:tabs>
          <w:tab w:val="clear" w:pos="360"/>
        </w:tabs>
        <w:suppressAutoHyphens/>
        <w:rPr>
          <w:kern w:val="22"/>
          <w:szCs w:val="22"/>
        </w:rPr>
      </w:pPr>
      <w:r w:rsidRPr="007775AD">
        <w:rPr>
          <w:spacing w:val="-2"/>
          <w:kern w:val="22"/>
          <w:szCs w:val="22"/>
        </w:rPr>
        <w:t xml:space="preserve">The AHTEG </w:t>
      </w:r>
      <w:r w:rsidRPr="00AF3F86">
        <w:rPr>
          <w:kern w:val="22"/>
          <w:szCs w:val="22"/>
        </w:rPr>
        <w:t>noted</w:t>
      </w:r>
      <w:r w:rsidRPr="00AF3F86">
        <w:rPr>
          <w:spacing w:val="-2"/>
          <w:kern w:val="22"/>
          <w:szCs w:val="22"/>
        </w:rPr>
        <w:t xml:space="preserve"> that the study’s analysis of criterion (e)(</w:t>
      </w:r>
      <w:proofErr w:type="spellStart"/>
      <w:r w:rsidRPr="00AF3F86">
        <w:rPr>
          <w:spacing w:val="-2"/>
          <w:kern w:val="22"/>
          <w:szCs w:val="22"/>
        </w:rPr>
        <w:t>i</w:t>
      </w:r>
      <w:proofErr w:type="spellEnd"/>
      <w:r w:rsidRPr="00AF3F86">
        <w:rPr>
          <w:spacing w:val="-2"/>
          <w:kern w:val="22"/>
          <w:szCs w:val="22"/>
        </w:rPr>
        <w:t>) contained relatively little information on potential impacts of living modified fish on biodiversity and additional information would be useful, while also noting the potential relevance of information in section 6.4 of the study. Building on the information in the study, experts identified potential adverse effects of living modified fish on biodiversity, for example, the potential for faster growing living modified salmon to out-compete naturally occurring smaller salmon.</w:t>
      </w:r>
    </w:p>
    <w:p w14:paraId="46353931" w14:textId="77777777" w:rsidR="003312CA" w:rsidRPr="00AF3F86" w:rsidRDefault="003312CA" w:rsidP="00AF3F86">
      <w:pPr>
        <w:pStyle w:val="Para1"/>
        <w:suppressLineNumbers/>
        <w:tabs>
          <w:tab w:val="clear" w:pos="360"/>
        </w:tabs>
        <w:suppressAutoHyphens/>
        <w:rPr>
          <w:kern w:val="22"/>
          <w:szCs w:val="22"/>
        </w:rPr>
      </w:pPr>
      <w:r w:rsidRPr="007775AD">
        <w:rPr>
          <w:kern w:val="22"/>
          <w:szCs w:val="22"/>
        </w:rPr>
        <w:t>Experts shared perspectives on the importance of many wild fish species to indigenous peoples and local communities and highlighted the importance of the relationship between indigenous peoples and local communities and biodiversity. It was s</w:t>
      </w:r>
      <w:r w:rsidRPr="00AF3F86">
        <w:rPr>
          <w:kern w:val="22"/>
          <w:szCs w:val="22"/>
        </w:rPr>
        <w:t>uggested that there is a need to consider sociocultural impacts related to adverse effects on native fish populations resulting from a release of living modified fish, ensuring the full and effective participation of indigenous peoples and local communities.</w:t>
      </w:r>
    </w:p>
    <w:p w14:paraId="02DFF987" w14:textId="77777777" w:rsidR="003312CA" w:rsidRPr="00AF3F86" w:rsidRDefault="003312CA" w:rsidP="00AF3F86">
      <w:pPr>
        <w:pStyle w:val="Para1"/>
        <w:suppressLineNumbers/>
        <w:tabs>
          <w:tab w:val="clear" w:pos="360"/>
        </w:tabs>
        <w:suppressAutoHyphens/>
        <w:rPr>
          <w:kern w:val="22"/>
          <w:szCs w:val="22"/>
        </w:rPr>
      </w:pPr>
      <w:r w:rsidRPr="00AF3F86">
        <w:rPr>
          <w:kern w:val="22"/>
          <w:szCs w:val="22"/>
        </w:rPr>
        <w:t xml:space="preserve">It was recalled that no living modified fish have been developed for release into the environment and those living modified fish that have been released unintentionally, for example, ornamental fish, were not likely to survive in the environment. It was also suggested, however, that the important consideration was that living modified fish had been released into the environment, and </w:t>
      </w:r>
      <w:proofErr w:type="gramStart"/>
      <w:r w:rsidRPr="00AF3F86">
        <w:rPr>
          <w:kern w:val="22"/>
          <w:szCs w:val="22"/>
        </w:rPr>
        <w:t>whether or not</w:t>
      </w:r>
      <w:proofErr w:type="gramEnd"/>
      <w:r w:rsidRPr="00AF3F86">
        <w:rPr>
          <w:kern w:val="22"/>
          <w:szCs w:val="22"/>
        </w:rPr>
        <w:t xml:space="preserve"> these fish would persist was not relevant for this criterion.</w:t>
      </w:r>
    </w:p>
    <w:p w14:paraId="657452A8" w14:textId="77777777" w:rsidR="003312CA" w:rsidRPr="00AF3F86" w:rsidRDefault="003312CA" w:rsidP="00AF3F86">
      <w:pPr>
        <w:pStyle w:val="Para1"/>
        <w:suppressLineNumbers/>
        <w:tabs>
          <w:tab w:val="clear" w:pos="360"/>
        </w:tabs>
        <w:suppressAutoHyphens/>
        <w:rPr>
          <w:spacing w:val="-2"/>
          <w:kern w:val="22"/>
          <w:szCs w:val="22"/>
        </w:rPr>
      </w:pPr>
      <w:r w:rsidRPr="00AF3F86">
        <w:rPr>
          <w:spacing w:val="-2"/>
          <w:kern w:val="22"/>
          <w:szCs w:val="22"/>
        </w:rPr>
        <w:t>The AHTEG agreed that living modified fish have the potential to disseminate across national borders.</w:t>
      </w:r>
    </w:p>
    <w:p w14:paraId="3A93F417" w14:textId="77777777" w:rsidR="003312CA" w:rsidRPr="00AF3F86" w:rsidRDefault="003312CA" w:rsidP="00AF3F86">
      <w:pPr>
        <w:pStyle w:val="Para1"/>
        <w:suppressLineNumbers/>
        <w:tabs>
          <w:tab w:val="clear" w:pos="360"/>
        </w:tabs>
        <w:suppressAutoHyphens/>
        <w:rPr>
          <w:kern w:val="22"/>
          <w:szCs w:val="22"/>
        </w:rPr>
      </w:pPr>
      <w:r w:rsidRPr="00AF3F86">
        <w:rPr>
          <w:kern w:val="22"/>
          <w:szCs w:val="22"/>
        </w:rPr>
        <w:t>The AHTEG recognized that several species of living modified ornamental fish as well as living modified Atlantic salmon have been commercialized.</w:t>
      </w:r>
    </w:p>
    <w:p w14:paraId="5907E6E7" w14:textId="77777777" w:rsidR="003312CA" w:rsidRPr="008A63FD" w:rsidRDefault="003312CA">
      <w:pPr>
        <w:pStyle w:val="Heading2"/>
        <w:suppressLineNumbers/>
        <w:tabs>
          <w:tab w:val="clear" w:pos="720"/>
          <w:tab w:val="left" w:pos="426"/>
        </w:tabs>
        <w:suppressAutoHyphens/>
        <w:rPr>
          <w:kern w:val="22"/>
          <w:szCs w:val="22"/>
        </w:rPr>
      </w:pPr>
      <w:r w:rsidRPr="008A63FD">
        <w:rPr>
          <w:kern w:val="22"/>
          <w:szCs w:val="22"/>
        </w:rPr>
        <w:t>B.</w:t>
      </w:r>
      <w:r w:rsidRPr="008A63FD">
        <w:rPr>
          <w:kern w:val="22"/>
          <w:szCs w:val="22"/>
        </w:rPr>
        <w:tab/>
        <w:t>Stocktaking of resources on similar issues</w:t>
      </w:r>
    </w:p>
    <w:p w14:paraId="1F320FE0" w14:textId="77777777" w:rsidR="003312CA" w:rsidRPr="00AF3F86" w:rsidRDefault="003312CA" w:rsidP="00AF3F86">
      <w:pPr>
        <w:pStyle w:val="Para1"/>
        <w:suppressLineNumbers/>
        <w:tabs>
          <w:tab w:val="clear" w:pos="360"/>
        </w:tabs>
        <w:suppressAutoHyphens/>
        <w:rPr>
          <w:kern w:val="22"/>
          <w:szCs w:val="22"/>
        </w:rPr>
      </w:pPr>
      <w:r w:rsidRPr="007775AD">
        <w:rPr>
          <w:kern w:val="22"/>
          <w:szCs w:val="22"/>
        </w:rPr>
        <w:t>The AHTEG recognized that resources related to risk assessment of living modified fish do exist, including documents prepared by the European Food Safety Authority</w:t>
      </w:r>
      <w:r w:rsidRPr="00AF3F86" w:rsidDel="00D74C47">
        <w:rPr>
          <w:kern w:val="22"/>
          <w:szCs w:val="22"/>
        </w:rPr>
        <w:t xml:space="preserve"> </w:t>
      </w:r>
      <w:r w:rsidRPr="00AF3F86">
        <w:rPr>
          <w:kern w:val="22"/>
          <w:szCs w:val="22"/>
        </w:rPr>
        <w:t xml:space="preserve">and the </w:t>
      </w:r>
      <w:r w:rsidRPr="007775AD">
        <w:rPr>
          <w:kern w:val="22"/>
          <w:szCs w:val="22"/>
        </w:rPr>
        <w:t>Organisation for Economic Co-operation and Development and in the context</w:t>
      </w:r>
      <w:r w:rsidRPr="00AF3F86">
        <w:rPr>
          <w:kern w:val="22"/>
          <w:szCs w:val="22"/>
        </w:rPr>
        <w:t xml:space="preserve"> of the Cartagena Protocol on Biosafety as well as resources on risk assessment of living modified animals in general. For some experts, these documents were </w:t>
      </w:r>
      <w:proofErr w:type="gramStart"/>
      <w:r w:rsidRPr="00AF3F86">
        <w:rPr>
          <w:kern w:val="22"/>
          <w:szCs w:val="22"/>
        </w:rPr>
        <w:t>sufficient</w:t>
      </w:r>
      <w:proofErr w:type="gramEnd"/>
      <w:r w:rsidRPr="00AF3F86">
        <w:rPr>
          <w:kern w:val="22"/>
          <w:szCs w:val="22"/>
        </w:rPr>
        <w:t xml:space="preserve"> </w:t>
      </w:r>
      <w:r w:rsidRPr="00AF3F86">
        <w:rPr>
          <w:kern w:val="22"/>
          <w:szCs w:val="22"/>
        </w:rPr>
        <w:lastRenderedPageBreak/>
        <w:t>for risk assessment of living modified fish, noting that additional guidance would not be able to address challenges related to the lack of data. Other experts were of the view that specific considerations related, for example, to prolonged exposure or next generation effects, were missing from these documents and, so, more detailed guidance was needed. It was also suggested that most existing resources are for animals in general and guidance focused on fish would be useful and better adapted to the specific challenges they posed.</w:t>
      </w:r>
    </w:p>
    <w:p w14:paraId="5E97C3B0" w14:textId="77777777" w:rsidR="003312CA" w:rsidRPr="00AF3F86" w:rsidRDefault="003312CA" w:rsidP="00AF3F86">
      <w:pPr>
        <w:pStyle w:val="Para1"/>
        <w:suppressLineNumbers/>
        <w:tabs>
          <w:tab w:val="clear" w:pos="360"/>
        </w:tabs>
        <w:suppressAutoHyphens/>
        <w:rPr>
          <w:kern w:val="22"/>
          <w:szCs w:val="22"/>
        </w:rPr>
      </w:pPr>
      <w:r w:rsidRPr="00AF3F86">
        <w:rPr>
          <w:kern w:val="22"/>
          <w:szCs w:val="22"/>
        </w:rPr>
        <w:t>The AHTEG also acknowledged the compilation of bibliographic references that had been prepared by the Secretariat as an information document for the meeting (CBD/CP/RA/AHTEG/2020/1/INF/3). It noted that the compilation would be revised and updated with additional references, including those provided by AHTEG members, and made available for the twenty-fourth meeting of the Subsidiary Body on Scientific, Technical and Technological Advice.</w:t>
      </w:r>
    </w:p>
    <w:p w14:paraId="7F3B236E" w14:textId="77777777" w:rsidR="003312CA" w:rsidRPr="008A63FD" w:rsidRDefault="003312CA">
      <w:pPr>
        <w:pStyle w:val="Heading2"/>
        <w:suppressLineNumbers/>
        <w:tabs>
          <w:tab w:val="clear" w:pos="720"/>
          <w:tab w:val="left" w:pos="426"/>
        </w:tabs>
        <w:suppressAutoHyphens/>
        <w:rPr>
          <w:kern w:val="22"/>
          <w:szCs w:val="22"/>
        </w:rPr>
      </w:pPr>
      <w:r w:rsidRPr="008A63FD">
        <w:rPr>
          <w:kern w:val="22"/>
          <w:szCs w:val="22"/>
        </w:rPr>
        <w:t>C.</w:t>
      </w:r>
      <w:r w:rsidRPr="008A63FD">
        <w:rPr>
          <w:kern w:val="22"/>
          <w:szCs w:val="22"/>
        </w:rPr>
        <w:tab/>
        <w:t>Need for guidance to be developed on risk assessment of living modified fish</w:t>
      </w:r>
    </w:p>
    <w:p w14:paraId="1ACB33C4" w14:textId="77777777" w:rsidR="003312CA" w:rsidRPr="00AF3F86" w:rsidRDefault="003312CA" w:rsidP="00AF3F86">
      <w:pPr>
        <w:pStyle w:val="Para1"/>
        <w:suppressLineNumbers/>
        <w:tabs>
          <w:tab w:val="clear" w:pos="360"/>
        </w:tabs>
        <w:suppressAutoHyphens/>
        <w:rPr>
          <w:kern w:val="22"/>
          <w:szCs w:val="22"/>
        </w:rPr>
      </w:pPr>
      <w:r w:rsidRPr="007775AD">
        <w:rPr>
          <w:kern w:val="22"/>
          <w:szCs w:val="22"/>
        </w:rPr>
        <w:t xml:space="preserve">The AHTEG noted a range of perspectives on the need </w:t>
      </w:r>
      <w:r w:rsidRPr="00AF3F86">
        <w:rPr>
          <w:kern w:val="22"/>
          <w:szCs w:val="22"/>
        </w:rPr>
        <w:t>for the development of guidance on risk assessment of living modified fish.</w:t>
      </w:r>
    </w:p>
    <w:p w14:paraId="008DA2F9" w14:textId="77777777" w:rsidR="003312CA" w:rsidRPr="00AF3F86" w:rsidRDefault="003312CA" w:rsidP="00AF3F86">
      <w:pPr>
        <w:pStyle w:val="Para1"/>
        <w:suppressLineNumbers/>
        <w:tabs>
          <w:tab w:val="clear" w:pos="360"/>
        </w:tabs>
        <w:suppressAutoHyphens/>
        <w:rPr>
          <w:kern w:val="22"/>
          <w:szCs w:val="22"/>
        </w:rPr>
      </w:pPr>
      <w:r w:rsidRPr="00AF3F86">
        <w:rPr>
          <w:kern w:val="22"/>
          <w:szCs w:val="22"/>
        </w:rPr>
        <w:t xml:space="preserve">Some experts were of the view that all the criteria in decision CP-9/13, annex I, had been met and that, accordingly, there was a clear need and rationale for guidance to be developed on this topic. It was suggested that there are specific issues and challenges related to risk assessment of living modified fish that would be well suited to guidance </w:t>
      </w:r>
      <w:proofErr w:type="gramStart"/>
      <w:r w:rsidRPr="00AF3F86">
        <w:rPr>
          <w:kern w:val="22"/>
          <w:szCs w:val="22"/>
        </w:rPr>
        <w:t>and also</w:t>
      </w:r>
      <w:proofErr w:type="gramEnd"/>
      <w:r w:rsidRPr="00AF3F86">
        <w:rPr>
          <w:kern w:val="22"/>
          <w:szCs w:val="22"/>
        </w:rPr>
        <w:t xml:space="preserve"> that the development of guidance would help to pool resources and experiences on risk assessment in this area.</w:t>
      </w:r>
    </w:p>
    <w:p w14:paraId="54B1E9D8" w14:textId="77777777" w:rsidR="003312CA" w:rsidRPr="00AF3F86" w:rsidRDefault="003312CA" w:rsidP="00AF3F86">
      <w:pPr>
        <w:pStyle w:val="Para1"/>
        <w:suppressLineNumbers/>
        <w:tabs>
          <w:tab w:val="clear" w:pos="360"/>
        </w:tabs>
        <w:suppressAutoHyphens/>
        <w:rPr>
          <w:kern w:val="22"/>
          <w:szCs w:val="22"/>
        </w:rPr>
      </w:pPr>
      <w:r w:rsidRPr="00AF3F86">
        <w:rPr>
          <w:kern w:val="22"/>
          <w:szCs w:val="22"/>
        </w:rPr>
        <w:t xml:space="preserve">Other experts recognized that there could be a need for guidance but were of the view that existing documents can help to address this need and accordingly, the development of guidance on risk assessment of living modified fish should not prioritized </w:t>
      </w:r>
      <w:proofErr w:type="gramStart"/>
      <w:r w:rsidRPr="00AF3F86">
        <w:rPr>
          <w:kern w:val="22"/>
          <w:szCs w:val="22"/>
        </w:rPr>
        <w:t>at the moment</w:t>
      </w:r>
      <w:proofErr w:type="gramEnd"/>
      <w:r w:rsidRPr="00AF3F86">
        <w:rPr>
          <w:kern w:val="22"/>
          <w:szCs w:val="22"/>
        </w:rPr>
        <w:t>.</w:t>
      </w:r>
    </w:p>
    <w:p w14:paraId="4864F6EF" w14:textId="77777777" w:rsidR="003312CA" w:rsidRPr="00AF3F86" w:rsidRDefault="003312CA" w:rsidP="00AF3F86">
      <w:pPr>
        <w:pStyle w:val="Para1"/>
        <w:suppressLineNumbers/>
        <w:tabs>
          <w:tab w:val="clear" w:pos="360"/>
        </w:tabs>
        <w:suppressAutoHyphens/>
        <w:rPr>
          <w:rFonts w:eastAsiaTheme="minorEastAsia"/>
          <w:kern w:val="22"/>
          <w:szCs w:val="22"/>
        </w:rPr>
      </w:pPr>
      <w:r w:rsidRPr="00AF3F86">
        <w:rPr>
          <w:kern w:val="22"/>
          <w:szCs w:val="22"/>
        </w:rPr>
        <w:t>Some experts were of the view that not all the criteria were met and there was no need for the development of guidance on risk assessment of living modified fish. They suggested that the focus should be on capacity-building, sharing of experience as well as sharing of existing guidance materials, including in different languages. Experts suggested that given that approvals are for confined use and there are no indications that commercial fish species are being developed for environmental release to date, the development of guidance on risk assessment of living modified fish was not a priority.</w:t>
      </w:r>
    </w:p>
    <w:p w14:paraId="6462109B" w14:textId="77777777" w:rsidR="003312CA" w:rsidRPr="00AF3F86" w:rsidRDefault="003312CA" w:rsidP="00AF3F86">
      <w:pPr>
        <w:pStyle w:val="Para1"/>
        <w:suppressLineNumbers/>
        <w:tabs>
          <w:tab w:val="clear" w:pos="360"/>
        </w:tabs>
        <w:suppressAutoHyphens/>
        <w:rPr>
          <w:rFonts w:eastAsiaTheme="minorEastAsia"/>
          <w:kern w:val="22"/>
          <w:szCs w:val="22"/>
        </w:rPr>
      </w:pPr>
      <w:r w:rsidRPr="00AF3F86">
        <w:rPr>
          <w:kern w:val="22"/>
          <w:szCs w:val="22"/>
        </w:rPr>
        <w:t>One expert considered that she had insufficient information to reach a decision on the need for the development of guidance on living modified fish.</w:t>
      </w:r>
    </w:p>
    <w:p w14:paraId="2123E5B9" w14:textId="77777777" w:rsidR="003312CA" w:rsidRPr="00AF3F86" w:rsidRDefault="003312CA" w:rsidP="00AF3F86">
      <w:pPr>
        <w:pStyle w:val="Para1"/>
        <w:suppressLineNumbers/>
        <w:tabs>
          <w:tab w:val="clear" w:pos="360"/>
        </w:tabs>
        <w:suppressAutoHyphens/>
        <w:rPr>
          <w:kern w:val="22"/>
          <w:szCs w:val="22"/>
        </w:rPr>
      </w:pPr>
      <w:r w:rsidRPr="00AF3F86">
        <w:rPr>
          <w:kern w:val="22"/>
          <w:szCs w:val="22"/>
        </w:rPr>
        <w:t>There were also some questions concerning what was meant by “guidance” in decision CP-9/13 and what types of guidance should be considered.</w:t>
      </w:r>
    </w:p>
    <w:p w14:paraId="7930B4C2" w14:textId="77777777" w:rsidR="003312CA" w:rsidRPr="00AF3F86" w:rsidRDefault="003312CA" w:rsidP="00AF3F86">
      <w:pPr>
        <w:pStyle w:val="Heading1"/>
        <w:suppressLineNumbers/>
        <w:tabs>
          <w:tab w:val="clear" w:pos="720"/>
          <w:tab w:val="left" w:pos="426"/>
        </w:tabs>
        <w:suppressAutoHyphens/>
        <w:spacing w:before="120"/>
        <w:rPr>
          <w:rFonts w:eastAsia="MS Mincho"/>
          <w:szCs w:val="22"/>
        </w:rPr>
      </w:pPr>
      <w:r w:rsidRPr="00AF3F86">
        <w:rPr>
          <w:rFonts w:eastAsia="MS Mincho"/>
          <w:szCs w:val="22"/>
        </w:rPr>
        <w:t>II.</w:t>
      </w:r>
      <w:r w:rsidRPr="00AF3F86">
        <w:rPr>
          <w:rFonts w:eastAsia="MS Mincho"/>
          <w:szCs w:val="22"/>
        </w:rPr>
        <w:tab/>
        <w:t>living modified organisms containing engineered gene drives</w:t>
      </w:r>
    </w:p>
    <w:p w14:paraId="5C936C6A" w14:textId="77777777" w:rsidR="003312CA" w:rsidRPr="008A63FD" w:rsidRDefault="003312CA">
      <w:pPr>
        <w:pStyle w:val="Heading2"/>
        <w:suppressLineNumbers/>
        <w:tabs>
          <w:tab w:val="clear" w:pos="720"/>
          <w:tab w:val="left" w:pos="426"/>
        </w:tabs>
        <w:suppressAutoHyphens/>
        <w:rPr>
          <w:kern w:val="22"/>
          <w:szCs w:val="22"/>
        </w:rPr>
      </w:pPr>
      <w:r w:rsidRPr="008A63FD">
        <w:rPr>
          <w:kern w:val="22"/>
          <w:szCs w:val="22"/>
        </w:rPr>
        <w:t>A.</w:t>
      </w:r>
      <w:r w:rsidRPr="008A63FD">
        <w:rPr>
          <w:kern w:val="22"/>
          <w:szCs w:val="22"/>
        </w:rPr>
        <w:tab/>
        <w:t>Review of the study and analysis according to annex I of decision CP-9/13</w:t>
      </w:r>
    </w:p>
    <w:p w14:paraId="1EB2F4C1" w14:textId="77777777" w:rsidR="003312CA" w:rsidRPr="00AF3F86" w:rsidRDefault="003312CA" w:rsidP="00AF3F86">
      <w:pPr>
        <w:pStyle w:val="Para1"/>
        <w:suppressLineNumbers/>
        <w:tabs>
          <w:tab w:val="clear" w:pos="360"/>
        </w:tabs>
        <w:suppressAutoHyphens/>
        <w:rPr>
          <w:kern w:val="22"/>
          <w:szCs w:val="22"/>
        </w:rPr>
      </w:pPr>
      <w:r w:rsidRPr="007775AD">
        <w:rPr>
          <w:kern w:val="22"/>
          <w:szCs w:val="22"/>
        </w:rPr>
        <w:t>The AHTEG agreed that the “Study on risk assessment: application of annex I of decision CP-9/13 to living modified organisms containing engineered gene drives” was a good basis for its work, and it was no</w:t>
      </w:r>
      <w:r w:rsidRPr="00AF3F86">
        <w:rPr>
          <w:kern w:val="22"/>
          <w:szCs w:val="22"/>
        </w:rPr>
        <w:t>ted that it provided a useful overview of the current status of engineered gene drive technologies and potential applications. The AHTEG noted that the scope of the study was engineered (or synthetic) gene drives of sexually reproducing organisms. It noted that some of the terms used in the study, such as “reversibility” and “population replacement drive”, were not necessarily used in line with the understanding of some of the experts of the AHTEG. It was also recognized that there was additional information not covered by the study that could support the AHTEG’s deliberations. Specific points relevant to annex I of decision CP-9/13 that were raised during the review are included as part of the analysis below.</w:t>
      </w:r>
    </w:p>
    <w:p w14:paraId="52644636" w14:textId="77777777" w:rsidR="003312CA" w:rsidRPr="00AF3F86" w:rsidRDefault="003312CA" w:rsidP="00AF3F86">
      <w:pPr>
        <w:pStyle w:val="Para1"/>
        <w:suppressLineNumbers/>
        <w:tabs>
          <w:tab w:val="clear" w:pos="360"/>
        </w:tabs>
        <w:suppressAutoHyphens/>
        <w:rPr>
          <w:kern w:val="22"/>
          <w:szCs w:val="22"/>
        </w:rPr>
      </w:pPr>
      <w:r w:rsidRPr="00AF3F86">
        <w:rPr>
          <w:kern w:val="22"/>
          <w:szCs w:val="22"/>
        </w:rPr>
        <w:t>The importance of benefit analysis in relation to potential applications of living modified organisms containing engineered gene drives was noted in the context of decision-making.</w:t>
      </w:r>
    </w:p>
    <w:p w14:paraId="6BE66500" w14:textId="77777777" w:rsidR="003312CA" w:rsidRPr="008A63FD" w:rsidRDefault="003312CA">
      <w:pPr>
        <w:pStyle w:val="Heading2"/>
        <w:keepNext w:val="0"/>
        <w:suppressLineNumbers/>
        <w:tabs>
          <w:tab w:val="clear" w:pos="720"/>
        </w:tabs>
        <w:suppressAutoHyphens/>
        <w:spacing w:before="0" w:after="0"/>
        <w:jc w:val="both"/>
        <w:rPr>
          <w:b w:val="0"/>
          <w:bCs w:val="0"/>
          <w:kern w:val="22"/>
          <w:szCs w:val="22"/>
        </w:rPr>
      </w:pPr>
    </w:p>
    <w:tbl>
      <w:tblPr>
        <w:tblStyle w:val="TableGrid"/>
        <w:tblW w:w="0" w:type="auto"/>
        <w:tblLook w:val="04A0" w:firstRow="1" w:lastRow="0" w:firstColumn="1" w:lastColumn="0" w:noHBand="0" w:noVBand="1"/>
      </w:tblPr>
      <w:tblGrid>
        <w:gridCol w:w="9452"/>
      </w:tblGrid>
      <w:tr w:rsidR="003312CA" w:rsidRPr="008A63FD" w14:paraId="03D47CA6" w14:textId="77777777" w:rsidTr="00DE6798">
        <w:tc>
          <w:tcPr>
            <w:tcW w:w="9466" w:type="dxa"/>
          </w:tcPr>
          <w:p w14:paraId="00BD939C" w14:textId="77777777" w:rsidR="003312CA" w:rsidRPr="008A63FD" w:rsidRDefault="003312CA">
            <w:pPr>
              <w:pStyle w:val="paragraph"/>
              <w:suppressLineNumbers/>
              <w:suppressAutoHyphens/>
              <w:spacing w:before="120" w:beforeAutospacing="0" w:after="120" w:afterAutospacing="0"/>
              <w:jc w:val="both"/>
              <w:textAlignment w:val="baseline"/>
              <w:rPr>
                <w:kern w:val="22"/>
                <w:sz w:val="22"/>
                <w:szCs w:val="22"/>
                <w:lang w:val="en-GB"/>
              </w:rPr>
            </w:pPr>
            <w:r w:rsidRPr="008A63FD">
              <w:rPr>
                <w:rStyle w:val="normaltextrun"/>
                <w:b/>
                <w:bCs/>
                <w:kern w:val="22"/>
                <w:sz w:val="22"/>
                <w:szCs w:val="22"/>
                <w:lang w:val="en-GB"/>
              </w:rPr>
              <w:lastRenderedPageBreak/>
              <w:t xml:space="preserve">(a) They are identified by Parties as priorities, </w:t>
            </w:r>
            <w:proofErr w:type="gramStart"/>
            <w:r w:rsidRPr="008A63FD">
              <w:rPr>
                <w:rStyle w:val="normaltextrun"/>
                <w:b/>
                <w:bCs/>
                <w:kern w:val="22"/>
                <w:sz w:val="22"/>
                <w:szCs w:val="22"/>
                <w:lang w:val="en-GB"/>
              </w:rPr>
              <w:t>taking into account</w:t>
            </w:r>
            <w:proofErr w:type="gramEnd"/>
            <w:r w:rsidRPr="008A63FD">
              <w:rPr>
                <w:rStyle w:val="normaltextrun"/>
                <w:b/>
                <w:bCs/>
                <w:kern w:val="22"/>
                <w:sz w:val="22"/>
                <w:szCs w:val="22"/>
                <w:lang w:val="en-GB"/>
              </w:rPr>
              <w:t xml:space="preserve"> the challenges to risk assessment, particularly for developing country Parties and countries with economies in transition.</w:t>
            </w:r>
          </w:p>
        </w:tc>
      </w:tr>
    </w:tbl>
    <w:p w14:paraId="09BEAFE5" w14:textId="77777777" w:rsidR="003312CA" w:rsidRPr="00AF3F86" w:rsidRDefault="003312CA">
      <w:pPr>
        <w:suppressLineNumbers/>
        <w:suppressAutoHyphens/>
        <w:rPr>
          <w:kern w:val="22"/>
          <w:szCs w:val="22"/>
        </w:rPr>
      </w:pPr>
    </w:p>
    <w:p w14:paraId="736E9D04" w14:textId="77777777" w:rsidR="003312CA" w:rsidRPr="00AF3F86" w:rsidRDefault="003312CA" w:rsidP="00AF3F86">
      <w:pPr>
        <w:pStyle w:val="Para1"/>
        <w:suppressLineNumbers/>
        <w:tabs>
          <w:tab w:val="clear" w:pos="360"/>
        </w:tabs>
        <w:suppressAutoHyphens/>
        <w:rPr>
          <w:kern w:val="22"/>
          <w:szCs w:val="22"/>
        </w:rPr>
      </w:pPr>
      <w:r w:rsidRPr="007775AD">
        <w:rPr>
          <w:kern w:val="22"/>
          <w:szCs w:val="22"/>
        </w:rPr>
        <w:t xml:space="preserve">The AHTEG noted that the issue of living modified organisms containing engineered gene drives has been identified as a priority by Parties through various sources, </w:t>
      </w:r>
      <w:r w:rsidRPr="00AF3F86">
        <w:rPr>
          <w:kern w:val="22"/>
          <w:szCs w:val="22"/>
        </w:rPr>
        <w:t>including the submissions of information in response to decision CP-VIII/12, the “Study on risk assessment: application of annex I of decision CP-9/13 to living modified organisms containing engineered gene drives”, and fourth national reports on the implementation of the Cartagena Protocol on Biosafety. The cross-cutting nature of the issue of organisms containing engineering gene drives with other areas or work under the Convention on Biological Diversity (for example, synthetic biology) was also noted. The AHTEG further noted that developing countries could be the first ones to be confronted with the need to perform a risk assessment for organisms containing engineered gene drives, for example living modified mosquitos containing engineered gene drives. The importance of proper assessment of potential risk from the release of organisms containing engineered gene drives for indigenous peoples and local communities was also noted to ensure free, prior informed consent and full and effective participation.</w:t>
      </w:r>
    </w:p>
    <w:p w14:paraId="758AA58E" w14:textId="77777777" w:rsidR="003312CA" w:rsidRPr="00AF3F86" w:rsidRDefault="003312CA" w:rsidP="00AF3F86">
      <w:pPr>
        <w:pStyle w:val="Para1"/>
        <w:suppressLineNumbers/>
        <w:tabs>
          <w:tab w:val="clear" w:pos="360"/>
        </w:tabs>
        <w:suppressAutoHyphens/>
        <w:rPr>
          <w:kern w:val="22"/>
          <w:szCs w:val="22"/>
        </w:rPr>
      </w:pPr>
      <w:r w:rsidRPr="00AF3F86">
        <w:rPr>
          <w:kern w:val="22"/>
          <w:szCs w:val="22"/>
        </w:rPr>
        <w:t>Further information regarding the challenges related to risk assessment of living modified organisms containing engineered gene drives are included in the analysis of the AHTEG under criteria (c) and (d) below.</w:t>
      </w:r>
    </w:p>
    <w:tbl>
      <w:tblPr>
        <w:tblStyle w:val="TableGrid"/>
        <w:tblW w:w="0" w:type="auto"/>
        <w:tblLook w:val="04A0" w:firstRow="1" w:lastRow="0" w:firstColumn="1" w:lastColumn="0" w:noHBand="0" w:noVBand="1"/>
      </w:tblPr>
      <w:tblGrid>
        <w:gridCol w:w="9452"/>
      </w:tblGrid>
      <w:tr w:rsidR="003312CA" w:rsidRPr="008A63FD" w14:paraId="4E4869F5" w14:textId="77777777" w:rsidTr="00DE6798">
        <w:tc>
          <w:tcPr>
            <w:tcW w:w="9466" w:type="dxa"/>
          </w:tcPr>
          <w:p w14:paraId="62FE3BC9" w14:textId="77777777" w:rsidR="003312CA" w:rsidRPr="008A63FD" w:rsidRDefault="003312CA">
            <w:pPr>
              <w:pStyle w:val="paragraph"/>
              <w:keepNext/>
              <w:suppressLineNumbers/>
              <w:suppressAutoHyphens/>
              <w:spacing w:before="120" w:beforeAutospacing="0" w:after="120" w:afterAutospacing="0"/>
              <w:jc w:val="both"/>
              <w:textAlignment w:val="baseline"/>
              <w:rPr>
                <w:kern w:val="22"/>
                <w:sz w:val="22"/>
                <w:szCs w:val="22"/>
                <w:lang w:val="en-GB"/>
              </w:rPr>
            </w:pPr>
            <w:r w:rsidRPr="008A63FD">
              <w:rPr>
                <w:rStyle w:val="normaltextrun"/>
                <w:b/>
                <w:bCs/>
                <w:kern w:val="22"/>
                <w:sz w:val="22"/>
                <w:szCs w:val="22"/>
                <w:lang w:val="en-GB"/>
              </w:rPr>
              <w:t>(b) They fall within the scope and objective of the Cartagena Protocol on Biosafety.</w:t>
            </w:r>
          </w:p>
        </w:tc>
      </w:tr>
    </w:tbl>
    <w:p w14:paraId="4B15B0F9" w14:textId="77777777" w:rsidR="003312CA" w:rsidRPr="00AF3F86" w:rsidRDefault="003312CA" w:rsidP="00AF3F86">
      <w:pPr>
        <w:pStyle w:val="Para1"/>
        <w:suppressLineNumbers/>
        <w:tabs>
          <w:tab w:val="clear" w:pos="360"/>
        </w:tabs>
        <w:suppressAutoHyphens/>
        <w:rPr>
          <w:kern w:val="22"/>
          <w:szCs w:val="22"/>
        </w:rPr>
      </w:pPr>
      <w:r w:rsidRPr="007775AD">
        <w:rPr>
          <w:kern w:val="22"/>
          <w:szCs w:val="22"/>
        </w:rPr>
        <w:t>The AHTEG considered that LMOs containing engineered gene drives fall within the scope and objective of the Cartagena Protocol on Biosafety.</w:t>
      </w:r>
    </w:p>
    <w:tbl>
      <w:tblPr>
        <w:tblStyle w:val="TableGrid"/>
        <w:tblW w:w="0" w:type="auto"/>
        <w:tblLook w:val="04A0" w:firstRow="1" w:lastRow="0" w:firstColumn="1" w:lastColumn="0" w:noHBand="0" w:noVBand="1"/>
      </w:tblPr>
      <w:tblGrid>
        <w:gridCol w:w="9452"/>
      </w:tblGrid>
      <w:tr w:rsidR="003312CA" w:rsidRPr="008A63FD" w14:paraId="3567E893" w14:textId="77777777" w:rsidTr="00DE6798">
        <w:tc>
          <w:tcPr>
            <w:tcW w:w="9466" w:type="dxa"/>
          </w:tcPr>
          <w:p w14:paraId="1A33198D" w14:textId="77777777" w:rsidR="003312CA" w:rsidRPr="008A63FD" w:rsidRDefault="003312CA">
            <w:pPr>
              <w:pStyle w:val="Heading2"/>
              <w:suppressLineNumbers/>
              <w:tabs>
                <w:tab w:val="clear" w:pos="720"/>
              </w:tabs>
              <w:suppressAutoHyphens/>
              <w:jc w:val="both"/>
              <w:rPr>
                <w:b w:val="0"/>
                <w:bCs w:val="0"/>
                <w:iCs w:val="0"/>
                <w:kern w:val="22"/>
                <w:szCs w:val="22"/>
              </w:rPr>
            </w:pPr>
            <w:r w:rsidRPr="008A63FD">
              <w:rPr>
                <w:rStyle w:val="normaltextrun"/>
                <w:iCs w:val="0"/>
                <w:kern w:val="22"/>
                <w:szCs w:val="22"/>
              </w:rPr>
              <w:t>(c) They pose challenges to existing risk assessment frameworks, guidance and methodologies, for example, if the issue at hand has been assessed with existing risk assessment frameworks but poses specific technical or methodological challenges that require further attention.</w:t>
            </w:r>
          </w:p>
        </w:tc>
      </w:tr>
    </w:tbl>
    <w:p w14:paraId="6E522BA3" w14:textId="77777777" w:rsidR="003312CA" w:rsidRPr="00AF3F86" w:rsidRDefault="003312CA" w:rsidP="00AF3F86">
      <w:pPr>
        <w:pStyle w:val="Para1"/>
        <w:suppressLineNumbers/>
        <w:tabs>
          <w:tab w:val="clear" w:pos="360"/>
        </w:tabs>
        <w:suppressAutoHyphens/>
        <w:rPr>
          <w:kern w:val="22"/>
          <w:szCs w:val="22"/>
        </w:rPr>
      </w:pPr>
      <w:r w:rsidRPr="007775AD">
        <w:rPr>
          <w:kern w:val="22"/>
          <w:szCs w:val="22"/>
        </w:rPr>
        <w:t>The AHTEG recognized that, while existing ri</w:t>
      </w:r>
      <w:r w:rsidRPr="00AF3F86">
        <w:rPr>
          <w:kern w:val="22"/>
          <w:szCs w:val="22"/>
        </w:rPr>
        <w:t>sk assessment methodology may still be applicable for LMOs containing engineered gene drives, there are specific technical or methodological challenges that require further attention. These include: a lack of data to inform the risk assessment process; the limited applicability of some aspects of risk assessment methodologies to living modified organisms containing engineered gene drives, such as challenges to the comparative risk assessment framework and monitoring methods, lack of guidance on how to assess uncertainty, lack of validated modelling tools; and lack of experience or capacity.</w:t>
      </w:r>
    </w:p>
    <w:p w14:paraId="6160FD0E" w14:textId="77777777" w:rsidR="003312CA" w:rsidRPr="00AF3F86" w:rsidRDefault="003312CA" w:rsidP="00AF3F86">
      <w:pPr>
        <w:pStyle w:val="Para1"/>
        <w:suppressLineNumbers/>
        <w:tabs>
          <w:tab w:val="clear" w:pos="360"/>
        </w:tabs>
        <w:suppressAutoHyphens/>
        <w:rPr>
          <w:kern w:val="22"/>
          <w:szCs w:val="22"/>
        </w:rPr>
      </w:pPr>
      <w:r w:rsidRPr="00AF3F86">
        <w:rPr>
          <w:kern w:val="22"/>
          <w:szCs w:val="22"/>
        </w:rPr>
        <w:t>The AHTEG also recognized that solutions to the challenges posed by LMOs with engineered gene drives will entail reconsideration of risk assessment and monitoring methods, as well as making more widely available the necessary expertise, training and resources required and the participation of indigenous peoples and local communities.</w:t>
      </w:r>
    </w:p>
    <w:p w14:paraId="60D8F134" w14:textId="77777777" w:rsidR="003312CA" w:rsidRPr="00AF3F86" w:rsidRDefault="003312CA" w:rsidP="00AF3F86">
      <w:pPr>
        <w:pStyle w:val="Para1"/>
        <w:suppressLineNumbers/>
        <w:tabs>
          <w:tab w:val="clear" w:pos="360"/>
        </w:tabs>
        <w:suppressAutoHyphens/>
        <w:rPr>
          <w:kern w:val="22"/>
          <w:szCs w:val="22"/>
        </w:rPr>
      </w:pPr>
      <w:r w:rsidRPr="00AF3F86">
        <w:rPr>
          <w:kern w:val="22"/>
          <w:szCs w:val="22"/>
        </w:rPr>
        <w:t>The AHTEG also noted that LMOs containing engineered gene drives have the potential to result in an irreversible impact on biodiversity at various scales up to the global level, and international cooperation may be required for risk assessment.</w:t>
      </w:r>
    </w:p>
    <w:p w14:paraId="7DAA400A" w14:textId="77777777" w:rsidR="003312CA" w:rsidRPr="00AF3F86" w:rsidRDefault="003312CA" w:rsidP="00AF3F86">
      <w:pPr>
        <w:pStyle w:val="Para1"/>
        <w:suppressLineNumbers/>
        <w:tabs>
          <w:tab w:val="clear" w:pos="360"/>
        </w:tabs>
        <w:suppressAutoHyphens/>
        <w:rPr>
          <w:kern w:val="22"/>
          <w:szCs w:val="22"/>
        </w:rPr>
      </w:pPr>
      <w:r w:rsidRPr="00AF3F86">
        <w:rPr>
          <w:kern w:val="22"/>
          <w:szCs w:val="22"/>
        </w:rPr>
        <w:t>The AHTEG pointed out that no actual release of an LMO with engineered gene drives has been assessed to date.</w:t>
      </w:r>
    </w:p>
    <w:p w14:paraId="0767ABE8" w14:textId="77777777" w:rsidR="003312CA" w:rsidRPr="00AF3F86" w:rsidRDefault="003312CA" w:rsidP="00AF3F86">
      <w:pPr>
        <w:pStyle w:val="Para1"/>
        <w:suppressLineNumbers/>
        <w:tabs>
          <w:tab w:val="clear" w:pos="360"/>
        </w:tabs>
        <w:suppressAutoHyphens/>
        <w:rPr>
          <w:kern w:val="22"/>
          <w:szCs w:val="22"/>
        </w:rPr>
      </w:pPr>
      <w:r w:rsidRPr="00AF3F86">
        <w:rPr>
          <w:kern w:val="22"/>
          <w:szCs w:val="22"/>
        </w:rPr>
        <w:t>Recognizing the linkages between criteria (c) and (d), the AHTEG further described the challenges related to living modified organisms containing engineering gene drives as detailed in criterion (d) below.</w:t>
      </w:r>
    </w:p>
    <w:tbl>
      <w:tblPr>
        <w:tblStyle w:val="TableGrid"/>
        <w:tblW w:w="0" w:type="auto"/>
        <w:tblLook w:val="04A0" w:firstRow="1" w:lastRow="0" w:firstColumn="1" w:lastColumn="0" w:noHBand="0" w:noVBand="1"/>
      </w:tblPr>
      <w:tblGrid>
        <w:gridCol w:w="9452"/>
      </w:tblGrid>
      <w:tr w:rsidR="003312CA" w:rsidRPr="008A63FD" w14:paraId="786E02D9" w14:textId="77777777" w:rsidTr="00DE6798">
        <w:tc>
          <w:tcPr>
            <w:tcW w:w="9466" w:type="dxa"/>
          </w:tcPr>
          <w:p w14:paraId="2F3AA8E4" w14:textId="77777777" w:rsidR="003312CA" w:rsidRPr="008A63FD" w:rsidRDefault="003312CA">
            <w:pPr>
              <w:pStyle w:val="Heading2"/>
              <w:suppressLineNumbers/>
              <w:tabs>
                <w:tab w:val="clear" w:pos="720"/>
              </w:tabs>
              <w:suppressAutoHyphens/>
              <w:jc w:val="both"/>
              <w:rPr>
                <w:iCs w:val="0"/>
                <w:kern w:val="22"/>
                <w:szCs w:val="22"/>
              </w:rPr>
            </w:pPr>
            <w:r w:rsidRPr="008A63FD">
              <w:rPr>
                <w:rStyle w:val="normaltextrun"/>
                <w:iCs w:val="0"/>
                <w:kern w:val="22"/>
                <w:szCs w:val="22"/>
              </w:rPr>
              <w:lastRenderedPageBreak/>
              <w:t>(d) The challenges in addressing the specific issue are clearly described.</w:t>
            </w:r>
          </w:p>
        </w:tc>
      </w:tr>
    </w:tbl>
    <w:p w14:paraId="2F703EBC" w14:textId="77777777" w:rsidR="003312CA" w:rsidRPr="00AF3F86" w:rsidRDefault="003312CA" w:rsidP="00AF3F86">
      <w:pPr>
        <w:pStyle w:val="Para1"/>
        <w:suppressLineNumbers/>
        <w:tabs>
          <w:tab w:val="clear" w:pos="360"/>
        </w:tabs>
        <w:suppressAutoHyphens/>
        <w:rPr>
          <w:kern w:val="22"/>
          <w:szCs w:val="22"/>
        </w:rPr>
      </w:pPr>
      <w:r w:rsidRPr="007775AD">
        <w:rPr>
          <w:kern w:val="22"/>
          <w:szCs w:val="22"/>
        </w:rPr>
        <w:t xml:space="preserve">Regarding the specific challenges related to the risk assessment of living modified organisms containing engineered gene drives, the AHTEG described the following challenges, recognizing that some of these challenges may </w:t>
      </w:r>
      <w:r w:rsidRPr="00AF3F86">
        <w:rPr>
          <w:kern w:val="22"/>
          <w:szCs w:val="22"/>
        </w:rPr>
        <w:t>relate to more than one of the categories below and may not relate to all types of drives:</w:t>
      </w:r>
    </w:p>
    <w:p w14:paraId="00238E8A" w14:textId="77777777" w:rsidR="003312CA" w:rsidRPr="008A63FD" w:rsidRDefault="003312CA" w:rsidP="00AF3F86">
      <w:pPr>
        <w:pStyle w:val="ListParagraph"/>
        <w:numPr>
          <w:ilvl w:val="0"/>
          <w:numId w:val="116"/>
        </w:numPr>
        <w:suppressLineNumbers/>
        <w:tabs>
          <w:tab w:val="left" w:pos="1134"/>
        </w:tabs>
        <w:suppressAutoHyphens/>
        <w:spacing w:after="120"/>
        <w:ind w:left="0" w:firstLine="687"/>
        <w:contextualSpacing w:val="0"/>
        <w:rPr>
          <w:kern w:val="22"/>
          <w:szCs w:val="22"/>
        </w:rPr>
      </w:pPr>
      <w:r w:rsidRPr="008A63FD">
        <w:rPr>
          <w:rFonts w:eastAsiaTheme="minorEastAsia"/>
          <w:color w:val="000000" w:themeColor="text1"/>
          <w:kern w:val="22"/>
          <w:szCs w:val="22"/>
        </w:rPr>
        <w:t>Related to the engineered gene drive system:</w:t>
      </w:r>
    </w:p>
    <w:p w14:paraId="6F1FE83F" w14:textId="77777777" w:rsidR="003312CA" w:rsidRPr="008A63FD" w:rsidRDefault="003312CA" w:rsidP="00AF3F86">
      <w:pPr>
        <w:pStyle w:val="ListParagraph"/>
        <w:numPr>
          <w:ilvl w:val="0"/>
          <w:numId w:val="16"/>
        </w:numPr>
        <w:suppressLineNumbers/>
        <w:suppressAutoHyphens/>
        <w:spacing w:before="60" w:after="60"/>
        <w:ind w:left="1701" w:hanging="425"/>
        <w:contextualSpacing w:val="0"/>
        <w:rPr>
          <w:kern w:val="22"/>
          <w:szCs w:val="22"/>
        </w:rPr>
      </w:pPr>
      <w:r w:rsidRPr="008A63FD">
        <w:rPr>
          <w:kern w:val="22"/>
          <w:szCs w:val="22"/>
        </w:rPr>
        <w:t>Super-Mendelian inheritance, genetic and phenotypic stability, and persistence and invasiveness;</w:t>
      </w:r>
    </w:p>
    <w:p w14:paraId="361DA7DC" w14:textId="77777777" w:rsidR="003312CA" w:rsidRPr="008A63FD" w:rsidRDefault="003312CA" w:rsidP="00AF3F86">
      <w:pPr>
        <w:pStyle w:val="ListParagraph"/>
        <w:numPr>
          <w:ilvl w:val="0"/>
          <w:numId w:val="16"/>
        </w:numPr>
        <w:suppressLineNumbers/>
        <w:suppressAutoHyphens/>
        <w:spacing w:before="60" w:after="60"/>
        <w:ind w:left="1701" w:hanging="425"/>
        <w:contextualSpacing w:val="0"/>
        <w:rPr>
          <w:kern w:val="22"/>
          <w:szCs w:val="22"/>
        </w:rPr>
      </w:pPr>
      <w:r w:rsidRPr="008A63FD">
        <w:rPr>
          <w:kern w:val="22"/>
          <w:szCs w:val="22"/>
        </w:rPr>
        <w:t>Difficulty in predicting all relevant genomic effects that could emerge in the next and subsequent generations, and from interactions with the receiving environments;</w:t>
      </w:r>
    </w:p>
    <w:p w14:paraId="2ABD653C" w14:textId="77777777" w:rsidR="003312CA" w:rsidRPr="008A63FD" w:rsidRDefault="003312CA" w:rsidP="00AF3F86">
      <w:pPr>
        <w:pStyle w:val="ListParagraph"/>
        <w:numPr>
          <w:ilvl w:val="0"/>
          <w:numId w:val="16"/>
        </w:numPr>
        <w:suppressLineNumbers/>
        <w:suppressAutoHyphens/>
        <w:spacing w:before="60" w:after="60"/>
        <w:ind w:left="1701" w:hanging="425"/>
        <w:contextualSpacing w:val="0"/>
        <w:rPr>
          <w:kern w:val="22"/>
          <w:szCs w:val="22"/>
        </w:rPr>
      </w:pPr>
      <w:r w:rsidRPr="008A63FD">
        <w:rPr>
          <w:kern w:val="22"/>
          <w:szCs w:val="22"/>
        </w:rPr>
        <w:t>Controllability of engineered gene drive systems after release;</w:t>
      </w:r>
    </w:p>
    <w:p w14:paraId="3EE17F1F" w14:textId="77777777" w:rsidR="003312CA" w:rsidRPr="008A63FD" w:rsidRDefault="003312CA" w:rsidP="00AF3F86">
      <w:pPr>
        <w:pStyle w:val="ListParagraph"/>
        <w:numPr>
          <w:ilvl w:val="0"/>
          <w:numId w:val="16"/>
        </w:numPr>
        <w:suppressLineNumbers/>
        <w:suppressAutoHyphens/>
        <w:spacing w:before="60" w:after="60"/>
        <w:ind w:left="1701" w:hanging="425"/>
        <w:contextualSpacing w:val="0"/>
        <w:rPr>
          <w:kern w:val="22"/>
          <w:szCs w:val="22"/>
        </w:rPr>
      </w:pPr>
      <w:r w:rsidRPr="008A63FD">
        <w:rPr>
          <w:kern w:val="22"/>
          <w:szCs w:val="22"/>
        </w:rPr>
        <w:t>Evaluation of off-target changes and their consequences over time in different genetic backgrounds and their potential accumulation in populations;</w:t>
      </w:r>
    </w:p>
    <w:p w14:paraId="6BD6974F" w14:textId="77777777" w:rsidR="003312CA" w:rsidRPr="008A63FD" w:rsidRDefault="003312CA" w:rsidP="00AF3F86">
      <w:pPr>
        <w:pStyle w:val="ListParagraph"/>
        <w:numPr>
          <w:ilvl w:val="0"/>
          <w:numId w:val="16"/>
        </w:numPr>
        <w:suppressLineNumbers/>
        <w:suppressAutoHyphens/>
        <w:spacing w:before="60" w:after="60"/>
        <w:ind w:left="1701" w:hanging="425"/>
        <w:contextualSpacing w:val="0"/>
        <w:rPr>
          <w:kern w:val="22"/>
          <w:szCs w:val="22"/>
        </w:rPr>
      </w:pPr>
      <w:r w:rsidRPr="008A63FD">
        <w:rPr>
          <w:kern w:val="22"/>
          <w:szCs w:val="22"/>
        </w:rPr>
        <w:t>The potential for the engineered gene drive to evolve after release, including through unexpected genetic drift;</w:t>
      </w:r>
    </w:p>
    <w:p w14:paraId="2277A3BE" w14:textId="77777777" w:rsidR="003312CA" w:rsidRPr="008A63FD" w:rsidRDefault="003312CA" w:rsidP="00AF3F86">
      <w:pPr>
        <w:pStyle w:val="ListParagraph"/>
        <w:numPr>
          <w:ilvl w:val="0"/>
          <w:numId w:val="116"/>
        </w:numPr>
        <w:suppressLineNumbers/>
        <w:tabs>
          <w:tab w:val="left" w:pos="1134"/>
        </w:tabs>
        <w:suppressAutoHyphens/>
        <w:spacing w:before="120" w:after="120"/>
        <w:ind w:left="0" w:firstLine="709"/>
        <w:contextualSpacing w:val="0"/>
        <w:rPr>
          <w:rFonts w:eastAsiaTheme="minorEastAsia"/>
          <w:color w:val="000000" w:themeColor="text1"/>
          <w:kern w:val="22"/>
          <w:szCs w:val="22"/>
        </w:rPr>
      </w:pPr>
      <w:r w:rsidRPr="008A63FD">
        <w:rPr>
          <w:rFonts w:eastAsiaTheme="minorEastAsia"/>
          <w:color w:val="000000" w:themeColor="text1"/>
          <w:kern w:val="22"/>
          <w:szCs w:val="22"/>
        </w:rPr>
        <w:t>Related to the target organism/species:</w:t>
      </w:r>
    </w:p>
    <w:p w14:paraId="62D1752E" w14:textId="77777777" w:rsidR="003312CA" w:rsidRPr="008A63FD" w:rsidRDefault="003312CA" w:rsidP="00AF3F86">
      <w:pPr>
        <w:pStyle w:val="ListParagraph"/>
        <w:numPr>
          <w:ilvl w:val="0"/>
          <w:numId w:val="27"/>
        </w:numPr>
        <w:suppressLineNumbers/>
        <w:suppressAutoHyphens/>
        <w:spacing w:before="60" w:after="60"/>
        <w:ind w:left="1701" w:hanging="425"/>
        <w:contextualSpacing w:val="0"/>
        <w:rPr>
          <w:kern w:val="22"/>
          <w:szCs w:val="22"/>
        </w:rPr>
      </w:pPr>
      <w:r w:rsidRPr="008A63FD">
        <w:rPr>
          <w:kern w:val="22"/>
          <w:szCs w:val="22"/>
        </w:rPr>
        <w:t>Need for information on the potential genetic diversity of the target species;</w:t>
      </w:r>
    </w:p>
    <w:p w14:paraId="188958A7" w14:textId="77777777" w:rsidR="003312CA" w:rsidRPr="008A63FD" w:rsidRDefault="003312CA" w:rsidP="00AF3F86">
      <w:pPr>
        <w:pStyle w:val="ListParagraph"/>
        <w:numPr>
          <w:ilvl w:val="0"/>
          <w:numId w:val="27"/>
        </w:numPr>
        <w:suppressLineNumbers/>
        <w:suppressAutoHyphens/>
        <w:spacing w:before="60" w:after="60"/>
        <w:ind w:left="1701" w:hanging="425"/>
        <w:contextualSpacing w:val="0"/>
        <w:rPr>
          <w:kern w:val="22"/>
          <w:szCs w:val="22"/>
        </w:rPr>
      </w:pPr>
      <w:r w:rsidRPr="008A63FD">
        <w:rPr>
          <w:kern w:val="22"/>
          <w:szCs w:val="22"/>
        </w:rPr>
        <w:t>Need for information on the functional role of the targeted species and potential interfertile species in the various ecosystems that may be encountered;</w:t>
      </w:r>
    </w:p>
    <w:p w14:paraId="681ACA91" w14:textId="77777777" w:rsidR="003312CA" w:rsidRPr="008A63FD" w:rsidRDefault="003312CA" w:rsidP="00AF3F86">
      <w:pPr>
        <w:pStyle w:val="ListParagraph"/>
        <w:numPr>
          <w:ilvl w:val="0"/>
          <w:numId w:val="27"/>
        </w:numPr>
        <w:suppressLineNumbers/>
        <w:suppressAutoHyphens/>
        <w:spacing w:before="60" w:after="60"/>
        <w:ind w:left="1701" w:hanging="425"/>
        <w:contextualSpacing w:val="0"/>
        <w:rPr>
          <w:spacing w:val="-10"/>
          <w:kern w:val="22"/>
          <w:szCs w:val="22"/>
        </w:rPr>
      </w:pPr>
      <w:r w:rsidRPr="008A63FD">
        <w:rPr>
          <w:spacing w:val="-10"/>
          <w:kern w:val="22"/>
          <w:szCs w:val="22"/>
        </w:rPr>
        <w:t>Consideration of the reproductive strategies, population dynamics and life cycle of the target organism;</w:t>
      </w:r>
    </w:p>
    <w:p w14:paraId="66DA1CF3" w14:textId="77777777" w:rsidR="003312CA" w:rsidRPr="008A63FD" w:rsidRDefault="003312CA" w:rsidP="00AF3F86">
      <w:pPr>
        <w:pStyle w:val="ListParagraph"/>
        <w:numPr>
          <w:ilvl w:val="0"/>
          <w:numId w:val="27"/>
        </w:numPr>
        <w:suppressLineNumbers/>
        <w:suppressAutoHyphens/>
        <w:spacing w:before="60" w:after="60"/>
        <w:ind w:left="1701" w:hanging="425"/>
        <w:contextualSpacing w:val="0"/>
        <w:rPr>
          <w:kern w:val="22"/>
          <w:szCs w:val="22"/>
        </w:rPr>
      </w:pPr>
      <w:r w:rsidRPr="008A63FD">
        <w:rPr>
          <w:kern w:val="22"/>
          <w:szCs w:val="22"/>
        </w:rPr>
        <w:t>Consideration of possible development of resistance in pathogens regarding vector control;</w:t>
      </w:r>
    </w:p>
    <w:p w14:paraId="58959548" w14:textId="77777777" w:rsidR="003312CA" w:rsidRPr="008A63FD" w:rsidRDefault="003312CA" w:rsidP="00AF3F86">
      <w:pPr>
        <w:pStyle w:val="ListParagraph"/>
        <w:numPr>
          <w:ilvl w:val="0"/>
          <w:numId w:val="116"/>
        </w:numPr>
        <w:suppressLineNumbers/>
        <w:tabs>
          <w:tab w:val="left" w:pos="1134"/>
        </w:tabs>
        <w:suppressAutoHyphens/>
        <w:spacing w:before="120" w:after="120"/>
        <w:ind w:left="0" w:firstLine="709"/>
        <w:contextualSpacing w:val="0"/>
        <w:rPr>
          <w:rFonts w:eastAsiaTheme="minorEastAsia"/>
          <w:b/>
          <w:bCs/>
          <w:color w:val="000000" w:themeColor="text1"/>
          <w:kern w:val="22"/>
          <w:szCs w:val="22"/>
        </w:rPr>
      </w:pPr>
      <w:r w:rsidRPr="008A63FD">
        <w:rPr>
          <w:rFonts w:eastAsiaTheme="minorEastAsia"/>
          <w:color w:val="000000" w:themeColor="text1"/>
          <w:kern w:val="22"/>
          <w:szCs w:val="22"/>
        </w:rPr>
        <w:t>Related to the receiving environment:</w:t>
      </w:r>
    </w:p>
    <w:p w14:paraId="7D8CC06C" w14:textId="77777777" w:rsidR="003312CA" w:rsidRPr="008A63FD" w:rsidRDefault="003312CA" w:rsidP="00AF3F86">
      <w:pPr>
        <w:pStyle w:val="ListParagraph"/>
        <w:numPr>
          <w:ilvl w:val="0"/>
          <w:numId w:val="18"/>
        </w:numPr>
        <w:suppressLineNumbers/>
        <w:suppressAutoHyphens/>
        <w:spacing w:before="60" w:after="60"/>
        <w:ind w:left="1701" w:hanging="425"/>
        <w:contextualSpacing w:val="0"/>
        <w:rPr>
          <w:kern w:val="22"/>
          <w:szCs w:val="22"/>
        </w:rPr>
      </w:pPr>
      <w:r w:rsidRPr="008A63FD">
        <w:rPr>
          <w:kern w:val="22"/>
          <w:szCs w:val="22"/>
        </w:rPr>
        <w:t>Limited information on the potential interactions with natural receiving environments;</w:t>
      </w:r>
    </w:p>
    <w:p w14:paraId="1BBEE433" w14:textId="77777777" w:rsidR="003312CA" w:rsidRPr="008A63FD" w:rsidRDefault="003312CA" w:rsidP="00AF3F86">
      <w:pPr>
        <w:pStyle w:val="ListParagraph"/>
        <w:numPr>
          <w:ilvl w:val="0"/>
          <w:numId w:val="18"/>
        </w:numPr>
        <w:suppressLineNumbers/>
        <w:suppressAutoHyphens/>
        <w:spacing w:before="60" w:after="60"/>
        <w:ind w:left="1701" w:hanging="425"/>
        <w:contextualSpacing w:val="0"/>
        <w:rPr>
          <w:kern w:val="22"/>
          <w:szCs w:val="22"/>
        </w:rPr>
      </w:pPr>
      <w:r w:rsidRPr="008A63FD">
        <w:rPr>
          <w:kern w:val="22"/>
          <w:szCs w:val="22"/>
        </w:rPr>
        <w:t>Limited information on long-term evolutionary processes occurring in these ecosystems;</w:t>
      </w:r>
    </w:p>
    <w:p w14:paraId="054540D6" w14:textId="77777777" w:rsidR="003312CA" w:rsidRPr="008A63FD" w:rsidRDefault="003312CA" w:rsidP="00AF3F86">
      <w:pPr>
        <w:pStyle w:val="ListParagraph"/>
        <w:numPr>
          <w:ilvl w:val="0"/>
          <w:numId w:val="18"/>
        </w:numPr>
        <w:suppressLineNumbers/>
        <w:suppressAutoHyphens/>
        <w:spacing w:before="60" w:after="60"/>
        <w:ind w:left="1701" w:hanging="425"/>
        <w:contextualSpacing w:val="0"/>
        <w:rPr>
          <w:kern w:val="22"/>
          <w:szCs w:val="22"/>
        </w:rPr>
      </w:pPr>
      <w:r w:rsidRPr="008A63FD">
        <w:rPr>
          <w:kern w:val="22"/>
          <w:szCs w:val="22"/>
        </w:rPr>
        <w:t>Need for information on potential for cross-hybridization with non-target species;</w:t>
      </w:r>
    </w:p>
    <w:p w14:paraId="4CD51015" w14:textId="77777777" w:rsidR="003312CA" w:rsidRPr="008A63FD" w:rsidRDefault="003312CA" w:rsidP="00AF3F86">
      <w:pPr>
        <w:pStyle w:val="ListParagraph"/>
        <w:numPr>
          <w:ilvl w:val="0"/>
          <w:numId w:val="18"/>
        </w:numPr>
        <w:suppressLineNumbers/>
        <w:suppressAutoHyphens/>
        <w:spacing w:before="60" w:after="60"/>
        <w:ind w:left="1701" w:hanging="425"/>
        <w:contextualSpacing w:val="0"/>
        <w:rPr>
          <w:kern w:val="22"/>
          <w:szCs w:val="22"/>
        </w:rPr>
      </w:pPr>
      <w:r w:rsidRPr="008A63FD">
        <w:rPr>
          <w:kern w:val="22"/>
          <w:szCs w:val="22"/>
        </w:rPr>
        <w:t>Diversity of potential receiving environments;</w:t>
      </w:r>
    </w:p>
    <w:p w14:paraId="24D6D444" w14:textId="77777777" w:rsidR="003312CA" w:rsidRPr="008A63FD" w:rsidRDefault="003312CA" w:rsidP="00AF3F86">
      <w:pPr>
        <w:pStyle w:val="ListParagraph"/>
        <w:numPr>
          <w:ilvl w:val="0"/>
          <w:numId w:val="116"/>
        </w:numPr>
        <w:suppressLineNumbers/>
        <w:tabs>
          <w:tab w:val="left" w:pos="1134"/>
        </w:tabs>
        <w:suppressAutoHyphens/>
        <w:spacing w:before="120" w:after="120"/>
        <w:ind w:left="0" w:firstLine="709"/>
        <w:contextualSpacing w:val="0"/>
        <w:rPr>
          <w:rFonts w:eastAsiaTheme="minorEastAsia"/>
          <w:color w:val="000000" w:themeColor="text1"/>
          <w:kern w:val="22"/>
          <w:szCs w:val="22"/>
        </w:rPr>
      </w:pPr>
      <w:r w:rsidRPr="008A63FD">
        <w:rPr>
          <w:rFonts w:eastAsiaTheme="minorEastAsia"/>
          <w:color w:val="000000" w:themeColor="text1"/>
          <w:kern w:val="22"/>
          <w:szCs w:val="22"/>
        </w:rPr>
        <w:t>Related to risk assessment methodologies:</w:t>
      </w:r>
    </w:p>
    <w:p w14:paraId="6099F7FD" w14:textId="77777777" w:rsidR="003312CA" w:rsidRPr="008A63FD" w:rsidRDefault="003312CA" w:rsidP="00AF3F86">
      <w:pPr>
        <w:pStyle w:val="ListParagraph"/>
        <w:numPr>
          <w:ilvl w:val="0"/>
          <w:numId w:val="19"/>
        </w:numPr>
        <w:suppressLineNumbers/>
        <w:suppressAutoHyphens/>
        <w:spacing w:before="60" w:after="60"/>
        <w:ind w:left="1701" w:hanging="425"/>
        <w:contextualSpacing w:val="0"/>
        <w:rPr>
          <w:kern w:val="22"/>
          <w:szCs w:val="22"/>
        </w:rPr>
      </w:pPr>
      <w:r w:rsidRPr="008A63FD">
        <w:rPr>
          <w:kern w:val="22"/>
          <w:szCs w:val="22"/>
        </w:rPr>
        <w:t>Difficulties of applying the stepwise approach of environmental release;</w:t>
      </w:r>
    </w:p>
    <w:p w14:paraId="0DCB8319" w14:textId="77777777" w:rsidR="003312CA" w:rsidRPr="008A63FD" w:rsidRDefault="003312CA" w:rsidP="00AF3F86">
      <w:pPr>
        <w:pStyle w:val="ListParagraph"/>
        <w:numPr>
          <w:ilvl w:val="0"/>
          <w:numId w:val="19"/>
        </w:numPr>
        <w:suppressLineNumbers/>
        <w:suppressAutoHyphens/>
        <w:spacing w:before="60" w:after="60"/>
        <w:ind w:left="1701" w:hanging="425"/>
        <w:contextualSpacing w:val="0"/>
        <w:rPr>
          <w:kern w:val="22"/>
          <w:szCs w:val="22"/>
        </w:rPr>
      </w:pPr>
      <w:r w:rsidRPr="008A63FD">
        <w:rPr>
          <w:kern w:val="22"/>
          <w:szCs w:val="22"/>
        </w:rPr>
        <w:t>Challenges to the comparative risk assessment framework;</w:t>
      </w:r>
    </w:p>
    <w:p w14:paraId="537115EC" w14:textId="77777777" w:rsidR="003312CA" w:rsidRPr="008A63FD" w:rsidRDefault="003312CA" w:rsidP="00AF3F86">
      <w:pPr>
        <w:pStyle w:val="ListParagraph"/>
        <w:numPr>
          <w:ilvl w:val="0"/>
          <w:numId w:val="19"/>
        </w:numPr>
        <w:suppressLineNumbers/>
        <w:suppressAutoHyphens/>
        <w:spacing w:before="60" w:after="60"/>
        <w:ind w:left="1701" w:hanging="425"/>
        <w:contextualSpacing w:val="0"/>
        <w:rPr>
          <w:kern w:val="22"/>
          <w:szCs w:val="22"/>
        </w:rPr>
      </w:pPr>
      <w:r w:rsidRPr="008A63FD">
        <w:rPr>
          <w:kern w:val="22"/>
          <w:szCs w:val="22"/>
        </w:rPr>
        <w:t>Assessing and taking into consideration uncertainty;</w:t>
      </w:r>
    </w:p>
    <w:p w14:paraId="3462CF49" w14:textId="77777777" w:rsidR="003312CA" w:rsidRPr="008A63FD" w:rsidRDefault="003312CA" w:rsidP="00AF3F86">
      <w:pPr>
        <w:pStyle w:val="ListParagraph"/>
        <w:numPr>
          <w:ilvl w:val="0"/>
          <w:numId w:val="19"/>
        </w:numPr>
        <w:suppressLineNumbers/>
        <w:suppressAutoHyphens/>
        <w:spacing w:before="60" w:after="60"/>
        <w:ind w:left="1701" w:hanging="425"/>
        <w:contextualSpacing w:val="0"/>
        <w:rPr>
          <w:kern w:val="22"/>
          <w:szCs w:val="22"/>
        </w:rPr>
      </w:pPr>
      <w:r w:rsidRPr="008A63FD">
        <w:rPr>
          <w:kern w:val="22"/>
          <w:szCs w:val="22"/>
        </w:rPr>
        <w:t>Need to address the broader temporal and spatial scale;</w:t>
      </w:r>
    </w:p>
    <w:p w14:paraId="4DB6E11C" w14:textId="77777777" w:rsidR="003312CA" w:rsidRPr="008A63FD" w:rsidRDefault="003312CA" w:rsidP="00AF3F86">
      <w:pPr>
        <w:pStyle w:val="ListParagraph"/>
        <w:numPr>
          <w:ilvl w:val="0"/>
          <w:numId w:val="19"/>
        </w:numPr>
        <w:suppressLineNumbers/>
        <w:suppressAutoHyphens/>
        <w:spacing w:before="60" w:after="60"/>
        <w:ind w:left="1701" w:hanging="425"/>
        <w:contextualSpacing w:val="0"/>
        <w:rPr>
          <w:kern w:val="22"/>
          <w:szCs w:val="22"/>
        </w:rPr>
      </w:pPr>
      <w:r w:rsidRPr="008A63FD">
        <w:rPr>
          <w:kern w:val="22"/>
          <w:szCs w:val="22"/>
        </w:rPr>
        <w:t>Higher dependency on model-based predictions (for example, to address the long temporal and wide spatial scale of some engineered gene drive applications and to anticipate the range of scenarios for the possible evolution of the engineered gene drive in the environment);</w:t>
      </w:r>
    </w:p>
    <w:p w14:paraId="7BE6D4D9" w14:textId="77777777" w:rsidR="003312CA" w:rsidRPr="008A63FD" w:rsidRDefault="003312CA" w:rsidP="00AF3F86">
      <w:pPr>
        <w:pStyle w:val="ListParagraph"/>
        <w:numPr>
          <w:ilvl w:val="0"/>
          <w:numId w:val="19"/>
        </w:numPr>
        <w:suppressLineNumbers/>
        <w:suppressAutoHyphens/>
        <w:spacing w:before="60" w:after="60"/>
        <w:ind w:left="1701" w:hanging="425"/>
        <w:contextualSpacing w:val="0"/>
        <w:rPr>
          <w:kern w:val="22"/>
          <w:szCs w:val="22"/>
        </w:rPr>
      </w:pPr>
      <w:r w:rsidRPr="008A63FD">
        <w:rPr>
          <w:kern w:val="22"/>
          <w:szCs w:val="22"/>
        </w:rPr>
        <w:t>Difficulty to comprehensively assess risks prior to release;</w:t>
      </w:r>
    </w:p>
    <w:p w14:paraId="61807554" w14:textId="77777777" w:rsidR="003312CA" w:rsidRPr="008A63FD" w:rsidRDefault="003312CA" w:rsidP="00AF3F86">
      <w:pPr>
        <w:pStyle w:val="ListParagraph"/>
        <w:numPr>
          <w:ilvl w:val="0"/>
          <w:numId w:val="19"/>
        </w:numPr>
        <w:suppressLineNumbers/>
        <w:suppressAutoHyphens/>
        <w:spacing w:before="60" w:after="60"/>
        <w:ind w:left="1701" w:hanging="425"/>
        <w:contextualSpacing w:val="0"/>
        <w:rPr>
          <w:spacing w:val="-4"/>
          <w:kern w:val="22"/>
          <w:szCs w:val="22"/>
        </w:rPr>
      </w:pPr>
      <w:r w:rsidRPr="008A63FD">
        <w:rPr>
          <w:spacing w:val="-4"/>
          <w:kern w:val="22"/>
          <w:szCs w:val="22"/>
        </w:rPr>
        <w:t>Difficulties in assessing next generation effects of organisms containing engineered gene drives;</w:t>
      </w:r>
    </w:p>
    <w:p w14:paraId="1821F1F5" w14:textId="77777777" w:rsidR="003312CA" w:rsidRPr="008A63FD" w:rsidRDefault="003312CA" w:rsidP="00AF3F86">
      <w:pPr>
        <w:pStyle w:val="ListParagraph"/>
        <w:numPr>
          <w:ilvl w:val="0"/>
          <w:numId w:val="19"/>
        </w:numPr>
        <w:suppressLineNumbers/>
        <w:suppressAutoHyphens/>
        <w:spacing w:before="60" w:after="60"/>
        <w:ind w:left="1701" w:hanging="425"/>
        <w:contextualSpacing w:val="0"/>
        <w:rPr>
          <w:kern w:val="22"/>
          <w:szCs w:val="22"/>
        </w:rPr>
      </w:pPr>
      <w:r w:rsidRPr="008A63FD">
        <w:rPr>
          <w:kern w:val="22"/>
          <w:szCs w:val="22"/>
        </w:rPr>
        <w:t>Potential adverse effects may differ depending on the type of gene drive mechanism (for example, population suppression drives versus modification drives);</w:t>
      </w:r>
    </w:p>
    <w:p w14:paraId="694C00B2" w14:textId="77777777" w:rsidR="003312CA" w:rsidRPr="008A63FD" w:rsidRDefault="003312CA" w:rsidP="00AF3F86">
      <w:pPr>
        <w:pStyle w:val="ListParagraph"/>
        <w:numPr>
          <w:ilvl w:val="0"/>
          <w:numId w:val="19"/>
        </w:numPr>
        <w:suppressLineNumbers/>
        <w:suppressAutoHyphens/>
        <w:spacing w:before="60" w:after="60"/>
        <w:ind w:left="1701" w:hanging="425"/>
        <w:contextualSpacing w:val="0"/>
        <w:rPr>
          <w:kern w:val="22"/>
          <w:szCs w:val="22"/>
        </w:rPr>
      </w:pPr>
      <w:r w:rsidRPr="008A63FD">
        <w:rPr>
          <w:kern w:val="22"/>
          <w:szCs w:val="22"/>
        </w:rPr>
        <w:lastRenderedPageBreak/>
        <w:t>The need to develop knowledge and procedures for assessing the engineered gene-drive’s long-term effects on ecosystems;</w:t>
      </w:r>
    </w:p>
    <w:p w14:paraId="23C38B73" w14:textId="77777777" w:rsidR="003312CA" w:rsidRPr="008A63FD" w:rsidRDefault="003312CA" w:rsidP="00AF3F86">
      <w:pPr>
        <w:pStyle w:val="ListParagraph"/>
        <w:numPr>
          <w:ilvl w:val="0"/>
          <w:numId w:val="116"/>
        </w:numPr>
        <w:suppressLineNumbers/>
        <w:tabs>
          <w:tab w:val="left" w:pos="1134"/>
        </w:tabs>
        <w:suppressAutoHyphens/>
        <w:spacing w:before="120" w:after="120"/>
        <w:ind w:left="0" w:firstLine="709"/>
        <w:contextualSpacing w:val="0"/>
        <w:rPr>
          <w:rFonts w:eastAsiaTheme="minorEastAsia"/>
          <w:color w:val="000000" w:themeColor="text1"/>
          <w:kern w:val="22"/>
          <w:szCs w:val="22"/>
        </w:rPr>
      </w:pPr>
      <w:r w:rsidRPr="008A63FD">
        <w:rPr>
          <w:rFonts w:eastAsiaTheme="minorEastAsia"/>
          <w:color w:val="000000" w:themeColor="text1"/>
          <w:kern w:val="22"/>
          <w:szCs w:val="22"/>
        </w:rPr>
        <w:t>Related to data collection and analysis:</w:t>
      </w:r>
    </w:p>
    <w:p w14:paraId="1FC98C00" w14:textId="77777777" w:rsidR="003312CA" w:rsidRPr="008A63FD" w:rsidRDefault="003312CA" w:rsidP="00AF3F86">
      <w:pPr>
        <w:pStyle w:val="ListParagraph"/>
        <w:numPr>
          <w:ilvl w:val="0"/>
          <w:numId w:val="20"/>
        </w:numPr>
        <w:suppressLineNumbers/>
        <w:suppressAutoHyphens/>
        <w:spacing w:before="60" w:after="60"/>
        <w:ind w:left="1701" w:hanging="425"/>
        <w:contextualSpacing w:val="0"/>
        <w:rPr>
          <w:kern w:val="22"/>
          <w:szCs w:val="22"/>
        </w:rPr>
      </w:pPr>
      <w:r w:rsidRPr="008A63FD">
        <w:rPr>
          <w:kern w:val="22"/>
          <w:szCs w:val="22"/>
        </w:rPr>
        <w:t>Additional information needed on the molecular characterization of both the engineered gene drive mechanism and the engineered gene drive-bearing organism;</w:t>
      </w:r>
    </w:p>
    <w:p w14:paraId="120CB1F2" w14:textId="77777777" w:rsidR="003312CA" w:rsidRPr="008A63FD" w:rsidRDefault="003312CA" w:rsidP="00AF3F86">
      <w:pPr>
        <w:pStyle w:val="ListParagraph"/>
        <w:numPr>
          <w:ilvl w:val="0"/>
          <w:numId w:val="20"/>
        </w:numPr>
        <w:suppressLineNumbers/>
        <w:suppressAutoHyphens/>
        <w:spacing w:before="60" w:after="60"/>
        <w:ind w:left="1701" w:hanging="425"/>
        <w:contextualSpacing w:val="0"/>
        <w:rPr>
          <w:kern w:val="22"/>
          <w:szCs w:val="22"/>
        </w:rPr>
      </w:pPr>
      <w:r w:rsidRPr="008A63FD">
        <w:rPr>
          <w:kern w:val="22"/>
          <w:szCs w:val="22"/>
        </w:rPr>
        <w:t>Information to predict off-target effects and potential consequences in the target organism;</w:t>
      </w:r>
    </w:p>
    <w:p w14:paraId="0C135181" w14:textId="77777777" w:rsidR="003312CA" w:rsidRPr="008A63FD" w:rsidRDefault="003312CA" w:rsidP="00AF3F86">
      <w:pPr>
        <w:pStyle w:val="ListParagraph"/>
        <w:numPr>
          <w:ilvl w:val="0"/>
          <w:numId w:val="20"/>
        </w:numPr>
        <w:suppressLineNumbers/>
        <w:suppressAutoHyphens/>
        <w:spacing w:before="60" w:after="60"/>
        <w:ind w:left="1701" w:hanging="425"/>
        <w:contextualSpacing w:val="0"/>
        <w:rPr>
          <w:kern w:val="22"/>
          <w:szCs w:val="22"/>
        </w:rPr>
      </w:pPr>
      <w:r w:rsidRPr="008A63FD">
        <w:rPr>
          <w:kern w:val="22"/>
          <w:szCs w:val="22"/>
        </w:rPr>
        <w:t>Lack of environmental and ecological data;</w:t>
      </w:r>
    </w:p>
    <w:p w14:paraId="5C2A8B5E" w14:textId="77777777" w:rsidR="003312CA" w:rsidRPr="008A63FD" w:rsidRDefault="003312CA" w:rsidP="00AF3F86">
      <w:pPr>
        <w:pStyle w:val="ListParagraph"/>
        <w:numPr>
          <w:ilvl w:val="0"/>
          <w:numId w:val="20"/>
        </w:numPr>
        <w:suppressLineNumbers/>
        <w:suppressAutoHyphens/>
        <w:spacing w:before="60" w:after="60"/>
        <w:ind w:left="1701" w:hanging="425"/>
        <w:contextualSpacing w:val="0"/>
        <w:rPr>
          <w:kern w:val="22"/>
          <w:szCs w:val="22"/>
        </w:rPr>
      </w:pPr>
      <w:r w:rsidRPr="008A63FD">
        <w:rPr>
          <w:kern w:val="22"/>
          <w:szCs w:val="22"/>
        </w:rPr>
        <w:t>Difficulties with obtaining data for relevant modelling;</w:t>
      </w:r>
    </w:p>
    <w:p w14:paraId="67317641" w14:textId="77777777" w:rsidR="003312CA" w:rsidRPr="008A63FD" w:rsidRDefault="003312CA" w:rsidP="00AF3F86">
      <w:pPr>
        <w:pStyle w:val="ListParagraph"/>
        <w:numPr>
          <w:ilvl w:val="0"/>
          <w:numId w:val="20"/>
        </w:numPr>
        <w:suppressLineNumbers/>
        <w:suppressAutoHyphens/>
        <w:spacing w:before="60" w:after="60"/>
        <w:ind w:left="1701" w:hanging="425"/>
        <w:contextualSpacing w:val="0"/>
        <w:rPr>
          <w:kern w:val="22"/>
          <w:szCs w:val="22"/>
        </w:rPr>
      </w:pPr>
      <w:r w:rsidRPr="008A63FD">
        <w:rPr>
          <w:kern w:val="22"/>
          <w:szCs w:val="22"/>
        </w:rPr>
        <w:t>Difficulties with validation and calibration of modelling data before the occurrence of an environmental release;</w:t>
      </w:r>
    </w:p>
    <w:p w14:paraId="6F928509" w14:textId="77777777" w:rsidR="003312CA" w:rsidRPr="008A63FD" w:rsidRDefault="003312CA" w:rsidP="00AF3F86">
      <w:pPr>
        <w:pStyle w:val="ListParagraph"/>
        <w:numPr>
          <w:ilvl w:val="0"/>
          <w:numId w:val="116"/>
        </w:numPr>
        <w:suppressLineNumbers/>
        <w:tabs>
          <w:tab w:val="left" w:pos="1134"/>
        </w:tabs>
        <w:suppressAutoHyphens/>
        <w:spacing w:before="120" w:after="120"/>
        <w:ind w:left="0" w:firstLine="709"/>
        <w:contextualSpacing w:val="0"/>
        <w:rPr>
          <w:rFonts w:eastAsiaTheme="minorEastAsia"/>
          <w:color w:val="000000" w:themeColor="text1"/>
          <w:kern w:val="22"/>
          <w:szCs w:val="22"/>
        </w:rPr>
      </w:pPr>
      <w:r w:rsidRPr="008A63FD">
        <w:rPr>
          <w:rFonts w:eastAsiaTheme="minorEastAsia"/>
          <w:color w:val="000000" w:themeColor="text1"/>
          <w:kern w:val="22"/>
          <w:szCs w:val="22"/>
        </w:rPr>
        <w:t>Related to risk management and monitoring:</w:t>
      </w:r>
    </w:p>
    <w:p w14:paraId="630699E9" w14:textId="77777777" w:rsidR="003312CA" w:rsidRPr="008A63FD" w:rsidRDefault="003312CA" w:rsidP="00AF3F86">
      <w:pPr>
        <w:pStyle w:val="ListParagraph"/>
        <w:numPr>
          <w:ilvl w:val="0"/>
          <w:numId w:val="21"/>
        </w:numPr>
        <w:suppressLineNumbers/>
        <w:suppressAutoHyphens/>
        <w:spacing w:before="60" w:after="60"/>
        <w:ind w:left="1701" w:hanging="425"/>
        <w:contextualSpacing w:val="0"/>
        <w:rPr>
          <w:kern w:val="22"/>
          <w:szCs w:val="22"/>
        </w:rPr>
      </w:pPr>
      <w:r w:rsidRPr="008A63FD">
        <w:rPr>
          <w:kern w:val="22"/>
          <w:szCs w:val="22"/>
        </w:rPr>
        <w:t>Post-release environmental monitoring is challenging;</w:t>
      </w:r>
    </w:p>
    <w:p w14:paraId="0F4B725D" w14:textId="77777777" w:rsidR="003312CA" w:rsidRPr="008A63FD" w:rsidRDefault="003312CA" w:rsidP="00AF3F86">
      <w:pPr>
        <w:pStyle w:val="ListParagraph"/>
        <w:numPr>
          <w:ilvl w:val="0"/>
          <w:numId w:val="21"/>
        </w:numPr>
        <w:suppressLineNumbers/>
        <w:suppressAutoHyphens/>
        <w:spacing w:before="60" w:after="60"/>
        <w:ind w:left="1701" w:hanging="425"/>
        <w:contextualSpacing w:val="0"/>
        <w:rPr>
          <w:kern w:val="22"/>
          <w:szCs w:val="22"/>
        </w:rPr>
      </w:pPr>
      <w:r w:rsidRPr="008A63FD">
        <w:rPr>
          <w:kern w:val="22"/>
          <w:szCs w:val="22"/>
        </w:rPr>
        <w:t>Evaluation of impacts over long periods of time;</w:t>
      </w:r>
    </w:p>
    <w:p w14:paraId="5C6F10C8" w14:textId="77777777" w:rsidR="003312CA" w:rsidRPr="008A63FD" w:rsidRDefault="003312CA" w:rsidP="00AF3F86">
      <w:pPr>
        <w:pStyle w:val="ListParagraph"/>
        <w:numPr>
          <w:ilvl w:val="0"/>
          <w:numId w:val="21"/>
        </w:numPr>
        <w:suppressLineNumbers/>
        <w:suppressAutoHyphens/>
        <w:spacing w:before="60" w:after="60"/>
        <w:ind w:left="1701" w:hanging="425"/>
        <w:contextualSpacing w:val="0"/>
        <w:rPr>
          <w:spacing w:val="-6"/>
          <w:kern w:val="22"/>
          <w:szCs w:val="22"/>
        </w:rPr>
      </w:pPr>
      <w:r w:rsidRPr="008A63FD">
        <w:rPr>
          <w:spacing w:val="-6"/>
          <w:kern w:val="22"/>
          <w:szCs w:val="22"/>
        </w:rPr>
        <w:t>Need for monitoring plans at supranational level to follow the spread of the engineered gene drive;</w:t>
      </w:r>
    </w:p>
    <w:p w14:paraId="2BE3AEEF" w14:textId="77777777" w:rsidR="003312CA" w:rsidRPr="008A63FD" w:rsidRDefault="003312CA" w:rsidP="00AF3F86">
      <w:pPr>
        <w:pStyle w:val="ListParagraph"/>
        <w:numPr>
          <w:ilvl w:val="0"/>
          <w:numId w:val="21"/>
        </w:numPr>
        <w:suppressLineNumbers/>
        <w:suppressAutoHyphens/>
        <w:spacing w:before="60" w:after="60"/>
        <w:ind w:left="1701" w:hanging="425"/>
        <w:contextualSpacing w:val="0"/>
        <w:rPr>
          <w:kern w:val="22"/>
          <w:szCs w:val="22"/>
        </w:rPr>
      </w:pPr>
      <w:r w:rsidRPr="008A63FD">
        <w:rPr>
          <w:kern w:val="22"/>
          <w:szCs w:val="22"/>
        </w:rPr>
        <w:t>Proven strategies for controlling the spread of an engineered gene drive, should monitoring data show that it has some negative impact on health or the environment;</w:t>
      </w:r>
    </w:p>
    <w:p w14:paraId="58BADE57" w14:textId="77777777" w:rsidR="003312CA" w:rsidRPr="008A63FD" w:rsidRDefault="003312CA" w:rsidP="00AF3F86">
      <w:pPr>
        <w:pStyle w:val="ListParagraph"/>
        <w:numPr>
          <w:ilvl w:val="0"/>
          <w:numId w:val="21"/>
        </w:numPr>
        <w:suppressLineNumbers/>
        <w:suppressAutoHyphens/>
        <w:spacing w:before="60" w:after="60"/>
        <w:ind w:left="1701" w:hanging="425"/>
        <w:contextualSpacing w:val="0"/>
        <w:rPr>
          <w:kern w:val="22"/>
          <w:szCs w:val="22"/>
        </w:rPr>
      </w:pPr>
      <w:r w:rsidRPr="008A63FD">
        <w:rPr>
          <w:kern w:val="22"/>
          <w:szCs w:val="22"/>
        </w:rPr>
        <w:t>Unavailability of management plans for possible reversion.</w:t>
      </w:r>
    </w:p>
    <w:p w14:paraId="13F08F71" w14:textId="77777777" w:rsidR="003312CA" w:rsidRPr="008A63FD" w:rsidRDefault="003312CA" w:rsidP="00AF3F86">
      <w:pPr>
        <w:suppressLineNumbers/>
        <w:suppressAutoHyphens/>
        <w:spacing w:before="60" w:after="60"/>
        <w:rPr>
          <w:kern w:val="22"/>
          <w:szCs w:val="22"/>
        </w:rPr>
      </w:pPr>
    </w:p>
    <w:tbl>
      <w:tblPr>
        <w:tblStyle w:val="TableGrid"/>
        <w:tblW w:w="0" w:type="auto"/>
        <w:tblLook w:val="04A0" w:firstRow="1" w:lastRow="0" w:firstColumn="1" w:lastColumn="0" w:noHBand="0" w:noVBand="1"/>
      </w:tblPr>
      <w:tblGrid>
        <w:gridCol w:w="9452"/>
      </w:tblGrid>
      <w:tr w:rsidR="003312CA" w:rsidRPr="008A63FD" w14:paraId="44B320BC" w14:textId="77777777" w:rsidTr="00DE6798">
        <w:trPr>
          <w:trHeight w:val="2664"/>
        </w:trPr>
        <w:tc>
          <w:tcPr>
            <w:tcW w:w="9466" w:type="dxa"/>
          </w:tcPr>
          <w:p w14:paraId="0EBBA1BE" w14:textId="77777777" w:rsidR="003312CA" w:rsidRPr="008A63FD" w:rsidRDefault="003312CA">
            <w:pPr>
              <w:pStyle w:val="paragraph"/>
              <w:suppressLineNumbers/>
              <w:suppressAutoHyphens/>
              <w:spacing w:before="120" w:beforeAutospacing="0" w:after="120" w:afterAutospacing="0"/>
              <w:jc w:val="both"/>
              <w:textAlignment w:val="baseline"/>
              <w:rPr>
                <w:kern w:val="22"/>
                <w:sz w:val="22"/>
                <w:szCs w:val="22"/>
                <w:lang w:val="en-GB"/>
              </w:rPr>
            </w:pPr>
            <w:r w:rsidRPr="008A63FD">
              <w:rPr>
                <w:rStyle w:val="normaltextrun"/>
                <w:b/>
                <w:bCs/>
                <w:kern w:val="22"/>
                <w:sz w:val="22"/>
                <w:szCs w:val="22"/>
                <w:lang w:val="en-GB"/>
              </w:rPr>
              <w:t>(e) The specific issues concerning living modified organisms that:</w:t>
            </w:r>
          </w:p>
          <w:p w14:paraId="4F38B8A2" w14:textId="244591B5" w:rsidR="003312CA" w:rsidRPr="008A63FD" w:rsidRDefault="003312CA" w:rsidP="00AF3F86">
            <w:pPr>
              <w:pStyle w:val="paragraph"/>
              <w:suppressLineNumbers/>
              <w:suppressAutoHyphens/>
              <w:spacing w:before="120" w:beforeAutospacing="0" w:after="120" w:afterAutospacing="0"/>
              <w:ind w:left="741" w:hanging="425"/>
              <w:jc w:val="both"/>
              <w:textAlignment w:val="baseline"/>
              <w:rPr>
                <w:kern w:val="22"/>
                <w:sz w:val="22"/>
                <w:szCs w:val="22"/>
                <w:lang w:val="en-GB"/>
              </w:rPr>
            </w:pPr>
            <w:r w:rsidRPr="008A63FD">
              <w:rPr>
                <w:rStyle w:val="normaltextrun"/>
                <w:b/>
                <w:bCs/>
                <w:kern w:val="22"/>
                <w:sz w:val="22"/>
                <w:szCs w:val="22"/>
                <w:lang w:val="en-GB"/>
              </w:rPr>
              <w:t>(</w:t>
            </w:r>
            <w:proofErr w:type="spellStart"/>
            <w:r w:rsidRPr="008A63FD">
              <w:rPr>
                <w:rStyle w:val="normaltextrun"/>
                <w:b/>
                <w:bCs/>
                <w:kern w:val="22"/>
                <w:sz w:val="22"/>
                <w:szCs w:val="22"/>
                <w:lang w:val="en-GB"/>
              </w:rPr>
              <w:t>i</w:t>
            </w:r>
            <w:proofErr w:type="spellEnd"/>
            <w:r w:rsidRPr="008A63FD">
              <w:rPr>
                <w:rStyle w:val="normaltextrun"/>
                <w:b/>
                <w:bCs/>
                <w:kern w:val="22"/>
                <w:sz w:val="22"/>
                <w:szCs w:val="22"/>
                <w:lang w:val="en-GB"/>
              </w:rPr>
              <w:t>)</w:t>
            </w:r>
            <w:r w:rsidR="00787983" w:rsidRPr="008A63FD">
              <w:rPr>
                <w:rStyle w:val="normaltextrun"/>
                <w:b/>
                <w:bCs/>
                <w:kern w:val="22"/>
                <w:sz w:val="22"/>
                <w:szCs w:val="22"/>
                <w:lang w:val="en-GB"/>
              </w:rPr>
              <w:tab/>
            </w:r>
            <w:r w:rsidRPr="008A63FD">
              <w:rPr>
                <w:rStyle w:val="normaltextrun"/>
                <w:b/>
                <w:bCs/>
                <w:kern w:val="22"/>
                <w:sz w:val="22"/>
                <w:szCs w:val="22"/>
                <w:lang w:val="en-GB"/>
              </w:rPr>
              <w:t>Have the potential to cause adverse effects on biodiversity, in particular those that are serious or irreversible, taking into account the urgent need to protect specific aspects of biodiversity, such as an endemic/rare species or a unique habitat or ecosystem, taking into account risks to human health and the value of biological diversity to indigenous peoples and local communities;</w:t>
            </w:r>
          </w:p>
          <w:p w14:paraId="4E100B0C" w14:textId="1BF398F5" w:rsidR="003312CA" w:rsidRPr="008A63FD" w:rsidRDefault="003312CA" w:rsidP="00AF3F86">
            <w:pPr>
              <w:pStyle w:val="paragraph"/>
              <w:suppressLineNumbers/>
              <w:suppressAutoHyphens/>
              <w:spacing w:before="120" w:beforeAutospacing="0" w:after="120" w:afterAutospacing="0"/>
              <w:ind w:left="741" w:hanging="425"/>
              <w:jc w:val="both"/>
              <w:textAlignment w:val="baseline"/>
              <w:rPr>
                <w:kern w:val="22"/>
                <w:sz w:val="22"/>
                <w:szCs w:val="22"/>
                <w:lang w:val="en-GB"/>
              </w:rPr>
            </w:pPr>
            <w:r w:rsidRPr="008A63FD">
              <w:rPr>
                <w:rStyle w:val="normaltextrun"/>
                <w:b/>
                <w:bCs/>
                <w:kern w:val="22"/>
                <w:sz w:val="22"/>
                <w:szCs w:val="22"/>
                <w:lang w:val="en-GB"/>
              </w:rPr>
              <w:t>(ii)</w:t>
            </w:r>
            <w:r w:rsidR="00787983" w:rsidRPr="008A63FD">
              <w:rPr>
                <w:rStyle w:val="normaltextrun"/>
                <w:b/>
                <w:bCs/>
                <w:kern w:val="22"/>
                <w:sz w:val="22"/>
                <w:szCs w:val="22"/>
                <w:lang w:val="en-GB"/>
              </w:rPr>
              <w:tab/>
            </w:r>
            <w:r w:rsidRPr="008A63FD">
              <w:rPr>
                <w:rStyle w:val="normaltextrun"/>
                <w:b/>
                <w:bCs/>
                <w:kern w:val="22"/>
                <w:sz w:val="22"/>
                <w:szCs w:val="22"/>
                <w:lang w:val="en-GB"/>
              </w:rPr>
              <w:t>May be introduced into the environment either deliberately or accidentally;</w:t>
            </w:r>
          </w:p>
          <w:p w14:paraId="5884B049" w14:textId="6B3FBE6D" w:rsidR="003312CA" w:rsidRPr="008A63FD" w:rsidRDefault="003312CA" w:rsidP="00AF3F86">
            <w:pPr>
              <w:pStyle w:val="paragraph"/>
              <w:suppressLineNumbers/>
              <w:suppressAutoHyphens/>
              <w:spacing w:before="120" w:beforeAutospacing="0" w:after="120" w:afterAutospacing="0"/>
              <w:ind w:left="741" w:hanging="425"/>
              <w:jc w:val="both"/>
              <w:textAlignment w:val="baseline"/>
              <w:rPr>
                <w:kern w:val="22"/>
                <w:sz w:val="22"/>
                <w:szCs w:val="22"/>
                <w:lang w:val="en-GB"/>
              </w:rPr>
            </w:pPr>
            <w:r w:rsidRPr="008A63FD">
              <w:rPr>
                <w:rStyle w:val="normaltextrun"/>
                <w:b/>
                <w:bCs/>
                <w:kern w:val="22"/>
                <w:sz w:val="22"/>
                <w:szCs w:val="22"/>
                <w:lang w:val="en-GB"/>
              </w:rPr>
              <w:t>(iii)</w:t>
            </w:r>
            <w:r w:rsidR="00787983" w:rsidRPr="008A63FD">
              <w:rPr>
                <w:rStyle w:val="normaltextrun"/>
                <w:b/>
                <w:bCs/>
                <w:kern w:val="22"/>
                <w:sz w:val="22"/>
                <w:szCs w:val="22"/>
                <w:lang w:val="en-GB"/>
              </w:rPr>
              <w:tab/>
            </w:r>
            <w:r w:rsidRPr="008A63FD">
              <w:rPr>
                <w:rStyle w:val="normaltextrun"/>
                <w:b/>
                <w:bCs/>
                <w:kern w:val="22"/>
                <w:sz w:val="22"/>
                <w:szCs w:val="22"/>
                <w:lang w:val="en-GB"/>
              </w:rPr>
              <w:t>Have the potential to disseminate across national borders;</w:t>
            </w:r>
          </w:p>
          <w:p w14:paraId="756BD40E" w14:textId="07794A1F" w:rsidR="003312CA" w:rsidRPr="008A63FD" w:rsidRDefault="003312CA" w:rsidP="00AF3F86">
            <w:pPr>
              <w:pStyle w:val="paragraph"/>
              <w:suppressLineNumbers/>
              <w:suppressAutoHyphens/>
              <w:spacing w:before="120" w:beforeAutospacing="0" w:after="120" w:afterAutospacing="0"/>
              <w:ind w:left="741" w:hanging="425"/>
              <w:jc w:val="both"/>
              <w:textAlignment w:val="baseline"/>
              <w:rPr>
                <w:kern w:val="22"/>
                <w:sz w:val="22"/>
                <w:szCs w:val="22"/>
                <w:lang w:val="en-GB"/>
              </w:rPr>
            </w:pPr>
            <w:r w:rsidRPr="008A63FD">
              <w:rPr>
                <w:rStyle w:val="normaltextrun"/>
                <w:b/>
                <w:bCs/>
                <w:kern w:val="22"/>
                <w:sz w:val="22"/>
                <w:szCs w:val="22"/>
                <w:lang w:val="en-GB"/>
              </w:rPr>
              <w:t>(iv)</w:t>
            </w:r>
            <w:r w:rsidR="00787983" w:rsidRPr="008A63FD">
              <w:rPr>
                <w:rStyle w:val="normaltextrun"/>
                <w:b/>
                <w:bCs/>
                <w:kern w:val="22"/>
                <w:sz w:val="22"/>
                <w:szCs w:val="22"/>
                <w:lang w:val="en-GB"/>
              </w:rPr>
              <w:tab/>
            </w:r>
            <w:r w:rsidRPr="008A63FD">
              <w:rPr>
                <w:rStyle w:val="normaltextrun"/>
                <w:b/>
                <w:bCs/>
                <w:kern w:val="22"/>
                <w:sz w:val="22"/>
                <w:szCs w:val="22"/>
                <w:lang w:val="en-GB"/>
              </w:rPr>
              <w:t>Are already, or are likely to be, commercialized or in use somewhere in the world.</w:t>
            </w:r>
          </w:p>
        </w:tc>
      </w:tr>
    </w:tbl>
    <w:p w14:paraId="26FBABAF" w14:textId="77777777" w:rsidR="003312CA" w:rsidRPr="00AF3F86" w:rsidRDefault="003312CA" w:rsidP="00AF3F86">
      <w:pPr>
        <w:pStyle w:val="Para1"/>
        <w:suppressLineNumbers/>
        <w:tabs>
          <w:tab w:val="clear" w:pos="360"/>
        </w:tabs>
        <w:suppressAutoHyphens/>
        <w:rPr>
          <w:kern w:val="22"/>
          <w:szCs w:val="22"/>
        </w:rPr>
      </w:pPr>
      <w:r w:rsidRPr="007775AD">
        <w:rPr>
          <w:kern w:val="22"/>
          <w:szCs w:val="22"/>
        </w:rPr>
        <w:t xml:space="preserve">The AHTEG recognized the need for information on potential impacts of living </w:t>
      </w:r>
      <w:r w:rsidRPr="00AF3F86">
        <w:rPr>
          <w:kern w:val="22"/>
          <w:szCs w:val="22"/>
        </w:rPr>
        <w:t>modified organisms containing engineered gene drives on biodiversity and noted that the study’s analysis of criterion (e)(</w:t>
      </w:r>
      <w:proofErr w:type="spellStart"/>
      <w:r w:rsidRPr="00AF3F86">
        <w:rPr>
          <w:kern w:val="22"/>
          <w:szCs w:val="22"/>
        </w:rPr>
        <w:t>i</w:t>
      </w:r>
      <w:proofErr w:type="spellEnd"/>
      <w:r w:rsidRPr="00AF3F86">
        <w:rPr>
          <w:kern w:val="22"/>
          <w:szCs w:val="22"/>
        </w:rPr>
        <w:t>) contained relatively little such information. For example, the AHTEG suggested that effects on biodiversity and ecosystems should not be limited to keystone species, valued species or ecosystem services as currently reflected in the study but, rather, examined in a more comprehensive manner. Notwithstanding this, the experts acknowledged the potential for living modified organisms containing engineered gene drives to cause adverse, and in some cases irreversible, effects on biodiversity. It was further suggested that the potentially global spread of living modified organisms containing engineered gene drives could then impact endemic/rare species or a unique habitat or ecosystems. It was also suggested that LMOs containing engineered gene drives could adversely affect disease transmission.</w:t>
      </w:r>
    </w:p>
    <w:p w14:paraId="1FF614D2" w14:textId="77777777" w:rsidR="003312CA" w:rsidRPr="00AF3F86" w:rsidRDefault="003312CA" w:rsidP="00AF3F86">
      <w:pPr>
        <w:pStyle w:val="Para1"/>
        <w:suppressLineNumbers/>
        <w:tabs>
          <w:tab w:val="clear" w:pos="360"/>
        </w:tabs>
        <w:suppressAutoHyphens/>
        <w:rPr>
          <w:kern w:val="22"/>
          <w:szCs w:val="22"/>
        </w:rPr>
      </w:pPr>
      <w:r w:rsidRPr="00AF3F86">
        <w:rPr>
          <w:kern w:val="22"/>
          <w:szCs w:val="22"/>
        </w:rPr>
        <w:t xml:space="preserve">Experts noted the perspectives of indigenous peoples and local communities, and the </w:t>
      </w:r>
      <w:proofErr w:type="gramStart"/>
      <w:r w:rsidRPr="00AF3F86">
        <w:rPr>
          <w:kern w:val="22"/>
          <w:szCs w:val="22"/>
        </w:rPr>
        <w:t>particular importance</w:t>
      </w:r>
      <w:proofErr w:type="gramEnd"/>
      <w:r w:rsidRPr="00AF3F86">
        <w:rPr>
          <w:kern w:val="22"/>
          <w:szCs w:val="22"/>
        </w:rPr>
        <w:t xml:space="preserve"> of nature and biodiversity for them. It was recognized that more information was needed to better understand the potential implications of the release of organisms containing engineered gene drives for indigenous peoples and local communities. In particular, when the broad spread of an LMO with an engineered gene drive is likely, it would be challenging for instance, to obtain the free, prior and informed </w:t>
      </w:r>
      <w:r w:rsidRPr="00AF3F86">
        <w:rPr>
          <w:kern w:val="22"/>
          <w:szCs w:val="22"/>
        </w:rPr>
        <w:lastRenderedPageBreak/>
        <w:t>consent of indigenous peoples and local communities and their full and effective participation, although it was also noted that this was a necessary step.</w:t>
      </w:r>
    </w:p>
    <w:p w14:paraId="3E897144" w14:textId="77777777" w:rsidR="003312CA" w:rsidRPr="00AF3F86" w:rsidRDefault="003312CA" w:rsidP="00AF3F86">
      <w:pPr>
        <w:pStyle w:val="Para1"/>
        <w:suppressLineNumbers/>
        <w:tabs>
          <w:tab w:val="clear" w:pos="360"/>
        </w:tabs>
        <w:suppressAutoHyphens/>
        <w:rPr>
          <w:kern w:val="22"/>
          <w:szCs w:val="22"/>
        </w:rPr>
      </w:pPr>
      <w:r w:rsidRPr="00AF3F86">
        <w:rPr>
          <w:kern w:val="22"/>
          <w:szCs w:val="22"/>
        </w:rPr>
        <w:t>Regarding criterion (e)(ii), the AHTEG noted that living modified organisms containing engineered gene drives could be introduced into the environment, either accidentally or deliberately.</w:t>
      </w:r>
    </w:p>
    <w:p w14:paraId="39CB014A" w14:textId="77777777" w:rsidR="003312CA" w:rsidRPr="00AF3F86" w:rsidRDefault="003312CA" w:rsidP="00AF3F86">
      <w:pPr>
        <w:pStyle w:val="Para1"/>
        <w:suppressLineNumbers/>
        <w:tabs>
          <w:tab w:val="clear" w:pos="360"/>
        </w:tabs>
        <w:suppressAutoHyphens/>
        <w:rPr>
          <w:kern w:val="22"/>
          <w:szCs w:val="22"/>
        </w:rPr>
      </w:pPr>
      <w:r w:rsidRPr="00AF3F86">
        <w:rPr>
          <w:kern w:val="22"/>
          <w:szCs w:val="22"/>
        </w:rPr>
        <w:t>Concerning criterion (e)(iii), the AHTEG agreed that living modified organisms containing engineered gene drives have the potential to disseminate across national borders.</w:t>
      </w:r>
    </w:p>
    <w:p w14:paraId="3BFD4794" w14:textId="77777777" w:rsidR="003312CA" w:rsidRPr="00AF3F86" w:rsidRDefault="003312CA" w:rsidP="00AF3F86">
      <w:pPr>
        <w:pStyle w:val="Para1"/>
        <w:suppressLineNumbers/>
        <w:tabs>
          <w:tab w:val="clear" w:pos="360"/>
        </w:tabs>
        <w:suppressAutoHyphens/>
        <w:rPr>
          <w:kern w:val="22"/>
          <w:szCs w:val="22"/>
        </w:rPr>
      </w:pPr>
      <w:r w:rsidRPr="00AF3F86">
        <w:rPr>
          <w:kern w:val="22"/>
          <w:szCs w:val="22"/>
        </w:rPr>
        <w:t xml:space="preserve">Regarding criterion (e)(iv), the AHTEG noted that living modified organisms containing engineered gene drives were likely to be utilized and/or released </w:t>
      </w:r>
      <w:proofErr w:type="gramStart"/>
      <w:r w:rsidRPr="00AF3F86">
        <w:rPr>
          <w:kern w:val="22"/>
          <w:szCs w:val="22"/>
        </w:rPr>
        <w:t>in the near future</w:t>
      </w:r>
      <w:proofErr w:type="gramEnd"/>
      <w:r w:rsidRPr="00AF3F86">
        <w:rPr>
          <w:kern w:val="22"/>
          <w:szCs w:val="22"/>
        </w:rPr>
        <w:t>.</w:t>
      </w:r>
    </w:p>
    <w:p w14:paraId="7EAFCE7B" w14:textId="77777777" w:rsidR="003312CA" w:rsidRPr="008A63FD" w:rsidRDefault="003312CA">
      <w:pPr>
        <w:pStyle w:val="Heading2"/>
        <w:suppressLineNumbers/>
        <w:tabs>
          <w:tab w:val="clear" w:pos="720"/>
          <w:tab w:val="left" w:pos="426"/>
        </w:tabs>
        <w:suppressAutoHyphens/>
        <w:rPr>
          <w:kern w:val="22"/>
          <w:szCs w:val="22"/>
        </w:rPr>
      </w:pPr>
      <w:r w:rsidRPr="008A63FD">
        <w:rPr>
          <w:kern w:val="22"/>
          <w:szCs w:val="22"/>
        </w:rPr>
        <w:t>B.</w:t>
      </w:r>
      <w:r w:rsidRPr="008A63FD">
        <w:rPr>
          <w:kern w:val="22"/>
          <w:szCs w:val="22"/>
        </w:rPr>
        <w:tab/>
        <w:t>Stocktaking of resources on similar issues</w:t>
      </w:r>
    </w:p>
    <w:p w14:paraId="39913D18" w14:textId="77777777" w:rsidR="003312CA" w:rsidRPr="00AF3F86" w:rsidRDefault="003312CA" w:rsidP="00AF3F86">
      <w:pPr>
        <w:pStyle w:val="Para1"/>
        <w:suppressLineNumbers/>
        <w:tabs>
          <w:tab w:val="clear" w:pos="360"/>
        </w:tabs>
        <w:suppressAutoHyphens/>
        <w:rPr>
          <w:kern w:val="22"/>
          <w:szCs w:val="22"/>
        </w:rPr>
      </w:pPr>
      <w:r w:rsidRPr="00AF3F86">
        <w:rPr>
          <w:kern w:val="22"/>
          <w:szCs w:val="22"/>
        </w:rPr>
        <w:t>The AHTEG concluded that resources related to risk assessment of living modified organisms containing engineered gene drives do exist and could be useful for the purpose of undertaking risk assessments. However, it was acknowledged that the resources currently available are not applicable on a global level.</w:t>
      </w:r>
    </w:p>
    <w:p w14:paraId="13E197AA" w14:textId="77777777" w:rsidR="003312CA" w:rsidRPr="00AF3F86" w:rsidRDefault="003312CA" w:rsidP="00AF3F86">
      <w:pPr>
        <w:pStyle w:val="Para1"/>
        <w:suppressLineNumbers/>
        <w:tabs>
          <w:tab w:val="clear" w:pos="360"/>
        </w:tabs>
        <w:suppressAutoHyphens/>
        <w:rPr>
          <w:kern w:val="22"/>
          <w:szCs w:val="22"/>
        </w:rPr>
      </w:pPr>
      <w:r w:rsidRPr="00AF3F86">
        <w:rPr>
          <w:kern w:val="22"/>
          <w:szCs w:val="22"/>
        </w:rPr>
        <w:t>The AHTEG noted the compilation of bibliographic references that had been prepared by the Secretariat as an information document for the meeting (CBD/CP/RA/AHTEG/2020/1/INF/3) and that the compilation would be revised and updated with additional references, including those provided by AHTEG members, and made available for the twenty-fourth meeting of the Subsidiary Body on Scientific, Technical and Technological Advice.</w:t>
      </w:r>
    </w:p>
    <w:p w14:paraId="50841558" w14:textId="77777777" w:rsidR="003312CA" w:rsidRPr="008A63FD" w:rsidRDefault="003312CA">
      <w:pPr>
        <w:pStyle w:val="Heading2"/>
        <w:suppressLineNumbers/>
        <w:tabs>
          <w:tab w:val="clear" w:pos="720"/>
        </w:tabs>
        <w:suppressAutoHyphens/>
        <w:ind w:left="1145" w:right="284" w:hanging="425"/>
        <w:jc w:val="left"/>
        <w:rPr>
          <w:kern w:val="22"/>
          <w:szCs w:val="22"/>
        </w:rPr>
      </w:pPr>
      <w:r w:rsidRPr="008A63FD">
        <w:rPr>
          <w:kern w:val="22"/>
          <w:szCs w:val="22"/>
        </w:rPr>
        <w:t>C.</w:t>
      </w:r>
      <w:r w:rsidRPr="008A63FD">
        <w:rPr>
          <w:kern w:val="22"/>
          <w:szCs w:val="22"/>
        </w:rPr>
        <w:tab/>
        <w:t>Need for guidance to be developed on risk assessment of living modified organisms containing engineered gene drives</w:t>
      </w:r>
    </w:p>
    <w:p w14:paraId="7633C0D5" w14:textId="77777777" w:rsidR="003312CA" w:rsidRPr="00AF3F86" w:rsidRDefault="003312CA" w:rsidP="00AF3F86">
      <w:pPr>
        <w:pStyle w:val="Para1"/>
        <w:suppressLineNumbers/>
        <w:tabs>
          <w:tab w:val="clear" w:pos="360"/>
        </w:tabs>
        <w:suppressAutoHyphens/>
        <w:rPr>
          <w:kern w:val="22"/>
          <w:szCs w:val="22"/>
        </w:rPr>
      </w:pPr>
      <w:r w:rsidRPr="00AF3F86">
        <w:rPr>
          <w:kern w:val="22"/>
          <w:szCs w:val="22"/>
        </w:rPr>
        <w:t>Having undertaken the review of the study and performed an analysis of the topic of living modified organisms containing engineered gene drives against annex I of decision CP-9/13, the AHTEG recommended that guidance for the risk assessment on living modified organisms containing engineered gene drives should be developed, noting that all criteria have been fulfilled.</w:t>
      </w:r>
    </w:p>
    <w:p w14:paraId="3A79B2DA" w14:textId="77777777" w:rsidR="003312CA" w:rsidRPr="008A63FD" w:rsidRDefault="003312CA">
      <w:pPr>
        <w:pStyle w:val="Heading2"/>
        <w:suppressLineNumbers/>
        <w:tabs>
          <w:tab w:val="clear" w:pos="720"/>
          <w:tab w:val="left" w:pos="426"/>
        </w:tabs>
        <w:suppressAutoHyphens/>
        <w:rPr>
          <w:rFonts w:eastAsia="MS Mincho"/>
          <w:caps/>
          <w:kern w:val="22"/>
          <w:szCs w:val="22"/>
        </w:rPr>
      </w:pPr>
      <w:r w:rsidRPr="008A63FD">
        <w:rPr>
          <w:rFonts w:eastAsia="MS Mincho"/>
          <w:caps/>
          <w:kern w:val="22"/>
          <w:szCs w:val="22"/>
        </w:rPr>
        <w:t>III.</w:t>
      </w:r>
      <w:r w:rsidRPr="008A63FD">
        <w:rPr>
          <w:rFonts w:eastAsia="MS Mincho"/>
          <w:caps/>
          <w:kern w:val="22"/>
          <w:szCs w:val="22"/>
        </w:rPr>
        <w:tab/>
        <w:t>adjustments to annex I of decision CP-9/13</w:t>
      </w:r>
    </w:p>
    <w:p w14:paraId="69CF1841" w14:textId="77777777" w:rsidR="003312CA" w:rsidRPr="00AF3F86" w:rsidRDefault="003312CA" w:rsidP="00AF3F86">
      <w:pPr>
        <w:pStyle w:val="Para1"/>
        <w:suppressLineNumbers/>
        <w:tabs>
          <w:tab w:val="clear" w:pos="360"/>
        </w:tabs>
        <w:suppressAutoHyphens/>
        <w:rPr>
          <w:kern w:val="22"/>
          <w:szCs w:val="22"/>
        </w:rPr>
      </w:pPr>
      <w:r w:rsidRPr="00AF3F86">
        <w:rPr>
          <w:kern w:val="22"/>
          <w:szCs w:val="22"/>
        </w:rPr>
        <w:t xml:space="preserve">The AHTEG considered possible adjustments to annex I of decision CP-9/13, including </w:t>
      </w:r>
      <w:proofErr w:type="gramStart"/>
      <w:r w:rsidRPr="00AF3F86">
        <w:rPr>
          <w:kern w:val="22"/>
          <w:szCs w:val="22"/>
        </w:rPr>
        <w:t>taking into account</w:t>
      </w:r>
      <w:proofErr w:type="gramEnd"/>
      <w:r w:rsidRPr="00AF3F86">
        <w:rPr>
          <w:kern w:val="22"/>
          <w:szCs w:val="22"/>
        </w:rPr>
        <w:t xml:space="preserve"> its experience in applying it to the specific issues of living modified fish and living modified organisms containing engineered gene drives.</w:t>
      </w:r>
    </w:p>
    <w:p w14:paraId="48E26542" w14:textId="77777777" w:rsidR="003312CA" w:rsidRPr="00AF3F86" w:rsidRDefault="003312CA" w:rsidP="00AF3F86">
      <w:pPr>
        <w:pStyle w:val="Para1"/>
        <w:suppressLineNumbers/>
        <w:tabs>
          <w:tab w:val="clear" w:pos="360"/>
        </w:tabs>
        <w:suppressAutoHyphens/>
        <w:rPr>
          <w:kern w:val="22"/>
          <w:szCs w:val="22"/>
        </w:rPr>
      </w:pPr>
      <w:r w:rsidRPr="00AF3F86">
        <w:rPr>
          <w:kern w:val="22"/>
          <w:szCs w:val="22"/>
        </w:rPr>
        <w:t>The AHTEG discussed the different elements in annex I. It noted that criteria (a) through (d) should be understood as mandatory criteria while criterion (e) was “for consideration”.</w:t>
      </w:r>
    </w:p>
    <w:p w14:paraId="3053612E" w14:textId="77777777" w:rsidR="003312CA" w:rsidRPr="00AF3F86" w:rsidRDefault="003312CA" w:rsidP="00AF3F86">
      <w:pPr>
        <w:pStyle w:val="Para1"/>
        <w:suppressLineNumbers/>
        <w:tabs>
          <w:tab w:val="clear" w:pos="360"/>
        </w:tabs>
        <w:suppressAutoHyphens/>
        <w:rPr>
          <w:kern w:val="22"/>
          <w:szCs w:val="22"/>
        </w:rPr>
      </w:pPr>
      <w:r w:rsidRPr="00AF3F86">
        <w:rPr>
          <w:kern w:val="22"/>
          <w:szCs w:val="22"/>
        </w:rPr>
        <w:t>The AHTEG discussed the relationship between criteria (c) and (d) and noted that criterion (d) was meant to gather information and further details to substantiate the challenges identified under criterion (c).</w:t>
      </w:r>
    </w:p>
    <w:p w14:paraId="09C3F123" w14:textId="77777777" w:rsidR="003312CA" w:rsidRPr="00AF3F86" w:rsidRDefault="003312CA" w:rsidP="00AF3F86">
      <w:pPr>
        <w:pStyle w:val="Para1"/>
        <w:suppressLineNumbers/>
        <w:tabs>
          <w:tab w:val="clear" w:pos="360"/>
        </w:tabs>
        <w:suppressAutoHyphens/>
        <w:rPr>
          <w:kern w:val="22"/>
          <w:szCs w:val="22"/>
        </w:rPr>
      </w:pPr>
      <w:r w:rsidRPr="00AF3F86">
        <w:rPr>
          <w:kern w:val="22"/>
          <w:szCs w:val="22"/>
        </w:rPr>
        <w:t>The AHTEG noted that criterion (e)(iv) was not limited to those living modified organisms that are already or are likely to be commercialized, as the criterion also referred to those that are already or are likely to be “in use”.</w:t>
      </w:r>
    </w:p>
    <w:p w14:paraId="3D0693DF" w14:textId="77777777" w:rsidR="003312CA" w:rsidRPr="00AF3F86" w:rsidRDefault="003312CA" w:rsidP="00AF3F86">
      <w:pPr>
        <w:pStyle w:val="Para1"/>
        <w:suppressLineNumbers/>
        <w:tabs>
          <w:tab w:val="clear" w:pos="360"/>
        </w:tabs>
        <w:suppressAutoHyphens/>
        <w:rPr>
          <w:kern w:val="22"/>
          <w:szCs w:val="22"/>
        </w:rPr>
      </w:pPr>
      <w:r w:rsidRPr="00AF3F86">
        <w:rPr>
          <w:kern w:val="22"/>
          <w:szCs w:val="22"/>
        </w:rPr>
        <w:t>It was recognized that the stock-taking exercise provided for in annex I would also include work undertaken by other international bodies.</w:t>
      </w:r>
    </w:p>
    <w:p w14:paraId="4063A8C7" w14:textId="77777777" w:rsidR="003312CA" w:rsidRPr="00AF3F86" w:rsidRDefault="003312CA" w:rsidP="00AF3F86">
      <w:pPr>
        <w:pStyle w:val="Para1"/>
        <w:suppressLineNumbers/>
        <w:tabs>
          <w:tab w:val="clear" w:pos="360"/>
        </w:tabs>
        <w:suppressAutoHyphens/>
        <w:rPr>
          <w:kern w:val="22"/>
          <w:szCs w:val="22"/>
        </w:rPr>
      </w:pPr>
      <w:r w:rsidRPr="00AF3F86">
        <w:rPr>
          <w:kern w:val="22"/>
          <w:szCs w:val="22"/>
        </w:rPr>
        <w:t>The AHTEG did not recommend any adjustments to annex I.</w:t>
      </w:r>
    </w:p>
    <w:p w14:paraId="4A4EC12B" w14:textId="77777777" w:rsidR="003312CA" w:rsidRPr="00AF3F86" w:rsidRDefault="003312CA">
      <w:pPr>
        <w:pStyle w:val="Heading2"/>
        <w:suppressLineNumbers/>
        <w:suppressAutoHyphens/>
        <w:ind w:left="1287" w:hanging="567"/>
        <w:jc w:val="left"/>
        <w:rPr>
          <w:rFonts w:eastAsia="MS Mincho"/>
          <w:kern w:val="22"/>
          <w:szCs w:val="22"/>
        </w:rPr>
      </w:pPr>
      <w:r w:rsidRPr="00AF3F86">
        <w:rPr>
          <w:rFonts w:eastAsia="MS Mincho"/>
          <w:kern w:val="22"/>
          <w:szCs w:val="22"/>
        </w:rPr>
        <w:t>IV.</w:t>
      </w:r>
      <w:r w:rsidRPr="00AF3F86">
        <w:rPr>
          <w:rFonts w:eastAsia="MS Mincho"/>
          <w:kern w:val="22"/>
          <w:szCs w:val="22"/>
        </w:rPr>
        <w:tab/>
        <w:t>ANALYSIS ON NEEDS AND PRIORITIES FOR FURTHER GUIDANCE IDENTIFIED BY PARTIES IN RESPONSE TO DECISION CP-VIII/2</w:t>
      </w:r>
    </w:p>
    <w:p w14:paraId="4A557785" w14:textId="77777777" w:rsidR="003312CA" w:rsidRPr="00AF3F86" w:rsidRDefault="003312CA" w:rsidP="00AF3F86">
      <w:pPr>
        <w:pStyle w:val="Para1"/>
        <w:suppressLineNumbers/>
        <w:tabs>
          <w:tab w:val="clear" w:pos="360"/>
        </w:tabs>
        <w:suppressAutoHyphens/>
        <w:rPr>
          <w:kern w:val="22"/>
          <w:szCs w:val="22"/>
        </w:rPr>
      </w:pPr>
      <w:r w:rsidRPr="00AF3F86">
        <w:rPr>
          <w:kern w:val="22"/>
          <w:szCs w:val="22"/>
        </w:rPr>
        <w:t>The AHTEG considered the various topics suggested by Parties in their submissions made in response to decision CP-VIII/12, summarized in document CBD/CP/RA/AHTEG/2020/1/2 and further elaborated in the SBSTTA/22/INF/11 and SBSTTA/22/INF/12 documents. In doing so, it was noted that the mandate of the AHTEG for this task had not been elaborated very clearly.</w:t>
      </w:r>
    </w:p>
    <w:p w14:paraId="4BD70E8B" w14:textId="77777777" w:rsidR="003312CA" w:rsidRPr="00AF3F86" w:rsidRDefault="003312CA" w:rsidP="00AF3F86">
      <w:pPr>
        <w:pStyle w:val="Para1"/>
        <w:suppressLineNumbers/>
        <w:tabs>
          <w:tab w:val="clear" w:pos="360"/>
        </w:tabs>
        <w:suppressAutoHyphens/>
        <w:rPr>
          <w:kern w:val="22"/>
          <w:szCs w:val="22"/>
        </w:rPr>
      </w:pPr>
      <w:r w:rsidRPr="00AF3F86">
        <w:rPr>
          <w:kern w:val="22"/>
          <w:szCs w:val="22"/>
        </w:rPr>
        <w:lastRenderedPageBreak/>
        <w:t xml:space="preserve">There were different views on whether some of the topics that were identified by Parties as priorities in response to decision CP-VIII/12 </w:t>
      </w:r>
      <w:bookmarkStart w:id="7" w:name="_Hlk36754571"/>
      <w:r w:rsidRPr="00AF3F86">
        <w:rPr>
          <w:kern w:val="22"/>
          <w:szCs w:val="22"/>
        </w:rPr>
        <w:t>should be considered under the process for identification and prioritization of specific issues on risk assessment of living modified organisms.</w:t>
      </w:r>
      <w:bookmarkEnd w:id="7"/>
    </w:p>
    <w:p w14:paraId="1455D38C" w14:textId="77777777" w:rsidR="003312CA" w:rsidRPr="00AF3F86" w:rsidRDefault="003312CA" w:rsidP="00AF3F86">
      <w:pPr>
        <w:pStyle w:val="Para1"/>
        <w:suppressLineNumbers/>
        <w:tabs>
          <w:tab w:val="clear" w:pos="360"/>
        </w:tabs>
        <w:suppressAutoHyphens/>
        <w:rPr>
          <w:kern w:val="22"/>
          <w:szCs w:val="22"/>
        </w:rPr>
      </w:pPr>
      <w:r w:rsidRPr="00AF3F86">
        <w:rPr>
          <w:kern w:val="22"/>
          <w:szCs w:val="22"/>
        </w:rPr>
        <w:t>The AHTEG also took note of the horizon scanning process proposed by the AHTEG on Synthetic Biology and additionally suggested that there could be potential synergies between the two AHTEGs.</w:t>
      </w:r>
    </w:p>
    <w:p w14:paraId="57E5E69F" w14:textId="2D7CF605" w:rsidR="00B328AC" w:rsidRPr="00AF3F86" w:rsidRDefault="00787983" w:rsidP="00AF3F86">
      <w:pPr>
        <w:suppressLineNumbers/>
        <w:suppressAutoHyphens/>
        <w:jc w:val="center"/>
        <w:rPr>
          <w:kern w:val="22"/>
          <w:szCs w:val="22"/>
        </w:rPr>
      </w:pPr>
      <w:r w:rsidRPr="00AF3F86">
        <w:rPr>
          <w:kern w:val="22"/>
          <w:szCs w:val="22"/>
        </w:rPr>
        <w:t>__________</w:t>
      </w:r>
    </w:p>
    <w:sectPr w:rsidR="00B328AC" w:rsidRPr="00AF3F86" w:rsidSect="00AF3F86">
      <w:headerReference w:type="even" r:id="rId29"/>
      <w:headerReference w:type="default" r:id="rId30"/>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2E03E" w14:textId="77777777" w:rsidR="005F7085" w:rsidRDefault="005F7085" w:rsidP="00CF1848">
      <w:r>
        <w:separator/>
      </w:r>
    </w:p>
  </w:endnote>
  <w:endnote w:type="continuationSeparator" w:id="0">
    <w:p w14:paraId="2DB02BD6" w14:textId="77777777" w:rsidR="005F7085" w:rsidRDefault="005F7085" w:rsidP="00CF1848">
      <w:r>
        <w:continuationSeparator/>
      </w:r>
    </w:p>
  </w:endnote>
  <w:endnote w:type="continuationNotice" w:id="1">
    <w:p w14:paraId="276A7EB1" w14:textId="77777777" w:rsidR="005F7085" w:rsidRDefault="005F70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37AC3" w14:textId="77777777" w:rsidR="005F7085" w:rsidRDefault="005F7085" w:rsidP="00CF1848">
      <w:r>
        <w:separator/>
      </w:r>
    </w:p>
  </w:footnote>
  <w:footnote w:type="continuationSeparator" w:id="0">
    <w:p w14:paraId="0D89212A" w14:textId="77777777" w:rsidR="005F7085" w:rsidRDefault="005F7085" w:rsidP="00CF1848">
      <w:r>
        <w:continuationSeparator/>
      </w:r>
    </w:p>
  </w:footnote>
  <w:footnote w:type="continuationNotice" w:id="1">
    <w:p w14:paraId="421E3233" w14:textId="77777777" w:rsidR="005F7085" w:rsidRDefault="005F7085"/>
  </w:footnote>
  <w:footnote w:id="2">
    <w:p w14:paraId="2D5DA08C" w14:textId="77777777" w:rsidR="007C6D48" w:rsidRPr="00AF3F86" w:rsidRDefault="007C6D48" w:rsidP="00AF3F86">
      <w:pPr>
        <w:pStyle w:val="FootnoteText"/>
        <w:suppressLineNumbers/>
        <w:suppressAutoHyphens/>
        <w:ind w:firstLine="0"/>
        <w:jc w:val="left"/>
        <w:rPr>
          <w:kern w:val="18"/>
          <w:szCs w:val="18"/>
        </w:rPr>
      </w:pPr>
      <w:r w:rsidRPr="00AF3F86">
        <w:rPr>
          <w:rStyle w:val="FootnoteReference"/>
          <w:kern w:val="18"/>
          <w:sz w:val="18"/>
          <w:szCs w:val="18"/>
        </w:rPr>
        <w:t>*</w:t>
      </w:r>
      <w:r w:rsidRPr="00AF3F86">
        <w:rPr>
          <w:kern w:val="18"/>
          <w:szCs w:val="18"/>
        </w:rPr>
        <w:t xml:space="preserve"> CBD/SBSTTA/2</w:t>
      </w:r>
      <w:r w:rsidR="00903A6C" w:rsidRPr="00AF3F86">
        <w:rPr>
          <w:kern w:val="18"/>
          <w:szCs w:val="18"/>
        </w:rPr>
        <w:t>4</w:t>
      </w:r>
      <w:r w:rsidRPr="00AF3F86">
        <w:rPr>
          <w:kern w:val="18"/>
          <w:szCs w:val="18"/>
        </w:rPr>
        <w:t>/1.</w:t>
      </w:r>
    </w:p>
  </w:footnote>
  <w:footnote w:id="3">
    <w:p w14:paraId="739D13CE" w14:textId="1F83EB8E" w:rsidR="0034428E" w:rsidRPr="00AF3F86" w:rsidRDefault="0034428E" w:rsidP="00AF3F86">
      <w:pPr>
        <w:pStyle w:val="FootnoteText"/>
        <w:suppressLineNumbers/>
        <w:suppressAutoHyphens/>
        <w:ind w:firstLine="0"/>
        <w:jc w:val="left"/>
        <w:rPr>
          <w:kern w:val="18"/>
          <w:szCs w:val="18"/>
        </w:rPr>
      </w:pPr>
      <w:r w:rsidRPr="00AF3F86">
        <w:rPr>
          <w:rStyle w:val="FootnoteReference"/>
          <w:kern w:val="18"/>
          <w:sz w:val="18"/>
          <w:szCs w:val="18"/>
        </w:rPr>
        <w:footnoteRef/>
      </w:r>
      <w:r w:rsidRPr="00AF3F86">
        <w:rPr>
          <w:kern w:val="18"/>
          <w:szCs w:val="18"/>
        </w:rPr>
        <w:t xml:space="preserve"> CBD/CP/RA/AHTEG/2020/1/2.</w:t>
      </w:r>
    </w:p>
  </w:footnote>
  <w:footnote w:id="4">
    <w:p w14:paraId="7CFF079F" w14:textId="77777777" w:rsidR="0016390D" w:rsidRPr="00AF3F86" w:rsidRDefault="0016390D" w:rsidP="00AF3F86">
      <w:pPr>
        <w:keepLines/>
        <w:suppressLineNumbers/>
        <w:suppressAutoHyphens/>
        <w:spacing w:after="60"/>
        <w:jc w:val="left"/>
        <w:rPr>
          <w:kern w:val="18"/>
          <w:sz w:val="18"/>
          <w:szCs w:val="18"/>
        </w:rPr>
      </w:pPr>
      <w:r w:rsidRPr="00AF3F86">
        <w:rPr>
          <w:rStyle w:val="FootnoteReference"/>
          <w:kern w:val="18"/>
          <w:sz w:val="18"/>
          <w:szCs w:val="18"/>
        </w:rPr>
        <w:footnoteRef/>
      </w:r>
      <w:r w:rsidRPr="00AF3F86">
        <w:rPr>
          <w:kern w:val="18"/>
          <w:sz w:val="18"/>
          <w:szCs w:val="18"/>
        </w:rPr>
        <w:t xml:space="preserve"> </w:t>
      </w:r>
      <w:hyperlink r:id="rId1" w:history="1">
        <w:r w:rsidRPr="00AF3F86">
          <w:rPr>
            <w:rStyle w:val="Hyperlink"/>
            <w:kern w:val="18"/>
            <w:szCs w:val="18"/>
          </w:rPr>
          <w:t>http://bch.cbd.int/onlineconferences/forum_ra/discussion.shtml</w:t>
        </w:r>
      </w:hyperlink>
    </w:p>
  </w:footnote>
  <w:footnote w:id="5">
    <w:p w14:paraId="61397EDF" w14:textId="3FC67C67" w:rsidR="00DB37BC" w:rsidRPr="00AF3F86" w:rsidRDefault="00DB37BC" w:rsidP="00AF3F86">
      <w:pPr>
        <w:pStyle w:val="FootnoteText"/>
        <w:suppressLineNumbers/>
        <w:suppressAutoHyphens/>
        <w:ind w:firstLine="0"/>
        <w:jc w:val="left"/>
        <w:rPr>
          <w:kern w:val="18"/>
          <w:szCs w:val="18"/>
        </w:rPr>
      </w:pPr>
      <w:r w:rsidRPr="00AF3F86">
        <w:rPr>
          <w:rStyle w:val="FootnoteReference"/>
          <w:kern w:val="18"/>
          <w:sz w:val="18"/>
          <w:szCs w:val="18"/>
        </w:rPr>
        <w:footnoteRef/>
      </w:r>
      <w:r w:rsidRPr="00AF3F86">
        <w:rPr>
          <w:kern w:val="18"/>
          <w:szCs w:val="18"/>
        </w:rPr>
        <w:t xml:space="preserve"> </w:t>
      </w:r>
      <w:hyperlink r:id="rId2" w:history="1">
        <w:r w:rsidR="00603852" w:rsidRPr="00AF3F86">
          <w:rPr>
            <w:rStyle w:val="Hyperlink"/>
            <w:kern w:val="18"/>
            <w:szCs w:val="18"/>
          </w:rPr>
          <w:t>https://bch.cbd.int/onlineconferences/studies.shtml</w:t>
        </w:r>
      </w:hyperlink>
    </w:p>
  </w:footnote>
  <w:footnote w:id="6">
    <w:p w14:paraId="4033CDB2" w14:textId="38C030D6" w:rsidR="003469EF" w:rsidRPr="00AF3F86" w:rsidRDefault="003469EF" w:rsidP="00AF3F86">
      <w:pPr>
        <w:pStyle w:val="FootnoteText"/>
        <w:suppressLineNumbers/>
        <w:suppressAutoHyphens/>
        <w:ind w:firstLine="0"/>
        <w:jc w:val="left"/>
        <w:rPr>
          <w:kern w:val="18"/>
          <w:szCs w:val="18"/>
        </w:rPr>
      </w:pPr>
      <w:r w:rsidRPr="00AF3F86">
        <w:rPr>
          <w:rStyle w:val="FootnoteReference"/>
          <w:kern w:val="18"/>
          <w:sz w:val="18"/>
          <w:szCs w:val="18"/>
        </w:rPr>
        <w:footnoteRef/>
      </w:r>
      <w:r w:rsidR="0062662C" w:rsidRPr="00AF3F86">
        <w:rPr>
          <w:kern w:val="18"/>
          <w:szCs w:val="18"/>
        </w:rPr>
        <w:t xml:space="preserve"> </w:t>
      </w:r>
      <w:hyperlink r:id="rId3" w:history="1">
        <w:r w:rsidRPr="00AF3F86">
          <w:rPr>
            <w:rStyle w:val="Hyperlink"/>
            <w:kern w:val="18"/>
            <w:szCs w:val="18"/>
          </w:rPr>
          <w:t>CBD/CP/RA/AHTEG/2020/1/INF/3</w:t>
        </w:r>
      </w:hyperlink>
      <w:r w:rsidR="00603852">
        <w:rPr>
          <w:kern w:val="18"/>
          <w:szCs w:val="18"/>
        </w:rPr>
        <w:t>.</w:t>
      </w:r>
    </w:p>
  </w:footnote>
  <w:footnote w:id="7">
    <w:p w14:paraId="6B3A4D6D" w14:textId="71B52CB2" w:rsidR="001E7A77" w:rsidRPr="00AF3F86" w:rsidRDefault="001E7A77" w:rsidP="00AF3F86">
      <w:pPr>
        <w:pStyle w:val="FootnoteText"/>
        <w:suppressLineNumbers/>
        <w:suppressAutoHyphens/>
        <w:ind w:firstLine="0"/>
        <w:jc w:val="left"/>
        <w:rPr>
          <w:kern w:val="18"/>
          <w:szCs w:val="18"/>
        </w:rPr>
      </w:pPr>
      <w:r w:rsidRPr="00AF3F86">
        <w:rPr>
          <w:rStyle w:val="FootnoteReference"/>
          <w:kern w:val="18"/>
          <w:sz w:val="18"/>
          <w:szCs w:val="18"/>
        </w:rPr>
        <w:footnoteRef/>
      </w:r>
      <w:r w:rsidRPr="00AF3F86">
        <w:rPr>
          <w:kern w:val="18"/>
          <w:szCs w:val="18"/>
        </w:rPr>
        <w:t xml:space="preserve"> CBD/CP/RA/AHTEG/2020/1/5</w:t>
      </w:r>
      <w:r w:rsidR="00953051">
        <w:rPr>
          <w:kern w:val="18"/>
          <w:szCs w:val="18"/>
        </w:rPr>
        <w:t>.</w:t>
      </w:r>
    </w:p>
  </w:footnote>
  <w:footnote w:id="8">
    <w:p w14:paraId="4BEEE51F" w14:textId="176BE911" w:rsidR="00D63AE7" w:rsidRPr="00AF3F86" w:rsidRDefault="00D63AE7" w:rsidP="00AF3F86">
      <w:pPr>
        <w:pStyle w:val="FootnoteText"/>
        <w:suppressLineNumbers/>
        <w:suppressAutoHyphens/>
        <w:ind w:firstLine="0"/>
        <w:jc w:val="left"/>
        <w:rPr>
          <w:kern w:val="18"/>
          <w:szCs w:val="18"/>
        </w:rPr>
      </w:pPr>
      <w:r w:rsidRPr="00AF3F86">
        <w:rPr>
          <w:rStyle w:val="FootnoteReference"/>
          <w:kern w:val="18"/>
          <w:sz w:val="18"/>
          <w:szCs w:val="18"/>
        </w:rPr>
        <w:footnoteRef/>
      </w:r>
      <w:r w:rsidRPr="00AF3F86">
        <w:rPr>
          <w:kern w:val="18"/>
          <w:szCs w:val="18"/>
        </w:rPr>
        <w:t xml:space="preserve"> See CBD/CP/RA/AHTEG/2020/1/5</w:t>
      </w:r>
      <w:r w:rsidR="00953051">
        <w:rPr>
          <w:kern w:val="18"/>
          <w:szCs w:val="18"/>
        </w:rPr>
        <w:t>,</w:t>
      </w:r>
      <w:r w:rsidR="00953051" w:rsidRPr="00953051">
        <w:rPr>
          <w:kern w:val="18"/>
          <w:szCs w:val="18"/>
        </w:rPr>
        <w:t xml:space="preserve"> </w:t>
      </w:r>
      <w:r w:rsidR="00953051" w:rsidRPr="00896350">
        <w:rPr>
          <w:kern w:val="18"/>
          <w:szCs w:val="18"/>
        </w:rPr>
        <w:t>annex I</w:t>
      </w:r>
      <w:r w:rsidR="00953051">
        <w:rPr>
          <w:kern w:val="18"/>
          <w:szCs w:val="18"/>
        </w:rPr>
        <w:t>,</w:t>
      </w:r>
      <w:r w:rsidR="00953051" w:rsidRPr="00953051">
        <w:rPr>
          <w:kern w:val="18"/>
          <w:szCs w:val="18"/>
        </w:rPr>
        <w:t xml:space="preserve"> </w:t>
      </w:r>
      <w:r w:rsidR="00953051" w:rsidRPr="007D6D4D">
        <w:rPr>
          <w:kern w:val="18"/>
          <w:szCs w:val="18"/>
        </w:rPr>
        <w:t>sect</w:t>
      </w:r>
      <w:r w:rsidR="00953051">
        <w:rPr>
          <w:kern w:val="18"/>
          <w:szCs w:val="18"/>
        </w:rPr>
        <w:t>. </w:t>
      </w:r>
      <w:r w:rsidR="00953051" w:rsidRPr="007D6D4D">
        <w:rPr>
          <w:kern w:val="18"/>
          <w:szCs w:val="18"/>
        </w:rPr>
        <w:t>III</w:t>
      </w:r>
      <w:r w:rsidRPr="00AF3F86">
        <w:rPr>
          <w:kern w:val="18"/>
          <w:szCs w:val="18"/>
        </w:rPr>
        <w:t>.</w:t>
      </w:r>
    </w:p>
  </w:footnote>
  <w:footnote w:id="9">
    <w:p w14:paraId="71FDBDED" w14:textId="1C2CC549" w:rsidR="0076611D" w:rsidRPr="00AF3F86" w:rsidRDefault="0076611D" w:rsidP="00AF3F86">
      <w:pPr>
        <w:pStyle w:val="FootnoteText"/>
        <w:suppressLineNumbers/>
        <w:suppressAutoHyphens/>
        <w:ind w:firstLine="0"/>
        <w:jc w:val="left"/>
        <w:rPr>
          <w:kern w:val="18"/>
          <w:szCs w:val="18"/>
        </w:rPr>
      </w:pPr>
      <w:r w:rsidRPr="00AF3F86">
        <w:rPr>
          <w:rStyle w:val="FootnoteReference"/>
          <w:kern w:val="18"/>
          <w:sz w:val="18"/>
          <w:szCs w:val="18"/>
        </w:rPr>
        <w:footnoteRef/>
      </w:r>
      <w:r w:rsidRPr="00AF3F86">
        <w:rPr>
          <w:kern w:val="18"/>
          <w:szCs w:val="18"/>
        </w:rPr>
        <w:t xml:space="preserve"> A synthesis of </w:t>
      </w:r>
      <w:r w:rsidR="00532644" w:rsidRPr="00AF3F86">
        <w:rPr>
          <w:kern w:val="18"/>
          <w:szCs w:val="18"/>
        </w:rPr>
        <w:t>relevant</w:t>
      </w:r>
      <w:r w:rsidRPr="00AF3F86">
        <w:rPr>
          <w:kern w:val="18"/>
          <w:szCs w:val="18"/>
        </w:rPr>
        <w:t xml:space="preserve"> information provided in the fourth national reports is available as CBD/CP/-</w:t>
      </w:r>
      <w:r w:rsidR="006A5855" w:rsidRPr="00AF3F86">
        <w:rPr>
          <w:kern w:val="18"/>
          <w:szCs w:val="18"/>
        </w:rPr>
        <w:t>-.</w:t>
      </w:r>
    </w:p>
  </w:footnote>
  <w:footnote w:id="10">
    <w:p w14:paraId="61AB1C72" w14:textId="7C9949F9" w:rsidR="000F539B" w:rsidRPr="00AF3F86" w:rsidRDefault="000F539B" w:rsidP="00AF3F86">
      <w:pPr>
        <w:pStyle w:val="FootnoteText"/>
        <w:suppressLineNumbers/>
        <w:suppressAutoHyphens/>
        <w:ind w:firstLine="0"/>
        <w:jc w:val="left"/>
        <w:rPr>
          <w:kern w:val="18"/>
          <w:szCs w:val="18"/>
        </w:rPr>
      </w:pPr>
      <w:r w:rsidRPr="00AF3F86">
        <w:rPr>
          <w:rStyle w:val="FootnoteReference"/>
          <w:kern w:val="18"/>
          <w:sz w:val="18"/>
          <w:szCs w:val="18"/>
        </w:rPr>
        <w:footnoteRef/>
      </w:r>
      <w:r w:rsidRPr="00AF3F86">
        <w:rPr>
          <w:kern w:val="18"/>
          <w:szCs w:val="18"/>
        </w:rPr>
        <w:t xml:space="preserve"> CBD/CP/RA/AHTEG/2020/1/4.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0375F708" w14:textId="1676B876" w:rsidR="00534681" w:rsidRPr="00AF3F86" w:rsidRDefault="00254AD0" w:rsidP="00AF3F86">
        <w:pPr>
          <w:pStyle w:val="Header"/>
          <w:keepLines/>
          <w:suppressLineNumbers/>
          <w:tabs>
            <w:tab w:val="clear" w:pos="4320"/>
            <w:tab w:val="clear" w:pos="8640"/>
          </w:tabs>
          <w:suppressAutoHyphens/>
          <w:jc w:val="left"/>
          <w:rPr>
            <w:noProof/>
            <w:kern w:val="22"/>
          </w:rPr>
        </w:pPr>
        <w:r w:rsidRPr="00AF3F86">
          <w:rPr>
            <w:noProof/>
            <w:kern w:val="22"/>
          </w:rPr>
          <w:t>CBD/SBSTTA/24/5</w:t>
        </w:r>
      </w:p>
    </w:sdtContent>
  </w:sdt>
  <w:p w14:paraId="5F92A547" w14:textId="77777777" w:rsidR="00534681" w:rsidRPr="00AF3F86" w:rsidRDefault="00534681" w:rsidP="00AF3F86">
    <w:pPr>
      <w:pStyle w:val="Header"/>
      <w:keepLines/>
      <w:suppressLineNumbers/>
      <w:tabs>
        <w:tab w:val="clear" w:pos="4320"/>
        <w:tab w:val="clear" w:pos="8640"/>
      </w:tabs>
      <w:suppressAutoHyphens/>
      <w:jc w:val="left"/>
      <w:rPr>
        <w:noProof/>
        <w:kern w:val="22"/>
      </w:rPr>
    </w:pPr>
    <w:r w:rsidRPr="00AF3F86">
      <w:rPr>
        <w:noProof/>
        <w:kern w:val="22"/>
      </w:rPr>
      <w:t xml:space="preserve">Page </w:t>
    </w:r>
    <w:r w:rsidRPr="00AF3F86">
      <w:rPr>
        <w:noProof/>
        <w:kern w:val="22"/>
      </w:rPr>
      <w:fldChar w:fldCharType="begin"/>
    </w:r>
    <w:r w:rsidRPr="00AF3F86">
      <w:rPr>
        <w:noProof/>
        <w:kern w:val="22"/>
      </w:rPr>
      <w:instrText xml:space="preserve"> PAGE   \* MERGEFORMAT </w:instrText>
    </w:r>
    <w:r w:rsidRPr="00AF3F86">
      <w:rPr>
        <w:noProof/>
        <w:kern w:val="22"/>
      </w:rPr>
      <w:fldChar w:fldCharType="separate"/>
    </w:r>
    <w:r w:rsidR="00F6586C" w:rsidRPr="00AF3F86">
      <w:rPr>
        <w:noProof/>
        <w:kern w:val="22"/>
      </w:rPr>
      <w:t>2</w:t>
    </w:r>
    <w:r w:rsidRPr="00AF3F86">
      <w:rPr>
        <w:noProof/>
        <w:kern w:val="22"/>
      </w:rPr>
      <w:fldChar w:fldCharType="end"/>
    </w:r>
  </w:p>
  <w:p w14:paraId="17DB778D" w14:textId="77777777" w:rsidR="00534681" w:rsidRPr="00AF3F86" w:rsidRDefault="00534681" w:rsidP="00AF3F86">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09653D10" w14:textId="02402928" w:rsidR="009505C9" w:rsidRPr="00AF3F86" w:rsidRDefault="00254AD0" w:rsidP="00AF3F86">
        <w:pPr>
          <w:pStyle w:val="Header"/>
          <w:keepLines/>
          <w:suppressLineNumbers/>
          <w:tabs>
            <w:tab w:val="clear" w:pos="4320"/>
            <w:tab w:val="clear" w:pos="8640"/>
          </w:tabs>
          <w:suppressAutoHyphens/>
          <w:jc w:val="right"/>
          <w:rPr>
            <w:noProof/>
            <w:kern w:val="22"/>
          </w:rPr>
        </w:pPr>
        <w:r w:rsidRPr="00AF3F86">
          <w:rPr>
            <w:noProof/>
            <w:kern w:val="22"/>
          </w:rPr>
          <w:t>CBD/SBSTTA/24/5</w:t>
        </w:r>
      </w:p>
    </w:sdtContent>
  </w:sdt>
  <w:p w14:paraId="0BE43CE6" w14:textId="77777777" w:rsidR="009505C9" w:rsidRPr="00AF3F86" w:rsidRDefault="009505C9" w:rsidP="00AF3F86">
    <w:pPr>
      <w:pStyle w:val="Header"/>
      <w:keepLines/>
      <w:suppressLineNumbers/>
      <w:tabs>
        <w:tab w:val="clear" w:pos="4320"/>
        <w:tab w:val="clear" w:pos="8640"/>
      </w:tabs>
      <w:suppressAutoHyphens/>
      <w:jc w:val="right"/>
      <w:rPr>
        <w:noProof/>
        <w:kern w:val="22"/>
      </w:rPr>
    </w:pPr>
    <w:r w:rsidRPr="00AF3F86">
      <w:rPr>
        <w:noProof/>
        <w:kern w:val="22"/>
      </w:rPr>
      <w:t xml:space="preserve">Page </w:t>
    </w:r>
    <w:r w:rsidRPr="00AF3F86">
      <w:rPr>
        <w:noProof/>
        <w:kern w:val="22"/>
      </w:rPr>
      <w:fldChar w:fldCharType="begin"/>
    </w:r>
    <w:r w:rsidRPr="00AF3F86">
      <w:rPr>
        <w:noProof/>
        <w:kern w:val="22"/>
      </w:rPr>
      <w:instrText xml:space="preserve"> PAGE   \* MERGEFORMAT </w:instrText>
    </w:r>
    <w:r w:rsidRPr="00AF3F86">
      <w:rPr>
        <w:noProof/>
        <w:kern w:val="22"/>
      </w:rPr>
      <w:fldChar w:fldCharType="separate"/>
    </w:r>
    <w:r w:rsidR="00F6586C" w:rsidRPr="00AF3F86">
      <w:rPr>
        <w:noProof/>
        <w:kern w:val="22"/>
      </w:rPr>
      <w:t>3</w:t>
    </w:r>
    <w:r w:rsidRPr="00AF3F86">
      <w:rPr>
        <w:noProof/>
        <w:kern w:val="22"/>
      </w:rPr>
      <w:fldChar w:fldCharType="end"/>
    </w:r>
  </w:p>
  <w:p w14:paraId="4E00EBDE" w14:textId="77777777" w:rsidR="009505C9" w:rsidRPr="00AF3F86" w:rsidRDefault="009505C9" w:rsidP="00AF3F86">
    <w:pPr>
      <w:pStyle w:val="Header"/>
      <w:keepLines/>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6FDE"/>
    <w:multiLevelType w:val="hybridMultilevel"/>
    <w:tmpl w:val="E824441E"/>
    <w:lvl w:ilvl="0" w:tplc="50A2BB62">
      <w:start w:val="1"/>
      <w:numFmt w:val="lowerLetter"/>
      <w:lvlText w:val="(%1)"/>
      <w:lvlJc w:val="left"/>
      <w:pPr>
        <w:ind w:left="144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F73D89"/>
    <w:multiLevelType w:val="hybridMultilevel"/>
    <w:tmpl w:val="39E46708"/>
    <w:lvl w:ilvl="0" w:tplc="EC0ABC6A">
      <w:start w:val="1"/>
      <w:numFmt w:val="lowerRoman"/>
      <w:lvlText w:val="(%1)"/>
      <w:lvlJc w:val="right"/>
      <w:pPr>
        <w:ind w:left="720" w:hanging="360"/>
      </w:pPr>
      <w:rPr>
        <w:rFonts w:ascii="Times New Roman" w:hAnsi="Times New Roman" w:hint="default"/>
        <w:b w:val="0"/>
        <w:i w:val="0"/>
        <w:caps w:val="0"/>
        <w:strike w:val="0"/>
        <w:dstrike w:val="0"/>
        <w:vanish w:val="0"/>
        <w:color w:val="auto"/>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FC6D8A"/>
    <w:multiLevelType w:val="hybridMultilevel"/>
    <w:tmpl w:val="39E46708"/>
    <w:lvl w:ilvl="0" w:tplc="EC0ABC6A">
      <w:start w:val="1"/>
      <w:numFmt w:val="lowerRoman"/>
      <w:lvlText w:val="(%1)"/>
      <w:lvlJc w:val="right"/>
      <w:pPr>
        <w:ind w:left="720" w:hanging="360"/>
      </w:pPr>
      <w:rPr>
        <w:rFonts w:ascii="Times New Roman" w:hAnsi="Times New Roman" w:hint="default"/>
        <w:b w:val="0"/>
        <w:i w:val="0"/>
        <w:caps w:val="0"/>
        <w:strike w:val="0"/>
        <w:dstrike w:val="0"/>
        <w:vanish w:val="0"/>
        <w:color w:val="auto"/>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0E00D0"/>
    <w:multiLevelType w:val="hybridMultilevel"/>
    <w:tmpl w:val="39E46708"/>
    <w:lvl w:ilvl="0" w:tplc="EC0ABC6A">
      <w:start w:val="1"/>
      <w:numFmt w:val="lowerRoman"/>
      <w:lvlText w:val="(%1)"/>
      <w:lvlJc w:val="right"/>
      <w:pPr>
        <w:ind w:left="720" w:hanging="360"/>
      </w:pPr>
      <w:rPr>
        <w:rFonts w:ascii="Times New Roman" w:hAnsi="Times New Roman" w:hint="default"/>
        <w:b w:val="0"/>
        <w:i w:val="0"/>
        <w:caps w:val="0"/>
        <w:strike w:val="0"/>
        <w:dstrike w:val="0"/>
        <w:vanish w:val="0"/>
        <w:color w:val="auto"/>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B01E5E"/>
    <w:multiLevelType w:val="hybridMultilevel"/>
    <w:tmpl w:val="4ADC33CE"/>
    <w:lvl w:ilvl="0" w:tplc="A0A0B80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9C129E1"/>
    <w:multiLevelType w:val="hybridMultilevel"/>
    <w:tmpl w:val="39E46708"/>
    <w:lvl w:ilvl="0" w:tplc="EC0ABC6A">
      <w:start w:val="1"/>
      <w:numFmt w:val="lowerRoman"/>
      <w:lvlText w:val="(%1)"/>
      <w:lvlJc w:val="right"/>
      <w:pPr>
        <w:ind w:left="720" w:hanging="360"/>
      </w:pPr>
      <w:rPr>
        <w:rFonts w:ascii="Times New Roman" w:hAnsi="Times New Roman" w:hint="default"/>
        <w:b w:val="0"/>
        <w:i w:val="0"/>
        <w:caps w:val="0"/>
        <w:strike w:val="0"/>
        <w:dstrike w:val="0"/>
        <w:vanish w:val="0"/>
        <w:color w:val="auto"/>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9B7042"/>
    <w:multiLevelType w:val="hybridMultilevel"/>
    <w:tmpl w:val="39E46708"/>
    <w:lvl w:ilvl="0" w:tplc="EC0ABC6A">
      <w:start w:val="1"/>
      <w:numFmt w:val="lowerRoman"/>
      <w:lvlText w:val="(%1)"/>
      <w:lvlJc w:val="right"/>
      <w:pPr>
        <w:ind w:left="720" w:hanging="360"/>
      </w:pPr>
      <w:rPr>
        <w:rFonts w:ascii="Times New Roman" w:hAnsi="Times New Roman" w:hint="default"/>
        <w:b w:val="0"/>
        <w:i w:val="0"/>
        <w:caps w:val="0"/>
        <w:strike w:val="0"/>
        <w:dstrike w:val="0"/>
        <w:vanish w:val="0"/>
        <w:color w:val="auto"/>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6F2360"/>
    <w:multiLevelType w:val="hybridMultilevel"/>
    <w:tmpl w:val="54A246A6"/>
    <w:lvl w:ilvl="0" w:tplc="CA9EB322">
      <w:start w:val="1"/>
      <w:numFmt w:val="decimal"/>
      <w:lvlText w:val="%1."/>
      <w:lvlJc w:val="left"/>
      <w:pPr>
        <w:ind w:left="720" w:hanging="360"/>
      </w:pPr>
      <w:rPr>
        <w:rFonts w:hint="default"/>
        <w:i w:val="0"/>
        <w:i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CCE11BF"/>
    <w:multiLevelType w:val="hybridMultilevel"/>
    <w:tmpl w:val="547C74C8"/>
    <w:lvl w:ilvl="0" w:tplc="B0FAD65E">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DDD3191"/>
    <w:multiLevelType w:val="hybridMultilevel"/>
    <w:tmpl w:val="39E46708"/>
    <w:lvl w:ilvl="0" w:tplc="EC0ABC6A">
      <w:start w:val="1"/>
      <w:numFmt w:val="lowerRoman"/>
      <w:lvlText w:val="(%1)"/>
      <w:lvlJc w:val="right"/>
      <w:pPr>
        <w:ind w:left="720" w:hanging="360"/>
      </w:pPr>
      <w:rPr>
        <w:rFonts w:ascii="Times New Roman" w:hAnsi="Times New Roman" w:hint="default"/>
        <w:b w:val="0"/>
        <w:i w:val="0"/>
        <w:caps w:val="0"/>
        <w:strike w:val="0"/>
        <w:dstrike w:val="0"/>
        <w:vanish w:val="0"/>
        <w:color w:val="auto"/>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9CA3001"/>
    <w:multiLevelType w:val="hybridMultilevel"/>
    <w:tmpl w:val="39E46708"/>
    <w:lvl w:ilvl="0" w:tplc="EC0ABC6A">
      <w:start w:val="1"/>
      <w:numFmt w:val="lowerRoman"/>
      <w:lvlText w:val="(%1)"/>
      <w:lvlJc w:val="right"/>
      <w:pPr>
        <w:ind w:left="720" w:hanging="360"/>
      </w:pPr>
      <w:rPr>
        <w:rFonts w:ascii="Times New Roman" w:hAnsi="Times New Roman" w:hint="default"/>
        <w:b w:val="0"/>
        <w:i w:val="0"/>
        <w:caps w:val="0"/>
        <w:strike w:val="0"/>
        <w:dstrike w:val="0"/>
        <w:vanish w:val="0"/>
        <w:color w:val="auto"/>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A946FD9"/>
    <w:multiLevelType w:val="hybridMultilevel"/>
    <w:tmpl w:val="39E46708"/>
    <w:lvl w:ilvl="0" w:tplc="EC0ABC6A">
      <w:start w:val="1"/>
      <w:numFmt w:val="lowerRoman"/>
      <w:lvlText w:val="(%1)"/>
      <w:lvlJc w:val="right"/>
      <w:pPr>
        <w:ind w:left="720" w:hanging="360"/>
      </w:pPr>
      <w:rPr>
        <w:rFonts w:ascii="Times New Roman" w:hAnsi="Times New Roman" w:hint="default"/>
        <w:b w:val="0"/>
        <w:i w:val="0"/>
        <w:caps w:val="0"/>
        <w:strike w:val="0"/>
        <w:dstrike w:val="0"/>
        <w:vanish w:val="0"/>
        <w:color w:val="auto"/>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AC3057F"/>
    <w:multiLevelType w:val="hybridMultilevel"/>
    <w:tmpl w:val="39E46708"/>
    <w:lvl w:ilvl="0" w:tplc="EC0ABC6A">
      <w:start w:val="1"/>
      <w:numFmt w:val="lowerRoman"/>
      <w:lvlText w:val="(%1)"/>
      <w:lvlJc w:val="right"/>
      <w:pPr>
        <w:ind w:left="720" w:hanging="360"/>
      </w:pPr>
      <w:rPr>
        <w:rFonts w:ascii="Times New Roman" w:hAnsi="Times New Roman" w:hint="default"/>
        <w:b w:val="0"/>
        <w:i w:val="0"/>
        <w:caps w:val="0"/>
        <w:strike w:val="0"/>
        <w:dstrike w:val="0"/>
        <w:vanish w:val="0"/>
        <w:color w:val="auto"/>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5DF2CE3"/>
    <w:multiLevelType w:val="hybridMultilevel"/>
    <w:tmpl w:val="39E46708"/>
    <w:lvl w:ilvl="0" w:tplc="EC0ABC6A">
      <w:start w:val="1"/>
      <w:numFmt w:val="lowerRoman"/>
      <w:lvlText w:val="(%1)"/>
      <w:lvlJc w:val="right"/>
      <w:pPr>
        <w:ind w:left="720" w:hanging="360"/>
      </w:pPr>
      <w:rPr>
        <w:rFonts w:ascii="Times New Roman" w:hAnsi="Times New Roman" w:hint="default"/>
        <w:b w:val="0"/>
        <w:i w:val="0"/>
        <w:caps w:val="0"/>
        <w:strike w:val="0"/>
        <w:dstrike w:val="0"/>
        <w:vanish w:val="0"/>
        <w:color w:val="auto"/>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8E95C99"/>
    <w:multiLevelType w:val="hybridMultilevel"/>
    <w:tmpl w:val="FAF29C9A"/>
    <w:lvl w:ilvl="0" w:tplc="78CCB9CA">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4CFF0A70"/>
    <w:multiLevelType w:val="multilevel"/>
    <w:tmpl w:val="21E83D0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Letter"/>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F39786A"/>
    <w:multiLevelType w:val="hybridMultilevel"/>
    <w:tmpl w:val="167873E0"/>
    <w:lvl w:ilvl="0" w:tplc="1908C7CA">
      <w:start w:val="1"/>
      <w:numFmt w:val="decimal"/>
      <w:lvlText w:val="%1."/>
      <w:lvlJc w:val="left"/>
      <w:pPr>
        <w:ind w:left="1080" w:hanging="360"/>
      </w:pPr>
      <w:rPr>
        <w:rFonts w:ascii="Times New Roman" w:hAnsi="Times New Roman" w:hint="default"/>
        <w:b w:val="0"/>
        <w:i w:val="0"/>
        <w:iCs/>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0D53B7D"/>
    <w:multiLevelType w:val="hybridMultilevel"/>
    <w:tmpl w:val="22789606"/>
    <w:lvl w:ilvl="0" w:tplc="86808028">
      <w:start w:val="1"/>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21" w15:restartNumberingAfterBreak="0">
    <w:nsid w:val="526355A1"/>
    <w:multiLevelType w:val="hybridMultilevel"/>
    <w:tmpl w:val="A5E4AF86"/>
    <w:lvl w:ilvl="0" w:tplc="1D1073FC">
      <w:start w:val="1"/>
      <w:numFmt w:val="decimal"/>
      <w:lvlText w:val="%1."/>
      <w:lvlJc w:val="left"/>
      <w:pPr>
        <w:ind w:left="720" w:hanging="360"/>
      </w:pPr>
      <w:rPr>
        <w:rFonts w:ascii="Times New Roman" w:hAnsi="Times New Roman" w:cs="Times New Roman" w:hint="default"/>
        <w:b w:val="0"/>
        <w:bCs w:val="0"/>
        <w:sz w:val="22"/>
        <w:szCs w:val="22"/>
      </w:rPr>
    </w:lvl>
    <w:lvl w:ilvl="1" w:tplc="50A2BB62">
      <w:start w:val="1"/>
      <w:numFmt w:val="lowerLetter"/>
      <w:lvlText w:val="(%2)"/>
      <w:lvlJc w:val="left"/>
      <w:pPr>
        <w:ind w:left="1440" w:hanging="360"/>
      </w:pPr>
      <w:rPr>
        <w:rFonts w:hint="default"/>
        <w:b w:val="0"/>
        <w:bCs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41F7F99"/>
    <w:multiLevelType w:val="hybridMultilevel"/>
    <w:tmpl w:val="39E46708"/>
    <w:lvl w:ilvl="0" w:tplc="EC0ABC6A">
      <w:start w:val="1"/>
      <w:numFmt w:val="lowerRoman"/>
      <w:lvlText w:val="(%1)"/>
      <w:lvlJc w:val="right"/>
      <w:pPr>
        <w:ind w:left="720" w:hanging="360"/>
      </w:pPr>
      <w:rPr>
        <w:rFonts w:ascii="Times New Roman" w:hAnsi="Times New Roman" w:hint="default"/>
        <w:b w:val="0"/>
        <w:i w:val="0"/>
        <w:caps w:val="0"/>
        <w:strike w:val="0"/>
        <w:dstrike w:val="0"/>
        <w:vanish w:val="0"/>
        <w:color w:val="auto"/>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C975246"/>
    <w:multiLevelType w:val="hybridMultilevel"/>
    <w:tmpl w:val="E26A86A6"/>
    <w:lvl w:ilvl="0" w:tplc="2E20D0EE">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C01950"/>
    <w:multiLevelType w:val="hybridMultilevel"/>
    <w:tmpl w:val="8FBEE7E4"/>
    <w:lvl w:ilvl="0" w:tplc="917EF88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31E4FB9"/>
    <w:multiLevelType w:val="hybridMultilevel"/>
    <w:tmpl w:val="FFFFFFFF"/>
    <w:lvl w:ilvl="0" w:tplc="5E86C2BA">
      <w:start w:val="1"/>
      <w:numFmt w:val="upperRoman"/>
      <w:lvlText w:val="%1."/>
      <w:lvlJc w:val="left"/>
      <w:pPr>
        <w:ind w:left="720" w:hanging="360"/>
      </w:pPr>
    </w:lvl>
    <w:lvl w:ilvl="1" w:tplc="00EE21C8">
      <w:start w:val="1"/>
      <w:numFmt w:val="lowerLetter"/>
      <w:lvlText w:val="%2."/>
      <w:lvlJc w:val="left"/>
      <w:pPr>
        <w:ind w:left="1440" w:hanging="360"/>
      </w:pPr>
    </w:lvl>
    <w:lvl w:ilvl="2" w:tplc="66903304">
      <w:start w:val="1"/>
      <w:numFmt w:val="lowerRoman"/>
      <w:lvlText w:val="%3."/>
      <w:lvlJc w:val="right"/>
      <w:pPr>
        <w:ind w:left="2160" w:hanging="180"/>
      </w:pPr>
    </w:lvl>
    <w:lvl w:ilvl="3" w:tplc="B0EA728E">
      <w:start w:val="1"/>
      <w:numFmt w:val="decimal"/>
      <w:lvlText w:val="%4."/>
      <w:lvlJc w:val="left"/>
      <w:pPr>
        <w:ind w:left="2880" w:hanging="360"/>
      </w:pPr>
    </w:lvl>
    <w:lvl w:ilvl="4" w:tplc="4F58656C">
      <w:start w:val="1"/>
      <w:numFmt w:val="lowerLetter"/>
      <w:lvlText w:val="%5."/>
      <w:lvlJc w:val="left"/>
      <w:pPr>
        <w:ind w:left="3600" w:hanging="360"/>
      </w:pPr>
    </w:lvl>
    <w:lvl w:ilvl="5" w:tplc="6428ABEA">
      <w:start w:val="1"/>
      <w:numFmt w:val="lowerRoman"/>
      <w:lvlText w:val="%6."/>
      <w:lvlJc w:val="right"/>
      <w:pPr>
        <w:ind w:left="4320" w:hanging="180"/>
      </w:pPr>
    </w:lvl>
    <w:lvl w:ilvl="6" w:tplc="DD606EC0">
      <w:start w:val="1"/>
      <w:numFmt w:val="decimal"/>
      <w:lvlText w:val="%7."/>
      <w:lvlJc w:val="left"/>
      <w:pPr>
        <w:ind w:left="5040" w:hanging="360"/>
      </w:pPr>
    </w:lvl>
    <w:lvl w:ilvl="7" w:tplc="1A405220">
      <w:start w:val="1"/>
      <w:numFmt w:val="lowerLetter"/>
      <w:lvlText w:val="%8."/>
      <w:lvlJc w:val="left"/>
      <w:pPr>
        <w:ind w:left="5760" w:hanging="360"/>
      </w:pPr>
    </w:lvl>
    <w:lvl w:ilvl="8" w:tplc="0A8886DA">
      <w:start w:val="1"/>
      <w:numFmt w:val="lowerRoman"/>
      <w:lvlText w:val="%9."/>
      <w:lvlJc w:val="right"/>
      <w:pPr>
        <w:ind w:left="6480" w:hanging="180"/>
      </w:pPr>
    </w:lvl>
  </w:abstractNum>
  <w:abstractNum w:abstractNumId="26" w15:restartNumberingAfterBreak="0">
    <w:nsid w:val="6B155993"/>
    <w:multiLevelType w:val="multilevel"/>
    <w:tmpl w:val="39640A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B726FE"/>
    <w:multiLevelType w:val="hybridMultilevel"/>
    <w:tmpl w:val="F11202DC"/>
    <w:lvl w:ilvl="0" w:tplc="08A60150">
      <w:start w:val="1"/>
      <w:numFmt w:val="upp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C923742"/>
    <w:multiLevelType w:val="hybridMultilevel"/>
    <w:tmpl w:val="19AAD470"/>
    <w:lvl w:ilvl="0" w:tplc="E034EDD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7E781567"/>
    <w:multiLevelType w:val="hybridMultilevel"/>
    <w:tmpl w:val="39E46708"/>
    <w:lvl w:ilvl="0" w:tplc="EC0ABC6A">
      <w:start w:val="1"/>
      <w:numFmt w:val="lowerRoman"/>
      <w:lvlText w:val="(%1)"/>
      <w:lvlJc w:val="right"/>
      <w:pPr>
        <w:ind w:left="720" w:hanging="360"/>
      </w:pPr>
      <w:rPr>
        <w:rFonts w:ascii="Times New Roman" w:hAnsi="Times New Roman" w:hint="default"/>
        <w:b w:val="0"/>
        <w:i w:val="0"/>
        <w:caps w:val="0"/>
        <w:strike w:val="0"/>
        <w:dstrike w:val="0"/>
        <w:vanish w:val="0"/>
        <w:color w:val="auto"/>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8"/>
  </w:num>
  <w:num w:numId="3">
    <w:abstractNumId w:val="15"/>
  </w:num>
  <w:num w:numId="4">
    <w:abstractNumId w:val="27"/>
  </w:num>
  <w:num w:numId="5">
    <w:abstractNumId w:val="23"/>
  </w:num>
  <w:num w:numId="6">
    <w:abstractNumId w:val="16"/>
  </w:num>
  <w:num w:numId="7">
    <w:abstractNumId w:val="8"/>
  </w:num>
  <w:num w:numId="8">
    <w:abstractNumId w:val="20"/>
  </w:num>
  <w:num w:numId="9">
    <w:abstractNumId w:val="4"/>
  </w:num>
  <w:num w:numId="10">
    <w:abstractNumId w:val="29"/>
  </w:num>
  <w:num w:numId="11">
    <w:abstractNumId w:val="19"/>
  </w:num>
  <w:num w:numId="12">
    <w:abstractNumId w:val="7"/>
  </w:num>
  <w:num w:numId="13">
    <w:abstractNumId w:val="17"/>
  </w:num>
  <w:num w:numId="14">
    <w:abstractNumId w:val="21"/>
  </w:num>
  <w:num w:numId="15">
    <w:abstractNumId w:val="25"/>
  </w:num>
  <w:num w:numId="16">
    <w:abstractNumId w:val="2"/>
  </w:num>
  <w:num w:numId="17">
    <w:abstractNumId w:val="14"/>
  </w:num>
  <w:num w:numId="18">
    <w:abstractNumId w:val="30"/>
  </w:num>
  <w:num w:numId="19">
    <w:abstractNumId w:val="5"/>
  </w:num>
  <w:num w:numId="20">
    <w:abstractNumId w:val="13"/>
  </w:num>
  <w:num w:numId="21">
    <w:abstractNumId w:val="1"/>
  </w:num>
  <w:num w:numId="22">
    <w:abstractNumId w:val="24"/>
  </w:num>
  <w:num w:numId="23">
    <w:abstractNumId w:val="22"/>
  </w:num>
  <w:num w:numId="24">
    <w:abstractNumId w:val="3"/>
  </w:num>
  <w:num w:numId="25">
    <w:abstractNumId w:val="11"/>
  </w:num>
  <w:num w:numId="26">
    <w:abstractNumId w:val="9"/>
  </w:num>
  <w:num w:numId="27">
    <w:abstractNumId w:val="12"/>
  </w:num>
  <w:num w:numId="28">
    <w:abstractNumId w:val="6"/>
  </w:num>
  <w:num w:numId="29">
    <w:abstractNumId w:val="26"/>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18"/>
  </w:num>
  <w:num w:numId="47">
    <w:abstractNumId w:val="18"/>
  </w:num>
  <w:num w:numId="48">
    <w:abstractNumId w:val="18"/>
  </w:num>
  <w:num w:numId="49">
    <w:abstractNumId w:val="18"/>
  </w:num>
  <w:num w:numId="50">
    <w:abstractNumId w:val="18"/>
  </w:num>
  <w:num w:numId="51">
    <w:abstractNumId w:val="18"/>
  </w:num>
  <w:num w:numId="52">
    <w:abstractNumId w:val="18"/>
  </w:num>
  <w:num w:numId="53">
    <w:abstractNumId w:val="18"/>
  </w:num>
  <w:num w:numId="54">
    <w:abstractNumId w:val="18"/>
  </w:num>
  <w:num w:numId="55">
    <w:abstractNumId w:val="18"/>
  </w:num>
  <w:num w:numId="56">
    <w:abstractNumId w:val="18"/>
  </w:num>
  <w:num w:numId="57">
    <w:abstractNumId w:val="18"/>
  </w:num>
  <w:num w:numId="58">
    <w:abstractNumId w:val="18"/>
  </w:num>
  <w:num w:numId="59">
    <w:abstractNumId w:val="18"/>
  </w:num>
  <w:num w:numId="60">
    <w:abstractNumId w:val="18"/>
  </w:num>
  <w:num w:numId="61">
    <w:abstractNumId w:val="18"/>
  </w:num>
  <w:num w:numId="62">
    <w:abstractNumId w:val="18"/>
  </w:num>
  <w:num w:numId="63">
    <w:abstractNumId w:val="18"/>
  </w:num>
  <w:num w:numId="64">
    <w:abstractNumId w:val="18"/>
  </w:num>
  <w:num w:numId="65">
    <w:abstractNumId w:val="18"/>
  </w:num>
  <w:num w:numId="66">
    <w:abstractNumId w:val="18"/>
  </w:num>
  <w:num w:numId="67">
    <w:abstractNumId w:val="18"/>
  </w:num>
  <w:num w:numId="68">
    <w:abstractNumId w:val="18"/>
  </w:num>
  <w:num w:numId="69">
    <w:abstractNumId w:val="18"/>
  </w:num>
  <w:num w:numId="70">
    <w:abstractNumId w:val="18"/>
  </w:num>
  <w:num w:numId="71">
    <w:abstractNumId w:val="18"/>
  </w:num>
  <w:num w:numId="72">
    <w:abstractNumId w:val="18"/>
  </w:num>
  <w:num w:numId="73">
    <w:abstractNumId w:val="28"/>
  </w:num>
  <w:num w:numId="74">
    <w:abstractNumId w:val="18"/>
  </w:num>
  <w:num w:numId="75">
    <w:abstractNumId w:val="18"/>
  </w:num>
  <w:num w:numId="76">
    <w:abstractNumId w:val="18"/>
  </w:num>
  <w:num w:numId="77">
    <w:abstractNumId w:val="18"/>
  </w:num>
  <w:num w:numId="78">
    <w:abstractNumId w:val="18"/>
  </w:num>
  <w:num w:numId="79">
    <w:abstractNumId w:val="18"/>
  </w:num>
  <w:num w:numId="80">
    <w:abstractNumId w:val="18"/>
  </w:num>
  <w:num w:numId="81">
    <w:abstractNumId w:val="18"/>
  </w:num>
  <w:num w:numId="82">
    <w:abstractNumId w:val="18"/>
  </w:num>
  <w:num w:numId="83">
    <w:abstractNumId w:val="18"/>
  </w:num>
  <w:num w:numId="84">
    <w:abstractNumId w:val="18"/>
  </w:num>
  <w:num w:numId="85">
    <w:abstractNumId w:val="18"/>
  </w:num>
  <w:num w:numId="86">
    <w:abstractNumId w:val="18"/>
  </w:num>
  <w:num w:numId="87">
    <w:abstractNumId w:val="18"/>
  </w:num>
  <w:num w:numId="88">
    <w:abstractNumId w:val="18"/>
  </w:num>
  <w:num w:numId="89">
    <w:abstractNumId w:val="18"/>
  </w:num>
  <w:num w:numId="90">
    <w:abstractNumId w:val="18"/>
  </w:num>
  <w:num w:numId="91">
    <w:abstractNumId w:val="18"/>
  </w:num>
  <w:num w:numId="92">
    <w:abstractNumId w:val="18"/>
  </w:num>
  <w:num w:numId="93">
    <w:abstractNumId w:val="18"/>
  </w:num>
  <w:num w:numId="94">
    <w:abstractNumId w:val="18"/>
  </w:num>
  <w:num w:numId="95">
    <w:abstractNumId w:val="18"/>
  </w:num>
  <w:num w:numId="96">
    <w:abstractNumId w:val="18"/>
  </w:num>
  <w:num w:numId="97">
    <w:abstractNumId w:val="18"/>
  </w:num>
  <w:num w:numId="98">
    <w:abstractNumId w:val="18"/>
  </w:num>
  <w:num w:numId="99">
    <w:abstractNumId w:val="18"/>
  </w:num>
  <w:num w:numId="100">
    <w:abstractNumId w:val="18"/>
  </w:num>
  <w:num w:numId="101">
    <w:abstractNumId w:val="18"/>
  </w:num>
  <w:num w:numId="102">
    <w:abstractNumId w:val="18"/>
  </w:num>
  <w:num w:numId="103">
    <w:abstractNumId w:val="18"/>
  </w:num>
  <w:num w:numId="104">
    <w:abstractNumId w:val="18"/>
  </w:num>
  <w:num w:numId="105">
    <w:abstractNumId w:val="18"/>
  </w:num>
  <w:num w:numId="106">
    <w:abstractNumId w:val="18"/>
  </w:num>
  <w:num w:numId="107">
    <w:abstractNumId w:val="18"/>
  </w:num>
  <w:num w:numId="108">
    <w:abstractNumId w:val="18"/>
  </w:num>
  <w:num w:numId="109">
    <w:abstractNumId w:val="18"/>
  </w:num>
  <w:num w:numId="110">
    <w:abstractNumId w:val="18"/>
  </w:num>
  <w:num w:numId="111">
    <w:abstractNumId w:val="18"/>
  </w:num>
  <w:num w:numId="112">
    <w:abstractNumId w:val="18"/>
  </w:num>
  <w:num w:numId="113">
    <w:abstractNumId w:val="18"/>
  </w:num>
  <w:num w:numId="114">
    <w:abstractNumId w:val="18"/>
  </w:num>
  <w:num w:numId="115">
    <w:abstractNumId w:val="18"/>
  </w:num>
  <w:num w:numId="116">
    <w:abstractNumId w:val="0"/>
  </w:num>
  <w:num w:numId="117">
    <w:abstractNumId w:val="18"/>
  </w:num>
  <w:num w:numId="118">
    <w:abstractNumId w:val="18"/>
  </w:num>
  <w:num w:numId="119">
    <w:abstractNumId w:val="18"/>
  </w:num>
  <w:num w:numId="120">
    <w:abstractNumId w:val="18"/>
  </w:num>
  <w:num w:numId="121">
    <w:abstractNumId w:val="18"/>
  </w:num>
  <w:num w:numId="122">
    <w:abstractNumId w:val="18"/>
  </w:num>
  <w:num w:numId="123">
    <w:abstractNumId w:val="18"/>
  </w:num>
  <w:num w:numId="124">
    <w:abstractNumId w:val="18"/>
  </w:num>
  <w:num w:numId="125">
    <w:abstractNumId w:val="18"/>
  </w:num>
  <w:num w:numId="126">
    <w:abstractNumId w:val="18"/>
  </w:num>
  <w:num w:numId="127">
    <w:abstractNumId w:val="18"/>
  </w:num>
  <w:num w:numId="128">
    <w:abstractNumId w:val="18"/>
  </w:num>
  <w:num w:numId="129">
    <w:abstractNumId w:val="18"/>
  </w:num>
  <w:num w:numId="130">
    <w:abstractNumId w:val="18"/>
  </w:num>
  <w:num w:numId="131">
    <w:abstractNumId w:val="18"/>
  </w:num>
  <w:num w:numId="132">
    <w:abstractNumId w:val="18"/>
  </w:num>
  <w:num w:numId="133">
    <w:abstractNumId w:val="18"/>
  </w:num>
  <w:num w:numId="1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6177"/>
    <w:rsid w:val="00010A11"/>
    <w:rsid w:val="00014F87"/>
    <w:rsid w:val="0002011C"/>
    <w:rsid w:val="000205C2"/>
    <w:rsid w:val="00024CB1"/>
    <w:rsid w:val="000257A2"/>
    <w:rsid w:val="000279C0"/>
    <w:rsid w:val="00027E30"/>
    <w:rsid w:val="0003142E"/>
    <w:rsid w:val="0004111B"/>
    <w:rsid w:val="00045893"/>
    <w:rsid w:val="000540E1"/>
    <w:rsid w:val="000563FE"/>
    <w:rsid w:val="000679AE"/>
    <w:rsid w:val="0007171B"/>
    <w:rsid w:val="0007174A"/>
    <w:rsid w:val="00071D6F"/>
    <w:rsid w:val="0007766A"/>
    <w:rsid w:val="00077816"/>
    <w:rsid w:val="00077FC7"/>
    <w:rsid w:val="00085D8D"/>
    <w:rsid w:val="000870E5"/>
    <w:rsid w:val="0009205A"/>
    <w:rsid w:val="00095BF6"/>
    <w:rsid w:val="000A6BFC"/>
    <w:rsid w:val="000B00AD"/>
    <w:rsid w:val="000B176C"/>
    <w:rsid w:val="000B3808"/>
    <w:rsid w:val="000C021E"/>
    <w:rsid w:val="000D1EA9"/>
    <w:rsid w:val="000D3364"/>
    <w:rsid w:val="000D6E31"/>
    <w:rsid w:val="000D6FC4"/>
    <w:rsid w:val="000E5BA8"/>
    <w:rsid w:val="000E673A"/>
    <w:rsid w:val="000E74E1"/>
    <w:rsid w:val="000F029F"/>
    <w:rsid w:val="000F09E6"/>
    <w:rsid w:val="000F539B"/>
    <w:rsid w:val="000F692F"/>
    <w:rsid w:val="000F74F5"/>
    <w:rsid w:val="0010160C"/>
    <w:rsid w:val="00101BE3"/>
    <w:rsid w:val="00105372"/>
    <w:rsid w:val="0011101C"/>
    <w:rsid w:val="001208E2"/>
    <w:rsid w:val="0012154C"/>
    <w:rsid w:val="00124A8C"/>
    <w:rsid w:val="001312AD"/>
    <w:rsid w:val="00131E7A"/>
    <w:rsid w:val="00133090"/>
    <w:rsid w:val="00134846"/>
    <w:rsid w:val="0013703F"/>
    <w:rsid w:val="00141E40"/>
    <w:rsid w:val="00145671"/>
    <w:rsid w:val="00153C7C"/>
    <w:rsid w:val="00163787"/>
    <w:rsid w:val="0016390D"/>
    <w:rsid w:val="00167D62"/>
    <w:rsid w:val="001714DC"/>
    <w:rsid w:val="00172560"/>
    <w:rsid w:val="001729FA"/>
    <w:rsid w:val="00172AF6"/>
    <w:rsid w:val="0017391B"/>
    <w:rsid w:val="00174E15"/>
    <w:rsid w:val="00174E54"/>
    <w:rsid w:val="00174F42"/>
    <w:rsid w:val="00176CEE"/>
    <w:rsid w:val="001801BC"/>
    <w:rsid w:val="00182AE0"/>
    <w:rsid w:val="001844FC"/>
    <w:rsid w:val="00186DD8"/>
    <w:rsid w:val="0019038C"/>
    <w:rsid w:val="001910F6"/>
    <w:rsid w:val="0019770D"/>
    <w:rsid w:val="001A24D6"/>
    <w:rsid w:val="001A2FEA"/>
    <w:rsid w:val="001A4D10"/>
    <w:rsid w:val="001A55E0"/>
    <w:rsid w:val="001B036F"/>
    <w:rsid w:val="001B13FE"/>
    <w:rsid w:val="001B7E44"/>
    <w:rsid w:val="001D2A2B"/>
    <w:rsid w:val="001D34E6"/>
    <w:rsid w:val="001D668C"/>
    <w:rsid w:val="001D69E8"/>
    <w:rsid w:val="001D7CD6"/>
    <w:rsid w:val="001E7A77"/>
    <w:rsid w:val="001F0DF5"/>
    <w:rsid w:val="001F61FE"/>
    <w:rsid w:val="00201ADB"/>
    <w:rsid w:val="0020380A"/>
    <w:rsid w:val="00206E3F"/>
    <w:rsid w:val="00210CA2"/>
    <w:rsid w:val="00215720"/>
    <w:rsid w:val="002178CB"/>
    <w:rsid w:val="00217B6C"/>
    <w:rsid w:val="002217F7"/>
    <w:rsid w:val="00222EB3"/>
    <w:rsid w:val="0023129E"/>
    <w:rsid w:val="00232FFE"/>
    <w:rsid w:val="00240E92"/>
    <w:rsid w:val="002421E1"/>
    <w:rsid w:val="00245DE5"/>
    <w:rsid w:val="00254114"/>
    <w:rsid w:val="00254AD0"/>
    <w:rsid w:val="0025546C"/>
    <w:rsid w:val="00257FE8"/>
    <w:rsid w:val="00263DB4"/>
    <w:rsid w:val="00265564"/>
    <w:rsid w:val="002667D8"/>
    <w:rsid w:val="0027024F"/>
    <w:rsid w:val="00272F3A"/>
    <w:rsid w:val="00273B41"/>
    <w:rsid w:val="002805B0"/>
    <w:rsid w:val="00283E34"/>
    <w:rsid w:val="00286E92"/>
    <w:rsid w:val="002879B7"/>
    <w:rsid w:val="002919A6"/>
    <w:rsid w:val="00297FB5"/>
    <w:rsid w:val="002A1EA6"/>
    <w:rsid w:val="002A6FC6"/>
    <w:rsid w:val="002A7628"/>
    <w:rsid w:val="002C277C"/>
    <w:rsid w:val="002E0D14"/>
    <w:rsid w:val="002E2A10"/>
    <w:rsid w:val="002E5009"/>
    <w:rsid w:val="002E599D"/>
    <w:rsid w:val="002F3094"/>
    <w:rsid w:val="002F310E"/>
    <w:rsid w:val="0030169D"/>
    <w:rsid w:val="0030183F"/>
    <w:rsid w:val="00303403"/>
    <w:rsid w:val="003060EB"/>
    <w:rsid w:val="0031181A"/>
    <w:rsid w:val="003153EB"/>
    <w:rsid w:val="003211C9"/>
    <w:rsid w:val="003217EA"/>
    <w:rsid w:val="003218C8"/>
    <w:rsid w:val="00321985"/>
    <w:rsid w:val="00324E61"/>
    <w:rsid w:val="0032502A"/>
    <w:rsid w:val="00330E01"/>
    <w:rsid w:val="003312CA"/>
    <w:rsid w:val="00335044"/>
    <w:rsid w:val="003350EC"/>
    <w:rsid w:val="0034428E"/>
    <w:rsid w:val="00344509"/>
    <w:rsid w:val="003469EF"/>
    <w:rsid w:val="00350667"/>
    <w:rsid w:val="00351205"/>
    <w:rsid w:val="00353288"/>
    <w:rsid w:val="00354E38"/>
    <w:rsid w:val="00355663"/>
    <w:rsid w:val="00362600"/>
    <w:rsid w:val="00366E2B"/>
    <w:rsid w:val="00367F29"/>
    <w:rsid w:val="00372F74"/>
    <w:rsid w:val="00375473"/>
    <w:rsid w:val="003772D2"/>
    <w:rsid w:val="00380E9B"/>
    <w:rsid w:val="003817D9"/>
    <w:rsid w:val="00384291"/>
    <w:rsid w:val="0038475C"/>
    <w:rsid w:val="00386290"/>
    <w:rsid w:val="003945B8"/>
    <w:rsid w:val="00394DBF"/>
    <w:rsid w:val="00395C3A"/>
    <w:rsid w:val="00397724"/>
    <w:rsid w:val="003A2E59"/>
    <w:rsid w:val="003A4C0F"/>
    <w:rsid w:val="003A7909"/>
    <w:rsid w:val="003B31ED"/>
    <w:rsid w:val="003C38A6"/>
    <w:rsid w:val="003D12B0"/>
    <w:rsid w:val="003D32F6"/>
    <w:rsid w:val="003D3DEB"/>
    <w:rsid w:val="003D4CF2"/>
    <w:rsid w:val="003E3F83"/>
    <w:rsid w:val="003F59B6"/>
    <w:rsid w:val="003F7224"/>
    <w:rsid w:val="003F75D9"/>
    <w:rsid w:val="00416BD4"/>
    <w:rsid w:val="0042423B"/>
    <w:rsid w:val="0042779B"/>
    <w:rsid w:val="00427D21"/>
    <w:rsid w:val="00430367"/>
    <w:rsid w:val="00431F85"/>
    <w:rsid w:val="004408F2"/>
    <w:rsid w:val="004418A1"/>
    <w:rsid w:val="00446C72"/>
    <w:rsid w:val="00450527"/>
    <w:rsid w:val="004555B7"/>
    <w:rsid w:val="00461AAC"/>
    <w:rsid w:val="004644C2"/>
    <w:rsid w:val="004661E8"/>
    <w:rsid w:val="004675A3"/>
    <w:rsid w:val="00467F9C"/>
    <w:rsid w:val="0047138B"/>
    <w:rsid w:val="004731B3"/>
    <w:rsid w:val="004814D4"/>
    <w:rsid w:val="004900D3"/>
    <w:rsid w:val="00494504"/>
    <w:rsid w:val="004979B3"/>
    <w:rsid w:val="004A21FC"/>
    <w:rsid w:val="004A6AB2"/>
    <w:rsid w:val="004B1BE8"/>
    <w:rsid w:val="004B69A9"/>
    <w:rsid w:val="004B6F81"/>
    <w:rsid w:val="004C08EA"/>
    <w:rsid w:val="004C1DB1"/>
    <w:rsid w:val="004C2540"/>
    <w:rsid w:val="004D167B"/>
    <w:rsid w:val="004E3E98"/>
    <w:rsid w:val="004F0747"/>
    <w:rsid w:val="004F4403"/>
    <w:rsid w:val="00505444"/>
    <w:rsid w:val="00505B79"/>
    <w:rsid w:val="00505D8F"/>
    <w:rsid w:val="005238FA"/>
    <w:rsid w:val="00523C04"/>
    <w:rsid w:val="00526B29"/>
    <w:rsid w:val="0053082E"/>
    <w:rsid w:val="00532644"/>
    <w:rsid w:val="00534681"/>
    <w:rsid w:val="005510A2"/>
    <w:rsid w:val="00563442"/>
    <w:rsid w:val="0056366E"/>
    <w:rsid w:val="005656F6"/>
    <w:rsid w:val="00565B42"/>
    <w:rsid w:val="00570391"/>
    <w:rsid w:val="00573A52"/>
    <w:rsid w:val="005761BF"/>
    <w:rsid w:val="005808EB"/>
    <w:rsid w:val="005877A6"/>
    <w:rsid w:val="005901FC"/>
    <w:rsid w:val="00593B49"/>
    <w:rsid w:val="005A1F7D"/>
    <w:rsid w:val="005A50E9"/>
    <w:rsid w:val="005B0AA3"/>
    <w:rsid w:val="005B281B"/>
    <w:rsid w:val="005B6744"/>
    <w:rsid w:val="005C3845"/>
    <w:rsid w:val="005C4CE6"/>
    <w:rsid w:val="005C528B"/>
    <w:rsid w:val="005C5B5A"/>
    <w:rsid w:val="005C69E6"/>
    <w:rsid w:val="005C7D30"/>
    <w:rsid w:val="005C7DF3"/>
    <w:rsid w:val="005D0420"/>
    <w:rsid w:val="005D5B4B"/>
    <w:rsid w:val="005D7C56"/>
    <w:rsid w:val="005F011D"/>
    <w:rsid w:val="005F2598"/>
    <w:rsid w:val="005F2EFB"/>
    <w:rsid w:val="005F6CB9"/>
    <w:rsid w:val="005F7085"/>
    <w:rsid w:val="005F7F59"/>
    <w:rsid w:val="006020C0"/>
    <w:rsid w:val="00603852"/>
    <w:rsid w:val="006122BA"/>
    <w:rsid w:val="00613788"/>
    <w:rsid w:val="00614725"/>
    <w:rsid w:val="0062662C"/>
    <w:rsid w:val="00633332"/>
    <w:rsid w:val="0063540E"/>
    <w:rsid w:val="00637314"/>
    <w:rsid w:val="00637E4B"/>
    <w:rsid w:val="00640F4A"/>
    <w:rsid w:val="0064570B"/>
    <w:rsid w:val="00646C1E"/>
    <w:rsid w:val="00651F00"/>
    <w:rsid w:val="00656344"/>
    <w:rsid w:val="0065665D"/>
    <w:rsid w:val="00656742"/>
    <w:rsid w:val="00665A25"/>
    <w:rsid w:val="006762FC"/>
    <w:rsid w:val="0068212C"/>
    <w:rsid w:val="0068431C"/>
    <w:rsid w:val="00695B14"/>
    <w:rsid w:val="006962C7"/>
    <w:rsid w:val="006A3A5D"/>
    <w:rsid w:val="006A5855"/>
    <w:rsid w:val="006B1A70"/>
    <w:rsid w:val="006B2290"/>
    <w:rsid w:val="006C7815"/>
    <w:rsid w:val="006D044D"/>
    <w:rsid w:val="006E00B1"/>
    <w:rsid w:val="006E47E2"/>
    <w:rsid w:val="006E50D6"/>
    <w:rsid w:val="006E6EFA"/>
    <w:rsid w:val="006F1F11"/>
    <w:rsid w:val="006F425F"/>
    <w:rsid w:val="006F79EB"/>
    <w:rsid w:val="00703160"/>
    <w:rsid w:val="00704366"/>
    <w:rsid w:val="00710AB3"/>
    <w:rsid w:val="007116CD"/>
    <w:rsid w:val="007141A2"/>
    <w:rsid w:val="007162B9"/>
    <w:rsid w:val="00717D88"/>
    <w:rsid w:val="00720A3D"/>
    <w:rsid w:val="007260C0"/>
    <w:rsid w:val="007347A4"/>
    <w:rsid w:val="00734E21"/>
    <w:rsid w:val="00736F27"/>
    <w:rsid w:val="00755F6E"/>
    <w:rsid w:val="00763E99"/>
    <w:rsid w:val="007646A6"/>
    <w:rsid w:val="00764B4B"/>
    <w:rsid w:val="0076611D"/>
    <w:rsid w:val="00770FC1"/>
    <w:rsid w:val="0077250B"/>
    <w:rsid w:val="0077515E"/>
    <w:rsid w:val="00776EF2"/>
    <w:rsid w:val="007775AD"/>
    <w:rsid w:val="007804B5"/>
    <w:rsid w:val="00781C6A"/>
    <w:rsid w:val="00786056"/>
    <w:rsid w:val="00787983"/>
    <w:rsid w:val="00790B0E"/>
    <w:rsid w:val="00794280"/>
    <w:rsid w:val="007942D3"/>
    <w:rsid w:val="007A493C"/>
    <w:rsid w:val="007B2099"/>
    <w:rsid w:val="007B5F11"/>
    <w:rsid w:val="007B6C09"/>
    <w:rsid w:val="007B7741"/>
    <w:rsid w:val="007C4143"/>
    <w:rsid w:val="007C5E0A"/>
    <w:rsid w:val="007C6D48"/>
    <w:rsid w:val="007D36E7"/>
    <w:rsid w:val="007D68DE"/>
    <w:rsid w:val="007E09DA"/>
    <w:rsid w:val="007E61E8"/>
    <w:rsid w:val="007E7970"/>
    <w:rsid w:val="007E7B1A"/>
    <w:rsid w:val="007F14B5"/>
    <w:rsid w:val="007F2B14"/>
    <w:rsid w:val="007F5621"/>
    <w:rsid w:val="007F7DF2"/>
    <w:rsid w:val="00800275"/>
    <w:rsid w:val="00804B70"/>
    <w:rsid w:val="008065A3"/>
    <w:rsid w:val="00811877"/>
    <w:rsid w:val="00816EBE"/>
    <w:rsid w:val="008178B6"/>
    <w:rsid w:val="0082269F"/>
    <w:rsid w:val="008234A8"/>
    <w:rsid w:val="008238A5"/>
    <w:rsid w:val="00823C90"/>
    <w:rsid w:val="0082759B"/>
    <w:rsid w:val="008331EE"/>
    <w:rsid w:val="00834483"/>
    <w:rsid w:val="0084007F"/>
    <w:rsid w:val="0084120C"/>
    <w:rsid w:val="008418D2"/>
    <w:rsid w:val="0085361C"/>
    <w:rsid w:val="00855286"/>
    <w:rsid w:val="008576BE"/>
    <w:rsid w:val="00862C7C"/>
    <w:rsid w:val="00865B74"/>
    <w:rsid w:val="00867FFB"/>
    <w:rsid w:val="008732F9"/>
    <w:rsid w:val="00873601"/>
    <w:rsid w:val="00873913"/>
    <w:rsid w:val="008739C0"/>
    <w:rsid w:val="00885530"/>
    <w:rsid w:val="00886725"/>
    <w:rsid w:val="00890BCE"/>
    <w:rsid w:val="0089110D"/>
    <w:rsid w:val="00892B38"/>
    <w:rsid w:val="008935FF"/>
    <w:rsid w:val="00894430"/>
    <w:rsid w:val="00896F1A"/>
    <w:rsid w:val="008974F0"/>
    <w:rsid w:val="008A3739"/>
    <w:rsid w:val="008A5236"/>
    <w:rsid w:val="008A63FD"/>
    <w:rsid w:val="008B012A"/>
    <w:rsid w:val="008B3DF0"/>
    <w:rsid w:val="008B6190"/>
    <w:rsid w:val="008B6920"/>
    <w:rsid w:val="008C4CD6"/>
    <w:rsid w:val="008C4DEE"/>
    <w:rsid w:val="008E0427"/>
    <w:rsid w:val="008E5DA3"/>
    <w:rsid w:val="008F135B"/>
    <w:rsid w:val="008F1F60"/>
    <w:rsid w:val="008F24F2"/>
    <w:rsid w:val="008F3EC1"/>
    <w:rsid w:val="008F6339"/>
    <w:rsid w:val="00902123"/>
    <w:rsid w:val="00903A6C"/>
    <w:rsid w:val="00903B15"/>
    <w:rsid w:val="00906479"/>
    <w:rsid w:val="00906C1B"/>
    <w:rsid w:val="00906E17"/>
    <w:rsid w:val="00907CDD"/>
    <w:rsid w:val="00910518"/>
    <w:rsid w:val="00911042"/>
    <w:rsid w:val="00911424"/>
    <w:rsid w:val="00913EB8"/>
    <w:rsid w:val="00915E7E"/>
    <w:rsid w:val="009170AA"/>
    <w:rsid w:val="00921F1C"/>
    <w:rsid w:val="009236B5"/>
    <w:rsid w:val="009267C1"/>
    <w:rsid w:val="00930BA1"/>
    <w:rsid w:val="0093169E"/>
    <w:rsid w:val="009327AB"/>
    <w:rsid w:val="00932B9A"/>
    <w:rsid w:val="00942B1F"/>
    <w:rsid w:val="00945486"/>
    <w:rsid w:val="009505C9"/>
    <w:rsid w:val="00950752"/>
    <w:rsid w:val="00951DD5"/>
    <w:rsid w:val="00953051"/>
    <w:rsid w:val="00955F5B"/>
    <w:rsid w:val="00960E01"/>
    <w:rsid w:val="00961C05"/>
    <w:rsid w:val="00963869"/>
    <w:rsid w:val="009640F7"/>
    <w:rsid w:val="00966424"/>
    <w:rsid w:val="00967982"/>
    <w:rsid w:val="00981583"/>
    <w:rsid w:val="009815F7"/>
    <w:rsid w:val="00985283"/>
    <w:rsid w:val="00986794"/>
    <w:rsid w:val="00992B8D"/>
    <w:rsid w:val="009A1A3C"/>
    <w:rsid w:val="009A37D6"/>
    <w:rsid w:val="009A3F46"/>
    <w:rsid w:val="009A7608"/>
    <w:rsid w:val="009B0472"/>
    <w:rsid w:val="009B09B3"/>
    <w:rsid w:val="009B6325"/>
    <w:rsid w:val="009B75F2"/>
    <w:rsid w:val="009C2A6F"/>
    <w:rsid w:val="009C2DE6"/>
    <w:rsid w:val="009D4285"/>
    <w:rsid w:val="009D4D77"/>
    <w:rsid w:val="009D7915"/>
    <w:rsid w:val="009E2EFB"/>
    <w:rsid w:val="009E4C54"/>
    <w:rsid w:val="009F2039"/>
    <w:rsid w:val="009F7993"/>
    <w:rsid w:val="00A00C63"/>
    <w:rsid w:val="00A044CA"/>
    <w:rsid w:val="00A04F9F"/>
    <w:rsid w:val="00A05A9C"/>
    <w:rsid w:val="00A10B3D"/>
    <w:rsid w:val="00A1267F"/>
    <w:rsid w:val="00A16B6C"/>
    <w:rsid w:val="00A17BBD"/>
    <w:rsid w:val="00A21EED"/>
    <w:rsid w:val="00A257A1"/>
    <w:rsid w:val="00A26CAD"/>
    <w:rsid w:val="00A27365"/>
    <w:rsid w:val="00A276AE"/>
    <w:rsid w:val="00A37B4A"/>
    <w:rsid w:val="00A40FA3"/>
    <w:rsid w:val="00A57369"/>
    <w:rsid w:val="00A6266B"/>
    <w:rsid w:val="00A65F3E"/>
    <w:rsid w:val="00A663E4"/>
    <w:rsid w:val="00A7043F"/>
    <w:rsid w:val="00A71FA1"/>
    <w:rsid w:val="00A73817"/>
    <w:rsid w:val="00A8125A"/>
    <w:rsid w:val="00A84BE8"/>
    <w:rsid w:val="00A877D9"/>
    <w:rsid w:val="00A90564"/>
    <w:rsid w:val="00A918E2"/>
    <w:rsid w:val="00A95243"/>
    <w:rsid w:val="00A96C0D"/>
    <w:rsid w:val="00AA3915"/>
    <w:rsid w:val="00AA5899"/>
    <w:rsid w:val="00AA6F92"/>
    <w:rsid w:val="00AB17CD"/>
    <w:rsid w:val="00AB35E2"/>
    <w:rsid w:val="00AB51FA"/>
    <w:rsid w:val="00AB553E"/>
    <w:rsid w:val="00AB6934"/>
    <w:rsid w:val="00AC0A80"/>
    <w:rsid w:val="00AC2652"/>
    <w:rsid w:val="00AC53B2"/>
    <w:rsid w:val="00AC7727"/>
    <w:rsid w:val="00AD3D6D"/>
    <w:rsid w:val="00AD4BD4"/>
    <w:rsid w:val="00AD7694"/>
    <w:rsid w:val="00AD7A7C"/>
    <w:rsid w:val="00AE5B73"/>
    <w:rsid w:val="00AE5B9D"/>
    <w:rsid w:val="00AF3F86"/>
    <w:rsid w:val="00AF42DE"/>
    <w:rsid w:val="00AF7564"/>
    <w:rsid w:val="00B12B8E"/>
    <w:rsid w:val="00B2041D"/>
    <w:rsid w:val="00B220FC"/>
    <w:rsid w:val="00B2270E"/>
    <w:rsid w:val="00B24729"/>
    <w:rsid w:val="00B25DD8"/>
    <w:rsid w:val="00B31126"/>
    <w:rsid w:val="00B328AC"/>
    <w:rsid w:val="00B3369F"/>
    <w:rsid w:val="00B37DAD"/>
    <w:rsid w:val="00B409C5"/>
    <w:rsid w:val="00B42411"/>
    <w:rsid w:val="00B43ABA"/>
    <w:rsid w:val="00B43FE2"/>
    <w:rsid w:val="00B4493F"/>
    <w:rsid w:val="00B44D13"/>
    <w:rsid w:val="00B45926"/>
    <w:rsid w:val="00B62DCF"/>
    <w:rsid w:val="00B63559"/>
    <w:rsid w:val="00B67340"/>
    <w:rsid w:val="00B67390"/>
    <w:rsid w:val="00B7193F"/>
    <w:rsid w:val="00B835D9"/>
    <w:rsid w:val="00B94230"/>
    <w:rsid w:val="00B94296"/>
    <w:rsid w:val="00B94E6C"/>
    <w:rsid w:val="00BB4606"/>
    <w:rsid w:val="00BB57B6"/>
    <w:rsid w:val="00BC0510"/>
    <w:rsid w:val="00BC7D2E"/>
    <w:rsid w:val="00BD3494"/>
    <w:rsid w:val="00BD397E"/>
    <w:rsid w:val="00BD62C9"/>
    <w:rsid w:val="00BD7BE2"/>
    <w:rsid w:val="00BD7FF6"/>
    <w:rsid w:val="00BF07A2"/>
    <w:rsid w:val="00BF08AC"/>
    <w:rsid w:val="00BF4FF2"/>
    <w:rsid w:val="00BF68DE"/>
    <w:rsid w:val="00BF6D5B"/>
    <w:rsid w:val="00C01B3C"/>
    <w:rsid w:val="00C03E96"/>
    <w:rsid w:val="00C07AEF"/>
    <w:rsid w:val="00C10B59"/>
    <w:rsid w:val="00C11BBD"/>
    <w:rsid w:val="00C17C3B"/>
    <w:rsid w:val="00C20441"/>
    <w:rsid w:val="00C2219A"/>
    <w:rsid w:val="00C23D2F"/>
    <w:rsid w:val="00C23D9A"/>
    <w:rsid w:val="00C2579B"/>
    <w:rsid w:val="00C26603"/>
    <w:rsid w:val="00C27726"/>
    <w:rsid w:val="00C34167"/>
    <w:rsid w:val="00C36FC5"/>
    <w:rsid w:val="00C373F6"/>
    <w:rsid w:val="00C416F0"/>
    <w:rsid w:val="00C43686"/>
    <w:rsid w:val="00C443BD"/>
    <w:rsid w:val="00C451C5"/>
    <w:rsid w:val="00C46B71"/>
    <w:rsid w:val="00C559CD"/>
    <w:rsid w:val="00C56606"/>
    <w:rsid w:val="00C60A29"/>
    <w:rsid w:val="00C62266"/>
    <w:rsid w:val="00C664CE"/>
    <w:rsid w:val="00C7080D"/>
    <w:rsid w:val="00C72910"/>
    <w:rsid w:val="00C737BD"/>
    <w:rsid w:val="00C84214"/>
    <w:rsid w:val="00C87B8F"/>
    <w:rsid w:val="00C90B92"/>
    <w:rsid w:val="00C9161D"/>
    <w:rsid w:val="00C91B03"/>
    <w:rsid w:val="00C9313F"/>
    <w:rsid w:val="00C95A98"/>
    <w:rsid w:val="00C96F2A"/>
    <w:rsid w:val="00CA0C1D"/>
    <w:rsid w:val="00CA3211"/>
    <w:rsid w:val="00CA43DB"/>
    <w:rsid w:val="00CA6DA6"/>
    <w:rsid w:val="00CB03BD"/>
    <w:rsid w:val="00CB0609"/>
    <w:rsid w:val="00CB5419"/>
    <w:rsid w:val="00CC0CC9"/>
    <w:rsid w:val="00CC41D8"/>
    <w:rsid w:val="00CC55BE"/>
    <w:rsid w:val="00CD1F47"/>
    <w:rsid w:val="00CD34AD"/>
    <w:rsid w:val="00CD5436"/>
    <w:rsid w:val="00CD6165"/>
    <w:rsid w:val="00CD6353"/>
    <w:rsid w:val="00CD736C"/>
    <w:rsid w:val="00CE506C"/>
    <w:rsid w:val="00CE578E"/>
    <w:rsid w:val="00CE6493"/>
    <w:rsid w:val="00CF1848"/>
    <w:rsid w:val="00CF253C"/>
    <w:rsid w:val="00CF3CF7"/>
    <w:rsid w:val="00CF5B91"/>
    <w:rsid w:val="00CF780C"/>
    <w:rsid w:val="00D07527"/>
    <w:rsid w:val="00D12044"/>
    <w:rsid w:val="00D137CD"/>
    <w:rsid w:val="00D20191"/>
    <w:rsid w:val="00D24E48"/>
    <w:rsid w:val="00D31780"/>
    <w:rsid w:val="00D33EFC"/>
    <w:rsid w:val="00D346F3"/>
    <w:rsid w:val="00D3609E"/>
    <w:rsid w:val="00D3725F"/>
    <w:rsid w:val="00D40DBC"/>
    <w:rsid w:val="00D41A35"/>
    <w:rsid w:val="00D42340"/>
    <w:rsid w:val="00D450BF"/>
    <w:rsid w:val="00D47463"/>
    <w:rsid w:val="00D56DCD"/>
    <w:rsid w:val="00D603EE"/>
    <w:rsid w:val="00D614BB"/>
    <w:rsid w:val="00D63AE7"/>
    <w:rsid w:val="00D63BFF"/>
    <w:rsid w:val="00D67F23"/>
    <w:rsid w:val="00D72EAE"/>
    <w:rsid w:val="00D73D44"/>
    <w:rsid w:val="00D76A18"/>
    <w:rsid w:val="00D7774C"/>
    <w:rsid w:val="00D80849"/>
    <w:rsid w:val="00D80CA6"/>
    <w:rsid w:val="00D81A66"/>
    <w:rsid w:val="00D81FDE"/>
    <w:rsid w:val="00D8265D"/>
    <w:rsid w:val="00D82E8F"/>
    <w:rsid w:val="00D929BB"/>
    <w:rsid w:val="00D96E7B"/>
    <w:rsid w:val="00D97D1C"/>
    <w:rsid w:val="00DA0041"/>
    <w:rsid w:val="00DA19F1"/>
    <w:rsid w:val="00DA1ECA"/>
    <w:rsid w:val="00DA7652"/>
    <w:rsid w:val="00DB14E2"/>
    <w:rsid w:val="00DB37BC"/>
    <w:rsid w:val="00DC14DC"/>
    <w:rsid w:val="00DC46BB"/>
    <w:rsid w:val="00DD0090"/>
    <w:rsid w:val="00DD05AC"/>
    <w:rsid w:val="00DD118C"/>
    <w:rsid w:val="00DD14B2"/>
    <w:rsid w:val="00DD3948"/>
    <w:rsid w:val="00DE4CE0"/>
    <w:rsid w:val="00DE6E42"/>
    <w:rsid w:val="00DF0EE4"/>
    <w:rsid w:val="00DF1191"/>
    <w:rsid w:val="00DF16E2"/>
    <w:rsid w:val="00DF244C"/>
    <w:rsid w:val="00DF2856"/>
    <w:rsid w:val="00E009B1"/>
    <w:rsid w:val="00E01C24"/>
    <w:rsid w:val="00E03A6E"/>
    <w:rsid w:val="00E12C9E"/>
    <w:rsid w:val="00E16436"/>
    <w:rsid w:val="00E174B8"/>
    <w:rsid w:val="00E22CD9"/>
    <w:rsid w:val="00E30D46"/>
    <w:rsid w:val="00E37313"/>
    <w:rsid w:val="00E43925"/>
    <w:rsid w:val="00E5182B"/>
    <w:rsid w:val="00E55558"/>
    <w:rsid w:val="00E56908"/>
    <w:rsid w:val="00E653A2"/>
    <w:rsid w:val="00E66235"/>
    <w:rsid w:val="00E67135"/>
    <w:rsid w:val="00E6718D"/>
    <w:rsid w:val="00E730BF"/>
    <w:rsid w:val="00E76763"/>
    <w:rsid w:val="00E81AB8"/>
    <w:rsid w:val="00E83C24"/>
    <w:rsid w:val="00E83DE6"/>
    <w:rsid w:val="00E90D57"/>
    <w:rsid w:val="00E92866"/>
    <w:rsid w:val="00E9318D"/>
    <w:rsid w:val="00E94212"/>
    <w:rsid w:val="00E97B07"/>
    <w:rsid w:val="00EA21DB"/>
    <w:rsid w:val="00EA41E0"/>
    <w:rsid w:val="00EA4448"/>
    <w:rsid w:val="00EB0560"/>
    <w:rsid w:val="00EB0686"/>
    <w:rsid w:val="00EB0D71"/>
    <w:rsid w:val="00EB0E3D"/>
    <w:rsid w:val="00EB663C"/>
    <w:rsid w:val="00EC07A9"/>
    <w:rsid w:val="00EC14D6"/>
    <w:rsid w:val="00EC16C6"/>
    <w:rsid w:val="00EC192F"/>
    <w:rsid w:val="00EC5DD5"/>
    <w:rsid w:val="00EC746E"/>
    <w:rsid w:val="00EE2907"/>
    <w:rsid w:val="00EE37F1"/>
    <w:rsid w:val="00EE4DB8"/>
    <w:rsid w:val="00EE71E8"/>
    <w:rsid w:val="00EF1747"/>
    <w:rsid w:val="00EF2EB3"/>
    <w:rsid w:val="00F00F81"/>
    <w:rsid w:val="00F05836"/>
    <w:rsid w:val="00F107B1"/>
    <w:rsid w:val="00F139F8"/>
    <w:rsid w:val="00F13BD1"/>
    <w:rsid w:val="00F15745"/>
    <w:rsid w:val="00F168EE"/>
    <w:rsid w:val="00F20F98"/>
    <w:rsid w:val="00F2310E"/>
    <w:rsid w:val="00F23571"/>
    <w:rsid w:val="00F26069"/>
    <w:rsid w:val="00F270C8"/>
    <w:rsid w:val="00F2710B"/>
    <w:rsid w:val="00F27494"/>
    <w:rsid w:val="00F31822"/>
    <w:rsid w:val="00F322B4"/>
    <w:rsid w:val="00F47E1C"/>
    <w:rsid w:val="00F53193"/>
    <w:rsid w:val="00F53466"/>
    <w:rsid w:val="00F544F5"/>
    <w:rsid w:val="00F56A87"/>
    <w:rsid w:val="00F57D32"/>
    <w:rsid w:val="00F60E51"/>
    <w:rsid w:val="00F62EA8"/>
    <w:rsid w:val="00F6586C"/>
    <w:rsid w:val="00F672B7"/>
    <w:rsid w:val="00F70988"/>
    <w:rsid w:val="00F7172F"/>
    <w:rsid w:val="00F71B7A"/>
    <w:rsid w:val="00F8146F"/>
    <w:rsid w:val="00F82040"/>
    <w:rsid w:val="00F83BD8"/>
    <w:rsid w:val="00F843EC"/>
    <w:rsid w:val="00F86974"/>
    <w:rsid w:val="00F903F4"/>
    <w:rsid w:val="00F94774"/>
    <w:rsid w:val="00F968F9"/>
    <w:rsid w:val="00FA2013"/>
    <w:rsid w:val="00FA663B"/>
    <w:rsid w:val="00FA74F2"/>
    <w:rsid w:val="00FB24A3"/>
    <w:rsid w:val="00FB275B"/>
    <w:rsid w:val="00FC40F8"/>
    <w:rsid w:val="00FC53DB"/>
    <w:rsid w:val="00FC6D90"/>
    <w:rsid w:val="00FC764F"/>
    <w:rsid w:val="00FD65BD"/>
    <w:rsid w:val="00FE23FC"/>
    <w:rsid w:val="00FE4141"/>
    <w:rsid w:val="00FE4252"/>
    <w:rsid w:val="00FF4B5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232364"/>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Style 6"/>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77"/>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link w:val="ListParagraphChar"/>
    <w:uiPriority w:val="34"/>
    <w:qFormat/>
    <w:rsid w:val="00DD3948"/>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styleId="CommentSubject">
    <w:name w:val="annotation subject"/>
    <w:basedOn w:val="CommentText"/>
    <w:next w:val="CommentText"/>
    <w:link w:val="CommentSubjectChar"/>
    <w:uiPriority w:val="99"/>
    <w:semiHidden/>
    <w:unhideWhenUsed/>
    <w:rsid w:val="003350EC"/>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350EC"/>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3350EC"/>
    <w:rPr>
      <w:color w:val="605E5C"/>
      <w:shd w:val="clear" w:color="auto" w:fill="E1DFDD"/>
    </w:rPr>
  </w:style>
  <w:style w:type="paragraph" w:styleId="Revision">
    <w:name w:val="Revision"/>
    <w:hidden/>
    <w:uiPriority w:val="99"/>
    <w:semiHidden/>
    <w:rsid w:val="002217F7"/>
    <w:rPr>
      <w:rFonts w:ascii="Times New Roman" w:eastAsia="Times New Roman" w:hAnsi="Times New Roman" w:cs="Times New Roman"/>
      <w:sz w:val="22"/>
      <w:lang w:val="en-GB"/>
    </w:rPr>
  </w:style>
  <w:style w:type="paragraph" w:customStyle="1" w:styleId="WHOmaintext">
    <w:name w:val="WHO main text"/>
    <w:basedOn w:val="Normal"/>
    <w:qFormat/>
    <w:rsid w:val="00D8265D"/>
    <w:pPr>
      <w:spacing w:before="40" w:after="120" w:line="264" w:lineRule="auto"/>
      <w:ind w:left="567"/>
    </w:pPr>
    <w:rPr>
      <w:rFonts w:ascii="Arial" w:eastAsia="Calibri" w:hAnsi="Arial" w:cs="Arial"/>
      <w:sz w:val="20"/>
      <w:szCs w:val="20"/>
      <w:lang w:eastAsia="nl-NL"/>
    </w:rPr>
  </w:style>
  <w:style w:type="character" w:customStyle="1" w:styleId="ListParagraphChar">
    <w:name w:val="List Paragraph Char"/>
    <w:basedOn w:val="DefaultParagraphFont"/>
    <w:link w:val="ListParagraph"/>
    <w:uiPriority w:val="34"/>
    <w:locked/>
    <w:rsid w:val="00DD3948"/>
    <w:rPr>
      <w:rFonts w:ascii="Times New Roman" w:eastAsia="Times New Roman" w:hAnsi="Times New Roman" w:cs="Times New Roman"/>
      <w:sz w:val="22"/>
      <w:lang w:val="en-GB"/>
    </w:rPr>
  </w:style>
  <w:style w:type="character" w:customStyle="1" w:styleId="normaltextrun">
    <w:name w:val="normaltextrun"/>
    <w:basedOn w:val="DefaultParagraphFont"/>
    <w:rsid w:val="003312CA"/>
  </w:style>
  <w:style w:type="paragraph" w:customStyle="1" w:styleId="paragraph">
    <w:name w:val="paragraph"/>
    <w:basedOn w:val="Normal"/>
    <w:rsid w:val="003312CA"/>
    <w:pPr>
      <w:spacing w:before="100" w:beforeAutospacing="1" w:after="100" w:afterAutospacing="1"/>
      <w:jc w:val="left"/>
    </w:pPr>
    <w:rPr>
      <w:sz w:val="24"/>
      <w:lang w:val="en-CA"/>
    </w:rPr>
  </w:style>
  <w:style w:type="character" w:customStyle="1" w:styleId="eop">
    <w:name w:val="eop"/>
    <w:basedOn w:val="DefaultParagraphFont"/>
    <w:rsid w:val="003312CA"/>
  </w:style>
  <w:style w:type="paragraph" w:customStyle="1" w:styleId="Default">
    <w:name w:val="Default"/>
    <w:rsid w:val="00B63559"/>
    <w:pPr>
      <w:autoSpaceDE w:val="0"/>
      <w:autoSpaceDN w:val="0"/>
      <w:adjustRightInd w:val="0"/>
    </w:pPr>
    <w:rPr>
      <w:rFonts w:ascii="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296289">
      <w:bodyDiv w:val="1"/>
      <w:marLeft w:val="0"/>
      <w:marRight w:val="0"/>
      <w:marTop w:val="0"/>
      <w:marBottom w:val="0"/>
      <w:divBdr>
        <w:top w:val="none" w:sz="0" w:space="0" w:color="auto"/>
        <w:left w:val="none" w:sz="0" w:space="0" w:color="auto"/>
        <w:bottom w:val="none" w:sz="0" w:space="0" w:color="auto"/>
        <w:right w:val="none" w:sz="0" w:space="0" w:color="auto"/>
      </w:divBdr>
    </w:div>
    <w:div w:id="1259214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bch.cbd.int/onlineconferences/submissions.shtml" TargetMode="External"/><Relationship Id="rId26" Type="http://schemas.openxmlformats.org/officeDocument/2006/relationships/hyperlink" Target="http://www.cbd.int/doc/notifications/2019/ntf-2019-095-bs-en.pdf" TargetMode="External"/><Relationship Id="rId3" Type="http://schemas.openxmlformats.org/officeDocument/2006/relationships/customXml" Target="../customXml/item3.xml"/><Relationship Id="rId21" Type="http://schemas.openxmlformats.org/officeDocument/2006/relationships/hyperlink" Target="https://www.cbd.int/doc/c/71a2/866c/17c10d9ba2dc23ebbca43f44/cp-ra-ahteg-2020-01-03-en.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c/4251/a0e5/9be4657371c6759fb1c75f6e/cp-ra-ahteg-2020-01-inf-01-en.pdf" TargetMode="External"/><Relationship Id="rId25" Type="http://schemas.openxmlformats.org/officeDocument/2006/relationships/hyperlink" Target="https://www.cbd.int/doc/decisions/mop-08/mop-08-dec-12-en.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bd.int/doc/notifications/2019/ntf-2019-009-bs-en.pdf" TargetMode="External"/><Relationship Id="rId20" Type="http://schemas.openxmlformats.org/officeDocument/2006/relationships/hyperlink" Target="https://bch.cbd.int/onlineconferences/forum_ra/discussion.s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c/09c9/ee86/55bb912d6fc32982fcf4d8d2/sbstta-24-inf-07-en.pdf"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cbd.int/doc/decisions/cp-mop-09/cp-mop-09-dec-13-en.pdf" TargetMode="External"/><Relationship Id="rId23" Type="http://schemas.openxmlformats.org/officeDocument/2006/relationships/hyperlink" Target="https://www.cbd.int/doc/c/8c68/f64b/20b69e96d8228eb1cff552c2/cp-ra-ahteg-2020-01-02-en.pdf" TargetMode="External"/><Relationship Id="rId28" Type="http://schemas.openxmlformats.org/officeDocument/2006/relationships/hyperlink" Target="https://www.cbd.int/doc/c/a763/e248/4fa326e03e3c126b9615e95d/cp-ra-ahteg-2020-01-05-en.pdf" TargetMode="External"/><Relationship Id="rId10" Type="http://schemas.openxmlformats.org/officeDocument/2006/relationships/footnotes" Target="footnotes.xml"/><Relationship Id="rId19" Type="http://schemas.openxmlformats.org/officeDocument/2006/relationships/hyperlink" Target="https://www.cbd.int/doc/c/9acb/0ac1/fabfab723faec9aa24aaacd1/cp-ra-ahteg-2020-01-inf-02-en.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s://www.cbd.int/doc/c/f22d/a5d7/850597e99231b7d0dd194c7f/cp-ra-ahteg-2020-01-04-en.pdf" TargetMode="External"/><Relationship Id="rId27" Type="http://schemas.openxmlformats.org/officeDocument/2006/relationships/hyperlink" Target="http://www.cbd.int/doc/notifications/2019/ntf-2019-119-bs-en.pdf"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7486/1a6c/51131868f94f1c6376cb152b/cp-ra-ahteg-2020-01-inf-03-en.pdf" TargetMode="External"/><Relationship Id="rId2" Type="http://schemas.openxmlformats.org/officeDocument/2006/relationships/hyperlink" Target="https://bch.cbd.int/onlineconferences/studies.shtml" TargetMode="External"/><Relationship Id="rId1" Type="http://schemas.openxmlformats.org/officeDocument/2006/relationships/hyperlink" Target="http://bch.cbd.int/onlineconferences/forum_ra/discussion.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23F34"/>
    <w:rsid w:val="000308F3"/>
    <w:rsid w:val="000F43BD"/>
    <w:rsid w:val="00192B6A"/>
    <w:rsid w:val="00211D6C"/>
    <w:rsid w:val="002162C4"/>
    <w:rsid w:val="00243F46"/>
    <w:rsid w:val="00291E9C"/>
    <w:rsid w:val="003124F1"/>
    <w:rsid w:val="003209B0"/>
    <w:rsid w:val="0045685F"/>
    <w:rsid w:val="0046422C"/>
    <w:rsid w:val="004760CF"/>
    <w:rsid w:val="004E092F"/>
    <w:rsid w:val="00500A2B"/>
    <w:rsid w:val="0058288D"/>
    <w:rsid w:val="005D5DF2"/>
    <w:rsid w:val="005E2142"/>
    <w:rsid w:val="00606002"/>
    <w:rsid w:val="00665C6B"/>
    <w:rsid w:val="006801B3"/>
    <w:rsid w:val="00704AC3"/>
    <w:rsid w:val="00802EEA"/>
    <w:rsid w:val="00810A55"/>
    <w:rsid w:val="008A2FB8"/>
    <w:rsid w:val="008C6619"/>
    <w:rsid w:val="008D420E"/>
    <w:rsid w:val="008F73F9"/>
    <w:rsid w:val="0098642F"/>
    <w:rsid w:val="00A82EB7"/>
    <w:rsid w:val="00AE57BF"/>
    <w:rsid w:val="00B5527D"/>
    <w:rsid w:val="00B77D77"/>
    <w:rsid w:val="00BB1F0B"/>
    <w:rsid w:val="00C8104B"/>
    <w:rsid w:val="00D31D12"/>
    <w:rsid w:val="00D87435"/>
    <w:rsid w:val="00DF147E"/>
    <w:rsid w:val="00E01451"/>
    <w:rsid w:val="00F171F2"/>
    <w:rsid w:val="00F34382"/>
    <w:rsid w:val="00F7178B"/>
    <w:rsid w:val="00F71DAC"/>
    <w:rsid w:val="00F74B87"/>
    <w:rsid w:val="00F844CC"/>
    <w:rsid w:val="00F8524A"/>
    <w:rsid w:val="00F862B1"/>
    <w:rsid w:val="00FF68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C6B"/>
    <w:rPr>
      <w:color w:val="808080"/>
    </w:rPr>
  </w:style>
  <w:style w:type="paragraph" w:customStyle="1" w:styleId="B0BC6958BF87464E9253B5F06843757E">
    <w:name w:val="B0BC6958BF87464E9253B5F06843757E"/>
    <w:rsid w:val="00665C6B"/>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C2D3E98A-40C5-4271-ABE9-121D37F15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AD42C-1DC6-49A0-8A77-BC87126E0AA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3ad741f-c0db-4e29-b5a6-03b4a1bc18ba"/>
    <ds:schemaRef ds:uri="358298e0-1b7e-4ebe-8695-94439b74f0d1"/>
    <ds:schemaRef ds:uri="http://www.w3.org/XML/1998/namespace"/>
  </ds:schemaRefs>
</ds:datastoreItem>
</file>

<file path=customXml/itemProps5.xml><?xml version="1.0" encoding="utf-8"?>
<ds:datastoreItem xmlns:ds="http://schemas.openxmlformats.org/officeDocument/2006/customXml" ds:itemID="{0E202947-A619-420C-B0C3-82C446259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4679</TotalTime>
  <Pages>15</Pages>
  <Words>6979</Words>
  <Characters>39785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Risk assessment and risk management</vt:lpstr>
    </vt:vector>
  </TitlesOfParts>
  <Company>SCBD</Company>
  <LinksUpToDate>false</LinksUpToDate>
  <CharactersWithSpaces>46671</CharactersWithSpaces>
  <SharedDoc>false</SharedDoc>
  <HLinks>
    <vt:vector size="96" baseType="variant">
      <vt:variant>
        <vt:i4>3080246</vt:i4>
      </vt:variant>
      <vt:variant>
        <vt:i4>39</vt:i4>
      </vt:variant>
      <vt:variant>
        <vt:i4>0</vt:i4>
      </vt:variant>
      <vt:variant>
        <vt:i4>5</vt:i4>
      </vt:variant>
      <vt:variant>
        <vt:lpwstr>https://www.cbd.int/doc/c/a763/e248/4fa326e03e3c126b9615e95d/cp-ra-ahteg-2020-01-05-en.pdf</vt:lpwstr>
      </vt:variant>
      <vt:variant>
        <vt:lpwstr/>
      </vt:variant>
      <vt:variant>
        <vt:i4>131156</vt:i4>
      </vt:variant>
      <vt:variant>
        <vt:i4>36</vt:i4>
      </vt:variant>
      <vt:variant>
        <vt:i4>0</vt:i4>
      </vt:variant>
      <vt:variant>
        <vt:i4>5</vt:i4>
      </vt:variant>
      <vt:variant>
        <vt:lpwstr>http://www.cbd.int/doc/notifications/2019/ntf-2019-119-bs-en.pdf</vt:lpwstr>
      </vt:variant>
      <vt:variant>
        <vt:lpwstr/>
      </vt:variant>
      <vt:variant>
        <vt:i4>983132</vt:i4>
      </vt:variant>
      <vt:variant>
        <vt:i4>33</vt:i4>
      </vt:variant>
      <vt:variant>
        <vt:i4>0</vt:i4>
      </vt:variant>
      <vt:variant>
        <vt:i4>5</vt:i4>
      </vt:variant>
      <vt:variant>
        <vt:lpwstr>http://www.cbd.int/doc/notifications/2019/ntf-2019-095-bs-en.pdf</vt:lpwstr>
      </vt:variant>
      <vt:variant>
        <vt:lpwstr/>
      </vt:variant>
      <vt:variant>
        <vt:i4>917576</vt:i4>
      </vt:variant>
      <vt:variant>
        <vt:i4>30</vt:i4>
      </vt:variant>
      <vt:variant>
        <vt:i4>0</vt:i4>
      </vt:variant>
      <vt:variant>
        <vt:i4>5</vt:i4>
      </vt:variant>
      <vt:variant>
        <vt:lpwstr>https://www.cbd.int/doc/decisions/mop-08/mop-08-dec-12-en.pdf</vt:lpwstr>
      </vt:variant>
      <vt:variant>
        <vt:lpwstr/>
      </vt:variant>
      <vt:variant>
        <vt:i4>6160398</vt:i4>
      </vt:variant>
      <vt:variant>
        <vt:i4>27</vt:i4>
      </vt:variant>
      <vt:variant>
        <vt:i4>0</vt:i4>
      </vt:variant>
      <vt:variant>
        <vt:i4>5</vt:i4>
      </vt:variant>
      <vt:variant>
        <vt:lpwstr>https://www.cbd.int/doc/c/09c9/ee86/55bb912d6fc32982fcf4d8d2/sbstta-24-inf-07-en.pdf</vt:lpwstr>
      </vt:variant>
      <vt:variant>
        <vt:lpwstr/>
      </vt:variant>
      <vt:variant>
        <vt:i4>7340132</vt:i4>
      </vt:variant>
      <vt:variant>
        <vt:i4>24</vt:i4>
      </vt:variant>
      <vt:variant>
        <vt:i4>0</vt:i4>
      </vt:variant>
      <vt:variant>
        <vt:i4>5</vt:i4>
      </vt:variant>
      <vt:variant>
        <vt:lpwstr>https://www.cbd.int/doc/c/8c68/f64b/20b69e96d8228eb1cff552c2/cp-ra-ahteg-2020-01-02-en.pdf</vt:lpwstr>
      </vt:variant>
      <vt:variant>
        <vt:lpwstr/>
      </vt:variant>
      <vt:variant>
        <vt:i4>2097263</vt:i4>
      </vt:variant>
      <vt:variant>
        <vt:i4>21</vt:i4>
      </vt:variant>
      <vt:variant>
        <vt:i4>0</vt:i4>
      </vt:variant>
      <vt:variant>
        <vt:i4>5</vt:i4>
      </vt:variant>
      <vt:variant>
        <vt:lpwstr>https://www.cbd.int/doc/c/f22d/a5d7/850597e99231b7d0dd194c7f/cp-ra-ahteg-2020-01-04-en.pdf</vt:lpwstr>
      </vt:variant>
      <vt:variant>
        <vt:lpwstr/>
      </vt:variant>
      <vt:variant>
        <vt:i4>2687038</vt:i4>
      </vt:variant>
      <vt:variant>
        <vt:i4>18</vt:i4>
      </vt:variant>
      <vt:variant>
        <vt:i4>0</vt:i4>
      </vt:variant>
      <vt:variant>
        <vt:i4>5</vt:i4>
      </vt:variant>
      <vt:variant>
        <vt:lpwstr>https://www.cbd.int/doc/c/71a2/866c/17c10d9ba2dc23ebbca43f44/cp-ra-ahteg-2020-01-03-en.pdf</vt:lpwstr>
      </vt:variant>
      <vt:variant>
        <vt:lpwstr/>
      </vt:variant>
      <vt:variant>
        <vt:i4>1900669</vt:i4>
      </vt:variant>
      <vt:variant>
        <vt:i4>15</vt:i4>
      </vt:variant>
      <vt:variant>
        <vt:i4>0</vt:i4>
      </vt:variant>
      <vt:variant>
        <vt:i4>5</vt:i4>
      </vt:variant>
      <vt:variant>
        <vt:lpwstr>https://bch.cbd.int/onlineconferences/forum_ra/discussion.shtml</vt:lpwstr>
      </vt:variant>
      <vt:variant>
        <vt:lpwstr/>
      </vt:variant>
      <vt:variant>
        <vt:i4>7667756</vt:i4>
      </vt:variant>
      <vt:variant>
        <vt:i4>12</vt:i4>
      </vt:variant>
      <vt:variant>
        <vt:i4>0</vt:i4>
      </vt:variant>
      <vt:variant>
        <vt:i4>5</vt:i4>
      </vt:variant>
      <vt:variant>
        <vt:lpwstr>https://www.cbd.int/doc/c/9acb/0ac1/fabfab723faec9aa24aaacd1/cp-ra-ahteg-2020-01-inf-02-en.pdf</vt:lpwstr>
      </vt:variant>
      <vt:variant>
        <vt:lpwstr/>
      </vt:variant>
      <vt:variant>
        <vt:i4>2818096</vt:i4>
      </vt:variant>
      <vt:variant>
        <vt:i4>9</vt:i4>
      </vt:variant>
      <vt:variant>
        <vt:i4>0</vt:i4>
      </vt:variant>
      <vt:variant>
        <vt:i4>5</vt:i4>
      </vt:variant>
      <vt:variant>
        <vt:lpwstr>https://bch.cbd.int/onlineconferences/submissions.shtml</vt:lpwstr>
      </vt:variant>
      <vt:variant>
        <vt:lpwstr/>
      </vt:variant>
      <vt:variant>
        <vt:i4>2621552</vt:i4>
      </vt:variant>
      <vt:variant>
        <vt:i4>6</vt:i4>
      </vt:variant>
      <vt:variant>
        <vt:i4>0</vt:i4>
      </vt:variant>
      <vt:variant>
        <vt:i4>5</vt:i4>
      </vt:variant>
      <vt:variant>
        <vt:lpwstr>https://www.cbd.int/doc/c/4251/a0e5/9be4657371c6759fb1c75f6e/cp-ra-ahteg-2020-01-inf-01-en.pdf</vt:lpwstr>
      </vt:variant>
      <vt:variant>
        <vt:lpwstr/>
      </vt:variant>
      <vt:variant>
        <vt:i4>196693</vt:i4>
      </vt:variant>
      <vt:variant>
        <vt:i4>3</vt:i4>
      </vt:variant>
      <vt:variant>
        <vt:i4>0</vt:i4>
      </vt:variant>
      <vt:variant>
        <vt:i4>5</vt:i4>
      </vt:variant>
      <vt:variant>
        <vt:lpwstr>http://www.cbd.int/doc/notifications/2019/ntf-2019-009-bs-en.pdf</vt:lpwstr>
      </vt:variant>
      <vt:variant>
        <vt:lpwstr/>
      </vt:variant>
      <vt:variant>
        <vt:i4>7798832</vt:i4>
      </vt:variant>
      <vt:variant>
        <vt:i4>0</vt:i4>
      </vt:variant>
      <vt:variant>
        <vt:i4>0</vt:i4>
      </vt:variant>
      <vt:variant>
        <vt:i4>5</vt:i4>
      </vt:variant>
      <vt:variant>
        <vt:lpwstr>https://www.cbd.int/doc/decisions/cp-mop-09/cp-mop-09-dec-13-en.pdf</vt:lpwstr>
      </vt:variant>
      <vt:variant>
        <vt:lpwstr/>
      </vt:variant>
      <vt:variant>
        <vt:i4>2424959</vt:i4>
      </vt:variant>
      <vt:variant>
        <vt:i4>3</vt:i4>
      </vt:variant>
      <vt:variant>
        <vt:i4>0</vt:i4>
      </vt:variant>
      <vt:variant>
        <vt:i4>5</vt:i4>
      </vt:variant>
      <vt:variant>
        <vt:lpwstr>https://www.cbd.int/doc/c/7486/1a6c/51131868f94f1c6376cb152b/cp-ra-ahteg-2020-01-inf-03-en.pdf</vt:lpwstr>
      </vt:variant>
      <vt:variant>
        <vt:lpwstr/>
      </vt:variant>
      <vt:variant>
        <vt:i4>7995397</vt:i4>
      </vt:variant>
      <vt:variant>
        <vt:i4>0</vt:i4>
      </vt:variant>
      <vt:variant>
        <vt:i4>0</vt:i4>
      </vt:variant>
      <vt:variant>
        <vt:i4>5</vt:i4>
      </vt:variant>
      <vt:variant>
        <vt:lpwstr>http://bch.cbd.int/onlineconferences/forum_ra/discussion.shtml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and risk management</dc:title>
  <dc:subject>CBD/SBSTTA/24/5</dc:subject>
  <dc:creator>SCBD</dc:creator>
  <cp:keywords>Subsidiary Body on Scientific, Technical and Technological Advice, twenty-fourth meeting, Canada, 2-7 November 2020, Convention on Biological Diversity</cp:keywords>
  <cp:lastModifiedBy>Veronique Lefebvre</cp:lastModifiedBy>
  <cp:revision>185</cp:revision>
  <cp:lastPrinted>2020-01-21T19:30:00Z</cp:lastPrinted>
  <dcterms:created xsi:type="dcterms:W3CDTF">2020-06-10T13:33:00Z</dcterms:created>
  <dcterms:modified xsi:type="dcterms:W3CDTF">2020-06-18T18:21:00Z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