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C053AE" w14:paraId="08EEC660" w14:textId="77777777" w:rsidTr="00807942">
        <w:trPr>
          <w:trHeight w:val="851"/>
        </w:trPr>
        <w:tc>
          <w:tcPr>
            <w:tcW w:w="976" w:type="dxa"/>
            <w:tcBorders>
              <w:bottom w:val="single" w:sz="12" w:space="0" w:color="auto"/>
            </w:tcBorders>
          </w:tcPr>
          <w:p w14:paraId="01266519" w14:textId="77777777" w:rsidR="004F16B5" w:rsidRPr="000A37BF" w:rsidRDefault="004F16B5" w:rsidP="000A37BF">
            <w:pPr>
              <w:suppressLineNumbers/>
              <w:suppressAutoHyphens/>
              <w:adjustRightInd w:val="0"/>
              <w:snapToGrid w:val="0"/>
              <w:rPr>
                <w:rFonts w:ascii="Times New Roman" w:hAnsi="Times New Roman" w:cs="Times New Roman"/>
                <w:kern w:val="22"/>
                <w:lang w:val="en-GB"/>
              </w:rPr>
            </w:pPr>
            <w:r w:rsidRPr="000A37BF">
              <w:rPr>
                <w:noProof/>
                <w:kern w:val="22"/>
                <w:lang w:val="en-GB"/>
              </w:rPr>
              <w:drawing>
                <wp:anchor distT="0" distB="0" distL="114300" distR="114300" simplePos="0" relativeHeight="251658241"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0A37BF" w:rsidRDefault="004F16B5" w:rsidP="000A37BF">
            <w:pPr>
              <w:suppressLineNumbers/>
              <w:suppressAutoHyphens/>
              <w:adjustRightInd w:val="0"/>
              <w:snapToGrid w:val="0"/>
              <w:rPr>
                <w:rFonts w:ascii="Times New Roman" w:hAnsi="Times New Roman" w:cs="Times New Roman"/>
                <w:kern w:val="22"/>
                <w:lang w:val="en-GB"/>
              </w:rPr>
            </w:pPr>
            <w:r w:rsidRPr="000A37BF">
              <w:rPr>
                <w:noProof/>
                <w:lang w:val="en-GB"/>
              </w:rPr>
              <w:drawing>
                <wp:anchor distT="0" distB="0" distL="114300" distR="114300" simplePos="0" relativeHeight="251658240"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0A37BF" w:rsidRDefault="004F16B5" w:rsidP="000A37BF">
            <w:pPr>
              <w:suppressLineNumbers/>
              <w:suppressAutoHyphens/>
              <w:adjustRightInd w:val="0"/>
              <w:snapToGrid w:val="0"/>
              <w:jc w:val="right"/>
              <w:rPr>
                <w:rFonts w:ascii="Arial" w:hAnsi="Arial" w:cs="Arial"/>
                <w:b/>
                <w:kern w:val="22"/>
                <w:sz w:val="32"/>
                <w:szCs w:val="32"/>
                <w:lang w:val="en-GB"/>
              </w:rPr>
            </w:pPr>
            <w:r w:rsidRPr="000A37BF">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C053AE" w14:paraId="468E17DE" w14:textId="77777777" w:rsidTr="00CF5ABA">
        <w:trPr>
          <w:trHeight w:val="1693"/>
        </w:trPr>
        <w:tc>
          <w:tcPr>
            <w:tcW w:w="6086" w:type="dxa"/>
            <w:tcBorders>
              <w:top w:val="nil"/>
              <w:bottom w:val="single" w:sz="36" w:space="0" w:color="000000"/>
            </w:tcBorders>
          </w:tcPr>
          <w:p w14:paraId="2CE56BA4" w14:textId="77777777" w:rsidR="00AD1731" w:rsidRPr="00C053AE" w:rsidRDefault="00AD1731" w:rsidP="000A37BF">
            <w:pPr>
              <w:suppressLineNumbers/>
              <w:suppressAutoHyphens/>
              <w:adjustRightInd w:val="0"/>
              <w:snapToGrid w:val="0"/>
              <w:rPr>
                <w:snapToGrid w:val="0"/>
                <w:kern w:val="22"/>
                <w:lang w:val="en-GB"/>
              </w:rPr>
            </w:pPr>
          </w:p>
          <w:p w14:paraId="785F3A82" w14:textId="409EEB31" w:rsidR="00AD1731" w:rsidRPr="00C053AE" w:rsidRDefault="007F70E6" w:rsidP="000A37BF">
            <w:pPr>
              <w:suppressLineNumbers/>
              <w:suppressAutoHyphens/>
              <w:adjustRightInd w:val="0"/>
              <w:snapToGrid w:val="0"/>
              <w:rPr>
                <w:snapToGrid w:val="0"/>
                <w:kern w:val="22"/>
                <w:lang w:val="en-GB"/>
              </w:rPr>
            </w:pPr>
            <w:r w:rsidRPr="000A37BF">
              <w:rPr>
                <w:noProof/>
                <w:kern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78547573" w14:textId="77777777" w:rsidR="00AD1731" w:rsidRPr="00C053AE" w:rsidRDefault="00AD1731" w:rsidP="000A37BF">
            <w:pPr>
              <w:suppressLineNumbers/>
              <w:suppressAutoHyphens/>
              <w:adjustRightInd w:val="0"/>
              <w:snapToGrid w:val="0"/>
              <w:rPr>
                <w:snapToGrid w:val="0"/>
                <w:kern w:val="22"/>
                <w:lang w:val="en-GB"/>
              </w:rPr>
            </w:pPr>
          </w:p>
        </w:tc>
        <w:tc>
          <w:tcPr>
            <w:tcW w:w="1144" w:type="dxa"/>
            <w:tcBorders>
              <w:top w:val="nil"/>
              <w:bottom w:val="single" w:sz="36" w:space="0" w:color="000000"/>
            </w:tcBorders>
          </w:tcPr>
          <w:p w14:paraId="5B2AB017" w14:textId="77777777" w:rsidR="00AD1731" w:rsidRPr="00C053AE" w:rsidRDefault="00AD1731" w:rsidP="000A37BF">
            <w:pPr>
              <w:pStyle w:val="Header"/>
              <w:suppressLineNumbers/>
              <w:tabs>
                <w:tab w:val="clear" w:pos="4320"/>
                <w:tab w:val="clear" w:pos="8640"/>
              </w:tabs>
              <w:suppressAutoHyphens/>
              <w:adjustRightInd w:val="0"/>
              <w:snapToGrid w:val="0"/>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C053AE" w:rsidRDefault="00AD1731" w:rsidP="000A37BF">
            <w:pPr>
              <w:suppressLineNumbers/>
              <w:suppressAutoHyphens/>
              <w:adjustRightInd w:val="0"/>
              <w:snapToGrid w:val="0"/>
              <w:ind w:left="318"/>
              <w:rPr>
                <w:snapToGrid w:val="0"/>
                <w:kern w:val="22"/>
                <w:sz w:val="22"/>
                <w:szCs w:val="22"/>
                <w:lang w:val="en-GB"/>
              </w:rPr>
            </w:pPr>
            <w:r w:rsidRPr="00C053AE">
              <w:rPr>
                <w:snapToGrid w:val="0"/>
                <w:kern w:val="22"/>
                <w:sz w:val="22"/>
                <w:szCs w:val="22"/>
                <w:lang w:val="en-GB"/>
              </w:rPr>
              <w:t>Distr.</w:t>
            </w:r>
          </w:p>
          <w:p w14:paraId="54D747B2" w14:textId="63DF44A2" w:rsidR="00F5354B" w:rsidRPr="000A37BF" w:rsidRDefault="000A37BF" w:rsidP="000A37BF">
            <w:pPr>
              <w:suppressLineNumbers/>
              <w:suppressAutoHyphens/>
              <w:adjustRightInd w:val="0"/>
              <w:snapToGrid w:val="0"/>
              <w:ind w:left="317"/>
              <w:rPr>
                <w:kern w:val="22"/>
                <w:szCs w:val="22"/>
                <w:lang w:val="en-GB"/>
              </w:rPr>
            </w:pPr>
            <w:sdt>
              <w:sdtPr>
                <w:rPr>
                  <w:snapToGrid w:val="0"/>
                  <w:kern w:val="22"/>
                  <w:sz w:val="22"/>
                  <w:szCs w:val="22"/>
                  <w:lang w:val="en-GB"/>
                </w:rPr>
                <w:alias w:val="Status"/>
                <w:tag w:val=""/>
                <w:id w:val="307985777"/>
                <w:placeholder>
                  <w:docPart w:val="2817F8C7833946B89C41C4F1353FDD76"/>
                </w:placeholder>
                <w:dataBinding w:prefixMappings="xmlns:ns0='http://purl.org/dc/elements/1.1/' xmlns:ns1='http://schemas.openxmlformats.org/package/2006/metadata/core-properties' " w:xpath="/ns1:coreProperties[1]/ns1:contentStatus[1]" w:storeItemID="{6C3C8BC8-F283-45AE-878A-BAB7291924A1}"/>
                <w:text/>
              </w:sdtPr>
              <w:sdtEndPr>
                <w:rPr>
                  <w:snapToGrid/>
                  <w:sz w:val="24"/>
                </w:rPr>
              </w:sdtEndPr>
              <w:sdtContent>
                <w:r w:rsidR="00F5354B" w:rsidRPr="000A37BF">
                  <w:rPr>
                    <w:snapToGrid w:val="0"/>
                    <w:kern w:val="22"/>
                    <w:sz w:val="22"/>
                    <w:szCs w:val="22"/>
                    <w:lang w:val="en-GB"/>
                  </w:rPr>
                  <w:t>General</w:t>
                </w:r>
              </w:sdtContent>
            </w:sdt>
          </w:p>
          <w:p w14:paraId="3F888B85" w14:textId="77777777" w:rsidR="00AD1731" w:rsidRPr="00C053AE" w:rsidRDefault="00AD1731" w:rsidP="000A37BF">
            <w:pPr>
              <w:suppressLineNumbers/>
              <w:suppressAutoHyphens/>
              <w:adjustRightInd w:val="0"/>
              <w:snapToGrid w:val="0"/>
              <w:ind w:left="318"/>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5E9166F9" w:rsidR="00AD1731" w:rsidRPr="00C053AE" w:rsidRDefault="00E86B40" w:rsidP="000A37BF">
                <w:pPr>
                  <w:suppressLineNumbers/>
                  <w:suppressAutoHyphens/>
                  <w:adjustRightInd w:val="0"/>
                  <w:snapToGrid w:val="0"/>
                  <w:ind w:left="318"/>
                  <w:rPr>
                    <w:snapToGrid w:val="0"/>
                    <w:kern w:val="22"/>
                    <w:sz w:val="22"/>
                    <w:szCs w:val="22"/>
                    <w:lang w:val="en-GB"/>
                  </w:rPr>
                </w:pPr>
                <w:r w:rsidRPr="00C053AE">
                  <w:rPr>
                    <w:snapToGrid w:val="0"/>
                    <w:kern w:val="22"/>
                    <w:sz w:val="22"/>
                    <w:szCs w:val="22"/>
                    <w:lang w:val="en-GB"/>
                  </w:rPr>
                  <w:t>CBD/SBI/3/5/Add.3</w:t>
                </w:r>
              </w:p>
            </w:sdtContent>
          </w:sdt>
          <w:p w14:paraId="22DA3F68" w14:textId="3AAA1C68" w:rsidR="00B6754E" w:rsidRPr="000A37BF" w:rsidRDefault="000A37BF" w:rsidP="000A37BF">
            <w:pPr>
              <w:suppressLineNumbers/>
              <w:suppressAutoHyphens/>
              <w:adjustRightInd w:val="0"/>
              <w:snapToGrid w:val="0"/>
              <w:ind w:left="317"/>
              <w:rPr>
                <w:kern w:val="22"/>
                <w:szCs w:val="22"/>
                <w:lang w:val="en-GB"/>
              </w:rPr>
            </w:pPr>
            <w:sdt>
              <w:sdtPr>
                <w:rPr>
                  <w:snapToGrid w:val="0"/>
                  <w:kern w:val="22"/>
                  <w:sz w:val="22"/>
                  <w:szCs w:val="22"/>
                  <w:lang w:val="en-GB"/>
                </w:rPr>
                <w:alias w:val="Publish Date"/>
                <w:tag w:val=""/>
                <w:id w:val="276757068"/>
                <w:placeholder>
                  <w:docPart w:val="B8B4DC5FC06048B98F0AB59CF4DDE260"/>
                </w:placeholder>
                <w:dataBinding w:prefixMappings="xmlns:ns0='http://schemas.microsoft.com/office/2006/coverPageProps' " w:xpath="/ns0:CoverPageProperties[1]/ns0:PublishDate[1]" w:storeItemID="{55AF091B-3C7A-41E3-B477-F2FDAA23CFDA}"/>
                <w:date w:fullDate="2020-03-18T00:00:00Z">
                  <w:dateFormat w:val="d MMMM yyyy"/>
                  <w:lid w:val="en-US"/>
                  <w:storeMappedDataAs w:val="dateTime"/>
                  <w:calendar w:val="gregorian"/>
                </w:date>
              </w:sdtPr>
              <w:sdtEndPr/>
              <w:sdtContent>
                <w:r w:rsidR="00B6754E" w:rsidRPr="00C053AE">
                  <w:rPr>
                    <w:snapToGrid w:val="0"/>
                    <w:kern w:val="22"/>
                    <w:sz w:val="22"/>
                    <w:szCs w:val="22"/>
                    <w:lang w:val="en-GB"/>
                  </w:rPr>
                  <w:t>18 March 2020</w:t>
                </w:r>
              </w:sdtContent>
            </w:sdt>
          </w:p>
          <w:p w14:paraId="1567952D" w14:textId="77777777" w:rsidR="00AD1731" w:rsidRPr="00C053AE" w:rsidRDefault="00AD1731" w:rsidP="000A37BF">
            <w:pPr>
              <w:suppressLineNumbers/>
              <w:suppressAutoHyphens/>
              <w:adjustRightInd w:val="0"/>
              <w:snapToGrid w:val="0"/>
              <w:ind w:left="318"/>
              <w:rPr>
                <w:snapToGrid w:val="0"/>
                <w:kern w:val="22"/>
                <w:sz w:val="22"/>
                <w:szCs w:val="22"/>
                <w:lang w:val="en-GB"/>
              </w:rPr>
            </w:pPr>
          </w:p>
          <w:p w14:paraId="41D2943F" w14:textId="5EBA0323" w:rsidR="00AD1731" w:rsidRPr="00C053AE" w:rsidRDefault="00AD1731" w:rsidP="000A37BF">
            <w:pPr>
              <w:suppressLineNumbers/>
              <w:suppressAutoHyphens/>
              <w:adjustRightInd w:val="0"/>
              <w:snapToGrid w:val="0"/>
              <w:ind w:left="318"/>
              <w:rPr>
                <w:snapToGrid w:val="0"/>
                <w:kern w:val="22"/>
                <w:szCs w:val="22"/>
                <w:u w:val="single"/>
                <w:lang w:val="en-GB"/>
              </w:rPr>
            </w:pPr>
            <w:r w:rsidRPr="00C053AE">
              <w:rPr>
                <w:snapToGrid w:val="0"/>
                <w:kern w:val="22"/>
                <w:sz w:val="22"/>
                <w:szCs w:val="22"/>
                <w:lang w:val="en-GB"/>
              </w:rPr>
              <w:t>ORIGINAL: ENGLISH</w:t>
            </w:r>
          </w:p>
        </w:tc>
      </w:tr>
    </w:tbl>
    <w:p w14:paraId="54367777" w14:textId="77777777" w:rsidR="00AD1731" w:rsidRPr="00C053AE" w:rsidRDefault="00AD1731" w:rsidP="000A37BF">
      <w:pPr>
        <w:pStyle w:val="meetingname"/>
        <w:suppressLineNumbers/>
        <w:suppressAutoHyphens/>
        <w:adjustRightInd w:val="0"/>
        <w:snapToGrid w:val="0"/>
        <w:ind w:left="0" w:right="4392" w:firstLine="0"/>
        <w:rPr>
          <w:kern w:val="22"/>
          <w:sz w:val="22"/>
          <w:szCs w:val="22"/>
          <w:lang w:val="en-GB"/>
        </w:rPr>
      </w:pPr>
      <w:bookmarkStart w:id="1" w:name="Meeting"/>
      <w:r w:rsidRPr="00C053AE">
        <w:rPr>
          <w:kern w:val="22"/>
          <w:sz w:val="22"/>
          <w:szCs w:val="22"/>
          <w:lang w:val="en-GB"/>
        </w:rPr>
        <w:t>SUBSIDIARY BODY ON IMPLEMENTATION</w:t>
      </w:r>
      <w:bookmarkEnd w:id="1"/>
    </w:p>
    <w:p w14:paraId="4891E593" w14:textId="77777777" w:rsidR="00AD1731" w:rsidRPr="00C053AE" w:rsidRDefault="00712FA8" w:rsidP="000A37BF">
      <w:pPr>
        <w:suppressLineNumbers/>
        <w:suppressAutoHyphens/>
        <w:adjustRightInd w:val="0"/>
        <w:snapToGrid w:val="0"/>
        <w:rPr>
          <w:snapToGrid w:val="0"/>
          <w:kern w:val="22"/>
          <w:sz w:val="22"/>
          <w:szCs w:val="22"/>
          <w:lang w:val="en-GB" w:eastAsia="nb-NO"/>
        </w:rPr>
      </w:pPr>
      <w:r w:rsidRPr="00C053AE">
        <w:rPr>
          <w:snapToGrid w:val="0"/>
          <w:kern w:val="22"/>
          <w:sz w:val="22"/>
          <w:szCs w:val="22"/>
          <w:lang w:val="en-GB" w:eastAsia="nb-NO"/>
        </w:rPr>
        <w:t>Third</w:t>
      </w:r>
      <w:r w:rsidR="00AD1731" w:rsidRPr="00C053AE">
        <w:rPr>
          <w:snapToGrid w:val="0"/>
          <w:kern w:val="22"/>
          <w:sz w:val="22"/>
          <w:szCs w:val="22"/>
          <w:lang w:val="en-GB" w:eastAsia="nb-NO"/>
        </w:rPr>
        <w:t xml:space="preserve"> meeting</w:t>
      </w:r>
    </w:p>
    <w:p w14:paraId="20210DF9" w14:textId="59E13851" w:rsidR="00AD1731" w:rsidRPr="00C053AE" w:rsidRDefault="00B7690E" w:rsidP="00B7690E">
      <w:pPr>
        <w:suppressLineNumbers/>
        <w:suppressAutoHyphens/>
        <w:rPr>
          <w:snapToGrid w:val="0"/>
          <w:kern w:val="22"/>
          <w:sz w:val="22"/>
          <w:szCs w:val="22"/>
          <w:lang w:val="en-GB" w:eastAsia="nb-NO"/>
        </w:rPr>
      </w:pPr>
      <w:r>
        <w:rPr>
          <w:snapToGrid w:val="0"/>
          <w:kern w:val="22"/>
          <w:sz w:val="22"/>
          <w:szCs w:val="22"/>
          <w:lang w:val="en-GB" w:eastAsia="nb-NO"/>
        </w:rPr>
        <w:t>Quebec City (t</w:t>
      </w:r>
      <w:r w:rsidR="005A7D8C">
        <w:rPr>
          <w:snapToGrid w:val="0"/>
          <w:kern w:val="22"/>
          <w:sz w:val="22"/>
          <w:szCs w:val="22"/>
          <w:lang w:val="en-GB" w:eastAsia="nb-NO"/>
        </w:rPr>
        <w:t>o be confirmed)</w:t>
      </w:r>
      <w:r w:rsidR="00AD1731" w:rsidRPr="00C053AE">
        <w:rPr>
          <w:snapToGrid w:val="0"/>
          <w:kern w:val="22"/>
          <w:sz w:val="22"/>
          <w:szCs w:val="22"/>
          <w:lang w:val="en-GB" w:eastAsia="nb-NO"/>
        </w:rPr>
        <w:t xml:space="preserve">, Canada, </w:t>
      </w:r>
      <w:r w:rsidR="00FD7597" w:rsidRPr="00C053AE">
        <w:rPr>
          <w:snapToGrid w:val="0"/>
          <w:kern w:val="22"/>
          <w:sz w:val="22"/>
          <w:szCs w:val="22"/>
          <w:lang w:val="en-GB" w:eastAsia="nb-NO"/>
        </w:rPr>
        <w:t>9-14 November</w:t>
      </w:r>
      <w:r w:rsidR="004A3487" w:rsidRPr="00C053AE">
        <w:rPr>
          <w:snapToGrid w:val="0"/>
          <w:kern w:val="22"/>
          <w:sz w:val="22"/>
          <w:szCs w:val="22"/>
          <w:lang w:val="en-GB" w:eastAsia="nb-NO"/>
        </w:rPr>
        <w:t xml:space="preserve"> </w:t>
      </w:r>
      <w:r w:rsidR="00B42F89" w:rsidRPr="00C053AE">
        <w:rPr>
          <w:snapToGrid w:val="0"/>
          <w:kern w:val="22"/>
          <w:sz w:val="22"/>
          <w:szCs w:val="22"/>
          <w:lang w:val="en-GB" w:eastAsia="nb-NO"/>
        </w:rPr>
        <w:t>2020</w:t>
      </w:r>
    </w:p>
    <w:p w14:paraId="2F21CD91" w14:textId="38518A24" w:rsidR="00AD1731" w:rsidRPr="00C053AE" w:rsidRDefault="00AD1731" w:rsidP="000A37BF">
      <w:pPr>
        <w:pStyle w:val="Header"/>
        <w:suppressLineNumbers/>
        <w:tabs>
          <w:tab w:val="clear" w:pos="4320"/>
          <w:tab w:val="clear" w:pos="8640"/>
        </w:tabs>
        <w:suppressAutoHyphens/>
        <w:adjustRightInd w:val="0"/>
        <w:snapToGrid w:val="0"/>
        <w:rPr>
          <w:snapToGrid w:val="0"/>
          <w:kern w:val="22"/>
          <w:sz w:val="22"/>
          <w:szCs w:val="22"/>
          <w:lang w:val="en-GB"/>
        </w:rPr>
      </w:pPr>
      <w:r w:rsidRPr="00C053AE">
        <w:rPr>
          <w:snapToGrid w:val="0"/>
          <w:kern w:val="22"/>
          <w:sz w:val="22"/>
          <w:szCs w:val="22"/>
          <w:lang w:val="en-GB"/>
        </w:rPr>
        <w:t xml:space="preserve">Item </w:t>
      </w:r>
      <w:r w:rsidR="00310EBF" w:rsidRPr="00C053AE">
        <w:rPr>
          <w:snapToGrid w:val="0"/>
          <w:kern w:val="22"/>
          <w:sz w:val="22"/>
          <w:szCs w:val="22"/>
          <w:lang w:val="en-GB"/>
        </w:rPr>
        <w:t>6</w:t>
      </w:r>
      <w:r w:rsidRPr="00C053AE">
        <w:rPr>
          <w:snapToGrid w:val="0"/>
          <w:kern w:val="22"/>
          <w:sz w:val="22"/>
          <w:szCs w:val="22"/>
          <w:lang w:val="en-GB"/>
        </w:rPr>
        <w:t xml:space="preserve"> of the provisional agenda</w:t>
      </w:r>
      <w:bookmarkStart w:id="2" w:name="_Hlk35353706"/>
      <w:r w:rsidR="00A607E8" w:rsidRPr="00C053AE">
        <w:rPr>
          <w:rStyle w:val="FootnoteReference"/>
          <w:snapToGrid w:val="0"/>
          <w:kern w:val="22"/>
          <w:sz w:val="22"/>
          <w:szCs w:val="22"/>
          <w:u w:val="none"/>
          <w:lang w:val="en-GB"/>
        </w:rPr>
        <w:footnoteReference w:customMarkFollows="1" w:id="2"/>
        <w:t>*</w:t>
      </w:r>
      <w:bookmarkEnd w:id="2"/>
    </w:p>
    <w:p w14:paraId="0A4B85D8" w14:textId="303A6D65" w:rsidR="00F716BC" w:rsidRPr="000A37BF" w:rsidRDefault="00F716BC" w:rsidP="000A37BF">
      <w:pPr>
        <w:keepNext/>
        <w:suppressLineNumbers/>
        <w:suppressAutoHyphens/>
        <w:adjustRightInd w:val="0"/>
        <w:snapToGrid w:val="0"/>
        <w:spacing w:before="240" w:after="120"/>
        <w:jc w:val="center"/>
        <w:rPr>
          <w:rFonts w:eastAsiaTheme="majorEastAsia"/>
          <w:b/>
          <w:bCs/>
          <w:caps/>
          <w:kern w:val="22"/>
          <w:sz w:val="22"/>
          <w:szCs w:val="22"/>
          <w:lang w:val="en-GB" w:eastAsia="en-GB"/>
        </w:rPr>
      </w:pPr>
      <w:bookmarkStart w:id="3" w:name="_Hlk35451178"/>
      <w:r w:rsidRPr="000A37BF">
        <w:rPr>
          <w:rFonts w:eastAsiaTheme="majorEastAsia"/>
          <w:b/>
          <w:bCs/>
          <w:caps/>
          <w:kern w:val="22"/>
          <w:sz w:val="22"/>
          <w:szCs w:val="22"/>
          <w:lang w:val="en-GB" w:eastAsia="en-GB"/>
        </w:rPr>
        <w:t>Contribution to a draft resource mobilization component of the post</w:t>
      </w:r>
      <w:r w:rsidR="00502EF9">
        <w:rPr>
          <w:rFonts w:eastAsiaTheme="majorEastAsia"/>
          <w:b/>
          <w:bCs/>
          <w:caps/>
          <w:kern w:val="22"/>
          <w:sz w:val="22"/>
          <w:szCs w:val="22"/>
          <w:lang w:val="en-GB" w:eastAsia="en-GB"/>
        </w:rPr>
        <w:noBreakHyphen/>
      </w:r>
      <w:bookmarkStart w:id="4" w:name="_GoBack"/>
      <w:bookmarkEnd w:id="4"/>
      <w:r w:rsidRPr="000A37BF">
        <w:rPr>
          <w:rFonts w:eastAsiaTheme="majorEastAsia"/>
          <w:b/>
          <w:bCs/>
          <w:caps/>
          <w:kern w:val="22"/>
          <w:sz w:val="22"/>
          <w:szCs w:val="22"/>
          <w:lang w:val="en-GB" w:eastAsia="en-GB"/>
        </w:rPr>
        <w:t>2020 biodiversity framework as a follow-up to the current strategy for resource mobilization</w:t>
      </w:r>
    </w:p>
    <w:p w14:paraId="570EE17B" w14:textId="79112C2D" w:rsidR="00E86B40" w:rsidRPr="000A37BF" w:rsidRDefault="00F716BC" w:rsidP="000A37BF">
      <w:pPr>
        <w:suppressLineNumbers/>
        <w:suppressAutoHyphens/>
        <w:adjustRightInd w:val="0"/>
        <w:snapToGrid w:val="0"/>
        <w:spacing w:before="120" w:after="120"/>
        <w:jc w:val="center"/>
        <w:rPr>
          <w:rFonts w:eastAsiaTheme="majorEastAsia"/>
          <w:b/>
          <w:bCs/>
          <w:caps/>
          <w:kern w:val="22"/>
          <w:sz w:val="22"/>
          <w:szCs w:val="22"/>
          <w:lang w:val="en-GB" w:eastAsia="en-GB"/>
        </w:rPr>
      </w:pPr>
      <w:r w:rsidRPr="000A37BF">
        <w:rPr>
          <w:rFonts w:eastAsiaTheme="majorEastAsia"/>
          <w:b/>
          <w:bCs/>
          <w:caps/>
          <w:kern w:val="22"/>
          <w:sz w:val="22"/>
          <w:szCs w:val="22"/>
          <w:lang w:val="en-GB" w:eastAsia="en-GB"/>
        </w:rPr>
        <w:t xml:space="preserve">Third report of the </w:t>
      </w:r>
      <w:r w:rsidR="003E5412" w:rsidRPr="000A37BF">
        <w:rPr>
          <w:rFonts w:eastAsiaTheme="majorEastAsia"/>
          <w:b/>
          <w:bCs/>
          <w:caps/>
          <w:kern w:val="22"/>
          <w:sz w:val="22"/>
          <w:szCs w:val="22"/>
          <w:lang w:val="en-GB" w:eastAsia="en-GB"/>
        </w:rPr>
        <w:t>P</w:t>
      </w:r>
      <w:r w:rsidRPr="000A37BF">
        <w:rPr>
          <w:rFonts w:eastAsiaTheme="majorEastAsia"/>
          <w:b/>
          <w:bCs/>
          <w:caps/>
          <w:kern w:val="22"/>
          <w:sz w:val="22"/>
          <w:szCs w:val="22"/>
          <w:lang w:val="en-GB" w:eastAsia="en-GB"/>
        </w:rPr>
        <w:t xml:space="preserve">anel of </w:t>
      </w:r>
      <w:r w:rsidR="003E5412" w:rsidRPr="000A37BF">
        <w:rPr>
          <w:rFonts w:eastAsiaTheme="majorEastAsia"/>
          <w:b/>
          <w:bCs/>
          <w:caps/>
          <w:kern w:val="22"/>
          <w:sz w:val="22"/>
          <w:szCs w:val="22"/>
          <w:lang w:val="en-GB" w:eastAsia="en-GB"/>
        </w:rPr>
        <w:t>E</w:t>
      </w:r>
      <w:r w:rsidRPr="000A37BF">
        <w:rPr>
          <w:rFonts w:eastAsiaTheme="majorEastAsia"/>
          <w:b/>
          <w:bCs/>
          <w:caps/>
          <w:kern w:val="22"/>
          <w:sz w:val="22"/>
          <w:szCs w:val="22"/>
          <w:lang w:val="en-GB" w:eastAsia="en-GB"/>
        </w:rPr>
        <w:t>xperts</w:t>
      </w:r>
      <w:r w:rsidR="00067ADB" w:rsidRPr="000A37BF">
        <w:rPr>
          <w:rFonts w:eastAsiaTheme="majorEastAsia"/>
          <w:b/>
          <w:bCs/>
          <w:caps/>
          <w:kern w:val="22"/>
          <w:sz w:val="22"/>
          <w:szCs w:val="22"/>
          <w:lang w:val="en-GB" w:eastAsia="en-GB"/>
        </w:rPr>
        <w:t xml:space="preserve"> on </w:t>
      </w:r>
      <w:r w:rsidR="003E5412" w:rsidRPr="000A37BF">
        <w:rPr>
          <w:rFonts w:eastAsiaTheme="majorEastAsia"/>
          <w:b/>
          <w:bCs/>
          <w:caps/>
          <w:kern w:val="22"/>
          <w:sz w:val="22"/>
          <w:szCs w:val="22"/>
          <w:lang w:val="en-GB" w:eastAsia="en-GB"/>
        </w:rPr>
        <w:t>R</w:t>
      </w:r>
      <w:r w:rsidR="00067ADB" w:rsidRPr="000A37BF">
        <w:rPr>
          <w:rFonts w:eastAsiaTheme="majorEastAsia"/>
          <w:b/>
          <w:bCs/>
          <w:caps/>
          <w:kern w:val="22"/>
          <w:sz w:val="22"/>
          <w:szCs w:val="22"/>
          <w:lang w:val="en-GB" w:eastAsia="en-GB"/>
        </w:rPr>
        <w:t xml:space="preserve">esource </w:t>
      </w:r>
      <w:r w:rsidR="003E5412" w:rsidRPr="000A37BF">
        <w:rPr>
          <w:rFonts w:eastAsiaTheme="majorEastAsia"/>
          <w:b/>
          <w:bCs/>
          <w:caps/>
          <w:kern w:val="22"/>
          <w:sz w:val="22"/>
          <w:szCs w:val="22"/>
          <w:lang w:val="en-GB" w:eastAsia="en-GB"/>
        </w:rPr>
        <w:t>M</w:t>
      </w:r>
      <w:r w:rsidR="00067ADB" w:rsidRPr="000A37BF">
        <w:rPr>
          <w:rFonts w:eastAsiaTheme="majorEastAsia"/>
          <w:b/>
          <w:bCs/>
          <w:caps/>
          <w:kern w:val="22"/>
          <w:sz w:val="22"/>
          <w:szCs w:val="22"/>
          <w:lang w:val="en-GB" w:eastAsia="en-GB"/>
        </w:rPr>
        <w:t>obilization</w:t>
      </w:r>
    </w:p>
    <w:p w14:paraId="770D773F" w14:textId="72EDC4C8" w:rsidR="00847080" w:rsidRPr="000A37BF" w:rsidRDefault="00E86B40" w:rsidP="000A37BF">
      <w:pPr>
        <w:keepNext/>
        <w:suppressLineNumbers/>
        <w:tabs>
          <w:tab w:val="left" w:pos="284"/>
        </w:tabs>
        <w:suppressAutoHyphens/>
        <w:adjustRightInd w:val="0"/>
        <w:snapToGrid w:val="0"/>
        <w:spacing w:before="120" w:after="120"/>
        <w:jc w:val="center"/>
        <w:outlineLvl w:val="0"/>
        <w:rPr>
          <w:rFonts w:eastAsiaTheme="majorEastAsia"/>
          <w:b/>
          <w:bCs/>
          <w:kern w:val="22"/>
          <w:sz w:val="22"/>
          <w:szCs w:val="22"/>
          <w:lang w:val="en-GB" w:eastAsia="en-GB"/>
        </w:rPr>
      </w:pPr>
      <w:r w:rsidRPr="000A37BF">
        <w:rPr>
          <w:rFonts w:eastAsiaTheme="majorEastAsia"/>
          <w:b/>
          <w:bCs/>
          <w:kern w:val="22"/>
          <w:sz w:val="22"/>
          <w:szCs w:val="22"/>
          <w:lang w:val="en-GB" w:eastAsia="en-GB"/>
        </w:rPr>
        <w:t>I.</w:t>
      </w:r>
      <w:r w:rsidRPr="000A37BF">
        <w:rPr>
          <w:rFonts w:eastAsiaTheme="majorEastAsia"/>
          <w:b/>
          <w:bCs/>
          <w:kern w:val="22"/>
          <w:sz w:val="22"/>
          <w:szCs w:val="22"/>
          <w:lang w:val="en-GB" w:eastAsia="en-GB"/>
        </w:rPr>
        <w:tab/>
      </w:r>
      <w:r w:rsidR="00046221" w:rsidRPr="000A37BF">
        <w:rPr>
          <w:rFonts w:eastAsiaTheme="majorEastAsia"/>
          <w:b/>
          <w:bCs/>
          <w:caps/>
          <w:kern w:val="22"/>
          <w:sz w:val="22"/>
          <w:szCs w:val="22"/>
          <w:lang w:val="en-GB" w:eastAsia="en-GB"/>
        </w:rPr>
        <w:t>Introduction</w:t>
      </w:r>
    </w:p>
    <w:p w14:paraId="1FE094E9" w14:textId="188F2AF2" w:rsidR="003B04C0" w:rsidRPr="000A37BF" w:rsidRDefault="00E86B4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 xml:space="preserve">At </w:t>
      </w:r>
      <w:r w:rsidR="00911369" w:rsidRPr="00C053AE">
        <w:rPr>
          <w:kern w:val="22"/>
          <w:sz w:val="22"/>
          <w:szCs w:val="22"/>
          <w:lang w:val="en-GB" w:eastAsia="en-GB"/>
        </w:rPr>
        <w:t>its</w:t>
      </w:r>
      <w:r w:rsidR="00911369" w:rsidRPr="000A37BF">
        <w:rPr>
          <w:kern w:val="22"/>
          <w:sz w:val="22"/>
          <w:szCs w:val="22"/>
          <w:lang w:val="en-GB" w:eastAsia="en-GB"/>
        </w:rPr>
        <w:t xml:space="preserve"> </w:t>
      </w:r>
      <w:r w:rsidRPr="000A37BF">
        <w:rPr>
          <w:kern w:val="22"/>
          <w:sz w:val="22"/>
          <w:szCs w:val="22"/>
          <w:lang w:val="en-GB" w:eastAsia="en-GB"/>
        </w:rPr>
        <w:t>fourteenth meeting</w:t>
      </w:r>
      <w:r w:rsidR="00911369" w:rsidRPr="00C053AE">
        <w:rPr>
          <w:kern w:val="22"/>
          <w:sz w:val="22"/>
          <w:szCs w:val="22"/>
          <w:lang w:val="en-GB" w:eastAsia="en-GB"/>
        </w:rPr>
        <w:t>,</w:t>
      </w:r>
      <w:r w:rsidRPr="000A37BF">
        <w:rPr>
          <w:kern w:val="22"/>
          <w:sz w:val="22"/>
          <w:szCs w:val="22"/>
          <w:lang w:val="en-GB" w:eastAsia="en-GB"/>
        </w:rPr>
        <w:t xml:space="preserve"> the Conference of the Parties affirmed that resource mobilization </w:t>
      </w:r>
      <w:r w:rsidR="00F716BC" w:rsidRPr="000A37BF">
        <w:rPr>
          <w:kern w:val="22"/>
          <w:sz w:val="22"/>
          <w:szCs w:val="22"/>
          <w:lang w:val="en-GB" w:eastAsia="en-GB"/>
        </w:rPr>
        <w:t>would</w:t>
      </w:r>
      <w:r w:rsidRPr="000A37BF">
        <w:rPr>
          <w:kern w:val="22"/>
          <w:sz w:val="22"/>
          <w:szCs w:val="22"/>
          <w:lang w:val="en-GB" w:eastAsia="en-GB"/>
        </w:rPr>
        <w:t xml:space="preserve"> be an integral part of the post-2020 global biodiversity framework and decided to initiate preparations </w:t>
      </w:r>
      <w:r w:rsidR="00095B07" w:rsidRPr="00C053AE">
        <w:rPr>
          <w:kern w:val="22"/>
          <w:sz w:val="22"/>
          <w:szCs w:val="22"/>
          <w:lang w:val="en-GB" w:eastAsia="en-GB"/>
        </w:rPr>
        <w:t>for</w:t>
      </w:r>
      <w:r w:rsidR="00095B07" w:rsidRPr="000A37BF">
        <w:rPr>
          <w:kern w:val="22"/>
          <w:sz w:val="22"/>
          <w:szCs w:val="22"/>
          <w:lang w:val="en-GB" w:eastAsia="en-GB"/>
        </w:rPr>
        <w:t xml:space="preserve"> </w:t>
      </w:r>
      <w:r w:rsidRPr="000A37BF">
        <w:rPr>
          <w:kern w:val="22"/>
          <w:sz w:val="22"/>
          <w:szCs w:val="22"/>
          <w:lang w:val="en-GB" w:eastAsia="en-GB"/>
        </w:rPr>
        <w:t>this resource mobilization component at an early stage and in full coherence and coordination with the overall process of developing the post-2020 framework (</w:t>
      </w:r>
      <w:r w:rsidR="00095B07" w:rsidRPr="00C053AE">
        <w:rPr>
          <w:kern w:val="22"/>
          <w:sz w:val="22"/>
          <w:szCs w:val="22"/>
          <w:lang w:val="en-GB" w:eastAsia="en-GB"/>
        </w:rPr>
        <w:t xml:space="preserve">see </w:t>
      </w:r>
      <w:r w:rsidR="0041762B" w:rsidRPr="000A37BF">
        <w:rPr>
          <w:kern w:val="22"/>
          <w:sz w:val="22"/>
          <w:szCs w:val="22"/>
          <w:lang w:val="en-GB" w:eastAsia="en-GB"/>
        </w:rPr>
        <w:t xml:space="preserve">decision </w:t>
      </w:r>
      <w:hyperlink r:id="rId15" w:history="1">
        <w:r w:rsidRPr="000A37BF">
          <w:rPr>
            <w:rStyle w:val="Hyperlink"/>
            <w:kern w:val="22"/>
            <w:sz w:val="22"/>
            <w:szCs w:val="22"/>
            <w:lang w:val="en-GB" w:eastAsia="en-GB"/>
          </w:rPr>
          <w:t>14/22</w:t>
        </w:r>
      </w:hyperlink>
      <w:r w:rsidRPr="000A37BF">
        <w:rPr>
          <w:kern w:val="22"/>
          <w:sz w:val="22"/>
          <w:szCs w:val="22"/>
          <w:lang w:val="en-GB" w:eastAsia="en-GB"/>
        </w:rPr>
        <w:t>, para.</w:t>
      </w:r>
      <w:r w:rsidR="0054711F" w:rsidRPr="000A37BF">
        <w:rPr>
          <w:kern w:val="22"/>
          <w:sz w:val="22"/>
          <w:szCs w:val="22"/>
          <w:lang w:val="en-GB" w:eastAsia="en-GB"/>
        </w:rPr>
        <w:t> </w:t>
      </w:r>
      <w:r w:rsidRPr="000A37BF">
        <w:rPr>
          <w:kern w:val="22"/>
          <w:sz w:val="22"/>
          <w:szCs w:val="22"/>
          <w:lang w:val="en-GB" w:eastAsia="en-GB"/>
        </w:rPr>
        <w:t xml:space="preserve">14). In the same decision, the Conference of the Parties requested the Executive Secretary to contract a </w:t>
      </w:r>
      <w:r w:rsidR="007712A9" w:rsidRPr="000A37BF">
        <w:rPr>
          <w:kern w:val="22"/>
          <w:sz w:val="22"/>
          <w:szCs w:val="22"/>
          <w:lang w:val="en-GB" w:eastAsia="en-GB"/>
        </w:rPr>
        <w:t>p</w:t>
      </w:r>
      <w:r w:rsidRPr="000A37BF">
        <w:rPr>
          <w:kern w:val="22"/>
          <w:sz w:val="22"/>
          <w:szCs w:val="22"/>
          <w:lang w:val="en-GB" w:eastAsia="en-GB"/>
        </w:rPr>
        <w:t xml:space="preserve">anel of </w:t>
      </w:r>
      <w:r w:rsidR="007712A9" w:rsidRPr="000A37BF">
        <w:rPr>
          <w:kern w:val="22"/>
          <w:sz w:val="22"/>
          <w:szCs w:val="22"/>
          <w:lang w:val="en-GB" w:eastAsia="en-GB"/>
        </w:rPr>
        <w:t>e</w:t>
      </w:r>
      <w:r w:rsidRPr="000A37BF">
        <w:rPr>
          <w:kern w:val="22"/>
          <w:sz w:val="22"/>
          <w:szCs w:val="22"/>
          <w:lang w:val="en-GB" w:eastAsia="en-GB"/>
        </w:rPr>
        <w:t>xperts to prepare pertinent analyses and reports for the consideration of the Open-ended Working Group on the Post-2020 Global Biodiversity Framework, and of the Conference of the Parties at its fifteenth meeting (decision</w:t>
      </w:r>
      <w:r w:rsidR="001E679E" w:rsidRPr="00C053AE">
        <w:rPr>
          <w:kern w:val="22"/>
          <w:sz w:val="22"/>
          <w:szCs w:val="22"/>
          <w:lang w:val="en-GB" w:eastAsia="en-GB"/>
        </w:rPr>
        <w:t> </w:t>
      </w:r>
      <w:r w:rsidRPr="000A37BF">
        <w:rPr>
          <w:kern w:val="22"/>
          <w:sz w:val="22"/>
          <w:szCs w:val="22"/>
          <w:lang w:val="en-GB" w:eastAsia="en-GB"/>
        </w:rPr>
        <w:t>14/22, para. 15).</w:t>
      </w:r>
    </w:p>
    <w:p w14:paraId="417AC404" w14:textId="476F4022" w:rsidR="00E86B40" w:rsidRPr="000A37BF" w:rsidRDefault="00E86B4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 xml:space="preserve">The present document provides the third report of the </w:t>
      </w:r>
      <w:r w:rsidR="00F770E8" w:rsidRPr="000A37BF">
        <w:rPr>
          <w:kern w:val="22"/>
          <w:sz w:val="22"/>
          <w:szCs w:val="22"/>
          <w:lang w:val="en-GB" w:eastAsia="en-GB"/>
        </w:rPr>
        <w:t>P</w:t>
      </w:r>
      <w:r w:rsidRPr="000A37BF">
        <w:rPr>
          <w:kern w:val="22"/>
          <w:sz w:val="22"/>
          <w:szCs w:val="22"/>
          <w:lang w:val="en-GB" w:eastAsia="en-GB"/>
        </w:rPr>
        <w:t xml:space="preserve">anel of </w:t>
      </w:r>
      <w:r w:rsidR="00F770E8" w:rsidRPr="000A37BF">
        <w:rPr>
          <w:kern w:val="22"/>
          <w:sz w:val="22"/>
          <w:szCs w:val="22"/>
          <w:lang w:val="en-GB" w:eastAsia="en-GB"/>
        </w:rPr>
        <w:t>E</w:t>
      </w:r>
      <w:r w:rsidRPr="000A37BF">
        <w:rPr>
          <w:kern w:val="22"/>
          <w:sz w:val="22"/>
          <w:szCs w:val="22"/>
          <w:lang w:val="en-GB" w:eastAsia="en-GB"/>
        </w:rPr>
        <w:t>xperts in fulfilment of its mandate, and responds to the request</w:t>
      </w:r>
      <w:r w:rsidR="004A6D23" w:rsidRPr="000A37BF">
        <w:rPr>
          <w:kern w:val="22"/>
          <w:sz w:val="22"/>
          <w:szCs w:val="22"/>
          <w:lang w:val="en-GB" w:eastAsia="en-GB"/>
        </w:rPr>
        <w:t>,</w:t>
      </w:r>
      <w:r w:rsidRPr="000A37BF">
        <w:rPr>
          <w:kern w:val="22"/>
          <w:sz w:val="22"/>
          <w:szCs w:val="22"/>
          <w:lang w:val="en-GB" w:eastAsia="en-GB"/>
        </w:rPr>
        <w:t xml:space="preserve"> in paragraph 15</w:t>
      </w:r>
      <w:r w:rsidR="003F6D37" w:rsidRPr="000A37BF">
        <w:rPr>
          <w:kern w:val="22"/>
          <w:sz w:val="22"/>
          <w:szCs w:val="22"/>
          <w:lang w:val="en-GB" w:eastAsia="en-GB"/>
        </w:rPr>
        <w:t> </w:t>
      </w:r>
      <w:r w:rsidRPr="000A37BF">
        <w:rPr>
          <w:kern w:val="22"/>
          <w:sz w:val="22"/>
          <w:szCs w:val="22"/>
          <w:lang w:val="en-GB" w:eastAsia="en-GB"/>
        </w:rPr>
        <w:t>(d) of decision</w:t>
      </w:r>
      <w:r w:rsidR="00C94695" w:rsidRPr="000A37BF">
        <w:rPr>
          <w:kern w:val="22"/>
          <w:sz w:val="22"/>
          <w:szCs w:val="22"/>
          <w:lang w:val="en-GB" w:eastAsia="en-GB"/>
        </w:rPr>
        <w:t> 14/22</w:t>
      </w:r>
      <w:r w:rsidRPr="000A37BF">
        <w:rPr>
          <w:kern w:val="22"/>
          <w:sz w:val="22"/>
          <w:szCs w:val="22"/>
          <w:lang w:val="en-GB" w:eastAsia="en-GB"/>
        </w:rPr>
        <w:t xml:space="preserve">, </w:t>
      </w:r>
      <w:r w:rsidR="006C3545" w:rsidRPr="000A37BF">
        <w:rPr>
          <w:kern w:val="22"/>
          <w:sz w:val="22"/>
          <w:szCs w:val="22"/>
          <w:lang w:val="en-GB" w:eastAsia="en-GB"/>
        </w:rPr>
        <w:t xml:space="preserve">that the panel </w:t>
      </w:r>
      <w:r w:rsidRPr="000A37BF">
        <w:rPr>
          <w:kern w:val="22"/>
          <w:sz w:val="22"/>
          <w:szCs w:val="22"/>
          <w:lang w:val="en-GB" w:eastAsia="en-GB"/>
        </w:rPr>
        <w:t xml:space="preserve">contribute to a draft resource mobilization component of the post-2020 biodiversity framework as a follow-up to the current </w:t>
      </w:r>
      <w:r w:rsidR="00FF7F07" w:rsidRPr="000A37BF">
        <w:rPr>
          <w:kern w:val="22"/>
          <w:sz w:val="22"/>
          <w:szCs w:val="22"/>
          <w:lang w:val="en-GB" w:eastAsia="en-GB"/>
        </w:rPr>
        <w:t>s</w:t>
      </w:r>
      <w:r w:rsidRPr="000A37BF">
        <w:rPr>
          <w:kern w:val="22"/>
          <w:sz w:val="22"/>
          <w:szCs w:val="22"/>
          <w:lang w:val="en-GB" w:eastAsia="en-GB"/>
        </w:rPr>
        <w:t xml:space="preserve">trategy for </w:t>
      </w:r>
      <w:r w:rsidR="00FF7F07" w:rsidRPr="000A37BF">
        <w:rPr>
          <w:kern w:val="22"/>
          <w:sz w:val="22"/>
          <w:szCs w:val="22"/>
          <w:lang w:val="en-GB" w:eastAsia="en-GB"/>
        </w:rPr>
        <w:t>r</w:t>
      </w:r>
      <w:r w:rsidRPr="000A37BF">
        <w:rPr>
          <w:kern w:val="22"/>
          <w:sz w:val="22"/>
          <w:szCs w:val="22"/>
          <w:lang w:val="en-GB" w:eastAsia="en-GB"/>
        </w:rPr>
        <w:t xml:space="preserve">esource </w:t>
      </w:r>
      <w:r w:rsidR="00FF7F07" w:rsidRPr="000A37BF">
        <w:rPr>
          <w:kern w:val="22"/>
          <w:sz w:val="22"/>
          <w:szCs w:val="22"/>
          <w:lang w:val="en-GB" w:eastAsia="en-GB"/>
        </w:rPr>
        <w:t>m</w:t>
      </w:r>
      <w:r w:rsidRPr="000A37BF">
        <w:rPr>
          <w:kern w:val="22"/>
          <w:sz w:val="22"/>
          <w:szCs w:val="22"/>
          <w:lang w:val="en-GB" w:eastAsia="en-GB"/>
        </w:rPr>
        <w:t xml:space="preserve">obilization, based on the existing </w:t>
      </w:r>
      <w:r w:rsidR="00FF7F07" w:rsidRPr="000A37BF">
        <w:rPr>
          <w:kern w:val="22"/>
          <w:sz w:val="22"/>
          <w:szCs w:val="22"/>
          <w:lang w:val="en-GB" w:eastAsia="en-GB"/>
        </w:rPr>
        <w:t>s</w:t>
      </w:r>
      <w:r w:rsidRPr="000A37BF">
        <w:rPr>
          <w:kern w:val="22"/>
          <w:sz w:val="22"/>
          <w:szCs w:val="22"/>
          <w:lang w:val="en-GB" w:eastAsia="en-GB"/>
        </w:rPr>
        <w:t xml:space="preserve">trategy and </w:t>
      </w:r>
      <w:r w:rsidR="00224BD8" w:rsidRPr="000A37BF">
        <w:rPr>
          <w:kern w:val="22"/>
          <w:sz w:val="22"/>
          <w:szCs w:val="22"/>
          <w:lang w:val="en-GB" w:eastAsia="en-GB"/>
        </w:rPr>
        <w:t>the panel’s</w:t>
      </w:r>
      <w:r w:rsidRPr="000A37BF">
        <w:rPr>
          <w:kern w:val="22"/>
          <w:sz w:val="22"/>
          <w:szCs w:val="22"/>
          <w:lang w:val="en-GB" w:eastAsia="en-GB"/>
        </w:rPr>
        <w:t xml:space="preserve"> other two reports.</w:t>
      </w:r>
    </w:p>
    <w:p w14:paraId="0EBB5DCE" w14:textId="13E4AA8D" w:rsidR="000D0A5A" w:rsidRPr="000A37BF" w:rsidRDefault="000D0A5A" w:rsidP="000A37BF">
      <w:pPr>
        <w:pStyle w:val="Para1"/>
        <w:numPr>
          <w:ilvl w:val="0"/>
          <w:numId w:val="49"/>
        </w:numPr>
        <w:suppressLineNumbers/>
        <w:suppressAutoHyphens/>
        <w:adjustRightInd w:val="0"/>
        <w:snapToGrid w:val="0"/>
        <w:spacing w:before="120"/>
        <w:ind w:left="0" w:firstLine="0"/>
        <w:jc w:val="both"/>
        <w:rPr>
          <w:kern w:val="22"/>
          <w:sz w:val="22"/>
          <w:szCs w:val="22"/>
          <w:lang w:val="en-GB"/>
        </w:rPr>
      </w:pPr>
      <w:r w:rsidRPr="000A37BF">
        <w:rPr>
          <w:kern w:val="22"/>
          <w:sz w:val="22"/>
          <w:szCs w:val="22"/>
          <w:lang w:val="en-GB" w:eastAsia="en-GB"/>
        </w:rPr>
        <w:t xml:space="preserve">The first report of the </w:t>
      </w:r>
      <w:r w:rsidR="00F770E8" w:rsidRPr="000A37BF">
        <w:rPr>
          <w:kern w:val="22"/>
          <w:sz w:val="22"/>
          <w:szCs w:val="22"/>
          <w:lang w:val="en-GB" w:eastAsia="en-GB"/>
        </w:rPr>
        <w:t>P</w:t>
      </w:r>
      <w:r w:rsidRPr="000A37BF">
        <w:rPr>
          <w:kern w:val="22"/>
          <w:sz w:val="22"/>
          <w:szCs w:val="22"/>
          <w:lang w:val="en-GB" w:eastAsia="en-GB"/>
        </w:rPr>
        <w:t xml:space="preserve">anel of </w:t>
      </w:r>
      <w:r w:rsidR="00F770E8" w:rsidRPr="000A37BF">
        <w:rPr>
          <w:kern w:val="22"/>
          <w:sz w:val="22"/>
          <w:szCs w:val="22"/>
          <w:lang w:val="en-GB" w:eastAsia="en-GB"/>
        </w:rPr>
        <w:t>E</w:t>
      </w:r>
      <w:r w:rsidRPr="000A37BF">
        <w:rPr>
          <w:kern w:val="22"/>
          <w:sz w:val="22"/>
          <w:szCs w:val="22"/>
          <w:lang w:val="en-GB" w:eastAsia="en-GB"/>
        </w:rPr>
        <w:t>xperts</w:t>
      </w:r>
      <w:r w:rsidR="00AF5490" w:rsidRPr="000A37BF">
        <w:rPr>
          <w:kern w:val="22"/>
          <w:sz w:val="22"/>
          <w:szCs w:val="22"/>
          <w:vertAlign w:val="superscript"/>
          <w:lang w:val="en-GB"/>
        </w:rPr>
        <w:footnoteReference w:id="3"/>
      </w:r>
      <w:r w:rsidRPr="000A37BF">
        <w:rPr>
          <w:kern w:val="22"/>
          <w:sz w:val="22"/>
          <w:szCs w:val="22"/>
          <w:lang w:val="en-GB" w:eastAsia="en-GB"/>
        </w:rPr>
        <w:t xml:space="preserve"> evaluated and reviewed the </w:t>
      </w:r>
      <w:r w:rsidR="00FF7F07" w:rsidRPr="000A37BF">
        <w:rPr>
          <w:kern w:val="22"/>
          <w:sz w:val="22"/>
          <w:szCs w:val="22"/>
          <w:lang w:val="en-GB" w:eastAsia="en-GB"/>
        </w:rPr>
        <w:t>s</w:t>
      </w:r>
      <w:r w:rsidRPr="000A37BF">
        <w:rPr>
          <w:kern w:val="22"/>
          <w:sz w:val="22"/>
          <w:szCs w:val="22"/>
          <w:lang w:val="en-GB" w:eastAsia="en-GB"/>
        </w:rPr>
        <w:t xml:space="preserve">trategy for </w:t>
      </w:r>
      <w:r w:rsidR="00FF7F07" w:rsidRPr="000A37BF">
        <w:rPr>
          <w:kern w:val="22"/>
          <w:sz w:val="22"/>
          <w:szCs w:val="22"/>
          <w:lang w:val="en-GB" w:eastAsia="en-GB"/>
        </w:rPr>
        <w:t>r</w:t>
      </w:r>
      <w:r w:rsidRPr="000A37BF">
        <w:rPr>
          <w:kern w:val="22"/>
          <w:sz w:val="22"/>
          <w:szCs w:val="22"/>
          <w:lang w:val="en-GB" w:eastAsia="en-GB"/>
        </w:rPr>
        <w:t xml:space="preserve">esource </w:t>
      </w:r>
      <w:r w:rsidR="00FF7F07" w:rsidRPr="000A37BF">
        <w:rPr>
          <w:kern w:val="22"/>
          <w:sz w:val="22"/>
          <w:szCs w:val="22"/>
          <w:lang w:val="en-GB" w:eastAsia="en-GB"/>
        </w:rPr>
        <w:t>m</w:t>
      </w:r>
      <w:r w:rsidRPr="000A37BF">
        <w:rPr>
          <w:kern w:val="22"/>
          <w:sz w:val="22"/>
          <w:szCs w:val="22"/>
          <w:lang w:val="en-GB" w:eastAsia="en-GB"/>
        </w:rPr>
        <w:t>obili</w:t>
      </w:r>
      <w:r w:rsidR="00590359" w:rsidRPr="000A37BF">
        <w:rPr>
          <w:kern w:val="22"/>
          <w:sz w:val="22"/>
          <w:szCs w:val="22"/>
          <w:lang w:val="en-GB" w:eastAsia="en-GB"/>
        </w:rPr>
        <w:t>z</w:t>
      </w:r>
      <w:r w:rsidRPr="000A37BF">
        <w:rPr>
          <w:kern w:val="22"/>
          <w:sz w:val="22"/>
          <w:szCs w:val="22"/>
          <w:lang w:val="en-GB" w:eastAsia="en-GB"/>
        </w:rPr>
        <w:t>ation</w:t>
      </w:r>
      <w:r w:rsidR="00AF5490" w:rsidRPr="000A37BF">
        <w:rPr>
          <w:rStyle w:val="FootnoteReference"/>
          <w:kern w:val="22"/>
          <w:sz w:val="22"/>
          <w:szCs w:val="22"/>
          <w:u w:val="none"/>
          <w:vertAlign w:val="superscript"/>
          <w:lang w:val="en-GB" w:eastAsia="en-GB"/>
        </w:rPr>
        <w:footnoteReference w:id="4"/>
      </w:r>
      <w:r w:rsidRPr="000A37BF">
        <w:rPr>
          <w:kern w:val="22"/>
          <w:sz w:val="22"/>
          <w:szCs w:val="22"/>
          <w:lang w:val="en-GB" w:eastAsia="en-GB"/>
        </w:rPr>
        <w:t xml:space="preserve"> and Aichi Biodiversity Target 20</w:t>
      </w:r>
      <w:r w:rsidR="001F7CEE" w:rsidRPr="000A37BF">
        <w:rPr>
          <w:kern w:val="22"/>
          <w:sz w:val="22"/>
          <w:szCs w:val="22"/>
          <w:lang w:val="en-GB" w:eastAsia="en-GB"/>
        </w:rPr>
        <w:t>. The Panel of Experts</w:t>
      </w:r>
      <w:r w:rsidRPr="000A37BF">
        <w:rPr>
          <w:kern w:val="22"/>
          <w:sz w:val="22"/>
          <w:szCs w:val="22"/>
          <w:lang w:val="en-GB" w:eastAsia="en-GB"/>
        </w:rPr>
        <w:t xml:space="preserve"> found that while there had been some progress in achieving </w:t>
      </w:r>
      <w:r w:rsidR="00C92001" w:rsidRPr="000A37BF">
        <w:rPr>
          <w:kern w:val="22"/>
          <w:sz w:val="22"/>
          <w:szCs w:val="22"/>
          <w:lang w:val="en-GB" w:eastAsia="en-GB"/>
        </w:rPr>
        <w:t xml:space="preserve">Aichi Target 20 and </w:t>
      </w:r>
      <w:r w:rsidRPr="000A37BF">
        <w:rPr>
          <w:kern w:val="22"/>
          <w:sz w:val="22"/>
          <w:szCs w:val="22"/>
          <w:lang w:val="en-GB" w:eastAsia="en-GB"/>
        </w:rPr>
        <w:t xml:space="preserve">the eight goals of the </w:t>
      </w:r>
      <w:r w:rsidR="00FF7F07" w:rsidRPr="000A37BF">
        <w:rPr>
          <w:kern w:val="22"/>
          <w:sz w:val="22"/>
          <w:szCs w:val="22"/>
          <w:lang w:val="en-GB" w:eastAsia="en-GB"/>
        </w:rPr>
        <w:t>s</w:t>
      </w:r>
      <w:r w:rsidRPr="000A37BF">
        <w:rPr>
          <w:kern w:val="22"/>
          <w:sz w:val="22"/>
          <w:szCs w:val="22"/>
          <w:lang w:val="en-GB" w:eastAsia="en-GB"/>
        </w:rPr>
        <w:t xml:space="preserve">trategy for </w:t>
      </w:r>
      <w:r w:rsidR="00FF7F07" w:rsidRPr="000A37BF">
        <w:rPr>
          <w:kern w:val="22"/>
          <w:sz w:val="22"/>
          <w:szCs w:val="22"/>
          <w:lang w:val="en-GB" w:eastAsia="en-GB"/>
        </w:rPr>
        <w:t>r</w:t>
      </w:r>
      <w:r w:rsidRPr="000A37BF">
        <w:rPr>
          <w:kern w:val="22"/>
          <w:sz w:val="22"/>
          <w:szCs w:val="22"/>
          <w:lang w:val="en-GB" w:eastAsia="en-GB"/>
        </w:rPr>
        <w:t xml:space="preserve">esource </w:t>
      </w:r>
      <w:r w:rsidR="00FF7F07" w:rsidRPr="000A37BF">
        <w:rPr>
          <w:kern w:val="22"/>
          <w:sz w:val="22"/>
          <w:szCs w:val="22"/>
          <w:lang w:val="en-GB" w:eastAsia="en-GB"/>
        </w:rPr>
        <w:t>m</w:t>
      </w:r>
      <w:r w:rsidRPr="000A37BF">
        <w:rPr>
          <w:kern w:val="22"/>
          <w:sz w:val="22"/>
          <w:szCs w:val="22"/>
          <w:lang w:val="en-GB" w:eastAsia="en-GB"/>
        </w:rPr>
        <w:t>obili</w:t>
      </w:r>
      <w:r w:rsidR="004A1BBD" w:rsidRPr="000A37BF">
        <w:rPr>
          <w:kern w:val="22"/>
          <w:sz w:val="22"/>
          <w:szCs w:val="22"/>
          <w:lang w:val="en-GB" w:eastAsia="en-GB"/>
        </w:rPr>
        <w:t>z</w:t>
      </w:r>
      <w:r w:rsidRPr="000A37BF">
        <w:rPr>
          <w:kern w:val="22"/>
          <w:sz w:val="22"/>
          <w:szCs w:val="22"/>
          <w:lang w:val="en-GB" w:eastAsia="en-GB"/>
        </w:rPr>
        <w:t>ation, implementation was uneven and hampered by capacity challenges</w:t>
      </w:r>
      <w:r w:rsidR="00C14D7B" w:rsidRPr="000A37BF">
        <w:rPr>
          <w:kern w:val="22"/>
          <w:sz w:val="22"/>
          <w:szCs w:val="22"/>
          <w:lang w:val="en-GB" w:eastAsia="en-GB"/>
        </w:rPr>
        <w:t>.</w:t>
      </w:r>
      <w:r w:rsidRPr="000A37BF">
        <w:rPr>
          <w:kern w:val="22"/>
          <w:sz w:val="22"/>
          <w:szCs w:val="22"/>
          <w:lang w:val="en-GB" w:eastAsia="en-GB"/>
        </w:rPr>
        <w:t xml:space="preserve"> </w:t>
      </w:r>
      <w:r w:rsidR="00C14D7B" w:rsidRPr="000A37BF">
        <w:rPr>
          <w:kern w:val="22"/>
          <w:sz w:val="22"/>
          <w:szCs w:val="22"/>
          <w:lang w:val="en-GB" w:eastAsia="en-GB"/>
        </w:rPr>
        <w:t xml:space="preserve">Among other things, the report noted </w:t>
      </w:r>
      <w:r w:rsidRPr="000A37BF">
        <w:rPr>
          <w:kern w:val="22"/>
          <w:sz w:val="22"/>
          <w:szCs w:val="22"/>
          <w:lang w:val="en-GB" w:eastAsia="en-GB"/>
        </w:rPr>
        <w:t>a lack of progress in scal</w:t>
      </w:r>
      <w:r w:rsidR="003F6C8D" w:rsidRPr="000A37BF">
        <w:rPr>
          <w:kern w:val="22"/>
          <w:sz w:val="22"/>
          <w:szCs w:val="22"/>
          <w:lang w:val="en-GB" w:eastAsia="en-GB"/>
        </w:rPr>
        <w:t>ing</w:t>
      </w:r>
      <w:r w:rsidR="00D07222" w:rsidRPr="000A37BF">
        <w:rPr>
          <w:kern w:val="22"/>
          <w:sz w:val="22"/>
          <w:szCs w:val="22"/>
          <w:lang w:val="en-GB" w:eastAsia="en-GB"/>
        </w:rPr>
        <w:t xml:space="preserve"> </w:t>
      </w:r>
      <w:r w:rsidR="00211790" w:rsidRPr="000A37BF">
        <w:rPr>
          <w:kern w:val="22"/>
          <w:sz w:val="22"/>
          <w:szCs w:val="22"/>
          <w:lang w:val="en-GB" w:eastAsia="en-GB"/>
        </w:rPr>
        <w:t>up</w:t>
      </w:r>
      <w:r w:rsidRPr="000A37BF">
        <w:rPr>
          <w:kern w:val="22"/>
          <w:sz w:val="22"/>
          <w:szCs w:val="22"/>
          <w:lang w:val="en-GB" w:eastAsia="en-GB"/>
        </w:rPr>
        <w:t xml:space="preserve"> of private sector engagement, and a lack of prioriti</w:t>
      </w:r>
      <w:r w:rsidR="00273078" w:rsidRPr="000A37BF">
        <w:rPr>
          <w:kern w:val="22"/>
          <w:sz w:val="22"/>
          <w:szCs w:val="22"/>
          <w:lang w:val="en-GB" w:eastAsia="en-GB"/>
        </w:rPr>
        <w:t>z</w:t>
      </w:r>
      <w:r w:rsidRPr="000A37BF">
        <w:rPr>
          <w:kern w:val="22"/>
          <w:sz w:val="22"/>
          <w:szCs w:val="22"/>
          <w:lang w:val="en-GB" w:eastAsia="en-GB"/>
        </w:rPr>
        <w:t xml:space="preserve">ation of biodiversity outside of </w:t>
      </w:r>
      <w:r w:rsidR="003F6C8D" w:rsidRPr="000A37BF">
        <w:rPr>
          <w:kern w:val="22"/>
          <w:sz w:val="22"/>
          <w:szCs w:val="22"/>
          <w:lang w:val="en-GB" w:eastAsia="en-GB"/>
        </w:rPr>
        <w:t>e</w:t>
      </w:r>
      <w:r w:rsidRPr="000A37BF">
        <w:rPr>
          <w:kern w:val="22"/>
          <w:sz w:val="22"/>
          <w:szCs w:val="22"/>
          <w:lang w:val="en-GB" w:eastAsia="en-GB"/>
        </w:rPr>
        <w:t xml:space="preserve">nvironment </w:t>
      </w:r>
      <w:r w:rsidR="003F6C8D" w:rsidRPr="000A37BF">
        <w:rPr>
          <w:kern w:val="22"/>
          <w:sz w:val="22"/>
          <w:szCs w:val="22"/>
          <w:lang w:val="en-GB" w:eastAsia="en-GB"/>
        </w:rPr>
        <w:t>m</w:t>
      </w:r>
      <w:r w:rsidRPr="000A37BF">
        <w:rPr>
          <w:kern w:val="22"/>
          <w:sz w:val="22"/>
          <w:szCs w:val="22"/>
          <w:lang w:val="en-GB" w:eastAsia="en-GB"/>
        </w:rPr>
        <w:t xml:space="preserve">inistries. The implication of the findings is that a more comprehensive </w:t>
      </w:r>
      <w:r w:rsidR="003F6C8D" w:rsidRPr="000A37BF">
        <w:rPr>
          <w:kern w:val="22"/>
          <w:sz w:val="22"/>
          <w:szCs w:val="22"/>
          <w:lang w:val="en-GB" w:eastAsia="en-GB"/>
        </w:rPr>
        <w:t xml:space="preserve">and strategic </w:t>
      </w:r>
      <w:r w:rsidRPr="000A37BF">
        <w:rPr>
          <w:kern w:val="22"/>
          <w:sz w:val="22"/>
          <w:szCs w:val="22"/>
          <w:lang w:val="en-GB" w:eastAsia="en-GB"/>
        </w:rPr>
        <w:t>approach to resource mobili</w:t>
      </w:r>
      <w:r w:rsidR="00A14E9F" w:rsidRPr="000A37BF">
        <w:rPr>
          <w:kern w:val="22"/>
          <w:sz w:val="22"/>
          <w:szCs w:val="22"/>
          <w:lang w:val="en-GB" w:eastAsia="en-GB"/>
        </w:rPr>
        <w:t>z</w:t>
      </w:r>
      <w:r w:rsidRPr="000A37BF">
        <w:rPr>
          <w:kern w:val="22"/>
          <w:sz w:val="22"/>
          <w:szCs w:val="22"/>
          <w:lang w:val="en-GB" w:eastAsia="en-GB"/>
        </w:rPr>
        <w:t>ation is needed, giving equal attention to reallocation of resources harm</w:t>
      </w:r>
      <w:r w:rsidR="005C2343" w:rsidRPr="000A37BF">
        <w:rPr>
          <w:kern w:val="22"/>
          <w:sz w:val="22"/>
          <w:szCs w:val="22"/>
          <w:lang w:val="en-GB" w:eastAsia="en-GB"/>
        </w:rPr>
        <w:t>ful to</w:t>
      </w:r>
      <w:r w:rsidRPr="000A37BF">
        <w:rPr>
          <w:kern w:val="22"/>
          <w:sz w:val="22"/>
          <w:szCs w:val="22"/>
          <w:lang w:val="en-GB" w:eastAsia="en-GB"/>
        </w:rPr>
        <w:t xml:space="preserve"> biodiversity and </w:t>
      </w:r>
      <w:r w:rsidR="005C2343" w:rsidRPr="000A37BF">
        <w:rPr>
          <w:kern w:val="22"/>
          <w:sz w:val="22"/>
          <w:szCs w:val="22"/>
          <w:lang w:val="en-GB" w:eastAsia="en-GB"/>
        </w:rPr>
        <w:t xml:space="preserve">the </w:t>
      </w:r>
      <w:r w:rsidRPr="000A37BF">
        <w:rPr>
          <w:kern w:val="22"/>
          <w:sz w:val="22"/>
          <w:szCs w:val="22"/>
          <w:lang w:val="en-GB" w:eastAsia="en-GB"/>
        </w:rPr>
        <w:t xml:space="preserve">more effective use of resources, </w:t>
      </w:r>
      <w:r w:rsidR="00DE659A" w:rsidRPr="000A37BF">
        <w:rPr>
          <w:kern w:val="22"/>
          <w:sz w:val="22"/>
          <w:szCs w:val="22"/>
          <w:lang w:val="en-GB" w:eastAsia="en-GB"/>
        </w:rPr>
        <w:t>as well as</w:t>
      </w:r>
      <w:r w:rsidRPr="000A37BF">
        <w:rPr>
          <w:kern w:val="22"/>
          <w:sz w:val="22"/>
          <w:szCs w:val="22"/>
          <w:lang w:val="en-GB" w:eastAsia="en-GB"/>
        </w:rPr>
        <w:t xml:space="preserve"> a significant increase in resources being mobili</w:t>
      </w:r>
      <w:r w:rsidR="00A9226B" w:rsidRPr="000A37BF">
        <w:rPr>
          <w:kern w:val="22"/>
          <w:sz w:val="22"/>
          <w:szCs w:val="22"/>
          <w:lang w:val="en-GB" w:eastAsia="en-GB"/>
        </w:rPr>
        <w:t>z</w:t>
      </w:r>
      <w:r w:rsidRPr="000A37BF">
        <w:rPr>
          <w:kern w:val="22"/>
          <w:sz w:val="22"/>
          <w:szCs w:val="22"/>
          <w:lang w:val="en-GB" w:eastAsia="en-GB"/>
        </w:rPr>
        <w:t xml:space="preserve">ed. </w:t>
      </w:r>
      <w:bookmarkStart w:id="5" w:name="_Hlk40290737"/>
      <w:r w:rsidR="00201851" w:rsidRPr="000A37BF">
        <w:rPr>
          <w:kern w:val="22"/>
          <w:sz w:val="22"/>
          <w:szCs w:val="22"/>
          <w:lang w:val="en-GB" w:eastAsia="en-GB"/>
        </w:rPr>
        <w:t xml:space="preserve">There will also need to be a stronger focus on increasing biodiversity co-benefits </w:t>
      </w:r>
      <w:r w:rsidR="006D363A" w:rsidRPr="000A37BF">
        <w:rPr>
          <w:kern w:val="22"/>
          <w:sz w:val="22"/>
          <w:szCs w:val="22"/>
          <w:lang w:val="en-GB" w:eastAsia="en-GB"/>
        </w:rPr>
        <w:t xml:space="preserve">resulting </w:t>
      </w:r>
      <w:r w:rsidR="006D363A" w:rsidRPr="000A37BF">
        <w:rPr>
          <w:kern w:val="22"/>
          <w:sz w:val="22"/>
          <w:szCs w:val="22"/>
          <w:lang w:val="en-GB" w:eastAsia="en-GB"/>
        </w:rPr>
        <w:lastRenderedPageBreak/>
        <w:t xml:space="preserve">from </w:t>
      </w:r>
      <w:r w:rsidRPr="000A37BF">
        <w:rPr>
          <w:kern w:val="22"/>
          <w:sz w:val="22"/>
          <w:szCs w:val="22"/>
          <w:lang w:val="en-GB" w:eastAsia="en-GB"/>
        </w:rPr>
        <w:t>the substantial resources now being mobili</w:t>
      </w:r>
      <w:r w:rsidR="00A9226B" w:rsidRPr="000A37BF">
        <w:rPr>
          <w:kern w:val="22"/>
          <w:sz w:val="22"/>
          <w:szCs w:val="22"/>
          <w:lang w:val="en-GB" w:eastAsia="en-GB"/>
        </w:rPr>
        <w:t>z</w:t>
      </w:r>
      <w:r w:rsidRPr="000A37BF">
        <w:rPr>
          <w:kern w:val="22"/>
          <w:sz w:val="22"/>
          <w:szCs w:val="22"/>
          <w:lang w:val="en-GB" w:eastAsia="en-GB"/>
        </w:rPr>
        <w:t>ed for climate change and for implementing the Sustainable Development Goals</w:t>
      </w:r>
      <w:r w:rsidR="00F46D13" w:rsidRPr="000A37BF">
        <w:rPr>
          <w:rStyle w:val="FootnoteReference"/>
          <w:kern w:val="22"/>
          <w:sz w:val="22"/>
          <w:szCs w:val="22"/>
          <w:u w:val="none"/>
          <w:vertAlign w:val="superscript"/>
          <w:lang w:val="en-GB" w:eastAsia="en-GB"/>
        </w:rPr>
        <w:footnoteReference w:id="5"/>
      </w:r>
      <w:r w:rsidRPr="000A37BF">
        <w:rPr>
          <w:kern w:val="22"/>
          <w:sz w:val="22"/>
          <w:szCs w:val="22"/>
          <w:lang w:val="en-GB" w:eastAsia="en-GB"/>
        </w:rPr>
        <w:t xml:space="preserve"> more broadly.</w:t>
      </w:r>
    </w:p>
    <w:bookmarkEnd w:id="5"/>
    <w:p w14:paraId="58EFEA02" w14:textId="4A9070E9" w:rsidR="003F6C8D" w:rsidRPr="000A37BF" w:rsidRDefault="003F6C8D"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rFonts w:eastAsiaTheme="majorEastAsia"/>
          <w:kern w:val="22"/>
          <w:sz w:val="22"/>
          <w:szCs w:val="22"/>
          <w:lang w:val="en-GB" w:eastAsia="en-GB"/>
        </w:rPr>
        <w:t>In line with this observation, t</w:t>
      </w:r>
      <w:r w:rsidR="00E86B40" w:rsidRPr="000A37BF">
        <w:rPr>
          <w:rFonts w:eastAsiaTheme="majorEastAsia"/>
          <w:kern w:val="22"/>
          <w:sz w:val="22"/>
          <w:szCs w:val="22"/>
          <w:lang w:val="en-GB" w:eastAsia="en-GB"/>
        </w:rPr>
        <w:t xml:space="preserve">he present </w:t>
      </w:r>
      <w:r w:rsidR="009C18A0" w:rsidRPr="000A37BF">
        <w:rPr>
          <w:kern w:val="22"/>
          <w:sz w:val="22"/>
          <w:szCs w:val="22"/>
          <w:lang w:val="en-GB" w:eastAsia="en-GB"/>
        </w:rPr>
        <w:t xml:space="preserve">report sets out a strategic approach and </w:t>
      </w:r>
      <w:r w:rsidRPr="000A37BF">
        <w:rPr>
          <w:kern w:val="22"/>
          <w:sz w:val="22"/>
          <w:szCs w:val="22"/>
          <w:lang w:val="en-GB" w:eastAsia="en-GB"/>
        </w:rPr>
        <w:t xml:space="preserve">associated </w:t>
      </w:r>
      <w:r w:rsidR="009C18A0" w:rsidRPr="000A37BF">
        <w:rPr>
          <w:kern w:val="22"/>
          <w:sz w:val="22"/>
          <w:szCs w:val="22"/>
          <w:lang w:val="en-GB" w:eastAsia="en-GB"/>
        </w:rPr>
        <w:t>recommendations for resource mobili</w:t>
      </w:r>
      <w:r w:rsidR="00CE119A" w:rsidRPr="000A37BF">
        <w:rPr>
          <w:kern w:val="22"/>
          <w:sz w:val="22"/>
          <w:szCs w:val="22"/>
          <w:lang w:val="en-GB" w:eastAsia="en-GB"/>
        </w:rPr>
        <w:t>z</w:t>
      </w:r>
      <w:r w:rsidR="009C18A0" w:rsidRPr="000A37BF">
        <w:rPr>
          <w:kern w:val="22"/>
          <w:sz w:val="22"/>
          <w:szCs w:val="22"/>
          <w:lang w:val="en-GB" w:eastAsia="en-GB"/>
        </w:rPr>
        <w:t xml:space="preserve">ation in the post-2020 global biodiversity framework, drawing on input from Parties, </w:t>
      </w:r>
      <w:r w:rsidR="009C18A0" w:rsidRPr="000A37BF">
        <w:rPr>
          <w:rFonts w:eastAsiaTheme="majorEastAsia"/>
          <w:kern w:val="22"/>
          <w:sz w:val="22"/>
          <w:szCs w:val="22"/>
          <w:lang w:val="en-GB" w:eastAsia="en-GB"/>
        </w:rPr>
        <w:t>organi</w:t>
      </w:r>
      <w:r w:rsidR="00CE119A" w:rsidRPr="000A37BF">
        <w:rPr>
          <w:rFonts w:eastAsiaTheme="majorEastAsia"/>
          <w:kern w:val="22"/>
          <w:sz w:val="22"/>
          <w:szCs w:val="22"/>
          <w:lang w:val="en-GB" w:eastAsia="en-GB"/>
        </w:rPr>
        <w:t>z</w:t>
      </w:r>
      <w:r w:rsidR="009C18A0" w:rsidRPr="000A37BF">
        <w:rPr>
          <w:rFonts w:eastAsiaTheme="majorEastAsia"/>
          <w:kern w:val="22"/>
          <w:sz w:val="22"/>
          <w:szCs w:val="22"/>
          <w:lang w:val="en-GB" w:eastAsia="en-GB"/>
        </w:rPr>
        <w:t>ations</w:t>
      </w:r>
      <w:r w:rsidR="009C18A0" w:rsidRPr="000A37BF">
        <w:rPr>
          <w:kern w:val="22"/>
          <w:sz w:val="22"/>
          <w:szCs w:val="22"/>
          <w:lang w:val="en-GB" w:eastAsia="en-GB"/>
        </w:rPr>
        <w:t>, and other experts.</w:t>
      </w:r>
      <w:r w:rsidR="009C18A0" w:rsidRPr="000A37BF">
        <w:rPr>
          <w:kern w:val="22"/>
          <w:sz w:val="22"/>
          <w:szCs w:val="22"/>
          <w:vertAlign w:val="superscript"/>
          <w:lang w:val="en-GB" w:eastAsia="en-GB"/>
        </w:rPr>
        <w:footnoteReference w:id="6"/>
      </w:r>
      <w:r w:rsidR="00EF1343" w:rsidRPr="00C053AE">
        <w:rPr>
          <w:kern w:val="22"/>
          <w:sz w:val="22"/>
          <w:szCs w:val="22"/>
          <w:lang w:val="en-GB" w:eastAsia="en-GB"/>
        </w:rPr>
        <w:t xml:space="preserve"> </w:t>
      </w:r>
      <w:r w:rsidR="009C18A0" w:rsidRPr="000A37BF">
        <w:rPr>
          <w:kern w:val="22"/>
          <w:sz w:val="22"/>
          <w:szCs w:val="22"/>
          <w:lang w:val="en-GB" w:eastAsia="en-GB"/>
        </w:rPr>
        <w:t xml:space="preserve">Section </w:t>
      </w:r>
      <w:r w:rsidR="002A1762" w:rsidRPr="000A37BF">
        <w:rPr>
          <w:kern w:val="22"/>
          <w:sz w:val="22"/>
          <w:szCs w:val="22"/>
          <w:lang w:val="en-GB" w:eastAsia="en-GB"/>
        </w:rPr>
        <w:t>II</w:t>
      </w:r>
      <w:r w:rsidR="009C18A0" w:rsidRPr="000A37BF">
        <w:rPr>
          <w:kern w:val="22"/>
          <w:sz w:val="22"/>
          <w:szCs w:val="22"/>
          <w:lang w:val="en-GB" w:eastAsia="en-GB"/>
        </w:rPr>
        <w:t xml:space="preserve"> </w:t>
      </w:r>
      <w:r w:rsidR="00547893" w:rsidRPr="000A37BF">
        <w:rPr>
          <w:kern w:val="22"/>
          <w:sz w:val="22"/>
          <w:szCs w:val="22"/>
          <w:lang w:val="en-GB" w:eastAsia="en-GB"/>
        </w:rPr>
        <w:t>below</w:t>
      </w:r>
      <w:r w:rsidR="00E86B40" w:rsidRPr="000A37BF">
        <w:rPr>
          <w:kern w:val="22"/>
          <w:sz w:val="22"/>
          <w:szCs w:val="22"/>
          <w:lang w:val="en-GB" w:eastAsia="en-GB"/>
        </w:rPr>
        <w:t xml:space="preserve"> </w:t>
      </w:r>
      <w:r w:rsidR="009C18A0" w:rsidRPr="000A37BF">
        <w:rPr>
          <w:kern w:val="22"/>
          <w:sz w:val="22"/>
          <w:szCs w:val="22"/>
          <w:lang w:val="en-GB" w:eastAsia="en-GB"/>
        </w:rPr>
        <w:t>proposes a strategic approach to resource mobili</w:t>
      </w:r>
      <w:r w:rsidR="00902E5F" w:rsidRPr="000A37BF">
        <w:rPr>
          <w:kern w:val="22"/>
          <w:sz w:val="22"/>
          <w:szCs w:val="22"/>
          <w:lang w:val="en-GB" w:eastAsia="en-GB"/>
        </w:rPr>
        <w:t>z</w:t>
      </w:r>
      <w:r w:rsidR="009C18A0" w:rsidRPr="000A37BF">
        <w:rPr>
          <w:kern w:val="22"/>
          <w:sz w:val="22"/>
          <w:szCs w:val="22"/>
          <w:lang w:val="en-GB" w:eastAsia="en-GB"/>
        </w:rPr>
        <w:t xml:space="preserve">ation, built around three crucial components, and identifies key actors. Sections </w:t>
      </w:r>
      <w:r w:rsidR="002A1762" w:rsidRPr="000A37BF">
        <w:rPr>
          <w:kern w:val="22"/>
          <w:sz w:val="22"/>
          <w:szCs w:val="22"/>
          <w:lang w:val="en-GB" w:eastAsia="en-GB"/>
        </w:rPr>
        <w:t>III</w:t>
      </w:r>
      <w:r w:rsidR="009C18A0" w:rsidRPr="000A37BF">
        <w:rPr>
          <w:kern w:val="22"/>
          <w:sz w:val="22"/>
          <w:szCs w:val="22"/>
          <w:lang w:val="en-GB" w:eastAsia="en-GB"/>
        </w:rPr>
        <w:t xml:space="preserve"> </w:t>
      </w:r>
      <w:r w:rsidR="004A3487" w:rsidRPr="000A37BF">
        <w:rPr>
          <w:kern w:val="22"/>
          <w:sz w:val="22"/>
          <w:szCs w:val="22"/>
          <w:lang w:val="en-GB" w:eastAsia="en-GB"/>
        </w:rPr>
        <w:t>to</w:t>
      </w:r>
      <w:r w:rsidR="002A1762" w:rsidRPr="000A37BF">
        <w:rPr>
          <w:kern w:val="22"/>
          <w:sz w:val="22"/>
          <w:szCs w:val="22"/>
          <w:lang w:val="en-GB" w:eastAsia="en-GB"/>
        </w:rPr>
        <w:t> V</w:t>
      </w:r>
      <w:r w:rsidR="009C18A0" w:rsidRPr="000A37BF">
        <w:rPr>
          <w:kern w:val="22"/>
          <w:sz w:val="22"/>
          <w:szCs w:val="22"/>
          <w:lang w:val="en-GB" w:eastAsia="en-GB"/>
        </w:rPr>
        <w:t xml:space="preserve"> provide further detail on each </w:t>
      </w:r>
      <w:r w:rsidR="002A1762" w:rsidRPr="000A37BF">
        <w:rPr>
          <w:kern w:val="22"/>
          <w:sz w:val="22"/>
          <w:szCs w:val="22"/>
          <w:lang w:val="en-GB" w:eastAsia="en-GB"/>
        </w:rPr>
        <w:t xml:space="preserve">of </w:t>
      </w:r>
      <w:r w:rsidR="009C18A0" w:rsidRPr="000A37BF">
        <w:rPr>
          <w:kern w:val="22"/>
          <w:sz w:val="22"/>
          <w:szCs w:val="22"/>
          <w:lang w:val="en-GB" w:eastAsia="en-GB"/>
        </w:rPr>
        <w:t xml:space="preserve">the three components. Specifically, </w:t>
      </w:r>
      <w:r w:rsidR="00615F86" w:rsidRPr="000A37BF">
        <w:rPr>
          <w:kern w:val="22"/>
          <w:sz w:val="22"/>
          <w:szCs w:val="22"/>
          <w:lang w:val="en-GB" w:eastAsia="en-GB"/>
        </w:rPr>
        <w:t>s</w:t>
      </w:r>
      <w:r w:rsidR="009C18A0" w:rsidRPr="000A37BF">
        <w:rPr>
          <w:kern w:val="22"/>
          <w:sz w:val="22"/>
          <w:szCs w:val="22"/>
          <w:lang w:val="en-GB" w:eastAsia="en-GB"/>
        </w:rPr>
        <w:t xml:space="preserve">ection </w:t>
      </w:r>
      <w:r w:rsidR="002A1762" w:rsidRPr="000A37BF">
        <w:rPr>
          <w:kern w:val="22"/>
          <w:sz w:val="22"/>
          <w:szCs w:val="22"/>
          <w:lang w:val="en-GB" w:eastAsia="en-GB"/>
        </w:rPr>
        <w:t>III</w:t>
      </w:r>
      <w:r w:rsidR="009C18A0" w:rsidRPr="000A37BF">
        <w:rPr>
          <w:kern w:val="22"/>
          <w:sz w:val="22"/>
          <w:szCs w:val="22"/>
          <w:lang w:val="en-GB" w:eastAsia="en-GB"/>
        </w:rPr>
        <w:t xml:space="preserve"> addresses reducing or redirecting resources causing harm to biodiversity, </w:t>
      </w:r>
      <w:r w:rsidR="00C81741" w:rsidRPr="000A37BF">
        <w:rPr>
          <w:kern w:val="22"/>
          <w:sz w:val="22"/>
          <w:szCs w:val="22"/>
          <w:lang w:val="en-GB" w:eastAsia="en-GB"/>
        </w:rPr>
        <w:t>s</w:t>
      </w:r>
      <w:r w:rsidR="009C18A0" w:rsidRPr="000A37BF">
        <w:rPr>
          <w:kern w:val="22"/>
          <w:sz w:val="22"/>
          <w:szCs w:val="22"/>
          <w:lang w:val="en-GB" w:eastAsia="en-GB"/>
        </w:rPr>
        <w:t>ection</w:t>
      </w:r>
      <w:r w:rsidR="00E84508" w:rsidRPr="00C053AE">
        <w:rPr>
          <w:kern w:val="22"/>
          <w:sz w:val="22"/>
          <w:szCs w:val="22"/>
          <w:lang w:val="en-GB" w:eastAsia="en-GB"/>
        </w:rPr>
        <w:t> </w:t>
      </w:r>
      <w:r w:rsidR="002A1762" w:rsidRPr="000A37BF">
        <w:rPr>
          <w:kern w:val="22"/>
          <w:sz w:val="22"/>
          <w:szCs w:val="22"/>
          <w:lang w:val="en-GB" w:eastAsia="en-GB"/>
        </w:rPr>
        <w:t>IV</w:t>
      </w:r>
      <w:r w:rsidR="009C18A0" w:rsidRPr="000A37BF">
        <w:rPr>
          <w:kern w:val="22"/>
          <w:sz w:val="22"/>
          <w:szCs w:val="22"/>
          <w:lang w:val="en-GB" w:eastAsia="en-GB"/>
        </w:rPr>
        <w:t xml:space="preserve"> outlines generating additional resources from all sources, and </w:t>
      </w:r>
      <w:r w:rsidR="00C81741" w:rsidRPr="000A37BF">
        <w:rPr>
          <w:kern w:val="22"/>
          <w:sz w:val="22"/>
          <w:szCs w:val="22"/>
          <w:lang w:val="en-GB" w:eastAsia="en-GB"/>
        </w:rPr>
        <w:t>s</w:t>
      </w:r>
      <w:r w:rsidR="009C18A0" w:rsidRPr="000A37BF">
        <w:rPr>
          <w:kern w:val="22"/>
          <w:sz w:val="22"/>
          <w:szCs w:val="22"/>
          <w:lang w:val="en-GB" w:eastAsia="en-GB"/>
        </w:rPr>
        <w:t xml:space="preserve">ection </w:t>
      </w:r>
      <w:r w:rsidR="002A1762" w:rsidRPr="000A37BF">
        <w:rPr>
          <w:kern w:val="22"/>
          <w:sz w:val="22"/>
          <w:szCs w:val="22"/>
          <w:lang w:val="en-GB" w:eastAsia="en-GB"/>
        </w:rPr>
        <w:t>V</w:t>
      </w:r>
      <w:r w:rsidR="009C18A0" w:rsidRPr="000A37BF">
        <w:rPr>
          <w:kern w:val="22"/>
          <w:sz w:val="22"/>
          <w:szCs w:val="22"/>
          <w:lang w:val="en-GB" w:eastAsia="en-GB"/>
        </w:rPr>
        <w:t xml:space="preserve"> covers enhancing the effectiveness and efficiency of resource use.</w:t>
      </w:r>
      <w:r w:rsidR="009C18A0" w:rsidRPr="000A37BF">
        <w:rPr>
          <w:kern w:val="22"/>
          <w:sz w:val="22"/>
          <w:szCs w:val="22"/>
          <w:vertAlign w:val="superscript"/>
          <w:lang w:val="en-GB" w:eastAsia="en-GB"/>
        </w:rPr>
        <w:footnoteReference w:id="7"/>
      </w:r>
      <w:r w:rsidR="009C18A0" w:rsidRPr="000A37BF">
        <w:rPr>
          <w:kern w:val="22"/>
          <w:sz w:val="22"/>
          <w:szCs w:val="22"/>
          <w:lang w:val="en-GB" w:eastAsia="en-GB"/>
        </w:rPr>
        <w:t xml:space="preserve"> Section</w:t>
      </w:r>
      <w:r w:rsidR="009843D7" w:rsidRPr="00C053AE">
        <w:rPr>
          <w:kern w:val="22"/>
          <w:sz w:val="22"/>
          <w:szCs w:val="22"/>
          <w:lang w:val="en-GB" w:eastAsia="en-GB"/>
        </w:rPr>
        <w:t> </w:t>
      </w:r>
      <w:r w:rsidR="002A1762" w:rsidRPr="000A37BF">
        <w:rPr>
          <w:kern w:val="22"/>
          <w:sz w:val="22"/>
          <w:szCs w:val="22"/>
          <w:lang w:val="en-GB" w:eastAsia="en-GB"/>
        </w:rPr>
        <w:t>VI</w:t>
      </w:r>
      <w:r w:rsidR="009C18A0" w:rsidRPr="000A37BF">
        <w:rPr>
          <w:kern w:val="22"/>
          <w:sz w:val="22"/>
          <w:szCs w:val="22"/>
          <w:lang w:val="en-GB" w:eastAsia="en-GB"/>
        </w:rPr>
        <w:t xml:space="preserve"> provides some initial input on </w:t>
      </w:r>
      <w:r w:rsidRPr="000A37BF">
        <w:rPr>
          <w:kern w:val="22"/>
          <w:sz w:val="22"/>
          <w:szCs w:val="22"/>
          <w:lang w:val="en-GB" w:eastAsia="en-GB"/>
        </w:rPr>
        <w:t xml:space="preserve">possible </w:t>
      </w:r>
      <w:r w:rsidR="009C18A0" w:rsidRPr="000A37BF">
        <w:rPr>
          <w:kern w:val="22"/>
          <w:sz w:val="22"/>
          <w:szCs w:val="22"/>
          <w:lang w:val="en-GB" w:eastAsia="en-GB"/>
        </w:rPr>
        <w:t>targets</w:t>
      </w:r>
      <w:r w:rsidR="00FB4F73" w:rsidRPr="000A37BF">
        <w:rPr>
          <w:kern w:val="22"/>
          <w:sz w:val="22"/>
          <w:szCs w:val="22"/>
          <w:lang w:val="en-GB" w:eastAsia="en-GB"/>
        </w:rPr>
        <w:t xml:space="preserve"> and decisions</w:t>
      </w:r>
      <w:r w:rsidR="009C18A0" w:rsidRPr="000A37BF">
        <w:rPr>
          <w:kern w:val="22"/>
          <w:sz w:val="22"/>
          <w:szCs w:val="22"/>
          <w:lang w:val="en-GB" w:eastAsia="en-GB"/>
        </w:rPr>
        <w:t xml:space="preserve"> for resource mobili</w:t>
      </w:r>
      <w:r w:rsidR="00DC1101" w:rsidRPr="000A37BF">
        <w:rPr>
          <w:kern w:val="22"/>
          <w:sz w:val="22"/>
          <w:szCs w:val="22"/>
          <w:lang w:val="en-GB" w:eastAsia="en-GB"/>
        </w:rPr>
        <w:t>z</w:t>
      </w:r>
      <w:r w:rsidR="009C18A0" w:rsidRPr="000A37BF">
        <w:rPr>
          <w:kern w:val="22"/>
          <w:sz w:val="22"/>
          <w:szCs w:val="22"/>
          <w:lang w:val="en-GB" w:eastAsia="en-GB"/>
        </w:rPr>
        <w:t>ation for Parties to consider. Section</w:t>
      </w:r>
      <w:r w:rsidR="009843D7" w:rsidRPr="00C053AE">
        <w:rPr>
          <w:kern w:val="22"/>
          <w:sz w:val="22"/>
          <w:szCs w:val="22"/>
          <w:lang w:val="en-GB" w:eastAsia="en-GB"/>
        </w:rPr>
        <w:t> </w:t>
      </w:r>
      <w:r w:rsidR="002A1762" w:rsidRPr="000A37BF">
        <w:rPr>
          <w:kern w:val="22"/>
          <w:sz w:val="22"/>
          <w:szCs w:val="22"/>
          <w:lang w:val="en-GB" w:eastAsia="en-GB"/>
        </w:rPr>
        <w:t>VII</w:t>
      </w:r>
      <w:r w:rsidR="009C18A0" w:rsidRPr="000A37BF">
        <w:rPr>
          <w:kern w:val="22"/>
          <w:sz w:val="22"/>
          <w:szCs w:val="22"/>
          <w:lang w:val="en-GB" w:eastAsia="en-GB"/>
        </w:rPr>
        <w:t xml:space="preserve"> concludes with </w:t>
      </w:r>
      <w:r w:rsidR="00FB4F73" w:rsidRPr="000A37BF">
        <w:rPr>
          <w:kern w:val="22"/>
          <w:sz w:val="22"/>
          <w:szCs w:val="22"/>
          <w:lang w:val="en-GB" w:eastAsia="en-GB"/>
        </w:rPr>
        <w:t xml:space="preserve">the </w:t>
      </w:r>
      <w:r w:rsidR="00615F86" w:rsidRPr="000A37BF">
        <w:rPr>
          <w:kern w:val="22"/>
          <w:sz w:val="22"/>
          <w:szCs w:val="22"/>
          <w:lang w:val="en-GB" w:eastAsia="en-GB"/>
        </w:rPr>
        <w:t>key messages</w:t>
      </w:r>
      <w:r w:rsidR="0034451A" w:rsidRPr="000A37BF">
        <w:rPr>
          <w:kern w:val="22"/>
          <w:sz w:val="22"/>
          <w:szCs w:val="22"/>
          <w:lang w:val="en-GB" w:eastAsia="en-GB"/>
        </w:rPr>
        <w:t xml:space="preserve"> of the expert panel.</w:t>
      </w:r>
    </w:p>
    <w:p w14:paraId="1CF7763E" w14:textId="224889B1" w:rsidR="009C18A0" w:rsidRPr="000A37BF" w:rsidRDefault="00284915" w:rsidP="000A37BF">
      <w:pPr>
        <w:pStyle w:val="HEADINGNOTFORTOC"/>
        <w:suppressLineNumbers/>
        <w:tabs>
          <w:tab w:val="clear" w:pos="720"/>
        </w:tabs>
        <w:suppressAutoHyphens/>
        <w:adjustRightInd w:val="0"/>
        <w:snapToGrid w:val="0"/>
        <w:spacing w:before="0" w:after="0"/>
        <w:ind w:left="1134" w:hanging="567"/>
        <w:jc w:val="left"/>
        <w:rPr>
          <w:kern w:val="22"/>
          <w:sz w:val="22"/>
          <w:szCs w:val="22"/>
          <w:lang w:val="en-GB" w:eastAsia="en-GB"/>
        </w:rPr>
      </w:pPr>
      <w:r w:rsidRPr="000A37BF">
        <w:rPr>
          <w:kern w:val="22"/>
          <w:sz w:val="22"/>
          <w:szCs w:val="22"/>
          <w:lang w:val="en-GB" w:eastAsia="en-GB"/>
        </w:rPr>
        <w:t>II.</w:t>
      </w:r>
      <w:r w:rsidRPr="000A37BF">
        <w:rPr>
          <w:kern w:val="22"/>
          <w:sz w:val="22"/>
          <w:szCs w:val="22"/>
          <w:lang w:val="en-GB" w:eastAsia="en-GB"/>
        </w:rPr>
        <w:tab/>
      </w:r>
      <w:r w:rsidR="009C18A0" w:rsidRPr="000A37BF">
        <w:rPr>
          <w:kern w:val="22"/>
          <w:sz w:val="22"/>
          <w:szCs w:val="22"/>
          <w:lang w:val="en-GB" w:eastAsia="en-GB"/>
        </w:rPr>
        <w:t>A strategic approach to resource mobili</w:t>
      </w:r>
      <w:r w:rsidR="008D6949" w:rsidRPr="000A37BF">
        <w:rPr>
          <w:kern w:val="22"/>
          <w:sz w:val="22"/>
          <w:szCs w:val="22"/>
          <w:lang w:val="en-GB" w:eastAsia="en-GB"/>
        </w:rPr>
        <w:t>z</w:t>
      </w:r>
      <w:r w:rsidR="009C18A0" w:rsidRPr="000A37BF">
        <w:rPr>
          <w:kern w:val="22"/>
          <w:sz w:val="22"/>
          <w:szCs w:val="22"/>
          <w:lang w:val="en-GB" w:eastAsia="en-GB"/>
        </w:rPr>
        <w:t>ation in support of the post-2020 global biodiversity framework</w:t>
      </w:r>
    </w:p>
    <w:p w14:paraId="5C7FE0B8" w14:textId="53D7061E"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 xml:space="preserve">The </w:t>
      </w:r>
      <w:bookmarkStart w:id="6" w:name="_Hlk38926644"/>
      <w:r w:rsidR="003A1C29" w:rsidRPr="000A37BF">
        <w:rPr>
          <w:i/>
          <w:iCs/>
          <w:kern w:val="22"/>
          <w:sz w:val="22"/>
          <w:szCs w:val="22"/>
          <w:lang w:val="en-GB" w:eastAsia="en-GB"/>
        </w:rPr>
        <w:t>Global Assessment Report on Biodiversity and Ecosystem Services</w:t>
      </w:r>
      <w:bookmarkEnd w:id="6"/>
      <w:r w:rsidR="003A1C29" w:rsidRPr="000A37BF">
        <w:rPr>
          <w:kern w:val="22"/>
          <w:sz w:val="22"/>
          <w:szCs w:val="22"/>
          <w:lang w:val="en-GB" w:eastAsia="en-GB"/>
        </w:rPr>
        <w:t xml:space="preserve"> issued by the Intergovernmental Science-Policy Platform on Biodiversity and Ecosystem Services </w:t>
      </w:r>
      <w:r w:rsidR="00A52879" w:rsidRPr="000A37BF">
        <w:rPr>
          <w:kern w:val="22"/>
          <w:sz w:val="22"/>
          <w:szCs w:val="22"/>
          <w:lang w:val="en-GB" w:eastAsia="en-GB"/>
        </w:rPr>
        <w:t xml:space="preserve">in 2019 </w:t>
      </w:r>
      <w:r w:rsidRPr="000A37BF">
        <w:rPr>
          <w:kern w:val="22"/>
          <w:sz w:val="22"/>
          <w:szCs w:val="22"/>
          <w:lang w:val="en-GB" w:eastAsia="en-GB"/>
        </w:rPr>
        <w:t>called for a “fundamental, system-wide reorgani</w:t>
      </w:r>
      <w:r w:rsidR="003A1C29" w:rsidRPr="000A37BF">
        <w:rPr>
          <w:kern w:val="22"/>
          <w:sz w:val="22"/>
          <w:szCs w:val="22"/>
          <w:lang w:val="en-GB" w:eastAsia="en-GB"/>
        </w:rPr>
        <w:t>z</w:t>
      </w:r>
      <w:r w:rsidRPr="000A37BF">
        <w:rPr>
          <w:kern w:val="22"/>
          <w:sz w:val="22"/>
          <w:szCs w:val="22"/>
          <w:lang w:val="en-GB" w:eastAsia="en-GB"/>
        </w:rPr>
        <w:t>ation across technological, economic and social factors, including paradigms, goals and values” in order to halt the loss of biodiversity and ecosystem function</w:t>
      </w:r>
      <w:r w:rsidR="00397FB2" w:rsidRPr="000A37BF">
        <w:rPr>
          <w:kern w:val="22"/>
          <w:sz w:val="22"/>
          <w:szCs w:val="22"/>
          <w:lang w:val="en-GB" w:eastAsia="en-GB"/>
        </w:rPr>
        <w:t>s</w:t>
      </w:r>
      <w:r w:rsidRPr="000A37BF">
        <w:rPr>
          <w:kern w:val="22"/>
          <w:sz w:val="22"/>
          <w:szCs w:val="22"/>
          <w:lang w:val="en-GB" w:eastAsia="en-GB"/>
        </w:rPr>
        <w:t>.</w:t>
      </w:r>
      <w:r w:rsidRPr="000A37BF">
        <w:rPr>
          <w:kern w:val="22"/>
          <w:sz w:val="22"/>
          <w:szCs w:val="22"/>
          <w:vertAlign w:val="superscript"/>
          <w:lang w:val="en-GB" w:eastAsia="en-GB"/>
        </w:rPr>
        <w:footnoteReference w:id="8"/>
      </w:r>
      <w:r w:rsidRPr="000A37BF">
        <w:rPr>
          <w:kern w:val="22"/>
          <w:sz w:val="22"/>
          <w:szCs w:val="22"/>
          <w:lang w:val="en-GB" w:eastAsia="en-GB"/>
        </w:rPr>
        <w:t xml:space="preserve"> It is becoming widely recogni</w:t>
      </w:r>
      <w:r w:rsidR="002A2B03" w:rsidRPr="000A37BF">
        <w:rPr>
          <w:kern w:val="22"/>
          <w:sz w:val="22"/>
          <w:szCs w:val="22"/>
          <w:lang w:val="en-GB" w:eastAsia="en-GB"/>
        </w:rPr>
        <w:t>z</w:t>
      </w:r>
      <w:r w:rsidRPr="000A37BF">
        <w:rPr>
          <w:kern w:val="22"/>
          <w:sz w:val="22"/>
          <w:szCs w:val="22"/>
          <w:lang w:val="en-GB" w:eastAsia="en-GB"/>
        </w:rPr>
        <w:t xml:space="preserve">ed that transformative change is needed to halt and reverse biodiversity loss in order to achieve biodiversity targets as well as a broader set of the </w:t>
      </w:r>
      <w:r w:rsidR="00B34AE4" w:rsidRPr="000A37BF">
        <w:rPr>
          <w:kern w:val="22"/>
          <w:sz w:val="22"/>
          <w:szCs w:val="22"/>
          <w:lang w:val="en-GB" w:eastAsia="en-GB"/>
        </w:rPr>
        <w:t>Sustainable Development Goals</w:t>
      </w:r>
      <w:r w:rsidRPr="000A37BF">
        <w:rPr>
          <w:kern w:val="22"/>
          <w:sz w:val="22"/>
          <w:szCs w:val="22"/>
          <w:lang w:val="en-GB" w:eastAsia="en-GB"/>
        </w:rPr>
        <w:t>. This will require a “whole-of-government, whole-of-economy and whole-of-society” approach in order to address the drivers of the loss of biodiversity and ecosystem function</w:t>
      </w:r>
      <w:r w:rsidR="00397FB2" w:rsidRPr="000A37BF">
        <w:rPr>
          <w:kern w:val="22"/>
          <w:sz w:val="22"/>
          <w:szCs w:val="22"/>
          <w:lang w:val="en-GB" w:eastAsia="en-GB"/>
        </w:rPr>
        <w:t>s</w:t>
      </w:r>
      <w:r w:rsidRPr="000A37BF">
        <w:rPr>
          <w:kern w:val="22"/>
          <w:sz w:val="22"/>
          <w:szCs w:val="22"/>
          <w:lang w:val="en-GB" w:eastAsia="en-GB"/>
        </w:rPr>
        <w:t>.</w:t>
      </w:r>
    </w:p>
    <w:p w14:paraId="2C544460" w14:textId="1C960A8C"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Resource mobili</w:t>
      </w:r>
      <w:r w:rsidR="003233B0" w:rsidRPr="000A37BF">
        <w:rPr>
          <w:kern w:val="22"/>
          <w:sz w:val="22"/>
          <w:szCs w:val="22"/>
          <w:lang w:val="en-GB" w:eastAsia="en-GB"/>
        </w:rPr>
        <w:t>z</w:t>
      </w:r>
      <w:r w:rsidRPr="000A37BF">
        <w:rPr>
          <w:kern w:val="22"/>
          <w:sz w:val="22"/>
          <w:szCs w:val="22"/>
          <w:lang w:val="en-GB" w:eastAsia="en-GB"/>
        </w:rPr>
        <w:t xml:space="preserve">ation is central to transformative change and </w:t>
      </w:r>
      <w:r w:rsidR="003233B0" w:rsidRPr="000A37BF">
        <w:rPr>
          <w:kern w:val="22"/>
          <w:sz w:val="22"/>
          <w:szCs w:val="22"/>
          <w:lang w:val="en-GB" w:eastAsia="en-GB"/>
        </w:rPr>
        <w:t xml:space="preserve">to </w:t>
      </w:r>
      <w:r w:rsidRPr="000A37BF">
        <w:rPr>
          <w:kern w:val="22"/>
          <w:sz w:val="22"/>
          <w:szCs w:val="22"/>
          <w:lang w:val="en-GB" w:eastAsia="en-GB"/>
        </w:rPr>
        <w:t xml:space="preserve">the success of the post-2020 global biodiversity framework. </w:t>
      </w:r>
      <w:r w:rsidR="00C60118" w:rsidRPr="000A37BF">
        <w:rPr>
          <w:kern w:val="22"/>
          <w:sz w:val="22"/>
          <w:szCs w:val="22"/>
          <w:lang w:val="en-GB" w:eastAsia="en-GB"/>
        </w:rPr>
        <w:t xml:space="preserve">The expert panel proposes </w:t>
      </w:r>
      <w:r w:rsidR="00A74F78" w:rsidRPr="000A37BF">
        <w:rPr>
          <w:kern w:val="22"/>
          <w:sz w:val="22"/>
          <w:szCs w:val="22"/>
          <w:lang w:val="en-GB" w:eastAsia="en-GB"/>
        </w:rPr>
        <w:t xml:space="preserve">the adoption of </w:t>
      </w:r>
      <w:r w:rsidR="00C60118" w:rsidRPr="000A37BF">
        <w:rPr>
          <w:kern w:val="22"/>
          <w:sz w:val="22"/>
          <w:szCs w:val="22"/>
          <w:lang w:val="en-GB" w:eastAsia="en-GB"/>
        </w:rPr>
        <w:t>a</w:t>
      </w:r>
      <w:r w:rsidRPr="000A37BF">
        <w:rPr>
          <w:kern w:val="22"/>
          <w:sz w:val="22"/>
          <w:szCs w:val="22"/>
          <w:lang w:val="en-GB" w:eastAsia="en-GB"/>
        </w:rPr>
        <w:t xml:space="preserve"> three-pronged approach, made up of three complementary components, addressing the need to:</w:t>
      </w:r>
    </w:p>
    <w:p w14:paraId="37CFEAF2" w14:textId="14290B68" w:rsidR="009C18A0" w:rsidRPr="000A37BF" w:rsidRDefault="009C18A0" w:rsidP="000A37BF">
      <w:pPr>
        <w:pStyle w:val="ListParagraph"/>
        <w:numPr>
          <w:ilvl w:val="0"/>
          <w:numId w:val="13"/>
        </w:numPr>
        <w:suppressLineNumbers/>
        <w:suppressAutoHyphens/>
        <w:adjustRightInd w:val="0"/>
        <w:snapToGrid w:val="0"/>
        <w:spacing w:after="120"/>
        <w:ind w:left="0" w:firstLine="720"/>
        <w:jc w:val="both"/>
        <w:rPr>
          <w:bCs/>
          <w:kern w:val="22"/>
          <w:sz w:val="22"/>
          <w:szCs w:val="22"/>
          <w:lang w:val="en-GB" w:eastAsia="en-GB"/>
        </w:rPr>
      </w:pPr>
      <w:r w:rsidRPr="000A37BF">
        <w:rPr>
          <w:bCs/>
          <w:kern w:val="22"/>
          <w:sz w:val="22"/>
          <w:szCs w:val="22"/>
          <w:lang w:val="en-GB" w:eastAsia="en-GB"/>
        </w:rPr>
        <w:t>Reduce or redirect resources causing harm to biodiversity</w:t>
      </w:r>
      <w:r w:rsidR="005C6BD4" w:rsidRPr="000A37BF">
        <w:rPr>
          <w:bCs/>
          <w:kern w:val="22"/>
          <w:sz w:val="22"/>
          <w:szCs w:val="22"/>
          <w:lang w:val="en-GB" w:eastAsia="en-GB"/>
        </w:rPr>
        <w:t>;</w:t>
      </w:r>
    </w:p>
    <w:p w14:paraId="3E75181C" w14:textId="6D5B048E" w:rsidR="009C18A0" w:rsidRPr="000A37BF" w:rsidRDefault="009C18A0" w:rsidP="000A37BF">
      <w:pPr>
        <w:numPr>
          <w:ilvl w:val="0"/>
          <w:numId w:val="13"/>
        </w:numPr>
        <w:suppressLineNumbers/>
        <w:suppressAutoHyphens/>
        <w:adjustRightInd w:val="0"/>
        <w:snapToGrid w:val="0"/>
        <w:spacing w:after="120"/>
        <w:ind w:left="0" w:firstLine="720"/>
        <w:jc w:val="both"/>
        <w:rPr>
          <w:bCs/>
          <w:kern w:val="22"/>
          <w:sz w:val="22"/>
          <w:szCs w:val="22"/>
          <w:lang w:val="en-GB" w:eastAsia="en-GB"/>
        </w:rPr>
      </w:pPr>
      <w:r w:rsidRPr="000A37BF">
        <w:rPr>
          <w:bCs/>
          <w:kern w:val="22"/>
          <w:sz w:val="22"/>
          <w:szCs w:val="22"/>
          <w:lang w:val="en-GB" w:eastAsia="en-GB"/>
        </w:rPr>
        <w:t>Generate additional resources from all sources to achieve the three objectives of the Convention</w:t>
      </w:r>
      <w:r w:rsidR="005C6BD4" w:rsidRPr="000A37BF">
        <w:rPr>
          <w:bCs/>
          <w:kern w:val="22"/>
          <w:sz w:val="22"/>
          <w:szCs w:val="22"/>
          <w:lang w:val="en-GB" w:eastAsia="en-GB"/>
        </w:rPr>
        <w:t>;</w:t>
      </w:r>
    </w:p>
    <w:p w14:paraId="2D2ACDFA" w14:textId="05A76170" w:rsidR="009C18A0" w:rsidRPr="000A37BF" w:rsidRDefault="009C18A0" w:rsidP="000A37BF">
      <w:pPr>
        <w:numPr>
          <w:ilvl w:val="0"/>
          <w:numId w:val="13"/>
        </w:numPr>
        <w:suppressLineNumbers/>
        <w:suppressAutoHyphens/>
        <w:adjustRightInd w:val="0"/>
        <w:snapToGrid w:val="0"/>
        <w:spacing w:after="120"/>
        <w:ind w:left="0" w:firstLine="720"/>
        <w:jc w:val="both"/>
        <w:rPr>
          <w:bCs/>
          <w:kern w:val="22"/>
          <w:sz w:val="22"/>
          <w:szCs w:val="22"/>
          <w:lang w:val="en-GB" w:eastAsia="en-GB"/>
        </w:rPr>
      </w:pPr>
      <w:r w:rsidRPr="000A37BF">
        <w:rPr>
          <w:bCs/>
          <w:kern w:val="22"/>
          <w:sz w:val="22"/>
          <w:szCs w:val="22"/>
          <w:lang w:val="en-GB" w:eastAsia="en-GB"/>
        </w:rPr>
        <w:t>Enhance the effectiveness and efficiency of resource use</w:t>
      </w:r>
      <w:r w:rsidR="005C6BD4" w:rsidRPr="000A37BF">
        <w:rPr>
          <w:bCs/>
          <w:kern w:val="22"/>
          <w:sz w:val="22"/>
          <w:szCs w:val="22"/>
          <w:lang w:val="en-GB" w:eastAsia="en-GB"/>
        </w:rPr>
        <w:t>.</w:t>
      </w:r>
    </w:p>
    <w:p w14:paraId="50204508" w14:textId="5915EEE2" w:rsidR="003B04C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i/>
          <w:iCs/>
          <w:kern w:val="22"/>
          <w:sz w:val="22"/>
          <w:szCs w:val="22"/>
          <w:lang w:val="en-GB" w:eastAsia="en-GB"/>
        </w:rPr>
        <w:t>Reducing or redirecting resources causing harm to biodiversity</w:t>
      </w:r>
      <w:r w:rsidRPr="000A37BF">
        <w:rPr>
          <w:kern w:val="22"/>
          <w:sz w:val="22"/>
          <w:szCs w:val="22"/>
          <w:lang w:val="en-GB" w:eastAsia="en-GB"/>
        </w:rPr>
        <w:t xml:space="preserve"> addresses the main drivers of biodiversity-harmful activities and investments</w:t>
      </w:r>
      <w:r w:rsidR="00C60118" w:rsidRPr="000A37BF">
        <w:rPr>
          <w:kern w:val="22"/>
          <w:sz w:val="22"/>
          <w:szCs w:val="22"/>
          <w:lang w:val="en-GB" w:eastAsia="en-GB"/>
        </w:rPr>
        <w:t>,</w:t>
      </w:r>
      <w:r w:rsidRPr="000A37BF">
        <w:rPr>
          <w:kern w:val="22"/>
          <w:sz w:val="22"/>
          <w:szCs w:val="22"/>
          <w:lang w:val="en-GB" w:eastAsia="en-GB"/>
        </w:rPr>
        <w:t xml:space="preserve"> through the use of standards and guidelines, a</w:t>
      </w:r>
      <w:r w:rsidR="00C60118" w:rsidRPr="000A37BF">
        <w:rPr>
          <w:kern w:val="22"/>
          <w:sz w:val="22"/>
          <w:szCs w:val="22"/>
          <w:lang w:val="en-GB" w:eastAsia="en-GB"/>
        </w:rPr>
        <w:t>s well as</w:t>
      </w:r>
      <w:r w:rsidRPr="000A37BF">
        <w:rPr>
          <w:kern w:val="22"/>
          <w:sz w:val="22"/>
          <w:szCs w:val="22"/>
          <w:lang w:val="en-GB" w:eastAsia="en-GB"/>
        </w:rPr>
        <w:t xml:space="preserve"> regulatory and economic instruments. It requires avoiding, scaling</w:t>
      </w:r>
      <w:r w:rsidR="004F3FAA" w:rsidRPr="000A37BF">
        <w:rPr>
          <w:kern w:val="22"/>
          <w:sz w:val="22"/>
          <w:szCs w:val="22"/>
          <w:lang w:val="en-GB" w:eastAsia="en-GB"/>
        </w:rPr>
        <w:t xml:space="preserve"> </w:t>
      </w:r>
      <w:r w:rsidRPr="000A37BF">
        <w:rPr>
          <w:kern w:val="22"/>
          <w:sz w:val="22"/>
          <w:szCs w:val="22"/>
          <w:lang w:val="en-GB" w:eastAsia="en-GB"/>
        </w:rPr>
        <w:t>back and redirecting expenditure</w:t>
      </w:r>
      <w:r w:rsidR="00C60118" w:rsidRPr="000A37BF">
        <w:rPr>
          <w:kern w:val="22"/>
          <w:sz w:val="22"/>
          <w:szCs w:val="22"/>
          <w:lang w:val="en-GB" w:eastAsia="en-GB"/>
        </w:rPr>
        <w:t>s</w:t>
      </w:r>
      <w:r w:rsidR="001441F7" w:rsidRPr="000A37BF">
        <w:rPr>
          <w:kern w:val="22"/>
          <w:sz w:val="22"/>
          <w:szCs w:val="22"/>
          <w:lang w:val="en-GB" w:eastAsia="en-GB"/>
        </w:rPr>
        <w:t xml:space="preserve"> harmful to biodiversity</w:t>
      </w:r>
      <w:r w:rsidRPr="000A37BF">
        <w:rPr>
          <w:kern w:val="22"/>
          <w:sz w:val="22"/>
          <w:szCs w:val="22"/>
          <w:lang w:val="en-GB" w:eastAsia="en-GB"/>
        </w:rPr>
        <w:t>, including but not limited to harmful subsidies</w:t>
      </w:r>
      <w:r w:rsidR="004F3FAA" w:rsidRPr="000A37BF">
        <w:rPr>
          <w:kern w:val="22"/>
          <w:sz w:val="22"/>
          <w:szCs w:val="22"/>
          <w:lang w:val="en-GB" w:eastAsia="en-GB"/>
        </w:rPr>
        <w:t xml:space="preserve">; this </w:t>
      </w:r>
      <w:r w:rsidRPr="000A37BF">
        <w:rPr>
          <w:kern w:val="22"/>
          <w:sz w:val="22"/>
          <w:szCs w:val="22"/>
          <w:lang w:val="en-GB" w:eastAsia="en-GB"/>
        </w:rPr>
        <w:t>will in turn reduce the need for resources to conserve and restore biodiversity. Recent analys</w:t>
      </w:r>
      <w:r w:rsidR="00E31667" w:rsidRPr="00C053AE">
        <w:rPr>
          <w:kern w:val="22"/>
          <w:sz w:val="22"/>
          <w:szCs w:val="22"/>
          <w:lang w:val="en-GB" w:eastAsia="en-GB"/>
        </w:rPr>
        <w:t>i</w:t>
      </w:r>
      <w:r w:rsidRPr="000A37BF">
        <w:rPr>
          <w:kern w:val="22"/>
          <w:sz w:val="22"/>
          <w:szCs w:val="22"/>
          <w:lang w:val="en-GB" w:eastAsia="en-GB"/>
        </w:rPr>
        <w:t xml:space="preserve">s by the </w:t>
      </w:r>
      <w:r w:rsidR="00983F14" w:rsidRPr="000A37BF">
        <w:rPr>
          <w:kern w:val="22"/>
          <w:sz w:val="22"/>
          <w:szCs w:val="22"/>
          <w:lang w:val="en-GB" w:eastAsia="en-GB"/>
        </w:rPr>
        <w:t>Organisation for Economic Co-operation and Development (</w:t>
      </w:r>
      <w:r w:rsidRPr="000A37BF">
        <w:rPr>
          <w:kern w:val="22"/>
          <w:sz w:val="22"/>
          <w:szCs w:val="22"/>
          <w:lang w:val="en-GB" w:eastAsia="en-GB"/>
        </w:rPr>
        <w:t>OECD</w:t>
      </w:r>
      <w:r w:rsidR="00A60601" w:rsidRPr="000A37BF">
        <w:rPr>
          <w:kern w:val="22"/>
          <w:sz w:val="22"/>
          <w:szCs w:val="22"/>
          <w:lang w:val="en-GB" w:eastAsia="en-GB"/>
        </w:rPr>
        <w:t>)</w:t>
      </w:r>
      <w:r w:rsidRPr="000A37BF">
        <w:rPr>
          <w:kern w:val="22"/>
          <w:sz w:val="22"/>
          <w:szCs w:val="22"/>
          <w:vertAlign w:val="superscript"/>
          <w:lang w:val="en-GB" w:eastAsia="en-GB"/>
        </w:rPr>
        <w:footnoteReference w:id="9"/>
      </w:r>
      <w:r w:rsidRPr="000A37BF">
        <w:rPr>
          <w:kern w:val="22"/>
          <w:sz w:val="22"/>
          <w:szCs w:val="22"/>
          <w:lang w:val="en-GB" w:eastAsia="en-GB"/>
        </w:rPr>
        <w:t xml:space="preserve"> show</w:t>
      </w:r>
      <w:r w:rsidR="00E31667" w:rsidRPr="00C053AE">
        <w:rPr>
          <w:kern w:val="22"/>
          <w:sz w:val="22"/>
          <w:szCs w:val="22"/>
          <w:lang w:val="en-GB" w:eastAsia="en-GB"/>
        </w:rPr>
        <w:t>s</w:t>
      </w:r>
      <w:r w:rsidRPr="000A37BF">
        <w:rPr>
          <w:kern w:val="22"/>
          <w:sz w:val="22"/>
          <w:szCs w:val="22"/>
          <w:lang w:val="en-GB" w:eastAsia="en-GB"/>
        </w:rPr>
        <w:t xml:space="preserve"> that subsidies (</w:t>
      </w:r>
      <w:r w:rsidR="00C60118" w:rsidRPr="000A37BF">
        <w:rPr>
          <w:kern w:val="22"/>
          <w:sz w:val="22"/>
          <w:szCs w:val="22"/>
          <w:lang w:val="en-GB" w:eastAsia="en-GB"/>
        </w:rPr>
        <w:t xml:space="preserve">on </w:t>
      </w:r>
      <w:r w:rsidRPr="000A37BF">
        <w:rPr>
          <w:kern w:val="22"/>
          <w:sz w:val="22"/>
          <w:szCs w:val="22"/>
          <w:lang w:val="en-GB" w:eastAsia="en-GB"/>
        </w:rPr>
        <w:t>fossil fuel</w:t>
      </w:r>
      <w:r w:rsidR="00C60118" w:rsidRPr="000A37BF">
        <w:rPr>
          <w:kern w:val="22"/>
          <w:sz w:val="22"/>
          <w:szCs w:val="22"/>
          <w:lang w:val="en-GB" w:eastAsia="en-GB"/>
        </w:rPr>
        <w:t>s as well as in</w:t>
      </w:r>
      <w:r w:rsidRPr="000A37BF">
        <w:rPr>
          <w:kern w:val="22"/>
          <w:sz w:val="22"/>
          <w:szCs w:val="22"/>
          <w:lang w:val="en-GB" w:eastAsia="en-GB"/>
        </w:rPr>
        <w:t xml:space="preserve"> agriculture and fisheries) causing harm to biodiversity amount to some US</w:t>
      </w:r>
      <w:r w:rsidR="003B177C" w:rsidRPr="000A37BF">
        <w:rPr>
          <w:kern w:val="22"/>
          <w:sz w:val="22"/>
          <w:szCs w:val="22"/>
          <w:lang w:val="en-GB" w:eastAsia="en-GB"/>
        </w:rPr>
        <w:t>$</w:t>
      </w:r>
      <w:r w:rsidR="00654D3F" w:rsidRPr="00C053AE">
        <w:rPr>
          <w:kern w:val="22"/>
          <w:sz w:val="22"/>
          <w:szCs w:val="22"/>
          <w:lang w:val="en-GB" w:eastAsia="en-GB"/>
        </w:rPr>
        <w:t> </w:t>
      </w:r>
      <w:r w:rsidRPr="000A37BF">
        <w:rPr>
          <w:kern w:val="22"/>
          <w:sz w:val="22"/>
          <w:szCs w:val="22"/>
          <w:lang w:val="en-GB" w:eastAsia="en-GB"/>
        </w:rPr>
        <w:t>500 billion per year, while the total resources being spent to promote biodiversity conservation and sustainable use amount to US</w:t>
      </w:r>
      <w:r w:rsidR="003B177C" w:rsidRPr="000A37BF">
        <w:rPr>
          <w:kern w:val="22"/>
          <w:sz w:val="22"/>
          <w:szCs w:val="22"/>
          <w:lang w:val="en-GB" w:eastAsia="en-GB"/>
        </w:rPr>
        <w:t>$ </w:t>
      </w:r>
      <w:r w:rsidRPr="000A37BF">
        <w:rPr>
          <w:kern w:val="22"/>
          <w:sz w:val="22"/>
          <w:szCs w:val="22"/>
          <w:lang w:val="en-GB" w:eastAsia="en-GB"/>
        </w:rPr>
        <w:t>7</w:t>
      </w:r>
      <w:r w:rsidR="001B01EB" w:rsidRPr="00C053AE">
        <w:rPr>
          <w:kern w:val="22"/>
          <w:sz w:val="22"/>
          <w:szCs w:val="22"/>
          <w:lang w:val="en-GB" w:eastAsia="en-GB"/>
        </w:rPr>
        <w:t>8</w:t>
      </w:r>
      <w:r w:rsidR="003B177C" w:rsidRPr="000A37BF">
        <w:rPr>
          <w:kern w:val="22"/>
          <w:sz w:val="22"/>
          <w:szCs w:val="22"/>
          <w:lang w:val="en-GB" w:eastAsia="en-GB"/>
        </w:rPr>
        <w:t xml:space="preserve"> billion to </w:t>
      </w:r>
      <w:r w:rsidR="00F31888" w:rsidRPr="000A37BF">
        <w:rPr>
          <w:kern w:val="22"/>
          <w:sz w:val="22"/>
          <w:szCs w:val="22"/>
          <w:lang w:val="en-GB" w:eastAsia="en-GB"/>
        </w:rPr>
        <w:t>US$ </w:t>
      </w:r>
      <w:r w:rsidR="001B01EB" w:rsidRPr="00C053AE">
        <w:rPr>
          <w:kern w:val="22"/>
          <w:sz w:val="22"/>
          <w:szCs w:val="22"/>
          <w:lang w:val="en-GB" w:eastAsia="en-GB"/>
        </w:rPr>
        <w:t>91</w:t>
      </w:r>
      <w:r w:rsidR="004F3FAA" w:rsidRPr="000A37BF">
        <w:rPr>
          <w:kern w:val="22"/>
          <w:sz w:val="22"/>
          <w:szCs w:val="22"/>
          <w:lang w:val="en-GB" w:eastAsia="en-GB"/>
        </w:rPr>
        <w:t> </w:t>
      </w:r>
      <w:r w:rsidRPr="000A37BF">
        <w:rPr>
          <w:kern w:val="22"/>
          <w:sz w:val="22"/>
          <w:szCs w:val="22"/>
          <w:lang w:val="en-GB" w:eastAsia="en-GB"/>
        </w:rPr>
        <w:t xml:space="preserve">billion per year. This striking discrepancy shows that pursuing the second and third components of </w:t>
      </w:r>
      <w:r w:rsidRPr="000A37BF">
        <w:rPr>
          <w:kern w:val="22"/>
          <w:sz w:val="22"/>
          <w:szCs w:val="22"/>
          <w:lang w:val="en-GB" w:eastAsia="en-GB"/>
        </w:rPr>
        <w:lastRenderedPageBreak/>
        <w:t>resource mobili</w:t>
      </w:r>
      <w:r w:rsidR="00A14E9F" w:rsidRPr="000A37BF">
        <w:rPr>
          <w:kern w:val="22"/>
          <w:sz w:val="22"/>
          <w:szCs w:val="22"/>
          <w:lang w:val="en-GB" w:eastAsia="en-GB"/>
        </w:rPr>
        <w:t>z</w:t>
      </w:r>
      <w:r w:rsidRPr="000A37BF">
        <w:rPr>
          <w:kern w:val="22"/>
          <w:sz w:val="22"/>
          <w:szCs w:val="22"/>
          <w:lang w:val="en-GB" w:eastAsia="en-GB"/>
        </w:rPr>
        <w:t>ation without addressing this first component will make it impossible to close the finance gap in the way required to meet the biodiversity targets envisaged in the post-2020 global biodiversity framework.</w:t>
      </w:r>
      <w:r w:rsidRPr="000A37BF">
        <w:rPr>
          <w:kern w:val="22"/>
          <w:sz w:val="22"/>
          <w:szCs w:val="22"/>
          <w:vertAlign w:val="superscript"/>
          <w:lang w:val="en-GB" w:eastAsia="en-GB"/>
        </w:rPr>
        <w:footnoteReference w:id="10"/>
      </w:r>
    </w:p>
    <w:p w14:paraId="708B6E4C" w14:textId="397A33DC"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i/>
          <w:iCs/>
          <w:kern w:val="22"/>
          <w:sz w:val="22"/>
          <w:szCs w:val="22"/>
          <w:lang w:val="en-GB" w:eastAsia="en-GB"/>
        </w:rPr>
        <w:t>Generating additional resources from all sources</w:t>
      </w:r>
      <w:r w:rsidRPr="000A37BF">
        <w:rPr>
          <w:b/>
          <w:bCs/>
          <w:kern w:val="22"/>
          <w:sz w:val="22"/>
          <w:szCs w:val="22"/>
          <w:lang w:val="en-GB" w:eastAsia="en-GB"/>
        </w:rPr>
        <w:t xml:space="preserve"> </w:t>
      </w:r>
      <w:r w:rsidRPr="000A37BF">
        <w:rPr>
          <w:kern w:val="22"/>
          <w:sz w:val="22"/>
          <w:szCs w:val="22"/>
          <w:lang w:val="en-GB" w:eastAsia="en-GB"/>
        </w:rPr>
        <w:t>to achieve the three objectives of the Convention, including domestic and international</w:t>
      </w:r>
      <w:r w:rsidR="0078404B" w:rsidRPr="000A37BF">
        <w:rPr>
          <w:kern w:val="22"/>
          <w:sz w:val="22"/>
          <w:szCs w:val="22"/>
          <w:vertAlign w:val="superscript"/>
          <w:lang w:val="en-GB" w:eastAsia="en-GB"/>
        </w:rPr>
        <w:footnoteReference w:id="11"/>
      </w:r>
      <w:r w:rsidRPr="000A37BF">
        <w:rPr>
          <w:kern w:val="22"/>
          <w:sz w:val="22"/>
          <w:szCs w:val="22"/>
          <w:lang w:val="en-GB" w:eastAsia="en-GB"/>
        </w:rPr>
        <w:t xml:space="preserve"> sources, private and public, remains a fundamental part of resource mobili</w:t>
      </w:r>
      <w:r w:rsidR="00A14E9F" w:rsidRPr="000A37BF">
        <w:rPr>
          <w:kern w:val="22"/>
          <w:sz w:val="22"/>
          <w:szCs w:val="22"/>
          <w:lang w:val="en-GB" w:eastAsia="en-GB"/>
        </w:rPr>
        <w:t>z</w:t>
      </w:r>
      <w:r w:rsidRPr="000A37BF">
        <w:rPr>
          <w:kern w:val="22"/>
          <w:sz w:val="22"/>
          <w:szCs w:val="22"/>
          <w:lang w:val="en-GB" w:eastAsia="en-GB"/>
        </w:rPr>
        <w:t xml:space="preserve">ation. Scaling </w:t>
      </w:r>
      <w:r w:rsidR="00615F86" w:rsidRPr="000A37BF">
        <w:rPr>
          <w:kern w:val="22"/>
          <w:sz w:val="22"/>
          <w:szCs w:val="22"/>
          <w:lang w:val="en-GB" w:eastAsia="en-GB"/>
        </w:rPr>
        <w:t xml:space="preserve">up </w:t>
      </w:r>
      <w:r w:rsidRPr="000A37BF">
        <w:rPr>
          <w:kern w:val="22"/>
          <w:sz w:val="22"/>
          <w:szCs w:val="22"/>
          <w:lang w:val="en-GB" w:eastAsia="en-GB"/>
        </w:rPr>
        <w:t>resources includes increasing flows that are directed primarily towards biodiversity, as well as identifying and increasing biodiversity co-benefits from funding intended primarily to achieve other objectives. Examples of this include integrating natur</w:t>
      </w:r>
      <w:r w:rsidR="00C60118" w:rsidRPr="000A37BF">
        <w:rPr>
          <w:kern w:val="22"/>
          <w:sz w:val="22"/>
          <w:szCs w:val="22"/>
          <w:lang w:val="en-GB" w:eastAsia="en-GB"/>
        </w:rPr>
        <w:t>e-based</w:t>
      </w:r>
      <w:r w:rsidRPr="000A37BF">
        <w:rPr>
          <w:kern w:val="22"/>
          <w:sz w:val="22"/>
          <w:szCs w:val="22"/>
          <w:lang w:val="en-GB" w:eastAsia="en-GB"/>
        </w:rPr>
        <w:t xml:space="preserve"> solutions into mitigating and adapting to climate change, and the delivery of other sustainable development goals. This is referred to as </w:t>
      </w:r>
      <w:r w:rsidR="00046221" w:rsidRPr="000A37BF">
        <w:rPr>
          <w:kern w:val="22"/>
          <w:sz w:val="22"/>
          <w:szCs w:val="22"/>
          <w:lang w:val="en-GB" w:eastAsia="en-GB"/>
        </w:rPr>
        <w:t>“</w:t>
      </w:r>
      <w:r w:rsidRPr="000A37BF">
        <w:rPr>
          <w:kern w:val="22"/>
          <w:sz w:val="22"/>
          <w:szCs w:val="22"/>
          <w:lang w:val="en-GB" w:eastAsia="en-GB"/>
        </w:rPr>
        <w:t>indirect</w:t>
      </w:r>
      <w:r w:rsidR="00046221" w:rsidRPr="000A37BF">
        <w:rPr>
          <w:kern w:val="22"/>
          <w:sz w:val="22"/>
          <w:szCs w:val="22"/>
          <w:lang w:val="en-GB" w:eastAsia="en-GB"/>
        </w:rPr>
        <w:t>”</w:t>
      </w:r>
      <w:r w:rsidRPr="000A37BF">
        <w:rPr>
          <w:kern w:val="22"/>
          <w:sz w:val="22"/>
          <w:szCs w:val="22"/>
          <w:lang w:val="en-GB" w:eastAsia="en-GB"/>
        </w:rPr>
        <w:t xml:space="preserve"> resources or expenditure on biodiversity in this report.</w:t>
      </w:r>
    </w:p>
    <w:p w14:paraId="6DDFDAF8" w14:textId="35CF4DE4"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i/>
          <w:iCs/>
          <w:kern w:val="22"/>
          <w:sz w:val="22"/>
          <w:szCs w:val="22"/>
          <w:lang w:val="en-GB" w:eastAsia="en-GB"/>
        </w:rPr>
        <w:t>Enhancing the effectiveness and efficiency</w:t>
      </w:r>
      <w:r w:rsidRPr="000A37BF">
        <w:rPr>
          <w:kern w:val="22"/>
          <w:sz w:val="22"/>
          <w:szCs w:val="22"/>
          <w:lang w:val="en-GB" w:eastAsia="en-GB"/>
        </w:rPr>
        <w:t xml:space="preserve"> of the uptake (i.e. ability to access) and use of resources at all levels recogni</w:t>
      </w:r>
      <w:r w:rsidR="00A43077" w:rsidRPr="000A37BF">
        <w:rPr>
          <w:kern w:val="22"/>
          <w:sz w:val="22"/>
          <w:szCs w:val="22"/>
          <w:lang w:val="en-GB" w:eastAsia="en-GB"/>
        </w:rPr>
        <w:t>z</w:t>
      </w:r>
      <w:r w:rsidRPr="000A37BF">
        <w:rPr>
          <w:kern w:val="22"/>
          <w:sz w:val="22"/>
          <w:szCs w:val="22"/>
          <w:lang w:val="en-GB" w:eastAsia="en-GB"/>
        </w:rPr>
        <w:t>es the importance of factors such as sound governance and planning; capacity</w:t>
      </w:r>
      <w:r w:rsidR="00776482" w:rsidRPr="000A37BF">
        <w:rPr>
          <w:kern w:val="22"/>
          <w:sz w:val="22"/>
          <w:szCs w:val="22"/>
          <w:lang w:val="en-GB" w:eastAsia="en-GB"/>
        </w:rPr>
        <w:t>-</w:t>
      </w:r>
      <w:r w:rsidRPr="000A37BF">
        <w:rPr>
          <w:kern w:val="22"/>
          <w:sz w:val="22"/>
          <w:szCs w:val="22"/>
          <w:lang w:val="en-GB" w:eastAsia="en-GB"/>
        </w:rPr>
        <w:t xml:space="preserve">building; the creation of platforms and partnerships; </w:t>
      </w:r>
      <w:r w:rsidR="0078404B" w:rsidRPr="000A37BF">
        <w:rPr>
          <w:kern w:val="22"/>
          <w:sz w:val="22"/>
          <w:szCs w:val="22"/>
          <w:lang w:val="en-GB" w:eastAsia="en-GB"/>
        </w:rPr>
        <w:t xml:space="preserve">the </w:t>
      </w:r>
      <w:r w:rsidRPr="000A37BF">
        <w:rPr>
          <w:kern w:val="22"/>
          <w:sz w:val="22"/>
          <w:szCs w:val="22"/>
          <w:lang w:val="en-GB" w:eastAsia="en-GB"/>
        </w:rPr>
        <w:t>effective design and uptake of international development finance; and effective monitoring, reporting and review of results. These enabling actions ensure that mobili</w:t>
      </w:r>
      <w:r w:rsidR="00A43077" w:rsidRPr="000A37BF">
        <w:rPr>
          <w:kern w:val="22"/>
          <w:sz w:val="22"/>
          <w:szCs w:val="22"/>
          <w:lang w:val="en-GB" w:eastAsia="en-GB"/>
        </w:rPr>
        <w:t>z</w:t>
      </w:r>
      <w:r w:rsidRPr="000A37BF">
        <w:rPr>
          <w:kern w:val="22"/>
          <w:sz w:val="22"/>
          <w:szCs w:val="22"/>
          <w:lang w:val="en-GB" w:eastAsia="en-GB"/>
        </w:rPr>
        <w:t>ed resources are used wisely, and support efforts to reduce or redirect resources causing harm to biodiversity.</w:t>
      </w:r>
    </w:p>
    <w:bookmarkEnd w:id="3"/>
    <w:p w14:paraId="13CFFD50" w14:textId="18E88CF4"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bCs/>
          <w:kern w:val="22"/>
          <w:sz w:val="22"/>
          <w:szCs w:val="22"/>
          <w:lang w:val="en-GB" w:eastAsia="en-GB"/>
        </w:rPr>
        <w:t>The range and number of finance tools and mechanisms available to achieve the</w:t>
      </w:r>
      <w:r w:rsidR="002D5874" w:rsidRPr="000A37BF">
        <w:rPr>
          <w:bCs/>
          <w:kern w:val="22"/>
          <w:sz w:val="22"/>
          <w:szCs w:val="22"/>
          <w:lang w:val="en-GB" w:eastAsia="en-GB"/>
        </w:rPr>
        <w:t>se</w:t>
      </w:r>
      <w:r w:rsidRPr="000A37BF">
        <w:rPr>
          <w:bCs/>
          <w:kern w:val="22"/>
          <w:sz w:val="22"/>
          <w:szCs w:val="22"/>
          <w:lang w:val="en-GB" w:eastAsia="en-GB"/>
        </w:rPr>
        <w:t xml:space="preserve"> three c</w:t>
      </w:r>
      <w:r w:rsidRPr="000A37BF">
        <w:rPr>
          <w:kern w:val="22"/>
          <w:sz w:val="22"/>
          <w:szCs w:val="22"/>
          <w:lang w:val="en-GB" w:eastAsia="en-GB"/>
        </w:rPr>
        <w:t>omponents of resource mobili</w:t>
      </w:r>
      <w:r w:rsidR="00A14E9F" w:rsidRPr="000A37BF">
        <w:rPr>
          <w:kern w:val="22"/>
          <w:sz w:val="22"/>
          <w:szCs w:val="22"/>
          <w:lang w:val="en-GB" w:eastAsia="en-GB"/>
        </w:rPr>
        <w:t>z</w:t>
      </w:r>
      <w:r w:rsidRPr="000A37BF">
        <w:rPr>
          <w:kern w:val="22"/>
          <w:sz w:val="22"/>
          <w:szCs w:val="22"/>
          <w:lang w:val="en-GB" w:eastAsia="en-GB"/>
        </w:rPr>
        <w:t>ation</w:t>
      </w:r>
      <w:r w:rsidRPr="000A37BF">
        <w:rPr>
          <w:strike/>
          <w:kern w:val="22"/>
          <w:sz w:val="22"/>
          <w:szCs w:val="22"/>
          <w:lang w:val="en-GB" w:eastAsia="en-GB"/>
        </w:rPr>
        <w:t xml:space="preserve"> </w:t>
      </w:r>
      <w:r w:rsidRPr="000A37BF">
        <w:rPr>
          <w:kern w:val="22"/>
          <w:sz w:val="22"/>
          <w:szCs w:val="22"/>
          <w:lang w:val="en-GB" w:eastAsia="en-GB"/>
        </w:rPr>
        <w:t>is greater than ever before. These can be applied in different sectors, at different scales, and within different contexts. This report focuses on the key actions that need to be taken to achieve the three components of resource mobili</w:t>
      </w:r>
      <w:r w:rsidR="00D57B8B" w:rsidRPr="000A37BF">
        <w:rPr>
          <w:kern w:val="22"/>
          <w:sz w:val="22"/>
          <w:szCs w:val="22"/>
          <w:lang w:val="en-GB" w:eastAsia="en-GB"/>
        </w:rPr>
        <w:t>z</w:t>
      </w:r>
      <w:r w:rsidRPr="000A37BF">
        <w:rPr>
          <w:kern w:val="22"/>
          <w:sz w:val="22"/>
          <w:szCs w:val="22"/>
          <w:lang w:val="en-GB" w:eastAsia="en-GB"/>
        </w:rPr>
        <w:t>ation and does not provide a comprehensive overview of all possible finance mechanisms. Numerous resources are available to provide more detailed guidance on individual specific finance tools and mechanisms.</w:t>
      </w:r>
      <w:r w:rsidRPr="000A37BF">
        <w:rPr>
          <w:kern w:val="22"/>
          <w:sz w:val="22"/>
          <w:szCs w:val="22"/>
          <w:vertAlign w:val="superscript"/>
          <w:lang w:val="en-GB" w:eastAsia="en-GB"/>
        </w:rPr>
        <w:footnoteReference w:id="12"/>
      </w:r>
    </w:p>
    <w:p w14:paraId="7DCB83BB" w14:textId="7CF2BCB9" w:rsidR="009C18A0" w:rsidRPr="000A37BF" w:rsidRDefault="00AD3CFB" w:rsidP="000A37BF">
      <w:pPr>
        <w:pStyle w:val="Heading2-center"/>
        <w:suppressLineNumbers/>
        <w:suppressAutoHyphens/>
        <w:adjustRightInd w:val="0"/>
        <w:snapToGrid w:val="0"/>
        <w:spacing w:before="0" w:after="0"/>
        <w:rPr>
          <w:i w:val="0"/>
          <w:iCs w:val="0"/>
          <w:kern w:val="22"/>
          <w:sz w:val="22"/>
          <w:szCs w:val="22"/>
          <w:lang w:val="en-GB" w:eastAsia="en-GB"/>
        </w:rPr>
      </w:pPr>
      <w:r w:rsidRPr="000A37BF">
        <w:rPr>
          <w:rStyle w:val="Heading2CharChar"/>
          <w:rFonts w:ascii="Times New Roman" w:hAnsi="Times New Roman" w:cs="Times New Roman"/>
          <w:b/>
          <w:bCs/>
          <w:kern w:val="22"/>
          <w:sz w:val="22"/>
          <w:szCs w:val="22"/>
          <w:lang w:val="en-GB"/>
        </w:rPr>
        <w:t>A.</w:t>
      </w:r>
      <w:r w:rsidRPr="000A37BF">
        <w:rPr>
          <w:rStyle w:val="Heading2CharChar"/>
          <w:rFonts w:ascii="Times New Roman" w:hAnsi="Times New Roman" w:cs="Times New Roman"/>
          <w:b/>
          <w:bCs/>
          <w:kern w:val="22"/>
          <w:sz w:val="22"/>
          <w:szCs w:val="22"/>
          <w:lang w:val="en-GB"/>
        </w:rPr>
        <w:tab/>
      </w:r>
      <w:r w:rsidR="009C18A0" w:rsidRPr="000A37BF">
        <w:rPr>
          <w:rStyle w:val="Heading2CharChar"/>
          <w:rFonts w:ascii="Times New Roman" w:hAnsi="Times New Roman" w:cs="Times New Roman"/>
          <w:b/>
          <w:bCs/>
          <w:kern w:val="22"/>
          <w:sz w:val="22"/>
          <w:szCs w:val="22"/>
          <w:lang w:val="en-GB"/>
        </w:rPr>
        <w:t>Over</w:t>
      </w:r>
      <w:r w:rsidR="009C18A0" w:rsidRPr="000A37BF">
        <w:rPr>
          <w:i w:val="0"/>
          <w:iCs w:val="0"/>
          <w:kern w:val="22"/>
          <w:sz w:val="22"/>
          <w:szCs w:val="22"/>
          <w:lang w:val="en-GB" w:eastAsia="en-GB"/>
        </w:rPr>
        <w:t xml:space="preserve">arching principle: </w:t>
      </w:r>
      <w:r w:rsidR="003F4413" w:rsidRPr="000A37BF">
        <w:rPr>
          <w:i w:val="0"/>
          <w:iCs w:val="0"/>
          <w:kern w:val="22"/>
          <w:sz w:val="22"/>
          <w:szCs w:val="22"/>
          <w:lang w:val="en-GB" w:eastAsia="en-GB"/>
        </w:rPr>
        <w:t>e</w:t>
      </w:r>
      <w:r w:rsidR="009C18A0" w:rsidRPr="000A37BF">
        <w:rPr>
          <w:i w:val="0"/>
          <w:iCs w:val="0"/>
          <w:kern w:val="22"/>
          <w:sz w:val="22"/>
          <w:szCs w:val="22"/>
          <w:lang w:val="en-GB" w:eastAsia="en-GB"/>
        </w:rPr>
        <w:t>nsure that transformative change is inclusive and equitable</w:t>
      </w:r>
    </w:p>
    <w:p w14:paraId="038995CC" w14:textId="073F08B6"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Effective resource mobili</w:t>
      </w:r>
      <w:r w:rsidR="00A14E9F" w:rsidRPr="000A37BF">
        <w:rPr>
          <w:kern w:val="22"/>
          <w:sz w:val="22"/>
          <w:szCs w:val="22"/>
          <w:lang w:val="en-GB" w:eastAsia="en-GB"/>
        </w:rPr>
        <w:t>z</w:t>
      </w:r>
      <w:r w:rsidRPr="000A37BF">
        <w:rPr>
          <w:kern w:val="22"/>
          <w:sz w:val="22"/>
          <w:szCs w:val="22"/>
          <w:lang w:val="en-GB" w:eastAsia="en-GB"/>
        </w:rPr>
        <w:t xml:space="preserve">ation in support of the post-2020 global biodiversity framework will require fundamental shifts in economic systems, as set out in the sections below. This transformative change must be inclusive and equitable. Special attention should be paid to public involvement, including </w:t>
      </w:r>
      <w:r w:rsidR="007A277F" w:rsidRPr="000A37BF">
        <w:rPr>
          <w:kern w:val="22"/>
          <w:sz w:val="22"/>
          <w:szCs w:val="22"/>
          <w:lang w:val="en-GB" w:eastAsia="en-GB"/>
        </w:rPr>
        <w:t xml:space="preserve">of </w:t>
      </w:r>
      <w:r w:rsidRPr="000A37BF">
        <w:rPr>
          <w:kern w:val="22"/>
          <w:sz w:val="22"/>
          <w:szCs w:val="22"/>
          <w:lang w:val="en-GB" w:eastAsia="en-GB"/>
        </w:rPr>
        <w:t>indigenous peoples and local communities</w:t>
      </w:r>
      <w:r w:rsidR="00F770E8" w:rsidRPr="000A37BF">
        <w:rPr>
          <w:kern w:val="22"/>
          <w:sz w:val="22"/>
          <w:szCs w:val="22"/>
          <w:lang w:val="en-GB" w:eastAsia="en-GB"/>
        </w:rPr>
        <w:t>,</w:t>
      </w:r>
      <w:r w:rsidRPr="000A37BF">
        <w:rPr>
          <w:kern w:val="22"/>
          <w:sz w:val="22"/>
          <w:szCs w:val="22"/>
          <w:lang w:val="en-GB" w:eastAsia="en-GB"/>
        </w:rPr>
        <w:t xml:space="preserve"> youth</w:t>
      </w:r>
      <w:r w:rsidR="00F770E8" w:rsidRPr="000A37BF">
        <w:rPr>
          <w:kern w:val="22"/>
          <w:sz w:val="22"/>
          <w:szCs w:val="22"/>
          <w:lang w:val="en-GB" w:eastAsia="en-GB"/>
        </w:rPr>
        <w:t>,</w:t>
      </w:r>
      <w:r w:rsidRPr="000A37BF">
        <w:rPr>
          <w:kern w:val="22"/>
          <w:sz w:val="22"/>
          <w:szCs w:val="22"/>
          <w:lang w:val="en-GB" w:eastAsia="en-GB"/>
        </w:rPr>
        <w:t xml:space="preserve"> women</w:t>
      </w:r>
      <w:r w:rsidR="00F770E8" w:rsidRPr="000A37BF">
        <w:rPr>
          <w:kern w:val="22"/>
          <w:sz w:val="22"/>
          <w:szCs w:val="22"/>
          <w:lang w:val="en-GB" w:eastAsia="en-GB"/>
        </w:rPr>
        <w:t>,</w:t>
      </w:r>
      <w:r w:rsidRPr="000A37BF">
        <w:rPr>
          <w:kern w:val="22"/>
          <w:sz w:val="22"/>
          <w:szCs w:val="22"/>
          <w:lang w:val="en-GB" w:eastAsia="en-GB"/>
        </w:rPr>
        <w:t xml:space="preserve"> civil society</w:t>
      </w:r>
      <w:r w:rsidR="00F770E8" w:rsidRPr="000A37BF">
        <w:rPr>
          <w:kern w:val="22"/>
          <w:sz w:val="22"/>
          <w:szCs w:val="22"/>
          <w:lang w:val="en-GB" w:eastAsia="en-GB"/>
        </w:rPr>
        <w:t>,</w:t>
      </w:r>
      <w:r w:rsidRPr="000A37BF">
        <w:rPr>
          <w:kern w:val="22"/>
          <w:sz w:val="22"/>
          <w:szCs w:val="22"/>
          <w:lang w:val="en-GB" w:eastAsia="en-GB"/>
        </w:rPr>
        <w:t xml:space="preserve"> lower-income households</w:t>
      </w:r>
      <w:r w:rsidR="00F770E8" w:rsidRPr="000A37BF">
        <w:rPr>
          <w:kern w:val="22"/>
          <w:sz w:val="22"/>
          <w:szCs w:val="22"/>
          <w:lang w:val="en-GB" w:eastAsia="en-GB"/>
        </w:rPr>
        <w:t>,</w:t>
      </w:r>
      <w:r w:rsidRPr="000A37BF">
        <w:rPr>
          <w:kern w:val="22"/>
          <w:sz w:val="22"/>
          <w:szCs w:val="22"/>
          <w:lang w:val="en-GB" w:eastAsia="en-GB"/>
        </w:rPr>
        <w:t xml:space="preserve"> and the most impacted people. This should be supported by devising targeted measures to address any potentially regressive impact on the distribution of income and assets and implement</w:t>
      </w:r>
      <w:r w:rsidR="00130698" w:rsidRPr="000A37BF">
        <w:rPr>
          <w:kern w:val="22"/>
          <w:sz w:val="22"/>
          <w:szCs w:val="22"/>
          <w:lang w:val="en-GB" w:eastAsia="en-GB"/>
        </w:rPr>
        <w:t>ing</w:t>
      </w:r>
      <w:r w:rsidRPr="000A37BF">
        <w:rPr>
          <w:kern w:val="22"/>
          <w:sz w:val="22"/>
          <w:szCs w:val="22"/>
          <w:lang w:val="en-GB" w:eastAsia="en-GB"/>
        </w:rPr>
        <w:t xml:space="preserve"> these measures together with the policy actions for biodiversity conservation, sustainable use and restoration. Biodiversity and ecosystem service benefits should be shared equitably across society, with the rights of future generations in mind.</w:t>
      </w:r>
    </w:p>
    <w:p w14:paraId="6B0F1AF0" w14:textId="183DD934" w:rsidR="009C18A0" w:rsidRPr="000A37BF" w:rsidRDefault="00AD3CFB" w:rsidP="000A37BF">
      <w:pPr>
        <w:pStyle w:val="Heading2-center"/>
        <w:suppressLineNumbers/>
        <w:tabs>
          <w:tab w:val="clear" w:pos="720"/>
        </w:tabs>
        <w:suppressAutoHyphens/>
        <w:adjustRightInd w:val="0"/>
        <w:snapToGrid w:val="0"/>
        <w:spacing w:before="0" w:after="0"/>
        <w:ind w:left="1134" w:hanging="567"/>
        <w:jc w:val="left"/>
        <w:rPr>
          <w:rStyle w:val="Heading2CharChar"/>
          <w:rFonts w:ascii="Times New Roman" w:hAnsi="Times New Roman" w:cs="Times New Roman"/>
          <w:b/>
          <w:bCs/>
          <w:kern w:val="22"/>
          <w:sz w:val="22"/>
          <w:szCs w:val="22"/>
          <w:lang w:val="en-GB"/>
        </w:rPr>
      </w:pPr>
      <w:r w:rsidRPr="000A37BF">
        <w:rPr>
          <w:rStyle w:val="Heading2CharChar"/>
          <w:rFonts w:ascii="Times New Roman" w:hAnsi="Times New Roman" w:cs="Times New Roman"/>
          <w:b/>
          <w:bCs/>
          <w:kern w:val="22"/>
          <w:sz w:val="22"/>
          <w:szCs w:val="22"/>
          <w:lang w:val="en-GB"/>
        </w:rPr>
        <w:t>B.</w:t>
      </w:r>
      <w:r w:rsidRPr="000A37BF">
        <w:rPr>
          <w:rStyle w:val="Heading2CharChar"/>
          <w:rFonts w:ascii="Times New Roman" w:hAnsi="Times New Roman" w:cs="Times New Roman"/>
          <w:b/>
          <w:bCs/>
          <w:kern w:val="22"/>
          <w:sz w:val="22"/>
          <w:szCs w:val="22"/>
          <w:lang w:val="en-GB"/>
        </w:rPr>
        <w:tab/>
      </w:r>
      <w:r w:rsidR="009C18A0" w:rsidRPr="000A37BF">
        <w:rPr>
          <w:rStyle w:val="Heading2CharChar"/>
          <w:rFonts w:ascii="Times New Roman" w:hAnsi="Times New Roman" w:cs="Times New Roman"/>
          <w:b/>
          <w:bCs/>
          <w:kern w:val="22"/>
          <w:sz w:val="22"/>
          <w:szCs w:val="22"/>
          <w:lang w:val="en-GB"/>
        </w:rPr>
        <w:t xml:space="preserve">Cross-cutting theme: </w:t>
      </w:r>
      <w:r w:rsidR="00AF6CE8" w:rsidRPr="00C053AE">
        <w:rPr>
          <w:rStyle w:val="Heading2CharChar"/>
          <w:rFonts w:ascii="Times New Roman" w:hAnsi="Times New Roman" w:cs="Times New Roman"/>
          <w:b/>
          <w:bCs/>
          <w:kern w:val="22"/>
          <w:sz w:val="22"/>
          <w:szCs w:val="22"/>
          <w:lang w:val="en-GB"/>
        </w:rPr>
        <w:t>m</w:t>
      </w:r>
      <w:r w:rsidR="009C18A0" w:rsidRPr="000A37BF">
        <w:rPr>
          <w:rStyle w:val="Heading2CharChar"/>
          <w:rFonts w:ascii="Times New Roman" w:hAnsi="Times New Roman" w:cs="Times New Roman"/>
          <w:b/>
          <w:bCs/>
          <w:kern w:val="22"/>
          <w:sz w:val="22"/>
          <w:szCs w:val="22"/>
          <w:lang w:val="en-GB"/>
        </w:rPr>
        <w:t>ainstreaming is a fundamental approach to all three components of resource mobili</w:t>
      </w:r>
      <w:r w:rsidR="00A14E9F" w:rsidRPr="000A37BF">
        <w:rPr>
          <w:rStyle w:val="Heading2CharChar"/>
          <w:rFonts w:ascii="Times New Roman" w:hAnsi="Times New Roman" w:cs="Times New Roman"/>
          <w:b/>
          <w:bCs/>
          <w:kern w:val="22"/>
          <w:sz w:val="22"/>
          <w:szCs w:val="22"/>
          <w:lang w:val="en-GB"/>
        </w:rPr>
        <w:t>z</w:t>
      </w:r>
      <w:r w:rsidR="009C18A0" w:rsidRPr="000A37BF">
        <w:rPr>
          <w:rStyle w:val="Heading2CharChar"/>
          <w:rFonts w:ascii="Times New Roman" w:hAnsi="Times New Roman" w:cs="Times New Roman"/>
          <w:b/>
          <w:bCs/>
          <w:kern w:val="22"/>
          <w:sz w:val="22"/>
          <w:szCs w:val="22"/>
          <w:lang w:val="en-GB"/>
        </w:rPr>
        <w:t>ation</w:t>
      </w:r>
    </w:p>
    <w:p w14:paraId="3D895B4E" w14:textId="3CC5EF7D"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 xml:space="preserve">Mainstreaming lies at the core of a whole-of-government, whole-of-economy and whole-of-society approach, which is central to the post-2020 process and its associated theory of change. Decision </w:t>
      </w:r>
      <w:hyperlink r:id="rId16" w:history="1">
        <w:r w:rsidRPr="000A37BF">
          <w:rPr>
            <w:rStyle w:val="Hyperlink"/>
            <w:color w:val="4472C4" w:themeColor="accent1"/>
            <w:kern w:val="22"/>
            <w:sz w:val="22"/>
            <w:szCs w:val="22"/>
            <w:lang w:val="en-GB"/>
          </w:rPr>
          <w:t>14/3</w:t>
        </w:r>
      </w:hyperlink>
      <w:r w:rsidRPr="000A37BF">
        <w:rPr>
          <w:kern w:val="22"/>
          <w:sz w:val="22"/>
          <w:szCs w:val="22"/>
          <w:lang w:val="en-GB" w:eastAsia="en-GB"/>
        </w:rPr>
        <w:t xml:space="preserve"> called for the establishment of the Informal Advisory Group on Mainstreaming of Biodiversity, which is currently </w:t>
      </w:r>
      <w:r w:rsidR="00E52D64" w:rsidRPr="000A37BF">
        <w:rPr>
          <w:kern w:val="22"/>
          <w:sz w:val="22"/>
          <w:szCs w:val="22"/>
          <w:lang w:val="en-GB" w:eastAsia="en-GB"/>
        </w:rPr>
        <w:t xml:space="preserve">supporting the work to </w:t>
      </w:r>
      <w:r w:rsidRPr="000A37BF">
        <w:rPr>
          <w:kern w:val="22"/>
          <w:sz w:val="22"/>
          <w:szCs w:val="22"/>
          <w:lang w:val="en-GB" w:eastAsia="en-GB"/>
        </w:rPr>
        <w:t xml:space="preserve">develop a </w:t>
      </w:r>
      <w:r w:rsidR="001918C5" w:rsidRPr="000A37BF">
        <w:rPr>
          <w:kern w:val="22"/>
          <w:sz w:val="22"/>
          <w:szCs w:val="22"/>
          <w:lang w:val="en-GB" w:eastAsia="en-GB"/>
        </w:rPr>
        <w:t>l</w:t>
      </w:r>
      <w:r w:rsidRPr="000A37BF">
        <w:rPr>
          <w:kern w:val="22"/>
          <w:sz w:val="22"/>
          <w:szCs w:val="22"/>
          <w:lang w:val="en-GB" w:eastAsia="en-GB"/>
        </w:rPr>
        <w:t>ong-</w:t>
      </w:r>
      <w:r w:rsidR="001918C5" w:rsidRPr="000A37BF">
        <w:rPr>
          <w:kern w:val="22"/>
          <w:sz w:val="22"/>
          <w:szCs w:val="22"/>
          <w:lang w:val="en-GB" w:eastAsia="en-GB"/>
        </w:rPr>
        <w:t>t</w:t>
      </w:r>
      <w:r w:rsidRPr="000A37BF">
        <w:rPr>
          <w:kern w:val="22"/>
          <w:sz w:val="22"/>
          <w:szCs w:val="22"/>
          <w:lang w:val="en-GB" w:eastAsia="en-GB"/>
        </w:rPr>
        <w:t xml:space="preserve">erm </w:t>
      </w:r>
      <w:r w:rsidR="001918C5" w:rsidRPr="000A37BF">
        <w:rPr>
          <w:kern w:val="22"/>
          <w:sz w:val="22"/>
          <w:szCs w:val="22"/>
          <w:lang w:val="en-GB" w:eastAsia="en-GB"/>
        </w:rPr>
        <w:t>s</w:t>
      </w:r>
      <w:r w:rsidRPr="000A37BF">
        <w:rPr>
          <w:kern w:val="22"/>
          <w:sz w:val="22"/>
          <w:szCs w:val="22"/>
          <w:lang w:val="en-GB" w:eastAsia="en-GB"/>
        </w:rPr>
        <w:t xml:space="preserve">trategic </w:t>
      </w:r>
      <w:r w:rsidR="001918C5" w:rsidRPr="000A37BF">
        <w:rPr>
          <w:kern w:val="22"/>
          <w:sz w:val="22"/>
          <w:szCs w:val="22"/>
          <w:lang w:val="en-GB" w:eastAsia="en-GB"/>
        </w:rPr>
        <w:t>a</w:t>
      </w:r>
      <w:r w:rsidRPr="000A37BF">
        <w:rPr>
          <w:kern w:val="22"/>
          <w:sz w:val="22"/>
          <w:szCs w:val="22"/>
          <w:lang w:val="en-GB" w:eastAsia="en-GB"/>
        </w:rPr>
        <w:t xml:space="preserve">pproach to </w:t>
      </w:r>
      <w:r w:rsidR="001918C5" w:rsidRPr="000A37BF">
        <w:rPr>
          <w:kern w:val="22"/>
          <w:sz w:val="22"/>
          <w:szCs w:val="22"/>
          <w:lang w:val="en-GB" w:eastAsia="en-GB"/>
        </w:rPr>
        <w:t>m</w:t>
      </w:r>
      <w:r w:rsidRPr="000A37BF">
        <w:rPr>
          <w:kern w:val="22"/>
          <w:sz w:val="22"/>
          <w:szCs w:val="22"/>
          <w:lang w:val="en-GB" w:eastAsia="en-GB"/>
        </w:rPr>
        <w:t xml:space="preserve">ainstreaming </w:t>
      </w:r>
      <w:r w:rsidR="001918C5" w:rsidRPr="000A37BF">
        <w:rPr>
          <w:kern w:val="22"/>
          <w:sz w:val="22"/>
          <w:szCs w:val="22"/>
          <w:lang w:val="en-GB" w:eastAsia="en-GB"/>
        </w:rPr>
        <w:t>b</w:t>
      </w:r>
      <w:r w:rsidRPr="000A37BF">
        <w:rPr>
          <w:kern w:val="22"/>
          <w:sz w:val="22"/>
          <w:szCs w:val="22"/>
          <w:lang w:val="en-GB" w:eastAsia="en-GB"/>
        </w:rPr>
        <w:t>iodiversity (LTAM). The Informal Advisory Group considers mainstreaming to be a tool, a solution, and an overall approach to the post-2020 global biodiversity framework, a view that is shared by the Panel of Experts on resource mobili</w:t>
      </w:r>
      <w:r w:rsidR="00A14E9F" w:rsidRPr="000A37BF">
        <w:rPr>
          <w:kern w:val="22"/>
          <w:sz w:val="22"/>
          <w:szCs w:val="22"/>
          <w:lang w:val="en-GB" w:eastAsia="en-GB"/>
        </w:rPr>
        <w:t>z</w:t>
      </w:r>
      <w:r w:rsidRPr="000A37BF">
        <w:rPr>
          <w:kern w:val="22"/>
          <w:sz w:val="22"/>
          <w:szCs w:val="22"/>
          <w:lang w:val="en-GB" w:eastAsia="en-GB"/>
        </w:rPr>
        <w:t>ation. Furthermore, the Panel of Experts considers the theme of mainstreaming to intersect with the theme of resource mobili</w:t>
      </w:r>
      <w:r w:rsidR="00A14E9F" w:rsidRPr="000A37BF">
        <w:rPr>
          <w:kern w:val="22"/>
          <w:sz w:val="22"/>
          <w:szCs w:val="22"/>
          <w:lang w:val="en-GB" w:eastAsia="en-GB"/>
        </w:rPr>
        <w:t>z</w:t>
      </w:r>
      <w:r w:rsidRPr="000A37BF">
        <w:rPr>
          <w:kern w:val="22"/>
          <w:sz w:val="22"/>
          <w:szCs w:val="22"/>
          <w:lang w:val="en-GB" w:eastAsia="en-GB"/>
        </w:rPr>
        <w:t>ation at many points.</w:t>
      </w:r>
    </w:p>
    <w:p w14:paraId="5BF09C2D" w14:textId="10816721" w:rsidR="00A367E8" w:rsidRPr="000A37BF" w:rsidRDefault="009C18A0" w:rsidP="000A37BF">
      <w:pPr>
        <w:pStyle w:val="Para1"/>
        <w:keepNext/>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lastRenderedPageBreak/>
        <w:t xml:space="preserve">Mainstreaming is </w:t>
      </w:r>
      <w:r w:rsidR="00615F86" w:rsidRPr="000A37BF">
        <w:rPr>
          <w:kern w:val="22"/>
          <w:sz w:val="22"/>
          <w:szCs w:val="22"/>
          <w:lang w:val="en-GB" w:eastAsia="en-GB"/>
        </w:rPr>
        <w:t xml:space="preserve">a </w:t>
      </w:r>
      <w:r w:rsidRPr="000A37BF">
        <w:rPr>
          <w:kern w:val="22"/>
          <w:sz w:val="22"/>
          <w:szCs w:val="22"/>
          <w:lang w:val="en-GB" w:eastAsia="en-GB"/>
        </w:rPr>
        <w:t>fundamental approach to all three components of resource mobili</w:t>
      </w:r>
      <w:r w:rsidR="00A14E9F" w:rsidRPr="000A37BF">
        <w:rPr>
          <w:kern w:val="22"/>
          <w:sz w:val="22"/>
          <w:szCs w:val="22"/>
          <w:lang w:val="en-GB" w:eastAsia="en-GB"/>
        </w:rPr>
        <w:t>z</w:t>
      </w:r>
      <w:r w:rsidRPr="000A37BF">
        <w:rPr>
          <w:kern w:val="22"/>
          <w:sz w:val="22"/>
          <w:szCs w:val="22"/>
          <w:lang w:val="en-GB" w:eastAsia="en-GB"/>
        </w:rPr>
        <w:t>ation. Some s</w:t>
      </w:r>
      <w:r w:rsidR="00E52D64" w:rsidRPr="000A37BF">
        <w:rPr>
          <w:kern w:val="22"/>
          <w:sz w:val="22"/>
          <w:szCs w:val="22"/>
          <w:lang w:val="en-GB" w:eastAsia="en-GB"/>
        </w:rPr>
        <w:t>tylized</w:t>
      </w:r>
      <w:r w:rsidRPr="000A37BF">
        <w:rPr>
          <w:kern w:val="22"/>
          <w:sz w:val="22"/>
          <w:szCs w:val="22"/>
          <w:lang w:val="en-GB" w:eastAsia="en-GB"/>
        </w:rPr>
        <w:t xml:space="preserve"> illustrations of this </w:t>
      </w:r>
      <w:r w:rsidR="009C5591" w:rsidRPr="000A37BF">
        <w:rPr>
          <w:kern w:val="22"/>
          <w:sz w:val="22"/>
          <w:szCs w:val="22"/>
          <w:lang w:val="en-GB" w:eastAsia="en-GB"/>
        </w:rPr>
        <w:t>follow</w:t>
      </w:r>
      <w:r w:rsidRPr="000A37BF">
        <w:rPr>
          <w:kern w:val="22"/>
          <w:sz w:val="22"/>
          <w:szCs w:val="22"/>
          <w:lang w:val="en-GB" w:eastAsia="en-GB"/>
        </w:rPr>
        <w:t>:</w:t>
      </w:r>
    </w:p>
    <w:p w14:paraId="6535637A" w14:textId="4F5E12DC" w:rsidR="00A367E8" w:rsidRPr="000A37BF" w:rsidRDefault="00E52D64"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E66148" w:rsidRPr="000A37BF">
        <w:rPr>
          <w:kern w:val="22"/>
          <w:sz w:val="22"/>
          <w:szCs w:val="22"/>
          <w:lang w:val="en-GB" w:eastAsia="en-GB"/>
        </w:rPr>
        <w:t>a</w:t>
      </w:r>
      <w:r w:rsidRPr="000A37BF">
        <w:rPr>
          <w:kern w:val="22"/>
          <w:sz w:val="22"/>
          <w:szCs w:val="22"/>
          <w:lang w:val="en-GB" w:eastAsia="en-GB"/>
        </w:rPr>
        <w:t>)</w:t>
      </w:r>
      <w:r w:rsidR="00A367E8" w:rsidRPr="000A37BF">
        <w:rPr>
          <w:kern w:val="22"/>
          <w:sz w:val="22"/>
          <w:szCs w:val="22"/>
          <w:lang w:val="en-GB" w:eastAsia="en-GB"/>
        </w:rPr>
        <w:tab/>
        <w:t>M</w:t>
      </w:r>
      <w:r w:rsidR="009C18A0" w:rsidRPr="000A37BF">
        <w:rPr>
          <w:kern w:val="22"/>
          <w:sz w:val="22"/>
          <w:szCs w:val="22"/>
          <w:lang w:val="en-GB" w:eastAsia="en-GB"/>
        </w:rPr>
        <w:t>ainstreaming biodiversity within the finance sector, via assessment</w:t>
      </w:r>
      <w:r w:rsidRPr="000A37BF">
        <w:rPr>
          <w:kern w:val="22"/>
          <w:sz w:val="22"/>
          <w:szCs w:val="22"/>
          <w:lang w:val="en-GB" w:eastAsia="en-GB"/>
        </w:rPr>
        <w:t>s</w:t>
      </w:r>
      <w:r w:rsidR="009C18A0" w:rsidRPr="000A37BF">
        <w:rPr>
          <w:kern w:val="22"/>
          <w:sz w:val="22"/>
          <w:szCs w:val="22"/>
          <w:lang w:val="en-GB" w:eastAsia="en-GB"/>
        </w:rPr>
        <w:t xml:space="preserve"> of dependencies, impacts and risks, helps to reduce biodiversity loss and the subsequent costs (explained further </w:t>
      </w:r>
      <w:r w:rsidR="0086335A" w:rsidRPr="000A37BF">
        <w:rPr>
          <w:kern w:val="22"/>
          <w:sz w:val="22"/>
          <w:szCs w:val="22"/>
          <w:lang w:val="en-GB" w:eastAsia="en-GB"/>
        </w:rPr>
        <w:t>under</w:t>
      </w:r>
      <w:r w:rsidR="009C18A0" w:rsidRPr="000A37BF">
        <w:rPr>
          <w:kern w:val="22"/>
          <w:sz w:val="22"/>
          <w:szCs w:val="22"/>
          <w:lang w:val="en-GB" w:eastAsia="en-GB"/>
        </w:rPr>
        <w:t xml:space="preserve"> </w:t>
      </w:r>
      <w:r w:rsidRPr="000A37BF">
        <w:rPr>
          <w:kern w:val="22"/>
          <w:sz w:val="22"/>
          <w:szCs w:val="22"/>
          <w:lang w:val="en-GB" w:eastAsia="en-GB"/>
        </w:rPr>
        <w:t>c</w:t>
      </w:r>
      <w:r w:rsidR="009C18A0" w:rsidRPr="000A37BF">
        <w:rPr>
          <w:kern w:val="22"/>
          <w:sz w:val="22"/>
          <w:szCs w:val="22"/>
          <w:lang w:val="en-GB" w:eastAsia="en-GB"/>
        </w:rPr>
        <w:t>omponent I</w:t>
      </w:r>
      <w:r w:rsidRPr="000A37BF">
        <w:rPr>
          <w:kern w:val="22"/>
          <w:sz w:val="22"/>
          <w:szCs w:val="22"/>
          <w:lang w:val="en-GB" w:eastAsia="en-GB"/>
        </w:rPr>
        <w:t xml:space="preserve"> below</w:t>
      </w:r>
      <w:r w:rsidR="009C18A0" w:rsidRPr="000A37BF">
        <w:rPr>
          <w:kern w:val="22"/>
          <w:sz w:val="22"/>
          <w:szCs w:val="22"/>
          <w:lang w:val="en-GB" w:eastAsia="en-GB"/>
        </w:rPr>
        <w:t>);</w:t>
      </w:r>
    </w:p>
    <w:p w14:paraId="1F5D70EC" w14:textId="670672C3" w:rsidR="00A367E8" w:rsidRPr="000A37BF" w:rsidRDefault="00E52D64"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E66148" w:rsidRPr="000A37BF">
        <w:rPr>
          <w:kern w:val="22"/>
          <w:sz w:val="22"/>
          <w:szCs w:val="22"/>
          <w:lang w:val="en-GB" w:eastAsia="en-GB"/>
        </w:rPr>
        <w:t>b</w:t>
      </w:r>
      <w:r w:rsidRPr="000A37BF">
        <w:rPr>
          <w:kern w:val="22"/>
          <w:sz w:val="22"/>
          <w:szCs w:val="22"/>
          <w:lang w:val="en-GB" w:eastAsia="en-GB"/>
        </w:rPr>
        <w:t xml:space="preserve">) </w:t>
      </w:r>
      <w:r w:rsidR="000B1117" w:rsidRPr="000A37BF">
        <w:rPr>
          <w:kern w:val="22"/>
          <w:sz w:val="22"/>
          <w:szCs w:val="22"/>
          <w:lang w:val="en-GB" w:eastAsia="en-GB"/>
        </w:rPr>
        <w:tab/>
        <w:t>M</w:t>
      </w:r>
      <w:r w:rsidR="009C18A0" w:rsidRPr="000A37BF">
        <w:rPr>
          <w:kern w:val="22"/>
          <w:sz w:val="22"/>
          <w:szCs w:val="22"/>
          <w:lang w:val="en-GB" w:eastAsia="en-GB"/>
        </w:rPr>
        <w:t xml:space="preserve">ainstreaming biodiversity into sectoral government budgets and policies can ensure co-benefits which result in increased resources for biodiversity (explained further </w:t>
      </w:r>
      <w:r w:rsidR="0086335A" w:rsidRPr="000A37BF">
        <w:rPr>
          <w:kern w:val="22"/>
          <w:sz w:val="22"/>
          <w:szCs w:val="22"/>
          <w:lang w:val="en-GB" w:eastAsia="en-GB"/>
        </w:rPr>
        <w:t xml:space="preserve">under </w:t>
      </w:r>
      <w:r w:rsidRPr="000A37BF">
        <w:rPr>
          <w:kern w:val="22"/>
          <w:sz w:val="22"/>
          <w:szCs w:val="22"/>
          <w:lang w:val="en-GB" w:eastAsia="en-GB"/>
        </w:rPr>
        <w:t>c</w:t>
      </w:r>
      <w:r w:rsidR="009C18A0" w:rsidRPr="000A37BF">
        <w:rPr>
          <w:kern w:val="22"/>
          <w:sz w:val="22"/>
          <w:szCs w:val="22"/>
          <w:lang w:val="en-GB" w:eastAsia="en-GB"/>
        </w:rPr>
        <w:t>omponent II</w:t>
      </w:r>
      <w:r w:rsidRPr="000A37BF">
        <w:rPr>
          <w:kern w:val="22"/>
          <w:sz w:val="22"/>
          <w:szCs w:val="22"/>
          <w:lang w:val="en-GB" w:eastAsia="en-GB"/>
        </w:rPr>
        <w:t xml:space="preserve"> below</w:t>
      </w:r>
      <w:r w:rsidR="009C18A0" w:rsidRPr="000A37BF">
        <w:rPr>
          <w:kern w:val="22"/>
          <w:sz w:val="22"/>
          <w:szCs w:val="22"/>
          <w:lang w:val="en-GB" w:eastAsia="en-GB"/>
        </w:rPr>
        <w:t>);</w:t>
      </w:r>
    </w:p>
    <w:p w14:paraId="33703CD1" w14:textId="7D6D91CE" w:rsidR="009C18A0" w:rsidRPr="000A37BF" w:rsidRDefault="00E52D64"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E66148" w:rsidRPr="000A37BF">
        <w:rPr>
          <w:kern w:val="22"/>
          <w:sz w:val="22"/>
          <w:szCs w:val="22"/>
          <w:lang w:val="en-GB" w:eastAsia="en-GB"/>
        </w:rPr>
        <w:t>c</w:t>
      </w:r>
      <w:r w:rsidRPr="000A37BF">
        <w:rPr>
          <w:kern w:val="22"/>
          <w:sz w:val="22"/>
          <w:szCs w:val="22"/>
          <w:lang w:val="en-GB" w:eastAsia="en-GB"/>
        </w:rPr>
        <w:t>)</w:t>
      </w:r>
      <w:r w:rsidR="000B1117" w:rsidRPr="000A37BF">
        <w:rPr>
          <w:kern w:val="22"/>
          <w:sz w:val="22"/>
          <w:szCs w:val="22"/>
          <w:lang w:val="en-GB" w:eastAsia="en-GB"/>
        </w:rPr>
        <w:tab/>
        <w:t>M</w:t>
      </w:r>
      <w:r w:rsidR="009C18A0" w:rsidRPr="000A37BF">
        <w:rPr>
          <w:kern w:val="22"/>
          <w:sz w:val="22"/>
          <w:szCs w:val="22"/>
          <w:lang w:val="en-GB" w:eastAsia="en-GB"/>
        </w:rPr>
        <w:t xml:space="preserve">ainstreaming biodiversity into national development plans provides a strong starting point for achieving greater policy coherence and correspondingly higher efficiency of resource use, through a whole-of-government approach (explained further </w:t>
      </w:r>
      <w:r w:rsidR="0086335A" w:rsidRPr="000A37BF">
        <w:rPr>
          <w:kern w:val="22"/>
          <w:sz w:val="22"/>
          <w:szCs w:val="22"/>
          <w:lang w:val="en-GB" w:eastAsia="en-GB"/>
        </w:rPr>
        <w:t xml:space="preserve">under </w:t>
      </w:r>
      <w:r w:rsidRPr="000A37BF">
        <w:rPr>
          <w:kern w:val="22"/>
          <w:sz w:val="22"/>
          <w:szCs w:val="22"/>
          <w:lang w:val="en-GB" w:eastAsia="en-GB"/>
        </w:rPr>
        <w:t>c</w:t>
      </w:r>
      <w:r w:rsidR="009C18A0" w:rsidRPr="000A37BF">
        <w:rPr>
          <w:kern w:val="22"/>
          <w:sz w:val="22"/>
          <w:szCs w:val="22"/>
          <w:lang w:val="en-GB" w:eastAsia="en-GB"/>
        </w:rPr>
        <w:t>omponent III</w:t>
      </w:r>
      <w:r w:rsidRPr="000A37BF">
        <w:rPr>
          <w:kern w:val="22"/>
          <w:sz w:val="22"/>
          <w:szCs w:val="22"/>
          <w:lang w:val="en-GB" w:eastAsia="en-GB"/>
        </w:rPr>
        <w:t xml:space="preserve"> below</w:t>
      </w:r>
      <w:r w:rsidR="009C18A0" w:rsidRPr="000A37BF">
        <w:rPr>
          <w:kern w:val="22"/>
          <w:sz w:val="22"/>
          <w:szCs w:val="22"/>
          <w:lang w:val="en-GB" w:eastAsia="en-GB"/>
        </w:rPr>
        <w:t>).</w:t>
      </w:r>
    </w:p>
    <w:p w14:paraId="0A98BC2C" w14:textId="6F7F8C69"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 xml:space="preserve">While many specific mainstreaming-related actions are mentioned in </w:t>
      </w:r>
      <w:r w:rsidR="00FC604D" w:rsidRPr="000A37BF">
        <w:rPr>
          <w:kern w:val="22"/>
          <w:sz w:val="22"/>
          <w:szCs w:val="22"/>
          <w:lang w:val="en-GB" w:eastAsia="en-GB"/>
        </w:rPr>
        <w:t>s</w:t>
      </w:r>
      <w:r w:rsidRPr="000A37BF">
        <w:rPr>
          <w:kern w:val="22"/>
          <w:sz w:val="22"/>
          <w:szCs w:val="22"/>
          <w:lang w:val="en-GB" w:eastAsia="en-GB"/>
        </w:rPr>
        <w:t xml:space="preserve">ections </w:t>
      </w:r>
      <w:r w:rsidR="00622607" w:rsidRPr="000A37BF">
        <w:rPr>
          <w:kern w:val="22"/>
          <w:sz w:val="22"/>
          <w:szCs w:val="22"/>
          <w:lang w:val="en-GB" w:eastAsia="en-GB"/>
        </w:rPr>
        <w:t>III</w:t>
      </w:r>
      <w:r w:rsidRPr="000A37BF">
        <w:rPr>
          <w:kern w:val="22"/>
          <w:sz w:val="22"/>
          <w:szCs w:val="22"/>
          <w:lang w:val="en-GB" w:eastAsia="en-GB"/>
        </w:rPr>
        <w:t xml:space="preserve">, </w:t>
      </w:r>
      <w:r w:rsidR="00622607" w:rsidRPr="000A37BF">
        <w:rPr>
          <w:kern w:val="22"/>
          <w:sz w:val="22"/>
          <w:szCs w:val="22"/>
          <w:lang w:val="en-GB" w:eastAsia="en-GB"/>
        </w:rPr>
        <w:t>IV</w:t>
      </w:r>
      <w:r w:rsidRPr="000A37BF">
        <w:rPr>
          <w:kern w:val="22"/>
          <w:sz w:val="22"/>
          <w:szCs w:val="22"/>
          <w:lang w:val="en-GB" w:eastAsia="en-GB"/>
        </w:rPr>
        <w:t xml:space="preserve"> and </w:t>
      </w:r>
      <w:r w:rsidR="00622607" w:rsidRPr="000A37BF">
        <w:rPr>
          <w:kern w:val="22"/>
          <w:sz w:val="22"/>
          <w:szCs w:val="22"/>
          <w:lang w:val="en-GB" w:eastAsia="en-GB"/>
        </w:rPr>
        <w:t>V</w:t>
      </w:r>
      <w:r w:rsidRPr="000A37BF">
        <w:rPr>
          <w:kern w:val="22"/>
          <w:sz w:val="22"/>
          <w:szCs w:val="22"/>
          <w:lang w:val="en-GB" w:eastAsia="en-GB"/>
        </w:rPr>
        <w:t xml:space="preserve">, the following three actions should be implemented and scaled up in support of </w:t>
      </w:r>
      <w:r w:rsidR="00361F8A" w:rsidRPr="000A37BF">
        <w:rPr>
          <w:kern w:val="22"/>
          <w:sz w:val="22"/>
          <w:szCs w:val="22"/>
          <w:lang w:val="en-GB" w:eastAsia="en-GB"/>
        </w:rPr>
        <w:t xml:space="preserve">each of the components described </w:t>
      </w:r>
      <w:r w:rsidR="00950E5B" w:rsidRPr="000A37BF">
        <w:rPr>
          <w:kern w:val="22"/>
          <w:sz w:val="22"/>
          <w:szCs w:val="22"/>
          <w:lang w:val="en-GB" w:eastAsia="en-GB"/>
        </w:rPr>
        <w:t xml:space="preserve">in those </w:t>
      </w:r>
      <w:r w:rsidRPr="000A37BF">
        <w:rPr>
          <w:kern w:val="22"/>
          <w:sz w:val="22"/>
          <w:szCs w:val="22"/>
          <w:lang w:val="en-GB" w:eastAsia="en-GB"/>
        </w:rPr>
        <w:t>sections. To avoid unnecessary duplication, these important actions are set out below:</w:t>
      </w:r>
    </w:p>
    <w:p w14:paraId="52D6B317" w14:textId="0B3A8CA9" w:rsidR="00E61EB6" w:rsidRPr="000A37BF" w:rsidRDefault="00E61EB6"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9C18A0" w:rsidRPr="000A37BF">
        <w:rPr>
          <w:kern w:val="22"/>
          <w:sz w:val="22"/>
          <w:szCs w:val="22"/>
          <w:lang w:val="en-GB" w:eastAsia="en-GB"/>
        </w:rPr>
        <w:t>Undertake studies assessing the various values</w:t>
      </w:r>
      <w:r w:rsidR="009C18A0" w:rsidRPr="000A37BF">
        <w:rPr>
          <w:kern w:val="22"/>
          <w:sz w:val="22"/>
          <w:szCs w:val="22"/>
          <w:vertAlign w:val="superscript"/>
          <w:lang w:val="en-GB" w:eastAsia="en-GB"/>
        </w:rPr>
        <w:footnoteReference w:id="13"/>
      </w:r>
      <w:r w:rsidR="009C18A0" w:rsidRPr="000A37BF">
        <w:rPr>
          <w:kern w:val="22"/>
          <w:sz w:val="22"/>
          <w:szCs w:val="22"/>
          <w:lang w:val="en-GB" w:eastAsia="en-GB"/>
        </w:rPr>
        <w:t xml:space="preserve"> of biodiversity in the international, national and subnational context</w:t>
      </w:r>
      <w:r w:rsidR="00592D6C" w:rsidRPr="000A37BF">
        <w:rPr>
          <w:kern w:val="22"/>
          <w:sz w:val="22"/>
          <w:szCs w:val="22"/>
          <w:lang w:val="en-GB" w:eastAsia="en-GB"/>
        </w:rPr>
        <w:t>s</w:t>
      </w:r>
      <w:r w:rsidR="009C18A0" w:rsidRPr="000A37BF">
        <w:rPr>
          <w:kern w:val="22"/>
          <w:sz w:val="22"/>
          <w:szCs w:val="22"/>
          <w:lang w:val="en-GB" w:eastAsia="en-GB"/>
        </w:rPr>
        <w:t>, and communicate these findings to relevant decision</w:t>
      </w:r>
      <w:r w:rsidR="00F73189" w:rsidRPr="000A37BF">
        <w:rPr>
          <w:kern w:val="22"/>
          <w:sz w:val="22"/>
          <w:szCs w:val="22"/>
          <w:lang w:val="en-GB" w:eastAsia="en-GB"/>
        </w:rPr>
        <w:t xml:space="preserve"> </w:t>
      </w:r>
      <w:r w:rsidR="009C18A0" w:rsidRPr="000A37BF">
        <w:rPr>
          <w:kern w:val="22"/>
          <w:sz w:val="22"/>
          <w:szCs w:val="22"/>
          <w:lang w:val="en-GB" w:eastAsia="en-GB"/>
        </w:rPr>
        <w:t xml:space="preserve">makers, </w:t>
      </w:r>
      <w:r w:rsidR="0036441A" w:rsidRPr="000A37BF">
        <w:rPr>
          <w:kern w:val="22"/>
          <w:sz w:val="22"/>
          <w:szCs w:val="22"/>
          <w:lang w:val="en-GB" w:eastAsia="en-GB"/>
        </w:rPr>
        <w:t xml:space="preserve">taking into account </w:t>
      </w:r>
      <w:r w:rsidR="009C18A0" w:rsidRPr="000A37BF">
        <w:rPr>
          <w:kern w:val="22"/>
          <w:sz w:val="22"/>
          <w:szCs w:val="22"/>
          <w:lang w:val="en-GB" w:eastAsia="en-GB"/>
        </w:rPr>
        <w:t>global assessments such as</w:t>
      </w:r>
      <w:r w:rsidR="00E52D64" w:rsidRPr="000A37BF">
        <w:rPr>
          <w:kern w:val="22"/>
          <w:sz w:val="22"/>
          <w:szCs w:val="22"/>
          <w:lang w:val="en-GB" w:eastAsia="en-GB"/>
        </w:rPr>
        <w:t xml:space="preserve"> the forthcoming results of the Dasgupta </w:t>
      </w:r>
      <w:bookmarkStart w:id="7" w:name="_Hlk39074411"/>
      <w:r w:rsidR="00E52D64" w:rsidRPr="000A37BF">
        <w:rPr>
          <w:kern w:val="22"/>
          <w:sz w:val="22"/>
          <w:szCs w:val="22"/>
          <w:lang w:val="en-GB" w:eastAsia="en-GB"/>
        </w:rPr>
        <w:t xml:space="preserve">Review </w:t>
      </w:r>
      <w:r w:rsidR="00137E6E" w:rsidRPr="000A37BF">
        <w:rPr>
          <w:kern w:val="22"/>
          <w:sz w:val="22"/>
          <w:szCs w:val="22"/>
          <w:lang w:val="en-GB" w:eastAsia="en-GB"/>
        </w:rPr>
        <w:t xml:space="preserve">on the economics of biodiversity </w:t>
      </w:r>
      <w:r w:rsidR="00E52D64" w:rsidRPr="000A37BF">
        <w:rPr>
          <w:kern w:val="22"/>
          <w:sz w:val="22"/>
          <w:szCs w:val="22"/>
          <w:lang w:val="en-GB" w:eastAsia="en-GB"/>
        </w:rPr>
        <w:t xml:space="preserve">and the earlier </w:t>
      </w:r>
      <w:r w:rsidR="009C18A0" w:rsidRPr="000A37BF">
        <w:rPr>
          <w:kern w:val="22"/>
          <w:sz w:val="22"/>
          <w:szCs w:val="22"/>
          <w:lang w:val="en-GB" w:eastAsia="en-GB"/>
        </w:rPr>
        <w:t>reports</w:t>
      </w:r>
      <w:r w:rsidR="00137E6E" w:rsidRPr="000A37BF">
        <w:rPr>
          <w:kern w:val="22"/>
          <w:sz w:val="22"/>
          <w:szCs w:val="22"/>
          <w:lang w:val="en-GB" w:eastAsia="en-GB"/>
        </w:rPr>
        <w:t xml:space="preserve"> on the Economics of Ecosystems and Biodiversity (TEEB)</w:t>
      </w:r>
      <w:r w:rsidRPr="000A37BF">
        <w:rPr>
          <w:kern w:val="22"/>
          <w:sz w:val="22"/>
          <w:szCs w:val="22"/>
          <w:lang w:val="en-GB" w:eastAsia="en-GB"/>
        </w:rPr>
        <w:t>;</w:t>
      </w:r>
    </w:p>
    <w:p w14:paraId="38FD573F" w14:textId="751E71BE" w:rsidR="009C18A0" w:rsidRPr="000A37BF" w:rsidRDefault="00E61EB6" w:rsidP="000A37BF">
      <w:pPr>
        <w:suppressLineNumbers/>
        <w:suppressAutoHyphens/>
        <w:adjustRightInd w:val="0"/>
        <w:snapToGrid w:val="0"/>
        <w:spacing w:after="120"/>
        <w:ind w:firstLine="720"/>
        <w:jc w:val="both"/>
        <w:rPr>
          <w:i/>
          <w:iCs/>
          <w:kern w:val="22"/>
          <w:sz w:val="22"/>
          <w:szCs w:val="22"/>
          <w:lang w:val="en-GB" w:eastAsia="en-GB"/>
        </w:rPr>
      </w:pPr>
      <w:r w:rsidRPr="000A37BF">
        <w:rPr>
          <w:kern w:val="22"/>
          <w:sz w:val="22"/>
          <w:szCs w:val="22"/>
          <w:lang w:val="en-GB" w:eastAsia="en-GB"/>
        </w:rPr>
        <w:t>(b)</w:t>
      </w:r>
      <w:r w:rsidRPr="000A37BF">
        <w:rPr>
          <w:kern w:val="22"/>
          <w:sz w:val="22"/>
          <w:szCs w:val="22"/>
          <w:lang w:val="en-GB" w:eastAsia="en-GB"/>
        </w:rPr>
        <w:tab/>
      </w:r>
      <w:r w:rsidR="009C18A0" w:rsidRPr="000A37BF">
        <w:rPr>
          <w:kern w:val="22"/>
          <w:sz w:val="22"/>
          <w:szCs w:val="22"/>
          <w:lang w:val="en-GB" w:eastAsia="en-GB"/>
        </w:rPr>
        <w:t xml:space="preserve">Continue to demonstrate the contribution of biodiversity and ecological infrastructure to achieving the Sustainable Development Goals, the </w:t>
      </w:r>
      <w:r w:rsidR="002B4EBA" w:rsidRPr="000A37BF">
        <w:rPr>
          <w:kern w:val="22"/>
          <w:sz w:val="22"/>
          <w:szCs w:val="22"/>
          <w:lang w:val="en-GB" w:eastAsia="en-GB"/>
        </w:rPr>
        <w:t>United Nations</w:t>
      </w:r>
      <w:r w:rsidR="009C18A0" w:rsidRPr="000A37BF">
        <w:rPr>
          <w:kern w:val="22"/>
          <w:sz w:val="22"/>
          <w:szCs w:val="22"/>
          <w:lang w:val="en-GB" w:eastAsia="en-GB"/>
        </w:rPr>
        <w:t xml:space="preserve"> </w:t>
      </w:r>
      <w:bookmarkEnd w:id="7"/>
      <w:r w:rsidR="009C18A0" w:rsidRPr="000A37BF">
        <w:rPr>
          <w:kern w:val="22"/>
          <w:sz w:val="22"/>
          <w:szCs w:val="22"/>
          <w:lang w:val="en-GB" w:eastAsia="en-GB"/>
        </w:rPr>
        <w:t xml:space="preserve">Convention </w:t>
      </w:r>
      <w:r w:rsidR="00E87DFE" w:rsidRPr="000A37BF">
        <w:rPr>
          <w:kern w:val="22"/>
          <w:sz w:val="22"/>
          <w:szCs w:val="22"/>
          <w:lang w:val="en-GB" w:eastAsia="en-GB"/>
        </w:rPr>
        <w:t>to Combat</w:t>
      </w:r>
      <w:r w:rsidR="009C18A0" w:rsidRPr="000A37BF">
        <w:rPr>
          <w:kern w:val="22"/>
          <w:sz w:val="22"/>
          <w:szCs w:val="22"/>
          <w:lang w:val="en-GB" w:eastAsia="en-GB"/>
        </w:rPr>
        <w:t xml:space="preserve"> Desertification, the </w:t>
      </w:r>
      <w:r w:rsidR="002B4EBA" w:rsidRPr="000A37BF">
        <w:rPr>
          <w:kern w:val="22"/>
          <w:sz w:val="22"/>
          <w:szCs w:val="22"/>
          <w:lang w:val="en-GB" w:eastAsia="en-GB"/>
        </w:rPr>
        <w:t xml:space="preserve">United Nations </w:t>
      </w:r>
      <w:r w:rsidR="009C18A0" w:rsidRPr="000A37BF">
        <w:rPr>
          <w:kern w:val="22"/>
          <w:sz w:val="22"/>
          <w:szCs w:val="22"/>
          <w:lang w:val="en-GB" w:eastAsia="en-GB"/>
        </w:rPr>
        <w:t>Framework Convention on Climate Change, and the Sendai Framework for Disaster Risk Reduction</w:t>
      </w:r>
      <w:r w:rsidR="00F46D13" w:rsidRPr="000A37BF">
        <w:rPr>
          <w:kern w:val="22"/>
          <w:sz w:val="22"/>
          <w:szCs w:val="22"/>
          <w:lang w:val="en-GB" w:eastAsia="en-GB"/>
        </w:rPr>
        <w:t xml:space="preserve"> 2015-2030</w:t>
      </w:r>
      <w:r w:rsidRPr="000A37BF">
        <w:rPr>
          <w:kern w:val="22"/>
          <w:sz w:val="22"/>
          <w:szCs w:val="22"/>
          <w:lang w:val="en-GB" w:eastAsia="en-GB"/>
        </w:rPr>
        <w:t>;</w:t>
      </w:r>
      <w:r w:rsidR="00F46D13" w:rsidRPr="000A37BF">
        <w:rPr>
          <w:rStyle w:val="FootnoteReference"/>
          <w:kern w:val="22"/>
          <w:sz w:val="22"/>
          <w:szCs w:val="22"/>
          <w:u w:val="none"/>
          <w:vertAlign w:val="superscript"/>
          <w:lang w:val="en-GB" w:eastAsia="en-GB"/>
        </w:rPr>
        <w:footnoteReference w:id="14"/>
      </w:r>
    </w:p>
    <w:p w14:paraId="728FE02C" w14:textId="2E7D5D1F" w:rsidR="009C18A0" w:rsidRPr="000A37BF" w:rsidRDefault="00E61EB6" w:rsidP="000A37BF">
      <w:pPr>
        <w:suppressLineNumbers/>
        <w:suppressAutoHyphens/>
        <w:adjustRightInd w:val="0"/>
        <w:snapToGrid w:val="0"/>
        <w:spacing w:after="120"/>
        <w:ind w:firstLine="720"/>
        <w:jc w:val="both"/>
        <w:rPr>
          <w:i/>
          <w:iCs/>
          <w:kern w:val="22"/>
          <w:sz w:val="22"/>
          <w:szCs w:val="22"/>
          <w:lang w:val="en-GB" w:eastAsia="en-GB"/>
        </w:rPr>
      </w:pPr>
      <w:r w:rsidRPr="000A37BF">
        <w:rPr>
          <w:kern w:val="22"/>
          <w:sz w:val="22"/>
          <w:szCs w:val="22"/>
          <w:lang w:val="en-GB" w:eastAsia="en-GB"/>
        </w:rPr>
        <w:t>(c)</w:t>
      </w:r>
      <w:r w:rsidRPr="000A37BF">
        <w:rPr>
          <w:kern w:val="22"/>
          <w:sz w:val="22"/>
          <w:szCs w:val="22"/>
          <w:lang w:val="en-GB" w:eastAsia="en-GB"/>
        </w:rPr>
        <w:tab/>
      </w:r>
      <w:r w:rsidR="009C18A0" w:rsidRPr="000A37BF">
        <w:rPr>
          <w:kern w:val="22"/>
          <w:sz w:val="22"/>
          <w:szCs w:val="22"/>
          <w:lang w:val="en-GB" w:eastAsia="en-GB"/>
        </w:rPr>
        <w:t>Allocate resources for the development and uptake of ecosystem accounts, using the System of Environmental Economic Accounting (SEEA) as the measurement framework and enabling the integration of environmental, social and economic data to support decision-making for government and business. Ecosystem accounting includes accounting for biodiversity based on SEEA Experimental Ecosystem Accounting (EEA), which is currently under review.</w:t>
      </w:r>
    </w:p>
    <w:p w14:paraId="20E60B8E" w14:textId="6D19B9E9" w:rsidR="009C18A0" w:rsidRPr="000A37BF" w:rsidRDefault="00AD3CFB" w:rsidP="000A37BF">
      <w:pPr>
        <w:pStyle w:val="Heading2-center"/>
        <w:suppressLineNumbers/>
        <w:tabs>
          <w:tab w:val="clear" w:pos="720"/>
          <w:tab w:val="left" w:pos="426"/>
        </w:tabs>
        <w:suppressAutoHyphens/>
        <w:adjustRightInd w:val="0"/>
        <w:snapToGrid w:val="0"/>
        <w:spacing w:before="0" w:after="0"/>
        <w:rPr>
          <w:rStyle w:val="Heading2CharChar"/>
          <w:rFonts w:ascii="Times New Roman" w:hAnsi="Times New Roman" w:cs="Times New Roman"/>
          <w:b/>
          <w:bCs/>
          <w:kern w:val="22"/>
          <w:sz w:val="22"/>
          <w:szCs w:val="22"/>
          <w:lang w:val="en-GB"/>
        </w:rPr>
      </w:pPr>
      <w:r w:rsidRPr="000A37BF">
        <w:rPr>
          <w:rStyle w:val="Heading2CharChar"/>
          <w:rFonts w:ascii="Times New Roman" w:hAnsi="Times New Roman" w:cs="Times New Roman"/>
          <w:b/>
          <w:bCs/>
          <w:kern w:val="22"/>
          <w:sz w:val="22"/>
          <w:szCs w:val="22"/>
          <w:lang w:val="en-GB"/>
        </w:rPr>
        <w:t>C.</w:t>
      </w:r>
      <w:r w:rsidRPr="000A37BF">
        <w:rPr>
          <w:rStyle w:val="Heading2CharChar"/>
          <w:rFonts w:ascii="Times New Roman" w:hAnsi="Times New Roman" w:cs="Times New Roman"/>
          <w:b/>
          <w:bCs/>
          <w:kern w:val="22"/>
          <w:sz w:val="22"/>
          <w:szCs w:val="22"/>
          <w:lang w:val="en-GB"/>
        </w:rPr>
        <w:tab/>
      </w:r>
      <w:r w:rsidR="009C18A0" w:rsidRPr="000A37BF">
        <w:rPr>
          <w:rStyle w:val="Heading2CharChar"/>
          <w:rFonts w:ascii="Times New Roman" w:hAnsi="Times New Roman" w:cs="Times New Roman"/>
          <w:b/>
          <w:bCs/>
          <w:kern w:val="22"/>
          <w:sz w:val="22"/>
          <w:szCs w:val="22"/>
          <w:lang w:val="en-GB"/>
        </w:rPr>
        <w:t>Key actors</w:t>
      </w:r>
    </w:p>
    <w:p w14:paraId="34560753" w14:textId="4D1463F9"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All societal actors have a role to play in resource mobili</w:t>
      </w:r>
      <w:r w:rsidR="00EE709A" w:rsidRPr="000A37BF">
        <w:rPr>
          <w:kern w:val="22"/>
          <w:sz w:val="22"/>
          <w:szCs w:val="22"/>
          <w:lang w:val="en-GB" w:eastAsia="en-GB"/>
        </w:rPr>
        <w:t>z</w:t>
      </w:r>
      <w:r w:rsidRPr="000A37BF">
        <w:rPr>
          <w:kern w:val="22"/>
          <w:sz w:val="22"/>
          <w:szCs w:val="22"/>
          <w:lang w:val="en-GB" w:eastAsia="en-GB"/>
        </w:rPr>
        <w:t>ation, with important roles for the public sector at all levels, a</w:t>
      </w:r>
      <w:r w:rsidR="00382788" w:rsidRPr="000A37BF">
        <w:rPr>
          <w:kern w:val="22"/>
          <w:sz w:val="22"/>
          <w:szCs w:val="22"/>
          <w:lang w:val="en-GB" w:eastAsia="en-GB"/>
        </w:rPr>
        <w:t xml:space="preserve">s well as </w:t>
      </w:r>
      <w:r w:rsidRPr="000A37BF">
        <w:rPr>
          <w:kern w:val="22"/>
          <w:sz w:val="22"/>
          <w:szCs w:val="22"/>
          <w:lang w:val="en-GB" w:eastAsia="en-GB"/>
        </w:rPr>
        <w:t xml:space="preserve">the private sector, including business, civil society, academia, </w:t>
      </w:r>
      <w:r w:rsidR="005E52D8" w:rsidRPr="000A37BF">
        <w:rPr>
          <w:kern w:val="22"/>
          <w:sz w:val="22"/>
          <w:szCs w:val="22"/>
          <w:lang w:val="en-GB" w:eastAsia="en-GB"/>
        </w:rPr>
        <w:t>non-governmental organizations</w:t>
      </w:r>
      <w:r w:rsidRPr="000A37BF">
        <w:rPr>
          <w:kern w:val="22"/>
          <w:sz w:val="22"/>
          <w:szCs w:val="22"/>
          <w:lang w:val="en-GB" w:eastAsia="en-GB"/>
        </w:rPr>
        <w:t>, charities and foundations, individuals and communities. To achieve all three strategic components of resource mobili</w:t>
      </w:r>
      <w:r w:rsidR="00EE709A" w:rsidRPr="000A37BF">
        <w:rPr>
          <w:kern w:val="22"/>
          <w:sz w:val="22"/>
          <w:szCs w:val="22"/>
          <w:lang w:val="en-GB" w:eastAsia="en-GB"/>
        </w:rPr>
        <w:t>z</w:t>
      </w:r>
      <w:r w:rsidRPr="000A37BF">
        <w:rPr>
          <w:kern w:val="22"/>
          <w:sz w:val="22"/>
          <w:szCs w:val="22"/>
          <w:lang w:val="en-GB" w:eastAsia="en-GB"/>
        </w:rPr>
        <w:t>ation, many actions will need to be taken collectively or in partnership. This report focuses more strongly on actions that should be taken by governments, the business sector, and the finance sector, with some reference to roles that can be played by communities, individuals and not-for-profit organi</w:t>
      </w:r>
      <w:r w:rsidR="00EE709A" w:rsidRPr="000A37BF">
        <w:rPr>
          <w:kern w:val="22"/>
          <w:sz w:val="22"/>
          <w:szCs w:val="22"/>
          <w:lang w:val="en-GB" w:eastAsia="en-GB"/>
        </w:rPr>
        <w:t>z</w:t>
      </w:r>
      <w:r w:rsidRPr="000A37BF">
        <w:rPr>
          <w:kern w:val="22"/>
          <w:sz w:val="22"/>
          <w:szCs w:val="22"/>
          <w:lang w:val="en-GB" w:eastAsia="en-GB"/>
        </w:rPr>
        <w:t>ations. This section touches briefly on some defining features of government, the business sector, the finance sector and international development finance.</w:t>
      </w:r>
    </w:p>
    <w:p w14:paraId="2A2B11CE" w14:textId="2BFE8242"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i/>
          <w:iCs/>
          <w:kern w:val="22"/>
          <w:sz w:val="22"/>
          <w:szCs w:val="22"/>
          <w:lang w:val="en-GB" w:eastAsia="en-GB"/>
        </w:rPr>
        <w:t>National and subnational governments</w:t>
      </w:r>
      <w:r w:rsidR="00382788" w:rsidRPr="000A37BF">
        <w:rPr>
          <w:kern w:val="22"/>
          <w:sz w:val="22"/>
          <w:szCs w:val="22"/>
          <w:lang w:val="en-GB" w:eastAsia="en-GB"/>
        </w:rPr>
        <w:t xml:space="preserve">: </w:t>
      </w:r>
      <w:r w:rsidRPr="000A37BF">
        <w:rPr>
          <w:kern w:val="22"/>
          <w:sz w:val="22"/>
          <w:szCs w:val="22"/>
          <w:lang w:val="en-GB" w:eastAsia="en-GB"/>
        </w:rPr>
        <w:t>The public sector drives the finance and policies that form the backbone of resource mobili</w:t>
      </w:r>
      <w:r w:rsidR="00EE709A" w:rsidRPr="000A37BF">
        <w:rPr>
          <w:kern w:val="22"/>
          <w:sz w:val="22"/>
          <w:szCs w:val="22"/>
          <w:lang w:val="en-GB" w:eastAsia="en-GB"/>
        </w:rPr>
        <w:t>z</w:t>
      </w:r>
      <w:r w:rsidRPr="000A37BF">
        <w:rPr>
          <w:kern w:val="22"/>
          <w:sz w:val="22"/>
          <w:szCs w:val="22"/>
          <w:lang w:val="en-GB" w:eastAsia="en-GB"/>
        </w:rPr>
        <w:t xml:space="preserve">ation for biodiversity, both in terms of ensuring a continued, predictable flow of funds for biodiversity and </w:t>
      </w:r>
      <w:r w:rsidR="00A62FF4" w:rsidRPr="000A37BF">
        <w:rPr>
          <w:kern w:val="22"/>
          <w:sz w:val="22"/>
          <w:szCs w:val="22"/>
          <w:lang w:val="en-GB" w:eastAsia="en-GB"/>
        </w:rPr>
        <w:t xml:space="preserve">in </w:t>
      </w:r>
      <w:r w:rsidRPr="000A37BF">
        <w:rPr>
          <w:kern w:val="22"/>
          <w:sz w:val="22"/>
          <w:szCs w:val="22"/>
          <w:lang w:val="en-GB" w:eastAsia="en-GB"/>
        </w:rPr>
        <w:t xml:space="preserve">creating the necessary regulatory frameworks and conditions to catalyse private sector action and investment. Government authorities at all levels – national, subnational and local </w:t>
      </w:r>
      <w:r w:rsidR="00615F86" w:rsidRPr="000A37BF">
        <w:rPr>
          <w:kern w:val="22"/>
          <w:sz w:val="22"/>
          <w:szCs w:val="22"/>
          <w:lang w:val="en-GB" w:eastAsia="en-GB"/>
        </w:rPr>
        <w:t>–</w:t>
      </w:r>
      <w:r w:rsidRPr="000A37BF">
        <w:rPr>
          <w:kern w:val="22"/>
          <w:sz w:val="22"/>
          <w:szCs w:val="22"/>
          <w:lang w:val="en-GB" w:eastAsia="en-GB"/>
        </w:rPr>
        <w:t xml:space="preserve"> play a fundamental role in resource mobili</w:t>
      </w:r>
      <w:r w:rsidR="00A14E9F" w:rsidRPr="000A37BF">
        <w:rPr>
          <w:kern w:val="22"/>
          <w:sz w:val="22"/>
          <w:szCs w:val="22"/>
          <w:lang w:val="en-GB" w:eastAsia="en-GB"/>
        </w:rPr>
        <w:t>z</w:t>
      </w:r>
      <w:r w:rsidRPr="000A37BF">
        <w:rPr>
          <w:kern w:val="22"/>
          <w:sz w:val="22"/>
          <w:szCs w:val="22"/>
          <w:lang w:val="en-GB" w:eastAsia="en-GB"/>
        </w:rPr>
        <w:t xml:space="preserve">ation. As transformative change requires a whole-of-government approach, this includes the involvement and leadership from </w:t>
      </w:r>
      <w:r w:rsidR="00615F86" w:rsidRPr="000A37BF">
        <w:rPr>
          <w:kern w:val="22"/>
          <w:sz w:val="22"/>
          <w:szCs w:val="22"/>
          <w:lang w:val="en-GB" w:eastAsia="en-GB"/>
        </w:rPr>
        <w:t>H</w:t>
      </w:r>
      <w:r w:rsidRPr="000A37BF">
        <w:rPr>
          <w:kern w:val="22"/>
          <w:sz w:val="22"/>
          <w:szCs w:val="22"/>
          <w:lang w:val="en-GB" w:eastAsia="en-GB"/>
        </w:rPr>
        <w:t xml:space="preserve">eads of </w:t>
      </w:r>
      <w:r w:rsidR="00382788" w:rsidRPr="000A37BF">
        <w:rPr>
          <w:kern w:val="22"/>
          <w:sz w:val="22"/>
          <w:szCs w:val="22"/>
          <w:lang w:val="en-GB" w:eastAsia="en-GB"/>
        </w:rPr>
        <w:t>S</w:t>
      </w:r>
      <w:r w:rsidRPr="000A37BF">
        <w:rPr>
          <w:kern w:val="22"/>
          <w:sz w:val="22"/>
          <w:szCs w:val="22"/>
          <w:lang w:val="en-GB" w:eastAsia="en-GB"/>
        </w:rPr>
        <w:t xml:space="preserve">tate as well as the ministries responsible for the environment; finance; the economy and economic development; urban and </w:t>
      </w:r>
      <w:r w:rsidRPr="000A37BF">
        <w:rPr>
          <w:kern w:val="22"/>
          <w:sz w:val="22"/>
          <w:szCs w:val="22"/>
          <w:lang w:val="en-GB" w:eastAsia="en-GB"/>
        </w:rPr>
        <w:lastRenderedPageBreak/>
        <w:t xml:space="preserve">rural planning and development; </w:t>
      </w:r>
      <w:r w:rsidR="00F758CE" w:rsidRPr="00C053AE">
        <w:rPr>
          <w:kern w:val="22"/>
          <w:sz w:val="22"/>
          <w:szCs w:val="22"/>
          <w:lang w:val="en-GB" w:eastAsia="en-GB"/>
        </w:rPr>
        <w:t>health</w:t>
      </w:r>
      <w:r w:rsidR="00BC2E35" w:rsidRPr="00C053AE">
        <w:rPr>
          <w:kern w:val="22"/>
          <w:sz w:val="22"/>
          <w:szCs w:val="22"/>
          <w:lang w:val="en-GB" w:eastAsia="en-GB"/>
        </w:rPr>
        <w:t>;</w:t>
      </w:r>
      <w:r w:rsidR="00F758CE" w:rsidRPr="00C053AE">
        <w:rPr>
          <w:kern w:val="22"/>
          <w:sz w:val="22"/>
          <w:szCs w:val="22"/>
          <w:lang w:val="en-GB" w:eastAsia="en-GB"/>
        </w:rPr>
        <w:t xml:space="preserve"> </w:t>
      </w:r>
      <w:r w:rsidRPr="000A37BF">
        <w:rPr>
          <w:kern w:val="22"/>
          <w:sz w:val="22"/>
          <w:szCs w:val="22"/>
          <w:lang w:val="en-GB" w:eastAsia="en-GB"/>
        </w:rPr>
        <w:t>agriculture, fisheries and forestry</w:t>
      </w:r>
      <w:r w:rsidR="003263EC" w:rsidRPr="000A37BF">
        <w:rPr>
          <w:kern w:val="22"/>
          <w:sz w:val="22"/>
          <w:szCs w:val="22"/>
          <w:lang w:val="en-GB" w:eastAsia="en-GB"/>
        </w:rPr>
        <w:t>;</w:t>
      </w:r>
      <w:r w:rsidRPr="000A37BF">
        <w:rPr>
          <w:kern w:val="22"/>
          <w:sz w:val="22"/>
          <w:szCs w:val="22"/>
          <w:lang w:val="en-GB" w:eastAsia="en-GB"/>
        </w:rPr>
        <w:t xml:space="preserve"> </w:t>
      </w:r>
      <w:r w:rsidR="003263EC" w:rsidRPr="000A37BF">
        <w:rPr>
          <w:kern w:val="22"/>
          <w:sz w:val="22"/>
          <w:szCs w:val="22"/>
          <w:lang w:val="en-GB" w:eastAsia="en-GB"/>
        </w:rPr>
        <w:t xml:space="preserve">and </w:t>
      </w:r>
      <w:r w:rsidRPr="000A37BF">
        <w:rPr>
          <w:kern w:val="22"/>
          <w:sz w:val="22"/>
          <w:szCs w:val="22"/>
          <w:lang w:val="en-GB" w:eastAsia="en-GB"/>
        </w:rPr>
        <w:t>energy and extractive industries, among others.</w:t>
      </w:r>
    </w:p>
    <w:p w14:paraId="670E4F25" w14:textId="5DD7D7BF"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i/>
          <w:iCs/>
          <w:kern w:val="22"/>
          <w:sz w:val="22"/>
          <w:szCs w:val="22"/>
          <w:lang w:val="en-GB" w:eastAsia="en-GB"/>
        </w:rPr>
        <w:t>The business sector</w:t>
      </w:r>
      <w:r w:rsidR="00382788" w:rsidRPr="000A37BF">
        <w:rPr>
          <w:kern w:val="22"/>
          <w:sz w:val="22"/>
          <w:szCs w:val="22"/>
          <w:lang w:val="en-GB" w:eastAsia="en-GB"/>
        </w:rPr>
        <w:t xml:space="preserve">: </w:t>
      </w:r>
      <w:r w:rsidR="00615F86" w:rsidRPr="000A37BF">
        <w:rPr>
          <w:kern w:val="22"/>
          <w:sz w:val="22"/>
          <w:szCs w:val="22"/>
          <w:lang w:val="en-GB" w:eastAsia="en-GB"/>
        </w:rPr>
        <w:t>M</w:t>
      </w:r>
      <w:r w:rsidRPr="000A37BF">
        <w:rPr>
          <w:kern w:val="22"/>
          <w:sz w:val="22"/>
          <w:szCs w:val="22"/>
          <w:lang w:val="en-GB" w:eastAsia="en-GB"/>
        </w:rPr>
        <w:t>ade up of companies and corporate organi</w:t>
      </w:r>
      <w:r w:rsidR="00EE709A" w:rsidRPr="000A37BF">
        <w:rPr>
          <w:kern w:val="22"/>
          <w:sz w:val="22"/>
          <w:szCs w:val="22"/>
          <w:lang w:val="en-GB" w:eastAsia="en-GB"/>
        </w:rPr>
        <w:t>z</w:t>
      </w:r>
      <w:r w:rsidRPr="000A37BF">
        <w:rPr>
          <w:kern w:val="22"/>
          <w:sz w:val="22"/>
          <w:szCs w:val="22"/>
          <w:lang w:val="en-GB" w:eastAsia="en-GB"/>
        </w:rPr>
        <w:t>ations that operate in the primary, secondary and tertiary sectors of the economy and have profit-making as a principal objective</w:t>
      </w:r>
      <w:r w:rsidR="00382788" w:rsidRPr="000A37BF">
        <w:rPr>
          <w:kern w:val="22"/>
          <w:sz w:val="22"/>
          <w:szCs w:val="22"/>
          <w:lang w:val="en-GB" w:eastAsia="en-GB"/>
        </w:rPr>
        <w:t>,</w:t>
      </w:r>
      <w:r w:rsidRPr="000A37BF">
        <w:rPr>
          <w:kern w:val="22"/>
          <w:sz w:val="22"/>
          <w:szCs w:val="22"/>
          <w:lang w:val="en-GB" w:eastAsia="en-GB"/>
        </w:rPr>
        <w:t xml:space="preserve"> </w:t>
      </w:r>
      <w:r w:rsidR="00382788" w:rsidRPr="000A37BF">
        <w:rPr>
          <w:kern w:val="22"/>
          <w:sz w:val="22"/>
          <w:szCs w:val="22"/>
          <w:lang w:val="en-GB" w:eastAsia="en-GB"/>
        </w:rPr>
        <w:t>t</w:t>
      </w:r>
      <w:r w:rsidRPr="000A37BF">
        <w:rPr>
          <w:kern w:val="22"/>
          <w:sz w:val="22"/>
          <w:szCs w:val="22"/>
          <w:lang w:val="en-GB" w:eastAsia="en-GB"/>
        </w:rPr>
        <w:t>he business sector may be motivated to engage with biodiversity and ecosystem services for two overarching reasons:</w:t>
      </w:r>
      <w:r w:rsidRPr="000A37BF">
        <w:rPr>
          <w:kern w:val="22"/>
          <w:sz w:val="22"/>
          <w:szCs w:val="22"/>
          <w:vertAlign w:val="superscript"/>
          <w:lang w:val="en-GB" w:eastAsia="en-GB"/>
        </w:rPr>
        <w:footnoteReference w:id="15"/>
      </w:r>
      <w:r w:rsidRPr="000A37BF">
        <w:rPr>
          <w:kern w:val="22"/>
          <w:sz w:val="22"/>
          <w:szCs w:val="22"/>
          <w:vertAlign w:val="superscript"/>
          <w:lang w:val="en-GB" w:eastAsia="en-GB"/>
        </w:rPr>
        <w:t>,</w:t>
      </w:r>
      <w:r w:rsidRPr="000A37BF">
        <w:rPr>
          <w:kern w:val="22"/>
          <w:sz w:val="22"/>
          <w:szCs w:val="22"/>
          <w:vertAlign w:val="superscript"/>
          <w:lang w:val="en-GB" w:eastAsia="en-GB"/>
        </w:rPr>
        <w:footnoteReference w:id="16"/>
      </w:r>
      <w:r w:rsidR="00382788" w:rsidRPr="000A37BF">
        <w:rPr>
          <w:kern w:val="22"/>
          <w:sz w:val="22"/>
          <w:szCs w:val="22"/>
          <w:vertAlign w:val="superscript"/>
          <w:lang w:val="en-GB" w:eastAsia="en-GB"/>
        </w:rPr>
        <w:t xml:space="preserve"> </w:t>
      </w:r>
      <w:r w:rsidR="00382788" w:rsidRPr="000A37BF">
        <w:rPr>
          <w:kern w:val="22"/>
          <w:sz w:val="22"/>
          <w:szCs w:val="22"/>
          <w:lang w:val="en-GB" w:eastAsia="en-GB"/>
        </w:rPr>
        <w:t>(</w:t>
      </w:r>
      <w:r w:rsidR="00AD502B" w:rsidRPr="000A37BF">
        <w:rPr>
          <w:kern w:val="22"/>
          <w:sz w:val="22"/>
          <w:szCs w:val="22"/>
          <w:lang w:val="en-GB" w:eastAsia="en-GB"/>
        </w:rPr>
        <w:t>a</w:t>
      </w:r>
      <w:r w:rsidRPr="000A37BF">
        <w:rPr>
          <w:kern w:val="22"/>
          <w:sz w:val="22"/>
          <w:szCs w:val="22"/>
          <w:lang w:val="en-GB" w:eastAsia="en-GB"/>
        </w:rPr>
        <w:t xml:space="preserve">) </w:t>
      </w:r>
      <w:r w:rsidR="00382788" w:rsidRPr="000A37BF">
        <w:rPr>
          <w:kern w:val="22"/>
          <w:sz w:val="22"/>
          <w:szCs w:val="22"/>
          <w:lang w:val="en-GB" w:eastAsia="en-GB"/>
        </w:rPr>
        <w:t>a</w:t>
      </w:r>
      <w:r w:rsidRPr="000A37BF">
        <w:rPr>
          <w:kern w:val="22"/>
          <w:sz w:val="22"/>
          <w:szCs w:val="22"/>
          <w:lang w:val="en-GB" w:eastAsia="en-GB"/>
        </w:rPr>
        <w:t xml:space="preserve">s a means to manage risks (including reputational, societal, legal and regulatory, financial and operational risks related to practices that are harmful to biodiversity) in the value chain and productive area; and </w:t>
      </w:r>
      <w:r w:rsidR="00382788" w:rsidRPr="000A37BF">
        <w:rPr>
          <w:kern w:val="22"/>
          <w:sz w:val="22"/>
          <w:szCs w:val="22"/>
          <w:lang w:val="en-GB" w:eastAsia="en-GB"/>
        </w:rPr>
        <w:t>(</w:t>
      </w:r>
      <w:r w:rsidR="00AD502B" w:rsidRPr="000A37BF">
        <w:rPr>
          <w:kern w:val="22"/>
          <w:sz w:val="22"/>
          <w:szCs w:val="22"/>
          <w:lang w:val="en-GB" w:eastAsia="en-GB"/>
        </w:rPr>
        <w:t>b</w:t>
      </w:r>
      <w:r w:rsidR="00382788" w:rsidRPr="000A37BF">
        <w:rPr>
          <w:kern w:val="22"/>
          <w:sz w:val="22"/>
          <w:szCs w:val="22"/>
          <w:lang w:val="en-GB" w:eastAsia="en-GB"/>
        </w:rPr>
        <w:t>)</w:t>
      </w:r>
      <w:r w:rsidRPr="000A37BF">
        <w:rPr>
          <w:kern w:val="22"/>
          <w:sz w:val="22"/>
          <w:szCs w:val="22"/>
          <w:lang w:val="en-GB" w:eastAsia="en-GB"/>
        </w:rPr>
        <w:t xml:space="preserve"> </w:t>
      </w:r>
      <w:r w:rsidR="00382788" w:rsidRPr="000A37BF">
        <w:rPr>
          <w:kern w:val="22"/>
          <w:sz w:val="22"/>
          <w:szCs w:val="22"/>
          <w:lang w:val="en-GB" w:eastAsia="en-GB"/>
        </w:rPr>
        <w:t>a</w:t>
      </w:r>
      <w:r w:rsidRPr="000A37BF">
        <w:rPr>
          <w:kern w:val="22"/>
          <w:sz w:val="22"/>
          <w:szCs w:val="22"/>
          <w:lang w:val="en-GB" w:eastAsia="en-GB"/>
        </w:rPr>
        <w:t>s a means to capitali</w:t>
      </w:r>
      <w:r w:rsidR="00A43077" w:rsidRPr="000A37BF">
        <w:rPr>
          <w:kern w:val="22"/>
          <w:sz w:val="22"/>
          <w:szCs w:val="22"/>
          <w:lang w:val="en-GB" w:eastAsia="en-GB"/>
        </w:rPr>
        <w:t>z</w:t>
      </w:r>
      <w:r w:rsidRPr="000A37BF">
        <w:rPr>
          <w:kern w:val="22"/>
          <w:sz w:val="22"/>
          <w:szCs w:val="22"/>
          <w:lang w:val="en-GB" w:eastAsia="en-GB"/>
        </w:rPr>
        <w:t xml:space="preserve">e on opportunities and generate a profit. The World Economic Forum’s </w:t>
      </w:r>
      <w:r w:rsidRPr="000A37BF">
        <w:rPr>
          <w:i/>
          <w:iCs/>
          <w:kern w:val="22"/>
          <w:sz w:val="22"/>
          <w:szCs w:val="22"/>
          <w:lang w:val="en-GB" w:eastAsia="en-GB"/>
        </w:rPr>
        <w:t>Global Risks Report</w:t>
      </w:r>
      <w:r w:rsidRPr="000A37BF">
        <w:rPr>
          <w:kern w:val="22"/>
          <w:sz w:val="22"/>
          <w:szCs w:val="22"/>
          <w:lang w:val="en-GB" w:eastAsia="en-GB"/>
        </w:rPr>
        <w:t xml:space="preserve"> for 2020</w:t>
      </w:r>
      <w:r w:rsidRPr="000A37BF">
        <w:rPr>
          <w:kern w:val="22"/>
          <w:sz w:val="22"/>
          <w:szCs w:val="22"/>
          <w:vertAlign w:val="superscript"/>
          <w:lang w:val="en-GB" w:eastAsia="en-GB"/>
        </w:rPr>
        <w:footnoteReference w:id="17"/>
      </w:r>
      <w:r w:rsidRPr="000A37BF">
        <w:rPr>
          <w:kern w:val="22"/>
          <w:sz w:val="22"/>
          <w:szCs w:val="22"/>
          <w:lang w:val="en-GB" w:eastAsia="en-GB"/>
        </w:rPr>
        <w:t xml:space="preserve"> ranked biodiversity loss and ecosystem collapse as one of the top five risks, the other four all being related to climate change. Of particular importance for biodiversity are the business sectors responsible for food and fibre production (agriculture, forestry and fisheries); energy, infrastructure and extractive sectors; transport; urban development; and tourism, among others.</w:t>
      </w:r>
      <w:r w:rsidRPr="000A37BF">
        <w:rPr>
          <w:kern w:val="22"/>
          <w:sz w:val="22"/>
          <w:szCs w:val="22"/>
          <w:vertAlign w:val="superscript"/>
          <w:lang w:val="en-GB" w:eastAsia="en-GB"/>
        </w:rPr>
        <w:footnoteReference w:id="18"/>
      </w:r>
    </w:p>
    <w:p w14:paraId="6E3B4EA2" w14:textId="03B24F5B"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i/>
          <w:iCs/>
          <w:kern w:val="22"/>
          <w:sz w:val="22"/>
          <w:szCs w:val="22"/>
          <w:lang w:val="en-GB" w:eastAsia="en-GB"/>
        </w:rPr>
        <w:t>The finance sector</w:t>
      </w:r>
      <w:r w:rsidR="00382788" w:rsidRPr="000A37BF">
        <w:rPr>
          <w:kern w:val="22"/>
          <w:sz w:val="22"/>
          <w:szCs w:val="22"/>
          <w:lang w:val="en-GB" w:eastAsia="en-GB"/>
        </w:rPr>
        <w:t xml:space="preserve">: </w:t>
      </w:r>
      <w:r w:rsidR="00156831" w:rsidRPr="000A37BF">
        <w:rPr>
          <w:kern w:val="22"/>
          <w:sz w:val="22"/>
          <w:szCs w:val="22"/>
          <w:lang w:val="en-GB" w:eastAsia="en-GB"/>
        </w:rPr>
        <w:t>P</w:t>
      </w:r>
      <w:r w:rsidRPr="000A37BF">
        <w:rPr>
          <w:kern w:val="22"/>
          <w:sz w:val="22"/>
          <w:szCs w:val="22"/>
          <w:lang w:val="en-GB" w:eastAsia="en-GB"/>
        </w:rPr>
        <w:t>rovid</w:t>
      </w:r>
      <w:r w:rsidR="00382788" w:rsidRPr="000A37BF">
        <w:rPr>
          <w:kern w:val="22"/>
          <w:sz w:val="22"/>
          <w:szCs w:val="22"/>
          <w:lang w:val="en-GB" w:eastAsia="en-GB"/>
        </w:rPr>
        <w:t>ing</w:t>
      </w:r>
      <w:r w:rsidRPr="000A37BF">
        <w:rPr>
          <w:kern w:val="22"/>
          <w:sz w:val="22"/>
          <w:szCs w:val="22"/>
          <w:lang w:val="en-GB" w:eastAsia="en-GB"/>
        </w:rPr>
        <w:t xml:space="preserve"> financial services to businesses, individuals and government</w:t>
      </w:r>
      <w:r w:rsidR="00382788" w:rsidRPr="000A37BF">
        <w:rPr>
          <w:kern w:val="22"/>
          <w:sz w:val="22"/>
          <w:szCs w:val="22"/>
          <w:lang w:val="en-GB" w:eastAsia="en-GB"/>
        </w:rPr>
        <w:t>s,</w:t>
      </w:r>
      <w:r w:rsidRPr="000A37BF">
        <w:rPr>
          <w:kern w:val="22"/>
          <w:sz w:val="22"/>
          <w:szCs w:val="22"/>
          <w:lang w:val="en-GB" w:eastAsia="en-GB"/>
        </w:rPr>
        <w:t xml:space="preserve"> </w:t>
      </w:r>
      <w:r w:rsidR="00382788" w:rsidRPr="000A37BF">
        <w:rPr>
          <w:kern w:val="22"/>
          <w:sz w:val="22"/>
          <w:szCs w:val="22"/>
          <w:lang w:val="en-GB" w:eastAsia="en-GB"/>
        </w:rPr>
        <w:t>s</w:t>
      </w:r>
      <w:r w:rsidRPr="000A37BF">
        <w:rPr>
          <w:kern w:val="22"/>
          <w:sz w:val="22"/>
          <w:szCs w:val="22"/>
          <w:lang w:val="en-GB" w:eastAsia="en-GB"/>
        </w:rPr>
        <w:t xml:space="preserve">ome key actors in the finance sector include central banks and other regulators, commercial banks, institutional investors and asset managers (including pension funds), the insurance industry, and national, regional and international development banks. As with the business sector, the finance sector is motivated to engage with biodiversity and ecosystem services for the same two overarching reasons outlined above – to manage risks, </w:t>
      </w:r>
      <w:r w:rsidR="00143E34" w:rsidRPr="00C053AE">
        <w:rPr>
          <w:kern w:val="22"/>
          <w:sz w:val="22"/>
          <w:szCs w:val="22"/>
          <w:lang w:val="en-GB" w:eastAsia="en-GB"/>
        </w:rPr>
        <w:t>and</w:t>
      </w:r>
      <w:r w:rsidRPr="000A37BF">
        <w:rPr>
          <w:kern w:val="22"/>
          <w:sz w:val="22"/>
          <w:szCs w:val="22"/>
          <w:lang w:val="en-GB" w:eastAsia="en-GB"/>
        </w:rPr>
        <w:t xml:space="preserve"> to generate profit.</w:t>
      </w:r>
      <w:r w:rsidRPr="000A37BF">
        <w:rPr>
          <w:kern w:val="22"/>
          <w:sz w:val="22"/>
          <w:szCs w:val="22"/>
          <w:vertAlign w:val="superscript"/>
          <w:lang w:val="en-GB" w:eastAsia="en-GB"/>
        </w:rPr>
        <w:footnoteReference w:id="19"/>
      </w:r>
      <w:r w:rsidRPr="000A37BF">
        <w:rPr>
          <w:kern w:val="22"/>
          <w:sz w:val="22"/>
          <w:szCs w:val="22"/>
          <w:vertAlign w:val="superscript"/>
          <w:lang w:val="en-GB" w:eastAsia="en-GB"/>
        </w:rPr>
        <w:t>,</w:t>
      </w:r>
      <w:r w:rsidRPr="000A37BF">
        <w:rPr>
          <w:kern w:val="22"/>
          <w:sz w:val="22"/>
          <w:szCs w:val="22"/>
          <w:vertAlign w:val="superscript"/>
          <w:lang w:val="en-GB" w:eastAsia="en-GB"/>
        </w:rPr>
        <w:footnoteReference w:id="20"/>
      </w:r>
      <w:r w:rsidR="00F758CE" w:rsidRPr="00C053AE">
        <w:rPr>
          <w:kern w:val="22"/>
          <w:sz w:val="22"/>
          <w:szCs w:val="22"/>
          <w:lang w:val="en-GB" w:eastAsia="en-GB"/>
        </w:rPr>
        <w:t xml:space="preserve"> </w:t>
      </w:r>
      <w:r w:rsidR="00143E34" w:rsidRPr="00C053AE">
        <w:rPr>
          <w:kern w:val="22"/>
          <w:sz w:val="22"/>
          <w:szCs w:val="22"/>
          <w:lang w:val="en-GB" w:eastAsia="en-GB"/>
        </w:rPr>
        <w:t xml:space="preserve">In the case of central banks and other regulators, macroeconomic risks must be managed, and the profit and risk of the financial entities that are regulated </w:t>
      </w:r>
      <w:r w:rsidR="00E31667" w:rsidRPr="00C053AE">
        <w:rPr>
          <w:kern w:val="22"/>
          <w:sz w:val="22"/>
          <w:szCs w:val="22"/>
          <w:lang w:val="en-GB" w:eastAsia="en-GB"/>
        </w:rPr>
        <w:t>are</w:t>
      </w:r>
      <w:r w:rsidR="00143E34" w:rsidRPr="00C053AE">
        <w:rPr>
          <w:kern w:val="22"/>
          <w:sz w:val="22"/>
          <w:szCs w:val="22"/>
          <w:lang w:val="en-GB" w:eastAsia="en-GB"/>
        </w:rPr>
        <w:t xml:space="preserve"> a primary concern.</w:t>
      </w:r>
    </w:p>
    <w:p w14:paraId="64E99366" w14:textId="6A9B1598" w:rsidR="008E78D2" w:rsidRPr="000A37BF" w:rsidRDefault="00582E7A"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 xml:space="preserve">The key actors with a role to play in mobilizing </w:t>
      </w:r>
      <w:r w:rsidRPr="000A37BF">
        <w:rPr>
          <w:i/>
          <w:iCs/>
          <w:kern w:val="22"/>
          <w:sz w:val="22"/>
          <w:szCs w:val="22"/>
          <w:lang w:val="en-GB" w:eastAsia="en-GB"/>
        </w:rPr>
        <w:t>international development finance</w:t>
      </w:r>
      <w:r w:rsidRPr="000A37BF">
        <w:rPr>
          <w:kern w:val="22"/>
          <w:sz w:val="22"/>
          <w:szCs w:val="22"/>
          <w:lang w:val="en-GB" w:eastAsia="en-GB"/>
        </w:rPr>
        <w:t xml:space="preserve"> include government ministries, development agencies, development banks, philanthropic foundations, and private finance mobilized by public development finance</w:t>
      </w:r>
      <w:r w:rsidR="00143E34" w:rsidRPr="00C053AE">
        <w:rPr>
          <w:kern w:val="22"/>
          <w:sz w:val="22"/>
          <w:szCs w:val="22"/>
          <w:lang w:val="en-GB" w:eastAsia="en-GB"/>
        </w:rPr>
        <w:t>, as well as civil society</w:t>
      </w:r>
      <w:r w:rsidRPr="000A37BF">
        <w:rPr>
          <w:kern w:val="22"/>
          <w:sz w:val="22"/>
          <w:szCs w:val="22"/>
          <w:lang w:val="en-GB" w:eastAsia="en-GB"/>
        </w:rPr>
        <w:t xml:space="preserve">. </w:t>
      </w:r>
      <w:r w:rsidR="009C18A0" w:rsidRPr="000A37BF">
        <w:rPr>
          <w:kern w:val="22"/>
          <w:sz w:val="22"/>
          <w:szCs w:val="22"/>
          <w:lang w:val="en-GB" w:eastAsia="en-GB"/>
        </w:rPr>
        <w:t xml:space="preserve">International development finance, both bilateral and multilateral (e.g. the </w:t>
      </w:r>
      <w:r w:rsidR="0055605D" w:rsidRPr="000A37BF">
        <w:rPr>
          <w:kern w:val="22"/>
          <w:sz w:val="22"/>
          <w:szCs w:val="22"/>
          <w:lang w:val="en-GB" w:eastAsia="en-GB"/>
        </w:rPr>
        <w:t>Global Environment Facility</w:t>
      </w:r>
      <w:r w:rsidR="009C18A0" w:rsidRPr="000A37BF">
        <w:rPr>
          <w:kern w:val="22"/>
          <w:sz w:val="22"/>
          <w:szCs w:val="22"/>
          <w:lang w:val="en-GB" w:eastAsia="en-GB"/>
        </w:rPr>
        <w:t>), includes flows of official development assistance (ODA)</w:t>
      </w:r>
      <w:r w:rsidR="00F770E8" w:rsidRPr="000A37BF">
        <w:rPr>
          <w:kern w:val="22"/>
          <w:sz w:val="22"/>
          <w:szCs w:val="22"/>
          <w:lang w:val="en-GB" w:eastAsia="en-GB"/>
        </w:rPr>
        <w:t>,</w:t>
      </w:r>
      <w:r w:rsidR="009C18A0" w:rsidRPr="000A37BF">
        <w:rPr>
          <w:kern w:val="22"/>
          <w:sz w:val="22"/>
          <w:szCs w:val="22"/>
          <w:lang w:val="en-GB" w:eastAsia="en-GB"/>
        </w:rPr>
        <w:t xml:space="preserve"> other official flows (OOF)</w:t>
      </w:r>
      <w:r w:rsidR="00F770E8" w:rsidRPr="000A37BF">
        <w:rPr>
          <w:kern w:val="22"/>
          <w:sz w:val="22"/>
          <w:szCs w:val="22"/>
          <w:lang w:val="en-GB" w:eastAsia="en-GB"/>
        </w:rPr>
        <w:t xml:space="preserve"> and</w:t>
      </w:r>
      <w:r w:rsidR="009C18A0" w:rsidRPr="000A37BF">
        <w:rPr>
          <w:kern w:val="22"/>
          <w:sz w:val="22"/>
          <w:szCs w:val="22"/>
          <w:lang w:val="en-GB" w:eastAsia="en-GB"/>
        </w:rPr>
        <w:t xml:space="preserve"> South-South cooperation (SSC)</w:t>
      </w:r>
      <w:r w:rsidR="00615F86" w:rsidRPr="000A37BF">
        <w:rPr>
          <w:kern w:val="22"/>
          <w:sz w:val="22"/>
          <w:szCs w:val="22"/>
          <w:lang w:val="en-GB" w:eastAsia="en-GB"/>
        </w:rPr>
        <w:t>.</w:t>
      </w:r>
      <w:r w:rsidR="009C18A0" w:rsidRPr="000A37BF">
        <w:rPr>
          <w:kern w:val="22"/>
          <w:sz w:val="22"/>
          <w:szCs w:val="22"/>
          <w:vertAlign w:val="superscript"/>
          <w:lang w:val="en-GB" w:eastAsia="en-GB"/>
        </w:rPr>
        <w:footnoteReference w:id="21"/>
      </w:r>
    </w:p>
    <w:p w14:paraId="60354C0B" w14:textId="6590E3EB" w:rsidR="009C18A0" w:rsidRPr="000A37BF" w:rsidRDefault="008C2E52" w:rsidP="000A37BF">
      <w:pPr>
        <w:pStyle w:val="HEADINGNOTFORTOC"/>
        <w:suppressLineNumbers/>
        <w:tabs>
          <w:tab w:val="clear" w:pos="720"/>
        </w:tabs>
        <w:suppressAutoHyphens/>
        <w:adjustRightInd w:val="0"/>
        <w:snapToGrid w:val="0"/>
        <w:spacing w:before="0" w:after="0"/>
        <w:ind w:left="1134" w:hanging="567"/>
        <w:jc w:val="left"/>
        <w:rPr>
          <w:kern w:val="22"/>
          <w:sz w:val="22"/>
          <w:szCs w:val="22"/>
          <w:lang w:val="en-GB" w:eastAsia="en-GB"/>
        </w:rPr>
      </w:pPr>
      <w:r w:rsidRPr="000A37BF">
        <w:rPr>
          <w:kern w:val="22"/>
          <w:sz w:val="22"/>
          <w:szCs w:val="22"/>
          <w:lang w:val="en-GB" w:eastAsia="en-GB"/>
        </w:rPr>
        <w:t>III.</w:t>
      </w:r>
      <w:r w:rsidRPr="000A37BF">
        <w:rPr>
          <w:kern w:val="22"/>
          <w:sz w:val="22"/>
          <w:szCs w:val="22"/>
          <w:lang w:val="en-GB" w:eastAsia="en-GB"/>
        </w:rPr>
        <w:tab/>
      </w:r>
      <w:r w:rsidR="009C18A0" w:rsidRPr="000A37BF">
        <w:rPr>
          <w:kern w:val="22"/>
          <w:sz w:val="22"/>
          <w:szCs w:val="22"/>
          <w:lang w:val="en-GB" w:eastAsia="en-GB"/>
        </w:rPr>
        <w:t xml:space="preserve">Resource </w:t>
      </w:r>
      <w:r w:rsidR="008D6949" w:rsidRPr="000A37BF">
        <w:rPr>
          <w:kern w:val="22"/>
          <w:sz w:val="22"/>
          <w:szCs w:val="22"/>
          <w:lang w:val="en-GB" w:eastAsia="en-GB"/>
        </w:rPr>
        <w:t>m</w:t>
      </w:r>
      <w:r w:rsidR="009C18A0" w:rsidRPr="000A37BF">
        <w:rPr>
          <w:kern w:val="22"/>
          <w:sz w:val="22"/>
          <w:szCs w:val="22"/>
          <w:lang w:val="en-GB" w:eastAsia="en-GB"/>
        </w:rPr>
        <w:t>obili</w:t>
      </w:r>
      <w:r w:rsidR="00EE709A" w:rsidRPr="000A37BF">
        <w:rPr>
          <w:kern w:val="22"/>
          <w:sz w:val="22"/>
          <w:szCs w:val="22"/>
          <w:lang w:val="en-GB" w:eastAsia="en-GB"/>
        </w:rPr>
        <w:t>z</w:t>
      </w:r>
      <w:r w:rsidR="009C18A0" w:rsidRPr="000A37BF">
        <w:rPr>
          <w:kern w:val="22"/>
          <w:sz w:val="22"/>
          <w:szCs w:val="22"/>
          <w:lang w:val="en-GB" w:eastAsia="en-GB"/>
        </w:rPr>
        <w:t xml:space="preserve">ation </w:t>
      </w:r>
      <w:r w:rsidR="008D6949" w:rsidRPr="000A37BF">
        <w:rPr>
          <w:kern w:val="22"/>
          <w:sz w:val="22"/>
          <w:szCs w:val="22"/>
          <w:lang w:val="en-GB" w:eastAsia="en-GB"/>
        </w:rPr>
        <w:t>c</w:t>
      </w:r>
      <w:r w:rsidR="009C18A0" w:rsidRPr="000A37BF">
        <w:rPr>
          <w:kern w:val="22"/>
          <w:sz w:val="22"/>
          <w:szCs w:val="22"/>
          <w:lang w:val="en-GB" w:eastAsia="en-GB"/>
        </w:rPr>
        <w:t>omponent I: Reduc</w:t>
      </w:r>
      <w:r w:rsidR="009306A5" w:rsidRPr="00C053AE">
        <w:rPr>
          <w:kern w:val="22"/>
          <w:sz w:val="22"/>
          <w:szCs w:val="22"/>
          <w:lang w:val="en-GB" w:eastAsia="en-GB"/>
        </w:rPr>
        <w:t>e</w:t>
      </w:r>
      <w:r w:rsidR="009C18A0" w:rsidRPr="000A37BF">
        <w:rPr>
          <w:kern w:val="22"/>
          <w:sz w:val="22"/>
          <w:szCs w:val="22"/>
          <w:lang w:val="en-GB" w:eastAsia="en-GB"/>
        </w:rPr>
        <w:t xml:space="preserve"> or redirect resources causing harm to biodiversity</w:t>
      </w:r>
    </w:p>
    <w:p w14:paraId="72656B62" w14:textId="14F01F7F" w:rsidR="001E5F73" w:rsidRPr="000A37BF" w:rsidRDefault="001E5F73"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 xml:space="preserve">Key actions to be taken in order to achieve this component of resource mobilization are </w:t>
      </w:r>
      <w:r w:rsidR="003B6925" w:rsidRPr="000A37BF">
        <w:rPr>
          <w:kern w:val="22"/>
          <w:sz w:val="22"/>
          <w:szCs w:val="22"/>
          <w:lang w:val="en-GB" w:eastAsia="en-GB"/>
        </w:rPr>
        <w:t xml:space="preserve">recommended </w:t>
      </w:r>
      <w:r w:rsidRPr="000A37BF">
        <w:rPr>
          <w:kern w:val="22"/>
          <w:sz w:val="22"/>
          <w:szCs w:val="22"/>
          <w:lang w:val="en-GB" w:eastAsia="en-GB"/>
        </w:rPr>
        <w:t>in the paragraphs that follow.</w:t>
      </w:r>
    </w:p>
    <w:p w14:paraId="77B33B27" w14:textId="4A7C7983" w:rsidR="009C18A0" w:rsidRPr="000A37BF" w:rsidRDefault="00E50C94"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b/>
          <w:bCs/>
          <w:kern w:val="22"/>
          <w:sz w:val="22"/>
          <w:szCs w:val="22"/>
          <w:lang w:val="en-GB"/>
        </w:rPr>
        <w:t xml:space="preserve">Review </w:t>
      </w:r>
      <w:r w:rsidR="001E09C9" w:rsidRPr="000A37BF">
        <w:rPr>
          <w:b/>
          <w:bCs/>
          <w:kern w:val="22"/>
          <w:sz w:val="22"/>
          <w:szCs w:val="22"/>
          <w:lang w:val="en-GB"/>
        </w:rPr>
        <w:t>government budgets</w:t>
      </w:r>
      <w:r w:rsidRPr="000A37BF">
        <w:rPr>
          <w:b/>
          <w:bCs/>
          <w:kern w:val="22"/>
          <w:sz w:val="22"/>
          <w:szCs w:val="22"/>
          <w:lang w:val="en-GB"/>
        </w:rPr>
        <w:t>,</w:t>
      </w:r>
      <w:r w:rsidR="001E09C9" w:rsidRPr="000A37BF">
        <w:rPr>
          <w:b/>
          <w:bCs/>
          <w:kern w:val="22"/>
          <w:sz w:val="22"/>
          <w:szCs w:val="22"/>
          <w:lang w:val="en-GB"/>
        </w:rPr>
        <w:t xml:space="preserve"> in all sectors and at all levels</w:t>
      </w:r>
      <w:r w:rsidRPr="000A37BF">
        <w:rPr>
          <w:b/>
          <w:bCs/>
          <w:kern w:val="22"/>
          <w:sz w:val="22"/>
          <w:szCs w:val="22"/>
          <w:lang w:val="en-GB"/>
        </w:rPr>
        <w:t xml:space="preserve">, with a view to </w:t>
      </w:r>
      <w:r w:rsidR="001E09C9" w:rsidRPr="000A37BF">
        <w:rPr>
          <w:b/>
          <w:bCs/>
          <w:sz w:val="22"/>
          <w:szCs w:val="22"/>
          <w:lang w:val="en-GB"/>
        </w:rPr>
        <w:t>caus</w:t>
      </w:r>
      <w:r w:rsidR="00BC2E35" w:rsidRPr="000A37BF">
        <w:rPr>
          <w:b/>
          <w:bCs/>
          <w:kern w:val="22"/>
          <w:sz w:val="22"/>
          <w:szCs w:val="22"/>
          <w:lang w:val="en-GB"/>
        </w:rPr>
        <w:t>ing</w:t>
      </w:r>
      <w:r w:rsidR="001E09C9" w:rsidRPr="000A37BF">
        <w:rPr>
          <w:b/>
          <w:bCs/>
          <w:sz w:val="22"/>
          <w:szCs w:val="22"/>
          <w:lang w:val="en-GB"/>
        </w:rPr>
        <w:t xml:space="preserve"> </w:t>
      </w:r>
      <w:r w:rsidR="005B14A7" w:rsidRPr="000A37BF">
        <w:rPr>
          <w:b/>
          <w:bCs/>
          <w:kern w:val="22"/>
          <w:sz w:val="22"/>
          <w:szCs w:val="22"/>
          <w:lang w:val="en-GB"/>
        </w:rPr>
        <w:t xml:space="preserve">at least </w:t>
      </w:r>
      <w:r w:rsidR="001E09C9" w:rsidRPr="000A37BF">
        <w:rPr>
          <w:b/>
          <w:bCs/>
          <w:kern w:val="22"/>
          <w:sz w:val="22"/>
          <w:szCs w:val="22"/>
          <w:lang w:val="en-GB"/>
        </w:rPr>
        <w:t>no net harm to biodiversity</w:t>
      </w:r>
      <w:r w:rsidR="00150EEC" w:rsidRPr="000A37BF">
        <w:rPr>
          <w:b/>
          <w:bCs/>
          <w:kern w:val="22"/>
          <w:sz w:val="22"/>
          <w:szCs w:val="22"/>
          <w:lang w:val="en-GB"/>
        </w:rPr>
        <w:t>:</w:t>
      </w:r>
    </w:p>
    <w:p w14:paraId="4A66A099" w14:textId="244E8051" w:rsidR="00975963" w:rsidRPr="000A37BF" w:rsidRDefault="00975963"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9C18A0" w:rsidRPr="000A37BF">
        <w:rPr>
          <w:kern w:val="22"/>
          <w:sz w:val="22"/>
          <w:szCs w:val="22"/>
          <w:lang w:val="en-GB" w:eastAsia="en-GB"/>
        </w:rPr>
        <w:t xml:space="preserve">Safeguards should be put in place to ensure that government budgets at all levels (national, subnational and local) and in all sectors, result in at least no net harm to biodiversity. As government budgets are formulated based on government policies and plans, ensuring </w:t>
      </w:r>
      <w:r w:rsidR="00F96748" w:rsidRPr="000A37BF">
        <w:rPr>
          <w:kern w:val="22"/>
          <w:sz w:val="22"/>
          <w:szCs w:val="22"/>
          <w:lang w:val="en-GB" w:eastAsia="en-GB"/>
        </w:rPr>
        <w:t xml:space="preserve">that </w:t>
      </w:r>
      <w:r w:rsidR="009C18A0" w:rsidRPr="000A37BF">
        <w:rPr>
          <w:kern w:val="22"/>
          <w:sz w:val="22"/>
          <w:szCs w:val="22"/>
          <w:lang w:val="en-GB" w:eastAsia="en-GB"/>
        </w:rPr>
        <w:t xml:space="preserve">government budgets result in no net </w:t>
      </w:r>
      <w:r w:rsidR="009C18A0" w:rsidRPr="000A37BF">
        <w:rPr>
          <w:kern w:val="22"/>
          <w:sz w:val="22"/>
          <w:szCs w:val="22"/>
          <w:lang w:val="en-GB" w:eastAsia="en-GB"/>
        </w:rPr>
        <w:lastRenderedPageBreak/>
        <w:t>harm to biodiversity is strongly connected to and reliant on the broader approach of mainstreaming biodiversity across government and its policies</w:t>
      </w:r>
      <w:r w:rsidRPr="000A37BF">
        <w:rPr>
          <w:kern w:val="22"/>
          <w:sz w:val="22"/>
          <w:szCs w:val="22"/>
          <w:lang w:val="en-GB" w:eastAsia="en-GB"/>
        </w:rPr>
        <w:t>;</w:t>
      </w:r>
      <w:r w:rsidR="009C18A0" w:rsidRPr="000A37BF">
        <w:rPr>
          <w:kern w:val="22"/>
          <w:sz w:val="22"/>
          <w:szCs w:val="22"/>
          <w:vertAlign w:val="superscript"/>
          <w:lang w:val="en-GB" w:eastAsia="en-GB"/>
        </w:rPr>
        <w:footnoteReference w:id="22"/>
      </w:r>
    </w:p>
    <w:p w14:paraId="31F13C5B" w14:textId="729D6237" w:rsidR="009C18A0" w:rsidRPr="000A37BF" w:rsidRDefault="00975963"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(b)</w:t>
      </w:r>
      <w:r w:rsidRPr="000A37BF">
        <w:rPr>
          <w:kern w:val="22"/>
          <w:sz w:val="22"/>
          <w:szCs w:val="22"/>
          <w:lang w:val="en-GB" w:eastAsia="en-GB"/>
        </w:rPr>
        <w:tab/>
        <w:t>S</w:t>
      </w:r>
      <w:r w:rsidR="009C18A0" w:rsidRPr="000A37BF">
        <w:rPr>
          <w:kern w:val="22"/>
          <w:sz w:val="22"/>
          <w:szCs w:val="22"/>
          <w:lang w:val="en-GB" w:eastAsia="en-GB"/>
        </w:rPr>
        <w:t>afeguards should be applied to government budgets related to finance; economics and trade; planning; poverty alleviation and related sectors; health; primary production; research, innovation and technology; and climate change, among others</w:t>
      </w:r>
      <w:r w:rsidRPr="000A37BF">
        <w:rPr>
          <w:kern w:val="22"/>
          <w:sz w:val="22"/>
          <w:szCs w:val="22"/>
          <w:lang w:val="en-GB" w:eastAsia="en-GB"/>
        </w:rPr>
        <w:t>, and should also ensure</w:t>
      </w:r>
      <w:r w:rsidR="009C18A0" w:rsidRPr="000A37BF">
        <w:rPr>
          <w:kern w:val="22"/>
          <w:sz w:val="22"/>
          <w:szCs w:val="22"/>
          <w:lang w:val="en-GB" w:eastAsia="en-GB"/>
        </w:rPr>
        <w:t xml:space="preserve"> that government procurement practices take biodiversity into account.</w:t>
      </w:r>
    </w:p>
    <w:p w14:paraId="2F0B2117" w14:textId="6167C8CF"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b/>
          <w:bCs/>
          <w:kern w:val="22"/>
          <w:sz w:val="22"/>
          <w:szCs w:val="22"/>
          <w:lang w:val="en-GB" w:eastAsia="en-GB"/>
        </w:rPr>
        <w:t>Eliminate or reform incentives, including subsidies, that are harmful to biodiversity; develop and scale up disincentives for actions that are harmful to biodiversity; and develop and scale up incentives to encourage biodiversity-positive actions</w:t>
      </w:r>
      <w:r w:rsidR="00B857B3" w:rsidRPr="000A37BF">
        <w:rPr>
          <w:b/>
          <w:bCs/>
          <w:kern w:val="22"/>
          <w:sz w:val="22"/>
          <w:szCs w:val="22"/>
          <w:lang w:val="en-GB" w:eastAsia="en-GB"/>
        </w:rPr>
        <w:t xml:space="preserve">. </w:t>
      </w:r>
      <w:r w:rsidRPr="000A37BF">
        <w:rPr>
          <w:kern w:val="22"/>
          <w:sz w:val="22"/>
          <w:szCs w:val="22"/>
          <w:lang w:val="en-GB" w:eastAsia="en-GB"/>
        </w:rPr>
        <w:t>Economic incentives, disincentives and perverse incentives have profound impact on the economy, affecting economic decision-making at a local, national and global scale.</w:t>
      </w:r>
      <w:r w:rsidRPr="000A37BF">
        <w:rPr>
          <w:kern w:val="22"/>
          <w:sz w:val="22"/>
          <w:szCs w:val="22"/>
          <w:vertAlign w:val="superscript"/>
          <w:lang w:val="en-GB" w:eastAsia="en-GB"/>
        </w:rPr>
        <w:footnoteReference w:id="23"/>
      </w:r>
      <w:r w:rsidR="00150EEC" w:rsidRPr="000A37BF">
        <w:rPr>
          <w:kern w:val="22"/>
          <w:sz w:val="22"/>
          <w:szCs w:val="22"/>
          <w:lang w:val="en-GB" w:eastAsia="en-GB"/>
        </w:rPr>
        <w:t xml:space="preserve"> </w:t>
      </w:r>
      <w:r w:rsidR="00F96748" w:rsidRPr="000A37BF">
        <w:rPr>
          <w:kern w:val="22"/>
          <w:sz w:val="22"/>
          <w:szCs w:val="22"/>
          <w:lang w:val="en-GB" w:eastAsia="en-GB"/>
        </w:rPr>
        <w:t>Thus:</w:t>
      </w:r>
    </w:p>
    <w:p w14:paraId="201743B6" w14:textId="658F9499" w:rsidR="009C18A0" w:rsidRPr="000A37BF" w:rsidRDefault="00FF250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9C18A0" w:rsidRPr="000A37BF">
        <w:rPr>
          <w:kern w:val="22"/>
          <w:sz w:val="22"/>
          <w:szCs w:val="22"/>
          <w:lang w:val="en-GB" w:eastAsia="en-GB"/>
        </w:rPr>
        <w:t xml:space="preserve">Governments should work to eliminate or reform incentives, including subsidies and taxes, that are harmful to biodiversity, taking into account national socioeconomic conditions. Public economic and regulatory incentives, including subsidies, should be either positive or neutral for biodiversity, and should be aligned with the goals of the </w:t>
      </w:r>
      <w:r w:rsidR="00B34AE4" w:rsidRPr="000A37BF">
        <w:rPr>
          <w:kern w:val="22"/>
          <w:sz w:val="22"/>
          <w:szCs w:val="22"/>
          <w:lang w:val="en-GB" w:eastAsia="en-GB"/>
        </w:rPr>
        <w:t>Convention</w:t>
      </w:r>
      <w:r w:rsidR="009C18A0" w:rsidRPr="000A37BF">
        <w:rPr>
          <w:kern w:val="22"/>
          <w:sz w:val="22"/>
          <w:szCs w:val="22"/>
          <w:lang w:val="en-GB" w:eastAsia="en-GB"/>
        </w:rPr>
        <w:t xml:space="preserve"> as well as the </w:t>
      </w:r>
      <w:r w:rsidR="00B34AE4" w:rsidRPr="000A37BF">
        <w:rPr>
          <w:kern w:val="22"/>
          <w:sz w:val="22"/>
          <w:szCs w:val="22"/>
          <w:lang w:val="en-GB" w:eastAsia="en-GB"/>
        </w:rPr>
        <w:t>Sustainable Development Goals</w:t>
      </w:r>
      <w:r w:rsidR="009C18A0" w:rsidRPr="000A37BF">
        <w:rPr>
          <w:kern w:val="22"/>
          <w:sz w:val="22"/>
          <w:szCs w:val="22"/>
          <w:lang w:val="en-GB" w:eastAsia="en-GB"/>
        </w:rPr>
        <w:t>. This will require the identification and assessment of incentives harmful to biodiversity, particularly within, but not limited to, agriculture</w:t>
      </w:r>
      <w:r w:rsidR="00B34AE4" w:rsidRPr="000A37BF">
        <w:rPr>
          <w:kern w:val="22"/>
          <w:sz w:val="22"/>
          <w:szCs w:val="22"/>
          <w:lang w:val="en-GB" w:eastAsia="en-GB"/>
        </w:rPr>
        <w:t>,</w:t>
      </w:r>
      <w:r w:rsidR="009C18A0" w:rsidRPr="000A37BF">
        <w:rPr>
          <w:kern w:val="22"/>
          <w:sz w:val="22"/>
          <w:szCs w:val="22"/>
          <w:lang w:val="en-GB" w:eastAsia="en-GB"/>
        </w:rPr>
        <w:t xml:space="preserve"> fisheries</w:t>
      </w:r>
      <w:r w:rsidR="00B34AE4" w:rsidRPr="000A37BF">
        <w:rPr>
          <w:kern w:val="22"/>
          <w:sz w:val="22"/>
          <w:szCs w:val="22"/>
          <w:lang w:val="en-GB" w:eastAsia="en-GB"/>
        </w:rPr>
        <w:t>,</w:t>
      </w:r>
      <w:r w:rsidR="009C18A0" w:rsidRPr="000A37BF">
        <w:rPr>
          <w:kern w:val="22"/>
          <w:sz w:val="22"/>
          <w:szCs w:val="22"/>
          <w:lang w:val="en-GB" w:eastAsia="en-GB"/>
        </w:rPr>
        <w:t xml:space="preserve"> forestry</w:t>
      </w:r>
      <w:r w:rsidR="00B34AE4" w:rsidRPr="000A37BF">
        <w:rPr>
          <w:kern w:val="22"/>
          <w:sz w:val="22"/>
          <w:szCs w:val="22"/>
          <w:lang w:val="en-GB" w:eastAsia="en-GB"/>
        </w:rPr>
        <w:t>,</w:t>
      </w:r>
      <w:r w:rsidR="009C18A0" w:rsidRPr="000A37BF">
        <w:rPr>
          <w:kern w:val="22"/>
          <w:sz w:val="22"/>
          <w:szCs w:val="22"/>
          <w:lang w:val="en-GB" w:eastAsia="en-GB"/>
        </w:rPr>
        <w:t xml:space="preserve"> tourism</w:t>
      </w:r>
      <w:r w:rsidR="00B34AE4" w:rsidRPr="000A37BF">
        <w:rPr>
          <w:kern w:val="22"/>
          <w:sz w:val="22"/>
          <w:szCs w:val="22"/>
          <w:lang w:val="en-GB" w:eastAsia="en-GB"/>
        </w:rPr>
        <w:t>,</w:t>
      </w:r>
      <w:r w:rsidR="009C18A0" w:rsidRPr="000A37BF">
        <w:rPr>
          <w:kern w:val="22"/>
          <w:sz w:val="22"/>
          <w:szCs w:val="22"/>
          <w:lang w:val="en-GB" w:eastAsia="en-GB"/>
        </w:rPr>
        <w:t xml:space="preserve"> infrastructure</w:t>
      </w:r>
      <w:r w:rsidR="00B34AE4" w:rsidRPr="000A37BF">
        <w:rPr>
          <w:kern w:val="22"/>
          <w:sz w:val="22"/>
          <w:szCs w:val="22"/>
          <w:lang w:val="en-GB" w:eastAsia="en-GB"/>
        </w:rPr>
        <w:t>,</w:t>
      </w:r>
      <w:r w:rsidR="009C18A0" w:rsidRPr="000A37BF">
        <w:rPr>
          <w:kern w:val="22"/>
          <w:sz w:val="22"/>
          <w:szCs w:val="22"/>
          <w:lang w:val="en-GB" w:eastAsia="en-GB"/>
        </w:rPr>
        <w:t xml:space="preserve"> </w:t>
      </w:r>
      <w:r w:rsidR="00E26B8B" w:rsidRPr="000A37BF">
        <w:rPr>
          <w:kern w:val="22"/>
          <w:sz w:val="22"/>
          <w:szCs w:val="22"/>
          <w:lang w:val="en-GB" w:eastAsia="en-GB"/>
        </w:rPr>
        <w:t xml:space="preserve">and </w:t>
      </w:r>
      <w:r w:rsidR="009C18A0" w:rsidRPr="000A37BF">
        <w:rPr>
          <w:kern w:val="22"/>
          <w:sz w:val="22"/>
          <w:szCs w:val="22"/>
          <w:lang w:val="en-GB" w:eastAsia="en-GB"/>
        </w:rPr>
        <w:t>energy and extractive industries</w:t>
      </w:r>
      <w:r w:rsidR="00854A77" w:rsidRPr="000A37BF">
        <w:rPr>
          <w:kern w:val="22"/>
          <w:sz w:val="22"/>
          <w:szCs w:val="22"/>
          <w:lang w:val="en-GB" w:eastAsia="en-GB"/>
        </w:rPr>
        <w:t>;</w:t>
      </w:r>
    </w:p>
    <w:p w14:paraId="378D5DB5" w14:textId="51D4691F" w:rsidR="009C18A0" w:rsidRPr="000A37BF" w:rsidRDefault="00FF250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(b)</w:t>
      </w:r>
      <w:r w:rsidRPr="000A37BF">
        <w:rPr>
          <w:kern w:val="22"/>
          <w:sz w:val="22"/>
          <w:szCs w:val="22"/>
          <w:lang w:val="en-GB" w:eastAsia="en-GB"/>
        </w:rPr>
        <w:tab/>
      </w:r>
      <w:r w:rsidR="009C18A0" w:rsidRPr="000A37BF">
        <w:rPr>
          <w:kern w:val="22"/>
          <w:sz w:val="22"/>
          <w:szCs w:val="22"/>
          <w:lang w:val="en-GB" w:eastAsia="en-GB"/>
        </w:rPr>
        <w:t>Governments should develop, scale up and improve the performance of appropriate economic disincentives, including taxes and fines, to deter actions that are harmful to biodiversity. This will help to internali</w:t>
      </w:r>
      <w:r w:rsidR="00A43077" w:rsidRPr="000A37BF">
        <w:rPr>
          <w:kern w:val="22"/>
          <w:sz w:val="22"/>
          <w:szCs w:val="22"/>
          <w:lang w:val="en-GB" w:eastAsia="en-GB"/>
        </w:rPr>
        <w:t>z</w:t>
      </w:r>
      <w:r w:rsidR="009C18A0" w:rsidRPr="000A37BF">
        <w:rPr>
          <w:kern w:val="22"/>
          <w:sz w:val="22"/>
          <w:szCs w:val="22"/>
          <w:lang w:val="en-GB" w:eastAsia="en-GB"/>
        </w:rPr>
        <w:t>e real biodiversity costs in value chains and reflect them in the price of services, commodities and consumer products, and thus prevent further loss of biodiversity and ecosystems</w:t>
      </w:r>
      <w:r w:rsidR="00854A77" w:rsidRPr="000A37BF">
        <w:rPr>
          <w:kern w:val="22"/>
          <w:sz w:val="22"/>
          <w:szCs w:val="22"/>
          <w:lang w:val="en-GB" w:eastAsia="en-GB"/>
        </w:rPr>
        <w:t>;</w:t>
      </w:r>
    </w:p>
    <w:p w14:paraId="4550B242" w14:textId="5CD1AA51" w:rsidR="009C18A0" w:rsidRPr="000A37BF" w:rsidRDefault="00FF250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854A77" w:rsidRPr="000A37BF">
        <w:rPr>
          <w:kern w:val="22"/>
          <w:sz w:val="22"/>
          <w:szCs w:val="22"/>
          <w:lang w:val="en-GB" w:eastAsia="en-GB"/>
        </w:rPr>
        <w:t>c)</w:t>
      </w:r>
      <w:r w:rsidR="00854A77" w:rsidRPr="000A37BF">
        <w:rPr>
          <w:kern w:val="22"/>
          <w:sz w:val="22"/>
          <w:szCs w:val="22"/>
          <w:lang w:val="en-GB" w:eastAsia="en-GB"/>
        </w:rPr>
        <w:tab/>
      </w:r>
      <w:r w:rsidR="009C18A0" w:rsidRPr="000A37BF">
        <w:rPr>
          <w:kern w:val="22"/>
          <w:sz w:val="22"/>
          <w:szCs w:val="22"/>
          <w:lang w:val="en-GB" w:eastAsia="en-GB"/>
        </w:rPr>
        <w:t>Governments should design, implement and improve the performance of appropriate positive economic incentives, including biodiversity-motivated subsidies and payments for ecosystem services, to create signals to consumers and producers to behave in a more biodiversity-positive manner</w:t>
      </w:r>
      <w:r w:rsidR="00854A77" w:rsidRPr="000A37BF">
        <w:rPr>
          <w:kern w:val="22"/>
          <w:sz w:val="22"/>
          <w:szCs w:val="22"/>
          <w:lang w:val="en-GB" w:eastAsia="en-GB"/>
        </w:rPr>
        <w:t>;</w:t>
      </w:r>
      <w:r w:rsidR="009C18A0" w:rsidRPr="000A37BF">
        <w:rPr>
          <w:kern w:val="22"/>
          <w:sz w:val="22"/>
          <w:szCs w:val="22"/>
          <w:vertAlign w:val="superscript"/>
          <w:lang w:val="en-GB" w:eastAsia="en-GB"/>
        </w:rPr>
        <w:footnoteReference w:id="24"/>
      </w:r>
    </w:p>
    <w:p w14:paraId="2159620E" w14:textId="5044A4E5" w:rsidR="009C18A0" w:rsidRPr="000A37BF" w:rsidRDefault="00854A77"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(d)</w:t>
      </w:r>
      <w:r w:rsidRPr="000A37BF">
        <w:rPr>
          <w:kern w:val="22"/>
          <w:sz w:val="22"/>
          <w:szCs w:val="22"/>
          <w:lang w:val="en-GB" w:eastAsia="en-GB"/>
        </w:rPr>
        <w:tab/>
      </w:r>
      <w:r w:rsidR="009C18A0" w:rsidRPr="000A37BF">
        <w:rPr>
          <w:kern w:val="22"/>
          <w:sz w:val="22"/>
          <w:szCs w:val="22"/>
          <w:lang w:val="en-GB" w:eastAsia="en-GB"/>
        </w:rPr>
        <w:t>Specific capacity development; technical assistance; resource allocation; time-bound action plans</w:t>
      </w:r>
      <w:r w:rsidR="00D22869" w:rsidRPr="000A37BF">
        <w:rPr>
          <w:kern w:val="22"/>
          <w:sz w:val="22"/>
          <w:szCs w:val="22"/>
          <w:lang w:val="en-GB" w:eastAsia="en-GB"/>
        </w:rPr>
        <w:t>;</w:t>
      </w:r>
      <w:r w:rsidR="009C18A0" w:rsidRPr="000A37BF">
        <w:rPr>
          <w:kern w:val="22"/>
          <w:sz w:val="22"/>
          <w:szCs w:val="22"/>
          <w:lang w:val="en-GB" w:eastAsia="en-GB"/>
        </w:rPr>
        <w:t xml:space="preserve"> and monitoring and evaluation systems may be required to support these efforts, given the complexity of the activities required and the lack of progress to date.</w:t>
      </w:r>
    </w:p>
    <w:p w14:paraId="6F96EE59" w14:textId="4FCED9B9" w:rsidR="009C18A0" w:rsidRPr="000A37BF" w:rsidRDefault="00CD7B29"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C053AE">
        <w:rPr>
          <w:b/>
          <w:bCs/>
          <w:kern w:val="22"/>
          <w:sz w:val="22"/>
          <w:szCs w:val="22"/>
          <w:lang w:val="en-GB" w:eastAsia="en-GB"/>
        </w:rPr>
        <w:t>Identify and i</w:t>
      </w:r>
      <w:r w:rsidR="009C18A0" w:rsidRPr="000A37BF">
        <w:rPr>
          <w:b/>
          <w:bCs/>
          <w:kern w:val="22"/>
          <w:sz w:val="22"/>
          <w:szCs w:val="22"/>
          <w:lang w:val="en-GB" w:eastAsia="en-GB"/>
        </w:rPr>
        <w:t xml:space="preserve">ncorporate biodiversity impacts, dependencies and risks into the </w:t>
      </w:r>
      <w:r w:rsidRPr="00C053AE">
        <w:rPr>
          <w:b/>
          <w:bCs/>
          <w:kern w:val="22"/>
          <w:sz w:val="22"/>
          <w:szCs w:val="22"/>
          <w:lang w:val="en-GB" w:eastAsia="en-GB"/>
        </w:rPr>
        <w:t xml:space="preserve">strategies, operations and processes of the </w:t>
      </w:r>
      <w:r w:rsidR="009C18A0" w:rsidRPr="000A37BF">
        <w:rPr>
          <w:b/>
          <w:bCs/>
          <w:kern w:val="22"/>
          <w:sz w:val="22"/>
          <w:szCs w:val="22"/>
          <w:lang w:val="en-GB" w:eastAsia="en-GB"/>
        </w:rPr>
        <w:t xml:space="preserve">finance sector </w:t>
      </w:r>
      <w:r w:rsidRPr="00C053AE">
        <w:rPr>
          <w:b/>
          <w:bCs/>
          <w:kern w:val="22"/>
          <w:sz w:val="22"/>
          <w:szCs w:val="22"/>
          <w:lang w:val="en-GB" w:eastAsia="en-GB"/>
        </w:rPr>
        <w:t xml:space="preserve">with a view </w:t>
      </w:r>
      <w:r w:rsidR="009C18A0" w:rsidRPr="000A37BF">
        <w:rPr>
          <w:b/>
          <w:bCs/>
          <w:kern w:val="22"/>
          <w:sz w:val="22"/>
          <w:szCs w:val="22"/>
          <w:lang w:val="en-GB" w:eastAsia="en-GB"/>
        </w:rPr>
        <w:t xml:space="preserve">to </w:t>
      </w:r>
      <w:r w:rsidRPr="00C053AE">
        <w:rPr>
          <w:b/>
          <w:bCs/>
          <w:kern w:val="22"/>
          <w:sz w:val="22"/>
          <w:szCs w:val="22"/>
          <w:lang w:val="en-GB" w:eastAsia="en-GB"/>
        </w:rPr>
        <w:t>avoid</w:t>
      </w:r>
      <w:r w:rsidR="00BC2E35" w:rsidRPr="00C053AE">
        <w:rPr>
          <w:b/>
          <w:bCs/>
          <w:kern w:val="22"/>
          <w:sz w:val="22"/>
          <w:szCs w:val="22"/>
          <w:lang w:val="en-GB" w:eastAsia="en-GB"/>
        </w:rPr>
        <w:t>ing</w:t>
      </w:r>
      <w:r w:rsidRPr="00C053AE">
        <w:rPr>
          <w:b/>
          <w:bCs/>
          <w:kern w:val="22"/>
          <w:sz w:val="22"/>
          <w:szCs w:val="22"/>
          <w:lang w:val="en-GB" w:eastAsia="en-GB"/>
        </w:rPr>
        <w:t xml:space="preserve"> or minimiz</w:t>
      </w:r>
      <w:r w:rsidR="00BC2E35" w:rsidRPr="00C053AE">
        <w:rPr>
          <w:b/>
          <w:bCs/>
          <w:kern w:val="22"/>
          <w:sz w:val="22"/>
          <w:szCs w:val="22"/>
          <w:lang w:val="en-GB" w:eastAsia="en-GB"/>
        </w:rPr>
        <w:t>ing</w:t>
      </w:r>
      <w:r w:rsidRPr="00C053AE">
        <w:rPr>
          <w:b/>
          <w:bCs/>
          <w:kern w:val="22"/>
          <w:sz w:val="22"/>
          <w:szCs w:val="22"/>
          <w:lang w:val="en-GB" w:eastAsia="en-GB"/>
        </w:rPr>
        <w:t xml:space="preserve"> net </w:t>
      </w:r>
      <w:r w:rsidR="009C18A0" w:rsidRPr="000A37BF">
        <w:rPr>
          <w:b/>
          <w:bCs/>
          <w:kern w:val="22"/>
          <w:sz w:val="22"/>
          <w:szCs w:val="22"/>
          <w:lang w:val="en-GB" w:eastAsia="en-GB"/>
        </w:rPr>
        <w:t xml:space="preserve">harm </w:t>
      </w:r>
      <w:r w:rsidRPr="00C053AE">
        <w:rPr>
          <w:b/>
          <w:bCs/>
          <w:kern w:val="22"/>
          <w:sz w:val="22"/>
          <w:szCs w:val="22"/>
          <w:lang w:val="en-GB" w:eastAsia="en-GB"/>
        </w:rPr>
        <w:t xml:space="preserve">to biodiversity and ecosystems </w:t>
      </w:r>
      <w:r w:rsidR="009C18A0" w:rsidRPr="000A37BF">
        <w:rPr>
          <w:b/>
          <w:bCs/>
          <w:kern w:val="22"/>
          <w:sz w:val="22"/>
          <w:szCs w:val="22"/>
          <w:lang w:val="en-GB" w:eastAsia="en-GB"/>
        </w:rPr>
        <w:t>caused by investment decisions</w:t>
      </w:r>
      <w:r w:rsidR="00B857B3" w:rsidRPr="000A37BF">
        <w:rPr>
          <w:b/>
          <w:bCs/>
          <w:kern w:val="22"/>
          <w:sz w:val="22"/>
          <w:szCs w:val="22"/>
          <w:lang w:val="en-GB" w:eastAsia="en-GB"/>
        </w:rPr>
        <w:t>.</w:t>
      </w:r>
      <w:r w:rsidR="008342E2" w:rsidRPr="000A37BF">
        <w:rPr>
          <w:kern w:val="22"/>
          <w:sz w:val="22"/>
          <w:szCs w:val="22"/>
          <w:lang w:val="en-GB" w:eastAsia="en-GB"/>
        </w:rPr>
        <w:t xml:space="preserve"> The finance sector, including </w:t>
      </w:r>
      <w:r w:rsidR="00775E91" w:rsidRPr="00C053AE">
        <w:rPr>
          <w:kern w:val="22"/>
          <w:sz w:val="22"/>
          <w:szCs w:val="22"/>
          <w:lang w:val="en-GB" w:eastAsia="en-GB"/>
        </w:rPr>
        <w:t xml:space="preserve">commercial and development </w:t>
      </w:r>
      <w:r w:rsidR="008342E2" w:rsidRPr="000A37BF">
        <w:rPr>
          <w:kern w:val="22"/>
          <w:sz w:val="22"/>
          <w:szCs w:val="22"/>
          <w:lang w:val="en-GB" w:eastAsia="en-GB"/>
        </w:rPr>
        <w:t>banks</w:t>
      </w:r>
      <w:r w:rsidR="00156831" w:rsidRPr="000A37BF">
        <w:rPr>
          <w:kern w:val="22"/>
          <w:sz w:val="22"/>
          <w:szCs w:val="22"/>
          <w:lang w:val="en-GB" w:eastAsia="en-GB"/>
        </w:rPr>
        <w:t>,</w:t>
      </w:r>
      <w:r w:rsidR="008342E2" w:rsidRPr="000A37BF">
        <w:rPr>
          <w:kern w:val="22"/>
          <w:sz w:val="22"/>
          <w:szCs w:val="22"/>
          <w:lang w:val="en-GB" w:eastAsia="en-GB"/>
        </w:rPr>
        <w:t xml:space="preserve"> institutional investors</w:t>
      </w:r>
      <w:r w:rsidR="00156831" w:rsidRPr="000A37BF">
        <w:rPr>
          <w:kern w:val="22"/>
          <w:sz w:val="22"/>
          <w:szCs w:val="22"/>
          <w:lang w:val="en-GB" w:eastAsia="en-GB"/>
        </w:rPr>
        <w:t>,</w:t>
      </w:r>
      <w:r w:rsidR="008342E2" w:rsidRPr="000A37BF">
        <w:rPr>
          <w:kern w:val="22"/>
          <w:sz w:val="22"/>
          <w:szCs w:val="22"/>
          <w:lang w:val="en-GB" w:eastAsia="en-GB"/>
        </w:rPr>
        <w:t xml:space="preserve"> financial regulators and supervisors</w:t>
      </w:r>
      <w:r w:rsidR="00156831" w:rsidRPr="000A37BF">
        <w:rPr>
          <w:kern w:val="22"/>
          <w:sz w:val="22"/>
          <w:szCs w:val="22"/>
          <w:lang w:val="en-GB" w:eastAsia="en-GB"/>
        </w:rPr>
        <w:t>,</w:t>
      </w:r>
      <w:r w:rsidR="008342E2" w:rsidRPr="000A37BF">
        <w:rPr>
          <w:kern w:val="22"/>
          <w:sz w:val="22"/>
          <w:szCs w:val="22"/>
          <w:lang w:val="en-GB" w:eastAsia="en-GB"/>
        </w:rPr>
        <w:t xml:space="preserve"> </w:t>
      </w:r>
      <w:r w:rsidR="00775E91" w:rsidRPr="00C053AE">
        <w:rPr>
          <w:kern w:val="22"/>
          <w:sz w:val="22"/>
          <w:szCs w:val="22"/>
          <w:lang w:val="en-GB" w:eastAsia="en-GB"/>
        </w:rPr>
        <w:t xml:space="preserve">and </w:t>
      </w:r>
      <w:r w:rsidR="008342E2" w:rsidRPr="000A37BF">
        <w:rPr>
          <w:kern w:val="22"/>
          <w:sz w:val="22"/>
          <w:szCs w:val="22"/>
          <w:lang w:val="en-GB" w:eastAsia="en-GB"/>
        </w:rPr>
        <w:t>credit ratings agencies, has a profound influence on the behaviour of private actors, including businesses.</w:t>
      </w:r>
      <w:r w:rsidR="006502E2" w:rsidRPr="000A37BF">
        <w:rPr>
          <w:kern w:val="22"/>
          <w:sz w:val="22"/>
          <w:szCs w:val="22"/>
          <w:lang w:val="en-GB" w:eastAsia="en-GB"/>
        </w:rPr>
        <w:t xml:space="preserve"> </w:t>
      </w:r>
      <w:r w:rsidR="000A3531" w:rsidRPr="000A37BF">
        <w:rPr>
          <w:kern w:val="22"/>
          <w:sz w:val="22"/>
          <w:szCs w:val="22"/>
          <w:lang w:val="en-GB" w:eastAsia="en-GB"/>
        </w:rPr>
        <w:t>Thus</w:t>
      </w:r>
      <w:r w:rsidR="00A75653" w:rsidRPr="000A37BF">
        <w:rPr>
          <w:kern w:val="22"/>
          <w:sz w:val="22"/>
          <w:szCs w:val="22"/>
          <w:lang w:val="en-GB" w:eastAsia="en-GB"/>
        </w:rPr>
        <w:t>:</w:t>
      </w:r>
    </w:p>
    <w:p w14:paraId="1CE136C8" w14:textId="4D837F33" w:rsidR="00F6157E" w:rsidRPr="00C053AE" w:rsidRDefault="00C24D71">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F6157E" w:rsidRPr="00C053AE">
        <w:rPr>
          <w:kern w:val="22"/>
          <w:sz w:val="22"/>
          <w:szCs w:val="22"/>
          <w:lang w:val="en-GB" w:eastAsia="en-GB"/>
        </w:rPr>
        <w:t>Key actors, including within government, the finance sector and international organizations, should collaborate to develop standards, metrics, indicators, and methodologies for reporting biodiversity-related dependencies, impacts and risks. This could be facilitated by an advisory group or task force on nature-related impacts, dependencies, risks and financial disclosure. The use of spatial data and spatially specific metrics in financial decision-making should be further developed to improve reporting on biodiversity impacts;</w:t>
      </w:r>
    </w:p>
    <w:p w14:paraId="19FE859F" w14:textId="47EBB302" w:rsidR="00F6157E" w:rsidRPr="00C053AE" w:rsidRDefault="00F6157E">
      <w:pPr>
        <w:suppressLineNumbers/>
        <w:suppressAutoHyphens/>
        <w:adjustRightInd w:val="0"/>
        <w:snapToGrid w:val="0"/>
        <w:spacing w:after="120"/>
        <w:ind w:firstLine="720"/>
        <w:jc w:val="both"/>
        <w:rPr>
          <w:kern w:val="22"/>
          <w:sz w:val="22"/>
          <w:szCs w:val="22"/>
          <w:lang w:val="en-GB" w:eastAsia="en-GB"/>
        </w:rPr>
      </w:pPr>
      <w:r w:rsidRPr="00C053AE">
        <w:rPr>
          <w:kern w:val="22"/>
          <w:sz w:val="22"/>
          <w:szCs w:val="22"/>
          <w:lang w:val="en-GB" w:eastAsia="en-GB"/>
        </w:rPr>
        <w:lastRenderedPageBreak/>
        <w:t>(b)</w:t>
      </w:r>
      <w:r w:rsidRPr="00C053AE">
        <w:rPr>
          <w:kern w:val="22"/>
          <w:sz w:val="22"/>
          <w:szCs w:val="22"/>
          <w:lang w:val="en-GB" w:eastAsia="en-GB"/>
        </w:rPr>
        <w:tab/>
        <w:t>Governments should send a strong message through legislative and regulatory standards that global financial flows should be aligned with biodiversity conservation, sustainable use and restoration. Governments should realign subsidies that currently encourage investment in activities harmful to biodiversity and should set clear regulations and rules to guide investment;</w:t>
      </w:r>
    </w:p>
    <w:p w14:paraId="0C42C233" w14:textId="2DC3EA83" w:rsidR="009C18A0" w:rsidRPr="000A37BF" w:rsidRDefault="00F6157E" w:rsidP="000A37BF">
      <w:pPr>
        <w:suppressLineNumbers/>
        <w:suppressAutoHyphens/>
        <w:adjustRightInd w:val="0"/>
        <w:snapToGrid w:val="0"/>
        <w:spacing w:after="120"/>
        <w:ind w:firstLine="720"/>
        <w:jc w:val="both"/>
        <w:rPr>
          <w:kern w:val="22"/>
          <w:sz w:val="22"/>
          <w:szCs w:val="22"/>
          <w:lang w:val="en-GB" w:eastAsia="en-GB"/>
        </w:rPr>
      </w:pPr>
      <w:r w:rsidRPr="00C053AE">
        <w:rPr>
          <w:kern w:val="22"/>
          <w:sz w:val="22"/>
          <w:szCs w:val="22"/>
          <w:lang w:val="en-GB" w:eastAsia="en-GB"/>
        </w:rPr>
        <w:t>(c)</w:t>
      </w:r>
      <w:r w:rsidRPr="00C053AE">
        <w:rPr>
          <w:kern w:val="22"/>
          <w:sz w:val="22"/>
          <w:szCs w:val="22"/>
          <w:lang w:val="en-GB" w:eastAsia="en-GB"/>
        </w:rPr>
        <w:tab/>
      </w:r>
      <w:r w:rsidR="009C18A0" w:rsidRPr="000A37BF">
        <w:rPr>
          <w:kern w:val="22"/>
          <w:sz w:val="22"/>
          <w:szCs w:val="22"/>
          <w:lang w:val="en-GB" w:eastAsia="en-GB"/>
        </w:rPr>
        <w:t xml:space="preserve">The finance sector should be enabled, and ultimately required, to account for dependencies, impacts and risks associated with biodiversity loss, and </w:t>
      </w:r>
      <w:r w:rsidR="003F18AD" w:rsidRPr="000A37BF">
        <w:rPr>
          <w:kern w:val="22"/>
          <w:sz w:val="22"/>
          <w:szCs w:val="22"/>
          <w:lang w:val="en-GB" w:eastAsia="en-GB"/>
        </w:rPr>
        <w:t xml:space="preserve">to </w:t>
      </w:r>
      <w:r w:rsidR="009C18A0" w:rsidRPr="000A37BF">
        <w:rPr>
          <w:kern w:val="22"/>
          <w:sz w:val="22"/>
          <w:szCs w:val="22"/>
          <w:lang w:val="en-GB" w:eastAsia="en-GB"/>
        </w:rPr>
        <w:t xml:space="preserve">reflect these in investment decisions. </w:t>
      </w:r>
      <w:r w:rsidR="005B14A7" w:rsidRPr="00C053AE">
        <w:rPr>
          <w:kern w:val="22"/>
          <w:sz w:val="22"/>
          <w:szCs w:val="22"/>
          <w:lang w:val="en-GB" w:eastAsia="en-GB"/>
        </w:rPr>
        <w:t xml:space="preserve">Governments should require that the financial sector report on </w:t>
      </w:r>
      <w:r w:rsidRPr="00C053AE">
        <w:rPr>
          <w:kern w:val="22"/>
          <w:sz w:val="22"/>
          <w:szCs w:val="22"/>
          <w:lang w:val="en-GB" w:eastAsia="en-GB"/>
        </w:rPr>
        <w:t>its</w:t>
      </w:r>
      <w:r w:rsidR="005B14A7" w:rsidRPr="00C053AE">
        <w:rPr>
          <w:kern w:val="22"/>
          <w:sz w:val="22"/>
          <w:szCs w:val="22"/>
          <w:lang w:val="en-GB" w:eastAsia="en-GB"/>
        </w:rPr>
        <w:t xml:space="preserve"> actions and risks related to biodiversity, as France has done in its 2019 law on energy and climate.</w:t>
      </w:r>
      <w:r w:rsidR="005B14A7" w:rsidRPr="00C053AE">
        <w:rPr>
          <w:kern w:val="22"/>
          <w:sz w:val="22"/>
          <w:szCs w:val="22"/>
          <w:vertAlign w:val="superscript"/>
          <w:lang w:val="en-GB" w:eastAsia="en-GB"/>
        </w:rPr>
        <w:footnoteReference w:id="25"/>
      </w:r>
      <w:r w:rsidR="005B14A7" w:rsidRPr="00C053AE">
        <w:rPr>
          <w:kern w:val="22"/>
          <w:sz w:val="22"/>
          <w:szCs w:val="22"/>
          <w:lang w:val="en-GB" w:eastAsia="en-GB"/>
        </w:rPr>
        <w:t xml:space="preserve"> </w:t>
      </w:r>
      <w:r w:rsidR="009C18A0" w:rsidRPr="000A37BF">
        <w:rPr>
          <w:kern w:val="22"/>
          <w:sz w:val="22"/>
          <w:szCs w:val="22"/>
          <w:lang w:val="en-GB" w:eastAsia="en-GB"/>
        </w:rPr>
        <w:t>Biodiversity risk should be integrated into conventional risk management processes in financial markets</w:t>
      </w:r>
      <w:r w:rsidR="00C24D71" w:rsidRPr="000A37BF">
        <w:rPr>
          <w:kern w:val="22"/>
          <w:sz w:val="22"/>
          <w:szCs w:val="22"/>
          <w:lang w:val="en-GB" w:eastAsia="en-GB"/>
        </w:rPr>
        <w:t>;</w:t>
      </w:r>
    </w:p>
    <w:p w14:paraId="1C8D1467" w14:textId="4802DA34" w:rsidR="009C18A0" w:rsidRPr="000A37BF" w:rsidRDefault="00C24D7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F6157E" w:rsidRPr="00C053AE">
        <w:rPr>
          <w:kern w:val="22"/>
          <w:sz w:val="22"/>
          <w:szCs w:val="22"/>
          <w:lang w:val="en-GB" w:eastAsia="en-GB"/>
        </w:rPr>
        <w:t>d</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The risk of environmental collapse is a systemic risk</w:t>
      </w:r>
      <w:r w:rsidR="003F18AD" w:rsidRPr="000A37BF">
        <w:rPr>
          <w:kern w:val="22"/>
          <w:sz w:val="22"/>
          <w:szCs w:val="22"/>
          <w:lang w:val="en-GB" w:eastAsia="en-GB"/>
        </w:rPr>
        <w:t>;</w:t>
      </w:r>
      <w:r w:rsidR="009C18A0" w:rsidRPr="000A37BF">
        <w:rPr>
          <w:kern w:val="22"/>
          <w:sz w:val="22"/>
          <w:szCs w:val="22"/>
          <w:lang w:val="en-GB" w:eastAsia="en-GB"/>
        </w:rPr>
        <w:t xml:space="preserve"> therefore</w:t>
      </w:r>
      <w:r w:rsidR="00F6157E" w:rsidRPr="00C053AE">
        <w:rPr>
          <w:kern w:val="22"/>
          <w:sz w:val="22"/>
          <w:szCs w:val="22"/>
          <w:lang w:val="en-GB" w:eastAsia="en-GB"/>
        </w:rPr>
        <w:t>,</w:t>
      </w:r>
      <w:r w:rsidR="009C18A0" w:rsidRPr="000A37BF">
        <w:rPr>
          <w:kern w:val="22"/>
          <w:sz w:val="22"/>
          <w:szCs w:val="22"/>
          <w:lang w:val="en-GB" w:eastAsia="en-GB"/>
        </w:rPr>
        <w:t xml:space="preserve"> central banks and other regulators have a key role to play in assessing these risks, and </w:t>
      </w:r>
      <w:r w:rsidR="003F18AD" w:rsidRPr="000A37BF">
        <w:rPr>
          <w:kern w:val="22"/>
          <w:sz w:val="22"/>
          <w:szCs w:val="22"/>
          <w:lang w:val="en-GB" w:eastAsia="en-GB"/>
        </w:rPr>
        <w:t xml:space="preserve">in </w:t>
      </w:r>
      <w:r w:rsidR="009C18A0" w:rsidRPr="000A37BF">
        <w:rPr>
          <w:kern w:val="22"/>
          <w:sz w:val="22"/>
          <w:szCs w:val="22"/>
          <w:lang w:val="en-GB" w:eastAsia="en-GB"/>
        </w:rPr>
        <w:t>mitigating them by acting on the causes in a systemic manner. Central banks and financial regulators should include potential negative impacts on biodiversity and ecosystem services in stress tests</w:t>
      </w:r>
      <w:r w:rsidR="00060E06" w:rsidRPr="000A37BF">
        <w:rPr>
          <w:kern w:val="22"/>
          <w:sz w:val="22"/>
          <w:szCs w:val="22"/>
          <w:lang w:val="en-GB" w:eastAsia="en-GB"/>
        </w:rPr>
        <w:t xml:space="preserve">. This </w:t>
      </w:r>
      <w:r w:rsidR="008B6E96" w:rsidRPr="000A37BF">
        <w:rPr>
          <w:kern w:val="22"/>
          <w:sz w:val="22"/>
          <w:szCs w:val="22"/>
          <w:lang w:val="en-GB" w:eastAsia="en-GB"/>
        </w:rPr>
        <w:t>would</w:t>
      </w:r>
      <w:r w:rsidR="00060E06" w:rsidRPr="000A37BF">
        <w:rPr>
          <w:kern w:val="22"/>
          <w:sz w:val="22"/>
          <w:szCs w:val="22"/>
          <w:lang w:val="en-GB" w:eastAsia="en-GB"/>
        </w:rPr>
        <w:t xml:space="preserve"> allow </w:t>
      </w:r>
      <w:r w:rsidR="008B6E96" w:rsidRPr="000A37BF">
        <w:rPr>
          <w:kern w:val="22"/>
          <w:sz w:val="22"/>
          <w:szCs w:val="22"/>
          <w:lang w:val="en-GB" w:eastAsia="en-GB"/>
        </w:rPr>
        <w:t xml:space="preserve">for </w:t>
      </w:r>
      <w:r w:rsidR="00060E06" w:rsidRPr="000A37BF">
        <w:rPr>
          <w:kern w:val="22"/>
          <w:sz w:val="22"/>
          <w:szCs w:val="22"/>
          <w:lang w:val="en-GB" w:eastAsia="en-GB"/>
        </w:rPr>
        <w:t>analysis of</w:t>
      </w:r>
      <w:r w:rsidR="009C18A0" w:rsidRPr="000A37BF">
        <w:rPr>
          <w:kern w:val="22"/>
          <w:sz w:val="22"/>
          <w:szCs w:val="22"/>
          <w:lang w:val="en-GB" w:eastAsia="en-GB"/>
        </w:rPr>
        <w:t xml:space="preserve"> the impact</w:t>
      </w:r>
      <w:r w:rsidR="00080F92" w:rsidRPr="000A37BF">
        <w:rPr>
          <w:kern w:val="22"/>
          <w:sz w:val="22"/>
          <w:szCs w:val="22"/>
          <w:lang w:val="en-GB" w:eastAsia="en-GB"/>
        </w:rPr>
        <w:t>s</w:t>
      </w:r>
      <w:r w:rsidR="009C18A0" w:rsidRPr="000A37BF">
        <w:rPr>
          <w:kern w:val="22"/>
          <w:sz w:val="22"/>
          <w:szCs w:val="22"/>
          <w:lang w:val="en-GB" w:eastAsia="en-GB"/>
        </w:rPr>
        <w:t xml:space="preserve"> of risks stemming from biodiversity loss on the entire finance sector</w:t>
      </w:r>
      <w:r w:rsidR="00615F86" w:rsidRPr="000A37BF">
        <w:rPr>
          <w:kern w:val="22"/>
          <w:sz w:val="22"/>
          <w:szCs w:val="22"/>
          <w:lang w:val="en-GB" w:eastAsia="en-GB"/>
        </w:rPr>
        <w:t>,</w:t>
      </w:r>
      <w:r w:rsidR="009C18A0" w:rsidRPr="000A37BF">
        <w:rPr>
          <w:kern w:val="22"/>
          <w:sz w:val="22"/>
          <w:szCs w:val="22"/>
          <w:lang w:val="en-GB" w:eastAsia="en-GB"/>
        </w:rPr>
        <w:t xml:space="preserve"> </w:t>
      </w:r>
      <w:r w:rsidR="00694205" w:rsidRPr="000A37BF">
        <w:rPr>
          <w:kern w:val="22"/>
          <w:sz w:val="22"/>
          <w:szCs w:val="22"/>
          <w:lang w:val="en-GB" w:eastAsia="en-GB"/>
        </w:rPr>
        <w:t xml:space="preserve">on </w:t>
      </w:r>
      <w:r w:rsidR="009C18A0" w:rsidRPr="000A37BF">
        <w:rPr>
          <w:kern w:val="22"/>
          <w:sz w:val="22"/>
          <w:szCs w:val="22"/>
          <w:lang w:val="en-GB" w:eastAsia="en-GB"/>
        </w:rPr>
        <w:t>specific sectors, and on individual financial institutions. Central banks should require that regulated entities regularly disclose their biodiversity-related financial risk and should strive to integrate biodiversity-related financial risks into capital and solvency requirements. Central banks could also apply credit ceilings on biodiversity-harmful activities</w:t>
      </w:r>
      <w:r w:rsidRPr="000A37BF">
        <w:rPr>
          <w:kern w:val="22"/>
          <w:sz w:val="22"/>
          <w:szCs w:val="22"/>
          <w:lang w:val="en-GB" w:eastAsia="en-GB"/>
        </w:rPr>
        <w:t>;</w:t>
      </w:r>
    </w:p>
    <w:p w14:paraId="2160A0D4" w14:textId="4EC20380" w:rsidR="009C18A0" w:rsidRPr="000A37BF" w:rsidRDefault="00C24D7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F6157E" w:rsidRPr="00C053AE">
        <w:rPr>
          <w:kern w:val="22"/>
          <w:sz w:val="22"/>
          <w:szCs w:val="22"/>
          <w:lang w:val="en-GB" w:eastAsia="en-GB"/>
        </w:rPr>
        <w:t>e</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Commercial banks respond to signals from central banks and regulators (including governments) as well as the market in general</w:t>
      </w:r>
      <w:r w:rsidR="00615F86" w:rsidRPr="000A37BF">
        <w:rPr>
          <w:kern w:val="22"/>
          <w:sz w:val="22"/>
          <w:szCs w:val="22"/>
          <w:lang w:val="en-GB" w:eastAsia="en-GB"/>
        </w:rPr>
        <w:t>,</w:t>
      </w:r>
      <w:r w:rsidR="009C18A0" w:rsidRPr="000A37BF">
        <w:rPr>
          <w:kern w:val="22"/>
          <w:sz w:val="22"/>
          <w:szCs w:val="22"/>
          <w:lang w:val="en-GB" w:eastAsia="en-GB"/>
        </w:rPr>
        <w:t xml:space="preserve"> and </w:t>
      </w:r>
      <w:r w:rsidR="00DE659A" w:rsidRPr="000A37BF">
        <w:rPr>
          <w:kern w:val="22"/>
          <w:sz w:val="22"/>
          <w:szCs w:val="22"/>
          <w:lang w:val="en-GB" w:eastAsia="en-GB"/>
        </w:rPr>
        <w:t xml:space="preserve">they </w:t>
      </w:r>
      <w:r w:rsidR="009C18A0" w:rsidRPr="000A37BF">
        <w:rPr>
          <w:kern w:val="22"/>
          <w:sz w:val="22"/>
          <w:szCs w:val="22"/>
          <w:lang w:val="en-GB" w:eastAsia="en-GB"/>
        </w:rPr>
        <w:t>have direct and indirect influence on the behaviour of producers, landowners and consumers. Commercial financial actors should integrate biodiversity impacts, dependencies and risks into strategies and policies, and consideration should be given to accounting for biodiversity-related financial risks explicitly as part of the fiduciary duty of financial institutions</w:t>
      </w:r>
      <w:r w:rsidRPr="000A37BF">
        <w:rPr>
          <w:kern w:val="22"/>
          <w:sz w:val="22"/>
          <w:szCs w:val="22"/>
          <w:lang w:val="en-GB" w:eastAsia="en-GB"/>
        </w:rPr>
        <w:t>;</w:t>
      </w:r>
    </w:p>
    <w:p w14:paraId="02F1BEF6" w14:textId="062D61A5" w:rsidR="009C18A0" w:rsidRPr="000A37BF" w:rsidRDefault="00C24D7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F6157E" w:rsidRPr="00C053AE">
        <w:rPr>
          <w:kern w:val="22"/>
          <w:sz w:val="22"/>
          <w:szCs w:val="22"/>
          <w:lang w:val="en-GB" w:eastAsia="en-GB"/>
        </w:rPr>
        <w:t>f</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While institutional investors and asset managers often have liability beyond 20</w:t>
      </w:r>
      <w:r w:rsidR="009A785B" w:rsidRPr="000A37BF">
        <w:rPr>
          <w:kern w:val="22"/>
          <w:sz w:val="22"/>
          <w:szCs w:val="22"/>
          <w:lang w:val="en-GB" w:eastAsia="en-GB"/>
        </w:rPr>
        <w:t xml:space="preserve"> to </w:t>
      </w:r>
      <w:r w:rsidR="009C18A0" w:rsidRPr="000A37BF">
        <w:rPr>
          <w:kern w:val="22"/>
          <w:sz w:val="22"/>
          <w:szCs w:val="22"/>
          <w:lang w:val="en-GB" w:eastAsia="en-GB"/>
        </w:rPr>
        <w:t>30 years, the time</w:t>
      </w:r>
      <w:r w:rsidR="00247BB0" w:rsidRPr="000A37BF">
        <w:rPr>
          <w:kern w:val="22"/>
          <w:sz w:val="22"/>
          <w:szCs w:val="22"/>
          <w:lang w:val="en-GB" w:eastAsia="en-GB"/>
        </w:rPr>
        <w:t xml:space="preserve"> </w:t>
      </w:r>
      <w:r w:rsidR="009C18A0" w:rsidRPr="000A37BF">
        <w:rPr>
          <w:kern w:val="22"/>
          <w:sz w:val="22"/>
          <w:szCs w:val="22"/>
          <w:lang w:val="en-GB" w:eastAsia="en-GB"/>
        </w:rPr>
        <w:t>frame of their investment and risk assessment is typically much shorter – even long-term investors trade their assets with short horizons.</w:t>
      </w:r>
      <w:r w:rsidR="009C18A0" w:rsidRPr="000A37BF">
        <w:rPr>
          <w:kern w:val="22"/>
          <w:sz w:val="22"/>
          <w:szCs w:val="22"/>
          <w:vertAlign w:val="superscript"/>
          <w:lang w:val="en-GB" w:eastAsia="en-GB"/>
        </w:rPr>
        <w:footnoteReference w:id="26"/>
      </w:r>
      <w:r w:rsidR="009C18A0" w:rsidRPr="000A37BF">
        <w:rPr>
          <w:kern w:val="22"/>
          <w:sz w:val="22"/>
          <w:szCs w:val="22"/>
          <w:lang w:val="en-GB" w:eastAsia="en-GB"/>
        </w:rPr>
        <w:t xml:space="preserve"> This results in financial institutions not being incentivi</w:t>
      </w:r>
      <w:r w:rsidR="00A43077" w:rsidRPr="000A37BF">
        <w:rPr>
          <w:kern w:val="22"/>
          <w:sz w:val="22"/>
          <w:szCs w:val="22"/>
          <w:lang w:val="en-GB" w:eastAsia="en-GB"/>
        </w:rPr>
        <w:t>z</w:t>
      </w:r>
      <w:r w:rsidR="009C18A0" w:rsidRPr="000A37BF">
        <w:rPr>
          <w:kern w:val="22"/>
          <w:sz w:val="22"/>
          <w:szCs w:val="22"/>
          <w:lang w:val="en-GB" w:eastAsia="en-GB"/>
        </w:rPr>
        <w:t xml:space="preserve">ed to take biodiversity (as well as other environmental and climate change risks) into account, even when metrics for doing so exist. Measures to address financial </w:t>
      </w:r>
      <w:r w:rsidR="00046221" w:rsidRPr="000A37BF">
        <w:rPr>
          <w:kern w:val="22"/>
          <w:sz w:val="22"/>
          <w:szCs w:val="22"/>
          <w:lang w:val="en-GB" w:eastAsia="en-GB"/>
        </w:rPr>
        <w:t>“</w:t>
      </w:r>
      <w:r w:rsidR="009C18A0" w:rsidRPr="000A37BF">
        <w:rPr>
          <w:kern w:val="22"/>
          <w:sz w:val="22"/>
          <w:szCs w:val="22"/>
          <w:lang w:val="en-GB" w:eastAsia="en-GB"/>
        </w:rPr>
        <w:t>short-termism</w:t>
      </w:r>
      <w:r w:rsidR="00046221" w:rsidRPr="000A37BF">
        <w:rPr>
          <w:kern w:val="22"/>
          <w:sz w:val="22"/>
          <w:szCs w:val="22"/>
          <w:lang w:val="en-GB" w:eastAsia="en-GB"/>
        </w:rPr>
        <w:t>”</w:t>
      </w:r>
      <w:r w:rsidR="009C18A0" w:rsidRPr="000A37BF">
        <w:rPr>
          <w:kern w:val="22"/>
          <w:sz w:val="22"/>
          <w:szCs w:val="22"/>
          <w:lang w:val="en-GB" w:eastAsia="en-GB"/>
        </w:rPr>
        <w:t xml:space="preserve"> could include tax and governance incentives for longer ownership periods, longer-term remuneration structures for company directors and asset managers, less quarterly reporting by companies, less annual benchmarking by asset managers, revisions to accounting standards, and revisions to the supervisory toolkit, such as expanding stress test time</w:t>
      </w:r>
      <w:r w:rsidR="00247BB0" w:rsidRPr="000A37BF">
        <w:rPr>
          <w:kern w:val="22"/>
          <w:sz w:val="22"/>
          <w:szCs w:val="22"/>
          <w:lang w:val="en-GB" w:eastAsia="en-GB"/>
        </w:rPr>
        <w:t>-</w:t>
      </w:r>
      <w:r w:rsidR="009C18A0" w:rsidRPr="000A37BF">
        <w:rPr>
          <w:kern w:val="22"/>
          <w:sz w:val="22"/>
          <w:szCs w:val="22"/>
          <w:lang w:val="en-GB" w:eastAsia="en-GB"/>
        </w:rPr>
        <w:t>horizons</w:t>
      </w:r>
      <w:r w:rsidRPr="000A37BF">
        <w:rPr>
          <w:kern w:val="22"/>
          <w:sz w:val="22"/>
          <w:szCs w:val="22"/>
          <w:lang w:val="en-GB" w:eastAsia="en-GB"/>
        </w:rPr>
        <w:t>;</w:t>
      </w:r>
      <w:r w:rsidR="009C18A0" w:rsidRPr="000A37BF">
        <w:rPr>
          <w:kern w:val="22"/>
          <w:sz w:val="22"/>
          <w:szCs w:val="22"/>
          <w:vertAlign w:val="superscript"/>
          <w:lang w:val="en-GB" w:eastAsia="en-GB"/>
        </w:rPr>
        <w:footnoteReference w:id="27"/>
      </w:r>
    </w:p>
    <w:p w14:paraId="62D66BD0" w14:textId="1607A207" w:rsidR="009C18A0" w:rsidRPr="000A37BF" w:rsidRDefault="00C24D7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F6157E" w:rsidRPr="00C053AE">
        <w:rPr>
          <w:kern w:val="22"/>
          <w:sz w:val="22"/>
          <w:szCs w:val="22"/>
          <w:lang w:val="en-GB" w:eastAsia="en-GB"/>
        </w:rPr>
        <w:t>g</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Development banks,</w:t>
      </w:r>
      <w:r w:rsidR="009C18A0" w:rsidRPr="000A37BF">
        <w:rPr>
          <w:b/>
          <w:bCs/>
          <w:kern w:val="22"/>
          <w:sz w:val="22"/>
          <w:szCs w:val="22"/>
          <w:lang w:val="en-GB" w:eastAsia="en-GB"/>
        </w:rPr>
        <w:t xml:space="preserve"> </w:t>
      </w:r>
      <w:r w:rsidR="009C18A0" w:rsidRPr="000A37BF">
        <w:rPr>
          <w:kern w:val="22"/>
          <w:sz w:val="22"/>
          <w:szCs w:val="22"/>
          <w:lang w:val="en-GB" w:eastAsia="en-GB"/>
        </w:rPr>
        <w:t xml:space="preserve">which can operate in credit market segments in which commercial banks are not fully engaged, have a unique role in supporting biodiversity-positive investments and mainstreaming biodiversity into risk assessment. Development banks should integrate biodiversity risks and opportunities into strategies and policies and should ensure that lending results in biodiversity-positive or </w:t>
      </w:r>
      <w:r w:rsidR="009A785B" w:rsidRPr="000A37BF">
        <w:rPr>
          <w:kern w:val="22"/>
          <w:sz w:val="22"/>
          <w:szCs w:val="22"/>
          <w:lang w:val="en-GB" w:eastAsia="en-GB"/>
        </w:rPr>
        <w:t>biodiversity</w:t>
      </w:r>
      <w:r w:rsidR="009C18A0" w:rsidRPr="000A37BF">
        <w:rPr>
          <w:kern w:val="22"/>
          <w:sz w:val="22"/>
          <w:szCs w:val="22"/>
          <w:lang w:val="en-GB" w:eastAsia="en-GB"/>
        </w:rPr>
        <w:t xml:space="preserve">-neutral outcomes, in line with the goals of the </w:t>
      </w:r>
      <w:r w:rsidR="00C54717" w:rsidRPr="000A37BF">
        <w:rPr>
          <w:kern w:val="22"/>
          <w:sz w:val="22"/>
          <w:szCs w:val="22"/>
          <w:lang w:val="en-GB" w:eastAsia="en-GB"/>
        </w:rPr>
        <w:t>Convention</w:t>
      </w:r>
      <w:r w:rsidR="009C18A0" w:rsidRPr="000A37BF">
        <w:rPr>
          <w:kern w:val="22"/>
          <w:sz w:val="22"/>
          <w:szCs w:val="22"/>
          <w:lang w:val="en-GB" w:eastAsia="en-GB"/>
        </w:rPr>
        <w:t>. All development banks should adhere to sound lending frameworks and compliance with appropriate social and environmental safeguards, such as the World Bank’s Environmental and Social Standard</w:t>
      </w:r>
      <w:r w:rsidR="005753F9" w:rsidRPr="000A37BF">
        <w:rPr>
          <w:kern w:val="22"/>
          <w:sz w:val="22"/>
          <w:szCs w:val="22"/>
          <w:lang w:val="en-GB" w:eastAsia="en-GB"/>
        </w:rPr>
        <w:t> </w:t>
      </w:r>
      <w:r w:rsidR="009C18A0" w:rsidRPr="000A37BF">
        <w:rPr>
          <w:kern w:val="22"/>
          <w:sz w:val="22"/>
          <w:szCs w:val="22"/>
          <w:lang w:val="en-GB" w:eastAsia="en-GB"/>
        </w:rPr>
        <w:t>6</w:t>
      </w:r>
      <w:r w:rsidR="005753F9" w:rsidRPr="000A37BF">
        <w:rPr>
          <w:kern w:val="22"/>
          <w:sz w:val="22"/>
          <w:szCs w:val="22"/>
          <w:lang w:val="en-GB" w:eastAsia="en-GB"/>
        </w:rPr>
        <w:t xml:space="preserve"> (ESS6)</w:t>
      </w:r>
      <w:r w:rsidR="009C18A0" w:rsidRPr="000A37BF">
        <w:rPr>
          <w:kern w:val="22"/>
          <w:sz w:val="22"/>
          <w:szCs w:val="22"/>
          <w:vertAlign w:val="superscript"/>
          <w:lang w:val="en-GB" w:eastAsia="en-GB"/>
        </w:rPr>
        <w:footnoteReference w:id="28"/>
      </w:r>
      <w:r w:rsidR="009C18A0" w:rsidRPr="000A37BF">
        <w:rPr>
          <w:kern w:val="22"/>
          <w:sz w:val="22"/>
          <w:szCs w:val="22"/>
          <w:lang w:val="en-GB" w:eastAsia="en-GB"/>
        </w:rPr>
        <w:t xml:space="preserve"> or </w:t>
      </w:r>
      <w:r w:rsidR="00775ADC" w:rsidRPr="000A37BF">
        <w:rPr>
          <w:kern w:val="22"/>
          <w:sz w:val="22"/>
          <w:szCs w:val="22"/>
          <w:lang w:val="en-GB" w:eastAsia="en-GB"/>
        </w:rPr>
        <w:t xml:space="preserve">the International Finance Corporation </w:t>
      </w:r>
      <w:r w:rsidR="00244DF6" w:rsidRPr="000A37BF">
        <w:rPr>
          <w:kern w:val="22"/>
          <w:sz w:val="22"/>
          <w:szCs w:val="22"/>
          <w:lang w:val="en-GB" w:eastAsia="en-GB"/>
        </w:rPr>
        <w:t>(</w:t>
      </w:r>
      <w:r w:rsidR="009C18A0" w:rsidRPr="000A37BF">
        <w:rPr>
          <w:kern w:val="22"/>
          <w:sz w:val="22"/>
          <w:szCs w:val="22"/>
          <w:lang w:val="en-GB" w:eastAsia="en-GB"/>
        </w:rPr>
        <w:t>IFC</w:t>
      </w:r>
      <w:r w:rsidR="00244DF6" w:rsidRPr="000A37BF">
        <w:rPr>
          <w:kern w:val="22"/>
          <w:sz w:val="22"/>
          <w:szCs w:val="22"/>
          <w:lang w:val="en-GB" w:eastAsia="en-GB"/>
        </w:rPr>
        <w:t>)</w:t>
      </w:r>
      <w:r w:rsidR="009C18A0" w:rsidRPr="000A37BF">
        <w:rPr>
          <w:kern w:val="22"/>
          <w:sz w:val="22"/>
          <w:szCs w:val="22"/>
          <w:lang w:val="en-GB" w:eastAsia="en-GB"/>
        </w:rPr>
        <w:t xml:space="preserve"> Performance Standard 6,</w:t>
      </w:r>
      <w:r w:rsidR="009C18A0" w:rsidRPr="000A37BF">
        <w:rPr>
          <w:kern w:val="22"/>
          <w:sz w:val="22"/>
          <w:szCs w:val="22"/>
          <w:vertAlign w:val="superscript"/>
          <w:lang w:val="en-GB" w:eastAsia="en-GB"/>
        </w:rPr>
        <w:footnoteReference w:id="29"/>
      </w:r>
      <w:r w:rsidR="009C18A0" w:rsidRPr="000A37BF">
        <w:rPr>
          <w:kern w:val="22"/>
          <w:sz w:val="22"/>
          <w:szCs w:val="22"/>
          <w:lang w:val="en-GB" w:eastAsia="en-GB"/>
        </w:rPr>
        <w:t xml:space="preserve"> which aim to protect and conserve biodiversity and habitats</w:t>
      </w:r>
      <w:r w:rsidR="00E40C9D" w:rsidRPr="000A37BF">
        <w:rPr>
          <w:kern w:val="22"/>
          <w:sz w:val="22"/>
          <w:szCs w:val="22"/>
          <w:lang w:val="en-GB" w:eastAsia="en-GB"/>
        </w:rPr>
        <w:t>,</w:t>
      </w:r>
      <w:r w:rsidR="009C18A0" w:rsidRPr="000A37BF">
        <w:rPr>
          <w:kern w:val="22"/>
          <w:sz w:val="22"/>
          <w:szCs w:val="22"/>
          <w:lang w:val="en-GB" w:eastAsia="en-GB"/>
        </w:rPr>
        <w:t xml:space="preserve"> </w:t>
      </w:r>
      <w:r w:rsidR="009C18A0" w:rsidRPr="000A37BF">
        <w:rPr>
          <w:kern w:val="22"/>
          <w:sz w:val="22"/>
          <w:szCs w:val="22"/>
          <w:lang w:val="en-GB" w:eastAsia="en-GB"/>
        </w:rPr>
        <w:lastRenderedPageBreak/>
        <w:t>encourage the implementation of the mitigation hierarchy</w:t>
      </w:r>
      <w:r w:rsidR="00E40C9D" w:rsidRPr="000A37BF">
        <w:rPr>
          <w:kern w:val="22"/>
          <w:sz w:val="22"/>
          <w:szCs w:val="22"/>
          <w:lang w:val="en-GB" w:eastAsia="en-GB"/>
        </w:rPr>
        <w:t>,</w:t>
      </w:r>
      <w:r w:rsidR="009C18A0" w:rsidRPr="000A37BF">
        <w:rPr>
          <w:kern w:val="22"/>
          <w:sz w:val="22"/>
          <w:szCs w:val="22"/>
          <w:lang w:val="en-GB" w:eastAsia="en-GB"/>
        </w:rPr>
        <w:t xml:space="preserve"> and promote sustainable management of living natural resources. In addition, development banks should audit and report on compliance with these safeguards, including, for example, the implementation of offsets. Finally, </w:t>
      </w:r>
      <w:r w:rsidR="00DE5008" w:rsidRPr="000A37BF">
        <w:rPr>
          <w:kern w:val="22"/>
          <w:sz w:val="22"/>
          <w:szCs w:val="22"/>
          <w:lang w:val="en-GB" w:eastAsia="en-GB"/>
        </w:rPr>
        <w:t>in order that investments take biodive</w:t>
      </w:r>
      <w:r w:rsidR="005F5531" w:rsidRPr="000A37BF">
        <w:rPr>
          <w:kern w:val="22"/>
          <w:sz w:val="22"/>
          <w:szCs w:val="22"/>
          <w:lang w:val="en-GB" w:eastAsia="en-GB"/>
        </w:rPr>
        <w:t xml:space="preserve">rsity into account, </w:t>
      </w:r>
      <w:r w:rsidR="009C18A0" w:rsidRPr="000A37BF">
        <w:rPr>
          <w:kern w:val="22"/>
          <w:sz w:val="22"/>
          <w:szCs w:val="22"/>
          <w:lang w:val="en-GB" w:eastAsia="en-GB"/>
        </w:rPr>
        <w:t>development banks could</w:t>
      </w:r>
      <w:r w:rsidR="005F5531" w:rsidRPr="000A37BF">
        <w:rPr>
          <w:kern w:val="22"/>
          <w:sz w:val="22"/>
          <w:szCs w:val="22"/>
          <w:lang w:val="en-GB" w:eastAsia="en-GB"/>
        </w:rPr>
        <w:t>, where possible,</w:t>
      </w:r>
      <w:r w:rsidR="009C18A0" w:rsidRPr="000A37BF">
        <w:rPr>
          <w:kern w:val="22"/>
          <w:sz w:val="22"/>
          <w:szCs w:val="22"/>
          <w:lang w:val="en-GB" w:eastAsia="en-GB"/>
        </w:rPr>
        <w:t xml:space="preserve"> </w:t>
      </w:r>
      <w:r w:rsidR="00C60967" w:rsidRPr="000A37BF">
        <w:rPr>
          <w:kern w:val="22"/>
          <w:sz w:val="22"/>
          <w:szCs w:val="22"/>
          <w:lang w:val="en-GB" w:eastAsia="en-GB"/>
        </w:rPr>
        <w:t xml:space="preserve">undertake strategic environmental assessments and </w:t>
      </w:r>
      <w:r w:rsidR="00095C44" w:rsidRPr="000A37BF">
        <w:rPr>
          <w:kern w:val="22"/>
          <w:sz w:val="22"/>
          <w:szCs w:val="22"/>
          <w:lang w:val="en-GB" w:eastAsia="en-GB"/>
        </w:rPr>
        <w:t>integrated spatial planning</w:t>
      </w:r>
      <w:r w:rsidR="00E03275" w:rsidRPr="000A37BF">
        <w:rPr>
          <w:kern w:val="22"/>
          <w:sz w:val="22"/>
          <w:szCs w:val="22"/>
          <w:lang w:val="en-GB" w:eastAsia="en-GB"/>
        </w:rPr>
        <w:t>,</w:t>
      </w:r>
      <w:r w:rsidR="00095C44" w:rsidRPr="000A37BF">
        <w:rPr>
          <w:kern w:val="22"/>
          <w:sz w:val="22"/>
          <w:szCs w:val="22"/>
          <w:lang w:val="en-GB" w:eastAsia="en-GB"/>
        </w:rPr>
        <w:t xml:space="preserve"> </w:t>
      </w:r>
      <w:r w:rsidR="004D440E" w:rsidRPr="000A37BF">
        <w:rPr>
          <w:kern w:val="22"/>
          <w:sz w:val="22"/>
          <w:szCs w:val="22"/>
          <w:lang w:val="en-GB" w:eastAsia="en-GB"/>
        </w:rPr>
        <w:t xml:space="preserve">in line with </w:t>
      </w:r>
      <w:r w:rsidR="008F166E" w:rsidRPr="000A37BF">
        <w:rPr>
          <w:kern w:val="22"/>
          <w:sz w:val="22"/>
          <w:szCs w:val="22"/>
          <w:lang w:val="en-GB" w:eastAsia="en-GB"/>
        </w:rPr>
        <w:t xml:space="preserve">paragraph 13 (b) of </w:t>
      </w:r>
      <w:r w:rsidR="004D440E" w:rsidRPr="000A37BF">
        <w:rPr>
          <w:kern w:val="22"/>
          <w:sz w:val="22"/>
          <w:szCs w:val="22"/>
          <w:lang w:val="en-GB" w:eastAsia="en-GB"/>
        </w:rPr>
        <w:t>decision 14/3</w:t>
      </w:r>
      <w:r w:rsidRPr="000A37BF">
        <w:rPr>
          <w:kern w:val="22"/>
          <w:sz w:val="22"/>
          <w:szCs w:val="22"/>
          <w:lang w:val="en-GB" w:eastAsia="en-GB"/>
        </w:rPr>
        <w:t>;</w:t>
      </w:r>
    </w:p>
    <w:p w14:paraId="3E29715E" w14:textId="23403656" w:rsidR="009C18A0" w:rsidRPr="000A37BF" w:rsidRDefault="00C24D7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F6157E" w:rsidRPr="00C053AE">
        <w:rPr>
          <w:kern w:val="22"/>
          <w:sz w:val="22"/>
          <w:szCs w:val="22"/>
          <w:lang w:val="en-GB" w:eastAsia="en-GB"/>
        </w:rPr>
        <w:t>h</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The insurance industry can have a powerful influence on the behaviour of businesses and individuals by sending economic signals through underwriting polices and premiums. The insurance sector should work to improve the modelling and assessment of risks to account for the role of biodiversity and intact ecosystems in disaster risk reduction (i.e. nature-based solutions for disaster risk reductions). This would, in turn, impact on insurance premiums, and send a price signal to public and private actors, including landowners, regarding the importance of intact ecosystems in disaster risk reduction</w:t>
      </w:r>
      <w:r w:rsidR="00F6157E" w:rsidRPr="00C053AE">
        <w:rPr>
          <w:kern w:val="22"/>
          <w:sz w:val="22"/>
          <w:szCs w:val="22"/>
          <w:lang w:val="en-GB" w:eastAsia="en-GB"/>
        </w:rPr>
        <w:t>.</w:t>
      </w:r>
    </w:p>
    <w:p w14:paraId="1138776F" w14:textId="0D8A2B23" w:rsidR="009C18A0" w:rsidRPr="000A37BF" w:rsidRDefault="00CD7B29"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C053AE">
        <w:rPr>
          <w:b/>
          <w:bCs/>
          <w:kern w:val="22"/>
          <w:sz w:val="22"/>
          <w:szCs w:val="22"/>
          <w:lang w:val="en-GB" w:eastAsia="en-GB"/>
        </w:rPr>
        <w:t xml:space="preserve">Identify and incorporate </w:t>
      </w:r>
      <w:r w:rsidR="009C18A0" w:rsidRPr="000A37BF">
        <w:rPr>
          <w:b/>
          <w:bCs/>
          <w:kern w:val="22"/>
          <w:sz w:val="22"/>
          <w:szCs w:val="22"/>
          <w:lang w:val="en-GB" w:eastAsia="en-GB"/>
        </w:rPr>
        <w:t>biodiversity</w:t>
      </w:r>
      <w:r w:rsidRPr="00C053AE">
        <w:rPr>
          <w:b/>
          <w:bCs/>
          <w:kern w:val="22"/>
          <w:sz w:val="22"/>
          <w:szCs w:val="22"/>
          <w:lang w:val="en-GB" w:eastAsia="en-GB"/>
        </w:rPr>
        <w:t xml:space="preserve"> impacts, </w:t>
      </w:r>
      <w:r w:rsidR="009306A5" w:rsidRPr="00C053AE">
        <w:rPr>
          <w:b/>
          <w:bCs/>
          <w:kern w:val="22"/>
          <w:sz w:val="22"/>
          <w:szCs w:val="22"/>
          <w:lang w:val="en-GB" w:eastAsia="en-GB"/>
        </w:rPr>
        <w:t>dependencies</w:t>
      </w:r>
      <w:r w:rsidRPr="00C053AE">
        <w:rPr>
          <w:b/>
          <w:bCs/>
          <w:kern w:val="22"/>
          <w:sz w:val="22"/>
          <w:szCs w:val="22"/>
          <w:lang w:val="en-GB" w:eastAsia="en-GB"/>
        </w:rPr>
        <w:t xml:space="preserve"> and risks</w:t>
      </w:r>
      <w:r w:rsidR="009C18A0" w:rsidRPr="000A37BF">
        <w:rPr>
          <w:b/>
          <w:bCs/>
          <w:kern w:val="22"/>
          <w:sz w:val="22"/>
          <w:szCs w:val="22"/>
          <w:lang w:val="en-GB" w:eastAsia="en-GB"/>
        </w:rPr>
        <w:t xml:space="preserve"> into business models, operations and practices </w:t>
      </w:r>
      <w:r w:rsidRPr="00C053AE">
        <w:rPr>
          <w:b/>
          <w:bCs/>
          <w:kern w:val="22"/>
          <w:sz w:val="22"/>
          <w:szCs w:val="22"/>
          <w:lang w:val="en-GB" w:eastAsia="en-GB"/>
        </w:rPr>
        <w:t xml:space="preserve">with a view </w:t>
      </w:r>
      <w:r w:rsidR="009C18A0" w:rsidRPr="000A37BF">
        <w:rPr>
          <w:b/>
          <w:bCs/>
          <w:kern w:val="22"/>
          <w:sz w:val="22"/>
          <w:szCs w:val="22"/>
          <w:lang w:val="en-GB" w:eastAsia="en-GB"/>
        </w:rPr>
        <w:t xml:space="preserve">to </w:t>
      </w:r>
      <w:r w:rsidRPr="00C053AE">
        <w:rPr>
          <w:b/>
          <w:bCs/>
          <w:kern w:val="22"/>
          <w:sz w:val="22"/>
          <w:szCs w:val="22"/>
          <w:lang w:val="en-GB" w:eastAsia="en-GB"/>
        </w:rPr>
        <w:t>avoid</w:t>
      </w:r>
      <w:r w:rsidR="00BC2E35" w:rsidRPr="00C053AE">
        <w:rPr>
          <w:b/>
          <w:bCs/>
          <w:kern w:val="22"/>
          <w:sz w:val="22"/>
          <w:szCs w:val="22"/>
          <w:lang w:val="en-GB" w:eastAsia="en-GB"/>
        </w:rPr>
        <w:t>ing</w:t>
      </w:r>
      <w:r w:rsidRPr="00C053AE">
        <w:rPr>
          <w:b/>
          <w:bCs/>
          <w:kern w:val="22"/>
          <w:sz w:val="22"/>
          <w:szCs w:val="22"/>
          <w:lang w:val="en-GB" w:eastAsia="en-GB"/>
        </w:rPr>
        <w:t xml:space="preserve"> or minimi</w:t>
      </w:r>
      <w:r w:rsidR="00BC2E35" w:rsidRPr="00C053AE">
        <w:rPr>
          <w:b/>
          <w:bCs/>
          <w:kern w:val="22"/>
          <w:sz w:val="22"/>
          <w:szCs w:val="22"/>
          <w:lang w:val="en-GB" w:eastAsia="en-GB"/>
        </w:rPr>
        <w:t>zing</w:t>
      </w:r>
      <w:r w:rsidRPr="00C053AE">
        <w:rPr>
          <w:b/>
          <w:bCs/>
          <w:kern w:val="22"/>
          <w:sz w:val="22"/>
          <w:szCs w:val="22"/>
          <w:lang w:val="en-GB" w:eastAsia="en-GB"/>
        </w:rPr>
        <w:t xml:space="preserve"> </w:t>
      </w:r>
      <w:r w:rsidR="009C18A0" w:rsidRPr="000A37BF">
        <w:rPr>
          <w:b/>
          <w:bCs/>
          <w:kern w:val="22"/>
          <w:sz w:val="22"/>
          <w:szCs w:val="22"/>
          <w:lang w:val="en-GB" w:eastAsia="en-GB"/>
        </w:rPr>
        <w:t>harm to biodiversity and ecosystems</w:t>
      </w:r>
      <w:r w:rsidR="00B857B3" w:rsidRPr="000A37BF">
        <w:rPr>
          <w:b/>
          <w:bCs/>
          <w:kern w:val="22"/>
          <w:sz w:val="22"/>
          <w:szCs w:val="22"/>
          <w:lang w:val="en-GB" w:eastAsia="en-GB"/>
        </w:rPr>
        <w:t xml:space="preserve">. </w:t>
      </w:r>
      <w:r w:rsidR="009C18A0" w:rsidRPr="000A37BF">
        <w:rPr>
          <w:kern w:val="22"/>
          <w:sz w:val="22"/>
          <w:szCs w:val="22"/>
          <w:lang w:val="en-GB" w:eastAsia="en-GB"/>
        </w:rPr>
        <w:t xml:space="preserve">The private sector’s dependencies and impacts on biodiversity and functioning ecosystems creates potential risks, and investing in managing these risks is proving to be affordable and beneficial. At the same time, the long-established </w:t>
      </w:r>
      <w:r w:rsidR="00046221" w:rsidRPr="000A37BF">
        <w:rPr>
          <w:kern w:val="22"/>
          <w:sz w:val="22"/>
          <w:szCs w:val="22"/>
          <w:lang w:val="en-GB" w:eastAsia="en-GB"/>
        </w:rPr>
        <w:t>“</w:t>
      </w:r>
      <w:r w:rsidR="009C18A0" w:rsidRPr="000A37BF">
        <w:rPr>
          <w:kern w:val="22"/>
          <w:sz w:val="22"/>
          <w:szCs w:val="22"/>
          <w:lang w:val="en-GB" w:eastAsia="en-GB"/>
        </w:rPr>
        <w:t>polluter pays</w:t>
      </w:r>
      <w:r w:rsidR="00046221" w:rsidRPr="000A37BF">
        <w:rPr>
          <w:kern w:val="22"/>
          <w:sz w:val="22"/>
          <w:szCs w:val="22"/>
          <w:lang w:val="en-GB" w:eastAsia="en-GB"/>
        </w:rPr>
        <w:t>”</w:t>
      </w:r>
      <w:r w:rsidR="009C18A0" w:rsidRPr="000A37BF">
        <w:rPr>
          <w:kern w:val="22"/>
          <w:sz w:val="22"/>
          <w:szCs w:val="22"/>
          <w:lang w:val="en-GB" w:eastAsia="en-GB"/>
        </w:rPr>
        <w:t xml:space="preserve"> principle, as well as the idea that those using natural resources need to pay for the value of the natural capital which they extract from the environment, should frame how the business sector reorients its practices in favour of protecting biodiversity and ecosystems. </w:t>
      </w:r>
      <w:r w:rsidR="006B57B6" w:rsidRPr="000A37BF">
        <w:rPr>
          <w:kern w:val="22"/>
          <w:sz w:val="22"/>
          <w:szCs w:val="22"/>
          <w:lang w:val="en-GB" w:eastAsia="en-GB"/>
        </w:rPr>
        <w:t>Thus:</w:t>
      </w:r>
    </w:p>
    <w:p w14:paraId="7DAEAF4D" w14:textId="797335C9" w:rsidR="009C18A0" w:rsidRPr="000A37BF" w:rsidRDefault="007D5A63" w:rsidP="000A37BF">
      <w:pPr>
        <w:keepNext/>
        <w:suppressLineNumbers/>
        <w:suppressAutoHyphens/>
        <w:adjustRightInd w:val="0"/>
        <w:snapToGrid w:val="0"/>
        <w:spacing w:before="120" w:after="120"/>
        <w:ind w:firstLine="720"/>
        <w:jc w:val="both"/>
        <w:rPr>
          <w:kern w:val="22"/>
          <w:sz w:val="22"/>
          <w:szCs w:val="22"/>
          <w:lang w:val="en-GB" w:eastAsia="en-GB"/>
        </w:rPr>
      </w:pPr>
      <w:r w:rsidRPr="000A37BF">
        <w:rPr>
          <w:kern w:val="22"/>
          <w:sz w:val="22"/>
          <w:szCs w:val="22"/>
          <w:lang w:val="en-GB" w:eastAsia="en-GB"/>
        </w:rPr>
        <w:t>(</w:t>
      </w:r>
      <w:r w:rsidR="004A0801" w:rsidRPr="00C053AE">
        <w:rPr>
          <w:kern w:val="22"/>
          <w:sz w:val="22"/>
          <w:szCs w:val="22"/>
          <w:lang w:val="en-GB" w:eastAsia="en-GB"/>
        </w:rPr>
        <w:t>a</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Governments should create policy signals to correct market distortions that do not take biodiversity into account. This includes taxing harmful actions and creating incentives, including subsidies and tax exemptions, to reward biodiversity-positive actions. Guidelines ensuring no net harm to biodiversity should</w:t>
      </w:r>
      <w:r w:rsidR="00B857B3" w:rsidRPr="000A37BF">
        <w:rPr>
          <w:kern w:val="22"/>
          <w:sz w:val="22"/>
          <w:szCs w:val="22"/>
          <w:lang w:val="en-GB" w:eastAsia="en-GB"/>
        </w:rPr>
        <w:t xml:space="preserve"> </w:t>
      </w:r>
      <w:r w:rsidR="009C18A0" w:rsidRPr="000A37BF">
        <w:rPr>
          <w:kern w:val="22"/>
          <w:sz w:val="22"/>
          <w:szCs w:val="22"/>
          <w:lang w:val="en-GB" w:eastAsia="en-GB"/>
        </w:rPr>
        <w:t>be incorporated into international trade agreements</w:t>
      </w:r>
      <w:r w:rsidR="00B94190" w:rsidRPr="000A37BF">
        <w:rPr>
          <w:kern w:val="22"/>
          <w:sz w:val="22"/>
          <w:szCs w:val="22"/>
          <w:lang w:val="en-GB" w:eastAsia="en-GB"/>
        </w:rPr>
        <w:t>;</w:t>
      </w:r>
    </w:p>
    <w:p w14:paraId="59986770" w14:textId="53E369F6" w:rsidR="004A0801" w:rsidRPr="00C053AE" w:rsidRDefault="007D5A63">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4A0801" w:rsidRPr="00C053AE">
        <w:rPr>
          <w:kern w:val="22"/>
          <w:sz w:val="22"/>
          <w:szCs w:val="22"/>
          <w:lang w:val="en-GB" w:eastAsia="en-GB"/>
        </w:rPr>
        <w:t>b</w:t>
      </w:r>
      <w:r w:rsidRPr="000A37BF">
        <w:rPr>
          <w:kern w:val="22"/>
          <w:sz w:val="22"/>
          <w:szCs w:val="22"/>
          <w:lang w:val="en-GB" w:eastAsia="en-GB"/>
        </w:rPr>
        <w:t>)</w:t>
      </w:r>
      <w:r w:rsidRPr="000A37BF">
        <w:rPr>
          <w:kern w:val="22"/>
          <w:sz w:val="22"/>
          <w:szCs w:val="22"/>
          <w:lang w:val="en-GB" w:eastAsia="en-GB"/>
        </w:rPr>
        <w:tab/>
      </w:r>
      <w:r w:rsidR="00B857B3" w:rsidRPr="000A37BF">
        <w:rPr>
          <w:kern w:val="22"/>
          <w:sz w:val="22"/>
          <w:szCs w:val="22"/>
          <w:lang w:val="en-GB" w:eastAsia="en-GB"/>
        </w:rPr>
        <w:t>Moreover, g</w:t>
      </w:r>
      <w:r w:rsidR="009C18A0" w:rsidRPr="000A37BF">
        <w:rPr>
          <w:kern w:val="22"/>
          <w:sz w:val="22"/>
          <w:szCs w:val="22"/>
          <w:lang w:val="en-GB" w:eastAsia="en-GB"/>
        </w:rPr>
        <w:t>overnments should ensure that the mitigation hierarchy</w:t>
      </w:r>
      <w:r w:rsidR="009C18A0" w:rsidRPr="000A37BF">
        <w:rPr>
          <w:kern w:val="22"/>
          <w:sz w:val="22"/>
          <w:szCs w:val="22"/>
          <w:vertAlign w:val="superscript"/>
          <w:lang w:val="en-GB" w:eastAsia="en-GB"/>
        </w:rPr>
        <w:footnoteReference w:id="30"/>
      </w:r>
      <w:r w:rsidR="009C18A0" w:rsidRPr="000A37BF">
        <w:rPr>
          <w:kern w:val="22"/>
          <w:sz w:val="22"/>
          <w:szCs w:val="22"/>
          <w:lang w:val="en-GB" w:eastAsia="en-GB"/>
        </w:rPr>
        <w:t xml:space="preserve"> (i.e. avoid, reduce, then offset) is applied for activities that are harmful to biodiversity, with long-term monitoring and auditing of adherence to decisions. Biodiversity offsets should be incorporated into the mitigation hierarchy, as appropriate. The mitigation hierarchy should be applicable to activities undertaken by both the private and public sector</w:t>
      </w:r>
      <w:r w:rsidR="00710CF9" w:rsidRPr="000A37BF">
        <w:rPr>
          <w:kern w:val="22"/>
          <w:sz w:val="22"/>
          <w:szCs w:val="22"/>
          <w:lang w:val="en-GB" w:eastAsia="en-GB"/>
        </w:rPr>
        <w:t>s</w:t>
      </w:r>
      <w:r w:rsidR="009C18A0" w:rsidRPr="000A37BF">
        <w:rPr>
          <w:kern w:val="22"/>
          <w:sz w:val="22"/>
          <w:szCs w:val="22"/>
          <w:lang w:val="en-GB" w:eastAsia="en-GB"/>
        </w:rPr>
        <w:t>, and implementation thereof should be monitored and audited</w:t>
      </w:r>
      <w:r w:rsidR="004A0801" w:rsidRPr="00C053AE">
        <w:rPr>
          <w:kern w:val="22"/>
          <w:sz w:val="22"/>
          <w:szCs w:val="22"/>
          <w:lang w:val="en-GB" w:eastAsia="en-GB"/>
        </w:rPr>
        <w:t>;</w:t>
      </w:r>
    </w:p>
    <w:p w14:paraId="4F35A943" w14:textId="20D9DE42" w:rsidR="009C18A0" w:rsidRPr="000A37BF" w:rsidRDefault="004A0801" w:rsidP="000A37BF">
      <w:pPr>
        <w:suppressLineNumbers/>
        <w:suppressAutoHyphens/>
        <w:adjustRightInd w:val="0"/>
        <w:snapToGrid w:val="0"/>
        <w:spacing w:after="120"/>
        <w:ind w:firstLine="720"/>
        <w:jc w:val="both"/>
        <w:rPr>
          <w:i/>
          <w:iCs/>
          <w:kern w:val="22"/>
          <w:sz w:val="22"/>
          <w:szCs w:val="22"/>
          <w:lang w:val="en-GB" w:eastAsia="en-GB"/>
        </w:rPr>
      </w:pPr>
      <w:r w:rsidRPr="00C053AE">
        <w:rPr>
          <w:kern w:val="22"/>
          <w:sz w:val="22"/>
          <w:szCs w:val="22"/>
          <w:lang w:val="en-GB" w:eastAsia="en-GB"/>
        </w:rPr>
        <w:t>(c)</w:t>
      </w:r>
      <w:r w:rsidRPr="00C053AE">
        <w:rPr>
          <w:kern w:val="22"/>
          <w:sz w:val="22"/>
          <w:szCs w:val="22"/>
          <w:lang w:val="en-GB" w:eastAsia="en-GB"/>
        </w:rPr>
        <w:tab/>
        <w:t>In order to reduce harm to biodiversity and to help businesses manage risk related to biodiversity, the business sector should improve and adopt biodiversity-relevant green standards, certification and impact measurement practices, and should be required to report on biodiversity impact.</w:t>
      </w:r>
      <w:r w:rsidRPr="00C053AE">
        <w:rPr>
          <w:kern w:val="22"/>
          <w:sz w:val="22"/>
          <w:szCs w:val="22"/>
          <w:vertAlign w:val="superscript"/>
          <w:lang w:val="en-GB" w:eastAsia="en-GB"/>
        </w:rPr>
        <w:footnoteReference w:id="31"/>
      </w:r>
      <w:r w:rsidRPr="00C053AE">
        <w:rPr>
          <w:kern w:val="22"/>
          <w:sz w:val="22"/>
          <w:szCs w:val="22"/>
          <w:lang w:val="en-GB" w:eastAsia="en-GB"/>
        </w:rPr>
        <w:t xml:space="preserve"> Development of improved environmental traceability in value chains and the use of tools such as the Natural Capital Protocol</w:t>
      </w:r>
      <w:r w:rsidRPr="00C053AE">
        <w:rPr>
          <w:kern w:val="22"/>
          <w:sz w:val="22"/>
          <w:szCs w:val="22"/>
          <w:vertAlign w:val="superscript"/>
          <w:lang w:val="en-GB" w:eastAsia="en-GB"/>
        </w:rPr>
        <w:footnoteReference w:id="32"/>
      </w:r>
      <w:r w:rsidRPr="00C053AE">
        <w:rPr>
          <w:kern w:val="22"/>
          <w:sz w:val="22"/>
          <w:szCs w:val="22"/>
          <w:lang w:val="en-GB" w:eastAsia="en-GB"/>
        </w:rPr>
        <w:t xml:space="preserve"> can help private companies measure and value their impact and dependencies on biodiversity, and can help consumers make more informed choices. The creation of an open platform for traceability can create transparent reporting and disclosure</w:t>
      </w:r>
      <w:r w:rsidR="009C18A0" w:rsidRPr="000A37BF">
        <w:rPr>
          <w:kern w:val="22"/>
          <w:sz w:val="22"/>
          <w:szCs w:val="22"/>
          <w:lang w:val="en-GB" w:eastAsia="en-GB"/>
        </w:rPr>
        <w:t>.</w:t>
      </w:r>
    </w:p>
    <w:p w14:paraId="3EEF5233" w14:textId="23FEA11F" w:rsidR="009C18A0" w:rsidRPr="000A37BF" w:rsidRDefault="00C424AC"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C053AE">
        <w:rPr>
          <w:b/>
          <w:bCs/>
          <w:kern w:val="22"/>
          <w:sz w:val="22"/>
          <w:szCs w:val="22"/>
          <w:lang w:val="en-GB" w:eastAsia="en-GB"/>
        </w:rPr>
        <w:t>Identify and incorporate biodiversity impacts, dependencies and risks into strategies, operations and processes of international development finance actors, with a view to avoid</w:t>
      </w:r>
      <w:r w:rsidR="00BC2E35" w:rsidRPr="00C053AE">
        <w:rPr>
          <w:b/>
          <w:bCs/>
          <w:kern w:val="22"/>
          <w:sz w:val="22"/>
          <w:szCs w:val="22"/>
          <w:lang w:val="en-GB" w:eastAsia="en-GB"/>
        </w:rPr>
        <w:t>ing</w:t>
      </w:r>
      <w:r w:rsidRPr="00C053AE">
        <w:rPr>
          <w:b/>
          <w:bCs/>
          <w:kern w:val="22"/>
          <w:sz w:val="22"/>
          <w:szCs w:val="22"/>
          <w:lang w:val="en-GB" w:eastAsia="en-GB"/>
        </w:rPr>
        <w:t xml:space="preserve"> or minimiz</w:t>
      </w:r>
      <w:r w:rsidR="00BC2E35" w:rsidRPr="00C053AE">
        <w:rPr>
          <w:b/>
          <w:bCs/>
          <w:kern w:val="22"/>
          <w:sz w:val="22"/>
          <w:szCs w:val="22"/>
          <w:lang w:val="en-GB" w:eastAsia="en-GB"/>
        </w:rPr>
        <w:t>ing</w:t>
      </w:r>
      <w:r w:rsidRPr="00C053AE">
        <w:rPr>
          <w:b/>
          <w:bCs/>
          <w:kern w:val="22"/>
          <w:sz w:val="22"/>
          <w:szCs w:val="22"/>
          <w:lang w:val="en-GB" w:eastAsia="en-GB"/>
        </w:rPr>
        <w:t xml:space="preserve"> net harm caused by development finance, including climate finance</w:t>
      </w:r>
      <w:r w:rsidR="006B57B6" w:rsidRPr="000A37BF">
        <w:rPr>
          <w:b/>
          <w:bCs/>
          <w:kern w:val="22"/>
          <w:sz w:val="22"/>
          <w:szCs w:val="22"/>
          <w:lang w:val="en-GB" w:eastAsia="en-GB"/>
        </w:rPr>
        <w:t>:</w:t>
      </w:r>
    </w:p>
    <w:p w14:paraId="7E31563A" w14:textId="7A77FAAD" w:rsidR="009C18A0" w:rsidRPr="000A37BF" w:rsidRDefault="00525B25"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9C18A0" w:rsidRPr="000A37BF">
        <w:rPr>
          <w:kern w:val="22"/>
          <w:sz w:val="22"/>
          <w:szCs w:val="22"/>
          <w:lang w:val="en-GB" w:eastAsia="en-GB"/>
        </w:rPr>
        <w:t>Safeguards should be established and enhanced for international development finance in order to identify and remedy unintended negative consequences of ODA, OOF</w:t>
      </w:r>
      <w:r w:rsidR="00355BFE" w:rsidRPr="000A37BF">
        <w:rPr>
          <w:kern w:val="22"/>
          <w:sz w:val="22"/>
          <w:szCs w:val="22"/>
          <w:lang w:val="en-GB" w:eastAsia="en-GB"/>
        </w:rPr>
        <w:t xml:space="preserve"> and</w:t>
      </w:r>
      <w:r w:rsidR="009C18A0" w:rsidRPr="000A37BF">
        <w:rPr>
          <w:kern w:val="22"/>
          <w:sz w:val="22"/>
          <w:szCs w:val="22"/>
          <w:lang w:val="en-GB" w:eastAsia="en-GB"/>
        </w:rPr>
        <w:t xml:space="preserve"> </w:t>
      </w:r>
      <w:r w:rsidR="00046221" w:rsidRPr="000A37BF">
        <w:rPr>
          <w:kern w:val="22"/>
          <w:sz w:val="22"/>
          <w:szCs w:val="22"/>
          <w:lang w:val="en-GB" w:eastAsia="en-GB"/>
        </w:rPr>
        <w:t>S</w:t>
      </w:r>
      <w:r w:rsidR="009C18A0" w:rsidRPr="000A37BF">
        <w:rPr>
          <w:kern w:val="22"/>
          <w:sz w:val="22"/>
          <w:szCs w:val="22"/>
          <w:lang w:val="en-GB" w:eastAsia="en-GB"/>
        </w:rPr>
        <w:t>outh-</w:t>
      </w:r>
      <w:r w:rsidR="00046221" w:rsidRPr="000A37BF">
        <w:rPr>
          <w:kern w:val="22"/>
          <w:sz w:val="22"/>
          <w:szCs w:val="22"/>
          <w:lang w:val="en-GB" w:eastAsia="en-GB"/>
        </w:rPr>
        <w:t>S</w:t>
      </w:r>
      <w:r w:rsidR="009C18A0" w:rsidRPr="000A37BF">
        <w:rPr>
          <w:kern w:val="22"/>
          <w:sz w:val="22"/>
          <w:szCs w:val="22"/>
          <w:lang w:val="en-GB" w:eastAsia="en-GB"/>
        </w:rPr>
        <w:t>outh cooperation</w:t>
      </w:r>
      <w:r w:rsidR="00355BFE" w:rsidRPr="000A37BF">
        <w:rPr>
          <w:kern w:val="22"/>
          <w:sz w:val="22"/>
          <w:szCs w:val="22"/>
          <w:lang w:val="en-GB" w:eastAsia="en-GB"/>
        </w:rPr>
        <w:t xml:space="preserve">. </w:t>
      </w:r>
      <w:r w:rsidR="009C18A0" w:rsidRPr="000A37BF">
        <w:rPr>
          <w:kern w:val="22"/>
          <w:sz w:val="22"/>
          <w:szCs w:val="22"/>
          <w:lang w:val="en-GB" w:eastAsia="en-GB"/>
        </w:rPr>
        <w:t xml:space="preserve">This includes </w:t>
      </w:r>
      <w:r w:rsidR="00B94190" w:rsidRPr="000A37BF">
        <w:rPr>
          <w:kern w:val="22"/>
          <w:sz w:val="22"/>
          <w:szCs w:val="22"/>
          <w:lang w:val="en-GB" w:eastAsia="en-GB"/>
        </w:rPr>
        <w:t xml:space="preserve">safeguards for </w:t>
      </w:r>
      <w:r w:rsidR="009C18A0" w:rsidRPr="000A37BF">
        <w:rPr>
          <w:kern w:val="22"/>
          <w:sz w:val="22"/>
          <w:szCs w:val="22"/>
          <w:lang w:val="en-GB" w:eastAsia="en-GB"/>
        </w:rPr>
        <w:t>finance flows that aim to achieve the objectives of the Paris Agreement</w:t>
      </w:r>
      <w:r w:rsidR="00183970" w:rsidRPr="000A37BF">
        <w:rPr>
          <w:rStyle w:val="FootnoteReference"/>
          <w:kern w:val="22"/>
          <w:sz w:val="22"/>
          <w:szCs w:val="22"/>
          <w:u w:val="none"/>
          <w:vertAlign w:val="superscript"/>
          <w:lang w:val="en-GB" w:eastAsia="en-GB"/>
        </w:rPr>
        <w:footnoteReference w:id="33"/>
      </w:r>
      <w:r w:rsidR="009C18A0" w:rsidRPr="000A37BF">
        <w:rPr>
          <w:kern w:val="22"/>
          <w:sz w:val="22"/>
          <w:szCs w:val="22"/>
          <w:lang w:val="en-GB" w:eastAsia="en-GB"/>
        </w:rPr>
        <w:t xml:space="preserve"> </w:t>
      </w:r>
      <w:r w:rsidR="00CE7EF6" w:rsidRPr="000A37BF">
        <w:rPr>
          <w:kern w:val="22"/>
          <w:sz w:val="22"/>
          <w:szCs w:val="22"/>
          <w:lang w:val="en-GB" w:eastAsia="en-GB"/>
        </w:rPr>
        <w:t xml:space="preserve">adopted under the United Nations Framework Convention on Climate Change, </w:t>
      </w:r>
      <w:r w:rsidR="00801281" w:rsidRPr="000A37BF">
        <w:rPr>
          <w:kern w:val="22"/>
          <w:sz w:val="22"/>
          <w:szCs w:val="22"/>
          <w:lang w:val="en-GB" w:eastAsia="en-GB"/>
        </w:rPr>
        <w:t xml:space="preserve">the 2030 </w:t>
      </w:r>
      <w:r w:rsidR="009C18A0" w:rsidRPr="000A37BF">
        <w:rPr>
          <w:kern w:val="22"/>
          <w:sz w:val="22"/>
          <w:szCs w:val="22"/>
          <w:lang w:val="en-GB" w:eastAsia="en-GB"/>
        </w:rPr>
        <w:lastRenderedPageBreak/>
        <w:t xml:space="preserve">Agenda </w:t>
      </w:r>
      <w:r w:rsidR="00801281" w:rsidRPr="000A37BF">
        <w:rPr>
          <w:kern w:val="22"/>
          <w:sz w:val="22"/>
          <w:szCs w:val="22"/>
          <w:lang w:val="en-GB" w:eastAsia="en-GB"/>
        </w:rPr>
        <w:t xml:space="preserve">for Sustainable Development </w:t>
      </w:r>
      <w:r w:rsidR="009C18A0" w:rsidRPr="000A37BF">
        <w:rPr>
          <w:kern w:val="22"/>
          <w:sz w:val="22"/>
          <w:szCs w:val="22"/>
          <w:lang w:val="en-GB" w:eastAsia="en-GB"/>
        </w:rPr>
        <w:t xml:space="preserve">and </w:t>
      </w:r>
      <w:r w:rsidR="00801281" w:rsidRPr="000A37BF">
        <w:rPr>
          <w:kern w:val="22"/>
          <w:sz w:val="22"/>
          <w:szCs w:val="22"/>
          <w:lang w:val="en-GB" w:eastAsia="en-GB"/>
        </w:rPr>
        <w:t xml:space="preserve">its </w:t>
      </w:r>
      <w:r w:rsidR="009C18A0" w:rsidRPr="000A37BF">
        <w:rPr>
          <w:kern w:val="22"/>
          <w:sz w:val="22"/>
          <w:szCs w:val="22"/>
          <w:lang w:val="en-GB" w:eastAsia="en-GB"/>
        </w:rPr>
        <w:t>Sustainable Development Goals, and the Sendai Framework for Disaster Risk Reduction</w:t>
      </w:r>
      <w:r w:rsidR="007038FC" w:rsidRPr="000A37BF">
        <w:rPr>
          <w:kern w:val="22"/>
          <w:sz w:val="22"/>
          <w:szCs w:val="22"/>
          <w:shd w:val="clear" w:color="auto" w:fill="FFFFFF"/>
          <w:lang w:val="en-GB"/>
        </w:rPr>
        <w:t xml:space="preserve"> </w:t>
      </w:r>
      <w:r w:rsidR="007038FC" w:rsidRPr="000A37BF">
        <w:rPr>
          <w:kern w:val="22"/>
          <w:sz w:val="22"/>
          <w:szCs w:val="22"/>
          <w:lang w:val="en-GB" w:eastAsia="en-GB"/>
        </w:rPr>
        <w:t>2015-2030</w:t>
      </w:r>
      <w:r w:rsidR="00775E91" w:rsidRPr="00C053AE">
        <w:rPr>
          <w:kern w:val="22"/>
          <w:sz w:val="22"/>
          <w:szCs w:val="22"/>
          <w:lang w:val="en-GB" w:eastAsia="en-GB"/>
        </w:rPr>
        <w:t>, a</w:t>
      </w:r>
      <w:r w:rsidR="00DE0BE1" w:rsidRPr="00C053AE">
        <w:rPr>
          <w:kern w:val="22"/>
          <w:sz w:val="22"/>
          <w:szCs w:val="22"/>
          <w:lang w:val="en-GB" w:eastAsia="en-GB"/>
        </w:rPr>
        <w:t>s well as</w:t>
      </w:r>
      <w:r w:rsidR="00775E91" w:rsidRPr="00C053AE">
        <w:rPr>
          <w:kern w:val="22"/>
          <w:sz w:val="22"/>
          <w:szCs w:val="22"/>
          <w:lang w:val="en-GB" w:eastAsia="en-GB"/>
        </w:rPr>
        <w:t xml:space="preserve"> economic recovery related to the current pandemic</w:t>
      </w:r>
      <w:r w:rsidRPr="000A37BF">
        <w:rPr>
          <w:kern w:val="22"/>
          <w:sz w:val="22"/>
          <w:szCs w:val="22"/>
          <w:lang w:val="en-GB" w:eastAsia="en-GB"/>
        </w:rPr>
        <w:t>;</w:t>
      </w:r>
    </w:p>
    <w:p w14:paraId="51F84A86" w14:textId="67D8A592" w:rsidR="009C18A0" w:rsidRPr="000A37BF" w:rsidRDefault="00525B25"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(b)</w:t>
      </w:r>
      <w:r w:rsidRPr="000A37BF">
        <w:rPr>
          <w:kern w:val="22"/>
          <w:sz w:val="22"/>
          <w:szCs w:val="22"/>
          <w:lang w:val="en-GB" w:eastAsia="en-GB"/>
        </w:rPr>
        <w:tab/>
      </w:r>
      <w:r w:rsidR="009C18A0" w:rsidRPr="000A37BF">
        <w:rPr>
          <w:kern w:val="22"/>
          <w:sz w:val="22"/>
          <w:szCs w:val="22"/>
          <w:lang w:val="en-GB" w:eastAsia="en-GB"/>
        </w:rPr>
        <w:t>Partnerships and platforms should be created to enable the development of synergistic solutions which integrate biodiversity into the broader sustainable development agenda and the related funding flows of ODA, OOF</w:t>
      </w:r>
      <w:r w:rsidR="00355BFE" w:rsidRPr="000A37BF">
        <w:rPr>
          <w:kern w:val="22"/>
          <w:sz w:val="22"/>
          <w:szCs w:val="22"/>
          <w:lang w:val="en-GB" w:eastAsia="en-GB"/>
        </w:rPr>
        <w:t xml:space="preserve"> and</w:t>
      </w:r>
      <w:r w:rsidR="009C18A0" w:rsidRPr="000A37BF">
        <w:rPr>
          <w:kern w:val="22"/>
          <w:sz w:val="22"/>
          <w:szCs w:val="22"/>
          <w:lang w:val="en-GB" w:eastAsia="en-GB"/>
        </w:rPr>
        <w:t xml:space="preserve"> </w:t>
      </w:r>
      <w:r w:rsidR="00046221" w:rsidRPr="000A37BF">
        <w:rPr>
          <w:kern w:val="22"/>
          <w:sz w:val="22"/>
          <w:szCs w:val="22"/>
          <w:lang w:val="en-GB" w:eastAsia="en-GB"/>
        </w:rPr>
        <w:t>S</w:t>
      </w:r>
      <w:r w:rsidR="009C18A0" w:rsidRPr="000A37BF">
        <w:rPr>
          <w:kern w:val="22"/>
          <w:sz w:val="22"/>
          <w:szCs w:val="22"/>
          <w:lang w:val="en-GB" w:eastAsia="en-GB"/>
        </w:rPr>
        <w:t>outh-</w:t>
      </w:r>
      <w:r w:rsidR="00046221" w:rsidRPr="000A37BF">
        <w:rPr>
          <w:kern w:val="22"/>
          <w:sz w:val="22"/>
          <w:szCs w:val="22"/>
          <w:lang w:val="en-GB" w:eastAsia="en-GB"/>
        </w:rPr>
        <w:t>S</w:t>
      </w:r>
      <w:r w:rsidR="009C18A0" w:rsidRPr="000A37BF">
        <w:rPr>
          <w:kern w:val="22"/>
          <w:sz w:val="22"/>
          <w:szCs w:val="22"/>
          <w:lang w:val="en-GB" w:eastAsia="en-GB"/>
        </w:rPr>
        <w:t>outh cooperation</w:t>
      </w:r>
      <w:r w:rsidR="00355BFE" w:rsidRPr="000A37BF">
        <w:rPr>
          <w:kern w:val="22"/>
          <w:sz w:val="22"/>
          <w:szCs w:val="22"/>
          <w:lang w:val="en-GB" w:eastAsia="en-GB"/>
        </w:rPr>
        <w:t>.</w:t>
      </w:r>
      <w:r w:rsidR="009C18A0" w:rsidRPr="000A37BF">
        <w:rPr>
          <w:kern w:val="22"/>
          <w:sz w:val="22"/>
          <w:szCs w:val="22"/>
          <w:lang w:val="en-GB" w:eastAsia="en-GB"/>
        </w:rPr>
        <w:t xml:space="preserve"> This should result in science, technology and policy guidelines and decisions that ensure no net harm to biodiversity, while achieving sustainable development goals and sub-targets, including those related to poverty reduction, food security, health, water and sanitation, employment and economic growth, industry innovation and infrastructure, urban development, energy, and climate change.</w:t>
      </w:r>
    </w:p>
    <w:p w14:paraId="3D4FEAD2" w14:textId="3A406420" w:rsidR="009C18A0" w:rsidRPr="000A37BF" w:rsidRDefault="004E48F1" w:rsidP="000A37BF">
      <w:pPr>
        <w:pStyle w:val="HEADINGNOTFORTOC"/>
        <w:suppressLineNumbers/>
        <w:tabs>
          <w:tab w:val="clear" w:pos="720"/>
        </w:tabs>
        <w:suppressAutoHyphens/>
        <w:adjustRightInd w:val="0"/>
        <w:snapToGrid w:val="0"/>
        <w:spacing w:before="0" w:after="0"/>
        <w:ind w:left="1134" w:hanging="567"/>
        <w:jc w:val="left"/>
        <w:rPr>
          <w:rFonts w:ascii="Times New Roman Bold" w:hAnsi="Times New Roman Bold"/>
          <w:kern w:val="22"/>
          <w:sz w:val="22"/>
          <w:szCs w:val="22"/>
          <w:lang w:val="en-GB" w:eastAsia="en-GB"/>
        </w:rPr>
      </w:pPr>
      <w:r w:rsidRPr="000A37BF">
        <w:rPr>
          <w:rFonts w:ascii="Times New Roman Bold" w:hAnsi="Times New Roman Bold"/>
          <w:kern w:val="22"/>
          <w:sz w:val="22"/>
          <w:szCs w:val="22"/>
          <w:lang w:val="en-GB" w:eastAsia="en-GB"/>
        </w:rPr>
        <w:t>IV.</w:t>
      </w:r>
      <w:r w:rsidRPr="000A37BF">
        <w:rPr>
          <w:rFonts w:ascii="Times New Roman Bold" w:hAnsi="Times New Roman Bold"/>
          <w:kern w:val="22"/>
          <w:sz w:val="22"/>
          <w:szCs w:val="22"/>
          <w:lang w:val="en-GB" w:eastAsia="en-GB"/>
        </w:rPr>
        <w:tab/>
      </w:r>
      <w:r w:rsidR="009C18A0" w:rsidRPr="000A37BF">
        <w:rPr>
          <w:rFonts w:ascii="Times New Roman Bold" w:hAnsi="Times New Roman Bold"/>
          <w:kern w:val="22"/>
          <w:sz w:val="22"/>
          <w:szCs w:val="22"/>
          <w:lang w:val="en-GB" w:eastAsia="en-GB"/>
        </w:rPr>
        <w:t xml:space="preserve">Resource </w:t>
      </w:r>
      <w:r w:rsidR="0019341A" w:rsidRPr="000A37BF">
        <w:rPr>
          <w:rFonts w:ascii="Times New Roman Bold" w:hAnsi="Times New Roman Bold"/>
          <w:kern w:val="22"/>
          <w:sz w:val="22"/>
          <w:szCs w:val="22"/>
          <w:lang w:val="en-GB" w:eastAsia="en-GB"/>
        </w:rPr>
        <w:t>m</w:t>
      </w:r>
      <w:r w:rsidR="009C18A0" w:rsidRPr="000A37BF">
        <w:rPr>
          <w:rFonts w:ascii="Times New Roman Bold" w:hAnsi="Times New Roman Bold"/>
          <w:kern w:val="22"/>
          <w:sz w:val="22"/>
          <w:szCs w:val="22"/>
          <w:lang w:val="en-GB" w:eastAsia="en-GB"/>
        </w:rPr>
        <w:t>obili</w:t>
      </w:r>
      <w:r w:rsidR="00EE709A" w:rsidRPr="000A37BF">
        <w:rPr>
          <w:rFonts w:ascii="Times New Roman Bold" w:hAnsi="Times New Roman Bold"/>
          <w:kern w:val="22"/>
          <w:sz w:val="22"/>
          <w:szCs w:val="22"/>
          <w:lang w:val="en-GB" w:eastAsia="en-GB"/>
        </w:rPr>
        <w:t>z</w:t>
      </w:r>
      <w:r w:rsidR="009C18A0" w:rsidRPr="000A37BF">
        <w:rPr>
          <w:rFonts w:ascii="Times New Roman Bold" w:hAnsi="Times New Roman Bold"/>
          <w:kern w:val="22"/>
          <w:sz w:val="22"/>
          <w:szCs w:val="22"/>
          <w:lang w:val="en-GB" w:eastAsia="en-GB"/>
        </w:rPr>
        <w:t xml:space="preserve">ation </w:t>
      </w:r>
      <w:r w:rsidR="0019341A" w:rsidRPr="000A37BF">
        <w:rPr>
          <w:rFonts w:ascii="Times New Roman Bold" w:hAnsi="Times New Roman Bold"/>
          <w:kern w:val="22"/>
          <w:sz w:val="22"/>
          <w:szCs w:val="22"/>
          <w:lang w:val="en-GB" w:eastAsia="en-GB"/>
        </w:rPr>
        <w:t>c</w:t>
      </w:r>
      <w:r w:rsidR="009C18A0" w:rsidRPr="000A37BF">
        <w:rPr>
          <w:rFonts w:ascii="Times New Roman Bold" w:hAnsi="Times New Roman Bold"/>
          <w:kern w:val="22"/>
          <w:sz w:val="22"/>
          <w:szCs w:val="22"/>
          <w:lang w:val="en-GB" w:eastAsia="en-GB"/>
        </w:rPr>
        <w:t xml:space="preserve">omponent II: </w:t>
      </w:r>
      <w:r w:rsidR="002F232B" w:rsidRPr="000A37BF">
        <w:rPr>
          <w:rFonts w:ascii="Times New Roman Bold" w:hAnsi="Times New Roman Bold"/>
          <w:kern w:val="22"/>
          <w:sz w:val="22"/>
          <w:szCs w:val="22"/>
          <w:lang w:val="en-GB" w:eastAsia="en-GB"/>
        </w:rPr>
        <w:t>g</w:t>
      </w:r>
      <w:r w:rsidR="009C18A0" w:rsidRPr="000A37BF">
        <w:rPr>
          <w:rFonts w:ascii="Times New Roman Bold" w:hAnsi="Times New Roman Bold"/>
          <w:kern w:val="22"/>
          <w:sz w:val="22"/>
          <w:szCs w:val="22"/>
          <w:lang w:val="en-GB" w:eastAsia="en-GB"/>
        </w:rPr>
        <w:t>enerat</w:t>
      </w:r>
      <w:r w:rsidR="009306A5" w:rsidRPr="000A37BF">
        <w:rPr>
          <w:rFonts w:ascii="Times New Roman Bold" w:hAnsi="Times New Roman Bold"/>
          <w:kern w:val="22"/>
          <w:sz w:val="22"/>
          <w:szCs w:val="22"/>
          <w:lang w:val="en-GB" w:eastAsia="en-GB"/>
        </w:rPr>
        <w:t>e</w:t>
      </w:r>
      <w:r w:rsidR="009C18A0" w:rsidRPr="000A37BF">
        <w:rPr>
          <w:rFonts w:ascii="Times New Roman Bold" w:hAnsi="Times New Roman Bold"/>
          <w:kern w:val="22"/>
          <w:sz w:val="22"/>
          <w:szCs w:val="22"/>
          <w:lang w:val="en-GB" w:eastAsia="en-GB"/>
        </w:rPr>
        <w:t xml:space="preserve"> additional resources from all sources to achieve the three objectives of the Convention</w:t>
      </w:r>
    </w:p>
    <w:p w14:paraId="2ECCE686" w14:textId="534E03F4" w:rsidR="00F177B0" w:rsidRPr="000A37BF" w:rsidRDefault="00F177B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 xml:space="preserve">Key actions to be taken in order to achieve this component of resource mobilization are </w:t>
      </w:r>
      <w:r w:rsidR="000107DF" w:rsidRPr="000A37BF">
        <w:rPr>
          <w:kern w:val="22"/>
          <w:sz w:val="22"/>
          <w:szCs w:val="22"/>
          <w:lang w:val="en-GB" w:eastAsia="en-GB"/>
        </w:rPr>
        <w:t>recommended</w:t>
      </w:r>
      <w:r w:rsidRPr="000A37BF">
        <w:rPr>
          <w:kern w:val="22"/>
          <w:sz w:val="22"/>
          <w:szCs w:val="22"/>
          <w:lang w:val="en-GB" w:eastAsia="en-GB"/>
        </w:rPr>
        <w:t xml:space="preserve"> in the paragraphs that follow.</w:t>
      </w:r>
    </w:p>
    <w:p w14:paraId="4537A5EC" w14:textId="0EFE1A1B"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b/>
          <w:bCs/>
          <w:kern w:val="22"/>
          <w:sz w:val="22"/>
          <w:szCs w:val="22"/>
          <w:lang w:val="en-GB" w:eastAsia="en-GB"/>
        </w:rPr>
        <w:t>Increase domestic public expenditure, both direct and indirect, to achieve the three objectives of the Convention</w:t>
      </w:r>
      <w:r w:rsidR="008342E2" w:rsidRPr="000A37BF">
        <w:rPr>
          <w:b/>
          <w:bCs/>
          <w:kern w:val="22"/>
          <w:sz w:val="22"/>
          <w:szCs w:val="22"/>
          <w:lang w:val="en-GB" w:eastAsia="en-GB"/>
        </w:rPr>
        <w:t xml:space="preserve">. </w:t>
      </w:r>
      <w:r w:rsidRPr="000A37BF">
        <w:rPr>
          <w:kern w:val="22"/>
          <w:sz w:val="22"/>
          <w:szCs w:val="22"/>
          <w:lang w:val="en-GB" w:eastAsia="en-GB"/>
        </w:rPr>
        <w:t>There is a strong socioeconomic case for increasing investment in biodiversity conservation, sustainable use, and restoration. The most comprehensive global estimate puts the value of ecosystem services at US</w:t>
      </w:r>
      <w:r w:rsidR="003B177C" w:rsidRPr="000A37BF">
        <w:rPr>
          <w:kern w:val="22"/>
          <w:sz w:val="22"/>
          <w:szCs w:val="22"/>
          <w:lang w:val="en-GB" w:eastAsia="en-GB"/>
        </w:rPr>
        <w:t>$</w:t>
      </w:r>
      <w:r w:rsidRPr="000A37BF">
        <w:rPr>
          <w:kern w:val="22"/>
          <w:sz w:val="22"/>
          <w:szCs w:val="22"/>
          <w:lang w:val="en-GB" w:eastAsia="en-GB"/>
        </w:rPr>
        <w:t xml:space="preserve"> 125 </w:t>
      </w:r>
      <w:r w:rsidR="003B177C" w:rsidRPr="000A37BF">
        <w:rPr>
          <w:kern w:val="22"/>
          <w:sz w:val="22"/>
          <w:szCs w:val="22"/>
          <w:lang w:val="en-GB" w:eastAsia="en-GB"/>
        </w:rPr>
        <w:t xml:space="preserve">trillion </w:t>
      </w:r>
      <w:r w:rsidRPr="000A37BF">
        <w:rPr>
          <w:kern w:val="22"/>
          <w:sz w:val="22"/>
          <w:szCs w:val="22"/>
          <w:lang w:val="en-GB" w:eastAsia="en-GB"/>
        </w:rPr>
        <w:t xml:space="preserve">to </w:t>
      </w:r>
      <w:r w:rsidR="00F83EF2" w:rsidRPr="000A37BF">
        <w:rPr>
          <w:kern w:val="22"/>
          <w:sz w:val="22"/>
          <w:szCs w:val="22"/>
          <w:lang w:val="en-GB" w:eastAsia="en-GB"/>
        </w:rPr>
        <w:t>US$ </w:t>
      </w:r>
      <w:r w:rsidRPr="000A37BF">
        <w:rPr>
          <w:kern w:val="22"/>
          <w:sz w:val="22"/>
          <w:szCs w:val="22"/>
          <w:lang w:val="en-GB" w:eastAsia="en-GB"/>
        </w:rPr>
        <w:t>140 trillion per year, greater than one and a half times the global GDP.</w:t>
      </w:r>
      <w:r w:rsidRPr="000A37BF">
        <w:rPr>
          <w:kern w:val="22"/>
          <w:sz w:val="22"/>
          <w:szCs w:val="22"/>
          <w:vertAlign w:val="superscript"/>
          <w:lang w:val="en-GB" w:eastAsia="en-GB"/>
        </w:rPr>
        <w:footnoteReference w:id="34"/>
      </w:r>
      <w:r w:rsidRPr="000A37BF">
        <w:rPr>
          <w:kern w:val="22"/>
          <w:sz w:val="22"/>
          <w:szCs w:val="22"/>
          <w:lang w:val="en-GB" w:eastAsia="en-GB"/>
        </w:rPr>
        <w:t xml:space="preserve"> The costs of inaction are high and are likely to increase over time.</w:t>
      </w:r>
      <w:r w:rsidRPr="000A37BF">
        <w:rPr>
          <w:kern w:val="22"/>
          <w:sz w:val="22"/>
          <w:szCs w:val="22"/>
          <w:vertAlign w:val="superscript"/>
          <w:lang w:val="en-GB" w:eastAsia="en-GB"/>
        </w:rPr>
        <w:footnoteReference w:id="35"/>
      </w:r>
      <w:r w:rsidRPr="000A37BF">
        <w:rPr>
          <w:kern w:val="22"/>
          <w:sz w:val="22"/>
          <w:szCs w:val="22"/>
          <w:lang w:val="en-GB" w:eastAsia="en-GB"/>
        </w:rPr>
        <w:t xml:space="preserve"> </w:t>
      </w:r>
      <w:r w:rsidR="006B57B6" w:rsidRPr="000A37BF">
        <w:rPr>
          <w:kern w:val="22"/>
          <w:sz w:val="22"/>
          <w:szCs w:val="22"/>
          <w:lang w:val="en-GB" w:eastAsia="en-GB"/>
        </w:rPr>
        <w:t>Thus:</w:t>
      </w:r>
    </w:p>
    <w:p w14:paraId="2D0A58CC" w14:textId="72FA89CB" w:rsidR="009C18A0" w:rsidRPr="000A37BF" w:rsidRDefault="007A4143"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9C18A0" w:rsidRPr="000A37BF">
        <w:rPr>
          <w:kern w:val="22"/>
          <w:sz w:val="22"/>
          <w:szCs w:val="22"/>
          <w:lang w:val="en-GB" w:eastAsia="en-GB"/>
        </w:rPr>
        <w:t>The public sector should continue to play a lead role in providing a sustained flow of resources for biodiversity conservation, sustainable use and restoration. The public sector should increase direct domestic expenditure in recognition of the level of ambition in the post-2020 global biodiversity framework for achieving the three objectives of the Convention. This will be an essential component of increasing resources for biodiversity, recogni</w:t>
      </w:r>
      <w:r w:rsidR="00A43077" w:rsidRPr="000A37BF">
        <w:rPr>
          <w:kern w:val="22"/>
          <w:sz w:val="22"/>
          <w:szCs w:val="22"/>
          <w:lang w:val="en-GB" w:eastAsia="en-GB"/>
        </w:rPr>
        <w:t>z</w:t>
      </w:r>
      <w:r w:rsidR="009C18A0" w:rsidRPr="000A37BF">
        <w:rPr>
          <w:kern w:val="22"/>
          <w:sz w:val="22"/>
          <w:szCs w:val="22"/>
          <w:lang w:val="en-GB" w:eastAsia="en-GB"/>
        </w:rPr>
        <w:t>ing that many biodiversity-positive projects will need to be financed out of public funds, given the fundamental nature of public goods, and an understanding that, while it will be important to increase private sector finance, this alone will never be sufficient for meeting all of the challenges of achieving the post-2020 global biodiversity framework</w:t>
      </w:r>
      <w:r w:rsidRPr="000A37BF">
        <w:rPr>
          <w:kern w:val="22"/>
          <w:sz w:val="22"/>
          <w:szCs w:val="22"/>
          <w:lang w:val="en-GB" w:eastAsia="en-GB"/>
        </w:rPr>
        <w:t>;</w:t>
      </w:r>
    </w:p>
    <w:p w14:paraId="14970274" w14:textId="10852F01" w:rsidR="009C18A0" w:rsidRPr="000A37BF" w:rsidRDefault="007A4143"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(b)</w:t>
      </w:r>
      <w:r w:rsidRPr="000A37BF">
        <w:rPr>
          <w:kern w:val="22"/>
          <w:sz w:val="22"/>
          <w:szCs w:val="22"/>
          <w:lang w:val="en-GB" w:eastAsia="en-GB"/>
        </w:rPr>
        <w:tab/>
      </w:r>
      <w:r w:rsidR="009C18A0" w:rsidRPr="000A37BF">
        <w:rPr>
          <w:kern w:val="22"/>
          <w:sz w:val="22"/>
          <w:szCs w:val="22"/>
          <w:lang w:val="en-GB" w:eastAsia="en-GB"/>
        </w:rPr>
        <w:t>Indirect domestic expenditure on biodiversity can be increased when biodiversity is mainstreamed into other government functions. Examples of key government functions into which biodiversity can be mainstreamed include water and sanitation (e.g. through increased investment in catchment management, as part of investment in the network of water-related infrastructure)</w:t>
      </w:r>
      <w:r w:rsidR="00355BFE" w:rsidRPr="000A37BF">
        <w:rPr>
          <w:kern w:val="22"/>
          <w:sz w:val="22"/>
          <w:szCs w:val="22"/>
          <w:lang w:val="en-GB" w:eastAsia="en-GB"/>
        </w:rPr>
        <w:t>,</w:t>
      </w:r>
      <w:r w:rsidR="009C18A0" w:rsidRPr="000A37BF">
        <w:rPr>
          <w:kern w:val="22"/>
          <w:sz w:val="22"/>
          <w:szCs w:val="22"/>
          <w:lang w:val="en-GB" w:eastAsia="en-GB"/>
        </w:rPr>
        <w:t xml:space="preserve"> disaster risk reduction (e.g. through restoration of mangroves and wetlands as part of a flood management strategy, or removal of fire-prone alien invasive plants to reduce risk of unnatural fires), as well as the primary production sectors (e.g. regenerative agriculture).</w:t>
      </w:r>
      <w:r w:rsidR="009C18A0" w:rsidRPr="000A37BF">
        <w:rPr>
          <w:kern w:val="22"/>
          <w:sz w:val="22"/>
          <w:szCs w:val="22"/>
          <w:vertAlign w:val="superscript"/>
          <w:lang w:val="en-GB" w:eastAsia="en-GB"/>
        </w:rPr>
        <w:footnoteReference w:id="36"/>
      </w:r>
    </w:p>
    <w:p w14:paraId="72D70AEF" w14:textId="6068EF63" w:rsidR="00924083"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b/>
          <w:bCs/>
          <w:kern w:val="22"/>
          <w:sz w:val="22"/>
          <w:szCs w:val="22"/>
          <w:lang w:val="en-GB" w:eastAsia="en-GB"/>
        </w:rPr>
        <w:t>Increase private sector (business and finance) investment in biodiversity-positive projects</w:t>
      </w:r>
      <w:r w:rsidR="006E21C5" w:rsidRPr="000A37BF">
        <w:rPr>
          <w:b/>
          <w:bCs/>
          <w:kern w:val="22"/>
          <w:sz w:val="22"/>
          <w:szCs w:val="22"/>
          <w:lang w:val="en-GB" w:eastAsia="en-GB"/>
        </w:rPr>
        <w:t>, including</w:t>
      </w:r>
      <w:r w:rsidRPr="000A37BF">
        <w:rPr>
          <w:b/>
          <w:bCs/>
          <w:kern w:val="22"/>
          <w:sz w:val="22"/>
          <w:szCs w:val="22"/>
          <w:lang w:val="en-GB" w:eastAsia="en-GB"/>
        </w:rPr>
        <w:t xml:space="preserve"> by addressing barriers for investors and project developers</w:t>
      </w:r>
      <w:r w:rsidR="006B57B6" w:rsidRPr="000A37BF">
        <w:rPr>
          <w:b/>
          <w:bCs/>
          <w:kern w:val="22"/>
          <w:sz w:val="22"/>
          <w:szCs w:val="22"/>
          <w:lang w:val="en-GB" w:eastAsia="en-GB"/>
        </w:rPr>
        <w:t>:</w:t>
      </w:r>
    </w:p>
    <w:p w14:paraId="244603D2" w14:textId="5B14DC3D" w:rsidR="00924083" w:rsidRPr="000A37BF" w:rsidRDefault="00882923"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924083" w:rsidRPr="000A37BF">
        <w:rPr>
          <w:kern w:val="22"/>
          <w:sz w:val="22"/>
          <w:szCs w:val="22"/>
          <w:lang w:val="en-GB" w:eastAsia="en-GB"/>
        </w:rPr>
        <w:t>Harness the growing i</w:t>
      </w:r>
      <w:r w:rsidR="009C18A0" w:rsidRPr="000A37BF">
        <w:rPr>
          <w:kern w:val="22"/>
          <w:sz w:val="22"/>
          <w:szCs w:val="22"/>
          <w:lang w:val="en-GB" w:eastAsia="en-GB"/>
        </w:rPr>
        <w:t>nterest in the private sector to increase investment in biodiversity-positive projects</w:t>
      </w:r>
      <w:r w:rsidR="00924083" w:rsidRPr="000A37BF">
        <w:rPr>
          <w:kern w:val="22"/>
          <w:sz w:val="22"/>
          <w:szCs w:val="22"/>
          <w:lang w:val="en-GB" w:eastAsia="en-GB"/>
        </w:rPr>
        <w:t xml:space="preserve">, using instruments such as </w:t>
      </w:r>
      <w:r w:rsidR="009C18A0" w:rsidRPr="000A37BF">
        <w:rPr>
          <w:kern w:val="22"/>
          <w:sz w:val="22"/>
          <w:szCs w:val="22"/>
          <w:lang w:val="en-GB" w:eastAsia="en-GB"/>
        </w:rPr>
        <w:t>green and blue bonds</w:t>
      </w:r>
      <w:r w:rsidR="00F770E8" w:rsidRPr="000A37BF">
        <w:rPr>
          <w:kern w:val="22"/>
          <w:sz w:val="22"/>
          <w:szCs w:val="22"/>
          <w:lang w:val="en-GB" w:eastAsia="en-GB"/>
        </w:rPr>
        <w:t>,</w:t>
      </w:r>
      <w:r w:rsidR="009C18A0" w:rsidRPr="000A37BF">
        <w:rPr>
          <w:kern w:val="22"/>
          <w:sz w:val="22"/>
          <w:szCs w:val="22"/>
          <w:lang w:val="en-GB" w:eastAsia="en-GB"/>
        </w:rPr>
        <w:t xml:space="preserve"> private equity</w:t>
      </w:r>
      <w:r w:rsidR="00F770E8" w:rsidRPr="000A37BF">
        <w:rPr>
          <w:kern w:val="22"/>
          <w:sz w:val="22"/>
          <w:szCs w:val="22"/>
          <w:lang w:val="en-GB" w:eastAsia="en-GB"/>
        </w:rPr>
        <w:t>,</w:t>
      </w:r>
      <w:r w:rsidR="009C18A0" w:rsidRPr="000A37BF">
        <w:rPr>
          <w:kern w:val="22"/>
          <w:sz w:val="22"/>
          <w:szCs w:val="22"/>
          <w:lang w:val="en-GB" w:eastAsia="en-GB"/>
        </w:rPr>
        <w:t xml:space="preserve"> microcredits</w:t>
      </w:r>
      <w:r w:rsidR="00F770E8" w:rsidRPr="000A37BF">
        <w:rPr>
          <w:kern w:val="22"/>
          <w:sz w:val="22"/>
          <w:szCs w:val="22"/>
          <w:lang w:val="en-GB" w:eastAsia="en-GB"/>
        </w:rPr>
        <w:t>,</w:t>
      </w:r>
      <w:r w:rsidR="009C18A0" w:rsidRPr="000A37BF">
        <w:rPr>
          <w:kern w:val="22"/>
          <w:sz w:val="22"/>
          <w:szCs w:val="22"/>
          <w:lang w:val="en-GB" w:eastAsia="en-GB"/>
        </w:rPr>
        <w:t xml:space="preserve"> loans</w:t>
      </w:r>
      <w:r w:rsidR="00F770E8" w:rsidRPr="000A37BF">
        <w:rPr>
          <w:kern w:val="22"/>
          <w:sz w:val="22"/>
          <w:szCs w:val="22"/>
          <w:lang w:val="en-GB" w:eastAsia="en-GB"/>
        </w:rPr>
        <w:t>,</w:t>
      </w:r>
      <w:r w:rsidR="009C18A0" w:rsidRPr="000A37BF">
        <w:rPr>
          <w:kern w:val="22"/>
          <w:sz w:val="22"/>
          <w:szCs w:val="22"/>
          <w:lang w:val="en-GB" w:eastAsia="en-GB"/>
        </w:rPr>
        <w:t xml:space="preserve"> etc.</w:t>
      </w:r>
      <w:r w:rsidR="00375F46" w:rsidRPr="000A37BF">
        <w:rPr>
          <w:kern w:val="22"/>
          <w:sz w:val="22"/>
          <w:szCs w:val="22"/>
          <w:lang w:val="en-GB" w:eastAsia="en-GB"/>
        </w:rPr>
        <w:t>;</w:t>
      </w:r>
    </w:p>
    <w:p w14:paraId="654AC8BA" w14:textId="71BAE301" w:rsidR="00924083" w:rsidRPr="000A37BF" w:rsidRDefault="00882923"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(b)</w:t>
      </w:r>
      <w:r w:rsidRPr="000A37BF">
        <w:rPr>
          <w:kern w:val="22"/>
          <w:sz w:val="22"/>
          <w:szCs w:val="22"/>
          <w:lang w:val="en-GB" w:eastAsia="en-GB"/>
        </w:rPr>
        <w:tab/>
      </w:r>
      <w:r w:rsidR="00924083" w:rsidRPr="000A37BF">
        <w:rPr>
          <w:kern w:val="22"/>
          <w:sz w:val="22"/>
          <w:szCs w:val="22"/>
          <w:lang w:val="en-GB" w:eastAsia="en-GB"/>
        </w:rPr>
        <w:t xml:space="preserve">Further </w:t>
      </w:r>
      <w:r w:rsidR="00355BFE" w:rsidRPr="000A37BF">
        <w:rPr>
          <w:kern w:val="22"/>
          <w:sz w:val="22"/>
          <w:szCs w:val="22"/>
          <w:lang w:val="en-GB" w:eastAsia="en-GB"/>
        </w:rPr>
        <w:t xml:space="preserve">develop </w:t>
      </w:r>
      <w:r w:rsidR="00924083" w:rsidRPr="000A37BF">
        <w:rPr>
          <w:kern w:val="22"/>
          <w:sz w:val="22"/>
          <w:szCs w:val="22"/>
          <w:lang w:val="en-GB" w:eastAsia="en-GB"/>
        </w:rPr>
        <w:t xml:space="preserve">existing </w:t>
      </w:r>
      <w:r w:rsidR="009C18A0" w:rsidRPr="000A37BF">
        <w:rPr>
          <w:kern w:val="22"/>
          <w:sz w:val="22"/>
          <w:szCs w:val="22"/>
          <w:lang w:val="en-GB" w:eastAsia="en-GB"/>
        </w:rPr>
        <w:t>business opportunities, for example in ecotourism and sustainable agriculture</w:t>
      </w:r>
      <w:r w:rsidR="00061BCB" w:rsidRPr="000A37BF">
        <w:rPr>
          <w:kern w:val="22"/>
          <w:sz w:val="22"/>
          <w:szCs w:val="22"/>
          <w:lang w:val="en-GB" w:eastAsia="en-GB"/>
        </w:rPr>
        <w:t>,</w:t>
      </w:r>
      <w:r w:rsidR="009C18A0" w:rsidRPr="000A37BF">
        <w:rPr>
          <w:kern w:val="22"/>
          <w:sz w:val="22"/>
          <w:szCs w:val="22"/>
          <w:lang w:val="en-GB" w:eastAsia="en-GB"/>
        </w:rPr>
        <w:t xml:space="preserve"> fisheries</w:t>
      </w:r>
      <w:r w:rsidR="00061BCB" w:rsidRPr="000A37BF">
        <w:rPr>
          <w:kern w:val="22"/>
          <w:sz w:val="22"/>
          <w:szCs w:val="22"/>
          <w:lang w:val="en-GB" w:eastAsia="en-GB"/>
        </w:rPr>
        <w:t>,</w:t>
      </w:r>
      <w:r w:rsidR="009C18A0" w:rsidRPr="000A37BF">
        <w:rPr>
          <w:kern w:val="22"/>
          <w:sz w:val="22"/>
          <w:szCs w:val="22"/>
          <w:lang w:val="en-GB" w:eastAsia="en-GB"/>
        </w:rPr>
        <w:t xml:space="preserve"> and forestry</w:t>
      </w:r>
      <w:r w:rsidR="00924083" w:rsidRPr="000A37BF">
        <w:rPr>
          <w:kern w:val="22"/>
          <w:sz w:val="22"/>
          <w:szCs w:val="22"/>
          <w:lang w:val="en-GB" w:eastAsia="en-GB"/>
        </w:rPr>
        <w:t>, by addressing c</w:t>
      </w:r>
      <w:r w:rsidR="009C18A0" w:rsidRPr="000A37BF">
        <w:rPr>
          <w:kern w:val="22"/>
          <w:sz w:val="22"/>
          <w:szCs w:val="22"/>
          <w:lang w:val="en-GB" w:eastAsia="en-GB"/>
        </w:rPr>
        <w:t xml:space="preserve">hallenges in scaling </w:t>
      </w:r>
      <w:r w:rsidR="001E5F73" w:rsidRPr="000A37BF">
        <w:rPr>
          <w:kern w:val="22"/>
          <w:sz w:val="22"/>
          <w:szCs w:val="22"/>
          <w:lang w:val="en-GB" w:eastAsia="en-GB"/>
        </w:rPr>
        <w:t xml:space="preserve">up </w:t>
      </w:r>
      <w:r w:rsidR="009C18A0" w:rsidRPr="000A37BF">
        <w:rPr>
          <w:kern w:val="22"/>
          <w:sz w:val="22"/>
          <w:szCs w:val="22"/>
          <w:lang w:val="en-GB" w:eastAsia="en-GB"/>
        </w:rPr>
        <w:t xml:space="preserve">the number and magnitude of investable projects, improving the business acumen of project developers, improving market conditions, </w:t>
      </w:r>
      <w:r w:rsidR="009C18A0" w:rsidRPr="000A37BF">
        <w:rPr>
          <w:kern w:val="22"/>
          <w:sz w:val="22"/>
          <w:szCs w:val="22"/>
          <w:lang w:val="en-GB" w:eastAsia="en-GB"/>
        </w:rPr>
        <w:lastRenderedPageBreak/>
        <w:t>reducing transaction costs, measuring biodiversity-positive impacts and reducing risk for private sector investors</w:t>
      </w:r>
      <w:r w:rsidR="00375F46" w:rsidRPr="000A37BF">
        <w:rPr>
          <w:kern w:val="22"/>
          <w:sz w:val="22"/>
          <w:szCs w:val="22"/>
          <w:lang w:val="en-GB" w:eastAsia="en-GB"/>
        </w:rPr>
        <w:t>;</w:t>
      </w:r>
    </w:p>
    <w:p w14:paraId="332FEE08" w14:textId="34B48162" w:rsidR="009C18A0" w:rsidRPr="000A37BF" w:rsidRDefault="00CA48B9"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1C4883" w:rsidRPr="000A37BF">
        <w:rPr>
          <w:kern w:val="22"/>
          <w:sz w:val="22"/>
          <w:szCs w:val="22"/>
          <w:lang w:val="en-GB" w:eastAsia="en-GB"/>
        </w:rPr>
        <w:t>c</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The business sector, with partners, should develop and adopt standards, common approaches and metrics to measure positive biodiversity impacts of economic activities in order to identify and invest in sound projects</w:t>
      </w:r>
      <w:r w:rsidRPr="000A37BF">
        <w:rPr>
          <w:kern w:val="22"/>
          <w:sz w:val="22"/>
          <w:szCs w:val="22"/>
          <w:lang w:val="en-GB" w:eastAsia="en-GB"/>
        </w:rPr>
        <w:t>;</w:t>
      </w:r>
      <w:r w:rsidR="009C18A0" w:rsidRPr="000A37BF">
        <w:rPr>
          <w:kern w:val="22"/>
          <w:sz w:val="22"/>
          <w:szCs w:val="22"/>
          <w:vertAlign w:val="superscript"/>
          <w:lang w:val="en-GB" w:eastAsia="en-GB"/>
        </w:rPr>
        <w:footnoteReference w:id="37"/>
      </w:r>
    </w:p>
    <w:p w14:paraId="27B4A9F8" w14:textId="0BD44CF8" w:rsidR="009C18A0" w:rsidRPr="000A37BF" w:rsidRDefault="00CA48B9"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1C4883" w:rsidRPr="000A37BF">
        <w:rPr>
          <w:kern w:val="22"/>
          <w:sz w:val="22"/>
          <w:szCs w:val="22"/>
          <w:lang w:val="en-GB" w:eastAsia="en-GB"/>
        </w:rPr>
        <w:t>d</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 xml:space="preserve">Central banks can encourage biodiversity-positive investment by providing a lower required reserve rate on privileged </w:t>
      </w:r>
      <w:r w:rsidR="00046221" w:rsidRPr="000A37BF">
        <w:rPr>
          <w:kern w:val="22"/>
          <w:sz w:val="22"/>
          <w:szCs w:val="22"/>
          <w:lang w:val="en-GB" w:eastAsia="en-GB"/>
        </w:rPr>
        <w:t>“</w:t>
      </w:r>
      <w:r w:rsidR="009C18A0" w:rsidRPr="000A37BF">
        <w:rPr>
          <w:kern w:val="22"/>
          <w:sz w:val="22"/>
          <w:szCs w:val="22"/>
          <w:lang w:val="en-GB" w:eastAsia="en-GB"/>
        </w:rPr>
        <w:t>green</w:t>
      </w:r>
      <w:r w:rsidR="00046221" w:rsidRPr="000A37BF">
        <w:rPr>
          <w:kern w:val="22"/>
          <w:sz w:val="22"/>
          <w:szCs w:val="22"/>
          <w:lang w:val="en-GB" w:eastAsia="en-GB"/>
        </w:rPr>
        <w:t>”</w:t>
      </w:r>
      <w:r w:rsidR="009C18A0" w:rsidRPr="000A37BF">
        <w:rPr>
          <w:kern w:val="22"/>
          <w:sz w:val="22"/>
          <w:szCs w:val="22"/>
          <w:lang w:val="en-GB" w:eastAsia="en-GB"/>
        </w:rPr>
        <w:t xml:space="preserve"> assets and providing </w:t>
      </w:r>
      <w:r w:rsidR="005257B6" w:rsidRPr="000A37BF">
        <w:rPr>
          <w:kern w:val="22"/>
          <w:sz w:val="22"/>
          <w:szCs w:val="22"/>
          <w:lang w:val="en-GB" w:eastAsia="en-GB"/>
        </w:rPr>
        <w:t xml:space="preserve">subsidized </w:t>
      </w:r>
      <w:r w:rsidR="009C18A0" w:rsidRPr="000A37BF">
        <w:rPr>
          <w:kern w:val="22"/>
          <w:sz w:val="22"/>
          <w:szCs w:val="22"/>
          <w:lang w:val="en-GB" w:eastAsia="en-GB"/>
        </w:rPr>
        <w:t>loan rates for biodiversity-positive sectors</w:t>
      </w:r>
      <w:r w:rsidRPr="000A37BF">
        <w:rPr>
          <w:kern w:val="22"/>
          <w:sz w:val="22"/>
          <w:szCs w:val="22"/>
          <w:lang w:val="en-GB" w:eastAsia="en-GB"/>
        </w:rPr>
        <w:t>;</w:t>
      </w:r>
    </w:p>
    <w:p w14:paraId="0B7A20DF" w14:textId="6A997AB1" w:rsidR="009C18A0" w:rsidRPr="000A37BF" w:rsidRDefault="00CA48B9"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1C4883" w:rsidRPr="000A37BF">
        <w:rPr>
          <w:kern w:val="22"/>
          <w:sz w:val="22"/>
          <w:szCs w:val="22"/>
          <w:lang w:val="en-GB" w:eastAsia="en-GB"/>
        </w:rPr>
        <w:t>e</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Government, civil society, and development banks should help to create opportunities for investment in conservation, restoration, and sustainable use of biodiversity in order to develop a pipeline of sound business opportunities with good risk-return profiles, as well as opportunities for impact investing for biodiversity. This can include establishing incubators to innovate and pilot new solutions and developing training programmes for potential deal developers, as well as developing new instruments such as green bonds and loans with a more targeted focus on biodiversity and ecosystems, and integrating these into pension funds and capital markets</w:t>
      </w:r>
      <w:r w:rsidRPr="000A37BF">
        <w:rPr>
          <w:kern w:val="22"/>
          <w:sz w:val="22"/>
          <w:szCs w:val="22"/>
          <w:lang w:val="en-GB" w:eastAsia="en-GB"/>
        </w:rPr>
        <w:t>;</w:t>
      </w:r>
      <w:r w:rsidR="009C18A0" w:rsidRPr="000A37BF">
        <w:rPr>
          <w:kern w:val="22"/>
          <w:sz w:val="22"/>
          <w:szCs w:val="22"/>
          <w:vertAlign w:val="superscript"/>
          <w:lang w:val="en-GB" w:eastAsia="en-GB"/>
        </w:rPr>
        <w:footnoteReference w:id="38"/>
      </w:r>
    </w:p>
    <w:p w14:paraId="6321CD30" w14:textId="1D04C5C6" w:rsidR="009C18A0" w:rsidRPr="000A37BF" w:rsidRDefault="00CA48B9"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1C4883" w:rsidRPr="000A37BF">
        <w:rPr>
          <w:kern w:val="22"/>
          <w:sz w:val="22"/>
          <w:szCs w:val="22"/>
          <w:lang w:val="en-GB" w:eastAsia="en-GB"/>
        </w:rPr>
        <w:t>f</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The public sector and development banks should continue to provide early-stage grants, donor guarantees, concessional finance and support blended financial</w:t>
      </w:r>
      <w:r w:rsidR="009C18A0" w:rsidRPr="000A37BF">
        <w:rPr>
          <w:kern w:val="22"/>
          <w:sz w:val="22"/>
          <w:szCs w:val="22"/>
          <w:vertAlign w:val="superscript"/>
          <w:lang w:val="en-GB" w:eastAsia="en-GB"/>
        </w:rPr>
        <w:footnoteReference w:id="39"/>
      </w:r>
      <w:r w:rsidR="009C18A0" w:rsidRPr="000A37BF">
        <w:rPr>
          <w:kern w:val="22"/>
          <w:sz w:val="22"/>
          <w:szCs w:val="22"/>
          <w:lang w:val="en-GB" w:eastAsia="en-GB"/>
        </w:rPr>
        <w:t xml:space="preserve"> solutions. This should leverage private sector investment by reducing project risk and increasing the likelihood of market returns. The supply of green credit lines in financial institutions within developing and developed countries should be scaled up</w:t>
      </w:r>
      <w:r w:rsidR="00E564FD" w:rsidRPr="00C053AE">
        <w:rPr>
          <w:kern w:val="22"/>
          <w:sz w:val="22"/>
          <w:szCs w:val="22"/>
          <w:lang w:val="en-GB" w:eastAsia="en-GB"/>
        </w:rPr>
        <w:t>;</w:t>
      </w:r>
    </w:p>
    <w:p w14:paraId="2AD86774" w14:textId="5B23FEDE" w:rsidR="009C18A0" w:rsidRPr="000A37BF" w:rsidRDefault="000C092E"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1C4883" w:rsidRPr="000A37BF">
        <w:rPr>
          <w:kern w:val="22"/>
          <w:sz w:val="22"/>
          <w:szCs w:val="22"/>
          <w:lang w:val="en-GB" w:eastAsia="en-GB"/>
        </w:rPr>
        <w:t>g)</w:t>
      </w:r>
      <w:r w:rsidR="00BD7CD8" w:rsidRPr="000A37BF">
        <w:rPr>
          <w:kern w:val="22"/>
          <w:sz w:val="22"/>
          <w:szCs w:val="22"/>
          <w:lang w:val="en-GB" w:eastAsia="en-GB"/>
        </w:rPr>
        <w:tab/>
      </w:r>
      <w:r w:rsidR="00924083" w:rsidRPr="000A37BF">
        <w:rPr>
          <w:kern w:val="22"/>
          <w:sz w:val="22"/>
          <w:szCs w:val="22"/>
          <w:lang w:val="en-GB" w:eastAsia="en-GB"/>
        </w:rPr>
        <w:t>Strengthen the investment environment in developing countries</w:t>
      </w:r>
      <w:r w:rsidR="0065018E" w:rsidRPr="00C053AE">
        <w:rPr>
          <w:kern w:val="22"/>
          <w:sz w:val="22"/>
          <w:szCs w:val="22"/>
          <w:lang w:val="en-GB" w:eastAsia="en-GB"/>
        </w:rPr>
        <w:t xml:space="preserve"> and </w:t>
      </w:r>
      <w:r w:rsidR="0065018E" w:rsidRPr="000A37BF">
        <w:rPr>
          <w:sz w:val="22"/>
          <w:szCs w:val="22"/>
          <w:lang w:val="en-GB"/>
        </w:rPr>
        <w:t>countries with economies in transition</w:t>
      </w:r>
      <w:r w:rsidR="00924083" w:rsidRPr="000A37BF">
        <w:rPr>
          <w:kern w:val="22"/>
          <w:sz w:val="22"/>
          <w:szCs w:val="22"/>
          <w:lang w:val="en-GB" w:eastAsia="en-GB"/>
        </w:rPr>
        <w:t xml:space="preserve">, drawing </w:t>
      </w:r>
      <w:r w:rsidR="009C18A0" w:rsidRPr="000A37BF">
        <w:rPr>
          <w:kern w:val="22"/>
          <w:sz w:val="22"/>
          <w:szCs w:val="22"/>
          <w:lang w:val="en-GB" w:eastAsia="en-GB"/>
        </w:rPr>
        <w:t xml:space="preserve">on broader processes, such as those outlined in </w:t>
      </w:r>
      <w:r w:rsidR="00F402B2" w:rsidRPr="000A37BF">
        <w:rPr>
          <w:kern w:val="22"/>
          <w:sz w:val="22"/>
          <w:szCs w:val="22"/>
          <w:lang w:val="en-GB" w:eastAsia="en-GB"/>
        </w:rPr>
        <w:t xml:space="preserve">the 2030 </w:t>
      </w:r>
      <w:r w:rsidR="009C18A0" w:rsidRPr="000A37BF">
        <w:rPr>
          <w:kern w:val="22"/>
          <w:sz w:val="22"/>
          <w:szCs w:val="22"/>
          <w:lang w:val="en-GB" w:eastAsia="en-GB"/>
        </w:rPr>
        <w:t xml:space="preserve">Agenda and the Addis Ababa Action Agenda, </w:t>
      </w:r>
      <w:r w:rsidR="00924083" w:rsidRPr="000A37BF">
        <w:rPr>
          <w:kern w:val="22"/>
          <w:sz w:val="22"/>
          <w:szCs w:val="22"/>
          <w:lang w:val="en-GB" w:eastAsia="en-GB"/>
        </w:rPr>
        <w:t>and including the identification of s</w:t>
      </w:r>
      <w:r w:rsidR="009C18A0" w:rsidRPr="000A37BF">
        <w:rPr>
          <w:kern w:val="22"/>
          <w:sz w:val="22"/>
          <w:szCs w:val="22"/>
          <w:lang w:val="en-GB" w:eastAsia="en-GB"/>
        </w:rPr>
        <w:t>ector</w:t>
      </w:r>
      <w:r w:rsidR="00924083" w:rsidRPr="000A37BF">
        <w:rPr>
          <w:kern w:val="22"/>
          <w:sz w:val="22"/>
          <w:szCs w:val="22"/>
          <w:lang w:val="en-GB" w:eastAsia="en-GB"/>
        </w:rPr>
        <w:t>-s</w:t>
      </w:r>
      <w:r w:rsidR="009C18A0" w:rsidRPr="000A37BF">
        <w:rPr>
          <w:kern w:val="22"/>
          <w:sz w:val="22"/>
          <w:szCs w:val="22"/>
          <w:lang w:val="en-GB" w:eastAsia="en-GB"/>
        </w:rPr>
        <w:t>pecific enabling conditions to increase investment in biodiversity-positive projects.</w:t>
      </w:r>
      <w:r w:rsidR="001001E5" w:rsidRPr="000A37BF">
        <w:rPr>
          <w:rStyle w:val="FootnoteReference"/>
          <w:kern w:val="22"/>
          <w:sz w:val="22"/>
          <w:szCs w:val="22"/>
          <w:u w:val="none"/>
          <w:vertAlign w:val="superscript"/>
          <w:lang w:val="en-GB" w:eastAsia="en-GB"/>
        </w:rPr>
        <w:footnoteReference w:id="40"/>
      </w:r>
    </w:p>
    <w:p w14:paraId="13AFF116" w14:textId="7636EB6D" w:rsidR="0095488D" w:rsidRPr="00C053AE" w:rsidRDefault="009C18A0">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b/>
          <w:bCs/>
          <w:kern w:val="22"/>
          <w:sz w:val="22"/>
          <w:szCs w:val="22"/>
          <w:lang w:val="en-GB" w:eastAsia="en-GB"/>
        </w:rPr>
        <w:t xml:space="preserve">Increase direct and indirect biodiversity-related </w:t>
      </w:r>
      <w:r w:rsidR="0055605D" w:rsidRPr="000A37BF">
        <w:rPr>
          <w:b/>
          <w:bCs/>
          <w:kern w:val="22"/>
          <w:sz w:val="22"/>
          <w:szCs w:val="22"/>
          <w:lang w:val="en-GB" w:eastAsia="en-GB"/>
        </w:rPr>
        <w:t>i</w:t>
      </w:r>
      <w:r w:rsidRPr="000A37BF">
        <w:rPr>
          <w:b/>
          <w:bCs/>
          <w:kern w:val="22"/>
          <w:sz w:val="22"/>
          <w:szCs w:val="22"/>
          <w:lang w:val="en-GB" w:eastAsia="en-GB"/>
        </w:rPr>
        <w:t xml:space="preserve">nternational </w:t>
      </w:r>
      <w:r w:rsidR="0055605D" w:rsidRPr="000A37BF">
        <w:rPr>
          <w:b/>
          <w:bCs/>
          <w:kern w:val="22"/>
          <w:sz w:val="22"/>
          <w:szCs w:val="22"/>
          <w:lang w:val="en-GB" w:eastAsia="en-GB"/>
        </w:rPr>
        <w:t>d</w:t>
      </w:r>
      <w:r w:rsidRPr="000A37BF">
        <w:rPr>
          <w:b/>
          <w:bCs/>
          <w:kern w:val="22"/>
          <w:sz w:val="22"/>
          <w:szCs w:val="22"/>
          <w:lang w:val="en-GB" w:eastAsia="en-GB"/>
        </w:rPr>
        <w:t xml:space="preserve">evelopment </w:t>
      </w:r>
      <w:r w:rsidR="0055605D" w:rsidRPr="000A37BF">
        <w:rPr>
          <w:b/>
          <w:bCs/>
          <w:kern w:val="22"/>
          <w:sz w:val="22"/>
          <w:szCs w:val="22"/>
          <w:lang w:val="en-GB" w:eastAsia="en-GB"/>
        </w:rPr>
        <w:t>f</w:t>
      </w:r>
      <w:r w:rsidRPr="000A37BF">
        <w:rPr>
          <w:b/>
          <w:bCs/>
          <w:kern w:val="22"/>
          <w:sz w:val="22"/>
          <w:szCs w:val="22"/>
          <w:lang w:val="en-GB" w:eastAsia="en-GB"/>
        </w:rPr>
        <w:t>inance</w:t>
      </w:r>
      <w:r w:rsidR="009306A5" w:rsidRPr="00C053AE">
        <w:rPr>
          <w:b/>
          <w:bCs/>
          <w:kern w:val="22"/>
          <w:sz w:val="22"/>
          <w:szCs w:val="22"/>
          <w:lang w:val="en-GB" w:eastAsia="en-GB"/>
        </w:rPr>
        <w:t xml:space="preserve"> for developing countries and countries in transition</w:t>
      </w:r>
      <w:r w:rsidRPr="000A37BF">
        <w:rPr>
          <w:b/>
          <w:bCs/>
          <w:kern w:val="22"/>
          <w:sz w:val="22"/>
          <w:szCs w:val="22"/>
          <w:lang w:val="en-GB" w:eastAsia="en-GB"/>
        </w:rPr>
        <w:t>, including climate and other development finance</w:t>
      </w:r>
      <w:r w:rsidR="00BC22F1" w:rsidRPr="00C053AE">
        <w:rPr>
          <w:b/>
          <w:bCs/>
          <w:kern w:val="22"/>
          <w:sz w:val="22"/>
          <w:szCs w:val="22"/>
          <w:lang w:val="en-GB" w:eastAsia="en-GB"/>
        </w:rPr>
        <w:t>:</w:t>
      </w:r>
    </w:p>
    <w:p w14:paraId="3EAF1FB5" w14:textId="7EA7C9E4" w:rsidR="009C18A0" w:rsidRPr="000A37BF" w:rsidRDefault="0095488D" w:rsidP="000A37BF">
      <w:pPr>
        <w:pStyle w:val="Para1"/>
        <w:suppressLineNumbers/>
        <w:suppressAutoHyphens/>
        <w:adjustRightInd w:val="0"/>
        <w:snapToGrid w:val="0"/>
        <w:spacing w:before="120"/>
        <w:ind w:firstLine="720"/>
        <w:jc w:val="both"/>
        <w:rPr>
          <w:kern w:val="22"/>
          <w:sz w:val="22"/>
          <w:szCs w:val="22"/>
          <w:lang w:val="en-GB" w:eastAsia="en-GB"/>
        </w:rPr>
      </w:pPr>
      <w:r w:rsidRPr="00C053AE">
        <w:rPr>
          <w:kern w:val="22"/>
          <w:sz w:val="22"/>
          <w:szCs w:val="22"/>
          <w:lang w:val="en-GB" w:eastAsia="en-GB"/>
        </w:rPr>
        <w:t>(a)</w:t>
      </w:r>
      <w:r w:rsidRPr="00C053AE">
        <w:rPr>
          <w:kern w:val="22"/>
          <w:sz w:val="22"/>
          <w:szCs w:val="22"/>
          <w:lang w:val="en-GB" w:eastAsia="en-GB"/>
        </w:rPr>
        <w:tab/>
      </w:r>
      <w:r w:rsidR="009C18A0" w:rsidRPr="000A37BF">
        <w:rPr>
          <w:kern w:val="22"/>
          <w:sz w:val="22"/>
          <w:szCs w:val="22"/>
          <w:lang w:val="en-GB" w:eastAsia="en-GB"/>
        </w:rPr>
        <w:t>Direct international funding flows to developing countries</w:t>
      </w:r>
      <w:r w:rsidR="00175088" w:rsidRPr="000A37BF">
        <w:rPr>
          <w:lang w:val="en-GB"/>
        </w:rPr>
        <w:t xml:space="preserve"> </w:t>
      </w:r>
      <w:r w:rsidR="00175088" w:rsidRPr="000A37BF">
        <w:rPr>
          <w:sz w:val="22"/>
          <w:szCs w:val="22"/>
          <w:lang w:val="en-GB"/>
        </w:rPr>
        <w:t>and countries with economies in transition</w:t>
      </w:r>
      <w:r w:rsidR="009C18A0" w:rsidRPr="000A37BF">
        <w:rPr>
          <w:kern w:val="22"/>
          <w:sz w:val="22"/>
          <w:szCs w:val="22"/>
          <w:lang w:val="en-GB" w:eastAsia="en-GB"/>
        </w:rPr>
        <w:t xml:space="preserve"> to achieve the three objectives of the Convention remain a key component of resource mobili</w:t>
      </w:r>
      <w:r w:rsidR="00EE709A" w:rsidRPr="000A37BF">
        <w:rPr>
          <w:kern w:val="22"/>
          <w:sz w:val="22"/>
          <w:szCs w:val="22"/>
          <w:lang w:val="en-GB" w:eastAsia="en-GB"/>
        </w:rPr>
        <w:t>z</w:t>
      </w:r>
      <w:r w:rsidR="009C18A0" w:rsidRPr="000A37BF">
        <w:rPr>
          <w:kern w:val="22"/>
          <w:sz w:val="22"/>
          <w:szCs w:val="22"/>
          <w:lang w:val="en-GB" w:eastAsia="en-GB"/>
        </w:rPr>
        <w:t>ation, including ODA, OOF</w:t>
      </w:r>
      <w:r w:rsidR="0055605D" w:rsidRPr="000A37BF">
        <w:rPr>
          <w:kern w:val="22"/>
          <w:sz w:val="22"/>
          <w:szCs w:val="22"/>
          <w:lang w:val="en-GB" w:eastAsia="en-GB"/>
        </w:rPr>
        <w:t xml:space="preserve"> and</w:t>
      </w:r>
      <w:r w:rsidR="009C18A0" w:rsidRPr="000A37BF">
        <w:rPr>
          <w:kern w:val="22"/>
          <w:sz w:val="22"/>
          <w:szCs w:val="22"/>
          <w:lang w:val="en-GB" w:eastAsia="en-GB"/>
        </w:rPr>
        <w:t xml:space="preserve"> </w:t>
      </w:r>
      <w:r w:rsidR="00046221" w:rsidRPr="000A37BF">
        <w:rPr>
          <w:kern w:val="22"/>
          <w:sz w:val="22"/>
          <w:szCs w:val="22"/>
          <w:lang w:val="en-GB" w:eastAsia="en-GB"/>
        </w:rPr>
        <w:t>S</w:t>
      </w:r>
      <w:r w:rsidR="009C18A0" w:rsidRPr="000A37BF">
        <w:rPr>
          <w:kern w:val="22"/>
          <w:sz w:val="22"/>
          <w:szCs w:val="22"/>
          <w:lang w:val="en-GB" w:eastAsia="en-GB"/>
        </w:rPr>
        <w:t>outh-</w:t>
      </w:r>
      <w:r w:rsidR="00046221" w:rsidRPr="000A37BF">
        <w:rPr>
          <w:kern w:val="22"/>
          <w:sz w:val="22"/>
          <w:szCs w:val="22"/>
          <w:lang w:val="en-GB" w:eastAsia="en-GB"/>
        </w:rPr>
        <w:t>S</w:t>
      </w:r>
      <w:r w:rsidR="009C18A0" w:rsidRPr="000A37BF">
        <w:rPr>
          <w:kern w:val="22"/>
          <w:sz w:val="22"/>
          <w:szCs w:val="22"/>
          <w:lang w:val="en-GB" w:eastAsia="en-GB"/>
        </w:rPr>
        <w:t xml:space="preserve">outh cooperation. Funding should be </w:t>
      </w:r>
      <w:r w:rsidR="00CB28FF" w:rsidRPr="000A37BF">
        <w:rPr>
          <w:kern w:val="22"/>
          <w:sz w:val="22"/>
          <w:szCs w:val="22"/>
          <w:lang w:val="en-GB" w:eastAsia="en-GB"/>
        </w:rPr>
        <w:t xml:space="preserve">at a level that recognizes </w:t>
      </w:r>
      <w:r w:rsidR="009C18A0" w:rsidRPr="000A37BF">
        <w:rPr>
          <w:kern w:val="22"/>
          <w:sz w:val="22"/>
          <w:szCs w:val="22"/>
          <w:lang w:val="en-GB" w:eastAsia="en-GB"/>
        </w:rPr>
        <w:t>the ambition of the post</w:t>
      </w:r>
      <w:r w:rsidR="0055605D" w:rsidRPr="000A37BF">
        <w:rPr>
          <w:kern w:val="22"/>
          <w:sz w:val="22"/>
          <w:szCs w:val="22"/>
          <w:lang w:val="en-GB" w:eastAsia="en-GB"/>
        </w:rPr>
        <w:t>-</w:t>
      </w:r>
      <w:r w:rsidR="009C18A0" w:rsidRPr="000A37BF">
        <w:rPr>
          <w:kern w:val="22"/>
          <w:sz w:val="22"/>
          <w:szCs w:val="22"/>
          <w:lang w:val="en-GB" w:eastAsia="en-GB"/>
        </w:rPr>
        <w:t>2020 global biodiversity framework</w:t>
      </w:r>
      <w:r w:rsidRPr="00C053AE">
        <w:rPr>
          <w:kern w:val="22"/>
          <w:sz w:val="22"/>
          <w:szCs w:val="22"/>
          <w:lang w:val="en-GB" w:eastAsia="en-GB"/>
        </w:rPr>
        <w:t>;</w:t>
      </w:r>
    </w:p>
    <w:p w14:paraId="0C2F0BCE" w14:textId="6130AC4C" w:rsidR="009C18A0" w:rsidRPr="000A37BF" w:rsidRDefault="00BA02C8" w:rsidP="000A37BF">
      <w:pPr>
        <w:suppressLineNumbers/>
        <w:suppressAutoHyphens/>
        <w:adjustRightInd w:val="0"/>
        <w:snapToGrid w:val="0"/>
        <w:spacing w:before="120" w:after="120"/>
        <w:ind w:firstLine="720"/>
        <w:jc w:val="both"/>
        <w:rPr>
          <w:kern w:val="22"/>
          <w:sz w:val="22"/>
          <w:szCs w:val="22"/>
          <w:lang w:val="en-GB" w:eastAsia="en-GB"/>
        </w:rPr>
      </w:pPr>
      <w:r w:rsidRPr="000A37BF">
        <w:rPr>
          <w:kern w:val="22"/>
          <w:sz w:val="22"/>
          <w:szCs w:val="22"/>
          <w:lang w:val="en-GB" w:eastAsia="en-GB"/>
        </w:rPr>
        <w:t>(</w:t>
      </w:r>
      <w:r w:rsidR="0095488D" w:rsidRPr="00C053AE">
        <w:rPr>
          <w:kern w:val="22"/>
          <w:sz w:val="22"/>
          <w:szCs w:val="22"/>
          <w:lang w:val="en-GB" w:eastAsia="en-GB"/>
        </w:rPr>
        <w:t>b</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 xml:space="preserve">Biodiversity co-benefits should be increased in development finance, particularly for achieving the 2030 Agenda and </w:t>
      </w:r>
      <w:r w:rsidR="00F402B2" w:rsidRPr="000A37BF">
        <w:rPr>
          <w:kern w:val="22"/>
          <w:sz w:val="22"/>
          <w:szCs w:val="22"/>
          <w:lang w:val="en-GB" w:eastAsia="en-GB"/>
        </w:rPr>
        <w:t xml:space="preserve">its </w:t>
      </w:r>
      <w:r w:rsidR="009C18A0" w:rsidRPr="000A37BF">
        <w:rPr>
          <w:kern w:val="22"/>
          <w:sz w:val="22"/>
          <w:szCs w:val="22"/>
          <w:lang w:val="en-GB" w:eastAsia="en-GB"/>
        </w:rPr>
        <w:t>Sustainable Development Goals.</w:t>
      </w:r>
      <w:r w:rsidR="009C18A0" w:rsidRPr="000A37BF">
        <w:rPr>
          <w:kern w:val="22"/>
          <w:sz w:val="22"/>
          <w:szCs w:val="22"/>
          <w:vertAlign w:val="superscript"/>
          <w:lang w:val="en-GB" w:eastAsia="en-GB"/>
        </w:rPr>
        <w:footnoteReference w:id="41"/>
      </w:r>
      <w:r w:rsidR="009C18A0" w:rsidRPr="000A37BF">
        <w:rPr>
          <w:kern w:val="22"/>
          <w:sz w:val="22"/>
          <w:szCs w:val="22"/>
          <w:vertAlign w:val="superscript"/>
          <w:lang w:val="en-GB" w:eastAsia="en-GB"/>
        </w:rPr>
        <w:t>,</w:t>
      </w:r>
      <w:r w:rsidR="004A3487" w:rsidRPr="000A37BF">
        <w:rPr>
          <w:kern w:val="22"/>
          <w:sz w:val="22"/>
          <w:szCs w:val="22"/>
          <w:vertAlign w:val="superscript"/>
          <w:lang w:val="en-GB" w:eastAsia="en-GB"/>
        </w:rPr>
        <w:t xml:space="preserve"> </w:t>
      </w:r>
      <w:r w:rsidR="009C18A0" w:rsidRPr="000A37BF">
        <w:rPr>
          <w:kern w:val="22"/>
          <w:sz w:val="22"/>
          <w:szCs w:val="22"/>
          <w:vertAlign w:val="superscript"/>
          <w:lang w:val="en-GB" w:eastAsia="en-GB"/>
        </w:rPr>
        <w:footnoteReference w:id="42"/>
      </w:r>
      <w:r w:rsidR="009C18A0" w:rsidRPr="000A37BF">
        <w:rPr>
          <w:kern w:val="22"/>
          <w:sz w:val="22"/>
          <w:szCs w:val="22"/>
          <w:lang w:val="en-GB" w:eastAsia="en-GB"/>
        </w:rPr>
        <w:t xml:space="preserve"> At </w:t>
      </w:r>
      <w:r w:rsidR="004F26DD" w:rsidRPr="00C053AE">
        <w:rPr>
          <w:kern w:val="22"/>
          <w:sz w:val="22"/>
          <w:szCs w:val="22"/>
          <w:lang w:val="en-GB" w:eastAsia="en-GB"/>
        </w:rPr>
        <w:t>the</w:t>
      </w:r>
      <w:r w:rsidR="009C18A0" w:rsidRPr="000A37BF">
        <w:rPr>
          <w:kern w:val="22"/>
          <w:sz w:val="22"/>
          <w:szCs w:val="22"/>
          <w:lang w:val="en-GB" w:eastAsia="en-GB"/>
        </w:rPr>
        <w:t xml:space="preserve"> national level, Parties should work to ensure that the three objectives of the Convention are adequately addressed in integrated national </w:t>
      </w:r>
      <w:r w:rsidR="009C18A0" w:rsidRPr="000A37BF">
        <w:rPr>
          <w:kern w:val="22"/>
          <w:sz w:val="22"/>
          <w:szCs w:val="22"/>
          <w:lang w:val="en-GB" w:eastAsia="en-GB"/>
        </w:rPr>
        <w:lastRenderedPageBreak/>
        <w:t>financing frameworks</w:t>
      </w:r>
      <w:r w:rsidR="009C18A0" w:rsidRPr="000A37BF">
        <w:rPr>
          <w:kern w:val="22"/>
          <w:sz w:val="22"/>
          <w:szCs w:val="22"/>
          <w:vertAlign w:val="superscript"/>
          <w:lang w:val="en-GB" w:eastAsia="en-GB"/>
        </w:rPr>
        <w:footnoteReference w:id="43"/>
      </w:r>
      <w:r w:rsidR="009C18A0" w:rsidRPr="000A37BF">
        <w:rPr>
          <w:kern w:val="22"/>
          <w:sz w:val="22"/>
          <w:szCs w:val="22"/>
          <w:lang w:val="en-GB" w:eastAsia="en-GB"/>
        </w:rPr>
        <w:t xml:space="preserve"> (INFFs) both to avoid expenditure that is harmful to biodiversity and to integrate biodiversity finance into the broader sustainable development finance agenda</w:t>
      </w:r>
      <w:r w:rsidRPr="000A37BF">
        <w:rPr>
          <w:kern w:val="22"/>
          <w:sz w:val="22"/>
          <w:szCs w:val="22"/>
          <w:lang w:val="en-GB" w:eastAsia="en-GB"/>
        </w:rPr>
        <w:t>;</w:t>
      </w:r>
    </w:p>
    <w:p w14:paraId="7381F1E7" w14:textId="20FBE21F" w:rsidR="009C18A0" w:rsidRPr="000A37BF" w:rsidRDefault="00BA02C8" w:rsidP="000A37BF">
      <w:pPr>
        <w:suppressLineNumbers/>
        <w:suppressAutoHyphens/>
        <w:adjustRightInd w:val="0"/>
        <w:snapToGrid w:val="0"/>
        <w:spacing w:before="120" w:after="120"/>
        <w:ind w:firstLine="720"/>
        <w:jc w:val="both"/>
        <w:rPr>
          <w:kern w:val="22"/>
          <w:sz w:val="22"/>
          <w:szCs w:val="22"/>
          <w:lang w:val="en-GB" w:eastAsia="en-GB"/>
        </w:rPr>
      </w:pPr>
      <w:r w:rsidRPr="000A37BF">
        <w:rPr>
          <w:kern w:val="22"/>
          <w:sz w:val="22"/>
          <w:szCs w:val="22"/>
          <w:lang w:val="en-GB" w:eastAsia="en-GB"/>
        </w:rPr>
        <w:t>(</w:t>
      </w:r>
      <w:r w:rsidR="0095488D" w:rsidRPr="00C053AE">
        <w:rPr>
          <w:kern w:val="22"/>
          <w:sz w:val="22"/>
          <w:szCs w:val="22"/>
          <w:lang w:val="en-GB" w:eastAsia="en-GB"/>
        </w:rPr>
        <w:t>c</w:t>
      </w:r>
      <w:r w:rsidRPr="000A37BF">
        <w:rPr>
          <w:kern w:val="22"/>
          <w:sz w:val="22"/>
          <w:szCs w:val="22"/>
          <w:lang w:val="en-GB" w:eastAsia="en-GB"/>
        </w:rPr>
        <w:t>)</w:t>
      </w:r>
      <w:r w:rsidRPr="000A37BF">
        <w:rPr>
          <w:kern w:val="22"/>
          <w:sz w:val="22"/>
          <w:szCs w:val="22"/>
          <w:lang w:val="en-GB" w:eastAsia="en-GB"/>
        </w:rPr>
        <w:tab/>
      </w:r>
      <w:r w:rsidR="009C18A0" w:rsidRPr="000A37BF">
        <w:rPr>
          <w:kern w:val="22"/>
          <w:sz w:val="22"/>
          <w:szCs w:val="22"/>
          <w:lang w:val="en-GB" w:eastAsia="en-GB"/>
        </w:rPr>
        <w:t>Funding for natural solutions for climate change adaptation and mitigation that deliver co-benefits for biodiversity should be identified and scaled</w:t>
      </w:r>
      <w:r w:rsidR="006908D5" w:rsidRPr="000A37BF">
        <w:rPr>
          <w:kern w:val="22"/>
          <w:sz w:val="22"/>
          <w:szCs w:val="22"/>
          <w:lang w:val="en-GB" w:eastAsia="en-GB"/>
        </w:rPr>
        <w:t xml:space="preserve"> up</w:t>
      </w:r>
      <w:r w:rsidR="009C18A0" w:rsidRPr="000A37BF">
        <w:rPr>
          <w:kern w:val="22"/>
          <w:sz w:val="22"/>
          <w:szCs w:val="22"/>
          <w:lang w:val="en-GB" w:eastAsia="en-GB"/>
        </w:rPr>
        <w:t>, recogni</w:t>
      </w:r>
      <w:r w:rsidR="00A43077" w:rsidRPr="000A37BF">
        <w:rPr>
          <w:kern w:val="22"/>
          <w:sz w:val="22"/>
          <w:szCs w:val="22"/>
          <w:lang w:val="en-GB" w:eastAsia="en-GB"/>
        </w:rPr>
        <w:t>z</w:t>
      </w:r>
      <w:r w:rsidR="009C18A0" w:rsidRPr="000A37BF">
        <w:rPr>
          <w:kern w:val="22"/>
          <w:sz w:val="22"/>
          <w:szCs w:val="22"/>
          <w:lang w:val="en-GB" w:eastAsia="en-GB"/>
        </w:rPr>
        <w:t>ing that nature is essential for meeting commitments in the Paris Agreement.</w:t>
      </w:r>
      <w:r w:rsidR="009C18A0" w:rsidRPr="000A37BF">
        <w:rPr>
          <w:kern w:val="22"/>
          <w:sz w:val="22"/>
          <w:szCs w:val="22"/>
          <w:vertAlign w:val="superscript"/>
          <w:lang w:val="en-GB" w:eastAsia="en-GB"/>
        </w:rPr>
        <w:footnoteReference w:id="44"/>
      </w:r>
      <w:r w:rsidR="009C18A0" w:rsidRPr="000A37BF">
        <w:rPr>
          <w:kern w:val="22"/>
          <w:sz w:val="22"/>
          <w:szCs w:val="22"/>
          <w:lang w:val="en-GB" w:eastAsia="en-GB"/>
        </w:rPr>
        <w:t xml:space="preserve"> This includes adopting blue carbon as well as forest carbon into regulatory and voluntary carbon offset markets</w:t>
      </w:r>
      <w:r w:rsidR="0055605D" w:rsidRPr="000A37BF">
        <w:rPr>
          <w:kern w:val="22"/>
          <w:sz w:val="22"/>
          <w:szCs w:val="22"/>
          <w:lang w:val="en-GB" w:eastAsia="en-GB"/>
        </w:rPr>
        <w:t>,</w:t>
      </w:r>
      <w:r w:rsidR="009C18A0" w:rsidRPr="000A37BF">
        <w:rPr>
          <w:kern w:val="22"/>
          <w:sz w:val="22"/>
          <w:szCs w:val="22"/>
          <w:lang w:val="en-GB" w:eastAsia="en-GB"/>
        </w:rPr>
        <w:t xml:space="preserve"> and supporting regenerative agriculture, which ensures increasing productivity, adaptation through resilience, and mitigation benefits.</w:t>
      </w:r>
    </w:p>
    <w:p w14:paraId="7AC261A5" w14:textId="20C2EEBF"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b/>
          <w:bCs/>
          <w:kern w:val="22"/>
          <w:sz w:val="22"/>
          <w:szCs w:val="22"/>
          <w:lang w:val="en-GB" w:eastAsia="en-GB"/>
        </w:rPr>
        <w:t xml:space="preserve">Enhance the implementation of </w:t>
      </w:r>
      <w:r w:rsidR="009306A5" w:rsidRPr="00C053AE">
        <w:rPr>
          <w:b/>
          <w:bCs/>
          <w:kern w:val="22"/>
          <w:sz w:val="22"/>
          <w:szCs w:val="22"/>
          <w:lang w:val="en-GB" w:eastAsia="en-GB"/>
        </w:rPr>
        <w:t xml:space="preserve">agreements related to </w:t>
      </w:r>
      <w:r w:rsidRPr="000A37BF">
        <w:rPr>
          <w:b/>
          <w:bCs/>
          <w:kern w:val="22"/>
          <w:sz w:val="22"/>
          <w:szCs w:val="22"/>
          <w:lang w:val="en-GB" w:eastAsia="en-GB"/>
        </w:rPr>
        <w:t xml:space="preserve">access </w:t>
      </w:r>
      <w:r w:rsidR="009306A5" w:rsidRPr="00C053AE">
        <w:rPr>
          <w:b/>
          <w:bCs/>
          <w:kern w:val="22"/>
          <w:sz w:val="22"/>
          <w:szCs w:val="22"/>
          <w:lang w:val="en-GB" w:eastAsia="en-GB"/>
        </w:rPr>
        <w:t xml:space="preserve">to genetic </w:t>
      </w:r>
      <w:r w:rsidR="00D96517" w:rsidRPr="00C053AE">
        <w:rPr>
          <w:b/>
          <w:bCs/>
          <w:kern w:val="22"/>
          <w:sz w:val="22"/>
          <w:szCs w:val="22"/>
          <w:lang w:val="en-GB" w:eastAsia="en-GB"/>
        </w:rPr>
        <w:t>resources</w:t>
      </w:r>
      <w:r w:rsidR="009306A5" w:rsidRPr="00C053AE">
        <w:rPr>
          <w:b/>
          <w:bCs/>
          <w:kern w:val="22"/>
          <w:sz w:val="22"/>
          <w:szCs w:val="22"/>
          <w:lang w:val="en-GB" w:eastAsia="en-GB"/>
        </w:rPr>
        <w:t xml:space="preserve"> and the fair and equitable sharing of the benefits arising </w:t>
      </w:r>
      <w:r w:rsidR="008612D4" w:rsidRPr="00C053AE">
        <w:rPr>
          <w:b/>
          <w:bCs/>
          <w:kern w:val="22"/>
          <w:sz w:val="22"/>
          <w:szCs w:val="22"/>
          <w:lang w:val="en-GB" w:eastAsia="en-GB"/>
        </w:rPr>
        <w:t>from</w:t>
      </w:r>
      <w:r w:rsidR="009306A5" w:rsidRPr="00C053AE">
        <w:rPr>
          <w:b/>
          <w:bCs/>
          <w:kern w:val="22"/>
          <w:sz w:val="22"/>
          <w:szCs w:val="22"/>
          <w:lang w:val="en-GB" w:eastAsia="en-GB"/>
        </w:rPr>
        <w:t xml:space="preserve"> their utilization</w:t>
      </w:r>
      <w:r w:rsidR="00E1765A" w:rsidRPr="000A37BF">
        <w:rPr>
          <w:b/>
          <w:bCs/>
          <w:kern w:val="22"/>
          <w:sz w:val="22"/>
          <w:szCs w:val="22"/>
          <w:lang w:val="en-GB" w:eastAsia="en-GB"/>
        </w:rPr>
        <w:t>:</w:t>
      </w:r>
    </w:p>
    <w:p w14:paraId="0E28F0EE" w14:textId="714DC9E9" w:rsidR="009C18A0" w:rsidRPr="000A37BF" w:rsidRDefault="00C6714D" w:rsidP="000A37BF">
      <w:pPr>
        <w:suppressLineNumbers/>
        <w:suppressAutoHyphens/>
        <w:adjustRightInd w:val="0"/>
        <w:snapToGrid w:val="0"/>
        <w:spacing w:before="120"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9C18A0" w:rsidRPr="000A37BF">
        <w:rPr>
          <w:kern w:val="22"/>
          <w:sz w:val="22"/>
          <w:szCs w:val="22"/>
          <w:lang w:val="en-GB" w:eastAsia="en-GB"/>
        </w:rPr>
        <w:t>The implementation of country-to-country and country-to-company access and benefit</w:t>
      </w:r>
      <w:r w:rsidR="00F73189" w:rsidRPr="000A37BF">
        <w:rPr>
          <w:kern w:val="22"/>
          <w:sz w:val="22"/>
          <w:szCs w:val="22"/>
          <w:lang w:val="en-GB" w:eastAsia="en-GB"/>
        </w:rPr>
        <w:t>-</w:t>
      </w:r>
      <w:r w:rsidR="009C18A0" w:rsidRPr="000A37BF">
        <w:rPr>
          <w:kern w:val="22"/>
          <w:sz w:val="22"/>
          <w:szCs w:val="22"/>
          <w:lang w:val="en-GB" w:eastAsia="en-GB"/>
        </w:rPr>
        <w:t xml:space="preserve">sharing agreements should be enhanced, including by addressing operational needs, communication strategies and capacity to negotiate and implement </w:t>
      </w:r>
      <w:r w:rsidR="00AD502B" w:rsidRPr="000A37BF">
        <w:rPr>
          <w:kern w:val="22"/>
          <w:sz w:val="22"/>
          <w:szCs w:val="22"/>
          <w:lang w:val="en-GB" w:eastAsia="en-GB"/>
        </w:rPr>
        <w:t xml:space="preserve">access and benefit-sharing </w:t>
      </w:r>
      <w:r w:rsidR="009C18A0" w:rsidRPr="000A37BF">
        <w:rPr>
          <w:kern w:val="22"/>
          <w:sz w:val="22"/>
          <w:szCs w:val="22"/>
          <w:lang w:val="en-GB" w:eastAsia="en-GB"/>
        </w:rPr>
        <w:t>agreements</w:t>
      </w:r>
      <w:r w:rsidRPr="000A37BF">
        <w:rPr>
          <w:kern w:val="22"/>
          <w:sz w:val="22"/>
          <w:szCs w:val="22"/>
          <w:lang w:val="en-GB" w:eastAsia="en-GB"/>
        </w:rPr>
        <w:t>;</w:t>
      </w:r>
    </w:p>
    <w:p w14:paraId="53AF82D9" w14:textId="5047D625" w:rsidR="009C18A0" w:rsidRPr="000A37BF" w:rsidRDefault="00C6714D" w:rsidP="000A37BF">
      <w:pPr>
        <w:suppressLineNumbers/>
        <w:suppressAutoHyphens/>
        <w:adjustRightInd w:val="0"/>
        <w:snapToGrid w:val="0"/>
        <w:spacing w:before="120" w:after="120"/>
        <w:ind w:firstLine="720"/>
        <w:jc w:val="both"/>
        <w:rPr>
          <w:kern w:val="22"/>
          <w:sz w:val="22"/>
          <w:szCs w:val="22"/>
          <w:lang w:val="en-GB" w:eastAsia="en-GB"/>
        </w:rPr>
      </w:pPr>
      <w:r w:rsidRPr="000A37BF">
        <w:rPr>
          <w:kern w:val="22"/>
          <w:sz w:val="22"/>
          <w:szCs w:val="22"/>
          <w:lang w:val="en-GB" w:eastAsia="en-GB"/>
        </w:rPr>
        <w:t>(b)</w:t>
      </w:r>
      <w:r w:rsidRPr="000A37BF">
        <w:rPr>
          <w:kern w:val="22"/>
          <w:sz w:val="22"/>
          <w:szCs w:val="22"/>
          <w:lang w:val="en-GB" w:eastAsia="en-GB"/>
        </w:rPr>
        <w:tab/>
      </w:r>
      <w:r w:rsidR="009C18A0" w:rsidRPr="000A37BF">
        <w:rPr>
          <w:kern w:val="22"/>
          <w:sz w:val="22"/>
          <w:szCs w:val="22"/>
          <w:lang w:val="en-GB" w:eastAsia="en-GB"/>
        </w:rPr>
        <w:t>The value of resources mobili</w:t>
      </w:r>
      <w:r w:rsidR="00A43077" w:rsidRPr="000A37BF">
        <w:rPr>
          <w:kern w:val="22"/>
          <w:sz w:val="22"/>
          <w:szCs w:val="22"/>
          <w:lang w:val="en-GB" w:eastAsia="en-GB"/>
        </w:rPr>
        <w:t>z</w:t>
      </w:r>
      <w:r w:rsidR="009C18A0" w:rsidRPr="000A37BF">
        <w:rPr>
          <w:kern w:val="22"/>
          <w:sz w:val="22"/>
          <w:szCs w:val="22"/>
          <w:lang w:val="en-GB" w:eastAsia="en-GB"/>
        </w:rPr>
        <w:t xml:space="preserve">ed through </w:t>
      </w:r>
      <w:r w:rsidR="00AD502B" w:rsidRPr="000A37BF">
        <w:rPr>
          <w:kern w:val="22"/>
          <w:sz w:val="22"/>
          <w:szCs w:val="22"/>
          <w:lang w:val="en-GB" w:eastAsia="en-GB"/>
        </w:rPr>
        <w:t>access and benefit-sharing</w:t>
      </w:r>
      <w:r w:rsidR="009C18A0" w:rsidRPr="000A37BF">
        <w:rPr>
          <w:kern w:val="22"/>
          <w:sz w:val="22"/>
          <w:szCs w:val="22"/>
          <w:lang w:val="en-GB" w:eastAsia="en-GB"/>
        </w:rPr>
        <w:t xml:space="preserve"> initiatives and mechanisms should be assessed as comprehensively as possible, recogni</w:t>
      </w:r>
      <w:r w:rsidR="00A43077" w:rsidRPr="000A37BF">
        <w:rPr>
          <w:kern w:val="22"/>
          <w:sz w:val="22"/>
          <w:szCs w:val="22"/>
          <w:lang w:val="en-GB" w:eastAsia="en-GB"/>
        </w:rPr>
        <w:t>z</w:t>
      </w:r>
      <w:r w:rsidR="009C18A0" w:rsidRPr="000A37BF">
        <w:rPr>
          <w:kern w:val="22"/>
          <w:sz w:val="22"/>
          <w:szCs w:val="22"/>
          <w:lang w:val="en-GB" w:eastAsia="en-GB"/>
        </w:rPr>
        <w:t>ing the challenge that many agreements between users and providers are confidential.</w:t>
      </w:r>
    </w:p>
    <w:p w14:paraId="0F3B9501" w14:textId="69F232C1" w:rsidR="009C18A0" w:rsidRPr="000A37BF" w:rsidRDefault="005046CA" w:rsidP="000A37BF">
      <w:pPr>
        <w:pStyle w:val="HEADINGNOTFORTOC"/>
        <w:suppressLineNumbers/>
        <w:suppressAutoHyphens/>
        <w:adjustRightInd w:val="0"/>
        <w:snapToGrid w:val="0"/>
        <w:spacing w:before="0" w:after="0"/>
        <w:ind w:left="1134" w:hanging="567"/>
        <w:jc w:val="left"/>
        <w:rPr>
          <w:bCs/>
          <w:kern w:val="22"/>
          <w:sz w:val="22"/>
          <w:szCs w:val="22"/>
          <w:lang w:val="en-GB" w:eastAsia="en-GB"/>
        </w:rPr>
      </w:pPr>
      <w:r w:rsidRPr="000A37BF">
        <w:rPr>
          <w:bCs/>
          <w:kern w:val="22"/>
          <w:sz w:val="22"/>
          <w:szCs w:val="22"/>
          <w:lang w:val="en-GB" w:eastAsia="en-GB"/>
        </w:rPr>
        <w:t>V.</w:t>
      </w:r>
      <w:r w:rsidRPr="000A37BF">
        <w:rPr>
          <w:bCs/>
          <w:kern w:val="22"/>
          <w:sz w:val="22"/>
          <w:szCs w:val="22"/>
          <w:lang w:val="en-GB" w:eastAsia="en-GB"/>
        </w:rPr>
        <w:tab/>
      </w:r>
      <w:r w:rsidR="009C18A0" w:rsidRPr="000A37BF">
        <w:rPr>
          <w:bCs/>
          <w:kern w:val="22"/>
          <w:sz w:val="22"/>
          <w:szCs w:val="22"/>
          <w:lang w:val="en-GB" w:eastAsia="en-GB"/>
        </w:rPr>
        <w:t xml:space="preserve">Resource </w:t>
      </w:r>
      <w:r w:rsidR="0019341A" w:rsidRPr="000A37BF">
        <w:rPr>
          <w:bCs/>
          <w:kern w:val="22"/>
          <w:sz w:val="22"/>
          <w:szCs w:val="22"/>
          <w:lang w:val="en-GB" w:eastAsia="en-GB"/>
        </w:rPr>
        <w:t>m</w:t>
      </w:r>
      <w:r w:rsidR="009C18A0" w:rsidRPr="000A37BF">
        <w:rPr>
          <w:bCs/>
          <w:kern w:val="22"/>
          <w:sz w:val="22"/>
          <w:szCs w:val="22"/>
          <w:lang w:val="en-GB" w:eastAsia="en-GB"/>
        </w:rPr>
        <w:t>obili</w:t>
      </w:r>
      <w:r w:rsidR="00EE709A" w:rsidRPr="000A37BF">
        <w:rPr>
          <w:bCs/>
          <w:kern w:val="22"/>
          <w:sz w:val="22"/>
          <w:szCs w:val="22"/>
          <w:lang w:val="en-GB" w:eastAsia="en-GB"/>
        </w:rPr>
        <w:t>z</w:t>
      </w:r>
      <w:r w:rsidR="009C18A0" w:rsidRPr="000A37BF">
        <w:rPr>
          <w:bCs/>
          <w:kern w:val="22"/>
          <w:sz w:val="22"/>
          <w:szCs w:val="22"/>
          <w:lang w:val="en-GB" w:eastAsia="en-GB"/>
        </w:rPr>
        <w:t xml:space="preserve">ation </w:t>
      </w:r>
      <w:r w:rsidR="0019341A" w:rsidRPr="000A37BF">
        <w:rPr>
          <w:bCs/>
          <w:kern w:val="22"/>
          <w:sz w:val="22"/>
          <w:szCs w:val="22"/>
          <w:lang w:val="en-GB" w:eastAsia="en-GB"/>
        </w:rPr>
        <w:t>c</w:t>
      </w:r>
      <w:r w:rsidR="009C18A0" w:rsidRPr="000A37BF">
        <w:rPr>
          <w:bCs/>
          <w:kern w:val="22"/>
          <w:sz w:val="22"/>
          <w:szCs w:val="22"/>
          <w:lang w:val="en-GB" w:eastAsia="en-GB"/>
        </w:rPr>
        <w:t>omponent III: Enhanc</w:t>
      </w:r>
      <w:r w:rsidR="009306A5" w:rsidRPr="00C053AE">
        <w:rPr>
          <w:bCs/>
          <w:kern w:val="22"/>
          <w:sz w:val="22"/>
          <w:szCs w:val="22"/>
          <w:lang w:val="en-GB" w:eastAsia="en-GB"/>
        </w:rPr>
        <w:t>e</w:t>
      </w:r>
      <w:r w:rsidR="009C18A0" w:rsidRPr="000A37BF">
        <w:rPr>
          <w:bCs/>
          <w:kern w:val="22"/>
          <w:sz w:val="22"/>
          <w:szCs w:val="22"/>
          <w:lang w:val="en-GB" w:eastAsia="en-GB"/>
        </w:rPr>
        <w:t xml:space="preserve"> the effectiveness and efficiency of resource use</w:t>
      </w:r>
    </w:p>
    <w:p w14:paraId="1CDB6D67" w14:textId="0B91FD71" w:rsidR="00F177B0" w:rsidRPr="000A37BF" w:rsidRDefault="00F177B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kern w:val="22"/>
          <w:sz w:val="22"/>
          <w:szCs w:val="22"/>
          <w:lang w:val="en-GB" w:eastAsia="en-GB"/>
        </w:rPr>
        <w:t xml:space="preserve">Key actions to be taken in order to achieve this component of resource mobilization are </w:t>
      </w:r>
      <w:r w:rsidR="0059361A" w:rsidRPr="000A37BF">
        <w:rPr>
          <w:kern w:val="22"/>
          <w:sz w:val="22"/>
          <w:szCs w:val="22"/>
          <w:lang w:val="en-GB" w:eastAsia="en-GB"/>
        </w:rPr>
        <w:t>recommended</w:t>
      </w:r>
      <w:r w:rsidRPr="000A37BF">
        <w:rPr>
          <w:kern w:val="22"/>
          <w:sz w:val="22"/>
          <w:szCs w:val="22"/>
          <w:lang w:val="en-GB" w:eastAsia="en-GB"/>
        </w:rPr>
        <w:t xml:space="preserve"> in the paragraphs that follow.</w:t>
      </w:r>
    </w:p>
    <w:p w14:paraId="74302346" w14:textId="7AB49E08" w:rsidR="009C18A0" w:rsidRPr="000A37BF" w:rsidRDefault="009306A5"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C053AE">
        <w:rPr>
          <w:b/>
          <w:bCs/>
          <w:kern w:val="22"/>
          <w:sz w:val="22"/>
          <w:szCs w:val="22"/>
          <w:lang w:val="en-GB" w:eastAsia="en-GB"/>
        </w:rPr>
        <w:t>Review and improve as needed</w:t>
      </w:r>
      <w:r w:rsidRPr="000A37BF">
        <w:rPr>
          <w:b/>
          <w:bCs/>
          <w:kern w:val="22"/>
          <w:sz w:val="22"/>
          <w:szCs w:val="22"/>
          <w:lang w:val="en-GB" w:eastAsia="en-GB"/>
        </w:rPr>
        <w:t xml:space="preserve"> </w:t>
      </w:r>
      <w:r w:rsidR="009C18A0" w:rsidRPr="000A37BF">
        <w:rPr>
          <w:b/>
          <w:bCs/>
          <w:kern w:val="22"/>
          <w:sz w:val="22"/>
          <w:szCs w:val="22"/>
          <w:lang w:val="en-GB" w:eastAsia="en-GB"/>
        </w:rPr>
        <w:t>good governance and planning within the public sector</w:t>
      </w:r>
      <w:r w:rsidR="005046CA" w:rsidRPr="000A37BF">
        <w:rPr>
          <w:b/>
          <w:bCs/>
          <w:kern w:val="22"/>
          <w:sz w:val="22"/>
          <w:szCs w:val="22"/>
          <w:lang w:val="en-GB" w:eastAsia="en-GB"/>
        </w:rPr>
        <w:t>.</w:t>
      </w:r>
      <w:r w:rsidR="005046CA" w:rsidRPr="000A37BF">
        <w:rPr>
          <w:kern w:val="22"/>
          <w:sz w:val="22"/>
          <w:szCs w:val="22"/>
          <w:lang w:val="en-GB" w:eastAsia="en-GB"/>
        </w:rPr>
        <w:t xml:space="preserve"> </w:t>
      </w:r>
      <w:r w:rsidR="009C18A0" w:rsidRPr="000A37BF">
        <w:rPr>
          <w:kern w:val="22"/>
          <w:sz w:val="22"/>
          <w:szCs w:val="22"/>
          <w:lang w:val="en-GB" w:eastAsia="en-GB"/>
        </w:rPr>
        <w:t xml:space="preserve">Good governance and good planning are central to ensuring </w:t>
      </w:r>
      <w:r w:rsidR="00AD502B" w:rsidRPr="000A37BF">
        <w:rPr>
          <w:kern w:val="22"/>
          <w:sz w:val="22"/>
          <w:szCs w:val="22"/>
          <w:lang w:val="en-GB" w:eastAsia="en-GB"/>
        </w:rPr>
        <w:t xml:space="preserve">that </w:t>
      </w:r>
      <w:r w:rsidR="009C18A0" w:rsidRPr="000A37BF">
        <w:rPr>
          <w:kern w:val="22"/>
          <w:sz w:val="22"/>
          <w:szCs w:val="22"/>
          <w:lang w:val="en-GB" w:eastAsia="en-GB"/>
        </w:rPr>
        <w:t xml:space="preserve">limited resources are used effectively and efficiently. The necessary whole-of-government approach will require strengthening </w:t>
      </w:r>
      <w:r w:rsidR="00AD502B" w:rsidRPr="000A37BF">
        <w:rPr>
          <w:kern w:val="22"/>
          <w:sz w:val="22"/>
          <w:szCs w:val="22"/>
          <w:lang w:val="en-GB" w:eastAsia="en-GB"/>
        </w:rPr>
        <w:t xml:space="preserve">of </w:t>
      </w:r>
      <w:r w:rsidR="009C18A0" w:rsidRPr="000A37BF">
        <w:rPr>
          <w:kern w:val="22"/>
          <w:sz w:val="22"/>
          <w:szCs w:val="22"/>
          <w:lang w:val="en-GB" w:eastAsia="en-GB"/>
        </w:rPr>
        <w:t xml:space="preserve">structures and processes to ensure vertical and horizontal coordination within agencies, </w:t>
      </w:r>
      <w:r w:rsidR="00A23A03" w:rsidRPr="000A37BF">
        <w:rPr>
          <w:kern w:val="22"/>
          <w:sz w:val="22"/>
          <w:szCs w:val="22"/>
          <w:lang w:val="en-GB" w:eastAsia="en-GB"/>
        </w:rPr>
        <w:t xml:space="preserve">as well as </w:t>
      </w:r>
      <w:r w:rsidR="009C18A0" w:rsidRPr="000A37BF">
        <w:rPr>
          <w:kern w:val="22"/>
          <w:sz w:val="22"/>
          <w:szCs w:val="22"/>
          <w:lang w:val="en-GB" w:eastAsia="en-GB"/>
        </w:rPr>
        <w:t>improved inter</w:t>
      </w:r>
      <w:r w:rsidR="005771A1" w:rsidRPr="000A37BF">
        <w:rPr>
          <w:kern w:val="22"/>
          <w:sz w:val="22"/>
          <w:szCs w:val="22"/>
          <w:lang w:val="en-GB" w:eastAsia="en-GB"/>
        </w:rPr>
        <w:t>m</w:t>
      </w:r>
      <w:r w:rsidR="009C18A0" w:rsidRPr="000A37BF">
        <w:rPr>
          <w:kern w:val="22"/>
          <w:sz w:val="22"/>
          <w:szCs w:val="22"/>
          <w:lang w:val="en-GB" w:eastAsia="en-GB"/>
        </w:rPr>
        <w:t>inisterial and inter</w:t>
      </w:r>
      <w:r w:rsidR="00695C61" w:rsidRPr="000A37BF">
        <w:rPr>
          <w:kern w:val="22"/>
          <w:sz w:val="22"/>
          <w:szCs w:val="22"/>
          <w:lang w:val="en-GB" w:eastAsia="en-GB"/>
        </w:rPr>
        <w:t>-</w:t>
      </w:r>
      <w:r w:rsidR="009C18A0" w:rsidRPr="000A37BF">
        <w:rPr>
          <w:kern w:val="22"/>
          <w:sz w:val="22"/>
          <w:szCs w:val="22"/>
          <w:lang w:val="en-GB" w:eastAsia="en-GB"/>
        </w:rPr>
        <w:t>agency coordination. High</w:t>
      </w:r>
      <w:r w:rsidR="005771A1" w:rsidRPr="000A37BF">
        <w:rPr>
          <w:kern w:val="22"/>
          <w:sz w:val="22"/>
          <w:szCs w:val="22"/>
          <w:lang w:val="en-GB" w:eastAsia="en-GB"/>
        </w:rPr>
        <w:t>-</w:t>
      </w:r>
      <w:r w:rsidR="009C18A0" w:rsidRPr="000A37BF">
        <w:rPr>
          <w:kern w:val="22"/>
          <w:sz w:val="22"/>
          <w:szCs w:val="22"/>
          <w:lang w:val="en-GB" w:eastAsia="en-GB"/>
        </w:rPr>
        <w:t>level political commitments will be necessary for this to be achieved, with dedicated budgets to ensure that stated goals are met.</w:t>
      </w:r>
      <w:r w:rsidR="00AB101E" w:rsidRPr="000A37BF">
        <w:rPr>
          <w:kern w:val="22"/>
          <w:sz w:val="22"/>
          <w:szCs w:val="22"/>
          <w:lang w:val="en-GB" w:eastAsia="en-GB"/>
        </w:rPr>
        <w:t xml:space="preserve"> Thus:</w:t>
      </w:r>
    </w:p>
    <w:p w14:paraId="511FEE1D" w14:textId="7E1F8BC5" w:rsidR="009C18A0" w:rsidRPr="000A37BF" w:rsidRDefault="006A6166"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9C18A0" w:rsidRPr="000A37BF">
        <w:rPr>
          <w:kern w:val="22"/>
          <w:sz w:val="22"/>
          <w:szCs w:val="22"/>
          <w:lang w:val="en-GB" w:eastAsia="en-GB"/>
        </w:rPr>
        <w:t xml:space="preserve">Countries should ensure that </w:t>
      </w:r>
      <w:r w:rsidR="007E69F5" w:rsidRPr="000A37BF">
        <w:rPr>
          <w:kern w:val="22"/>
          <w:sz w:val="22"/>
          <w:szCs w:val="22"/>
          <w:lang w:val="en-GB" w:eastAsia="en-GB"/>
        </w:rPr>
        <w:t>n</w:t>
      </w:r>
      <w:r w:rsidR="009C18A0" w:rsidRPr="000A37BF">
        <w:rPr>
          <w:kern w:val="22"/>
          <w:sz w:val="22"/>
          <w:szCs w:val="22"/>
          <w:lang w:val="en-GB" w:eastAsia="en-GB"/>
        </w:rPr>
        <w:t xml:space="preserve">ational </w:t>
      </w:r>
      <w:r w:rsidR="007E69F5" w:rsidRPr="000A37BF">
        <w:rPr>
          <w:kern w:val="22"/>
          <w:sz w:val="22"/>
          <w:szCs w:val="22"/>
          <w:lang w:val="en-GB" w:eastAsia="en-GB"/>
        </w:rPr>
        <w:t>b</w:t>
      </w:r>
      <w:r w:rsidR="009C18A0" w:rsidRPr="000A37BF">
        <w:rPr>
          <w:kern w:val="22"/>
          <w:sz w:val="22"/>
          <w:szCs w:val="22"/>
          <w:lang w:val="en-GB" w:eastAsia="en-GB"/>
        </w:rPr>
        <w:t xml:space="preserve">iodiversity </w:t>
      </w:r>
      <w:r w:rsidR="007E69F5" w:rsidRPr="000A37BF">
        <w:rPr>
          <w:kern w:val="22"/>
          <w:sz w:val="22"/>
          <w:szCs w:val="22"/>
          <w:lang w:val="en-GB" w:eastAsia="en-GB"/>
        </w:rPr>
        <w:t>s</w:t>
      </w:r>
      <w:r w:rsidR="009C18A0" w:rsidRPr="000A37BF">
        <w:rPr>
          <w:kern w:val="22"/>
          <w:sz w:val="22"/>
          <w:szCs w:val="22"/>
          <w:lang w:val="en-GB" w:eastAsia="en-GB"/>
        </w:rPr>
        <w:t>trateg</w:t>
      </w:r>
      <w:r w:rsidR="007E69F5" w:rsidRPr="000A37BF">
        <w:rPr>
          <w:kern w:val="22"/>
          <w:sz w:val="22"/>
          <w:szCs w:val="22"/>
          <w:lang w:val="en-GB" w:eastAsia="en-GB"/>
        </w:rPr>
        <w:t>ies</w:t>
      </w:r>
      <w:r w:rsidR="009C18A0" w:rsidRPr="000A37BF">
        <w:rPr>
          <w:kern w:val="22"/>
          <w:sz w:val="22"/>
          <w:szCs w:val="22"/>
          <w:lang w:val="en-GB" w:eastAsia="en-GB"/>
        </w:rPr>
        <w:t xml:space="preserve"> and </w:t>
      </w:r>
      <w:r w:rsidR="007E69F5" w:rsidRPr="000A37BF">
        <w:rPr>
          <w:kern w:val="22"/>
          <w:sz w:val="22"/>
          <w:szCs w:val="22"/>
          <w:lang w:val="en-GB" w:eastAsia="en-GB"/>
        </w:rPr>
        <w:t>a</w:t>
      </w:r>
      <w:r w:rsidR="009C18A0" w:rsidRPr="000A37BF">
        <w:rPr>
          <w:kern w:val="22"/>
          <w:sz w:val="22"/>
          <w:szCs w:val="22"/>
          <w:lang w:val="en-GB" w:eastAsia="en-GB"/>
        </w:rPr>
        <w:t xml:space="preserve">ction </w:t>
      </w:r>
      <w:r w:rsidR="007E69F5" w:rsidRPr="000A37BF">
        <w:rPr>
          <w:kern w:val="22"/>
          <w:sz w:val="22"/>
          <w:szCs w:val="22"/>
          <w:lang w:val="en-GB" w:eastAsia="en-GB"/>
        </w:rPr>
        <w:t>p</w:t>
      </w:r>
      <w:r w:rsidR="009C18A0" w:rsidRPr="000A37BF">
        <w:rPr>
          <w:kern w:val="22"/>
          <w:sz w:val="22"/>
          <w:szCs w:val="22"/>
          <w:lang w:val="en-GB" w:eastAsia="en-GB"/>
        </w:rPr>
        <w:t xml:space="preserve">lans (NBSAPs), or similar national plans, include the identification of the drivers of loss (economic and other), and develop activities to directly address these drivers. Activities should be clearly linked to intended outcomes, and the prospective costs of implementation should be calculated, as well as the identification of the most cost-effective options for achieving the intended biodiversity outcomes. National biodiversity finance plans should be developed alongside NBSAPs, following the </w:t>
      </w:r>
      <w:r w:rsidR="007E69F5" w:rsidRPr="000A37BF">
        <w:rPr>
          <w:kern w:val="22"/>
          <w:sz w:val="22"/>
          <w:szCs w:val="22"/>
          <w:lang w:val="en-GB" w:eastAsia="en-GB"/>
        </w:rPr>
        <w:t xml:space="preserve">methodology of the </w:t>
      </w:r>
      <w:r w:rsidR="00CF79C8" w:rsidRPr="000A37BF">
        <w:rPr>
          <w:kern w:val="22"/>
          <w:sz w:val="22"/>
          <w:szCs w:val="22"/>
          <w:lang w:val="en-GB" w:eastAsia="en-GB"/>
        </w:rPr>
        <w:t xml:space="preserve">Biodiversity Finance Initiative </w:t>
      </w:r>
      <w:r w:rsidR="005E52D8" w:rsidRPr="000A37BF">
        <w:rPr>
          <w:kern w:val="22"/>
          <w:sz w:val="22"/>
          <w:szCs w:val="22"/>
          <w:lang w:val="en-GB" w:eastAsia="en-GB"/>
        </w:rPr>
        <w:t xml:space="preserve">(BIOFIN) </w:t>
      </w:r>
      <w:r w:rsidR="007E69F5" w:rsidRPr="000A37BF">
        <w:rPr>
          <w:kern w:val="22"/>
          <w:sz w:val="22"/>
          <w:szCs w:val="22"/>
          <w:lang w:val="en-GB" w:eastAsia="en-GB"/>
        </w:rPr>
        <w:t>of the United Nations Development Programme</w:t>
      </w:r>
      <w:r w:rsidR="009C18A0" w:rsidRPr="000A37BF">
        <w:rPr>
          <w:kern w:val="22"/>
          <w:sz w:val="22"/>
          <w:szCs w:val="22"/>
          <w:lang w:val="en-GB" w:eastAsia="en-GB"/>
        </w:rPr>
        <w:t xml:space="preserve"> or similar</w:t>
      </w:r>
      <w:r w:rsidR="007E69F5" w:rsidRPr="000A37BF">
        <w:rPr>
          <w:kern w:val="22"/>
          <w:sz w:val="22"/>
          <w:szCs w:val="22"/>
          <w:lang w:val="en-GB" w:eastAsia="en-GB"/>
        </w:rPr>
        <w:t xml:space="preserve"> methodology</w:t>
      </w:r>
      <w:r w:rsidR="009C18A0" w:rsidRPr="000A37BF">
        <w:rPr>
          <w:kern w:val="22"/>
          <w:sz w:val="22"/>
          <w:szCs w:val="22"/>
          <w:lang w:val="en-GB" w:eastAsia="en-GB"/>
        </w:rPr>
        <w:t>. These plans should address all three components of resource mobili</w:t>
      </w:r>
      <w:r w:rsidR="00EE709A" w:rsidRPr="000A37BF">
        <w:rPr>
          <w:kern w:val="22"/>
          <w:sz w:val="22"/>
          <w:szCs w:val="22"/>
          <w:lang w:val="en-GB" w:eastAsia="en-GB"/>
        </w:rPr>
        <w:t>z</w:t>
      </w:r>
      <w:r w:rsidR="009C18A0" w:rsidRPr="000A37BF">
        <w:rPr>
          <w:kern w:val="22"/>
          <w:sz w:val="22"/>
          <w:szCs w:val="22"/>
          <w:lang w:val="en-GB" w:eastAsia="en-GB"/>
        </w:rPr>
        <w:t>ation, as set out in this report. National biodiversity finance plans will be needed in all countries in order to achieve transformative change, and the development and implementation of these plans should be supported and appropriately resourced</w:t>
      </w:r>
      <w:r w:rsidR="00DB3539" w:rsidRPr="000A37BF">
        <w:rPr>
          <w:kern w:val="22"/>
          <w:sz w:val="22"/>
          <w:szCs w:val="22"/>
          <w:lang w:val="en-GB" w:eastAsia="en-GB"/>
        </w:rPr>
        <w:t>;</w:t>
      </w:r>
    </w:p>
    <w:p w14:paraId="555D333C" w14:textId="1B41EFF1" w:rsidR="009C18A0" w:rsidRPr="000A37BF" w:rsidRDefault="006A6166"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(b)</w:t>
      </w:r>
      <w:r w:rsidRPr="000A37BF">
        <w:rPr>
          <w:kern w:val="22"/>
          <w:sz w:val="22"/>
          <w:szCs w:val="22"/>
          <w:lang w:val="en-GB" w:eastAsia="en-GB"/>
        </w:rPr>
        <w:tab/>
      </w:r>
      <w:r w:rsidR="009C18A0" w:rsidRPr="000A37BF">
        <w:rPr>
          <w:kern w:val="22"/>
          <w:sz w:val="22"/>
          <w:szCs w:val="22"/>
          <w:lang w:val="en-GB" w:eastAsia="en-GB"/>
        </w:rPr>
        <w:t>Biodiversity should be mainstreamed into sector and integrated development plans, including relevant spatial data and spatial planning instruments. The effectiveness of policy instruments should be monitored and evaluated, in order to support adaptive management over time</w:t>
      </w:r>
      <w:r w:rsidR="00557678" w:rsidRPr="00C053AE">
        <w:rPr>
          <w:kern w:val="22"/>
          <w:sz w:val="22"/>
          <w:szCs w:val="22"/>
          <w:lang w:val="en-GB" w:eastAsia="en-GB"/>
        </w:rPr>
        <w:t>. This is also applicable for economic recovery plans</w:t>
      </w:r>
      <w:r w:rsidR="00DB3539" w:rsidRPr="000A37BF">
        <w:rPr>
          <w:kern w:val="22"/>
          <w:sz w:val="22"/>
          <w:szCs w:val="22"/>
          <w:lang w:val="en-GB" w:eastAsia="en-GB"/>
        </w:rPr>
        <w:t>;</w:t>
      </w:r>
    </w:p>
    <w:p w14:paraId="13481414" w14:textId="4B9EAF44" w:rsidR="009C18A0" w:rsidRPr="000A37BF" w:rsidRDefault="006A6166"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(c)</w:t>
      </w:r>
      <w:r w:rsidRPr="000A37BF">
        <w:rPr>
          <w:kern w:val="22"/>
          <w:sz w:val="22"/>
          <w:szCs w:val="22"/>
          <w:lang w:val="en-GB" w:eastAsia="en-GB"/>
        </w:rPr>
        <w:tab/>
      </w:r>
      <w:r w:rsidR="009C18A0" w:rsidRPr="000A37BF">
        <w:rPr>
          <w:kern w:val="22"/>
          <w:sz w:val="22"/>
          <w:szCs w:val="22"/>
          <w:lang w:val="en-GB" w:eastAsia="en-GB"/>
        </w:rPr>
        <w:t>Governments should provide recognition and support, as appropriate, to non-</w:t>
      </w:r>
      <w:r w:rsidR="005046CA" w:rsidRPr="000A37BF">
        <w:rPr>
          <w:kern w:val="22"/>
          <w:sz w:val="22"/>
          <w:szCs w:val="22"/>
          <w:lang w:val="en-GB" w:eastAsia="en-GB"/>
        </w:rPr>
        <w:t>S</w:t>
      </w:r>
      <w:r w:rsidR="009C18A0" w:rsidRPr="000A37BF">
        <w:rPr>
          <w:kern w:val="22"/>
          <w:sz w:val="22"/>
          <w:szCs w:val="22"/>
          <w:lang w:val="en-GB" w:eastAsia="en-GB"/>
        </w:rPr>
        <w:t xml:space="preserve">tate actors responsible for the management and co-management of protected areas and other effective area-based conservation measures (OECMs), including </w:t>
      </w:r>
      <w:r w:rsidR="00D808E6" w:rsidRPr="000A37BF">
        <w:rPr>
          <w:kern w:val="22"/>
          <w:sz w:val="22"/>
          <w:szCs w:val="22"/>
          <w:lang w:val="en-GB" w:eastAsia="en-GB"/>
        </w:rPr>
        <w:t>indigenous peoples and local communities</w:t>
      </w:r>
      <w:r w:rsidR="009C18A0" w:rsidRPr="000A37BF">
        <w:rPr>
          <w:kern w:val="22"/>
          <w:sz w:val="22"/>
          <w:szCs w:val="22"/>
          <w:lang w:val="en-GB" w:eastAsia="en-GB"/>
        </w:rPr>
        <w:t xml:space="preserve">, private entities and </w:t>
      </w:r>
      <w:r w:rsidR="008C5A39" w:rsidRPr="000A37BF">
        <w:rPr>
          <w:kern w:val="22"/>
          <w:sz w:val="22"/>
          <w:szCs w:val="22"/>
          <w:lang w:val="en-GB" w:eastAsia="en-GB"/>
        </w:rPr>
        <w:lastRenderedPageBreak/>
        <w:t>non-governmental organizations</w:t>
      </w:r>
      <w:r w:rsidR="009C18A0" w:rsidRPr="000A37BF">
        <w:rPr>
          <w:kern w:val="22"/>
          <w:sz w:val="22"/>
          <w:szCs w:val="22"/>
          <w:lang w:val="en-GB" w:eastAsia="en-GB"/>
        </w:rPr>
        <w:t>. Where appropriate, partnership agreements and mechanisms, such as contract agreements and trust funds, should be developed to guide co-management and non-</w:t>
      </w:r>
      <w:r w:rsidR="007B3CBF" w:rsidRPr="000A37BF">
        <w:rPr>
          <w:kern w:val="22"/>
          <w:sz w:val="22"/>
          <w:szCs w:val="22"/>
          <w:lang w:val="en-GB" w:eastAsia="en-GB"/>
        </w:rPr>
        <w:t>S</w:t>
      </w:r>
      <w:r w:rsidR="009C18A0" w:rsidRPr="000A37BF">
        <w:rPr>
          <w:kern w:val="22"/>
          <w:sz w:val="22"/>
          <w:szCs w:val="22"/>
          <w:lang w:val="en-GB" w:eastAsia="en-GB"/>
        </w:rPr>
        <w:t xml:space="preserve">tate management of important landscapes and seascapes. Intermediaries, such as </w:t>
      </w:r>
      <w:r w:rsidR="008C5A39" w:rsidRPr="000A37BF">
        <w:rPr>
          <w:kern w:val="22"/>
          <w:sz w:val="22"/>
          <w:szCs w:val="22"/>
          <w:lang w:val="en-GB" w:eastAsia="en-GB"/>
        </w:rPr>
        <w:t>non-governmental organizations</w:t>
      </w:r>
      <w:r w:rsidR="009C18A0" w:rsidRPr="000A37BF">
        <w:rPr>
          <w:kern w:val="22"/>
          <w:sz w:val="22"/>
          <w:szCs w:val="22"/>
          <w:lang w:val="en-GB" w:eastAsia="en-GB"/>
        </w:rPr>
        <w:t>, should be encouraged to facilitate partnerships between these entities and government. Incentives should be used to support the efforts of non-</w:t>
      </w:r>
      <w:r w:rsidR="00F402B2" w:rsidRPr="000A37BF">
        <w:rPr>
          <w:kern w:val="22"/>
          <w:sz w:val="22"/>
          <w:szCs w:val="22"/>
          <w:lang w:val="en-GB" w:eastAsia="en-GB"/>
        </w:rPr>
        <w:t>S</w:t>
      </w:r>
      <w:r w:rsidR="009C18A0" w:rsidRPr="000A37BF">
        <w:rPr>
          <w:kern w:val="22"/>
          <w:sz w:val="22"/>
          <w:szCs w:val="22"/>
          <w:lang w:val="en-GB" w:eastAsia="en-GB"/>
        </w:rPr>
        <w:t>tate actors</w:t>
      </w:r>
      <w:r w:rsidR="00DB3539" w:rsidRPr="000A37BF">
        <w:rPr>
          <w:kern w:val="22"/>
          <w:sz w:val="22"/>
          <w:szCs w:val="22"/>
          <w:lang w:val="en-GB" w:eastAsia="en-GB"/>
        </w:rPr>
        <w:t>;</w:t>
      </w:r>
    </w:p>
    <w:p w14:paraId="0AC72726" w14:textId="21B69ED1" w:rsidR="009C18A0" w:rsidRPr="000A37BF" w:rsidRDefault="006A6166"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(d)</w:t>
      </w:r>
      <w:r w:rsidRPr="000A37BF">
        <w:rPr>
          <w:kern w:val="22"/>
          <w:sz w:val="22"/>
          <w:szCs w:val="22"/>
          <w:lang w:val="en-GB" w:eastAsia="en-GB"/>
        </w:rPr>
        <w:tab/>
      </w:r>
      <w:r w:rsidR="009C18A0" w:rsidRPr="000A37BF">
        <w:rPr>
          <w:kern w:val="22"/>
          <w:sz w:val="22"/>
          <w:szCs w:val="22"/>
          <w:lang w:val="en-GB" w:eastAsia="en-GB"/>
        </w:rPr>
        <w:t xml:space="preserve">The collective action of </w:t>
      </w:r>
      <w:r w:rsidR="00D808E6" w:rsidRPr="000A37BF">
        <w:rPr>
          <w:kern w:val="22"/>
          <w:sz w:val="22"/>
          <w:szCs w:val="22"/>
          <w:lang w:val="en-GB" w:eastAsia="en-GB"/>
        </w:rPr>
        <w:t xml:space="preserve">indigenous peoples and local communities </w:t>
      </w:r>
      <w:r w:rsidR="009C18A0" w:rsidRPr="000A37BF">
        <w:rPr>
          <w:kern w:val="22"/>
          <w:sz w:val="22"/>
          <w:szCs w:val="22"/>
          <w:lang w:val="en-GB" w:eastAsia="en-GB"/>
        </w:rPr>
        <w:t>and their accompanying knowledge systems should be quantified as in-kind contributions.</w:t>
      </w:r>
    </w:p>
    <w:p w14:paraId="41323FBF" w14:textId="75F78CF7"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b/>
          <w:bCs/>
          <w:kern w:val="22"/>
          <w:sz w:val="22"/>
          <w:szCs w:val="22"/>
          <w:lang w:val="en-GB" w:eastAsia="en-GB"/>
        </w:rPr>
        <w:t xml:space="preserve">Create effective partnerships and platforms to support policy coherence, shared learning and the </w:t>
      </w:r>
      <w:r w:rsidR="009306A5" w:rsidRPr="00C053AE">
        <w:rPr>
          <w:b/>
          <w:bCs/>
          <w:kern w:val="22"/>
          <w:sz w:val="22"/>
          <w:szCs w:val="22"/>
          <w:lang w:val="en-GB" w:eastAsia="en-GB"/>
        </w:rPr>
        <w:t>development and application</w:t>
      </w:r>
      <w:r w:rsidR="009306A5" w:rsidRPr="000A37BF">
        <w:rPr>
          <w:b/>
          <w:bCs/>
          <w:kern w:val="22"/>
          <w:sz w:val="22"/>
          <w:szCs w:val="22"/>
          <w:lang w:val="en-GB" w:eastAsia="en-GB"/>
        </w:rPr>
        <w:t xml:space="preserve"> </w:t>
      </w:r>
      <w:r w:rsidRPr="000A37BF">
        <w:rPr>
          <w:b/>
          <w:bCs/>
          <w:kern w:val="22"/>
          <w:sz w:val="22"/>
          <w:szCs w:val="22"/>
          <w:lang w:val="en-GB" w:eastAsia="en-GB"/>
        </w:rPr>
        <w:t>of joint approaches</w:t>
      </w:r>
      <w:r w:rsidR="00557678" w:rsidRPr="00C053AE">
        <w:rPr>
          <w:b/>
          <w:bCs/>
          <w:kern w:val="22"/>
          <w:sz w:val="22"/>
          <w:szCs w:val="22"/>
          <w:lang w:val="en-GB" w:eastAsia="en-GB"/>
        </w:rPr>
        <w:t xml:space="preserve">. </w:t>
      </w:r>
      <w:r w:rsidR="00557678" w:rsidRPr="00C053AE">
        <w:rPr>
          <w:kern w:val="22"/>
          <w:sz w:val="22"/>
          <w:szCs w:val="22"/>
          <w:lang w:val="en-GB" w:eastAsia="en-GB"/>
        </w:rPr>
        <w:t>Partnerships and platforms, at international, national, and subnational levels, will be crucial to enable the collective action that is required for effective resource mobilization, including ensuring policy coherence, shared learning and the creation of joint solutions. Thus</w:t>
      </w:r>
      <w:r w:rsidR="004B6C50" w:rsidRPr="000A37BF">
        <w:rPr>
          <w:kern w:val="22"/>
          <w:sz w:val="22"/>
          <w:szCs w:val="22"/>
          <w:lang w:val="en-GB" w:eastAsia="en-GB"/>
        </w:rPr>
        <w:t>:</w:t>
      </w:r>
    </w:p>
    <w:p w14:paraId="6E5A82A7" w14:textId="460043BE" w:rsidR="009C18A0" w:rsidRPr="000A37BF" w:rsidRDefault="00DB3539" w:rsidP="000A37BF">
      <w:pPr>
        <w:suppressLineNumbers/>
        <w:suppressAutoHyphens/>
        <w:adjustRightInd w:val="0"/>
        <w:snapToGrid w:val="0"/>
        <w:spacing w:after="120"/>
        <w:jc w:val="both"/>
        <w:rPr>
          <w:kern w:val="22"/>
          <w:sz w:val="22"/>
          <w:szCs w:val="22"/>
          <w:lang w:val="en-GB" w:eastAsia="en-GB"/>
        </w:rPr>
      </w:pPr>
      <w:r w:rsidRPr="000A37BF">
        <w:rPr>
          <w:kern w:val="22"/>
          <w:sz w:val="22"/>
          <w:szCs w:val="22"/>
          <w:lang w:val="en-GB" w:eastAsia="en-GB"/>
        </w:rPr>
        <w:tab/>
      </w:r>
      <w:r w:rsidR="00D4287C" w:rsidRPr="000A37BF">
        <w:rPr>
          <w:kern w:val="22"/>
          <w:sz w:val="22"/>
          <w:szCs w:val="22"/>
          <w:lang w:val="en-GB" w:eastAsia="en-GB"/>
        </w:rPr>
        <w:t>(</w:t>
      </w:r>
      <w:r w:rsidR="00557678" w:rsidRPr="00C053AE">
        <w:rPr>
          <w:kern w:val="22"/>
          <w:sz w:val="22"/>
          <w:szCs w:val="22"/>
          <w:lang w:val="en-GB" w:eastAsia="en-GB"/>
        </w:rPr>
        <w:t>a</w:t>
      </w:r>
      <w:r w:rsidR="00D4287C" w:rsidRPr="000A37BF">
        <w:rPr>
          <w:kern w:val="22"/>
          <w:sz w:val="22"/>
          <w:szCs w:val="22"/>
          <w:lang w:val="en-GB" w:eastAsia="en-GB"/>
        </w:rPr>
        <w:t>)</w:t>
      </w:r>
      <w:r w:rsidR="00D4287C" w:rsidRPr="000A37BF">
        <w:rPr>
          <w:kern w:val="22"/>
          <w:sz w:val="22"/>
          <w:szCs w:val="22"/>
          <w:lang w:val="en-GB" w:eastAsia="en-GB"/>
        </w:rPr>
        <w:tab/>
      </w:r>
      <w:r w:rsidR="009C18A0" w:rsidRPr="000A37BF">
        <w:rPr>
          <w:kern w:val="22"/>
          <w:sz w:val="22"/>
          <w:szCs w:val="22"/>
          <w:lang w:val="en-GB" w:eastAsia="en-GB"/>
        </w:rPr>
        <w:t xml:space="preserve">Stakeholders should develop and support partnerships and platforms designed to bring together and facilitate collective action by government, the private sector, finance institutions, academia, international development cooperation actors, </w:t>
      </w:r>
      <w:r w:rsidR="00D808E6" w:rsidRPr="000A37BF">
        <w:rPr>
          <w:kern w:val="22"/>
          <w:sz w:val="22"/>
          <w:szCs w:val="22"/>
          <w:lang w:val="en-GB" w:eastAsia="en-GB"/>
        </w:rPr>
        <w:t>indigenous peoples and local communities,</w:t>
      </w:r>
      <w:r w:rsidR="009C18A0" w:rsidRPr="000A37BF">
        <w:rPr>
          <w:kern w:val="22"/>
          <w:sz w:val="22"/>
          <w:szCs w:val="22"/>
          <w:lang w:val="en-GB" w:eastAsia="en-GB"/>
        </w:rPr>
        <w:t xml:space="preserve"> and civil society. This should be done at international, regional, national and subnational level</w:t>
      </w:r>
      <w:r w:rsidR="00DD4630" w:rsidRPr="000A37BF">
        <w:rPr>
          <w:kern w:val="22"/>
          <w:sz w:val="22"/>
          <w:szCs w:val="22"/>
          <w:lang w:val="en-GB" w:eastAsia="en-GB"/>
        </w:rPr>
        <w:t>s</w:t>
      </w:r>
      <w:r w:rsidR="009C18A0" w:rsidRPr="000A37BF">
        <w:rPr>
          <w:kern w:val="22"/>
          <w:sz w:val="22"/>
          <w:szCs w:val="22"/>
          <w:lang w:val="en-GB" w:eastAsia="en-GB"/>
        </w:rPr>
        <w:t>, as needed</w:t>
      </w:r>
      <w:r w:rsidR="00D4287C" w:rsidRPr="000A37BF">
        <w:rPr>
          <w:kern w:val="22"/>
          <w:sz w:val="22"/>
          <w:szCs w:val="22"/>
          <w:lang w:val="en-GB" w:eastAsia="en-GB"/>
        </w:rPr>
        <w:t>;</w:t>
      </w:r>
    </w:p>
    <w:p w14:paraId="0E35077E" w14:textId="43A61BAD" w:rsidR="009C18A0" w:rsidRPr="000A37BF" w:rsidRDefault="00D4287C" w:rsidP="000A37BF">
      <w:pPr>
        <w:suppressLineNumbers/>
        <w:suppressAutoHyphens/>
        <w:adjustRightInd w:val="0"/>
        <w:snapToGrid w:val="0"/>
        <w:spacing w:after="120"/>
        <w:ind w:firstLine="720"/>
        <w:jc w:val="both"/>
        <w:rPr>
          <w:kern w:val="22"/>
          <w:sz w:val="22"/>
          <w:szCs w:val="22"/>
          <w:lang w:val="en-GB" w:eastAsia="en-GB"/>
        </w:rPr>
      </w:pPr>
      <w:r w:rsidRPr="000A37BF">
        <w:rPr>
          <w:bCs/>
          <w:kern w:val="22"/>
          <w:sz w:val="22"/>
          <w:szCs w:val="22"/>
          <w:lang w:val="en-GB" w:eastAsia="en-GB"/>
        </w:rPr>
        <w:t>(</w:t>
      </w:r>
      <w:r w:rsidR="00557678" w:rsidRPr="00C053AE">
        <w:rPr>
          <w:bCs/>
          <w:kern w:val="22"/>
          <w:sz w:val="22"/>
          <w:szCs w:val="22"/>
          <w:lang w:val="en-GB" w:eastAsia="en-GB"/>
        </w:rPr>
        <w:t>b</w:t>
      </w:r>
      <w:r w:rsidRPr="000A37BF">
        <w:rPr>
          <w:bCs/>
          <w:kern w:val="22"/>
          <w:sz w:val="22"/>
          <w:szCs w:val="22"/>
          <w:lang w:val="en-GB" w:eastAsia="en-GB"/>
        </w:rPr>
        <w:t>)</w:t>
      </w:r>
      <w:r w:rsidRPr="000A37BF">
        <w:rPr>
          <w:bCs/>
          <w:kern w:val="22"/>
          <w:sz w:val="22"/>
          <w:szCs w:val="22"/>
          <w:lang w:val="en-GB" w:eastAsia="en-GB"/>
        </w:rPr>
        <w:tab/>
      </w:r>
      <w:r w:rsidR="009C18A0" w:rsidRPr="000A37BF">
        <w:rPr>
          <w:bCs/>
          <w:kern w:val="22"/>
          <w:sz w:val="22"/>
          <w:szCs w:val="22"/>
          <w:lang w:val="en-GB" w:eastAsia="en-GB"/>
        </w:rPr>
        <w:t xml:space="preserve">Support should be provided for building strong networks with </w:t>
      </w:r>
      <w:r w:rsidR="004F7C4C" w:rsidRPr="00C053AE">
        <w:rPr>
          <w:bCs/>
          <w:kern w:val="22"/>
          <w:sz w:val="22"/>
          <w:szCs w:val="22"/>
          <w:lang w:val="en-GB" w:eastAsia="en-GB"/>
        </w:rPr>
        <w:t xml:space="preserve">groups of </w:t>
      </w:r>
      <w:r w:rsidR="00D808E6" w:rsidRPr="000A37BF">
        <w:rPr>
          <w:kern w:val="22"/>
          <w:sz w:val="22"/>
          <w:szCs w:val="22"/>
          <w:lang w:val="en-GB" w:eastAsia="en-GB"/>
        </w:rPr>
        <w:t>indigenous peoples and local communities</w:t>
      </w:r>
      <w:r w:rsidR="009C18A0" w:rsidRPr="000A37BF">
        <w:rPr>
          <w:bCs/>
          <w:kern w:val="22"/>
          <w:sz w:val="22"/>
          <w:szCs w:val="22"/>
          <w:lang w:val="en-GB" w:eastAsia="en-GB"/>
        </w:rPr>
        <w:t xml:space="preserve"> at </w:t>
      </w:r>
      <w:r w:rsidR="00277757" w:rsidRPr="00C053AE">
        <w:rPr>
          <w:bCs/>
          <w:kern w:val="22"/>
          <w:sz w:val="22"/>
          <w:szCs w:val="22"/>
          <w:lang w:val="en-GB" w:eastAsia="en-GB"/>
        </w:rPr>
        <w:t xml:space="preserve">the </w:t>
      </w:r>
      <w:r w:rsidR="009C18A0" w:rsidRPr="000A37BF">
        <w:rPr>
          <w:bCs/>
          <w:kern w:val="22"/>
          <w:sz w:val="22"/>
          <w:szCs w:val="22"/>
          <w:lang w:val="en-GB" w:eastAsia="en-GB"/>
        </w:rPr>
        <w:t>national and regional level</w:t>
      </w:r>
      <w:r w:rsidR="007B3CBF" w:rsidRPr="000A37BF">
        <w:rPr>
          <w:bCs/>
          <w:kern w:val="22"/>
          <w:sz w:val="22"/>
          <w:szCs w:val="22"/>
          <w:lang w:val="en-GB" w:eastAsia="en-GB"/>
        </w:rPr>
        <w:t>s</w:t>
      </w:r>
      <w:r w:rsidR="009C18A0" w:rsidRPr="000A37BF">
        <w:rPr>
          <w:bCs/>
          <w:kern w:val="22"/>
          <w:sz w:val="22"/>
          <w:szCs w:val="22"/>
          <w:lang w:val="en-GB" w:eastAsia="en-GB"/>
        </w:rPr>
        <w:t xml:space="preserve">, and for champions </w:t>
      </w:r>
      <w:r w:rsidR="00277757" w:rsidRPr="00C053AE">
        <w:rPr>
          <w:bCs/>
          <w:kern w:val="22"/>
          <w:sz w:val="22"/>
          <w:szCs w:val="22"/>
          <w:lang w:val="en-GB" w:eastAsia="en-GB"/>
        </w:rPr>
        <w:t>of</w:t>
      </w:r>
      <w:r w:rsidR="00277757" w:rsidRPr="00C053AE">
        <w:rPr>
          <w:kern w:val="22"/>
          <w:sz w:val="22"/>
          <w:szCs w:val="22"/>
          <w:lang w:val="en-GB" w:eastAsia="en-GB"/>
        </w:rPr>
        <w:t xml:space="preserve"> indigenous peoples and local communities</w:t>
      </w:r>
      <w:r w:rsidR="00277757" w:rsidRPr="00C053AE">
        <w:rPr>
          <w:bCs/>
          <w:kern w:val="22"/>
          <w:sz w:val="22"/>
          <w:szCs w:val="22"/>
          <w:lang w:val="en-GB" w:eastAsia="en-GB"/>
        </w:rPr>
        <w:t xml:space="preserve"> </w:t>
      </w:r>
      <w:r w:rsidR="009C18A0" w:rsidRPr="000A37BF">
        <w:rPr>
          <w:bCs/>
          <w:kern w:val="22"/>
          <w:sz w:val="22"/>
          <w:szCs w:val="22"/>
          <w:lang w:val="en-GB" w:eastAsia="en-GB"/>
        </w:rPr>
        <w:t>to be recogni</w:t>
      </w:r>
      <w:r w:rsidR="00A43077" w:rsidRPr="000A37BF">
        <w:rPr>
          <w:bCs/>
          <w:kern w:val="22"/>
          <w:sz w:val="22"/>
          <w:szCs w:val="22"/>
          <w:lang w:val="en-GB" w:eastAsia="en-GB"/>
        </w:rPr>
        <w:t>z</w:t>
      </w:r>
      <w:r w:rsidR="009C18A0" w:rsidRPr="000A37BF">
        <w:rPr>
          <w:bCs/>
          <w:kern w:val="22"/>
          <w:sz w:val="22"/>
          <w:szCs w:val="22"/>
          <w:lang w:val="en-GB" w:eastAsia="en-GB"/>
        </w:rPr>
        <w:t>ed and included in participatory processes.</w:t>
      </w:r>
    </w:p>
    <w:p w14:paraId="03C988B5" w14:textId="3AEF5092" w:rsidR="005046CA"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bookmarkStart w:id="8" w:name="_Hlk40279148"/>
      <w:r w:rsidRPr="000A37BF">
        <w:rPr>
          <w:b/>
          <w:bCs/>
          <w:kern w:val="22"/>
          <w:sz w:val="22"/>
          <w:szCs w:val="22"/>
          <w:lang w:val="en-GB" w:eastAsia="en-GB"/>
        </w:rPr>
        <w:t>Enhance capacity</w:t>
      </w:r>
      <w:r w:rsidR="00776482" w:rsidRPr="000A37BF">
        <w:rPr>
          <w:b/>
          <w:bCs/>
          <w:kern w:val="22"/>
          <w:sz w:val="22"/>
          <w:szCs w:val="22"/>
          <w:lang w:val="en-GB" w:eastAsia="en-GB"/>
        </w:rPr>
        <w:t>-</w:t>
      </w:r>
      <w:r w:rsidRPr="000A37BF">
        <w:rPr>
          <w:b/>
          <w:bCs/>
          <w:kern w:val="22"/>
          <w:sz w:val="22"/>
          <w:szCs w:val="22"/>
          <w:lang w:val="en-GB" w:eastAsia="en-GB"/>
        </w:rPr>
        <w:t>building, technical assistance and technological cooperation</w:t>
      </w:r>
      <w:r w:rsidR="00E66A91" w:rsidRPr="000A37BF">
        <w:rPr>
          <w:b/>
          <w:bCs/>
          <w:kern w:val="22"/>
          <w:sz w:val="22"/>
          <w:szCs w:val="22"/>
          <w:lang w:val="en-GB" w:eastAsia="en-GB"/>
        </w:rPr>
        <w:t>,</w:t>
      </w:r>
      <w:r w:rsidRPr="000A37BF">
        <w:rPr>
          <w:b/>
          <w:bCs/>
          <w:kern w:val="22"/>
          <w:sz w:val="22"/>
          <w:szCs w:val="22"/>
          <w:lang w:val="en-GB" w:eastAsia="en-GB"/>
        </w:rPr>
        <w:t xml:space="preserve"> on a sustained basis</w:t>
      </w:r>
      <w:r w:rsidR="00E1201D" w:rsidRPr="000A37BF">
        <w:rPr>
          <w:b/>
          <w:bCs/>
          <w:kern w:val="22"/>
          <w:sz w:val="22"/>
          <w:szCs w:val="22"/>
          <w:lang w:val="en-GB" w:eastAsia="en-GB"/>
        </w:rPr>
        <w:t>:</w:t>
      </w:r>
    </w:p>
    <w:p w14:paraId="767FB318" w14:textId="56808D12" w:rsidR="00100E15" w:rsidRPr="000A37BF" w:rsidRDefault="00D4287C"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E66A91" w:rsidRPr="000A37BF">
        <w:rPr>
          <w:kern w:val="22"/>
          <w:sz w:val="22"/>
          <w:szCs w:val="22"/>
          <w:lang w:val="en-GB" w:eastAsia="en-GB"/>
        </w:rPr>
        <w:t>Capacity-building, technical assistance and technological cooperation should include South-South knowledge</w:t>
      </w:r>
      <w:r w:rsidR="00E1201D" w:rsidRPr="000A37BF">
        <w:rPr>
          <w:kern w:val="22"/>
          <w:sz w:val="22"/>
          <w:szCs w:val="22"/>
          <w:lang w:val="en-GB" w:eastAsia="en-GB"/>
        </w:rPr>
        <w:t>-</w:t>
      </w:r>
      <w:r w:rsidR="00E66A91" w:rsidRPr="000A37BF">
        <w:rPr>
          <w:kern w:val="22"/>
          <w:sz w:val="22"/>
          <w:szCs w:val="22"/>
          <w:lang w:val="en-GB" w:eastAsia="en-GB"/>
        </w:rPr>
        <w:t xml:space="preserve">sharing and should strive to develop in-country expertise. </w:t>
      </w:r>
      <w:r w:rsidR="00A43CD6" w:rsidRPr="000A37BF">
        <w:rPr>
          <w:kern w:val="22"/>
          <w:sz w:val="22"/>
          <w:szCs w:val="22"/>
          <w:lang w:val="en-GB" w:eastAsia="en-GB"/>
        </w:rPr>
        <w:t>C</w:t>
      </w:r>
      <w:r w:rsidR="005046CA" w:rsidRPr="000A37BF">
        <w:rPr>
          <w:kern w:val="22"/>
          <w:sz w:val="22"/>
          <w:szCs w:val="22"/>
          <w:lang w:val="en-GB" w:eastAsia="en-GB"/>
        </w:rPr>
        <w:t xml:space="preserve">apacity-building </w:t>
      </w:r>
      <w:r w:rsidR="009C18A0" w:rsidRPr="000A37BF">
        <w:rPr>
          <w:kern w:val="22"/>
          <w:sz w:val="22"/>
          <w:szCs w:val="22"/>
          <w:lang w:val="en-GB" w:eastAsia="en-GB"/>
        </w:rPr>
        <w:t>should be integrated, where possible, into formal curricula at secondary and tertiary level</w:t>
      </w:r>
      <w:r w:rsidR="007B3CBF" w:rsidRPr="000A37BF">
        <w:rPr>
          <w:kern w:val="22"/>
          <w:sz w:val="22"/>
          <w:szCs w:val="22"/>
          <w:lang w:val="en-GB" w:eastAsia="en-GB"/>
        </w:rPr>
        <w:t>s</w:t>
      </w:r>
      <w:r w:rsidR="009C18A0" w:rsidRPr="000A37BF">
        <w:rPr>
          <w:kern w:val="22"/>
          <w:sz w:val="22"/>
          <w:szCs w:val="22"/>
          <w:lang w:val="en-GB" w:eastAsia="en-GB"/>
        </w:rPr>
        <w:t>, as well as more informally as needed</w:t>
      </w:r>
      <w:r w:rsidR="00100E15" w:rsidRPr="000A37BF">
        <w:rPr>
          <w:kern w:val="22"/>
          <w:sz w:val="22"/>
          <w:szCs w:val="22"/>
          <w:lang w:val="en-GB" w:eastAsia="en-GB"/>
        </w:rPr>
        <w:t>;</w:t>
      </w:r>
    </w:p>
    <w:p w14:paraId="35CF869F" w14:textId="1CB0C17C" w:rsidR="009C18A0" w:rsidRPr="000A37BF" w:rsidRDefault="00100E15"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(b)</w:t>
      </w:r>
      <w:r w:rsidRPr="000A37BF">
        <w:rPr>
          <w:kern w:val="22"/>
          <w:sz w:val="22"/>
          <w:szCs w:val="22"/>
          <w:lang w:val="en-GB" w:eastAsia="en-GB"/>
        </w:rPr>
        <w:tab/>
      </w:r>
      <w:r w:rsidR="009C18A0" w:rsidRPr="000A37BF">
        <w:rPr>
          <w:kern w:val="22"/>
          <w:sz w:val="22"/>
          <w:szCs w:val="22"/>
          <w:lang w:val="en-GB" w:eastAsia="en-GB"/>
        </w:rPr>
        <w:t>Capacity development will be required at all levels of government (national and subnational), and within multiple government ministries and government agencies, including ministries responsible for finance and economics, primary production sectors, tourism, planning, and water and sanitation. In some instances, all countries may require technical support in developing more complex and innovative finance mechanisms and plans. The necessary expert positions should be created and filled in different ministries and in the private sector</w:t>
      </w:r>
      <w:r w:rsidR="007F1A0D" w:rsidRPr="000A37BF">
        <w:rPr>
          <w:kern w:val="22"/>
          <w:sz w:val="22"/>
          <w:szCs w:val="22"/>
          <w:lang w:val="en-GB" w:eastAsia="en-GB"/>
        </w:rPr>
        <w:t>;</w:t>
      </w:r>
    </w:p>
    <w:p w14:paraId="6038C5F4" w14:textId="43FB72A3" w:rsidR="00A43CD6" w:rsidRPr="000A37BF" w:rsidRDefault="00A43CD6"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(c)</w:t>
      </w:r>
      <w:r w:rsidRPr="000A37BF">
        <w:rPr>
          <w:kern w:val="22"/>
          <w:sz w:val="22"/>
          <w:szCs w:val="22"/>
          <w:lang w:val="en-GB" w:eastAsia="en-GB"/>
        </w:rPr>
        <w:tab/>
        <w:t>Capacity-building and sustained technical assistance should include:</w:t>
      </w:r>
    </w:p>
    <w:p w14:paraId="7D0F006C" w14:textId="77777777" w:rsidR="00A43CD6" w:rsidRPr="000A37BF" w:rsidRDefault="00A43CD6" w:rsidP="000A37BF">
      <w:pPr>
        <w:suppressLineNumbers/>
        <w:suppressAutoHyphens/>
        <w:adjustRightInd w:val="0"/>
        <w:snapToGrid w:val="0"/>
        <w:spacing w:after="120"/>
        <w:ind w:left="1457" w:hanging="606"/>
        <w:jc w:val="both"/>
        <w:rPr>
          <w:kern w:val="22"/>
          <w:sz w:val="22"/>
          <w:szCs w:val="22"/>
          <w:lang w:val="en-GB" w:eastAsia="en-GB"/>
        </w:rPr>
      </w:pPr>
      <w:r w:rsidRPr="000A37BF">
        <w:rPr>
          <w:kern w:val="22"/>
          <w:sz w:val="22"/>
          <w:szCs w:val="22"/>
          <w:lang w:val="en-GB" w:eastAsia="en-GB"/>
        </w:rPr>
        <w:t>(i)</w:t>
      </w:r>
      <w:r w:rsidRPr="000A37BF">
        <w:rPr>
          <w:kern w:val="22"/>
          <w:sz w:val="22"/>
          <w:szCs w:val="22"/>
          <w:lang w:val="en-GB" w:eastAsia="en-GB"/>
        </w:rPr>
        <w:tab/>
        <w:t>Development and implementation of suitable and effective finance mechanisms at an international, national and subnational levels, including but not limited to policy and legal reform in support of transformative change;</w:t>
      </w:r>
    </w:p>
    <w:p w14:paraId="439026D2" w14:textId="77777777" w:rsidR="00A43CD6" w:rsidRPr="000A37BF" w:rsidRDefault="00A43CD6" w:rsidP="000A37BF">
      <w:pPr>
        <w:suppressLineNumbers/>
        <w:suppressAutoHyphens/>
        <w:adjustRightInd w:val="0"/>
        <w:snapToGrid w:val="0"/>
        <w:spacing w:after="120"/>
        <w:ind w:left="1457" w:hanging="606"/>
        <w:jc w:val="both"/>
        <w:rPr>
          <w:kern w:val="22"/>
          <w:sz w:val="22"/>
          <w:szCs w:val="22"/>
          <w:lang w:val="en-GB" w:eastAsia="en-GB"/>
        </w:rPr>
      </w:pPr>
      <w:r w:rsidRPr="000A37BF">
        <w:rPr>
          <w:kern w:val="22"/>
          <w:sz w:val="22"/>
          <w:szCs w:val="22"/>
          <w:lang w:val="en-GB" w:eastAsia="en-GB"/>
        </w:rPr>
        <w:t>(ii)</w:t>
      </w:r>
      <w:r w:rsidRPr="000A37BF">
        <w:rPr>
          <w:kern w:val="22"/>
          <w:sz w:val="22"/>
          <w:szCs w:val="22"/>
          <w:lang w:val="en-GB" w:eastAsia="en-GB"/>
        </w:rPr>
        <w:tab/>
        <w:t>Development and implementation of effective national biodiversity finance plans that sufficiently address all three strategic components of resource mobilization;</w:t>
      </w:r>
      <w:r w:rsidRPr="000A37BF">
        <w:rPr>
          <w:kern w:val="22"/>
          <w:sz w:val="22"/>
          <w:szCs w:val="22"/>
          <w:vertAlign w:val="superscript"/>
          <w:lang w:val="en-GB" w:eastAsia="en-GB"/>
        </w:rPr>
        <w:footnoteReference w:id="45"/>
      </w:r>
    </w:p>
    <w:p w14:paraId="0C2E1C3C" w14:textId="77777777" w:rsidR="00A43CD6" w:rsidRPr="000A37BF" w:rsidRDefault="00A43CD6" w:rsidP="000A37BF">
      <w:pPr>
        <w:suppressLineNumbers/>
        <w:suppressAutoHyphens/>
        <w:adjustRightInd w:val="0"/>
        <w:snapToGrid w:val="0"/>
        <w:spacing w:after="120"/>
        <w:ind w:left="1457" w:hanging="606"/>
        <w:jc w:val="both"/>
        <w:rPr>
          <w:kern w:val="22"/>
          <w:sz w:val="22"/>
          <w:szCs w:val="22"/>
          <w:lang w:val="en-GB" w:eastAsia="en-GB"/>
        </w:rPr>
      </w:pPr>
      <w:r w:rsidRPr="000A37BF">
        <w:rPr>
          <w:kern w:val="22"/>
          <w:sz w:val="22"/>
          <w:szCs w:val="22"/>
          <w:lang w:val="en-GB" w:eastAsia="en-GB"/>
        </w:rPr>
        <w:t>(iii)</w:t>
      </w:r>
      <w:r w:rsidRPr="000A37BF">
        <w:rPr>
          <w:kern w:val="22"/>
          <w:sz w:val="22"/>
          <w:szCs w:val="22"/>
          <w:lang w:val="en-GB" w:eastAsia="en-GB"/>
        </w:rPr>
        <w:tab/>
        <w:t>Costing of NBSAPs and similar plans, and determination of finance needs for implementation;</w:t>
      </w:r>
    </w:p>
    <w:p w14:paraId="5FFDEA62" w14:textId="2069A0B9" w:rsidR="00A43CD6" w:rsidRPr="000A37BF" w:rsidRDefault="00A43CD6" w:rsidP="000A37BF">
      <w:pPr>
        <w:suppressLineNumbers/>
        <w:suppressAutoHyphens/>
        <w:adjustRightInd w:val="0"/>
        <w:snapToGrid w:val="0"/>
        <w:spacing w:after="120"/>
        <w:ind w:left="1457" w:hanging="606"/>
        <w:jc w:val="both"/>
        <w:rPr>
          <w:kern w:val="22"/>
          <w:sz w:val="22"/>
          <w:szCs w:val="22"/>
          <w:lang w:val="en-GB" w:eastAsia="en-GB"/>
        </w:rPr>
      </w:pPr>
      <w:r w:rsidRPr="000A37BF">
        <w:rPr>
          <w:kern w:val="22"/>
          <w:sz w:val="22"/>
          <w:szCs w:val="22"/>
          <w:lang w:val="en-GB" w:eastAsia="en-GB"/>
        </w:rPr>
        <w:t>(iv)</w:t>
      </w:r>
      <w:r w:rsidRPr="000A37BF">
        <w:rPr>
          <w:kern w:val="22"/>
          <w:sz w:val="22"/>
          <w:szCs w:val="22"/>
          <w:lang w:val="en-GB" w:eastAsia="en-GB"/>
        </w:rPr>
        <w:tab/>
        <w:t>Natural capital assessments and accounting, and strengthened implementation of the revised SEEA Ecosystem Accounting methodology;</w:t>
      </w:r>
    </w:p>
    <w:p w14:paraId="2B15A179" w14:textId="424150B9" w:rsidR="00A43CD6" w:rsidRPr="000A37BF" w:rsidRDefault="00A43CD6" w:rsidP="000A37BF">
      <w:pPr>
        <w:suppressLineNumbers/>
        <w:suppressAutoHyphens/>
        <w:adjustRightInd w:val="0"/>
        <w:snapToGrid w:val="0"/>
        <w:spacing w:after="120"/>
        <w:ind w:left="1457" w:hanging="606"/>
        <w:jc w:val="both"/>
        <w:rPr>
          <w:kern w:val="22"/>
          <w:sz w:val="22"/>
          <w:szCs w:val="22"/>
          <w:lang w:val="en-GB" w:eastAsia="en-GB"/>
        </w:rPr>
      </w:pPr>
      <w:r w:rsidRPr="000A37BF">
        <w:rPr>
          <w:kern w:val="22"/>
          <w:sz w:val="22"/>
          <w:szCs w:val="22"/>
          <w:lang w:val="en-GB" w:eastAsia="en-GB"/>
        </w:rPr>
        <w:lastRenderedPageBreak/>
        <w:t>(v)</w:t>
      </w:r>
      <w:r w:rsidRPr="000A37BF">
        <w:rPr>
          <w:kern w:val="22"/>
          <w:sz w:val="22"/>
          <w:szCs w:val="22"/>
          <w:lang w:val="en-GB" w:eastAsia="en-GB"/>
        </w:rPr>
        <w:tab/>
        <w:t>Development of results-based budgeting for biodiversity programmes and projects; use of biodiversity “budget tagging” as a means to identify, collect baseline information on and track biodiversity expenditure;</w:t>
      </w:r>
    </w:p>
    <w:p w14:paraId="55B01AE6" w14:textId="0F4793F4" w:rsidR="009C18A0" w:rsidRPr="000A37BF" w:rsidRDefault="0060355B"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(d</w:t>
      </w:r>
      <w:r w:rsidR="00D4287C" w:rsidRPr="000A37BF">
        <w:rPr>
          <w:kern w:val="22"/>
          <w:sz w:val="22"/>
          <w:szCs w:val="22"/>
          <w:lang w:val="en-GB" w:eastAsia="en-GB"/>
        </w:rPr>
        <w:t>)</w:t>
      </w:r>
      <w:r w:rsidR="00D4287C" w:rsidRPr="000A37BF">
        <w:rPr>
          <w:kern w:val="22"/>
          <w:sz w:val="22"/>
          <w:szCs w:val="22"/>
          <w:lang w:val="en-GB" w:eastAsia="en-GB"/>
        </w:rPr>
        <w:tab/>
      </w:r>
      <w:r w:rsidR="009C18A0" w:rsidRPr="000A37BF">
        <w:rPr>
          <w:kern w:val="22"/>
          <w:sz w:val="22"/>
          <w:szCs w:val="22"/>
          <w:lang w:val="en-GB" w:eastAsia="en-GB"/>
        </w:rPr>
        <w:t xml:space="preserve">There </w:t>
      </w:r>
      <w:r w:rsidR="005C7C10" w:rsidRPr="000A37BF">
        <w:rPr>
          <w:kern w:val="22"/>
          <w:sz w:val="22"/>
          <w:szCs w:val="22"/>
          <w:lang w:val="en-GB" w:eastAsia="en-GB"/>
        </w:rPr>
        <w:t xml:space="preserve">is </w:t>
      </w:r>
      <w:r w:rsidR="009C18A0" w:rsidRPr="000A37BF">
        <w:rPr>
          <w:kern w:val="22"/>
          <w:sz w:val="22"/>
          <w:szCs w:val="22"/>
          <w:lang w:val="en-GB" w:eastAsia="en-GB"/>
        </w:rPr>
        <w:t>a need to build on existing initiatives such as BIOFIN, and others, to provide capacity development and technical assistance to countries in developing and implementing national biodiversity finance plans</w:t>
      </w:r>
      <w:r w:rsidR="007F1A0D" w:rsidRPr="000A37BF">
        <w:rPr>
          <w:kern w:val="22"/>
          <w:sz w:val="22"/>
          <w:szCs w:val="22"/>
          <w:lang w:val="en-GB" w:eastAsia="en-GB"/>
        </w:rPr>
        <w:t>;</w:t>
      </w:r>
    </w:p>
    <w:p w14:paraId="2843446E" w14:textId="4803BAB4" w:rsidR="00762E32" w:rsidRPr="000A37BF" w:rsidRDefault="00D4287C"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60355B" w:rsidRPr="000A37BF">
        <w:rPr>
          <w:kern w:val="22"/>
          <w:sz w:val="22"/>
          <w:szCs w:val="22"/>
          <w:lang w:val="en-GB" w:eastAsia="en-GB"/>
        </w:rPr>
        <w:t>e</w:t>
      </w:r>
      <w:r w:rsidRPr="000A37BF">
        <w:rPr>
          <w:kern w:val="22"/>
          <w:sz w:val="22"/>
          <w:szCs w:val="22"/>
          <w:lang w:val="en-GB" w:eastAsia="en-GB"/>
        </w:rPr>
        <w:t>)</w:t>
      </w:r>
      <w:r w:rsidRPr="000A37BF">
        <w:rPr>
          <w:kern w:val="22"/>
          <w:sz w:val="22"/>
          <w:szCs w:val="22"/>
          <w:lang w:val="en-GB" w:eastAsia="en-GB"/>
        </w:rPr>
        <w:tab/>
      </w:r>
      <w:r w:rsidR="00762E32" w:rsidRPr="000A37BF">
        <w:rPr>
          <w:kern w:val="22"/>
          <w:sz w:val="22"/>
          <w:szCs w:val="22"/>
          <w:lang w:val="en-GB" w:eastAsia="en-GB"/>
        </w:rPr>
        <w:t>Knowledge</w:t>
      </w:r>
      <w:r w:rsidR="007B3CBF" w:rsidRPr="000A37BF">
        <w:rPr>
          <w:kern w:val="22"/>
          <w:sz w:val="22"/>
          <w:szCs w:val="22"/>
          <w:lang w:val="en-GB" w:eastAsia="en-GB"/>
        </w:rPr>
        <w:t xml:space="preserve"> </w:t>
      </w:r>
      <w:r w:rsidR="00762E32" w:rsidRPr="000A37BF">
        <w:rPr>
          <w:kern w:val="22"/>
          <w:sz w:val="22"/>
          <w:szCs w:val="22"/>
          <w:lang w:val="en-GB" w:eastAsia="en-GB"/>
        </w:rPr>
        <w:t>transfer and capacity</w:t>
      </w:r>
      <w:r w:rsidR="00776482" w:rsidRPr="000A37BF">
        <w:rPr>
          <w:kern w:val="22"/>
          <w:sz w:val="22"/>
          <w:szCs w:val="22"/>
          <w:lang w:val="en-GB" w:eastAsia="en-GB"/>
        </w:rPr>
        <w:t>-</w:t>
      </w:r>
      <w:r w:rsidR="00762E32" w:rsidRPr="000A37BF">
        <w:rPr>
          <w:kern w:val="22"/>
          <w:sz w:val="22"/>
          <w:szCs w:val="22"/>
          <w:lang w:val="en-GB" w:eastAsia="en-GB"/>
        </w:rPr>
        <w:t>building should be scaled</w:t>
      </w:r>
      <w:r w:rsidR="006908D5" w:rsidRPr="000A37BF">
        <w:rPr>
          <w:kern w:val="22"/>
          <w:sz w:val="22"/>
          <w:szCs w:val="22"/>
          <w:lang w:val="en-GB" w:eastAsia="en-GB"/>
        </w:rPr>
        <w:t xml:space="preserve"> up</w:t>
      </w:r>
      <w:r w:rsidR="00762E32" w:rsidRPr="000A37BF">
        <w:rPr>
          <w:kern w:val="22"/>
          <w:sz w:val="22"/>
          <w:szCs w:val="22"/>
          <w:lang w:val="en-GB" w:eastAsia="en-GB"/>
        </w:rPr>
        <w:t xml:space="preserve"> in the business and finance sectors in order to develop a shared understanding of the challenges and opportunities related to biodiversity, and to enable the development of methodologies, systems and measurements to fully integrate biodiversity into the business and finance sectors</w:t>
      </w:r>
      <w:r w:rsidR="007F1A0D" w:rsidRPr="000A37BF">
        <w:rPr>
          <w:kern w:val="22"/>
          <w:sz w:val="22"/>
          <w:szCs w:val="22"/>
          <w:lang w:val="en-GB" w:eastAsia="en-GB"/>
        </w:rPr>
        <w:t>;</w:t>
      </w:r>
    </w:p>
    <w:p w14:paraId="4B0FB631" w14:textId="521E54AB" w:rsidR="00471AC9" w:rsidRPr="000A37BF" w:rsidRDefault="00D4287C"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w:t>
      </w:r>
      <w:r w:rsidR="0060355B" w:rsidRPr="000A37BF">
        <w:rPr>
          <w:kern w:val="22"/>
          <w:sz w:val="22"/>
          <w:szCs w:val="22"/>
          <w:lang w:val="en-GB" w:eastAsia="en-GB"/>
        </w:rPr>
        <w:t>f</w:t>
      </w:r>
      <w:r w:rsidRPr="000A37BF">
        <w:rPr>
          <w:kern w:val="22"/>
          <w:sz w:val="22"/>
          <w:szCs w:val="22"/>
          <w:lang w:val="en-GB" w:eastAsia="en-GB"/>
        </w:rPr>
        <w:t>)</w:t>
      </w:r>
      <w:r w:rsidRPr="000A37BF">
        <w:rPr>
          <w:kern w:val="22"/>
          <w:sz w:val="22"/>
          <w:szCs w:val="22"/>
          <w:lang w:val="en-GB" w:eastAsia="en-GB"/>
        </w:rPr>
        <w:tab/>
      </w:r>
      <w:r w:rsidR="00762E32" w:rsidRPr="000A37BF">
        <w:rPr>
          <w:kern w:val="22"/>
          <w:sz w:val="22"/>
          <w:szCs w:val="22"/>
          <w:lang w:val="en-GB" w:eastAsia="en-GB"/>
        </w:rPr>
        <w:t>Finally, it will be important to build the capacity of local project developers and the local finance industry to create investable deals with clear and measurable positive impacts on biodiversity.</w:t>
      </w:r>
    </w:p>
    <w:bookmarkEnd w:id="8"/>
    <w:p w14:paraId="3F859E04" w14:textId="29A0A0C0" w:rsidR="009C18A0" w:rsidRPr="000A37BF" w:rsidRDefault="009C18A0" w:rsidP="000A37BF">
      <w:pPr>
        <w:pStyle w:val="Para1"/>
        <w:keepNext/>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b/>
          <w:bCs/>
          <w:kern w:val="22"/>
          <w:sz w:val="22"/>
          <w:szCs w:val="22"/>
          <w:lang w:val="en-GB" w:eastAsia="en-GB"/>
        </w:rPr>
        <w:t>Enhance the effectiveness and efficiency of the flow and uptake of international development finance</w:t>
      </w:r>
      <w:r w:rsidR="003617BA" w:rsidRPr="000A37BF">
        <w:rPr>
          <w:b/>
          <w:bCs/>
          <w:kern w:val="22"/>
          <w:sz w:val="22"/>
          <w:szCs w:val="22"/>
          <w:lang w:val="en-GB" w:eastAsia="en-GB"/>
        </w:rPr>
        <w:t>:</w:t>
      </w:r>
    </w:p>
    <w:p w14:paraId="040BD852" w14:textId="35BED413" w:rsidR="009C18A0" w:rsidRPr="000A37BF" w:rsidRDefault="00872FB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9C18A0" w:rsidRPr="000A37BF">
        <w:rPr>
          <w:kern w:val="22"/>
          <w:sz w:val="22"/>
          <w:szCs w:val="22"/>
          <w:lang w:val="en-GB" w:eastAsia="en-GB"/>
        </w:rPr>
        <w:t>Donor contributions should be coordinated, as far as possible, to ensure that international development finance intended for biodiversity is targeted strategically, seeking to achieve complementary synergies across donor contributions to achieve biodiversity-positive outcomes</w:t>
      </w:r>
      <w:r w:rsidR="001F3EA3" w:rsidRPr="000A37BF">
        <w:rPr>
          <w:kern w:val="22"/>
          <w:sz w:val="22"/>
          <w:szCs w:val="22"/>
          <w:lang w:val="en-GB" w:eastAsia="en-GB"/>
        </w:rPr>
        <w:t>;</w:t>
      </w:r>
    </w:p>
    <w:p w14:paraId="55768599" w14:textId="1243B9BF" w:rsidR="009C18A0" w:rsidRPr="000A37BF" w:rsidRDefault="00872FB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(b)</w:t>
      </w:r>
      <w:r w:rsidRPr="000A37BF">
        <w:rPr>
          <w:kern w:val="22"/>
          <w:sz w:val="22"/>
          <w:szCs w:val="22"/>
          <w:lang w:val="en-GB" w:eastAsia="en-GB"/>
        </w:rPr>
        <w:tab/>
      </w:r>
      <w:r w:rsidR="009C18A0" w:rsidRPr="000A37BF">
        <w:rPr>
          <w:kern w:val="22"/>
          <w:sz w:val="22"/>
          <w:szCs w:val="22"/>
          <w:lang w:val="en-GB" w:eastAsia="en-GB"/>
        </w:rPr>
        <w:t>Donors and key decision makers should take into account the time</w:t>
      </w:r>
      <w:r w:rsidR="00FD54BD" w:rsidRPr="000A37BF">
        <w:rPr>
          <w:kern w:val="22"/>
          <w:sz w:val="22"/>
          <w:szCs w:val="22"/>
          <w:lang w:val="en-GB" w:eastAsia="en-GB"/>
        </w:rPr>
        <w:t xml:space="preserve"> </w:t>
      </w:r>
      <w:r w:rsidR="009C18A0" w:rsidRPr="000A37BF">
        <w:rPr>
          <w:kern w:val="22"/>
          <w:sz w:val="22"/>
          <w:szCs w:val="22"/>
          <w:lang w:val="en-GB" w:eastAsia="en-GB"/>
        </w:rPr>
        <w:t xml:space="preserve">lag between investment and realization of impact, and </w:t>
      </w:r>
      <w:r w:rsidRPr="000A37BF">
        <w:rPr>
          <w:kern w:val="22"/>
          <w:sz w:val="22"/>
          <w:szCs w:val="22"/>
          <w:lang w:val="en-GB" w:eastAsia="en-GB"/>
        </w:rPr>
        <w:t xml:space="preserve">should </w:t>
      </w:r>
      <w:r w:rsidR="009C18A0" w:rsidRPr="000A37BF">
        <w:rPr>
          <w:kern w:val="22"/>
          <w:sz w:val="22"/>
          <w:szCs w:val="22"/>
          <w:lang w:val="en-GB" w:eastAsia="en-GB"/>
        </w:rPr>
        <w:t>allow for a longer and more realistic programme and project planning horizon. Five to ten years has been suggested as a more realistic and useful time</w:t>
      </w:r>
      <w:r w:rsidR="00247BB0" w:rsidRPr="000A37BF">
        <w:rPr>
          <w:kern w:val="22"/>
          <w:sz w:val="22"/>
          <w:szCs w:val="22"/>
          <w:lang w:val="en-GB" w:eastAsia="en-GB"/>
        </w:rPr>
        <w:t xml:space="preserve"> </w:t>
      </w:r>
      <w:r w:rsidR="009C18A0" w:rsidRPr="000A37BF">
        <w:rPr>
          <w:kern w:val="22"/>
          <w:sz w:val="22"/>
          <w:szCs w:val="22"/>
          <w:lang w:val="en-GB" w:eastAsia="en-GB"/>
        </w:rPr>
        <w:t>frame than shorter timescales</w:t>
      </w:r>
      <w:r w:rsidR="001F3EA3" w:rsidRPr="000A37BF">
        <w:rPr>
          <w:kern w:val="22"/>
          <w:sz w:val="22"/>
          <w:szCs w:val="22"/>
          <w:lang w:val="en-GB" w:eastAsia="en-GB"/>
        </w:rPr>
        <w:t>;</w:t>
      </w:r>
    </w:p>
    <w:p w14:paraId="1E1BFF6E" w14:textId="4B399F9D" w:rsidR="009C18A0" w:rsidRPr="000A37BF" w:rsidRDefault="00872FB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(c)</w:t>
      </w:r>
      <w:r w:rsidRPr="000A37BF">
        <w:rPr>
          <w:kern w:val="22"/>
          <w:sz w:val="22"/>
          <w:szCs w:val="22"/>
          <w:lang w:val="en-GB" w:eastAsia="en-GB"/>
        </w:rPr>
        <w:tab/>
      </w:r>
      <w:r w:rsidR="009C18A0" w:rsidRPr="000A37BF">
        <w:rPr>
          <w:kern w:val="22"/>
          <w:sz w:val="22"/>
          <w:szCs w:val="22"/>
          <w:lang w:val="en-GB" w:eastAsia="en-GB"/>
        </w:rPr>
        <w:t>Key focus areas for international development finance should include catalysing resource mobili</w:t>
      </w:r>
      <w:r w:rsidR="00EE709A" w:rsidRPr="000A37BF">
        <w:rPr>
          <w:kern w:val="22"/>
          <w:sz w:val="22"/>
          <w:szCs w:val="22"/>
          <w:lang w:val="en-GB" w:eastAsia="en-GB"/>
        </w:rPr>
        <w:t>z</w:t>
      </w:r>
      <w:r w:rsidR="009C18A0" w:rsidRPr="000A37BF">
        <w:rPr>
          <w:kern w:val="22"/>
          <w:sz w:val="22"/>
          <w:szCs w:val="22"/>
          <w:lang w:val="en-GB" w:eastAsia="en-GB"/>
        </w:rPr>
        <w:t xml:space="preserve">ation from new and additional public and private resources, and capacity development within all levels of government to support policy and regulatory reform. Attention should also be paid to the particular needs expressed by </w:t>
      </w:r>
      <w:r w:rsidR="00D808E6" w:rsidRPr="000A37BF">
        <w:rPr>
          <w:kern w:val="22"/>
          <w:sz w:val="22"/>
          <w:szCs w:val="22"/>
          <w:lang w:val="en-GB" w:eastAsia="en-GB"/>
        </w:rPr>
        <w:t>indigenous peoples and local communities</w:t>
      </w:r>
      <w:r w:rsidR="009C18A0" w:rsidRPr="000A37BF">
        <w:rPr>
          <w:kern w:val="22"/>
          <w:sz w:val="22"/>
          <w:szCs w:val="22"/>
          <w:lang w:val="en-GB" w:eastAsia="en-GB"/>
        </w:rPr>
        <w:t xml:space="preserve">, and information on funding opportunities should be more widely disseminated to </w:t>
      </w:r>
      <w:r w:rsidR="00D808E6" w:rsidRPr="000A37BF">
        <w:rPr>
          <w:kern w:val="22"/>
          <w:sz w:val="22"/>
          <w:szCs w:val="22"/>
          <w:lang w:val="en-GB" w:eastAsia="en-GB"/>
        </w:rPr>
        <w:t>them</w:t>
      </w:r>
      <w:r w:rsidR="001F3EA3" w:rsidRPr="000A37BF">
        <w:rPr>
          <w:kern w:val="22"/>
          <w:sz w:val="22"/>
          <w:szCs w:val="22"/>
          <w:lang w:val="en-GB" w:eastAsia="en-GB"/>
        </w:rPr>
        <w:t>;</w:t>
      </w:r>
    </w:p>
    <w:p w14:paraId="5EAFCDA7" w14:textId="7CAD31F5" w:rsidR="009C18A0" w:rsidRPr="000A37BF" w:rsidRDefault="00872FB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(d)</w:t>
      </w:r>
      <w:r w:rsidRPr="000A37BF">
        <w:rPr>
          <w:kern w:val="22"/>
          <w:sz w:val="22"/>
          <w:szCs w:val="22"/>
          <w:lang w:val="en-GB" w:eastAsia="en-GB"/>
        </w:rPr>
        <w:tab/>
      </w:r>
      <w:r w:rsidR="009C18A0" w:rsidRPr="000A37BF">
        <w:rPr>
          <w:kern w:val="22"/>
          <w:sz w:val="22"/>
          <w:szCs w:val="22"/>
          <w:lang w:val="en-GB" w:eastAsia="en-GB"/>
        </w:rPr>
        <w:t>As the financial mechanism</w:t>
      </w:r>
      <w:r w:rsidR="00C54717" w:rsidRPr="000A37BF">
        <w:rPr>
          <w:kern w:val="22"/>
          <w:sz w:val="22"/>
          <w:szCs w:val="22"/>
          <w:lang w:val="en-GB" w:eastAsia="en-GB"/>
        </w:rPr>
        <w:t xml:space="preserve"> of the Convention</w:t>
      </w:r>
      <w:r w:rsidR="009C18A0" w:rsidRPr="000A37BF">
        <w:rPr>
          <w:kern w:val="22"/>
          <w:sz w:val="22"/>
          <w:szCs w:val="22"/>
          <w:lang w:val="en-GB" w:eastAsia="en-GB"/>
        </w:rPr>
        <w:t>, the Global Environment Facility (GEF) should maintain a key role in mobili</w:t>
      </w:r>
      <w:r w:rsidR="00A43077" w:rsidRPr="000A37BF">
        <w:rPr>
          <w:kern w:val="22"/>
          <w:sz w:val="22"/>
          <w:szCs w:val="22"/>
          <w:lang w:val="en-GB" w:eastAsia="en-GB"/>
        </w:rPr>
        <w:t>z</w:t>
      </w:r>
      <w:r w:rsidR="009C18A0" w:rsidRPr="000A37BF">
        <w:rPr>
          <w:kern w:val="22"/>
          <w:sz w:val="22"/>
          <w:szCs w:val="22"/>
          <w:lang w:val="en-GB" w:eastAsia="en-GB"/>
        </w:rPr>
        <w:t>ing resources for implementation of the Convention.</w:t>
      </w:r>
      <w:r w:rsidR="009C18A0" w:rsidRPr="000A37BF">
        <w:rPr>
          <w:kern w:val="22"/>
          <w:sz w:val="22"/>
          <w:szCs w:val="22"/>
          <w:vertAlign w:val="superscript"/>
          <w:lang w:val="en-GB" w:eastAsia="en-GB"/>
        </w:rPr>
        <w:footnoteReference w:id="46"/>
      </w:r>
      <w:r w:rsidR="009C18A0" w:rsidRPr="000A37BF">
        <w:rPr>
          <w:kern w:val="22"/>
          <w:sz w:val="22"/>
          <w:szCs w:val="22"/>
          <w:vertAlign w:val="superscript"/>
          <w:lang w:val="en-GB" w:eastAsia="en-GB"/>
        </w:rPr>
        <w:t>,</w:t>
      </w:r>
      <w:r w:rsidR="00A43077" w:rsidRPr="000A37BF">
        <w:rPr>
          <w:kern w:val="22"/>
          <w:sz w:val="22"/>
          <w:szCs w:val="22"/>
          <w:vertAlign w:val="superscript"/>
          <w:lang w:val="en-GB" w:eastAsia="en-GB"/>
        </w:rPr>
        <w:t xml:space="preserve"> </w:t>
      </w:r>
      <w:r w:rsidR="009C18A0" w:rsidRPr="000A37BF">
        <w:rPr>
          <w:kern w:val="22"/>
          <w:sz w:val="22"/>
          <w:szCs w:val="22"/>
          <w:vertAlign w:val="superscript"/>
          <w:lang w:val="en-GB" w:eastAsia="en-GB"/>
        </w:rPr>
        <w:footnoteReference w:id="47"/>
      </w:r>
      <w:r w:rsidR="009C18A0" w:rsidRPr="000A37BF">
        <w:rPr>
          <w:kern w:val="22"/>
          <w:sz w:val="22"/>
          <w:szCs w:val="22"/>
          <w:lang w:val="en-GB" w:eastAsia="en-GB"/>
        </w:rPr>
        <w:t xml:space="preserve"> GEF has an important role to play in mainstreaming biodiversity into development efforts and ensuring the effective use of resources. Stronger linkages should be made between GEF and the Green Climate Fund (GCF)</w:t>
      </w:r>
      <w:r w:rsidR="001F3EA3" w:rsidRPr="000A37BF">
        <w:rPr>
          <w:kern w:val="22"/>
          <w:sz w:val="22"/>
          <w:szCs w:val="22"/>
          <w:lang w:val="en-GB" w:eastAsia="en-GB"/>
        </w:rPr>
        <w:t>;</w:t>
      </w:r>
      <w:r w:rsidR="00744E26" w:rsidRPr="000A37BF">
        <w:rPr>
          <w:rStyle w:val="FootnoteReference"/>
          <w:kern w:val="22"/>
          <w:sz w:val="22"/>
          <w:szCs w:val="22"/>
          <w:u w:val="none"/>
          <w:vertAlign w:val="superscript"/>
          <w:lang w:val="en-GB" w:eastAsia="en-GB"/>
        </w:rPr>
        <w:footnoteReference w:id="48"/>
      </w:r>
    </w:p>
    <w:p w14:paraId="19716E91" w14:textId="1B6281BC" w:rsidR="009C18A0" w:rsidRPr="000A37BF" w:rsidRDefault="00872FB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(e)</w:t>
      </w:r>
      <w:r w:rsidRPr="000A37BF">
        <w:rPr>
          <w:kern w:val="22"/>
          <w:sz w:val="22"/>
          <w:szCs w:val="22"/>
          <w:lang w:val="en-GB" w:eastAsia="en-GB"/>
        </w:rPr>
        <w:tab/>
      </w:r>
      <w:r w:rsidR="009C18A0" w:rsidRPr="000A37BF">
        <w:rPr>
          <w:kern w:val="22"/>
          <w:sz w:val="22"/>
          <w:szCs w:val="22"/>
          <w:lang w:val="en-GB" w:eastAsia="en-GB"/>
        </w:rPr>
        <w:t>It will be important to ensure that recipient countries and stakeholders have sufficient capacity and are supported to access multilateral and bilateral funds, including but not limited to GEF. This should be complemented by clear and agreed processes that allow for smooth financial flows, and by sound monitoring of the use and impact of funds. In addition, GEF should seek ways to overcome the limitations to provide non-grant financing.</w:t>
      </w:r>
    </w:p>
    <w:p w14:paraId="5C310938" w14:textId="2D17DB58" w:rsidR="009C18A0" w:rsidRPr="000A37BF" w:rsidRDefault="009C18A0" w:rsidP="000A37BF">
      <w:pPr>
        <w:pStyle w:val="Para1"/>
        <w:numPr>
          <w:ilvl w:val="0"/>
          <w:numId w:val="49"/>
        </w:numPr>
        <w:suppressLineNumbers/>
        <w:suppressAutoHyphens/>
        <w:adjustRightInd w:val="0"/>
        <w:snapToGrid w:val="0"/>
        <w:spacing w:before="120"/>
        <w:ind w:left="0" w:firstLine="0"/>
        <w:jc w:val="both"/>
        <w:rPr>
          <w:kern w:val="22"/>
          <w:sz w:val="22"/>
          <w:szCs w:val="22"/>
          <w:lang w:val="en-GB" w:eastAsia="en-GB"/>
        </w:rPr>
      </w:pPr>
      <w:r w:rsidRPr="000A37BF">
        <w:rPr>
          <w:b/>
          <w:bCs/>
          <w:kern w:val="22"/>
          <w:sz w:val="22"/>
          <w:szCs w:val="22"/>
          <w:lang w:val="en-GB" w:eastAsia="en-GB"/>
        </w:rPr>
        <w:t>Improve monitoring and reporting processes for resource mobili</w:t>
      </w:r>
      <w:r w:rsidR="00EE709A" w:rsidRPr="000A37BF">
        <w:rPr>
          <w:b/>
          <w:bCs/>
          <w:kern w:val="22"/>
          <w:sz w:val="22"/>
          <w:szCs w:val="22"/>
          <w:lang w:val="en-GB" w:eastAsia="en-GB"/>
        </w:rPr>
        <w:t>z</w:t>
      </w:r>
      <w:r w:rsidRPr="000A37BF">
        <w:rPr>
          <w:b/>
          <w:bCs/>
          <w:kern w:val="22"/>
          <w:sz w:val="22"/>
          <w:szCs w:val="22"/>
          <w:lang w:val="en-GB" w:eastAsia="en-GB"/>
        </w:rPr>
        <w:t>ation</w:t>
      </w:r>
      <w:r w:rsidR="00483489" w:rsidRPr="000A37BF">
        <w:rPr>
          <w:b/>
          <w:bCs/>
          <w:kern w:val="22"/>
          <w:sz w:val="22"/>
          <w:szCs w:val="22"/>
          <w:lang w:val="en-GB" w:eastAsia="en-GB"/>
        </w:rPr>
        <w:t>:</w:t>
      </w:r>
    </w:p>
    <w:p w14:paraId="603B941D" w14:textId="074694D7" w:rsidR="009C18A0" w:rsidRPr="000A37BF" w:rsidRDefault="00872FB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(a)</w:t>
      </w:r>
      <w:r w:rsidRPr="000A37BF">
        <w:rPr>
          <w:kern w:val="22"/>
          <w:sz w:val="22"/>
          <w:szCs w:val="22"/>
          <w:lang w:val="en-GB" w:eastAsia="en-GB"/>
        </w:rPr>
        <w:tab/>
      </w:r>
      <w:r w:rsidR="009C18A0" w:rsidRPr="000A37BF">
        <w:rPr>
          <w:kern w:val="22"/>
          <w:sz w:val="22"/>
          <w:szCs w:val="22"/>
          <w:lang w:val="en-GB" w:eastAsia="en-GB"/>
        </w:rPr>
        <w:t xml:space="preserve">The important work of the Thematic Consultation on Transparent Implementation, Monitoring, Reporting and Review for the </w:t>
      </w:r>
      <w:r w:rsidR="00C54717" w:rsidRPr="000A37BF">
        <w:rPr>
          <w:kern w:val="22"/>
          <w:sz w:val="22"/>
          <w:szCs w:val="22"/>
          <w:lang w:val="en-GB" w:eastAsia="en-GB"/>
        </w:rPr>
        <w:t>P</w:t>
      </w:r>
      <w:r w:rsidR="009C18A0" w:rsidRPr="000A37BF">
        <w:rPr>
          <w:kern w:val="22"/>
          <w:sz w:val="22"/>
          <w:szCs w:val="22"/>
          <w:lang w:val="en-GB" w:eastAsia="en-GB"/>
        </w:rPr>
        <w:t xml:space="preserve">ost-2020 </w:t>
      </w:r>
      <w:r w:rsidR="00C54717" w:rsidRPr="000A37BF">
        <w:rPr>
          <w:kern w:val="22"/>
          <w:sz w:val="22"/>
          <w:szCs w:val="22"/>
          <w:lang w:val="en-GB" w:eastAsia="en-GB"/>
        </w:rPr>
        <w:t>G</w:t>
      </w:r>
      <w:r w:rsidR="009C18A0" w:rsidRPr="000A37BF">
        <w:rPr>
          <w:kern w:val="22"/>
          <w:sz w:val="22"/>
          <w:szCs w:val="22"/>
          <w:lang w:val="en-GB" w:eastAsia="en-GB"/>
        </w:rPr>
        <w:t xml:space="preserve">lobal </w:t>
      </w:r>
      <w:r w:rsidR="00C54717" w:rsidRPr="000A37BF">
        <w:rPr>
          <w:kern w:val="22"/>
          <w:sz w:val="22"/>
          <w:szCs w:val="22"/>
          <w:lang w:val="en-GB" w:eastAsia="en-GB"/>
        </w:rPr>
        <w:t>B</w:t>
      </w:r>
      <w:r w:rsidR="009C18A0" w:rsidRPr="000A37BF">
        <w:rPr>
          <w:kern w:val="22"/>
          <w:sz w:val="22"/>
          <w:szCs w:val="22"/>
          <w:lang w:val="en-GB" w:eastAsia="en-GB"/>
        </w:rPr>
        <w:t xml:space="preserve">iodiversity </w:t>
      </w:r>
      <w:r w:rsidR="00C54717" w:rsidRPr="000A37BF">
        <w:rPr>
          <w:kern w:val="22"/>
          <w:sz w:val="22"/>
          <w:szCs w:val="22"/>
          <w:lang w:val="en-GB" w:eastAsia="en-GB"/>
        </w:rPr>
        <w:t>F</w:t>
      </w:r>
      <w:r w:rsidR="009C18A0" w:rsidRPr="000A37BF">
        <w:rPr>
          <w:kern w:val="22"/>
          <w:sz w:val="22"/>
          <w:szCs w:val="22"/>
          <w:lang w:val="en-GB" w:eastAsia="en-GB"/>
        </w:rPr>
        <w:t>ramework</w:t>
      </w:r>
      <w:r w:rsidR="009C18A0" w:rsidRPr="000A37BF">
        <w:rPr>
          <w:kern w:val="22"/>
          <w:sz w:val="22"/>
          <w:szCs w:val="22"/>
          <w:vertAlign w:val="superscript"/>
          <w:lang w:val="en-GB" w:eastAsia="en-GB"/>
        </w:rPr>
        <w:footnoteReference w:id="49"/>
      </w:r>
      <w:r w:rsidR="009C18A0" w:rsidRPr="000A37BF">
        <w:rPr>
          <w:kern w:val="22"/>
          <w:sz w:val="22"/>
          <w:szCs w:val="22"/>
          <w:lang w:val="en-GB" w:eastAsia="en-GB"/>
        </w:rPr>
        <w:t xml:space="preserve"> should guide the overall approach to monitoring and reporting on resource mobili</w:t>
      </w:r>
      <w:r w:rsidR="00EE709A" w:rsidRPr="000A37BF">
        <w:rPr>
          <w:kern w:val="22"/>
          <w:sz w:val="22"/>
          <w:szCs w:val="22"/>
          <w:lang w:val="en-GB" w:eastAsia="en-GB"/>
        </w:rPr>
        <w:t>z</w:t>
      </w:r>
      <w:r w:rsidR="009C18A0" w:rsidRPr="000A37BF">
        <w:rPr>
          <w:kern w:val="22"/>
          <w:sz w:val="22"/>
          <w:szCs w:val="22"/>
          <w:lang w:val="en-GB" w:eastAsia="en-GB"/>
        </w:rPr>
        <w:t>ation</w:t>
      </w:r>
      <w:r w:rsidR="00347436" w:rsidRPr="000A37BF">
        <w:rPr>
          <w:kern w:val="22"/>
          <w:sz w:val="22"/>
          <w:szCs w:val="22"/>
          <w:lang w:val="en-GB" w:eastAsia="en-GB"/>
        </w:rPr>
        <w:t>;</w:t>
      </w:r>
      <w:r w:rsidR="009C18A0" w:rsidRPr="000A37BF">
        <w:rPr>
          <w:kern w:val="22"/>
          <w:sz w:val="22"/>
          <w:szCs w:val="22"/>
          <w:lang w:val="en-GB" w:eastAsia="en-GB"/>
        </w:rPr>
        <w:t xml:space="preserve"> </w:t>
      </w:r>
      <w:r w:rsidR="0087396D" w:rsidRPr="000A37BF">
        <w:rPr>
          <w:kern w:val="22"/>
          <w:sz w:val="22"/>
          <w:szCs w:val="22"/>
          <w:lang w:val="en-GB" w:eastAsia="en-GB"/>
        </w:rPr>
        <w:t>this approach would strive</w:t>
      </w:r>
      <w:r w:rsidR="00927950" w:rsidRPr="000A37BF">
        <w:rPr>
          <w:kern w:val="22"/>
          <w:sz w:val="22"/>
          <w:szCs w:val="22"/>
          <w:lang w:val="en-GB" w:eastAsia="en-GB"/>
        </w:rPr>
        <w:t xml:space="preserve"> </w:t>
      </w:r>
      <w:r w:rsidR="009C18A0" w:rsidRPr="000A37BF">
        <w:rPr>
          <w:kern w:val="22"/>
          <w:sz w:val="22"/>
          <w:szCs w:val="22"/>
          <w:lang w:val="en-GB" w:eastAsia="en-GB"/>
        </w:rPr>
        <w:t>to be comprehensive</w:t>
      </w:r>
      <w:r w:rsidR="0055605D" w:rsidRPr="000A37BF">
        <w:rPr>
          <w:kern w:val="22"/>
          <w:sz w:val="22"/>
          <w:szCs w:val="22"/>
          <w:lang w:val="en-GB" w:eastAsia="en-GB"/>
        </w:rPr>
        <w:t>,</w:t>
      </w:r>
      <w:r w:rsidR="009C18A0" w:rsidRPr="000A37BF">
        <w:rPr>
          <w:kern w:val="22"/>
          <w:sz w:val="22"/>
          <w:szCs w:val="22"/>
          <w:lang w:val="en-GB" w:eastAsia="en-GB"/>
        </w:rPr>
        <w:t xml:space="preserve"> participatory</w:t>
      </w:r>
      <w:r w:rsidR="0055605D" w:rsidRPr="000A37BF">
        <w:rPr>
          <w:kern w:val="22"/>
          <w:sz w:val="22"/>
          <w:szCs w:val="22"/>
          <w:lang w:val="en-GB" w:eastAsia="en-GB"/>
        </w:rPr>
        <w:t>,</w:t>
      </w:r>
      <w:r w:rsidR="009C18A0" w:rsidRPr="000A37BF">
        <w:rPr>
          <w:kern w:val="22"/>
          <w:sz w:val="22"/>
          <w:szCs w:val="22"/>
          <w:lang w:val="en-GB" w:eastAsia="en-GB"/>
        </w:rPr>
        <w:t xml:space="preserve"> facilitative</w:t>
      </w:r>
      <w:r w:rsidR="0055605D" w:rsidRPr="000A37BF">
        <w:rPr>
          <w:kern w:val="22"/>
          <w:sz w:val="22"/>
          <w:szCs w:val="22"/>
          <w:lang w:val="en-GB" w:eastAsia="en-GB"/>
        </w:rPr>
        <w:t>,</w:t>
      </w:r>
      <w:r w:rsidR="009C18A0" w:rsidRPr="000A37BF">
        <w:rPr>
          <w:kern w:val="22"/>
          <w:sz w:val="22"/>
          <w:szCs w:val="22"/>
          <w:lang w:val="en-GB" w:eastAsia="en-GB"/>
        </w:rPr>
        <w:t xml:space="preserve"> evidence-based and results-oriented</w:t>
      </w:r>
      <w:r w:rsidR="004219B3" w:rsidRPr="000A37BF">
        <w:rPr>
          <w:kern w:val="22"/>
          <w:sz w:val="22"/>
          <w:szCs w:val="22"/>
          <w:lang w:val="en-GB" w:eastAsia="en-GB"/>
        </w:rPr>
        <w:t>;</w:t>
      </w:r>
      <w:r w:rsidR="009C18A0" w:rsidRPr="000A37BF">
        <w:rPr>
          <w:kern w:val="22"/>
          <w:sz w:val="22"/>
          <w:szCs w:val="22"/>
          <w:vertAlign w:val="superscript"/>
          <w:lang w:val="en-GB" w:eastAsia="en-GB"/>
        </w:rPr>
        <w:footnoteReference w:id="50"/>
      </w:r>
    </w:p>
    <w:p w14:paraId="68AE1684" w14:textId="78B65AC1" w:rsidR="009C18A0" w:rsidRPr="000A37BF" w:rsidRDefault="00872FB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lastRenderedPageBreak/>
        <w:t>(b)</w:t>
      </w:r>
      <w:r w:rsidRPr="000A37BF">
        <w:rPr>
          <w:kern w:val="22"/>
          <w:sz w:val="22"/>
          <w:szCs w:val="22"/>
          <w:lang w:val="en-GB" w:eastAsia="en-GB"/>
        </w:rPr>
        <w:tab/>
      </w:r>
      <w:r w:rsidR="009C18A0" w:rsidRPr="000A37BF">
        <w:rPr>
          <w:kern w:val="22"/>
          <w:sz w:val="22"/>
          <w:szCs w:val="22"/>
          <w:lang w:val="en-GB" w:eastAsia="en-GB"/>
        </w:rPr>
        <w:t>Reporting on resource mobili</w:t>
      </w:r>
      <w:r w:rsidR="00EE709A" w:rsidRPr="000A37BF">
        <w:rPr>
          <w:kern w:val="22"/>
          <w:sz w:val="22"/>
          <w:szCs w:val="22"/>
          <w:lang w:val="en-GB" w:eastAsia="en-GB"/>
        </w:rPr>
        <w:t>z</w:t>
      </w:r>
      <w:r w:rsidR="009C18A0" w:rsidRPr="000A37BF">
        <w:rPr>
          <w:kern w:val="22"/>
          <w:sz w:val="22"/>
          <w:szCs w:val="22"/>
          <w:lang w:val="en-GB" w:eastAsia="en-GB"/>
        </w:rPr>
        <w:t>ation and biodiversity finance remains an important aspect of tracking and managing progress. There is a need for more timely and regular data collection, management and utilization to inform decision-making</w:t>
      </w:r>
      <w:r w:rsidR="00ED507B" w:rsidRPr="000A37BF">
        <w:rPr>
          <w:kern w:val="22"/>
          <w:sz w:val="22"/>
          <w:szCs w:val="22"/>
          <w:lang w:val="en-GB" w:eastAsia="en-GB"/>
        </w:rPr>
        <w:t xml:space="preserve">, including by making better use of existing international statistical reporting frameworks and associated processes, such as the OECD </w:t>
      </w:r>
      <w:r w:rsidR="00C54717" w:rsidRPr="000A37BF">
        <w:rPr>
          <w:kern w:val="22"/>
          <w:sz w:val="22"/>
          <w:szCs w:val="22"/>
          <w:lang w:val="en-GB" w:eastAsia="en-GB"/>
        </w:rPr>
        <w:t>Development Assistance Committee (</w:t>
      </w:r>
      <w:r w:rsidR="00ED507B" w:rsidRPr="000A37BF">
        <w:rPr>
          <w:kern w:val="22"/>
          <w:sz w:val="22"/>
          <w:szCs w:val="22"/>
          <w:lang w:val="en-GB" w:eastAsia="en-GB"/>
        </w:rPr>
        <w:t>DAC</w:t>
      </w:r>
      <w:r w:rsidR="00C54717" w:rsidRPr="000A37BF">
        <w:rPr>
          <w:kern w:val="22"/>
          <w:sz w:val="22"/>
          <w:szCs w:val="22"/>
          <w:lang w:val="en-GB" w:eastAsia="en-GB"/>
        </w:rPr>
        <w:t>)</w:t>
      </w:r>
      <w:r w:rsidR="00D25C10" w:rsidRPr="000A37BF">
        <w:rPr>
          <w:kern w:val="22"/>
          <w:sz w:val="22"/>
          <w:szCs w:val="22"/>
          <w:lang w:val="en-GB" w:eastAsia="en-GB"/>
        </w:rPr>
        <w:t>,</w:t>
      </w:r>
      <w:r w:rsidR="00ED507B" w:rsidRPr="000A37BF">
        <w:rPr>
          <w:kern w:val="22"/>
          <w:sz w:val="22"/>
          <w:szCs w:val="22"/>
          <w:lang w:val="en-GB" w:eastAsia="en-GB"/>
        </w:rPr>
        <w:t xml:space="preserve"> the Government Finance Statistics of the International Monetary Fund</w:t>
      </w:r>
      <w:r w:rsidR="00D25C10" w:rsidRPr="000A37BF">
        <w:rPr>
          <w:kern w:val="22"/>
          <w:sz w:val="22"/>
          <w:szCs w:val="22"/>
          <w:lang w:val="en-GB" w:eastAsia="en-GB"/>
        </w:rPr>
        <w:t xml:space="preserve">, and the </w:t>
      </w:r>
      <w:r w:rsidR="00861429" w:rsidRPr="000A37BF">
        <w:rPr>
          <w:kern w:val="22"/>
          <w:sz w:val="22"/>
          <w:szCs w:val="22"/>
          <w:lang w:val="en-GB" w:eastAsia="en-GB"/>
        </w:rPr>
        <w:t xml:space="preserve">guidance on environmental protection expenditures of the </w:t>
      </w:r>
      <w:r w:rsidR="00D25C10" w:rsidRPr="000A37BF">
        <w:rPr>
          <w:kern w:val="22"/>
          <w:sz w:val="22"/>
          <w:szCs w:val="22"/>
          <w:lang w:val="en-GB" w:eastAsia="en-GB"/>
        </w:rPr>
        <w:t>United Nations System of Environmental Economic Accounting</w:t>
      </w:r>
      <w:r w:rsidR="004219B3" w:rsidRPr="000A37BF">
        <w:rPr>
          <w:kern w:val="22"/>
          <w:sz w:val="22"/>
          <w:szCs w:val="22"/>
          <w:lang w:val="en-GB" w:eastAsia="en-GB"/>
        </w:rPr>
        <w:t>;</w:t>
      </w:r>
    </w:p>
    <w:p w14:paraId="79A2BB10" w14:textId="39C8B5BA" w:rsidR="009C18A0" w:rsidRPr="000A37BF" w:rsidRDefault="00872FB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(c)</w:t>
      </w:r>
      <w:r w:rsidRPr="000A37BF">
        <w:rPr>
          <w:kern w:val="22"/>
          <w:sz w:val="22"/>
          <w:szCs w:val="22"/>
          <w:lang w:val="en-GB" w:eastAsia="en-GB"/>
        </w:rPr>
        <w:tab/>
      </w:r>
      <w:r w:rsidR="009C18A0" w:rsidRPr="000A37BF">
        <w:rPr>
          <w:kern w:val="22"/>
          <w:sz w:val="22"/>
          <w:szCs w:val="22"/>
          <w:lang w:val="en-GB" w:eastAsia="en-GB"/>
        </w:rPr>
        <w:t>All Parties could be encouraged to report to the relevant existing OECD databases (i.e. Producer Support Estimate, Fisheries Support Estimate, Policy Instruments for the Environment)</w:t>
      </w:r>
      <w:r w:rsidR="004219B3" w:rsidRPr="000A37BF">
        <w:rPr>
          <w:kern w:val="22"/>
          <w:sz w:val="22"/>
          <w:szCs w:val="22"/>
          <w:lang w:val="en-GB" w:eastAsia="en-GB"/>
        </w:rPr>
        <w:t>;</w:t>
      </w:r>
    </w:p>
    <w:p w14:paraId="72EF5157" w14:textId="63F06E32" w:rsidR="009C18A0" w:rsidRPr="000A37BF" w:rsidRDefault="00872FB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(d)</w:t>
      </w:r>
      <w:r w:rsidRPr="000A37BF">
        <w:rPr>
          <w:kern w:val="22"/>
          <w:sz w:val="22"/>
          <w:szCs w:val="22"/>
          <w:lang w:val="en-GB" w:eastAsia="en-GB"/>
        </w:rPr>
        <w:tab/>
      </w:r>
      <w:r w:rsidR="009C18A0" w:rsidRPr="000A37BF">
        <w:rPr>
          <w:kern w:val="22"/>
          <w:sz w:val="22"/>
          <w:szCs w:val="22"/>
          <w:lang w:val="en-GB" w:eastAsia="en-GB"/>
        </w:rPr>
        <w:t>There should be increased transparency on the methodology</w:t>
      </w:r>
      <w:r w:rsidR="009C18A0" w:rsidRPr="000A37BF">
        <w:rPr>
          <w:kern w:val="22"/>
          <w:sz w:val="22"/>
          <w:szCs w:val="22"/>
          <w:vertAlign w:val="superscript"/>
          <w:lang w:val="en-GB" w:eastAsia="en-GB"/>
        </w:rPr>
        <w:footnoteReference w:id="51"/>
      </w:r>
      <w:r w:rsidR="009C18A0" w:rsidRPr="000A37BF">
        <w:rPr>
          <w:kern w:val="22"/>
          <w:sz w:val="22"/>
          <w:szCs w:val="22"/>
          <w:lang w:val="en-GB" w:eastAsia="en-GB"/>
        </w:rPr>
        <w:t xml:space="preserve"> of reporting on resource mobili</w:t>
      </w:r>
      <w:r w:rsidR="00EE709A" w:rsidRPr="000A37BF">
        <w:rPr>
          <w:kern w:val="22"/>
          <w:sz w:val="22"/>
          <w:szCs w:val="22"/>
          <w:lang w:val="en-GB" w:eastAsia="en-GB"/>
        </w:rPr>
        <w:t>z</w:t>
      </w:r>
      <w:r w:rsidR="009C18A0" w:rsidRPr="000A37BF">
        <w:rPr>
          <w:kern w:val="22"/>
          <w:sz w:val="22"/>
          <w:szCs w:val="22"/>
          <w:lang w:val="en-GB" w:eastAsia="en-GB"/>
        </w:rPr>
        <w:t>ation, as well transparency and accountability on biodiversity spending, including spending on domestic, multilateral and bilateral development finance</w:t>
      </w:r>
      <w:r w:rsidR="004219B3" w:rsidRPr="000A37BF">
        <w:rPr>
          <w:kern w:val="22"/>
          <w:sz w:val="22"/>
          <w:szCs w:val="22"/>
          <w:lang w:val="en-GB" w:eastAsia="en-GB"/>
        </w:rPr>
        <w:t>;</w:t>
      </w:r>
    </w:p>
    <w:p w14:paraId="6210729C" w14:textId="19C054E6" w:rsidR="009C18A0" w:rsidRPr="000A37BF" w:rsidRDefault="00872FB1" w:rsidP="000A37BF">
      <w:pPr>
        <w:suppressLineNumbers/>
        <w:suppressAutoHyphens/>
        <w:adjustRightInd w:val="0"/>
        <w:snapToGrid w:val="0"/>
        <w:spacing w:after="120"/>
        <w:ind w:firstLine="720"/>
        <w:jc w:val="both"/>
        <w:rPr>
          <w:kern w:val="22"/>
          <w:sz w:val="22"/>
          <w:szCs w:val="22"/>
          <w:lang w:val="en-GB" w:eastAsia="en-GB"/>
        </w:rPr>
      </w:pPr>
      <w:r w:rsidRPr="000A37BF">
        <w:rPr>
          <w:kern w:val="22"/>
          <w:sz w:val="22"/>
          <w:szCs w:val="22"/>
          <w:lang w:val="en-GB" w:eastAsia="en-GB"/>
        </w:rPr>
        <w:t>(e)</w:t>
      </w:r>
      <w:r w:rsidRPr="000A37BF">
        <w:rPr>
          <w:kern w:val="22"/>
          <w:sz w:val="22"/>
          <w:szCs w:val="22"/>
          <w:lang w:val="en-GB" w:eastAsia="en-GB"/>
        </w:rPr>
        <w:tab/>
      </w:r>
      <w:r w:rsidR="009C18A0" w:rsidRPr="000A37BF">
        <w:rPr>
          <w:kern w:val="22"/>
          <w:sz w:val="22"/>
          <w:szCs w:val="22"/>
          <w:lang w:val="en-GB" w:eastAsia="en-GB"/>
        </w:rPr>
        <w:t xml:space="preserve">Given the complexity of reporting on biodiversity finance, it is recommended that a user-friendly approach is supported by capacity development. Resources channelled to the development of national biodiversity finance plans could include resources for reporting to the </w:t>
      </w:r>
      <w:r w:rsidR="00D33E33" w:rsidRPr="000A37BF">
        <w:rPr>
          <w:kern w:val="22"/>
          <w:sz w:val="22"/>
          <w:szCs w:val="22"/>
          <w:lang w:val="en-GB" w:eastAsia="en-GB"/>
        </w:rPr>
        <w:t>Convention</w:t>
      </w:r>
      <w:r w:rsidR="009C18A0" w:rsidRPr="000A37BF">
        <w:rPr>
          <w:kern w:val="22"/>
          <w:sz w:val="22"/>
          <w:szCs w:val="22"/>
          <w:lang w:val="en-GB" w:eastAsia="en-GB"/>
        </w:rPr>
        <w:t xml:space="preserve"> on resource mobili</w:t>
      </w:r>
      <w:r w:rsidR="00EE709A" w:rsidRPr="000A37BF">
        <w:rPr>
          <w:kern w:val="22"/>
          <w:sz w:val="22"/>
          <w:szCs w:val="22"/>
          <w:lang w:val="en-GB" w:eastAsia="en-GB"/>
        </w:rPr>
        <w:t>z</w:t>
      </w:r>
      <w:r w:rsidR="009C18A0" w:rsidRPr="000A37BF">
        <w:rPr>
          <w:kern w:val="22"/>
          <w:sz w:val="22"/>
          <w:szCs w:val="22"/>
          <w:lang w:val="en-GB" w:eastAsia="en-GB"/>
        </w:rPr>
        <w:t>ation.</w:t>
      </w:r>
    </w:p>
    <w:p w14:paraId="651A3D7F" w14:textId="1DF2F274" w:rsidR="00754320" w:rsidRPr="000A37BF" w:rsidRDefault="00EA1E12" w:rsidP="000A37BF">
      <w:pPr>
        <w:pStyle w:val="HEADINGNOTFORTOC"/>
        <w:suppressLineNumbers/>
        <w:tabs>
          <w:tab w:val="clear" w:pos="720"/>
        </w:tabs>
        <w:suppressAutoHyphens/>
        <w:adjustRightInd w:val="0"/>
        <w:snapToGrid w:val="0"/>
        <w:spacing w:before="120"/>
        <w:ind w:left="1134" w:hanging="567"/>
        <w:jc w:val="left"/>
        <w:rPr>
          <w:bCs/>
          <w:kern w:val="22"/>
          <w:sz w:val="22"/>
          <w:szCs w:val="22"/>
          <w:lang w:val="en-GB"/>
        </w:rPr>
      </w:pPr>
      <w:r w:rsidRPr="000A37BF">
        <w:rPr>
          <w:bCs/>
          <w:kern w:val="22"/>
          <w:sz w:val="22"/>
          <w:szCs w:val="22"/>
          <w:lang w:val="en-GB" w:eastAsia="en-GB"/>
        </w:rPr>
        <w:t>VI.</w:t>
      </w:r>
      <w:r w:rsidRPr="000A37BF">
        <w:rPr>
          <w:bCs/>
          <w:kern w:val="22"/>
          <w:sz w:val="22"/>
          <w:szCs w:val="22"/>
          <w:lang w:val="en-GB" w:eastAsia="en-GB"/>
        </w:rPr>
        <w:tab/>
      </w:r>
      <w:r w:rsidR="00E9096A" w:rsidRPr="000A37BF">
        <w:rPr>
          <w:kern w:val="22"/>
          <w:sz w:val="22"/>
          <w:szCs w:val="22"/>
          <w:lang w:val="en-GB"/>
        </w:rPr>
        <w:t>Possible targets and decisions on resource mobili</w:t>
      </w:r>
      <w:r w:rsidR="00EE709A" w:rsidRPr="000A37BF">
        <w:rPr>
          <w:kern w:val="22"/>
          <w:sz w:val="22"/>
          <w:szCs w:val="22"/>
          <w:lang w:val="en-GB"/>
        </w:rPr>
        <w:t>z</w:t>
      </w:r>
      <w:r w:rsidR="00E9096A" w:rsidRPr="000A37BF">
        <w:rPr>
          <w:kern w:val="22"/>
          <w:sz w:val="22"/>
          <w:szCs w:val="22"/>
          <w:lang w:val="en-GB"/>
        </w:rPr>
        <w:t>ation in the post-2020 global biodiversity framework</w:t>
      </w:r>
    </w:p>
    <w:p w14:paraId="690C6703" w14:textId="013A90FA" w:rsidR="00754320" w:rsidRPr="000A37BF" w:rsidRDefault="00754320" w:rsidP="000A37BF">
      <w:pPr>
        <w:pStyle w:val="Para1"/>
        <w:numPr>
          <w:ilvl w:val="0"/>
          <w:numId w:val="49"/>
        </w:numPr>
        <w:suppressLineNumbers/>
        <w:suppressAutoHyphens/>
        <w:adjustRightInd w:val="0"/>
        <w:snapToGrid w:val="0"/>
        <w:spacing w:before="120"/>
        <w:ind w:left="0" w:firstLine="0"/>
        <w:jc w:val="both"/>
        <w:rPr>
          <w:kern w:val="22"/>
          <w:sz w:val="22"/>
          <w:szCs w:val="22"/>
          <w:lang w:val="en-GB"/>
        </w:rPr>
      </w:pPr>
      <w:r w:rsidRPr="000A37BF">
        <w:rPr>
          <w:kern w:val="22"/>
          <w:sz w:val="22"/>
          <w:szCs w:val="22"/>
          <w:lang w:val="en-GB"/>
        </w:rPr>
        <w:t>A number of specific targets on resource mobili</w:t>
      </w:r>
      <w:r w:rsidR="00EE709A" w:rsidRPr="000A37BF">
        <w:rPr>
          <w:kern w:val="22"/>
          <w:sz w:val="22"/>
          <w:szCs w:val="22"/>
          <w:lang w:val="en-GB"/>
        </w:rPr>
        <w:t>z</w:t>
      </w:r>
      <w:r w:rsidRPr="000A37BF">
        <w:rPr>
          <w:kern w:val="22"/>
          <w:sz w:val="22"/>
          <w:szCs w:val="22"/>
          <w:lang w:val="en-GB"/>
        </w:rPr>
        <w:t xml:space="preserve">ation </w:t>
      </w:r>
      <w:r w:rsidR="00EE709A" w:rsidRPr="000A37BF">
        <w:rPr>
          <w:kern w:val="22"/>
          <w:sz w:val="22"/>
          <w:szCs w:val="22"/>
          <w:lang w:val="en-GB"/>
        </w:rPr>
        <w:t>are</w:t>
      </w:r>
      <w:r w:rsidRPr="000A37BF">
        <w:rPr>
          <w:kern w:val="22"/>
          <w:sz w:val="22"/>
          <w:szCs w:val="22"/>
          <w:lang w:val="en-GB"/>
        </w:rPr>
        <w:t xml:space="preserve"> likely to be needed to support the overarching </w:t>
      </w:r>
      <w:r w:rsidR="00EE709A" w:rsidRPr="000A37BF">
        <w:rPr>
          <w:kern w:val="22"/>
          <w:sz w:val="22"/>
          <w:szCs w:val="22"/>
          <w:lang w:val="en-GB"/>
        </w:rPr>
        <w:t>g</w:t>
      </w:r>
      <w:r w:rsidRPr="000A37BF">
        <w:rPr>
          <w:kern w:val="22"/>
          <w:sz w:val="22"/>
          <w:szCs w:val="22"/>
          <w:lang w:val="en-GB"/>
        </w:rPr>
        <w:t xml:space="preserve">oals of the </w:t>
      </w:r>
      <w:r w:rsidR="00AC371C" w:rsidRPr="000A37BF">
        <w:rPr>
          <w:kern w:val="22"/>
          <w:sz w:val="22"/>
          <w:szCs w:val="22"/>
          <w:lang w:val="en-GB"/>
        </w:rPr>
        <w:t>p</w:t>
      </w:r>
      <w:r w:rsidRPr="000A37BF">
        <w:rPr>
          <w:kern w:val="22"/>
          <w:sz w:val="22"/>
          <w:szCs w:val="22"/>
          <w:lang w:val="en-GB"/>
        </w:rPr>
        <w:t xml:space="preserve">ost-2020 </w:t>
      </w:r>
      <w:r w:rsidR="00AC371C" w:rsidRPr="000A37BF">
        <w:rPr>
          <w:kern w:val="22"/>
          <w:sz w:val="22"/>
          <w:szCs w:val="22"/>
          <w:lang w:val="en-GB"/>
        </w:rPr>
        <w:t>g</w:t>
      </w:r>
      <w:r w:rsidRPr="000A37BF">
        <w:rPr>
          <w:kern w:val="22"/>
          <w:sz w:val="22"/>
          <w:szCs w:val="22"/>
          <w:lang w:val="en-GB"/>
        </w:rPr>
        <w:t xml:space="preserve">lobal </w:t>
      </w:r>
      <w:r w:rsidR="00AC371C" w:rsidRPr="000A37BF">
        <w:rPr>
          <w:kern w:val="22"/>
          <w:sz w:val="22"/>
          <w:szCs w:val="22"/>
          <w:lang w:val="en-GB"/>
        </w:rPr>
        <w:t>b</w:t>
      </w:r>
      <w:r w:rsidRPr="000A37BF">
        <w:rPr>
          <w:kern w:val="22"/>
          <w:sz w:val="22"/>
          <w:szCs w:val="22"/>
          <w:lang w:val="en-GB"/>
        </w:rPr>
        <w:t xml:space="preserve">iodiversity </w:t>
      </w:r>
      <w:r w:rsidR="00AC371C" w:rsidRPr="000A37BF">
        <w:rPr>
          <w:kern w:val="22"/>
          <w:sz w:val="22"/>
          <w:szCs w:val="22"/>
          <w:lang w:val="en-GB"/>
        </w:rPr>
        <w:t>f</w:t>
      </w:r>
      <w:r w:rsidRPr="000A37BF">
        <w:rPr>
          <w:kern w:val="22"/>
          <w:sz w:val="22"/>
          <w:szCs w:val="22"/>
          <w:lang w:val="en-GB"/>
        </w:rPr>
        <w:t>ramework, reflecting each of the three interconnected components of resource mobili</w:t>
      </w:r>
      <w:r w:rsidR="00EE709A" w:rsidRPr="000A37BF">
        <w:rPr>
          <w:kern w:val="22"/>
          <w:sz w:val="22"/>
          <w:szCs w:val="22"/>
          <w:lang w:val="en-GB"/>
        </w:rPr>
        <w:t>z</w:t>
      </w:r>
      <w:r w:rsidRPr="000A37BF">
        <w:rPr>
          <w:kern w:val="22"/>
          <w:sz w:val="22"/>
          <w:szCs w:val="22"/>
          <w:lang w:val="en-GB"/>
        </w:rPr>
        <w:t xml:space="preserve">ation recommended in this </w:t>
      </w:r>
      <w:r w:rsidR="00EA1E12" w:rsidRPr="000A37BF">
        <w:rPr>
          <w:kern w:val="22"/>
          <w:sz w:val="22"/>
          <w:szCs w:val="22"/>
          <w:lang w:val="en-GB"/>
        </w:rPr>
        <w:t>r</w:t>
      </w:r>
      <w:r w:rsidRPr="000A37BF">
        <w:rPr>
          <w:kern w:val="22"/>
          <w:sz w:val="22"/>
          <w:szCs w:val="22"/>
          <w:lang w:val="en-GB"/>
        </w:rPr>
        <w:t>eport</w:t>
      </w:r>
      <w:r w:rsidR="00571A0B" w:rsidRPr="000A37BF">
        <w:rPr>
          <w:kern w:val="22"/>
          <w:sz w:val="22"/>
          <w:szCs w:val="22"/>
          <w:lang w:val="en-GB"/>
        </w:rPr>
        <w:t>, and enabling simultaneous progress on all three components</w:t>
      </w:r>
      <w:r w:rsidRPr="000A37BF">
        <w:rPr>
          <w:kern w:val="22"/>
          <w:sz w:val="22"/>
          <w:szCs w:val="22"/>
          <w:lang w:val="en-GB"/>
        </w:rPr>
        <w:t xml:space="preserve">. </w:t>
      </w:r>
      <w:r w:rsidR="00EA1E12" w:rsidRPr="000A37BF">
        <w:rPr>
          <w:kern w:val="22"/>
          <w:sz w:val="22"/>
          <w:szCs w:val="22"/>
          <w:lang w:val="en-GB"/>
        </w:rPr>
        <w:t>As part of its contribution to a draft resource mobilization component, t</w:t>
      </w:r>
      <w:r w:rsidRPr="000A37BF">
        <w:rPr>
          <w:kern w:val="22"/>
          <w:sz w:val="22"/>
          <w:szCs w:val="22"/>
          <w:lang w:val="en-GB"/>
        </w:rPr>
        <w:t xml:space="preserve">his section contains the </w:t>
      </w:r>
      <w:r w:rsidR="00512FD4" w:rsidRPr="000A37BF">
        <w:rPr>
          <w:kern w:val="22"/>
          <w:sz w:val="22"/>
          <w:szCs w:val="22"/>
          <w:lang w:val="en-GB"/>
        </w:rPr>
        <w:t xml:space="preserve">input of the </w:t>
      </w:r>
      <w:r w:rsidR="00F770E8" w:rsidRPr="000A37BF">
        <w:rPr>
          <w:kern w:val="22"/>
          <w:sz w:val="22"/>
          <w:szCs w:val="22"/>
          <w:lang w:val="en-GB"/>
        </w:rPr>
        <w:t>P</w:t>
      </w:r>
      <w:r w:rsidRPr="000A37BF">
        <w:rPr>
          <w:kern w:val="22"/>
          <w:sz w:val="22"/>
          <w:szCs w:val="22"/>
          <w:lang w:val="en-GB"/>
        </w:rPr>
        <w:t xml:space="preserve">anel of </w:t>
      </w:r>
      <w:r w:rsidR="00F770E8" w:rsidRPr="000A37BF">
        <w:rPr>
          <w:kern w:val="22"/>
          <w:sz w:val="22"/>
          <w:szCs w:val="22"/>
          <w:lang w:val="en-GB"/>
        </w:rPr>
        <w:t>E</w:t>
      </w:r>
      <w:r w:rsidRPr="000A37BF">
        <w:rPr>
          <w:kern w:val="22"/>
          <w:sz w:val="22"/>
          <w:szCs w:val="22"/>
          <w:lang w:val="en-GB"/>
        </w:rPr>
        <w:t>xperts to the development of targets for resource mobili</w:t>
      </w:r>
      <w:r w:rsidR="00EE709A" w:rsidRPr="000A37BF">
        <w:rPr>
          <w:kern w:val="22"/>
          <w:sz w:val="22"/>
          <w:szCs w:val="22"/>
          <w:lang w:val="en-GB"/>
        </w:rPr>
        <w:t>z</w:t>
      </w:r>
      <w:r w:rsidRPr="000A37BF">
        <w:rPr>
          <w:kern w:val="22"/>
          <w:sz w:val="22"/>
          <w:szCs w:val="22"/>
          <w:lang w:val="en-GB"/>
        </w:rPr>
        <w:t xml:space="preserve">ation, based on the recommended actions set out </w:t>
      </w:r>
      <w:r w:rsidR="00FC41B2" w:rsidRPr="000A37BF">
        <w:rPr>
          <w:kern w:val="22"/>
          <w:sz w:val="22"/>
          <w:szCs w:val="22"/>
          <w:lang w:val="en-GB"/>
        </w:rPr>
        <w:t>under</w:t>
      </w:r>
      <w:r w:rsidRPr="000A37BF">
        <w:rPr>
          <w:kern w:val="22"/>
          <w:sz w:val="22"/>
          <w:szCs w:val="22"/>
          <w:lang w:val="en-GB"/>
        </w:rPr>
        <w:t xml:space="preserve"> the three components above.</w:t>
      </w:r>
      <w:r w:rsidRPr="000A37BF">
        <w:rPr>
          <w:rStyle w:val="FootnoteReference"/>
          <w:kern w:val="22"/>
          <w:sz w:val="22"/>
          <w:szCs w:val="22"/>
          <w:u w:val="none"/>
          <w:vertAlign w:val="superscript"/>
          <w:lang w:val="en-GB"/>
        </w:rPr>
        <w:footnoteReference w:id="52"/>
      </w:r>
    </w:p>
    <w:p w14:paraId="65EC61EC" w14:textId="0285C224" w:rsidR="00754320" w:rsidRPr="000A37BF" w:rsidRDefault="00754320" w:rsidP="000A37BF">
      <w:pPr>
        <w:pStyle w:val="Para1"/>
        <w:numPr>
          <w:ilvl w:val="0"/>
          <w:numId w:val="49"/>
        </w:numPr>
        <w:suppressLineNumbers/>
        <w:suppressAutoHyphens/>
        <w:adjustRightInd w:val="0"/>
        <w:snapToGrid w:val="0"/>
        <w:spacing w:before="120"/>
        <w:ind w:left="0" w:firstLine="0"/>
        <w:jc w:val="both"/>
        <w:rPr>
          <w:kern w:val="22"/>
          <w:sz w:val="22"/>
          <w:szCs w:val="22"/>
          <w:lang w:val="en-GB"/>
        </w:rPr>
      </w:pPr>
      <w:bookmarkStart w:id="9" w:name="_Hlk40285397"/>
      <w:r w:rsidRPr="000A37BF">
        <w:rPr>
          <w:iCs/>
          <w:kern w:val="22"/>
          <w:sz w:val="22"/>
          <w:szCs w:val="22"/>
          <w:lang w:val="en-GB"/>
        </w:rPr>
        <w:t>Reducing or redirecting harmful expenditure is a crucial component of resource mobili</w:t>
      </w:r>
      <w:r w:rsidR="00EE709A" w:rsidRPr="000A37BF">
        <w:rPr>
          <w:iCs/>
          <w:kern w:val="22"/>
          <w:sz w:val="22"/>
          <w:szCs w:val="22"/>
          <w:lang w:val="en-GB"/>
        </w:rPr>
        <w:t>z</w:t>
      </w:r>
      <w:r w:rsidRPr="000A37BF">
        <w:rPr>
          <w:iCs/>
          <w:kern w:val="22"/>
          <w:sz w:val="22"/>
          <w:szCs w:val="22"/>
          <w:lang w:val="en-GB"/>
        </w:rPr>
        <w:t>ation, and targets should be in place to encourage ambitious action,</w:t>
      </w:r>
      <w:r w:rsidRPr="000A37BF">
        <w:rPr>
          <w:kern w:val="22"/>
          <w:sz w:val="22"/>
          <w:szCs w:val="22"/>
          <w:lang w:val="en-GB"/>
        </w:rPr>
        <w:t xml:space="preserve"> with appropriate indicators to measure progress, within both the private and public sectors. Parties may wish to consider three distinct but mutually supportive </w:t>
      </w:r>
      <w:r w:rsidR="007D287B" w:rsidRPr="00C053AE">
        <w:rPr>
          <w:kern w:val="22"/>
          <w:sz w:val="22"/>
          <w:szCs w:val="22"/>
          <w:lang w:val="en-GB"/>
        </w:rPr>
        <w:t>elements to be includ</w:t>
      </w:r>
      <w:r w:rsidR="002674A5" w:rsidRPr="00C053AE">
        <w:rPr>
          <w:kern w:val="22"/>
          <w:sz w:val="22"/>
          <w:szCs w:val="22"/>
          <w:lang w:val="en-GB"/>
        </w:rPr>
        <w:t>ed</w:t>
      </w:r>
      <w:r w:rsidR="007D287B" w:rsidRPr="00C053AE">
        <w:rPr>
          <w:kern w:val="22"/>
          <w:sz w:val="22"/>
          <w:szCs w:val="22"/>
          <w:lang w:val="en-GB"/>
        </w:rPr>
        <w:t xml:space="preserve"> in targets </w:t>
      </w:r>
      <w:r w:rsidR="00527BCF" w:rsidRPr="00C053AE">
        <w:rPr>
          <w:kern w:val="22"/>
          <w:sz w:val="22"/>
          <w:szCs w:val="22"/>
          <w:lang w:val="en-GB"/>
        </w:rPr>
        <w:t>for reducing or redirecting harmful expenditure</w:t>
      </w:r>
      <w:r w:rsidRPr="000A37BF">
        <w:rPr>
          <w:kern w:val="22"/>
          <w:sz w:val="22"/>
          <w:szCs w:val="22"/>
          <w:lang w:val="en-GB"/>
        </w:rPr>
        <w:t>, which could be articulated along the following lines:</w:t>
      </w:r>
    </w:p>
    <w:p w14:paraId="0F282481" w14:textId="2E7CA83B" w:rsidR="00754320" w:rsidRPr="000A37BF" w:rsidRDefault="00754320" w:rsidP="000A37BF">
      <w:pPr>
        <w:numPr>
          <w:ilvl w:val="0"/>
          <w:numId w:val="47"/>
        </w:numPr>
        <w:suppressLineNumbers/>
        <w:suppressAutoHyphens/>
        <w:adjustRightInd w:val="0"/>
        <w:snapToGrid w:val="0"/>
        <w:spacing w:after="120"/>
        <w:ind w:left="0" w:firstLine="720"/>
        <w:jc w:val="both"/>
        <w:rPr>
          <w:bCs/>
          <w:kern w:val="22"/>
          <w:sz w:val="22"/>
          <w:szCs w:val="22"/>
          <w:lang w:val="en-GB" w:eastAsia="en-GB"/>
        </w:rPr>
      </w:pPr>
      <w:r w:rsidRPr="000A37BF">
        <w:rPr>
          <w:bCs/>
          <w:kern w:val="22"/>
          <w:sz w:val="22"/>
          <w:szCs w:val="22"/>
          <w:lang w:val="en-GB" w:eastAsia="en-GB"/>
        </w:rPr>
        <w:t xml:space="preserve">By 2030, all </w:t>
      </w:r>
      <w:r w:rsidR="00026D3F" w:rsidRPr="00C053AE">
        <w:rPr>
          <w:bCs/>
          <w:kern w:val="22"/>
          <w:sz w:val="22"/>
          <w:szCs w:val="22"/>
          <w:lang w:val="en-GB" w:eastAsia="en-GB"/>
        </w:rPr>
        <w:t>countries</w:t>
      </w:r>
      <w:r w:rsidRPr="000A37BF">
        <w:rPr>
          <w:bCs/>
          <w:kern w:val="22"/>
          <w:sz w:val="22"/>
          <w:szCs w:val="22"/>
          <w:lang w:val="en-GB" w:eastAsia="en-GB"/>
        </w:rPr>
        <w:t xml:space="preserve"> have achieved significant progress in fiscal, budgetary, and financial mainstreaming,</w:t>
      </w:r>
      <w:r w:rsidR="00944680" w:rsidRPr="00C053AE">
        <w:rPr>
          <w:bCs/>
          <w:kern w:val="22"/>
          <w:sz w:val="22"/>
          <w:szCs w:val="22"/>
          <w:lang w:val="en-GB" w:eastAsia="en-GB"/>
        </w:rPr>
        <w:t xml:space="preserve"> </w:t>
      </w:r>
      <w:r w:rsidR="00944680" w:rsidRPr="00C053AE">
        <w:rPr>
          <w:bCs/>
          <w:color w:val="000000" w:themeColor="text1"/>
          <w:kern w:val="22"/>
          <w:sz w:val="22"/>
          <w:szCs w:val="22"/>
          <w:lang w:val="en-GB" w:eastAsia="en-GB"/>
        </w:rPr>
        <w:t xml:space="preserve">including reviewing all relevant government </w:t>
      </w:r>
      <w:r w:rsidR="00A75EDC" w:rsidRPr="00C053AE">
        <w:rPr>
          <w:bCs/>
          <w:color w:val="000000" w:themeColor="text1"/>
          <w:kern w:val="22"/>
          <w:sz w:val="22"/>
          <w:szCs w:val="22"/>
          <w:lang w:val="en-GB" w:eastAsia="en-GB"/>
        </w:rPr>
        <w:t>budgets to</w:t>
      </w:r>
      <w:r w:rsidR="00944680" w:rsidRPr="00C053AE">
        <w:rPr>
          <w:bCs/>
          <w:color w:val="000000" w:themeColor="text1"/>
          <w:kern w:val="22"/>
          <w:sz w:val="22"/>
          <w:szCs w:val="22"/>
          <w:lang w:val="en-GB" w:eastAsia="en-GB"/>
        </w:rPr>
        <w:t xml:space="preserve"> result in at least no net harm</w:t>
      </w:r>
      <w:r w:rsidR="00B61A4F" w:rsidRPr="00C053AE">
        <w:rPr>
          <w:bCs/>
          <w:color w:val="000000" w:themeColor="text1"/>
          <w:kern w:val="22"/>
          <w:sz w:val="22"/>
          <w:szCs w:val="22"/>
          <w:lang w:val="en-GB" w:eastAsia="en-GB"/>
        </w:rPr>
        <w:t xml:space="preserve"> </w:t>
      </w:r>
      <w:r w:rsidR="004C2477" w:rsidRPr="00C053AE">
        <w:rPr>
          <w:bCs/>
          <w:color w:val="000000" w:themeColor="text1"/>
          <w:kern w:val="22"/>
          <w:sz w:val="22"/>
          <w:szCs w:val="22"/>
          <w:lang w:val="en-GB" w:eastAsia="en-GB"/>
        </w:rPr>
        <w:t>to biodiversity</w:t>
      </w:r>
      <w:r w:rsidR="00944680" w:rsidRPr="00C053AE">
        <w:rPr>
          <w:bCs/>
          <w:color w:val="000000" w:themeColor="text1"/>
          <w:kern w:val="22"/>
          <w:sz w:val="22"/>
          <w:szCs w:val="22"/>
          <w:lang w:val="en-GB" w:eastAsia="en-GB"/>
        </w:rPr>
        <w:t>; increasing</w:t>
      </w:r>
      <w:r w:rsidR="00B61A4F" w:rsidRPr="00C053AE">
        <w:rPr>
          <w:bCs/>
          <w:color w:val="000000" w:themeColor="text1"/>
          <w:kern w:val="22"/>
          <w:sz w:val="22"/>
          <w:szCs w:val="22"/>
          <w:lang w:val="en-GB" w:eastAsia="en-GB"/>
        </w:rPr>
        <w:t xml:space="preserve"> </w:t>
      </w:r>
      <w:r w:rsidR="004C2477" w:rsidRPr="00C053AE">
        <w:rPr>
          <w:bCs/>
          <w:color w:val="000000" w:themeColor="text1"/>
          <w:kern w:val="22"/>
          <w:sz w:val="22"/>
          <w:szCs w:val="22"/>
          <w:lang w:val="en-GB" w:eastAsia="en-GB"/>
        </w:rPr>
        <w:t xml:space="preserve">positive </w:t>
      </w:r>
      <w:r w:rsidR="00944680" w:rsidRPr="00C053AE">
        <w:rPr>
          <w:bCs/>
          <w:color w:val="000000" w:themeColor="text1"/>
          <w:kern w:val="22"/>
          <w:sz w:val="22"/>
          <w:szCs w:val="22"/>
          <w:lang w:val="en-GB" w:eastAsia="en-GB"/>
        </w:rPr>
        <w:t>incentives for the conservation and sustainable use of biodiversity; increasing</w:t>
      </w:r>
      <w:r w:rsidR="00A75EDC" w:rsidRPr="00C053AE">
        <w:rPr>
          <w:bCs/>
          <w:color w:val="000000" w:themeColor="text1"/>
          <w:kern w:val="22"/>
          <w:sz w:val="22"/>
          <w:szCs w:val="22"/>
          <w:lang w:val="en-GB" w:eastAsia="en-GB"/>
        </w:rPr>
        <w:t xml:space="preserve"> the use of</w:t>
      </w:r>
      <w:r w:rsidR="00944680" w:rsidRPr="00C053AE">
        <w:rPr>
          <w:bCs/>
          <w:color w:val="000000" w:themeColor="text1"/>
          <w:kern w:val="22"/>
          <w:sz w:val="22"/>
          <w:szCs w:val="22"/>
          <w:lang w:val="en-GB" w:eastAsia="en-GB"/>
        </w:rPr>
        <w:t xml:space="preserve"> </w:t>
      </w:r>
      <w:r w:rsidR="00CD2BF2" w:rsidRPr="00C053AE">
        <w:rPr>
          <w:bCs/>
          <w:color w:val="000000" w:themeColor="text1"/>
          <w:kern w:val="22"/>
          <w:sz w:val="22"/>
          <w:szCs w:val="22"/>
          <w:lang w:val="en-GB" w:eastAsia="en-GB"/>
        </w:rPr>
        <w:t>dis</w:t>
      </w:r>
      <w:r w:rsidR="00F93273" w:rsidRPr="00C053AE">
        <w:rPr>
          <w:bCs/>
          <w:color w:val="000000" w:themeColor="text1"/>
          <w:kern w:val="22"/>
          <w:sz w:val="22"/>
          <w:szCs w:val="22"/>
          <w:lang w:val="en-GB" w:eastAsia="en-GB"/>
        </w:rPr>
        <w:t>incentives</w:t>
      </w:r>
      <w:r w:rsidR="00944680" w:rsidRPr="00C053AE">
        <w:rPr>
          <w:bCs/>
          <w:color w:val="000000" w:themeColor="text1"/>
          <w:kern w:val="22"/>
          <w:sz w:val="22"/>
          <w:szCs w:val="22"/>
          <w:lang w:val="en-GB" w:eastAsia="en-GB"/>
        </w:rPr>
        <w:t xml:space="preserve"> </w:t>
      </w:r>
      <w:r w:rsidR="00A75EDC" w:rsidRPr="00C053AE">
        <w:rPr>
          <w:bCs/>
          <w:color w:val="000000" w:themeColor="text1"/>
          <w:kern w:val="22"/>
          <w:sz w:val="22"/>
          <w:szCs w:val="22"/>
          <w:lang w:val="en-GB" w:eastAsia="en-GB"/>
        </w:rPr>
        <w:t xml:space="preserve">in order </w:t>
      </w:r>
      <w:r w:rsidR="00944680" w:rsidRPr="00C053AE">
        <w:rPr>
          <w:bCs/>
          <w:color w:val="000000" w:themeColor="text1"/>
          <w:kern w:val="22"/>
          <w:sz w:val="22"/>
          <w:szCs w:val="22"/>
          <w:lang w:val="en-GB" w:eastAsia="en-GB"/>
        </w:rPr>
        <w:t>to d</w:t>
      </w:r>
      <w:r w:rsidR="00A75EDC" w:rsidRPr="00C053AE">
        <w:rPr>
          <w:bCs/>
          <w:color w:val="000000" w:themeColor="text1"/>
          <w:kern w:val="22"/>
          <w:sz w:val="22"/>
          <w:szCs w:val="22"/>
          <w:lang w:val="en-GB" w:eastAsia="en-GB"/>
        </w:rPr>
        <w:t>eter</w:t>
      </w:r>
      <w:r w:rsidR="00944680" w:rsidRPr="00C053AE">
        <w:rPr>
          <w:bCs/>
          <w:color w:val="000000" w:themeColor="text1"/>
          <w:kern w:val="22"/>
          <w:sz w:val="22"/>
          <w:szCs w:val="22"/>
          <w:lang w:val="en-GB" w:eastAsia="en-GB"/>
        </w:rPr>
        <w:t xml:space="preserve"> actions harmful to biodiversity</w:t>
      </w:r>
      <w:r w:rsidR="00E31667" w:rsidRPr="00C053AE">
        <w:rPr>
          <w:bCs/>
          <w:color w:val="000000" w:themeColor="text1"/>
          <w:kern w:val="22"/>
          <w:sz w:val="22"/>
          <w:szCs w:val="22"/>
          <w:lang w:val="en-GB" w:eastAsia="en-GB"/>
        </w:rPr>
        <w:t>;</w:t>
      </w:r>
      <w:r w:rsidR="00944680" w:rsidRPr="00C053AE">
        <w:rPr>
          <w:bCs/>
          <w:color w:val="000000" w:themeColor="text1"/>
          <w:kern w:val="22"/>
          <w:sz w:val="22"/>
          <w:szCs w:val="22"/>
          <w:lang w:val="en-GB" w:eastAsia="en-GB"/>
        </w:rPr>
        <w:t xml:space="preserve"> and </w:t>
      </w:r>
      <w:r w:rsidR="004C2477" w:rsidRPr="00C053AE">
        <w:rPr>
          <w:bCs/>
          <w:color w:val="000000" w:themeColor="text1"/>
          <w:kern w:val="22"/>
          <w:sz w:val="22"/>
          <w:szCs w:val="22"/>
          <w:lang w:val="en-GB" w:eastAsia="en-GB"/>
        </w:rPr>
        <w:t xml:space="preserve">eliminating </w:t>
      </w:r>
      <w:r w:rsidR="00944680" w:rsidRPr="00C053AE">
        <w:rPr>
          <w:bCs/>
          <w:color w:val="000000" w:themeColor="text1"/>
          <w:kern w:val="22"/>
          <w:sz w:val="22"/>
          <w:szCs w:val="22"/>
          <w:lang w:val="en-GB" w:eastAsia="en-GB"/>
        </w:rPr>
        <w:t>incentives, including subsidies, harmful to biodiversity;</w:t>
      </w:r>
      <w:r w:rsidRPr="000A37BF">
        <w:rPr>
          <w:bCs/>
          <w:kern w:val="22"/>
          <w:sz w:val="22"/>
          <w:szCs w:val="22"/>
          <w:lang w:val="en-GB" w:eastAsia="en-GB"/>
        </w:rPr>
        <w:t xml:space="preserve"> consistent and in harmony with the Convention and other relevant international obligations, taking into account national socioeconomic conditions</w:t>
      </w:r>
      <w:r w:rsidR="0060355B" w:rsidRPr="000A37BF">
        <w:rPr>
          <w:bCs/>
          <w:kern w:val="22"/>
          <w:sz w:val="22"/>
          <w:szCs w:val="22"/>
          <w:lang w:val="en-GB" w:eastAsia="en-GB"/>
        </w:rPr>
        <w:t>;</w:t>
      </w:r>
    </w:p>
    <w:bookmarkEnd w:id="9"/>
    <w:p w14:paraId="1F57E100" w14:textId="06438367" w:rsidR="00754320" w:rsidRPr="000A37BF" w:rsidRDefault="00754320" w:rsidP="000A37BF">
      <w:pPr>
        <w:numPr>
          <w:ilvl w:val="0"/>
          <w:numId w:val="47"/>
        </w:numPr>
        <w:suppressLineNumbers/>
        <w:suppressAutoHyphens/>
        <w:adjustRightInd w:val="0"/>
        <w:snapToGrid w:val="0"/>
        <w:spacing w:after="120"/>
        <w:ind w:left="0" w:firstLine="720"/>
        <w:jc w:val="both"/>
        <w:rPr>
          <w:bCs/>
          <w:kern w:val="22"/>
          <w:sz w:val="22"/>
          <w:szCs w:val="22"/>
          <w:lang w:val="en-GB" w:eastAsia="en-GB"/>
        </w:rPr>
      </w:pPr>
      <w:r w:rsidRPr="000A37BF">
        <w:rPr>
          <w:bCs/>
          <w:kern w:val="22"/>
          <w:sz w:val="22"/>
          <w:szCs w:val="22"/>
          <w:lang w:val="en-GB" w:eastAsia="en-GB"/>
        </w:rPr>
        <w:t>By [20</w:t>
      </w:r>
      <w:r w:rsidRPr="000A37BF">
        <w:rPr>
          <w:bCs/>
          <w:sz w:val="22"/>
          <w:szCs w:val="22"/>
          <w:lang w:val="en-GB" w:eastAsia="en-GB"/>
        </w:rPr>
        <w:t xml:space="preserve">25], </w:t>
      </w:r>
      <w:r w:rsidRPr="000A37BF">
        <w:rPr>
          <w:bCs/>
          <w:kern w:val="22"/>
          <w:sz w:val="22"/>
          <w:szCs w:val="22"/>
          <w:lang w:val="en-GB" w:eastAsia="en-GB"/>
        </w:rPr>
        <w:t xml:space="preserve">businesses in all relevant economic sectors and at all levels, especially large and transnational companies, are transitioning towards sustainable practices, including along their supply chains, demonstrating </w:t>
      </w:r>
      <w:r w:rsidR="00DF3EF1" w:rsidRPr="00C053AE">
        <w:rPr>
          <w:bCs/>
          <w:kern w:val="22"/>
          <w:sz w:val="22"/>
          <w:szCs w:val="22"/>
          <w:lang w:val="en-GB" w:eastAsia="en-GB"/>
        </w:rPr>
        <w:t xml:space="preserve">and reporting on </w:t>
      </w:r>
      <w:r w:rsidR="00AE5CC5" w:rsidRPr="00C053AE">
        <w:rPr>
          <w:bCs/>
          <w:kern w:val="22"/>
          <w:sz w:val="22"/>
          <w:szCs w:val="22"/>
          <w:lang w:val="en-GB" w:eastAsia="en-GB"/>
        </w:rPr>
        <w:t xml:space="preserve">a substantial </w:t>
      </w:r>
      <w:r w:rsidRPr="000A37BF">
        <w:rPr>
          <w:bCs/>
          <w:kern w:val="22"/>
          <w:sz w:val="22"/>
          <w:szCs w:val="22"/>
          <w:lang w:val="en-GB" w:eastAsia="en-GB"/>
        </w:rPr>
        <w:t>decreas</w:t>
      </w:r>
      <w:r w:rsidR="00AE5CC5" w:rsidRPr="00C053AE">
        <w:rPr>
          <w:bCs/>
          <w:kern w:val="22"/>
          <w:sz w:val="22"/>
          <w:szCs w:val="22"/>
          <w:lang w:val="en-GB" w:eastAsia="en-GB"/>
        </w:rPr>
        <w:t xml:space="preserve">e in </w:t>
      </w:r>
      <w:r w:rsidRPr="000A37BF">
        <w:rPr>
          <w:bCs/>
          <w:kern w:val="22"/>
          <w:sz w:val="22"/>
          <w:szCs w:val="22"/>
          <w:lang w:val="en-GB" w:eastAsia="en-GB"/>
        </w:rPr>
        <w:t xml:space="preserve">negative </w:t>
      </w:r>
      <w:r w:rsidR="00AE5CC5" w:rsidRPr="00C053AE">
        <w:rPr>
          <w:bCs/>
          <w:kern w:val="22"/>
          <w:sz w:val="22"/>
          <w:szCs w:val="22"/>
          <w:lang w:val="en-GB" w:eastAsia="en-GB"/>
        </w:rPr>
        <w:t xml:space="preserve">impacts </w:t>
      </w:r>
      <w:r w:rsidRPr="000A37BF">
        <w:rPr>
          <w:bCs/>
          <w:kern w:val="22"/>
          <w:sz w:val="22"/>
          <w:szCs w:val="22"/>
          <w:lang w:val="en-GB" w:eastAsia="en-GB"/>
        </w:rPr>
        <w:t xml:space="preserve">and, </w:t>
      </w:r>
      <w:r w:rsidR="00AE5CC5" w:rsidRPr="00C053AE">
        <w:rPr>
          <w:bCs/>
          <w:kern w:val="22"/>
          <w:sz w:val="22"/>
          <w:szCs w:val="22"/>
          <w:lang w:val="en-GB" w:eastAsia="en-GB"/>
        </w:rPr>
        <w:t>where</w:t>
      </w:r>
      <w:r w:rsidRPr="000A37BF">
        <w:rPr>
          <w:bCs/>
          <w:kern w:val="22"/>
          <w:sz w:val="22"/>
          <w:szCs w:val="22"/>
          <w:lang w:val="en-GB" w:eastAsia="en-GB"/>
        </w:rPr>
        <w:t xml:space="preserve"> possible, increasing net positive impacts on ecosystems</w:t>
      </w:r>
      <w:r w:rsidR="0098593E" w:rsidRPr="000A37BF">
        <w:rPr>
          <w:bCs/>
          <w:kern w:val="22"/>
          <w:sz w:val="22"/>
          <w:szCs w:val="22"/>
          <w:lang w:val="en-GB" w:eastAsia="en-GB"/>
        </w:rPr>
        <w:t xml:space="preserve"> and</w:t>
      </w:r>
      <w:r w:rsidRPr="000A37BF">
        <w:rPr>
          <w:bCs/>
          <w:kern w:val="22"/>
          <w:sz w:val="22"/>
          <w:szCs w:val="22"/>
          <w:lang w:val="en-GB" w:eastAsia="en-GB"/>
        </w:rPr>
        <w:t xml:space="preserve"> biodiversity</w:t>
      </w:r>
      <w:r w:rsidR="00FC41B2" w:rsidRPr="000A37BF">
        <w:rPr>
          <w:bCs/>
          <w:kern w:val="22"/>
          <w:sz w:val="22"/>
          <w:szCs w:val="22"/>
          <w:lang w:val="en-GB" w:eastAsia="en-GB"/>
        </w:rPr>
        <w:t>;</w:t>
      </w:r>
    </w:p>
    <w:p w14:paraId="2E847D52" w14:textId="1F95F5B8" w:rsidR="00754320" w:rsidRPr="000A37BF" w:rsidRDefault="00754320" w:rsidP="000A37BF">
      <w:pPr>
        <w:numPr>
          <w:ilvl w:val="0"/>
          <w:numId w:val="47"/>
        </w:numPr>
        <w:suppressLineNumbers/>
        <w:suppressAutoHyphens/>
        <w:adjustRightInd w:val="0"/>
        <w:snapToGrid w:val="0"/>
        <w:spacing w:after="120"/>
        <w:ind w:left="0" w:firstLine="720"/>
        <w:jc w:val="both"/>
        <w:rPr>
          <w:bCs/>
          <w:kern w:val="22"/>
          <w:sz w:val="22"/>
          <w:szCs w:val="22"/>
          <w:lang w:val="en-GB" w:eastAsia="en-GB"/>
        </w:rPr>
      </w:pPr>
      <w:r w:rsidRPr="000A37BF">
        <w:rPr>
          <w:bCs/>
          <w:kern w:val="22"/>
          <w:sz w:val="22"/>
          <w:szCs w:val="22"/>
          <w:lang w:val="en-GB" w:eastAsia="en-GB"/>
        </w:rPr>
        <w:lastRenderedPageBreak/>
        <w:t>By [20</w:t>
      </w:r>
      <w:r w:rsidR="00DF3EF1" w:rsidRPr="00C053AE">
        <w:rPr>
          <w:bCs/>
          <w:kern w:val="22"/>
          <w:sz w:val="22"/>
          <w:szCs w:val="22"/>
          <w:lang w:val="en-GB" w:eastAsia="en-GB"/>
        </w:rPr>
        <w:t>25</w:t>
      </w:r>
      <w:r w:rsidRPr="000A37BF">
        <w:rPr>
          <w:bCs/>
          <w:kern w:val="22"/>
          <w:sz w:val="22"/>
          <w:szCs w:val="22"/>
          <w:lang w:val="en-GB" w:eastAsia="en-GB"/>
        </w:rPr>
        <w:t xml:space="preserve">], </w:t>
      </w:r>
      <w:r w:rsidRPr="000A37BF">
        <w:rPr>
          <w:bCs/>
          <w:sz w:val="22"/>
          <w:szCs w:val="22"/>
          <w:lang w:val="en-GB" w:eastAsia="en-GB"/>
        </w:rPr>
        <w:t>fi</w:t>
      </w:r>
      <w:r w:rsidRPr="000A37BF">
        <w:rPr>
          <w:bCs/>
          <w:kern w:val="22"/>
          <w:sz w:val="22"/>
          <w:szCs w:val="22"/>
          <w:lang w:val="en-GB" w:eastAsia="en-GB"/>
        </w:rPr>
        <w:t>nancial institutions at all levels</w:t>
      </w:r>
      <w:r w:rsidRPr="000A37BF">
        <w:rPr>
          <w:bCs/>
          <w:sz w:val="22"/>
          <w:szCs w:val="22"/>
          <w:lang w:val="en-GB" w:eastAsia="en-GB"/>
        </w:rPr>
        <w:t xml:space="preserve">, </w:t>
      </w:r>
      <w:r w:rsidRPr="000A37BF">
        <w:rPr>
          <w:bCs/>
          <w:kern w:val="22"/>
          <w:sz w:val="22"/>
          <w:szCs w:val="22"/>
          <w:lang w:val="en-GB" w:eastAsia="en-GB"/>
        </w:rPr>
        <w:t xml:space="preserve">including international development finance institutions, have </w:t>
      </w:r>
      <w:r w:rsidR="00AE5CC5" w:rsidRPr="00C053AE">
        <w:rPr>
          <w:bCs/>
          <w:kern w:val="22"/>
          <w:sz w:val="22"/>
          <w:szCs w:val="22"/>
          <w:lang w:val="en-GB" w:eastAsia="en-GB"/>
        </w:rPr>
        <w:t xml:space="preserve">integrated </w:t>
      </w:r>
      <w:r w:rsidRPr="000A37BF">
        <w:rPr>
          <w:bCs/>
          <w:kern w:val="22"/>
          <w:sz w:val="22"/>
          <w:szCs w:val="22"/>
          <w:lang w:val="en-GB" w:eastAsia="en-GB"/>
        </w:rPr>
        <w:t xml:space="preserve">biodiversity risk assessment </w:t>
      </w:r>
      <w:r w:rsidR="00AE5CC5" w:rsidRPr="00C053AE">
        <w:rPr>
          <w:bCs/>
          <w:kern w:val="22"/>
          <w:sz w:val="22"/>
          <w:szCs w:val="22"/>
          <w:lang w:val="en-GB" w:eastAsia="en-GB"/>
        </w:rPr>
        <w:t xml:space="preserve">into </w:t>
      </w:r>
      <w:r w:rsidRPr="000A37BF">
        <w:rPr>
          <w:bCs/>
          <w:kern w:val="22"/>
          <w:sz w:val="22"/>
          <w:szCs w:val="22"/>
          <w:lang w:val="en-GB" w:eastAsia="en-GB"/>
        </w:rPr>
        <w:t xml:space="preserve">policies and processes, </w:t>
      </w:r>
      <w:r w:rsidR="00823F5D" w:rsidRPr="00C053AE">
        <w:rPr>
          <w:bCs/>
          <w:kern w:val="22"/>
          <w:sz w:val="22"/>
          <w:szCs w:val="22"/>
          <w:lang w:val="en-GB" w:eastAsia="en-GB"/>
        </w:rPr>
        <w:t>are</w:t>
      </w:r>
      <w:r w:rsidR="00AE5CC5" w:rsidRPr="00C053AE">
        <w:rPr>
          <w:bCs/>
          <w:kern w:val="22"/>
          <w:sz w:val="22"/>
          <w:szCs w:val="22"/>
          <w:lang w:val="en-GB" w:eastAsia="en-GB"/>
        </w:rPr>
        <w:t xml:space="preserve"> </w:t>
      </w:r>
      <w:r w:rsidRPr="000A37BF">
        <w:rPr>
          <w:bCs/>
          <w:kern w:val="22"/>
          <w:sz w:val="22"/>
          <w:szCs w:val="22"/>
          <w:lang w:val="en-GB" w:eastAsia="en-GB"/>
        </w:rPr>
        <w:t>demonstrating at least decreasing negative impacts in their portfolios and increasing the amount of dedicated finance</w:t>
      </w:r>
      <w:r w:rsidR="00AE5CC5" w:rsidRPr="00C053AE">
        <w:rPr>
          <w:bCs/>
          <w:kern w:val="22"/>
          <w:sz w:val="22"/>
          <w:szCs w:val="22"/>
          <w:lang w:val="en-GB" w:eastAsia="en-GB"/>
        </w:rPr>
        <w:t xml:space="preserve"> for biodiversity</w:t>
      </w:r>
      <w:r w:rsidRPr="000A37BF">
        <w:rPr>
          <w:bCs/>
          <w:kern w:val="22"/>
          <w:sz w:val="22"/>
          <w:szCs w:val="22"/>
          <w:lang w:val="en-GB" w:eastAsia="en-GB"/>
        </w:rPr>
        <w:t xml:space="preserve">, and are reporting on </w:t>
      </w:r>
      <w:r w:rsidR="0059587F" w:rsidRPr="00C053AE">
        <w:rPr>
          <w:bCs/>
          <w:kern w:val="22"/>
          <w:sz w:val="22"/>
          <w:szCs w:val="22"/>
          <w:lang w:val="en-GB" w:eastAsia="en-GB"/>
        </w:rPr>
        <w:t>risks, impacts, and financing</w:t>
      </w:r>
      <w:r w:rsidRPr="000A37BF">
        <w:rPr>
          <w:bCs/>
          <w:kern w:val="22"/>
          <w:sz w:val="22"/>
          <w:szCs w:val="22"/>
          <w:lang w:val="en-GB" w:eastAsia="en-GB"/>
        </w:rPr>
        <w:t>.</w:t>
      </w:r>
    </w:p>
    <w:p w14:paraId="44AE71DB" w14:textId="29949C93" w:rsidR="00754320" w:rsidRPr="000A37BF" w:rsidRDefault="00754320" w:rsidP="000A37BF">
      <w:pPr>
        <w:pStyle w:val="Para1"/>
        <w:numPr>
          <w:ilvl w:val="0"/>
          <w:numId w:val="49"/>
        </w:numPr>
        <w:suppressLineNumbers/>
        <w:suppressAutoHyphens/>
        <w:adjustRightInd w:val="0"/>
        <w:snapToGrid w:val="0"/>
        <w:spacing w:before="120"/>
        <w:ind w:left="0" w:firstLine="0"/>
        <w:jc w:val="both"/>
        <w:rPr>
          <w:kern w:val="22"/>
          <w:sz w:val="22"/>
          <w:szCs w:val="22"/>
          <w:lang w:val="en-GB"/>
        </w:rPr>
      </w:pPr>
      <w:bookmarkStart w:id="10" w:name="_Hlk40290973"/>
      <w:r w:rsidRPr="000A37BF">
        <w:rPr>
          <w:kern w:val="22"/>
          <w:sz w:val="22"/>
          <w:szCs w:val="22"/>
          <w:lang w:val="en-GB"/>
        </w:rPr>
        <w:t xml:space="preserve">The generation of additional resources will also be a significant component of implementing the </w:t>
      </w:r>
      <w:r w:rsidR="00AC371C" w:rsidRPr="000A37BF">
        <w:rPr>
          <w:kern w:val="22"/>
          <w:sz w:val="22"/>
          <w:szCs w:val="22"/>
          <w:lang w:val="en-GB"/>
        </w:rPr>
        <w:t>p</w:t>
      </w:r>
      <w:r w:rsidRPr="000A37BF">
        <w:rPr>
          <w:kern w:val="22"/>
          <w:sz w:val="22"/>
          <w:szCs w:val="22"/>
          <w:lang w:val="en-GB"/>
        </w:rPr>
        <w:t xml:space="preserve">ost-2020 </w:t>
      </w:r>
      <w:r w:rsidR="00AC371C" w:rsidRPr="000A37BF">
        <w:rPr>
          <w:kern w:val="22"/>
          <w:sz w:val="22"/>
          <w:szCs w:val="22"/>
          <w:lang w:val="en-GB"/>
        </w:rPr>
        <w:t>global biodiversity framework</w:t>
      </w:r>
      <w:r w:rsidRPr="000A37BF">
        <w:rPr>
          <w:kern w:val="22"/>
          <w:sz w:val="22"/>
          <w:szCs w:val="22"/>
          <w:lang w:val="en-GB"/>
        </w:rPr>
        <w:t xml:space="preserve"> and will need suitably ambitious targets for increasing both international and domestic resources for biodiversity. While international development finance, both bilateral and multilateral, will continue to be important, increasing international flows of private finance needs to be strongly encouraged and incentivi</w:t>
      </w:r>
      <w:r w:rsidR="00A43077" w:rsidRPr="000A37BF">
        <w:rPr>
          <w:kern w:val="22"/>
          <w:sz w:val="22"/>
          <w:szCs w:val="22"/>
          <w:lang w:val="en-GB"/>
        </w:rPr>
        <w:t>z</w:t>
      </w:r>
      <w:r w:rsidRPr="000A37BF">
        <w:rPr>
          <w:kern w:val="22"/>
          <w:sz w:val="22"/>
          <w:szCs w:val="22"/>
          <w:lang w:val="en-GB"/>
        </w:rPr>
        <w:t xml:space="preserve">ed, bearing in mind that international and domestic funding can support and mutually reinforce each other. If the </w:t>
      </w:r>
      <w:r w:rsidR="000646E4" w:rsidRPr="000A37BF">
        <w:rPr>
          <w:kern w:val="22"/>
          <w:sz w:val="22"/>
          <w:szCs w:val="22"/>
          <w:lang w:val="en-GB"/>
        </w:rPr>
        <w:t xml:space="preserve">proposed </w:t>
      </w:r>
      <w:r w:rsidR="004C3DD0" w:rsidRPr="000A37BF">
        <w:rPr>
          <w:kern w:val="22"/>
          <w:sz w:val="22"/>
          <w:szCs w:val="22"/>
          <w:lang w:val="en-GB"/>
        </w:rPr>
        <w:t>work</w:t>
      </w:r>
      <w:r w:rsidRPr="000A37BF">
        <w:rPr>
          <w:kern w:val="22"/>
          <w:sz w:val="22"/>
          <w:szCs w:val="22"/>
          <w:lang w:val="en-GB"/>
        </w:rPr>
        <w:t xml:space="preserve"> </w:t>
      </w:r>
      <w:r w:rsidR="00571A0B" w:rsidRPr="000A37BF">
        <w:rPr>
          <w:kern w:val="22"/>
          <w:sz w:val="22"/>
          <w:szCs w:val="22"/>
          <w:lang w:val="en-GB"/>
        </w:rPr>
        <w:t xml:space="preserve">on reporting </w:t>
      </w:r>
      <w:r w:rsidRPr="000A37BF">
        <w:rPr>
          <w:kern w:val="22"/>
          <w:sz w:val="22"/>
          <w:szCs w:val="22"/>
          <w:lang w:val="en-GB"/>
        </w:rPr>
        <w:t>suggested below</w:t>
      </w:r>
      <w:r w:rsidR="002B0F69" w:rsidRPr="000A37BF">
        <w:rPr>
          <w:kern w:val="22"/>
          <w:sz w:val="22"/>
          <w:szCs w:val="22"/>
          <w:lang w:val="en-GB"/>
        </w:rPr>
        <w:t xml:space="preserve"> (see paras</w:t>
      </w:r>
      <w:r w:rsidR="00277B65" w:rsidRPr="00C053AE">
        <w:rPr>
          <w:kern w:val="22"/>
          <w:sz w:val="22"/>
          <w:szCs w:val="22"/>
          <w:lang w:val="en-GB"/>
        </w:rPr>
        <w:t> </w:t>
      </w:r>
      <w:r w:rsidR="002B0F69" w:rsidRPr="000A37BF">
        <w:rPr>
          <w:kern w:val="22"/>
          <w:sz w:val="22"/>
          <w:szCs w:val="22"/>
          <w:lang w:val="en-GB"/>
        </w:rPr>
        <w:fldChar w:fldCharType="begin"/>
      </w:r>
      <w:r w:rsidR="002B0F69" w:rsidRPr="000A37BF">
        <w:rPr>
          <w:kern w:val="22"/>
          <w:sz w:val="22"/>
          <w:szCs w:val="22"/>
          <w:lang w:val="en-GB"/>
        </w:rPr>
        <w:instrText xml:space="preserve"> REF _Ref40342222 \r \h </w:instrText>
      </w:r>
      <w:r w:rsidR="000646E4" w:rsidRPr="000A37BF">
        <w:rPr>
          <w:kern w:val="22"/>
          <w:sz w:val="22"/>
          <w:szCs w:val="22"/>
          <w:lang w:val="en-GB"/>
        </w:rPr>
        <w:instrText xml:space="preserve"> \* MERGEFORMAT </w:instrText>
      </w:r>
      <w:r w:rsidR="002B0F69" w:rsidRPr="000A37BF">
        <w:rPr>
          <w:kern w:val="22"/>
          <w:sz w:val="22"/>
          <w:szCs w:val="22"/>
          <w:lang w:val="en-GB"/>
        </w:rPr>
      </w:r>
      <w:r w:rsidR="002B0F69" w:rsidRPr="000A37BF">
        <w:rPr>
          <w:kern w:val="22"/>
          <w:sz w:val="22"/>
          <w:szCs w:val="22"/>
          <w:lang w:val="en-GB"/>
        </w:rPr>
        <w:fldChar w:fldCharType="separate"/>
      </w:r>
      <w:r w:rsidR="00840463" w:rsidRPr="00C053AE">
        <w:rPr>
          <w:kern w:val="22"/>
          <w:sz w:val="22"/>
          <w:szCs w:val="22"/>
          <w:lang w:val="en-GB"/>
        </w:rPr>
        <w:t>44</w:t>
      </w:r>
      <w:r w:rsidR="002B0F69" w:rsidRPr="000A37BF">
        <w:rPr>
          <w:kern w:val="22"/>
          <w:sz w:val="22"/>
          <w:szCs w:val="22"/>
          <w:lang w:val="en-GB"/>
        </w:rPr>
        <w:fldChar w:fldCharType="end"/>
      </w:r>
      <w:r w:rsidR="002B0F69" w:rsidRPr="000A37BF">
        <w:rPr>
          <w:kern w:val="22"/>
          <w:sz w:val="22"/>
          <w:szCs w:val="22"/>
          <w:lang w:val="en-GB"/>
        </w:rPr>
        <w:t>-</w:t>
      </w:r>
      <w:r w:rsidR="002B0F69" w:rsidRPr="000A37BF">
        <w:rPr>
          <w:kern w:val="22"/>
          <w:sz w:val="22"/>
          <w:szCs w:val="22"/>
          <w:lang w:val="en-GB"/>
        </w:rPr>
        <w:fldChar w:fldCharType="begin"/>
      </w:r>
      <w:r w:rsidR="002B0F69" w:rsidRPr="000A37BF">
        <w:rPr>
          <w:kern w:val="22"/>
          <w:sz w:val="22"/>
          <w:szCs w:val="22"/>
          <w:lang w:val="en-GB"/>
        </w:rPr>
        <w:instrText xml:space="preserve"> REF _Ref40285269 \r \h </w:instrText>
      </w:r>
      <w:r w:rsidR="000646E4" w:rsidRPr="000A37BF">
        <w:rPr>
          <w:kern w:val="22"/>
          <w:sz w:val="22"/>
          <w:szCs w:val="22"/>
          <w:lang w:val="en-GB"/>
        </w:rPr>
        <w:instrText xml:space="preserve"> \* MERGEFORMAT </w:instrText>
      </w:r>
      <w:r w:rsidR="002B0F69" w:rsidRPr="000A37BF">
        <w:rPr>
          <w:kern w:val="22"/>
          <w:sz w:val="22"/>
          <w:szCs w:val="22"/>
          <w:lang w:val="en-GB"/>
        </w:rPr>
      </w:r>
      <w:r w:rsidR="002B0F69" w:rsidRPr="000A37BF">
        <w:rPr>
          <w:kern w:val="22"/>
          <w:sz w:val="22"/>
          <w:szCs w:val="22"/>
          <w:lang w:val="en-GB"/>
        </w:rPr>
        <w:fldChar w:fldCharType="separate"/>
      </w:r>
      <w:r w:rsidR="00840463" w:rsidRPr="00C053AE">
        <w:rPr>
          <w:kern w:val="22"/>
          <w:sz w:val="22"/>
          <w:szCs w:val="22"/>
          <w:lang w:val="en-GB"/>
        </w:rPr>
        <w:t>45</w:t>
      </w:r>
      <w:r w:rsidR="002B0F69" w:rsidRPr="000A37BF">
        <w:rPr>
          <w:kern w:val="22"/>
          <w:sz w:val="22"/>
          <w:szCs w:val="22"/>
          <w:lang w:val="en-GB"/>
        </w:rPr>
        <w:fldChar w:fldCharType="end"/>
      </w:r>
      <w:r w:rsidR="002B0F69" w:rsidRPr="000A37BF">
        <w:rPr>
          <w:kern w:val="22"/>
          <w:sz w:val="22"/>
          <w:szCs w:val="22"/>
          <w:lang w:val="en-GB"/>
        </w:rPr>
        <w:t>)</w:t>
      </w:r>
      <w:r w:rsidRPr="000A37BF">
        <w:rPr>
          <w:kern w:val="22"/>
          <w:sz w:val="22"/>
          <w:szCs w:val="22"/>
          <w:lang w:val="en-GB"/>
        </w:rPr>
        <w:t xml:space="preserve"> is implemented, these will also become easier to track and account for at both global and national level</w:t>
      </w:r>
      <w:r w:rsidR="006E7B17" w:rsidRPr="000A37BF">
        <w:rPr>
          <w:kern w:val="22"/>
          <w:sz w:val="22"/>
          <w:szCs w:val="22"/>
          <w:lang w:val="en-GB"/>
        </w:rPr>
        <w:t>s</w:t>
      </w:r>
      <w:r w:rsidRPr="000A37BF">
        <w:rPr>
          <w:kern w:val="22"/>
          <w:sz w:val="22"/>
          <w:szCs w:val="22"/>
          <w:lang w:val="en-GB"/>
        </w:rPr>
        <w:t>, thereby facilitating measurement of progress against an international target. The latter might be expressed in language such as the following:</w:t>
      </w:r>
    </w:p>
    <w:p w14:paraId="05DA3880" w14:textId="5B079730" w:rsidR="003B04C0" w:rsidRPr="000A37BF" w:rsidRDefault="00754320" w:rsidP="000A37BF">
      <w:pPr>
        <w:ind w:left="720" w:firstLine="720"/>
        <w:jc w:val="both"/>
        <w:rPr>
          <w:sz w:val="22"/>
          <w:szCs w:val="22"/>
          <w:lang w:val="en-GB" w:eastAsia="en-GB"/>
        </w:rPr>
      </w:pPr>
      <w:bookmarkStart w:id="11" w:name="_Hlk44072762"/>
      <w:r w:rsidRPr="000A37BF">
        <w:rPr>
          <w:sz w:val="22"/>
          <w:szCs w:val="22"/>
          <w:lang w:val="en-GB" w:eastAsia="en-GB"/>
        </w:rPr>
        <w:t xml:space="preserve">By 2030, biodiversity-related international financial flows to developing countries, in particular least developed countries and small island developing </w:t>
      </w:r>
      <w:r w:rsidR="005E52D8" w:rsidRPr="000A37BF">
        <w:rPr>
          <w:sz w:val="22"/>
          <w:szCs w:val="22"/>
          <w:lang w:val="en-GB" w:eastAsia="en-GB"/>
        </w:rPr>
        <w:t>S</w:t>
      </w:r>
      <w:r w:rsidRPr="000A37BF">
        <w:rPr>
          <w:sz w:val="22"/>
          <w:szCs w:val="22"/>
          <w:lang w:val="en-GB" w:eastAsia="en-GB"/>
        </w:rPr>
        <w:t xml:space="preserve">tates, as well as countries with economies in transition, </w:t>
      </w:r>
      <w:r w:rsidR="00306EA9" w:rsidRPr="000A37BF">
        <w:rPr>
          <w:sz w:val="22"/>
          <w:szCs w:val="22"/>
          <w:lang w:val="en-GB" w:eastAsia="en-GB"/>
        </w:rPr>
        <w:t xml:space="preserve">meet or exceed </w:t>
      </w:r>
      <w:r w:rsidRPr="000A37BF">
        <w:rPr>
          <w:sz w:val="22"/>
          <w:szCs w:val="22"/>
          <w:lang w:val="en-GB" w:eastAsia="en-GB"/>
        </w:rPr>
        <w:t>[benchmark and progress indicator to be agreed on</w:t>
      </w:r>
      <w:r w:rsidR="00306EA9" w:rsidRPr="000A37BF">
        <w:rPr>
          <w:rStyle w:val="FootnoteReference"/>
          <w:kern w:val="22"/>
          <w:sz w:val="22"/>
          <w:szCs w:val="22"/>
          <w:u w:val="none"/>
          <w:vertAlign w:val="superscript"/>
          <w:lang w:val="en-GB" w:eastAsia="en-GB"/>
        </w:rPr>
        <w:footnoteReference w:id="53"/>
      </w:r>
      <w:r w:rsidRPr="000A37BF">
        <w:rPr>
          <w:sz w:val="22"/>
          <w:szCs w:val="22"/>
          <w:lang w:val="en-GB" w:eastAsia="en-GB"/>
        </w:rPr>
        <w:t xml:space="preserve">], consistent with the ambition of the </w:t>
      </w:r>
      <w:r w:rsidR="001F6920" w:rsidRPr="000A37BF">
        <w:rPr>
          <w:sz w:val="22"/>
          <w:szCs w:val="22"/>
          <w:lang w:val="en-GB" w:eastAsia="en-GB"/>
        </w:rPr>
        <w:t>g</w:t>
      </w:r>
      <w:r w:rsidRPr="000A37BF">
        <w:rPr>
          <w:sz w:val="22"/>
          <w:szCs w:val="22"/>
          <w:lang w:val="en-GB" w:eastAsia="en-GB"/>
        </w:rPr>
        <w:t xml:space="preserve">oals of </w:t>
      </w:r>
      <w:r w:rsidR="00537FF7" w:rsidRPr="00C053AE">
        <w:rPr>
          <w:kern w:val="22"/>
          <w:sz w:val="22"/>
          <w:szCs w:val="22"/>
          <w:lang w:val="en-GB" w:eastAsia="en-GB"/>
        </w:rPr>
        <w:t>this</w:t>
      </w:r>
      <w:r w:rsidR="00DD3036" w:rsidRPr="000A37BF">
        <w:rPr>
          <w:sz w:val="22"/>
          <w:szCs w:val="22"/>
          <w:lang w:val="en-GB" w:eastAsia="en-GB"/>
        </w:rPr>
        <w:t xml:space="preserve"> </w:t>
      </w:r>
      <w:r w:rsidR="001F6920" w:rsidRPr="000A37BF">
        <w:rPr>
          <w:sz w:val="22"/>
          <w:szCs w:val="22"/>
          <w:lang w:val="en-GB" w:eastAsia="en-GB"/>
        </w:rPr>
        <w:t>f</w:t>
      </w:r>
      <w:r w:rsidRPr="000A37BF">
        <w:rPr>
          <w:kern w:val="22"/>
          <w:sz w:val="22"/>
          <w:szCs w:val="22"/>
          <w:lang w:val="en-GB" w:eastAsia="en-GB"/>
        </w:rPr>
        <w:t>ramework and in accordance with Article 20 of the Convention.</w:t>
      </w:r>
    </w:p>
    <w:bookmarkEnd w:id="10"/>
    <w:bookmarkEnd w:id="11"/>
    <w:p w14:paraId="157A3FE1" w14:textId="40E0B8CA" w:rsidR="00754320" w:rsidRPr="000A37BF" w:rsidRDefault="00754320" w:rsidP="000A37BF">
      <w:pPr>
        <w:pStyle w:val="Para1"/>
        <w:numPr>
          <w:ilvl w:val="0"/>
          <w:numId w:val="49"/>
        </w:numPr>
        <w:suppressLineNumbers/>
        <w:suppressAutoHyphens/>
        <w:adjustRightInd w:val="0"/>
        <w:snapToGrid w:val="0"/>
        <w:spacing w:before="120"/>
        <w:ind w:left="0" w:firstLine="0"/>
        <w:jc w:val="both"/>
        <w:rPr>
          <w:kern w:val="22"/>
          <w:sz w:val="22"/>
          <w:szCs w:val="22"/>
          <w:lang w:val="en-GB"/>
        </w:rPr>
      </w:pPr>
      <w:r w:rsidRPr="000A37BF">
        <w:rPr>
          <w:kern w:val="22"/>
          <w:sz w:val="22"/>
          <w:szCs w:val="22"/>
          <w:lang w:val="en-GB"/>
        </w:rPr>
        <w:t xml:space="preserve">As noted above, domestic expenditure accounts for the lion’s share of total global biodiversity expenditure, amounting to between </w:t>
      </w:r>
      <w:r w:rsidR="00FB41D2" w:rsidRPr="00C053AE">
        <w:rPr>
          <w:kern w:val="22"/>
          <w:sz w:val="22"/>
          <w:szCs w:val="22"/>
          <w:lang w:val="en-GB"/>
        </w:rPr>
        <w:t>75</w:t>
      </w:r>
      <w:r w:rsidR="00FB41D2" w:rsidRPr="000A37BF">
        <w:rPr>
          <w:kern w:val="22"/>
          <w:sz w:val="22"/>
          <w:szCs w:val="22"/>
          <w:lang w:val="en-GB"/>
        </w:rPr>
        <w:t xml:space="preserve"> </w:t>
      </w:r>
      <w:r w:rsidRPr="000A37BF">
        <w:rPr>
          <w:kern w:val="22"/>
          <w:sz w:val="22"/>
          <w:szCs w:val="22"/>
          <w:lang w:val="en-GB"/>
        </w:rPr>
        <w:t>and 87</w:t>
      </w:r>
      <w:r w:rsidR="00F31888" w:rsidRPr="000A37BF">
        <w:rPr>
          <w:kern w:val="22"/>
          <w:sz w:val="22"/>
          <w:szCs w:val="22"/>
          <w:lang w:val="en-GB"/>
        </w:rPr>
        <w:t> per cent</w:t>
      </w:r>
      <w:r w:rsidRPr="000A37BF">
        <w:rPr>
          <w:kern w:val="22"/>
          <w:sz w:val="22"/>
          <w:szCs w:val="22"/>
          <w:lang w:val="en-GB"/>
        </w:rPr>
        <w:t xml:space="preserve"> of the total according to the OECD</w:t>
      </w:r>
      <w:r w:rsidR="0023408C" w:rsidRPr="000A37BF">
        <w:rPr>
          <w:kern w:val="22"/>
          <w:sz w:val="22"/>
          <w:szCs w:val="22"/>
          <w:lang w:val="en-GB"/>
        </w:rPr>
        <w:t>.</w:t>
      </w:r>
      <w:r w:rsidRPr="000A37BF">
        <w:rPr>
          <w:rStyle w:val="FootnoteReference"/>
          <w:kern w:val="22"/>
          <w:sz w:val="22"/>
          <w:szCs w:val="22"/>
          <w:u w:val="none"/>
          <w:vertAlign w:val="superscript"/>
          <w:lang w:val="en-GB"/>
        </w:rPr>
        <w:footnoteReference w:id="54"/>
      </w:r>
      <w:r w:rsidRPr="000A37BF">
        <w:rPr>
          <w:kern w:val="22"/>
          <w:sz w:val="22"/>
          <w:szCs w:val="22"/>
          <w:lang w:val="en-GB"/>
        </w:rPr>
        <w:t xml:space="preserve"> A target for domestic resource mobili</w:t>
      </w:r>
      <w:r w:rsidR="00EE709A" w:rsidRPr="000A37BF">
        <w:rPr>
          <w:kern w:val="22"/>
          <w:sz w:val="22"/>
          <w:szCs w:val="22"/>
          <w:lang w:val="en-GB"/>
        </w:rPr>
        <w:t>z</w:t>
      </w:r>
      <w:r w:rsidRPr="000A37BF">
        <w:rPr>
          <w:kern w:val="22"/>
          <w:sz w:val="22"/>
          <w:szCs w:val="22"/>
          <w:lang w:val="en-GB"/>
        </w:rPr>
        <w:t xml:space="preserve">ation should therefore form another important element of the suite of targets being proposed. It needs to </w:t>
      </w:r>
      <w:r w:rsidR="00FB41D2" w:rsidRPr="00C053AE">
        <w:rPr>
          <w:kern w:val="22"/>
          <w:sz w:val="22"/>
          <w:szCs w:val="22"/>
          <w:lang w:val="en-GB"/>
        </w:rPr>
        <w:t>reflect</w:t>
      </w:r>
      <w:r w:rsidR="003A7F3E" w:rsidRPr="00C053AE">
        <w:rPr>
          <w:kern w:val="22"/>
          <w:sz w:val="22"/>
          <w:szCs w:val="22"/>
          <w:lang w:val="en-GB"/>
        </w:rPr>
        <w:t xml:space="preserve"> </w:t>
      </w:r>
      <w:r w:rsidR="00055863" w:rsidRPr="00C053AE">
        <w:rPr>
          <w:kern w:val="22"/>
          <w:sz w:val="22"/>
          <w:szCs w:val="22"/>
          <w:lang w:val="en-GB"/>
        </w:rPr>
        <w:t>all other</w:t>
      </w:r>
      <w:r w:rsidR="003A7F3E" w:rsidRPr="00C053AE">
        <w:rPr>
          <w:kern w:val="22"/>
          <w:sz w:val="22"/>
          <w:szCs w:val="22"/>
          <w:lang w:val="en-GB"/>
        </w:rPr>
        <w:t xml:space="preserve"> targets agreed upon in the post-2020 global biodiversity framework,</w:t>
      </w:r>
      <w:r w:rsidRPr="000A37BF">
        <w:rPr>
          <w:kern w:val="22"/>
          <w:sz w:val="22"/>
          <w:szCs w:val="22"/>
          <w:lang w:val="en-GB"/>
        </w:rPr>
        <w:t xml:space="preserve"> </w:t>
      </w:r>
      <w:r w:rsidR="00055863" w:rsidRPr="00C053AE">
        <w:rPr>
          <w:kern w:val="22"/>
          <w:sz w:val="22"/>
          <w:szCs w:val="22"/>
          <w:lang w:val="en-GB"/>
        </w:rPr>
        <w:t xml:space="preserve">and </w:t>
      </w:r>
      <w:r w:rsidRPr="000A37BF">
        <w:rPr>
          <w:kern w:val="22"/>
          <w:sz w:val="22"/>
          <w:szCs w:val="22"/>
          <w:lang w:val="en-GB"/>
        </w:rPr>
        <w:t>Parties’</w:t>
      </w:r>
      <w:r w:rsidR="00055863" w:rsidRPr="00C053AE">
        <w:rPr>
          <w:kern w:val="22"/>
          <w:sz w:val="22"/>
          <w:szCs w:val="22"/>
          <w:lang w:val="en-GB"/>
        </w:rPr>
        <w:t xml:space="preserve"> </w:t>
      </w:r>
      <w:r w:rsidR="00FB41D2" w:rsidRPr="00C053AE">
        <w:rPr>
          <w:kern w:val="22"/>
          <w:sz w:val="22"/>
          <w:szCs w:val="22"/>
          <w:lang w:val="en-GB"/>
        </w:rPr>
        <w:t>assessment</w:t>
      </w:r>
      <w:r w:rsidR="00055863" w:rsidRPr="00C053AE">
        <w:rPr>
          <w:kern w:val="22"/>
          <w:sz w:val="22"/>
          <w:szCs w:val="22"/>
          <w:lang w:val="en-GB"/>
        </w:rPr>
        <w:t xml:space="preserve"> of the cost of achieving these within their own countries, based on national needs and circumstances. E</w:t>
      </w:r>
      <w:r w:rsidRPr="000A37BF">
        <w:rPr>
          <w:kern w:val="22"/>
          <w:sz w:val="22"/>
          <w:szCs w:val="22"/>
          <w:lang w:val="en-GB"/>
        </w:rPr>
        <w:t xml:space="preserve">ach Party would have an obligation to set a nationally determined target and to report on it to the </w:t>
      </w:r>
      <w:r w:rsidR="00F73171" w:rsidRPr="000A37BF">
        <w:rPr>
          <w:kern w:val="22"/>
          <w:sz w:val="22"/>
          <w:szCs w:val="22"/>
          <w:lang w:val="en-GB"/>
        </w:rPr>
        <w:t>Convention</w:t>
      </w:r>
      <w:r w:rsidRPr="000A37BF">
        <w:rPr>
          <w:kern w:val="22"/>
          <w:sz w:val="22"/>
          <w:szCs w:val="22"/>
          <w:lang w:val="en-GB"/>
        </w:rPr>
        <w:t xml:space="preserve">. </w:t>
      </w:r>
      <w:r w:rsidR="00954B7E" w:rsidRPr="00C053AE">
        <w:rPr>
          <w:kern w:val="22"/>
          <w:sz w:val="22"/>
          <w:szCs w:val="22"/>
          <w:lang w:val="en-GB"/>
        </w:rPr>
        <w:t>A</w:t>
      </w:r>
      <w:r w:rsidR="00FB41D2" w:rsidRPr="00C053AE">
        <w:rPr>
          <w:kern w:val="22"/>
          <w:sz w:val="22"/>
          <w:szCs w:val="22"/>
          <w:lang w:val="en-GB"/>
        </w:rPr>
        <w:t xml:space="preserve"> commitment to ensuring the establishment </w:t>
      </w:r>
      <w:r w:rsidR="00954B7E" w:rsidRPr="00C053AE">
        <w:rPr>
          <w:kern w:val="22"/>
          <w:sz w:val="22"/>
          <w:szCs w:val="22"/>
          <w:lang w:val="en-GB"/>
        </w:rPr>
        <w:t>of domestic</w:t>
      </w:r>
      <w:r w:rsidRPr="000A37BF">
        <w:rPr>
          <w:kern w:val="22"/>
          <w:sz w:val="22"/>
          <w:szCs w:val="22"/>
          <w:lang w:val="en-GB"/>
        </w:rPr>
        <w:t xml:space="preserve"> target</w:t>
      </w:r>
      <w:r w:rsidR="00954B7E" w:rsidRPr="00C053AE">
        <w:rPr>
          <w:kern w:val="22"/>
          <w:sz w:val="22"/>
          <w:szCs w:val="22"/>
          <w:lang w:val="en-GB"/>
        </w:rPr>
        <w:t>s</w:t>
      </w:r>
      <w:r w:rsidRPr="000A37BF">
        <w:rPr>
          <w:kern w:val="22"/>
          <w:sz w:val="22"/>
          <w:szCs w:val="22"/>
          <w:lang w:val="en-GB"/>
        </w:rPr>
        <w:t xml:space="preserve"> might read as follows:</w:t>
      </w:r>
    </w:p>
    <w:p w14:paraId="0162F6D7" w14:textId="0AC6A999" w:rsidR="00754320" w:rsidRPr="000A37BF" w:rsidRDefault="00754320" w:rsidP="000A37BF">
      <w:pPr>
        <w:spacing w:before="120" w:after="120"/>
        <w:ind w:left="720" w:firstLine="720"/>
        <w:jc w:val="both"/>
        <w:rPr>
          <w:bCs/>
          <w:sz w:val="22"/>
          <w:szCs w:val="22"/>
          <w:lang w:val="en-GB" w:eastAsia="en-GB"/>
        </w:rPr>
      </w:pPr>
      <w:r w:rsidRPr="000A37BF">
        <w:rPr>
          <w:bCs/>
          <w:sz w:val="22"/>
          <w:szCs w:val="22"/>
          <w:lang w:val="en-GB" w:eastAsia="en-GB"/>
        </w:rPr>
        <w:t>By [202</w:t>
      </w:r>
      <w:r w:rsidR="004C2477" w:rsidRPr="000A37BF">
        <w:rPr>
          <w:bCs/>
          <w:sz w:val="22"/>
          <w:szCs w:val="22"/>
          <w:lang w:val="en-GB" w:eastAsia="en-GB"/>
        </w:rPr>
        <w:t>2</w:t>
      </w:r>
      <w:r w:rsidRPr="000A37BF">
        <w:rPr>
          <w:bCs/>
          <w:sz w:val="22"/>
          <w:szCs w:val="22"/>
          <w:lang w:val="en-GB" w:eastAsia="en-GB"/>
        </w:rPr>
        <w:t xml:space="preserve">] </w:t>
      </w:r>
      <w:r w:rsidR="009E16AA" w:rsidRPr="00C053AE">
        <w:rPr>
          <w:sz w:val="22"/>
          <w:szCs w:val="22"/>
          <w:lang w:val="en-GB" w:eastAsia="en-GB"/>
        </w:rPr>
        <w:t xml:space="preserve">all </w:t>
      </w:r>
      <w:r w:rsidR="00026D3F" w:rsidRPr="000A37BF">
        <w:rPr>
          <w:bCs/>
          <w:sz w:val="22"/>
          <w:szCs w:val="22"/>
          <w:lang w:val="en-GB" w:eastAsia="en-GB"/>
        </w:rPr>
        <w:t>countries</w:t>
      </w:r>
      <w:r w:rsidRPr="000A37BF">
        <w:rPr>
          <w:bCs/>
          <w:sz w:val="22"/>
          <w:szCs w:val="22"/>
          <w:lang w:val="en-GB" w:eastAsia="en-GB"/>
        </w:rPr>
        <w:t xml:space="preserve"> have set a nationally determined target for domestic resource</w:t>
      </w:r>
      <w:r w:rsidR="003121B2" w:rsidRPr="00C053AE">
        <w:rPr>
          <w:sz w:val="22"/>
          <w:szCs w:val="22"/>
          <w:lang w:val="en-GB" w:eastAsia="en-GB"/>
        </w:rPr>
        <w:t xml:space="preserve"> </w:t>
      </w:r>
      <w:r w:rsidRPr="000A37BF">
        <w:rPr>
          <w:bCs/>
          <w:sz w:val="22"/>
          <w:szCs w:val="22"/>
          <w:lang w:val="en-GB" w:eastAsia="en-GB"/>
        </w:rPr>
        <w:t>mobili</w:t>
      </w:r>
      <w:r w:rsidR="00A43077" w:rsidRPr="000A37BF">
        <w:rPr>
          <w:bCs/>
          <w:sz w:val="22"/>
          <w:szCs w:val="22"/>
          <w:lang w:val="en-GB" w:eastAsia="en-GB"/>
        </w:rPr>
        <w:t>z</w:t>
      </w:r>
      <w:r w:rsidR="003121B2" w:rsidRPr="00C053AE">
        <w:rPr>
          <w:sz w:val="22"/>
          <w:szCs w:val="22"/>
          <w:lang w:val="en-GB" w:eastAsia="en-GB"/>
        </w:rPr>
        <w:t>ation</w:t>
      </w:r>
      <w:r w:rsidRPr="000A37BF">
        <w:rPr>
          <w:bCs/>
          <w:sz w:val="22"/>
          <w:szCs w:val="22"/>
          <w:lang w:val="en-GB" w:eastAsia="en-GB"/>
        </w:rPr>
        <w:t xml:space="preserve">, </w:t>
      </w:r>
      <w:r w:rsidR="009E16AA" w:rsidRPr="00C053AE">
        <w:rPr>
          <w:sz w:val="22"/>
          <w:szCs w:val="22"/>
          <w:lang w:val="en-GB" w:eastAsia="en-GB"/>
        </w:rPr>
        <w:t>at</w:t>
      </w:r>
      <w:r w:rsidR="009E16AA" w:rsidRPr="000A37BF">
        <w:rPr>
          <w:bCs/>
          <w:sz w:val="22"/>
          <w:szCs w:val="22"/>
          <w:lang w:val="en-GB" w:eastAsia="en-GB"/>
        </w:rPr>
        <w:t xml:space="preserve"> </w:t>
      </w:r>
      <w:r w:rsidR="003121B2" w:rsidRPr="00C053AE">
        <w:rPr>
          <w:sz w:val="22"/>
          <w:szCs w:val="22"/>
          <w:lang w:val="en-GB" w:eastAsia="en-GB"/>
        </w:rPr>
        <w:t xml:space="preserve">a </w:t>
      </w:r>
      <w:r w:rsidR="009E16AA" w:rsidRPr="00C053AE">
        <w:rPr>
          <w:sz w:val="22"/>
          <w:szCs w:val="22"/>
          <w:lang w:val="en-GB" w:eastAsia="en-GB"/>
        </w:rPr>
        <w:t>level</w:t>
      </w:r>
      <w:r w:rsidR="003121B2" w:rsidRPr="00C053AE">
        <w:rPr>
          <w:sz w:val="22"/>
          <w:szCs w:val="22"/>
          <w:lang w:val="en-GB" w:eastAsia="en-GB"/>
        </w:rPr>
        <w:t xml:space="preserve"> commensurate with the ambition of this </w:t>
      </w:r>
      <w:r w:rsidR="00226610" w:rsidRPr="00C053AE">
        <w:rPr>
          <w:sz w:val="22"/>
          <w:szCs w:val="22"/>
          <w:lang w:val="en-GB" w:eastAsia="en-GB"/>
        </w:rPr>
        <w:t>f</w:t>
      </w:r>
      <w:r w:rsidR="003121B2" w:rsidRPr="00C053AE">
        <w:rPr>
          <w:sz w:val="22"/>
          <w:szCs w:val="22"/>
          <w:lang w:val="en-GB" w:eastAsia="en-GB"/>
        </w:rPr>
        <w:t xml:space="preserve">ramework and in </w:t>
      </w:r>
      <w:r w:rsidRPr="000A37BF">
        <w:rPr>
          <w:bCs/>
          <w:sz w:val="22"/>
          <w:szCs w:val="22"/>
          <w:lang w:val="en-GB" w:eastAsia="en-GB"/>
        </w:rPr>
        <w:t xml:space="preserve">accordance with national </w:t>
      </w:r>
      <w:r w:rsidR="003121B2" w:rsidRPr="00C053AE">
        <w:rPr>
          <w:sz w:val="22"/>
          <w:szCs w:val="22"/>
          <w:lang w:val="en-GB" w:eastAsia="en-GB"/>
        </w:rPr>
        <w:t xml:space="preserve">needs </w:t>
      </w:r>
      <w:r w:rsidR="009E16AA" w:rsidRPr="00C053AE">
        <w:rPr>
          <w:sz w:val="22"/>
          <w:szCs w:val="22"/>
          <w:lang w:val="en-GB" w:eastAsia="en-GB"/>
        </w:rPr>
        <w:t xml:space="preserve">and </w:t>
      </w:r>
      <w:r w:rsidRPr="000A37BF">
        <w:rPr>
          <w:bCs/>
          <w:sz w:val="22"/>
          <w:szCs w:val="22"/>
          <w:lang w:val="en-GB" w:eastAsia="en-GB"/>
        </w:rPr>
        <w:t>circumstances</w:t>
      </w:r>
      <w:r w:rsidR="00EE1AB1" w:rsidRPr="000A37BF">
        <w:rPr>
          <w:bCs/>
          <w:sz w:val="22"/>
          <w:szCs w:val="22"/>
          <w:lang w:val="en-GB" w:eastAsia="en-GB"/>
        </w:rPr>
        <w:t>,</w:t>
      </w:r>
      <w:r w:rsidRPr="000A37BF">
        <w:rPr>
          <w:bCs/>
          <w:sz w:val="22"/>
          <w:szCs w:val="22"/>
          <w:lang w:val="en-GB" w:eastAsia="en-GB"/>
        </w:rPr>
        <w:t xml:space="preserve"> and</w:t>
      </w:r>
      <w:r w:rsidR="00DE7568" w:rsidRPr="000A37BF">
        <w:rPr>
          <w:bCs/>
          <w:sz w:val="22"/>
          <w:szCs w:val="22"/>
          <w:lang w:val="en-GB" w:eastAsia="en-GB"/>
        </w:rPr>
        <w:t>,</w:t>
      </w:r>
      <w:r w:rsidRPr="000A37BF">
        <w:rPr>
          <w:bCs/>
          <w:sz w:val="22"/>
          <w:szCs w:val="22"/>
          <w:lang w:val="en-GB" w:eastAsia="en-GB"/>
        </w:rPr>
        <w:t xml:space="preserve"> by [2030]</w:t>
      </w:r>
      <w:r w:rsidR="00DE7568" w:rsidRPr="000A37BF">
        <w:rPr>
          <w:bCs/>
          <w:sz w:val="22"/>
          <w:szCs w:val="22"/>
          <w:lang w:val="en-GB" w:eastAsia="en-GB"/>
        </w:rPr>
        <w:t>,</w:t>
      </w:r>
      <w:r w:rsidRPr="000A37BF">
        <w:rPr>
          <w:bCs/>
          <w:sz w:val="22"/>
          <w:szCs w:val="22"/>
          <w:lang w:val="en-GB" w:eastAsia="en-GB"/>
        </w:rPr>
        <w:t xml:space="preserve"> </w:t>
      </w:r>
      <w:r w:rsidR="009E16AA" w:rsidRPr="00C053AE">
        <w:rPr>
          <w:sz w:val="22"/>
          <w:szCs w:val="22"/>
          <w:lang w:val="en-GB" w:eastAsia="en-GB"/>
        </w:rPr>
        <w:t xml:space="preserve">all </w:t>
      </w:r>
      <w:r w:rsidRPr="000A37BF">
        <w:rPr>
          <w:bCs/>
          <w:sz w:val="22"/>
          <w:szCs w:val="22"/>
          <w:lang w:val="en-GB" w:eastAsia="en-GB"/>
        </w:rPr>
        <w:t>Parties have achieved this target.</w:t>
      </w:r>
    </w:p>
    <w:p w14:paraId="563D2413" w14:textId="59143401" w:rsidR="00754320" w:rsidRPr="000A37BF" w:rsidRDefault="00754320" w:rsidP="000A37BF">
      <w:pPr>
        <w:pStyle w:val="Para1"/>
        <w:numPr>
          <w:ilvl w:val="0"/>
          <w:numId w:val="49"/>
        </w:numPr>
        <w:suppressLineNumbers/>
        <w:suppressAutoHyphens/>
        <w:adjustRightInd w:val="0"/>
        <w:snapToGrid w:val="0"/>
        <w:spacing w:before="120"/>
        <w:ind w:left="0" w:firstLine="0"/>
        <w:jc w:val="both"/>
        <w:rPr>
          <w:kern w:val="22"/>
          <w:sz w:val="22"/>
          <w:szCs w:val="22"/>
          <w:lang w:val="en-GB"/>
        </w:rPr>
      </w:pPr>
      <w:r w:rsidRPr="000A37BF">
        <w:rPr>
          <w:kern w:val="22"/>
          <w:sz w:val="22"/>
          <w:szCs w:val="22"/>
          <w:lang w:val="en-GB"/>
        </w:rPr>
        <w:t>It is evident from the work of the Panel of Experts that many countries, particularly developing countries</w:t>
      </w:r>
      <w:r w:rsidR="000B3152" w:rsidRPr="00C053AE">
        <w:rPr>
          <w:kern w:val="22"/>
          <w:sz w:val="22"/>
          <w:szCs w:val="22"/>
          <w:lang w:val="en-GB"/>
        </w:rPr>
        <w:t xml:space="preserve"> and countries with economies in transition</w:t>
      </w:r>
      <w:r w:rsidRPr="000A37BF">
        <w:rPr>
          <w:kern w:val="22"/>
          <w:sz w:val="22"/>
          <w:szCs w:val="22"/>
          <w:lang w:val="en-GB"/>
        </w:rPr>
        <w:t>, currently lack the capacity to adequately assess their biodiversity resource mobili</w:t>
      </w:r>
      <w:r w:rsidR="00EE709A" w:rsidRPr="000A37BF">
        <w:rPr>
          <w:kern w:val="22"/>
          <w:sz w:val="22"/>
          <w:szCs w:val="22"/>
          <w:lang w:val="en-GB"/>
        </w:rPr>
        <w:t>z</w:t>
      </w:r>
      <w:r w:rsidRPr="000A37BF">
        <w:rPr>
          <w:kern w:val="22"/>
          <w:sz w:val="22"/>
          <w:szCs w:val="22"/>
          <w:lang w:val="en-GB"/>
        </w:rPr>
        <w:t xml:space="preserve">ation needs, and to develop a national biodiversity finance plan as a practical tool to support implementation of their current or future NBSAPs. Developing such a plan is an essential step towards achieving the ambition of the </w:t>
      </w:r>
      <w:r w:rsidR="00AC371C" w:rsidRPr="000A37BF">
        <w:rPr>
          <w:kern w:val="22"/>
          <w:sz w:val="22"/>
          <w:szCs w:val="22"/>
          <w:lang w:val="en-GB"/>
        </w:rPr>
        <w:t xml:space="preserve">post-2020 global biodiversity framework </w:t>
      </w:r>
      <w:r w:rsidRPr="000A37BF">
        <w:rPr>
          <w:kern w:val="22"/>
          <w:sz w:val="22"/>
          <w:szCs w:val="22"/>
          <w:lang w:val="en-GB"/>
        </w:rPr>
        <w:t xml:space="preserve">for </w:t>
      </w:r>
      <w:r w:rsidR="000B3152" w:rsidRPr="00C053AE">
        <w:rPr>
          <w:kern w:val="22"/>
          <w:sz w:val="22"/>
          <w:szCs w:val="22"/>
          <w:lang w:val="en-GB"/>
        </w:rPr>
        <w:t>all countries</w:t>
      </w:r>
      <w:r w:rsidR="007D287B" w:rsidRPr="00C053AE">
        <w:rPr>
          <w:kern w:val="22"/>
          <w:sz w:val="22"/>
          <w:szCs w:val="22"/>
          <w:lang w:val="en-GB"/>
        </w:rPr>
        <w:t xml:space="preserve">. </w:t>
      </w:r>
      <w:r w:rsidR="00954B7E" w:rsidRPr="00C053AE">
        <w:rPr>
          <w:kern w:val="22"/>
          <w:sz w:val="22"/>
          <w:szCs w:val="22"/>
          <w:lang w:val="en-GB"/>
        </w:rPr>
        <w:t>A</w:t>
      </w:r>
      <w:r w:rsidRPr="000A37BF">
        <w:rPr>
          <w:kern w:val="22"/>
          <w:sz w:val="22"/>
          <w:szCs w:val="22"/>
          <w:lang w:val="en-GB"/>
        </w:rPr>
        <w:t xml:space="preserve"> target which commits all Parties to doing so, and as early as possible, might read:</w:t>
      </w:r>
    </w:p>
    <w:p w14:paraId="33795BF9" w14:textId="2EEF3A4A" w:rsidR="00DC1069" w:rsidRPr="000A37BF" w:rsidRDefault="00754320" w:rsidP="000A37BF">
      <w:pPr>
        <w:spacing w:before="120" w:after="120"/>
        <w:ind w:left="720" w:firstLine="720"/>
        <w:jc w:val="both"/>
        <w:rPr>
          <w:bCs/>
          <w:kern w:val="22"/>
          <w:sz w:val="22"/>
          <w:szCs w:val="22"/>
          <w:lang w:val="en-GB" w:eastAsia="en-GB"/>
        </w:rPr>
      </w:pPr>
      <w:r w:rsidRPr="000A37BF">
        <w:rPr>
          <w:bCs/>
          <w:kern w:val="22"/>
          <w:sz w:val="22"/>
          <w:szCs w:val="22"/>
          <w:lang w:val="en-GB" w:eastAsia="en-GB"/>
        </w:rPr>
        <w:t>By [202</w:t>
      </w:r>
      <w:r w:rsidR="00CF625D" w:rsidRPr="00C053AE">
        <w:rPr>
          <w:bCs/>
          <w:kern w:val="22"/>
          <w:sz w:val="22"/>
          <w:szCs w:val="22"/>
          <w:lang w:val="en-GB" w:eastAsia="en-GB"/>
        </w:rPr>
        <w:t>2</w:t>
      </w:r>
      <w:r w:rsidR="0084610A" w:rsidRPr="000A37BF">
        <w:rPr>
          <w:bCs/>
          <w:kern w:val="22"/>
          <w:sz w:val="22"/>
          <w:szCs w:val="22"/>
          <w:lang w:val="en-GB" w:eastAsia="en-GB"/>
        </w:rPr>
        <w:t>]</w:t>
      </w:r>
      <w:r w:rsidR="00EF42BD" w:rsidRPr="000A37BF">
        <w:rPr>
          <w:bCs/>
          <w:kern w:val="22"/>
          <w:sz w:val="22"/>
          <w:szCs w:val="22"/>
          <w:lang w:val="en-GB" w:eastAsia="en-GB"/>
        </w:rPr>
        <w:t>,</w:t>
      </w:r>
      <w:r w:rsidRPr="000A37BF">
        <w:rPr>
          <w:bCs/>
          <w:kern w:val="22"/>
          <w:sz w:val="22"/>
          <w:szCs w:val="22"/>
          <w:lang w:val="en-GB" w:eastAsia="en-GB"/>
        </w:rPr>
        <w:t xml:space="preserve"> all </w:t>
      </w:r>
      <w:r w:rsidR="00C565DC" w:rsidRPr="000A37BF">
        <w:rPr>
          <w:bCs/>
          <w:sz w:val="22"/>
          <w:szCs w:val="22"/>
          <w:lang w:val="en-GB" w:eastAsia="en-GB"/>
        </w:rPr>
        <w:t>countries should</w:t>
      </w:r>
      <w:r w:rsidR="00C565DC" w:rsidRPr="000A37BF">
        <w:rPr>
          <w:bCs/>
          <w:kern w:val="22"/>
          <w:sz w:val="22"/>
          <w:szCs w:val="22"/>
          <w:lang w:val="en-GB" w:eastAsia="en-GB"/>
        </w:rPr>
        <w:t xml:space="preserve"> </w:t>
      </w:r>
      <w:r w:rsidRPr="000A37BF">
        <w:rPr>
          <w:bCs/>
          <w:kern w:val="22"/>
          <w:sz w:val="22"/>
          <w:szCs w:val="22"/>
          <w:lang w:val="en-GB" w:eastAsia="en-GB"/>
        </w:rPr>
        <w:t>have completed a national biodiversity finance plan</w:t>
      </w:r>
      <w:r w:rsidR="00FC10A0" w:rsidRPr="000A37BF">
        <w:rPr>
          <w:bCs/>
          <w:kern w:val="22"/>
          <w:sz w:val="22"/>
          <w:szCs w:val="22"/>
          <w:lang w:val="en-GB" w:eastAsia="en-GB"/>
        </w:rPr>
        <w:t>,</w:t>
      </w:r>
      <w:r w:rsidRPr="000A37BF">
        <w:rPr>
          <w:bCs/>
          <w:kern w:val="22"/>
          <w:sz w:val="22"/>
          <w:szCs w:val="22"/>
          <w:lang w:val="en-GB" w:eastAsia="en-GB"/>
        </w:rPr>
        <w:t xml:space="preserve"> in support of their </w:t>
      </w:r>
      <w:r w:rsidR="00DB52E0" w:rsidRPr="000A37BF">
        <w:rPr>
          <w:bCs/>
          <w:kern w:val="22"/>
          <w:sz w:val="22"/>
          <w:szCs w:val="22"/>
          <w:lang w:val="en-GB" w:eastAsia="en-GB"/>
        </w:rPr>
        <w:t>national biodiversity strategies and action plans</w:t>
      </w:r>
      <w:r w:rsidR="00FC10A0" w:rsidRPr="000A37BF">
        <w:rPr>
          <w:bCs/>
          <w:kern w:val="22"/>
          <w:sz w:val="22"/>
          <w:szCs w:val="22"/>
          <w:lang w:val="en-GB" w:eastAsia="en-GB"/>
        </w:rPr>
        <w:t xml:space="preserve"> and the post-2020 global biodiversity framework</w:t>
      </w:r>
      <w:r w:rsidRPr="000A37BF">
        <w:rPr>
          <w:bCs/>
          <w:kern w:val="22"/>
          <w:sz w:val="22"/>
          <w:szCs w:val="22"/>
          <w:lang w:val="en-GB" w:eastAsia="en-GB"/>
        </w:rPr>
        <w:t>, using</w:t>
      </w:r>
      <w:r w:rsidR="007E69F5" w:rsidRPr="000A37BF">
        <w:rPr>
          <w:bCs/>
          <w:kern w:val="22"/>
          <w:sz w:val="22"/>
          <w:szCs w:val="22"/>
          <w:lang w:val="en-GB" w:eastAsia="en-GB"/>
        </w:rPr>
        <w:t xml:space="preserve"> methodology of the Biodiversity Finance Initiative of the United Nations Development Programme</w:t>
      </w:r>
      <w:r w:rsidRPr="000A37BF">
        <w:rPr>
          <w:bCs/>
          <w:kern w:val="22"/>
          <w:sz w:val="22"/>
          <w:szCs w:val="22"/>
          <w:lang w:val="en-GB" w:eastAsia="en-GB"/>
        </w:rPr>
        <w:t xml:space="preserve"> or similar methodology,</w:t>
      </w:r>
      <w:r w:rsidR="00FC10A0" w:rsidRPr="000A37BF">
        <w:rPr>
          <w:i/>
          <w:iCs/>
          <w:kern w:val="22"/>
          <w:sz w:val="22"/>
          <w:szCs w:val="22"/>
          <w:shd w:val="clear" w:color="auto" w:fill="FFFFFF"/>
          <w:lang w:val="en-GB" w:eastAsia="en-GB"/>
        </w:rPr>
        <w:t xml:space="preserve"> </w:t>
      </w:r>
      <w:r w:rsidR="00FC10A0" w:rsidRPr="000A37BF">
        <w:rPr>
          <w:kern w:val="22"/>
          <w:sz w:val="22"/>
          <w:szCs w:val="22"/>
          <w:shd w:val="clear" w:color="auto" w:fill="FFFFFF"/>
          <w:lang w:val="en-GB" w:eastAsia="en-GB"/>
        </w:rPr>
        <w:t>for</w:t>
      </w:r>
      <w:r w:rsidR="00436DFD" w:rsidRPr="000A37BF">
        <w:rPr>
          <w:kern w:val="22"/>
          <w:sz w:val="22"/>
          <w:szCs w:val="22"/>
          <w:shd w:val="clear" w:color="auto" w:fill="FFFFFF"/>
          <w:lang w:val="en-GB" w:eastAsia="en-GB"/>
        </w:rPr>
        <w:t xml:space="preserve"> </w:t>
      </w:r>
      <w:r w:rsidR="00FC10A0" w:rsidRPr="000A37BF">
        <w:rPr>
          <w:kern w:val="22"/>
          <w:sz w:val="22"/>
          <w:szCs w:val="22"/>
          <w:shd w:val="clear" w:color="auto" w:fill="FFFFFF"/>
          <w:lang w:val="en-GB" w:eastAsia="en-GB"/>
        </w:rPr>
        <w:t>reducing or redirecting resources causing harm to biodiversity</w:t>
      </w:r>
      <w:r w:rsidR="00436DFD" w:rsidRPr="000A37BF">
        <w:rPr>
          <w:kern w:val="22"/>
          <w:sz w:val="22"/>
          <w:szCs w:val="22"/>
          <w:shd w:val="clear" w:color="auto" w:fill="FFFFFF"/>
          <w:lang w:val="en-GB" w:eastAsia="en-GB"/>
        </w:rPr>
        <w:t>,</w:t>
      </w:r>
      <w:r w:rsidR="00FC10A0" w:rsidRPr="000A37BF">
        <w:rPr>
          <w:kern w:val="22"/>
          <w:sz w:val="22"/>
          <w:szCs w:val="22"/>
          <w:shd w:val="clear" w:color="auto" w:fill="FFFFFF"/>
          <w:lang w:val="en-GB" w:eastAsia="en-GB"/>
        </w:rPr>
        <w:t xml:space="preserve"> generating additional resources from all sources</w:t>
      </w:r>
      <w:r w:rsidR="00436DFD" w:rsidRPr="000A37BF">
        <w:rPr>
          <w:kern w:val="22"/>
          <w:sz w:val="22"/>
          <w:szCs w:val="22"/>
          <w:shd w:val="clear" w:color="auto" w:fill="FFFFFF"/>
          <w:lang w:val="en-GB" w:eastAsia="en-GB"/>
        </w:rPr>
        <w:t>,</w:t>
      </w:r>
      <w:r w:rsidR="00FC10A0" w:rsidRPr="000A37BF">
        <w:rPr>
          <w:kern w:val="22"/>
          <w:sz w:val="22"/>
          <w:szCs w:val="22"/>
          <w:shd w:val="clear" w:color="auto" w:fill="FFFFFF"/>
          <w:lang w:val="en-GB" w:eastAsia="en-GB"/>
        </w:rPr>
        <w:t xml:space="preserve"> and</w:t>
      </w:r>
      <w:r w:rsidR="00436DFD" w:rsidRPr="000A37BF">
        <w:rPr>
          <w:kern w:val="22"/>
          <w:sz w:val="22"/>
          <w:szCs w:val="22"/>
          <w:shd w:val="clear" w:color="auto" w:fill="FFFFFF"/>
          <w:lang w:val="en-GB" w:eastAsia="en-GB"/>
        </w:rPr>
        <w:t xml:space="preserve"> </w:t>
      </w:r>
      <w:r w:rsidR="00FC10A0" w:rsidRPr="000A37BF">
        <w:rPr>
          <w:kern w:val="22"/>
          <w:sz w:val="22"/>
          <w:szCs w:val="22"/>
          <w:shd w:val="clear" w:color="auto" w:fill="FFFFFF"/>
          <w:lang w:val="en-GB" w:eastAsia="en-GB"/>
        </w:rPr>
        <w:t>enhancing the effectiveness and efficiency of resource use.</w:t>
      </w:r>
    </w:p>
    <w:p w14:paraId="7D251D2E" w14:textId="2A9BFEFA" w:rsidR="00754320" w:rsidRPr="000A37BF" w:rsidRDefault="00754320" w:rsidP="000A37BF">
      <w:pPr>
        <w:pStyle w:val="Para1"/>
        <w:numPr>
          <w:ilvl w:val="0"/>
          <w:numId w:val="49"/>
        </w:numPr>
        <w:suppressLineNumbers/>
        <w:suppressAutoHyphens/>
        <w:adjustRightInd w:val="0"/>
        <w:snapToGrid w:val="0"/>
        <w:spacing w:before="120"/>
        <w:ind w:left="0" w:firstLine="0"/>
        <w:jc w:val="both"/>
        <w:rPr>
          <w:kern w:val="22"/>
          <w:sz w:val="22"/>
          <w:szCs w:val="22"/>
          <w:lang w:val="en-GB"/>
        </w:rPr>
      </w:pPr>
      <w:r w:rsidRPr="000A37BF">
        <w:rPr>
          <w:kern w:val="22"/>
          <w:sz w:val="22"/>
          <w:szCs w:val="22"/>
          <w:lang w:val="en-GB"/>
        </w:rPr>
        <w:t>The above targets will clearly need to be complemented by a pragmatic approach to their effective implementation. Some developing countries</w:t>
      </w:r>
      <w:r w:rsidR="000B3152" w:rsidRPr="00C053AE">
        <w:rPr>
          <w:kern w:val="22"/>
          <w:sz w:val="22"/>
          <w:szCs w:val="22"/>
          <w:lang w:val="en-GB"/>
        </w:rPr>
        <w:t xml:space="preserve"> and countries with economies in transition</w:t>
      </w:r>
      <w:r w:rsidRPr="000A37BF">
        <w:rPr>
          <w:kern w:val="22"/>
          <w:sz w:val="22"/>
          <w:szCs w:val="22"/>
          <w:lang w:val="en-GB"/>
        </w:rPr>
        <w:t xml:space="preserve"> may lack the resources, including human resources, to effectively prepare a national biodiversity finance plan, in which </w:t>
      </w:r>
      <w:r w:rsidRPr="000A37BF">
        <w:rPr>
          <w:kern w:val="22"/>
          <w:sz w:val="22"/>
          <w:szCs w:val="22"/>
          <w:lang w:val="en-GB"/>
        </w:rPr>
        <w:lastRenderedPageBreak/>
        <w:t xml:space="preserve">case they may need external support. </w:t>
      </w:r>
      <w:r w:rsidR="007D287B" w:rsidRPr="000A37BF">
        <w:rPr>
          <w:kern w:val="22"/>
          <w:sz w:val="22"/>
          <w:szCs w:val="22"/>
          <w:lang w:val="en-GB"/>
        </w:rPr>
        <w:t>D</w:t>
      </w:r>
      <w:r w:rsidR="007D287B" w:rsidRPr="00C053AE">
        <w:rPr>
          <w:kern w:val="22"/>
          <w:sz w:val="22"/>
          <w:szCs w:val="22"/>
          <w:lang w:val="en-GB"/>
        </w:rPr>
        <w:t>onor</w:t>
      </w:r>
      <w:r w:rsidR="007D287B" w:rsidRPr="000A37BF">
        <w:rPr>
          <w:kern w:val="22"/>
          <w:sz w:val="22"/>
          <w:szCs w:val="22"/>
          <w:lang w:val="en-GB"/>
        </w:rPr>
        <w:t xml:space="preserve"> </w:t>
      </w:r>
      <w:r w:rsidRPr="000A37BF">
        <w:rPr>
          <w:kern w:val="22"/>
          <w:sz w:val="22"/>
          <w:szCs w:val="22"/>
          <w:lang w:val="en-GB"/>
        </w:rPr>
        <w:t>countries may therefore wish to make a clear commitment so as to ensure that sufficient and timely support is available for all developing</w:t>
      </w:r>
      <w:r w:rsidR="00C4738E" w:rsidRPr="00C053AE">
        <w:rPr>
          <w:kern w:val="22"/>
          <w:sz w:val="22"/>
          <w:szCs w:val="22"/>
          <w:lang w:val="en-GB"/>
        </w:rPr>
        <w:t xml:space="preserve"> and transition</w:t>
      </w:r>
      <w:r w:rsidRPr="000A37BF">
        <w:rPr>
          <w:kern w:val="22"/>
          <w:sz w:val="22"/>
          <w:szCs w:val="22"/>
          <w:lang w:val="en-GB"/>
        </w:rPr>
        <w:t xml:space="preserve"> country Parties who seek it. A separate decision at </w:t>
      </w:r>
      <w:r w:rsidR="006F3462" w:rsidRPr="000A37BF">
        <w:rPr>
          <w:kern w:val="22"/>
          <w:sz w:val="22"/>
          <w:szCs w:val="22"/>
          <w:lang w:val="en-GB"/>
        </w:rPr>
        <w:t>the fifteenth meeting of the Conference of the Parties</w:t>
      </w:r>
      <w:r w:rsidRPr="000A37BF">
        <w:rPr>
          <w:kern w:val="22"/>
          <w:sz w:val="22"/>
          <w:szCs w:val="22"/>
          <w:lang w:val="en-GB"/>
        </w:rPr>
        <w:t xml:space="preserve"> could invite donors and the financial mechanism of the Convention to provide such support. Assembling and disbursing the necessary resources could also be part of a dedicated mechanism, and it could potentially be part of a broader operational capacity</w:t>
      </w:r>
      <w:r w:rsidR="00776482" w:rsidRPr="000A37BF">
        <w:rPr>
          <w:kern w:val="22"/>
          <w:sz w:val="22"/>
          <w:szCs w:val="22"/>
          <w:lang w:val="en-GB"/>
        </w:rPr>
        <w:t>-</w:t>
      </w:r>
      <w:r w:rsidRPr="000A37BF">
        <w:rPr>
          <w:kern w:val="22"/>
          <w:sz w:val="22"/>
          <w:szCs w:val="22"/>
          <w:lang w:val="en-GB"/>
        </w:rPr>
        <w:t xml:space="preserve">building and scientific and technology mechanism, as proposed by some Parties at the </w:t>
      </w:r>
      <w:r w:rsidR="000B4FC0" w:rsidRPr="000A37BF">
        <w:rPr>
          <w:kern w:val="22"/>
          <w:sz w:val="22"/>
          <w:szCs w:val="22"/>
          <w:lang w:val="en-GB"/>
        </w:rPr>
        <w:t>second</w:t>
      </w:r>
      <w:r w:rsidRPr="000A37BF">
        <w:rPr>
          <w:kern w:val="22"/>
          <w:sz w:val="22"/>
          <w:szCs w:val="22"/>
          <w:lang w:val="en-GB"/>
        </w:rPr>
        <w:t xml:space="preserve"> </w:t>
      </w:r>
      <w:r w:rsidR="000B4FC0" w:rsidRPr="000A37BF">
        <w:rPr>
          <w:kern w:val="22"/>
          <w:sz w:val="22"/>
          <w:szCs w:val="22"/>
          <w:lang w:val="en-GB"/>
        </w:rPr>
        <w:t>m</w:t>
      </w:r>
      <w:r w:rsidRPr="000A37BF">
        <w:rPr>
          <w:kern w:val="22"/>
          <w:sz w:val="22"/>
          <w:szCs w:val="22"/>
          <w:lang w:val="en-GB"/>
        </w:rPr>
        <w:t>eeting of the Open-Ended Working Group.</w:t>
      </w:r>
    </w:p>
    <w:p w14:paraId="2EA3CBB8" w14:textId="3907F466" w:rsidR="00754320" w:rsidRPr="00C053AE" w:rsidRDefault="00754320">
      <w:pPr>
        <w:pStyle w:val="Para1"/>
        <w:keepNext/>
        <w:numPr>
          <w:ilvl w:val="0"/>
          <w:numId w:val="49"/>
        </w:numPr>
        <w:suppressLineNumbers/>
        <w:suppressAutoHyphens/>
        <w:adjustRightInd w:val="0"/>
        <w:snapToGrid w:val="0"/>
        <w:spacing w:before="120"/>
        <w:ind w:left="0" w:firstLine="0"/>
        <w:jc w:val="both"/>
        <w:rPr>
          <w:kern w:val="22"/>
          <w:sz w:val="22"/>
          <w:szCs w:val="22"/>
          <w:lang w:val="en-GB"/>
        </w:rPr>
      </w:pPr>
      <w:r w:rsidRPr="000A37BF">
        <w:rPr>
          <w:kern w:val="22"/>
          <w:sz w:val="22"/>
          <w:szCs w:val="22"/>
          <w:lang w:val="en-GB"/>
        </w:rPr>
        <w:t xml:space="preserve">Parties may wish to consider a further </w:t>
      </w:r>
      <w:r w:rsidR="006F3462" w:rsidRPr="000A37BF">
        <w:rPr>
          <w:kern w:val="22"/>
          <w:sz w:val="22"/>
          <w:szCs w:val="22"/>
          <w:lang w:val="en-GB"/>
        </w:rPr>
        <w:t>d</w:t>
      </w:r>
      <w:r w:rsidRPr="000A37BF">
        <w:rPr>
          <w:kern w:val="22"/>
          <w:sz w:val="22"/>
          <w:szCs w:val="22"/>
          <w:lang w:val="en-GB"/>
        </w:rPr>
        <w:t xml:space="preserve">ecision at </w:t>
      </w:r>
      <w:r w:rsidR="006F3462" w:rsidRPr="000A37BF">
        <w:rPr>
          <w:kern w:val="22"/>
          <w:sz w:val="22"/>
          <w:szCs w:val="22"/>
          <w:lang w:val="en-GB"/>
        </w:rPr>
        <w:t>the fifteenth meeting of the Conference of the Parties</w:t>
      </w:r>
      <w:r w:rsidRPr="000A37BF">
        <w:rPr>
          <w:kern w:val="22"/>
          <w:sz w:val="22"/>
          <w:szCs w:val="22"/>
          <w:lang w:val="en-GB"/>
        </w:rPr>
        <w:t xml:space="preserve"> inviting </w:t>
      </w:r>
      <w:r w:rsidR="007D287B" w:rsidRPr="00C053AE">
        <w:rPr>
          <w:kern w:val="22"/>
          <w:sz w:val="22"/>
          <w:szCs w:val="22"/>
          <w:lang w:val="en-GB"/>
        </w:rPr>
        <w:t xml:space="preserve">UNDP </w:t>
      </w:r>
      <w:r w:rsidR="007E69F5" w:rsidRPr="000A37BF">
        <w:rPr>
          <w:kern w:val="22"/>
          <w:sz w:val="22"/>
          <w:szCs w:val="22"/>
          <w:lang w:val="en-GB"/>
        </w:rPr>
        <w:t xml:space="preserve">BIOFIN </w:t>
      </w:r>
      <w:r w:rsidRPr="000A37BF">
        <w:rPr>
          <w:kern w:val="22"/>
          <w:sz w:val="22"/>
          <w:szCs w:val="22"/>
          <w:lang w:val="en-GB"/>
        </w:rPr>
        <w:t>and other relevant organi</w:t>
      </w:r>
      <w:r w:rsidR="00EE709A" w:rsidRPr="000A37BF">
        <w:rPr>
          <w:kern w:val="22"/>
          <w:sz w:val="22"/>
          <w:szCs w:val="22"/>
          <w:lang w:val="en-GB"/>
        </w:rPr>
        <w:t>z</w:t>
      </w:r>
      <w:r w:rsidRPr="000A37BF">
        <w:rPr>
          <w:kern w:val="22"/>
          <w:sz w:val="22"/>
          <w:szCs w:val="22"/>
          <w:lang w:val="en-GB"/>
        </w:rPr>
        <w:t>ations</w:t>
      </w:r>
      <w:r w:rsidR="007E69F5" w:rsidRPr="000A37BF">
        <w:rPr>
          <w:kern w:val="22"/>
          <w:sz w:val="22"/>
          <w:szCs w:val="22"/>
          <w:lang w:val="en-GB"/>
        </w:rPr>
        <w:t xml:space="preserve"> and initiatives</w:t>
      </w:r>
      <w:r w:rsidRPr="000A37BF">
        <w:rPr>
          <w:kern w:val="22"/>
          <w:sz w:val="22"/>
          <w:szCs w:val="22"/>
          <w:lang w:val="en-GB"/>
        </w:rPr>
        <w:t xml:space="preserve">, and requesting the Executive Secretary to collaborate with these, to further refine the methodological basis for the development of national biodiversity finance plans, </w:t>
      </w:r>
      <w:r w:rsidR="00FF2030" w:rsidRPr="000A37BF">
        <w:rPr>
          <w:kern w:val="22"/>
          <w:sz w:val="22"/>
          <w:szCs w:val="22"/>
          <w:lang w:val="en-GB"/>
        </w:rPr>
        <w:t>which the Conference of the Parties could</w:t>
      </w:r>
      <w:r w:rsidR="006C49E7" w:rsidRPr="000A37BF">
        <w:rPr>
          <w:kern w:val="22"/>
          <w:sz w:val="22"/>
          <w:szCs w:val="22"/>
          <w:lang w:val="en-GB"/>
        </w:rPr>
        <w:t xml:space="preserve"> subsequently</w:t>
      </w:r>
      <w:r w:rsidRPr="000A37BF">
        <w:rPr>
          <w:kern w:val="22"/>
          <w:sz w:val="22"/>
          <w:szCs w:val="22"/>
          <w:lang w:val="en-GB"/>
        </w:rPr>
        <w:t xml:space="preserve"> promulgate as a user-friendly standard to which all Parties can adhere. It might read</w:t>
      </w:r>
      <w:r w:rsidR="00E9319F" w:rsidRPr="00C053AE">
        <w:rPr>
          <w:kern w:val="22"/>
          <w:sz w:val="22"/>
          <w:szCs w:val="22"/>
          <w:lang w:val="en-GB"/>
        </w:rPr>
        <w:t xml:space="preserve"> as follows</w:t>
      </w:r>
      <w:r w:rsidRPr="000A37BF">
        <w:rPr>
          <w:kern w:val="22"/>
          <w:sz w:val="22"/>
          <w:szCs w:val="22"/>
          <w:lang w:val="en-GB"/>
        </w:rPr>
        <w:t>:</w:t>
      </w:r>
    </w:p>
    <w:p w14:paraId="5F931C13" w14:textId="6D3DFD3F" w:rsidR="00091E16" w:rsidRPr="000A37BF" w:rsidRDefault="00091E16" w:rsidP="000A37BF">
      <w:pPr>
        <w:pStyle w:val="Para1"/>
        <w:keepNext/>
        <w:suppressLineNumbers/>
        <w:suppressAutoHyphens/>
        <w:adjustRightInd w:val="0"/>
        <w:snapToGrid w:val="0"/>
        <w:ind w:left="720"/>
        <w:jc w:val="both"/>
        <w:rPr>
          <w:i/>
          <w:iCs/>
          <w:kern w:val="22"/>
          <w:sz w:val="22"/>
          <w:szCs w:val="22"/>
          <w:lang w:val="en-GB"/>
        </w:rPr>
      </w:pPr>
      <w:r w:rsidRPr="000A37BF">
        <w:rPr>
          <w:i/>
          <w:iCs/>
          <w:kern w:val="22"/>
          <w:sz w:val="22"/>
          <w:szCs w:val="22"/>
          <w:lang w:val="en-GB"/>
        </w:rPr>
        <w:t>[The Conference of the Parties</w:t>
      </w:r>
      <w:r w:rsidR="00CB013B" w:rsidRPr="000A37BF">
        <w:rPr>
          <w:i/>
          <w:iCs/>
          <w:kern w:val="22"/>
          <w:sz w:val="22"/>
          <w:szCs w:val="22"/>
          <w:lang w:val="en-GB"/>
        </w:rPr>
        <w:t>]</w:t>
      </w:r>
    </w:p>
    <w:p w14:paraId="15D4CF2F" w14:textId="108F44F5" w:rsidR="006A1550" w:rsidRPr="000A37BF" w:rsidRDefault="006A1550" w:rsidP="000A37BF">
      <w:pPr>
        <w:ind w:firstLine="720"/>
        <w:jc w:val="both"/>
        <w:rPr>
          <w:sz w:val="22"/>
          <w:szCs w:val="22"/>
          <w:lang w:val="en-GB"/>
        </w:rPr>
      </w:pPr>
      <w:r w:rsidRPr="000A37BF">
        <w:rPr>
          <w:i/>
          <w:iCs/>
          <w:sz w:val="22"/>
          <w:szCs w:val="22"/>
          <w:lang w:val="en-GB"/>
        </w:rPr>
        <w:t xml:space="preserve">Invites </w:t>
      </w:r>
      <w:r w:rsidR="00300AEC" w:rsidRPr="000A37BF">
        <w:rPr>
          <w:sz w:val="22"/>
          <w:szCs w:val="22"/>
          <w:lang w:val="en-GB"/>
        </w:rPr>
        <w:t>the Biodiversity Finance Initiative of the United Nations Development Programme</w:t>
      </w:r>
      <w:r w:rsidRPr="000A37BF">
        <w:rPr>
          <w:sz w:val="22"/>
          <w:szCs w:val="22"/>
          <w:lang w:val="en-GB"/>
        </w:rPr>
        <w:t xml:space="preserve">, in collaboration with other relevant and interested organizations and initiatives, as well as the Executive Secretary, to refine the existing methodology </w:t>
      </w:r>
      <w:r w:rsidR="00F43F8F" w:rsidRPr="000A37BF">
        <w:rPr>
          <w:sz w:val="22"/>
          <w:szCs w:val="22"/>
          <w:lang w:val="en-GB"/>
        </w:rPr>
        <w:t xml:space="preserve">of the Biodiversity Finance Initiative </w:t>
      </w:r>
      <w:r w:rsidRPr="000A37BF">
        <w:rPr>
          <w:sz w:val="22"/>
          <w:szCs w:val="22"/>
          <w:lang w:val="en-GB"/>
        </w:rPr>
        <w:t xml:space="preserve">for the preparation of national biodiversity finance plans in all countries, </w:t>
      </w:r>
      <w:r w:rsidR="00954B7E" w:rsidRPr="000A37BF">
        <w:rPr>
          <w:sz w:val="22"/>
          <w:szCs w:val="22"/>
          <w:lang w:val="en-GB"/>
        </w:rPr>
        <w:t xml:space="preserve">along </w:t>
      </w:r>
      <w:r w:rsidRPr="000A37BF">
        <w:rPr>
          <w:sz w:val="22"/>
          <w:szCs w:val="22"/>
          <w:lang w:val="en-GB"/>
        </w:rPr>
        <w:t>with technical and financial modalities for the deployment of this methodology</w:t>
      </w:r>
      <w:r w:rsidR="003264D2" w:rsidRPr="00C053AE">
        <w:rPr>
          <w:sz w:val="22"/>
          <w:szCs w:val="22"/>
          <w:lang w:val="en-GB"/>
        </w:rPr>
        <w:t>,</w:t>
      </w:r>
      <w:r w:rsidRPr="000A37BF">
        <w:rPr>
          <w:sz w:val="22"/>
          <w:szCs w:val="22"/>
          <w:lang w:val="en-GB"/>
        </w:rPr>
        <w:t xml:space="preserve"> adapted to the circumstances and capacities of countries</w:t>
      </w:r>
      <w:r w:rsidR="00954B7E" w:rsidRPr="000A37BF">
        <w:rPr>
          <w:sz w:val="22"/>
          <w:szCs w:val="22"/>
          <w:lang w:val="en-GB"/>
        </w:rPr>
        <w:t>.</w:t>
      </w:r>
    </w:p>
    <w:p w14:paraId="61893B7E" w14:textId="1EDAC3B0" w:rsidR="00754320" w:rsidRPr="000A37BF" w:rsidRDefault="00754320" w:rsidP="000A37BF">
      <w:pPr>
        <w:pStyle w:val="Para1"/>
        <w:numPr>
          <w:ilvl w:val="0"/>
          <w:numId w:val="49"/>
        </w:numPr>
        <w:suppressLineNumbers/>
        <w:suppressAutoHyphens/>
        <w:adjustRightInd w:val="0"/>
        <w:snapToGrid w:val="0"/>
        <w:spacing w:before="120"/>
        <w:ind w:left="0" w:firstLine="0"/>
        <w:jc w:val="both"/>
        <w:rPr>
          <w:kern w:val="22"/>
          <w:sz w:val="22"/>
          <w:szCs w:val="22"/>
          <w:lang w:val="en-GB"/>
        </w:rPr>
      </w:pPr>
      <w:bookmarkStart w:id="12" w:name="_Ref40342222"/>
      <w:r w:rsidRPr="000A37BF">
        <w:rPr>
          <w:kern w:val="22"/>
          <w:sz w:val="22"/>
          <w:szCs w:val="22"/>
          <w:lang w:val="en-GB"/>
        </w:rPr>
        <w:t xml:space="preserve">The </w:t>
      </w:r>
      <w:r w:rsidR="00571A0B" w:rsidRPr="000A37BF">
        <w:rPr>
          <w:kern w:val="22"/>
          <w:sz w:val="22"/>
          <w:szCs w:val="22"/>
          <w:lang w:val="en-GB"/>
        </w:rPr>
        <w:t>f</w:t>
      </w:r>
      <w:r w:rsidRPr="000A37BF">
        <w:rPr>
          <w:kern w:val="22"/>
          <w:sz w:val="22"/>
          <w:szCs w:val="22"/>
          <w:lang w:val="en-GB"/>
        </w:rPr>
        <w:t xml:space="preserve">irst </w:t>
      </w:r>
      <w:r w:rsidR="00571A0B" w:rsidRPr="000A37BF">
        <w:rPr>
          <w:kern w:val="22"/>
          <w:sz w:val="22"/>
          <w:szCs w:val="22"/>
          <w:lang w:val="en-GB"/>
        </w:rPr>
        <w:t>r</w:t>
      </w:r>
      <w:r w:rsidRPr="000A37BF">
        <w:rPr>
          <w:kern w:val="22"/>
          <w:sz w:val="22"/>
          <w:szCs w:val="22"/>
          <w:lang w:val="en-GB"/>
        </w:rPr>
        <w:t xml:space="preserve">eport of the </w:t>
      </w:r>
      <w:r w:rsidR="00F770E8" w:rsidRPr="000A37BF">
        <w:rPr>
          <w:kern w:val="22"/>
          <w:sz w:val="22"/>
          <w:szCs w:val="22"/>
          <w:lang w:val="en-GB"/>
        </w:rPr>
        <w:t>P</w:t>
      </w:r>
      <w:r w:rsidRPr="000A37BF">
        <w:rPr>
          <w:kern w:val="22"/>
          <w:sz w:val="22"/>
          <w:szCs w:val="22"/>
          <w:lang w:val="en-GB"/>
        </w:rPr>
        <w:t xml:space="preserve">anel of </w:t>
      </w:r>
      <w:r w:rsidR="00F770E8" w:rsidRPr="000A37BF">
        <w:rPr>
          <w:kern w:val="22"/>
          <w:sz w:val="22"/>
          <w:szCs w:val="22"/>
          <w:lang w:val="en-GB"/>
        </w:rPr>
        <w:t>E</w:t>
      </w:r>
      <w:r w:rsidRPr="000A37BF">
        <w:rPr>
          <w:kern w:val="22"/>
          <w:sz w:val="22"/>
          <w:szCs w:val="22"/>
          <w:lang w:val="en-GB"/>
        </w:rPr>
        <w:t>xperts</w:t>
      </w:r>
      <w:r w:rsidRPr="000A37BF">
        <w:rPr>
          <w:rStyle w:val="FootnoteReference"/>
          <w:kern w:val="22"/>
          <w:sz w:val="22"/>
          <w:szCs w:val="22"/>
          <w:u w:val="none"/>
          <w:vertAlign w:val="superscript"/>
          <w:lang w:val="en-GB"/>
        </w:rPr>
        <w:footnoteReference w:id="55"/>
      </w:r>
      <w:r w:rsidRPr="000A37BF">
        <w:rPr>
          <w:kern w:val="22"/>
          <w:sz w:val="22"/>
          <w:szCs w:val="22"/>
          <w:lang w:val="en-GB"/>
        </w:rPr>
        <w:t xml:space="preserve"> highlight</w:t>
      </w:r>
      <w:r w:rsidR="00571A0B" w:rsidRPr="000A37BF">
        <w:rPr>
          <w:kern w:val="22"/>
          <w:sz w:val="22"/>
          <w:szCs w:val="22"/>
          <w:lang w:val="en-GB"/>
        </w:rPr>
        <w:t>s</w:t>
      </w:r>
      <w:r w:rsidRPr="000A37BF">
        <w:rPr>
          <w:kern w:val="22"/>
          <w:sz w:val="22"/>
          <w:szCs w:val="22"/>
          <w:lang w:val="en-GB"/>
        </w:rPr>
        <w:t xml:space="preserve"> the relatively limited effectiveness of the </w:t>
      </w:r>
      <w:r w:rsidR="00E67AA7" w:rsidRPr="000A37BF">
        <w:rPr>
          <w:kern w:val="22"/>
          <w:sz w:val="22"/>
          <w:szCs w:val="22"/>
          <w:lang w:val="en-GB"/>
        </w:rPr>
        <w:t>f</w:t>
      </w:r>
      <w:r w:rsidRPr="000A37BF">
        <w:rPr>
          <w:kern w:val="22"/>
          <w:sz w:val="22"/>
          <w:szCs w:val="22"/>
          <w:lang w:val="en-GB"/>
        </w:rPr>
        <w:t xml:space="preserve">inancial </w:t>
      </w:r>
      <w:r w:rsidR="00E67AA7" w:rsidRPr="000A37BF">
        <w:rPr>
          <w:kern w:val="22"/>
          <w:sz w:val="22"/>
          <w:szCs w:val="22"/>
          <w:lang w:val="en-GB"/>
        </w:rPr>
        <w:t>r</w:t>
      </w:r>
      <w:r w:rsidRPr="000A37BF">
        <w:rPr>
          <w:kern w:val="22"/>
          <w:sz w:val="22"/>
          <w:szCs w:val="22"/>
          <w:lang w:val="en-GB"/>
        </w:rPr>
        <w:t xml:space="preserve">eporting </w:t>
      </w:r>
      <w:r w:rsidR="00E67AA7" w:rsidRPr="000A37BF">
        <w:rPr>
          <w:kern w:val="22"/>
          <w:sz w:val="22"/>
          <w:szCs w:val="22"/>
          <w:lang w:val="en-GB"/>
        </w:rPr>
        <w:t>f</w:t>
      </w:r>
      <w:r w:rsidRPr="000A37BF">
        <w:rPr>
          <w:kern w:val="22"/>
          <w:sz w:val="22"/>
          <w:szCs w:val="22"/>
          <w:lang w:val="en-GB"/>
        </w:rPr>
        <w:t>ramework</w:t>
      </w:r>
      <w:r w:rsidR="00981D1F" w:rsidRPr="000A37BF">
        <w:rPr>
          <w:rStyle w:val="FootnoteReference"/>
          <w:kern w:val="22"/>
          <w:sz w:val="22"/>
          <w:szCs w:val="22"/>
          <w:u w:val="none"/>
          <w:vertAlign w:val="superscript"/>
          <w:lang w:val="en-GB"/>
        </w:rPr>
        <w:footnoteReference w:id="56"/>
      </w:r>
      <w:r w:rsidRPr="000A37BF">
        <w:rPr>
          <w:kern w:val="22"/>
          <w:sz w:val="22"/>
          <w:szCs w:val="22"/>
          <w:lang w:val="en-GB"/>
        </w:rPr>
        <w:t xml:space="preserve"> of the </w:t>
      </w:r>
      <w:r w:rsidR="00D33E33" w:rsidRPr="000A37BF">
        <w:rPr>
          <w:kern w:val="22"/>
          <w:sz w:val="22"/>
          <w:szCs w:val="22"/>
          <w:lang w:val="en-GB"/>
        </w:rPr>
        <w:t>Convention</w:t>
      </w:r>
      <w:r w:rsidRPr="000A37BF">
        <w:rPr>
          <w:kern w:val="22"/>
          <w:sz w:val="22"/>
          <w:szCs w:val="22"/>
          <w:lang w:val="en-GB"/>
        </w:rPr>
        <w:t xml:space="preserve"> as a basis for a comprehensive understanding of global biodiversity-related financial flows. In order to address these knowledge gaps, it would be worthwhile in future to consider enhancement of, and closer collaboration with, existing international </w:t>
      </w:r>
      <w:r w:rsidR="00571A0B" w:rsidRPr="000A37BF">
        <w:rPr>
          <w:kern w:val="22"/>
          <w:sz w:val="22"/>
          <w:szCs w:val="22"/>
          <w:lang w:val="en-GB"/>
        </w:rPr>
        <w:t>statistical process</w:t>
      </w:r>
      <w:r w:rsidRPr="000A37BF">
        <w:rPr>
          <w:kern w:val="22"/>
          <w:sz w:val="22"/>
          <w:szCs w:val="22"/>
          <w:lang w:val="en-GB"/>
        </w:rPr>
        <w:t xml:space="preserve">, as a </w:t>
      </w:r>
      <w:r w:rsidR="004805E4" w:rsidRPr="000A37BF">
        <w:rPr>
          <w:kern w:val="22"/>
          <w:sz w:val="22"/>
          <w:szCs w:val="22"/>
          <w:lang w:val="en-GB"/>
        </w:rPr>
        <w:t>precondition to enabl</w:t>
      </w:r>
      <w:r w:rsidR="00A87ADA" w:rsidRPr="000A37BF">
        <w:rPr>
          <w:kern w:val="22"/>
          <w:sz w:val="22"/>
          <w:szCs w:val="22"/>
          <w:lang w:val="en-GB"/>
        </w:rPr>
        <w:t>ing</w:t>
      </w:r>
      <w:r w:rsidR="004805E4" w:rsidRPr="000A37BF">
        <w:rPr>
          <w:kern w:val="22"/>
          <w:sz w:val="22"/>
          <w:szCs w:val="22"/>
          <w:lang w:val="en-GB"/>
        </w:rPr>
        <w:t xml:space="preserve"> more effective </w:t>
      </w:r>
      <w:r w:rsidRPr="000A37BF">
        <w:rPr>
          <w:kern w:val="22"/>
          <w:sz w:val="22"/>
          <w:szCs w:val="22"/>
          <w:lang w:val="en-GB"/>
        </w:rPr>
        <w:t xml:space="preserve">reporting under the Convention. The use of the OECD Creditor Reporting </w:t>
      </w:r>
      <w:r w:rsidR="00D33E33" w:rsidRPr="000A37BF">
        <w:rPr>
          <w:kern w:val="22"/>
          <w:sz w:val="22"/>
          <w:szCs w:val="22"/>
          <w:lang w:val="en-GB"/>
        </w:rPr>
        <w:t>System</w:t>
      </w:r>
      <w:r w:rsidRPr="000A37BF">
        <w:rPr>
          <w:kern w:val="22"/>
          <w:sz w:val="22"/>
          <w:szCs w:val="22"/>
          <w:lang w:val="en-GB"/>
        </w:rPr>
        <w:t xml:space="preserve">, and the accuracy of the Rio marker methodology, could usefully be enhanced, with non-members of the OECD DAC as well as multilateral development banks invited to contribute data on a voluntary and consistent basis. Data on domestic expenditure on biodiversity, and expenditure indirectly related to biodiversity, could be improved through engaging with the Government Finance Statistics framework </w:t>
      </w:r>
      <w:r w:rsidR="00C54717" w:rsidRPr="000A37BF">
        <w:rPr>
          <w:kern w:val="22"/>
          <w:sz w:val="22"/>
          <w:szCs w:val="22"/>
          <w:lang w:val="en-GB"/>
        </w:rPr>
        <w:t xml:space="preserve">of the International Monetary Fund </w:t>
      </w:r>
      <w:r w:rsidRPr="000A37BF">
        <w:rPr>
          <w:kern w:val="22"/>
          <w:sz w:val="22"/>
          <w:szCs w:val="22"/>
          <w:lang w:val="en-GB"/>
        </w:rPr>
        <w:t xml:space="preserve">and </w:t>
      </w:r>
      <w:r w:rsidR="00C54717" w:rsidRPr="000A37BF">
        <w:rPr>
          <w:kern w:val="22"/>
          <w:sz w:val="22"/>
          <w:szCs w:val="22"/>
          <w:lang w:val="en-GB"/>
        </w:rPr>
        <w:t xml:space="preserve">with </w:t>
      </w:r>
      <w:r w:rsidRPr="000A37BF">
        <w:rPr>
          <w:kern w:val="22"/>
          <w:sz w:val="22"/>
          <w:szCs w:val="22"/>
          <w:lang w:val="en-GB"/>
        </w:rPr>
        <w:t xml:space="preserve">the </w:t>
      </w:r>
      <w:r w:rsidR="002B4EBA" w:rsidRPr="000A37BF">
        <w:rPr>
          <w:kern w:val="22"/>
          <w:sz w:val="22"/>
          <w:szCs w:val="22"/>
          <w:lang w:val="en-GB" w:eastAsia="en-GB"/>
        </w:rPr>
        <w:t>United Nations</w:t>
      </w:r>
      <w:r w:rsidR="002B4EBA" w:rsidRPr="000A37BF">
        <w:rPr>
          <w:kern w:val="22"/>
          <w:sz w:val="22"/>
          <w:szCs w:val="22"/>
          <w:lang w:val="en-GB"/>
        </w:rPr>
        <w:t xml:space="preserve"> </w:t>
      </w:r>
      <w:r w:rsidRPr="000A37BF">
        <w:rPr>
          <w:kern w:val="22"/>
          <w:sz w:val="22"/>
          <w:szCs w:val="22"/>
          <w:lang w:val="en-GB"/>
        </w:rPr>
        <w:t>Statistics Division. Data on financial flows and subsidies and their impacts on biodiversity are already captured in the relevant OECD databases, namely Producer Support Estimate (PSE) in agriculture and Policy Instruments for the Environment (PINE), and this could be encouraged and broadened, for instance by also covering other economic sectors, such as through the Fisheries Support Estimate (FSE) database.</w:t>
      </w:r>
      <w:bookmarkEnd w:id="12"/>
    </w:p>
    <w:p w14:paraId="19B80CCD" w14:textId="174A7E04" w:rsidR="00754320" w:rsidRPr="000A37BF" w:rsidRDefault="00754320" w:rsidP="000A37BF">
      <w:pPr>
        <w:pStyle w:val="Para1"/>
        <w:numPr>
          <w:ilvl w:val="0"/>
          <w:numId w:val="49"/>
        </w:numPr>
        <w:suppressLineNumbers/>
        <w:suppressAutoHyphens/>
        <w:adjustRightInd w:val="0"/>
        <w:snapToGrid w:val="0"/>
        <w:spacing w:before="120"/>
        <w:ind w:left="0" w:firstLine="0"/>
        <w:jc w:val="both"/>
        <w:rPr>
          <w:kern w:val="22"/>
          <w:sz w:val="22"/>
          <w:szCs w:val="22"/>
          <w:lang w:val="en-GB"/>
        </w:rPr>
      </w:pPr>
      <w:bookmarkStart w:id="13" w:name="_Ref40285269"/>
      <w:bookmarkStart w:id="14" w:name="_Hlk40291007"/>
      <w:r w:rsidRPr="000A37BF">
        <w:rPr>
          <w:kern w:val="22"/>
          <w:sz w:val="22"/>
          <w:szCs w:val="22"/>
          <w:lang w:val="en-GB"/>
        </w:rPr>
        <w:t xml:space="preserve">Parties may therefore wish to consider a further </w:t>
      </w:r>
      <w:r w:rsidR="006F3462" w:rsidRPr="000A37BF">
        <w:rPr>
          <w:kern w:val="22"/>
          <w:sz w:val="22"/>
          <w:szCs w:val="22"/>
          <w:lang w:val="en-GB"/>
        </w:rPr>
        <w:t>d</w:t>
      </w:r>
      <w:r w:rsidRPr="000A37BF">
        <w:rPr>
          <w:kern w:val="22"/>
          <w:sz w:val="22"/>
          <w:szCs w:val="22"/>
          <w:lang w:val="en-GB"/>
        </w:rPr>
        <w:t xml:space="preserve">ecision at </w:t>
      </w:r>
      <w:r w:rsidR="006F3462" w:rsidRPr="000A37BF">
        <w:rPr>
          <w:kern w:val="22"/>
          <w:sz w:val="22"/>
          <w:szCs w:val="22"/>
          <w:lang w:val="en-GB"/>
        </w:rPr>
        <w:t xml:space="preserve">the fifteenth meeting of the Conference of the Parties </w:t>
      </w:r>
      <w:r w:rsidRPr="000A37BF">
        <w:rPr>
          <w:kern w:val="22"/>
          <w:sz w:val="22"/>
          <w:szCs w:val="22"/>
          <w:lang w:val="en-GB"/>
        </w:rPr>
        <w:t xml:space="preserve">inviting relevant partners and organizations and requesting the Executive Secretary to collaborate with </w:t>
      </w:r>
      <w:r w:rsidR="00A61864" w:rsidRPr="00C053AE">
        <w:rPr>
          <w:kern w:val="22"/>
          <w:sz w:val="22"/>
          <w:szCs w:val="22"/>
          <w:lang w:val="en-GB"/>
        </w:rPr>
        <w:t>them</w:t>
      </w:r>
      <w:r w:rsidR="00C668B1" w:rsidRPr="000A37BF">
        <w:rPr>
          <w:kern w:val="22"/>
          <w:sz w:val="22"/>
          <w:szCs w:val="22"/>
          <w:lang w:val="en-GB"/>
        </w:rPr>
        <w:t>,</w:t>
      </w:r>
      <w:r w:rsidRPr="000A37BF">
        <w:rPr>
          <w:kern w:val="22"/>
          <w:sz w:val="22"/>
          <w:szCs w:val="22"/>
          <w:lang w:val="en-GB"/>
        </w:rPr>
        <w:t xml:space="preserve"> in </w:t>
      </w:r>
      <w:r w:rsidR="000646E4" w:rsidRPr="000A37BF">
        <w:rPr>
          <w:kern w:val="22"/>
          <w:sz w:val="22"/>
          <w:szCs w:val="22"/>
          <w:lang w:val="en-GB"/>
        </w:rPr>
        <w:t xml:space="preserve">proposed </w:t>
      </w:r>
      <w:r w:rsidR="004C3DD0" w:rsidRPr="000A37BF">
        <w:rPr>
          <w:kern w:val="22"/>
          <w:sz w:val="22"/>
          <w:szCs w:val="22"/>
          <w:lang w:val="en-GB"/>
        </w:rPr>
        <w:t>work</w:t>
      </w:r>
      <w:r w:rsidRPr="000A37BF">
        <w:rPr>
          <w:kern w:val="22"/>
          <w:sz w:val="22"/>
          <w:szCs w:val="22"/>
          <w:lang w:val="en-GB"/>
        </w:rPr>
        <w:t xml:space="preserve"> designed to improve the global knowledge base on biodiversity-related financial flows</w:t>
      </w:r>
      <w:r w:rsidR="008A7DCF" w:rsidRPr="000A37BF">
        <w:rPr>
          <w:kern w:val="22"/>
          <w:sz w:val="22"/>
          <w:szCs w:val="22"/>
          <w:lang w:val="en-GB"/>
        </w:rPr>
        <w:t>;</w:t>
      </w:r>
      <w:r w:rsidRPr="000A37BF">
        <w:rPr>
          <w:kern w:val="22"/>
          <w:sz w:val="22"/>
          <w:szCs w:val="22"/>
          <w:lang w:val="en-GB"/>
        </w:rPr>
        <w:t xml:space="preserve"> a user-friendly standard </w:t>
      </w:r>
      <w:r w:rsidR="00541BED" w:rsidRPr="000A37BF">
        <w:rPr>
          <w:kern w:val="22"/>
          <w:sz w:val="22"/>
          <w:szCs w:val="22"/>
          <w:lang w:val="en-GB"/>
        </w:rPr>
        <w:t xml:space="preserve">could then be promulgated </w:t>
      </w:r>
      <w:r w:rsidRPr="000A37BF">
        <w:rPr>
          <w:kern w:val="22"/>
          <w:sz w:val="22"/>
          <w:szCs w:val="22"/>
          <w:lang w:val="en-GB"/>
        </w:rPr>
        <w:t xml:space="preserve">to which all Parties </w:t>
      </w:r>
      <w:r w:rsidR="00541BED" w:rsidRPr="000A37BF">
        <w:rPr>
          <w:kern w:val="22"/>
          <w:sz w:val="22"/>
          <w:szCs w:val="22"/>
          <w:lang w:val="en-GB"/>
        </w:rPr>
        <w:t>could</w:t>
      </w:r>
      <w:r w:rsidRPr="000A37BF">
        <w:rPr>
          <w:kern w:val="22"/>
          <w:sz w:val="22"/>
          <w:szCs w:val="22"/>
          <w:lang w:val="en-GB"/>
        </w:rPr>
        <w:t xml:space="preserve"> adhere. </w:t>
      </w:r>
      <w:r w:rsidR="009B2F32" w:rsidRPr="000A37BF">
        <w:rPr>
          <w:kern w:val="22"/>
          <w:sz w:val="22"/>
          <w:szCs w:val="22"/>
          <w:lang w:val="en-GB"/>
        </w:rPr>
        <w:t>Such a decision</w:t>
      </w:r>
      <w:r w:rsidRPr="000A37BF">
        <w:rPr>
          <w:kern w:val="22"/>
          <w:sz w:val="22"/>
          <w:szCs w:val="22"/>
          <w:lang w:val="en-GB"/>
        </w:rPr>
        <w:t xml:space="preserve"> might read</w:t>
      </w:r>
      <w:r w:rsidR="00A61864" w:rsidRPr="00C053AE">
        <w:rPr>
          <w:kern w:val="22"/>
          <w:sz w:val="22"/>
          <w:szCs w:val="22"/>
          <w:lang w:val="en-GB"/>
        </w:rPr>
        <w:t xml:space="preserve"> as follows</w:t>
      </w:r>
      <w:r w:rsidRPr="000A37BF">
        <w:rPr>
          <w:kern w:val="22"/>
          <w:sz w:val="22"/>
          <w:szCs w:val="22"/>
          <w:lang w:val="en-GB"/>
        </w:rPr>
        <w:t>:</w:t>
      </w:r>
      <w:bookmarkEnd w:id="13"/>
    </w:p>
    <w:p w14:paraId="410F91E9" w14:textId="77777777" w:rsidR="00CB013B" w:rsidRPr="000A37BF" w:rsidRDefault="00CB013B" w:rsidP="000A37BF">
      <w:pPr>
        <w:pStyle w:val="Para1"/>
        <w:keepNext/>
        <w:suppressLineNumbers/>
        <w:suppressAutoHyphens/>
        <w:adjustRightInd w:val="0"/>
        <w:snapToGrid w:val="0"/>
        <w:spacing w:before="120"/>
        <w:ind w:left="720"/>
        <w:jc w:val="both"/>
        <w:rPr>
          <w:i/>
          <w:iCs/>
          <w:kern w:val="22"/>
          <w:sz w:val="22"/>
          <w:szCs w:val="22"/>
          <w:lang w:val="en-GB"/>
        </w:rPr>
      </w:pPr>
      <w:r w:rsidRPr="000A37BF">
        <w:rPr>
          <w:i/>
          <w:iCs/>
          <w:kern w:val="22"/>
          <w:sz w:val="22"/>
          <w:szCs w:val="22"/>
          <w:lang w:val="en-GB"/>
        </w:rPr>
        <w:t>[The Conference of the Parties]</w:t>
      </w:r>
    </w:p>
    <w:p w14:paraId="715EF0A5" w14:textId="3650EC27" w:rsidR="00754320" w:rsidRPr="000A37BF" w:rsidRDefault="00754320" w:rsidP="000A37BF">
      <w:pPr>
        <w:spacing w:before="120" w:after="120"/>
        <w:ind w:left="720" w:firstLine="720"/>
        <w:jc w:val="both"/>
        <w:rPr>
          <w:bCs/>
          <w:kern w:val="22"/>
          <w:sz w:val="22"/>
          <w:szCs w:val="22"/>
          <w:lang w:val="en-GB" w:eastAsia="en-GB"/>
        </w:rPr>
      </w:pPr>
      <w:r w:rsidRPr="000A37BF">
        <w:rPr>
          <w:bCs/>
          <w:i/>
          <w:iCs/>
          <w:kern w:val="22"/>
          <w:sz w:val="22"/>
          <w:szCs w:val="22"/>
          <w:lang w:val="en-GB" w:eastAsia="en-GB"/>
        </w:rPr>
        <w:t>Requests</w:t>
      </w:r>
      <w:r w:rsidRPr="000A37BF">
        <w:rPr>
          <w:bCs/>
          <w:kern w:val="22"/>
          <w:sz w:val="22"/>
          <w:szCs w:val="22"/>
          <w:lang w:val="en-GB" w:eastAsia="en-GB"/>
        </w:rPr>
        <w:t xml:space="preserve"> the Executive Secretary, subject to the availability of financial resources, to collaborate with relevant organizations and initiatives with a view to facilitat</w:t>
      </w:r>
      <w:r w:rsidR="00635D22" w:rsidRPr="000A37BF">
        <w:rPr>
          <w:bCs/>
          <w:kern w:val="22"/>
          <w:sz w:val="22"/>
          <w:szCs w:val="22"/>
          <w:lang w:val="en-GB" w:eastAsia="en-GB"/>
        </w:rPr>
        <w:t>ing</w:t>
      </w:r>
      <w:r w:rsidRPr="000A37BF">
        <w:rPr>
          <w:bCs/>
          <w:kern w:val="22"/>
          <w:sz w:val="22"/>
          <w:szCs w:val="22"/>
          <w:lang w:val="en-GB" w:eastAsia="en-GB"/>
        </w:rPr>
        <w:t xml:space="preserve"> and support</w:t>
      </w:r>
      <w:r w:rsidR="00635D22" w:rsidRPr="000A37BF">
        <w:rPr>
          <w:bCs/>
          <w:kern w:val="22"/>
          <w:sz w:val="22"/>
          <w:szCs w:val="22"/>
          <w:lang w:val="en-GB" w:eastAsia="en-GB"/>
        </w:rPr>
        <w:t>ing</w:t>
      </w:r>
      <w:r w:rsidRPr="000A37BF">
        <w:rPr>
          <w:bCs/>
          <w:kern w:val="22"/>
          <w:sz w:val="22"/>
          <w:szCs w:val="22"/>
          <w:lang w:val="en-GB" w:eastAsia="en-GB"/>
        </w:rPr>
        <w:t xml:space="preserve"> the work of the partners </w:t>
      </w:r>
      <w:r w:rsidR="00F96DAE" w:rsidRPr="00C053AE">
        <w:rPr>
          <w:bCs/>
          <w:kern w:val="22"/>
          <w:sz w:val="22"/>
          <w:szCs w:val="22"/>
          <w:lang w:val="en-GB" w:eastAsia="en-GB"/>
        </w:rPr>
        <w:t xml:space="preserve">listed </w:t>
      </w:r>
      <w:r w:rsidRPr="000A37BF">
        <w:rPr>
          <w:bCs/>
          <w:kern w:val="22"/>
          <w:sz w:val="22"/>
          <w:szCs w:val="22"/>
          <w:lang w:val="en-GB" w:eastAsia="en-GB"/>
        </w:rPr>
        <w:t xml:space="preserve">above to improve reporting </w:t>
      </w:r>
      <w:r w:rsidR="00484F54" w:rsidRPr="000A37BF">
        <w:rPr>
          <w:bCs/>
          <w:kern w:val="22"/>
          <w:sz w:val="22"/>
          <w:szCs w:val="22"/>
          <w:lang w:val="en-GB" w:eastAsia="en-GB"/>
        </w:rPr>
        <w:t>on</w:t>
      </w:r>
      <w:r w:rsidRPr="000A37BF">
        <w:rPr>
          <w:bCs/>
          <w:kern w:val="22"/>
          <w:sz w:val="22"/>
          <w:szCs w:val="22"/>
          <w:lang w:val="en-GB" w:eastAsia="en-GB"/>
        </w:rPr>
        <w:t xml:space="preserve"> biodiversity-related funding, direct and indirect, under established international statistical reporting channels and frameworks, as well as </w:t>
      </w:r>
      <w:r w:rsidR="00C44BD3" w:rsidRPr="000A37BF">
        <w:rPr>
          <w:bCs/>
          <w:kern w:val="22"/>
          <w:sz w:val="22"/>
          <w:szCs w:val="22"/>
          <w:lang w:val="en-GB" w:eastAsia="en-GB"/>
        </w:rPr>
        <w:t xml:space="preserve">on </w:t>
      </w:r>
      <w:r w:rsidRPr="000A37BF">
        <w:rPr>
          <w:bCs/>
          <w:kern w:val="22"/>
          <w:sz w:val="22"/>
          <w:szCs w:val="22"/>
          <w:lang w:val="en-GB" w:eastAsia="en-GB"/>
        </w:rPr>
        <w:t xml:space="preserve">the implementation of finance mechanisms, and to prepare a progress report for consideration </w:t>
      </w:r>
      <w:r w:rsidRPr="000A37BF">
        <w:rPr>
          <w:bCs/>
          <w:kern w:val="22"/>
          <w:sz w:val="22"/>
          <w:szCs w:val="22"/>
          <w:lang w:val="en-GB" w:eastAsia="en-GB"/>
        </w:rPr>
        <w:lastRenderedPageBreak/>
        <w:t xml:space="preserve">by </w:t>
      </w:r>
      <w:r w:rsidR="00E87DFE" w:rsidRPr="000A37BF">
        <w:rPr>
          <w:bCs/>
          <w:kern w:val="22"/>
          <w:sz w:val="22"/>
          <w:szCs w:val="22"/>
          <w:lang w:val="en-GB" w:eastAsia="en-GB"/>
        </w:rPr>
        <w:t>the Subsidiary Body on Implementation</w:t>
      </w:r>
      <w:r w:rsidR="004B4873" w:rsidRPr="00C053AE">
        <w:rPr>
          <w:bCs/>
          <w:kern w:val="22"/>
          <w:sz w:val="22"/>
          <w:szCs w:val="22"/>
          <w:lang w:val="en-GB" w:eastAsia="en-GB"/>
        </w:rPr>
        <w:t xml:space="preserve"> at its fourth meeting</w:t>
      </w:r>
      <w:r w:rsidRPr="000A37BF">
        <w:rPr>
          <w:bCs/>
          <w:kern w:val="22"/>
          <w:sz w:val="22"/>
          <w:szCs w:val="22"/>
          <w:lang w:val="en-GB" w:eastAsia="en-GB"/>
        </w:rPr>
        <w:t>, including proposals on possible options for a simplified and more effective financial reporting framework.</w:t>
      </w:r>
    </w:p>
    <w:bookmarkEnd w:id="14"/>
    <w:p w14:paraId="01D45FE4" w14:textId="4BBA84A3" w:rsidR="008B3CAA" w:rsidRPr="000A37BF" w:rsidRDefault="008B3CAA" w:rsidP="000A37BF">
      <w:pPr>
        <w:pStyle w:val="HEADINGNOTFORTOC"/>
        <w:suppressLineNumbers/>
        <w:tabs>
          <w:tab w:val="clear" w:pos="720"/>
          <w:tab w:val="left" w:pos="567"/>
        </w:tabs>
        <w:suppressAutoHyphens/>
        <w:adjustRightInd w:val="0"/>
        <w:snapToGrid w:val="0"/>
        <w:spacing w:before="120"/>
        <w:rPr>
          <w:bCs/>
          <w:kern w:val="22"/>
          <w:sz w:val="22"/>
          <w:szCs w:val="22"/>
          <w:lang w:val="en-GB" w:eastAsia="en-GB"/>
        </w:rPr>
      </w:pPr>
      <w:r w:rsidRPr="000A37BF">
        <w:rPr>
          <w:bCs/>
          <w:kern w:val="22"/>
          <w:sz w:val="22"/>
          <w:szCs w:val="22"/>
          <w:lang w:val="en-GB" w:eastAsia="en-GB"/>
        </w:rPr>
        <w:t>VII.</w:t>
      </w:r>
      <w:r w:rsidRPr="000A37BF">
        <w:rPr>
          <w:bCs/>
          <w:kern w:val="22"/>
          <w:sz w:val="22"/>
          <w:szCs w:val="22"/>
          <w:lang w:val="en-GB" w:eastAsia="en-GB"/>
        </w:rPr>
        <w:tab/>
        <w:t>Conclusion</w:t>
      </w:r>
    </w:p>
    <w:p w14:paraId="178CE4E8" w14:textId="71140E92" w:rsidR="008B3CAA" w:rsidRPr="000A37BF" w:rsidRDefault="008B3CAA" w:rsidP="000A37BF">
      <w:pPr>
        <w:pStyle w:val="Para1"/>
        <w:numPr>
          <w:ilvl w:val="0"/>
          <w:numId w:val="49"/>
        </w:numPr>
        <w:suppressLineNumbers/>
        <w:suppressAutoHyphens/>
        <w:adjustRightInd w:val="0"/>
        <w:snapToGrid w:val="0"/>
        <w:spacing w:before="120"/>
        <w:ind w:left="0" w:firstLine="0"/>
        <w:jc w:val="both"/>
        <w:rPr>
          <w:kern w:val="22"/>
          <w:sz w:val="22"/>
          <w:szCs w:val="22"/>
          <w:lang w:val="en-GB"/>
        </w:rPr>
      </w:pPr>
      <w:r w:rsidRPr="000A37BF">
        <w:rPr>
          <w:kern w:val="22"/>
          <w:sz w:val="22"/>
          <w:szCs w:val="22"/>
          <w:lang w:val="en-GB"/>
        </w:rPr>
        <w:t>Resource mobili</w:t>
      </w:r>
      <w:r w:rsidR="00A14E9F" w:rsidRPr="000A37BF">
        <w:rPr>
          <w:kern w:val="22"/>
          <w:sz w:val="22"/>
          <w:szCs w:val="22"/>
          <w:lang w:val="en-GB"/>
        </w:rPr>
        <w:t>z</w:t>
      </w:r>
      <w:r w:rsidRPr="000A37BF">
        <w:rPr>
          <w:kern w:val="22"/>
          <w:sz w:val="22"/>
          <w:szCs w:val="22"/>
          <w:lang w:val="en-GB"/>
        </w:rPr>
        <w:t xml:space="preserve">ation is fundamental to the achievement of the objectives of the </w:t>
      </w:r>
      <w:r w:rsidR="00C54717" w:rsidRPr="000A37BF">
        <w:rPr>
          <w:kern w:val="22"/>
          <w:sz w:val="22"/>
          <w:szCs w:val="22"/>
          <w:lang w:val="en-GB" w:eastAsia="en-GB"/>
        </w:rPr>
        <w:t>Convention</w:t>
      </w:r>
      <w:r w:rsidR="00C54717" w:rsidRPr="000A37BF">
        <w:rPr>
          <w:kern w:val="22"/>
          <w:sz w:val="22"/>
          <w:szCs w:val="22"/>
          <w:lang w:val="en-GB"/>
        </w:rPr>
        <w:t xml:space="preserve"> </w:t>
      </w:r>
      <w:r w:rsidRPr="000A37BF">
        <w:rPr>
          <w:kern w:val="22"/>
          <w:sz w:val="22"/>
          <w:szCs w:val="22"/>
          <w:lang w:val="en-GB"/>
        </w:rPr>
        <w:t>and should be an integral part of the post-2020 global biodiversity framework. Meeting resource mobili</w:t>
      </w:r>
      <w:r w:rsidR="00A14E9F" w:rsidRPr="000A37BF">
        <w:rPr>
          <w:kern w:val="22"/>
          <w:sz w:val="22"/>
          <w:szCs w:val="22"/>
          <w:lang w:val="en-GB"/>
        </w:rPr>
        <w:t>z</w:t>
      </w:r>
      <w:r w:rsidRPr="000A37BF">
        <w:rPr>
          <w:kern w:val="22"/>
          <w:sz w:val="22"/>
          <w:szCs w:val="22"/>
          <w:lang w:val="en-GB"/>
        </w:rPr>
        <w:t>ation targets will be necessary for other targets of the post-2020 global biodiversity framework to be</w:t>
      </w:r>
      <w:r w:rsidR="0022296E" w:rsidRPr="000A37BF">
        <w:rPr>
          <w:kern w:val="22"/>
          <w:sz w:val="22"/>
          <w:szCs w:val="22"/>
          <w:lang w:val="en-GB"/>
        </w:rPr>
        <w:t xml:space="preserve"> achieved</w:t>
      </w:r>
      <w:r w:rsidRPr="000A37BF">
        <w:rPr>
          <w:kern w:val="22"/>
          <w:sz w:val="22"/>
          <w:szCs w:val="22"/>
          <w:lang w:val="en-GB"/>
        </w:rPr>
        <w:t xml:space="preserve">. In conveying its contribution to the draft resource mobilization component, the </w:t>
      </w:r>
      <w:r w:rsidR="00F770E8" w:rsidRPr="000A37BF">
        <w:rPr>
          <w:kern w:val="22"/>
          <w:sz w:val="22"/>
          <w:szCs w:val="22"/>
          <w:lang w:val="en-GB"/>
        </w:rPr>
        <w:t>P</w:t>
      </w:r>
      <w:r w:rsidRPr="000A37BF">
        <w:rPr>
          <w:kern w:val="22"/>
          <w:sz w:val="22"/>
          <w:szCs w:val="22"/>
          <w:lang w:val="en-GB"/>
        </w:rPr>
        <w:t xml:space="preserve">anel of </w:t>
      </w:r>
      <w:r w:rsidR="00F770E8" w:rsidRPr="000A37BF">
        <w:rPr>
          <w:kern w:val="22"/>
          <w:sz w:val="22"/>
          <w:szCs w:val="22"/>
          <w:lang w:val="en-GB"/>
        </w:rPr>
        <w:t>E</w:t>
      </w:r>
      <w:r w:rsidRPr="000A37BF">
        <w:rPr>
          <w:kern w:val="22"/>
          <w:sz w:val="22"/>
          <w:szCs w:val="22"/>
          <w:lang w:val="en-GB"/>
        </w:rPr>
        <w:t xml:space="preserve">xperts </w:t>
      </w:r>
      <w:r w:rsidR="00A74F78" w:rsidRPr="000A37BF">
        <w:rPr>
          <w:kern w:val="22"/>
          <w:sz w:val="22"/>
          <w:szCs w:val="22"/>
          <w:lang w:val="en-GB"/>
        </w:rPr>
        <w:t>emphasizes</w:t>
      </w:r>
      <w:r w:rsidRPr="000A37BF">
        <w:rPr>
          <w:kern w:val="22"/>
          <w:sz w:val="22"/>
          <w:szCs w:val="22"/>
          <w:lang w:val="en-GB"/>
        </w:rPr>
        <w:t xml:space="preserve"> the following key messages:</w:t>
      </w:r>
    </w:p>
    <w:p w14:paraId="0F2053C1" w14:textId="53195BC1" w:rsidR="007C067E" w:rsidRPr="000A37BF" w:rsidRDefault="00306093" w:rsidP="000A37BF">
      <w:pPr>
        <w:pStyle w:val="ListParagraph"/>
        <w:numPr>
          <w:ilvl w:val="0"/>
          <w:numId w:val="44"/>
        </w:numPr>
        <w:suppressLineNumbers/>
        <w:suppressAutoHyphens/>
        <w:adjustRightInd w:val="0"/>
        <w:snapToGrid w:val="0"/>
        <w:spacing w:after="120"/>
        <w:ind w:left="0" w:firstLine="720"/>
        <w:jc w:val="both"/>
        <w:rPr>
          <w:kern w:val="22"/>
          <w:sz w:val="22"/>
          <w:szCs w:val="22"/>
          <w:lang w:val="en-GB"/>
        </w:rPr>
      </w:pPr>
      <w:r w:rsidRPr="000A37BF">
        <w:rPr>
          <w:kern w:val="22"/>
          <w:sz w:val="22"/>
          <w:szCs w:val="22"/>
          <w:lang w:val="en-GB"/>
        </w:rPr>
        <w:t>Resource mobili</w:t>
      </w:r>
      <w:r w:rsidR="00A14E9F" w:rsidRPr="000A37BF">
        <w:rPr>
          <w:kern w:val="22"/>
          <w:sz w:val="22"/>
          <w:szCs w:val="22"/>
          <w:lang w:val="en-GB"/>
        </w:rPr>
        <w:t>z</w:t>
      </w:r>
      <w:r w:rsidRPr="000A37BF">
        <w:rPr>
          <w:kern w:val="22"/>
          <w:sz w:val="22"/>
          <w:szCs w:val="22"/>
          <w:lang w:val="en-GB"/>
        </w:rPr>
        <w:t>ation will require transformative, inclusive and equitable change across economies and society. A strategic approach to resource mobili</w:t>
      </w:r>
      <w:r w:rsidR="00A14E9F" w:rsidRPr="000A37BF">
        <w:rPr>
          <w:kern w:val="22"/>
          <w:sz w:val="22"/>
          <w:szCs w:val="22"/>
          <w:lang w:val="en-GB"/>
        </w:rPr>
        <w:t>z</w:t>
      </w:r>
      <w:r w:rsidRPr="000A37BF">
        <w:rPr>
          <w:kern w:val="22"/>
          <w:sz w:val="22"/>
          <w:szCs w:val="22"/>
          <w:lang w:val="en-GB"/>
        </w:rPr>
        <w:t xml:space="preserve">ation should be made up of three </w:t>
      </w:r>
      <w:r w:rsidR="00F67B5C" w:rsidRPr="000A37BF">
        <w:rPr>
          <w:kern w:val="22"/>
          <w:sz w:val="22"/>
          <w:szCs w:val="22"/>
          <w:lang w:val="en-GB"/>
        </w:rPr>
        <w:t xml:space="preserve">interconnected </w:t>
      </w:r>
      <w:r w:rsidR="00A74F78" w:rsidRPr="000A37BF">
        <w:rPr>
          <w:kern w:val="22"/>
          <w:sz w:val="22"/>
          <w:szCs w:val="22"/>
          <w:lang w:val="en-GB"/>
        </w:rPr>
        <w:t xml:space="preserve">and complementary </w:t>
      </w:r>
      <w:r w:rsidRPr="000A37BF">
        <w:rPr>
          <w:kern w:val="22"/>
          <w:sz w:val="22"/>
          <w:szCs w:val="22"/>
          <w:lang w:val="en-GB"/>
        </w:rPr>
        <w:t>components:</w:t>
      </w:r>
    </w:p>
    <w:p w14:paraId="09F63EDB" w14:textId="0EE1D1CF" w:rsidR="007C067E" w:rsidRPr="000A37BF" w:rsidRDefault="007C067E" w:rsidP="000A37BF">
      <w:pPr>
        <w:pStyle w:val="ListParagraph"/>
        <w:numPr>
          <w:ilvl w:val="0"/>
          <w:numId w:val="51"/>
        </w:numPr>
        <w:suppressLineNumbers/>
        <w:suppressAutoHyphens/>
        <w:adjustRightInd w:val="0"/>
        <w:snapToGrid w:val="0"/>
        <w:spacing w:after="120"/>
        <w:ind w:left="1458" w:hanging="607"/>
        <w:jc w:val="both"/>
        <w:rPr>
          <w:kern w:val="22"/>
          <w:sz w:val="22"/>
          <w:szCs w:val="22"/>
          <w:lang w:val="en-GB" w:eastAsia="en-GB"/>
        </w:rPr>
      </w:pPr>
      <w:r w:rsidRPr="000A37BF">
        <w:rPr>
          <w:kern w:val="22"/>
          <w:sz w:val="22"/>
          <w:szCs w:val="22"/>
          <w:lang w:val="en-GB" w:eastAsia="en-GB"/>
        </w:rPr>
        <w:t>R</w:t>
      </w:r>
      <w:r w:rsidR="00306093" w:rsidRPr="000A37BF">
        <w:rPr>
          <w:kern w:val="22"/>
          <w:sz w:val="22"/>
          <w:szCs w:val="22"/>
          <w:lang w:val="en-GB" w:eastAsia="en-GB"/>
        </w:rPr>
        <w:t>educing or redirecting resources causing harm to biodiversity</w:t>
      </w:r>
      <w:r w:rsidR="008B3CAA" w:rsidRPr="000A37BF">
        <w:rPr>
          <w:kern w:val="22"/>
          <w:sz w:val="22"/>
          <w:szCs w:val="22"/>
          <w:lang w:val="en-GB" w:eastAsia="en-GB"/>
        </w:rPr>
        <w:t>;</w:t>
      </w:r>
    </w:p>
    <w:p w14:paraId="13727BA8" w14:textId="083AABBF" w:rsidR="007C067E" w:rsidRPr="000A37BF" w:rsidRDefault="007C067E" w:rsidP="000A37BF">
      <w:pPr>
        <w:pStyle w:val="ListParagraph"/>
        <w:numPr>
          <w:ilvl w:val="0"/>
          <w:numId w:val="51"/>
        </w:numPr>
        <w:suppressLineNumbers/>
        <w:suppressAutoHyphens/>
        <w:adjustRightInd w:val="0"/>
        <w:snapToGrid w:val="0"/>
        <w:spacing w:after="120"/>
        <w:ind w:left="1458" w:hanging="607"/>
        <w:jc w:val="both"/>
        <w:rPr>
          <w:kern w:val="22"/>
          <w:sz w:val="22"/>
          <w:szCs w:val="22"/>
          <w:lang w:val="en-GB" w:eastAsia="en-GB"/>
        </w:rPr>
      </w:pPr>
      <w:r w:rsidRPr="000A37BF">
        <w:rPr>
          <w:kern w:val="22"/>
          <w:sz w:val="22"/>
          <w:szCs w:val="22"/>
          <w:lang w:val="en-GB" w:eastAsia="en-GB"/>
        </w:rPr>
        <w:t>G</w:t>
      </w:r>
      <w:r w:rsidR="00306093" w:rsidRPr="000A37BF">
        <w:rPr>
          <w:kern w:val="22"/>
          <w:sz w:val="22"/>
          <w:szCs w:val="22"/>
          <w:lang w:val="en-GB" w:eastAsia="en-GB"/>
        </w:rPr>
        <w:t>enerating additional resources from all sources to achieve the three objectives of the Convention</w:t>
      </w:r>
      <w:r w:rsidR="008B3CAA" w:rsidRPr="000A37BF">
        <w:rPr>
          <w:kern w:val="22"/>
          <w:sz w:val="22"/>
          <w:szCs w:val="22"/>
          <w:lang w:val="en-GB" w:eastAsia="en-GB"/>
        </w:rPr>
        <w:t>;</w:t>
      </w:r>
    </w:p>
    <w:p w14:paraId="4DEED913" w14:textId="115E2902" w:rsidR="00306093" w:rsidRPr="000A37BF" w:rsidRDefault="007C067E" w:rsidP="000A37BF">
      <w:pPr>
        <w:pStyle w:val="ListParagraph"/>
        <w:numPr>
          <w:ilvl w:val="0"/>
          <w:numId w:val="51"/>
        </w:numPr>
        <w:suppressLineNumbers/>
        <w:suppressAutoHyphens/>
        <w:adjustRightInd w:val="0"/>
        <w:snapToGrid w:val="0"/>
        <w:spacing w:after="120"/>
        <w:ind w:left="1458" w:hanging="607"/>
        <w:jc w:val="both"/>
        <w:rPr>
          <w:kern w:val="22"/>
          <w:sz w:val="22"/>
          <w:szCs w:val="22"/>
          <w:lang w:val="en-GB" w:eastAsia="en-GB"/>
        </w:rPr>
      </w:pPr>
      <w:r w:rsidRPr="000A37BF">
        <w:rPr>
          <w:kern w:val="22"/>
          <w:sz w:val="22"/>
          <w:szCs w:val="22"/>
          <w:lang w:val="en-GB" w:eastAsia="en-GB"/>
        </w:rPr>
        <w:t>E</w:t>
      </w:r>
      <w:r w:rsidR="00306093" w:rsidRPr="000A37BF">
        <w:rPr>
          <w:kern w:val="22"/>
          <w:sz w:val="22"/>
          <w:szCs w:val="22"/>
          <w:lang w:val="en-GB" w:eastAsia="en-GB"/>
        </w:rPr>
        <w:t>nhancing the effectiveness and efficiency of resource use</w:t>
      </w:r>
      <w:r w:rsidR="00573377" w:rsidRPr="000A37BF">
        <w:rPr>
          <w:kern w:val="22"/>
          <w:sz w:val="22"/>
          <w:szCs w:val="22"/>
          <w:lang w:val="en-GB" w:eastAsia="en-GB"/>
        </w:rPr>
        <w:t>;</w:t>
      </w:r>
    </w:p>
    <w:p w14:paraId="26E20680" w14:textId="4DDB850B" w:rsidR="005D17E9" w:rsidRPr="000A37BF" w:rsidRDefault="00A74F78" w:rsidP="000A37BF">
      <w:pPr>
        <w:pStyle w:val="ListParagraph"/>
        <w:keepNext/>
        <w:numPr>
          <w:ilvl w:val="0"/>
          <w:numId w:val="44"/>
        </w:numPr>
        <w:suppressLineNumbers/>
        <w:suppressAutoHyphens/>
        <w:adjustRightInd w:val="0"/>
        <w:snapToGrid w:val="0"/>
        <w:spacing w:after="120"/>
        <w:ind w:left="0" w:firstLine="720"/>
        <w:jc w:val="both"/>
        <w:rPr>
          <w:kern w:val="22"/>
          <w:sz w:val="22"/>
          <w:szCs w:val="22"/>
          <w:lang w:val="en-GB" w:eastAsia="en-GB"/>
        </w:rPr>
      </w:pPr>
      <w:r w:rsidRPr="000A37BF">
        <w:rPr>
          <w:kern w:val="22"/>
          <w:sz w:val="22"/>
          <w:szCs w:val="22"/>
          <w:lang w:val="en-GB" w:eastAsia="en-GB"/>
        </w:rPr>
        <w:t xml:space="preserve">A wider range of </w:t>
      </w:r>
      <w:r w:rsidR="00306093" w:rsidRPr="000A37BF">
        <w:rPr>
          <w:kern w:val="22"/>
          <w:sz w:val="22"/>
          <w:szCs w:val="22"/>
          <w:lang w:val="en-GB" w:eastAsia="en-GB"/>
        </w:rPr>
        <w:t>actors need to take a lead role in resource mobili</w:t>
      </w:r>
      <w:r w:rsidR="00A14E9F" w:rsidRPr="000A37BF">
        <w:rPr>
          <w:kern w:val="22"/>
          <w:sz w:val="22"/>
          <w:szCs w:val="22"/>
          <w:lang w:val="en-GB" w:eastAsia="en-GB"/>
        </w:rPr>
        <w:t>z</w:t>
      </w:r>
      <w:r w:rsidR="00306093" w:rsidRPr="000A37BF">
        <w:rPr>
          <w:kern w:val="22"/>
          <w:sz w:val="22"/>
          <w:szCs w:val="22"/>
          <w:lang w:val="en-GB" w:eastAsia="en-GB"/>
        </w:rPr>
        <w:t>ation:</w:t>
      </w:r>
    </w:p>
    <w:p w14:paraId="1385688C" w14:textId="798BDBD9" w:rsidR="005D17E9" w:rsidRPr="000A37BF" w:rsidRDefault="005D17E9" w:rsidP="000A37BF">
      <w:pPr>
        <w:pStyle w:val="ListParagraph"/>
        <w:numPr>
          <w:ilvl w:val="0"/>
          <w:numId w:val="50"/>
        </w:numPr>
        <w:suppressLineNumbers/>
        <w:suppressAutoHyphens/>
        <w:adjustRightInd w:val="0"/>
        <w:snapToGrid w:val="0"/>
        <w:spacing w:after="120"/>
        <w:ind w:left="1458" w:hanging="607"/>
        <w:jc w:val="both"/>
        <w:rPr>
          <w:kern w:val="22"/>
          <w:sz w:val="22"/>
          <w:szCs w:val="22"/>
          <w:lang w:val="en-GB" w:eastAsia="en-GB"/>
        </w:rPr>
      </w:pPr>
      <w:r w:rsidRPr="000A37BF">
        <w:rPr>
          <w:kern w:val="22"/>
          <w:sz w:val="22"/>
          <w:szCs w:val="22"/>
          <w:lang w:val="en-GB" w:eastAsia="en-GB"/>
        </w:rPr>
        <w:t>T</w:t>
      </w:r>
      <w:r w:rsidR="00306093" w:rsidRPr="000A37BF">
        <w:rPr>
          <w:kern w:val="22"/>
          <w:sz w:val="22"/>
          <w:szCs w:val="22"/>
          <w:lang w:val="en-GB" w:eastAsia="en-GB"/>
        </w:rPr>
        <w:t xml:space="preserve">he public sector </w:t>
      </w:r>
      <w:r w:rsidR="00D863A6" w:rsidRPr="000A37BF">
        <w:rPr>
          <w:kern w:val="22"/>
          <w:sz w:val="22"/>
          <w:szCs w:val="22"/>
          <w:lang w:val="en-GB" w:eastAsia="en-GB"/>
        </w:rPr>
        <w:t xml:space="preserve">should </w:t>
      </w:r>
      <w:r w:rsidR="0034451A" w:rsidRPr="000A37BF">
        <w:rPr>
          <w:kern w:val="22"/>
          <w:sz w:val="22"/>
          <w:szCs w:val="22"/>
          <w:lang w:val="en-GB" w:eastAsia="en-GB"/>
        </w:rPr>
        <w:t xml:space="preserve">reduce harmful expenditures and subsidies, scale </w:t>
      </w:r>
      <w:r w:rsidR="006908D5" w:rsidRPr="000A37BF">
        <w:rPr>
          <w:kern w:val="22"/>
          <w:sz w:val="22"/>
          <w:szCs w:val="22"/>
          <w:lang w:val="en-GB" w:eastAsia="en-GB"/>
        </w:rPr>
        <w:t xml:space="preserve">up </w:t>
      </w:r>
      <w:r w:rsidR="0034451A" w:rsidRPr="000A37BF">
        <w:rPr>
          <w:kern w:val="22"/>
          <w:sz w:val="22"/>
          <w:szCs w:val="22"/>
          <w:lang w:val="en-GB" w:eastAsia="en-GB"/>
        </w:rPr>
        <w:t>finance</w:t>
      </w:r>
      <w:r w:rsidR="00D863A6" w:rsidRPr="000A37BF">
        <w:rPr>
          <w:kern w:val="22"/>
          <w:sz w:val="22"/>
          <w:szCs w:val="22"/>
          <w:lang w:val="en-GB" w:eastAsia="en-GB"/>
        </w:rPr>
        <w:t>,</w:t>
      </w:r>
      <w:r w:rsidR="0034451A" w:rsidRPr="000A37BF">
        <w:rPr>
          <w:kern w:val="22"/>
          <w:sz w:val="22"/>
          <w:szCs w:val="22"/>
          <w:lang w:val="en-GB" w:eastAsia="en-GB"/>
        </w:rPr>
        <w:t xml:space="preserve"> and also </w:t>
      </w:r>
      <w:r w:rsidR="00306093" w:rsidRPr="000A37BF">
        <w:rPr>
          <w:kern w:val="22"/>
          <w:sz w:val="22"/>
          <w:szCs w:val="22"/>
          <w:lang w:val="en-GB" w:eastAsia="en-GB"/>
        </w:rPr>
        <w:t>put in place enabling policies, capacit</w:t>
      </w:r>
      <w:r w:rsidR="00A74F78" w:rsidRPr="000A37BF">
        <w:rPr>
          <w:kern w:val="22"/>
          <w:sz w:val="22"/>
          <w:szCs w:val="22"/>
          <w:lang w:val="en-GB" w:eastAsia="en-GB"/>
        </w:rPr>
        <w:t>y-building</w:t>
      </w:r>
      <w:r w:rsidR="00306093" w:rsidRPr="000A37BF">
        <w:rPr>
          <w:kern w:val="22"/>
          <w:sz w:val="22"/>
          <w:szCs w:val="22"/>
          <w:lang w:val="en-GB" w:eastAsia="en-GB"/>
        </w:rPr>
        <w:t xml:space="preserve"> and financing mechanisms;</w:t>
      </w:r>
    </w:p>
    <w:p w14:paraId="074775F7" w14:textId="057E0068" w:rsidR="005D17E9" w:rsidRPr="000A37BF" w:rsidRDefault="005D17E9" w:rsidP="000A37BF">
      <w:pPr>
        <w:pStyle w:val="ListParagraph"/>
        <w:numPr>
          <w:ilvl w:val="0"/>
          <w:numId w:val="50"/>
        </w:numPr>
        <w:suppressLineNumbers/>
        <w:suppressAutoHyphens/>
        <w:adjustRightInd w:val="0"/>
        <w:snapToGrid w:val="0"/>
        <w:spacing w:after="120"/>
        <w:ind w:left="1458" w:hanging="607"/>
        <w:jc w:val="both"/>
        <w:rPr>
          <w:kern w:val="22"/>
          <w:sz w:val="22"/>
          <w:szCs w:val="22"/>
          <w:lang w:val="en-GB" w:eastAsia="en-GB"/>
        </w:rPr>
      </w:pPr>
      <w:r w:rsidRPr="000A37BF">
        <w:rPr>
          <w:kern w:val="22"/>
          <w:sz w:val="22"/>
          <w:szCs w:val="22"/>
          <w:lang w:val="en-GB" w:eastAsia="en-GB"/>
        </w:rPr>
        <w:t>B</w:t>
      </w:r>
      <w:r w:rsidR="0068004C" w:rsidRPr="000A37BF">
        <w:rPr>
          <w:kern w:val="22"/>
          <w:sz w:val="22"/>
          <w:szCs w:val="22"/>
          <w:lang w:val="en-GB" w:eastAsia="en-GB"/>
        </w:rPr>
        <w:t xml:space="preserve">usinesses and the finance sector </w:t>
      </w:r>
      <w:r w:rsidR="00306093" w:rsidRPr="000A37BF">
        <w:rPr>
          <w:kern w:val="22"/>
          <w:sz w:val="22"/>
          <w:szCs w:val="22"/>
          <w:lang w:val="en-GB" w:eastAsia="en-GB"/>
        </w:rPr>
        <w:t xml:space="preserve">should scale </w:t>
      </w:r>
      <w:r w:rsidR="006908D5" w:rsidRPr="000A37BF">
        <w:rPr>
          <w:kern w:val="22"/>
          <w:sz w:val="22"/>
          <w:szCs w:val="22"/>
          <w:lang w:val="en-GB" w:eastAsia="en-GB"/>
        </w:rPr>
        <w:t xml:space="preserve">up </w:t>
      </w:r>
      <w:r w:rsidR="00306093" w:rsidRPr="000A37BF">
        <w:rPr>
          <w:kern w:val="22"/>
          <w:sz w:val="22"/>
          <w:szCs w:val="22"/>
          <w:lang w:val="en-GB" w:eastAsia="en-GB"/>
        </w:rPr>
        <w:t>biodiversity</w:t>
      </w:r>
      <w:r w:rsidR="00635D22" w:rsidRPr="000A37BF">
        <w:rPr>
          <w:kern w:val="22"/>
          <w:sz w:val="22"/>
          <w:szCs w:val="22"/>
          <w:lang w:val="en-GB" w:eastAsia="en-GB"/>
        </w:rPr>
        <w:t>-</w:t>
      </w:r>
      <w:r w:rsidR="00306093" w:rsidRPr="000A37BF">
        <w:rPr>
          <w:kern w:val="22"/>
          <w:sz w:val="22"/>
          <w:szCs w:val="22"/>
          <w:lang w:val="en-GB" w:eastAsia="en-GB"/>
        </w:rPr>
        <w:t xml:space="preserve">positive investments, while </w:t>
      </w:r>
      <w:r w:rsidR="0034451A" w:rsidRPr="000A37BF">
        <w:rPr>
          <w:kern w:val="22"/>
          <w:sz w:val="22"/>
          <w:szCs w:val="22"/>
          <w:lang w:val="en-GB" w:eastAsia="en-GB"/>
        </w:rPr>
        <w:t xml:space="preserve">also </w:t>
      </w:r>
      <w:r w:rsidR="00306093" w:rsidRPr="000A37BF">
        <w:rPr>
          <w:kern w:val="22"/>
          <w:sz w:val="22"/>
          <w:szCs w:val="22"/>
          <w:lang w:val="en-GB" w:eastAsia="en-GB"/>
        </w:rPr>
        <w:t>reducing harmful expenditure</w:t>
      </w:r>
      <w:r w:rsidR="00A74F78" w:rsidRPr="000A37BF">
        <w:rPr>
          <w:kern w:val="22"/>
          <w:sz w:val="22"/>
          <w:szCs w:val="22"/>
          <w:lang w:val="en-GB" w:eastAsia="en-GB"/>
        </w:rPr>
        <w:t xml:space="preserve"> for which </w:t>
      </w:r>
      <w:r w:rsidR="007C067E" w:rsidRPr="000A37BF">
        <w:rPr>
          <w:kern w:val="22"/>
          <w:sz w:val="22"/>
          <w:szCs w:val="22"/>
          <w:lang w:val="en-GB" w:eastAsia="en-GB"/>
        </w:rPr>
        <w:t>they are</w:t>
      </w:r>
      <w:r w:rsidR="00A74F78" w:rsidRPr="000A37BF">
        <w:rPr>
          <w:kern w:val="22"/>
          <w:sz w:val="22"/>
          <w:szCs w:val="22"/>
          <w:lang w:val="en-GB" w:eastAsia="en-GB"/>
        </w:rPr>
        <w:t xml:space="preserve"> responsible</w:t>
      </w:r>
      <w:r w:rsidR="00306093" w:rsidRPr="000A37BF">
        <w:rPr>
          <w:kern w:val="22"/>
          <w:sz w:val="22"/>
          <w:szCs w:val="22"/>
          <w:lang w:val="en-GB" w:eastAsia="en-GB"/>
        </w:rPr>
        <w:t>;</w:t>
      </w:r>
    </w:p>
    <w:p w14:paraId="517FBAF4" w14:textId="25ED1715" w:rsidR="00306093" w:rsidRPr="000A37BF" w:rsidRDefault="005D17E9" w:rsidP="000A37BF">
      <w:pPr>
        <w:pStyle w:val="ListParagraph"/>
        <w:numPr>
          <w:ilvl w:val="0"/>
          <w:numId w:val="50"/>
        </w:numPr>
        <w:suppressLineNumbers/>
        <w:suppressAutoHyphens/>
        <w:adjustRightInd w:val="0"/>
        <w:snapToGrid w:val="0"/>
        <w:spacing w:after="120"/>
        <w:ind w:left="1458" w:hanging="607"/>
        <w:jc w:val="both"/>
        <w:rPr>
          <w:kern w:val="22"/>
          <w:sz w:val="22"/>
          <w:szCs w:val="22"/>
          <w:lang w:val="en-GB"/>
        </w:rPr>
      </w:pPr>
      <w:r w:rsidRPr="000A37BF">
        <w:rPr>
          <w:kern w:val="22"/>
          <w:sz w:val="22"/>
          <w:szCs w:val="22"/>
          <w:lang w:val="en-GB" w:eastAsia="en-GB"/>
        </w:rPr>
        <w:t>D</w:t>
      </w:r>
      <w:r w:rsidR="00306093" w:rsidRPr="000A37BF">
        <w:rPr>
          <w:kern w:val="22"/>
          <w:sz w:val="22"/>
          <w:szCs w:val="22"/>
          <w:lang w:val="en-GB" w:eastAsia="en-GB"/>
        </w:rPr>
        <w:t>evelopment organi</w:t>
      </w:r>
      <w:r w:rsidR="00A14E9F" w:rsidRPr="000A37BF">
        <w:rPr>
          <w:kern w:val="22"/>
          <w:sz w:val="22"/>
          <w:szCs w:val="22"/>
          <w:lang w:val="en-GB" w:eastAsia="en-GB"/>
        </w:rPr>
        <w:t>z</w:t>
      </w:r>
      <w:r w:rsidR="00306093" w:rsidRPr="000A37BF">
        <w:rPr>
          <w:kern w:val="22"/>
          <w:sz w:val="22"/>
          <w:szCs w:val="22"/>
          <w:lang w:val="en-GB" w:eastAsia="en-GB"/>
        </w:rPr>
        <w:t xml:space="preserve">ations should provide </w:t>
      </w:r>
      <w:r w:rsidR="00B944D6" w:rsidRPr="000A37BF">
        <w:rPr>
          <w:kern w:val="22"/>
          <w:sz w:val="22"/>
          <w:szCs w:val="22"/>
          <w:lang w:val="en-GB" w:eastAsia="en-GB"/>
        </w:rPr>
        <w:t xml:space="preserve">direct and indirect </w:t>
      </w:r>
      <w:r w:rsidR="00306093" w:rsidRPr="000A37BF">
        <w:rPr>
          <w:kern w:val="22"/>
          <w:sz w:val="22"/>
          <w:szCs w:val="22"/>
          <w:lang w:val="en-GB" w:eastAsia="en-GB"/>
        </w:rPr>
        <w:t>finance</w:t>
      </w:r>
      <w:r w:rsidR="00B944D6" w:rsidRPr="000A37BF">
        <w:rPr>
          <w:kern w:val="22"/>
          <w:sz w:val="22"/>
          <w:szCs w:val="22"/>
          <w:lang w:val="en-GB" w:eastAsia="en-GB"/>
        </w:rPr>
        <w:t xml:space="preserve"> for biodiversity</w:t>
      </w:r>
      <w:r w:rsidR="007C067E" w:rsidRPr="000A37BF">
        <w:rPr>
          <w:kern w:val="22"/>
          <w:sz w:val="22"/>
          <w:szCs w:val="22"/>
          <w:lang w:val="en-GB" w:eastAsia="en-GB"/>
        </w:rPr>
        <w:t>-</w:t>
      </w:r>
      <w:r w:rsidR="00B944D6" w:rsidRPr="000A37BF">
        <w:rPr>
          <w:kern w:val="22"/>
          <w:sz w:val="22"/>
          <w:szCs w:val="22"/>
          <w:lang w:val="en-GB" w:eastAsia="en-GB"/>
        </w:rPr>
        <w:t>positive outcomes,</w:t>
      </w:r>
      <w:r w:rsidR="00306093" w:rsidRPr="000A37BF">
        <w:rPr>
          <w:kern w:val="22"/>
          <w:sz w:val="22"/>
          <w:szCs w:val="22"/>
          <w:lang w:val="en-GB" w:eastAsia="en-GB"/>
        </w:rPr>
        <w:t xml:space="preserve"> </w:t>
      </w:r>
      <w:r w:rsidR="00FC10A0" w:rsidRPr="000A37BF">
        <w:rPr>
          <w:kern w:val="22"/>
          <w:sz w:val="22"/>
          <w:szCs w:val="22"/>
          <w:lang w:val="en-GB" w:eastAsia="en-GB"/>
        </w:rPr>
        <w:t>as well as</w:t>
      </w:r>
      <w:r w:rsidR="00306093" w:rsidRPr="000A37BF">
        <w:rPr>
          <w:kern w:val="22"/>
          <w:sz w:val="22"/>
          <w:szCs w:val="22"/>
          <w:lang w:val="en-GB" w:eastAsia="en-GB"/>
        </w:rPr>
        <w:t xml:space="preserve"> capacity development support</w:t>
      </w:r>
      <w:r w:rsidR="00B944D6" w:rsidRPr="000A37BF">
        <w:rPr>
          <w:kern w:val="22"/>
          <w:sz w:val="22"/>
          <w:szCs w:val="22"/>
          <w:lang w:val="en-GB" w:eastAsia="en-GB"/>
        </w:rPr>
        <w:t xml:space="preserve">, while ensuring </w:t>
      </w:r>
      <w:r w:rsidR="00FC10A0" w:rsidRPr="000A37BF">
        <w:rPr>
          <w:kern w:val="22"/>
          <w:sz w:val="22"/>
          <w:szCs w:val="22"/>
          <w:lang w:val="en-GB" w:eastAsia="en-GB"/>
        </w:rPr>
        <w:t xml:space="preserve">that development finance results in </w:t>
      </w:r>
      <w:r w:rsidR="00B944D6" w:rsidRPr="000A37BF">
        <w:rPr>
          <w:kern w:val="22"/>
          <w:sz w:val="22"/>
          <w:szCs w:val="22"/>
          <w:lang w:val="en-GB" w:eastAsia="en-GB"/>
        </w:rPr>
        <w:t>no net harm to biodiversity</w:t>
      </w:r>
      <w:r w:rsidR="00573377" w:rsidRPr="000A37BF">
        <w:rPr>
          <w:kern w:val="22"/>
          <w:sz w:val="22"/>
          <w:szCs w:val="22"/>
          <w:lang w:val="en-GB" w:eastAsia="en-GB"/>
        </w:rPr>
        <w:t>;</w:t>
      </w:r>
    </w:p>
    <w:p w14:paraId="6401CE7B" w14:textId="668740FE" w:rsidR="00306093" w:rsidRPr="000A37BF" w:rsidRDefault="00A74F78" w:rsidP="000A37BF">
      <w:pPr>
        <w:pStyle w:val="ListParagraph"/>
        <w:numPr>
          <w:ilvl w:val="0"/>
          <w:numId w:val="44"/>
        </w:numPr>
        <w:suppressLineNumbers/>
        <w:suppressAutoHyphens/>
        <w:adjustRightInd w:val="0"/>
        <w:snapToGrid w:val="0"/>
        <w:spacing w:after="120"/>
        <w:ind w:left="0" w:firstLine="720"/>
        <w:jc w:val="both"/>
        <w:rPr>
          <w:kern w:val="22"/>
          <w:sz w:val="22"/>
          <w:szCs w:val="22"/>
          <w:lang w:val="en-GB"/>
        </w:rPr>
      </w:pPr>
      <w:r w:rsidRPr="000A37BF">
        <w:rPr>
          <w:kern w:val="22"/>
          <w:sz w:val="22"/>
          <w:szCs w:val="22"/>
          <w:lang w:val="en-GB"/>
        </w:rPr>
        <w:t>Parties, international organi</w:t>
      </w:r>
      <w:r w:rsidR="00A14E9F" w:rsidRPr="000A37BF">
        <w:rPr>
          <w:kern w:val="22"/>
          <w:sz w:val="22"/>
          <w:szCs w:val="22"/>
          <w:lang w:val="en-GB"/>
        </w:rPr>
        <w:t>z</w:t>
      </w:r>
      <w:r w:rsidRPr="000A37BF">
        <w:rPr>
          <w:kern w:val="22"/>
          <w:sz w:val="22"/>
          <w:szCs w:val="22"/>
          <w:lang w:val="en-GB"/>
        </w:rPr>
        <w:t xml:space="preserve">ations, </w:t>
      </w:r>
      <w:r w:rsidR="0010350A" w:rsidRPr="000A37BF">
        <w:rPr>
          <w:kern w:val="22"/>
          <w:sz w:val="22"/>
          <w:szCs w:val="22"/>
          <w:lang w:val="en-GB"/>
        </w:rPr>
        <w:t xml:space="preserve">business and the finance </w:t>
      </w:r>
      <w:r w:rsidRPr="000A37BF">
        <w:rPr>
          <w:kern w:val="22"/>
          <w:sz w:val="22"/>
          <w:szCs w:val="22"/>
          <w:lang w:val="en-GB"/>
        </w:rPr>
        <w:t>sector</w:t>
      </w:r>
      <w:r w:rsidR="0010350A" w:rsidRPr="000A37BF">
        <w:rPr>
          <w:kern w:val="22"/>
          <w:sz w:val="22"/>
          <w:szCs w:val="22"/>
          <w:lang w:val="en-GB"/>
        </w:rPr>
        <w:t>,</w:t>
      </w:r>
      <w:r w:rsidRPr="000A37BF">
        <w:rPr>
          <w:kern w:val="22"/>
          <w:sz w:val="22"/>
          <w:szCs w:val="22"/>
          <w:lang w:val="en-GB"/>
        </w:rPr>
        <w:t xml:space="preserve"> and civil society </w:t>
      </w:r>
      <w:r w:rsidR="00306093" w:rsidRPr="000A37BF">
        <w:rPr>
          <w:kern w:val="22"/>
          <w:sz w:val="22"/>
          <w:szCs w:val="22"/>
          <w:lang w:val="en-GB"/>
        </w:rPr>
        <w:t>should build on what has been achieved and learn</w:t>
      </w:r>
      <w:r w:rsidR="00575DB8" w:rsidRPr="000A37BF">
        <w:rPr>
          <w:kern w:val="22"/>
          <w:sz w:val="22"/>
          <w:szCs w:val="22"/>
          <w:lang w:val="en-GB"/>
        </w:rPr>
        <w:t>ed</w:t>
      </w:r>
      <w:r w:rsidR="00306093" w:rsidRPr="000A37BF">
        <w:rPr>
          <w:kern w:val="22"/>
          <w:sz w:val="22"/>
          <w:szCs w:val="22"/>
          <w:lang w:val="en-GB"/>
        </w:rPr>
        <w:t xml:space="preserve"> to date and </w:t>
      </w:r>
      <w:r w:rsidR="00D10CE7" w:rsidRPr="000A37BF">
        <w:rPr>
          <w:kern w:val="22"/>
          <w:sz w:val="22"/>
          <w:szCs w:val="22"/>
          <w:lang w:val="en-GB"/>
        </w:rPr>
        <w:t xml:space="preserve">should </w:t>
      </w:r>
      <w:r w:rsidR="00306093" w:rsidRPr="000A37BF">
        <w:rPr>
          <w:kern w:val="22"/>
          <w:sz w:val="22"/>
          <w:szCs w:val="22"/>
          <w:lang w:val="en-GB"/>
        </w:rPr>
        <w:t>utili</w:t>
      </w:r>
      <w:r w:rsidR="00A14E9F" w:rsidRPr="000A37BF">
        <w:rPr>
          <w:kern w:val="22"/>
          <w:sz w:val="22"/>
          <w:szCs w:val="22"/>
          <w:lang w:val="en-GB"/>
        </w:rPr>
        <w:t>z</w:t>
      </w:r>
      <w:r w:rsidR="00306093" w:rsidRPr="000A37BF">
        <w:rPr>
          <w:kern w:val="22"/>
          <w:sz w:val="22"/>
          <w:szCs w:val="22"/>
          <w:lang w:val="en-GB"/>
        </w:rPr>
        <w:t>e all opportunities available to accelerate change</w:t>
      </w:r>
      <w:r w:rsidR="00CA08A2" w:rsidRPr="000A37BF">
        <w:rPr>
          <w:kern w:val="22"/>
          <w:sz w:val="22"/>
          <w:szCs w:val="22"/>
          <w:lang w:val="en-GB"/>
        </w:rPr>
        <w:t xml:space="preserve"> towards a more resilient future</w:t>
      </w:r>
      <w:r w:rsidR="00306093" w:rsidRPr="000A37BF">
        <w:rPr>
          <w:kern w:val="22"/>
          <w:sz w:val="22"/>
          <w:szCs w:val="22"/>
          <w:lang w:val="en-GB"/>
        </w:rPr>
        <w:t>.</w:t>
      </w:r>
    </w:p>
    <w:p w14:paraId="3AFD761E" w14:textId="6DD54BFA" w:rsidR="00AE7A38" w:rsidRPr="000A37BF" w:rsidRDefault="00001EB8" w:rsidP="000A37BF">
      <w:pPr>
        <w:pStyle w:val="HEADINGNOTFORTOC"/>
        <w:suppressLineNumbers/>
        <w:tabs>
          <w:tab w:val="clear" w:pos="720"/>
        </w:tabs>
        <w:suppressAutoHyphens/>
        <w:adjustRightInd w:val="0"/>
        <w:snapToGrid w:val="0"/>
        <w:spacing w:before="0"/>
        <w:ind w:left="720"/>
        <w:outlineLvl w:val="9"/>
        <w:rPr>
          <w:b w:val="0"/>
          <w:bCs/>
          <w:caps w:val="0"/>
          <w:snapToGrid w:val="0"/>
          <w:kern w:val="22"/>
          <w:sz w:val="22"/>
          <w:szCs w:val="22"/>
          <w:lang w:val="en-GB"/>
        </w:rPr>
      </w:pPr>
      <w:r w:rsidRPr="000A37BF">
        <w:rPr>
          <w:b w:val="0"/>
          <w:bCs/>
          <w:caps w:val="0"/>
          <w:snapToGrid w:val="0"/>
          <w:kern w:val="22"/>
          <w:sz w:val="22"/>
          <w:szCs w:val="22"/>
          <w:lang w:val="en-GB"/>
        </w:rPr>
        <w:t>________</w:t>
      </w:r>
      <w:r w:rsidR="00132CA5" w:rsidRPr="000A37BF">
        <w:rPr>
          <w:b w:val="0"/>
          <w:bCs/>
          <w:caps w:val="0"/>
          <w:snapToGrid w:val="0"/>
          <w:kern w:val="22"/>
          <w:sz w:val="22"/>
          <w:szCs w:val="22"/>
          <w:lang w:val="en-GB"/>
        </w:rPr>
        <w:t>__</w:t>
      </w:r>
    </w:p>
    <w:sectPr w:rsidR="00AE7A38" w:rsidRPr="000A37BF" w:rsidSect="001B7FE3">
      <w:headerReference w:type="even" r:id="rId17"/>
      <w:headerReference w:type="default" r:id="rId18"/>
      <w:footerReference w:type="even" r:id="rId19"/>
      <w:footerReference w:type="first" r:id="rId20"/>
      <w:type w:val="continuous"/>
      <w:pgSz w:w="12240" w:h="15840" w:code="1"/>
      <w:pgMar w:top="567" w:right="1440" w:bottom="851" w:left="1440" w:header="461"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CBB5" w16cex:dateUtc="2020-06-15T08:28:00Z"/>
  <w16cex:commentExtensible w16cex:durableId="2293454E" w16cex:dateUtc="2020-06-16T11:19:00Z"/>
  <w16cex:commentExtensible w16cex:durableId="22934850" w16cex:dateUtc="2020-06-16T11:32:00Z"/>
  <w16cex:commentExtensible w16cex:durableId="229457C8" w16cex:dateUtc="2020-06-17T06:50:00Z"/>
  <w16cex:commentExtensible w16cex:durableId="22937814" w16cex:dateUtc="2020-06-16T15: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A746" w14:textId="77777777" w:rsidR="00257790" w:rsidRDefault="00257790">
      <w:r>
        <w:separator/>
      </w:r>
    </w:p>
  </w:endnote>
  <w:endnote w:type="continuationSeparator" w:id="0">
    <w:p w14:paraId="60DBA171" w14:textId="77777777" w:rsidR="00257790" w:rsidRDefault="00257790">
      <w:r>
        <w:continuationSeparator/>
      </w:r>
    </w:p>
  </w:endnote>
  <w:endnote w:type="continuationNotice" w:id="1">
    <w:p w14:paraId="374050FA" w14:textId="77777777" w:rsidR="00257790" w:rsidRDefault="00257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NeueLT Pro 55 Roman">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1F6920" w:rsidRPr="000A37BF" w:rsidRDefault="001F6920" w:rsidP="006F4060">
    <w:pPr>
      <w:pStyle w:val="Footer"/>
      <w:tabs>
        <w:tab w:val="clear" w:pos="4320"/>
        <w:tab w:val="clear" w:pos="8640"/>
      </w:tabs>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1F6920" w:rsidRPr="009F11A4" w:rsidRDefault="001F6920" w:rsidP="000A37BF">
    <w:pPr>
      <w:pStyle w:val="Footer"/>
      <w:tabs>
        <w:tab w:val="clear" w:pos="4320"/>
        <w:tab w:val="clear" w:pos="8640"/>
      </w:tabs>
      <w:ind w:firstLine="0"/>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B44C" w14:textId="77777777" w:rsidR="00257790" w:rsidRDefault="00257790">
      <w:r>
        <w:separator/>
      </w:r>
    </w:p>
  </w:footnote>
  <w:footnote w:type="continuationSeparator" w:id="0">
    <w:p w14:paraId="5B5C3A8F" w14:textId="77777777" w:rsidR="00257790" w:rsidRDefault="00257790">
      <w:r>
        <w:continuationSeparator/>
      </w:r>
    </w:p>
  </w:footnote>
  <w:footnote w:type="continuationNotice" w:id="1">
    <w:p w14:paraId="2519AF6B" w14:textId="77777777" w:rsidR="00257790" w:rsidRDefault="00257790"/>
  </w:footnote>
  <w:footnote w:id="2">
    <w:p w14:paraId="35D48E7E" w14:textId="33528D60" w:rsidR="001F6920" w:rsidRPr="00A61864" w:rsidRDefault="001F6920" w:rsidP="000A37BF">
      <w:pPr>
        <w:pStyle w:val="FootnoteText"/>
        <w:suppressLineNumbers/>
        <w:suppressAutoHyphens/>
        <w:adjustRightInd w:val="0"/>
        <w:snapToGrid w:val="0"/>
        <w:ind w:firstLine="0"/>
        <w:rPr>
          <w:kern w:val="18"/>
          <w:szCs w:val="18"/>
          <w:lang w:val="en-GB"/>
        </w:rPr>
      </w:pPr>
      <w:r w:rsidRPr="00F96DAE">
        <w:rPr>
          <w:rStyle w:val="FootnoteReference"/>
          <w:kern w:val="18"/>
          <w:szCs w:val="18"/>
          <w:u w:val="none"/>
          <w:lang w:val="en-GB"/>
        </w:rPr>
        <w:t>*</w:t>
      </w:r>
      <w:r w:rsidRPr="00A61864">
        <w:rPr>
          <w:kern w:val="18"/>
          <w:szCs w:val="18"/>
          <w:lang w:val="en-GB"/>
        </w:rPr>
        <w:t xml:space="preserve"> CBD/SBI/3/1.</w:t>
      </w:r>
    </w:p>
  </w:footnote>
  <w:footnote w:id="3">
    <w:p w14:paraId="1263F2EB" w14:textId="1F6AD1A1"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CBD/SBI/3/INF/2 (full report); CBD/SBI/3/5/Add.1 (summary).</w:t>
      </w:r>
    </w:p>
  </w:footnote>
  <w:footnote w:id="4">
    <w:p w14:paraId="64ED16F4" w14:textId="085AD125"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Decision IX/11 B, annex.</w:t>
      </w:r>
    </w:p>
  </w:footnote>
  <w:footnote w:id="5">
    <w:p w14:paraId="553FA3A7" w14:textId="08725F1E"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See General Assembly resolution </w:t>
      </w:r>
      <w:hyperlink r:id="rId1" w:history="1">
        <w:r w:rsidRPr="000A37BF">
          <w:rPr>
            <w:rStyle w:val="Hyperlink"/>
            <w:color w:val="auto"/>
            <w:kern w:val="18"/>
            <w:szCs w:val="18"/>
            <w:lang w:val="en-GB"/>
          </w:rPr>
          <w:t>70/1</w:t>
        </w:r>
      </w:hyperlink>
      <w:r w:rsidRPr="000A37BF">
        <w:rPr>
          <w:kern w:val="18"/>
          <w:szCs w:val="18"/>
          <w:lang w:val="en-GB"/>
        </w:rPr>
        <w:t xml:space="preserve"> entitled “Transforming our world: the 2030 Agenda for Sustainable Development”.</w:t>
      </w:r>
    </w:p>
  </w:footnote>
  <w:footnote w:id="6">
    <w:p w14:paraId="29E998E5" w14:textId="051420C2"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See annex IV to the full first report (CBD/SBI/3/INF/2) for a list of sources of evidence.</w:t>
      </w:r>
    </w:p>
  </w:footnote>
  <w:footnote w:id="7">
    <w:p w14:paraId="019B63DC" w14:textId="6425FD87"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Many of the actors and actions described in this report are relevant to more than one of the three components of resource mobilization. The report is structured in such a way as to outline the most pertinent actors and actions </w:t>
      </w:r>
      <w:r w:rsidRPr="000A37BF">
        <w:rPr>
          <w:i/>
          <w:iCs/>
          <w:kern w:val="18"/>
          <w:szCs w:val="18"/>
          <w:lang w:val="en-GB"/>
        </w:rPr>
        <w:t>by component</w:t>
      </w:r>
      <w:r w:rsidRPr="000A37BF">
        <w:rPr>
          <w:kern w:val="18"/>
          <w:szCs w:val="18"/>
          <w:lang w:val="en-GB"/>
        </w:rPr>
        <w:t>. This has been done to fully articulate the importance of each of the three components. In practice, some of the actions taken by key actors would be aimed at achieving all three components together. For example, actions to reduce harm could be combined with actions to generate additional resources within the same project.</w:t>
      </w:r>
    </w:p>
  </w:footnote>
  <w:footnote w:id="8">
    <w:p w14:paraId="18F0C2F5" w14:textId="03E83AAA"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w:t>
      </w:r>
      <w:hyperlink r:id="rId2" w:history="1">
        <w:r w:rsidRPr="000A37BF">
          <w:rPr>
            <w:rStyle w:val="Hyperlink"/>
            <w:color w:val="4472C4" w:themeColor="accent1"/>
            <w:kern w:val="18"/>
            <w:sz w:val="18"/>
            <w:szCs w:val="18"/>
            <w:lang w:val="en-GB"/>
          </w:rPr>
          <w:t>https://ipbes.net/global-assessment</w:t>
        </w:r>
      </w:hyperlink>
      <w:r w:rsidRPr="000A37BF">
        <w:rPr>
          <w:kern w:val="18"/>
          <w:sz w:val="18"/>
          <w:szCs w:val="18"/>
          <w:lang w:val="en-GB"/>
        </w:rPr>
        <w:t>.</w:t>
      </w:r>
    </w:p>
  </w:footnote>
  <w:footnote w:id="9">
    <w:p w14:paraId="6773E873" w14:textId="13FB73A2"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OECD (2020). </w:t>
      </w:r>
      <w:r w:rsidRPr="000A37BF">
        <w:rPr>
          <w:i/>
          <w:kern w:val="18"/>
          <w:sz w:val="18"/>
          <w:szCs w:val="18"/>
          <w:lang w:val="en-GB"/>
        </w:rPr>
        <w:t xml:space="preserve">A Comprehensive Overview of Global Biodiversity Finance. </w:t>
      </w:r>
      <w:r w:rsidRPr="000A37BF">
        <w:rPr>
          <w:iCs/>
          <w:kern w:val="18"/>
          <w:sz w:val="18"/>
          <w:szCs w:val="18"/>
          <w:lang w:val="en-GB"/>
        </w:rPr>
        <w:t xml:space="preserve">Final </w:t>
      </w:r>
      <w:r w:rsidR="00E31667" w:rsidRPr="000A37BF">
        <w:rPr>
          <w:iCs/>
          <w:kern w:val="18"/>
          <w:sz w:val="18"/>
          <w:szCs w:val="18"/>
          <w:lang w:val="en-GB"/>
        </w:rPr>
        <w:t>r</w:t>
      </w:r>
      <w:r w:rsidRPr="000A37BF">
        <w:rPr>
          <w:iCs/>
          <w:kern w:val="18"/>
          <w:sz w:val="18"/>
          <w:szCs w:val="18"/>
          <w:lang w:val="en-GB"/>
        </w:rPr>
        <w:t>eport, April 2020.</w:t>
      </w:r>
    </w:p>
  </w:footnote>
  <w:footnote w:id="10">
    <w:p w14:paraId="64A96D80" w14:textId="6962C9EA"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Action on incentives that are harmful for biodiversity has been on the agenda of the Convention since the adoption of the programme of work on incentive measures, with a view to implementing Article 11 of the Convention. Article 20 (1) of the Convention also contains a reference to incentives.</w:t>
      </w:r>
    </w:p>
  </w:footnote>
  <w:footnote w:id="11">
    <w:p w14:paraId="7E3C16B4" w14:textId="605A2A2B" w:rsidR="001F6920" w:rsidRPr="000A37BF" w:rsidRDefault="001F6920" w:rsidP="000A37BF">
      <w:pPr>
        <w:pStyle w:val="CommentText"/>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Provided to developing countries, as per Article 20 (4) of the Convention.</w:t>
      </w:r>
    </w:p>
  </w:footnote>
  <w:footnote w:id="12">
    <w:p w14:paraId="6B0BEAAC" w14:textId="15C3295C"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See, for example, the BIOFIN “catalogue” of finance solutions as a useful starting point, at </w:t>
      </w:r>
      <w:hyperlink r:id="rId3" w:history="1">
        <w:r w:rsidRPr="000A37BF">
          <w:rPr>
            <w:rStyle w:val="Hyperlink"/>
            <w:color w:val="4472C4" w:themeColor="accent1"/>
            <w:kern w:val="18"/>
            <w:sz w:val="18"/>
            <w:szCs w:val="18"/>
            <w:lang w:val="en-GB"/>
          </w:rPr>
          <w:t>https://www.biodiversityfinance.net/finance-solutions</w:t>
        </w:r>
      </w:hyperlink>
      <w:r w:rsidRPr="000A37BF">
        <w:rPr>
          <w:kern w:val="18"/>
          <w:sz w:val="18"/>
          <w:szCs w:val="18"/>
          <w:lang w:val="en-GB"/>
        </w:rPr>
        <w:t>.</w:t>
      </w:r>
    </w:p>
  </w:footnote>
  <w:footnote w:id="13">
    <w:p w14:paraId="4336A8EB" w14:textId="00925621"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Including the intrinsic, ecological, genetic, social economic, scientific, educational, cultural, recreational and aesthetic values of biological diversity and its components; see decision </w:t>
      </w:r>
      <w:hyperlink r:id="rId4" w:history="1">
        <w:r w:rsidRPr="000A37BF">
          <w:rPr>
            <w:rStyle w:val="Hyperlink"/>
            <w:snapToGrid w:val="0"/>
            <w:kern w:val="18"/>
            <w:szCs w:val="18"/>
            <w:lang w:val="en-GB" w:eastAsia="en-GB"/>
          </w:rPr>
          <w:t>X/3</w:t>
        </w:r>
      </w:hyperlink>
      <w:r w:rsidRPr="000A37BF">
        <w:rPr>
          <w:kern w:val="18"/>
          <w:szCs w:val="18"/>
          <w:lang w:val="en-GB"/>
        </w:rPr>
        <w:t>, paragraph 9 (b) (ii).</w:t>
      </w:r>
    </w:p>
  </w:footnote>
  <w:footnote w:id="14">
    <w:p w14:paraId="120C4DA2" w14:textId="50D6A2A9"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General Assembly resolution 69/283, annex II.</w:t>
      </w:r>
    </w:p>
  </w:footnote>
  <w:footnote w:id="15">
    <w:p w14:paraId="22FB1085" w14:textId="040BFF17"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UNDP (2020). </w:t>
      </w:r>
      <w:r w:rsidRPr="000A37BF">
        <w:rPr>
          <w:i/>
          <w:iCs/>
          <w:kern w:val="18"/>
          <w:sz w:val="18"/>
          <w:szCs w:val="18"/>
          <w:lang w:val="en-GB"/>
        </w:rPr>
        <w:t>Moving Mountains: Unlocking Private Capital for Biodiversity and Ecosystems</w:t>
      </w:r>
      <w:r w:rsidRPr="000A37BF">
        <w:rPr>
          <w:kern w:val="18"/>
          <w:sz w:val="18"/>
          <w:szCs w:val="18"/>
          <w:lang w:val="en-GB"/>
        </w:rPr>
        <w:t>. New York (</w:t>
      </w:r>
      <w:hyperlink r:id="rId5" w:history="1">
        <w:r w:rsidRPr="000A37BF">
          <w:rPr>
            <w:rStyle w:val="Hyperlink"/>
            <w:color w:val="4472C4" w:themeColor="accent1"/>
            <w:kern w:val="18"/>
            <w:sz w:val="18"/>
            <w:szCs w:val="18"/>
            <w:lang w:val="en-GB"/>
          </w:rPr>
          <w:t>https://bit.ly/39A6G0i</w:t>
        </w:r>
      </w:hyperlink>
      <w:r w:rsidRPr="000A37BF">
        <w:rPr>
          <w:kern w:val="18"/>
          <w:sz w:val="18"/>
          <w:szCs w:val="18"/>
          <w:lang w:val="en-GB"/>
        </w:rPr>
        <w:t>).</w:t>
      </w:r>
    </w:p>
  </w:footnote>
  <w:footnote w:id="16">
    <w:p w14:paraId="14B58D4B" w14:textId="4C9C717E"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Finance Watch (2019). </w:t>
      </w:r>
      <w:r w:rsidRPr="000A37BF">
        <w:rPr>
          <w:i/>
          <w:iCs/>
          <w:kern w:val="18"/>
          <w:sz w:val="18"/>
          <w:szCs w:val="18"/>
          <w:lang w:val="en-GB"/>
        </w:rPr>
        <w:t>Making Finance Serve Nature</w:t>
      </w:r>
      <w:r w:rsidRPr="000A37BF">
        <w:rPr>
          <w:kern w:val="18"/>
          <w:sz w:val="18"/>
          <w:szCs w:val="18"/>
          <w:lang w:val="en-GB"/>
        </w:rPr>
        <w:t xml:space="preserve"> (</w:t>
      </w:r>
      <w:hyperlink r:id="rId6" w:history="1">
        <w:r w:rsidRPr="000A37BF">
          <w:rPr>
            <w:rStyle w:val="Hyperlink"/>
            <w:color w:val="4472C4" w:themeColor="accent1"/>
            <w:kern w:val="18"/>
            <w:sz w:val="18"/>
            <w:szCs w:val="18"/>
            <w:lang w:val="en-GB"/>
          </w:rPr>
          <w:t>https://www.finance-watch.org/wp-content/uploads/2019/05/Making-Finance-Serve-Nature_Finance-Watch-Report_24May2019_web.pdf</w:t>
        </w:r>
      </w:hyperlink>
      <w:r w:rsidRPr="000A37BF">
        <w:rPr>
          <w:kern w:val="18"/>
          <w:sz w:val="18"/>
          <w:szCs w:val="18"/>
          <w:lang w:val="en-GB"/>
        </w:rPr>
        <w:t>).</w:t>
      </w:r>
    </w:p>
  </w:footnote>
  <w:footnote w:id="17">
    <w:p w14:paraId="13FA3AF5" w14:textId="2C1D4AD7"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w:t>
      </w:r>
      <w:hyperlink r:id="rId7" w:history="1">
        <w:r w:rsidRPr="000A37BF">
          <w:rPr>
            <w:rStyle w:val="Hyperlink"/>
            <w:color w:val="4472C4" w:themeColor="accent1"/>
            <w:kern w:val="18"/>
            <w:sz w:val="18"/>
            <w:szCs w:val="18"/>
            <w:lang w:val="en-GB"/>
          </w:rPr>
          <w:t>https://www.weforum.org/global-risks/reports</w:t>
        </w:r>
      </w:hyperlink>
      <w:r w:rsidRPr="000A37BF">
        <w:rPr>
          <w:kern w:val="18"/>
          <w:sz w:val="18"/>
          <w:szCs w:val="18"/>
          <w:lang w:val="en-GB"/>
        </w:rPr>
        <w:t>.</w:t>
      </w:r>
    </w:p>
  </w:footnote>
  <w:footnote w:id="18">
    <w:p w14:paraId="01B49223" w14:textId="7116E7A7"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See CBD/COP/8/3 and decision 14/3.</w:t>
      </w:r>
    </w:p>
  </w:footnote>
  <w:footnote w:id="19">
    <w:p w14:paraId="075706FC" w14:textId="2D1D671D"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WWF and PWC (2020). </w:t>
      </w:r>
      <w:r w:rsidRPr="000A37BF">
        <w:rPr>
          <w:i/>
          <w:iCs/>
          <w:kern w:val="18"/>
          <w:sz w:val="18"/>
          <w:szCs w:val="18"/>
          <w:lang w:val="en-GB"/>
        </w:rPr>
        <w:t>Nature is Too Big to Fail — Biodiversity: The Next Frontier in Financial Risk Man</w:t>
      </w:r>
      <w:r w:rsidRPr="000A37BF">
        <w:rPr>
          <w:i/>
          <w:kern w:val="18"/>
          <w:sz w:val="18"/>
          <w:szCs w:val="18"/>
          <w:lang w:val="en-GB"/>
        </w:rPr>
        <w:t>agement</w:t>
      </w:r>
      <w:r w:rsidRPr="000A37BF">
        <w:rPr>
          <w:kern w:val="18"/>
          <w:sz w:val="18"/>
          <w:szCs w:val="18"/>
          <w:lang w:val="en-GB"/>
        </w:rPr>
        <w:t xml:space="preserve"> (</w:t>
      </w:r>
      <w:hyperlink r:id="rId8" w:history="1">
        <w:r w:rsidRPr="000A37BF">
          <w:rPr>
            <w:rStyle w:val="Hyperlink"/>
            <w:color w:val="4472C4" w:themeColor="accent1"/>
            <w:kern w:val="18"/>
            <w:sz w:val="18"/>
            <w:szCs w:val="18"/>
            <w:lang w:val="en-GB"/>
          </w:rPr>
          <w:t>www.pwc.ch/wwf-report</w:t>
        </w:r>
      </w:hyperlink>
      <w:r w:rsidRPr="000A37BF">
        <w:rPr>
          <w:rStyle w:val="Hyperlink"/>
          <w:color w:val="4472C4" w:themeColor="accent1"/>
          <w:kern w:val="18"/>
          <w:sz w:val="18"/>
          <w:szCs w:val="18"/>
          <w:lang w:val="en-GB"/>
        </w:rPr>
        <w:t>)</w:t>
      </w:r>
      <w:r w:rsidRPr="000A37BF">
        <w:rPr>
          <w:kern w:val="18"/>
          <w:sz w:val="18"/>
          <w:szCs w:val="18"/>
          <w:lang w:val="en-GB"/>
        </w:rPr>
        <w:t>.</w:t>
      </w:r>
    </w:p>
  </w:footnote>
  <w:footnote w:id="20">
    <w:p w14:paraId="30B3A2DA" w14:textId="27C299BA"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UNDP (2020). </w:t>
      </w:r>
      <w:r w:rsidRPr="000A37BF">
        <w:rPr>
          <w:i/>
          <w:iCs/>
          <w:kern w:val="18"/>
          <w:szCs w:val="18"/>
          <w:lang w:val="en-GB"/>
        </w:rPr>
        <w:t>Moving Mountains: Unlocking Private Capital for Biodiversity and Ecosystems</w:t>
      </w:r>
      <w:r w:rsidRPr="000A37BF">
        <w:rPr>
          <w:kern w:val="18"/>
          <w:szCs w:val="18"/>
          <w:lang w:val="en-GB"/>
        </w:rPr>
        <w:t>. New York (</w:t>
      </w:r>
      <w:hyperlink r:id="rId9" w:history="1">
        <w:r w:rsidRPr="000A37BF">
          <w:rPr>
            <w:rStyle w:val="Hyperlink"/>
            <w:color w:val="4472C4" w:themeColor="accent1"/>
            <w:kern w:val="18"/>
            <w:szCs w:val="18"/>
            <w:lang w:val="en-GB"/>
          </w:rPr>
          <w:t>https://bit.ly/39A6G0i</w:t>
        </w:r>
      </w:hyperlink>
      <w:r w:rsidRPr="000A37BF">
        <w:rPr>
          <w:color w:val="4472C4" w:themeColor="accent1"/>
          <w:kern w:val="18"/>
          <w:szCs w:val="18"/>
          <w:lang w:val="en-GB"/>
        </w:rPr>
        <w:t>).</w:t>
      </w:r>
    </w:p>
  </w:footnote>
  <w:footnote w:id="21">
    <w:p w14:paraId="76A8AA13" w14:textId="63319233"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rStyle w:val="FootnoteReference"/>
          <w:kern w:val="18"/>
          <w:szCs w:val="18"/>
          <w:u w:val="none"/>
          <w:vertAlign w:val="superscript"/>
          <w:lang w:val="en-GB"/>
        </w:rPr>
        <w:t xml:space="preserve"> </w:t>
      </w:r>
      <w:r w:rsidRPr="000A37BF">
        <w:rPr>
          <w:kern w:val="18"/>
          <w:sz w:val="18"/>
          <w:szCs w:val="18"/>
          <w:lang w:val="en-GB"/>
        </w:rPr>
        <w:t xml:space="preserve">The majority of which is currently ODA, see OECD (2020). </w:t>
      </w:r>
      <w:r w:rsidRPr="000A37BF">
        <w:rPr>
          <w:i/>
          <w:iCs/>
          <w:kern w:val="18"/>
          <w:sz w:val="18"/>
          <w:szCs w:val="18"/>
          <w:lang w:val="en-GB"/>
        </w:rPr>
        <w:t>A Comprehensive Overview of Global Biodiversity Finance: Initial Results</w:t>
      </w:r>
      <w:r w:rsidRPr="000A37BF">
        <w:rPr>
          <w:kern w:val="18"/>
          <w:sz w:val="18"/>
          <w:szCs w:val="18"/>
          <w:lang w:val="en-GB"/>
        </w:rPr>
        <w:t xml:space="preserve"> (for final version, see </w:t>
      </w:r>
      <w:hyperlink r:id="rId10" w:history="1">
        <w:r w:rsidRPr="000A37BF">
          <w:rPr>
            <w:rStyle w:val="Hyperlink"/>
            <w:color w:val="4472C4" w:themeColor="accent1"/>
            <w:kern w:val="18"/>
            <w:sz w:val="18"/>
            <w:szCs w:val="18"/>
            <w:lang w:val="en-GB"/>
          </w:rPr>
          <w:t>https://www.oecd.org/environment/resources/biodiversity/report-a-comprehensive-overview-of-global-biodiversity-finance.pdf</w:t>
        </w:r>
      </w:hyperlink>
      <w:r w:rsidRPr="000A37BF">
        <w:rPr>
          <w:kern w:val="18"/>
          <w:sz w:val="18"/>
          <w:szCs w:val="18"/>
          <w:lang w:val="en-GB"/>
        </w:rPr>
        <w:t>).</w:t>
      </w:r>
    </w:p>
  </w:footnote>
  <w:footnote w:id="22">
    <w:p w14:paraId="3F919A0E" w14:textId="23ED8635"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Strategy area I of the draft long-term approach to mainstreaming.</w:t>
      </w:r>
    </w:p>
  </w:footnote>
  <w:footnote w:id="23">
    <w:p w14:paraId="4FCFEE5E" w14:textId="34F4D42C" w:rsidR="001F6920" w:rsidRPr="000A37BF" w:rsidRDefault="001F6920" w:rsidP="000A37BF">
      <w:pPr>
        <w:keepLines/>
        <w:suppressLineNumbers/>
        <w:suppressAutoHyphens/>
        <w:adjustRightInd w:val="0"/>
        <w:snapToGrid w:val="0"/>
        <w:spacing w:after="60"/>
        <w:rPr>
          <w:i/>
          <w:iCs/>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Three categories of economic incentives are considered in this report: Positive economic incentives, which encourage behaviour (e.g. tax breaks for land put under covenant); negative economic incentives, which discourage harmful behaviour (e.g. fines for illegal logging) and harmful incentives, which are incentives developed for a particular purpose, but which result in unintended negative consequences on biodiversity, e.g. a subsidy on fertilizer, designed to increase agricultural production, which results in overuse of fertilizers and subsequent damage to nearby freshwater ecosystems. </w:t>
      </w:r>
    </w:p>
  </w:footnote>
  <w:footnote w:id="24">
    <w:p w14:paraId="76F85979" w14:textId="1BE6CECF"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Positive incentives are useful for encouraging behaviour change from harmful behaviour to beneficial behaviour – i.e. positive incentives can be used both to reduce harmful expenditure and to generate additional resources, as further outlined under component II.</w:t>
      </w:r>
    </w:p>
  </w:footnote>
  <w:footnote w:id="25">
    <w:p w14:paraId="35F7A1D2" w14:textId="77777777"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w:t>
      </w:r>
      <w:r w:rsidRPr="000A37BF">
        <w:rPr>
          <w:i/>
          <w:iCs/>
          <w:kern w:val="18"/>
          <w:szCs w:val="18"/>
          <w:lang w:val="en-GB"/>
        </w:rPr>
        <w:t>JO - LOI n° 2019-1147 du 8 novembre 2019 relative à l’énergie et au climat, Art. L. 533-22-1.-I</w:t>
      </w:r>
      <w:r w:rsidRPr="000A37BF">
        <w:rPr>
          <w:kern w:val="18"/>
          <w:szCs w:val="18"/>
          <w:lang w:val="en-GB"/>
        </w:rPr>
        <w:t>” - requiring credit institutions and investment firms to include information on risks related to climate change and biodiversity.</w:t>
      </w:r>
    </w:p>
  </w:footnote>
  <w:footnote w:id="26">
    <w:p w14:paraId="308D622E" w14:textId="170A26F2"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Naqvi, M., Burke, B., Hector, S. Jamison, T., Dupré, S. (2017). </w:t>
      </w:r>
      <w:r w:rsidRPr="000A37BF">
        <w:rPr>
          <w:i/>
          <w:iCs/>
          <w:kern w:val="18"/>
          <w:sz w:val="18"/>
          <w:szCs w:val="18"/>
          <w:lang w:val="en-GB"/>
        </w:rPr>
        <w:t xml:space="preserve">All </w:t>
      </w:r>
      <w:r w:rsidR="00230240" w:rsidRPr="000A37BF">
        <w:rPr>
          <w:i/>
          <w:iCs/>
          <w:kern w:val="18"/>
          <w:sz w:val="18"/>
          <w:szCs w:val="18"/>
          <w:lang w:val="en-GB"/>
        </w:rPr>
        <w:t xml:space="preserve">Swans </w:t>
      </w:r>
      <w:r w:rsidRPr="000A37BF">
        <w:rPr>
          <w:i/>
          <w:iCs/>
          <w:kern w:val="18"/>
          <w:sz w:val="18"/>
          <w:szCs w:val="18"/>
          <w:lang w:val="en-GB"/>
        </w:rPr>
        <w:t xml:space="preserve">are </w:t>
      </w:r>
      <w:r w:rsidR="00230240" w:rsidRPr="000A37BF">
        <w:rPr>
          <w:i/>
          <w:iCs/>
          <w:kern w:val="18"/>
          <w:sz w:val="18"/>
          <w:szCs w:val="18"/>
          <w:lang w:val="en-GB"/>
        </w:rPr>
        <w:t xml:space="preserve">Black </w:t>
      </w:r>
      <w:r w:rsidRPr="000A37BF">
        <w:rPr>
          <w:i/>
          <w:iCs/>
          <w:kern w:val="18"/>
          <w:sz w:val="18"/>
          <w:szCs w:val="18"/>
          <w:lang w:val="en-GB"/>
        </w:rPr>
        <w:t xml:space="preserve">in the </w:t>
      </w:r>
      <w:r w:rsidR="00230240" w:rsidRPr="000A37BF">
        <w:rPr>
          <w:i/>
          <w:iCs/>
          <w:kern w:val="18"/>
          <w:sz w:val="18"/>
          <w:szCs w:val="18"/>
          <w:lang w:val="en-GB"/>
        </w:rPr>
        <w:t xml:space="preserve">Dark </w:t>
      </w:r>
      <w:r w:rsidRPr="000A37BF">
        <w:rPr>
          <w:i/>
          <w:iCs/>
          <w:kern w:val="18"/>
          <w:sz w:val="18"/>
          <w:szCs w:val="18"/>
          <w:lang w:val="en-GB"/>
        </w:rPr>
        <w:t xml:space="preserve">- How the </w:t>
      </w:r>
      <w:r w:rsidR="00230240" w:rsidRPr="000A37BF">
        <w:rPr>
          <w:i/>
          <w:iCs/>
          <w:kern w:val="18"/>
          <w:sz w:val="18"/>
          <w:szCs w:val="18"/>
          <w:lang w:val="en-GB"/>
        </w:rPr>
        <w:t>Short</w:t>
      </w:r>
      <w:r w:rsidRPr="000A37BF">
        <w:rPr>
          <w:i/>
          <w:iCs/>
          <w:kern w:val="18"/>
          <w:sz w:val="18"/>
          <w:szCs w:val="18"/>
          <w:lang w:val="en-GB"/>
        </w:rPr>
        <w:t xml:space="preserve">-term </w:t>
      </w:r>
      <w:r w:rsidR="00230240" w:rsidRPr="000A37BF">
        <w:rPr>
          <w:i/>
          <w:iCs/>
          <w:kern w:val="18"/>
          <w:sz w:val="18"/>
          <w:szCs w:val="18"/>
          <w:lang w:val="en-GB"/>
        </w:rPr>
        <w:t xml:space="preserve">Focus </w:t>
      </w:r>
      <w:r w:rsidRPr="000A37BF">
        <w:rPr>
          <w:i/>
          <w:iCs/>
          <w:kern w:val="18"/>
          <w:sz w:val="18"/>
          <w:szCs w:val="18"/>
          <w:lang w:val="en-GB"/>
        </w:rPr>
        <w:t xml:space="preserve">of </w:t>
      </w:r>
      <w:r w:rsidR="00230240" w:rsidRPr="000A37BF">
        <w:rPr>
          <w:i/>
          <w:iCs/>
          <w:kern w:val="18"/>
          <w:sz w:val="18"/>
          <w:szCs w:val="18"/>
          <w:lang w:val="en-GB"/>
        </w:rPr>
        <w:t xml:space="preserve">Financial Analysis Does Not Shed Light </w:t>
      </w:r>
      <w:r w:rsidRPr="000A37BF">
        <w:rPr>
          <w:i/>
          <w:iCs/>
          <w:kern w:val="18"/>
          <w:sz w:val="18"/>
          <w:szCs w:val="18"/>
          <w:lang w:val="en-GB"/>
        </w:rPr>
        <w:t xml:space="preserve">on </w:t>
      </w:r>
      <w:r w:rsidR="003C4BD6" w:rsidRPr="000A37BF">
        <w:rPr>
          <w:i/>
          <w:iCs/>
          <w:kern w:val="18"/>
          <w:sz w:val="18"/>
          <w:szCs w:val="18"/>
          <w:lang w:val="en-GB"/>
        </w:rPr>
        <w:t>Long Term Risks</w:t>
      </w:r>
      <w:r w:rsidRPr="000A37BF">
        <w:rPr>
          <w:kern w:val="18"/>
          <w:sz w:val="18"/>
          <w:szCs w:val="18"/>
          <w:lang w:val="en-GB"/>
        </w:rPr>
        <w:t>, 2° Investing Initiative &amp; the Generation Foundation, “Tragedy of the Horizon” project.</w:t>
      </w:r>
    </w:p>
  </w:footnote>
  <w:footnote w:id="27">
    <w:p w14:paraId="3AFC55DA" w14:textId="3DF46E58"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Finance Watch (2019). </w:t>
      </w:r>
      <w:r w:rsidRPr="000A37BF">
        <w:rPr>
          <w:i/>
          <w:iCs/>
          <w:kern w:val="18"/>
          <w:szCs w:val="18"/>
          <w:lang w:val="en-GB"/>
        </w:rPr>
        <w:t>Making Finance Serve Nature</w:t>
      </w:r>
      <w:r w:rsidRPr="000A37BF">
        <w:rPr>
          <w:kern w:val="18"/>
          <w:szCs w:val="18"/>
          <w:lang w:val="en-GB"/>
        </w:rPr>
        <w:t xml:space="preserve"> (</w:t>
      </w:r>
      <w:hyperlink r:id="rId11" w:history="1">
        <w:r w:rsidRPr="000A37BF">
          <w:rPr>
            <w:rStyle w:val="Hyperlink"/>
            <w:color w:val="4472C4" w:themeColor="accent1"/>
            <w:kern w:val="18"/>
            <w:szCs w:val="18"/>
            <w:lang w:val="en-GB"/>
          </w:rPr>
          <w:t>https://www.finance-watch.org/wp-content/uploads/2019/05/Making-Finance-Serve-Nature_Finance-Watch-Report_24May2019_web.pdf</w:t>
        </w:r>
      </w:hyperlink>
      <w:r w:rsidRPr="000A37BF">
        <w:rPr>
          <w:kern w:val="18"/>
          <w:szCs w:val="18"/>
          <w:lang w:val="en-GB"/>
        </w:rPr>
        <w:t>).</w:t>
      </w:r>
    </w:p>
  </w:footnote>
  <w:footnote w:id="28">
    <w:p w14:paraId="7D766F8C" w14:textId="2A204635"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w:t>
      </w:r>
      <w:hyperlink r:id="rId12" w:history="1">
        <w:r w:rsidRPr="000A37BF">
          <w:rPr>
            <w:rStyle w:val="Hyperlink"/>
            <w:color w:val="4472C4" w:themeColor="accent1"/>
            <w:kern w:val="18"/>
            <w:sz w:val="18"/>
            <w:szCs w:val="18"/>
            <w:lang w:val="en-GB"/>
          </w:rPr>
          <w:t>https://projects.worldbank.org/en/projects-operations/environmental-and-social-framework/brief/environmental-and-social-standards</w:t>
        </w:r>
      </w:hyperlink>
      <w:r w:rsidRPr="000A37BF">
        <w:rPr>
          <w:kern w:val="18"/>
          <w:sz w:val="18"/>
          <w:szCs w:val="18"/>
          <w:lang w:val="en-GB"/>
        </w:rPr>
        <w:t>.</w:t>
      </w:r>
    </w:p>
  </w:footnote>
  <w:footnote w:id="29">
    <w:p w14:paraId="43A24884" w14:textId="385CC790"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w:t>
      </w:r>
      <w:hyperlink r:id="rId13" w:history="1">
        <w:r w:rsidRPr="000A37BF">
          <w:rPr>
            <w:rStyle w:val="Hyperlink"/>
            <w:color w:val="4472C4" w:themeColor="accent1"/>
            <w:kern w:val="18"/>
            <w:sz w:val="18"/>
            <w:szCs w:val="18"/>
            <w:lang w:val="en-GB"/>
          </w:rPr>
          <w:t>https://www.ifc.org/wps/wcm/connect/topics_ext_content/ifc_external_corporate_site/sustainability-at-ifc/policies-standards/performance-standards/ps6</w:t>
        </w:r>
      </w:hyperlink>
      <w:r w:rsidRPr="000A37BF">
        <w:rPr>
          <w:kern w:val="18"/>
          <w:sz w:val="18"/>
          <w:szCs w:val="18"/>
          <w:lang w:val="en-GB"/>
        </w:rPr>
        <w:t>.</w:t>
      </w:r>
    </w:p>
  </w:footnote>
  <w:footnote w:id="30">
    <w:p w14:paraId="63E659FA" w14:textId="38096079"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As called for in decision 14/3, paragraph 12 (d).</w:t>
      </w:r>
    </w:p>
  </w:footnote>
  <w:footnote w:id="31">
    <w:p w14:paraId="07DB0B0E" w14:textId="77777777"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The Addis Ababa Action Agenda (General Assembly resolution 69/313, annex) supports corporate reporting on environmental, social and governance impacts, to help ensure transparency and accountability, referring to the need for an “appropriate balance of voluntary and mandatory rules”.</w:t>
      </w:r>
    </w:p>
  </w:footnote>
  <w:footnote w:id="32">
    <w:p w14:paraId="7943DB71" w14:textId="575E615F"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The Natural Capital Protocol provides a </w:t>
      </w:r>
      <w:r w:rsidRPr="000A37BF">
        <w:rPr>
          <w:kern w:val="18"/>
          <w:sz w:val="18"/>
          <w:szCs w:val="18"/>
          <w:shd w:val="clear" w:color="auto" w:fill="FEFEFE"/>
          <w:lang w:val="en-GB"/>
        </w:rPr>
        <w:t xml:space="preserve">decision-making framework that enables organizations to identify, measure and value their direct and indirect impacts and dependencies on nature </w:t>
      </w:r>
      <w:r w:rsidRPr="000A37BF">
        <w:rPr>
          <w:kern w:val="18"/>
          <w:sz w:val="18"/>
          <w:szCs w:val="18"/>
          <w:lang w:val="en-GB"/>
        </w:rPr>
        <w:t xml:space="preserve">(see </w:t>
      </w:r>
      <w:hyperlink r:id="rId14" w:history="1">
        <w:r w:rsidRPr="000A37BF">
          <w:rPr>
            <w:rStyle w:val="Hyperlink"/>
            <w:color w:val="4472C4" w:themeColor="accent1"/>
            <w:kern w:val="18"/>
            <w:sz w:val="18"/>
            <w:szCs w:val="18"/>
            <w:lang w:val="en-GB"/>
          </w:rPr>
          <w:t>https://naturalcapitalcoalition.org/projects/biodiversity/</w:t>
        </w:r>
      </w:hyperlink>
      <w:r w:rsidRPr="000A37BF">
        <w:rPr>
          <w:kern w:val="18"/>
          <w:sz w:val="18"/>
          <w:szCs w:val="18"/>
          <w:lang w:val="en-GB"/>
        </w:rPr>
        <w:t>).</w:t>
      </w:r>
    </w:p>
  </w:footnote>
  <w:footnote w:id="33">
    <w:p w14:paraId="40CCD108" w14:textId="62D860B5"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United Nations, </w:t>
      </w:r>
      <w:r w:rsidRPr="000A37BF">
        <w:rPr>
          <w:i/>
          <w:iCs/>
          <w:kern w:val="18"/>
          <w:szCs w:val="18"/>
          <w:lang w:val="en-GB"/>
        </w:rPr>
        <w:t>Treaty Series</w:t>
      </w:r>
      <w:r w:rsidRPr="000A37BF">
        <w:rPr>
          <w:kern w:val="18"/>
          <w:szCs w:val="18"/>
          <w:lang w:val="en-GB"/>
        </w:rPr>
        <w:t>, Registration No. I-54113.</w:t>
      </w:r>
    </w:p>
  </w:footnote>
  <w:footnote w:id="34">
    <w:p w14:paraId="1716C92E" w14:textId="1897C20B"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Costanza, R., de Groot, R., Sutton P., van der Ploeg, S., Anderson, S.J., Kubiszewski, I., Farber, S., Turner, R.K. (2014). “</w:t>
      </w:r>
      <w:r w:rsidRPr="000A37BF">
        <w:rPr>
          <w:iCs/>
          <w:kern w:val="18"/>
          <w:sz w:val="18"/>
          <w:szCs w:val="18"/>
          <w:lang w:val="en-GB"/>
        </w:rPr>
        <w:t>Changes in the global value of ecosystem services”,</w:t>
      </w:r>
      <w:r w:rsidRPr="000A37BF">
        <w:rPr>
          <w:kern w:val="18"/>
          <w:sz w:val="18"/>
          <w:szCs w:val="18"/>
          <w:lang w:val="en-GB"/>
        </w:rPr>
        <w:t xml:space="preserve"> </w:t>
      </w:r>
      <w:r w:rsidRPr="000A37BF">
        <w:rPr>
          <w:i/>
          <w:kern w:val="18"/>
          <w:sz w:val="18"/>
          <w:szCs w:val="18"/>
          <w:lang w:val="en-GB"/>
        </w:rPr>
        <w:t>Global Environmental Change</w:t>
      </w:r>
      <w:r w:rsidRPr="000A37BF">
        <w:rPr>
          <w:kern w:val="18"/>
          <w:sz w:val="18"/>
          <w:szCs w:val="18"/>
          <w:lang w:val="en-GB"/>
        </w:rPr>
        <w:t>, vol. 26, 152-158.</w:t>
      </w:r>
    </w:p>
  </w:footnote>
  <w:footnote w:id="35">
    <w:p w14:paraId="603098C4" w14:textId="2BBDEEA9"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OECD (2019). </w:t>
      </w:r>
      <w:r w:rsidRPr="000A37BF">
        <w:rPr>
          <w:i/>
          <w:iCs/>
          <w:kern w:val="18"/>
          <w:szCs w:val="18"/>
          <w:lang w:val="en-GB"/>
        </w:rPr>
        <w:t>Biodiversity: Finance and the Economic and Business Case for Action</w:t>
      </w:r>
      <w:r w:rsidRPr="000A37BF">
        <w:rPr>
          <w:kern w:val="18"/>
          <w:szCs w:val="18"/>
          <w:lang w:val="en-GB"/>
        </w:rPr>
        <w:t>, report prepared for the G7 Environment Ministers’ meeting held 5-6 May 2019.</w:t>
      </w:r>
    </w:p>
  </w:footnote>
  <w:footnote w:id="36">
    <w:p w14:paraId="436173BD" w14:textId="1FD82AC4"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These examples can all be forms of nature-based solutions for climate change adaptation while not being limited to this.</w:t>
      </w:r>
    </w:p>
  </w:footnote>
  <w:footnote w:id="37">
    <w:p w14:paraId="0CA20004" w14:textId="7744475F"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Such as the Species Threat Abatement and Recovery (STAR) metric being developed by IUCN and partners.</w:t>
      </w:r>
    </w:p>
  </w:footnote>
  <w:footnote w:id="38">
    <w:p w14:paraId="3DE75193" w14:textId="5E472D7B"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The Coalition for Private Investment in Conservation (CPIC) has developed “blueprints” for delivering risk adjusted returns from specific types of investment in biodiversity-positive projects; see </w:t>
      </w:r>
      <w:hyperlink r:id="rId15" w:history="1">
        <w:r w:rsidRPr="000A37BF">
          <w:rPr>
            <w:rStyle w:val="Hyperlink"/>
            <w:color w:val="4472C4" w:themeColor="accent1"/>
            <w:kern w:val="18"/>
            <w:sz w:val="18"/>
            <w:szCs w:val="18"/>
            <w:lang w:val="en-GB"/>
          </w:rPr>
          <w:t>http://cpicfinance.com/blueprints/</w:t>
        </w:r>
      </w:hyperlink>
      <w:r w:rsidRPr="000A37BF">
        <w:rPr>
          <w:kern w:val="18"/>
          <w:sz w:val="18"/>
          <w:szCs w:val="18"/>
          <w:lang w:val="en-GB"/>
        </w:rPr>
        <w:t>.</w:t>
      </w:r>
    </w:p>
  </w:footnote>
  <w:footnote w:id="39">
    <w:p w14:paraId="6E31501D" w14:textId="6BA8BB72"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w:t>
      </w:r>
      <w:r w:rsidRPr="000A37BF">
        <w:rPr>
          <w:rStyle w:val="Strong"/>
          <w:b w:val="0"/>
          <w:bCs w:val="0"/>
          <w:kern w:val="18"/>
          <w:szCs w:val="18"/>
          <w:lang w:val="en-GB"/>
        </w:rPr>
        <w:t>Blended finance is the use public or philanthropic capital in order to catalyse and increase private sector investment in the same project.</w:t>
      </w:r>
    </w:p>
  </w:footnote>
  <w:footnote w:id="40">
    <w:p w14:paraId="4A3D8FD0" w14:textId="14DCE6DE"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For example, the growth of ecotourism within a particular country might require improvements to transport infrastructure, as well as the development and application of a recognized ecotourism certification scheme.</w:t>
      </w:r>
    </w:p>
  </w:footnote>
  <w:footnote w:id="41">
    <w:p w14:paraId="39D4E7D4" w14:textId="40830066"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The IPBES </w:t>
      </w:r>
      <w:r w:rsidRPr="000A37BF">
        <w:rPr>
          <w:i/>
          <w:kern w:val="18"/>
          <w:szCs w:val="18"/>
          <w:lang w:val="en-GB"/>
        </w:rPr>
        <w:t>Global Assessment Report</w:t>
      </w:r>
      <w:r w:rsidRPr="000A37BF">
        <w:rPr>
          <w:kern w:val="18"/>
          <w:szCs w:val="18"/>
          <w:lang w:val="en-GB"/>
        </w:rPr>
        <w:t xml:space="preserve"> </w:t>
      </w:r>
      <w:r w:rsidRPr="000A37BF">
        <w:rPr>
          <w:i/>
          <w:iCs/>
          <w:kern w:val="18"/>
          <w:szCs w:val="18"/>
          <w:lang w:val="en-GB"/>
        </w:rPr>
        <w:t>on Biodiversity and Ecosystem Services</w:t>
      </w:r>
      <w:r w:rsidRPr="000A37BF">
        <w:rPr>
          <w:kern w:val="18"/>
          <w:szCs w:val="18"/>
          <w:lang w:val="en-GB"/>
        </w:rPr>
        <w:t xml:space="preserve"> states that the Sustainable Development Goals cannot be reached if the downward trend of biodiversity is not halted.</w:t>
      </w:r>
    </w:p>
  </w:footnote>
  <w:footnote w:id="42">
    <w:p w14:paraId="37CE734D" w14:textId="432BF69B"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The International Development Finance Club (a network of national and regional international development banks) and multinational development banks are working towards aligning lending policies with the goals and targets of the Paris Agreement, the Convention on Biological Diversity and the Sustainable Development Goals. This would be a very powerful way of generating resources that can help local and regional economies, and become more sustainable and resilient, and support contributions of State and non-State actors to these goals.</w:t>
      </w:r>
    </w:p>
  </w:footnote>
  <w:footnote w:id="43">
    <w:p w14:paraId="062A2F29" w14:textId="68A128F3"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The development of integrated national financing frameworks was supported by United Nations Member States in the Addis Ababa Action Agenda, considered to be the “heart” of efforts to finance the 2030 Agenda for Sustainable Development.</w:t>
      </w:r>
    </w:p>
  </w:footnote>
  <w:footnote w:id="44">
    <w:p w14:paraId="1B5FF7BC" w14:textId="316231A7"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According to the IPBES </w:t>
      </w:r>
      <w:r w:rsidRPr="000A37BF">
        <w:rPr>
          <w:i/>
          <w:kern w:val="18"/>
          <w:szCs w:val="18"/>
          <w:lang w:val="en-GB"/>
        </w:rPr>
        <w:t>Global Assessment Report</w:t>
      </w:r>
      <w:r w:rsidRPr="000A37BF">
        <w:rPr>
          <w:i/>
          <w:iCs/>
          <w:kern w:val="18"/>
          <w:szCs w:val="18"/>
          <w:lang w:val="en-GB"/>
        </w:rPr>
        <w:t xml:space="preserve"> on Biodiversity and Ecosystem Services</w:t>
      </w:r>
      <w:r w:rsidRPr="000A37BF">
        <w:rPr>
          <w:kern w:val="18"/>
          <w:szCs w:val="18"/>
          <w:lang w:val="en-GB"/>
        </w:rPr>
        <w:t>, nature-based solutions are believed to be able to contribute 30 to 36 per cent of the climate mitigation needed.</w:t>
      </w:r>
    </w:p>
  </w:footnote>
  <w:footnote w:id="45">
    <w:p w14:paraId="2FF159AF" w14:textId="64CD7ECA"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For more information on a methodology to develop a national biodiversity finance plan, refer to the BIOFIN Workbook 2018: </w:t>
      </w:r>
      <w:hyperlink r:id="rId16" w:history="1">
        <w:r w:rsidRPr="000A37BF">
          <w:rPr>
            <w:rStyle w:val="Hyperlink"/>
            <w:color w:val="4472C4" w:themeColor="accent1"/>
            <w:kern w:val="18"/>
            <w:sz w:val="18"/>
            <w:szCs w:val="18"/>
            <w:lang w:val="en-GB"/>
          </w:rPr>
          <w:t>https://www.biodiversityfinance.net/sites/default/files/content/publications/BIOFIN%20Workbook%202018_0.pdf</w:t>
        </w:r>
      </w:hyperlink>
      <w:r w:rsidRPr="000A37BF">
        <w:rPr>
          <w:kern w:val="18"/>
          <w:sz w:val="18"/>
          <w:szCs w:val="18"/>
          <w:lang w:val="en-GB"/>
        </w:rPr>
        <w:t>.</w:t>
      </w:r>
    </w:p>
  </w:footnote>
  <w:footnote w:id="46">
    <w:p w14:paraId="2F2CBD6D" w14:textId="42CD8BA8" w:rsidR="001F6920" w:rsidRPr="000A37BF" w:rsidRDefault="001F6920" w:rsidP="000A37BF">
      <w:pPr>
        <w:pStyle w:val="Footer"/>
        <w:keepLines/>
        <w:suppressLineNumbers/>
        <w:suppressAutoHyphens/>
        <w:adjustRightInd w:val="0"/>
        <w:snapToGrid w:val="0"/>
        <w:spacing w:after="60"/>
        <w:ind w:firstLine="0"/>
        <w:jc w:val="left"/>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Decision </w:t>
      </w:r>
      <w:hyperlink r:id="rId17" w:history="1">
        <w:r w:rsidRPr="000A37BF">
          <w:rPr>
            <w:rStyle w:val="Hyperlink"/>
            <w:snapToGrid w:val="0"/>
            <w:kern w:val="18"/>
            <w:sz w:val="18"/>
            <w:szCs w:val="18"/>
            <w:lang w:val="en-GB" w:eastAsia="en-GB"/>
          </w:rPr>
          <w:t>14/23</w:t>
        </w:r>
      </w:hyperlink>
      <w:r w:rsidRPr="000A37BF">
        <w:rPr>
          <w:kern w:val="18"/>
          <w:sz w:val="18"/>
          <w:szCs w:val="18"/>
          <w:lang w:val="en-GB"/>
        </w:rPr>
        <w:t>.</w:t>
      </w:r>
    </w:p>
  </w:footnote>
  <w:footnote w:id="47">
    <w:p w14:paraId="626BBDE9" w14:textId="6273717D" w:rsidR="001F6920" w:rsidRPr="000A37BF" w:rsidRDefault="001F6920" w:rsidP="000A37BF">
      <w:pPr>
        <w:pStyle w:val="Footer"/>
        <w:keepLines/>
        <w:suppressLineNumbers/>
        <w:suppressAutoHyphens/>
        <w:adjustRightInd w:val="0"/>
        <w:snapToGrid w:val="0"/>
        <w:spacing w:after="60"/>
        <w:ind w:firstLine="0"/>
        <w:jc w:val="left"/>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In total, GEF has invested more than US$ 3.5 billion to conserve biodiversity and</w:t>
      </w:r>
      <w:r w:rsidR="00A15C3D" w:rsidRPr="000A37BF">
        <w:rPr>
          <w:kern w:val="18"/>
          <w:sz w:val="18"/>
          <w:szCs w:val="18"/>
          <w:lang w:val="en-GB"/>
        </w:rPr>
        <w:t xml:space="preserve"> </w:t>
      </w:r>
      <w:r w:rsidRPr="000A37BF">
        <w:rPr>
          <w:kern w:val="18"/>
          <w:sz w:val="18"/>
          <w:szCs w:val="18"/>
          <w:lang w:val="en-GB"/>
        </w:rPr>
        <w:t>use it sustainably. This investment has leveraged over US$ 10 billion in additional funds, supporting 1,300 projects in more than 155 countries.</w:t>
      </w:r>
    </w:p>
  </w:footnote>
  <w:footnote w:id="48">
    <w:p w14:paraId="77860153" w14:textId="0BFEEA13"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Set up by the United Nations Framework Convention on Climate Change in 2010 (</w:t>
      </w:r>
      <w:hyperlink r:id="rId18" w:history="1">
        <w:r w:rsidRPr="000A37BF">
          <w:rPr>
            <w:rStyle w:val="Hyperlink"/>
            <w:color w:val="4472C4" w:themeColor="accent1"/>
            <w:kern w:val="18"/>
            <w:szCs w:val="18"/>
            <w:lang w:val="en-GB"/>
          </w:rPr>
          <w:t>https://www.greenclimate.fund/</w:t>
        </w:r>
      </w:hyperlink>
      <w:r w:rsidRPr="000A37BF">
        <w:rPr>
          <w:kern w:val="18"/>
          <w:szCs w:val="18"/>
          <w:lang w:val="en-GB"/>
        </w:rPr>
        <w:t>).</w:t>
      </w:r>
    </w:p>
  </w:footnote>
  <w:footnote w:id="49">
    <w:p w14:paraId="5A618024" w14:textId="39EB5E26" w:rsidR="001F6920" w:rsidRPr="000A37BF" w:rsidRDefault="001F6920" w:rsidP="000A37BF">
      <w:pPr>
        <w:pStyle w:val="Footer"/>
        <w:keepLines/>
        <w:suppressLineNumbers/>
        <w:suppressAutoHyphens/>
        <w:adjustRightInd w:val="0"/>
        <w:snapToGrid w:val="0"/>
        <w:spacing w:after="60"/>
        <w:ind w:firstLine="0"/>
        <w:jc w:val="left"/>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Responding to decision </w:t>
      </w:r>
      <w:hyperlink r:id="rId19" w:history="1">
        <w:r w:rsidRPr="000A37BF">
          <w:rPr>
            <w:rStyle w:val="Hyperlink"/>
            <w:snapToGrid w:val="0"/>
            <w:kern w:val="18"/>
            <w:sz w:val="18"/>
            <w:szCs w:val="18"/>
            <w:lang w:val="en-GB" w:eastAsia="en-GB"/>
          </w:rPr>
          <w:t>14/29</w:t>
        </w:r>
      </w:hyperlink>
      <w:r w:rsidRPr="000A37BF">
        <w:rPr>
          <w:kern w:val="18"/>
          <w:sz w:val="18"/>
          <w:szCs w:val="18"/>
          <w:lang w:val="en-GB"/>
        </w:rPr>
        <w:t>.</w:t>
      </w:r>
    </w:p>
  </w:footnote>
  <w:footnote w:id="50">
    <w:p w14:paraId="697DBF84" w14:textId="37A0F981" w:rsidR="001F6920" w:rsidRPr="000A37BF" w:rsidRDefault="001F6920" w:rsidP="000A37BF">
      <w:pPr>
        <w:pStyle w:val="Footer"/>
        <w:keepLines/>
        <w:suppressLineNumbers/>
        <w:suppressAutoHyphens/>
        <w:adjustRightInd w:val="0"/>
        <w:snapToGrid w:val="0"/>
        <w:spacing w:after="60"/>
        <w:ind w:firstLine="0"/>
        <w:jc w:val="left"/>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CBD/POST2020/WS/2020/1/3.</w:t>
      </w:r>
    </w:p>
  </w:footnote>
  <w:footnote w:id="51">
    <w:p w14:paraId="7A0B4182" w14:textId="12DEEB4C" w:rsidR="001F6920" w:rsidRPr="000A37BF" w:rsidRDefault="001F6920" w:rsidP="000A37BF">
      <w:pPr>
        <w:pStyle w:val="Footer"/>
        <w:keepLines/>
        <w:suppressLineNumbers/>
        <w:suppressAutoHyphens/>
        <w:adjustRightInd w:val="0"/>
        <w:snapToGrid w:val="0"/>
        <w:spacing w:after="60"/>
        <w:ind w:firstLine="0"/>
        <w:jc w:val="left"/>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There is a need for more standardized information which can be compared across countries. At the same time, much of the information gathered on resource mobilization can be used for national planning purposes (e.g. to support the development and implementation of national resource mobilization strategies), and for this reason, would not be required to be standardized. The information might prove to be more useful at the national and subnational levels if it were collected and analysed using a “fit-for-purpose” methodology, designed to suit the country’s needs. This tension between the need for standardization and the need for nationally tailored approaches will need to be addressed.</w:t>
      </w:r>
    </w:p>
  </w:footnote>
  <w:footnote w:id="52">
    <w:p w14:paraId="35A0CB46" w14:textId="0CF5732B" w:rsidR="001F6920" w:rsidRPr="000A37BF" w:rsidRDefault="001F6920" w:rsidP="000A37BF">
      <w:pPr>
        <w:keepLines/>
        <w:suppressLineNumbers/>
        <w:suppressAutoHyphens/>
        <w:adjustRightInd w:val="0"/>
        <w:snapToGrid w:val="0"/>
        <w:spacing w:after="60"/>
        <w:rPr>
          <w:kern w:val="18"/>
          <w:sz w:val="18"/>
          <w:szCs w:val="18"/>
          <w:lang w:val="en-GB"/>
        </w:rPr>
      </w:pPr>
      <w:r w:rsidRPr="000A37BF">
        <w:rPr>
          <w:rStyle w:val="FootnoteReference"/>
          <w:kern w:val="18"/>
          <w:szCs w:val="18"/>
          <w:u w:val="none"/>
          <w:vertAlign w:val="superscript"/>
          <w:lang w:val="en-GB"/>
        </w:rPr>
        <w:footnoteRef/>
      </w:r>
      <w:r w:rsidRPr="000A37BF">
        <w:rPr>
          <w:kern w:val="18"/>
          <w:sz w:val="18"/>
          <w:szCs w:val="18"/>
          <w:lang w:val="en-GB"/>
        </w:rPr>
        <w:t xml:space="preserve"> Not all actions need be explicitly captured in targets, as some actions enable the implementation of others.</w:t>
      </w:r>
    </w:p>
  </w:footnote>
  <w:footnote w:id="53">
    <w:p w14:paraId="0F3E1369" w14:textId="6F489442" w:rsidR="001F6920" w:rsidRPr="000A37BF" w:rsidRDefault="001F6920" w:rsidP="000A37BF">
      <w:pPr>
        <w:pStyle w:val="FootnoteText"/>
        <w:suppressLineNumbers/>
        <w:suppressAutoHyphens/>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w:t>
      </w:r>
      <w:r w:rsidRPr="000A37BF">
        <w:rPr>
          <w:bCs/>
          <w:kern w:val="18"/>
          <w:szCs w:val="18"/>
          <w:lang w:val="en-GB"/>
        </w:rPr>
        <w:t xml:space="preserve">The indicator could be expressed in a number of ways, for example as a percentage of global GDP, or as an absolute number relating to estimated needs, based on all other targets in this framework, when determined. </w:t>
      </w:r>
    </w:p>
  </w:footnote>
  <w:footnote w:id="54">
    <w:p w14:paraId="74A30B1A" w14:textId="4DDED7A7"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OECD (2020). </w:t>
      </w:r>
      <w:r w:rsidRPr="000A37BF">
        <w:rPr>
          <w:i/>
          <w:kern w:val="18"/>
          <w:szCs w:val="18"/>
          <w:lang w:val="en-GB"/>
        </w:rPr>
        <w:t xml:space="preserve">A Comprehensive Overview of Global Biodiversity Finance, </w:t>
      </w:r>
      <w:r w:rsidRPr="000A37BF">
        <w:rPr>
          <w:kern w:val="18"/>
          <w:szCs w:val="18"/>
          <w:lang w:val="en-GB"/>
        </w:rPr>
        <w:t>Final report, April 2020.</w:t>
      </w:r>
    </w:p>
  </w:footnote>
  <w:footnote w:id="55">
    <w:p w14:paraId="2DEDDA02" w14:textId="63B39A42"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CBD/SBI/3/INF/2 (full first report); CBD/SBI/3/5/Add.1 (summary).</w:t>
      </w:r>
    </w:p>
  </w:footnote>
  <w:footnote w:id="56">
    <w:p w14:paraId="078F7DF6" w14:textId="0F79A35A" w:rsidR="001F6920" w:rsidRPr="000A37BF" w:rsidRDefault="001F6920" w:rsidP="000A37BF">
      <w:pPr>
        <w:pStyle w:val="FootnoteText"/>
        <w:suppressLineNumbers/>
        <w:suppressAutoHyphens/>
        <w:adjustRightInd w:val="0"/>
        <w:snapToGrid w:val="0"/>
        <w:ind w:firstLine="0"/>
        <w:rPr>
          <w:kern w:val="18"/>
          <w:szCs w:val="18"/>
          <w:lang w:val="en-GB"/>
        </w:rPr>
      </w:pPr>
      <w:r w:rsidRPr="000A37BF">
        <w:rPr>
          <w:rStyle w:val="FootnoteReference"/>
          <w:kern w:val="18"/>
          <w:szCs w:val="18"/>
          <w:u w:val="none"/>
          <w:vertAlign w:val="superscript"/>
          <w:lang w:val="en-GB"/>
        </w:rPr>
        <w:footnoteRef/>
      </w:r>
      <w:r w:rsidRPr="000A37BF">
        <w:rPr>
          <w:kern w:val="18"/>
          <w:szCs w:val="18"/>
          <w:lang w:val="en-GB"/>
        </w:rPr>
        <w:t xml:space="preserve"> Adopted in decision XII/3.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en-GB"/>
      </w:rPr>
      <w:alias w:val="Subject"/>
      <w:tag w:val=""/>
      <w:id w:val="1133753265"/>
      <w:placeholder>
        <w:docPart w:val="25677F2E74A84738BE8D1B89523AA004"/>
      </w:placeholder>
      <w:dataBinding w:prefixMappings="xmlns:ns0='http://purl.org/dc/elements/1.1/' xmlns:ns1='http://schemas.openxmlformats.org/package/2006/metadata/core-properties' " w:xpath="/ns1:coreProperties[1]/ns0:subject[1]" w:storeItemID="{6C3C8BC8-F283-45AE-878A-BAB7291924A1}"/>
      <w:text/>
    </w:sdtPr>
    <w:sdtEndPr/>
    <w:sdtContent>
      <w:p w14:paraId="7900442D" w14:textId="77777777" w:rsidR="001F6920" w:rsidRPr="00BB36C7" w:rsidRDefault="001F6920" w:rsidP="000A37BF">
        <w:pPr>
          <w:keepLines/>
          <w:suppressLineNumbers/>
          <w:suppressAutoHyphens/>
          <w:rPr>
            <w:noProof/>
            <w:snapToGrid w:val="0"/>
            <w:kern w:val="22"/>
            <w:sz w:val="22"/>
            <w:szCs w:val="22"/>
            <w:lang w:val="en-GB"/>
          </w:rPr>
        </w:pPr>
        <w:r w:rsidRPr="00BB36C7">
          <w:rPr>
            <w:noProof/>
            <w:snapToGrid w:val="0"/>
            <w:kern w:val="22"/>
            <w:sz w:val="22"/>
            <w:szCs w:val="22"/>
            <w:lang w:val="en-GB"/>
          </w:rPr>
          <w:t>CBD/SBI/3/5/Add.3</w:t>
        </w:r>
      </w:p>
    </w:sdtContent>
  </w:sdt>
  <w:p w14:paraId="15BB9849" w14:textId="04D13510" w:rsidR="001F6920" w:rsidRDefault="001F6920" w:rsidP="000A37BF">
    <w:pPr>
      <w:pStyle w:val="Header"/>
      <w:keepLines/>
      <w:suppressLineNumbers/>
      <w:tabs>
        <w:tab w:val="clear" w:pos="4320"/>
        <w:tab w:val="clear" w:pos="8640"/>
      </w:tabs>
      <w:suppressAutoHyphens/>
      <w:rPr>
        <w:bCs/>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Pr>
        <w:bCs/>
        <w:noProof/>
        <w:kern w:val="22"/>
        <w:sz w:val="22"/>
        <w:szCs w:val="22"/>
        <w:lang w:val="en-GB"/>
      </w:rPr>
      <w:t>2</w:t>
    </w:r>
    <w:r w:rsidRPr="00ED543F">
      <w:rPr>
        <w:bCs/>
        <w:noProof/>
        <w:kern w:val="22"/>
        <w:sz w:val="22"/>
        <w:szCs w:val="22"/>
        <w:lang w:val="en-GB"/>
      </w:rPr>
      <w:fldChar w:fldCharType="end"/>
    </w:r>
  </w:p>
  <w:p w14:paraId="68ED4DC6" w14:textId="77777777" w:rsidR="001F6920" w:rsidRPr="00ED543F" w:rsidRDefault="001F6920" w:rsidP="000A37BF">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en-GB"/>
      </w:rPr>
      <w:alias w:val="Subject"/>
      <w:tag w:val=""/>
      <w:id w:val="-524253735"/>
      <w:placeholder>
        <w:docPart w:val="DC359E173DA34D28B55ADB18669B1879"/>
      </w:placeholder>
      <w:dataBinding w:prefixMappings="xmlns:ns0='http://purl.org/dc/elements/1.1/' xmlns:ns1='http://schemas.openxmlformats.org/package/2006/metadata/core-properties' " w:xpath="/ns1:coreProperties[1]/ns0:subject[1]" w:storeItemID="{6C3C8BC8-F283-45AE-878A-BAB7291924A1}"/>
      <w:text/>
    </w:sdtPr>
    <w:sdtEndPr/>
    <w:sdtContent>
      <w:p w14:paraId="19B922F4" w14:textId="77777777" w:rsidR="001F6920" w:rsidRPr="000A37BF" w:rsidRDefault="001F6920" w:rsidP="000A37BF">
        <w:pPr>
          <w:keepLines/>
          <w:suppressLineNumbers/>
          <w:suppressAutoHyphens/>
          <w:jc w:val="right"/>
          <w:rPr>
            <w:noProof/>
            <w:snapToGrid w:val="0"/>
            <w:kern w:val="22"/>
            <w:sz w:val="22"/>
            <w:szCs w:val="22"/>
            <w:lang w:val="en-GB"/>
          </w:rPr>
        </w:pPr>
        <w:r w:rsidRPr="000A37BF">
          <w:rPr>
            <w:noProof/>
            <w:snapToGrid w:val="0"/>
            <w:kern w:val="22"/>
            <w:sz w:val="22"/>
            <w:szCs w:val="22"/>
            <w:lang w:val="en-GB"/>
          </w:rPr>
          <w:t>CBD/SBI/3/5/Add.3</w:t>
        </w:r>
      </w:p>
    </w:sdtContent>
  </w:sdt>
  <w:p w14:paraId="344C5F3B" w14:textId="42A859FE" w:rsidR="001F6920" w:rsidRPr="000A37BF" w:rsidRDefault="001F6920" w:rsidP="000A37BF">
    <w:pPr>
      <w:pStyle w:val="Header"/>
      <w:keepLines/>
      <w:suppressLineNumbers/>
      <w:tabs>
        <w:tab w:val="clear" w:pos="4320"/>
        <w:tab w:val="clear" w:pos="8640"/>
      </w:tabs>
      <w:suppressAutoHyphens/>
      <w:jc w:val="right"/>
      <w:rPr>
        <w:bCs/>
        <w:noProof/>
        <w:kern w:val="22"/>
        <w:sz w:val="22"/>
        <w:szCs w:val="22"/>
        <w:lang w:val="en-GB"/>
      </w:rPr>
    </w:pPr>
    <w:r w:rsidRPr="000A37BF">
      <w:rPr>
        <w:noProof/>
        <w:kern w:val="22"/>
        <w:sz w:val="22"/>
        <w:szCs w:val="22"/>
        <w:lang w:val="en-GB"/>
      </w:rPr>
      <w:t xml:space="preserve">Page </w:t>
    </w:r>
    <w:r w:rsidRPr="000A37BF">
      <w:rPr>
        <w:bCs/>
        <w:noProof/>
        <w:kern w:val="22"/>
        <w:sz w:val="22"/>
        <w:szCs w:val="22"/>
        <w:lang w:val="en-GB"/>
      </w:rPr>
      <w:fldChar w:fldCharType="begin"/>
    </w:r>
    <w:r w:rsidRPr="000A37BF">
      <w:rPr>
        <w:bCs/>
        <w:noProof/>
        <w:kern w:val="22"/>
        <w:sz w:val="22"/>
        <w:szCs w:val="22"/>
        <w:lang w:val="en-GB"/>
      </w:rPr>
      <w:instrText xml:space="preserve"> PAGE </w:instrText>
    </w:r>
    <w:r w:rsidRPr="000A37BF">
      <w:rPr>
        <w:bCs/>
        <w:noProof/>
        <w:kern w:val="22"/>
        <w:sz w:val="22"/>
        <w:szCs w:val="22"/>
        <w:lang w:val="en-GB"/>
      </w:rPr>
      <w:fldChar w:fldCharType="separate"/>
    </w:r>
    <w:r w:rsidRPr="000A37BF">
      <w:rPr>
        <w:bCs/>
        <w:noProof/>
        <w:kern w:val="22"/>
        <w:sz w:val="22"/>
        <w:szCs w:val="22"/>
        <w:lang w:val="en-GB"/>
      </w:rPr>
      <w:t>3</w:t>
    </w:r>
    <w:r w:rsidRPr="000A37BF">
      <w:rPr>
        <w:bCs/>
        <w:noProof/>
        <w:kern w:val="22"/>
        <w:sz w:val="22"/>
        <w:szCs w:val="22"/>
        <w:lang w:val="en-GB"/>
      </w:rPr>
      <w:fldChar w:fldCharType="end"/>
    </w:r>
  </w:p>
  <w:p w14:paraId="4F914961" w14:textId="77777777" w:rsidR="001F6920" w:rsidRPr="000A37BF" w:rsidRDefault="001F6920" w:rsidP="000A37BF">
    <w:pPr>
      <w:pStyle w:val="Header"/>
      <w:keepLines/>
      <w:suppressLineNumbers/>
      <w:tabs>
        <w:tab w:val="clear" w:pos="4320"/>
        <w:tab w:val="clear" w:pos="8640"/>
      </w:tabs>
      <w:suppressAutoHyphens/>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FAC"/>
    <w:multiLevelType w:val="hybridMultilevel"/>
    <w:tmpl w:val="8E5A7BA4"/>
    <w:lvl w:ilvl="0" w:tplc="9790E64C">
      <w:start w:val="2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E659D"/>
    <w:multiLevelType w:val="hybridMultilevel"/>
    <w:tmpl w:val="2938A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86CEB"/>
    <w:multiLevelType w:val="hybridMultilevel"/>
    <w:tmpl w:val="A1386F4C"/>
    <w:lvl w:ilvl="0" w:tplc="1C090017">
      <w:start w:val="1"/>
      <w:numFmt w:val="lowerLetter"/>
      <w:lvlText w:val="%1)"/>
      <w:lvlJc w:val="left"/>
      <w:pPr>
        <w:ind w:left="8730" w:hanging="360"/>
      </w:pPr>
      <w:rPr>
        <w:rFonts w:hint="default"/>
      </w:rPr>
    </w:lvl>
    <w:lvl w:ilvl="1" w:tplc="08090019" w:tentative="1">
      <w:start w:val="1"/>
      <w:numFmt w:val="lowerLetter"/>
      <w:lvlText w:val="%2."/>
      <w:lvlJc w:val="left"/>
      <w:pPr>
        <w:ind w:left="9450" w:hanging="360"/>
      </w:pPr>
    </w:lvl>
    <w:lvl w:ilvl="2" w:tplc="0809001B" w:tentative="1">
      <w:start w:val="1"/>
      <w:numFmt w:val="lowerRoman"/>
      <w:lvlText w:val="%3."/>
      <w:lvlJc w:val="right"/>
      <w:pPr>
        <w:ind w:left="10170" w:hanging="180"/>
      </w:pPr>
    </w:lvl>
    <w:lvl w:ilvl="3" w:tplc="0809000F" w:tentative="1">
      <w:start w:val="1"/>
      <w:numFmt w:val="decimal"/>
      <w:lvlText w:val="%4."/>
      <w:lvlJc w:val="left"/>
      <w:pPr>
        <w:ind w:left="10890" w:hanging="360"/>
      </w:pPr>
    </w:lvl>
    <w:lvl w:ilvl="4" w:tplc="08090019" w:tentative="1">
      <w:start w:val="1"/>
      <w:numFmt w:val="lowerLetter"/>
      <w:lvlText w:val="%5."/>
      <w:lvlJc w:val="left"/>
      <w:pPr>
        <w:ind w:left="11610" w:hanging="360"/>
      </w:pPr>
    </w:lvl>
    <w:lvl w:ilvl="5" w:tplc="0809001B" w:tentative="1">
      <w:start w:val="1"/>
      <w:numFmt w:val="lowerRoman"/>
      <w:lvlText w:val="%6."/>
      <w:lvlJc w:val="right"/>
      <w:pPr>
        <w:ind w:left="12330" w:hanging="180"/>
      </w:pPr>
    </w:lvl>
    <w:lvl w:ilvl="6" w:tplc="0809000F" w:tentative="1">
      <w:start w:val="1"/>
      <w:numFmt w:val="decimal"/>
      <w:lvlText w:val="%7."/>
      <w:lvlJc w:val="left"/>
      <w:pPr>
        <w:ind w:left="13050" w:hanging="360"/>
      </w:pPr>
    </w:lvl>
    <w:lvl w:ilvl="7" w:tplc="08090019" w:tentative="1">
      <w:start w:val="1"/>
      <w:numFmt w:val="lowerLetter"/>
      <w:lvlText w:val="%8."/>
      <w:lvlJc w:val="left"/>
      <w:pPr>
        <w:ind w:left="13770" w:hanging="360"/>
      </w:pPr>
    </w:lvl>
    <w:lvl w:ilvl="8" w:tplc="0809001B" w:tentative="1">
      <w:start w:val="1"/>
      <w:numFmt w:val="lowerRoman"/>
      <w:lvlText w:val="%9."/>
      <w:lvlJc w:val="right"/>
      <w:pPr>
        <w:ind w:left="14490" w:hanging="180"/>
      </w:pPr>
    </w:lvl>
  </w:abstractNum>
  <w:abstractNum w:abstractNumId="3" w15:restartNumberingAfterBreak="0">
    <w:nsid w:val="0752061A"/>
    <w:multiLevelType w:val="hybridMultilevel"/>
    <w:tmpl w:val="E744D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E9D4BEA"/>
    <w:multiLevelType w:val="hybridMultilevel"/>
    <w:tmpl w:val="B726D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345687"/>
    <w:multiLevelType w:val="hybridMultilevel"/>
    <w:tmpl w:val="BCE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52EB8"/>
    <w:multiLevelType w:val="hybridMultilevel"/>
    <w:tmpl w:val="0C88F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D82ACE"/>
    <w:multiLevelType w:val="hybridMultilevel"/>
    <w:tmpl w:val="DBC47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0960A4"/>
    <w:multiLevelType w:val="hybridMultilevel"/>
    <w:tmpl w:val="5DEA5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1A20A1"/>
    <w:multiLevelType w:val="hybridMultilevel"/>
    <w:tmpl w:val="FA8EAF0A"/>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1" w15:restartNumberingAfterBreak="0">
    <w:nsid w:val="21880D6A"/>
    <w:multiLevelType w:val="hybridMultilevel"/>
    <w:tmpl w:val="5D96D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B09303D"/>
    <w:multiLevelType w:val="hybridMultilevel"/>
    <w:tmpl w:val="B3766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690620"/>
    <w:multiLevelType w:val="hybridMultilevel"/>
    <w:tmpl w:val="6A360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4FF6540"/>
    <w:multiLevelType w:val="hybridMultilevel"/>
    <w:tmpl w:val="4F8E823C"/>
    <w:lvl w:ilvl="0" w:tplc="14265274">
      <w:start w:val="24"/>
      <w:numFmt w:val="bullet"/>
      <w:lvlText w:val="-"/>
      <w:lvlJc w:val="left"/>
      <w:pPr>
        <w:ind w:left="360" w:hanging="360"/>
      </w:pPr>
      <w:rPr>
        <w:rFonts w:ascii="Calibri Light" w:eastAsiaTheme="majorEastAsia"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6C4293D"/>
    <w:multiLevelType w:val="hybridMultilevel"/>
    <w:tmpl w:val="0B16BA7A"/>
    <w:lvl w:ilvl="0" w:tplc="33665376">
      <w:start w:val="8"/>
      <w:numFmt w:val="bullet"/>
      <w:lvlText w:val="-"/>
      <w:lvlJc w:val="left"/>
      <w:pPr>
        <w:ind w:left="360" w:hanging="360"/>
      </w:pPr>
      <w:rPr>
        <w:rFonts w:ascii="Calibri Light" w:eastAsia="Times New Roman"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1" w15:restartNumberingAfterBreak="0">
    <w:nsid w:val="3D6B0217"/>
    <w:multiLevelType w:val="hybridMultilevel"/>
    <w:tmpl w:val="29BC81AA"/>
    <w:lvl w:ilvl="0" w:tplc="33665376">
      <w:start w:val="8"/>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4FD648C"/>
    <w:multiLevelType w:val="hybridMultilevel"/>
    <w:tmpl w:val="2714B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B1568E"/>
    <w:multiLevelType w:val="hybridMultilevel"/>
    <w:tmpl w:val="FB5A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4CA92CBE"/>
    <w:multiLevelType w:val="hybridMultilevel"/>
    <w:tmpl w:val="42C6FB70"/>
    <w:lvl w:ilvl="0" w:tplc="BB4A8336">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67475D"/>
    <w:multiLevelType w:val="hybridMultilevel"/>
    <w:tmpl w:val="6FE6470C"/>
    <w:lvl w:ilvl="0" w:tplc="38AEE0B4">
      <w:start w:val="1"/>
      <w:numFmt w:val="decimal"/>
      <w:lvlText w:val="%1."/>
      <w:lvlJc w:val="left"/>
      <w:pPr>
        <w:ind w:left="927"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22B109C"/>
    <w:multiLevelType w:val="hybridMultilevel"/>
    <w:tmpl w:val="C2CE05D6"/>
    <w:lvl w:ilvl="0" w:tplc="33665376">
      <w:start w:val="8"/>
      <w:numFmt w:val="bullet"/>
      <w:lvlText w:val="-"/>
      <w:lvlJc w:val="left"/>
      <w:pPr>
        <w:ind w:left="360" w:hanging="360"/>
      </w:pPr>
      <w:rPr>
        <w:rFonts w:ascii="Calibri Light" w:eastAsiaTheme="majorEastAsia"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23451E1"/>
    <w:multiLevelType w:val="hybridMultilevel"/>
    <w:tmpl w:val="CBF6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A054C8A"/>
    <w:multiLevelType w:val="hybridMultilevel"/>
    <w:tmpl w:val="6BC87268"/>
    <w:lvl w:ilvl="0" w:tplc="C9963E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EE94C11"/>
    <w:multiLevelType w:val="hybridMultilevel"/>
    <w:tmpl w:val="D682CBAE"/>
    <w:lvl w:ilvl="0" w:tplc="9FDC2FFA">
      <w:start w:val="1"/>
      <w:numFmt w:val="lowerLetter"/>
      <w:lvlText w:val="%1."/>
      <w:lvlJc w:val="left"/>
      <w:pPr>
        <w:ind w:left="1353" w:hanging="360"/>
      </w:pPr>
      <w:rPr>
        <w:b/>
        <w:bCs/>
        <w:i/>
        <w:i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5FC60634"/>
    <w:multiLevelType w:val="hybridMultilevel"/>
    <w:tmpl w:val="EDF8C16A"/>
    <w:lvl w:ilvl="0" w:tplc="139A80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7" w15:restartNumberingAfterBreak="0">
    <w:nsid w:val="67335502"/>
    <w:multiLevelType w:val="hybridMultilevel"/>
    <w:tmpl w:val="0E9C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2620C7"/>
    <w:multiLevelType w:val="hybridMultilevel"/>
    <w:tmpl w:val="47E48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412F15"/>
    <w:multiLevelType w:val="hybridMultilevel"/>
    <w:tmpl w:val="C5A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873A0"/>
    <w:multiLevelType w:val="hybridMultilevel"/>
    <w:tmpl w:val="CD528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F517C8"/>
    <w:multiLevelType w:val="hybridMultilevel"/>
    <w:tmpl w:val="17A0961E"/>
    <w:lvl w:ilvl="0" w:tplc="33665376">
      <w:start w:val="8"/>
      <w:numFmt w:val="bullet"/>
      <w:lvlText w:val="-"/>
      <w:lvlJc w:val="left"/>
      <w:pPr>
        <w:ind w:left="360" w:hanging="360"/>
      </w:pPr>
      <w:rPr>
        <w:rFonts w:ascii="Calibri Light" w:eastAsiaTheme="majorEastAsia"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64D3129"/>
    <w:multiLevelType w:val="hybridMultilevel"/>
    <w:tmpl w:val="CA70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E37D1"/>
    <w:multiLevelType w:val="hybridMultilevel"/>
    <w:tmpl w:val="FE5CB308"/>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44" w15:restartNumberingAfterBreak="0">
    <w:nsid w:val="7B7935AA"/>
    <w:multiLevelType w:val="hybridMultilevel"/>
    <w:tmpl w:val="E1E80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A07BCF"/>
    <w:multiLevelType w:val="hybridMultilevel"/>
    <w:tmpl w:val="42C6FB70"/>
    <w:lvl w:ilvl="0" w:tplc="BB4A8336">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BB1009B"/>
    <w:multiLevelType w:val="hybridMultilevel"/>
    <w:tmpl w:val="DDC2058C"/>
    <w:lvl w:ilvl="0" w:tplc="33665376">
      <w:start w:val="8"/>
      <w:numFmt w:val="bullet"/>
      <w:lvlText w:val="-"/>
      <w:lvlJc w:val="left"/>
      <w:pPr>
        <w:ind w:left="720" w:hanging="360"/>
      </w:pPr>
      <w:rPr>
        <w:rFonts w:ascii="Calibri Light" w:eastAsiaTheme="majorEastAsia" w:hAnsi="Calibri Light" w:cs="Calibri Light" w:hint="default"/>
      </w:rPr>
    </w:lvl>
    <w:lvl w:ilvl="1" w:tplc="33665376">
      <w:start w:val="8"/>
      <w:numFmt w:val="bullet"/>
      <w:lvlText w:val="-"/>
      <w:lvlJc w:val="left"/>
      <w:pPr>
        <w:ind w:left="1440" w:hanging="360"/>
      </w:pPr>
      <w:rPr>
        <w:rFonts w:ascii="Calibri Light" w:eastAsiaTheme="majorEastAsia" w:hAnsi="Calibri Light" w:cs="Calibri Light"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7" w15:restartNumberingAfterBreak="0">
    <w:nsid w:val="7CF47636"/>
    <w:multiLevelType w:val="hybridMultilevel"/>
    <w:tmpl w:val="50EA76EC"/>
    <w:lvl w:ilvl="0" w:tplc="BB5AFE52">
      <w:start w:val="1"/>
      <w:numFmt w:val="lowerLetter"/>
      <w:lvlText w:val="(%1)"/>
      <w:lvlJc w:val="left"/>
      <w:pPr>
        <w:ind w:left="1440" w:hanging="360"/>
      </w:pPr>
      <w:rPr>
        <w:rFonts w:ascii="Times New Roman" w:eastAsia="Times New Roman" w:hAnsi="Times New Roman" w:cs="Times New Roman"/>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5"/>
  </w:num>
  <w:num w:numId="2">
    <w:abstractNumId w:val="26"/>
  </w:num>
  <w:num w:numId="3">
    <w:abstractNumId w:val="22"/>
    <w:lvlOverride w:ilvl="0">
      <w:startOverride w:val="1"/>
    </w:lvlOverride>
  </w:num>
  <w:num w:numId="4">
    <w:abstractNumId w:val="4"/>
  </w:num>
  <w:num w:numId="5">
    <w:abstractNumId w:val="16"/>
  </w:num>
  <w:num w:numId="6">
    <w:abstractNumId w:val="36"/>
  </w:num>
  <w:num w:numId="7">
    <w:abstractNumId w:val="31"/>
  </w:num>
  <w:num w:numId="8">
    <w:abstractNumId w:val="19"/>
  </w:num>
  <w:num w:numId="9">
    <w:abstractNumId w:val="24"/>
  </w:num>
  <w:num w:numId="10">
    <w:abstractNumId w:val="20"/>
  </w:num>
  <w:num w:numId="11">
    <w:abstractNumId w:val="32"/>
  </w:num>
  <w:num w:numId="12">
    <w:abstractNumId w:val="12"/>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9"/>
  </w:num>
  <w:num w:numId="16">
    <w:abstractNumId w:val="17"/>
  </w:num>
  <w:num w:numId="17">
    <w:abstractNumId w:val="41"/>
  </w:num>
  <w:num w:numId="18">
    <w:abstractNumId w:val="4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0"/>
  </w:num>
  <w:num w:numId="22">
    <w:abstractNumId w:val="25"/>
  </w:num>
  <w:num w:numId="23">
    <w:abstractNumId w:val="42"/>
  </w:num>
  <w:num w:numId="24">
    <w:abstractNumId w:val="6"/>
  </w:num>
  <w:num w:numId="25">
    <w:abstractNumId w:val="3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0"/>
  </w:num>
  <w:num w:numId="30">
    <w:abstractNumId w:val="22"/>
  </w:num>
  <w:num w:numId="31">
    <w:abstractNumId w:val="3"/>
  </w:num>
  <w:num w:numId="32">
    <w:abstractNumId w:val="44"/>
  </w:num>
  <w:num w:numId="33">
    <w:abstractNumId w:val="11"/>
  </w:num>
  <w:num w:numId="34">
    <w:abstractNumId w:val="0"/>
  </w:num>
  <w:num w:numId="35">
    <w:abstractNumId w:val="14"/>
  </w:num>
  <w:num w:numId="36">
    <w:abstractNumId w:val="23"/>
  </w:num>
  <w:num w:numId="37">
    <w:abstractNumId w:val="5"/>
  </w:num>
  <w:num w:numId="38">
    <w:abstractNumId w:val="7"/>
  </w:num>
  <w:num w:numId="39">
    <w:abstractNumId w:val="40"/>
  </w:num>
  <w:num w:numId="40">
    <w:abstractNumId w:val="38"/>
  </w:num>
  <w:num w:numId="41">
    <w:abstractNumId w:val="37"/>
  </w:num>
  <w:num w:numId="42">
    <w:abstractNumId w:val="8"/>
  </w:num>
  <w:num w:numId="43">
    <w:abstractNumId w:val="13"/>
  </w:num>
  <w:num w:numId="44">
    <w:abstractNumId w:val="47"/>
  </w:num>
  <w:num w:numId="45">
    <w:abstractNumId w:val="2"/>
  </w:num>
  <w:num w:numId="46">
    <w:abstractNumId w:val="45"/>
  </w:num>
  <w:num w:numId="47">
    <w:abstractNumId w:val="27"/>
  </w:num>
  <w:num w:numId="48">
    <w:abstractNumId w:val="9"/>
  </w:num>
  <w:num w:numId="49">
    <w:abstractNumId w:val="1"/>
  </w:num>
  <w:num w:numId="50">
    <w:abstractNumId w:val="35"/>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ZA" w:vendorID="64" w:dllVersion="0" w:nlCheck="1" w:checkStyle="0"/>
  <w:activeWritingStyle w:appName="MSWord" w:lang="en-ZA" w:vendorID="64" w:dllVersion="6" w:nlCheck="1" w:checkStyle="1"/>
  <w:activeWritingStyle w:appName="MSWord" w:lang="en-US" w:vendorID="64" w:dllVersion="4096" w:nlCheck="1" w:checkStyle="0"/>
  <w:activeWritingStyle w:appName="MSWord" w:lang="fr-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9FE"/>
    <w:rsid w:val="00001EB8"/>
    <w:rsid w:val="00002F19"/>
    <w:rsid w:val="00003238"/>
    <w:rsid w:val="0000395C"/>
    <w:rsid w:val="00005724"/>
    <w:rsid w:val="0000582D"/>
    <w:rsid w:val="00005E4D"/>
    <w:rsid w:val="0000649B"/>
    <w:rsid w:val="00006A12"/>
    <w:rsid w:val="0000752C"/>
    <w:rsid w:val="0001023E"/>
    <w:rsid w:val="000106DF"/>
    <w:rsid w:val="000107DF"/>
    <w:rsid w:val="00010C83"/>
    <w:rsid w:val="00011256"/>
    <w:rsid w:val="00011546"/>
    <w:rsid w:val="00011731"/>
    <w:rsid w:val="00011B60"/>
    <w:rsid w:val="00011D38"/>
    <w:rsid w:val="00012095"/>
    <w:rsid w:val="000130EE"/>
    <w:rsid w:val="000137DC"/>
    <w:rsid w:val="00013D92"/>
    <w:rsid w:val="000157BF"/>
    <w:rsid w:val="00015F50"/>
    <w:rsid w:val="00016316"/>
    <w:rsid w:val="00016E4C"/>
    <w:rsid w:val="00016F33"/>
    <w:rsid w:val="0001785A"/>
    <w:rsid w:val="00020124"/>
    <w:rsid w:val="000208D4"/>
    <w:rsid w:val="00022646"/>
    <w:rsid w:val="00022F52"/>
    <w:rsid w:val="00023110"/>
    <w:rsid w:val="00023270"/>
    <w:rsid w:val="000234BD"/>
    <w:rsid w:val="00023D05"/>
    <w:rsid w:val="00024F21"/>
    <w:rsid w:val="00025298"/>
    <w:rsid w:val="0002569C"/>
    <w:rsid w:val="000261A5"/>
    <w:rsid w:val="00026D3F"/>
    <w:rsid w:val="00026D45"/>
    <w:rsid w:val="000270CE"/>
    <w:rsid w:val="00027BB3"/>
    <w:rsid w:val="00030AFA"/>
    <w:rsid w:val="00031D50"/>
    <w:rsid w:val="0003261C"/>
    <w:rsid w:val="00032DE7"/>
    <w:rsid w:val="000332D4"/>
    <w:rsid w:val="0003374F"/>
    <w:rsid w:val="00034547"/>
    <w:rsid w:val="00034E8C"/>
    <w:rsid w:val="00036E8C"/>
    <w:rsid w:val="00036EC8"/>
    <w:rsid w:val="0003703A"/>
    <w:rsid w:val="000379C5"/>
    <w:rsid w:val="00037B77"/>
    <w:rsid w:val="000403AC"/>
    <w:rsid w:val="00040956"/>
    <w:rsid w:val="00040D2C"/>
    <w:rsid w:val="00040DEC"/>
    <w:rsid w:val="0004131C"/>
    <w:rsid w:val="00043AD0"/>
    <w:rsid w:val="00044448"/>
    <w:rsid w:val="00045D03"/>
    <w:rsid w:val="00046221"/>
    <w:rsid w:val="000464EA"/>
    <w:rsid w:val="00050FA5"/>
    <w:rsid w:val="000521F3"/>
    <w:rsid w:val="000529D1"/>
    <w:rsid w:val="00052C88"/>
    <w:rsid w:val="00052D9D"/>
    <w:rsid w:val="000538EC"/>
    <w:rsid w:val="00054A4D"/>
    <w:rsid w:val="00055863"/>
    <w:rsid w:val="00057114"/>
    <w:rsid w:val="000577B0"/>
    <w:rsid w:val="00057950"/>
    <w:rsid w:val="000579A1"/>
    <w:rsid w:val="00060156"/>
    <w:rsid w:val="0006038F"/>
    <w:rsid w:val="000604C1"/>
    <w:rsid w:val="000609D1"/>
    <w:rsid w:val="00060E06"/>
    <w:rsid w:val="000615F9"/>
    <w:rsid w:val="00061BCB"/>
    <w:rsid w:val="00062983"/>
    <w:rsid w:val="00062E18"/>
    <w:rsid w:val="00063619"/>
    <w:rsid w:val="000644E6"/>
    <w:rsid w:val="000646E4"/>
    <w:rsid w:val="00065E05"/>
    <w:rsid w:val="00066CD8"/>
    <w:rsid w:val="0006714C"/>
    <w:rsid w:val="00067ADB"/>
    <w:rsid w:val="00070E02"/>
    <w:rsid w:val="000719F5"/>
    <w:rsid w:val="000728A2"/>
    <w:rsid w:val="00073903"/>
    <w:rsid w:val="00074080"/>
    <w:rsid w:val="00076574"/>
    <w:rsid w:val="000768AB"/>
    <w:rsid w:val="00076D83"/>
    <w:rsid w:val="00076DAA"/>
    <w:rsid w:val="00080633"/>
    <w:rsid w:val="00080B21"/>
    <w:rsid w:val="00080F92"/>
    <w:rsid w:val="00081A12"/>
    <w:rsid w:val="00082793"/>
    <w:rsid w:val="00082AF6"/>
    <w:rsid w:val="00082DBE"/>
    <w:rsid w:val="00083167"/>
    <w:rsid w:val="0008365A"/>
    <w:rsid w:val="00083EFA"/>
    <w:rsid w:val="00083F57"/>
    <w:rsid w:val="00084640"/>
    <w:rsid w:val="00084DE7"/>
    <w:rsid w:val="000857F4"/>
    <w:rsid w:val="0008586B"/>
    <w:rsid w:val="000878AE"/>
    <w:rsid w:val="00087B53"/>
    <w:rsid w:val="00090399"/>
    <w:rsid w:val="00090E40"/>
    <w:rsid w:val="0009151B"/>
    <w:rsid w:val="0009169E"/>
    <w:rsid w:val="00091E16"/>
    <w:rsid w:val="0009237F"/>
    <w:rsid w:val="000927B5"/>
    <w:rsid w:val="00093501"/>
    <w:rsid w:val="000937AA"/>
    <w:rsid w:val="000946D4"/>
    <w:rsid w:val="000948E5"/>
    <w:rsid w:val="00094C9B"/>
    <w:rsid w:val="00095B07"/>
    <w:rsid w:val="00095BBA"/>
    <w:rsid w:val="00095C44"/>
    <w:rsid w:val="00095FB3"/>
    <w:rsid w:val="000962A9"/>
    <w:rsid w:val="0009645C"/>
    <w:rsid w:val="000A1661"/>
    <w:rsid w:val="000A2CEC"/>
    <w:rsid w:val="000A2EF5"/>
    <w:rsid w:val="000A3531"/>
    <w:rsid w:val="000A37BF"/>
    <w:rsid w:val="000A37DF"/>
    <w:rsid w:val="000A3820"/>
    <w:rsid w:val="000A3E0B"/>
    <w:rsid w:val="000A51E1"/>
    <w:rsid w:val="000A6108"/>
    <w:rsid w:val="000A6299"/>
    <w:rsid w:val="000A6ED7"/>
    <w:rsid w:val="000A6F75"/>
    <w:rsid w:val="000A77F2"/>
    <w:rsid w:val="000B1117"/>
    <w:rsid w:val="000B11A5"/>
    <w:rsid w:val="000B1F25"/>
    <w:rsid w:val="000B24BB"/>
    <w:rsid w:val="000B3152"/>
    <w:rsid w:val="000B3561"/>
    <w:rsid w:val="000B3673"/>
    <w:rsid w:val="000B371E"/>
    <w:rsid w:val="000B408B"/>
    <w:rsid w:val="000B4303"/>
    <w:rsid w:val="000B4DCE"/>
    <w:rsid w:val="000B4FC0"/>
    <w:rsid w:val="000B53BC"/>
    <w:rsid w:val="000B56BE"/>
    <w:rsid w:val="000B6F59"/>
    <w:rsid w:val="000B71C2"/>
    <w:rsid w:val="000B76A6"/>
    <w:rsid w:val="000C06F8"/>
    <w:rsid w:val="000C092E"/>
    <w:rsid w:val="000C0DAE"/>
    <w:rsid w:val="000C1A1F"/>
    <w:rsid w:val="000C1C58"/>
    <w:rsid w:val="000C24A8"/>
    <w:rsid w:val="000C29BC"/>
    <w:rsid w:val="000C2FBA"/>
    <w:rsid w:val="000C36FF"/>
    <w:rsid w:val="000C6567"/>
    <w:rsid w:val="000C6CC1"/>
    <w:rsid w:val="000C6D05"/>
    <w:rsid w:val="000C7659"/>
    <w:rsid w:val="000C7AED"/>
    <w:rsid w:val="000D0625"/>
    <w:rsid w:val="000D0A5A"/>
    <w:rsid w:val="000D0D11"/>
    <w:rsid w:val="000D1057"/>
    <w:rsid w:val="000D118D"/>
    <w:rsid w:val="000D178B"/>
    <w:rsid w:val="000D1BF7"/>
    <w:rsid w:val="000D2531"/>
    <w:rsid w:val="000D40B0"/>
    <w:rsid w:val="000D4525"/>
    <w:rsid w:val="000D517A"/>
    <w:rsid w:val="000D5F48"/>
    <w:rsid w:val="000D6963"/>
    <w:rsid w:val="000D742A"/>
    <w:rsid w:val="000E1262"/>
    <w:rsid w:val="000E3FEA"/>
    <w:rsid w:val="000E44EB"/>
    <w:rsid w:val="000E4558"/>
    <w:rsid w:val="000E590C"/>
    <w:rsid w:val="000E6F3D"/>
    <w:rsid w:val="000E7D98"/>
    <w:rsid w:val="000F09C2"/>
    <w:rsid w:val="000F0B1A"/>
    <w:rsid w:val="000F16D5"/>
    <w:rsid w:val="000F20E2"/>
    <w:rsid w:val="000F27AD"/>
    <w:rsid w:val="000F28D1"/>
    <w:rsid w:val="000F33DE"/>
    <w:rsid w:val="000F3EA4"/>
    <w:rsid w:val="000F55A4"/>
    <w:rsid w:val="000F599B"/>
    <w:rsid w:val="000F6343"/>
    <w:rsid w:val="000F6F19"/>
    <w:rsid w:val="000F778F"/>
    <w:rsid w:val="000F78FD"/>
    <w:rsid w:val="001001E5"/>
    <w:rsid w:val="00100E15"/>
    <w:rsid w:val="00101BF1"/>
    <w:rsid w:val="00101DE3"/>
    <w:rsid w:val="00101E91"/>
    <w:rsid w:val="00102B91"/>
    <w:rsid w:val="00102DB3"/>
    <w:rsid w:val="00102EEB"/>
    <w:rsid w:val="0010350A"/>
    <w:rsid w:val="0010379D"/>
    <w:rsid w:val="001048B5"/>
    <w:rsid w:val="00105013"/>
    <w:rsid w:val="00105750"/>
    <w:rsid w:val="00105819"/>
    <w:rsid w:val="00105A40"/>
    <w:rsid w:val="00106A1E"/>
    <w:rsid w:val="001076F5"/>
    <w:rsid w:val="001101D4"/>
    <w:rsid w:val="00110D4C"/>
    <w:rsid w:val="00110F44"/>
    <w:rsid w:val="00111F24"/>
    <w:rsid w:val="001122E9"/>
    <w:rsid w:val="00113EF4"/>
    <w:rsid w:val="0011459D"/>
    <w:rsid w:val="0011483C"/>
    <w:rsid w:val="00115513"/>
    <w:rsid w:val="0011689E"/>
    <w:rsid w:val="001171E8"/>
    <w:rsid w:val="001178CC"/>
    <w:rsid w:val="001178F3"/>
    <w:rsid w:val="00120DAA"/>
    <w:rsid w:val="001221C3"/>
    <w:rsid w:val="00122AA3"/>
    <w:rsid w:val="00122DD5"/>
    <w:rsid w:val="00123905"/>
    <w:rsid w:val="001239FF"/>
    <w:rsid w:val="00123CB5"/>
    <w:rsid w:val="00123E8C"/>
    <w:rsid w:val="00123EFB"/>
    <w:rsid w:val="00124049"/>
    <w:rsid w:val="00124153"/>
    <w:rsid w:val="001241A9"/>
    <w:rsid w:val="0012456B"/>
    <w:rsid w:val="00124821"/>
    <w:rsid w:val="00124CE1"/>
    <w:rsid w:val="00124F73"/>
    <w:rsid w:val="00125806"/>
    <w:rsid w:val="0012695E"/>
    <w:rsid w:val="00126993"/>
    <w:rsid w:val="00126AEA"/>
    <w:rsid w:val="00127268"/>
    <w:rsid w:val="001275BC"/>
    <w:rsid w:val="00130698"/>
    <w:rsid w:val="00131414"/>
    <w:rsid w:val="001325CC"/>
    <w:rsid w:val="001326CD"/>
    <w:rsid w:val="00132CA5"/>
    <w:rsid w:val="00133FE9"/>
    <w:rsid w:val="001343FE"/>
    <w:rsid w:val="00135171"/>
    <w:rsid w:val="0013524D"/>
    <w:rsid w:val="001352FA"/>
    <w:rsid w:val="0013691E"/>
    <w:rsid w:val="00136C38"/>
    <w:rsid w:val="00137579"/>
    <w:rsid w:val="0013779D"/>
    <w:rsid w:val="00137E6E"/>
    <w:rsid w:val="001416C5"/>
    <w:rsid w:val="001417CA"/>
    <w:rsid w:val="001423AD"/>
    <w:rsid w:val="001428BD"/>
    <w:rsid w:val="00143887"/>
    <w:rsid w:val="00143C89"/>
    <w:rsid w:val="00143E34"/>
    <w:rsid w:val="001441F7"/>
    <w:rsid w:val="0014421F"/>
    <w:rsid w:val="00144D88"/>
    <w:rsid w:val="00145C8E"/>
    <w:rsid w:val="00146C45"/>
    <w:rsid w:val="00146D8E"/>
    <w:rsid w:val="00147A01"/>
    <w:rsid w:val="001503E2"/>
    <w:rsid w:val="00150BB2"/>
    <w:rsid w:val="00150EEC"/>
    <w:rsid w:val="00151F35"/>
    <w:rsid w:val="0015602D"/>
    <w:rsid w:val="00156831"/>
    <w:rsid w:val="00156977"/>
    <w:rsid w:val="001571BA"/>
    <w:rsid w:val="001573C5"/>
    <w:rsid w:val="00157B08"/>
    <w:rsid w:val="00157E56"/>
    <w:rsid w:val="00157F37"/>
    <w:rsid w:val="0016130A"/>
    <w:rsid w:val="0016273C"/>
    <w:rsid w:val="0016296B"/>
    <w:rsid w:val="0016330A"/>
    <w:rsid w:val="001636DF"/>
    <w:rsid w:val="00164124"/>
    <w:rsid w:val="001645D2"/>
    <w:rsid w:val="001647F0"/>
    <w:rsid w:val="00164832"/>
    <w:rsid w:val="00164BD8"/>
    <w:rsid w:val="00164E59"/>
    <w:rsid w:val="00167BCC"/>
    <w:rsid w:val="0017060C"/>
    <w:rsid w:val="00170D26"/>
    <w:rsid w:val="00175088"/>
    <w:rsid w:val="00181849"/>
    <w:rsid w:val="0018289D"/>
    <w:rsid w:val="00182A04"/>
    <w:rsid w:val="00182EBD"/>
    <w:rsid w:val="00183970"/>
    <w:rsid w:val="001841AA"/>
    <w:rsid w:val="001841C5"/>
    <w:rsid w:val="00184627"/>
    <w:rsid w:val="00184CF6"/>
    <w:rsid w:val="00186147"/>
    <w:rsid w:val="00187126"/>
    <w:rsid w:val="0018717F"/>
    <w:rsid w:val="00187478"/>
    <w:rsid w:val="00187D10"/>
    <w:rsid w:val="00187D7A"/>
    <w:rsid w:val="00191514"/>
    <w:rsid w:val="00191686"/>
    <w:rsid w:val="001918C5"/>
    <w:rsid w:val="0019341A"/>
    <w:rsid w:val="001937FC"/>
    <w:rsid w:val="001938F6"/>
    <w:rsid w:val="00194CFA"/>
    <w:rsid w:val="00194FF2"/>
    <w:rsid w:val="0019531C"/>
    <w:rsid w:val="0019568D"/>
    <w:rsid w:val="00196278"/>
    <w:rsid w:val="001966DB"/>
    <w:rsid w:val="001972B8"/>
    <w:rsid w:val="0019744E"/>
    <w:rsid w:val="00197EFE"/>
    <w:rsid w:val="001A0585"/>
    <w:rsid w:val="001A08ED"/>
    <w:rsid w:val="001A13F6"/>
    <w:rsid w:val="001A1A8C"/>
    <w:rsid w:val="001A1B02"/>
    <w:rsid w:val="001A26E2"/>
    <w:rsid w:val="001A3EF2"/>
    <w:rsid w:val="001A76F8"/>
    <w:rsid w:val="001A7842"/>
    <w:rsid w:val="001A7D5E"/>
    <w:rsid w:val="001A7FBD"/>
    <w:rsid w:val="001B01EB"/>
    <w:rsid w:val="001B08C1"/>
    <w:rsid w:val="001B10C1"/>
    <w:rsid w:val="001B1151"/>
    <w:rsid w:val="001B23D0"/>
    <w:rsid w:val="001B2C58"/>
    <w:rsid w:val="001B2F43"/>
    <w:rsid w:val="001B3A0A"/>
    <w:rsid w:val="001B412D"/>
    <w:rsid w:val="001B4CD4"/>
    <w:rsid w:val="001B6130"/>
    <w:rsid w:val="001B65DD"/>
    <w:rsid w:val="001B664A"/>
    <w:rsid w:val="001B73B3"/>
    <w:rsid w:val="001B7564"/>
    <w:rsid w:val="001B7FE3"/>
    <w:rsid w:val="001C0A75"/>
    <w:rsid w:val="001C13BD"/>
    <w:rsid w:val="001C19F0"/>
    <w:rsid w:val="001C2D65"/>
    <w:rsid w:val="001C3490"/>
    <w:rsid w:val="001C3AD2"/>
    <w:rsid w:val="001C4823"/>
    <w:rsid w:val="001C4883"/>
    <w:rsid w:val="001C51EE"/>
    <w:rsid w:val="001C57A1"/>
    <w:rsid w:val="001C65AB"/>
    <w:rsid w:val="001C73C9"/>
    <w:rsid w:val="001C7D79"/>
    <w:rsid w:val="001C7EF2"/>
    <w:rsid w:val="001C7FBA"/>
    <w:rsid w:val="001D188A"/>
    <w:rsid w:val="001D1B7B"/>
    <w:rsid w:val="001D2209"/>
    <w:rsid w:val="001D2745"/>
    <w:rsid w:val="001D2CD9"/>
    <w:rsid w:val="001D34E6"/>
    <w:rsid w:val="001D37AA"/>
    <w:rsid w:val="001D428D"/>
    <w:rsid w:val="001D4538"/>
    <w:rsid w:val="001D4BA9"/>
    <w:rsid w:val="001D613E"/>
    <w:rsid w:val="001D6CE6"/>
    <w:rsid w:val="001D7193"/>
    <w:rsid w:val="001E03DA"/>
    <w:rsid w:val="001E09C9"/>
    <w:rsid w:val="001E1196"/>
    <w:rsid w:val="001E17B8"/>
    <w:rsid w:val="001E199C"/>
    <w:rsid w:val="001E1F80"/>
    <w:rsid w:val="001E36EA"/>
    <w:rsid w:val="001E3D65"/>
    <w:rsid w:val="001E41D6"/>
    <w:rsid w:val="001E4884"/>
    <w:rsid w:val="001E5074"/>
    <w:rsid w:val="001E5F73"/>
    <w:rsid w:val="001E679E"/>
    <w:rsid w:val="001E73B7"/>
    <w:rsid w:val="001F0221"/>
    <w:rsid w:val="001F03A1"/>
    <w:rsid w:val="001F0A33"/>
    <w:rsid w:val="001F2456"/>
    <w:rsid w:val="001F2708"/>
    <w:rsid w:val="001F2B5D"/>
    <w:rsid w:val="001F2D85"/>
    <w:rsid w:val="001F3EA3"/>
    <w:rsid w:val="001F4230"/>
    <w:rsid w:val="001F4C7E"/>
    <w:rsid w:val="001F4EAD"/>
    <w:rsid w:val="001F5C29"/>
    <w:rsid w:val="001F66DC"/>
    <w:rsid w:val="001F6920"/>
    <w:rsid w:val="001F6E29"/>
    <w:rsid w:val="001F795A"/>
    <w:rsid w:val="001F7CEE"/>
    <w:rsid w:val="0020035D"/>
    <w:rsid w:val="002003CC"/>
    <w:rsid w:val="002004CE"/>
    <w:rsid w:val="0020055F"/>
    <w:rsid w:val="00200902"/>
    <w:rsid w:val="00200C4B"/>
    <w:rsid w:val="00201752"/>
    <w:rsid w:val="00201851"/>
    <w:rsid w:val="00201BCD"/>
    <w:rsid w:val="002023FB"/>
    <w:rsid w:val="00202D13"/>
    <w:rsid w:val="00202E66"/>
    <w:rsid w:val="00202E7F"/>
    <w:rsid w:val="002035EF"/>
    <w:rsid w:val="0020457A"/>
    <w:rsid w:val="00204F71"/>
    <w:rsid w:val="00205FEB"/>
    <w:rsid w:val="00206DB0"/>
    <w:rsid w:val="0020756C"/>
    <w:rsid w:val="00207A61"/>
    <w:rsid w:val="00207D32"/>
    <w:rsid w:val="00210FDA"/>
    <w:rsid w:val="002114C8"/>
    <w:rsid w:val="00211716"/>
    <w:rsid w:val="00211790"/>
    <w:rsid w:val="00211795"/>
    <w:rsid w:val="00211D9C"/>
    <w:rsid w:val="002120F6"/>
    <w:rsid w:val="002125D7"/>
    <w:rsid w:val="00212CC5"/>
    <w:rsid w:val="00212D5E"/>
    <w:rsid w:val="0021338B"/>
    <w:rsid w:val="0021388A"/>
    <w:rsid w:val="00214212"/>
    <w:rsid w:val="002145C7"/>
    <w:rsid w:val="00214816"/>
    <w:rsid w:val="00214DA6"/>
    <w:rsid w:val="0021634E"/>
    <w:rsid w:val="002169EB"/>
    <w:rsid w:val="00220593"/>
    <w:rsid w:val="00220877"/>
    <w:rsid w:val="0022089C"/>
    <w:rsid w:val="00221131"/>
    <w:rsid w:val="0022187B"/>
    <w:rsid w:val="002220DB"/>
    <w:rsid w:val="002227FD"/>
    <w:rsid w:val="00222837"/>
    <w:rsid w:val="0022296E"/>
    <w:rsid w:val="00223A6E"/>
    <w:rsid w:val="00224A1E"/>
    <w:rsid w:val="00224BD8"/>
    <w:rsid w:val="00224EE9"/>
    <w:rsid w:val="00225784"/>
    <w:rsid w:val="00226244"/>
    <w:rsid w:val="00226533"/>
    <w:rsid w:val="00226610"/>
    <w:rsid w:val="002268B2"/>
    <w:rsid w:val="00226D95"/>
    <w:rsid w:val="00226DE9"/>
    <w:rsid w:val="002270DD"/>
    <w:rsid w:val="00227810"/>
    <w:rsid w:val="00227E6F"/>
    <w:rsid w:val="00230240"/>
    <w:rsid w:val="002309E1"/>
    <w:rsid w:val="00230D31"/>
    <w:rsid w:val="002311AB"/>
    <w:rsid w:val="00231453"/>
    <w:rsid w:val="0023272E"/>
    <w:rsid w:val="00233289"/>
    <w:rsid w:val="00233495"/>
    <w:rsid w:val="0023397D"/>
    <w:rsid w:val="00233CDF"/>
    <w:rsid w:val="0023408C"/>
    <w:rsid w:val="00236CBC"/>
    <w:rsid w:val="00237CAC"/>
    <w:rsid w:val="0024087E"/>
    <w:rsid w:val="00240C99"/>
    <w:rsid w:val="00241DD1"/>
    <w:rsid w:val="00243F6D"/>
    <w:rsid w:val="00244094"/>
    <w:rsid w:val="002442DD"/>
    <w:rsid w:val="00244DF6"/>
    <w:rsid w:val="00244FD7"/>
    <w:rsid w:val="00246154"/>
    <w:rsid w:val="00246471"/>
    <w:rsid w:val="00246A8A"/>
    <w:rsid w:val="00246FC4"/>
    <w:rsid w:val="0024794E"/>
    <w:rsid w:val="00247BB0"/>
    <w:rsid w:val="00247C0E"/>
    <w:rsid w:val="00250660"/>
    <w:rsid w:val="00251841"/>
    <w:rsid w:val="00252472"/>
    <w:rsid w:val="00252547"/>
    <w:rsid w:val="00252F2D"/>
    <w:rsid w:val="0025393A"/>
    <w:rsid w:val="00254375"/>
    <w:rsid w:val="00254469"/>
    <w:rsid w:val="0025563A"/>
    <w:rsid w:val="00256F5C"/>
    <w:rsid w:val="00257129"/>
    <w:rsid w:val="00257790"/>
    <w:rsid w:val="00257E13"/>
    <w:rsid w:val="0026001D"/>
    <w:rsid w:val="00260EAB"/>
    <w:rsid w:val="00261C0D"/>
    <w:rsid w:val="00261DED"/>
    <w:rsid w:val="00261DF3"/>
    <w:rsid w:val="00262D4C"/>
    <w:rsid w:val="00263355"/>
    <w:rsid w:val="002643CD"/>
    <w:rsid w:val="00264E4F"/>
    <w:rsid w:val="00265308"/>
    <w:rsid w:val="00265B6D"/>
    <w:rsid w:val="00266E7E"/>
    <w:rsid w:val="002674A5"/>
    <w:rsid w:val="002679C0"/>
    <w:rsid w:val="00267AA3"/>
    <w:rsid w:val="00267FBD"/>
    <w:rsid w:val="00270DFD"/>
    <w:rsid w:val="00271A0E"/>
    <w:rsid w:val="00271C60"/>
    <w:rsid w:val="0027264C"/>
    <w:rsid w:val="00272811"/>
    <w:rsid w:val="00272DCD"/>
    <w:rsid w:val="00273078"/>
    <w:rsid w:val="00273199"/>
    <w:rsid w:val="00273401"/>
    <w:rsid w:val="00275475"/>
    <w:rsid w:val="0027698F"/>
    <w:rsid w:val="00276F6A"/>
    <w:rsid w:val="002771D7"/>
    <w:rsid w:val="002774B7"/>
    <w:rsid w:val="00277757"/>
    <w:rsid w:val="00277B65"/>
    <w:rsid w:val="00277CE2"/>
    <w:rsid w:val="00280292"/>
    <w:rsid w:val="0028068B"/>
    <w:rsid w:val="00280753"/>
    <w:rsid w:val="002814CE"/>
    <w:rsid w:val="00282184"/>
    <w:rsid w:val="00283AB8"/>
    <w:rsid w:val="00283D83"/>
    <w:rsid w:val="002840E3"/>
    <w:rsid w:val="002843A6"/>
    <w:rsid w:val="002843E9"/>
    <w:rsid w:val="00284915"/>
    <w:rsid w:val="00285081"/>
    <w:rsid w:val="0028666D"/>
    <w:rsid w:val="00286B00"/>
    <w:rsid w:val="00286DF5"/>
    <w:rsid w:val="00287799"/>
    <w:rsid w:val="00287FEA"/>
    <w:rsid w:val="002907D1"/>
    <w:rsid w:val="002908C6"/>
    <w:rsid w:val="002909E7"/>
    <w:rsid w:val="00290A0E"/>
    <w:rsid w:val="00290C24"/>
    <w:rsid w:val="00290D71"/>
    <w:rsid w:val="00292147"/>
    <w:rsid w:val="00293265"/>
    <w:rsid w:val="0029393C"/>
    <w:rsid w:val="00295D7C"/>
    <w:rsid w:val="00296159"/>
    <w:rsid w:val="002963C5"/>
    <w:rsid w:val="00296574"/>
    <w:rsid w:val="002975AD"/>
    <w:rsid w:val="0029783E"/>
    <w:rsid w:val="002A0055"/>
    <w:rsid w:val="002A015D"/>
    <w:rsid w:val="002A0D72"/>
    <w:rsid w:val="002A1762"/>
    <w:rsid w:val="002A29AC"/>
    <w:rsid w:val="002A2B03"/>
    <w:rsid w:val="002A45A9"/>
    <w:rsid w:val="002A4825"/>
    <w:rsid w:val="002A4871"/>
    <w:rsid w:val="002A4C61"/>
    <w:rsid w:val="002A5095"/>
    <w:rsid w:val="002A5455"/>
    <w:rsid w:val="002B020C"/>
    <w:rsid w:val="002B0F69"/>
    <w:rsid w:val="002B1D44"/>
    <w:rsid w:val="002B20AE"/>
    <w:rsid w:val="002B4A08"/>
    <w:rsid w:val="002B4B31"/>
    <w:rsid w:val="002B4EBA"/>
    <w:rsid w:val="002B6732"/>
    <w:rsid w:val="002B674D"/>
    <w:rsid w:val="002B6940"/>
    <w:rsid w:val="002C0A85"/>
    <w:rsid w:val="002C0C75"/>
    <w:rsid w:val="002C1C2B"/>
    <w:rsid w:val="002C248D"/>
    <w:rsid w:val="002C2490"/>
    <w:rsid w:val="002C2921"/>
    <w:rsid w:val="002C45EA"/>
    <w:rsid w:val="002C509F"/>
    <w:rsid w:val="002D0326"/>
    <w:rsid w:val="002D18FD"/>
    <w:rsid w:val="002D20B8"/>
    <w:rsid w:val="002D2820"/>
    <w:rsid w:val="002D2A60"/>
    <w:rsid w:val="002D2FEF"/>
    <w:rsid w:val="002D3061"/>
    <w:rsid w:val="002D3270"/>
    <w:rsid w:val="002D5874"/>
    <w:rsid w:val="002D593D"/>
    <w:rsid w:val="002D5AC4"/>
    <w:rsid w:val="002D5D03"/>
    <w:rsid w:val="002D6C9A"/>
    <w:rsid w:val="002E00FD"/>
    <w:rsid w:val="002E1EE5"/>
    <w:rsid w:val="002E28DE"/>
    <w:rsid w:val="002E3B3A"/>
    <w:rsid w:val="002E3C03"/>
    <w:rsid w:val="002E45C0"/>
    <w:rsid w:val="002E4AD4"/>
    <w:rsid w:val="002E4E67"/>
    <w:rsid w:val="002E552E"/>
    <w:rsid w:val="002E7A1D"/>
    <w:rsid w:val="002F0017"/>
    <w:rsid w:val="002F1751"/>
    <w:rsid w:val="002F21E7"/>
    <w:rsid w:val="002F232B"/>
    <w:rsid w:val="002F49DA"/>
    <w:rsid w:val="002F72D5"/>
    <w:rsid w:val="002F76AA"/>
    <w:rsid w:val="002F7E05"/>
    <w:rsid w:val="002F7F48"/>
    <w:rsid w:val="00300A45"/>
    <w:rsid w:val="00300AEC"/>
    <w:rsid w:val="003014E4"/>
    <w:rsid w:val="00301AAF"/>
    <w:rsid w:val="00301BD7"/>
    <w:rsid w:val="003032CB"/>
    <w:rsid w:val="00304B50"/>
    <w:rsid w:val="00304C23"/>
    <w:rsid w:val="00304C3E"/>
    <w:rsid w:val="0030546E"/>
    <w:rsid w:val="00306093"/>
    <w:rsid w:val="00306095"/>
    <w:rsid w:val="003061EF"/>
    <w:rsid w:val="003062B2"/>
    <w:rsid w:val="00306310"/>
    <w:rsid w:val="003068CD"/>
    <w:rsid w:val="00306EA9"/>
    <w:rsid w:val="003077F6"/>
    <w:rsid w:val="00307F48"/>
    <w:rsid w:val="00310201"/>
    <w:rsid w:val="00310805"/>
    <w:rsid w:val="00310C4A"/>
    <w:rsid w:val="00310EBF"/>
    <w:rsid w:val="003110E7"/>
    <w:rsid w:val="00311756"/>
    <w:rsid w:val="00311A91"/>
    <w:rsid w:val="003121B2"/>
    <w:rsid w:val="0031237C"/>
    <w:rsid w:val="00312979"/>
    <w:rsid w:val="003140F1"/>
    <w:rsid w:val="00314371"/>
    <w:rsid w:val="00314994"/>
    <w:rsid w:val="00314F0D"/>
    <w:rsid w:val="00315211"/>
    <w:rsid w:val="00316C7D"/>
    <w:rsid w:val="0031773A"/>
    <w:rsid w:val="00320A4D"/>
    <w:rsid w:val="003215F8"/>
    <w:rsid w:val="003218FC"/>
    <w:rsid w:val="00321B12"/>
    <w:rsid w:val="00321D6F"/>
    <w:rsid w:val="00321EAB"/>
    <w:rsid w:val="0032302F"/>
    <w:rsid w:val="0032316C"/>
    <w:rsid w:val="003233B0"/>
    <w:rsid w:val="00323CBF"/>
    <w:rsid w:val="00324606"/>
    <w:rsid w:val="00324DD2"/>
    <w:rsid w:val="0032636E"/>
    <w:rsid w:val="003263EC"/>
    <w:rsid w:val="003264D2"/>
    <w:rsid w:val="0032672E"/>
    <w:rsid w:val="003275A2"/>
    <w:rsid w:val="00330AC9"/>
    <w:rsid w:val="00331C98"/>
    <w:rsid w:val="00333A81"/>
    <w:rsid w:val="00333D5A"/>
    <w:rsid w:val="00333D9F"/>
    <w:rsid w:val="003340AE"/>
    <w:rsid w:val="00334685"/>
    <w:rsid w:val="0033550D"/>
    <w:rsid w:val="00336313"/>
    <w:rsid w:val="003366E4"/>
    <w:rsid w:val="003367B6"/>
    <w:rsid w:val="0033701E"/>
    <w:rsid w:val="00337858"/>
    <w:rsid w:val="00337A08"/>
    <w:rsid w:val="00337AE6"/>
    <w:rsid w:val="00341CEB"/>
    <w:rsid w:val="0034295D"/>
    <w:rsid w:val="00342BE1"/>
    <w:rsid w:val="0034426C"/>
    <w:rsid w:val="0034435D"/>
    <w:rsid w:val="0034451A"/>
    <w:rsid w:val="00344A2D"/>
    <w:rsid w:val="003450E3"/>
    <w:rsid w:val="0034599A"/>
    <w:rsid w:val="00345FA3"/>
    <w:rsid w:val="003464FE"/>
    <w:rsid w:val="003467E5"/>
    <w:rsid w:val="00346A19"/>
    <w:rsid w:val="00346DA0"/>
    <w:rsid w:val="003471CC"/>
    <w:rsid w:val="00347436"/>
    <w:rsid w:val="003476D0"/>
    <w:rsid w:val="00347AD4"/>
    <w:rsid w:val="00347E35"/>
    <w:rsid w:val="00350B80"/>
    <w:rsid w:val="0035223B"/>
    <w:rsid w:val="00352D06"/>
    <w:rsid w:val="00352F0E"/>
    <w:rsid w:val="00354055"/>
    <w:rsid w:val="00354D43"/>
    <w:rsid w:val="00355317"/>
    <w:rsid w:val="00355952"/>
    <w:rsid w:val="00355BFE"/>
    <w:rsid w:val="003566B1"/>
    <w:rsid w:val="003576DA"/>
    <w:rsid w:val="00360999"/>
    <w:rsid w:val="00361111"/>
    <w:rsid w:val="003617BA"/>
    <w:rsid w:val="00361CB7"/>
    <w:rsid w:val="00361F8A"/>
    <w:rsid w:val="0036296B"/>
    <w:rsid w:val="00362CA3"/>
    <w:rsid w:val="00362FBA"/>
    <w:rsid w:val="0036441A"/>
    <w:rsid w:val="00364951"/>
    <w:rsid w:val="00364CDE"/>
    <w:rsid w:val="00365ABB"/>
    <w:rsid w:val="00367421"/>
    <w:rsid w:val="00367A94"/>
    <w:rsid w:val="00371043"/>
    <w:rsid w:val="00373A4F"/>
    <w:rsid w:val="00373BF8"/>
    <w:rsid w:val="00373CEB"/>
    <w:rsid w:val="00374C17"/>
    <w:rsid w:val="00375350"/>
    <w:rsid w:val="00375463"/>
    <w:rsid w:val="00375E98"/>
    <w:rsid w:val="00375F46"/>
    <w:rsid w:val="00375F94"/>
    <w:rsid w:val="00376218"/>
    <w:rsid w:val="003768B1"/>
    <w:rsid w:val="0037716D"/>
    <w:rsid w:val="00377364"/>
    <w:rsid w:val="00380EA6"/>
    <w:rsid w:val="0038157F"/>
    <w:rsid w:val="00381F45"/>
    <w:rsid w:val="00381F75"/>
    <w:rsid w:val="0038264F"/>
    <w:rsid w:val="00382788"/>
    <w:rsid w:val="00382948"/>
    <w:rsid w:val="00383894"/>
    <w:rsid w:val="00383CFD"/>
    <w:rsid w:val="00383FE0"/>
    <w:rsid w:val="003841D6"/>
    <w:rsid w:val="003845E5"/>
    <w:rsid w:val="00384759"/>
    <w:rsid w:val="00384F1B"/>
    <w:rsid w:val="00385E6E"/>
    <w:rsid w:val="003865E9"/>
    <w:rsid w:val="003909CB"/>
    <w:rsid w:val="00390B22"/>
    <w:rsid w:val="003923B1"/>
    <w:rsid w:val="003927C3"/>
    <w:rsid w:val="0039308E"/>
    <w:rsid w:val="00393677"/>
    <w:rsid w:val="003938FE"/>
    <w:rsid w:val="00394CF2"/>
    <w:rsid w:val="0039556E"/>
    <w:rsid w:val="00396487"/>
    <w:rsid w:val="003970FB"/>
    <w:rsid w:val="003975A6"/>
    <w:rsid w:val="00397AD0"/>
    <w:rsid w:val="00397FB2"/>
    <w:rsid w:val="003A1C29"/>
    <w:rsid w:val="003A219C"/>
    <w:rsid w:val="003A23C7"/>
    <w:rsid w:val="003A28C2"/>
    <w:rsid w:val="003A5800"/>
    <w:rsid w:val="003A6022"/>
    <w:rsid w:val="003A77B3"/>
    <w:rsid w:val="003A7B5D"/>
    <w:rsid w:val="003A7F3E"/>
    <w:rsid w:val="003B01B7"/>
    <w:rsid w:val="003B04C0"/>
    <w:rsid w:val="003B0FB0"/>
    <w:rsid w:val="003B1329"/>
    <w:rsid w:val="003B13D2"/>
    <w:rsid w:val="003B168F"/>
    <w:rsid w:val="003B177C"/>
    <w:rsid w:val="003B18E4"/>
    <w:rsid w:val="003B3F42"/>
    <w:rsid w:val="003B4E13"/>
    <w:rsid w:val="003B54CD"/>
    <w:rsid w:val="003B56DC"/>
    <w:rsid w:val="003B5BC8"/>
    <w:rsid w:val="003B6925"/>
    <w:rsid w:val="003B6DB2"/>
    <w:rsid w:val="003B6FF5"/>
    <w:rsid w:val="003B788F"/>
    <w:rsid w:val="003C00AA"/>
    <w:rsid w:val="003C06A1"/>
    <w:rsid w:val="003C0DF2"/>
    <w:rsid w:val="003C1CF6"/>
    <w:rsid w:val="003C2EEF"/>
    <w:rsid w:val="003C3938"/>
    <w:rsid w:val="003C4714"/>
    <w:rsid w:val="003C4BD6"/>
    <w:rsid w:val="003C4EFC"/>
    <w:rsid w:val="003C4F20"/>
    <w:rsid w:val="003C52EC"/>
    <w:rsid w:val="003C579E"/>
    <w:rsid w:val="003C5BAD"/>
    <w:rsid w:val="003C6293"/>
    <w:rsid w:val="003C6BDA"/>
    <w:rsid w:val="003D1F6D"/>
    <w:rsid w:val="003D28DC"/>
    <w:rsid w:val="003D2CA2"/>
    <w:rsid w:val="003D3171"/>
    <w:rsid w:val="003D3908"/>
    <w:rsid w:val="003D5742"/>
    <w:rsid w:val="003D5A21"/>
    <w:rsid w:val="003D60A9"/>
    <w:rsid w:val="003D6A06"/>
    <w:rsid w:val="003D6C70"/>
    <w:rsid w:val="003D713D"/>
    <w:rsid w:val="003D72E5"/>
    <w:rsid w:val="003D74C9"/>
    <w:rsid w:val="003E0BA5"/>
    <w:rsid w:val="003E22EE"/>
    <w:rsid w:val="003E28C0"/>
    <w:rsid w:val="003E5412"/>
    <w:rsid w:val="003E567A"/>
    <w:rsid w:val="003E5971"/>
    <w:rsid w:val="003E65CB"/>
    <w:rsid w:val="003E65DA"/>
    <w:rsid w:val="003E6DF0"/>
    <w:rsid w:val="003E6F4E"/>
    <w:rsid w:val="003E6F57"/>
    <w:rsid w:val="003E7743"/>
    <w:rsid w:val="003E7BCC"/>
    <w:rsid w:val="003F04AB"/>
    <w:rsid w:val="003F058D"/>
    <w:rsid w:val="003F0F0E"/>
    <w:rsid w:val="003F1312"/>
    <w:rsid w:val="003F18AD"/>
    <w:rsid w:val="003F1A7E"/>
    <w:rsid w:val="003F2624"/>
    <w:rsid w:val="003F2E72"/>
    <w:rsid w:val="003F406C"/>
    <w:rsid w:val="003F4140"/>
    <w:rsid w:val="003F4150"/>
    <w:rsid w:val="003F4413"/>
    <w:rsid w:val="003F4801"/>
    <w:rsid w:val="003F6494"/>
    <w:rsid w:val="003F6C8D"/>
    <w:rsid w:val="003F6CEC"/>
    <w:rsid w:val="003F6D36"/>
    <w:rsid w:val="003F6D37"/>
    <w:rsid w:val="003F7302"/>
    <w:rsid w:val="003F7D97"/>
    <w:rsid w:val="00400159"/>
    <w:rsid w:val="00401FA0"/>
    <w:rsid w:val="004024BF"/>
    <w:rsid w:val="004028B6"/>
    <w:rsid w:val="00402E07"/>
    <w:rsid w:val="00403156"/>
    <w:rsid w:val="00403428"/>
    <w:rsid w:val="0040512C"/>
    <w:rsid w:val="00406438"/>
    <w:rsid w:val="004066B8"/>
    <w:rsid w:val="0040697F"/>
    <w:rsid w:val="004069BB"/>
    <w:rsid w:val="00407396"/>
    <w:rsid w:val="00407791"/>
    <w:rsid w:val="00407C67"/>
    <w:rsid w:val="004100FB"/>
    <w:rsid w:val="004101EA"/>
    <w:rsid w:val="004104C5"/>
    <w:rsid w:val="0041069F"/>
    <w:rsid w:val="00411F73"/>
    <w:rsid w:val="00412D1B"/>
    <w:rsid w:val="00414977"/>
    <w:rsid w:val="00414D80"/>
    <w:rsid w:val="00414E30"/>
    <w:rsid w:val="004168FE"/>
    <w:rsid w:val="00416CCF"/>
    <w:rsid w:val="0041762B"/>
    <w:rsid w:val="0041790A"/>
    <w:rsid w:val="004206E6"/>
    <w:rsid w:val="00420D90"/>
    <w:rsid w:val="00421110"/>
    <w:rsid w:val="004219B3"/>
    <w:rsid w:val="00422087"/>
    <w:rsid w:val="00422DD0"/>
    <w:rsid w:val="004238BD"/>
    <w:rsid w:val="00423A16"/>
    <w:rsid w:val="00423AA3"/>
    <w:rsid w:val="00423E6C"/>
    <w:rsid w:val="00424E0F"/>
    <w:rsid w:val="004262A8"/>
    <w:rsid w:val="004263E7"/>
    <w:rsid w:val="00426F3C"/>
    <w:rsid w:val="004310B5"/>
    <w:rsid w:val="0043157D"/>
    <w:rsid w:val="00432404"/>
    <w:rsid w:val="004329C9"/>
    <w:rsid w:val="00432A08"/>
    <w:rsid w:val="00433614"/>
    <w:rsid w:val="00433B20"/>
    <w:rsid w:val="004340FB"/>
    <w:rsid w:val="0043466F"/>
    <w:rsid w:val="00434DEB"/>
    <w:rsid w:val="00435A3C"/>
    <w:rsid w:val="00435DB4"/>
    <w:rsid w:val="00436194"/>
    <w:rsid w:val="00436C05"/>
    <w:rsid w:val="00436DFD"/>
    <w:rsid w:val="00437A9A"/>
    <w:rsid w:val="00440D63"/>
    <w:rsid w:val="0044107D"/>
    <w:rsid w:val="0044183E"/>
    <w:rsid w:val="00442662"/>
    <w:rsid w:val="0044316B"/>
    <w:rsid w:val="0044340B"/>
    <w:rsid w:val="004434C5"/>
    <w:rsid w:val="00443BEC"/>
    <w:rsid w:val="00443C2E"/>
    <w:rsid w:val="0044424B"/>
    <w:rsid w:val="00444B04"/>
    <w:rsid w:val="00445558"/>
    <w:rsid w:val="00445FE3"/>
    <w:rsid w:val="00447483"/>
    <w:rsid w:val="0045087F"/>
    <w:rsid w:val="00451177"/>
    <w:rsid w:val="00451B77"/>
    <w:rsid w:val="00451E1C"/>
    <w:rsid w:val="00452014"/>
    <w:rsid w:val="004521B2"/>
    <w:rsid w:val="004529F1"/>
    <w:rsid w:val="00455A10"/>
    <w:rsid w:val="004565A3"/>
    <w:rsid w:val="0045702C"/>
    <w:rsid w:val="004577B0"/>
    <w:rsid w:val="0046037E"/>
    <w:rsid w:val="00460636"/>
    <w:rsid w:val="00460AF6"/>
    <w:rsid w:val="00460DEA"/>
    <w:rsid w:val="004616CF"/>
    <w:rsid w:val="004616E3"/>
    <w:rsid w:val="00462327"/>
    <w:rsid w:val="00463F0E"/>
    <w:rsid w:val="004651BB"/>
    <w:rsid w:val="0046530B"/>
    <w:rsid w:val="00465864"/>
    <w:rsid w:val="004659AD"/>
    <w:rsid w:val="00465C9A"/>
    <w:rsid w:val="00466AD8"/>
    <w:rsid w:val="004670B8"/>
    <w:rsid w:val="004673AB"/>
    <w:rsid w:val="0047044A"/>
    <w:rsid w:val="004705F7"/>
    <w:rsid w:val="00470DBE"/>
    <w:rsid w:val="004716A2"/>
    <w:rsid w:val="00471AC9"/>
    <w:rsid w:val="00473D34"/>
    <w:rsid w:val="004741F0"/>
    <w:rsid w:val="00475AC0"/>
    <w:rsid w:val="004766A9"/>
    <w:rsid w:val="00476715"/>
    <w:rsid w:val="004772D4"/>
    <w:rsid w:val="004775AC"/>
    <w:rsid w:val="00477F62"/>
    <w:rsid w:val="004805E4"/>
    <w:rsid w:val="00480748"/>
    <w:rsid w:val="004810B3"/>
    <w:rsid w:val="0048166C"/>
    <w:rsid w:val="00483489"/>
    <w:rsid w:val="00484073"/>
    <w:rsid w:val="0048435E"/>
    <w:rsid w:val="00484864"/>
    <w:rsid w:val="00484F54"/>
    <w:rsid w:val="00484FE8"/>
    <w:rsid w:val="00485352"/>
    <w:rsid w:val="00486064"/>
    <w:rsid w:val="00486069"/>
    <w:rsid w:val="004875ED"/>
    <w:rsid w:val="004877A6"/>
    <w:rsid w:val="00487DFE"/>
    <w:rsid w:val="00490040"/>
    <w:rsid w:val="00490622"/>
    <w:rsid w:val="0049117B"/>
    <w:rsid w:val="00491A3C"/>
    <w:rsid w:val="00492099"/>
    <w:rsid w:val="00493947"/>
    <w:rsid w:val="00493B00"/>
    <w:rsid w:val="00495160"/>
    <w:rsid w:val="00496931"/>
    <w:rsid w:val="004A0738"/>
    <w:rsid w:val="004A0801"/>
    <w:rsid w:val="004A1BBD"/>
    <w:rsid w:val="004A1C76"/>
    <w:rsid w:val="004A1D41"/>
    <w:rsid w:val="004A1D44"/>
    <w:rsid w:val="004A1DE6"/>
    <w:rsid w:val="004A3487"/>
    <w:rsid w:val="004A36C3"/>
    <w:rsid w:val="004A3E16"/>
    <w:rsid w:val="004A4812"/>
    <w:rsid w:val="004A538B"/>
    <w:rsid w:val="004A60C0"/>
    <w:rsid w:val="004A61CB"/>
    <w:rsid w:val="004A69CA"/>
    <w:rsid w:val="004A6BBF"/>
    <w:rsid w:val="004A6D23"/>
    <w:rsid w:val="004A7E0A"/>
    <w:rsid w:val="004B0379"/>
    <w:rsid w:val="004B13A5"/>
    <w:rsid w:val="004B23C4"/>
    <w:rsid w:val="004B3229"/>
    <w:rsid w:val="004B42A0"/>
    <w:rsid w:val="004B42C4"/>
    <w:rsid w:val="004B4799"/>
    <w:rsid w:val="004B4873"/>
    <w:rsid w:val="004B49B2"/>
    <w:rsid w:val="004B5D26"/>
    <w:rsid w:val="004B612C"/>
    <w:rsid w:val="004B65B0"/>
    <w:rsid w:val="004B6735"/>
    <w:rsid w:val="004B67FF"/>
    <w:rsid w:val="004B6C50"/>
    <w:rsid w:val="004B7BDD"/>
    <w:rsid w:val="004C1312"/>
    <w:rsid w:val="004C1D73"/>
    <w:rsid w:val="004C2477"/>
    <w:rsid w:val="004C3DD0"/>
    <w:rsid w:val="004C41C9"/>
    <w:rsid w:val="004C4701"/>
    <w:rsid w:val="004D13E7"/>
    <w:rsid w:val="004D146E"/>
    <w:rsid w:val="004D198C"/>
    <w:rsid w:val="004D2064"/>
    <w:rsid w:val="004D21D8"/>
    <w:rsid w:val="004D2A29"/>
    <w:rsid w:val="004D391D"/>
    <w:rsid w:val="004D39F5"/>
    <w:rsid w:val="004D3FDF"/>
    <w:rsid w:val="004D426E"/>
    <w:rsid w:val="004D4385"/>
    <w:rsid w:val="004D43EB"/>
    <w:rsid w:val="004D440E"/>
    <w:rsid w:val="004D4C00"/>
    <w:rsid w:val="004D581D"/>
    <w:rsid w:val="004D5A6A"/>
    <w:rsid w:val="004D6FF6"/>
    <w:rsid w:val="004E08FC"/>
    <w:rsid w:val="004E0918"/>
    <w:rsid w:val="004E0DFB"/>
    <w:rsid w:val="004E0E43"/>
    <w:rsid w:val="004E1FE3"/>
    <w:rsid w:val="004E31F1"/>
    <w:rsid w:val="004E3B7B"/>
    <w:rsid w:val="004E3DBC"/>
    <w:rsid w:val="004E47A9"/>
    <w:rsid w:val="004E48F1"/>
    <w:rsid w:val="004E5B48"/>
    <w:rsid w:val="004E5D67"/>
    <w:rsid w:val="004E6E36"/>
    <w:rsid w:val="004E6F42"/>
    <w:rsid w:val="004E758E"/>
    <w:rsid w:val="004E7E5B"/>
    <w:rsid w:val="004F1286"/>
    <w:rsid w:val="004F12DE"/>
    <w:rsid w:val="004F16B5"/>
    <w:rsid w:val="004F1702"/>
    <w:rsid w:val="004F1780"/>
    <w:rsid w:val="004F1E31"/>
    <w:rsid w:val="004F26DD"/>
    <w:rsid w:val="004F2918"/>
    <w:rsid w:val="004F3CEB"/>
    <w:rsid w:val="004F3FAA"/>
    <w:rsid w:val="004F58E1"/>
    <w:rsid w:val="004F5928"/>
    <w:rsid w:val="004F63FF"/>
    <w:rsid w:val="004F6536"/>
    <w:rsid w:val="004F6BA1"/>
    <w:rsid w:val="004F74AC"/>
    <w:rsid w:val="004F7BB3"/>
    <w:rsid w:val="004F7C4C"/>
    <w:rsid w:val="00501EBB"/>
    <w:rsid w:val="00502623"/>
    <w:rsid w:val="00502EF9"/>
    <w:rsid w:val="00504339"/>
    <w:rsid w:val="005046CA"/>
    <w:rsid w:val="00506086"/>
    <w:rsid w:val="00506615"/>
    <w:rsid w:val="005069F8"/>
    <w:rsid w:val="005074CE"/>
    <w:rsid w:val="00510463"/>
    <w:rsid w:val="00510A37"/>
    <w:rsid w:val="00510B3B"/>
    <w:rsid w:val="00511B0D"/>
    <w:rsid w:val="005127E5"/>
    <w:rsid w:val="00512BDE"/>
    <w:rsid w:val="00512F67"/>
    <w:rsid w:val="00512FD4"/>
    <w:rsid w:val="00513AB3"/>
    <w:rsid w:val="00513B82"/>
    <w:rsid w:val="00513FAD"/>
    <w:rsid w:val="005144BA"/>
    <w:rsid w:val="00514A13"/>
    <w:rsid w:val="00514EC9"/>
    <w:rsid w:val="0051593D"/>
    <w:rsid w:val="00515BDD"/>
    <w:rsid w:val="0051612C"/>
    <w:rsid w:val="00516301"/>
    <w:rsid w:val="00516462"/>
    <w:rsid w:val="005172A8"/>
    <w:rsid w:val="00517CC8"/>
    <w:rsid w:val="005203E5"/>
    <w:rsid w:val="00520BB2"/>
    <w:rsid w:val="00520CFE"/>
    <w:rsid w:val="00520D0F"/>
    <w:rsid w:val="00520FD9"/>
    <w:rsid w:val="0052265A"/>
    <w:rsid w:val="00523198"/>
    <w:rsid w:val="00523328"/>
    <w:rsid w:val="005236ED"/>
    <w:rsid w:val="00523BF8"/>
    <w:rsid w:val="00523EB6"/>
    <w:rsid w:val="00524D8A"/>
    <w:rsid w:val="005257B6"/>
    <w:rsid w:val="00525B25"/>
    <w:rsid w:val="005266EE"/>
    <w:rsid w:val="00526968"/>
    <w:rsid w:val="00526A24"/>
    <w:rsid w:val="00527BCF"/>
    <w:rsid w:val="00527E13"/>
    <w:rsid w:val="00527FDE"/>
    <w:rsid w:val="00530A7E"/>
    <w:rsid w:val="00530EA9"/>
    <w:rsid w:val="00530F77"/>
    <w:rsid w:val="00531063"/>
    <w:rsid w:val="005310CA"/>
    <w:rsid w:val="00532185"/>
    <w:rsid w:val="00533529"/>
    <w:rsid w:val="00533D1A"/>
    <w:rsid w:val="00535943"/>
    <w:rsid w:val="00535CFD"/>
    <w:rsid w:val="00537FF7"/>
    <w:rsid w:val="00540027"/>
    <w:rsid w:val="0054076D"/>
    <w:rsid w:val="00540849"/>
    <w:rsid w:val="00540D69"/>
    <w:rsid w:val="00541905"/>
    <w:rsid w:val="00541BED"/>
    <w:rsid w:val="005429DF"/>
    <w:rsid w:val="00543118"/>
    <w:rsid w:val="00543E6D"/>
    <w:rsid w:val="005447D2"/>
    <w:rsid w:val="00544A14"/>
    <w:rsid w:val="00545986"/>
    <w:rsid w:val="00545FC1"/>
    <w:rsid w:val="005460CA"/>
    <w:rsid w:val="00546911"/>
    <w:rsid w:val="0054711F"/>
    <w:rsid w:val="00547893"/>
    <w:rsid w:val="00547F06"/>
    <w:rsid w:val="0055151A"/>
    <w:rsid w:val="00551A1E"/>
    <w:rsid w:val="00551FE3"/>
    <w:rsid w:val="005523FA"/>
    <w:rsid w:val="005527BC"/>
    <w:rsid w:val="00552FD3"/>
    <w:rsid w:val="0055331E"/>
    <w:rsid w:val="00553CC6"/>
    <w:rsid w:val="00554008"/>
    <w:rsid w:val="005552F3"/>
    <w:rsid w:val="0055605D"/>
    <w:rsid w:val="0055613E"/>
    <w:rsid w:val="005561A4"/>
    <w:rsid w:val="00557678"/>
    <w:rsid w:val="00557A51"/>
    <w:rsid w:val="00560118"/>
    <w:rsid w:val="0056020A"/>
    <w:rsid w:val="00561738"/>
    <w:rsid w:val="00561818"/>
    <w:rsid w:val="00562255"/>
    <w:rsid w:val="00562CE2"/>
    <w:rsid w:val="00563080"/>
    <w:rsid w:val="00563469"/>
    <w:rsid w:val="00563B5C"/>
    <w:rsid w:val="00563BDE"/>
    <w:rsid w:val="00564EEA"/>
    <w:rsid w:val="0056505A"/>
    <w:rsid w:val="00565197"/>
    <w:rsid w:val="0056558E"/>
    <w:rsid w:val="00570015"/>
    <w:rsid w:val="00571158"/>
    <w:rsid w:val="0057128D"/>
    <w:rsid w:val="0057138A"/>
    <w:rsid w:val="00571A0B"/>
    <w:rsid w:val="0057254C"/>
    <w:rsid w:val="00573377"/>
    <w:rsid w:val="00573E33"/>
    <w:rsid w:val="00575116"/>
    <w:rsid w:val="005753F9"/>
    <w:rsid w:val="00575792"/>
    <w:rsid w:val="00575DB8"/>
    <w:rsid w:val="0057621A"/>
    <w:rsid w:val="00576779"/>
    <w:rsid w:val="00576EB9"/>
    <w:rsid w:val="005771A1"/>
    <w:rsid w:val="00577F4C"/>
    <w:rsid w:val="0058034C"/>
    <w:rsid w:val="00581057"/>
    <w:rsid w:val="005817A6"/>
    <w:rsid w:val="0058250A"/>
    <w:rsid w:val="00582865"/>
    <w:rsid w:val="005829C9"/>
    <w:rsid w:val="00582E7A"/>
    <w:rsid w:val="0058374F"/>
    <w:rsid w:val="00584CDA"/>
    <w:rsid w:val="005862D3"/>
    <w:rsid w:val="005864AE"/>
    <w:rsid w:val="00587BD9"/>
    <w:rsid w:val="00590359"/>
    <w:rsid w:val="00591FEE"/>
    <w:rsid w:val="00592101"/>
    <w:rsid w:val="00592322"/>
    <w:rsid w:val="00592D6C"/>
    <w:rsid w:val="0059361A"/>
    <w:rsid w:val="00593EC9"/>
    <w:rsid w:val="00593FD4"/>
    <w:rsid w:val="00594176"/>
    <w:rsid w:val="005943E7"/>
    <w:rsid w:val="00594994"/>
    <w:rsid w:val="00595431"/>
    <w:rsid w:val="0059587F"/>
    <w:rsid w:val="0059591B"/>
    <w:rsid w:val="00595CC1"/>
    <w:rsid w:val="0059644A"/>
    <w:rsid w:val="00596898"/>
    <w:rsid w:val="00596E7F"/>
    <w:rsid w:val="00597528"/>
    <w:rsid w:val="005976F5"/>
    <w:rsid w:val="00597E2E"/>
    <w:rsid w:val="005A09D3"/>
    <w:rsid w:val="005A1717"/>
    <w:rsid w:val="005A1E4F"/>
    <w:rsid w:val="005A1FBE"/>
    <w:rsid w:val="005A201E"/>
    <w:rsid w:val="005A3353"/>
    <w:rsid w:val="005A3577"/>
    <w:rsid w:val="005A41A8"/>
    <w:rsid w:val="005A44EB"/>
    <w:rsid w:val="005A466F"/>
    <w:rsid w:val="005A6462"/>
    <w:rsid w:val="005A7D8C"/>
    <w:rsid w:val="005B0B25"/>
    <w:rsid w:val="005B1331"/>
    <w:rsid w:val="005B14A7"/>
    <w:rsid w:val="005B2066"/>
    <w:rsid w:val="005B2632"/>
    <w:rsid w:val="005B2F5F"/>
    <w:rsid w:val="005B31F0"/>
    <w:rsid w:val="005B4A4A"/>
    <w:rsid w:val="005B4A7C"/>
    <w:rsid w:val="005C0586"/>
    <w:rsid w:val="005C2343"/>
    <w:rsid w:val="005C23C2"/>
    <w:rsid w:val="005C48CC"/>
    <w:rsid w:val="005C4AA2"/>
    <w:rsid w:val="005C5008"/>
    <w:rsid w:val="005C5251"/>
    <w:rsid w:val="005C5B4A"/>
    <w:rsid w:val="005C63FB"/>
    <w:rsid w:val="005C69B0"/>
    <w:rsid w:val="005C6A5B"/>
    <w:rsid w:val="005C6BD4"/>
    <w:rsid w:val="005C6C31"/>
    <w:rsid w:val="005C78F7"/>
    <w:rsid w:val="005C7BB6"/>
    <w:rsid w:val="005C7C10"/>
    <w:rsid w:val="005D0A75"/>
    <w:rsid w:val="005D17E9"/>
    <w:rsid w:val="005D1D3D"/>
    <w:rsid w:val="005D261E"/>
    <w:rsid w:val="005D2A1D"/>
    <w:rsid w:val="005D2AB0"/>
    <w:rsid w:val="005D3370"/>
    <w:rsid w:val="005D3EC9"/>
    <w:rsid w:val="005D3FD5"/>
    <w:rsid w:val="005D453E"/>
    <w:rsid w:val="005D46C0"/>
    <w:rsid w:val="005D6AC0"/>
    <w:rsid w:val="005E0090"/>
    <w:rsid w:val="005E03A6"/>
    <w:rsid w:val="005E0666"/>
    <w:rsid w:val="005E13A7"/>
    <w:rsid w:val="005E15B0"/>
    <w:rsid w:val="005E1E33"/>
    <w:rsid w:val="005E2220"/>
    <w:rsid w:val="005E279F"/>
    <w:rsid w:val="005E2CCF"/>
    <w:rsid w:val="005E2DAC"/>
    <w:rsid w:val="005E2E4D"/>
    <w:rsid w:val="005E4094"/>
    <w:rsid w:val="005E4ED3"/>
    <w:rsid w:val="005E4F70"/>
    <w:rsid w:val="005E52D8"/>
    <w:rsid w:val="005E5B5C"/>
    <w:rsid w:val="005E5FDC"/>
    <w:rsid w:val="005E6615"/>
    <w:rsid w:val="005E6D8A"/>
    <w:rsid w:val="005E76EB"/>
    <w:rsid w:val="005F09C1"/>
    <w:rsid w:val="005F14F4"/>
    <w:rsid w:val="005F1686"/>
    <w:rsid w:val="005F3185"/>
    <w:rsid w:val="005F3291"/>
    <w:rsid w:val="005F32ED"/>
    <w:rsid w:val="005F36A9"/>
    <w:rsid w:val="005F3EEC"/>
    <w:rsid w:val="005F44DD"/>
    <w:rsid w:val="005F4B5E"/>
    <w:rsid w:val="005F5531"/>
    <w:rsid w:val="005F64FC"/>
    <w:rsid w:val="005F667B"/>
    <w:rsid w:val="005F6A10"/>
    <w:rsid w:val="005F6E06"/>
    <w:rsid w:val="00600F04"/>
    <w:rsid w:val="00600F77"/>
    <w:rsid w:val="0060176C"/>
    <w:rsid w:val="00601A5E"/>
    <w:rsid w:val="00601F60"/>
    <w:rsid w:val="006029E2"/>
    <w:rsid w:val="00602E04"/>
    <w:rsid w:val="0060355B"/>
    <w:rsid w:val="006067E3"/>
    <w:rsid w:val="00606ACC"/>
    <w:rsid w:val="00606E84"/>
    <w:rsid w:val="006102B1"/>
    <w:rsid w:val="00610FD9"/>
    <w:rsid w:val="00612E4B"/>
    <w:rsid w:val="00614212"/>
    <w:rsid w:val="00614B87"/>
    <w:rsid w:val="00614BA5"/>
    <w:rsid w:val="00615954"/>
    <w:rsid w:val="00615F86"/>
    <w:rsid w:val="00616614"/>
    <w:rsid w:val="00616668"/>
    <w:rsid w:val="00616CA9"/>
    <w:rsid w:val="00620310"/>
    <w:rsid w:val="006219F0"/>
    <w:rsid w:val="00622607"/>
    <w:rsid w:val="00622C91"/>
    <w:rsid w:val="00623240"/>
    <w:rsid w:val="0062333D"/>
    <w:rsid w:val="0062384C"/>
    <w:rsid w:val="00626E94"/>
    <w:rsid w:val="006271FC"/>
    <w:rsid w:val="00633E57"/>
    <w:rsid w:val="00634854"/>
    <w:rsid w:val="00634A58"/>
    <w:rsid w:val="00634C2E"/>
    <w:rsid w:val="0063517C"/>
    <w:rsid w:val="00635500"/>
    <w:rsid w:val="00635C4C"/>
    <w:rsid w:val="00635D22"/>
    <w:rsid w:val="00637080"/>
    <w:rsid w:val="006406D1"/>
    <w:rsid w:val="0064106A"/>
    <w:rsid w:val="006433C5"/>
    <w:rsid w:val="00643E0D"/>
    <w:rsid w:val="0064413D"/>
    <w:rsid w:val="006441ED"/>
    <w:rsid w:val="00644438"/>
    <w:rsid w:val="00645222"/>
    <w:rsid w:val="00645441"/>
    <w:rsid w:val="00646EA5"/>
    <w:rsid w:val="00646F61"/>
    <w:rsid w:val="00647852"/>
    <w:rsid w:val="00647AA7"/>
    <w:rsid w:val="0065018E"/>
    <w:rsid w:val="00650229"/>
    <w:rsid w:val="006502E2"/>
    <w:rsid w:val="0065108A"/>
    <w:rsid w:val="00651524"/>
    <w:rsid w:val="00652596"/>
    <w:rsid w:val="00652857"/>
    <w:rsid w:val="00652FFB"/>
    <w:rsid w:val="006530D0"/>
    <w:rsid w:val="00653782"/>
    <w:rsid w:val="00654D3F"/>
    <w:rsid w:val="0065587B"/>
    <w:rsid w:val="00655A43"/>
    <w:rsid w:val="00655DEB"/>
    <w:rsid w:val="00656134"/>
    <w:rsid w:val="006562FD"/>
    <w:rsid w:val="00656B1A"/>
    <w:rsid w:val="0065715F"/>
    <w:rsid w:val="00657358"/>
    <w:rsid w:val="0065784D"/>
    <w:rsid w:val="00657C43"/>
    <w:rsid w:val="00660521"/>
    <w:rsid w:val="006606AF"/>
    <w:rsid w:val="00660A26"/>
    <w:rsid w:val="006611FA"/>
    <w:rsid w:val="006622DA"/>
    <w:rsid w:val="00662F8F"/>
    <w:rsid w:val="00664479"/>
    <w:rsid w:val="00664A03"/>
    <w:rsid w:val="00664EAD"/>
    <w:rsid w:val="00666155"/>
    <w:rsid w:val="00667ACD"/>
    <w:rsid w:val="006700D2"/>
    <w:rsid w:val="006708A8"/>
    <w:rsid w:val="006739FA"/>
    <w:rsid w:val="006740B2"/>
    <w:rsid w:val="00674C19"/>
    <w:rsid w:val="00674D22"/>
    <w:rsid w:val="00676EB8"/>
    <w:rsid w:val="0068004C"/>
    <w:rsid w:val="00680218"/>
    <w:rsid w:val="0068032F"/>
    <w:rsid w:val="006806E9"/>
    <w:rsid w:val="00680B24"/>
    <w:rsid w:val="00680BF7"/>
    <w:rsid w:val="00680D94"/>
    <w:rsid w:val="00680E26"/>
    <w:rsid w:val="00681B8D"/>
    <w:rsid w:val="0068221F"/>
    <w:rsid w:val="00683877"/>
    <w:rsid w:val="00683FCE"/>
    <w:rsid w:val="006851AD"/>
    <w:rsid w:val="006852A3"/>
    <w:rsid w:val="00685C14"/>
    <w:rsid w:val="00685D20"/>
    <w:rsid w:val="00686137"/>
    <w:rsid w:val="006908D5"/>
    <w:rsid w:val="00690E28"/>
    <w:rsid w:val="00691315"/>
    <w:rsid w:val="00691969"/>
    <w:rsid w:val="006938D0"/>
    <w:rsid w:val="00693F02"/>
    <w:rsid w:val="00694205"/>
    <w:rsid w:val="00694382"/>
    <w:rsid w:val="006946F4"/>
    <w:rsid w:val="00695C61"/>
    <w:rsid w:val="006968AD"/>
    <w:rsid w:val="00696B23"/>
    <w:rsid w:val="00696DAE"/>
    <w:rsid w:val="00697C17"/>
    <w:rsid w:val="006A01B1"/>
    <w:rsid w:val="006A05D2"/>
    <w:rsid w:val="006A09F2"/>
    <w:rsid w:val="006A1550"/>
    <w:rsid w:val="006A1A94"/>
    <w:rsid w:val="006A3E63"/>
    <w:rsid w:val="006A42EB"/>
    <w:rsid w:val="006A4BD8"/>
    <w:rsid w:val="006A5025"/>
    <w:rsid w:val="006A6166"/>
    <w:rsid w:val="006A74D4"/>
    <w:rsid w:val="006A7FB8"/>
    <w:rsid w:val="006B0789"/>
    <w:rsid w:val="006B3B4B"/>
    <w:rsid w:val="006B4406"/>
    <w:rsid w:val="006B4903"/>
    <w:rsid w:val="006B57B6"/>
    <w:rsid w:val="006B5F7D"/>
    <w:rsid w:val="006B6232"/>
    <w:rsid w:val="006B64F9"/>
    <w:rsid w:val="006B6C79"/>
    <w:rsid w:val="006B76E4"/>
    <w:rsid w:val="006C0393"/>
    <w:rsid w:val="006C073F"/>
    <w:rsid w:val="006C07F7"/>
    <w:rsid w:val="006C15D9"/>
    <w:rsid w:val="006C1A9A"/>
    <w:rsid w:val="006C2076"/>
    <w:rsid w:val="006C22DF"/>
    <w:rsid w:val="006C2CC5"/>
    <w:rsid w:val="006C3545"/>
    <w:rsid w:val="006C3811"/>
    <w:rsid w:val="006C4569"/>
    <w:rsid w:val="006C49E7"/>
    <w:rsid w:val="006C4C23"/>
    <w:rsid w:val="006C5AA3"/>
    <w:rsid w:val="006C5F25"/>
    <w:rsid w:val="006C68F4"/>
    <w:rsid w:val="006C7122"/>
    <w:rsid w:val="006D0187"/>
    <w:rsid w:val="006D0293"/>
    <w:rsid w:val="006D1531"/>
    <w:rsid w:val="006D20F7"/>
    <w:rsid w:val="006D2AF6"/>
    <w:rsid w:val="006D2DDD"/>
    <w:rsid w:val="006D363A"/>
    <w:rsid w:val="006D365C"/>
    <w:rsid w:val="006D77DF"/>
    <w:rsid w:val="006E04A6"/>
    <w:rsid w:val="006E1516"/>
    <w:rsid w:val="006E21C5"/>
    <w:rsid w:val="006E2B21"/>
    <w:rsid w:val="006E43AD"/>
    <w:rsid w:val="006E51A7"/>
    <w:rsid w:val="006E55AF"/>
    <w:rsid w:val="006E6733"/>
    <w:rsid w:val="006E70CE"/>
    <w:rsid w:val="006E7B17"/>
    <w:rsid w:val="006F0333"/>
    <w:rsid w:val="006F1A58"/>
    <w:rsid w:val="006F21EB"/>
    <w:rsid w:val="006F2809"/>
    <w:rsid w:val="006F2CCB"/>
    <w:rsid w:val="006F3462"/>
    <w:rsid w:val="006F3C5A"/>
    <w:rsid w:val="006F3D0E"/>
    <w:rsid w:val="006F4060"/>
    <w:rsid w:val="006F4234"/>
    <w:rsid w:val="006F48E4"/>
    <w:rsid w:val="006F63C2"/>
    <w:rsid w:val="006F72DE"/>
    <w:rsid w:val="006F7791"/>
    <w:rsid w:val="006F7BD2"/>
    <w:rsid w:val="006F7CAC"/>
    <w:rsid w:val="00701407"/>
    <w:rsid w:val="00701A06"/>
    <w:rsid w:val="00701B01"/>
    <w:rsid w:val="00702857"/>
    <w:rsid w:val="007029F8"/>
    <w:rsid w:val="00702B47"/>
    <w:rsid w:val="00703453"/>
    <w:rsid w:val="007038FC"/>
    <w:rsid w:val="00703E5D"/>
    <w:rsid w:val="00704C87"/>
    <w:rsid w:val="007054F3"/>
    <w:rsid w:val="0070564F"/>
    <w:rsid w:val="00705BE8"/>
    <w:rsid w:val="007064A8"/>
    <w:rsid w:val="007065B0"/>
    <w:rsid w:val="00707300"/>
    <w:rsid w:val="007074E3"/>
    <w:rsid w:val="007101DD"/>
    <w:rsid w:val="00710393"/>
    <w:rsid w:val="00710A4F"/>
    <w:rsid w:val="00710CF9"/>
    <w:rsid w:val="0071255E"/>
    <w:rsid w:val="00712646"/>
    <w:rsid w:val="00712655"/>
    <w:rsid w:val="007128BA"/>
    <w:rsid w:val="00712AE2"/>
    <w:rsid w:val="00712BBB"/>
    <w:rsid w:val="00712FA1"/>
    <w:rsid w:val="00712FA8"/>
    <w:rsid w:val="0071318C"/>
    <w:rsid w:val="00714B18"/>
    <w:rsid w:val="007153D8"/>
    <w:rsid w:val="00715C16"/>
    <w:rsid w:val="00715F18"/>
    <w:rsid w:val="007174C9"/>
    <w:rsid w:val="00717723"/>
    <w:rsid w:val="00720109"/>
    <w:rsid w:val="00721615"/>
    <w:rsid w:val="007217C4"/>
    <w:rsid w:val="00722F73"/>
    <w:rsid w:val="00723254"/>
    <w:rsid w:val="007232C8"/>
    <w:rsid w:val="00723D0C"/>
    <w:rsid w:val="00725836"/>
    <w:rsid w:val="0072591D"/>
    <w:rsid w:val="00725C33"/>
    <w:rsid w:val="00725CBA"/>
    <w:rsid w:val="007270E8"/>
    <w:rsid w:val="007272BC"/>
    <w:rsid w:val="00727C4C"/>
    <w:rsid w:val="0073018C"/>
    <w:rsid w:val="00731045"/>
    <w:rsid w:val="007311EE"/>
    <w:rsid w:val="00733207"/>
    <w:rsid w:val="00733847"/>
    <w:rsid w:val="00735018"/>
    <w:rsid w:val="00735672"/>
    <w:rsid w:val="007358A4"/>
    <w:rsid w:val="007358BD"/>
    <w:rsid w:val="00735AB7"/>
    <w:rsid w:val="00735D50"/>
    <w:rsid w:val="00735F22"/>
    <w:rsid w:val="007369BB"/>
    <w:rsid w:val="00736F4C"/>
    <w:rsid w:val="00737EC0"/>
    <w:rsid w:val="00737ED5"/>
    <w:rsid w:val="00740224"/>
    <w:rsid w:val="00744168"/>
    <w:rsid w:val="00744317"/>
    <w:rsid w:val="007445EF"/>
    <w:rsid w:val="007446CD"/>
    <w:rsid w:val="0074498D"/>
    <w:rsid w:val="00744D7B"/>
    <w:rsid w:val="00744E26"/>
    <w:rsid w:val="00744E93"/>
    <w:rsid w:val="00745CC8"/>
    <w:rsid w:val="0074634A"/>
    <w:rsid w:val="00746AB2"/>
    <w:rsid w:val="0074727A"/>
    <w:rsid w:val="007475A3"/>
    <w:rsid w:val="0075093A"/>
    <w:rsid w:val="00751FCF"/>
    <w:rsid w:val="00752623"/>
    <w:rsid w:val="00753859"/>
    <w:rsid w:val="00753DBA"/>
    <w:rsid w:val="00754320"/>
    <w:rsid w:val="007548B4"/>
    <w:rsid w:val="00754A5A"/>
    <w:rsid w:val="007555E5"/>
    <w:rsid w:val="007567C9"/>
    <w:rsid w:val="00757115"/>
    <w:rsid w:val="00757A0A"/>
    <w:rsid w:val="00757F50"/>
    <w:rsid w:val="0076065A"/>
    <w:rsid w:val="00760D74"/>
    <w:rsid w:val="00760DAA"/>
    <w:rsid w:val="00761FBC"/>
    <w:rsid w:val="00762098"/>
    <w:rsid w:val="00762E32"/>
    <w:rsid w:val="00763504"/>
    <w:rsid w:val="00764ABB"/>
    <w:rsid w:val="00764C56"/>
    <w:rsid w:val="00766864"/>
    <w:rsid w:val="00766B0C"/>
    <w:rsid w:val="00766F69"/>
    <w:rsid w:val="007708CF"/>
    <w:rsid w:val="00770903"/>
    <w:rsid w:val="00770C7C"/>
    <w:rsid w:val="00770D08"/>
    <w:rsid w:val="007712A9"/>
    <w:rsid w:val="00771AA2"/>
    <w:rsid w:val="00772B5D"/>
    <w:rsid w:val="00772F9E"/>
    <w:rsid w:val="00773932"/>
    <w:rsid w:val="00774BF8"/>
    <w:rsid w:val="00775ADC"/>
    <w:rsid w:val="00775E91"/>
    <w:rsid w:val="0077622A"/>
    <w:rsid w:val="00776482"/>
    <w:rsid w:val="0077668E"/>
    <w:rsid w:val="007766D6"/>
    <w:rsid w:val="0077697B"/>
    <w:rsid w:val="00776BC9"/>
    <w:rsid w:val="007779E2"/>
    <w:rsid w:val="00777BE9"/>
    <w:rsid w:val="00777ECA"/>
    <w:rsid w:val="00781C02"/>
    <w:rsid w:val="00781CC3"/>
    <w:rsid w:val="00782950"/>
    <w:rsid w:val="0078404B"/>
    <w:rsid w:val="00784E76"/>
    <w:rsid w:val="0078513B"/>
    <w:rsid w:val="007854EB"/>
    <w:rsid w:val="00785646"/>
    <w:rsid w:val="00786507"/>
    <w:rsid w:val="00786856"/>
    <w:rsid w:val="0078733B"/>
    <w:rsid w:val="0078783B"/>
    <w:rsid w:val="00787C55"/>
    <w:rsid w:val="007904EE"/>
    <w:rsid w:val="007906D1"/>
    <w:rsid w:val="00790F82"/>
    <w:rsid w:val="00791829"/>
    <w:rsid w:val="007921D8"/>
    <w:rsid w:val="00792251"/>
    <w:rsid w:val="007922F3"/>
    <w:rsid w:val="00793E7F"/>
    <w:rsid w:val="0079470A"/>
    <w:rsid w:val="00794ABC"/>
    <w:rsid w:val="007950D5"/>
    <w:rsid w:val="00797DE5"/>
    <w:rsid w:val="007A009C"/>
    <w:rsid w:val="007A0207"/>
    <w:rsid w:val="007A03BF"/>
    <w:rsid w:val="007A26C3"/>
    <w:rsid w:val="007A273C"/>
    <w:rsid w:val="007A277F"/>
    <w:rsid w:val="007A29EF"/>
    <w:rsid w:val="007A31F6"/>
    <w:rsid w:val="007A355B"/>
    <w:rsid w:val="007A3E93"/>
    <w:rsid w:val="007A4143"/>
    <w:rsid w:val="007A4922"/>
    <w:rsid w:val="007A4B0D"/>
    <w:rsid w:val="007A6791"/>
    <w:rsid w:val="007A6C52"/>
    <w:rsid w:val="007A6D61"/>
    <w:rsid w:val="007A6E8B"/>
    <w:rsid w:val="007A7DCE"/>
    <w:rsid w:val="007B0A9B"/>
    <w:rsid w:val="007B1019"/>
    <w:rsid w:val="007B2944"/>
    <w:rsid w:val="007B2F69"/>
    <w:rsid w:val="007B344F"/>
    <w:rsid w:val="007B3CBF"/>
    <w:rsid w:val="007B3D06"/>
    <w:rsid w:val="007B5030"/>
    <w:rsid w:val="007B5627"/>
    <w:rsid w:val="007B5CD9"/>
    <w:rsid w:val="007B683A"/>
    <w:rsid w:val="007B6BE6"/>
    <w:rsid w:val="007B6CFF"/>
    <w:rsid w:val="007B76A3"/>
    <w:rsid w:val="007B789F"/>
    <w:rsid w:val="007C067E"/>
    <w:rsid w:val="007C07E1"/>
    <w:rsid w:val="007C0AD3"/>
    <w:rsid w:val="007C1D61"/>
    <w:rsid w:val="007C24CD"/>
    <w:rsid w:val="007C2BC5"/>
    <w:rsid w:val="007C3B57"/>
    <w:rsid w:val="007C451C"/>
    <w:rsid w:val="007C4FC1"/>
    <w:rsid w:val="007C5084"/>
    <w:rsid w:val="007C5626"/>
    <w:rsid w:val="007C58D1"/>
    <w:rsid w:val="007C5AA2"/>
    <w:rsid w:val="007C5D84"/>
    <w:rsid w:val="007C5F1D"/>
    <w:rsid w:val="007C6812"/>
    <w:rsid w:val="007C69DD"/>
    <w:rsid w:val="007C6CAE"/>
    <w:rsid w:val="007C6DDB"/>
    <w:rsid w:val="007D07CB"/>
    <w:rsid w:val="007D0D78"/>
    <w:rsid w:val="007D118B"/>
    <w:rsid w:val="007D1969"/>
    <w:rsid w:val="007D287B"/>
    <w:rsid w:val="007D31F0"/>
    <w:rsid w:val="007D3209"/>
    <w:rsid w:val="007D371F"/>
    <w:rsid w:val="007D3AD6"/>
    <w:rsid w:val="007D52DA"/>
    <w:rsid w:val="007D546F"/>
    <w:rsid w:val="007D5A63"/>
    <w:rsid w:val="007D5DB0"/>
    <w:rsid w:val="007D5FE5"/>
    <w:rsid w:val="007D6619"/>
    <w:rsid w:val="007D6918"/>
    <w:rsid w:val="007D702D"/>
    <w:rsid w:val="007E0582"/>
    <w:rsid w:val="007E0ED0"/>
    <w:rsid w:val="007E0EFA"/>
    <w:rsid w:val="007E16CA"/>
    <w:rsid w:val="007E353F"/>
    <w:rsid w:val="007E3B27"/>
    <w:rsid w:val="007E4A58"/>
    <w:rsid w:val="007E4BAF"/>
    <w:rsid w:val="007E4FFD"/>
    <w:rsid w:val="007E50AC"/>
    <w:rsid w:val="007E583E"/>
    <w:rsid w:val="007E5C87"/>
    <w:rsid w:val="007E6430"/>
    <w:rsid w:val="007E69F5"/>
    <w:rsid w:val="007E6EF3"/>
    <w:rsid w:val="007F09E9"/>
    <w:rsid w:val="007F0B11"/>
    <w:rsid w:val="007F0CD6"/>
    <w:rsid w:val="007F1595"/>
    <w:rsid w:val="007F1A0D"/>
    <w:rsid w:val="007F1AAD"/>
    <w:rsid w:val="007F3810"/>
    <w:rsid w:val="007F4315"/>
    <w:rsid w:val="007F47CF"/>
    <w:rsid w:val="007F4C1A"/>
    <w:rsid w:val="007F56A8"/>
    <w:rsid w:val="007F5FE4"/>
    <w:rsid w:val="007F61C3"/>
    <w:rsid w:val="007F70E6"/>
    <w:rsid w:val="007F7178"/>
    <w:rsid w:val="007F7CB8"/>
    <w:rsid w:val="00800D60"/>
    <w:rsid w:val="00801281"/>
    <w:rsid w:val="008016CE"/>
    <w:rsid w:val="008019BD"/>
    <w:rsid w:val="00801D61"/>
    <w:rsid w:val="00802122"/>
    <w:rsid w:val="0080370B"/>
    <w:rsid w:val="00803D41"/>
    <w:rsid w:val="0080415F"/>
    <w:rsid w:val="00805246"/>
    <w:rsid w:val="008073F1"/>
    <w:rsid w:val="0080752B"/>
    <w:rsid w:val="00807942"/>
    <w:rsid w:val="008118DC"/>
    <w:rsid w:val="0081221F"/>
    <w:rsid w:val="008129F5"/>
    <w:rsid w:val="00813C76"/>
    <w:rsid w:val="00813F77"/>
    <w:rsid w:val="00814158"/>
    <w:rsid w:val="00814462"/>
    <w:rsid w:val="00814B64"/>
    <w:rsid w:val="00815502"/>
    <w:rsid w:val="008157C4"/>
    <w:rsid w:val="00815A1A"/>
    <w:rsid w:val="00815FBB"/>
    <w:rsid w:val="00815FD7"/>
    <w:rsid w:val="0081651D"/>
    <w:rsid w:val="00817C96"/>
    <w:rsid w:val="00817F44"/>
    <w:rsid w:val="008215FD"/>
    <w:rsid w:val="00821F95"/>
    <w:rsid w:val="00822346"/>
    <w:rsid w:val="0082244B"/>
    <w:rsid w:val="00823CDA"/>
    <w:rsid w:val="00823D08"/>
    <w:rsid w:val="00823F5D"/>
    <w:rsid w:val="00826454"/>
    <w:rsid w:val="00826CA7"/>
    <w:rsid w:val="00826D2D"/>
    <w:rsid w:val="00827904"/>
    <w:rsid w:val="00827DAE"/>
    <w:rsid w:val="00831446"/>
    <w:rsid w:val="008315DF"/>
    <w:rsid w:val="00831E80"/>
    <w:rsid w:val="00832C0E"/>
    <w:rsid w:val="00833124"/>
    <w:rsid w:val="00833341"/>
    <w:rsid w:val="00833FCA"/>
    <w:rsid w:val="008342E2"/>
    <w:rsid w:val="00834721"/>
    <w:rsid w:val="00834C88"/>
    <w:rsid w:val="00836941"/>
    <w:rsid w:val="00840463"/>
    <w:rsid w:val="0084093E"/>
    <w:rsid w:val="00841A13"/>
    <w:rsid w:val="00842B9E"/>
    <w:rsid w:val="008434B9"/>
    <w:rsid w:val="00843823"/>
    <w:rsid w:val="00843B9B"/>
    <w:rsid w:val="008442A2"/>
    <w:rsid w:val="008442B4"/>
    <w:rsid w:val="00844613"/>
    <w:rsid w:val="008447AD"/>
    <w:rsid w:val="00844A58"/>
    <w:rsid w:val="00845806"/>
    <w:rsid w:val="0084610A"/>
    <w:rsid w:val="00846867"/>
    <w:rsid w:val="00847080"/>
    <w:rsid w:val="00847F08"/>
    <w:rsid w:val="0085035E"/>
    <w:rsid w:val="008516A9"/>
    <w:rsid w:val="00852786"/>
    <w:rsid w:val="00852BEC"/>
    <w:rsid w:val="00852FFE"/>
    <w:rsid w:val="0085431F"/>
    <w:rsid w:val="00854439"/>
    <w:rsid w:val="00854A77"/>
    <w:rsid w:val="00854D24"/>
    <w:rsid w:val="00854FFD"/>
    <w:rsid w:val="00855EDD"/>
    <w:rsid w:val="00856211"/>
    <w:rsid w:val="0085701F"/>
    <w:rsid w:val="008600DD"/>
    <w:rsid w:val="008605F5"/>
    <w:rsid w:val="008612D4"/>
    <w:rsid w:val="00861429"/>
    <w:rsid w:val="00861574"/>
    <w:rsid w:val="00861F7C"/>
    <w:rsid w:val="008621D4"/>
    <w:rsid w:val="0086259E"/>
    <w:rsid w:val="00862BD6"/>
    <w:rsid w:val="00862C7B"/>
    <w:rsid w:val="00863029"/>
    <w:rsid w:val="0086335A"/>
    <w:rsid w:val="00863650"/>
    <w:rsid w:val="00863E4F"/>
    <w:rsid w:val="00864C63"/>
    <w:rsid w:val="00864C9D"/>
    <w:rsid w:val="00866029"/>
    <w:rsid w:val="008679B4"/>
    <w:rsid w:val="008702DA"/>
    <w:rsid w:val="008711EC"/>
    <w:rsid w:val="00871B3C"/>
    <w:rsid w:val="00871EBA"/>
    <w:rsid w:val="00871F59"/>
    <w:rsid w:val="00872FB1"/>
    <w:rsid w:val="0087396D"/>
    <w:rsid w:val="00873E63"/>
    <w:rsid w:val="00874141"/>
    <w:rsid w:val="008743D4"/>
    <w:rsid w:val="00874404"/>
    <w:rsid w:val="0087586B"/>
    <w:rsid w:val="00875C72"/>
    <w:rsid w:val="008768FE"/>
    <w:rsid w:val="008802E6"/>
    <w:rsid w:val="008816BF"/>
    <w:rsid w:val="00882121"/>
    <w:rsid w:val="00882872"/>
    <w:rsid w:val="00882923"/>
    <w:rsid w:val="00882DDB"/>
    <w:rsid w:val="00883715"/>
    <w:rsid w:val="00883C2E"/>
    <w:rsid w:val="00883C30"/>
    <w:rsid w:val="00883C8C"/>
    <w:rsid w:val="00883F1C"/>
    <w:rsid w:val="00886145"/>
    <w:rsid w:val="008866CA"/>
    <w:rsid w:val="00886B71"/>
    <w:rsid w:val="00886D25"/>
    <w:rsid w:val="00887368"/>
    <w:rsid w:val="0088758B"/>
    <w:rsid w:val="0088764D"/>
    <w:rsid w:val="008879DB"/>
    <w:rsid w:val="00890405"/>
    <w:rsid w:val="008908E6"/>
    <w:rsid w:val="00890B65"/>
    <w:rsid w:val="008925C3"/>
    <w:rsid w:val="00892AB6"/>
    <w:rsid w:val="008937AD"/>
    <w:rsid w:val="00894C94"/>
    <w:rsid w:val="00895092"/>
    <w:rsid w:val="00895CD8"/>
    <w:rsid w:val="00895DC5"/>
    <w:rsid w:val="00896550"/>
    <w:rsid w:val="00897085"/>
    <w:rsid w:val="008977A9"/>
    <w:rsid w:val="008A09DD"/>
    <w:rsid w:val="008A0E57"/>
    <w:rsid w:val="008A0F03"/>
    <w:rsid w:val="008A16C9"/>
    <w:rsid w:val="008A17C8"/>
    <w:rsid w:val="008A2369"/>
    <w:rsid w:val="008A272A"/>
    <w:rsid w:val="008A2A99"/>
    <w:rsid w:val="008A3511"/>
    <w:rsid w:val="008A3DB0"/>
    <w:rsid w:val="008A4E32"/>
    <w:rsid w:val="008A5215"/>
    <w:rsid w:val="008A565B"/>
    <w:rsid w:val="008A59DC"/>
    <w:rsid w:val="008A5E2A"/>
    <w:rsid w:val="008A694A"/>
    <w:rsid w:val="008A69D0"/>
    <w:rsid w:val="008A6E4B"/>
    <w:rsid w:val="008A7128"/>
    <w:rsid w:val="008A7DCF"/>
    <w:rsid w:val="008B0393"/>
    <w:rsid w:val="008B0610"/>
    <w:rsid w:val="008B112D"/>
    <w:rsid w:val="008B1163"/>
    <w:rsid w:val="008B15FE"/>
    <w:rsid w:val="008B19E9"/>
    <w:rsid w:val="008B1FED"/>
    <w:rsid w:val="008B2A2B"/>
    <w:rsid w:val="008B3673"/>
    <w:rsid w:val="008B3CAA"/>
    <w:rsid w:val="008B6980"/>
    <w:rsid w:val="008B6E96"/>
    <w:rsid w:val="008B6ED0"/>
    <w:rsid w:val="008B70A8"/>
    <w:rsid w:val="008B7B1B"/>
    <w:rsid w:val="008C0AF9"/>
    <w:rsid w:val="008C12C3"/>
    <w:rsid w:val="008C2E31"/>
    <w:rsid w:val="008C2E52"/>
    <w:rsid w:val="008C2EBA"/>
    <w:rsid w:val="008C3BBC"/>
    <w:rsid w:val="008C50A0"/>
    <w:rsid w:val="008C5288"/>
    <w:rsid w:val="008C5A39"/>
    <w:rsid w:val="008C5F9D"/>
    <w:rsid w:val="008C6079"/>
    <w:rsid w:val="008C6D13"/>
    <w:rsid w:val="008D0054"/>
    <w:rsid w:val="008D00BF"/>
    <w:rsid w:val="008D0BB2"/>
    <w:rsid w:val="008D0FDB"/>
    <w:rsid w:val="008D14C3"/>
    <w:rsid w:val="008D1749"/>
    <w:rsid w:val="008D1BA2"/>
    <w:rsid w:val="008D1EA6"/>
    <w:rsid w:val="008D23F0"/>
    <w:rsid w:val="008D2A73"/>
    <w:rsid w:val="008D3318"/>
    <w:rsid w:val="008D3396"/>
    <w:rsid w:val="008D3E56"/>
    <w:rsid w:val="008D3E5A"/>
    <w:rsid w:val="008D45BE"/>
    <w:rsid w:val="008D45C8"/>
    <w:rsid w:val="008D46D4"/>
    <w:rsid w:val="008D4744"/>
    <w:rsid w:val="008D58E0"/>
    <w:rsid w:val="008D5D3A"/>
    <w:rsid w:val="008D6493"/>
    <w:rsid w:val="008D6949"/>
    <w:rsid w:val="008D6964"/>
    <w:rsid w:val="008D6E75"/>
    <w:rsid w:val="008D7998"/>
    <w:rsid w:val="008E147D"/>
    <w:rsid w:val="008E2369"/>
    <w:rsid w:val="008E26B5"/>
    <w:rsid w:val="008E3111"/>
    <w:rsid w:val="008E3FA4"/>
    <w:rsid w:val="008E4E68"/>
    <w:rsid w:val="008E66B7"/>
    <w:rsid w:val="008E78D2"/>
    <w:rsid w:val="008F166E"/>
    <w:rsid w:val="008F1F06"/>
    <w:rsid w:val="008F2E3F"/>
    <w:rsid w:val="008F32AE"/>
    <w:rsid w:val="008F4C69"/>
    <w:rsid w:val="008F4FAA"/>
    <w:rsid w:val="008F65D7"/>
    <w:rsid w:val="008F78DC"/>
    <w:rsid w:val="00900B76"/>
    <w:rsid w:val="00900EE6"/>
    <w:rsid w:val="00901110"/>
    <w:rsid w:val="00901E93"/>
    <w:rsid w:val="00902726"/>
    <w:rsid w:val="00902E19"/>
    <w:rsid w:val="00902E5F"/>
    <w:rsid w:val="00903136"/>
    <w:rsid w:val="00903163"/>
    <w:rsid w:val="009034F5"/>
    <w:rsid w:val="00903660"/>
    <w:rsid w:val="00903F96"/>
    <w:rsid w:val="009042C9"/>
    <w:rsid w:val="00904F1B"/>
    <w:rsid w:val="00905689"/>
    <w:rsid w:val="0090723A"/>
    <w:rsid w:val="00907949"/>
    <w:rsid w:val="0091055B"/>
    <w:rsid w:val="0091075B"/>
    <w:rsid w:val="0091091B"/>
    <w:rsid w:val="00910E23"/>
    <w:rsid w:val="00911369"/>
    <w:rsid w:val="00911740"/>
    <w:rsid w:val="00911B83"/>
    <w:rsid w:val="00911C8D"/>
    <w:rsid w:val="0091281E"/>
    <w:rsid w:val="009134E4"/>
    <w:rsid w:val="009146DF"/>
    <w:rsid w:val="00914CF7"/>
    <w:rsid w:val="00914E1A"/>
    <w:rsid w:val="00915856"/>
    <w:rsid w:val="00915A62"/>
    <w:rsid w:val="00916591"/>
    <w:rsid w:val="009168A5"/>
    <w:rsid w:val="0091712C"/>
    <w:rsid w:val="0091759D"/>
    <w:rsid w:val="00917E0F"/>
    <w:rsid w:val="00917F8D"/>
    <w:rsid w:val="009223B8"/>
    <w:rsid w:val="0092251F"/>
    <w:rsid w:val="00922D13"/>
    <w:rsid w:val="00923C02"/>
    <w:rsid w:val="00923C1D"/>
    <w:rsid w:val="00924083"/>
    <w:rsid w:val="009244FB"/>
    <w:rsid w:val="00925299"/>
    <w:rsid w:val="009252DF"/>
    <w:rsid w:val="0092636F"/>
    <w:rsid w:val="00927950"/>
    <w:rsid w:val="00927FE4"/>
    <w:rsid w:val="009306A5"/>
    <w:rsid w:val="009310C2"/>
    <w:rsid w:val="00931AD9"/>
    <w:rsid w:val="00931CC2"/>
    <w:rsid w:val="0093225B"/>
    <w:rsid w:val="00932973"/>
    <w:rsid w:val="00933095"/>
    <w:rsid w:val="0093311C"/>
    <w:rsid w:val="00933138"/>
    <w:rsid w:val="00933397"/>
    <w:rsid w:val="00933415"/>
    <w:rsid w:val="00933686"/>
    <w:rsid w:val="00934266"/>
    <w:rsid w:val="00934AD2"/>
    <w:rsid w:val="00934D9E"/>
    <w:rsid w:val="009359AF"/>
    <w:rsid w:val="00935BC4"/>
    <w:rsid w:val="00935C98"/>
    <w:rsid w:val="009369BA"/>
    <w:rsid w:val="009373E0"/>
    <w:rsid w:val="00937BF2"/>
    <w:rsid w:val="00937D2B"/>
    <w:rsid w:val="009403FD"/>
    <w:rsid w:val="009416BA"/>
    <w:rsid w:val="00941840"/>
    <w:rsid w:val="0094199B"/>
    <w:rsid w:val="00942793"/>
    <w:rsid w:val="00942882"/>
    <w:rsid w:val="009432E5"/>
    <w:rsid w:val="009443D0"/>
    <w:rsid w:val="009445DC"/>
    <w:rsid w:val="00944680"/>
    <w:rsid w:val="00944983"/>
    <w:rsid w:val="00945611"/>
    <w:rsid w:val="00945994"/>
    <w:rsid w:val="00946245"/>
    <w:rsid w:val="00950BAA"/>
    <w:rsid w:val="00950E5B"/>
    <w:rsid w:val="00951183"/>
    <w:rsid w:val="00952076"/>
    <w:rsid w:val="00953697"/>
    <w:rsid w:val="009539BE"/>
    <w:rsid w:val="0095488D"/>
    <w:rsid w:val="00954B7E"/>
    <w:rsid w:val="00954C34"/>
    <w:rsid w:val="009564AF"/>
    <w:rsid w:val="009565E7"/>
    <w:rsid w:val="00956A1F"/>
    <w:rsid w:val="00957826"/>
    <w:rsid w:val="0096018A"/>
    <w:rsid w:val="009602C5"/>
    <w:rsid w:val="00960511"/>
    <w:rsid w:val="009606CE"/>
    <w:rsid w:val="00960971"/>
    <w:rsid w:val="00960A52"/>
    <w:rsid w:val="00961438"/>
    <w:rsid w:val="00961547"/>
    <w:rsid w:val="009622AD"/>
    <w:rsid w:val="009626F5"/>
    <w:rsid w:val="00962A63"/>
    <w:rsid w:val="00962D60"/>
    <w:rsid w:val="00963644"/>
    <w:rsid w:val="00963AD2"/>
    <w:rsid w:val="00963BEB"/>
    <w:rsid w:val="009642BC"/>
    <w:rsid w:val="00965BFE"/>
    <w:rsid w:val="00966C8A"/>
    <w:rsid w:val="00967FDD"/>
    <w:rsid w:val="0097036C"/>
    <w:rsid w:val="00970B6E"/>
    <w:rsid w:val="00970CDA"/>
    <w:rsid w:val="009719DF"/>
    <w:rsid w:val="009719EE"/>
    <w:rsid w:val="009721FE"/>
    <w:rsid w:val="00972995"/>
    <w:rsid w:val="00973FE0"/>
    <w:rsid w:val="009741A7"/>
    <w:rsid w:val="009747DF"/>
    <w:rsid w:val="00975963"/>
    <w:rsid w:val="00975AEA"/>
    <w:rsid w:val="009762BD"/>
    <w:rsid w:val="00976675"/>
    <w:rsid w:val="00976C6D"/>
    <w:rsid w:val="009775E1"/>
    <w:rsid w:val="00977A0C"/>
    <w:rsid w:val="009803BE"/>
    <w:rsid w:val="009808C2"/>
    <w:rsid w:val="00980B3B"/>
    <w:rsid w:val="0098127B"/>
    <w:rsid w:val="00981D1F"/>
    <w:rsid w:val="009822C4"/>
    <w:rsid w:val="00982DDC"/>
    <w:rsid w:val="009830D3"/>
    <w:rsid w:val="00983467"/>
    <w:rsid w:val="00983F14"/>
    <w:rsid w:val="009843D7"/>
    <w:rsid w:val="009850D0"/>
    <w:rsid w:val="0098593E"/>
    <w:rsid w:val="009867A2"/>
    <w:rsid w:val="00986A34"/>
    <w:rsid w:val="00987548"/>
    <w:rsid w:val="00987EFC"/>
    <w:rsid w:val="0099030D"/>
    <w:rsid w:val="009905C4"/>
    <w:rsid w:val="00990900"/>
    <w:rsid w:val="00990D65"/>
    <w:rsid w:val="00990D9A"/>
    <w:rsid w:val="00990DC0"/>
    <w:rsid w:val="00991000"/>
    <w:rsid w:val="00992EAE"/>
    <w:rsid w:val="009945F7"/>
    <w:rsid w:val="009954E0"/>
    <w:rsid w:val="0099580C"/>
    <w:rsid w:val="009958A7"/>
    <w:rsid w:val="00996F81"/>
    <w:rsid w:val="009972C4"/>
    <w:rsid w:val="009A0050"/>
    <w:rsid w:val="009A0E64"/>
    <w:rsid w:val="009A12DE"/>
    <w:rsid w:val="009A1AED"/>
    <w:rsid w:val="009A2580"/>
    <w:rsid w:val="009A28BD"/>
    <w:rsid w:val="009A2ABE"/>
    <w:rsid w:val="009A35CB"/>
    <w:rsid w:val="009A3805"/>
    <w:rsid w:val="009A471F"/>
    <w:rsid w:val="009A5C66"/>
    <w:rsid w:val="009A6535"/>
    <w:rsid w:val="009A6D02"/>
    <w:rsid w:val="009A7154"/>
    <w:rsid w:val="009A73BB"/>
    <w:rsid w:val="009A785B"/>
    <w:rsid w:val="009A7CCC"/>
    <w:rsid w:val="009A7F48"/>
    <w:rsid w:val="009A7FFC"/>
    <w:rsid w:val="009B0A05"/>
    <w:rsid w:val="009B1A9E"/>
    <w:rsid w:val="009B1DF1"/>
    <w:rsid w:val="009B2066"/>
    <w:rsid w:val="009B27D1"/>
    <w:rsid w:val="009B2C93"/>
    <w:rsid w:val="009B2F32"/>
    <w:rsid w:val="009B36B0"/>
    <w:rsid w:val="009B40DE"/>
    <w:rsid w:val="009B4F14"/>
    <w:rsid w:val="009B5CFE"/>
    <w:rsid w:val="009B72E7"/>
    <w:rsid w:val="009B72ED"/>
    <w:rsid w:val="009B7642"/>
    <w:rsid w:val="009C0E1B"/>
    <w:rsid w:val="009C0FE2"/>
    <w:rsid w:val="009C116E"/>
    <w:rsid w:val="009C17FC"/>
    <w:rsid w:val="009C18A0"/>
    <w:rsid w:val="009C21A9"/>
    <w:rsid w:val="009C2D29"/>
    <w:rsid w:val="009C3ED4"/>
    <w:rsid w:val="009C5591"/>
    <w:rsid w:val="009C7333"/>
    <w:rsid w:val="009D0B63"/>
    <w:rsid w:val="009D1628"/>
    <w:rsid w:val="009D17D7"/>
    <w:rsid w:val="009D1889"/>
    <w:rsid w:val="009D18D4"/>
    <w:rsid w:val="009D3A6E"/>
    <w:rsid w:val="009D4615"/>
    <w:rsid w:val="009D77B3"/>
    <w:rsid w:val="009D77F8"/>
    <w:rsid w:val="009E05C2"/>
    <w:rsid w:val="009E16AA"/>
    <w:rsid w:val="009E1896"/>
    <w:rsid w:val="009E1C4B"/>
    <w:rsid w:val="009E23F7"/>
    <w:rsid w:val="009E250C"/>
    <w:rsid w:val="009E25F1"/>
    <w:rsid w:val="009E32F4"/>
    <w:rsid w:val="009E416E"/>
    <w:rsid w:val="009E4386"/>
    <w:rsid w:val="009E473D"/>
    <w:rsid w:val="009E552E"/>
    <w:rsid w:val="009E5C98"/>
    <w:rsid w:val="009E5CDF"/>
    <w:rsid w:val="009E6587"/>
    <w:rsid w:val="009E6803"/>
    <w:rsid w:val="009E7CAE"/>
    <w:rsid w:val="009F0853"/>
    <w:rsid w:val="009F11A4"/>
    <w:rsid w:val="009F19A0"/>
    <w:rsid w:val="009F38F0"/>
    <w:rsid w:val="009F4407"/>
    <w:rsid w:val="009F5373"/>
    <w:rsid w:val="009F5C59"/>
    <w:rsid w:val="009F65B2"/>
    <w:rsid w:val="009F690B"/>
    <w:rsid w:val="009F6B78"/>
    <w:rsid w:val="009F79EF"/>
    <w:rsid w:val="009F7C77"/>
    <w:rsid w:val="00A004E8"/>
    <w:rsid w:val="00A00748"/>
    <w:rsid w:val="00A0222A"/>
    <w:rsid w:val="00A026F2"/>
    <w:rsid w:val="00A02B58"/>
    <w:rsid w:val="00A0328D"/>
    <w:rsid w:val="00A03801"/>
    <w:rsid w:val="00A04050"/>
    <w:rsid w:val="00A04917"/>
    <w:rsid w:val="00A04EA7"/>
    <w:rsid w:val="00A05347"/>
    <w:rsid w:val="00A06C66"/>
    <w:rsid w:val="00A07EA0"/>
    <w:rsid w:val="00A112AF"/>
    <w:rsid w:val="00A11637"/>
    <w:rsid w:val="00A12C4D"/>
    <w:rsid w:val="00A13D39"/>
    <w:rsid w:val="00A141D7"/>
    <w:rsid w:val="00A14E9F"/>
    <w:rsid w:val="00A15C3D"/>
    <w:rsid w:val="00A15C98"/>
    <w:rsid w:val="00A16241"/>
    <w:rsid w:val="00A166EC"/>
    <w:rsid w:val="00A17820"/>
    <w:rsid w:val="00A17B8B"/>
    <w:rsid w:val="00A200D4"/>
    <w:rsid w:val="00A20C01"/>
    <w:rsid w:val="00A218C9"/>
    <w:rsid w:val="00A21EDC"/>
    <w:rsid w:val="00A22FED"/>
    <w:rsid w:val="00A234E1"/>
    <w:rsid w:val="00A23A03"/>
    <w:rsid w:val="00A240BB"/>
    <w:rsid w:val="00A24918"/>
    <w:rsid w:val="00A2507C"/>
    <w:rsid w:val="00A25187"/>
    <w:rsid w:val="00A25340"/>
    <w:rsid w:val="00A26D07"/>
    <w:rsid w:val="00A26E7B"/>
    <w:rsid w:val="00A273FB"/>
    <w:rsid w:val="00A33A40"/>
    <w:rsid w:val="00A33C68"/>
    <w:rsid w:val="00A343FE"/>
    <w:rsid w:val="00A353FE"/>
    <w:rsid w:val="00A357A8"/>
    <w:rsid w:val="00A367E8"/>
    <w:rsid w:val="00A36A2E"/>
    <w:rsid w:val="00A36DE7"/>
    <w:rsid w:val="00A37789"/>
    <w:rsid w:val="00A405E2"/>
    <w:rsid w:val="00A4123E"/>
    <w:rsid w:val="00A414E5"/>
    <w:rsid w:val="00A41B34"/>
    <w:rsid w:val="00A43077"/>
    <w:rsid w:val="00A430A8"/>
    <w:rsid w:val="00A43CD6"/>
    <w:rsid w:val="00A446C2"/>
    <w:rsid w:val="00A457B7"/>
    <w:rsid w:val="00A459E0"/>
    <w:rsid w:val="00A46F37"/>
    <w:rsid w:val="00A47D8E"/>
    <w:rsid w:val="00A505AC"/>
    <w:rsid w:val="00A50A4E"/>
    <w:rsid w:val="00A52879"/>
    <w:rsid w:val="00A52C2A"/>
    <w:rsid w:val="00A531A5"/>
    <w:rsid w:val="00A53784"/>
    <w:rsid w:val="00A55B8E"/>
    <w:rsid w:val="00A5626C"/>
    <w:rsid w:val="00A56F92"/>
    <w:rsid w:val="00A57487"/>
    <w:rsid w:val="00A57787"/>
    <w:rsid w:val="00A578FC"/>
    <w:rsid w:val="00A60583"/>
    <w:rsid w:val="00A60601"/>
    <w:rsid w:val="00A607E8"/>
    <w:rsid w:val="00A607FA"/>
    <w:rsid w:val="00A60AC3"/>
    <w:rsid w:val="00A61660"/>
    <w:rsid w:val="00A61864"/>
    <w:rsid w:val="00A61B46"/>
    <w:rsid w:val="00A622AA"/>
    <w:rsid w:val="00A6285D"/>
    <w:rsid w:val="00A62B2E"/>
    <w:rsid w:val="00A62FF4"/>
    <w:rsid w:val="00A6457F"/>
    <w:rsid w:val="00A64F5B"/>
    <w:rsid w:val="00A65453"/>
    <w:rsid w:val="00A660A7"/>
    <w:rsid w:val="00A6689D"/>
    <w:rsid w:val="00A67081"/>
    <w:rsid w:val="00A67FEB"/>
    <w:rsid w:val="00A701C8"/>
    <w:rsid w:val="00A705B0"/>
    <w:rsid w:val="00A711F9"/>
    <w:rsid w:val="00A72656"/>
    <w:rsid w:val="00A727EE"/>
    <w:rsid w:val="00A730F0"/>
    <w:rsid w:val="00A737FF"/>
    <w:rsid w:val="00A73ABB"/>
    <w:rsid w:val="00A7410C"/>
    <w:rsid w:val="00A74F78"/>
    <w:rsid w:val="00A752CF"/>
    <w:rsid w:val="00A75404"/>
    <w:rsid w:val="00A75653"/>
    <w:rsid w:val="00A75EDC"/>
    <w:rsid w:val="00A7752B"/>
    <w:rsid w:val="00A77DA6"/>
    <w:rsid w:val="00A8023F"/>
    <w:rsid w:val="00A82DC9"/>
    <w:rsid w:val="00A83E6D"/>
    <w:rsid w:val="00A83E6F"/>
    <w:rsid w:val="00A8469E"/>
    <w:rsid w:val="00A8604A"/>
    <w:rsid w:val="00A8779D"/>
    <w:rsid w:val="00A87ADA"/>
    <w:rsid w:val="00A902E7"/>
    <w:rsid w:val="00A90F20"/>
    <w:rsid w:val="00A91332"/>
    <w:rsid w:val="00A9226B"/>
    <w:rsid w:val="00A92B8B"/>
    <w:rsid w:val="00A92E93"/>
    <w:rsid w:val="00A936C7"/>
    <w:rsid w:val="00A937E7"/>
    <w:rsid w:val="00A9388F"/>
    <w:rsid w:val="00A941B0"/>
    <w:rsid w:val="00A947C1"/>
    <w:rsid w:val="00A950CD"/>
    <w:rsid w:val="00A95550"/>
    <w:rsid w:val="00A963D8"/>
    <w:rsid w:val="00A97ADC"/>
    <w:rsid w:val="00AA07B7"/>
    <w:rsid w:val="00AA0D1E"/>
    <w:rsid w:val="00AA0D87"/>
    <w:rsid w:val="00AA275D"/>
    <w:rsid w:val="00AA2B78"/>
    <w:rsid w:val="00AA2D50"/>
    <w:rsid w:val="00AA2E78"/>
    <w:rsid w:val="00AA2F43"/>
    <w:rsid w:val="00AA459C"/>
    <w:rsid w:val="00AA45C1"/>
    <w:rsid w:val="00AA4682"/>
    <w:rsid w:val="00AA50D2"/>
    <w:rsid w:val="00AA5C6C"/>
    <w:rsid w:val="00AA61A3"/>
    <w:rsid w:val="00AA64FC"/>
    <w:rsid w:val="00AA6652"/>
    <w:rsid w:val="00AA6757"/>
    <w:rsid w:val="00AA68AE"/>
    <w:rsid w:val="00AA6BCE"/>
    <w:rsid w:val="00AA6BEB"/>
    <w:rsid w:val="00AA7171"/>
    <w:rsid w:val="00AA7751"/>
    <w:rsid w:val="00AB0AB7"/>
    <w:rsid w:val="00AB101E"/>
    <w:rsid w:val="00AB1259"/>
    <w:rsid w:val="00AB169B"/>
    <w:rsid w:val="00AB1C60"/>
    <w:rsid w:val="00AB2497"/>
    <w:rsid w:val="00AB3C05"/>
    <w:rsid w:val="00AB3DD8"/>
    <w:rsid w:val="00AB430C"/>
    <w:rsid w:val="00AB44F7"/>
    <w:rsid w:val="00AB4C30"/>
    <w:rsid w:val="00AB4EBD"/>
    <w:rsid w:val="00AB52F4"/>
    <w:rsid w:val="00AB6B37"/>
    <w:rsid w:val="00AB78A0"/>
    <w:rsid w:val="00AC1003"/>
    <w:rsid w:val="00AC2883"/>
    <w:rsid w:val="00AC2CC0"/>
    <w:rsid w:val="00AC3461"/>
    <w:rsid w:val="00AC34AB"/>
    <w:rsid w:val="00AC371C"/>
    <w:rsid w:val="00AC3C59"/>
    <w:rsid w:val="00AC415A"/>
    <w:rsid w:val="00AC4397"/>
    <w:rsid w:val="00AC4434"/>
    <w:rsid w:val="00AC4562"/>
    <w:rsid w:val="00AC6308"/>
    <w:rsid w:val="00AC6BA6"/>
    <w:rsid w:val="00AC7981"/>
    <w:rsid w:val="00AD09FA"/>
    <w:rsid w:val="00AD0A06"/>
    <w:rsid w:val="00AD145F"/>
    <w:rsid w:val="00AD1731"/>
    <w:rsid w:val="00AD19FF"/>
    <w:rsid w:val="00AD1C44"/>
    <w:rsid w:val="00AD20DE"/>
    <w:rsid w:val="00AD3CFB"/>
    <w:rsid w:val="00AD48A2"/>
    <w:rsid w:val="00AD502B"/>
    <w:rsid w:val="00AD5BCD"/>
    <w:rsid w:val="00AD6D65"/>
    <w:rsid w:val="00AD7C9A"/>
    <w:rsid w:val="00AD7F36"/>
    <w:rsid w:val="00AE0C3B"/>
    <w:rsid w:val="00AE1B7E"/>
    <w:rsid w:val="00AE1D67"/>
    <w:rsid w:val="00AE3526"/>
    <w:rsid w:val="00AE44B5"/>
    <w:rsid w:val="00AE475D"/>
    <w:rsid w:val="00AE5CC5"/>
    <w:rsid w:val="00AE622F"/>
    <w:rsid w:val="00AE66D9"/>
    <w:rsid w:val="00AE6B26"/>
    <w:rsid w:val="00AE7235"/>
    <w:rsid w:val="00AE78A1"/>
    <w:rsid w:val="00AE7A38"/>
    <w:rsid w:val="00AF0ADF"/>
    <w:rsid w:val="00AF1137"/>
    <w:rsid w:val="00AF14BA"/>
    <w:rsid w:val="00AF24F8"/>
    <w:rsid w:val="00AF2E75"/>
    <w:rsid w:val="00AF3B10"/>
    <w:rsid w:val="00AF3C74"/>
    <w:rsid w:val="00AF401F"/>
    <w:rsid w:val="00AF4686"/>
    <w:rsid w:val="00AF53CC"/>
    <w:rsid w:val="00AF5490"/>
    <w:rsid w:val="00AF613D"/>
    <w:rsid w:val="00AF6CE8"/>
    <w:rsid w:val="00AF7C12"/>
    <w:rsid w:val="00B00259"/>
    <w:rsid w:val="00B01879"/>
    <w:rsid w:val="00B0190D"/>
    <w:rsid w:val="00B02683"/>
    <w:rsid w:val="00B03D8A"/>
    <w:rsid w:val="00B04CCC"/>
    <w:rsid w:val="00B05C87"/>
    <w:rsid w:val="00B069C0"/>
    <w:rsid w:val="00B0720F"/>
    <w:rsid w:val="00B07A0D"/>
    <w:rsid w:val="00B10C1C"/>
    <w:rsid w:val="00B10FDF"/>
    <w:rsid w:val="00B116E2"/>
    <w:rsid w:val="00B12679"/>
    <w:rsid w:val="00B13036"/>
    <w:rsid w:val="00B1400F"/>
    <w:rsid w:val="00B144E7"/>
    <w:rsid w:val="00B146C1"/>
    <w:rsid w:val="00B1490C"/>
    <w:rsid w:val="00B14DDB"/>
    <w:rsid w:val="00B14E21"/>
    <w:rsid w:val="00B14E4D"/>
    <w:rsid w:val="00B15104"/>
    <w:rsid w:val="00B153EE"/>
    <w:rsid w:val="00B15C73"/>
    <w:rsid w:val="00B16A35"/>
    <w:rsid w:val="00B1732A"/>
    <w:rsid w:val="00B17B83"/>
    <w:rsid w:val="00B20966"/>
    <w:rsid w:val="00B20F36"/>
    <w:rsid w:val="00B22506"/>
    <w:rsid w:val="00B22797"/>
    <w:rsid w:val="00B22C9D"/>
    <w:rsid w:val="00B23B5E"/>
    <w:rsid w:val="00B23EC3"/>
    <w:rsid w:val="00B242F0"/>
    <w:rsid w:val="00B24F56"/>
    <w:rsid w:val="00B2515D"/>
    <w:rsid w:val="00B25754"/>
    <w:rsid w:val="00B25945"/>
    <w:rsid w:val="00B25C5B"/>
    <w:rsid w:val="00B265C6"/>
    <w:rsid w:val="00B2697E"/>
    <w:rsid w:val="00B3154F"/>
    <w:rsid w:val="00B31B41"/>
    <w:rsid w:val="00B326C2"/>
    <w:rsid w:val="00B33067"/>
    <w:rsid w:val="00B332E3"/>
    <w:rsid w:val="00B3340B"/>
    <w:rsid w:val="00B338CF"/>
    <w:rsid w:val="00B33900"/>
    <w:rsid w:val="00B34AE4"/>
    <w:rsid w:val="00B3533D"/>
    <w:rsid w:val="00B35BED"/>
    <w:rsid w:val="00B361A1"/>
    <w:rsid w:val="00B36E4C"/>
    <w:rsid w:val="00B36EEC"/>
    <w:rsid w:val="00B37005"/>
    <w:rsid w:val="00B378D7"/>
    <w:rsid w:val="00B37957"/>
    <w:rsid w:val="00B37996"/>
    <w:rsid w:val="00B404CD"/>
    <w:rsid w:val="00B40F4D"/>
    <w:rsid w:val="00B414BD"/>
    <w:rsid w:val="00B41C3D"/>
    <w:rsid w:val="00B42F89"/>
    <w:rsid w:val="00B433D3"/>
    <w:rsid w:val="00B4398D"/>
    <w:rsid w:val="00B45CE3"/>
    <w:rsid w:val="00B45FBC"/>
    <w:rsid w:val="00B47E15"/>
    <w:rsid w:val="00B50312"/>
    <w:rsid w:val="00B514C9"/>
    <w:rsid w:val="00B53C1F"/>
    <w:rsid w:val="00B54072"/>
    <w:rsid w:val="00B5522A"/>
    <w:rsid w:val="00B55C3C"/>
    <w:rsid w:val="00B5607F"/>
    <w:rsid w:val="00B56E46"/>
    <w:rsid w:val="00B57EB9"/>
    <w:rsid w:val="00B60886"/>
    <w:rsid w:val="00B610B6"/>
    <w:rsid w:val="00B61A4F"/>
    <w:rsid w:val="00B61F90"/>
    <w:rsid w:val="00B6356E"/>
    <w:rsid w:val="00B635BD"/>
    <w:rsid w:val="00B655CC"/>
    <w:rsid w:val="00B66F31"/>
    <w:rsid w:val="00B67116"/>
    <w:rsid w:val="00B6754E"/>
    <w:rsid w:val="00B67B5C"/>
    <w:rsid w:val="00B67CF3"/>
    <w:rsid w:val="00B70251"/>
    <w:rsid w:val="00B715F1"/>
    <w:rsid w:val="00B73715"/>
    <w:rsid w:val="00B759F6"/>
    <w:rsid w:val="00B75BBD"/>
    <w:rsid w:val="00B75CBF"/>
    <w:rsid w:val="00B76481"/>
    <w:rsid w:val="00B7690E"/>
    <w:rsid w:val="00B76917"/>
    <w:rsid w:val="00B76F25"/>
    <w:rsid w:val="00B77E06"/>
    <w:rsid w:val="00B80E46"/>
    <w:rsid w:val="00B82916"/>
    <w:rsid w:val="00B84451"/>
    <w:rsid w:val="00B857B3"/>
    <w:rsid w:val="00B86142"/>
    <w:rsid w:val="00B87F57"/>
    <w:rsid w:val="00B906C7"/>
    <w:rsid w:val="00B90B02"/>
    <w:rsid w:val="00B9128A"/>
    <w:rsid w:val="00B912B1"/>
    <w:rsid w:val="00B9387D"/>
    <w:rsid w:val="00B938C6"/>
    <w:rsid w:val="00B93AC3"/>
    <w:rsid w:val="00B94190"/>
    <w:rsid w:val="00B944D6"/>
    <w:rsid w:val="00B9464E"/>
    <w:rsid w:val="00B95F7E"/>
    <w:rsid w:val="00B9693C"/>
    <w:rsid w:val="00B96E84"/>
    <w:rsid w:val="00B97518"/>
    <w:rsid w:val="00B97F50"/>
    <w:rsid w:val="00BA02C8"/>
    <w:rsid w:val="00BA07C7"/>
    <w:rsid w:val="00BA1347"/>
    <w:rsid w:val="00BA25A8"/>
    <w:rsid w:val="00BA2C35"/>
    <w:rsid w:val="00BA3D8E"/>
    <w:rsid w:val="00BA4156"/>
    <w:rsid w:val="00BA42BC"/>
    <w:rsid w:val="00BA4E69"/>
    <w:rsid w:val="00BA5909"/>
    <w:rsid w:val="00BA6096"/>
    <w:rsid w:val="00BA68EE"/>
    <w:rsid w:val="00BA691B"/>
    <w:rsid w:val="00BB1BCC"/>
    <w:rsid w:val="00BB1E56"/>
    <w:rsid w:val="00BB2B61"/>
    <w:rsid w:val="00BB3619"/>
    <w:rsid w:val="00BB36C7"/>
    <w:rsid w:val="00BB39DF"/>
    <w:rsid w:val="00BB4A36"/>
    <w:rsid w:val="00BB5287"/>
    <w:rsid w:val="00BB5FB3"/>
    <w:rsid w:val="00BB723A"/>
    <w:rsid w:val="00BC0483"/>
    <w:rsid w:val="00BC06C5"/>
    <w:rsid w:val="00BC0CB4"/>
    <w:rsid w:val="00BC22F1"/>
    <w:rsid w:val="00BC2BD6"/>
    <w:rsid w:val="00BC2E07"/>
    <w:rsid w:val="00BC2E35"/>
    <w:rsid w:val="00BC3748"/>
    <w:rsid w:val="00BC48EE"/>
    <w:rsid w:val="00BC4A50"/>
    <w:rsid w:val="00BC4A62"/>
    <w:rsid w:val="00BC4B67"/>
    <w:rsid w:val="00BC4EFE"/>
    <w:rsid w:val="00BC5FB2"/>
    <w:rsid w:val="00BC62B0"/>
    <w:rsid w:val="00BC69EC"/>
    <w:rsid w:val="00BC6B23"/>
    <w:rsid w:val="00BC6F06"/>
    <w:rsid w:val="00BC7120"/>
    <w:rsid w:val="00BC7DE5"/>
    <w:rsid w:val="00BD0354"/>
    <w:rsid w:val="00BD0FD9"/>
    <w:rsid w:val="00BD1437"/>
    <w:rsid w:val="00BD18CD"/>
    <w:rsid w:val="00BD199F"/>
    <w:rsid w:val="00BD2609"/>
    <w:rsid w:val="00BD28E2"/>
    <w:rsid w:val="00BD3564"/>
    <w:rsid w:val="00BD44E2"/>
    <w:rsid w:val="00BD479D"/>
    <w:rsid w:val="00BD49BA"/>
    <w:rsid w:val="00BD5DA4"/>
    <w:rsid w:val="00BD5EAE"/>
    <w:rsid w:val="00BD6EED"/>
    <w:rsid w:val="00BD79F2"/>
    <w:rsid w:val="00BD7CD8"/>
    <w:rsid w:val="00BD7E7B"/>
    <w:rsid w:val="00BE0329"/>
    <w:rsid w:val="00BE0749"/>
    <w:rsid w:val="00BE0B66"/>
    <w:rsid w:val="00BE0DCD"/>
    <w:rsid w:val="00BE11B6"/>
    <w:rsid w:val="00BE15B9"/>
    <w:rsid w:val="00BE1B03"/>
    <w:rsid w:val="00BE30D1"/>
    <w:rsid w:val="00BE3E71"/>
    <w:rsid w:val="00BE4DEE"/>
    <w:rsid w:val="00BE5015"/>
    <w:rsid w:val="00BE517F"/>
    <w:rsid w:val="00BE5728"/>
    <w:rsid w:val="00BE6193"/>
    <w:rsid w:val="00BE6683"/>
    <w:rsid w:val="00BE7192"/>
    <w:rsid w:val="00BE7ED0"/>
    <w:rsid w:val="00BF0356"/>
    <w:rsid w:val="00BF041F"/>
    <w:rsid w:val="00BF1056"/>
    <w:rsid w:val="00BF26E5"/>
    <w:rsid w:val="00BF2B06"/>
    <w:rsid w:val="00BF2BFA"/>
    <w:rsid w:val="00BF480B"/>
    <w:rsid w:val="00BF484E"/>
    <w:rsid w:val="00BF48EA"/>
    <w:rsid w:val="00BF4A9F"/>
    <w:rsid w:val="00BF59AA"/>
    <w:rsid w:val="00BF66BD"/>
    <w:rsid w:val="00BF6717"/>
    <w:rsid w:val="00BF6A55"/>
    <w:rsid w:val="00BF6F5E"/>
    <w:rsid w:val="00C00BA5"/>
    <w:rsid w:val="00C011C9"/>
    <w:rsid w:val="00C01AB2"/>
    <w:rsid w:val="00C01D4E"/>
    <w:rsid w:val="00C020B8"/>
    <w:rsid w:val="00C04C03"/>
    <w:rsid w:val="00C053AE"/>
    <w:rsid w:val="00C05DDF"/>
    <w:rsid w:val="00C05ECF"/>
    <w:rsid w:val="00C063EA"/>
    <w:rsid w:val="00C1112E"/>
    <w:rsid w:val="00C11534"/>
    <w:rsid w:val="00C12B06"/>
    <w:rsid w:val="00C13F2E"/>
    <w:rsid w:val="00C14968"/>
    <w:rsid w:val="00C14CEF"/>
    <w:rsid w:val="00C14D7B"/>
    <w:rsid w:val="00C14D97"/>
    <w:rsid w:val="00C1569D"/>
    <w:rsid w:val="00C1592D"/>
    <w:rsid w:val="00C160CB"/>
    <w:rsid w:val="00C16188"/>
    <w:rsid w:val="00C166C3"/>
    <w:rsid w:val="00C16CF2"/>
    <w:rsid w:val="00C17583"/>
    <w:rsid w:val="00C17B13"/>
    <w:rsid w:val="00C17CE2"/>
    <w:rsid w:val="00C2056B"/>
    <w:rsid w:val="00C20799"/>
    <w:rsid w:val="00C207B6"/>
    <w:rsid w:val="00C224E4"/>
    <w:rsid w:val="00C22B55"/>
    <w:rsid w:val="00C24902"/>
    <w:rsid w:val="00C24D71"/>
    <w:rsid w:val="00C251EE"/>
    <w:rsid w:val="00C257B0"/>
    <w:rsid w:val="00C2620F"/>
    <w:rsid w:val="00C26557"/>
    <w:rsid w:val="00C27152"/>
    <w:rsid w:val="00C2764F"/>
    <w:rsid w:val="00C27A2E"/>
    <w:rsid w:val="00C27C83"/>
    <w:rsid w:val="00C30590"/>
    <w:rsid w:val="00C31677"/>
    <w:rsid w:val="00C320BF"/>
    <w:rsid w:val="00C32284"/>
    <w:rsid w:val="00C322C1"/>
    <w:rsid w:val="00C3295E"/>
    <w:rsid w:val="00C335C4"/>
    <w:rsid w:val="00C33E5C"/>
    <w:rsid w:val="00C3444C"/>
    <w:rsid w:val="00C349C1"/>
    <w:rsid w:val="00C34C77"/>
    <w:rsid w:val="00C34F8A"/>
    <w:rsid w:val="00C353C6"/>
    <w:rsid w:val="00C36109"/>
    <w:rsid w:val="00C36330"/>
    <w:rsid w:val="00C416CB"/>
    <w:rsid w:val="00C42122"/>
    <w:rsid w:val="00C424AC"/>
    <w:rsid w:val="00C431AA"/>
    <w:rsid w:val="00C43906"/>
    <w:rsid w:val="00C43A65"/>
    <w:rsid w:val="00C44437"/>
    <w:rsid w:val="00C44BD3"/>
    <w:rsid w:val="00C46F8B"/>
    <w:rsid w:val="00C4711B"/>
    <w:rsid w:val="00C4738A"/>
    <w:rsid w:val="00C4738E"/>
    <w:rsid w:val="00C473A2"/>
    <w:rsid w:val="00C47C15"/>
    <w:rsid w:val="00C50ADB"/>
    <w:rsid w:val="00C517EC"/>
    <w:rsid w:val="00C51F19"/>
    <w:rsid w:val="00C51F56"/>
    <w:rsid w:val="00C53F64"/>
    <w:rsid w:val="00C54717"/>
    <w:rsid w:val="00C565DC"/>
    <w:rsid w:val="00C57A87"/>
    <w:rsid w:val="00C60118"/>
    <w:rsid w:val="00C60226"/>
    <w:rsid w:val="00C6077B"/>
    <w:rsid w:val="00C60967"/>
    <w:rsid w:val="00C60A1E"/>
    <w:rsid w:val="00C60AB3"/>
    <w:rsid w:val="00C60C5B"/>
    <w:rsid w:val="00C618F9"/>
    <w:rsid w:val="00C62778"/>
    <w:rsid w:val="00C627B2"/>
    <w:rsid w:val="00C62EFD"/>
    <w:rsid w:val="00C6358C"/>
    <w:rsid w:val="00C63D86"/>
    <w:rsid w:val="00C64C4C"/>
    <w:rsid w:val="00C64D69"/>
    <w:rsid w:val="00C64F3F"/>
    <w:rsid w:val="00C6520D"/>
    <w:rsid w:val="00C664AA"/>
    <w:rsid w:val="00C668B1"/>
    <w:rsid w:val="00C6714D"/>
    <w:rsid w:val="00C67549"/>
    <w:rsid w:val="00C70069"/>
    <w:rsid w:val="00C708A7"/>
    <w:rsid w:val="00C7118C"/>
    <w:rsid w:val="00C7121F"/>
    <w:rsid w:val="00C71B9F"/>
    <w:rsid w:val="00C721F2"/>
    <w:rsid w:val="00C722FE"/>
    <w:rsid w:val="00C745BB"/>
    <w:rsid w:val="00C74BEB"/>
    <w:rsid w:val="00C75F22"/>
    <w:rsid w:val="00C76C54"/>
    <w:rsid w:val="00C80C33"/>
    <w:rsid w:val="00C81741"/>
    <w:rsid w:val="00C81A74"/>
    <w:rsid w:val="00C81B03"/>
    <w:rsid w:val="00C824E1"/>
    <w:rsid w:val="00C82570"/>
    <w:rsid w:val="00C826A0"/>
    <w:rsid w:val="00C82898"/>
    <w:rsid w:val="00C82ED6"/>
    <w:rsid w:val="00C82F8C"/>
    <w:rsid w:val="00C84188"/>
    <w:rsid w:val="00C85183"/>
    <w:rsid w:val="00C8741E"/>
    <w:rsid w:val="00C875C4"/>
    <w:rsid w:val="00C91055"/>
    <w:rsid w:val="00C9127F"/>
    <w:rsid w:val="00C92001"/>
    <w:rsid w:val="00C92250"/>
    <w:rsid w:val="00C928F0"/>
    <w:rsid w:val="00C929EE"/>
    <w:rsid w:val="00C93177"/>
    <w:rsid w:val="00C93816"/>
    <w:rsid w:val="00C93AB6"/>
    <w:rsid w:val="00C9425D"/>
    <w:rsid w:val="00C94695"/>
    <w:rsid w:val="00C95BF2"/>
    <w:rsid w:val="00C96173"/>
    <w:rsid w:val="00CA08A2"/>
    <w:rsid w:val="00CA3791"/>
    <w:rsid w:val="00CA3FAE"/>
    <w:rsid w:val="00CA48B9"/>
    <w:rsid w:val="00CA5307"/>
    <w:rsid w:val="00CA53EB"/>
    <w:rsid w:val="00CA6A1A"/>
    <w:rsid w:val="00CA6C20"/>
    <w:rsid w:val="00CA705E"/>
    <w:rsid w:val="00CB013B"/>
    <w:rsid w:val="00CB077A"/>
    <w:rsid w:val="00CB0F93"/>
    <w:rsid w:val="00CB1229"/>
    <w:rsid w:val="00CB28FF"/>
    <w:rsid w:val="00CB2F42"/>
    <w:rsid w:val="00CB590D"/>
    <w:rsid w:val="00CB5ACF"/>
    <w:rsid w:val="00CB5DEB"/>
    <w:rsid w:val="00CB62A2"/>
    <w:rsid w:val="00CB6345"/>
    <w:rsid w:val="00CB645B"/>
    <w:rsid w:val="00CB65DD"/>
    <w:rsid w:val="00CB67AF"/>
    <w:rsid w:val="00CB7ADB"/>
    <w:rsid w:val="00CC13E2"/>
    <w:rsid w:val="00CC19DC"/>
    <w:rsid w:val="00CC2100"/>
    <w:rsid w:val="00CC319E"/>
    <w:rsid w:val="00CC399C"/>
    <w:rsid w:val="00CC40D8"/>
    <w:rsid w:val="00CC43FE"/>
    <w:rsid w:val="00CC48EB"/>
    <w:rsid w:val="00CC5907"/>
    <w:rsid w:val="00CC6056"/>
    <w:rsid w:val="00CC60FD"/>
    <w:rsid w:val="00CC6405"/>
    <w:rsid w:val="00CC64E3"/>
    <w:rsid w:val="00CC6770"/>
    <w:rsid w:val="00CC6AF4"/>
    <w:rsid w:val="00CC6F86"/>
    <w:rsid w:val="00CC73C2"/>
    <w:rsid w:val="00CC73D5"/>
    <w:rsid w:val="00CC7811"/>
    <w:rsid w:val="00CC7DFD"/>
    <w:rsid w:val="00CD1DC2"/>
    <w:rsid w:val="00CD2BF2"/>
    <w:rsid w:val="00CD2D05"/>
    <w:rsid w:val="00CD327F"/>
    <w:rsid w:val="00CD4272"/>
    <w:rsid w:val="00CD45D5"/>
    <w:rsid w:val="00CD46A4"/>
    <w:rsid w:val="00CD5E1D"/>
    <w:rsid w:val="00CD7B29"/>
    <w:rsid w:val="00CE0AF2"/>
    <w:rsid w:val="00CE0DD3"/>
    <w:rsid w:val="00CE0DE9"/>
    <w:rsid w:val="00CE1032"/>
    <w:rsid w:val="00CE119A"/>
    <w:rsid w:val="00CE200A"/>
    <w:rsid w:val="00CE295B"/>
    <w:rsid w:val="00CE2C08"/>
    <w:rsid w:val="00CE3A1A"/>
    <w:rsid w:val="00CE44E0"/>
    <w:rsid w:val="00CE633E"/>
    <w:rsid w:val="00CE6B03"/>
    <w:rsid w:val="00CE6D98"/>
    <w:rsid w:val="00CE7ADF"/>
    <w:rsid w:val="00CE7CF8"/>
    <w:rsid w:val="00CE7EF6"/>
    <w:rsid w:val="00CF08E1"/>
    <w:rsid w:val="00CF16BF"/>
    <w:rsid w:val="00CF356D"/>
    <w:rsid w:val="00CF415F"/>
    <w:rsid w:val="00CF4426"/>
    <w:rsid w:val="00CF4D55"/>
    <w:rsid w:val="00CF5ABA"/>
    <w:rsid w:val="00CF5F12"/>
    <w:rsid w:val="00CF625D"/>
    <w:rsid w:val="00CF629A"/>
    <w:rsid w:val="00CF6B2A"/>
    <w:rsid w:val="00CF704E"/>
    <w:rsid w:val="00CF780C"/>
    <w:rsid w:val="00CF798D"/>
    <w:rsid w:val="00CF79C8"/>
    <w:rsid w:val="00CF7A07"/>
    <w:rsid w:val="00CF7DD9"/>
    <w:rsid w:val="00D00793"/>
    <w:rsid w:val="00D009D7"/>
    <w:rsid w:val="00D00C2B"/>
    <w:rsid w:val="00D00E34"/>
    <w:rsid w:val="00D015C0"/>
    <w:rsid w:val="00D025DE"/>
    <w:rsid w:val="00D02CB0"/>
    <w:rsid w:val="00D031D0"/>
    <w:rsid w:val="00D04225"/>
    <w:rsid w:val="00D05168"/>
    <w:rsid w:val="00D05829"/>
    <w:rsid w:val="00D06429"/>
    <w:rsid w:val="00D07202"/>
    <w:rsid w:val="00D07222"/>
    <w:rsid w:val="00D072F0"/>
    <w:rsid w:val="00D072F2"/>
    <w:rsid w:val="00D07567"/>
    <w:rsid w:val="00D07578"/>
    <w:rsid w:val="00D07D13"/>
    <w:rsid w:val="00D1082B"/>
    <w:rsid w:val="00D1099E"/>
    <w:rsid w:val="00D10CE7"/>
    <w:rsid w:val="00D10F7D"/>
    <w:rsid w:val="00D11024"/>
    <w:rsid w:val="00D1197D"/>
    <w:rsid w:val="00D1265C"/>
    <w:rsid w:val="00D1267F"/>
    <w:rsid w:val="00D12AD7"/>
    <w:rsid w:val="00D1326B"/>
    <w:rsid w:val="00D1447F"/>
    <w:rsid w:val="00D153CD"/>
    <w:rsid w:val="00D1545D"/>
    <w:rsid w:val="00D15826"/>
    <w:rsid w:val="00D15BE6"/>
    <w:rsid w:val="00D16003"/>
    <w:rsid w:val="00D16054"/>
    <w:rsid w:val="00D161F6"/>
    <w:rsid w:val="00D16F0A"/>
    <w:rsid w:val="00D17DB6"/>
    <w:rsid w:val="00D2059D"/>
    <w:rsid w:val="00D22475"/>
    <w:rsid w:val="00D227CB"/>
    <w:rsid w:val="00D22869"/>
    <w:rsid w:val="00D235C3"/>
    <w:rsid w:val="00D23705"/>
    <w:rsid w:val="00D24C80"/>
    <w:rsid w:val="00D2529D"/>
    <w:rsid w:val="00D255E0"/>
    <w:rsid w:val="00D25C10"/>
    <w:rsid w:val="00D25FBF"/>
    <w:rsid w:val="00D260A1"/>
    <w:rsid w:val="00D268FD"/>
    <w:rsid w:val="00D2715A"/>
    <w:rsid w:val="00D272B0"/>
    <w:rsid w:val="00D2789C"/>
    <w:rsid w:val="00D27E70"/>
    <w:rsid w:val="00D27FAF"/>
    <w:rsid w:val="00D305E9"/>
    <w:rsid w:val="00D306C2"/>
    <w:rsid w:val="00D31533"/>
    <w:rsid w:val="00D31694"/>
    <w:rsid w:val="00D33298"/>
    <w:rsid w:val="00D333F3"/>
    <w:rsid w:val="00D33E33"/>
    <w:rsid w:val="00D340A8"/>
    <w:rsid w:val="00D34924"/>
    <w:rsid w:val="00D351B2"/>
    <w:rsid w:val="00D355DA"/>
    <w:rsid w:val="00D36E3F"/>
    <w:rsid w:val="00D37E13"/>
    <w:rsid w:val="00D407EF"/>
    <w:rsid w:val="00D424CE"/>
    <w:rsid w:val="00D4287C"/>
    <w:rsid w:val="00D43F2B"/>
    <w:rsid w:val="00D4410C"/>
    <w:rsid w:val="00D44112"/>
    <w:rsid w:val="00D445E3"/>
    <w:rsid w:val="00D44683"/>
    <w:rsid w:val="00D4495B"/>
    <w:rsid w:val="00D44CC5"/>
    <w:rsid w:val="00D44F2F"/>
    <w:rsid w:val="00D45B88"/>
    <w:rsid w:val="00D465C0"/>
    <w:rsid w:val="00D52505"/>
    <w:rsid w:val="00D5417A"/>
    <w:rsid w:val="00D54549"/>
    <w:rsid w:val="00D55028"/>
    <w:rsid w:val="00D56145"/>
    <w:rsid w:val="00D5749C"/>
    <w:rsid w:val="00D57556"/>
    <w:rsid w:val="00D57B7E"/>
    <w:rsid w:val="00D57B8B"/>
    <w:rsid w:val="00D607CE"/>
    <w:rsid w:val="00D60DC1"/>
    <w:rsid w:val="00D611D0"/>
    <w:rsid w:val="00D61890"/>
    <w:rsid w:val="00D61D0D"/>
    <w:rsid w:val="00D62039"/>
    <w:rsid w:val="00D644F1"/>
    <w:rsid w:val="00D648BF"/>
    <w:rsid w:val="00D6538C"/>
    <w:rsid w:val="00D66600"/>
    <w:rsid w:val="00D6702A"/>
    <w:rsid w:val="00D6764A"/>
    <w:rsid w:val="00D67A9A"/>
    <w:rsid w:val="00D67B8B"/>
    <w:rsid w:val="00D7073E"/>
    <w:rsid w:val="00D70B7C"/>
    <w:rsid w:val="00D70B90"/>
    <w:rsid w:val="00D71930"/>
    <w:rsid w:val="00D733A1"/>
    <w:rsid w:val="00D757F7"/>
    <w:rsid w:val="00D77128"/>
    <w:rsid w:val="00D774B8"/>
    <w:rsid w:val="00D776D1"/>
    <w:rsid w:val="00D7770B"/>
    <w:rsid w:val="00D77BAB"/>
    <w:rsid w:val="00D77E2C"/>
    <w:rsid w:val="00D77F33"/>
    <w:rsid w:val="00D8064C"/>
    <w:rsid w:val="00D80655"/>
    <w:rsid w:val="00D806C2"/>
    <w:rsid w:val="00D808E6"/>
    <w:rsid w:val="00D80D32"/>
    <w:rsid w:val="00D8319B"/>
    <w:rsid w:val="00D84484"/>
    <w:rsid w:val="00D84D2B"/>
    <w:rsid w:val="00D85911"/>
    <w:rsid w:val="00D862B2"/>
    <w:rsid w:val="00D863A6"/>
    <w:rsid w:val="00D8761A"/>
    <w:rsid w:val="00D87840"/>
    <w:rsid w:val="00D878D1"/>
    <w:rsid w:val="00D87B84"/>
    <w:rsid w:val="00D87FDD"/>
    <w:rsid w:val="00D90607"/>
    <w:rsid w:val="00D91074"/>
    <w:rsid w:val="00D913E2"/>
    <w:rsid w:val="00D92F4F"/>
    <w:rsid w:val="00D93641"/>
    <w:rsid w:val="00D93C6C"/>
    <w:rsid w:val="00D95339"/>
    <w:rsid w:val="00D961D9"/>
    <w:rsid w:val="00D96517"/>
    <w:rsid w:val="00D965FD"/>
    <w:rsid w:val="00D96702"/>
    <w:rsid w:val="00D96F22"/>
    <w:rsid w:val="00DA05AE"/>
    <w:rsid w:val="00DA076F"/>
    <w:rsid w:val="00DA0C71"/>
    <w:rsid w:val="00DA0C9C"/>
    <w:rsid w:val="00DA194E"/>
    <w:rsid w:val="00DA1DA2"/>
    <w:rsid w:val="00DA239E"/>
    <w:rsid w:val="00DA2401"/>
    <w:rsid w:val="00DA2415"/>
    <w:rsid w:val="00DA26F1"/>
    <w:rsid w:val="00DA2F0F"/>
    <w:rsid w:val="00DA2FC0"/>
    <w:rsid w:val="00DA3E01"/>
    <w:rsid w:val="00DA512A"/>
    <w:rsid w:val="00DA59F8"/>
    <w:rsid w:val="00DA5D41"/>
    <w:rsid w:val="00DB0338"/>
    <w:rsid w:val="00DB1FCA"/>
    <w:rsid w:val="00DB3155"/>
    <w:rsid w:val="00DB332D"/>
    <w:rsid w:val="00DB3539"/>
    <w:rsid w:val="00DB37A5"/>
    <w:rsid w:val="00DB37F8"/>
    <w:rsid w:val="00DB4D01"/>
    <w:rsid w:val="00DB5266"/>
    <w:rsid w:val="00DB52E0"/>
    <w:rsid w:val="00DC1069"/>
    <w:rsid w:val="00DC10BC"/>
    <w:rsid w:val="00DC1101"/>
    <w:rsid w:val="00DC1347"/>
    <w:rsid w:val="00DC193B"/>
    <w:rsid w:val="00DC1B72"/>
    <w:rsid w:val="00DC1D71"/>
    <w:rsid w:val="00DC3A2B"/>
    <w:rsid w:val="00DC41EA"/>
    <w:rsid w:val="00DC451B"/>
    <w:rsid w:val="00DC5016"/>
    <w:rsid w:val="00DC5424"/>
    <w:rsid w:val="00DC546D"/>
    <w:rsid w:val="00DC54A8"/>
    <w:rsid w:val="00DC6029"/>
    <w:rsid w:val="00DD1C36"/>
    <w:rsid w:val="00DD255F"/>
    <w:rsid w:val="00DD3036"/>
    <w:rsid w:val="00DD3C30"/>
    <w:rsid w:val="00DD4630"/>
    <w:rsid w:val="00DD5093"/>
    <w:rsid w:val="00DD5DB8"/>
    <w:rsid w:val="00DD6465"/>
    <w:rsid w:val="00DD6905"/>
    <w:rsid w:val="00DD7752"/>
    <w:rsid w:val="00DE0BE1"/>
    <w:rsid w:val="00DE0F80"/>
    <w:rsid w:val="00DE1B4F"/>
    <w:rsid w:val="00DE2996"/>
    <w:rsid w:val="00DE3F9E"/>
    <w:rsid w:val="00DE43A9"/>
    <w:rsid w:val="00DE5008"/>
    <w:rsid w:val="00DE51AF"/>
    <w:rsid w:val="00DE56A0"/>
    <w:rsid w:val="00DE659A"/>
    <w:rsid w:val="00DE7568"/>
    <w:rsid w:val="00DF09FD"/>
    <w:rsid w:val="00DF0EB7"/>
    <w:rsid w:val="00DF187B"/>
    <w:rsid w:val="00DF1FAB"/>
    <w:rsid w:val="00DF2B09"/>
    <w:rsid w:val="00DF3EF1"/>
    <w:rsid w:val="00DF59C8"/>
    <w:rsid w:val="00DF5C36"/>
    <w:rsid w:val="00DF6500"/>
    <w:rsid w:val="00DF670B"/>
    <w:rsid w:val="00E0055B"/>
    <w:rsid w:val="00E008E8"/>
    <w:rsid w:val="00E0133B"/>
    <w:rsid w:val="00E01363"/>
    <w:rsid w:val="00E017B6"/>
    <w:rsid w:val="00E02061"/>
    <w:rsid w:val="00E03275"/>
    <w:rsid w:val="00E037FE"/>
    <w:rsid w:val="00E04194"/>
    <w:rsid w:val="00E057BF"/>
    <w:rsid w:val="00E0594C"/>
    <w:rsid w:val="00E061F9"/>
    <w:rsid w:val="00E07472"/>
    <w:rsid w:val="00E079F4"/>
    <w:rsid w:val="00E07F65"/>
    <w:rsid w:val="00E10119"/>
    <w:rsid w:val="00E10453"/>
    <w:rsid w:val="00E10703"/>
    <w:rsid w:val="00E10932"/>
    <w:rsid w:val="00E117FA"/>
    <w:rsid w:val="00E11868"/>
    <w:rsid w:val="00E1187D"/>
    <w:rsid w:val="00E1201D"/>
    <w:rsid w:val="00E1209C"/>
    <w:rsid w:val="00E12615"/>
    <w:rsid w:val="00E13438"/>
    <w:rsid w:val="00E1381A"/>
    <w:rsid w:val="00E154C2"/>
    <w:rsid w:val="00E1551E"/>
    <w:rsid w:val="00E1698A"/>
    <w:rsid w:val="00E1745C"/>
    <w:rsid w:val="00E1765A"/>
    <w:rsid w:val="00E176EC"/>
    <w:rsid w:val="00E17966"/>
    <w:rsid w:val="00E17D44"/>
    <w:rsid w:val="00E17EFC"/>
    <w:rsid w:val="00E20DA1"/>
    <w:rsid w:val="00E20E61"/>
    <w:rsid w:val="00E25AC4"/>
    <w:rsid w:val="00E264EB"/>
    <w:rsid w:val="00E26B8B"/>
    <w:rsid w:val="00E26FF0"/>
    <w:rsid w:val="00E2725B"/>
    <w:rsid w:val="00E275C0"/>
    <w:rsid w:val="00E277CE"/>
    <w:rsid w:val="00E27A17"/>
    <w:rsid w:val="00E27B09"/>
    <w:rsid w:val="00E27B79"/>
    <w:rsid w:val="00E27F03"/>
    <w:rsid w:val="00E305A3"/>
    <w:rsid w:val="00E30975"/>
    <w:rsid w:val="00E3109F"/>
    <w:rsid w:val="00E31667"/>
    <w:rsid w:val="00E31DB0"/>
    <w:rsid w:val="00E32B1F"/>
    <w:rsid w:val="00E32EEC"/>
    <w:rsid w:val="00E3306E"/>
    <w:rsid w:val="00E3326E"/>
    <w:rsid w:val="00E33EDC"/>
    <w:rsid w:val="00E345AC"/>
    <w:rsid w:val="00E345F6"/>
    <w:rsid w:val="00E35E5D"/>
    <w:rsid w:val="00E35FCA"/>
    <w:rsid w:val="00E3605D"/>
    <w:rsid w:val="00E36C34"/>
    <w:rsid w:val="00E37477"/>
    <w:rsid w:val="00E3753E"/>
    <w:rsid w:val="00E37DCA"/>
    <w:rsid w:val="00E40C9D"/>
    <w:rsid w:val="00E40EDE"/>
    <w:rsid w:val="00E40F82"/>
    <w:rsid w:val="00E411C6"/>
    <w:rsid w:val="00E42C05"/>
    <w:rsid w:val="00E4485C"/>
    <w:rsid w:val="00E45146"/>
    <w:rsid w:val="00E458E0"/>
    <w:rsid w:val="00E45CD1"/>
    <w:rsid w:val="00E45E60"/>
    <w:rsid w:val="00E464C3"/>
    <w:rsid w:val="00E46BD2"/>
    <w:rsid w:val="00E4793D"/>
    <w:rsid w:val="00E505A9"/>
    <w:rsid w:val="00E50C94"/>
    <w:rsid w:val="00E5100C"/>
    <w:rsid w:val="00E51564"/>
    <w:rsid w:val="00E522E8"/>
    <w:rsid w:val="00E5262B"/>
    <w:rsid w:val="00E528F2"/>
    <w:rsid w:val="00E52D64"/>
    <w:rsid w:val="00E53D7E"/>
    <w:rsid w:val="00E53E69"/>
    <w:rsid w:val="00E53F9E"/>
    <w:rsid w:val="00E54186"/>
    <w:rsid w:val="00E54738"/>
    <w:rsid w:val="00E5513D"/>
    <w:rsid w:val="00E555E5"/>
    <w:rsid w:val="00E564FD"/>
    <w:rsid w:val="00E564FF"/>
    <w:rsid w:val="00E56D5A"/>
    <w:rsid w:val="00E60A4D"/>
    <w:rsid w:val="00E61EB6"/>
    <w:rsid w:val="00E62189"/>
    <w:rsid w:val="00E63344"/>
    <w:rsid w:val="00E63347"/>
    <w:rsid w:val="00E63F8D"/>
    <w:rsid w:val="00E6502F"/>
    <w:rsid w:val="00E657EF"/>
    <w:rsid w:val="00E65C2C"/>
    <w:rsid w:val="00E66148"/>
    <w:rsid w:val="00E66A91"/>
    <w:rsid w:val="00E66BB2"/>
    <w:rsid w:val="00E6741C"/>
    <w:rsid w:val="00E675C3"/>
    <w:rsid w:val="00E6777A"/>
    <w:rsid w:val="00E67AA7"/>
    <w:rsid w:val="00E67D9B"/>
    <w:rsid w:val="00E70343"/>
    <w:rsid w:val="00E708B8"/>
    <w:rsid w:val="00E70A68"/>
    <w:rsid w:val="00E70B33"/>
    <w:rsid w:val="00E7308A"/>
    <w:rsid w:val="00E73179"/>
    <w:rsid w:val="00E734A1"/>
    <w:rsid w:val="00E74130"/>
    <w:rsid w:val="00E74361"/>
    <w:rsid w:val="00E74837"/>
    <w:rsid w:val="00E749C6"/>
    <w:rsid w:val="00E74F82"/>
    <w:rsid w:val="00E75026"/>
    <w:rsid w:val="00E75481"/>
    <w:rsid w:val="00E7738D"/>
    <w:rsid w:val="00E7769E"/>
    <w:rsid w:val="00E77BB6"/>
    <w:rsid w:val="00E77F38"/>
    <w:rsid w:val="00E80FDE"/>
    <w:rsid w:val="00E8104F"/>
    <w:rsid w:val="00E8336F"/>
    <w:rsid w:val="00E844CE"/>
    <w:rsid w:val="00E84508"/>
    <w:rsid w:val="00E8534A"/>
    <w:rsid w:val="00E86B40"/>
    <w:rsid w:val="00E873D5"/>
    <w:rsid w:val="00E874C0"/>
    <w:rsid w:val="00E87A92"/>
    <w:rsid w:val="00E87CA7"/>
    <w:rsid w:val="00E87DFE"/>
    <w:rsid w:val="00E9096A"/>
    <w:rsid w:val="00E90ACA"/>
    <w:rsid w:val="00E91F17"/>
    <w:rsid w:val="00E922B7"/>
    <w:rsid w:val="00E9319F"/>
    <w:rsid w:val="00E94713"/>
    <w:rsid w:val="00E95123"/>
    <w:rsid w:val="00E95414"/>
    <w:rsid w:val="00E95838"/>
    <w:rsid w:val="00E95929"/>
    <w:rsid w:val="00E95CCC"/>
    <w:rsid w:val="00E962F1"/>
    <w:rsid w:val="00E97FB2"/>
    <w:rsid w:val="00EA0377"/>
    <w:rsid w:val="00EA0553"/>
    <w:rsid w:val="00EA10CF"/>
    <w:rsid w:val="00EA1E12"/>
    <w:rsid w:val="00EA2493"/>
    <w:rsid w:val="00EA285D"/>
    <w:rsid w:val="00EA2E55"/>
    <w:rsid w:val="00EA340C"/>
    <w:rsid w:val="00EA467C"/>
    <w:rsid w:val="00EA4C08"/>
    <w:rsid w:val="00EA528C"/>
    <w:rsid w:val="00EA5B0C"/>
    <w:rsid w:val="00EA66D9"/>
    <w:rsid w:val="00EA6D5E"/>
    <w:rsid w:val="00EB1000"/>
    <w:rsid w:val="00EB10AB"/>
    <w:rsid w:val="00EB1445"/>
    <w:rsid w:val="00EB1FFE"/>
    <w:rsid w:val="00EB2319"/>
    <w:rsid w:val="00EB2601"/>
    <w:rsid w:val="00EB357C"/>
    <w:rsid w:val="00EB3F93"/>
    <w:rsid w:val="00EB5728"/>
    <w:rsid w:val="00EB660C"/>
    <w:rsid w:val="00EB6B58"/>
    <w:rsid w:val="00EB73C9"/>
    <w:rsid w:val="00EB77F3"/>
    <w:rsid w:val="00EB7815"/>
    <w:rsid w:val="00EB7F55"/>
    <w:rsid w:val="00EC0199"/>
    <w:rsid w:val="00EC02C2"/>
    <w:rsid w:val="00EC07F9"/>
    <w:rsid w:val="00EC0AFC"/>
    <w:rsid w:val="00EC1606"/>
    <w:rsid w:val="00EC290B"/>
    <w:rsid w:val="00EC316E"/>
    <w:rsid w:val="00EC349A"/>
    <w:rsid w:val="00EC4C0B"/>
    <w:rsid w:val="00EC4E21"/>
    <w:rsid w:val="00EC53FB"/>
    <w:rsid w:val="00EC5B43"/>
    <w:rsid w:val="00EC6BB0"/>
    <w:rsid w:val="00EC6C3B"/>
    <w:rsid w:val="00EC6FBB"/>
    <w:rsid w:val="00EC75D2"/>
    <w:rsid w:val="00EC767B"/>
    <w:rsid w:val="00EC7C40"/>
    <w:rsid w:val="00ED01DC"/>
    <w:rsid w:val="00ED05B6"/>
    <w:rsid w:val="00ED14F3"/>
    <w:rsid w:val="00ED166A"/>
    <w:rsid w:val="00ED17DA"/>
    <w:rsid w:val="00ED1AAE"/>
    <w:rsid w:val="00ED1D50"/>
    <w:rsid w:val="00ED2422"/>
    <w:rsid w:val="00ED26E6"/>
    <w:rsid w:val="00ED372A"/>
    <w:rsid w:val="00ED4AE3"/>
    <w:rsid w:val="00ED5008"/>
    <w:rsid w:val="00ED507B"/>
    <w:rsid w:val="00ED543F"/>
    <w:rsid w:val="00ED5C70"/>
    <w:rsid w:val="00EE0545"/>
    <w:rsid w:val="00EE0A26"/>
    <w:rsid w:val="00EE0D9B"/>
    <w:rsid w:val="00EE173D"/>
    <w:rsid w:val="00EE1AB1"/>
    <w:rsid w:val="00EE1EFC"/>
    <w:rsid w:val="00EE2EC7"/>
    <w:rsid w:val="00EE3054"/>
    <w:rsid w:val="00EE41DB"/>
    <w:rsid w:val="00EE42ED"/>
    <w:rsid w:val="00EE4716"/>
    <w:rsid w:val="00EE4FC5"/>
    <w:rsid w:val="00EE5B81"/>
    <w:rsid w:val="00EE61A4"/>
    <w:rsid w:val="00EE709A"/>
    <w:rsid w:val="00EE7B03"/>
    <w:rsid w:val="00EF1343"/>
    <w:rsid w:val="00EF2340"/>
    <w:rsid w:val="00EF2727"/>
    <w:rsid w:val="00EF42BD"/>
    <w:rsid w:val="00EF51FA"/>
    <w:rsid w:val="00EF623B"/>
    <w:rsid w:val="00F00316"/>
    <w:rsid w:val="00F01019"/>
    <w:rsid w:val="00F01320"/>
    <w:rsid w:val="00F01BD6"/>
    <w:rsid w:val="00F01DDE"/>
    <w:rsid w:val="00F02D44"/>
    <w:rsid w:val="00F036F8"/>
    <w:rsid w:val="00F03BFD"/>
    <w:rsid w:val="00F03EB5"/>
    <w:rsid w:val="00F049D3"/>
    <w:rsid w:val="00F07DCD"/>
    <w:rsid w:val="00F10D78"/>
    <w:rsid w:val="00F10E38"/>
    <w:rsid w:val="00F11FD9"/>
    <w:rsid w:val="00F12C58"/>
    <w:rsid w:val="00F131D7"/>
    <w:rsid w:val="00F14A0B"/>
    <w:rsid w:val="00F14B9B"/>
    <w:rsid w:val="00F15ED4"/>
    <w:rsid w:val="00F1608D"/>
    <w:rsid w:val="00F173FC"/>
    <w:rsid w:val="00F177B0"/>
    <w:rsid w:val="00F21111"/>
    <w:rsid w:val="00F215CC"/>
    <w:rsid w:val="00F21C18"/>
    <w:rsid w:val="00F221BA"/>
    <w:rsid w:val="00F2249E"/>
    <w:rsid w:val="00F2276E"/>
    <w:rsid w:val="00F22C88"/>
    <w:rsid w:val="00F23A97"/>
    <w:rsid w:val="00F23A9F"/>
    <w:rsid w:val="00F23B2E"/>
    <w:rsid w:val="00F23F73"/>
    <w:rsid w:val="00F2642D"/>
    <w:rsid w:val="00F27B51"/>
    <w:rsid w:val="00F30373"/>
    <w:rsid w:val="00F30535"/>
    <w:rsid w:val="00F30808"/>
    <w:rsid w:val="00F309A7"/>
    <w:rsid w:val="00F31888"/>
    <w:rsid w:val="00F321B1"/>
    <w:rsid w:val="00F3276E"/>
    <w:rsid w:val="00F3342B"/>
    <w:rsid w:val="00F334F5"/>
    <w:rsid w:val="00F33B40"/>
    <w:rsid w:val="00F33E85"/>
    <w:rsid w:val="00F34ED5"/>
    <w:rsid w:val="00F35481"/>
    <w:rsid w:val="00F35717"/>
    <w:rsid w:val="00F37257"/>
    <w:rsid w:val="00F37351"/>
    <w:rsid w:val="00F378BD"/>
    <w:rsid w:val="00F37CA3"/>
    <w:rsid w:val="00F37E5A"/>
    <w:rsid w:val="00F40291"/>
    <w:rsid w:val="00F402B2"/>
    <w:rsid w:val="00F410CD"/>
    <w:rsid w:val="00F41547"/>
    <w:rsid w:val="00F421F7"/>
    <w:rsid w:val="00F4259C"/>
    <w:rsid w:val="00F42900"/>
    <w:rsid w:val="00F42A47"/>
    <w:rsid w:val="00F43F8F"/>
    <w:rsid w:val="00F4444A"/>
    <w:rsid w:val="00F444FA"/>
    <w:rsid w:val="00F44535"/>
    <w:rsid w:val="00F44884"/>
    <w:rsid w:val="00F44893"/>
    <w:rsid w:val="00F44BCA"/>
    <w:rsid w:val="00F454D7"/>
    <w:rsid w:val="00F45EC8"/>
    <w:rsid w:val="00F46A12"/>
    <w:rsid w:val="00F46D13"/>
    <w:rsid w:val="00F47F1B"/>
    <w:rsid w:val="00F50696"/>
    <w:rsid w:val="00F50708"/>
    <w:rsid w:val="00F51831"/>
    <w:rsid w:val="00F51BEF"/>
    <w:rsid w:val="00F527C1"/>
    <w:rsid w:val="00F5354B"/>
    <w:rsid w:val="00F53860"/>
    <w:rsid w:val="00F539B2"/>
    <w:rsid w:val="00F55F27"/>
    <w:rsid w:val="00F56262"/>
    <w:rsid w:val="00F5682A"/>
    <w:rsid w:val="00F572F0"/>
    <w:rsid w:val="00F575BF"/>
    <w:rsid w:val="00F57731"/>
    <w:rsid w:val="00F60058"/>
    <w:rsid w:val="00F600F9"/>
    <w:rsid w:val="00F609C7"/>
    <w:rsid w:val="00F60BF2"/>
    <w:rsid w:val="00F6157E"/>
    <w:rsid w:val="00F615E1"/>
    <w:rsid w:val="00F616BF"/>
    <w:rsid w:val="00F62235"/>
    <w:rsid w:val="00F6228F"/>
    <w:rsid w:val="00F62882"/>
    <w:rsid w:val="00F62FFE"/>
    <w:rsid w:val="00F63535"/>
    <w:rsid w:val="00F644B5"/>
    <w:rsid w:val="00F64692"/>
    <w:rsid w:val="00F65E73"/>
    <w:rsid w:val="00F6655A"/>
    <w:rsid w:val="00F6704F"/>
    <w:rsid w:val="00F67948"/>
    <w:rsid w:val="00F67B5C"/>
    <w:rsid w:val="00F7069F"/>
    <w:rsid w:val="00F7071F"/>
    <w:rsid w:val="00F71338"/>
    <w:rsid w:val="00F716BC"/>
    <w:rsid w:val="00F71C70"/>
    <w:rsid w:val="00F7247C"/>
    <w:rsid w:val="00F73171"/>
    <w:rsid w:val="00F73189"/>
    <w:rsid w:val="00F7350A"/>
    <w:rsid w:val="00F73A9F"/>
    <w:rsid w:val="00F73EF3"/>
    <w:rsid w:val="00F74A3D"/>
    <w:rsid w:val="00F74A64"/>
    <w:rsid w:val="00F757FF"/>
    <w:rsid w:val="00F758CE"/>
    <w:rsid w:val="00F75DE6"/>
    <w:rsid w:val="00F75DF2"/>
    <w:rsid w:val="00F770E8"/>
    <w:rsid w:val="00F777BD"/>
    <w:rsid w:val="00F779B6"/>
    <w:rsid w:val="00F80A23"/>
    <w:rsid w:val="00F810E4"/>
    <w:rsid w:val="00F81D14"/>
    <w:rsid w:val="00F83CE8"/>
    <w:rsid w:val="00F83EF2"/>
    <w:rsid w:val="00F84873"/>
    <w:rsid w:val="00F84C87"/>
    <w:rsid w:val="00F84DA6"/>
    <w:rsid w:val="00F85268"/>
    <w:rsid w:val="00F86645"/>
    <w:rsid w:val="00F86B0E"/>
    <w:rsid w:val="00F903EF"/>
    <w:rsid w:val="00F90524"/>
    <w:rsid w:val="00F911F8"/>
    <w:rsid w:val="00F913E3"/>
    <w:rsid w:val="00F91A1B"/>
    <w:rsid w:val="00F92E26"/>
    <w:rsid w:val="00F93273"/>
    <w:rsid w:val="00F93866"/>
    <w:rsid w:val="00F939AB"/>
    <w:rsid w:val="00F93B0A"/>
    <w:rsid w:val="00F94113"/>
    <w:rsid w:val="00F948EB"/>
    <w:rsid w:val="00F94A80"/>
    <w:rsid w:val="00F94EAF"/>
    <w:rsid w:val="00F95AF2"/>
    <w:rsid w:val="00F96748"/>
    <w:rsid w:val="00F96AD5"/>
    <w:rsid w:val="00F96BBC"/>
    <w:rsid w:val="00F96DAE"/>
    <w:rsid w:val="00F97A73"/>
    <w:rsid w:val="00FA064A"/>
    <w:rsid w:val="00FA06DC"/>
    <w:rsid w:val="00FA096D"/>
    <w:rsid w:val="00FA162A"/>
    <w:rsid w:val="00FA1CFB"/>
    <w:rsid w:val="00FA34DA"/>
    <w:rsid w:val="00FA5924"/>
    <w:rsid w:val="00FA77AE"/>
    <w:rsid w:val="00FA7F67"/>
    <w:rsid w:val="00FB14CF"/>
    <w:rsid w:val="00FB208B"/>
    <w:rsid w:val="00FB40CB"/>
    <w:rsid w:val="00FB41D2"/>
    <w:rsid w:val="00FB4F73"/>
    <w:rsid w:val="00FB4FD0"/>
    <w:rsid w:val="00FB5950"/>
    <w:rsid w:val="00FB6595"/>
    <w:rsid w:val="00FB69D6"/>
    <w:rsid w:val="00FB7580"/>
    <w:rsid w:val="00FC00FD"/>
    <w:rsid w:val="00FC0E29"/>
    <w:rsid w:val="00FC10A0"/>
    <w:rsid w:val="00FC1160"/>
    <w:rsid w:val="00FC15C0"/>
    <w:rsid w:val="00FC1715"/>
    <w:rsid w:val="00FC17AA"/>
    <w:rsid w:val="00FC1A72"/>
    <w:rsid w:val="00FC3D0C"/>
    <w:rsid w:val="00FC41B2"/>
    <w:rsid w:val="00FC4E85"/>
    <w:rsid w:val="00FC4EB6"/>
    <w:rsid w:val="00FC604D"/>
    <w:rsid w:val="00FC614E"/>
    <w:rsid w:val="00FC6457"/>
    <w:rsid w:val="00FC64DE"/>
    <w:rsid w:val="00FD06C4"/>
    <w:rsid w:val="00FD161E"/>
    <w:rsid w:val="00FD2C25"/>
    <w:rsid w:val="00FD31F7"/>
    <w:rsid w:val="00FD3322"/>
    <w:rsid w:val="00FD3548"/>
    <w:rsid w:val="00FD43BE"/>
    <w:rsid w:val="00FD4933"/>
    <w:rsid w:val="00FD4A7E"/>
    <w:rsid w:val="00FD4E7E"/>
    <w:rsid w:val="00FD54BD"/>
    <w:rsid w:val="00FD5D8A"/>
    <w:rsid w:val="00FD7597"/>
    <w:rsid w:val="00FD7BF3"/>
    <w:rsid w:val="00FD7DF5"/>
    <w:rsid w:val="00FE12D2"/>
    <w:rsid w:val="00FE14DE"/>
    <w:rsid w:val="00FE1ECE"/>
    <w:rsid w:val="00FE34E8"/>
    <w:rsid w:val="00FE383B"/>
    <w:rsid w:val="00FE46EE"/>
    <w:rsid w:val="00FE625B"/>
    <w:rsid w:val="00FE7254"/>
    <w:rsid w:val="00FE7C77"/>
    <w:rsid w:val="00FF048B"/>
    <w:rsid w:val="00FF0521"/>
    <w:rsid w:val="00FF063F"/>
    <w:rsid w:val="00FF096F"/>
    <w:rsid w:val="00FF10BE"/>
    <w:rsid w:val="00FF1AA8"/>
    <w:rsid w:val="00FF2030"/>
    <w:rsid w:val="00FF2501"/>
    <w:rsid w:val="00FF2ED4"/>
    <w:rsid w:val="00FF3797"/>
    <w:rsid w:val="00FF406D"/>
    <w:rsid w:val="00FF444A"/>
    <w:rsid w:val="00FF469B"/>
    <w:rsid w:val="00FF51B7"/>
    <w:rsid w:val="00FF5492"/>
    <w:rsid w:val="00FF592C"/>
    <w:rsid w:val="00FF6DCE"/>
    <w:rsid w:val="00FF6E42"/>
    <w:rsid w:val="00FF7041"/>
    <w:rsid w:val="00FF751E"/>
    <w:rsid w:val="00FF75BD"/>
    <w:rsid w:val="00FF76AC"/>
    <w:rsid w:val="00FF797B"/>
    <w:rsid w:val="00FF7F07"/>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BB9AAB"/>
  <w15:docId w15:val="{17C3E4EF-1336-4ADB-A5DC-DED34344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67"/>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A200D4"/>
    <w:rPr>
      <w:rFonts w:eastAsia="Times New Roman"/>
      <w:sz w:val="24"/>
      <w:szCs w:val="24"/>
      <w:lang w:val="en-CA"/>
    </w:rPr>
  </w:style>
  <w:style w:type="character" w:customStyle="1" w:styleId="TitleChar">
    <w:name w:val="Title Char"/>
    <w:basedOn w:val="DefaultParagraphFont"/>
    <w:link w:val="Title"/>
    <w:uiPriority w:val="10"/>
    <w:rsid w:val="00864C9D"/>
    <w:rPr>
      <w:rFonts w:eastAsia="Times New Roman"/>
      <w:i/>
      <w:iCs/>
      <w:sz w:val="24"/>
      <w:szCs w:val="24"/>
      <w:lang w:val="en-CA"/>
    </w:rPr>
  </w:style>
  <w:style w:type="table" w:customStyle="1" w:styleId="GridTable2-Accent11">
    <w:name w:val="Grid Table 2 - Accent 1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alloonTextChar">
    <w:name w:val="Balloon Text Char"/>
    <w:basedOn w:val="DefaultParagraphFont"/>
    <w:link w:val="BalloonText"/>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Normal"/>
    <w:uiPriority w:val="50"/>
    <w:rsid w:val="00864C9D"/>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43"/>
    <w:rsid w:val="00864C9D"/>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864C9D"/>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64C9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4C9D"/>
    <w:pPr>
      <w:spacing w:before="100" w:beforeAutospacing="1" w:after="100" w:afterAutospacing="1"/>
    </w:pPr>
    <w:rPr>
      <w:lang w:val="en-US" w:bidi="he-IL"/>
    </w:rPr>
  </w:style>
  <w:style w:type="paragraph" w:customStyle="1" w:styleId="xl69">
    <w:name w:val="xl69"/>
    <w:basedOn w:val="Normal"/>
    <w:rsid w:val="00864C9D"/>
    <w:pPr>
      <w:shd w:val="clear" w:color="000000" w:fill="FFFFFF"/>
      <w:spacing w:before="100" w:beforeAutospacing="1" w:after="100" w:afterAutospacing="1"/>
    </w:pPr>
    <w:rPr>
      <w:sz w:val="20"/>
      <w:szCs w:val="20"/>
      <w:lang w:val="en-US" w:bidi="he-IL"/>
    </w:rPr>
  </w:style>
  <w:style w:type="paragraph" w:customStyle="1" w:styleId="xl70">
    <w:name w:val="xl70"/>
    <w:basedOn w:val="Normal"/>
    <w:rsid w:val="00864C9D"/>
    <w:pPr>
      <w:shd w:val="clear" w:color="000000" w:fill="FFFFFF"/>
      <w:spacing w:before="100" w:beforeAutospacing="1" w:after="100" w:afterAutospacing="1"/>
    </w:pPr>
    <w:rPr>
      <w:sz w:val="20"/>
      <w:szCs w:val="20"/>
      <w:lang w:val="en-US" w:bidi="he-IL"/>
    </w:rPr>
  </w:style>
  <w:style w:type="paragraph" w:customStyle="1" w:styleId="xl71">
    <w:name w:val="xl71"/>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72">
    <w:name w:val="xl72"/>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3">
    <w:name w:val="xl73"/>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4">
    <w:name w:val="xl74"/>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5">
    <w:name w:val="xl75"/>
    <w:basedOn w:val="Normal"/>
    <w:rsid w:val="00864C9D"/>
    <w:pPr>
      <w:pBdr>
        <w:top w:val="single" w:sz="4" w:space="0" w:color="auto"/>
        <w:bottom w:val="double" w:sz="6" w:space="0" w:color="auto"/>
      </w:pBdr>
      <w:shd w:val="clear" w:color="000000" w:fill="FFFFFF"/>
      <w:spacing w:before="100" w:beforeAutospacing="1" w:after="100" w:afterAutospacing="1"/>
    </w:pPr>
    <w:rPr>
      <w:sz w:val="20"/>
      <w:szCs w:val="20"/>
      <w:lang w:val="en-US" w:bidi="he-IL"/>
    </w:rPr>
  </w:style>
  <w:style w:type="paragraph" w:customStyle="1" w:styleId="xl76">
    <w:name w:val="xl76"/>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7">
    <w:name w:val="xl77"/>
    <w:basedOn w:val="Normal"/>
    <w:rsid w:val="00864C9D"/>
    <w:pPr>
      <w:shd w:val="clear" w:color="000000" w:fill="FFFFFF"/>
      <w:spacing w:before="100" w:beforeAutospacing="1" w:after="100" w:afterAutospacing="1"/>
      <w:textAlignment w:val="top"/>
    </w:pPr>
    <w:rPr>
      <w:sz w:val="20"/>
      <w:szCs w:val="20"/>
      <w:lang w:val="en-US" w:bidi="he-IL"/>
    </w:rPr>
  </w:style>
  <w:style w:type="paragraph" w:customStyle="1" w:styleId="xl78">
    <w:name w:val="xl78"/>
    <w:basedOn w:val="Normal"/>
    <w:rsid w:val="00864C9D"/>
    <w:pPr>
      <w:shd w:val="clear" w:color="000000" w:fill="FFFFFF"/>
      <w:spacing w:before="100" w:beforeAutospacing="1" w:after="100" w:afterAutospacing="1"/>
    </w:pPr>
    <w:rPr>
      <w:sz w:val="20"/>
      <w:szCs w:val="20"/>
      <w:lang w:val="en-US" w:bidi="he-IL"/>
    </w:rPr>
  </w:style>
  <w:style w:type="paragraph" w:customStyle="1" w:styleId="xl79">
    <w:name w:val="xl79"/>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0">
    <w:name w:val="xl80"/>
    <w:basedOn w:val="Normal"/>
    <w:rsid w:val="00864C9D"/>
    <w:pPr>
      <w:pBdr>
        <w:bottom w:val="double" w:sz="6" w:space="0" w:color="auto"/>
      </w:pBdr>
      <w:shd w:val="clear" w:color="000000" w:fill="FFFFFF"/>
      <w:spacing w:before="100" w:beforeAutospacing="1" w:after="100" w:afterAutospacing="1"/>
      <w:textAlignment w:val="top"/>
    </w:pPr>
    <w:rPr>
      <w:sz w:val="20"/>
      <w:szCs w:val="20"/>
      <w:lang w:val="en-US" w:bidi="he-IL"/>
    </w:rPr>
  </w:style>
  <w:style w:type="paragraph" w:customStyle="1" w:styleId="xl81">
    <w:name w:val="xl81"/>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2">
    <w:name w:val="xl82"/>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3">
    <w:name w:val="xl83"/>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4">
    <w:name w:val="xl84"/>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5">
    <w:name w:val="xl85"/>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6">
    <w:name w:val="xl86"/>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7">
    <w:name w:val="xl87"/>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8">
    <w:name w:val="xl88"/>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9">
    <w:name w:val="xl89"/>
    <w:basedOn w:val="Normal"/>
    <w:rsid w:val="00864C9D"/>
    <w:pPr>
      <w:shd w:val="clear" w:color="000000" w:fill="FFFFFF"/>
      <w:spacing w:before="100" w:beforeAutospacing="1" w:after="100" w:afterAutospacing="1"/>
    </w:pPr>
    <w:rPr>
      <w:lang w:val="en-US" w:bidi="he-IL"/>
    </w:rPr>
  </w:style>
  <w:style w:type="paragraph" w:customStyle="1" w:styleId="xl90">
    <w:name w:val="xl90"/>
    <w:basedOn w:val="Normal"/>
    <w:rsid w:val="00864C9D"/>
    <w:pPr>
      <w:shd w:val="clear" w:color="000000" w:fill="FFFFFF"/>
      <w:spacing w:before="100" w:beforeAutospacing="1" w:after="100" w:afterAutospacing="1"/>
    </w:pPr>
    <w:rPr>
      <w:sz w:val="20"/>
      <w:szCs w:val="20"/>
      <w:lang w:val="en-US" w:bidi="he-IL"/>
    </w:rPr>
  </w:style>
  <w:style w:type="paragraph" w:customStyle="1" w:styleId="xl91">
    <w:name w:val="xl91"/>
    <w:basedOn w:val="Normal"/>
    <w:rsid w:val="00864C9D"/>
    <w:pPr>
      <w:shd w:val="clear" w:color="000000" w:fill="FFFFFF"/>
      <w:spacing w:before="100" w:beforeAutospacing="1" w:after="100" w:afterAutospacing="1"/>
    </w:pPr>
    <w:rPr>
      <w:lang w:val="en-US" w:bidi="he-IL"/>
    </w:rPr>
  </w:style>
  <w:style w:type="paragraph" w:customStyle="1" w:styleId="xl92">
    <w:name w:val="xl92"/>
    <w:basedOn w:val="Normal"/>
    <w:rsid w:val="00864C9D"/>
    <w:pPr>
      <w:shd w:val="clear" w:color="000000" w:fill="FFFFFF"/>
      <w:spacing w:before="100" w:beforeAutospacing="1" w:after="100" w:afterAutospacing="1"/>
    </w:pPr>
    <w:rPr>
      <w:lang w:val="en-US" w:bidi="he-IL"/>
    </w:rPr>
  </w:style>
  <w:style w:type="paragraph" w:customStyle="1" w:styleId="xl93">
    <w:name w:val="xl93"/>
    <w:basedOn w:val="Normal"/>
    <w:rsid w:val="00864C9D"/>
    <w:pPr>
      <w:shd w:val="clear" w:color="000000" w:fill="FFFFFF"/>
      <w:spacing w:before="100" w:beforeAutospacing="1" w:after="100" w:afterAutospacing="1"/>
    </w:pPr>
    <w:rPr>
      <w:lang w:val="en-US" w:bidi="he-IL"/>
    </w:rPr>
  </w:style>
  <w:style w:type="paragraph" w:customStyle="1" w:styleId="xl94">
    <w:name w:val="xl94"/>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95">
    <w:name w:val="xl95"/>
    <w:basedOn w:val="Normal"/>
    <w:rsid w:val="00864C9D"/>
    <w:pPr>
      <w:shd w:val="clear" w:color="000000" w:fill="FFFFFF"/>
      <w:spacing w:before="100" w:beforeAutospacing="1" w:after="100" w:afterAutospacing="1"/>
    </w:pPr>
    <w:rPr>
      <w:lang w:val="en-US" w:bidi="he-IL"/>
    </w:rPr>
  </w:style>
  <w:style w:type="paragraph" w:customStyle="1" w:styleId="xl96">
    <w:name w:val="xl96"/>
    <w:basedOn w:val="Normal"/>
    <w:rsid w:val="00864C9D"/>
    <w:pPr>
      <w:shd w:val="clear" w:color="000000" w:fill="FFFFFF"/>
      <w:spacing w:before="100" w:beforeAutospacing="1" w:after="100" w:afterAutospacing="1"/>
    </w:pPr>
    <w:rPr>
      <w:sz w:val="20"/>
      <w:szCs w:val="20"/>
      <w:lang w:val="en-US" w:bidi="he-IL"/>
    </w:rPr>
  </w:style>
  <w:style w:type="paragraph" w:customStyle="1" w:styleId="xl97">
    <w:name w:val="xl97"/>
    <w:basedOn w:val="Normal"/>
    <w:rsid w:val="00864C9D"/>
    <w:pPr>
      <w:shd w:val="clear" w:color="000000" w:fill="FFFFFF"/>
      <w:spacing w:before="100" w:beforeAutospacing="1" w:after="100" w:afterAutospacing="1"/>
    </w:pPr>
    <w:rPr>
      <w:lang w:val="en-US" w:bidi="he-IL"/>
    </w:rPr>
  </w:style>
  <w:style w:type="paragraph" w:customStyle="1" w:styleId="xl98">
    <w:name w:val="xl98"/>
    <w:basedOn w:val="Normal"/>
    <w:rsid w:val="00864C9D"/>
    <w:pPr>
      <w:shd w:val="clear" w:color="000000" w:fill="FFFFFF"/>
      <w:spacing w:before="100" w:beforeAutospacing="1" w:after="100" w:afterAutospacing="1"/>
    </w:pPr>
    <w:rPr>
      <w:lang w:val="en-US" w:bidi="he-IL"/>
    </w:rPr>
  </w:style>
  <w:style w:type="paragraph" w:customStyle="1" w:styleId="xl99">
    <w:name w:val="xl99"/>
    <w:basedOn w:val="Normal"/>
    <w:rsid w:val="00864C9D"/>
    <w:pPr>
      <w:shd w:val="clear" w:color="000000" w:fill="FFFFFF"/>
      <w:spacing w:before="100" w:beforeAutospacing="1" w:after="100" w:afterAutospacing="1"/>
    </w:pPr>
    <w:rPr>
      <w:lang w:val="en-US" w:bidi="he-IL"/>
    </w:rPr>
  </w:style>
  <w:style w:type="paragraph" w:customStyle="1" w:styleId="xl100">
    <w:name w:val="xl100"/>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101">
    <w:name w:val="xl101"/>
    <w:basedOn w:val="Normal"/>
    <w:rsid w:val="00864C9D"/>
    <w:pPr>
      <w:shd w:val="clear" w:color="000000" w:fill="FFFFFF"/>
      <w:spacing w:before="100" w:beforeAutospacing="1" w:after="100" w:afterAutospacing="1"/>
    </w:pPr>
    <w:rPr>
      <w:lang w:val="en-US" w:bidi="he-IL"/>
    </w:rPr>
  </w:style>
  <w:style w:type="paragraph" w:customStyle="1" w:styleId="xl102">
    <w:name w:val="xl102"/>
    <w:basedOn w:val="Normal"/>
    <w:rsid w:val="00864C9D"/>
    <w:pPr>
      <w:shd w:val="clear" w:color="000000" w:fill="FFFFFF"/>
      <w:spacing w:before="100" w:beforeAutospacing="1" w:after="100" w:afterAutospacing="1"/>
    </w:pPr>
    <w:rPr>
      <w:b/>
      <w:bCs/>
      <w:sz w:val="20"/>
      <w:szCs w:val="20"/>
      <w:lang w:val="en-US" w:bidi="he-IL"/>
    </w:rPr>
  </w:style>
  <w:style w:type="paragraph" w:customStyle="1" w:styleId="xl103">
    <w:name w:val="xl103"/>
    <w:basedOn w:val="Normal"/>
    <w:rsid w:val="00864C9D"/>
    <w:pPr>
      <w:shd w:val="clear" w:color="000000" w:fill="FFFFFF"/>
      <w:spacing w:before="100" w:beforeAutospacing="1" w:after="100" w:afterAutospacing="1"/>
    </w:pPr>
    <w:rPr>
      <w:lang w:val="en-US" w:bidi="he-IL"/>
    </w:rPr>
  </w:style>
  <w:style w:type="character" w:customStyle="1" w:styleId="CommentSubjectChar">
    <w:name w:val="Comment Subject Char"/>
    <w:basedOn w:val="CommentTextChar"/>
    <w:link w:val="CommentSubject"/>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64C9D"/>
    <w:pPr>
      <w:spacing w:after="160" w:line="240" w:lineRule="exact"/>
      <w:jc w:val="both"/>
    </w:pPr>
    <w:rPr>
      <w:rFonts w:eastAsia="MS Mincho"/>
      <w:sz w:val="18"/>
      <w:szCs w:val="20"/>
      <w:u w:val="single"/>
      <w:lang w:val="en-US"/>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lang w:bidi="he-IL"/>
    </w:rPr>
  </w:style>
  <w:style w:type="character" w:customStyle="1" w:styleId="A1">
    <w:name w:val="A1"/>
    <w:uiPriority w:val="99"/>
    <w:rsid w:val="00864C9D"/>
    <w:rPr>
      <w:rFonts w:cs="HelveticaNeueLT Pro 55 Roman"/>
      <w:color w:val="211D1E"/>
      <w:sz w:val="14"/>
      <w:szCs w:val="14"/>
    </w:rPr>
  </w:style>
  <w:style w:type="paragraph" w:styleId="Bibliography">
    <w:name w:val="Bibliography"/>
    <w:basedOn w:val="Normal"/>
    <w:next w:val="Normal"/>
    <w:uiPriority w:val="37"/>
    <w:unhideWhenUsed/>
    <w:rsid w:val="00864C9D"/>
    <w:rPr>
      <w:lang w:val="en-US" w:bidi="he-IL"/>
    </w:rPr>
  </w:style>
  <w:style w:type="character" w:customStyle="1" w:styleId="Heading4Char">
    <w:name w:val="Heading 4 Char"/>
    <w:basedOn w:val="DefaultParagraphFont"/>
    <w:link w:val="Heading4"/>
    <w:uiPriority w:val="9"/>
    <w:rsid w:val="00864C9D"/>
    <w:rPr>
      <w:rFonts w:ascii="Times New Roman Bold" w:eastAsia="Arial Unicode MS" w:hAnsi="Times New Roman Bold" w:cs="Arial"/>
      <w:b/>
      <w:bCs/>
      <w:i/>
      <w:iCs/>
      <w:sz w:val="24"/>
      <w:szCs w:val="24"/>
      <w:lang w:val="en-CA"/>
    </w:rPr>
  </w:style>
  <w:style w:type="character" w:customStyle="1" w:styleId="UnresolvedMention2">
    <w:name w:val="Unresolved Mention2"/>
    <w:basedOn w:val="DefaultParagraphFont"/>
    <w:uiPriority w:val="99"/>
    <w:semiHidden/>
    <w:unhideWhenUsed/>
    <w:rsid w:val="00D15826"/>
    <w:rPr>
      <w:color w:val="605E5C"/>
      <w:shd w:val="clear" w:color="auto" w:fill="E1DFDD"/>
    </w:rPr>
  </w:style>
  <w:style w:type="character" w:customStyle="1" w:styleId="UnresolvedMention3">
    <w:name w:val="Unresolved Mention3"/>
    <w:basedOn w:val="DefaultParagraphFont"/>
    <w:uiPriority w:val="99"/>
    <w:semiHidden/>
    <w:unhideWhenUsed/>
    <w:rsid w:val="002F76AA"/>
    <w:rPr>
      <w:color w:val="605E5C"/>
      <w:shd w:val="clear" w:color="auto" w:fill="E1DFDD"/>
    </w:rPr>
  </w:style>
  <w:style w:type="character" w:styleId="UnresolvedMention">
    <w:name w:val="Unresolved Mention"/>
    <w:basedOn w:val="DefaultParagraphFont"/>
    <w:uiPriority w:val="99"/>
    <w:semiHidden/>
    <w:unhideWhenUsed/>
    <w:rsid w:val="00D8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17981088">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83286573">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59299045">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0286895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03-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22-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pwc.ch/wwf-report" TargetMode="External"/><Relationship Id="rId13" Type="http://schemas.openxmlformats.org/officeDocument/2006/relationships/hyperlink" Target="https://www.ifc.org/wps/wcm/connect/topics_ext_content/ifc_external_corporate_site/sustainability-at-ifc/policies-standards/performance-standards/ps6" TargetMode="External"/><Relationship Id="rId18" Type="http://schemas.openxmlformats.org/officeDocument/2006/relationships/hyperlink" Target="https://www.greenclimate.fund/" TargetMode="External"/><Relationship Id="rId3" Type="http://schemas.openxmlformats.org/officeDocument/2006/relationships/hyperlink" Target="https://www.biodiversityfinance.net/finance-solutions" TargetMode="External"/><Relationship Id="rId7" Type="http://schemas.openxmlformats.org/officeDocument/2006/relationships/hyperlink" Target="https://www.weforum.org/global-risks/reports" TargetMode="External"/><Relationship Id="rId12" Type="http://schemas.openxmlformats.org/officeDocument/2006/relationships/hyperlink" Target="https://projects.worldbank.org/en/projects-operations/environmental-and-social-framework/brief/environmental-and-social-standards" TargetMode="External"/><Relationship Id="rId17" Type="http://schemas.openxmlformats.org/officeDocument/2006/relationships/hyperlink" Target="https://www.cbd.int/doc/decisions/cop-14/cop-14-dec-23-en.pdf" TargetMode="External"/><Relationship Id="rId2" Type="http://schemas.openxmlformats.org/officeDocument/2006/relationships/hyperlink" Target="https://ipbes.net/global-assessment" TargetMode="External"/><Relationship Id="rId16" Type="http://schemas.openxmlformats.org/officeDocument/2006/relationships/hyperlink" Target="https://www.biodiversityfinance.net/sites/default/files/content/publications/BIOFIN%20Workbook%202018_0.pdf" TargetMode="External"/><Relationship Id="rId1" Type="http://schemas.openxmlformats.org/officeDocument/2006/relationships/hyperlink" Target="https://undocs.org/A/RES/70/1" TargetMode="External"/><Relationship Id="rId6" Type="http://schemas.openxmlformats.org/officeDocument/2006/relationships/hyperlink" Target="https://www.finance-watch.org/wp-content/uploads/2019/05/Making-Finance-Serve-Nature_Finance-Watch-Report_24May2019_web.pdf" TargetMode="External"/><Relationship Id="rId11" Type="http://schemas.openxmlformats.org/officeDocument/2006/relationships/hyperlink" Target="https://www.finance-watch.org/wp-content/uploads/2019/05/Making-Finance-Serve-Nature_Finance-Watch-Report_24May2019_web.pdf" TargetMode="External"/><Relationship Id="rId5" Type="http://schemas.openxmlformats.org/officeDocument/2006/relationships/hyperlink" Target="https://bit.ly/39A6G0i" TargetMode="External"/><Relationship Id="rId15" Type="http://schemas.openxmlformats.org/officeDocument/2006/relationships/hyperlink" Target="http://cpicfinance.com/blueprints/" TargetMode="External"/><Relationship Id="rId10" Type="http://schemas.openxmlformats.org/officeDocument/2006/relationships/hyperlink" Target="https://www.oecd.org/environment/resources/biodiversity/report-a-comprehensive-overview-of-global-biodiversity-finance.pdf" TargetMode="External"/><Relationship Id="rId19" Type="http://schemas.openxmlformats.org/officeDocument/2006/relationships/hyperlink" Target="https://www.cbd.int/doc/decisions/cop-14/cop-14-dec-29-en.pdf" TargetMode="External"/><Relationship Id="rId4" Type="http://schemas.openxmlformats.org/officeDocument/2006/relationships/hyperlink" Target="https://www.cbd.int/doc/decisions/cop-10/cop-10-dec-03-en.pdf" TargetMode="External"/><Relationship Id="rId9" Type="http://schemas.openxmlformats.org/officeDocument/2006/relationships/hyperlink" Target="https://bit.ly/39A6G0i" TargetMode="External"/><Relationship Id="rId14" Type="http://schemas.openxmlformats.org/officeDocument/2006/relationships/hyperlink" Target="https://naturalcapitalcoalition.org/projects/biodivers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2817F8C7833946B89C41C4F1353FDD76"/>
        <w:category>
          <w:name w:val="General"/>
          <w:gallery w:val="placeholder"/>
        </w:category>
        <w:types>
          <w:type w:val="bbPlcHdr"/>
        </w:types>
        <w:behaviors>
          <w:behavior w:val="content"/>
        </w:behaviors>
        <w:guid w:val="{D679FEC2-794E-4819-84D3-7CE81239616E}"/>
      </w:docPartPr>
      <w:docPartBody>
        <w:p w:rsidR="00AA3F20" w:rsidRDefault="00D87429" w:rsidP="00D87429">
          <w:pPr>
            <w:pStyle w:val="2817F8C7833946B89C41C4F1353FDD76"/>
          </w:pPr>
          <w:r w:rsidRPr="007E02EB">
            <w:rPr>
              <w:rStyle w:val="PlaceholderText"/>
            </w:rPr>
            <w:t>[Status]</w:t>
          </w:r>
        </w:p>
      </w:docPartBody>
    </w:docPart>
    <w:docPart>
      <w:docPartPr>
        <w:name w:val="B8B4DC5FC06048B98F0AB59CF4DDE260"/>
        <w:category>
          <w:name w:val="General"/>
          <w:gallery w:val="placeholder"/>
        </w:category>
        <w:types>
          <w:type w:val="bbPlcHdr"/>
        </w:types>
        <w:behaviors>
          <w:behavior w:val="content"/>
        </w:behaviors>
        <w:guid w:val="{6DDCB93E-3362-4B78-9E1E-091D4AB8C838}"/>
      </w:docPartPr>
      <w:docPartBody>
        <w:p w:rsidR="00AA3F20" w:rsidRDefault="00D87429" w:rsidP="00D87429">
          <w:pPr>
            <w:pStyle w:val="B8B4DC5FC06048B98F0AB59CF4DDE260"/>
          </w:pPr>
          <w:r w:rsidRPr="007E02EB">
            <w:rPr>
              <w:rStyle w:val="PlaceholderText"/>
            </w:rPr>
            <w:t>[Publish Date]</w:t>
          </w:r>
        </w:p>
      </w:docPartBody>
    </w:docPart>
    <w:docPart>
      <w:docPartPr>
        <w:name w:val="25677F2E74A84738BE8D1B89523AA004"/>
        <w:category>
          <w:name w:val="General"/>
          <w:gallery w:val="placeholder"/>
        </w:category>
        <w:types>
          <w:type w:val="bbPlcHdr"/>
        </w:types>
        <w:behaviors>
          <w:behavior w:val="content"/>
        </w:behaviors>
        <w:guid w:val="{258D901F-8568-40DF-8D47-FACF5CE141F5}"/>
      </w:docPartPr>
      <w:docPartBody>
        <w:p w:rsidR="00AA3F20" w:rsidRDefault="00D87429" w:rsidP="00D87429">
          <w:pPr>
            <w:pStyle w:val="25677F2E74A84738BE8D1B89523AA004"/>
          </w:pPr>
          <w:r w:rsidRPr="00C725B6">
            <w:rPr>
              <w:rStyle w:val="PlaceholderText"/>
            </w:rPr>
            <w:t>[Subject]</w:t>
          </w:r>
        </w:p>
      </w:docPartBody>
    </w:docPart>
    <w:docPart>
      <w:docPartPr>
        <w:name w:val="DC359E173DA34D28B55ADB18669B1879"/>
        <w:category>
          <w:name w:val="General"/>
          <w:gallery w:val="placeholder"/>
        </w:category>
        <w:types>
          <w:type w:val="bbPlcHdr"/>
        </w:types>
        <w:behaviors>
          <w:behavior w:val="content"/>
        </w:behaviors>
        <w:guid w:val="{35634B81-B613-48BF-BBBB-E0FD8609F870}"/>
      </w:docPartPr>
      <w:docPartBody>
        <w:p w:rsidR="00AA3F20" w:rsidRDefault="00D87429" w:rsidP="00D87429">
          <w:pPr>
            <w:pStyle w:val="DC359E173DA34D28B55ADB18669B1879"/>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NeueLT Pro 55 Roman">
    <w:altName w:val="Arial"/>
    <w:charset w:val="00"/>
    <w:family w:val="roman"/>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03338"/>
    <w:rsid w:val="00092894"/>
    <w:rsid w:val="000A128E"/>
    <w:rsid w:val="000A4067"/>
    <w:rsid w:val="0013274C"/>
    <w:rsid w:val="00141723"/>
    <w:rsid w:val="00142AA6"/>
    <w:rsid w:val="0014573E"/>
    <w:rsid w:val="0018263C"/>
    <w:rsid w:val="00185D9E"/>
    <w:rsid w:val="001E3D65"/>
    <w:rsid w:val="001E7CF3"/>
    <w:rsid w:val="00211EA6"/>
    <w:rsid w:val="00214C3E"/>
    <w:rsid w:val="00223BAC"/>
    <w:rsid w:val="00275578"/>
    <w:rsid w:val="0028257F"/>
    <w:rsid w:val="002C1A63"/>
    <w:rsid w:val="002C496A"/>
    <w:rsid w:val="003572F0"/>
    <w:rsid w:val="00384351"/>
    <w:rsid w:val="003A23C0"/>
    <w:rsid w:val="00433B55"/>
    <w:rsid w:val="00434A69"/>
    <w:rsid w:val="00435930"/>
    <w:rsid w:val="004710DD"/>
    <w:rsid w:val="004A3EF8"/>
    <w:rsid w:val="004C6A2E"/>
    <w:rsid w:val="004D17F4"/>
    <w:rsid w:val="00547075"/>
    <w:rsid w:val="00595897"/>
    <w:rsid w:val="00596795"/>
    <w:rsid w:val="005C0782"/>
    <w:rsid w:val="006251B4"/>
    <w:rsid w:val="006911C7"/>
    <w:rsid w:val="006A2B4E"/>
    <w:rsid w:val="006F2A07"/>
    <w:rsid w:val="00722A9B"/>
    <w:rsid w:val="007A2C75"/>
    <w:rsid w:val="007D2595"/>
    <w:rsid w:val="007F7EA0"/>
    <w:rsid w:val="008537C7"/>
    <w:rsid w:val="008630B5"/>
    <w:rsid w:val="0089270E"/>
    <w:rsid w:val="008B582F"/>
    <w:rsid w:val="008D191C"/>
    <w:rsid w:val="0091785E"/>
    <w:rsid w:val="00922EA3"/>
    <w:rsid w:val="009620BA"/>
    <w:rsid w:val="009D3B57"/>
    <w:rsid w:val="009E13FA"/>
    <w:rsid w:val="00A50D66"/>
    <w:rsid w:val="00A52E7A"/>
    <w:rsid w:val="00A95B5C"/>
    <w:rsid w:val="00AA3F20"/>
    <w:rsid w:val="00AC0FFE"/>
    <w:rsid w:val="00AC3CFB"/>
    <w:rsid w:val="00AC43F2"/>
    <w:rsid w:val="00AF2D09"/>
    <w:rsid w:val="00B46D7B"/>
    <w:rsid w:val="00B503B2"/>
    <w:rsid w:val="00B82298"/>
    <w:rsid w:val="00C17225"/>
    <w:rsid w:val="00C4394C"/>
    <w:rsid w:val="00CB09E9"/>
    <w:rsid w:val="00CE2549"/>
    <w:rsid w:val="00CE7F0E"/>
    <w:rsid w:val="00D3572E"/>
    <w:rsid w:val="00D87429"/>
    <w:rsid w:val="00DE729E"/>
    <w:rsid w:val="00DF3677"/>
    <w:rsid w:val="00E20372"/>
    <w:rsid w:val="00E50870"/>
    <w:rsid w:val="00E60471"/>
    <w:rsid w:val="00EB76B8"/>
    <w:rsid w:val="00EF1F0C"/>
    <w:rsid w:val="00F76D4C"/>
    <w:rsid w:val="00F94A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85D9E"/>
    <w:rPr>
      <w:color w:val="808080"/>
    </w:rPr>
  </w:style>
  <w:style w:type="paragraph" w:customStyle="1" w:styleId="2817F8C7833946B89C41C4F1353FDD76">
    <w:name w:val="2817F8C7833946B89C41C4F1353FDD76"/>
    <w:rsid w:val="00D87429"/>
    <w:pPr>
      <w:spacing w:after="200" w:line="276" w:lineRule="auto"/>
    </w:pPr>
    <w:rPr>
      <w:lang w:val="en-US" w:eastAsia="en-US"/>
    </w:rPr>
  </w:style>
  <w:style w:type="paragraph" w:customStyle="1" w:styleId="B8B4DC5FC06048B98F0AB59CF4DDE260">
    <w:name w:val="B8B4DC5FC06048B98F0AB59CF4DDE260"/>
    <w:rsid w:val="00D87429"/>
    <w:pPr>
      <w:spacing w:after="200" w:line="276" w:lineRule="auto"/>
    </w:pPr>
    <w:rPr>
      <w:lang w:val="en-US" w:eastAsia="en-US"/>
    </w:rPr>
  </w:style>
  <w:style w:type="paragraph" w:customStyle="1" w:styleId="3D10F1B3FD3A4E81978652495A5A912B">
    <w:name w:val="3D10F1B3FD3A4E81978652495A5A912B"/>
    <w:rsid w:val="00D87429"/>
    <w:pPr>
      <w:spacing w:after="200" w:line="276" w:lineRule="auto"/>
    </w:pPr>
    <w:rPr>
      <w:lang w:val="en-US" w:eastAsia="en-US"/>
    </w:rPr>
  </w:style>
  <w:style w:type="paragraph" w:customStyle="1" w:styleId="25677F2E74A84738BE8D1B89523AA004">
    <w:name w:val="25677F2E74A84738BE8D1B89523AA004"/>
    <w:rsid w:val="00D87429"/>
    <w:pPr>
      <w:spacing w:after="200" w:line="276" w:lineRule="auto"/>
    </w:pPr>
    <w:rPr>
      <w:lang w:val="en-US" w:eastAsia="en-US"/>
    </w:rPr>
  </w:style>
  <w:style w:type="paragraph" w:customStyle="1" w:styleId="DC359E173DA34D28B55ADB18669B1879">
    <w:name w:val="DC359E173DA34D28B55ADB18669B1879"/>
    <w:rsid w:val="00D87429"/>
    <w:pPr>
      <w:spacing w:after="200" w:line="276" w:lineRule="auto"/>
    </w:pPr>
    <w:rPr>
      <w:lang w:val="en-US" w:eastAsia="en-US"/>
    </w:rPr>
  </w:style>
  <w:style w:type="paragraph" w:customStyle="1" w:styleId="31FBCFB0C5964BEEBFB2ECE68C9E1497">
    <w:name w:val="31FBCFB0C5964BEEBFB2ECE68C9E1497"/>
    <w:rsid w:val="00185D9E"/>
    <w:pPr>
      <w:spacing w:after="200" w:line="276" w:lineRule="auto"/>
    </w:pPr>
    <w:rPr>
      <w:lang w:val="en-US" w:eastAsia="en-US"/>
    </w:rPr>
  </w:style>
  <w:style w:type="paragraph" w:customStyle="1" w:styleId="87C28A523786444F89E0CE2861E50BC5">
    <w:name w:val="87C28A523786444F89E0CE2861E50BC5"/>
    <w:rsid w:val="00185D9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D06B2BFF-9EB7-46A8-B7DB-B2497AF21258}">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E7C305D-3367-41EB-9207-6E2ABAFA4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2AE8D7-0943-40BB-9836-3E75E072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8806</Words>
  <Characters>50200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Contribution to a draft resource mobilization component of the post-2020 biodiversity framework as a follow-up to the current strategy for resource mobilization: Third report of the panel of experts on resource mobilization</vt:lpstr>
    </vt:vector>
  </TitlesOfParts>
  <Manager/>
  <Company>United Nations</Company>
  <LinksUpToDate>false</LinksUpToDate>
  <CharactersWithSpaces>58889</CharactersWithSpaces>
  <SharedDoc>false</SharedDoc>
  <HyperlinkBase>https://www.cbd.int/sbi/</HyperlinkBase>
  <HLinks>
    <vt:vector size="126" baseType="variant">
      <vt:variant>
        <vt:i4>786506</vt:i4>
      </vt:variant>
      <vt:variant>
        <vt:i4>3</vt:i4>
      </vt:variant>
      <vt:variant>
        <vt:i4>0</vt:i4>
      </vt:variant>
      <vt:variant>
        <vt:i4>5</vt:i4>
      </vt:variant>
      <vt:variant>
        <vt:lpwstr>https://www.cbd.int/doc/decisions/cop-14/cop-14-dec-03-en.pdf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393288</vt:i4>
      </vt:variant>
      <vt:variant>
        <vt:i4>57</vt:i4>
      </vt:variant>
      <vt:variant>
        <vt:i4>0</vt:i4>
      </vt:variant>
      <vt:variant>
        <vt:i4>5</vt:i4>
      </vt:variant>
      <vt:variant>
        <vt:lpwstr>https://www.cbd.int/doc/decisions/cop-14/cop-14-dec-29-en.pdf</vt:lpwstr>
      </vt:variant>
      <vt:variant>
        <vt:lpwstr/>
      </vt:variant>
      <vt:variant>
        <vt:i4>7733350</vt:i4>
      </vt:variant>
      <vt:variant>
        <vt:i4>54</vt:i4>
      </vt:variant>
      <vt:variant>
        <vt:i4>0</vt:i4>
      </vt:variant>
      <vt:variant>
        <vt:i4>5</vt:i4>
      </vt:variant>
      <vt:variant>
        <vt:lpwstr>https://www.greenclimate.fund/</vt:lpwstr>
      </vt:variant>
      <vt:variant>
        <vt:lpwstr/>
      </vt:variant>
      <vt:variant>
        <vt:i4>786504</vt:i4>
      </vt:variant>
      <vt:variant>
        <vt:i4>51</vt:i4>
      </vt:variant>
      <vt:variant>
        <vt:i4>0</vt:i4>
      </vt:variant>
      <vt:variant>
        <vt:i4>5</vt:i4>
      </vt:variant>
      <vt:variant>
        <vt:lpwstr>https://www.cbd.int/doc/decisions/cop-14/cop-14-dec-23-en.pdf</vt:lpwstr>
      </vt:variant>
      <vt:variant>
        <vt:lpwstr/>
      </vt:variant>
      <vt:variant>
        <vt:i4>196734</vt:i4>
      </vt:variant>
      <vt:variant>
        <vt:i4>48</vt:i4>
      </vt:variant>
      <vt:variant>
        <vt:i4>0</vt:i4>
      </vt:variant>
      <vt:variant>
        <vt:i4>5</vt:i4>
      </vt:variant>
      <vt:variant>
        <vt:lpwstr>https://www.biodiversityfinance.net/sites/default/files/content/publications/BIOFIN Workbook 2018_0.pdf</vt:lpwstr>
      </vt:variant>
      <vt:variant>
        <vt:lpwstr/>
      </vt:variant>
      <vt:variant>
        <vt:i4>7929977</vt:i4>
      </vt:variant>
      <vt:variant>
        <vt:i4>42</vt:i4>
      </vt:variant>
      <vt:variant>
        <vt:i4>0</vt:i4>
      </vt:variant>
      <vt:variant>
        <vt:i4>5</vt:i4>
      </vt:variant>
      <vt:variant>
        <vt:lpwstr>http://cpicfinance.com/blueprints/</vt:lpwstr>
      </vt:variant>
      <vt:variant>
        <vt:lpwstr/>
      </vt:variant>
      <vt:variant>
        <vt:i4>2424945</vt:i4>
      </vt:variant>
      <vt:variant>
        <vt:i4>39</vt:i4>
      </vt:variant>
      <vt:variant>
        <vt:i4>0</vt:i4>
      </vt:variant>
      <vt:variant>
        <vt:i4>5</vt:i4>
      </vt:variant>
      <vt:variant>
        <vt:lpwstr>https://naturalcapitalcoalition.org/projects/biodiversity/</vt:lpwstr>
      </vt:variant>
      <vt:variant>
        <vt:lpwstr/>
      </vt:variant>
      <vt:variant>
        <vt:i4>5898339</vt:i4>
      </vt:variant>
      <vt:variant>
        <vt:i4>36</vt:i4>
      </vt:variant>
      <vt:variant>
        <vt:i4>0</vt:i4>
      </vt:variant>
      <vt:variant>
        <vt:i4>5</vt:i4>
      </vt:variant>
      <vt:variant>
        <vt:lpwstr>https://www.ifc.org/wps/wcm/connect/topics_ext_content/ifc_external_corporate_site/sustainability-at-ifc/policies-standards/performance-standards/ps6</vt:lpwstr>
      </vt:variant>
      <vt:variant>
        <vt:lpwstr/>
      </vt:variant>
      <vt:variant>
        <vt:i4>4849687</vt:i4>
      </vt:variant>
      <vt:variant>
        <vt:i4>33</vt:i4>
      </vt:variant>
      <vt:variant>
        <vt:i4>0</vt:i4>
      </vt:variant>
      <vt:variant>
        <vt:i4>5</vt:i4>
      </vt:variant>
      <vt:variant>
        <vt:lpwstr>https://projects.worldbank.org/en/projects-operations/environmental-and-social-framework/brief/environmental-and-social-standards</vt:lpwstr>
      </vt:variant>
      <vt:variant>
        <vt:lpwstr/>
      </vt:variant>
      <vt:variant>
        <vt:i4>2883584</vt:i4>
      </vt:variant>
      <vt:variant>
        <vt:i4>30</vt:i4>
      </vt:variant>
      <vt:variant>
        <vt:i4>0</vt:i4>
      </vt:variant>
      <vt:variant>
        <vt:i4>5</vt:i4>
      </vt:variant>
      <vt:variant>
        <vt:lpwstr>https://www.finance-watch.org/wp-content/uploads/2019/05/Making-Finance-Serve-Nature_Finance-Watch-Report_24May2019_web.pdf</vt:lpwstr>
      </vt:variant>
      <vt:variant>
        <vt:lpwstr/>
      </vt:variant>
      <vt:variant>
        <vt:i4>6357031</vt:i4>
      </vt:variant>
      <vt:variant>
        <vt:i4>27</vt:i4>
      </vt:variant>
      <vt:variant>
        <vt:i4>0</vt:i4>
      </vt:variant>
      <vt:variant>
        <vt:i4>5</vt:i4>
      </vt:variant>
      <vt:variant>
        <vt:lpwstr>https://www.oecd.org/environment/resources/biodiversity/report-a-comprehensive-overview-of-global-biodiversity-finance.pdf</vt:lpwstr>
      </vt:variant>
      <vt:variant>
        <vt:lpwstr/>
      </vt:variant>
      <vt:variant>
        <vt:i4>7536682</vt:i4>
      </vt:variant>
      <vt:variant>
        <vt:i4>24</vt:i4>
      </vt:variant>
      <vt:variant>
        <vt:i4>0</vt:i4>
      </vt:variant>
      <vt:variant>
        <vt:i4>5</vt:i4>
      </vt:variant>
      <vt:variant>
        <vt:lpwstr>https://bit.ly/39A6G0i</vt:lpwstr>
      </vt:variant>
      <vt:variant>
        <vt:lpwstr/>
      </vt:variant>
      <vt:variant>
        <vt:i4>5242880</vt:i4>
      </vt:variant>
      <vt:variant>
        <vt:i4>21</vt:i4>
      </vt:variant>
      <vt:variant>
        <vt:i4>0</vt:i4>
      </vt:variant>
      <vt:variant>
        <vt:i4>5</vt:i4>
      </vt:variant>
      <vt:variant>
        <vt:lpwstr>http://www.pwc.ch/wwf-report</vt:lpwstr>
      </vt:variant>
      <vt:variant>
        <vt:lpwstr/>
      </vt:variant>
      <vt:variant>
        <vt:i4>5701713</vt:i4>
      </vt:variant>
      <vt:variant>
        <vt:i4>18</vt:i4>
      </vt:variant>
      <vt:variant>
        <vt:i4>0</vt:i4>
      </vt:variant>
      <vt:variant>
        <vt:i4>5</vt:i4>
      </vt:variant>
      <vt:variant>
        <vt:lpwstr>https://www.weforum.org/global-risks/reports</vt:lpwstr>
      </vt:variant>
      <vt:variant>
        <vt:lpwstr/>
      </vt:variant>
      <vt:variant>
        <vt:i4>2883584</vt:i4>
      </vt:variant>
      <vt:variant>
        <vt:i4>15</vt:i4>
      </vt:variant>
      <vt:variant>
        <vt:i4>0</vt:i4>
      </vt:variant>
      <vt:variant>
        <vt:i4>5</vt:i4>
      </vt:variant>
      <vt:variant>
        <vt:lpwstr>https://www.finance-watch.org/wp-content/uploads/2019/05/Making-Finance-Serve-Nature_Finance-Watch-Report_24May2019_web.pdf</vt:lpwstr>
      </vt:variant>
      <vt:variant>
        <vt:lpwstr/>
      </vt:variant>
      <vt:variant>
        <vt:i4>7536682</vt:i4>
      </vt:variant>
      <vt:variant>
        <vt:i4>12</vt:i4>
      </vt:variant>
      <vt:variant>
        <vt:i4>0</vt:i4>
      </vt:variant>
      <vt:variant>
        <vt:i4>5</vt:i4>
      </vt:variant>
      <vt:variant>
        <vt:lpwstr>https://bit.ly/39A6G0i</vt:lpwstr>
      </vt:variant>
      <vt:variant>
        <vt:lpwstr/>
      </vt:variant>
      <vt:variant>
        <vt:i4>524366</vt:i4>
      </vt:variant>
      <vt:variant>
        <vt:i4>9</vt:i4>
      </vt:variant>
      <vt:variant>
        <vt:i4>0</vt:i4>
      </vt:variant>
      <vt:variant>
        <vt:i4>5</vt:i4>
      </vt:variant>
      <vt:variant>
        <vt:lpwstr>https://www.cbd.int/doc/decisions/cop-10/cop-10-dec-03-en.pdf</vt:lpwstr>
      </vt:variant>
      <vt:variant>
        <vt:lpwstr/>
      </vt:variant>
      <vt:variant>
        <vt:i4>327768</vt:i4>
      </vt:variant>
      <vt:variant>
        <vt:i4>6</vt:i4>
      </vt:variant>
      <vt:variant>
        <vt:i4>0</vt:i4>
      </vt:variant>
      <vt:variant>
        <vt:i4>5</vt:i4>
      </vt:variant>
      <vt:variant>
        <vt:lpwstr>https://www.biodiversityfinance.net/finance-solutions</vt:lpwstr>
      </vt:variant>
      <vt:variant>
        <vt:lpwstr/>
      </vt:variant>
      <vt:variant>
        <vt:i4>6291558</vt:i4>
      </vt:variant>
      <vt:variant>
        <vt:i4>3</vt:i4>
      </vt:variant>
      <vt:variant>
        <vt:i4>0</vt:i4>
      </vt:variant>
      <vt:variant>
        <vt:i4>5</vt:i4>
      </vt:variant>
      <vt:variant>
        <vt:lpwstr>https://ipbes.net/global-assessment</vt:lpwstr>
      </vt:variant>
      <vt:variant>
        <vt:lpwstr/>
      </vt:variant>
      <vt:variant>
        <vt:i4>1245204</vt:i4>
      </vt:variant>
      <vt:variant>
        <vt:i4>0</vt:i4>
      </vt:variant>
      <vt:variant>
        <vt:i4>0</vt:i4>
      </vt:variant>
      <vt:variant>
        <vt:i4>5</vt:i4>
      </vt:variant>
      <vt:variant>
        <vt:lpwstr>https://undocs.org/A/RES/70/1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 a draft resource mobilization component of the post-2020 biodiversity framework as a follow-up to the current strategy for resource mobilization: Third report of the panel of experts on resource mobilization</dc:title>
  <dc:subject>CBD/SBI/3/5/Add.3</dc:subject>
  <dc:creator>SCBD</dc:creator>
  <cp:keywords>Subsidiary Body on Implementation, third meeting, Canada, 9-14 November 2020, Convention on Biological Diversity</cp:keywords>
  <dc:description/>
  <cp:lastModifiedBy>Veronique Lefebvre</cp:lastModifiedBy>
  <cp:revision>3</cp:revision>
  <cp:lastPrinted>2020-06-16T10:54:00Z</cp:lastPrinted>
  <dcterms:created xsi:type="dcterms:W3CDTF">2020-06-28T02:45:00Z</dcterms:created>
  <dcterms:modified xsi:type="dcterms:W3CDTF">2020-06-28T02:46:00Z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