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141"/>
        <w:gridCol w:w="4549"/>
      </w:tblGrid>
      <w:tr w:rsidR="00C9161D" w14:paraId="07F6750D" w14:textId="77777777" w:rsidTr="005D3FAA">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4DABCA7" w:rsidR="00FA663B" w:rsidRPr="00321985" w:rsidRDefault="00D81CA4" w:rsidP="00321985">
            <w:r w:rsidRPr="00D81CA4">
              <w:rPr>
                <w:noProof/>
                <w:lang w:val="fr-FR"/>
              </w:rPr>
              <w:drawing>
                <wp:inline distT="0" distB="0" distL="0" distR="0" wp14:anchorId="26841F2C" wp14:editId="35AC9FEB">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549" w:type="dxa"/>
            <w:tcBorders>
              <w:bottom w:val="single" w:sz="12" w:space="0" w:color="auto"/>
            </w:tcBorders>
          </w:tcPr>
          <w:p w14:paraId="600A589D" w14:textId="77777777" w:rsidR="00C9161D" w:rsidRPr="00C9161D" w:rsidRDefault="00C9161D" w:rsidP="005D3FAA">
            <w:pPr>
              <w:ind w:right="176"/>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5D3FAA">
        <w:tc>
          <w:tcPr>
            <w:tcW w:w="6117" w:type="dxa"/>
            <w:gridSpan w:val="2"/>
            <w:tcBorders>
              <w:top w:val="single" w:sz="12" w:space="0" w:color="auto"/>
              <w:bottom w:val="single" w:sz="36" w:space="0" w:color="auto"/>
            </w:tcBorders>
            <w:vAlign w:val="center"/>
          </w:tcPr>
          <w:p w14:paraId="14F52A6C" w14:textId="6079CF73" w:rsidR="00C9161D" w:rsidRDefault="00D81CA4" w:rsidP="00C9161D">
            <w:r w:rsidRPr="00464845">
              <w:rPr>
                <w:noProof/>
                <w:kern w:val="22"/>
                <w:lang w:val="fr-FR" w:eastAsia="fr-CA"/>
              </w:rPr>
              <w:drawing>
                <wp:inline distT="0" distB="0" distL="0" distR="0" wp14:anchorId="3C184DC9" wp14:editId="0B6CFE26">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549"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8C4A43B" w:rsidR="00C9161D" w:rsidRPr="00F2040E" w:rsidRDefault="00B26ACD" w:rsidP="00176CEE">
            <w:pPr>
              <w:ind w:left="1215"/>
              <w:rPr>
                <w:szCs w:val="22"/>
              </w:rPr>
            </w:pPr>
            <w:r w:rsidRPr="00F2040E">
              <w:rPr>
                <w:caps/>
                <w:szCs w:val="22"/>
              </w:rPr>
              <w:t>LIMIT</w:t>
            </w:r>
            <w:r w:rsidR="00E62623">
              <w:rPr>
                <w:caps/>
                <w:szCs w:val="22"/>
              </w:rPr>
              <w:t>Ée</w:t>
            </w:r>
          </w:p>
          <w:p w14:paraId="06715052" w14:textId="77777777" w:rsidR="00C9161D" w:rsidRPr="00F2040E" w:rsidRDefault="00C9161D" w:rsidP="00176CEE">
            <w:pPr>
              <w:ind w:left="1215"/>
              <w:rPr>
                <w:szCs w:val="22"/>
              </w:rPr>
            </w:pPr>
          </w:p>
          <w:p w14:paraId="44230134" w14:textId="6D7AD4A4" w:rsidR="00C9161D" w:rsidRPr="00F2040E" w:rsidRDefault="0000000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2040E" w:rsidRPr="005D3FAA">
                  <w:rPr>
                    <w:lang w:val="en-US"/>
                  </w:rPr>
                  <w:t>CBD/CP/MOP/10/L.12</w:t>
                </w:r>
              </w:sdtContent>
            </w:sdt>
          </w:p>
          <w:p w14:paraId="0DF1F033" w14:textId="5A3AAA19" w:rsidR="00C9161D" w:rsidRPr="00F2040E" w:rsidRDefault="006C6350" w:rsidP="00176CEE">
            <w:pPr>
              <w:ind w:left="1215"/>
              <w:rPr>
                <w:szCs w:val="22"/>
              </w:rPr>
            </w:pPr>
            <w:r w:rsidRPr="00F2040E">
              <w:rPr>
                <w:szCs w:val="22"/>
                <w:lang w:val="en-US"/>
              </w:rPr>
              <w:t xml:space="preserve">13 </w:t>
            </w:r>
            <w:r w:rsidR="00E62623">
              <w:rPr>
                <w:szCs w:val="22"/>
                <w:lang w:val="en-US"/>
              </w:rPr>
              <w:t>décembre</w:t>
            </w:r>
            <w:r w:rsidR="00F6586C" w:rsidRPr="00F2040E">
              <w:rPr>
                <w:szCs w:val="22"/>
                <w:lang w:val="en-US"/>
              </w:rPr>
              <w:t xml:space="preserve"> 20</w:t>
            </w:r>
            <w:r w:rsidR="00FC25F8" w:rsidRPr="00F2040E">
              <w:rPr>
                <w:szCs w:val="22"/>
                <w:lang w:val="en-US"/>
              </w:rPr>
              <w:t>2</w:t>
            </w:r>
            <w:r w:rsidR="00B26ACD" w:rsidRPr="00F2040E">
              <w:rPr>
                <w:szCs w:val="22"/>
                <w:lang w:val="en-US"/>
              </w:rPr>
              <w:t>2</w:t>
            </w:r>
          </w:p>
          <w:p w14:paraId="159892DF" w14:textId="77777777" w:rsidR="00C9161D" w:rsidRPr="00F2040E" w:rsidRDefault="00C9161D" w:rsidP="00176CEE">
            <w:pPr>
              <w:ind w:left="1215"/>
              <w:rPr>
                <w:szCs w:val="22"/>
              </w:rPr>
            </w:pPr>
          </w:p>
          <w:p w14:paraId="47AC5906" w14:textId="6F376B6F" w:rsidR="00E62623" w:rsidRDefault="00E62623" w:rsidP="00176CEE">
            <w:pPr>
              <w:ind w:left="1215"/>
              <w:rPr>
                <w:szCs w:val="22"/>
              </w:rPr>
            </w:pPr>
            <w:r>
              <w:rPr>
                <w:szCs w:val="22"/>
              </w:rPr>
              <w:t xml:space="preserve">FRANÇAIS </w:t>
            </w:r>
          </w:p>
          <w:p w14:paraId="19472D49" w14:textId="7A05B2E1" w:rsidR="00C9161D" w:rsidRPr="00C9161D" w:rsidRDefault="006B2290" w:rsidP="00176CEE">
            <w:pPr>
              <w:ind w:left="1215"/>
              <w:rPr>
                <w:szCs w:val="22"/>
              </w:rPr>
            </w:pPr>
            <w:r w:rsidRPr="00F2040E">
              <w:rPr>
                <w:szCs w:val="22"/>
              </w:rPr>
              <w:t>ORIGINAL</w:t>
            </w:r>
            <w:r w:rsidR="00E62623">
              <w:rPr>
                <w:szCs w:val="22"/>
              </w:rPr>
              <w:t xml:space="preserve"> </w:t>
            </w:r>
            <w:r w:rsidRPr="00F2040E">
              <w:rPr>
                <w:szCs w:val="22"/>
              </w:rPr>
              <w:t xml:space="preserve">: </w:t>
            </w:r>
            <w:r w:rsidR="00E62623">
              <w:rPr>
                <w:szCs w:val="22"/>
              </w:rPr>
              <w:t xml:space="preserve">ANGLAIS </w:t>
            </w:r>
          </w:p>
          <w:p w14:paraId="5AA10CCE" w14:textId="77777777" w:rsidR="00C9161D" w:rsidRDefault="00C9161D"/>
        </w:tc>
      </w:tr>
    </w:tbl>
    <w:p w14:paraId="1BF4A9A2" w14:textId="7D0278DE" w:rsidR="003B7BB2" w:rsidRPr="00E62623" w:rsidRDefault="00E62623" w:rsidP="003B7BB2">
      <w:pPr>
        <w:pStyle w:val="Cornernotation"/>
        <w:kinsoku w:val="0"/>
        <w:overflowPunct w:val="0"/>
        <w:autoSpaceDE w:val="0"/>
        <w:autoSpaceDN w:val="0"/>
        <w:spacing w:before="60"/>
        <w:ind w:left="227" w:right="4302" w:hanging="227"/>
        <w:rPr>
          <w:snapToGrid w:val="0"/>
          <w:kern w:val="22"/>
          <w:lang w:val="fr-FR"/>
        </w:rPr>
      </w:pPr>
      <w:r w:rsidRPr="00E62623">
        <w:rPr>
          <w:snapToGrid w:val="0"/>
          <w:kern w:val="22"/>
          <w:lang w:val="fr-FR"/>
        </w:rPr>
        <w:t>CONFÉRENCE DES PARTIES À LA CONVENTION SUR LA DIVERSITÉ BIOLOGIQUE SIÉGEANT EN TANT QUE RÉUNION DES PARTIES AU PROTOCOLE DE CATARGENA SUR LA PRÉVENTION DES RISQUES BIOTECHNO</w:t>
      </w:r>
      <w:r>
        <w:rPr>
          <w:snapToGrid w:val="0"/>
          <w:kern w:val="22"/>
          <w:lang w:val="fr-FR"/>
        </w:rPr>
        <w:t xml:space="preserve">LOGIQUES </w:t>
      </w:r>
    </w:p>
    <w:p w14:paraId="141C6194" w14:textId="4C63FA35" w:rsidR="003B7BB2" w:rsidRPr="00910961" w:rsidRDefault="00E62623" w:rsidP="003B7BB2">
      <w:pPr>
        <w:pStyle w:val="Cornernotation"/>
        <w:kinsoku w:val="0"/>
        <w:overflowPunct w:val="0"/>
        <w:autoSpaceDE w:val="0"/>
        <w:autoSpaceDN w:val="0"/>
        <w:ind w:left="0" w:right="4512" w:firstLine="0"/>
        <w:rPr>
          <w:snapToGrid w:val="0"/>
          <w:kern w:val="22"/>
        </w:rPr>
      </w:pPr>
      <w:r>
        <w:rPr>
          <w:snapToGrid w:val="0"/>
          <w:kern w:val="22"/>
        </w:rPr>
        <w:t xml:space="preserve">Dixième reunion – Partie II </w:t>
      </w:r>
    </w:p>
    <w:p w14:paraId="4268D28C" w14:textId="600A241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w:t>
      </w:r>
      <w:r w:rsidR="00E62623">
        <w:rPr>
          <w:snapToGrid w:val="0"/>
          <w:kern w:val="22"/>
          <w:szCs w:val="22"/>
          <w:lang w:eastAsia="nb-NO"/>
        </w:rPr>
        <w:t>éa</w:t>
      </w:r>
      <w:r>
        <w:rPr>
          <w:snapToGrid w:val="0"/>
          <w:kern w:val="22"/>
          <w:szCs w:val="22"/>
          <w:lang w:eastAsia="nb-NO"/>
        </w:rPr>
        <w:t xml:space="preserve">l, Canada, 7-19 </w:t>
      </w:r>
      <w:r w:rsidR="00E62623">
        <w:rPr>
          <w:snapToGrid w:val="0"/>
          <w:kern w:val="22"/>
          <w:szCs w:val="22"/>
          <w:lang w:eastAsia="nb-NO"/>
        </w:rPr>
        <w:t xml:space="preserve">décembre </w:t>
      </w:r>
      <w:r>
        <w:rPr>
          <w:snapToGrid w:val="0"/>
          <w:kern w:val="22"/>
          <w:szCs w:val="22"/>
          <w:lang w:eastAsia="nb-NO"/>
        </w:rPr>
        <w:t>2022</w:t>
      </w:r>
    </w:p>
    <w:p w14:paraId="5ECF7635" w14:textId="0554010F" w:rsidR="00C9161D" w:rsidRPr="00E62623" w:rsidRDefault="00E62623" w:rsidP="00C9161D">
      <w:pPr>
        <w:rPr>
          <w:lang w:val="fr-FR"/>
        </w:rPr>
      </w:pPr>
      <w:r w:rsidRPr="00E62623">
        <w:rPr>
          <w:snapToGrid w:val="0"/>
          <w:kern w:val="22"/>
          <w:szCs w:val="22"/>
          <w:lang w:val="fr-FR"/>
        </w:rPr>
        <w:t>Point 10 de l’ordre du j</w:t>
      </w:r>
      <w:r>
        <w:rPr>
          <w:snapToGrid w:val="0"/>
          <w:kern w:val="22"/>
          <w:szCs w:val="22"/>
          <w:lang w:val="fr-FR"/>
        </w:rPr>
        <w:t xml:space="preserve">our </w:t>
      </w:r>
    </w:p>
    <w:p w14:paraId="57F6B7A1" w14:textId="67BD068E" w:rsidR="00C9161D" w:rsidRPr="00E62623" w:rsidRDefault="00000000" w:rsidP="00172AF6">
      <w:pPr>
        <w:spacing w:before="120" w:after="240"/>
        <w:jc w:val="center"/>
        <w:rPr>
          <w:b/>
          <w:caps/>
          <w:lang w:val="fr-FR"/>
        </w:rPr>
      </w:pPr>
      <w:sdt>
        <w:sdtPr>
          <w:rPr>
            <w:rStyle w:val="Titre2Car"/>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Titre2Car"/>
          </w:rPr>
        </w:sdtEndPr>
        <w:sdtContent>
          <w:r w:rsidR="00E62623" w:rsidRPr="00E62623">
            <w:rPr>
              <w:rStyle w:val="Titre2Car"/>
              <w:lang w:val="fr-FR"/>
            </w:rPr>
            <w:t>Questions relatives au mécanisme de financement et aux ressources financières (article 28)</w:t>
          </w:r>
        </w:sdtContent>
      </w:sdt>
      <w:r w:rsidR="00E62623" w:rsidRPr="00E62623">
        <w:rPr>
          <w:rStyle w:val="Titre2Car"/>
          <w:lang w:val="fr-FR"/>
        </w:rPr>
        <w:t xml:space="preserve"> </w:t>
      </w:r>
    </w:p>
    <w:p w14:paraId="2EEF764E" w14:textId="3B4BFEE9" w:rsidR="00F6586C" w:rsidRPr="00E62623" w:rsidRDefault="00E62623" w:rsidP="00A1252A">
      <w:pPr>
        <w:pStyle w:val="Style1"/>
        <w:outlineLvl w:val="9"/>
        <w:rPr>
          <w:bCs w:val="0"/>
          <w:i w:val="0"/>
          <w:iCs w:val="0"/>
          <w:lang w:val="fr-FR"/>
        </w:rPr>
      </w:pPr>
      <w:r w:rsidRPr="00E62623">
        <w:rPr>
          <w:bCs w:val="0"/>
          <w:i w:val="0"/>
          <w:iCs w:val="0"/>
          <w:lang w:val="fr-FR"/>
        </w:rPr>
        <w:t>Projet de décision soumis par le Président du Groupe de travail II</w:t>
      </w:r>
      <w:r>
        <w:rPr>
          <w:bCs w:val="0"/>
          <w:i w:val="0"/>
          <w:iCs w:val="0"/>
          <w:lang w:val="fr-FR"/>
        </w:rPr>
        <w:t xml:space="preserve"> </w:t>
      </w:r>
    </w:p>
    <w:p w14:paraId="7DAB7BDF" w14:textId="18FF0BA2" w:rsidR="0077674C" w:rsidRDefault="00E62623" w:rsidP="00E62623">
      <w:pPr>
        <w:kinsoku w:val="0"/>
        <w:overflowPunct w:val="0"/>
        <w:autoSpaceDE w:val="0"/>
        <w:autoSpaceDN w:val="0"/>
        <w:ind w:right="4" w:firstLine="709"/>
        <w:jc w:val="left"/>
        <w:rPr>
          <w:i/>
          <w:iCs/>
          <w:szCs w:val="22"/>
          <w:lang w:val="fr-FR"/>
        </w:rPr>
      </w:pPr>
      <w:r w:rsidRPr="00E62623">
        <w:rPr>
          <w:i/>
          <w:iCs/>
          <w:szCs w:val="22"/>
          <w:lang w:val="fr-FR"/>
        </w:rPr>
        <w:t>La Conférence des Parties siégeant en tant que Réunion des Parties au Protocole de Cartagena</w:t>
      </w:r>
    </w:p>
    <w:p w14:paraId="48127D55" w14:textId="77777777" w:rsidR="00E62623" w:rsidRPr="00E62623" w:rsidRDefault="00E62623" w:rsidP="00E62623">
      <w:pPr>
        <w:kinsoku w:val="0"/>
        <w:overflowPunct w:val="0"/>
        <w:autoSpaceDE w:val="0"/>
        <w:autoSpaceDN w:val="0"/>
        <w:ind w:right="4" w:firstLine="709"/>
        <w:jc w:val="left"/>
        <w:rPr>
          <w:i/>
          <w:iCs/>
          <w:szCs w:val="22"/>
          <w:lang w:val="fr-FR"/>
        </w:rPr>
      </w:pPr>
    </w:p>
    <w:p w14:paraId="6939EED8" w14:textId="5F557B3E" w:rsidR="00D51F44" w:rsidRDefault="00D51F44" w:rsidP="00D51F44">
      <w:pPr>
        <w:pStyle w:val="Paragraphedeliste"/>
        <w:numPr>
          <w:ilvl w:val="0"/>
          <w:numId w:val="20"/>
        </w:numPr>
        <w:kinsoku w:val="0"/>
        <w:overflowPunct w:val="0"/>
        <w:autoSpaceDE w:val="0"/>
        <w:autoSpaceDN w:val="0"/>
        <w:ind w:left="0" w:right="4" w:firstLine="567"/>
        <w:rPr>
          <w:szCs w:val="22"/>
          <w:lang w:val="fr-FR" w:eastAsia="en-GB"/>
        </w:rPr>
      </w:pPr>
      <w:r w:rsidRPr="00D51F44">
        <w:rPr>
          <w:i/>
          <w:iCs/>
          <w:szCs w:val="22"/>
          <w:lang w:val="fr-FR" w:eastAsia="en-GB"/>
        </w:rPr>
        <w:t xml:space="preserve">Se félicite </w:t>
      </w:r>
      <w:r w:rsidRPr="00D51F44">
        <w:rPr>
          <w:szCs w:val="22"/>
          <w:lang w:val="fr-FR" w:eastAsia="en-GB"/>
        </w:rPr>
        <w:t>de</w:t>
      </w:r>
      <w:r w:rsidRPr="00D51F44">
        <w:rPr>
          <w:i/>
          <w:iCs/>
          <w:szCs w:val="22"/>
          <w:lang w:val="fr-FR" w:eastAsia="en-GB"/>
        </w:rPr>
        <w:t xml:space="preserve"> </w:t>
      </w:r>
      <w:r w:rsidRPr="00D51F44">
        <w:rPr>
          <w:szCs w:val="22"/>
          <w:lang w:val="fr-FR" w:eastAsia="en-GB"/>
        </w:rPr>
        <w:t xml:space="preserve">la </w:t>
      </w:r>
      <w:r w:rsidRPr="00D51F44">
        <w:rPr>
          <w:rFonts w:eastAsia="MS Mincho"/>
          <w:iCs/>
          <w:szCs w:val="22"/>
          <w:lang w:val="fr-FR"/>
        </w:rPr>
        <w:t xml:space="preserve">huitième </w:t>
      </w:r>
      <w:r w:rsidRPr="00D51F44">
        <w:rPr>
          <w:szCs w:val="22"/>
          <w:lang w:val="fr-FR" w:eastAsia="en-GB"/>
        </w:rPr>
        <w:t>reconstitution des ressources du Fonds pour l'environnement mondial et de ses orientations de programmation, ainsi que de son appui aux Parties pour la mise en œuvre du Protocole de Cartagena ;</w:t>
      </w:r>
      <w:r w:rsidR="008078AA">
        <w:rPr>
          <w:szCs w:val="22"/>
          <w:lang w:val="fr-FR" w:eastAsia="en-GB"/>
        </w:rPr>
        <w:t xml:space="preserve"> </w:t>
      </w:r>
    </w:p>
    <w:p w14:paraId="028CA014" w14:textId="77777777" w:rsidR="00D51F44" w:rsidRPr="00D51F44" w:rsidRDefault="00D51F44" w:rsidP="00D51F44">
      <w:pPr>
        <w:pStyle w:val="Paragraphedeliste"/>
        <w:kinsoku w:val="0"/>
        <w:overflowPunct w:val="0"/>
        <w:autoSpaceDE w:val="0"/>
        <w:autoSpaceDN w:val="0"/>
        <w:ind w:left="567" w:right="4"/>
        <w:rPr>
          <w:szCs w:val="22"/>
          <w:lang w:val="fr-FR" w:eastAsia="en-GB"/>
        </w:rPr>
      </w:pPr>
    </w:p>
    <w:p w14:paraId="6AED5676" w14:textId="0B490466" w:rsidR="009657F9" w:rsidRPr="00D51F44" w:rsidRDefault="00D51F44" w:rsidP="00D51F44">
      <w:pPr>
        <w:pStyle w:val="Paragraphedeliste"/>
        <w:numPr>
          <w:ilvl w:val="0"/>
          <w:numId w:val="20"/>
        </w:numPr>
        <w:kinsoku w:val="0"/>
        <w:overflowPunct w:val="0"/>
        <w:autoSpaceDE w:val="0"/>
        <w:autoSpaceDN w:val="0"/>
        <w:ind w:left="0" w:right="4" w:firstLine="567"/>
        <w:rPr>
          <w:rFonts w:eastAsia="MS Mincho"/>
          <w:iCs/>
          <w:szCs w:val="22"/>
          <w:lang w:val="fr-FR"/>
        </w:rPr>
      </w:pPr>
      <w:r w:rsidRPr="00D51F44">
        <w:rPr>
          <w:i/>
          <w:iCs/>
          <w:szCs w:val="22"/>
          <w:lang w:val="fr-FR" w:eastAsia="en-GB"/>
        </w:rPr>
        <w:t xml:space="preserve">Note avec inquiétude </w:t>
      </w:r>
      <w:r w:rsidRPr="00D51F44">
        <w:rPr>
          <w:szCs w:val="22"/>
          <w:lang w:val="fr-FR" w:eastAsia="en-GB"/>
        </w:rPr>
        <w:t xml:space="preserve">que </w:t>
      </w:r>
      <w:r w:rsidRPr="00D51F44">
        <w:rPr>
          <w:rFonts w:eastAsia="MS Mincho"/>
          <w:iCs/>
          <w:szCs w:val="22"/>
          <w:lang w:val="fr-FR"/>
        </w:rPr>
        <w:t>très peu de projets ont été présentés pour appuyer la mise en œuvre du Protocole de Cartagena au cours de la septième période de reconstitution des ressources du Fonds pour l'environnement mondial ;</w:t>
      </w:r>
      <w:r w:rsidR="007568AD">
        <w:rPr>
          <w:rFonts w:eastAsia="MS Mincho"/>
          <w:iCs/>
          <w:szCs w:val="22"/>
          <w:lang w:val="fr-FR"/>
        </w:rPr>
        <w:t xml:space="preserve"> </w:t>
      </w:r>
    </w:p>
    <w:p w14:paraId="181378AB" w14:textId="77777777" w:rsidR="00D51F44" w:rsidRPr="00D51F44" w:rsidRDefault="00D51F44" w:rsidP="00D51F44">
      <w:pPr>
        <w:kinsoku w:val="0"/>
        <w:overflowPunct w:val="0"/>
        <w:autoSpaceDE w:val="0"/>
        <w:autoSpaceDN w:val="0"/>
        <w:ind w:right="4"/>
        <w:rPr>
          <w:rFonts w:eastAsia="MS Mincho"/>
          <w:iCs/>
          <w:szCs w:val="22"/>
          <w:lang w:val="fr-FR"/>
        </w:rPr>
      </w:pPr>
    </w:p>
    <w:p w14:paraId="2E1AE9D9" w14:textId="04373FE6" w:rsidR="009657F9" w:rsidRDefault="00D51F44" w:rsidP="00D51F44">
      <w:pPr>
        <w:pStyle w:val="Paragraphedeliste"/>
        <w:numPr>
          <w:ilvl w:val="0"/>
          <w:numId w:val="20"/>
        </w:numPr>
        <w:kinsoku w:val="0"/>
        <w:overflowPunct w:val="0"/>
        <w:autoSpaceDE w:val="0"/>
        <w:autoSpaceDN w:val="0"/>
        <w:ind w:left="0" w:right="4" w:firstLine="567"/>
        <w:rPr>
          <w:szCs w:val="22"/>
          <w:lang w:val="fr-FR"/>
        </w:rPr>
      </w:pPr>
      <w:r w:rsidRPr="00D51F44">
        <w:rPr>
          <w:i/>
          <w:iCs/>
          <w:szCs w:val="22"/>
          <w:lang w:val="fr-FR"/>
        </w:rPr>
        <w:t xml:space="preserve">Recommande </w:t>
      </w:r>
      <w:r w:rsidRPr="00D51F44">
        <w:rPr>
          <w:szCs w:val="22"/>
          <w:lang w:val="fr-FR"/>
        </w:rPr>
        <w:t>que la Conférence des Parties, lorsqu'elle adoptera ses orientations à l’intention du Fonds pour l'environnement mondial concernant l'appui à la mise en œuvre du Protocole de Cartagena, invite celui-ci à :</w:t>
      </w:r>
    </w:p>
    <w:p w14:paraId="15453CC8" w14:textId="77777777" w:rsidR="00DB7DB0" w:rsidRPr="00DB7DB0" w:rsidRDefault="00DB7DB0" w:rsidP="00DB7DB0">
      <w:pPr>
        <w:pStyle w:val="Paragraphedeliste"/>
        <w:rPr>
          <w:szCs w:val="22"/>
          <w:lang w:val="fr-FR"/>
        </w:rPr>
      </w:pPr>
    </w:p>
    <w:p w14:paraId="01A63918" w14:textId="3295CCB7" w:rsidR="00DB7DB0" w:rsidRDefault="00DB7DB0" w:rsidP="00DB7DB0">
      <w:pPr>
        <w:pStyle w:val="Paragraphedeliste"/>
        <w:numPr>
          <w:ilvl w:val="0"/>
          <w:numId w:val="21"/>
        </w:numPr>
        <w:kinsoku w:val="0"/>
        <w:overflowPunct w:val="0"/>
        <w:autoSpaceDE w:val="0"/>
        <w:autoSpaceDN w:val="0"/>
        <w:ind w:left="0" w:right="4" w:firstLine="567"/>
        <w:rPr>
          <w:lang w:val="fr-FR"/>
        </w:rPr>
      </w:pPr>
      <w:r w:rsidRPr="00DB7DB0">
        <w:rPr>
          <w:lang w:val="fr-FR"/>
        </w:rPr>
        <w:t>Renforcer son programme de financement consacré au Protocole de Cartagena sur la prévention des risques biotechnologiques afin d'aider les Parties remplissant les conditions requises à appliquer le Protocole ainsi que son plan de mise en œuvre et son plan d'action pour le renforcement des capacités ;</w:t>
      </w:r>
    </w:p>
    <w:p w14:paraId="37DB46D2" w14:textId="77777777" w:rsidR="00C1325F" w:rsidRDefault="00C1325F" w:rsidP="00C1325F">
      <w:pPr>
        <w:pStyle w:val="Paragraphedeliste"/>
        <w:kinsoku w:val="0"/>
        <w:overflowPunct w:val="0"/>
        <w:autoSpaceDE w:val="0"/>
        <w:autoSpaceDN w:val="0"/>
        <w:ind w:left="567" w:right="4"/>
        <w:rPr>
          <w:lang w:val="fr-FR"/>
        </w:rPr>
      </w:pPr>
    </w:p>
    <w:p w14:paraId="68963AB4" w14:textId="1AECCFFB" w:rsidR="00C1325F" w:rsidRPr="00C1325F" w:rsidRDefault="00C1325F" w:rsidP="00C1325F">
      <w:pPr>
        <w:pStyle w:val="Paragraphedeliste"/>
        <w:numPr>
          <w:ilvl w:val="0"/>
          <w:numId w:val="21"/>
        </w:numPr>
        <w:kinsoku w:val="0"/>
        <w:overflowPunct w:val="0"/>
        <w:autoSpaceDE w:val="0"/>
        <w:autoSpaceDN w:val="0"/>
        <w:ind w:left="0" w:right="4" w:firstLine="567"/>
        <w:rPr>
          <w:lang w:val="fr-FR"/>
        </w:rPr>
      </w:pPr>
      <w:r>
        <w:rPr>
          <w:lang w:val="fr-FR"/>
        </w:rPr>
        <w:t xml:space="preserve">Améliorer et simplifier les modalités d’accès à son financement pour le Protocole de Cartagena sur la prévention des risques biotechnologiques, afin de soutenir les Parties éligibles dans la mise en œuvre du Protocole, </w:t>
      </w:r>
      <w:r w:rsidR="00CD19B6">
        <w:rPr>
          <w:lang w:val="fr-FR"/>
        </w:rPr>
        <w:t>dans s</w:t>
      </w:r>
      <w:r>
        <w:rPr>
          <w:lang w:val="fr-FR"/>
        </w:rPr>
        <w:t>on plan de mise en œuvre et du plan d’action pour le renforcement des capacités ;</w:t>
      </w:r>
    </w:p>
    <w:p w14:paraId="569B0CC1" w14:textId="3C32A07A" w:rsidR="00DB7DB0" w:rsidRDefault="00DB7DB0" w:rsidP="00DB7DB0">
      <w:pPr>
        <w:kinsoku w:val="0"/>
        <w:overflowPunct w:val="0"/>
        <w:autoSpaceDE w:val="0"/>
        <w:autoSpaceDN w:val="0"/>
        <w:ind w:right="4"/>
        <w:rPr>
          <w:szCs w:val="22"/>
          <w:lang w:val="fr-FR"/>
        </w:rPr>
      </w:pPr>
    </w:p>
    <w:p w14:paraId="31DAC1AF" w14:textId="6C62AC43" w:rsidR="00DB7DB0" w:rsidRDefault="00DB7DB0" w:rsidP="00DB7DB0">
      <w:pPr>
        <w:pStyle w:val="Paragraphedeliste"/>
        <w:numPr>
          <w:ilvl w:val="0"/>
          <w:numId w:val="21"/>
        </w:numPr>
        <w:kinsoku w:val="0"/>
        <w:overflowPunct w:val="0"/>
        <w:autoSpaceDE w:val="0"/>
        <w:autoSpaceDN w:val="0"/>
        <w:ind w:left="0" w:right="4" w:firstLine="567"/>
        <w:rPr>
          <w:lang w:val="fr-FR"/>
        </w:rPr>
      </w:pPr>
      <w:r w:rsidRPr="00C1325F">
        <w:rPr>
          <w:lang w:val="fr-FR"/>
        </w:rPr>
        <w:t>Continuer à mettre des fonds à disposition en temps voulu pour aider les Parties remplissant les conditions requises à élaborer et à soumettre leur cinquième rapport national ;</w:t>
      </w:r>
      <w:r w:rsidR="0088652D" w:rsidRPr="00C1325F">
        <w:rPr>
          <w:lang w:val="fr-FR"/>
        </w:rPr>
        <w:t xml:space="preserve"> </w:t>
      </w:r>
    </w:p>
    <w:p w14:paraId="20776C18" w14:textId="77777777" w:rsidR="00C1325F" w:rsidRPr="00C1325F" w:rsidRDefault="00C1325F" w:rsidP="00C1325F">
      <w:pPr>
        <w:kinsoku w:val="0"/>
        <w:overflowPunct w:val="0"/>
        <w:autoSpaceDE w:val="0"/>
        <w:autoSpaceDN w:val="0"/>
        <w:ind w:right="4"/>
        <w:rPr>
          <w:lang w:val="fr-FR"/>
        </w:rPr>
      </w:pPr>
    </w:p>
    <w:p w14:paraId="70919347" w14:textId="77777777" w:rsidR="00DB7DB0" w:rsidRPr="00DB7DB0" w:rsidRDefault="00DB7DB0" w:rsidP="00DB7DB0">
      <w:pPr>
        <w:pStyle w:val="Paragraphedeliste"/>
        <w:numPr>
          <w:ilvl w:val="0"/>
          <w:numId w:val="21"/>
        </w:numPr>
        <w:kinsoku w:val="0"/>
        <w:overflowPunct w:val="0"/>
        <w:autoSpaceDE w:val="0"/>
        <w:autoSpaceDN w:val="0"/>
        <w:ind w:left="0" w:right="4" w:firstLine="567"/>
        <w:rPr>
          <w:lang w:val="fr-FR"/>
        </w:rPr>
      </w:pPr>
      <w:r w:rsidRPr="00DB7DB0">
        <w:rPr>
          <w:lang w:val="fr-FR"/>
        </w:rPr>
        <w:t xml:space="preserve">Continuer à aider les Parties remplissant les conditions requises à entreprendre des activités dans les domaines suivants : élaboration et application de mesures juridiques, administratives et autres pour </w:t>
      </w:r>
      <w:r w:rsidRPr="00DB7DB0">
        <w:rPr>
          <w:lang w:val="fr-FR"/>
        </w:rPr>
        <w:lastRenderedPageBreak/>
        <w:t>mettre en œuvre le Protocole ; évaluation et gestion des risques ; détection et identification des organismes vivants modifiés ; sensibilisation, éducation et participation du public ; considérations socioéconomiques ; responsabilité et réparation ; établissement de rapports nationaux ; partage de l'information et Centre d'échange pour la prévention des risques biotechnologiques ; transfert de connaissances et de technologies ; et mise en œuvre de plans d'action pour le respect du Protocole ;</w:t>
      </w:r>
    </w:p>
    <w:p w14:paraId="5D7169B1" w14:textId="5C04FD88" w:rsidR="009657F9" w:rsidRPr="006466E7" w:rsidRDefault="00EE013D" w:rsidP="009657F9">
      <w:pPr>
        <w:shd w:val="clear" w:color="auto" w:fill="FFFFFF" w:themeFill="background1"/>
        <w:spacing w:before="120" w:after="120"/>
        <w:ind w:firstLine="720"/>
        <w:rPr>
          <w:snapToGrid w:val="0"/>
          <w:kern w:val="22"/>
          <w:lang w:val="fr-FR"/>
        </w:rPr>
      </w:pPr>
      <w:r w:rsidRPr="00DB7DB0">
        <w:rPr>
          <w:snapToGrid w:val="0"/>
          <w:kern w:val="22"/>
          <w:lang w:val="fr-FR"/>
        </w:rPr>
        <w:t>4</w:t>
      </w:r>
      <w:r w:rsidR="00576540" w:rsidRPr="00DB7DB0">
        <w:rPr>
          <w:snapToGrid w:val="0"/>
          <w:kern w:val="22"/>
          <w:lang w:val="fr-FR"/>
        </w:rPr>
        <w:t>.</w:t>
      </w:r>
      <w:r w:rsidR="006114A5" w:rsidRPr="00DB7DB0">
        <w:rPr>
          <w:snapToGrid w:val="0"/>
          <w:kern w:val="22"/>
          <w:lang w:val="fr-FR"/>
        </w:rPr>
        <w:tab/>
      </w:r>
      <w:r w:rsidR="006466E7" w:rsidRPr="006466E7">
        <w:rPr>
          <w:i/>
          <w:iCs/>
          <w:snapToGrid w:val="0"/>
          <w:kern w:val="22"/>
          <w:lang w:val="fr-FR"/>
        </w:rPr>
        <w:t>Invite</w:t>
      </w:r>
      <w:r w:rsidR="006466E7" w:rsidRPr="006466E7">
        <w:rPr>
          <w:snapToGrid w:val="0"/>
          <w:kern w:val="22"/>
          <w:lang w:val="fr-FR"/>
        </w:rPr>
        <w:t xml:space="preserve"> le Conseil du Fonds pour l'environnement mondial à examiner la possibilité de créer un guichet financier spécifique pour le Protocole de Cartagena sur la prévention des risques biotechnologiques ;</w:t>
      </w:r>
    </w:p>
    <w:p w14:paraId="62F0885C" w14:textId="0704EBD6" w:rsidR="009657F9" w:rsidRPr="00DB7DB0" w:rsidRDefault="003A22DF" w:rsidP="009657F9">
      <w:pPr>
        <w:shd w:val="clear" w:color="auto" w:fill="FFFFFF" w:themeFill="background1"/>
        <w:spacing w:before="120" w:after="120"/>
        <w:ind w:firstLine="709"/>
        <w:rPr>
          <w:snapToGrid w:val="0"/>
          <w:kern w:val="22"/>
          <w:szCs w:val="22"/>
          <w:lang w:val="fr-FR"/>
        </w:rPr>
      </w:pPr>
      <w:r w:rsidRPr="00DB7DB0">
        <w:rPr>
          <w:snapToGrid w:val="0"/>
          <w:kern w:val="22"/>
          <w:szCs w:val="22"/>
          <w:lang w:val="fr-FR"/>
        </w:rPr>
        <w:t>5</w:t>
      </w:r>
      <w:r w:rsidR="009657F9" w:rsidRPr="00DB7DB0">
        <w:rPr>
          <w:snapToGrid w:val="0"/>
          <w:kern w:val="22"/>
          <w:szCs w:val="22"/>
          <w:lang w:val="fr-FR"/>
        </w:rPr>
        <w:t>.</w:t>
      </w:r>
      <w:r w:rsidR="009657F9" w:rsidRPr="00DB7DB0">
        <w:rPr>
          <w:i/>
          <w:iCs/>
          <w:snapToGrid w:val="0"/>
          <w:kern w:val="22"/>
          <w:szCs w:val="22"/>
          <w:lang w:val="fr-FR"/>
        </w:rPr>
        <w:tab/>
      </w:r>
      <w:r w:rsidR="00DB7DB0" w:rsidRPr="00DB7DB0">
        <w:rPr>
          <w:i/>
          <w:iCs/>
          <w:lang w:val="fr-FR"/>
        </w:rPr>
        <w:t>Prie instamment</w:t>
      </w:r>
      <w:r w:rsidR="00DB7DB0" w:rsidRPr="00DB7DB0">
        <w:rPr>
          <w:lang w:val="fr-FR"/>
        </w:rPr>
        <w:t xml:space="preserve"> les Parties à la Convention qui sont également</w:t>
      </w:r>
      <w:r w:rsidR="00DB7DB0" w:rsidRPr="00DB7DB0">
        <w:rPr>
          <w:lang w:val="fr-FR"/>
        </w:rPr>
        <w:t xml:space="preserve"> </w:t>
      </w:r>
      <w:r w:rsidR="00DB7DB0" w:rsidRPr="00DB7DB0">
        <w:rPr>
          <w:lang w:val="fr-FR"/>
        </w:rPr>
        <w:t>Parties au Protocole de Cartagena d'inclure des projets relatifs à la prévention des risques biotechnologiques dans l'utilisation des fonds qui leur sont alloués au titre du Système d'allocation transparente des ressources pour la huitième période de reconstitution des ressources du Fonds d'affectation spéciale du Fonds</w:t>
      </w:r>
      <w:r w:rsidR="00DB7DB0" w:rsidRPr="00DB7DB0">
        <w:rPr>
          <w:lang w:val="fr-FR"/>
        </w:rPr>
        <w:t xml:space="preserve"> </w:t>
      </w:r>
      <w:r w:rsidR="00DB7DB0" w:rsidRPr="00DB7DB0">
        <w:rPr>
          <w:lang w:val="fr-FR"/>
        </w:rPr>
        <w:t>pour l'environnement mondial, en tenant compte de leurs obligations au titre du Protocole</w:t>
      </w:r>
      <w:r w:rsidR="00DB7DB0" w:rsidRPr="00DB7DB0">
        <w:rPr>
          <w:lang w:val="fr-FR"/>
        </w:rPr>
        <w:t xml:space="preserve"> </w:t>
      </w:r>
      <w:r w:rsidR="00DB7DB0" w:rsidRPr="00DB7DB0">
        <w:rPr>
          <w:lang w:val="fr-FR"/>
        </w:rPr>
        <w:t>de Cartagena sur la prévention des risques biotechnologiques, du plan d'application post-2020 et du plan d'action pour le renforcement des</w:t>
      </w:r>
      <w:r w:rsidR="00DB7DB0" w:rsidRPr="00DB7DB0">
        <w:rPr>
          <w:lang w:val="fr-FR"/>
        </w:rPr>
        <w:t xml:space="preserve"> </w:t>
      </w:r>
      <w:r w:rsidR="00DB7DB0" w:rsidRPr="00DB7DB0">
        <w:rPr>
          <w:lang w:val="fr-FR"/>
        </w:rPr>
        <w:t>capacités du Protocole de Cartagena,</w:t>
      </w:r>
      <w:r w:rsidR="00DB7DB0" w:rsidRPr="00DB7DB0">
        <w:rPr>
          <w:lang w:val="fr-FR"/>
        </w:rPr>
        <w:t xml:space="preserve"> </w:t>
      </w:r>
      <w:r w:rsidR="00DB7DB0" w:rsidRPr="00DB7DB0">
        <w:rPr>
          <w:lang w:val="fr-FR"/>
        </w:rPr>
        <w:t>ainsi que des orientations de la Conférence</w:t>
      </w:r>
      <w:r w:rsidR="00DB7DB0" w:rsidRPr="00DB7DB0">
        <w:rPr>
          <w:lang w:val="fr-FR"/>
        </w:rPr>
        <w:t xml:space="preserve"> </w:t>
      </w:r>
      <w:r w:rsidR="00DB7DB0" w:rsidRPr="00DB7DB0">
        <w:rPr>
          <w:lang w:val="fr-FR"/>
        </w:rPr>
        <w:t>des Parties au Fonds</w:t>
      </w:r>
      <w:r w:rsidR="00DB7DB0" w:rsidRPr="00DB7DB0">
        <w:rPr>
          <w:lang w:val="fr-FR"/>
        </w:rPr>
        <w:t xml:space="preserve"> </w:t>
      </w:r>
      <w:r w:rsidR="00DB7DB0" w:rsidRPr="00DB7DB0">
        <w:rPr>
          <w:lang w:val="fr-FR"/>
        </w:rPr>
        <w:t>pour l'environnement mondial ;</w:t>
      </w:r>
    </w:p>
    <w:p w14:paraId="40AC2230" w14:textId="30ED250D" w:rsidR="009657F9" w:rsidRPr="00DB7DB0" w:rsidRDefault="003A22DF" w:rsidP="009657F9">
      <w:pPr>
        <w:shd w:val="clear" w:color="auto" w:fill="FFFFFF" w:themeFill="background1"/>
        <w:spacing w:before="120" w:after="120"/>
        <w:ind w:firstLine="709"/>
        <w:rPr>
          <w:rFonts w:asciiTheme="majorBidi" w:hAnsiTheme="majorBidi" w:cstheme="majorBidi"/>
          <w:lang w:val="fr-FR"/>
        </w:rPr>
      </w:pPr>
      <w:r w:rsidRPr="00DB7DB0">
        <w:rPr>
          <w:rFonts w:asciiTheme="majorBidi" w:hAnsiTheme="majorBidi" w:cstheme="majorBidi"/>
          <w:lang w:val="fr-FR"/>
        </w:rPr>
        <w:t>6</w:t>
      </w:r>
      <w:r w:rsidR="009657F9" w:rsidRPr="00DB7DB0">
        <w:rPr>
          <w:rFonts w:asciiTheme="majorBidi" w:hAnsiTheme="majorBidi" w:cstheme="majorBidi"/>
          <w:lang w:val="fr-FR"/>
        </w:rPr>
        <w:t>.</w:t>
      </w:r>
      <w:r w:rsidR="009657F9" w:rsidRPr="00DB7DB0">
        <w:rPr>
          <w:rFonts w:asciiTheme="majorBidi" w:hAnsiTheme="majorBidi" w:cstheme="majorBidi"/>
          <w:i/>
          <w:iCs/>
          <w:lang w:val="fr-FR"/>
        </w:rPr>
        <w:tab/>
      </w:r>
      <w:r w:rsidR="00DB7DB0" w:rsidRPr="00DB7DB0">
        <w:rPr>
          <w:i/>
          <w:iCs/>
          <w:lang w:val="fr-FR"/>
        </w:rPr>
        <w:t>Encourage</w:t>
      </w:r>
      <w:r w:rsidR="00DB7DB0" w:rsidRPr="00DB7DB0">
        <w:rPr>
          <w:lang w:val="fr-FR"/>
        </w:rPr>
        <w:t xml:space="preserve"> les Parties à inclure les besoins et les dispositions pour la mise en œuvre du</w:t>
      </w:r>
      <w:r w:rsidR="00DB7DB0" w:rsidRPr="00DB7DB0">
        <w:rPr>
          <w:lang w:val="fr-FR"/>
        </w:rPr>
        <w:t xml:space="preserve"> </w:t>
      </w:r>
      <w:r w:rsidR="00DB7DB0" w:rsidRPr="00DB7DB0">
        <w:rPr>
          <w:lang w:val="fr-FR"/>
        </w:rPr>
        <w:t>Protocole de Cartagena dans leurs plans nationaux de financement de la biodiversité et dans la mise en</w:t>
      </w:r>
      <w:r w:rsidR="00DB7DB0" w:rsidRPr="00DB7DB0">
        <w:rPr>
          <w:lang w:val="fr-FR"/>
        </w:rPr>
        <w:t xml:space="preserve"> </w:t>
      </w:r>
      <w:r w:rsidR="00DB7DB0" w:rsidRPr="00DB7DB0">
        <w:rPr>
          <w:lang w:val="fr-FR"/>
        </w:rPr>
        <w:t>œuvre nationale de la stratégie</w:t>
      </w:r>
      <w:r w:rsidR="00DB7DB0" w:rsidRPr="00DB7DB0">
        <w:rPr>
          <w:lang w:val="fr-FR"/>
        </w:rPr>
        <w:t xml:space="preserve"> </w:t>
      </w:r>
      <w:r w:rsidR="00DB7DB0" w:rsidRPr="00DB7DB0">
        <w:rPr>
          <w:lang w:val="fr-FR"/>
        </w:rPr>
        <w:t>de mobilisation des ressources pour la période post-2020.</w:t>
      </w:r>
    </w:p>
    <w:p w14:paraId="26A87371" w14:textId="2FE29D8C" w:rsidR="009657F9" w:rsidRPr="0088652D" w:rsidRDefault="003A22DF" w:rsidP="009657F9">
      <w:pPr>
        <w:shd w:val="clear" w:color="auto" w:fill="FFFFFF" w:themeFill="background1"/>
        <w:spacing w:before="120" w:after="120"/>
        <w:ind w:firstLine="709"/>
        <w:rPr>
          <w:lang w:val="fr-FR"/>
        </w:rPr>
      </w:pPr>
      <w:r>
        <w:t>7</w:t>
      </w:r>
      <w:r w:rsidR="009657F9">
        <w:t xml:space="preserve">. </w:t>
      </w:r>
      <w:r w:rsidR="009657F9">
        <w:tab/>
      </w:r>
      <w:r w:rsidR="00CD19B6">
        <w:rPr>
          <w:i/>
          <w:iCs/>
          <w:lang w:val="fr-FR"/>
        </w:rPr>
        <w:t>Prie</w:t>
      </w:r>
      <w:r w:rsidR="0088652D" w:rsidRPr="0088652D">
        <w:rPr>
          <w:i/>
          <w:iCs/>
          <w:lang w:val="fr-FR"/>
        </w:rPr>
        <w:t xml:space="preserve"> </w:t>
      </w:r>
      <w:r w:rsidR="0088652D" w:rsidRPr="0088652D">
        <w:rPr>
          <w:lang w:val="fr-FR"/>
        </w:rPr>
        <w:t xml:space="preserve">la Secrétaire </w:t>
      </w:r>
      <w:r w:rsidR="00D81CA4" w:rsidRPr="0088652D">
        <w:rPr>
          <w:lang w:val="fr-FR"/>
        </w:rPr>
        <w:t>exécutive</w:t>
      </w:r>
      <w:r w:rsidR="0088652D" w:rsidRPr="0088652D">
        <w:rPr>
          <w:lang w:val="fr-FR"/>
        </w:rPr>
        <w:t xml:space="preserve"> d</w:t>
      </w:r>
      <w:r w:rsidR="00D81CA4">
        <w:rPr>
          <w:lang w:val="fr-FR"/>
        </w:rPr>
        <w:t xml:space="preserve">’identifier, </w:t>
      </w:r>
      <w:r w:rsidR="00CD19B6">
        <w:rPr>
          <w:lang w:val="fr-FR"/>
        </w:rPr>
        <w:t xml:space="preserve">de </w:t>
      </w:r>
      <w:r w:rsidR="00D81CA4">
        <w:rPr>
          <w:lang w:val="fr-FR"/>
        </w:rPr>
        <w:t xml:space="preserve">communiquer et </w:t>
      </w:r>
      <w:r w:rsidR="00CD19B6">
        <w:rPr>
          <w:lang w:val="fr-FR"/>
        </w:rPr>
        <w:t>d’analyser :</w:t>
      </w:r>
      <w:r w:rsidR="00D81CA4">
        <w:rPr>
          <w:lang w:val="fr-FR"/>
        </w:rPr>
        <w:t xml:space="preserve"> </w:t>
      </w:r>
    </w:p>
    <w:p w14:paraId="27616E06" w14:textId="731E8207" w:rsidR="009657F9" w:rsidRPr="00DB7DB0" w:rsidRDefault="009657F9" w:rsidP="009657F9">
      <w:pPr>
        <w:shd w:val="clear" w:color="auto" w:fill="FFFFFF" w:themeFill="background1"/>
        <w:spacing w:before="120" w:after="120"/>
        <w:ind w:firstLine="709"/>
        <w:rPr>
          <w:lang w:val="fr-FR"/>
        </w:rPr>
      </w:pPr>
      <w:r w:rsidRPr="00DB7DB0">
        <w:rPr>
          <w:lang w:val="fr-FR"/>
        </w:rPr>
        <w:t>(a)</w:t>
      </w:r>
      <w:r w:rsidRPr="00DB7DB0">
        <w:rPr>
          <w:lang w:val="fr-FR"/>
        </w:rPr>
        <w:tab/>
      </w:r>
      <w:r w:rsidR="00D81CA4">
        <w:rPr>
          <w:lang w:val="fr-FR"/>
        </w:rPr>
        <w:t>Les</w:t>
      </w:r>
      <w:r w:rsidR="00DB7DB0" w:rsidRPr="00DB7DB0">
        <w:rPr>
          <w:lang w:val="fr-FR"/>
        </w:rPr>
        <w:t xml:space="preserve"> sources de financement pour la prévention des risques biotechnologiques afin de soutenir les Parties</w:t>
      </w:r>
      <w:r w:rsidR="00437667">
        <w:rPr>
          <w:lang w:val="fr-FR"/>
        </w:rPr>
        <w:t> ;</w:t>
      </w:r>
    </w:p>
    <w:p w14:paraId="32342B2C" w14:textId="37E57C49" w:rsidR="00DB7DB0" w:rsidRPr="00DB7DB0" w:rsidRDefault="009657F9" w:rsidP="00DB7DB0">
      <w:pPr>
        <w:shd w:val="clear" w:color="auto" w:fill="FFFFFF" w:themeFill="background1"/>
        <w:spacing w:before="120" w:after="120"/>
        <w:ind w:firstLine="709"/>
        <w:rPr>
          <w:snapToGrid w:val="0"/>
          <w:kern w:val="22"/>
          <w:lang w:val="fr-FR"/>
        </w:rPr>
      </w:pPr>
      <w:r w:rsidRPr="00DB7DB0">
        <w:rPr>
          <w:lang w:val="fr-FR"/>
        </w:rPr>
        <w:t>(b)</w:t>
      </w:r>
      <w:r w:rsidRPr="00DB7DB0">
        <w:rPr>
          <w:lang w:val="fr-FR"/>
        </w:rPr>
        <w:tab/>
      </w:r>
      <w:r w:rsidR="00D81CA4">
        <w:rPr>
          <w:snapToGrid w:val="0"/>
          <w:kern w:val="22"/>
          <w:lang w:val="fr-FR"/>
        </w:rPr>
        <w:t>L’efficacité</w:t>
      </w:r>
      <w:r w:rsidR="00DB7DB0" w:rsidRPr="00DB7DB0">
        <w:rPr>
          <w:snapToGrid w:val="0"/>
          <w:kern w:val="22"/>
          <w:lang w:val="fr-FR"/>
        </w:rPr>
        <w:t xml:space="preserve"> du mécanisme financier pour la mise en œuvre du Protocole de Cartagena dans le cadre du sixième examen de l'efficacité du mécanisme financier</w:t>
      </w:r>
      <w:r w:rsidR="00384143">
        <w:rPr>
          <w:rStyle w:val="Appelnotedebasdep"/>
          <w:snapToGrid w:val="0"/>
          <w:kern w:val="22"/>
          <w:lang w:val="fr-FR"/>
        </w:rPr>
        <w:footnoteReference w:id="1"/>
      </w:r>
      <w:r w:rsidR="00DB7DB0" w:rsidRPr="00DB7DB0">
        <w:rPr>
          <w:snapToGrid w:val="0"/>
          <w:kern w:val="22"/>
          <w:lang w:val="fr-FR"/>
        </w:rPr>
        <w:t>, tout en examinant la pertinence et le processus de création d'un guichet autonome pour la prévention des risques biotechnologiques, pour examen par la Conférence des Parties agissant comme réunion des Parties au Protocole de Cartagena, lors de sa onzième réunion.</w:t>
      </w:r>
      <w:r w:rsidR="00935EFC">
        <w:rPr>
          <w:snapToGrid w:val="0"/>
          <w:kern w:val="22"/>
          <w:lang w:val="fr-FR"/>
        </w:rPr>
        <w:t xml:space="preserve">  </w:t>
      </w:r>
    </w:p>
    <w:p w14:paraId="166906DC" w14:textId="77777777" w:rsidR="00DB7DB0" w:rsidRPr="00DB7DB0" w:rsidRDefault="00DB7DB0" w:rsidP="00DB7DB0">
      <w:pPr>
        <w:shd w:val="clear" w:color="auto" w:fill="FFFFFF" w:themeFill="background1"/>
        <w:spacing w:before="120" w:after="120"/>
        <w:ind w:firstLine="709"/>
        <w:rPr>
          <w:snapToGrid w:val="0"/>
          <w:kern w:val="22"/>
          <w:lang w:val="fr-FR"/>
        </w:rPr>
      </w:pPr>
    </w:p>
    <w:p w14:paraId="3093D971" w14:textId="24A539EC" w:rsidR="00B3369F" w:rsidRPr="00C9161D" w:rsidRDefault="0077674C" w:rsidP="003B47EF">
      <w:pPr>
        <w:spacing w:before="120" w:after="120"/>
        <w:ind w:firstLine="567"/>
        <w:jc w:val="center"/>
      </w:pPr>
      <w:r>
        <w:t>__________</w:t>
      </w:r>
    </w:p>
    <w:sectPr w:rsidR="00B3369F" w:rsidRPr="00C9161D" w:rsidSect="009657F9">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F21E2" w14:textId="77777777" w:rsidR="0007254C" w:rsidRDefault="0007254C" w:rsidP="00CF1848">
      <w:r>
        <w:separator/>
      </w:r>
    </w:p>
  </w:endnote>
  <w:endnote w:type="continuationSeparator" w:id="0">
    <w:p w14:paraId="2C3C87FD" w14:textId="77777777" w:rsidR="0007254C" w:rsidRDefault="0007254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05923" w14:textId="77777777" w:rsidR="0007254C" w:rsidRDefault="0007254C" w:rsidP="00CF1848">
      <w:r>
        <w:separator/>
      </w:r>
    </w:p>
  </w:footnote>
  <w:footnote w:type="continuationSeparator" w:id="0">
    <w:p w14:paraId="491F7818" w14:textId="77777777" w:rsidR="0007254C" w:rsidRDefault="0007254C" w:rsidP="00CF1848">
      <w:r>
        <w:continuationSeparator/>
      </w:r>
    </w:p>
  </w:footnote>
  <w:footnote w:id="1">
    <w:p w14:paraId="2EF12E24" w14:textId="1C22060C" w:rsidR="00384143" w:rsidRPr="00384143" w:rsidRDefault="00384143" w:rsidP="00384143">
      <w:pPr>
        <w:pStyle w:val="Notedebasdepage"/>
        <w:ind w:firstLine="0"/>
        <w:rPr>
          <w:lang w:val="fr-FR"/>
        </w:rPr>
      </w:pPr>
      <w:r>
        <w:rPr>
          <w:rStyle w:val="Appelnotedebasdep"/>
        </w:rPr>
        <w:footnoteRef/>
      </w:r>
      <w:r w:rsidRPr="00384143">
        <w:rPr>
          <w:lang w:val="fr-FR"/>
        </w:rPr>
        <w:t xml:space="preserve"> </w:t>
      </w:r>
      <w:r w:rsidRPr="00384143">
        <w:rPr>
          <w:lang w:val="fr-FR"/>
        </w:rPr>
        <w:t xml:space="preserve">  Décision 15/-- de la COP sur le point 12B (mécanisme financier).</w:t>
      </w:r>
      <w:r w:rsidR="00F50E2A">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5E9B56F7" w:rsidR="00534681" w:rsidRPr="00455324" w:rsidRDefault="00F2040E" w:rsidP="00534681">
        <w:pPr>
          <w:pStyle w:val="En-tte"/>
          <w:rPr>
            <w:lang w:val="nl-NL"/>
          </w:rPr>
        </w:pPr>
        <w:r>
          <w:rPr>
            <w:lang w:val="nl-NL"/>
          </w:rPr>
          <w:t>CBD/CP/MOP/10/L.12</w:t>
        </w:r>
      </w:p>
    </w:sdtContent>
  </w:sdt>
  <w:p w14:paraId="1E0FDE0B" w14:textId="77777777" w:rsidR="00534681" w:rsidRPr="00455324" w:rsidRDefault="00534681" w:rsidP="00534681">
    <w:pPr>
      <w:pStyle w:val="En-tte"/>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2</w:t>
    </w:r>
    <w:r>
      <w:rPr>
        <w:noProof/>
      </w:rPr>
      <w:fldChar w:fldCharType="end"/>
    </w:r>
  </w:p>
  <w:p w14:paraId="61C60697" w14:textId="77777777" w:rsidR="00534681" w:rsidRPr="00455324" w:rsidRDefault="00534681">
    <w:pPr>
      <w:pStyle w:val="En-tte"/>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663029E5" w:rsidR="009505C9" w:rsidRPr="00455324" w:rsidRDefault="00F2040E" w:rsidP="009505C9">
        <w:pPr>
          <w:pStyle w:val="En-tte"/>
          <w:jc w:val="right"/>
          <w:rPr>
            <w:lang w:val="nl-NL"/>
          </w:rPr>
        </w:pPr>
        <w:r>
          <w:rPr>
            <w:lang w:val="nl-NL"/>
          </w:rPr>
          <w:t>CBD/CP/MOP/10/L.12</w:t>
        </w:r>
      </w:p>
    </w:sdtContent>
  </w:sdt>
  <w:p w14:paraId="64AE8439" w14:textId="77777777" w:rsidR="009505C9" w:rsidRPr="00455324" w:rsidRDefault="009505C9" w:rsidP="009505C9">
    <w:pPr>
      <w:pStyle w:val="En-tte"/>
      <w:jc w:val="right"/>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3</w:t>
    </w:r>
    <w:r>
      <w:rPr>
        <w:noProof/>
      </w:rPr>
      <w:fldChar w:fldCharType="end"/>
    </w:r>
  </w:p>
  <w:p w14:paraId="16137B8A" w14:textId="77777777" w:rsidR="009505C9" w:rsidRPr="00455324" w:rsidRDefault="009505C9">
    <w:pPr>
      <w:pStyle w:val="En-tte"/>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D6E69"/>
    <w:multiLevelType w:val="hybridMultilevel"/>
    <w:tmpl w:val="FF5C169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7522E8"/>
    <w:multiLevelType w:val="hybridMultilevel"/>
    <w:tmpl w:val="AAEEE3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325112"/>
    <w:multiLevelType w:val="hybridMultilevel"/>
    <w:tmpl w:val="DE18BB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329408">
    <w:abstractNumId w:val="5"/>
  </w:num>
  <w:num w:numId="2" w16cid:durableId="1645234170">
    <w:abstractNumId w:val="9"/>
  </w:num>
  <w:num w:numId="3" w16cid:durableId="219706436">
    <w:abstractNumId w:val="6"/>
  </w:num>
  <w:num w:numId="4" w16cid:durableId="1685861736">
    <w:abstractNumId w:val="9"/>
  </w:num>
  <w:num w:numId="5" w16cid:durableId="842234676">
    <w:abstractNumId w:val="7"/>
  </w:num>
  <w:num w:numId="6" w16cid:durableId="693305387">
    <w:abstractNumId w:val="2"/>
  </w:num>
  <w:num w:numId="7" w16cid:durableId="197738313">
    <w:abstractNumId w:val="4"/>
  </w:num>
  <w:num w:numId="8" w16cid:durableId="1610816402">
    <w:abstractNumId w:val="6"/>
    <w:lvlOverride w:ilvl="0">
      <w:startOverride w:val="1"/>
    </w:lvlOverride>
  </w:num>
  <w:num w:numId="9" w16cid:durableId="127742898">
    <w:abstractNumId w:val="13"/>
  </w:num>
  <w:num w:numId="10" w16cid:durableId="57754283">
    <w:abstractNumId w:val="6"/>
    <w:lvlOverride w:ilvl="0">
      <w:startOverride w:val="1"/>
    </w:lvlOverride>
  </w:num>
  <w:num w:numId="11" w16cid:durableId="1622567791">
    <w:abstractNumId w:val="6"/>
    <w:lvlOverride w:ilvl="0">
      <w:startOverride w:val="1"/>
    </w:lvlOverride>
  </w:num>
  <w:num w:numId="12" w16cid:durableId="1381708791">
    <w:abstractNumId w:val="6"/>
    <w:lvlOverride w:ilvl="0">
      <w:startOverride w:val="1"/>
    </w:lvlOverride>
  </w:num>
  <w:num w:numId="13" w16cid:durableId="634868762">
    <w:abstractNumId w:val="6"/>
    <w:lvlOverride w:ilvl="0">
      <w:startOverride w:val="1"/>
    </w:lvlOverride>
  </w:num>
  <w:num w:numId="14" w16cid:durableId="1173030908">
    <w:abstractNumId w:val="11"/>
  </w:num>
  <w:num w:numId="15" w16cid:durableId="1770807453">
    <w:abstractNumId w:val="10"/>
  </w:num>
  <w:num w:numId="16" w16cid:durableId="1660696273">
    <w:abstractNumId w:val="3"/>
  </w:num>
  <w:num w:numId="17" w16cid:durableId="961424967">
    <w:abstractNumId w:val="14"/>
  </w:num>
  <w:num w:numId="18" w16cid:durableId="192958393">
    <w:abstractNumId w:val="15"/>
  </w:num>
  <w:num w:numId="19" w16cid:durableId="807207496">
    <w:abstractNumId w:val="8"/>
  </w:num>
  <w:num w:numId="20" w16cid:durableId="2058124064">
    <w:abstractNumId w:val="1"/>
  </w:num>
  <w:num w:numId="21" w16cid:durableId="494299600">
    <w:abstractNumId w:val="12"/>
  </w:num>
  <w:num w:numId="22" w16cid:durableId="372848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408F"/>
    <w:rsid w:val="00020A25"/>
    <w:rsid w:val="000214CD"/>
    <w:rsid w:val="00022F5F"/>
    <w:rsid w:val="0003226A"/>
    <w:rsid w:val="0003732A"/>
    <w:rsid w:val="00060B7B"/>
    <w:rsid w:val="00066CF0"/>
    <w:rsid w:val="0007171B"/>
    <w:rsid w:val="0007254C"/>
    <w:rsid w:val="000A2639"/>
    <w:rsid w:val="000B5883"/>
    <w:rsid w:val="000C0D9A"/>
    <w:rsid w:val="000C63E7"/>
    <w:rsid w:val="000C64C2"/>
    <w:rsid w:val="000D1A6E"/>
    <w:rsid w:val="000D395E"/>
    <w:rsid w:val="000E673A"/>
    <w:rsid w:val="000F74F5"/>
    <w:rsid w:val="00105372"/>
    <w:rsid w:val="001312AD"/>
    <w:rsid w:val="00131D48"/>
    <w:rsid w:val="00131E7A"/>
    <w:rsid w:val="00134846"/>
    <w:rsid w:val="00154A9E"/>
    <w:rsid w:val="00156F3B"/>
    <w:rsid w:val="00172AF6"/>
    <w:rsid w:val="00176CEE"/>
    <w:rsid w:val="0018309F"/>
    <w:rsid w:val="00186DD8"/>
    <w:rsid w:val="001B13FE"/>
    <w:rsid w:val="001C1A3B"/>
    <w:rsid w:val="001C35BC"/>
    <w:rsid w:val="001F7E05"/>
    <w:rsid w:val="00201591"/>
    <w:rsid w:val="0021463A"/>
    <w:rsid w:val="00267BE8"/>
    <w:rsid w:val="00283D98"/>
    <w:rsid w:val="002D0235"/>
    <w:rsid w:val="002D14C0"/>
    <w:rsid w:val="0030169D"/>
    <w:rsid w:val="003060EB"/>
    <w:rsid w:val="003153EB"/>
    <w:rsid w:val="00321985"/>
    <w:rsid w:val="00340C60"/>
    <w:rsid w:val="00351205"/>
    <w:rsid w:val="00365DB7"/>
    <w:rsid w:val="00371BE1"/>
    <w:rsid w:val="00372F74"/>
    <w:rsid w:val="00384143"/>
    <w:rsid w:val="003A22DF"/>
    <w:rsid w:val="003B47EF"/>
    <w:rsid w:val="003B7BB2"/>
    <w:rsid w:val="003F7224"/>
    <w:rsid w:val="00423EA0"/>
    <w:rsid w:val="00427D21"/>
    <w:rsid w:val="00437667"/>
    <w:rsid w:val="00440C68"/>
    <w:rsid w:val="00442921"/>
    <w:rsid w:val="00446BCA"/>
    <w:rsid w:val="00455324"/>
    <w:rsid w:val="004644C2"/>
    <w:rsid w:val="00467F9C"/>
    <w:rsid w:val="00485738"/>
    <w:rsid w:val="004A0FD7"/>
    <w:rsid w:val="004C0474"/>
    <w:rsid w:val="004C1C12"/>
    <w:rsid w:val="004C6D2C"/>
    <w:rsid w:val="00524D2C"/>
    <w:rsid w:val="00534681"/>
    <w:rsid w:val="00563442"/>
    <w:rsid w:val="00565B42"/>
    <w:rsid w:val="005710F5"/>
    <w:rsid w:val="00576540"/>
    <w:rsid w:val="005B4ADC"/>
    <w:rsid w:val="005C0B06"/>
    <w:rsid w:val="005C4CE6"/>
    <w:rsid w:val="005D3FAA"/>
    <w:rsid w:val="005E0ED3"/>
    <w:rsid w:val="006114A5"/>
    <w:rsid w:val="006122BA"/>
    <w:rsid w:val="0063588C"/>
    <w:rsid w:val="006466E7"/>
    <w:rsid w:val="00653516"/>
    <w:rsid w:val="006552F9"/>
    <w:rsid w:val="00660159"/>
    <w:rsid w:val="006B2290"/>
    <w:rsid w:val="006C5F57"/>
    <w:rsid w:val="006C6350"/>
    <w:rsid w:val="006D3461"/>
    <w:rsid w:val="006E4130"/>
    <w:rsid w:val="006F201C"/>
    <w:rsid w:val="00717D88"/>
    <w:rsid w:val="00723E7F"/>
    <w:rsid w:val="0073336F"/>
    <w:rsid w:val="007552CE"/>
    <w:rsid w:val="007568AD"/>
    <w:rsid w:val="007570FB"/>
    <w:rsid w:val="0077674C"/>
    <w:rsid w:val="00786056"/>
    <w:rsid w:val="00792DF1"/>
    <w:rsid w:val="0079384C"/>
    <w:rsid w:val="007942D3"/>
    <w:rsid w:val="007B2011"/>
    <w:rsid w:val="007B2099"/>
    <w:rsid w:val="007B5B1F"/>
    <w:rsid w:val="007B6C09"/>
    <w:rsid w:val="007B7741"/>
    <w:rsid w:val="007C7C7B"/>
    <w:rsid w:val="007E09DA"/>
    <w:rsid w:val="007E1CF1"/>
    <w:rsid w:val="007E69A2"/>
    <w:rsid w:val="00803173"/>
    <w:rsid w:val="008078AA"/>
    <w:rsid w:val="0081121C"/>
    <w:rsid w:val="008178B6"/>
    <w:rsid w:val="00847E2F"/>
    <w:rsid w:val="00865B74"/>
    <w:rsid w:val="0088652D"/>
    <w:rsid w:val="00890D62"/>
    <w:rsid w:val="008974F0"/>
    <w:rsid w:val="008B012A"/>
    <w:rsid w:val="008E6A9F"/>
    <w:rsid w:val="008F4CD6"/>
    <w:rsid w:val="008F6FA1"/>
    <w:rsid w:val="00906E17"/>
    <w:rsid w:val="00930BA1"/>
    <w:rsid w:val="0093169E"/>
    <w:rsid w:val="00932060"/>
    <w:rsid w:val="00935EFC"/>
    <w:rsid w:val="00937130"/>
    <w:rsid w:val="009505C9"/>
    <w:rsid w:val="00950752"/>
    <w:rsid w:val="009657F9"/>
    <w:rsid w:val="00966424"/>
    <w:rsid w:val="00994E77"/>
    <w:rsid w:val="009C2DE6"/>
    <w:rsid w:val="009C427C"/>
    <w:rsid w:val="009C5C60"/>
    <w:rsid w:val="00A1252A"/>
    <w:rsid w:val="00A12E6C"/>
    <w:rsid w:val="00A26524"/>
    <w:rsid w:val="00A30119"/>
    <w:rsid w:val="00A37143"/>
    <w:rsid w:val="00A46D74"/>
    <w:rsid w:val="00A67F17"/>
    <w:rsid w:val="00AA6F92"/>
    <w:rsid w:val="00AB6934"/>
    <w:rsid w:val="00AC1D96"/>
    <w:rsid w:val="00AD7FFC"/>
    <w:rsid w:val="00AF42DE"/>
    <w:rsid w:val="00AF76AD"/>
    <w:rsid w:val="00B03D9E"/>
    <w:rsid w:val="00B14A8E"/>
    <w:rsid w:val="00B26ACD"/>
    <w:rsid w:val="00B3369F"/>
    <w:rsid w:val="00B355D7"/>
    <w:rsid w:val="00B81C17"/>
    <w:rsid w:val="00B94E6C"/>
    <w:rsid w:val="00BA1C28"/>
    <w:rsid w:val="00BA63E1"/>
    <w:rsid w:val="00BB4606"/>
    <w:rsid w:val="00BB5C6A"/>
    <w:rsid w:val="00BF11F9"/>
    <w:rsid w:val="00BF7358"/>
    <w:rsid w:val="00C1325F"/>
    <w:rsid w:val="00C23D2F"/>
    <w:rsid w:val="00C4349E"/>
    <w:rsid w:val="00C443BD"/>
    <w:rsid w:val="00C451C5"/>
    <w:rsid w:val="00C87312"/>
    <w:rsid w:val="00C9161D"/>
    <w:rsid w:val="00CA0C1D"/>
    <w:rsid w:val="00CA7C2D"/>
    <w:rsid w:val="00CB089A"/>
    <w:rsid w:val="00CB681E"/>
    <w:rsid w:val="00CC6FDC"/>
    <w:rsid w:val="00CD19B6"/>
    <w:rsid w:val="00CF1848"/>
    <w:rsid w:val="00D100E6"/>
    <w:rsid w:val="00D12044"/>
    <w:rsid w:val="00D21F33"/>
    <w:rsid w:val="00D30264"/>
    <w:rsid w:val="00D33EFC"/>
    <w:rsid w:val="00D40DBC"/>
    <w:rsid w:val="00D514FF"/>
    <w:rsid w:val="00D51F44"/>
    <w:rsid w:val="00D6574E"/>
    <w:rsid w:val="00D67904"/>
    <w:rsid w:val="00D73604"/>
    <w:rsid w:val="00D7543F"/>
    <w:rsid w:val="00D76A18"/>
    <w:rsid w:val="00D80849"/>
    <w:rsid w:val="00D81CA4"/>
    <w:rsid w:val="00D82E8F"/>
    <w:rsid w:val="00D84F66"/>
    <w:rsid w:val="00D9268A"/>
    <w:rsid w:val="00DB7DB0"/>
    <w:rsid w:val="00DD118C"/>
    <w:rsid w:val="00DD31A0"/>
    <w:rsid w:val="00E24D5C"/>
    <w:rsid w:val="00E33E06"/>
    <w:rsid w:val="00E619FA"/>
    <w:rsid w:val="00E62623"/>
    <w:rsid w:val="00E66235"/>
    <w:rsid w:val="00E7599B"/>
    <w:rsid w:val="00E80F6E"/>
    <w:rsid w:val="00E83C24"/>
    <w:rsid w:val="00E911F4"/>
    <w:rsid w:val="00E9318D"/>
    <w:rsid w:val="00EC1F46"/>
    <w:rsid w:val="00EE013D"/>
    <w:rsid w:val="00F13D3A"/>
    <w:rsid w:val="00F2040E"/>
    <w:rsid w:val="00F34D6D"/>
    <w:rsid w:val="00F372DF"/>
    <w:rsid w:val="00F50E2A"/>
    <w:rsid w:val="00F53193"/>
    <w:rsid w:val="00F5357E"/>
    <w:rsid w:val="00F62DF2"/>
    <w:rsid w:val="00F6586C"/>
    <w:rsid w:val="00F777FC"/>
    <w:rsid w:val="00F83E7B"/>
    <w:rsid w:val="00F91A9F"/>
    <w:rsid w:val="00F94774"/>
    <w:rsid w:val="00FA0E9A"/>
    <w:rsid w:val="00FA663B"/>
    <w:rsid w:val="00FC25F8"/>
    <w:rsid w:val="00FC53DB"/>
    <w:rsid w:val="00FD16FF"/>
    <w:rsid w:val="00FE2131"/>
    <w:rsid w:val="00FE29CC"/>
    <w:rsid w:val="00FF5C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semiHidden/>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Rvision">
    <w:name w:val="Revision"/>
    <w:hidden/>
    <w:uiPriority w:val="99"/>
    <w:semiHidden/>
    <w:rsid w:val="00BB5C6A"/>
    <w:rPr>
      <w:rFonts w:ascii="Times New Roman" w:eastAsia="Times New Roman" w:hAnsi="Times New Roman" w:cs="Times New Roman"/>
      <w:sz w:val="22"/>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D51F4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37858"/>
    <w:rsid w:val="0046422C"/>
    <w:rsid w:val="004760CF"/>
    <w:rsid w:val="004E092F"/>
    <w:rsid w:val="00500A2B"/>
    <w:rsid w:val="0058288D"/>
    <w:rsid w:val="00665C6B"/>
    <w:rsid w:val="006801B3"/>
    <w:rsid w:val="00703497"/>
    <w:rsid w:val="00810A55"/>
    <w:rsid w:val="008C6619"/>
    <w:rsid w:val="008D420E"/>
    <w:rsid w:val="0098642F"/>
    <w:rsid w:val="00AE653F"/>
    <w:rsid w:val="00B27D2C"/>
    <w:rsid w:val="00C8104B"/>
    <w:rsid w:val="00CF214D"/>
    <w:rsid w:val="00D31D12"/>
    <w:rsid w:val="00D80A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717</Words>
  <Characters>3946</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Matters related to the financial mechanism and resources (Article 28)</vt:lpstr>
      <vt:lpstr>TITLE</vt:lpstr>
    </vt:vector>
  </TitlesOfParts>
  <Company>SCBD</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mécanisme de financement et aux ressources financières (article 28)</dc:title>
  <dc:subject>CBD/CP/MOP/10/L.12</dc:subject>
  <dc:creator>SCBD</dc:creator>
  <cp:keywords>Conference of the Parties serving as the meeting of the parties to the Cartagena Protocol on Biosafety, tenth meeting</cp:keywords>
  <cp:lastModifiedBy>Mathilde Myard</cp:lastModifiedBy>
  <cp:revision>18</cp:revision>
  <cp:lastPrinted>2020-01-21T16:56:00Z</cp:lastPrinted>
  <dcterms:created xsi:type="dcterms:W3CDTF">2022-12-14T19:02:00Z</dcterms:created>
  <dcterms:modified xsi:type="dcterms:W3CDTF">2022-12-14T19:40:00Z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