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396952" w:rsidTr="008F1409">
        <w:trPr>
          <w:trHeight w:val="709"/>
        </w:trPr>
        <w:tc>
          <w:tcPr>
            <w:tcW w:w="977" w:type="dxa"/>
            <w:tcBorders>
              <w:bottom w:val="single" w:sz="12" w:space="0" w:color="auto"/>
            </w:tcBorders>
          </w:tcPr>
          <w:p w:rsidR="00396952" w:rsidRDefault="00396952" w:rsidP="00BF3506">
            <w:r>
              <w:rPr>
                <w:noProof/>
                <w:lang w:val="es-ES" w:eastAsia="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396952" w:rsidRDefault="00396952" w:rsidP="00BF3506">
            <w:r>
              <w:rPr>
                <w:noProof/>
                <w:lang w:val="es-ES" w:eastAsia="es-ES"/>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89" w:type="dxa"/>
            <w:tcBorders>
              <w:bottom w:val="single" w:sz="12" w:space="0" w:color="auto"/>
            </w:tcBorders>
          </w:tcPr>
          <w:p w:rsidR="00396952" w:rsidRPr="00C9161D" w:rsidRDefault="00396952" w:rsidP="00BF3506">
            <w:pPr>
              <w:jc w:val="right"/>
              <w:rPr>
                <w:rFonts w:ascii="Arial" w:hAnsi="Arial" w:cs="Arial"/>
                <w:b/>
                <w:sz w:val="32"/>
                <w:szCs w:val="32"/>
              </w:rPr>
            </w:pPr>
            <w:r w:rsidRPr="00C9161D">
              <w:rPr>
                <w:rFonts w:ascii="Arial" w:hAnsi="Arial" w:cs="Arial"/>
                <w:b/>
                <w:sz w:val="32"/>
                <w:szCs w:val="32"/>
              </w:rPr>
              <w:t>CBD</w:t>
            </w:r>
          </w:p>
        </w:tc>
      </w:tr>
      <w:tr w:rsidR="00396952" w:rsidRPr="008F1409" w:rsidTr="008F1409">
        <w:tc>
          <w:tcPr>
            <w:tcW w:w="6118" w:type="dxa"/>
            <w:gridSpan w:val="2"/>
            <w:tcBorders>
              <w:top w:val="single" w:sz="12" w:space="0" w:color="auto"/>
              <w:bottom w:val="single" w:sz="36" w:space="0" w:color="auto"/>
            </w:tcBorders>
            <w:vAlign w:val="center"/>
          </w:tcPr>
          <w:p w:rsidR="00396952" w:rsidRDefault="008F1409" w:rsidP="00BF3506">
            <w:r w:rsidRPr="008F1409">
              <w:rPr>
                <w:noProof/>
                <w:lang w:val="es-ES" w:eastAsia="es-ES"/>
              </w:rPr>
              <w:drawing>
                <wp:inline distT="0" distB="0" distL="0" distR="0">
                  <wp:extent cx="2933700" cy="1076325"/>
                  <wp:effectExtent l="19050" t="0" r="0" b="0"/>
                  <wp:docPr id="2" name="Picture 2"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es-CMYK-black [Converted]"/>
                          <pic:cNvPicPr>
                            <a:picLocks noChangeAspect="1" noChangeArrowheads="1"/>
                          </pic:cNvPicPr>
                        </pic:nvPicPr>
                        <pic:blipFill>
                          <a:blip r:embed="rId11"/>
                          <a:srcRect/>
                          <a:stretch>
                            <a:fillRect/>
                          </a:stretch>
                        </pic:blipFill>
                        <pic:spPr bwMode="auto">
                          <a:xfrm>
                            <a:off x="0" y="0"/>
                            <a:ext cx="2933700" cy="1076325"/>
                          </a:xfrm>
                          <a:prstGeom prst="rect">
                            <a:avLst/>
                          </a:prstGeom>
                          <a:noFill/>
                          <a:ln w="9525">
                            <a:noFill/>
                            <a:miter lim="800000"/>
                            <a:headEnd/>
                            <a:tailEnd/>
                          </a:ln>
                        </pic:spPr>
                      </pic:pic>
                    </a:graphicData>
                  </a:graphic>
                </wp:inline>
              </w:drawing>
            </w:r>
          </w:p>
        </w:tc>
        <w:tc>
          <w:tcPr>
            <w:tcW w:w="4089" w:type="dxa"/>
            <w:tcBorders>
              <w:top w:val="single" w:sz="12" w:space="0" w:color="auto"/>
              <w:bottom w:val="single" w:sz="36" w:space="0" w:color="auto"/>
            </w:tcBorders>
          </w:tcPr>
          <w:p w:rsidR="00396952" w:rsidRPr="00C9161D" w:rsidRDefault="00396952" w:rsidP="00BF3506">
            <w:pPr>
              <w:ind w:left="1215"/>
              <w:rPr>
                <w:szCs w:val="22"/>
              </w:rPr>
            </w:pPr>
            <w:r w:rsidRPr="00C9161D">
              <w:rPr>
                <w:szCs w:val="22"/>
              </w:rPr>
              <w:t>Distr.</w:t>
            </w:r>
          </w:p>
          <w:p w:rsidR="00396952" w:rsidRPr="00C9161D" w:rsidRDefault="000205C2" w:rsidP="00BF3506">
            <w:pPr>
              <w:ind w:left="1215"/>
              <w:rPr>
                <w:szCs w:val="22"/>
              </w:rPr>
            </w:pPr>
            <w:sdt>
              <w:sdtPr>
                <w:rPr>
                  <w:caps/>
                  <w:szCs w:val="22"/>
                </w:rPr>
                <w:alias w:val="Status"/>
                <w:tag w:val=""/>
                <w:id w:val="307985777"/>
                <w:placeholder>
                  <w:docPart w:val="0D4B207D99C14635A9F11D6670B08866"/>
                </w:placeholder>
                <w:dataBinding w:prefixMappings="xmlns:ns0='http://purl.org/dc/elements/1.1/' xmlns:ns1='http://schemas.openxmlformats.org/package/2006/metadata/core-properties' " w:xpath="/ns1:coreProperties[1]/ns1:contentStatus[1]" w:storeItemID="{6C3C8BC8-F283-45AE-878A-BAB7291924A1}"/>
                <w:text/>
              </w:sdtPr>
              <w:sdtContent>
                <w:r w:rsidR="00396952">
                  <w:rPr>
                    <w:caps/>
                    <w:szCs w:val="22"/>
                  </w:rPr>
                  <w:t>LIMIT</w:t>
                </w:r>
                <w:r w:rsidR="008F1409">
                  <w:rPr>
                    <w:caps/>
                    <w:szCs w:val="22"/>
                  </w:rPr>
                  <w:t>ADA</w:t>
                </w:r>
              </w:sdtContent>
            </w:sdt>
          </w:p>
          <w:p w:rsidR="00396952" w:rsidRPr="00C9161D" w:rsidRDefault="00396952" w:rsidP="00BF3506">
            <w:pPr>
              <w:ind w:left="1215"/>
              <w:rPr>
                <w:szCs w:val="22"/>
              </w:rPr>
            </w:pPr>
          </w:p>
          <w:p w:rsidR="00396952" w:rsidRPr="00C9161D" w:rsidRDefault="000205C2" w:rsidP="00BF3506">
            <w:pPr>
              <w:ind w:left="1215"/>
              <w:rPr>
                <w:szCs w:val="22"/>
              </w:rPr>
            </w:pPr>
            <w:sdt>
              <w:sdtPr>
                <w:rPr>
                  <w:lang w:val="en-US"/>
                </w:rPr>
                <w:alias w:val="Subject"/>
                <w:tag w:val=""/>
                <w:id w:val="2137136483"/>
                <w:placeholder>
                  <w:docPart w:val="C5D0334F12E244779BF7895522BE77B2"/>
                </w:placeholder>
                <w:dataBinding w:prefixMappings="xmlns:ns0='http://purl.org/dc/elements/1.1/' xmlns:ns1='http://schemas.openxmlformats.org/package/2006/metadata/core-properties' " w:xpath="/ns1:coreProperties[1]/ns0:subject[1]" w:storeItemID="{6C3C8BC8-F283-45AE-878A-BAB7291924A1}"/>
                <w:text/>
              </w:sdtPr>
              <w:sdtContent>
                <w:r w:rsidR="00396952">
                  <w:rPr>
                    <w:lang w:val="en-US"/>
                  </w:rPr>
                  <w:t>CBD/NP-MOP/3/L.9</w:t>
                </w:r>
              </w:sdtContent>
            </w:sdt>
          </w:p>
          <w:p w:rsidR="00396952" w:rsidRPr="008F1409" w:rsidRDefault="00396952" w:rsidP="00BF3506">
            <w:pPr>
              <w:ind w:left="1215"/>
              <w:rPr>
                <w:szCs w:val="22"/>
                <w:lang w:val="es-ES"/>
              </w:rPr>
            </w:pPr>
            <w:r w:rsidRPr="008F1409">
              <w:rPr>
                <w:szCs w:val="22"/>
                <w:lang w:val="es-ES"/>
              </w:rPr>
              <w:t xml:space="preserve">26 </w:t>
            </w:r>
            <w:r w:rsidR="008F1409" w:rsidRPr="008F1409">
              <w:rPr>
                <w:szCs w:val="22"/>
                <w:lang w:val="es-ES"/>
              </w:rPr>
              <w:t>de noviembre de</w:t>
            </w:r>
            <w:r w:rsidRPr="008F1409">
              <w:rPr>
                <w:szCs w:val="22"/>
                <w:lang w:val="es-ES"/>
              </w:rPr>
              <w:t xml:space="preserve"> 2018</w:t>
            </w:r>
          </w:p>
          <w:p w:rsidR="00396952" w:rsidRPr="008F1409" w:rsidRDefault="00396952" w:rsidP="00BF3506">
            <w:pPr>
              <w:ind w:left="1215"/>
              <w:rPr>
                <w:szCs w:val="22"/>
                <w:lang w:val="es-ES"/>
              </w:rPr>
            </w:pPr>
          </w:p>
          <w:p w:rsidR="008F1409" w:rsidRPr="008F1409" w:rsidRDefault="008F1409" w:rsidP="00BF3506">
            <w:pPr>
              <w:ind w:left="1215"/>
              <w:rPr>
                <w:szCs w:val="22"/>
                <w:lang w:val="es-ES"/>
              </w:rPr>
            </w:pPr>
            <w:r w:rsidRPr="008F1409">
              <w:rPr>
                <w:szCs w:val="22"/>
                <w:lang w:val="es-ES"/>
              </w:rPr>
              <w:t>ESPAÑOL</w:t>
            </w:r>
          </w:p>
          <w:p w:rsidR="00396952" w:rsidRPr="008F1409" w:rsidRDefault="00396952" w:rsidP="00BF3506">
            <w:pPr>
              <w:ind w:left="1215"/>
              <w:rPr>
                <w:szCs w:val="22"/>
                <w:lang w:val="es-ES"/>
              </w:rPr>
            </w:pPr>
            <w:r w:rsidRPr="008F1409">
              <w:rPr>
                <w:szCs w:val="22"/>
                <w:lang w:val="es-ES"/>
              </w:rPr>
              <w:t xml:space="preserve">ORIGINAL: </w:t>
            </w:r>
            <w:r w:rsidR="008F1409" w:rsidRPr="008F1409">
              <w:rPr>
                <w:szCs w:val="22"/>
                <w:lang w:val="es-ES"/>
              </w:rPr>
              <w:t>INGLÉS</w:t>
            </w:r>
          </w:p>
          <w:p w:rsidR="00396952" w:rsidRPr="008F1409" w:rsidRDefault="00396952" w:rsidP="00BF3506">
            <w:pPr>
              <w:rPr>
                <w:lang w:val="es-ES"/>
              </w:rPr>
            </w:pPr>
          </w:p>
        </w:tc>
      </w:tr>
    </w:tbl>
    <w:p w:rsidR="005345E1" w:rsidRPr="008F1409" w:rsidRDefault="008F1409"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lang w:val="es-ES"/>
        </w:rPr>
      </w:pPr>
      <w:bookmarkStart w:id="0" w:name="_GoBack"/>
      <w:bookmarkEnd w:id="0"/>
      <w:r w:rsidRPr="00632F8E">
        <w:rPr>
          <w:kern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rsidR="005345E1" w:rsidRPr="008F1409" w:rsidRDefault="005345E1" w:rsidP="005345E1">
      <w:pPr>
        <w:suppressLineNumbers/>
        <w:suppressAutoHyphens/>
        <w:kinsoku w:val="0"/>
        <w:overflowPunct w:val="0"/>
        <w:autoSpaceDE w:val="0"/>
        <w:autoSpaceDN w:val="0"/>
        <w:ind w:left="170" w:right="3119" w:hanging="170"/>
        <w:jc w:val="left"/>
        <w:rPr>
          <w:rFonts w:eastAsia="Batang"/>
          <w:snapToGrid w:val="0"/>
          <w:kern w:val="22"/>
          <w:lang w:val="es-ES"/>
        </w:rPr>
      </w:pPr>
      <w:r w:rsidRPr="008F1409">
        <w:rPr>
          <w:rFonts w:eastAsia="Batang"/>
          <w:snapToGrid w:val="0"/>
          <w:kern w:val="22"/>
          <w:lang w:val="es-ES"/>
        </w:rPr>
        <w:t>T</w:t>
      </w:r>
      <w:r w:rsidR="008F1409" w:rsidRPr="008F1409">
        <w:rPr>
          <w:rFonts w:eastAsia="Batang"/>
          <w:snapToGrid w:val="0"/>
          <w:kern w:val="22"/>
          <w:lang w:val="es-ES"/>
        </w:rPr>
        <w:t>ercera reunión</w:t>
      </w:r>
    </w:p>
    <w:p w:rsidR="006F1189" w:rsidRPr="008F1409" w:rsidRDefault="006F1189" w:rsidP="006F1189">
      <w:pPr>
        <w:suppressLineNumbers/>
        <w:suppressAutoHyphens/>
        <w:kinsoku w:val="0"/>
        <w:overflowPunct w:val="0"/>
        <w:autoSpaceDE w:val="0"/>
        <w:autoSpaceDN w:val="0"/>
        <w:rPr>
          <w:snapToGrid w:val="0"/>
          <w:kern w:val="22"/>
          <w:szCs w:val="22"/>
          <w:lang w:val="es-ES" w:eastAsia="nb-NO"/>
        </w:rPr>
      </w:pPr>
      <w:bookmarkStart w:id="1" w:name="_Hlk505863673"/>
      <w:r w:rsidRPr="008F1409">
        <w:rPr>
          <w:snapToGrid w:val="0"/>
          <w:kern w:val="22"/>
          <w:szCs w:val="22"/>
          <w:lang w:val="es-ES" w:eastAsia="nb-NO"/>
        </w:rPr>
        <w:t>Sharm El-Sheikh, Eg</w:t>
      </w:r>
      <w:r w:rsidR="008F1409" w:rsidRPr="008F1409">
        <w:rPr>
          <w:snapToGrid w:val="0"/>
          <w:kern w:val="22"/>
          <w:szCs w:val="22"/>
          <w:lang w:val="es-ES" w:eastAsia="nb-NO"/>
        </w:rPr>
        <w:t>ipto</w:t>
      </w:r>
      <w:bookmarkEnd w:id="1"/>
      <w:r w:rsidRPr="008F1409">
        <w:rPr>
          <w:snapToGrid w:val="0"/>
          <w:kern w:val="22"/>
          <w:szCs w:val="22"/>
          <w:lang w:val="es-ES" w:eastAsia="nb-NO"/>
        </w:rPr>
        <w:t>, 17</w:t>
      </w:r>
      <w:r w:rsidR="008F1409" w:rsidRPr="008F1409">
        <w:rPr>
          <w:snapToGrid w:val="0"/>
          <w:kern w:val="22"/>
          <w:szCs w:val="22"/>
          <w:lang w:val="es-ES" w:eastAsia="nb-NO"/>
        </w:rPr>
        <w:t xml:space="preserve"> a </w:t>
      </w:r>
      <w:r w:rsidRPr="008F1409">
        <w:rPr>
          <w:snapToGrid w:val="0"/>
          <w:kern w:val="22"/>
          <w:szCs w:val="22"/>
          <w:lang w:val="es-ES" w:eastAsia="nb-NO"/>
        </w:rPr>
        <w:t xml:space="preserve">29 </w:t>
      </w:r>
      <w:r w:rsidR="008F1409" w:rsidRPr="008F1409">
        <w:rPr>
          <w:snapToGrid w:val="0"/>
          <w:kern w:val="22"/>
          <w:szCs w:val="22"/>
          <w:lang w:val="es-ES" w:eastAsia="nb-NO"/>
        </w:rPr>
        <w:t>de noviembre de</w:t>
      </w:r>
      <w:r w:rsidRPr="008F1409">
        <w:rPr>
          <w:snapToGrid w:val="0"/>
          <w:kern w:val="22"/>
          <w:szCs w:val="22"/>
          <w:lang w:val="es-ES" w:eastAsia="nb-NO"/>
        </w:rPr>
        <w:t xml:space="preserve"> 2018</w:t>
      </w:r>
    </w:p>
    <w:p w:rsidR="00C9161D" w:rsidRPr="00C9161D" w:rsidRDefault="008F1409" w:rsidP="00C9161D">
      <w:r w:rsidRPr="00EA4B56">
        <w:rPr>
          <w:lang w:val="en-US"/>
        </w:rPr>
        <w:t>Tema 15 del programa</w:t>
      </w:r>
    </w:p>
    <w:p w:rsidR="00C9161D" w:rsidRPr="00EA4B56" w:rsidRDefault="00EA4B56" w:rsidP="00172AF6">
      <w:pPr>
        <w:spacing w:before="120" w:after="240"/>
        <w:jc w:val="center"/>
        <w:rPr>
          <w:b/>
          <w:caps/>
          <w:lang w:val="es-ES"/>
        </w:rPr>
      </w:pPr>
      <w:sdt>
        <w:sdtPr>
          <w:rPr>
            <w:rStyle w:val="Tablaconcuadrcula"/>
            <w:rFonts w:eastAsia="Malgun Gothic"/>
            <w:b/>
            <w:bCs/>
            <w:caps/>
            <w:szCs w:val="22"/>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EA4B56">
            <w:rPr>
              <w:rStyle w:val="Tablaconcuadrcula"/>
              <w:rFonts w:eastAsia="Malgun Gothic"/>
              <w:b/>
              <w:bCs/>
              <w:caps/>
              <w:szCs w:val="22"/>
              <w:lang w:val="es-ES"/>
            </w:rPr>
            <w:t>EXAMEN DE LA EXPERIENCIA EN LA CELEBRACIÓN DE REUNIONES CONCURRENTES DE LA CONFERENCIA DE LAS PARTES EN EL CONVENIO, LA CONFERENCIA DE LAS PARTES QUE ACTÚA COMO REUNIÓN DE LAS PARTES EN EL PROTOCOLO DE CARTAGENA Y LA CONFERENCIA DE LAS PARTES QUE ACTÚA COMO REUNIÓN DE LAS PARTES EN EL PROTOCOLO DE NAGOYA</w:t>
          </w:r>
        </w:sdtContent>
      </w:sdt>
      <w:r w:rsidR="00105372" w:rsidRPr="00EA4B56">
        <w:rPr>
          <w:b/>
          <w:caps/>
          <w:lang w:val="es-ES"/>
        </w:rPr>
        <w:t xml:space="preserve"> </w:t>
      </w:r>
    </w:p>
    <w:p w:rsidR="00176CEE" w:rsidRPr="00EA4B56" w:rsidRDefault="00EA4B56" w:rsidP="00172AF6">
      <w:pPr>
        <w:spacing w:before="120" w:after="240"/>
        <w:jc w:val="center"/>
        <w:rPr>
          <w:b/>
          <w:caps/>
          <w:lang w:val="es-ES"/>
        </w:rPr>
      </w:pPr>
      <w:r w:rsidRPr="00EA4B56">
        <w:rPr>
          <w:b/>
          <w:szCs w:val="22"/>
          <w:lang w:val="es-ES"/>
        </w:rPr>
        <w:t xml:space="preserve">Proyecto </w:t>
      </w:r>
      <w:r w:rsidRPr="00632F8E">
        <w:rPr>
          <w:b/>
          <w:bCs/>
          <w:lang w:val="es-ES"/>
        </w:rPr>
        <w:t>de decisión presentado por la Pre</w:t>
      </w:r>
      <w:r>
        <w:rPr>
          <w:b/>
          <w:bCs/>
          <w:lang w:val="es-ES"/>
        </w:rPr>
        <w:t>sidencia del Grupo de Trabajo</w:t>
      </w:r>
      <w:r w:rsidRPr="00EA4B56">
        <w:rPr>
          <w:b/>
          <w:szCs w:val="22"/>
          <w:lang w:val="es-ES"/>
        </w:rPr>
        <w:t xml:space="preserve"> </w:t>
      </w:r>
      <w:r w:rsidR="00937AB0" w:rsidRPr="00EA4B56">
        <w:rPr>
          <w:b/>
          <w:szCs w:val="22"/>
          <w:lang w:val="es-ES"/>
        </w:rPr>
        <w:t>I</w:t>
      </w:r>
    </w:p>
    <w:p w:rsidR="00987619" w:rsidRPr="00EA4B56" w:rsidRDefault="00EA4B56" w:rsidP="00773605">
      <w:pPr>
        <w:suppressLineNumbers/>
        <w:shd w:val="clear" w:color="auto" w:fill="FFFFFF"/>
        <w:suppressAutoHyphens/>
        <w:kinsoku w:val="0"/>
        <w:overflowPunct w:val="0"/>
        <w:autoSpaceDE w:val="0"/>
        <w:autoSpaceDN w:val="0"/>
        <w:adjustRightInd w:val="0"/>
        <w:snapToGrid w:val="0"/>
        <w:spacing w:before="120" w:after="120"/>
        <w:ind w:firstLine="720"/>
        <w:rPr>
          <w:rFonts w:eastAsia="Malgun Gothic"/>
          <w:i/>
          <w:kern w:val="22"/>
          <w:lang w:val="es-ES"/>
        </w:rPr>
      </w:pPr>
      <w:r w:rsidRPr="00632F8E">
        <w:rPr>
          <w:i/>
          <w:iCs/>
          <w:kern w:val="22"/>
          <w:lang w:val="es-ES"/>
        </w:rPr>
        <w:t>La Conferencia de las Partes que actúa como reunión de las Partes en el Protocolo de Nagoya sobre Acceso y Participación en los Beneficios</w:t>
      </w:r>
      <w:r w:rsidR="00987619" w:rsidRPr="00EA4B56">
        <w:rPr>
          <w:rFonts w:eastAsia="Malgun Gothic"/>
          <w:i/>
          <w:kern w:val="22"/>
          <w:lang w:val="es-ES"/>
        </w:rPr>
        <w:t>,</w:t>
      </w:r>
    </w:p>
    <w:p w:rsidR="00987619" w:rsidRPr="00EA4B56" w:rsidRDefault="00987619" w:rsidP="00773605">
      <w:pPr>
        <w:suppressLineNumbers/>
        <w:shd w:val="clear" w:color="auto" w:fill="FFFFFF"/>
        <w:suppressAutoHyphens/>
        <w:kinsoku w:val="0"/>
        <w:overflowPunct w:val="0"/>
        <w:autoSpaceDE w:val="0"/>
        <w:autoSpaceDN w:val="0"/>
        <w:adjustRightInd w:val="0"/>
        <w:snapToGrid w:val="0"/>
        <w:spacing w:before="120" w:after="120"/>
        <w:ind w:firstLine="720"/>
        <w:rPr>
          <w:rFonts w:eastAsia="Malgun Gothic"/>
          <w:kern w:val="22"/>
          <w:lang w:val="es-ES"/>
        </w:rPr>
      </w:pPr>
      <w:r w:rsidRPr="00EA4B56">
        <w:rPr>
          <w:rFonts w:eastAsia="Malgun Gothic"/>
          <w:i/>
          <w:iCs/>
          <w:kern w:val="22"/>
          <w:lang w:val="es-ES"/>
        </w:rPr>
        <w:t>Rec</w:t>
      </w:r>
      <w:r w:rsidR="00EA4B56" w:rsidRPr="00EA4B56">
        <w:rPr>
          <w:rFonts w:eastAsia="Malgun Gothic"/>
          <w:i/>
          <w:iCs/>
          <w:kern w:val="22"/>
          <w:lang w:val="es-ES"/>
        </w:rPr>
        <w:t>ordando</w:t>
      </w:r>
      <w:r w:rsidR="00EA4B56" w:rsidRPr="00EA4B56">
        <w:rPr>
          <w:rFonts w:eastAsia="Malgun Gothic"/>
          <w:kern w:val="22"/>
          <w:lang w:val="es-ES"/>
        </w:rPr>
        <w:t xml:space="preserve"> las decisiones</w:t>
      </w:r>
      <w:r w:rsidRPr="00EA4B56">
        <w:rPr>
          <w:rFonts w:eastAsia="Malgun Gothic"/>
          <w:kern w:val="22"/>
          <w:lang w:val="es-ES"/>
        </w:rPr>
        <w:t xml:space="preserve"> </w:t>
      </w:r>
      <w:hyperlink r:id="rId12" w:history="1">
        <w:r w:rsidRPr="00EA4B56">
          <w:rPr>
            <w:rFonts w:eastAsia="Malgun Gothic"/>
            <w:color w:val="0000FF"/>
            <w:kern w:val="22"/>
            <w:u w:val="single"/>
            <w:lang w:val="es-ES"/>
          </w:rPr>
          <w:t>NP-1</w:t>
        </w:r>
        <w:r w:rsidRPr="00EA4B56">
          <w:rPr>
            <w:rFonts w:eastAsia="Malgun Gothic"/>
            <w:color w:val="0000FF"/>
            <w:kern w:val="22"/>
            <w:u w:val="single"/>
            <w:lang w:val="es-ES"/>
          </w:rPr>
          <w:t>/</w:t>
        </w:r>
        <w:r w:rsidRPr="00EA4B56">
          <w:rPr>
            <w:rFonts w:eastAsia="Malgun Gothic"/>
            <w:color w:val="0000FF"/>
            <w:kern w:val="22"/>
            <w:u w:val="single"/>
            <w:lang w:val="es-ES"/>
          </w:rPr>
          <w:t>12</w:t>
        </w:r>
      </w:hyperlink>
      <w:r w:rsidRPr="00EA4B56">
        <w:rPr>
          <w:rFonts w:eastAsia="Malgun Gothic"/>
          <w:kern w:val="22"/>
          <w:lang w:val="es-ES"/>
        </w:rPr>
        <w:t xml:space="preserve"> </w:t>
      </w:r>
      <w:r w:rsidR="00EA4B56">
        <w:rPr>
          <w:rFonts w:eastAsia="Malgun Gothic"/>
          <w:kern w:val="22"/>
          <w:lang w:val="es-ES"/>
        </w:rPr>
        <w:t>y</w:t>
      </w:r>
      <w:r w:rsidR="00396952" w:rsidRPr="00EA4B56">
        <w:rPr>
          <w:rFonts w:eastAsia="Malgun Gothic"/>
          <w:kern w:val="22"/>
          <w:lang w:val="es-ES"/>
        </w:rPr>
        <w:t xml:space="preserve"> </w:t>
      </w:r>
      <w:hyperlink r:id="rId13" w:history="1">
        <w:r w:rsidRPr="00EA4B56">
          <w:rPr>
            <w:rFonts w:eastAsia="Malgun Gothic"/>
            <w:color w:val="0000FF"/>
            <w:kern w:val="22"/>
            <w:u w:val="single"/>
            <w:lang w:val="es-ES"/>
          </w:rPr>
          <w:t>NP-2/</w:t>
        </w:r>
        <w:r w:rsidRPr="00EA4B56">
          <w:rPr>
            <w:rFonts w:eastAsia="Malgun Gothic"/>
            <w:color w:val="0000FF"/>
            <w:kern w:val="22"/>
            <w:u w:val="single"/>
            <w:lang w:val="es-ES"/>
          </w:rPr>
          <w:t>1</w:t>
        </w:r>
        <w:r w:rsidRPr="00EA4B56">
          <w:rPr>
            <w:rFonts w:eastAsia="Malgun Gothic"/>
            <w:color w:val="0000FF"/>
            <w:kern w:val="22"/>
            <w:u w:val="single"/>
            <w:lang w:val="es-ES"/>
          </w:rPr>
          <w:t>2</w:t>
        </w:r>
      </w:hyperlink>
      <w:r w:rsidRPr="00EA4B56">
        <w:rPr>
          <w:rFonts w:eastAsia="Malgun Gothic"/>
          <w:kern w:val="22"/>
          <w:lang w:val="es-ES"/>
        </w:rPr>
        <w:t>,</w:t>
      </w:r>
    </w:p>
    <w:p w:rsidR="00987619" w:rsidRPr="00EA4B56" w:rsidRDefault="00EA4B56" w:rsidP="00773605">
      <w:pPr>
        <w:suppressLineNumbers/>
        <w:shd w:val="clear" w:color="auto" w:fill="FFFFFF"/>
        <w:suppressAutoHyphens/>
        <w:kinsoku w:val="0"/>
        <w:overflowPunct w:val="0"/>
        <w:autoSpaceDE w:val="0"/>
        <w:autoSpaceDN w:val="0"/>
        <w:adjustRightInd w:val="0"/>
        <w:snapToGrid w:val="0"/>
        <w:spacing w:before="120" w:after="120"/>
        <w:ind w:firstLine="720"/>
        <w:rPr>
          <w:rFonts w:eastAsia="Malgun Gothic"/>
          <w:kern w:val="22"/>
          <w:lang w:val="es-ES"/>
        </w:rPr>
      </w:pPr>
      <w:r w:rsidRPr="00632F8E">
        <w:rPr>
          <w:i/>
          <w:iCs/>
          <w:kern w:val="22"/>
          <w:lang w:val="es-ES"/>
        </w:rPr>
        <w:t>Habiendo examinado</w:t>
      </w:r>
      <w:r w:rsidRPr="00632F8E">
        <w:rPr>
          <w:kern w:val="22"/>
          <w:lang w:val="es-ES"/>
        </w:rPr>
        <w:t xml:space="preserve"> la experiencia en la celebración de reuniones concurrentes de la Conferencia de las Partes, la Conferencia de las Partes que actúa como reunión de las Partes en el Protocolo de Cartagena y la Conferencia de las Partes que actúa como reunión de las Partes en el Protocolo de Nagoya, aplicando los criterios establecidos en la decisi</w:t>
      </w:r>
      <w:r>
        <w:rPr>
          <w:kern w:val="22"/>
          <w:lang w:val="es-ES"/>
        </w:rPr>
        <w:t>ón</w:t>
      </w:r>
      <w:r w:rsidRPr="00632F8E">
        <w:rPr>
          <w:kern w:val="22"/>
          <w:lang w:val="es-ES"/>
        </w:rPr>
        <w:t xml:space="preserve"> NP-2/12</w:t>
      </w:r>
      <w:r>
        <w:rPr>
          <w:kern w:val="22"/>
          <w:lang w:val="es-ES"/>
        </w:rPr>
        <w:t xml:space="preserve"> y</w:t>
      </w:r>
      <w:r w:rsidRPr="00632F8E">
        <w:rPr>
          <w:kern w:val="22"/>
          <w:lang w:val="es-ES"/>
        </w:rPr>
        <w:t xml:space="preserve">, </w:t>
      </w:r>
      <w:r w:rsidRPr="00632F8E">
        <w:rPr>
          <w:i/>
          <w:iCs/>
          <w:kern w:val="22"/>
          <w:lang w:val="es-ES"/>
        </w:rPr>
        <w:t>teniendo en cuenta</w:t>
      </w:r>
      <w:r w:rsidRPr="00632F8E">
        <w:rPr>
          <w:kern w:val="22"/>
          <w:lang w:val="es-ES"/>
        </w:rPr>
        <w:t xml:space="preserve"> las opiniones de las Partes, los observadores y los participantes que asistieron a la 13ª reunión de la Conferencia de las Partes en el Convenio, la octava reunión de la Conferencia de las Partes que actúa como reunión de las Partes en el Protocolo de Cartagena y la segunda reunión de la Conferencia de las Partes que actúa como reunión de las Partes en el Protocolo de Nagoya, y las opiniones recabadas a través de las encuestas realizadas después de las reuniones</w:t>
      </w:r>
      <w:r w:rsidR="00987619" w:rsidRPr="00EA4B56">
        <w:rPr>
          <w:rFonts w:eastAsia="Malgun Gothic"/>
          <w:kern w:val="22"/>
          <w:lang w:val="es-ES"/>
        </w:rPr>
        <w:t>,</w:t>
      </w:r>
    </w:p>
    <w:p w:rsidR="00987619" w:rsidRPr="00EA4B56" w:rsidRDefault="00EA4B56" w:rsidP="00773605">
      <w:pPr>
        <w:suppressLineNumbers/>
        <w:shd w:val="clear" w:color="auto" w:fill="FFFFFF"/>
        <w:suppressAutoHyphens/>
        <w:kinsoku w:val="0"/>
        <w:overflowPunct w:val="0"/>
        <w:autoSpaceDE w:val="0"/>
        <w:autoSpaceDN w:val="0"/>
        <w:adjustRightInd w:val="0"/>
        <w:snapToGrid w:val="0"/>
        <w:spacing w:before="120" w:after="120"/>
        <w:ind w:firstLine="720"/>
        <w:rPr>
          <w:rFonts w:eastAsia="Malgun Gothic"/>
          <w:kern w:val="22"/>
          <w:lang w:val="es-ES"/>
        </w:rPr>
      </w:pPr>
      <w:r w:rsidRPr="00632F8E">
        <w:rPr>
          <w:i/>
          <w:iCs/>
          <w:kern w:val="22"/>
          <w:lang w:val="es-ES"/>
        </w:rPr>
        <w:t>Reconociendo</w:t>
      </w:r>
      <w:r w:rsidRPr="00632F8E">
        <w:rPr>
          <w:kern w:val="22"/>
          <w:lang w:val="es-ES"/>
        </w:rPr>
        <w:t xml:space="preserve"> que se realizará un nuevo examen en la 15ª reunión de la Conferencia de las Partes en el Convenio, la décima reunión de la Conferencia de las Partes que actúa como reunión de las Partes en el Protocolo de Cartagena y la cuarta reunión de la Conferencia de las Partes que actúa como reunión de las Partes en el Protocolo de Nagoya</w:t>
      </w:r>
      <w:r w:rsidR="00987619" w:rsidRPr="00EA4B56">
        <w:rPr>
          <w:rFonts w:eastAsia="Malgun Gothic"/>
          <w:kern w:val="22"/>
          <w:lang w:val="es-ES"/>
        </w:rPr>
        <w:t>,</w:t>
      </w:r>
    </w:p>
    <w:p w:rsidR="00987619" w:rsidRPr="00EA4B56" w:rsidRDefault="00987619" w:rsidP="00773605">
      <w:pPr>
        <w:suppressLineNumbers/>
        <w:shd w:val="clear" w:color="auto" w:fill="FFFFFF"/>
        <w:suppressAutoHyphens/>
        <w:kinsoku w:val="0"/>
        <w:overflowPunct w:val="0"/>
        <w:autoSpaceDE w:val="0"/>
        <w:autoSpaceDN w:val="0"/>
        <w:adjustRightInd w:val="0"/>
        <w:snapToGrid w:val="0"/>
        <w:spacing w:before="120" w:after="120"/>
        <w:ind w:firstLine="720"/>
        <w:rPr>
          <w:rFonts w:eastAsia="Malgun Gothic"/>
          <w:kern w:val="22"/>
          <w:lang w:val="es-ES"/>
        </w:rPr>
      </w:pPr>
      <w:r w:rsidRPr="00EA4B56">
        <w:rPr>
          <w:rFonts w:eastAsia="Malgun Gothic"/>
          <w:kern w:val="22"/>
          <w:lang w:val="es-ES"/>
        </w:rPr>
        <w:t>1.</w:t>
      </w:r>
      <w:r w:rsidRPr="00EA4B56">
        <w:rPr>
          <w:rFonts w:eastAsia="Malgun Gothic"/>
          <w:kern w:val="22"/>
          <w:lang w:val="es-ES"/>
        </w:rPr>
        <w:tab/>
      </w:r>
      <w:r w:rsidR="00EA4B56" w:rsidRPr="00632F8E">
        <w:rPr>
          <w:i/>
          <w:iCs/>
          <w:kern w:val="22"/>
          <w:lang w:val="es-ES"/>
        </w:rPr>
        <w:t>Observa con satisfacción</w:t>
      </w:r>
      <w:r w:rsidR="00EA4B56" w:rsidRPr="00632F8E">
        <w:rPr>
          <w:kern w:val="22"/>
          <w:lang w:val="es-ES"/>
        </w:rPr>
        <w:t xml:space="preserve"> que las reuniones concurrentes han permitido una mayor integración entre el Convenio y sus Protocolos y han mejorado las consultas, la coordinación y las sinergias entre los respectivos puntos focales nacionales</w:t>
      </w:r>
      <w:r w:rsidRPr="00EA4B56">
        <w:rPr>
          <w:rFonts w:eastAsia="Malgun Gothic"/>
          <w:kern w:val="22"/>
          <w:lang w:val="es-ES"/>
        </w:rPr>
        <w:t>;</w:t>
      </w:r>
    </w:p>
    <w:p w:rsidR="00987619" w:rsidRPr="00EA4B56" w:rsidRDefault="00987619" w:rsidP="00773605">
      <w:pPr>
        <w:suppressLineNumbers/>
        <w:shd w:val="clear" w:color="auto" w:fill="FFFFFF"/>
        <w:suppressAutoHyphens/>
        <w:kinsoku w:val="0"/>
        <w:overflowPunct w:val="0"/>
        <w:autoSpaceDE w:val="0"/>
        <w:autoSpaceDN w:val="0"/>
        <w:adjustRightInd w:val="0"/>
        <w:snapToGrid w:val="0"/>
        <w:spacing w:before="120" w:after="120"/>
        <w:ind w:firstLine="720"/>
        <w:rPr>
          <w:rFonts w:eastAsia="Malgun Gothic"/>
          <w:kern w:val="22"/>
          <w:lang w:val="es-ES"/>
        </w:rPr>
      </w:pPr>
      <w:r w:rsidRPr="00EA4B56">
        <w:rPr>
          <w:rFonts w:eastAsia="Malgun Gothic"/>
          <w:kern w:val="22"/>
          <w:lang w:val="es-ES"/>
        </w:rPr>
        <w:t>2.</w:t>
      </w:r>
      <w:r w:rsidRPr="00EA4B56">
        <w:rPr>
          <w:rFonts w:eastAsia="Malgun Gothic"/>
          <w:kern w:val="22"/>
          <w:lang w:val="es-ES"/>
        </w:rPr>
        <w:tab/>
      </w:r>
      <w:r w:rsidR="00EA4B56" w:rsidRPr="00632F8E">
        <w:rPr>
          <w:i/>
          <w:iCs/>
          <w:spacing w:val="-2"/>
          <w:kern w:val="22"/>
          <w:lang w:val="es-ES"/>
        </w:rPr>
        <w:t>Observa</w:t>
      </w:r>
      <w:r w:rsidR="00EA4B56" w:rsidRPr="00632F8E">
        <w:rPr>
          <w:spacing w:val="-2"/>
          <w:kern w:val="22"/>
          <w:lang w:val="es-ES"/>
        </w:rPr>
        <w:t xml:space="preserve"> que se consideró que la mayoría de los criterios se habían cumplido total o parcialmente y que sería conveniente seguir mejorando el funcionamiento de las reuniones concurrentes, en </w:t>
      </w:r>
      <w:r w:rsidR="00EA4B56" w:rsidRPr="00632F8E">
        <w:rPr>
          <w:spacing w:val="-2"/>
          <w:kern w:val="22"/>
          <w:lang w:val="es-ES"/>
        </w:rPr>
        <w:lastRenderedPageBreak/>
        <w:t>particular para lograr mejores resultados y una mayor eficacia en las reuniones de las Partes en los Protocolos</w:t>
      </w:r>
      <w:r w:rsidRPr="00EA4B56">
        <w:rPr>
          <w:rFonts w:eastAsia="Malgun Gothic"/>
          <w:kern w:val="22"/>
          <w:lang w:val="es-ES"/>
        </w:rPr>
        <w:t>;</w:t>
      </w:r>
    </w:p>
    <w:p w:rsidR="00987619" w:rsidRPr="00EA4B56" w:rsidRDefault="00987619" w:rsidP="00773605">
      <w:pPr>
        <w:suppressLineNumbers/>
        <w:shd w:val="clear" w:color="auto" w:fill="FFFFFF"/>
        <w:suppressAutoHyphens/>
        <w:kinsoku w:val="0"/>
        <w:overflowPunct w:val="0"/>
        <w:autoSpaceDE w:val="0"/>
        <w:autoSpaceDN w:val="0"/>
        <w:adjustRightInd w:val="0"/>
        <w:snapToGrid w:val="0"/>
        <w:spacing w:before="120" w:after="120"/>
        <w:ind w:firstLine="720"/>
        <w:rPr>
          <w:rFonts w:eastAsia="Malgun Gothic"/>
          <w:kern w:val="22"/>
          <w:lang w:val="es-ES"/>
        </w:rPr>
      </w:pPr>
      <w:r w:rsidRPr="00EA4B56">
        <w:rPr>
          <w:rFonts w:eastAsia="Malgun Gothic"/>
          <w:kern w:val="22"/>
          <w:lang w:val="es-ES"/>
        </w:rPr>
        <w:t>3.</w:t>
      </w:r>
      <w:r w:rsidRPr="00EA4B56">
        <w:rPr>
          <w:rFonts w:eastAsia="Malgun Gothic"/>
          <w:kern w:val="22"/>
          <w:lang w:val="es-ES"/>
        </w:rPr>
        <w:tab/>
      </w:r>
      <w:r w:rsidR="00EA4B56" w:rsidRPr="00632F8E">
        <w:rPr>
          <w:i/>
          <w:iCs/>
          <w:kern w:val="22"/>
          <w:lang w:val="es-ES"/>
        </w:rPr>
        <w:t>Reitera</w:t>
      </w:r>
      <w:r w:rsidR="00EA4B56" w:rsidRPr="00632F8E">
        <w:rPr>
          <w:kern w:val="22"/>
          <w:lang w:val="es-ES"/>
        </w:rPr>
        <w:t xml:space="preserve"> la importancia de garantizar la participación plena y efectiva de representantes de las Partes que son países en desarrollo, en particular los países menos adelantados y los pequeños Estados insulares en desarrollo entre ellos, y los países con economías en transición, en las reuniones concurrentes y </w:t>
      </w:r>
      <w:r w:rsidR="00EA4B56" w:rsidRPr="00632F8E">
        <w:rPr>
          <w:i/>
          <w:iCs/>
          <w:kern w:val="22"/>
          <w:lang w:val="es-ES"/>
        </w:rPr>
        <w:t>resalta</w:t>
      </w:r>
      <w:r w:rsidR="00EA4B56" w:rsidRPr="00632F8E">
        <w:rPr>
          <w:kern w:val="22"/>
          <w:lang w:val="es-ES"/>
        </w:rPr>
        <w:t>, al respecto, la importancia, en particular, de garantizar una participación adecuada de representantes en las reuniones de los Protocolos mediante la facilitación de fondos para esa participación, inclu</w:t>
      </w:r>
      <w:r w:rsidR="00EA4B56">
        <w:rPr>
          <w:kern w:val="22"/>
          <w:lang w:val="es-ES"/>
        </w:rPr>
        <w:t>s</w:t>
      </w:r>
      <w:r w:rsidR="00EA4B56" w:rsidRPr="00632F8E">
        <w:rPr>
          <w:kern w:val="22"/>
          <w:lang w:val="es-ES"/>
        </w:rPr>
        <w:t>o en las reuniones entre períodos de sesiones</w:t>
      </w:r>
      <w:r w:rsidRPr="00EA4B56">
        <w:rPr>
          <w:rFonts w:eastAsia="Malgun Gothic"/>
          <w:kern w:val="22"/>
          <w:lang w:val="es-ES"/>
        </w:rPr>
        <w:t>;</w:t>
      </w:r>
    </w:p>
    <w:p w:rsidR="00987619" w:rsidRPr="00EA4B56" w:rsidRDefault="00937AB0" w:rsidP="004E078D">
      <w:pPr>
        <w:suppressLineNumbers/>
        <w:suppressAutoHyphens/>
        <w:kinsoku w:val="0"/>
        <w:overflowPunct w:val="0"/>
        <w:autoSpaceDE w:val="0"/>
        <w:autoSpaceDN w:val="0"/>
        <w:adjustRightInd w:val="0"/>
        <w:snapToGrid w:val="0"/>
        <w:spacing w:before="120" w:after="120"/>
        <w:ind w:firstLine="720"/>
        <w:rPr>
          <w:kern w:val="22"/>
          <w:lang w:val="es-ES" w:eastAsia="en-CA"/>
        </w:rPr>
      </w:pPr>
      <w:r w:rsidRPr="00EA4B56">
        <w:rPr>
          <w:lang w:val="es-ES"/>
        </w:rPr>
        <w:t>4.</w:t>
      </w:r>
      <w:r w:rsidR="00987619" w:rsidRPr="00EA4B56">
        <w:rPr>
          <w:lang w:val="es-ES"/>
        </w:rPr>
        <w:tab/>
      </w:r>
      <w:r w:rsidR="00EA4B56">
        <w:rPr>
          <w:i/>
          <w:iCs/>
          <w:lang w:val="es-UY"/>
        </w:rPr>
        <w:t>Pide</w:t>
      </w:r>
      <w:r w:rsidR="00EA4B56">
        <w:rPr>
          <w:lang w:val="es-UY"/>
        </w:rPr>
        <w:t xml:space="preserve"> a la Secretaria Ejecutiva que continúe desarrollando el examen preliminar de la experiencia en la celebración de reuniones concurrentes, utilizando los criterios que se mencionan en la decisión 2/12, sobre la base de la experiencia adquirida en las reuniones concurrentes de la 14ª reunión de la Conferencia de las Partes, la novena reunión de la Conferencia de las Partes que actúa como reunión de las Partes en el Protocolo de Cartagena y la tercera reunión de la Conferencia de las Partes que actúa como reunión de las Partes en el Protocolo de Nagoya, para su consideración por el Órgano Subsidiario  sobre la Aplicación en su tercera reunión</w:t>
      </w:r>
      <w:r w:rsidRPr="00EA4B56">
        <w:rPr>
          <w:lang w:val="es-ES"/>
        </w:rPr>
        <w:t>;</w:t>
      </w:r>
    </w:p>
    <w:p w:rsidR="00987619" w:rsidRPr="00EA4B56" w:rsidRDefault="00937AB0" w:rsidP="00773605">
      <w:pPr>
        <w:suppressLineNumbers/>
        <w:shd w:val="clear" w:color="auto" w:fill="FFFFFF"/>
        <w:suppressAutoHyphens/>
        <w:kinsoku w:val="0"/>
        <w:overflowPunct w:val="0"/>
        <w:autoSpaceDE w:val="0"/>
        <w:autoSpaceDN w:val="0"/>
        <w:adjustRightInd w:val="0"/>
        <w:snapToGrid w:val="0"/>
        <w:spacing w:before="120" w:after="120"/>
        <w:ind w:firstLine="720"/>
        <w:rPr>
          <w:b/>
          <w:u w:val="single"/>
          <w:lang w:val="es-ES"/>
        </w:rPr>
      </w:pPr>
      <w:r w:rsidRPr="00EA4B56">
        <w:rPr>
          <w:rFonts w:eastAsia="Malgun Gothic"/>
          <w:kern w:val="22"/>
          <w:lang w:val="es-ES"/>
        </w:rPr>
        <w:t>5</w:t>
      </w:r>
      <w:r w:rsidR="00987619" w:rsidRPr="00EA4B56">
        <w:rPr>
          <w:rFonts w:eastAsia="Malgun Gothic"/>
          <w:kern w:val="22"/>
          <w:lang w:val="es-ES"/>
        </w:rPr>
        <w:t>.</w:t>
      </w:r>
      <w:r w:rsidR="00987619" w:rsidRPr="00EA4B56">
        <w:rPr>
          <w:rFonts w:eastAsia="Malgun Gothic"/>
          <w:kern w:val="22"/>
          <w:lang w:val="es-ES"/>
        </w:rPr>
        <w:tab/>
      </w:r>
      <w:r w:rsidR="00EA4B56" w:rsidRPr="00632F8E">
        <w:rPr>
          <w:i/>
          <w:iCs/>
          <w:kern w:val="22"/>
          <w:lang w:val="es-ES"/>
        </w:rPr>
        <w:t>Pide</w:t>
      </w:r>
      <w:r w:rsidR="00EA4B56" w:rsidRPr="00632F8E">
        <w:rPr>
          <w:kern w:val="22"/>
          <w:lang w:val="es-ES"/>
        </w:rPr>
        <w:t xml:space="preserve"> a la Mesa y a la Secretaria Ejecutiva que, al terminar de preparar la propuesta de organización de los trabajos para la 15ª reunión de la Conferencia de las Partes en el Convenio, la décima reunión de la Conferencia de las Partes que actúa como reunión de las Partes en el Protocolo de Cartagena y la cuarta reunión de la Conferencia de las Partes que actúa como reunión de las Partes en el Protocolo de Nagoya, tengan en cuenta la presente decisión</w:t>
      </w:r>
      <w:r w:rsidR="00EA4B56">
        <w:rPr>
          <w:kern w:val="22"/>
          <w:lang w:val="es-ES"/>
        </w:rPr>
        <w:t xml:space="preserve">, </w:t>
      </w:r>
      <w:r w:rsidR="00EA4B56" w:rsidRPr="00632F8E">
        <w:rPr>
          <w:kern w:val="22"/>
          <w:lang w:val="es-ES"/>
        </w:rPr>
        <w:t>la información que figura en la nota de la Secretaria Ejecutiva</w:t>
      </w:r>
      <w:r w:rsidR="00EA4B56" w:rsidRPr="00CE3D2D">
        <w:rPr>
          <w:rStyle w:val="Refdenotaalpie"/>
          <w:kern w:val="22"/>
          <w:sz w:val="18"/>
          <w:szCs w:val="18"/>
          <w:lang w:val="es-ES"/>
        </w:rPr>
        <w:footnoteReference w:id="1"/>
      </w:r>
      <w:r w:rsidR="00EA4B56">
        <w:rPr>
          <w:kern w:val="22"/>
          <w:lang w:val="es-ES"/>
        </w:rPr>
        <w:t xml:space="preserve"> </w:t>
      </w:r>
      <w:r w:rsidR="00EA4B56">
        <w:rPr>
          <w:lang w:val="es-UY"/>
        </w:rPr>
        <w:t>y la experiencia adquirida en las reuniones concurrentes de la 14ª reunión de la Conferencia de las Partes, la novena reunión de la Conferencia de las Partes que actúa como reunión de las Partes en el Protocolo de Cartagena y la tercera reunión de la Conferencia de las Partes que actúa como reunión de las Partes en el Protocolo de Nagoya</w:t>
      </w:r>
      <w:r w:rsidR="00987619" w:rsidRPr="00EA4B56">
        <w:rPr>
          <w:b/>
          <w:lang w:val="es-ES"/>
        </w:rPr>
        <w:t>.</w:t>
      </w:r>
    </w:p>
    <w:p w:rsidR="00937AB0" w:rsidRPr="00773605" w:rsidRDefault="00937AB0" w:rsidP="00937AB0">
      <w:pPr>
        <w:suppressLineNumbers/>
        <w:shd w:val="clear" w:color="auto" w:fill="FFFFFF"/>
        <w:suppressAutoHyphens/>
        <w:kinsoku w:val="0"/>
        <w:overflowPunct w:val="0"/>
        <w:autoSpaceDE w:val="0"/>
        <w:autoSpaceDN w:val="0"/>
        <w:adjustRightInd w:val="0"/>
        <w:snapToGrid w:val="0"/>
        <w:spacing w:before="120" w:after="120"/>
        <w:ind w:firstLine="720"/>
        <w:jc w:val="center"/>
        <w:rPr>
          <w:rFonts w:eastAsia="Malgun Gothic"/>
          <w:kern w:val="22"/>
        </w:rPr>
      </w:pPr>
      <w:r>
        <w:rPr>
          <w:b/>
          <w:u w:val="single"/>
        </w:rPr>
        <w:t>__________</w:t>
      </w:r>
    </w:p>
    <w:sectPr w:rsidR="00937AB0" w:rsidRPr="00773605" w:rsidSect="009C200D">
      <w:headerReference w:type="even" r:id="rId14"/>
      <w:headerReference w:type="default" r:id="rId15"/>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118C" w:rsidRDefault="00DD118C" w:rsidP="00CF1848">
      <w:r>
        <w:separator/>
      </w:r>
    </w:p>
  </w:endnote>
  <w:endnote w:type="continuationSeparator" w:id="0">
    <w:p w:rsidR="00DD118C" w:rsidRDefault="00DD118C"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118C" w:rsidRDefault="00DD118C" w:rsidP="00CF1848">
      <w:r>
        <w:separator/>
      </w:r>
    </w:p>
  </w:footnote>
  <w:footnote w:type="continuationSeparator" w:id="0">
    <w:p w:rsidR="00DD118C" w:rsidRDefault="00DD118C" w:rsidP="00CF1848">
      <w:r>
        <w:continuationSeparator/>
      </w:r>
    </w:p>
  </w:footnote>
  <w:footnote w:id="1">
    <w:p w:rsidR="00EA4B56" w:rsidRDefault="00EA4B56" w:rsidP="00EA4B56">
      <w:pPr>
        <w:pStyle w:val="Textonotapie"/>
        <w:ind w:firstLine="0"/>
      </w:pPr>
      <w:r w:rsidRPr="00CE3D2D">
        <w:rPr>
          <w:rStyle w:val="Refdenotaalpie"/>
          <w:szCs w:val="18"/>
          <w:lang w:val="es-ES"/>
        </w:rPr>
        <w:footnoteRef/>
      </w:r>
      <w:r w:rsidRPr="00CE3D2D">
        <w:rPr>
          <w:lang w:val="es-ES"/>
        </w:rPr>
        <w:t xml:space="preserve"> </w:t>
      </w:r>
      <w:r w:rsidRPr="009C72BA">
        <w:rPr>
          <w:lang w:val="es-ES"/>
        </w:rPr>
        <w:t>CBD/SBI/2/16 y Add.1.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s-ES"/>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EA4B56" w:rsidRDefault="00396952" w:rsidP="00534681">
        <w:pPr>
          <w:pStyle w:val="Encabezado"/>
          <w:rPr>
            <w:lang w:val="es-ES"/>
          </w:rPr>
        </w:pPr>
        <w:r w:rsidRPr="00EA4B56">
          <w:rPr>
            <w:lang w:val="es-ES"/>
          </w:rPr>
          <w:t>CBD/NP-MOP/3/L.9</w:t>
        </w:r>
      </w:p>
    </w:sdtContent>
  </w:sdt>
  <w:p w:rsidR="00534681" w:rsidRPr="00EA4B56" w:rsidRDefault="00534681" w:rsidP="00534681">
    <w:pPr>
      <w:pStyle w:val="Encabezado"/>
      <w:rPr>
        <w:lang w:val="es-ES"/>
      </w:rPr>
    </w:pPr>
    <w:r w:rsidRPr="00EA4B56">
      <w:rPr>
        <w:lang w:val="es-ES"/>
      </w:rPr>
      <w:t>P</w:t>
    </w:r>
    <w:r w:rsidR="00EA4B56" w:rsidRPr="00EA4B56">
      <w:rPr>
        <w:lang w:val="es-ES"/>
      </w:rPr>
      <w:t>ágina</w:t>
    </w:r>
    <w:r w:rsidRPr="00EA4B56">
      <w:rPr>
        <w:lang w:val="es-ES"/>
      </w:rPr>
      <w:t xml:space="preserve"> </w:t>
    </w:r>
    <w:r w:rsidR="000205C2">
      <w:fldChar w:fldCharType="begin"/>
    </w:r>
    <w:r w:rsidRPr="00EA4B56">
      <w:rPr>
        <w:lang w:val="es-ES"/>
      </w:rPr>
      <w:instrText xml:space="preserve"> PAGE   \* MERGEFORMAT </w:instrText>
    </w:r>
    <w:r w:rsidR="000205C2">
      <w:fldChar w:fldCharType="separate"/>
    </w:r>
    <w:r w:rsidR="00695F5E">
      <w:rPr>
        <w:noProof/>
        <w:lang w:val="es-ES"/>
      </w:rPr>
      <w:t>2</w:t>
    </w:r>
    <w:r w:rsidR="000205C2">
      <w:rPr>
        <w:noProof/>
      </w:rPr>
      <w:fldChar w:fldCharType="end"/>
    </w:r>
  </w:p>
  <w:p w:rsidR="00534681" w:rsidRPr="00EA4B56" w:rsidRDefault="00534681">
    <w:pPr>
      <w:pStyle w:val="Encabezado"/>
      <w:rPr>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937AB0" w:rsidRDefault="00396952" w:rsidP="009505C9">
        <w:pPr>
          <w:pStyle w:val="Encabezado"/>
          <w:jc w:val="right"/>
          <w:rPr>
            <w:lang w:val="en-CA"/>
          </w:rPr>
        </w:pPr>
        <w:r>
          <w:rPr>
            <w:lang w:val="en-CA"/>
          </w:rPr>
          <w:t>CBD/NP-MOP/3/L.9</w:t>
        </w:r>
      </w:p>
    </w:sdtContent>
  </w:sdt>
  <w:p w:rsidR="009505C9" w:rsidRPr="00000614" w:rsidRDefault="009505C9" w:rsidP="009505C9">
    <w:pPr>
      <w:pStyle w:val="Encabezado"/>
      <w:jc w:val="right"/>
      <w:rPr>
        <w:lang w:val="fr-FR"/>
      </w:rPr>
    </w:pPr>
    <w:r w:rsidRPr="00000614">
      <w:rPr>
        <w:lang w:val="fr-FR"/>
      </w:rPr>
      <w:t xml:space="preserve">Page </w:t>
    </w:r>
    <w:r w:rsidR="000205C2">
      <w:fldChar w:fldCharType="begin"/>
    </w:r>
    <w:r w:rsidRPr="00000614">
      <w:rPr>
        <w:lang w:val="fr-FR"/>
      </w:rPr>
      <w:instrText xml:space="preserve"> PAGE   \* MERGEFORMAT </w:instrText>
    </w:r>
    <w:r w:rsidR="000205C2">
      <w:fldChar w:fldCharType="separate"/>
    </w:r>
    <w:r w:rsidR="009C200D" w:rsidRPr="00000614">
      <w:rPr>
        <w:noProof/>
        <w:lang w:val="fr-FR"/>
      </w:rPr>
      <w:t>1</w:t>
    </w:r>
    <w:r w:rsidR="000205C2">
      <w:rPr>
        <w:noProof/>
      </w:rPr>
      <w:fldChar w:fldCharType="end"/>
    </w:r>
  </w:p>
  <w:p w:rsidR="009505C9" w:rsidRPr="00000614" w:rsidRDefault="009505C9">
    <w:pPr>
      <w:pStyle w:val="Encabezado"/>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28673"/>
  </w:hdrShapeDefaults>
  <w:footnotePr>
    <w:footnote w:id="-1"/>
    <w:footnote w:id="0"/>
  </w:footnotePr>
  <w:endnotePr>
    <w:endnote w:id="-1"/>
    <w:endnote w:id="0"/>
  </w:endnotePr>
  <w:compat>
    <w:useFELayout/>
  </w:compat>
  <w:rsids>
    <w:rsidRoot w:val="00C9161D"/>
    <w:rsid w:val="00000614"/>
    <w:rsid w:val="000205C2"/>
    <w:rsid w:val="000E673A"/>
    <w:rsid w:val="000F74F5"/>
    <w:rsid w:val="00105372"/>
    <w:rsid w:val="00131E7A"/>
    <w:rsid w:val="00172AF6"/>
    <w:rsid w:val="00176CEE"/>
    <w:rsid w:val="00197AB7"/>
    <w:rsid w:val="00372F74"/>
    <w:rsid w:val="00396952"/>
    <w:rsid w:val="003F7224"/>
    <w:rsid w:val="00405146"/>
    <w:rsid w:val="0042412C"/>
    <w:rsid w:val="00427D21"/>
    <w:rsid w:val="00452147"/>
    <w:rsid w:val="004644C2"/>
    <w:rsid w:val="00467F9C"/>
    <w:rsid w:val="005345E1"/>
    <w:rsid w:val="00534681"/>
    <w:rsid w:val="006122BA"/>
    <w:rsid w:val="0061445E"/>
    <w:rsid w:val="0062246C"/>
    <w:rsid w:val="00695F5E"/>
    <w:rsid w:val="006B2290"/>
    <w:rsid w:val="006F1189"/>
    <w:rsid w:val="00717D88"/>
    <w:rsid w:val="00744DA2"/>
    <w:rsid w:val="007942D3"/>
    <w:rsid w:val="007B6C09"/>
    <w:rsid w:val="007E09DA"/>
    <w:rsid w:val="008178B6"/>
    <w:rsid w:val="00865B74"/>
    <w:rsid w:val="008F1409"/>
    <w:rsid w:val="00930BA1"/>
    <w:rsid w:val="0093169E"/>
    <w:rsid w:val="00937AB0"/>
    <w:rsid w:val="009505C9"/>
    <w:rsid w:val="00987619"/>
    <w:rsid w:val="009C200D"/>
    <w:rsid w:val="00AD680C"/>
    <w:rsid w:val="00B3369F"/>
    <w:rsid w:val="00C35537"/>
    <w:rsid w:val="00C9161D"/>
    <w:rsid w:val="00CF1848"/>
    <w:rsid w:val="00D12044"/>
    <w:rsid w:val="00D71888"/>
    <w:rsid w:val="00D76A18"/>
    <w:rsid w:val="00DD118C"/>
    <w:rsid w:val="00E66235"/>
    <w:rsid w:val="00E83C24"/>
    <w:rsid w:val="00E9318D"/>
    <w:rsid w:val="00EA4B56"/>
    <w:rsid w:val="00F85F4F"/>
    <w:rsid w:val="00F94774"/>
    <w:rsid w:val="00FA548E"/>
    <w:rsid w:val="00FC53DB"/>
  </w:rsids>
  <m:mathPr>
    <m:mathFont m:val="Cambria Math"/>
    <m:brkBin m:val="before"/>
    <m:brkBinSub m:val="--"/>
    <m:smallFrac m:val="off"/>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S,ADB,single space1,footnote text1,FOOTNOTES1,fn1,ADB1,single space2,footnote text2,FOOTNOTES2,fn2,ADB2,single space3,footnote text3,fn3"/>
    <w:basedOn w:val="Normal"/>
    <w:link w:val="TextonotapieCar"/>
    <w:uiPriority w:val="99"/>
    <w:semiHidden/>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S Car,ADB Car,single space1 Car,footnote text1 Car,FOOTNOTES1 Car,fn1 Car,ADB1 Car,single space2 Car,fn2 Car"/>
    <w:basedOn w:val="Fuentedeprrafopredeter"/>
    <w:link w:val="Textonotapie"/>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styleId="Sinespaciado">
    <w:name w:val="No Spacing"/>
    <w:link w:val="SinespaciadoCar"/>
    <w:uiPriority w:val="1"/>
    <w:qFormat/>
    <w:rsid w:val="0061445E"/>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987619"/>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17318796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np-mop-02/np-mop-02-dec-12-es.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np-mop-01/np-mop-01-dec-12-es.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0D4B207D99C14635A9F11D6670B08866"/>
        <w:category>
          <w:name w:val="General"/>
          <w:gallery w:val="placeholder"/>
        </w:category>
        <w:types>
          <w:type w:val="bbPlcHdr"/>
        </w:types>
        <w:behaviors>
          <w:behavior w:val="content"/>
        </w:behaviors>
        <w:guid w:val="{7991F0AA-722E-4B34-8530-95217271E7A1}"/>
      </w:docPartPr>
      <w:docPartBody>
        <w:p w:rsidR="00A620FE" w:rsidRDefault="00250B7D" w:rsidP="00250B7D">
          <w:pPr>
            <w:pStyle w:val="0D4B207D99C14635A9F11D6670B08866"/>
          </w:pPr>
          <w:r w:rsidRPr="007E02EB">
            <w:rPr>
              <w:rStyle w:val="Textodelmarcadordeposicin"/>
            </w:rPr>
            <w:t>[Status]</w:t>
          </w:r>
        </w:p>
      </w:docPartBody>
    </w:docPart>
    <w:docPart>
      <w:docPartPr>
        <w:name w:val="C5D0334F12E244779BF7895522BE77B2"/>
        <w:category>
          <w:name w:val="General"/>
          <w:gallery w:val="placeholder"/>
        </w:category>
        <w:types>
          <w:type w:val="bbPlcHdr"/>
        </w:types>
        <w:behaviors>
          <w:behavior w:val="content"/>
        </w:behaviors>
        <w:guid w:val="{B1F2FAED-F695-44C2-A32F-F143FA785213}"/>
      </w:docPartPr>
      <w:docPartBody>
        <w:p w:rsidR="00A620FE" w:rsidRDefault="00250B7D" w:rsidP="00250B7D">
          <w:pPr>
            <w:pStyle w:val="C5D0334F12E244779BF7895522BE77B2"/>
          </w:pPr>
          <w:r w:rsidRPr="007E02EB">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250B7D"/>
    <w:rsid w:val="00261E9A"/>
    <w:rsid w:val="00500A2B"/>
    <w:rsid w:val="0058288D"/>
    <w:rsid w:val="006801B3"/>
    <w:rsid w:val="00720F63"/>
    <w:rsid w:val="007F1B76"/>
    <w:rsid w:val="00810A55"/>
    <w:rsid w:val="008C6619"/>
    <w:rsid w:val="008D420E"/>
    <w:rsid w:val="0098642F"/>
    <w:rsid w:val="00A620FE"/>
    <w:rsid w:val="00CE66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0FE"/>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50B7D"/>
    <w:rPr>
      <w:color w:val="808080"/>
    </w:rPr>
  </w:style>
  <w:style w:type="paragraph" w:customStyle="1" w:styleId="C444DEE40D7C456B82AF1A09CD132ABF">
    <w:name w:val="C444DEE40D7C456B82AF1A09CD132ABF"/>
    <w:rsid w:val="00CE6602"/>
    <w:pPr>
      <w:spacing w:after="160" w:line="259" w:lineRule="auto"/>
    </w:pPr>
  </w:style>
  <w:style w:type="paragraph" w:customStyle="1" w:styleId="99AA84461E7A4F3986CC048C82E55525">
    <w:name w:val="99AA84461E7A4F3986CC048C82E55525"/>
    <w:rsid w:val="00250B7D"/>
    <w:pPr>
      <w:spacing w:after="160" w:line="259" w:lineRule="auto"/>
    </w:pPr>
    <w:rPr>
      <w:lang w:val="en-CA" w:eastAsia="en-CA"/>
    </w:rPr>
  </w:style>
  <w:style w:type="paragraph" w:customStyle="1" w:styleId="3341EC8B77F540FCB7B99DD623D2A2C9">
    <w:name w:val="3341EC8B77F540FCB7B99DD623D2A2C9"/>
    <w:rsid w:val="00250B7D"/>
    <w:pPr>
      <w:spacing w:after="160" w:line="259" w:lineRule="auto"/>
    </w:pPr>
    <w:rPr>
      <w:lang w:val="en-CA" w:eastAsia="en-CA"/>
    </w:rPr>
  </w:style>
  <w:style w:type="paragraph" w:customStyle="1" w:styleId="C86F54281D854611B7787429A280C535">
    <w:name w:val="C86F54281D854611B7787429A280C535"/>
    <w:rsid w:val="00250B7D"/>
    <w:pPr>
      <w:spacing w:after="160" w:line="259" w:lineRule="auto"/>
    </w:pPr>
    <w:rPr>
      <w:lang w:val="en-CA" w:eastAsia="en-CA"/>
    </w:rPr>
  </w:style>
  <w:style w:type="paragraph" w:customStyle="1" w:styleId="E53888D8AF5744629839C6A39B79698A">
    <w:name w:val="E53888D8AF5744629839C6A39B79698A"/>
    <w:rsid w:val="00250B7D"/>
    <w:pPr>
      <w:spacing w:after="160" w:line="259" w:lineRule="auto"/>
    </w:pPr>
    <w:rPr>
      <w:lang w:val="en-CA" w:eastAsia="en-CA"/>
    </w:rPr>
  </w:style>
  <w:style w:type="paragraph" w:customStyle="1" w:styleId="0D4B207D99C14635A9F11D6670B08866">
    <w:name w:val="0D4B207D99C14635A9F11D6670B08866"/>
    <w:rsid w:val="00250B7D"/>
    <w:pPr>
      <w:spacing w:after="160" w:line="259" w:lineRule="auto"/>
    </w:pPr>
    <w:rPr>
      <w:lang w:val="en-CA" w:eastAsia="en-CA"/>
    </w:rPr>
  </w:style>
  <w:style w:type="paragraph" w:customStyle="1" w:styleId="C5D0334F12E244779BF7895522BE77B2">
    <w:name w:val="C5D0334F12E244779BF7895522BE77B2"/>
    <w:rsid w:val="00250B7D"/>
    <w:pPr>
      <w:spacing w:after="160" w:line="259" w:lineRule="auto"/>
    </w:pPr>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C8FF17-D4FA-4469-B6D9-735F6E7F3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773</Words>
  <Characters>4257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Review of experience in holding concurrently meetings of the Conference of the Parties to the Convention, the Conference of the Parties serving as the meeting of the Parties to the Cartagena Protocol, and the Conference of the Parties serving as the meeti</vt:lpstr>
    </vt:vector>
  </TitlesOfParts>
  <Company>SCBD</Company>
  <LinksUpToDate>false</LinksUpToDate>
  <CharactersWithSpaces>5020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LA EXPERIENCIA EN LA CELEBRACIÓN DE REUNIONES CONCURRENTES DE LA CONFERENCIA DE LAS PARTES EN EL CONVENIO, LA CONFERENCIA DE LAS PARTES QUE ACTÚA COMO REUNIÓN DE LAS PARTES EN EL PROTOCOLO DE CARTAGENA Y LA CONFERENCIA DE LAS PARTES QUE ACTÚA COMO REUNIÓN DE LAS PARTES EN EL PROTOCOLO DE NAGOYA</dc:title>
  <dc:subject>CBD/NP-MOP/3/L.9</dc:subject>
  <dc:creator>SCBD</dc:creator>
  <cp:lastModifiedBy>HP</cp:lastModifiedBy>
  <cp:revision>4</cp:revision>
  <dcterms:created xsi:type="dcterms:W3CDTF">2018-11-26T10:11:00Z</dcterms:created>
  <dcterms:modified xsi:type="dcterms:W3CDTF">2018-11-26T10:18:00Z</dcterms:modified>
  <cp:contentStatus>LIMITADA</cp:contentStatus>
</cp:coreProperties>
</file>