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30" w:space="0" w:color="000000"/>
        </w:tblBorders>
        <w:tblLayout w:type="fixed"/>
        <w:tblLook w:val="0000" w:firstRow="0" w:lastRow="0" w:firstColumn="0" w:lastColumn="0" w:noHBand="0" w:noVBand="0"/>
      </w:tblPr>
      <w:tblGrid>
        <w:gridCol w:w="19"/>
        <w:gridCol w:w="1307"/>
        <w:gridCol w:w="1221"/>
        <w:gridCol w:w="2930"/>
        <w:gridCol w:w="282"/>
        <w:gridCol w:w="3817"/>
      </w:tblGrid>
      <w:tr w:rsidR="0030744F" w:rsidRPr="00051FD1" w:rsidTr="0030744F">
        <w:trPr>
          <w:gridBefore w:val="1"/>
          <w:wBefore w:w="19" w:type="dxa"/>
        </w:trPr>
        <w:tc>
          <w:tcPr>
            <w:tcW w:w="1307" w:type="dxa"/>
            <w:tcBorders>
              <w:bottom w:val="single" w:sz="12" w:space="0" w:color="000000"/>
            </w:tcBorders>
          </w:tcPr>
          <w:p w:rsidR="0030744F" w:rsidRPr="00051FD1" w:rsidRDefault="0030744F" w:rsidP="0030744F">
            <w:pPr>
              <w:suppressLineNumbers/>
              <w:suppressAutoHyphens/>
              <w:spacing w:before="120" w:after="120"/>
              <w:rPr>
                <w:snapToGrid w:val="0"/>
                <w:kern w:val="22"/>
                <w:lang w:val="en-GB"/>
              </w:rPr>
            </w:pPr>
            <w:r w:rsidRPr="00051FD1">
              <w:rPr>
                <w:snapToGrid w:val="0"/>
                <w:kern w:val="22"/>
                <w:lang w:val="en-GB" w:eastAsia="zh-CN"/>
              </w:rPr>
              <w:drawing>
                <wp:inline distT="0" distB="0" distL="0" distR="0" wp14:anchorId="5E2007C3" wp14:editId="0DD6B223">
                  <wp:extent cx="476250" cy="400050"/>
                  <wp:effectExtent l="0" t="0" r="0" b="0"/>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221" w:type="dxa"/>
            <w:tcBorders>
              <w:bottom w:val="single" w:sz="12" w:space="0" w:color="000000"/>
            </w:tcBorders>
          </w:tcPr>
          <w:p w:rsidR="0030744F" w:rsidRPr="00051FD1" w:rsidRDefault="0030744F" w:rsidP="0030744F">
            <w:pPr>
              <w:suppressLineNumbers/>
              <w:suppressAutoHyphens/>
              <w:spacing w:before="120" w:after="120"/>
              <w:rPr>
                <w:snapToGrid w:val="0"/>
                <w:kern w:val="22"/>
                <w:sz w:val="20"/>
                <w:lang w:val="en-GB"/>
              </w:rPr>
            </w:pPr>
            <w:r w:rsidRPr="00051FD1">
              <w:rPr>
                <w:snapToGrid w:val="0"/>
                <w:kern w:val="22"/>
                <w:sz w:val="20"/>
                <w:lang w:val="en-GB" w:eastAsia="zh-CN"/>
              </w:rPr>
              <w:drawing>
                <wp:inline distT="0" distB="0" distL="0" distR="0" wp14:anchorId="6959C75A" wp14:editId="3441C2F4">
                  <wp:extent cx="342900" cy="400050"/>
                  <wp:effectExtent l="0" t="0" r="0" b="0"/>
                  <wp:docPr id="4"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029" w:type="dxa"/>
            <w:gridSpan w:val="3"/>
            <w:tcBorders>
              <w:bottom w:val="single" w:sz="12" w:space="0" w:color="000000"/>
            </w:tcBorders>
          </w:tcPr>
          <w:p w:rsidR="0030744F" w:rsidRPr="00051FD1" w:rsidRDefault="0030744F" w:rsidP="0030744F">
            <w:pPr>
              <w:suppressLineNumbers/>
              <w:suppressAutoHyphens/>
              <w:spacing w:before="120" w:after="120"/>
              <w:jc w:val="right"/>
              <w:rPr>
                <w:rFonts w:ascii="Univers" w:hAnsi="Univers"/>
                <w:b/>
                <w:snapToGrid w:val="0"/>
                <w:kern w:val="22"/>
                <w:sz w:val="32"/>
                <w:lang w:val="en-GB"/>
              </w:rPr>
            </w:pPr>
            <w:r w:rsidRPr="00051FD1">
              <w:rPr>
                <w:rFonts w:ascii="Univers" w:hAnsi="Univers"/>
                <w:b/>
                <w:snapToGrid w:val="0"/>
                <w:kern w:val="22"/>
                <w:sz w:val="32"/>
                <w:lang w:val="en-GB"/>
              </w:rPr>
              <w:t>CBD</w:t>
            </w:r>
          </w:p>
        </w:tc>
      </w:tr>
      <w:tr w:rsidR="00975AEA" w:rsidRPr="00051FD1" w:rsidTr="00EB1BD6">
        <w:trPr>
          <w:trHeight w:val="1693"/>
        </w:trPr>
        <w:tc>
          <w:tcPr>
            <w:tcW w:w="5477" w:type="dxa"/>
            <w:gridSpan w:val="4"/>
          </w:tcPr>
          <w:p w:rsidR="00975AEA" w:rsidRPr="00051FD1" w:rsidRDefault="0030744F" w:rsidP="00FC6DDE">
            <w:pPr>
              <w:rPr>
                <w:snapToGrid w:val="0"/>
                <w:kern w:val="22"/>
                <w:sz w:val="22"/>
                <w:szCs w:val="22"/>
                <w:lang w:val="en-GB"/>
              </w:rPr>
            </w:pPr>
            <w:r w:rsidRPr="00051FD1">
              <w:rPr>
                <w:snapToGrid w:val="0"/>
                <w:kern w:val="22"/>
                <w:sz w:val="22"/>
                <w:szCs w:val="22"/>
                <w:lang w:val="en-GB" w:eastAsia="zh-CN"/>
              </w:rPr>
              <w:drawing>
                <wp:inline distT="0" distB="0" distL="0" distR="0" wp14:anchorId="60629D9E" wp14:editId="42459FF9">
                  <wp:extent cx="2838450" cy="1085850"/>
                  <wp:effectExtent l="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085850"/>
                          </a:xfrm>
                          <a:prstGeom prst="rect">
                            <a:avLst/>
                          </a:prstGeom>
                          <a:noFill/>
                          <a:ln>
                            <a:noFill/>
                          </a:ln>
                        </pic:spPr>
                      </pic:pic>
                    </a:graphicData>
                  </a:graphic>
                </wp:inline>
              </w:drawing>
            </w:r>
          </w:p>
        </w:tc>
        <w:tc>
          <w:tcPr>
            <w:tcW w:w="282" w:type="dxa"/>
          </w:tcPr>
          <w:p w:rsidR="00975AEA" w:rsidRPr="00051FD1" w:rsidRDefault="00975AEA" w:rsidP="00FC6DDE">
            <w:pPr>
              <w:rPr>
                <w:snapToGrid w:val="0"/>
                <w:kern w:val="22"/>
                <w:sz w:val="22"/>
                <w:szCs w:val="22"/>
                <w:lang w:val="en-GB"/>
              </w:rPr>
            </w:pPr>
          </w:p>
        </w:tc>
        <w:tc>
          <w:tcPr>
            <w:tcW w:w="3817" w:type="dxa"/>
          </w:tcPr>
          <w:p w:rsidR="00975AEA" w:rsidRPr="00051FD1" w:rsidRDefault="00975AEA" w:rsidP="008C0061">
            <w:pPr>
              <w:suppressAutoHyphens/>
              <w:ind w:left="620"/>
              <w:rPr>
                <w:snapToGrid w:val="0"/>
                <w:kern w:val="22"/>
                <w:sz w:val="22"/>
                <w:szCs w:val="22"/>
                <w:lang w:val="en-GB"/>
              </w:rPr>
            </w:pPr>
            <w:r w:rsidRPr="00051FD1">
              <w:rPr>
                <w:snapToGrid w:val="0"/>
                <w:kern w:val="22"/>
                <w:sz w:val="22"/>
                <w:szCs w:val="22"/>
                <w:lang w:val="en-GB"/>
              </w:rPr>
              <w:t>Distr.</w:t>
            </w:r>
          </w:p>
          <w:p w:rsidR="00975AEA" w:rsidRPr="00051FD1" w:rsidRDefault="002A0E81" w:rsidP="008C0061">
            <w:pPr>
              <w:suppressAutoHyphens/>
              <w:ind w:left="620"/>
              <w:rPr>
                <w:snapToGrid w:val="0"/>
                <w:kern w:val="22"/>
                <w:sz w:val="22"/>
                <w:szCs w:val="22"/>
                <w:lang w:val="en-GB"/>
              </w:rPr>
            </w:pPr>
            <w:r w:rsidRPr="00051FD1">
              <w:rPr>
                <w:snapToGrid w:val="0"/>
                <w:kern w:val="22"/>
                <w:sz w:val="22"/>
                <w:szCs w:val="22"/>
                <w:lang w:val="en-GB"/>
              </w:rPr>
              <w:t>GENERAL</w:t>
            </w:r>
          </w:p>
          <w:p w:rsidR="0046037E" w:rsidRPr="00051FD1" w:rsidRDefault="0046037E" w:rsidP="008C0061">
            <w:pPr>
              <w:suppressAutoHyphens/>
              <w:ind w:left="620"/>
              <w:rPr>
                <w:snapToGrid w:val="0"/>
                <w:kern w:val="22"/>
                <w:sz w:val="22"/>
                <w:szCs w:val="22"/>
                <w:lang w:val="en-GB"/>
              </w:rPr>
            </w:pPr>
          </w:p>
          <w:sdt>
            <w:sdtPr>
              <w:rPr>
                <w:snapToGrid w:val="0"/>
                <w:kern w:val="22"/>
                <w:sz w:val="22"/>
                <w:szCs w:val="22"/>
                <w:lang w:val="en-GB"/>
              </w:rPr>
              <w:alias w:val="Subject"/>
              <w:tag w:val=""/>
              <w:id w:val="558838981"/>
              <w:placeholder>
                <w:docPart w:val="355983AA81E74E8BAAFAAB098EAFF96F"/>
              </w:placeholder>
              <w:dataBinding w:prefixMappings="xmlns:ns0='http://purl.org/dc/elements/1.1/' xmlns:ns1='http://schemas.openxmlformats.org/package/2006/metadata/core-properties' " w:xpath="/ns1:coreProperties[1]/ns0:subject[1]" w:storeItemID="{6C3C8BC8-F283-45AE-878A-BAB7291924A1}"/>
              <w:text/>
            </w:sdtPr>
            <w:sdtEndPr/>
            <w:sdtContent>
              <w:p w:rsidR="008E46EF" w:rsidRPr="00051FD1" w:rsidRDefault="009B07D2" w:rsidP="008C0061">
                <w:pPr>
                  <w:suppressAutoHyphens/>
                  <w:ind w:left="620"/>
                  <w:rPr>
                    <w:snapToGrid w:val="0"/>
                    <w:kern w:val="22"/>
                    <w:sz w:val="22"/>
                    <w:szCs w:val="22"/>
                    <w:lang w:val="en-GB"/>
                  </w:rPr>
                </w:pPr>
                <w:r w:rsidRPr="00051FD1">
                  <w:rPr>
                    <w:snapToGrid w:val="0"/>
                    <w:kern w:val="22"/>
                    <w:sz w:val="22"/>
                    <w:szCs w:val="22"/>
                    <w:lang w:val="en-GB"/>
                  </w:rPr>
                  <w:t>CBD/SBI/2/11</w:t>
                </w:r>
              </w:p>
            </w:sdtContent>
          </w:sdt>
          <w:p w:rsidR="00975AEA" w:rsidRPr="00051FD1" w:rsidRDefault="0030744F" w:rsidP="008C0061">
            <w:pPr>
              <w:suppressAutoHyphens/>
              <w:ind w:left="620"/>
              <w:rPr>
                <w:snapToGrid w:val="0"/>
                <w:kern w:val="22"/>
                <w:sz w:val="22"/>
                <w:szCs w:val="22"/>
                <w:lang w:val="en-GB"/>
              </w:rPr>
            </w:pPr>
            <w:r w:rsidRPr="00051FD1">
              <w:rPr>
                <w:snapToGrid w:val="0"/>
                <w:kern w:val="22"/>
                <w:sz w:val="22"/>
                <w:szCs w:val="22"/>
                <w:lang w:val="en-GB"/>
              </w:rPr>
              <w:t>4</w:t>
            </w:r>
            <w:r w:rsidR="00E22D50" w:rsidRPr="00051FD1">
              <w:rPr>
                <w:snapToGrid w:val="0"/>
                <w:kern w:val="22"/>
                <w:sz w:val="22"/>
                <w:szCs w:val="22"/>
                <w:lang w:val="en-GB"/>
              </w:rPr>
              <w:t xml:space="preserve"> June</w:t>
            </w:r>
            <w:r w:rsidR="00CD0582" w:rsidRPr="00051FD1">
              <w:rPr>
                <w:snapToGrid w:val="0"/>
                <w:kern w:val="22"/>
                <w:sz w:val="22"/>
                <w:szCs w:val="22"/>
                <w:lang w:val="en-GB"/>
              </w:rPr>
              <w:t xml:space="preserve"> </w:t>
            </w:r>
            <w:r w:rsidR="00A73242" w:rsidRPr="00051FD1">
              <w:rPr>
                <w:snapToGrid w:val="0"/>
                <w:kern w:val="22"/>
                <w:sz w:val="22"/>
                <w:szCs w:val="22"/>
                <w:lang w:val="en-GB"/>
              </w:rPr>
              <w:t>2018</w:t>
            </w:r>
          </w:p>
          <w:p w:rsidR="00975AEA" w:rsidRPr="00CE4185" w:rsidRDefault="00975AEA" w:rsidP="008C0061">
            <w:pPr>
              <w:pStyle w:val="Footer"/>
              <w:tabs>
                <w:tab w:val="clear" w:pos="4320"/>
                <w:tab w:val="clear" w:pos="8640"/>
              </w:tabs>
              <w:ind w:left="620"/>
              <w:rPr>
                <w:rFonts w:eastAsia="MS Mincho" w:cs="Angsana New"/>
                <w:snapToGrid w:val="0"/>
                <w:kern w:val="22"/>
                <w:sz w:val="22"/>
                <w:szCs w:val="22"/>
                <w:lang w:val="en-GB"/>
              </w:rPr>
            </w:pPr>
          </w:p>
          <w:p w:rsidR="00975AEA" w:rsidRPr="00051FD1" w:rsidRDefault="00975AEA" w:rsidP="008C0061">
            <w:pPr>
              <w:ind w:left="620"/>
              <w:rPr>
                <w:rFonts w:ascii="Courier New" w:hAnsi="Courier New"/>
                <w:snapToGrid w:val="0"/>
                <w:kern w:val="22"/>
                <w:sz w:val="22"/>
                <w:szCs w:val="22"/>
                <w:lang w:val="en-GB"/>
              </w:rPr>
            </w:pPr>
            <w:r w:rsidRPr="00051FD1">
              <w:rPr>
                <w:snapToGrid w:val="0"/>
                <w:kern w:val="22"/>
                <w:sz w:val="22"/>
                <w:szCs w:val="22"/>
                <w:lang w:val="en-GB"/>
              </w:rPr>
              <w:t>ORIGINAL: ENGLISH</w:t>
            </w:r>
          </w:p>
        </w:tc>
      </w:tr>
    </w:tbl>
    <w:p w:rsidR="00750802" w:rsidRPr="00051FD1" w:rsidRDefault="00750802" w:rsidP="00750802">
      <w:pPr>
        <w:pStyle w:val="meetingname"/>
        <w:suppressLineNumbers/>
        <w:suppressAutoHyphens/>
        <w:kinsoku w:val="0"/>
        <w:overflowPunct w:val="0"/>
        <w:autoSpaceDE w:val="0"/>
        <w:autoSpaceDN w:val="0"/>
        <w:ind w:right="4398"/>
        <w:rPr>
          <w:snapToGrid w:val="0"/>
          <w:kern w:val="22"/>
          <w:sz w:val="22"/>
          <w:szCs w:val="22"/>
          <w:lang w:val="en-GB"/>
        </w:rPr>
      </w:pPr>
      <w:bookmarkStart w:id="0" w:name="Meeting"/>
      <w:r w:rsidRPr="00051FD1">
        <w:rPr>
          <w:snapToGrid w:val="0"/>
          <w:kern w:val="22"/>
          <w:sz w:val="22"/>
          <w:szCs w:val="22"/>
          <w:lang w:val="en-GB"/>
        </w:rPr>
        <w:t>SUBSIDIARY BODY ON IMPLEMENTATION</w:t>
      </w:r>
      <w:bookmarkEnd w:id="0"/>
    </w:p>
    <w:p w:rsidR="00750802" w:rsidRPr="00051FD1" w:rsidRDefault="00750802" w:rsidP="00750802">
      <w:pPr>
        <w:suppressLineNumbers/>
        <w:suppressAutoHyphens/>
        <w:kinsoku w:val="0"/>
        <w:overflowPunct w:val="0"/>
        <w:autoSpaceDE w:val="0"/>
        <w:autoSpaceDN w:val="0"/>
        <w:rPr>
          <w:snapToGrid w:val="0"/>
          <w:kern w:val="22"/>
          <w:sz w:val="22"/>
          <w:szCs w:val="22"/>
          <w:lang w:val="en-GB" w:eastAsia="nb-NO"/>
        </w:rPr>
      </w:pPr>
      <w:r w:rsidRPr="00051FD1">
        <w:rPr>
          <w:snapToGrid w:val="0"/>
          <w:kern w:val="22"/>
          <w:sz w:val="22"/>
          <w:szCs w:val="22"/>
          <w:lang w:val="en-GB" w:eastAsia="nb-NO"/>
        </w:rPr>
        <w:t>Second meeting</w:t>
      </w:r>
    </w:p>
    <w:p w:rsidR="00750802" w:rsidRPr="00051FD1" w:rsidRDefault="00750802" w:rsidP="00750802">
      <w:pPr>
        <w:suppressLineNumbers/>
        <w:suppressAutoHyphens/>
        <w:kinsoku w:val="0"/>
        <w:overflowPunct w:val="0"/>
        <w:autoSpaceDE w:val="0"/>
        <w:autoSpaceDN w:val="0"/>
        <w:rPr>
          <w:snapToGrid w:val="0"/>
          <w:kern w:val="22"/>
          <w:sz w:val="22"/>
          <w:szCs w:val="22"/>
          <w:lang w:val="en-GB" w:eastAsia="nb-NO"/>
        </w:rPr>
      </w:pPr>
      <w:r w:rsidRPr="00051FD1">
        <w:rPr>
          <w:snapToGrid w:val="0"/>
          <w:kern w:val="22"/>
          <w:sz w:val="22"/>
          <w:szCs w:val="22"/>
          <w:lang w:val="en-GB" w:eastAsia="nb-NO"/>
        </w:rPr>
        <w:t>Montreal, Canada, 9-13 July 2018</w:t>
      </w:r>
    </w:p>
    <w:p w:rsidR="00750802" w:rsidRPr="00051FD1" w:rsidRDefault="00750802" w:rsidP="00750802">
      <w:pPr>
        <w:suppressLineNumbers/>
        <w:suppressAutoHyphens/>
        <w:kinsoku w:val="0"/>
        <w:overflowPunct w:val="0"/>
        <w:autoSpaceDE w:val="0"/>
        <w:autoSpaceDN w:val="0"/>
        <w:rPr>
          <w:snapToGrid w:val="0"/>
          <w:kern w:val="22"/>
          <w:sz w:val="22"/>
          <w:szCs w:val="22"/>
          <w:lang w:val="en-GB" w:eastAsia="nb-NO"/>
        </w:rPr>
      </w:pPr>
      <w:r w:rsidRPr="00051FD1">
        <w:rPr>
          <w:snapToGrid w:val="0"/>
          <w:kern w:val="22"/>
          <w:sz w:val="22"/>
          <w:szCs w:val="22"/>
          <w:lang w:val="en-GB" w:eastAsia="nb-NO"/>
        </w:rPr>
        <w:t>Item 1</w:t>
      </w:r>
      <w:r w:rsidR="00CD0582" w:rsidRPr="00051FD1">
        <w:rPr>
          <w:snapToGrid w:val="0"/>
          <w:kern w:val="22"/>
          <w:sz w:val="22"/>
          <w:szCs w:val="22"/>
          <w:lang w:val="en-GB" w:eastAsia="nb-NO"/>
        </w:rPr>
        <w:t>2</w:t>
      </w:r>
      <w:r w:rsidRPr="00051FD1">
        <w:rPr>
          <w:snapToGrid w:val="0"/>
          <w:kern w:val="22"/>
          <w:sz w:val="22"/>
          <w:szCs w:val="22"/>
          <w:lang w:val="en-GB" w:eastAsia="nb-NO"/>
        </w:rPr>
        <w:t xml:space="preserve"> of the provisional agenda</w:t>
      </w:r>
      <w:r w:rsidRPr="00051FD1">
        <w:rPr>
          <w:rStyle w:val="FootnoteReference"/>
          <w:snapToGrid w:val="0"/>
          <w:kern w:val="22"/>
          <w:sz w:val="22"/>
          <w:szCs w:val="22"/>
          <w:u w:val="none"/>
          <w:lang w:val="en-GB" w:eastAsia="nb-NO"/>
        </w:rPr>
        <w:footnoteReference w:customMarkFollows="1" w:id="2"/>
        <w:t>*</w:t>
      </w:r>
    </w:p>
    <w:sdt>
      <w:sdtPr>
        <w:rPr>
          <w:bCs/>
          <w:snapToGrid w:val="0"/>
          <w:kern w:val="22"/>
          <w:sz w:val="22"/>
          <w:szCs w:val="22"/>
          <w:lang w:val="en-GB"/>
        </w:rPr>
        <w:alias w:val="Title"/>
        <w:tag w:val=""/>
        <w:id w:val="-2111417392"/>
        <w:placeholder>
          <w:docPart w:val="E73BD651E7CD401E8FCF2400DCA5224F"/>
        </w:placeholder>
        <w:dataBinding w:prefixMappings="xmlns:ns0='http://purl.org/dc/elements/1.1/' xmlns:ns1='http://schemas.openxmlformats.org/package/2006/metadata/core-properties' " w:xpath="/ns1:coreProperties[1]/ns0:title[1]" w:storeItemID="{6C3C8BC8-F283-45AE-878A-BAB7291924A1}"/>
        <w:text/>
      </w:sdtPr>
      <w:sdtEndPr/>
      <w:sdtContent>
        <w:p w:rsidR="00CD0582" w:rsidRPr="00051FD1" w:rsidRDefault="002D4FB0" w:rsidP="00CD0582">
          <w:pPr>
            <w:pStyle w:val="HEADINGNOTFORTOC"/>
            <w:tabs>
              <w:tab w:val="clear" w:pos="720"/>
            </w:tabs>
            <w:spacing w:before="120"/>
            <w:rPr>
              <w:caps w:val="0"/>
              <w:snapToGrid w:val="0"/>
              <w:kern w:val="22"/>
              <w:sz w:val="22"/>
              <w:szCs w:val="22"/>
              <w:lang w:val="en-GB"/>
            </w:rPr>
          </w:pPr>
          <w:r w:rsidRPr="00051FD1">
            <w:rPr>
              <w:bCs/>
              <w:snapToGrid w:val="0"/>
              <w:kern w:val="22"/>
              <w:sz w:val="22"/>
              <w:szCs w:val="22"/>
              <w:lang w:val="en-GB"/>
            </w:rPr>
            <w:t xml:space="preserve">Mechanisms </w:t>
          </w:r>
          <w:r w:rsidR="009B07D2" w:rsidRPr="00051FD1">
            <w:rPr>
              <w:bCs/>
              <w:snapToGrid w:val="0"/>
              <w:kern w:val="22"/>
              <w:sz w:val="22"/>
              <w:szCs w:val="22"/>
              <w:lang w:val="en-GB"/>
            </w:rPr>
            <w:t>to facilitate review of implementation</w:t>
          </w:r>
        </w:p>
      </w:sdtContent>
    </w:sdt>
    <w:p w:rsidR="00560B12" w:rsidRPr="00051FD1" w:rsidRDefault="00560B12" w:rsidP="00761B49">
      <w:pPr>
        <w:pStyle w:val="Heading2"/>
        <w:suppressLineNumbers/>
        <w:tabs>
          <w:tab w:val="clear" w:pos="720"/>
        </w:tabs>
        <w:suppressAutoHyphens/>
        <w:rPr>
          <w:b w:val="0"/>
          <w:snapToGrid w:val="0"/>
          <w:kern w:val="22"/>
          <w:sz w:val="22"/>
          <w:szCs w:val="22"/>
          <w:lang w:val="en-GB"/>
        </w:rPr>
      </w:pPr>
      <w:r w:rsidRPr="00051FD1">
        <w:rPr>
          <w:b w:val="0"/>
          <w:snapToGrid w:val="0"/>
          <w:kern w:val="22"/>
          <w:sz w:val="22"/>
          <w:szCs w:val="22"/>
          <w:lang w:val="en-GB"/>
        </w:rPr>
        <w:t>Note by the Executive Secretary</w:t>
      </w:r>
    </w:p>
    <w:p w:rsidR="00D706A4" w:rsidRPr="00051FD1" w:rsidRDefault="00A25115" w:rsidP="00644480">
      <w:pPr>
        <w:pStyle w:val="Heading1"/>
        <w:numPr>
          <w:ilvl w:val="0"/>
          <w:numId w:val="14"/>
        </w:numPr>
        <w:suppressLineNumbers/>
        <w:suppressAutoHyphens/>
        <w:spacing w:before="120"/>
        <w:ind w:left="0" w:firstLine="0"/>
        <w:rPr>
          <w:snapToGrid w:val="0"/>
          <w:kern w:val="22"/>
          <w:sz w:val="22"/>
          <w:szCs w:val="22"/>
          <w:lang w:val="en-GB"/>
        </w:rPr>
      </w:pPr>
      <w:r w:rsidRPr="00051FD1">
        <w:rPr>
          <w:snapToGrid w:val="0"/>
          <w:kern w:val="22"/>
          <w:sz w:val="22"/>
          <w:szCs w:val="22"/>
          <w:lang w:val="en-GB"/>
        </w:rPr>
        <w:t>Mandate</w:t>
      </w:r>
    </w:p>
    <w:p w:rsidR="00CD0582" w:rsidRPr="00051FD1" w:rsidRDefault="00CD0582"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accordance with </w:t>
      </w:r>
      <w:r w:rsidR="006B2D88" w:rsidRPr="00051FD1">
        <w:rPr>
          <w:kern w:val="22"/>
          <w:sz w:val="22"/>
          <w:szCs w:val="22"/>
          <w:lang w:val="en-GB"/>
        </w:rPr>
        <w:t xml:space="preserve">paragraph 4 of </w:t>
      </w:r>
      <w:r w:rsidRPr="00051FD1">
        <w:rPr>
          <w:kern w:val="22"/>
          <w:sz w:val="22"/>
          <w:szCs w:val="22"/>
          <w:lang w:val="en-GB"/>
        </w:rPr>
        <w:t xml:space="preserve">Article 23 of the Convention, the Conference of the Parties shall keep under review the implementation of the Convention and is mandated to do so through a number of processes and mechanisms. These include inter alia the review of scientific, technical and technological advice provided by the Subsidiary Body on Scientific, Technical and Technological Advice, </w:t>
      </w:r>
      <w:r w:rsidR="008E37B6" w:rsidRPr="00051FD1">
        <w:rPr>
          <w:kern w:val="22"/>
          <w:sz w:val="22"/>
          <w:szCs w:val="22"/>
          <w:lang w:val="en-GB"/>
        </w:rPr>
        <w:t xml:space="preserve">advice from </w:t>
      </w:r>
      <w:r w:rsidRPr="00051FD1">
        <w:rPr>
          <w:kern w:val="22"/>
          <w:sz w:val="22"/>
          <w:szCs w:val="22"/>
          <w:lang w:val="en-GB"/>
        </w:rPr>
        <w:t xml:space="preserve">other subsidiary bodies that might be established, </w:t>
      </w:r>
      <w:r w:rsidR="008E37B6" w:rsidRPr="00051FD1">
        <w:rPr>
          <w:kern w:val="22"/>
          <w:sz w:val="22"/>
          <w:szCs w:val="22"/>
          <w:lang w:val="en-GB"/>
        </w:rPr>
        <w:t>experiences of</w:t>
      </w:r>
      <w:r w:rsidR="00355E2A" w:rsidRPr="00051FD1">
        <w:rPr>
          <w:kern w:val="22"/>
          <w:sz w:val="22"/>
          <w:szCs w:val="22"/>
          <w:lang w:val="en-GB"/>
        </w:rPr>
        <w:t xml:space="preserve"> other conventions and any additional action that may be required for the achievement of the purposes of the Convention.</w:t>
      </w:r>
    </w:p>
    <w:p w:rsidR="00F60548" w:rsidRPr="00051FD1" w:rsidRDefault="00F60548"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decision </w:t>
      </w:r>
      <w:hyperlink r:id="rId12" w:history="1">
        <w:r w:rsidRPr="00051FD1">
          <w:rPr>
            <w:rStyle w:val="Hyperlink"/>
            <w:kern w:val="22"/>
            <w:sz w:val="22"/>
            <w:szCs w:val="22"/>
            <w:lang w:val="en-GB"/>
          </w:rPr>
          <w:t>X/2</w:t>
        </w:r>
      </w:hyperlink>
      <w:r w:rsidRPr="00051FD1">
        <w:rPr>
          <w:kern w:val="22"/>
          <w:sz w:val="22"/>
          <w:szCs w:val="22"/>
          <w:lang w:val="en-GB"/>
        </w:rPr>
        <w:t>, the Conference of the Parties, decided that</w:t>
      </w:r>
      <w:r w:rsidR="00312E4C" w:rsidRPr="00051FD1">
        <w:rPr>
          <w:kern w:val="22"/>
          <w:sz w:val="22"/>
          <w:szCs w:val="22"/>
          <w:lang w:val="en-GB"/>
        </w:rPr>
        <w:t>,</w:t>
      </w:r>
      <w:r w:rsidRPr="00051FD1">
        <w:rPr>
          <w:kern w:val="22"/>
          <w:sz w:val="22"/>
          <w:szCs w:val="22"/>
          <w:lang w:val="en-GB"/>
        </w:rPr>
        <w:t xml:space="preserve"> at its future meetings</w:t>
      </w:r>
      <w:r w:rsidR="00312E4C" w:rsidRPr="00051FD1">
        <w:rPr>
          <w:kern w:val="22"/>
          <w:sz w:val="22"/>
          <w:szCs w:val="22"/>
          <w:lang w:val="en-GB"/>
        </w:rPr>
        <w:t>,</w:t>
      </w:r>
      <w:r w:rsidRPr="00051FD1">
        <w:rPr>
          <w:kern w:val="22"/>
          <w:sz w:val="22"/>
          <w:szCs w:val="22"/>
          <w:lang w:val="en-GB"/>
        </w:rPr>
        <w:t xml:space="preserve"> it would review progress in the implementation of the Strategic Plan for Biodiversity 2011-2020, and requested the Executive Secretary to prepare an analysis/synthesis of national, regional and other actions, including targets as appropriate, established in accordance with the Strategic Plan</w:t>
      </w:r>
      <w:r w:rsidR="001E039F" w:rsidRPr="00051FD1">
        <w:rPr>
          <w:kern w:val="22"/>
          <w:sz w:val="22"/>
          <w:szCs w:val="22"/>
          <w:lang w:val="en-GB"/>
        </w:rPr>
        <w:t xml:space="preserve"> for Biodiversity 2011-2020</w:t>
      </w:r>
      <w:r w:rsidRPr="00051FD1">
        <w:rPr>
          <w:kern w:val="22"/>
          <w:sz w:val="22"/>
          <w:szCs w:val="22"/>
          <w:lang w:val="en-GB"/>
        </w:rPr>
        <w:t>, to enable the Conference of Parties to assess the contribution of such national and regional targets to the global targets.</w:t>
      </w:r>
    </w:p>
    <w:p w:rsidR="00355E2A" w:rsidRPr="00051FD1" w:rsidRDefault="006B2D88"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Through decision </w:t>
      </w:r>
      <w:hyperlink r:id="rId13" w:history="1">
        <w:r w:rsidRPr="00051FD1">
          <w:rPr>
            <w:rStyle w:val="Hyperlink"/>
            <w:kern w:val="22"/>
            <w:sz w:val="22"/>
            <w:szCs w:val="22"/>
            <w:lang w:val="en-GB"/>
          </w:rPr>
          <w:t>XII/26</w:t>
        </w:r>
      </w:hyperlink>
      <w:r w:rsidRPr="00051FD1">
        <w:rPr>
          <w:kern w:val="22"/>
          <w:sz w:val="22"/>
          <w:szCs w:val="22"/>
          <w:lang w:val="en-GB"/>
        </w:rPr>
        <w:t>, the Conference of the Parties e</w:t>
      </w:r>
      <w:r w:rsidRPr="00051FD1">
        <w:rPr>
          <w:iCs/>
          <w:kern w:val="22"/>
          <w:sz w:val="22"/>
          <w:szCs w:val="22"/>
          <w:lang w:val="en-GB"/>
        </w:rPr>
        <w:t xml:space="preserve">stablished </w:t>
      </w:r>
      <w:r w:rsidRPr="00051FD1">
        <w:rPr>
          <w:kern w:val="22"/>
          <w:sz w:val="22"/>
          <w:szCs w:val="22"/>
          <w:lang w:val="en-GB"/>
        </w:rPr>
        <w:t xml:space="preserve">the Subsidiary Body on Implementation </w:t>
      </w:r>
      <w:r w:rsidR="002D34B4" w:rsidRPr="00051FD1">
        <w:rPr>
          <w:kern w:val="22"/>
          <w:sz w:val="22"/>
          <w:szCs w:val="22"/>
          <w:lang w:val="en-GB"/>
        </w:rPr>
        <w:t xml:space="preserve">(SBI) </w:t>
      </w:r>
      <w:r w:rsidRPr="00051FD1">
        <w:rPr>
          <w:kern w:val="22"/>
          <w:sz w:val="22"/>
          <w:szCs w:val="22"/>
          <w:lang w:val="en-GB"/>
        </w:rPr>
        <w:t xml:space="preserve">to replace the Ad Hoc Open-ended Working Group on Review of Implementation of the Convention, </w:t>
      </w:r>
      <w:r w:rsidR="008E37B6" w:rsidRPr="00051FD1">
        <w:rPr>
          <w:kern w:val="22"/>
          <w:sz w:val="22"/>
          <w:szCs w:val="22"/>
          <w:lang w:val="en-GB"/>
        </w:rPr>
        <w:t xml:space="preserve">and </w:t>
      </w:r>
      <w:r w:rsidRPr="00051FD1">
        <w:rPr>
          <w:iCs/>
          <w:kern w:val="22"/>
          <w:sz w:val="22"/>
          <w:szCs w:val="22"/>
          <w:lang w:val="en-GB"/>
        </w:rPr>
        <w:t>requested</w:t>
      </w:r>
      <w:r w:rsidRPr="00051FD1">
        <w:rPr>
          <w:i/>
          <w:iCs/>
          <w:kern w:val="22"/>
          <w:sz w:val="22"/>
          <w:szCs w:val="22"/>
          <w:lang w:val="en-GB"/>
        </w:rPr>
        <w:t xml:space="preserve"> </w:t>
      </w:r>
      <w:r w:rsidR="008E37B6" w:rsidRPr="00051FD1">
        <w:rPr>
          <w:kern w:val="22"/>
          <w:sz w:val="22"/>
          <w:szCs w:val="22"/>
          <w:lang w:val="en-GB"/>
        </w:rPr>
        <w:t>it</w:t>
      </w:r>
      <w:r w:rsidRPr="00051FD1">
        <w:rPr>
          <w:kern w:val="22"/>
          <w:sz w:val="22"/>
          <w:szCs w:val="22"/>
          <w:lang w:val="en-GB"/>
        </w:rPr>
        <w:t xml:space="preserve"> to support the Conference of the Parties in reviewing progress in the implementation of the Strategic Plan for Biodiversity 2011-2020 and achievement of the Aichi Biodiversity Targets. </w:t>
      </w:r>
      <w:r w:rsidR="008E37B6" w:rsidRPr="00051FD1">
        <w:rPr>
          <w:kern w:val="22"/>
          <w:sz w:val="22"/>
          <w:szCs w:val="22"/>
          <w:lang w:val="en-GB"/>
        </w:rPr>
        <w:t xml:space="preserve">The </w:t>
      </w:r>
      <w:r w:rsidR="002D34B4" w:rsidRPr="00051FD1">
        <w:rPr>
          <w:kern w:val="22"/>
          <w:sz w:val="22"/>
          <w:szCs w:val="22"/>
          <w:lang w:val="en-GB"/>
        </w:rPr>
        <w:t>SBI</w:t>
      </w:r>
      <w:r w:rsidR="008E37B6" w:rsidRPr="00051FD1">
        <w:rPr>
          <w:kern w:val="22"/>
          <w:sz w:val="22"/>
          <w:szCs w:val="22"/>
          <w:lang w:val="en-GB"/>
        </w:rPr>
        <w:t xml:space="preserve"> was mandated to, inter alia, review relevant information on progress in the implementation of the Convention, including in the provision of support for the implementation of the Convention, as well as of any strategic plans and other relevant decisions adopted by the Conference of the Parties, and on progress in the achievement of targets established under the Convention.</w:t>
      </w:r>
    </w:p>
    <w:p w:rsidR="00A25115" w:rsidRPr="00051FD1" w:rsidRDefault="006B2D88"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w:t>
      </w:r>
      <w:r w:rsidR="003A5411" w:rsidRPr="00051FD1">
        <w:rPr>
          <w:kern w:val="22"/>
          <w:sz w:val="22"/>
          <w:szCs w:val="22"/>
          <w:lang w:val="en-GB"/>
        </w:rPr>
        <w:t xml:space="preserve">decision </w:t>
      </w:r>
      <w:hyperlink r:id="rId14" w:history="1">
        <w:r w:rsidR="003A5411" w:rsidRPr="00051FD1">
          <w:rPr>
            <w:rStyle w:val="Hyperlink"/>
            <w:kern w:val="22"/>
            <w:sz w:val="22"/>
            <w:szCs w:val="22"/>
            <w:lang w:val="en-GB"/>
          </w:rPr>
          <w:t>XIII/25</w:t>
        </w:r>
      </w:hyperlink>
      <w:r w:rsidR="003A5411" w:rsidRPr="00051FD1">
        <w:rPr>
          <w:kern w:val="22"/>
          <w:sz w:val="22"/>
          <w:szCs w:val="22"/>
          <w:lang w:val="en-GB"/>
        </w:rPr>
        <w:t xml:space="preserve"> the Conference of the Parties established the modus operandi of the </w:t>
      </w:r>
      <w:r w:rsidR="001E039F" w:rsidRPr="00051FD1">
        <w:rPr>
          <w:kern w:val="22"/>
          <w:sz w:val="22"/>
          <w:szCs w:val="22"/>
          <w:lang w:val="en-GB"/>
        </w:rPr>
        <w:t>Subsidiary Body on Implementation</w:t>
      </w:r>
      <w:r w:rsidR="001E039F" w:rsidRPr="00051FD1" w:rsidDel="001E039F">
        <w:rPr>
          <w:kern w:val="22"/>
          <w:sz w:val="22"/>
          <w:szCs w:val="22"/>
          <w:lang w:val="en-GB"/>
        </w:rPr>
        <w:t xml:space="preserve"> </w:t>
      </w:r>
      <w:r w:rsidR="003A5411" w:rsidRPr="00051FD1">
        <w:rPr>
          <w:kern w:val="22"/>
          <w:sz w:val="22"/>
          <w:szCs w:val="22"/>
          <w:lang w:val="en-GB"/>
        </w:rPr>
        <w:t>which lists among its areas of work inter alia the review of progress in implementation (</w:t>
      </w:r>
      <w:r w:rsidR="001E039F" w:rsidRPr="00051FD1">
        <w:rPr>
          <w:kern w:val="22"/>
          <w:sz w:val="22"/>
          <w:szCs w:val="22"/>
          <w:lang w:val="en-GB"/>
        </w:rPr>
        <w:t>s</w:t>
      </w:r>
      <w:r w:rsidR="003A5411" w:rsidRPr="00051FD1">
        <w:rPr>
          <w:kern w:val="22"/>
          <w:sz w:val="22"/>
          <w:szCs w:val="22"/>
          <w:lang w:val="en-GB"/>
        </w:rPr>
        <w:t>ection B</w:t>
      </w:r>
      <w:r w:rsidR="001E039F" w:rsidRPr="00051FD1">
        <w:rPr>
          <w:kern w:val="22"/>
          <w:sz w:val="22"/>
          <w:szCs w:val="22"/>
          <w:lang w:val="en-GB"/>
        </w:rPr>
        <w:t>,</w:t>
      </w:r>
      <w:r w:rsidR="003A5411" w:rsidRPr="00051FD1">
        <w:rPr>
          <w:kern w:val="22"/>
          <w:sz w:val="22"/>
          <w:szCs w:val="22"/>
          <w:lang w:val="en-GB"/>
        </w:rPr>
        <w:t xml:space="preserve"> para</w:t>
      </w:r>
      <w:r w:rsidR="001E039F" w:rsidRPr="00051FD1">
        <w:rPr>
          <w:kern w:val="22"/>
          <w:sz w:val="22"/>
          <w:szCs w:val="22"/>
          <w:lang w:val="en-GB"/>
        </w:rPr>
        <w:t>.</w:t>
      </w:r>
      <w:r w:rsidR="003A5411" w:rsidRPr="00051FD1">
        <w:rPr>
          <w:kern w:val="22"/>
          <w:sz w:val="22"/>
          <w:szCs w:val="22"/>
          <w:lang w:val="en-GB"/>
        </w:rPr>
        <w:t xml:space="preserve"> 1).</w:t>
      </w:r>
      <w:r w:rsidR="00636688" w:rsidRPr="00051FD1">
        <w:rPr>
          <w:kern w:val="22"/>
          <w:sz w:val="22"/>
          <w:szCs w:val="22"/>
          <w:lang w:val="en-GB"/>
        </w:rPr>
        <w:t xml:space="preserve"> </w:t>
      </w:r>
      <w:r w:rsidR="008E37B6" w:rsidRPr="00051FD1">
        <w:rPr>
          <w:kern w:val="22"/>
          <w:sz w:val="22"/>
          <w:szCs w:val="22"/>
          <w:lang w:val="en-GB"/>
        </w:rPr>
        <w:t>More specifically, t</w:t>
      </w:r>
      <w:r w:rsidR="003A5411" w:rsidRPr="00051FD1">
        <w:rPr>
          <w:kern w:val="22"/>
          <w:sz w:val="22"/>
          <w:szCs w:val="22"/>
          <w:lang w:val="en-GB"/>
        </w:rPr>
        <w:t>he review of progress in implementation</w:t>
      </w:r>
      <w:r w:rsidR="00A25115" w:rsidRPr="00051FD1">
        <w:rPr>
          <w:kern w:val="22"/>
          <w:sz w:val="22"/>
          <w:szCs w:val="22"/>
          <w:lang w:val="en-GB"/>
        </w:rPr>
        <w:t xml:space="preserve"> covers review of progress by individual Parties, including progress in the setting and achievement of national targets and actions as well as the outcomes of these actions, and the contribution of the national targets towards the objectives of the Convention. This review should take into account scientific assessments, </w:t>
      </w:r>
      <w:r w:rsidR="00A25115" w:rsidRPr="00051FD1">
        <w:rPr>
          <w:kern w:val="22"/>
          <w:sz w:val="22"/>
          <w:szCs w:val="22"/>
          <w:lang w:val="en-GB"/>
        </w:rPr>
        <w:lastRenderedPageBreak/>
        <w:t>recommendations and advice provided by the Subsidiary Body on Scientific, Technical and Technological Advice</w:t>
      </w:r>
      <w:r w:rsidR="00B33755" w:rsidRPr="00051FD1">
        <w:rPr>
          <w:kern w:val="22"/>
          <w:sz w:val="22"/>
          <w:szCs w:val="22"/>
          <w:lang w:val="en-GB"/>
        </w:rPr>
        <w:t xml:space="preserve"> (SBSTTA)</w:t>
      </w:r>
      <w:r w:rsidR="00A25115" w:rsidRPr="00051FD1">
        <w:rPr>
          <w:kern w:val="22"/>
          <w:sz w:val="22"/>
          <w:szCs w:val="22"/>
          <w:lang w:val="en-GB"/>
        </w:rPr>
        <w:t>.</w:t>
      </w:r>
    </w:p>
    <w:p w:rsidR="003A5411" w:rsidRPr="00051FD1" w:rsidRDefault="00A25115"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review of support provided to strengthen means of implementation includes items related to resource mobilization, the financial mechanism, and the general and strategic aspects and institutional mechanisms for technical and scientific cooperation, the clearing-house mechanism, capacity-building, technology transfer and communication, education and public awareness.</w:t>
      </w:r>
    </w:p>
    <w:p w:rsidR="008E37B6" w:rsidRPr="00051FD1" w:rsidRDefault="008E37B6"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addition to the provisions arising from the Convention, the Strategic Plan for Biodiversity 2011-2020 and the </w:t>
      </w:r>
      <w:r w:rsidR="001E039F" w:rsidRPr="00051FD1">
        <w:rPr>
          <w:kern w:val="22"/>
          <w:sz w:val="22"/>
          <w:szCs w:val="22"/>
          <w:lang w:val="en-GB"/>
        </w:rPr>
        <w:t>Subsidiary Body on Implementation</w:t>
      </w:r>
      <w:r w:rsidRPr="00051FD1">
        <w:rPr>
          <w:kern w:val="22"/>
          <w:sz w:val="22"/>
          <w:szCs w:val="22"/>
          <w:lang w:val="en-GB"/>
        </w:rPr>
        <w:t>, additional elements facilitating the review of implementation include the voluntary peer-review mechanism, being further tested through a pilot phase (decision XIII/25, para</w:t>
      </w:r>
      <w:r w:rsidR="000E766A" w:rsidRPr="00051FD1">
        <w:rPr>
          <w:kern w:val="22"/>
          <w:sz w:val="22"/>
          <w:szCs w:val="22"/>
          <w:lang w:val="en-GB"/>
        </w:rPr>
        <w:t xml:space="preserve">. </w:t>
      </w:r>
      <w:r w:rsidRPr="00051FD1">
        <w:rPr>
          <w:kern w:val="22"/>
          <w:sz w:val="22"/>
          <w:szCs w:val="22"/>
          <w:lang w:val="en-GB"/>
        </w:rPr>
        <w:t>2) and the decision-tracking tool under development in accordance with paragraph 5 of decision XIII/25.</w:t>
      </w:r>
      <w:r w:rsidR="002D34B4" w:rsidRPr="00051FD1">
        <w:rPr>
          <w:kern w:val="22"/>
          <w:sz w:val="22"/>
          <w:szCs w:val="22"/>
          <w:lang w:val="en-GB"/>
        </w:rPr>
        <w:t xml:space="preserve"> In the same decision, Parties are being invited to </w:t>
      </w:r>
      <w:r w:rsidR="002D34B4" w:rsidRPr="00051FD1">
        <w:rPr>
          <w:iCs/>
          <w:kern w:val="22"/>
          <w:sz w:val="22"/>
          <w:szCs w:val="22"/>
          <w:lang w:val="en-GB"/>
        </w:rPr>
        <w:t>develop, enhance and make use of national processes to review the measures that they have taken for the implementation of the Convention and related strategic plans and to identify obstacles that may exist to such implementation, and to share this information through the clearing-house mechanism (</w:t>
      </w:r>
      <w:r w:rsidR="002D34B4" w:rsidRPr="00051FD1">
        <w:rPr>
          <w:kern w:val="22"/>
          <w:sz w:val="22"/>
          <w:szCs w:val="22"/>
          <w:lang w:val="en-GB"/>
        </w:rPr>
        <w:t>decision XIII/25, para</w:t>
      </w:r>
      <w:r w:rsidR="000E766A" w:rsidRPr="00051FD1">
        <w:rPr>
          <w:kern w:val="22"/>
          <w:sz w:val="22"/>
          <w:szCs w:val="22"/>
          <w:lang w:val="en-GB"/>
        </w:rPr>
        <w:t>.</w:t>
      </w:r>
      <w:r w:rsidR="002D34B4" w:rsidRPr="00051FD1">
        <w:rPr>
          <w:kern w:val="22"/>
          <w:sz w:val="22"/>
          <w:szCs w:val="22"/>
          <w:lang w:val="en-GB"/>
        </w:rPr>
        <w:t xml:space="preserve"> 3)</w:t>
      </w:r>
      <w:r w:rsidR="002D34B4" w:rsidRPr="00051FD1">
        <w:rPr>
          <w:iCs/>
          <w:kern w:val="22"/>
          <w:sz w:val="22"/>
          <w:szCs w:val="22"/>
          <w:lang w:val="en-GB"/>
        </w:rPr>
        <w:t>.</w:t>
      </w:r>
    </w:p>
    <w:p w:rsidR="00A25115" w:rsidRPr="00051FD1" w:rsidRDefault="00A25115" w:rsidP="00051FD1">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With th</w:t>
      </w:r>
      <w:r w:rsidR="008E37B6" w:rsidRPr="00051FD1">
        <w:rPr>
          <w:kern w:val="22"/>
          <w:sz w:val="22"/>
          <w:szCs w:val="22"/>
          <w:lang w:val="en-GB"/>
        </w:rPr>
        <w:t>e</w:t>
      </w:r>
      <w:r w:rsidRPr="00051FD1">
        <w:rPr>
          <w:kern w:val="22"/>
          <w:sz w:val="22"/>
          <w:szCs w:val="22"/>
          <w:lang w:val="en-GB"/>
        </w:rPr>
        <w:t>s</w:t>
      </w:r>
      <w:r w:rsidR="008E37B6" w:rsidRPr="00051FD1">
        <w:rPr>
          <w:kern w:val="22"/>
          <w:sz w:val="22"/>
          <w:szCs w:val="22"/>
          <w:lang w:val="en-GB"/>
        </w:rPr>
        <w:t>e</w:t>
      </w:r>
      <w:r w:rsidRPr="00051FD1">
        <w:rPr>
          <w:kern w:val="22"/>
          <w:sz w:val="22"/>
          <w:szCs w:val="22"/>
          <w:lang w:val="en-GB"/>
        </w:rPr>
        <w:t xml:space="preserve"> mandate</w:t>
      </w:r>
      <w:r w:rsidR="008E37B6" w:rsidRPr="00051FD1">
        <w:rPr>
          <w:kern w:val="22"/>
          <w:sz w:val="22"/>
          <w:szCs w:val="22"/>
          <w:lang w:val="en-GB"/>
        </w:rPr>
        <w:t>s</w:t>
      </w:r>
      <w:r w:rsidRPr="00051FD1">
        <w:rPr>
          <w:kern w:val="22"/>
          <w:sz w:val="22"/>
          <w:szCs w:val="22"/>
          <w:lang w:val="en-GB"/>
        </w:rPr>
        <w:t xml:space="preserve"> in mind, the </w:t>
      </w:r>
      <w:r w:rsidR="006C7AAE">
        <w:rPr>
          <w:kern w:val="22"/>
          <w:sz w:val="22"/>
          <w:szCs w:val="22"/>
          <w:lang w:val="en-GB"/>
        </w:rPr>
        <w:t>present document</w:t>
      </w:r>
      <w:r w:rsidRPr="00051FD1">
        <w:rPr>
          <w:kern w:val="22"/>
          <w:sz w:val="22"/>
          <w:szCs w:val="22"/>
          <w:lang w:val="en-GB"/>
        </w:rPr>
        <w:t xml:space="preserve"> </w:t>
      </w:r>
      <w:r w:rsidR="00302F54" w:rsidRPr="00051FD1">
        <w:rPr>
          <w:kern w:val="22"/>
          <w:sz w:val="22"/>
          <w:szCs w:val="22"/>
          <w:lang w:val="en-GB"/>
        </w:rPr>
        <w:t>provides brief background on the different dimensions of review (</w:t>
      </w:r>
      <w:r w:rsidR="001E039F" w:rsidRPr="00051FD1">
        <w:rPr>
          <w:kern w:val="22"/>
          <w:sz w:val="22"/>
          <w:szCs w:val="22"/>
          <w:lang w:val="en-GB"/>
        </w:rPr>
        <w:t>s</w:t>
      </w:r>
      <w:r w:rsidR="00302F54" w:rsidRPr="00051FD1">
        <w:rPr>
          <w:kern w:val="22"/>
          <w:sz w:val="22"/>
          <w:szCs w:val="22"/>
          <w:lang w:val="en-GB"/>
        </w:rPr>
        <w:t>ection II) and considers progress in applying existing elements of a review mechanism (</w:t>
      </w:r>
      <w:r w:rsidR="001E039F" w:rsidRPr="00051FD1">
        <w:rPr>
          <w:kern w:val="22"/>
          <w:sz w:val="22"/>
          <w:szCs w:val="22"/>
          <w:lang w:val="en-GB"/>
        </w:rPr>
        <w:t>s</w:t>
      </w:r>
      <w:r w:rsidR="00302F54" w:rsidRPr="00051FD1">
        <w:rPr>
          <w:kern w:val="22"/>
          <w:sz w:val="22"/>
          <w:szCs w:val="22"/>
          <w:lang w:val="en-GB"/>
        </w:rPr>
        <w:t xml:space="preserve">ection III). Section IV </w:t>
      </w:r>
      <w:r w:rsidR="00590AF9" w:rsidRPr="00051FD1">
        <w:rPr>
          <w:kern w:val="22"/>
          <w:sz w:val="22"/>
          <w:szCs w:val="22"/>
          <w:lang w:val="en-GB"/>
        </w:rPr>
        <w:t xml:space="preserve">discusses </w:t>
      </w:r>
      <w:r w:rsidR="00302F54" w:rsidRPr="00051FD1">
        <w:rPr>
          <w:kern w:val="22"/>
          <w:sz w:val="22"/>
          <w:szCs w:val="22"/>
          <w:lang w:val="en-GB"/>
        </w:rPr>
        <w:t>possible next steps in light of the development of a post 2020 global biodiversity framework. Section V provides suggested recommendations.</w:t>
      </w:r>
    </w:p>
    <w:p w:rsidR="00306C0E" w:rsidRPr="00051FD1" w:rsidRDefault="008C5103" w:rsidP="00644480">
      <w:pPr>
        <w:pStyle w:val="Heading1"/>
        <w:numPr>
          <w:ilvl w:val="0"/>
          <w:numId w:val="14"/>
        </w:numPr>
        <w:suppressLineNumbers/>
        <w:suppressAutoHyphens/>
        <w:spacing w:before="120"/>
        <w:ind w:left="0" w:firstLine="0"/>
        <w:rPr>
          <w:rFonts w:ascii="Times New Roman Bold" w:hAnsi="Times New Roman Bold" w:cs="Times New Roman Bold"/>
          <w:bCs/>
          <w:snapToGrid w:val="0"/>
          <w:kern w:val="22"/>
          <w:sz w:val="22"/>
          <w:szCs w:val="22"/>
          <w:lang w:val="en-GB"/>
        </w:rPr>
      </w:pPr>
      <w:r w:rsidRPr="00051FD1">
        <w:rPr>
          <w:rFonts w:ascii="Times New Roman Bold" w:hAnsi="Times New Roman Bold" w:cs="Times New Roman Bold"/>
          <w:bCs/>
          <w:snapToGrid w:val="0"/>
          <w:kern w:val="22"/>
          <w:sz w:val="22"/>
          <w:szCs w:val="22"/>
          <w:lang w:val="en-GB"/>
        </w:rPr>
        <w:t xml:space="preserve">Dimensions </w:t>
      </w:r>
      <w:r w:rsidR="00306C0E" w:rsidRPr="00051FD1">
        <w:rPr>
          <w:rFonts w:ascii="Times New Roman Bold" w:hAnsi="Times New Roman Bold" w:cs="Times New Roman Bold"/>
          <w:bCs/>
          <w:snapToGrid w:val="0"/>
          <w:kern w:val="22"/>
          <w:sz w:val="22"/>
          <w:szCs w:val="22"/>
          <w:lang w:val="en-GB"/>
        </w:rPr>
        <w:t>of review of implementation</w:t>
      </w:r>
    </w:p>
    <w:p w:rsidR="00673AFB" w:rsidRPr="00051FD1" w:rsidRDefault="00673AFB"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It is being </w:t>
      </w:r>
      <w:r w:rsidR="00D673F8" w:rsidRPr="00051FD1">
        <w:rPr>
          <w:kern w:val="22"/>
          <w:sz w:val="22"/>
          <w:szCs w:val="22"/>
          <w:lang w:val="en-GB"/>
        </w:rPr>
        <w:t xml:space="preserve">increasingly </w:t>
      </w:r>
      <w:r w:rsidRPr="00051FD1">
        <w:rPr>
          <w:kern w:val="22"/>
          <w:sz w:val="22"/>
          <w:szCs w:val="22"/>
          <w:lang w:val="en-GB"/>
        </w:rPr>
        <w:t xml:space="preserve">recognized that implementation by Parties and underlying commitments need to be strengthened to bring the global community on a path towards achieving the 2050 vision laid out in the Strategic Plan for Biodiversity 2011-2020. </w:t>
      </w:r>
      <w:r w:rsidR="00D673F8" w:rsidRPr="00051FD1">
        <w:rPr>
          <w:kern w:val="22"/>
          <w:sz w:val="22"/>
          <w:szCs w:val="22"/>
          <w:lang w:val="en-GB"/>
        </w:rPr>
        <w:t>In this context, it is opportune to consider whether and how review mechanisms under the Convention could be enhanced to strengthen implementation. In addition, t</w:t>
      </w:r>
      <w:r w:rsidRPr="00051FD1">
        <w:rPr>
          <w:kern w:val="22"/>
          <w:sz w:val="22"/>
          <w:szCs w:val="22"/>
          <w:lang w:val="en-GB"/>
        </w:rPr>
        <w:t>he process for discussing a post-2020 global biodiversity framework, laid out in a separate note,</w:t>
      </w:r>
      <w:r w:rsidRPr="00051FD1">
        <w:rPr>
          <w:rStyle w:val="FootnoteReference"/>
          <w:kern w:val="22"/>
          <w:sz w:val="22"/>
          <w:szCs w:val="22"/>
          <w:u w:val="none"/>
          <w:vertAlign w:val="superscript"/>
          <w:lang w:val="en-GB"/>
        </w:rPr>
        <w:footnoteReference w:id="3"/>
      </w:r>
      <w:r w:rsidRPr="00051FD1">
        <w:rPr>
          <w:kern w:val="22"/>
          <w:sz w:val="22"/>
          <w:szCs w:val="22"/>
          <w:lang w:val="en-GB"/>
        </w:rPr>
        <w:t xml:space="preserve"> should allow </w:t>
      </w:r>
      <w:r w:rsidR="00D673F8" w:rsidRPr="00051FD1">
        <w:rPr>
          <w:kern w:val="22"/>
          <w:sz w:val="22"/>
          <w:szCs w:val="22"/>
          <w:lang w:val="en-GB"/>
        </w:rPr>
        <w:t xml:space="preserve">for </w:t>
      </w:r>
      <w:r w:rsidRPr="00051FD1">
        <w:rPr>
          <w:kern w:val="22"/>
          <w:sz w:val="22"/>
          <w:szCs w:val="22"/>
          <w:lang w:val="en-GB"/>
        </w:rPr>
        <w:t xml:space="preserve">further reflections on, and </w:t>
      </w:r>
      <w:r w:rsidR="00D673F8" w:rsidRPr="00051FD1">
        <w:rPr>
          <w:kern w:val="22"/>
          <w:sz w:val="22"/>
          <w:szCs w:val="22"/>
          <w:lang w:val="en-GB"/>
        </w:rPr>
        <w:t xml:space="preserve">perhaps </w:t>
      </w:r>
      <w:r w:rsidRPr="00051FD1">
        <w:rPr>
          <w:kern w:val="22"/>
          <w:sz w:val="22"/>
          <w:szCs w:val="22"/>
          <w:lang w:val="en-GB"/>
        </w:rPr>
        <w:t>testing of, elements of a review mechanism to strengthen implementation.</w:t>
      </w:r>
    </w:p>
    <w:p w:rsidR="00B33755" w:rsidRPr="00051FD1" w:rsidRDefault="001E039F"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At its </w:t>
      </w:r>
      <w:r w:rsidR="00D673F8" w:rsidRPr="00051FD1">
        <w:rPr>
          <w:kern w:val="22"/>
          <w:sz w:val="22"/>
          <w:szCs w:val="22"/>
          <w:lang w:val="en-GB"/>
        </w:rPr>
        <w:t>first meeting</w:t>
      </w:r>
      <w:r w:rsidRPr="00051FD1">
        <w:rPr>
          <w:kern w:val="22"/>
          <w:sz w:val="22"/>
          <w:szCs w:val="22"/>
          <w:lang w:val="en-GB"/>
        </w:rPr>
        <w:t>,</w:t>
      </w:r>
      <w:r w:rsidR="00D673F8" w:rsidRPr="00051FD1">
        <w:rPr>
          <w:kern w:val="22"/>
          <w:sz w:val="22"/>
          <w:szCs w:val="22"/>
          <w:lang w:val="en-GB"/>
        </w:rPr>
        <w:t xml:space="preserve"> the </w:t>
      </w:r>
      <w:r w:rsidRPr="00051FD1">
        <w:rPr>
          <w:kern w:val="22"/>
          <w:sz w:val="22"/>
          <w:szCs w:val="22"/>
          <w:lang w:val="en-GB"/>
        </w:rPr>
        <w:t>Subsidiary Body on Implementation</w:t>
      </w:r>
      <w:r w:rsidRPr="00051FD1" w:rsidDel="001E039F">
        <w:rPr>
          <w:kern w:val="22"/>
          <w:sz w:val="22"/>
          <w:szCs w:val="22"/>
          <w:lang w:val="en-GB"/>
        </w:rPr>
        <w:t xml:space="preserve"> </w:t>
      </w:r>
      <w:r w:rsidR="00D673F8" w:rsidRPr="00051FD1">
        <w:rPr>
          <w:kern w:val="22"/>
          <w:sz w:val="22"/>
          <w:szCs w:val="22"/>
          <w:lang w:val="en-GB"/>
        </w:rPr>
        <w:t xml:space="preserve">considered this topic in the context of its modus operandi. The </w:t>
      </w:r>
      <w:r w:rsidR="00FC2FB0" w:rsidRPr="00051FD1">
        <w:rPr>
          <w:kern w:val="22"/>
          <w:sz w:val="22"/>
          <w:szCs w:val="22"/>
          <w:lang w:val="en-GB"/>
        </w:rPr>
        <w:t xml:space="preserve">documentation </w:t>
      </w:r>
      <w:r w:rsidR="000C237B" w:rsidRPr="00051FD1">
        <w:rPr>
          <w:kern w:val="22"/>
          <w:sz w:val="22"/>
          <w:szCs w:val="22"/>
          <w:lang w:val="en-GB"/>
        </w:rPr>
        <w:t xml:space="preserve">prepared for </w:t>
      </w:r>
      <w:r w:rsidR="00D673F8" w:rsidRPr="00051FD1">
        <w:rPr>
          <w:kern w:val="22"/>
          <w:sz w:val="22"/>
          <w:szCs w:val="22"/>
          <w:lang w:val="en-GB"/>
        </w:rPr>
        <w:t>th</w:t>
      </w:r>
      <w:r w:rsidR="00B554A2" w:rsidRPr="00051FD1">
        <w:rPr>
          <w:kern w:val="22"/>
          <w:sz w:val="22"/>
          <w:szCs w:val="22"/>
          <w:lang w:val="en-GB"/>
        </w:rPr>
        <w:t>a</w:t>
      </w:r>
      <w:r w:rsidR="00D673F8" w:rsidRPr="00051FD1">
        <w:rPr>
          <w:kern w:val="22"/>
          <w:sz w:val="22"/>
          <w:szCs w:val="22"/>
          <w:lang w:val="en-GB"/>
        </w:rPr>
        <w:t xml:space="preserve">t meeting </w:t>
      </w:r>
      <w:r w:rsidR="000C237B" w:rsidRPr="00051FD1">
        <w:rPr>
          <w:kern w:val="22"/>
          <w:sz w:val="22"/>
          <w:szCs w:val="22"/>
          <w:lang w:val="en-GB"/>
        </w:rPr>
        <w:t>on the basis of analysis of and experiences with existing review mechanisms, both within the Convention and its Protocols and in other relevant fora is still relevant</w:t>
      </w:r>
      <w:r w:rsidRPr="00051FD1">
        <w:rPr>
          <w:kern w:val="22"/>
          <w:sz w:val="22"/>
          <w:szCs w:val="22"/>
          <w:lang w:val="en-GB"/>
        </w:rPr>
        <w:t>.</w:t>
      </w:r>
      <w:r w:rsidR="000C237B" w:rsidRPr="00051FD1">
        <w:rPr>
          <w:kern w:val="22"/>
          <w:sz w:val="22"/>
          <w:szCs w:val="22"/>
          <w:vertAlign w:val="superscript"/>
          <w:lang w:val="en-GB"/>
        </w:rPr>
        <w:footnoteReference w:id="4"/>
      </w:r>
    </w:p>
    <w:p w:rsidR="005C6A9A" w:rsidRPr="00051FD1" w:rsidRDefault="008736D1" w:rsidP="002D34B4">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It</w:t>
      </w:r>
      <w:r w:rsidR="007A7D22" w:rsidRPr="00051FD1">
        <w:rPr>
          <w:kern w:val="22"/>
          <w:sz w:val="22"/>
          <w:szCs w:val="22"/>
          <w:lang w:val="en-GB"/>
        </w:rPr>
        <w:t xml:space="preserve"> may be useful to consider the different dimensions of review mechanisms. These are presented in pairs, noting that there may be a sliding scale between extremes </w:t>
      </w:r>
      <w:r w:rsidR="00B056DF" w:rsidRPr="00051FD1">
        <w:rPr>
          <w:kern w:val="22"/>
          <w:sz w:val="22"/>
          <w:szCs w:val="22"/>
          <w:lang w:val="en-GB"/>
        </w:rPr>
        <w:t xml:space="preserve">and </w:t>
      </w:r>
      <w:r w:rsidR="007A7D22" w:rsidRPr="00051FD1">
        <w:rPr>
          <w:kern w:val="22"/>
          <w:sz w:val="22"/>
          <w:szCs w:val="22"/>
          <w:lang w:val="en-GB"/>
        </w:rPr>
        <w:t xml:space="preserve">that </w:t>
      </w:r>
      <w:r w:rsidR="00791315" w:rsidRPr="00051FD1">
        <w:rPr>
          <w:kern w:val="22"/>
          <w:sz w:val="22"/>
          <w:szCs w:val="22"/>
          <w:lang w:val="en-GB"/>
        </w:rPr>
        <w:t xml:space="preserve">several </w:t>
      </w:r>
      <w:r w:rsidR="007A7D22" w:rsidRPr="00051FD1">
        <w:rPr>
          <w:kern w:val="22"/>
          <w:sz w:val="22"/>
          <w:szCs w:val="22"/>
          <w:lang w:val="en-GB"/>
        </w:rPr>
        <w:t xml:space="preserve">elements could </w:t>
      </w:r>
      <w:r w:rsidR="009D46DA" w:rsidRPr="00051FD1">
        <w:rPr>
          <w:kern w:val="22"/>
          <w:sz w:val="22"/>
          <w:szCs w:val="22"/>
          <w:lang w:val="en-GB"/>
        </w:rPr>
        <w:t xml:space="preserve">usefully </w:t>
      </w:r>
      <w:r w:rsidR="007A7D22" w:rsidRPr="00051FD1">
        <w:rPr>
          <w:kern w:val="22"/>
          <w:sz w:val="22"/>
          <w:szCs w:val="22"/>
          <w:lang w:val="en-GB"/>
        </w:rPr>
        <w:t xml:space="preserve">complement each other. </w:t>
      </w:r>
      <w:r w:rsidR="00B33755" w:rsidRPr="00051FD1">
        <w:rPr>
          <w:kern w:val="22"/>
          <w:sz w:val="22"/>
          <w:szCs w:val="22"/>
          <w:lang w:val="en-GB"/>
        </w:rPr>
        <w:t>M</w:t>
      </w:r>
      <w:r w:rsidR="00B056DF" w:rsidRPr="00051FD1">
        <w:rPr>
          <w:kern w:val="22"/>
          <w:sz w:val="22"/>
          <w:szCs w:val="22"/>
          <w:lang w:val="en-GB"/>
        </w:rPr>
        <w:t xml:space="preserve">echanisms </w:t>
      </w:r>
      <w:r w:rsidR="007A7D22" w:rsidRPr="00051FD1">
        <w:rPr>
          <w:kern w:val="22"/>
          <w:sz w:val="22"/>
          <w:szCs w:val="22"/>
          <w:lang w:val="en-GB"/>
        </w:rPr>
        <w:t>of review can cover a number of dimensions and approaches including:</w:t>
      </w:r>
    </w:p>
    <w:p w:rsidR="00B33755" w:rsidRPr="00051FD1" w:rsidRDefault="008736D1" w:rsidP="00051FD1">
      <w:pPr>
        <w:numPr>
          <w:ilvl w:val="1"/>
          <w:numId w:val="15"/>
        </w:numPr>
        <w:suppressLineNumbers/>
        <w:suppressAutoHyphens/>
        <w:spacing w:after="120"/>
        <w:ind w:left="1418" w:hanging="709"/>
        <w:jc w:val="both"/>
        <w:rPr>
          <w:snapToGrid w:val="0"/>
          <w:kern w:val="22"/>
          <w:sz w:val="22"/>
          <w:szCs w:val="22"/>
          <w:lang w:val="en-GB"/>
        </w:rPr>
      </w:pPr>
      <w:r w:rsidRPr="00051FD1">
        <w:rPr>
          <w:snapToGrid w:val="0"/>
          <w:kern w:val="22"/>
          <w:sz w:val="22"/>
          <w:szCs w:val="22"/>
          <w:lang w:val="en-GB"/>
        </w:rPr>
        <w:t xml:space="preserve">(i) </w:t>
      </w:r>
      <w:r w:rsidR="00926601" w:rsidRPr="00051FD1">
        <w:rPr>
          <w:snapToGrid w:val="0"/>
          <w:kern w:val="22"/>
          <w:sz w:val="22"/>
          <w:szCs w:val="22"/>
          <w:lang w:val="en-GB"/>
        </w:rPr>
        <w:t xml:space="preserve">An aggregated perspective of progress in implementation achieved </w:t>
      </w:r>
      <w:r w:rsidR="003421AE" w:rsidRPr="00051FD1">
        <w:rPr>
          <w:snapToGrid w:val="0"/>
          <w:kern w:val="22"/>
          <w:sz w:val="22"/>
          <w:szCs w:val="22"/>
          <w:lang w:val="en-GB"/>
        </w:rPr>
        <w:t xml:space="preserve">globally, drawing primarily on the analysis of information provided by Parties </w:t>
      </w:r>
      <w:r w:rsidR="00037D25" w:rsidRPr="00051FD1">
        <w:rPr>
          <w:snapToGrid w:val="0"/>
          <w:kern w:val="22"/>
          <w:sz w:val="22"/>
          <w:szCs w:val="22"/>
          <w:lang w:val="en-GB"/>
        </w:rPr>
        <w:t xml:space="preserve">primarily </w:t>
      </w:r>
      <w:r w:rsidR="003421AE" w:rsidRPr="00051FD1">
        <w:rPr>
          <w:snapToGrid w:val="0"/>
          <w:kern w:val="22"/>
          <w:sz w:val="22"/>
          <w:szCs w:val="22"/>
          <w:lang w:val="en-GB"/>
        </w:rPr>
        <w:t>through their national reports and national biodiversity strategies and action plans</w:t>
      </w:r>
      <w:r w:rsidR="0065081C" w:rsidRPr="00051FD1">
        <w:rPr>
          <w:snapToGrid w:val="0"/>
          <w:kern w:val="22"/>
          <w:sz w:val="22"/>
          <w:szCs w:val="22"/>
          <w:lang w:val="en-GB"/>
        </w:rPr>
        <w:t xml:space="preserve"> (NBSAPs)</w:t>
      </w:r>
      <w:r w:rsidR="00037D25" w:rsidRPr="00051FD1">
        <w:rPr>
          <w:snapToGrid w:val="0"/>
          <w:kern w:val="22"/>
          <w:sz w:val="22"/>
          <w:szCs w:val="22"/>
          <w:lang w:val="en-GB"/>
        </w:rPr>
        <w:t>;</w:t>
      </w:r>
      <w:r w:rsidR="003421AE" w:rsidRPr="00051FD1">
        <w:rPr>
          <w:snapToGrid w:val="0"/>
          <w:kern w:val="22"/>
          <w:sz w:val="22"/>
          <w:szCs w:val="22"/>
          <w:lang w:val="en-GB"/>
        </w:rPr>
        <w:t xml:space="preserve"> </w:t>
      </w:r>
      <w:r w:rsidRPr="00051FD1">
        <w:rPr>
          <w:i/>
          <w:snapToGrid w:val="0"/>
          <w:kern w:val="22"/>
          <w:sz w:val="22"/>
          <w:szCs w:val="22"/>
          <w:lang w:val="en-GB"/>
        </w:rPr>
        <w:t>versus</w:t>
      </w:r>
      <w:r w:rsidRPr="00051FD1">
        <w:rPr>
          <w:snapToGrid w:val="0"/>
          <w:kern w:val="22"/>
          <w:sz w:val="22"/>
          <w:szCs w:val="22"/>
          <w:lang w:val="en-GB"/>
        </w:rPr>
        <w:t xml:space="preserve"> </w:t>
      </w:r>
    </w:p>
    <w:p w:rsidR="008736D1" w:rsidRPr="00051FD1" w:rsidRDefault="008736D1" w:rsidP="00051FD1">
      <w:pPr>
        <w:suppressLineNumbers/>
        <w:suppressAutoHyphens/>
        <w:spacing w:after="120"/>
        <w:ind w:left="1418"/>
        <w:jc w:val="both"/>
        <w:rPr>
          <w:snapToGrid w:val="0"/>
          <w:kern w:val="22"/>
          <w:sz w:val="22"/>
          <w:szCs w:val="22"/>
          <w:lang w:val="en-GB"/>
        </w:rPr>
      </w:pPr>
      <w:r w:rsidRPr="00051FD1">
        <w:rPr>
          <w:snapToGrid w:val="0"/>
          <w:kern w:val="22"/>
          <w:sz w:val="22"/>
          <w:szCs w:val="22"/>
          <w:lang w:val="en-GB"/>
        </w:rPr>
        <w:t xml:space="preserve">(ii) </w:t>
      </w:r>
      <w:r w:rsidR="00037D25" w:rsidRPr="00051FD1">
        <w:rPr>
          <w:snapToGrid w:val="0"/>
          <w:kern w:val="22"/>
          <w:sz w:val="22"/>
          <w:szCs w:val="22"/>
          <w:lang w:val="en-GB"/>
        </w:rPr>
        <w:t xml:space="preserve">A country-by-country review of progress in implementation. </w:t>
      </w:r>
      <w:r w:rsidR="005C6A9A" w:rsidRPr="00051FD1">
        <w:rPr>
          <w:snapToGrid w:val="0"/>
          <w:kern w:val="22"/>
          <w:sz w:val="22"/>
          <w:szCs w:val="22"/>
          <w:lang w:val="en-GB"/>
        </w:rPr>
        <w:t xml:space="preserve">Such reviews are currently undertaken </w:t>
      </w:r>
      <w:r w:rsidR="00037D25" w:rsidRPr="00051FD1">
        <w:rPr>
          <w:snapToGrid w:val="0"/>
          <w:kern w:val="22"/>
          <w:sz w:val="22"/>
          <w:szCs w:val="22"/>
          <w:lang w:val="en-GB"/>
        </w:rPr>
        <w:t>on selected topics, such as protected areas or restoration</w:t>
      </w:r>
      <w:r w:rsidR="005C6A9A" w:rsidRPr="00051FD1">
        <w:rPr>
          <w:snapToGrid w:val="0"/>
          <w:kern w:val="22"/>
          <w:sz w:val="22"/>
          <w:szCs w:val="22"/>
          <w:lang w:val="en-GB"/>
        </w:rPr>
        <w:t>. D</w:t>
      </w:r>
      <w:r w:rsidR="00037D25" w:rsidRPr="00051FD1">
        <w:rPr>
          <w:snapToGrid w:val="0"/>
          <w:kern w:val="22"/>
          <w:sz w:val="22"/>
          <w:szCs w:val="22"/>
          <w:lang w:val="en-GB"/>
        </w:rPr>
        <w:t xml:space="preserve">etailed reviews of progress in implementation and obstacles encountered as well as </w:t>
      </w:r>
      <w:r w:rsidR="00037D25" w:rsidRPr="00051FD1">
        <w:rPr>
          <w:snapToGrid w:val="0"/>
          <w:kern w:val="22"/>
          <w:sz w:val="22"/>
          <w:szCs w:val="22"/>
          <w:lang w:val="en-GB"/>
        </w:rPr>
        <w:lastRenderedPageBreak/>
        <w:t xml:space="preserve">recommendations to address these </w:t>
      </w:r>
      <w:r w:rsidR="005C6A9A" w:rsidRPr="00051FD1">
        <w:rPr>
          <w:snapToGrid w:val="0"/>
          <w:kern w:val="22"/>
          <w:sz w:val="22"/>
          <w:szCs w:val="22"/>
          <w:lang w:val="en-GB"/>
        </w:rPr>
        <w:t xml:space="preserve">are conducted on a pilot basis </w:t>
      </w:r>
      <w:r w:rsidR="00037D25" w:rsidRPr="00051FD1">
        <w:rPr>
          <w:snapToGrid w:val="0"/>
          <w:kern w:val="22"/>
          <w:sz w:val="22"/>
          <w:szCs w:val="22"/>
          <w:lang w:val="en-GB"/>
        </w:rPr>
        <w:t>th</w:t>
      </w:r>
      <w:r w:rsidR="00B33755" w:rsidRPr="00051FD1">
        <w:rPr>
          <w:snapToGrid w:val="0"/>
          <w:kern w:val="22"/>
          <w:sz w:val="22"/>
          <w:szCs w:val="22"/>
          <w:lang w:val="en-GB"/>
        </w:rPr>
        <w:t>rough the voluntary peer review;</w:t>
      </w:r>
    </w:p>
    <w:p w:rsidR="00B33755" w:rsidRPr="00051FD1" w:rsidRDefault="008736D1" w:rsidP="00051FD1">
      <w:pPr>
        <w:numPr>
          <w:ilvl w:val="1"/>
          <w:numId w:val="15"/>
        </w:numPr>
        <w:suppressLineNumbers/>
        <w:suppressAutoHyphens/>
        <w:spacing w:after="120"/>
        <w:ind w:left="1418" w:hanging="709"/>
        <w:jc w:val="both"/>
        <w:rPr>
          <w:snapToGrid w:val="0"/>
          <w:kern w:val="22"/>
          <w:sz w:val="22"/>
          <w:szCs w:val="22"/>
          <w:lang w:val="en-GB"/>
        </w:rPr>
      </w:pPr>
      <w:r w:rsidRPr="00051FD1">
        <w:rPr>
          <w:snapToGrid w:val="0"/>
          <w:kern w:val="22"/>
          <w:sz w:val="22"/>
          <w:szCs w:val="22"/>
          <w:lang w:val="en-GB"/>
        </w:rPr>
        <w:t>(i) The review of scientific, technical and technological information from multiple sources focusing on the status and trends, underlying drivers of change, and threats to biodiversity at a range of scales</w:t>
      </w:r>
      <w:r w:rsidR="00B33755" w:rsidRPr="00051FD1">
        <w:rPr>
          <w:snapToGrid w:val="0"/>
          <w:kern w:val="22"/>
          <w:sz w:val="22"/>
          <w:szCs w:val="22"/>
          <w:lang w:val="en-GB"/>
        </w:rPr>
        <w:t>;</w:t>
      </w:r>
      <w:r w:rsidRPr="00051FD1">
        <w:rPr>
          <w:snapToGrid w:val="0"/>
          <w:kern w:val="22"/>
          <w:sz w:val="22"/>
          <w:szCs w:val="22"/>
          <w:lang w:val="en-GB"/>
        </w:rPr>
        <w:t xml:space="preserve"> </w:t>
      </w:r>
      <w:r w:rsidRPr="00051FD1">
        <w:rPr>
          <w:i/>
          <w:snapToGrid w:val="0"/>
          <w:kern w:val="22"/>
          <w:sz w:val="22"/>
          <w:szCs w:val="22"/>
          <w:lang w:val="en-GB"/>
        </w:rPr>
        <w:t>versus</w:t>
      </w:r>
    </w:p>
    <w:p w:rsidR="008736D1" w:rsidRPr="00051FD1" w:rsidRDefault="008736D1" w:rsidP="00051FD1">
      <w:pPr>
        <w:suppressLineNumbers/>
        <w:suppressAutoHyphens/>
        <w:spacing w:after="120"/>
        <w:ind w:left="1418" w:firstLine="22"/>
        <w:jc w:val="both"/>
        <w:rPr>
          <w:snapToGrid w:val="0"/>
          <w:kern w:val="22"/>
          <w:sz w:val="22"/>
          <w:szCs w:val="22"/>
          <w:lang w:val="en-GB"/>
        </w:rPr>
      </w:pPr>
      <w:r w:rsidRPr="00051FD1">
        <w:rPr>
          <w:snapToGrid w:val="0"/>
          <w:kern w:val="22"/>
          <w:sz w:val="22"/>
          <w:szCs w:val="22"/>
          <w:lang w:val="en-GB"/>
        </w:rPr>
        <w:t xml:space="preserve">(ii) </w:t>
      </w:r>
      <w:r w:rsidR="00B33755" w:rsidRPr="00051FD1">
        <w:rPr>
          <w:snapToGrid w:val="0"/>
          <w:kern w:val="22"/>
          <w:sz w:val="22"/>
          <w:szCs w:val="22"/>
          <w:lang w:val="en-GB"/>
        </w:rPr>
        <w:t>A</w:t>
      </w:r>
      <w:r w:rsidRPr="00051FD1">
        <w:rPr>
          <w:snapToGrid w:val="0"/>
          <w:kern w:val="22"/>
          <w:sz w:val="22"/>
          <w:szCs w:val="22"/>
          <w:lang w:val="en-GB"/>
        </w:rPr>
        <w:t xml:space="preserve"> review of commitments and activities of Parties to implement the Convention, the review of obstacles encountered by decision-makers at all levels and the development of options to overcome these, and a review of the means of implementation to do so</w:t>
      </w:r>
      <w:r w:rsidR="00B33755" w:rsidRPr="00051FD1">
        <w:rPr>
          <w:snapToGrid w:val="0"/>
          <w:kern w:val="22"/>
          <w:sz w:val="22"/>
          <w:szCs w:val="22"/>
          <w:lang w:val="en-GB"/>
        </w:rPr>
        <w:t>;</w:t>
      </w:r>
    </w:p>
    <w:p w:rsidR="00B33755" w:rsidRPr="00051FD1" w:rsidRDefault="008736D1" w:rsidP="00051FD1">
      <w:pPr>
        <w:numPr>
          <w:ilvl w:val="1"/>
          <w:numId w:val="15"/>
        </w:numPr>
        <w:suppressLineNumbers/>
        <w:suppressAutoHyphens/>
        <w:spacing w:after="120"/>
        <w:ind w:left="1418" w:hanging="709"/>
        <w:jc w:val="both"/>
        <w:rPr>
          <w:snapToGrid w:val="0"/>
          <w:kern w:val="22"/>
          <w:sz w:val="22"/>
          <w:szCs w:val="22"/>
          <w:lang w:val="en-GB"/>
        </w:rPr>
      </w:pPr>
      <w:r w:rsidRPr="00051FD1">
        <w:rPr>
          <w:snapToGrid w:val="0"/>
          <w:kern w:val="22"/>
          <w:sz w:val="22"/>
          <w:szCs w:val="22"/>
          <w:lang w:val="en-GB"/>
        </w:rPr>
        <w:t>(i) A review of effectiveness of types of measures taken in accordance with the objectives of the Convention</w:t>
      </w:r>
      <w:r w:rsidR="00B33755" w:rsidRPr="00051FD1">
        <w:rPr>
          <w:snapToGrid w:val="0"/>
          <w:kern w:val="22"/>
          <w:sz w:val="22"/>
          <w:szCs w:val="22"/>
          <w:lang w:val="en-GB"/>
        </w:rPr>
        <w:t>;</w:t>
      </w:r>
      <w:r w:rsidRPr="00051FD1">
        <w:rPr>
          <w:snapToGrid w:val="0"/>
          <w:kern w:val="22"/>
          <w:sz w:val="22"/>
          <w:szCs w:val="22"/>
          <w:lang w:val="en-GB"/>
        </w:rPr>
        <w:t xml:space="preserve"> </w:t>
      </w:r>
      <w:r w:rsidRPr="00051FD1">
        <w:rPr>
          <w:i/>
          <w:snapToGrid w:val="0"/>
          <w:kern w:val="22"/>
          <w:sz w:val="22"/>
          <w:szCs w:val="22"/>
          <w:lang w:val="en-GB"/>
        </w:rPr>
        <w:t>versus</w:t>
      </w:r>
    </w:p>
    <w:p w:rsidR="008736D1" w:rsidRPr="00051FD1" w:rsidRDefault="008736D1" w:rsidP="00051FD1">
      <w:pPr>
        <w:suppressLineNumbers/>
        <w:suppressAutoHyphens/>
        <w:spacing w:after="120"/>
        <w:ind w:left="709" w:firstLine="709"/>
        <w:jc w:val="both"/>
        <w:rPr>
          <w:snapToGrid w:val="0"/>
          <w:kern w:val="22"/>
          <w:sz w:val="22"/>
          <w:szCs w:val="22"/>
          <w:lang w:val="en-GB"/>
        </w:rPr>
      </w:pPr>
      <w:r w:rsidRPr="00051FD1">
        <w:rPr>
          <w:snapToGrid w:val="0"/>
          <w:kern w:val="22"/>
          <w:sz w:val="22"/>
          <w:szCs w:val="22"/>
          <w:lang w:val="en-GB"/>
        </w:rPr>
        <w:t xml:space="preserve">(ii) </w:t>
      </w:r>
      <w:r w:rsidR="00B33755" w:rsidRPr="00051FD1">
        <w:rPr>
          <w:snapToGrid w:val="0"/>
          <w:kern w:val="22"/>
          <w:sz w:val="22"/>
          <w:szCs w:val="22"/>
          <w:lang w:val="en-GB"/>
        </w:rPr>
        <w:t>A</w:t>
      </w:r>
      <w:r w:rsidRPr="00051FD1">
        <w:rPr>
          <w:snapToGrid w:val="0"/>
          <w:kern w:val="22"/>
          <w:sz w:val="22"/>
          <w:szCs w:val="22"/>
          <w:lang w:val="en-GB"/>
        </w:rPr>
        <w:t xml:space="preserve"> review if the effectiveness of particular measures taken by Parties</w:t>
      </w:r>
      <w:r w:rsidR="00C37CB5" w:rsidRPr="00087A59">
        <w:rPr>
          <w:snapToGrid w:val="0"/>
          <w:kern w:val="22"/>
          <w:sz w:val="22"/>
          <w:szCs w:val="22"/>
          <w:lang w:val="en-GB"/>
        </w:rPr>
        <w:t>;</w:t>
      </w:r>
    </w:p>
    <w:p w:rsidR="00037D25" w:rsidRPr="00051FD1" w:rsidRDefault="00B33755" w:rsidP="00051FD1">
      <w:pPr>
        <w:numPr>
          <w:ilvl w:val="1"/>
          <w:numId w:val="15"/>
        </w:numPr>
        <w:suppressLineNumbers/>
        <w:suppressAutoHyphens/>
        <w:spacing w:after="120"/>
        <w:ind w:left="1418" w:hanging="709"/>
        <w:jc w:val="both"/>
        <w:rPr>
          <w:snapToGrid w:val="0"/>
          <w:kern w:val="22"/>
          <w:sz w:val="22"/>
          <w:szCs w:val="22"/>
          <w:lang w:val="en-GB"/>
        </w:rPr>
      </w:pPr>
      <w:r w:rsidRPr="00051FD1">
        <w:rPr>
          <w:snapToGrid w:val="0"/>
          <w:kern w:val="22"/>
          <w:sz w:val="22"/>
          <w:szCs w:val="22"/>
          <w:lang w:val="en-GB"/>
        </w:rPr>
        <w:t xml:space="preserve">(i) </w:t>
      </w:r>
      <w:r w:rsidR="005C6A9A" w:rsidRPr="00051FD1">
        <w:rPr>
          <w:snapToGrid w:val="0"/>
          <w:kern w:val="22"/>
          <w:sz w:val="22"/>
          <w:szCs w:val="22"/>
          <w:lang w:val="en-GB"/>
        </w:rPr>
        <w:t>Compliance-based mechanisms as established under the Cartagena and Nagoya Protocols and many other multilateral environmental agreements</w:t>
      </w:r>
      <w:r w:rsidR="007F72EB" w:rsidRPr="00051FD1">
        <w:rPr>
          <w:snapToGrid w:val="0"/>
          <w:kern w:val="22"/>
          <w:sz w:val="22"/>
          <w:szCs w:val="22"/>
          <w:lang w:val="en-GB"/>
        </w:rPr>
        <w:t xml:space="preserve"> to enforce implementation</w:t>
      </w:r>
      <w:r w:rsidR="005C6A9A" w:rsidRPr="00051FD1">
        <w:rPr>
          <w:snapToGrid w:val="0"/>
          <w:kern w:val="22"/>
          <w:sz w:val="22"/>
          <w:szCs w:val="22"/>
          <w:lang w:val="en-GB"/>
        </w:rPr>
        <w:t>;</w:t>
      </w:r>
      <w:r w:rsidR="007A7D22" w:rsidRPr="00051FD1">
        <w:rPr>
          <w:snapToGrid w:val="0"/>
          <w:kern w:val="22"/>
          <w:sz w:val="22"/>
          <w:szCs w:val="22"/>
          <w:lang w:val="en-GB"/>
        </w:rPr>
        <w:t xml:space="preserve"> </w:t>
      </w:r>
      <w:r w:rsidR="008736D1" w:rsidRPr="00051FD1">
        <w:rPr>
          <w:i/>
          <w:snapToGrid w:val="0"/>
          <w:kern w:val="22"/>
          <w:sz w:val="22"/>
          <w:szCs w:val="22"/>
          <w:lang w:val="en-GB"/>
        </w:rPr>
        <w:t>versus</w:t>
      </w:r>
    </w:p>
    <w:p w:rsidR="005C6A9A" w:rsidRPr="00051FD1" w:rsidRDefault="00B33755" w:rsidP="00051FD1">
      <w:pPr>
        <w:suppressLineNumbers/>
        <w:suppressAutoHyphens/>
        <w:spacing w:after="120"/>
        <w:ind w:left="1418"/>
        <w:jc w:val="both"/>
        <w:rPr>
          <w:snapToGrid w:val="0"/>
          <w:kern w:val="22"/>
          <w:sz w:val="22"/>
          <w:szCs w:val="22"/>
          <w:lang w:val="en-GB"/>
        </w:rPr>
      </w:pPr>
      <w:r w:rsidRPr="00051FD1">
        <w:rPr>
          <w:snapToGrid w:val="0"/>
          <w:kern w:val="22"/>
          <w:sz w:val="22"/>
          <w:szCs w:val="22"/>
          <w:lang w:val="en-GB"/>
        </w:rPr>
        <w:t xml:space="preserve">(ii) </w:t>
      </w:r>
      <w:r w:rsidR="005C6A9A" w:rsidRPr="00051FD1">
        <w:rPr>
          <w:snapToGrid w:val="0"/>
          <w:kern w:val="22"/>
          <w:sz w:val="22"/>
          <w:szCs w:val="22"/>
          <w:lang w:val="en-GB"/>
        </w:rPr>
        <w:t xml:space="preserve">Mechanisms focusing on </w:t>
      </w:r>
      <w:r w:rsidR="007A7D22" w:rsidRPr="00051FD1">
        <w:rPr>
          <w:snapToGrid w:val="0"/>
          <w:kern w:val="22"/>
          <w:sz w:val="22"/>
          <w:szCs w:val="22"/>
          <w:lang w:val="en-GB"/>
        </w:rPr>
        <w:t xml:space="preserve">sharing experiences, joint learning and the </w:t>
      </w:r>
      <w:r w:rsidR="009D46DA" w:rsidRPr="00051FD1">
        <w:rPr>
          <w:snapToGrid w:val="0"/>
          <w:kern w:val="22"/>
          <w:sz w:val="22"/>
          <w:szCs w:val="22"/>
          <w:lang w:val="en-GB"/>
        </w:rPr>
        <w:t xml:space="preserve">appropriate </w:t>
      </w:r>
      <w:r w:rsidR="007F72EB" w:rsidRPr="00051FD1">
        <w:rPr>
          <w:snapToGrid w:val="0"/>
          <w:kern w:val="22"/>
          <w:sz w:val="22"/>
          <w:szCs w:val="22"/>
          <w:lang w:val="en-GB"/>
        </w:rPr>
        <w:t>design and use</w:t>
      </w:r>
      <w:r w:rsidR="009D46DA" w:rsidRPr="00051FD1">
        <w:rPr>
          <w:snapToGrid w:val="0"/>
          <w:kern w:val="22"/>
          <w:sz w:val="22"/>
          <w:szCs w:val="22"/>
          <w:lang w:val="en-GB"/>
        </w:rPr>
        <w:t xml:space="preserve"> of support mechanisms</w:t>
      </w:r>
      <w:r w:rsidR="007F72EB" w:rsidRPr="00051FD1">
        <w:rPr>
          <w:snapToGrid w:val="0"/>
          <w:kern w:val="22"/>
          <w:sz w:val="22"/>
          <w:szCs w:val="22"/>
          <w:lang w:val="en-GB"/>
        </w:rPr>
        <w:t xml:space="preserve"> to facilitate implementation</w:t>
      </w:r>
      <w:r w:rsidR="009D46DA" w:rsidRPr="00051FD1">
        <w:rPr>
          <w:snapToGrid w:val="0"/>
          <w:kern w:val="22"/>
          <w:sz w:val="22"/>
          <w:szCs w:val="22"/>
          <w:lang w:val="en-GB"/>
        </w:rPr>
        <w:t>.</w:t>
      </w:r>
    </w:p>
    <w:p w:rsidR="00B056DF" w:rsidRPr="00051FD1" w:rsidRDefault="00B056DF" w:rsidP="00051FD1">
      <w:pPr>
        <w:pStyle w:val="Para1"/>
        <w:numPr>
          <w:ilvl w:val="0"/>
          <w:numId w:val="13"/>
        </w:numPr>
        <w:suppressLineNumbers/>
        <w:tabs>
          <w:tab w:val="clear" w:pos="360"/>
        </w:tabs>
        <w:suppressAutoHyphens/>
        <w:spacing w:before="120"/>
        <w:jc w:val="both"/>
        <w:rPr>
          <w:kern w:val="22"/>
          <w:sz w:val="22"/>
          <w:szCs w:val="22"/>
          <w:lang w:val="en-GB"/>
        </w:rPr>
      </w:pPr>
      <w:r w:rsidRPr="00051FD1">
        <w:rPr>
          <w:kern w:val="22"/>
          <w:sz w:val="22"/>
          <w:szCs w:val="22"/>
          <w:lang w:val="en-GB"/>
        </w:rPr>
        <w:t xml:space="preserve">With respect to the mandates of the two permanent subsidiary bodies, </w:t>
      </w:r>
      <w:r w:rsidR="001E039F" w:rsidRPr="00051FD1">
        <w:rPr>
          <w:kern w:val="22"/>
          <w:sz w:val="22"/>
          <w:szCs w:val="22"/>
          <w:lang w:val="en-GB"/>
        </w:rPr>
        <w:t xml:space="preserve">the Subsidiary Body on Scientific, Technical and Technological Advice </w:t>
      </w:r>
      <w:r w:rsidRPr="00051FD1">
        <w:rPr>
          <w:kern w:val="22"/>
          <w:sz w:val="22"/>
          <w:szCs w:val="22"/>
          <w:lang w:val="en-GB"/>
        </w:rPr>
        <w:t xml:space="preserve">has </w:t>
      </w:r>
      <w:r w:rsidR="000C237B" w:rsidRPr="00051FD1">
        <w:rPr>
          <w:kern w:val="22"/>
          <w:sz w:val="22"/>
          <w:szCs w:val="22"/>
          <w:lang w:val="en-GB"/>
        </w:rPr>
        <w:t xml:space="preserve">a comparative advantage in addressing the review of scientific, technical and technological information </w:t>
      </w:r>
      <w:r w:rsidR="00D673F8" w:rsidRPr="00051FD1">
        <w:rPr>
          <w:kern w:val="22"/>
          <w:sz w:val="22"/>
          <w:szCs w:val="22"/>
          <w:lang w:val="en-GB"/>
        </w:rPr>
        <w:t>(</w:t>
      </w:r>
      <w:r w:rsidR="000C237B" w:rsidRPr="00051FD1">
        <w:rPr>
          <w:kern w:val="22"/>
          <w:sz w:val="22"/>
          <w:szCs w:val="22"/>
          <w:lang w:val="en-GB"/>
        </w:rPr>
        <w:t>(a)(i)</w:t>
      </w:r>
      <w:r w:rsidR="00D673F8" w:rsidRPr="00051FD1">
        <w:rPr>
          <w:kern w:val="22"/>
          <w:sz w:val="22"/>
          <w:szCs w:val="22"/>
          <w:lang w:val="en-GB"/>
        </w:rPr>
        <w:t>)</w:t>
      </w:r>
      <w:r w:rsidR="000C237B" w:rsidRPr="00051FD1">
        <w:rPr>
          <w:kern w:val="22"/>
          <w:sz w:val="22"/>
          <w:szCs w:val="22"/>
          <w:lang w:val="en-GB"/>
        </w:rPr>
        <w:t xml:space="preserve"> and the effectiveness of types of measures </w:t>
      </w:r>
      <w:r w:rsidR="00D673F8" w:rsidRPr="00051FD1">
        <w:rPr>
          <w:kern w:val="22"/>
          <w:sz w:val="22"/>
          <w:szCs w:val="22"/>
          <w:lang w:val="en-GB"/>
        </w:rPr>
        <w:t>(</w:t>
      </w:r>
      <w:r w:rsidR="000C237B" w:rsidRPr="00051FD1">
        <w:rPr>
          <w:kern w:val="22"/>
          <w:sz w:val="22"/>
          <w:szCs w:val="22"/>
          <w:lang w:val="en-GB"/>
        </w:rPr>
        <w:t>(b)(i)</w:t>
      </w:r>
      <w:r w:rsidR="00D673F8" w:rsidRPr="00051FD1">
        <w:rPr>
          <w:kern w:val="22"/>
          <w:sz w:val="22"/>
          <w:szCs w:val="22"/>
          <w:lang w:val="en-GB"/>
        </w:rPr>
        <w:t>)</w:t>
      </w:r>
      <w:r w:rsidR="000C237B" w:rsidRPr="00051FD1">
        <w:rPr>
          <w:kern w:val="22"/>
          <w:sz w:val="22"/>
          <w:szCs w:val="22"/>
          <w:lang w:val="en-GB"/>
        </w:rPr>
        <w:t xml:space="preserve">, while </w:t>
      </w:r>
      <w:r w:rsidR="001E039F" w:rsidRPr="00051FD1">
        <w:rPr>
          <w:kern w:val="22"/>
          <w:sz w:val="22"/>
          <w:szCs w:val="22"/>
          <w:lang w:val="en-GB"/>
        </w:rPr>
        <w:t xml:space="preserve">the Subsidiary Body on Implementation </w:t>
      </w:r>
      <w:r w:rsidR="000C237B" w:rsidRPr="00051FD1">
        <w:rPr>
          <w:kern w:val="22"/>
          <w:sz w:val="22"/>
          <w:szCs w:val="22"/>
          <w:lang w:val="en-GB"/>
        </w:rPr>
        <w:t>has a primary role in carrying out or overseeing the other approaches.</w:t>
      </w:r>
    </w:p>
    <w:p w:rsidR="00E540CF" w:rsidRPr="00051FD1" w:rsidRDefault="00E540CF" w:rsidP="00051FD1">
      <w:pPr>
        <w:pStyle w:val="Para1"/>
        <w:numPr>
          <w:ilvl w:val="0"/>
          <w:numId w:val="13"/>
        </w:numPr>
        <w:suppressLineNumbers/>
        <w:tabs>
          <w:tab w:val="clear" w:pos="360"/>
        </w:tabs>
        <w:suppressAutoHyphens/>
        <w:spacing w:before="120"/>
        <w:jc w:val="both"/>
        <w:rPr>
          <w:kern w:val="22"/>
          <w:sz w:val="22"/>
          <w:szCs w:val="22"/>
          <w:lang w:val="en-GB"/>
        </w:rPr>
      </w:pPr>
      <w:r w:rsidRPr="00051FD1">
        <w:rPr>
          <w:kern w:val="22"/>
          <w:sz w:val="22"/>
          <w:szCs w:val="22"/>
          <w:lang w:val="en-GB"/>
        </w:rPr>
        <w:t>Recent progress in further developing existing review mechanisms under the Convention is outlined in section III.</w:t>
      </w:r>
    </w:p>
    <w:p w:rsidR="007F72EB" w:rsidRPr="00051FD1" w:rsidRDefault="000C237B" w:rsidP="00051FD1">
      <w:pPr>
        <w:pStyle w:val="Para1"/>
        <w:numPr>
          <w:ilvl w:val="0"/>
          <w:numId w:val="13"/>
        </w:numPr>
        <w:suppressLineNumbers/>
        <w:tabs>
          <w:tab w:val="clear" w:pos="360"/>
        </w:tabs>
        <w:suppressAutoHyphens/>
        <w:spacing w:before="120"/>
        <w:jc w:val="both"/>
        <w:rPr>
          <w:kern w:val="22"/>
          <w:sz w:val="22"/>
          <w:szCs w:val="22"/>
          <w:lang w:val="en-GB"/>
        </w:rPr>
      </w:pPr>
      <w:r w:rsidRPr="00051FD1">
        <w:rPr>
          <w:kern w:val="22"/>
          <w:sz w:val="22"/>
          <w:szCs w:val="22"/>
          <w:lang w:val="en-GB"/>
        </w:rPr>
        <w:t>Consi</w:t>
      </w:r>
      <w:r w:rsidR="00B33755" w:rsidRPr="00051FD1">
        <w:rPr>
          <w:kern w:val="22"/>
          <w:sz w:val="22"/>
          <w:szCs w:val="22"/>
          <w:lang w:val="en-GB"/>
        </w:rPr>
        <w:t>d</w:t>
      </w:r>
      <w:r w:rsidRPr="00051FD1">
        <w:rPr>
          <w:kern w:val="22"/>
          <w:sz w:val="22"/>
          <w:szCs w:val="22"/>
          <w:lang w:val="en-GB"/>
        </w:rPr>
        <w:t xml:space="preserve">eration of </w:t>
      </w:r>
      <w:r w:rsidR="00B33755" w:rsidRPr="00051FD1">
        <w:rPr>
          <w:kern w:val="22"/>
          <w:sz w:val="22"/>
          <w:szCs w:val="22"/>
          <w:lang w:val="en-GB"/>
        </w:rPr>
        <w:t>a</w:t>
      </w:r>
      <w:r w:rsidR="007F72EB" w:rsidRPr="00051FD1">
        <w:rPr>
          <w:kern w:val="22"/>
          <w:sz w:val="22"/>
          <w:szCs w:val="22"/>
          <w:lang w:val="en-GB"/>
        </w:rPr>
        <w:t xml:space="preserve">pproaches </w:t>
      </w:r>
      <w:r w:rsidRPr="00051FD1">
        <w:rPr>
          <w:kern w:val="22"/>
          <w:sz w:val="22"/>
          <w:szCs w:val="22"/>
          <w:lang w:val="en-GB"/>
        </w:rPr>
        <w:t xml:space="preserve">to review </w:t>
      </w:r>
      <w:r w:rsidR="00004A24" w:rsidRPr="00051FD1">
        <w:rPr>
          <w:kern w:val="22"/>
          <w:sz w:val="22"/>
          <w:szCs w:val="22"/>
          <w:lang w:val="en-GB"/>
        </w:rPr>
        <w:t xml:space="preserve">implementation </w:t>
      </w:r>
      <w:r w:rsidRPr="00051FD1">
        <w:rPr>
          <w:kern w:val="22"/>
          <w:sz w:val="22"/>
          <w:szCs w:val="22"/>
          <w:lang w:val="en-GB"/>
        </w:rPr>
        <w:t xml:space="preserve">can </w:t>
      </w:r>
      <w:r w:rsidR="00E540CF" w:rsidRPr="00051FD1">
        <w:rPr>
          <w:kern w:val="22"/>
          <w:sz w:val="22"/>
          <w:szCs w:val="22"/>
          <w:lang w:val="en-GB"/>
        </w:rPr>
        <w:t xml:space="preserve">also </w:t>
      </w:r>
      <w:r w:rsidRPr="00051FD1">
        <w:rPr>
          <w:kern w:val="22"/>
          <w:sz w:val="22"/>
          <w:szCs w:val="22"/>
          <w:lang w:val="en-GB"/>
        </w:rPr>
        <w:t>us</w:t>
      </w:r>
      <w:r w:rsidR="00004A24" w:rsidRPr="00051FD1">
        <w:rPr>
          <w:kern w:val="22"/>
          <w:sz w:val="22"/>
          <w:szCs w:val="22"/>
          <w:lang w:val="en-GB"/>
        </w:rPr>
        <w:t>e</w:t>
      </w:r>
      <w:r w:rsidRPr="00051FD1">
        <w:rPr>
          <w:kern w:val="22"/>
          <w:sz w:val="22"/>
          <w:szCs w:val="22"/>
          <w:lang w:val="en-GB"/>
        </w:rPr>
        <w:t xml:space="preserve">fully </w:t>
      </w:r>
      <w:r w:rsidR="007F72EB" w:rsidRPr="00051FD1">
        <w:rPr>
          <w:kern w:val="22"/>
          <w:sz w:val="22"/>
          <w:szCs w:val="22"/>
          <w:lang w:val="en-GB"/>
        </w:rPr>
        <w:t xml:space="preserve">draw </w:t>
      </w:r>
      <w:r w:rsidRPr="00051FD1">
        <w:rPr>
          <w:kern w:val="22"/>
          <w:sz w:val="22"/>
          <w:szCs w:val="22"/>
          <w:lang w:val="en-GB"/>
        </w:rPr>
        <w:t>up</w:t>
      </w:r>
      <w:r w:rsidR="007F72EB" w:rsidRPr="00051FD1">
        <w:rPr>
          <w:kern w:val="22"/>
          <w:sz w:val="22"/>
          <w:szCs w:val="22"/>
          <w:lang w:val="en-GB"/>
        </w:rPr>
        <w:t>on the experiences made by other relevant bodies.</w:t>
      </w:r>
      <w:r w:rsidR="003203BE" w:rsidRPr="00051FD1">
        <w:rPr>
          <w:kern w:val="22"/>
          <w:sz w:val="22"/>
          <w:szCs w:val="22"/>
          <w:lang w:val="en-GB"/>
        </w:rPr>
        <w:t xml:space="preserve"> These have been reviewed in some detail in documentation of the first meeting of the </w:t>
      </w:r>
      <w:r w:rsidR="001E039F" w:rsidRPr="00051FD1">
        <w:rPr>
          <w:kern w:val="22"/>
          <w:sz w:val="22"/>
          <w:szCs w:val="22"/>
          <w:lang w:val="en-GB"/>
        </w:rPr>
        <w:t>Subsidiary Body on Implementation</w:t>
      </w:r>
      <w:r w:rsidR="003203BE" w:rsidRPr="00051FD1">
        <w:rPr>
          <w:kern w:val="22"/>
          <w:sz w:val="22"/>
          <w:szCs w:val="22"/>
          <w:lang w:val="en-GB"/>
        </w:rPr>
        <w:t xml:space="preserve">. </w:t>
      </w:r>
      <w:r w:rsidR="00D673F8" w:rsidRPr="00051FD1">
        <w:rPr>
          <w:kern w:val="22"/>
          <w:sz w:val="22"/>
          <w:szCs w:val="22"/>
          <w:lang w:val="en-GB"/>
        </w:rPr>
        <w:t xml:space="preserve">Since the first meeting of the </w:t>
      </w:r>
      <w:r w:rsidR="001E039F" w:rsidRPr="00051FD1">
        <w:rPr>
          <w:kern w:val="22"/>
          <w:sz w:val="22"/>
          <w:szCs w:val="22"/>
          <w:lang w:val="en-GB"/>
        </w:rPr>
        <w:t>Subsidiary Body on Implementation</w:t>
      </w:r>
      <w:r w:rsidR="001E039F" w:rsidRPr="00051FD1" w:rsidDel="001E039F">
        <w:rPr>
          <w:kern w:val="22"/>
          <w:sz w:val="22"/>
          <w:szCs w:val="22"/>
          <w:lang w:val="en-GB"/>
        </w:rPr>
        <w:t xml:space="preserve"> </w:t>
      </w:r>
      <w:r w:rsidR="003203BE" w:rsidRPr="00051FD1">
        <w:rPr>
          <w:kern w:val="22"/>
          <w:sz w:val="22"/>
          <w:szCs w:val="22"/>
          <w:lang w:val="en-GB"/>
        </w:rPr>
        <w:t>developments have occurred under the United Nations Framework Convention on Climate Change (UNFCCC)</w:t>
      </w:r>
      <w:r w:rsidR="00004A24" w:rsidRPr="00051FD1">
        <w:rPr>
          <w:kern w:val="22"/>
          <w:sz w:val="22"/>
          <w:szCs w:val="22"/>
          <w:lang w:val="en-GB"/>
        </w:rPr>
        <w:t xml:space="preserve"> and</w:t>
      </w:r>
      <w:r w:rsidR="003203BE" w:rsidRPr="00051FD1">
        <w:rPr>
          <w:kern w:val="22"/>
          <w:sz w:val="22"/>
          <w:szCs w:val="22"/>
          <w:lang w:val="en-GB"/>
        </w:rPr>
        <w:t xml:space="preserve"> the Convention on the Conservation of Migratory Species of Wild Animals (CMS).</w:t>
      </w:r>
      <w:r w:rsidR="00D673F8" w:rsidRPr="00051FD1">
        <w:rPr>
          <w:kern w:val="22"/>
          <w:sz w:val="22"/>
          <w:szCs w:val="22"/>
          <w:lang w:val="en-GB"/>
        </w:rPr>
        <w:t xml:space="preserve"> These are noted in the annex to </w:t>
      </w:r>
      <w:r w:rsidR="008F7C3A">
        <w:rPr>
          <w:kern w:val="22"/>
          <w:sz w:val="22"/>
          <w:szCs w:val="22"/>
          <w:lang w:val="en-GB"/>
        </w:rPr>
        <w:t>the present</w:t>
      </w:r>
      <w:r w:rsidR="008F7C3A" w:rsidRPr="00051FD1">
        <w:rPr>
          <w:kern w:val="22"/>
          <w:sz w:val="22"/>
          <w:szCs w:val="22"/>
          <w:lang w:val="en-GB"/>
        </w:rPr>
        <w:t xml:space="preserve"> </w:t>
      </w:r>
      <w:r w:rsidR="00D673F8" w:rsidRPr="00051FD1">
        <w:rPr>
          <w:kern w:val="22"/>
          <w:sz w:val="22"/>
          <w:szCs w:val="22"/>
          <w:lang w:val="en-GB"/>
        </w:rPr>
        <w:t>document.</w:t>
      </w:r>
    </w:p>
    <w:p w:rsidR="001579D1" w:rsidRPr="00051FD1" w:rsidRDefault="001579D1" w:rsidP="00051FD1">
      <w:pPr>
        <w:pStyle w:val="Para1"/>
        <w:numPr>
          <w:ilvl w:val="0"/>
          <w:numId w:val="13"/>
        </w:numPr>
        <w:suppressLineNumbers/>
        <w:tabs>
          <w:tab w:val="clear" w:pos="360"/>
        </w:tabs>
        <w:suppressAutoHyphens/>
        <w:spacing w:before="120"/>
        <w:jc w:val="both"/>
        <w:rPr>
          <w:kern w:val="22"/>
          <w:sz w:val="22"/>
          <w:szCs w:val="22"/>
          <w:lang w:val="en-GB"/>
        </w:rPr>
      </w:pPr>
      <w:r w:rsidRPr="00051FD1">
        <w:rPr>
          <w:kern w:val="22"/>
          <w:sz w:val="22"/>
          <w:szCs w:val="22"/>
          <w:lang w:val="en-GB"/>
        </w:rPr>
        <w:t xml:space="preserve">In addition, </w:t>
      </w:r>
      <w:r w:rsidR="00D673F8" w:rsidRPr="00051FD1">
        <w:rPr>
          <w:kern w:val="22"/>
          <w:sz w:val="22"/>
          <w:szCs w:val="22"/>
          <w:lang w:val="en-GB"/>
        </w:rPr>
        <w:t xml:space="preserve">the processes and outcomes of </w:t>
      </w:r>
      <w:r w:rsidRPr="00051FD1">
        <w:rPr>
          <w:kern w:val="22"/>
          <w:sz w:val="22"/>
          <w:szCs w:val="22"/>
          <w:lang w:val="en-GB"/>
        </w:rPr>
        <w:t>some of the review mechanisms of other bodies may be us</w:t>
      </w:r>
      <w:r w:rsidR="00004A24" w:rsidRPr="00051FD1">
        <w:rPr>
          <w:kern w:val="22"/>
          <w:sz w:val="22"/>
          <w:szCs w:val="22"/>
          <w:lang w:val="en-GB"/>
        </w:rPr>
        <w:t>e</w:t>
      </w:r>
      <w:r w:rsidRPr="00051FD1">
        <w:rPr>
          <w:kern w:val="22"/>
          <w:sz w:val="22"/>
          <w:szCs w:val="22"/>
          <w:lang w:val="en-GB"/>
        </w:rPr>
        <w:t xml:space="preserve">ful to draw upon </w:t>
      </w:r>
      <w:r w:rsidR="00D673F8" w:rsidRPr="00051FD1">
        <w:rPr>
          <w:kern w:val="22"/>
          <w:sz w:val="22"/>
          <w:szCs w:val="22"/>
          <w:lang w:val="en-GB"/>
        </w:rPr>
        <w:t xml:space="preserve">to support review of implementation under </w:t>
      </w:r>
      <w:r w:rsidRPr="00051FD1">
        <w:rPr>
          <w:kern w:val="22"/>
          <w:sz w:val="22"/>
          <w:szCs w:val="22"/>
          <w:lang w:val="en-GB"/>
        </w:rPr>
        <w:t>the Conve</w:t>
      </w:r>
      <w:r w:rsidR="00004A24" w:rsidRPr="00051FD1">
        <w:rPr>
          <w:kern w:val="22"/>
          <w:sz w:val="22"/>
          <w:szCs w:val="22"/>
          <w:lang w:val="en-GB"/>
        </w:rPr>
        <w:t>n</w:t>
      </w:r>
      <w:r w:rsidRPr="00051FD1">
        <w:rPr>
          <w:kern w:val="22"/>
          <w:sz w:val="22"/>
          <w:szCs w:val="22"/>
          <w:lang w:val="en-GB"/>
        </w:rPr>
        <w:t>tion.</w:t>
      </w:r>
      <w:r w:rsidR="00D673F8" w:rsidRPr="00051FD1">
        <w:rPr>
          <w:kern w:val="22"/>
          <w:sz w:val="22"/>
          <w:szCs w:val="22"/>
          <w:lang w:val="en-GB"/>
        </w:rPr>
        <w:t xml:space="preserve"> For example, the following may provide information concerning implementation of measures under the Convention</w:t>
      </w:r>
      <w:r w:rsidRPr="00051FD1">
        <w:rPr>
          <w:kern w:val="22"/>
          <w:sz w:val="22"/>
          <w:szCs w:val="22"/>
          <w:lang w:val="en-GB"/>
        </w:rPr>
        <w:t>:</w:t>
      </w:r>
    </w:p>
    <w:p w:rsidR="001579D1" w:rsidRPr="00051FD1" w:rsidRDefault="00D673F8" w:rsidP="00051FD1">
      <w:pPr>
        <w:numPr>
          <w:ilvl w:val="0"/>
          <w:numId w:val="17"/>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 xml:space="preserve">The </w:t>
      </w:r>
      <w:r w:rsidR="001579D1" w:rsidRPr="00051FD1">
        <w:rPr>
          <w:snapToGrid w:val="0"/>
          <w:kern w:val="22"/>
          <w:sz w:val="22"/>
          <w:szCs w:val="22"/>
          <w:lang w:val="en-GB"/>
        </w:rPr>
        <w:t xml:space="preserve">reviews of biodiversity </w:t>
      </w:r>
      <w:r w:rsidR="001E039F" w:rsidRPr="00051FD1">
        <w:rPr>
          <w:snapToGrid w:val="0"/>
          <w:kern w:val="22"/>
          <w:sz w:val="22"/>
          <w:szCs w:val="22"/>
          <w:lang w:val="en-GB"/>
        </w:rPr>
        <w:t xml:space="preserve">of the </w:t>
      </w:r>
      <w:r w:rsidR="001E039F" w:rsidRPr="00051FD1">
        <w:rPr>
          <w:snapToGrid w:val="0"/>
          <w:color w:val="222222"/>
          <w:kern w:val="22"/>
          <w:sz w:val="22"/>
          <w:szCs w:val="22"/>
          <w:shd w:val="clear" w:color="auto" w:fill="FFFFFF"/>
          <w:lang w:val="en-GB"/>
        </w:rPr>
        <w:t>Organisation for Economic Co-operation and Development</w:t>
      </w:r>
      <w:r w:rsidR="001E039F" w:rsidRPr="00051FD1">
        <w:rPr>
          <w:snapToGrid w:val="0"/>
          <w:kern w:val="22"/>
          <w:sz w:val="22"/>
          <w:szCs w:val="22"/>
          <w:lang w:val="en-GB"/>
        </w:rPr>
        <w:t xml:space="preserve"> </w:t>
      </w:r>
      <w:r w:rsidR="001579D1" w:rsidRPr="00051FD1">
        <w:rPr>
          <w:snapToGrid w:val="0"/>
          <w:kern w:val="22"/>
          <w:sz w:val="22"/>
          <w:szCs w:val="22"/>
          <w:lang w:val="en-GB"/>
        </w:rPr>
        <w:t>and other relevant sectoral or thematic reviews</w:t>
      </w:r>
      <w:r w:rsidR="001E039F" w:rsidRPr="00051FD1">
        <w:rPr>
          <w:snapToGrid w:val="0"/>
          <w:kern w:val="22"/>
          <w:sz w:val="22"/>
          <w:szCs w:val="22"/>
          <w:lang w:val="en-GB"/>
        </w:rPr>
        <w:t>;</w:t>
      </w:r>
    </w:p>
    <w:p w:rsidR="001579D1" w:rsidRPr="00051FD1" w:rsidRDefault="00004A24" w:rsidP="00051FD1">
      <w:pPr>
        <w:numPr>
          <w:ilvl w:val="0"/>
          <w:numId w:val="17"/>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Voluntary National R</w:t>
      </w:r>
      <w:r w:rsidR="001579D1" w:rsidRPr="00051FD1">
        <w:rPr>
          <w:snapToGrid w:val="0"/>
          <w:kern w:val="22"/>
          <w:sz w:val="22"/>
          <w:szCs w:val="22"/>
          <w:lang w:val="en-GB"/>
        </w:rPr>
        <w:t xml:space="preserve">eviews </w:t>
      </w:r>
      <w:r w:rsidR="002B714F" w:rsidRPr="00051FD1">
        <w:rPr>
          <w:snapToGrid w:val="0"/>
          <w:kern w:val="22"/>
          <w:sz w:val="22"/>
          <w:szCs w:val="22"/>
          <w:lang w:val="en-GB"/>
        </w:rPr>
        <w:t>of implementation of the 2030 Agenda for Sustainable Development</w:t>
      </w:r>
      <w:r w:rsidRPr="00051FD1">
        <w:rPr>
          <w:snapToGrid w:val="0"/>
          <w:kern w:val="22"/>
          <w:sz w:val="22"/>
          <w:szCs w:val="22"/>
          <w:lang w:val="en-GB"/>
        </w:rPr>
        <w:t xml:space="preserve"> under the </w:t>
      </w:r>
      <w:r w:rsidR="002B714F" w:rsidRPr="00051FD1">
        <w:rPr>
          <w:snapToGrid w:val="0"/>
          <w:kern w:val="22"/>
          <w:sz w:val="22"/>
          <w:szCs w:val="22"/>
          <w:lang w:val="en-GB"/>
        </w:rPr>
        <w:t xml:space="preserve">auspices of the </w:t>
      </w:r>
      <w:r w:rsidRPr="00051FD1">
        <w:rPr>
          <w:snapToGrid w:val="0"/>
          <w:kern w:val="22"/>
          <w:sz w:val="22"/>
          <w:szCs w:val="22"/>
          <w:lang w:val="en-GB"/>
        </w:rPr>
        <w:t>High-level Political Forum;</w:t>
      </w:r>
    </w:p>
    <w:p w:rsidR="00D673F8" w:rsidRPr="00051FD1" w:rsidRDefault="00D673F8" w:rsidP="00051FD1">
      <w:pPr>
        <w:numPr>
          <w:ilvl w:val="0"/>
          <w:numId w:val="17"/>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 xml:space="preserve">National audit processes (see section </w:t>
      </w:r>
      <w:r w:rsidR="00E540CF" w:rsidRPr="00051FD1">
        <w:rPr>
          <w:snapToGrid w:val="0"/>
          <w:kern w:val="22"/>
          <w:sz w:val="22"/>
          <w:szCs w:val="22"/>
          <w:lang w:val="en-GB"/>
        </w:rPr>
        <w:t>III</w:t>
      </w:r>
      <w:r w:rsidRPr="00051FD1">
        <w:rPr>
          <w:snapToGrid w:val="0"/>
          <w:kern w:val="22"/>
          <w:sz w:val="22"/>
          <w:szCs w:val="22"/>
          <w:lang w:val="en-GB"/>
        </w:rPr>
        <w:t>)</w:t>
      </w:r>
      <w:r w:rsidR="00FC2FB0" w:rsidRPr="00051FD1">
        <w:rPr>
          <w:snapToGrid w:val="0"/>
          <w:kern w:val="22"/>
          <w:sz w:val="22"/>
          <w:szCs w:val="22"/>
          <w:lang w:val="en-GB"/>
        </w:rPr>
        <w:t>;</w:t>
      </w:r>
    </w:p>
    <w:p w:rsidR="001579D1" w:rsidRPr="00051FD1" w:rsidRDefault="002B714F" w:rsidP="00051FD1">
      <w:pPr>
        <w:numPr>
          <w:ilvl w:val="0"/>
          <w:numId w:val="17"/>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Reviews of progress in implementation by non-State actors.</w:t>
      </w:r>
    </w:p>
    <w:p w:rsidR="003203BE" w:rsidRPr="00051FD1" w:rsidRDefault="003203BE" w:rsidP="00644480">
      <w:pPr>
        <w:pStyle w:val="Heading1"/>
        <w:numPr>
          <w:ilvl w:val="0"/>
          <w:numId w:val="14"/>
        </w:numPr>
        <w:suppressLineNumbers/>
        <w:suppressAutoHyphens/>
        <w:spacing w:before="120"/>
        <w:ind w:left="0" w:firstLine="0"/>
        <w:rPr>
          <w:snapToGrid w:val="0"/>
          <w:kern w:val="22"/>
          <w:sz w:val="22"/>
          <w:szCs w:val="22"/>
          <w:lang w:val="en-GB"/>
        </w:rPr>
      </w:pPr>
      <w:r w:rsidRPr="00051FD1">
        <w:rPr>
          <w:snapToGrid w:val="0"/>
          <w:kern w:val="22"/>
          <w:sz w:val="22"/>
          <w:szCs w:val="22"/>
          <w:lang w:val="en-GB"/>
        </w:rPr>
        <w:t xml:space="preserve">Progress in </w:t>
      </w:r>
      <w:r w:rsidR="000C237B" w:rsidRPr="00051FD1">
        <w:rPr>
          <w:snapToGrid w:val="0"/>
          <w:kern w:val="22"/>
          <w:sz w:val="22"/>
          <w:szCs w:val="22"/>
          <w:lang w:val="en-GB"/>
        </w:rPr>
        <w:t xml:space="preserve">mechanisms for </w:t>
      </w:r>
      <w:r w:rsidRPr="00051FD1">
        <w:rPr>
          <w:snapToGrid w:val="0"/>
          <w:kern w:val="22"/>
          <w:sz w:val="22"/>
          <w:szCs w:val="22"/>
          <w:lang w:val="en-GB"/>
        </w:rPr>
        <w:t>review of implementation</w:t>
      </w:r>
    </w:p>
    <w:p w:rsidR="003203BE" w:rsidRPr="00051FD1" w:rsidRDefault="00673AF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This section discusses </w:t>
      </w:r>
      <w:r w:rsidR="005F5203" w:rsidRPr="00051FD1">
        <w:rPr>
          <w:kern w:val="22"/>
          <w:sz w:val="22"/>
          <w:szCs w:val="22"/>
          <w:lang w:val="en-GB"/>
        </w:rPr>
        <w:t>how adjustments in the national reporting format and advances in the analysis of national reports</w:t>
      </w:r>
      <w:r w:rsidRPr="00051FD1">
        <w:rPr>
          <w:kern w:val="22"/>
          <w:sz w:val="22"/>
          <w:szCs w:val="22"/>
          <w:lang w:val="en-GB"/>
        </w:rPr>
        <w:t xml:space="preserve"> </w:t>
      </w:r>
      <w:r w:rsidR="005F5203" w:rsidRPr="00051FD1">
        <w:rPr>
          <w:kern w:val="22"/>
          <w:sz w:val="22"/>
          <w:szCs w:val="22"/>
          <w:lang w:val="en-GB"/>
        </w:rPr>
        <w:t xml:space="preserve">and the visualization contributed to strengthening the Convention’s review mechanism. It also reviews progress in implementing the pilot phase of the voluntary peer review and the </w:t>
      </w:r>
      <w:r w:rsidR="005F5203" w:rsidRPr="00051FD1">
        <w:rPr>
          <w:kern w:val="22"/>
          <w:sz w:val="22"/>
          <w:szCs w:val="22"/>
          <w:lang w:val="en-GB"/>
        </w:rPr>
        <w:lastRenderedPageBreak/>
        <w:t xml:space="preserve">use of the decision-tracking tool to facilitate the review of implementation of decisions. </w:t>
      </w:r>
      <w:r w:rsidR="00573E82" w:rsidRPr="00051FD1">
        <w:rPr>
          <w:kern w:val="22"/>
          <w:sz w:val="22"/>
          <w:szCs w:val="22"/>
          <w:lang w:val="en-GB"/>
        </w:rPr>
        <w:t>Beyond these mechanisms under the Convention, a</w:t>
      </w:r>
      <w:r w:rsidR="005F5203" w:rsidRPr="00051FD1">
        <w:rPr>
          <w:kern w:val="22"/>
          <w:sz w:val="22"/>
          <w:szCs w:val="22"/>
          <w:lang w:val="en-GB"/>
        </w:rPr>
        <w:t xml:space="preserve">dditional </w:t>
      </w:r>
      <w:r w:rsidR="00573E82" w:rsidRPr="00051FD1">
        <w:rPr>
          <w:kern w:val="22"/>
          <w:sz w:val="22"/>
          <w:szCs w:val="22"/>
          <w:lang w:val="en-GB"/>
        </w:rPr>
        <w:t xml:space="preserve">approaches </w:t>
      </w:r>
      <w:r w:rsidR="005F5203" w:rsidRPr="00051FD1">
        <w:rPr>
          <w:kern w:val="22"/>
          <w:sz w:val="22"/>
          <w:szCs w:val="22"/>
          <w:lang w:val="en-GB"/>
        </w:rPr>
        <w:t xml:space="preserve">assessing the effectiveness of measures </w:t>
      </w:r>
      <w:r w:rsidR="00590AF9" w:rsidRPr="00051FD1">
        <w:rPr>
          <w:kern w:val="22"/>
          <w:sz w:val="22"/>
          <w:szCs w:val="22"/>
          <w:lang w:val="en-GB"/>
        </w:rPr>
        <w:t xml:space="preserve">are </w:t>
      </w:r>
      <w:r w:rsidR="005F5203" w:rsidRPr="00051FD1">
        <w:rPr>
          <w:kern w:val="22"/>
          <w:sz w:val="22"/>
          <w:szCs w:val="22"/>
          <w:lang w:val="en-GB"/>
        </w:rPr>
        <w:t>taken on the basis of audits.</w:t>
      </w:r>
      <w:r w:rsidR="00573E82" w:rsidRPr="00051FD1">
        <w:rPr>
          <w:kern w:val="22"/>
          <w:sz w:val="22"/>
          <w:szCs w:val="22"/>
          <w:lang w:val="en-GB"/>
        </w:rPr>
        <w:t xml:space="preserve"> Recent advances in this regard are also addressed in this section.</w:t>
      </w:r>
    </w:p>
    <w:p w:rsidR="00F55C07" w:rsidRPr="00051FD1" w:rsidRDefault="0065081C" w:rsidP="0065081C">
      <w:pPr>
        <w:pStyle w:val="Para1"/>
        <w:suppressLineNumbers/>
        <w:suppressAutoHyphens/>
        <w:spacing w:before="120"/>
        <w:rPr>
          <w:i/>
          <w:kern w:val="22"/>
          <w:sz w:val="22"/>
          <w:szCs w:val="22"/>
          <w:lang w:val="en-GB"/>
        </w:rPr>
      </w:pPr>
      <w:r w:rsidRPr="00051FD1">
        <w:rPr>
          <w:i/>
          <w:kern w:val="22"/>
          <w:sz w:val="22"/>
          <w:szCs w:val="22"/>
          <w:lang w:val="en-GB"/>
        </w:rPr>
        <w:t>National reports</w:t>
      </w:r>
    </w:p>
    <w:p w:rsidR="0065081C" w:rsidRPr="00051FD1" w:rsidRDefault="0065081C"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National reports under the Convention represent the primary mechanism to enable the Conference of the Parties and its subsidiary bodies to review progress in implementation. They are based on reviews of legal and institutional frameworks, progress made towards established objectives, and obstacles encountered and enable statements on the extent to which the country’s national biodiversity strategy and action plan has been implemented.</w:t>
      </w:r>
    </w:p>
    <w:p w:rsidR="0065081C" w:rsidRPr="00051FD1" w:rsidRDefault="0065081C"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In decision XIII/27, the Conference of the Parties adopted the guidelines, including the reporting templates, for the sixth national report. The sixth national report is focused on self-assessments of progress – in terms of outcomes – towards national targets and national contributions to the achievement of global biodiversity targets, supported by technical evidence including the use of indicators, a review of the key measures taken in pursuing achievement of national targets and strategies and an assessment of the effectiveness of these measures in achieving the desired outcomes as well as identification of obstacles and needs for support.</w:t>
      </w:r>
    </w:p>
    <w:p w:rsidR="0065081C" w:rsidRPr="00051FD1" w:rsidRDefault="0065081C"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With regard to national reports as a basis for strengthening elements of a review mechanism</w:t>
      </w:r>
      <w:r w:rsidR="00AC2A99">
        <w:rPr>
          <w:kern w:val="22"/>
          <w:sz w:val="22"/>
          <w:szCs w:val="22"/>
          <w:lang w:val="en-GB"/>
        </w:rPr>
        <w:t>,</w:t>
      </w:r>
      <w:r w:rsidRPr="00051FD1">
        <w:rPr>
          <w:kern w:val="22"/>
          <w:sz w:val="22"/>
          <w:szCs w:val="22"/>
          <w:lang w:val="en-GB"/>
        </w:rPr>
        <w:t xml:space="preserve"> the following developments are particularly noteworthy:</w:t>
      </w:r>
    </w:p>
    <w:p w:rsidR="0065081C" w:rsidRPr="00051FD1" w:rsidRDefault="0065081C" w:rsidP="00051FD1">
      <w:pPr>
        <w:numPr>
          <w:ilvl w:val="0"/>
          <w:numId w:val="20"/>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Parties are asked to review the effectiveness of key measures taken in implementing their NBSAPs</w:t>
      </w:r>
      <w:r w:rsidR="00665623" w:rsidRPr="00051FD1">
        <w:rPr>
          <w:snapToGrid w:val="0"/>
          <w:kern w:val="22"/>
          <w:sz w:val="22"/>
          <w:szCs w:val="22"/>
          <w:lang w:val="en-GB"/>
        </w:rPr>
        <w:t xml:space="preserve"> and obstacles encountered</w:t>
      </w:r>
      <w:r w:rsidRPr="00051FD1">
        <w:rPr>
          <w:snapToGrid w:val="0"/>
          <w:kern w:val="22"/>
          <w:sz w:val="22"/>
          <w:szCs w:val="22"/>
          <w:lang w:val="en-GB"/>
        </w:rPr>
        <w:t>;</w:t>
      </w:r>
    </w:p>
    <w:p w:rsidR="0065081C" w:rsidRPr="00051FD1" w:rsidRDefault="0065081C" w:rsidP="00051FD1">
      <w:pPr>
        <w:numPr>
          <w:ilvl w:val="0"/>
          <w:numId w:val="20"/>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Parties are asked to rate the progress made towards the achievement of national targets;</w:t>
      </w:r>
    </w:p>
    <w:p w:rsidR="00626213" w:rsidRPr="00051FD1" w:rsidRDefault="00626213" w:rsidP="00051FD1">
      <w:pPr>
        <w:numPr>
          <w:ilvl w:val="0"/>
          <w:numId w:val="20"/>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Parties are asked to report on the indicators or other approaches used to assess progress;</w:t>
      </w:r>
    </w:p>
    <w:p w:rsidR="0065081C" w:rsidRPr="00051FD1" w:rsidRDefault="0065081C" w:rsidP="00051FD1">
      <w:pPr>
        <w:numPr>
          <w:ilvl w:val="0"/>
          <w:numId w:val="20"/>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 xml:space="preserve">Parties are asked to assess how progress made at </w:t>
      </w:r>
      <w:r w:rsidR="00F56F70">
        <w:rPr>
          <w:snapToGrid w:val="0"/>
          <w:kern w:val="22"/>
          <w:sz w:val="22"/>
          <w:szCs w:val="22"/>
          <w:lang w:val="en-GB"/>
        </w:rPr>
        <w:t xml:space="preserve">the </w:t>
      </w:r>
      <w:r w:rsidRPr="00051FD1">
        <w:rPr>
          <w:snapToGrid w:val="0"/>
          <w:kern w:val="22"/>
          <w:sz w:val="22"/>
          <w:szCs w:val="22"/>
          <w:lang w:val="en-GB"/>
        </w:rPr>
        <w:t xml:space="preserve">national level </w:t>
      </w:r>
      <w:r w:rsidR="00626213" w:rsidRPr="00051FD1">
        <w:rPr>
          <w:snapToGrid w:val="0"/>
          <w:kern w:val="22"/>
          <w:sz w:val="22"/>
          <w:szCs w:val="22"/>
          <w:lang w:val="en-GB"/>
        </w:rPr>
        <w:t>contributes to the achievement of globally agreed targets;</w:t>
      </w:r>
    </w:p>
    <w:p w:rsidR="00626213" w:rsidRPr="00051FD1" w:rsidRDefault="00626213" w:rsidP="00051FD1">
      <w:pPr>
        <w:numPr>
          <w:ilvl w:val="0"/>
          <w:numId w:val="20"/>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The information by Parties is made accessible through colour-coded maps, thereby providing a quick view of what is being reported by each Party and facilitating reactions from experts and civil society;</w:t>
      </w:r>
    </w:p>
    <w:p w:rsidR="00626213" w:rsidRPr="00051FD1" w:rsidRDefault="00626213" w:rsidP="00051FD1">
      <w:pPr>
        <w:numPr>
          <w:ilvl w:val="0"/>
          <w:numId w:val="20"/>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While information submitted formally as the sixth national report will be captured and archived, Parties can subsequently update information previously entered at any point in time, including in response to feedback from review by peers or civil society.</w:t>
      </w:r>
    </w:p>
    <w:p w:rsidR="00F55C07" w:rsidRPr="00051FD1" w:rsidRDefault="00626213"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These developments ensure that assessments are made by Parties rather than through interpretation of narrative text by the Secretariat. However</w:t>
      </w:r>
      <w:r w:rsidR="00642E5B" w:rsidRPr="00051FD1">
        <w:rPr>
          <w:kern w:val="22"/>
          <w:sz w:val="22"/>
          <w:szCs w:val="22"/>
          <w:lang w:val="en-GB"/>
        </w:rPr>
        <w:t xml:space="preserve">, there is no mechanism for peer review </w:t>
      </w:r>
      <w:r w:rsidR="00590AF9" w:rsidRPr="00051FD1">
        <w:rPr>
          <w:kern w:val="22"/>
          <w:sz w:val="22"/>
          <w:szCs w:val="22"/>
          <w:lang w:val="en-GB"/>
        </w:rPr>
        <w:t xml:space="preserve">or </w:t>
      </w:r>
      <w:r w:rsidR="00642E5B" w:rsidRPr="00051FD1">
        <w:rPr>
          <w:kern w:val="22"/>
          <w:sz w:val="22"/>
          <w:szCs w:val="22"/>
          <w:lang w:val="en-GB"/>
        </w:rPr>
        <w:t xml:space="preserve">other form of verification with regard to the assessment of progress being reported. Moreover, Parties have selected different national targets and therefore progress statements cannot be easily aggregated. </w:t>
      </w:r>
      <w:r w:rsidR="00665623" w:rsidRPr="00051FD1">
        <w:rPr>
          <w:kern w:val="22"/>
          <w:sz w:val="22"/>
          <w:szCs w:val="22"/>
          <w:lang w:val="en-GB"/>
        </w:rPr>
        <w:t xml:space="preserve">Also, the information on obstacles would need to be complemented by a more systematic analysis of the specific underlying issues related to resource mobilization, the financial mechanism, and the general and strategic aspects and institutional mechanisms for technical and scientific cooperation, the clearing-house mechanism, capacity-building, technology transfer and communication, education and public awareness. </w:t>
      </w:r>
      <w:r w:rsidR="00642E5B" w:rsidRPr="00051FD1">
        <w:rPr>
          <w:kern w:val="22"/>
          <w:sz w:val="22"/>
          <w:szCs w:val="22"/>
          <w:lang w:val="en-GB"/>
        </w:rPr>
        <w:t>In advancing the Convention’s review mechanism these</w:t>
      </w:r>
      <w:r w:rsidR="00F55C07" w:rsidRPr="00051FD1">
        <w:rPr>
          <w:kern w:val="22"/>
          <w:sz w:val="22"/>
          <w:szCs w:val="22"/>
          <w:lang w:val="en-GB"/>
        </w:rPr>
        <w:t xml:space="preserve"> </w:t>
      </w:r>
      <w:r w:rsidR="00665623" w:rsidRPr="00051FD1">
        <w:rPr>
          <w:kern w:val="22"/>
          <w:sz w:val="22"/>
          <w:szCs w:val="22"/>
          <w:lang w:val="en-GB"/>
        </w:rPr>
        <w:t>gaps or limitations</w:t>
      </w:r>
      <w:r w:rsidR="00642E5B" w:rsidRPr="00051FD1">
        <w:rPr>
          <w:kern w:val="22"/>
          <w:sz w:val="22"/>
          <w:szCs w:val="22"/>
          <w:lang w:val="en-GB"/>
        </w:rPr>
        <w:t xml:space="preserve"> should be addressed.</w:t>
      </w:r>
    </w:p>
    <w:p w:rsidR="00642E5B" w:rsidRPr="00051FD1" w:rsidRDefault="00642E5B" w:rsidP="00051FD1">
      <w:pPr>
        <w:pStyle w:val="Para1"/>
        <w:keepNext/>
        <w:suppressLineNumbers/>
        <w:suppressAutoHyphens/>
        <w:spacing w:before="120"/>
        <w:rPr>
          <w:i/>
          <w:kern w:val="22"/>
          <w:sz w:val="22"/>
          <w:szCs w:val="22"/>
          <w:lang w:val="en-GB"/>
        </w:rPr>
      </w:pPr>
      <w:r w:rsidRPr="00051FD1">
        <w:rPr>
          <w:i/>
          <w:kern w:val="22"/>
          <w:sz w:val="22"/>
          <w:szCs w:val="22"/>
          <w:lang w:val="en-GB"/>
        </w:rPr>
        <w:lastRenderedPageBreak/>
        <w:t>Voluntary peer review</w:t>
      </w:r>
    </w:p>
    <w:p w:rsidR="00642E5B" w:rsidRPr="00051FD1" w:rsidRDefault="00642E5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voluntary peer review process seeks to help Parties improve their individual and collective capacities to more effectively implement the Convention by:</w:t>
      </w:r>
    </w:p>
    <w:p w:rsidR="00642E5B" w:rsidRPr="00051FD1" w:rsidRDefault="00642E5B" w:rsidP="00051FD1">
      <w:pPr>
        <w:numPr>
          <w:ilvl w:val="0"/>
          <w:numId w:val="18"/>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Assessing the development and implementation of national biodiversity strategies and action plans in the context of the Strategic Plan for Biodiversity 2011</w:t>
      </w:r>
      <w:r w:rsidRPr="00051FD1">
        <w:rPr>
          <w:snapToGrid w:val="0"/>
          <w:kern w:val="22"/>
          <w:sz w:val="22"/>
          <w:szCs w:val="22"/>
          <w:lang w:val="en-GB"/>
        </w:rPr>
        <w:noBreakHyphen/>
        <w:t>2020 and produce specific recommendations for the Parties under review;</w:t>
      </w:r>
    </w:p>
    <w:p w:rsidR="00642E5B" w:rsidRPr="00051FD1" w:rsidRDefault="00642E5B" w:rsidP="00051FD1">
      <w:pPr>
        <w:numPr>
          <w:ilvl w:val="0"/>
          <w:numId w:val="18"/>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Providing opportunities for peer learning for Parties directly involved and other Parties;</w:t>
      </w:r>
    </w:p>
    <w:p w:rsidR="00642E5B" w:rsidRPr="00051FD1" w:rsidRDefault="00642E5B" w:rsidP="00051FD1">
      <w:pPr>
        <w:numPr>
          <w:ilvl w:val="0"/>
          <w:numId w:val="18"/>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Enhancing transparency and accountability for the development and implementation of national biodiversity strategies and action plans to the public and other Parties.</w:t>
      </w:r>
    </w:p>
    <w:p w:rsidR="00642E5B" w:rsidRPr="00051FD1" w:rsidRDefault="00642E5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voluntary peer review focuses on the overall biodiversity policy process, in particular as laid down in the NBSAP, and consists of an in-depth analysis of a limited number of key policy areas and issues.</w:t>
      </w:r>
    </w:p>
    <w:p w:rsidR="00642E5B" w:rsidRPr="00051FD1" w:rsidRDefault="00642E5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its </w:t>
      </w:r>
      <w:hyperlink r:id="rId15" w:history="1">
        <w:r w:rsidRPr="00051FD1">
          <w:rPr>
            <w:kern w:val="22"/>
            <w:sz w:val="22"/>
            <w:szCs w:val="22"/>
            <w:lang w:val="en-GB"/>
          </w:rPr>
          <w:t>decision XIII/25</w:t>
        </w:r>
      </w:hyperlink>
      <w:r w:rsidRPr="00051FD1">
        <w:rPr>
          <w:kern w:val="22"/>
          <w:sz w:val="22"/>
          <w:szCs w:val="22"/>
          <w:lang w:val="en-GB"/>
        </w:rPr>
        <w:t xml:space="preserve">, the Conference of the Parties took note of the progress made in the development of a voluntary peer-review mechanism, especially the development of a draft methodology for the review developed in response to paragraph 3 of </w:t>
      </w:r>
      <w:hyperlink r:id="rId16" w:history="1">
        <w:r w:rsidRPr="00051FD1">
          <w:rPr>
            <w:kern w:val="22"/>
            <w:sz w:val="22"/>
            <w:szCs w:val="22"/>
            <w:lang w:val="en-GB"/>
          </w:rPr>
          <w:t>decision XII/29</w:t>
        </w:r>
      </w:hyperlink>
      <w:r w:rsidRPr="00051FD1">
        <w:rPr>
          <w:kern w:val="22"/>
          <w:sz w:val="22"/>
          <w:szCs w:val="22"/>
          <w:lang w:val="en-GB"/>
        </w:rPr>
        <w:t>, and requested the Executive Secretary, subject to the availability of resources, to facilitate the further testing, and development of the methodology</w:t>
      </w:r>
      <w:r w:rsidR="000C342E" w:rsidRPr="00051FD1">
        <w:rPr>
          <w:kern w:val="22"/>
          <w:sz w:val="22"/>
          <w:szCs w:val="22"/>
          <w:lang w:val="en-GB"/>
        </w:rPr>
        <w:t>,</w:t>
      </w:r>
      <w:r w:rsidR="00B76757" w:rsidRPr="00051FD1">
        <w:rPr>
          <w:kern w:val="22"/>
          <w:sz w:val="22"/>
          <w:szCs w:val="22"/>
          <w:vertAlign w:val="superscript"/>
          <w:lang w:val="en-GB"/>
        </w:rPr>
        <w:footnoteReference w:id="5"/>
      </w:r>
      <w:r w:rsidRPr="00051FD1">
        <w:rPr>
          <w:kern w:val="22"/>
          <w:sz w:val="22"/>
          <w:szCs w:val="22"/>
          <w:lang w:val="en-GB"/>
        </w:rPr>
        <w:t xml:space="preserve"> including its application through a pilot phase, and to report on progress, including information on the cost of the pilot phase, to the Subsidiary Body on Implementation at its second meeting.</w:t>
      </w:r>
    </w:p>
    <w:p w:rsidR="00642E5B" w:rsidRPr="00051FD1" w:rsidRDefault="00642E5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In response to the two notifications, six Parties expressed interest in being reviewed</w:t>
      </w:r>
      <w:r w:rsidR="00D0315E" w:rsidRPr="00051FD1">
        <w:rPr>
          <w:kern w:val="22"/>
          <w:sz w:val="22"/>
          <w:szCs w:val="22"/>
          <w:lang w:val="en-GB"/>
        </w:rPr>
        <w:t>,</w:t>
      </w:r>
      <w:r w:rsidRPr="00051FD1">
        <w:rPr>
          <w:kern w:val="22"/>
          <w:sz w:val="22"/>
          <w:szCs w:val="22"/>
          <w:vertAlign w:val="superscript"/>
          <w:lang w:val="en-GB"/>
        </w:rPr>
        <w:footnoteReference w:id="6"/>
      </w:r>
      <w:r w:rsidRPr="00051FD1">
        <w:rPr>
          <w:kern w:val="22"/>
          <w:sz w:val="22"/>
          <w:szCs w:val="22"/>
          <w:lang w:val="en-GB"/>
        </w:rPr>
        <w:t xml:space="preserve"> eleven Parties nominated reviewers</w:t>
      </w:r>
      <w:r w:rsidR="000C342E" w:rsidRPr="00051FD1">
        <w:rPr>
          <w:kern w:val="22"/>
          <w:sz w:val="22"/>
          <w:szCs w:val="22"/>
          <w:lang w:val="en-GB"/>
        </w:rPr>
        <w:t>,</w:t>
      </w:r>
      <w:r w:rsidRPr="00051FD1">
        <w:rPr>
          <w:kern w:val="22"/>
          <w:sz w:val="22"/>
          <w:szCs w:val="22"/>
          <w:vertAlign w:val="superscript"/>
          <w:lang w:val="en-GB"/>
        </w:rPr>
        <w:footnoteReference w:id="7"/>
      </w:r>
      <w:r w:rsidRPr="00051FD1">
        <w:rPr>
          <w:kern w:val="22"/>
          <w:sz w:val="22"/>
          <w:szCs w:val="22"/>
          <w:lang w:val="en-GB"/>
        </w:rPr>
        <w:t xml:space="preserve"> and no Party expressed willingness to provide additional resources for the pilot phase. The pilot phase is being funded with resources provided initially by Switzerland and Norway for the testing phase, Japan (through the Japan Biodiversity Fund), and the Secretariat in the form of staff time allotted for this purpose.</w:t>
      </w:r>
    </w:p>
    <w:p w:rsidR="00642E5B" w:rsidRPr="00051FD1" w:rsidRDefault="00642E5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Following exchanges with potential reviewers and reviewees, Montenegro and Sri Lanka were selected as the first two countries to be reviewed during the pilot phase. This selection was guided by the following criteria, as well as practical implications, language and geographical range:</w:t>
      </w:r>
    </w:p>
    <w:p w:rsidR="00642E5B" w:rsidRPr="00051FD1" w:rsidRDefault="00642E5B" w:rsidP="00051FD1">
      <w:pPr>
        <w:numPr>
          <w:ilvl w:val="0"/>
          <w:numId w:val="16"/>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Evidence of high-level government support for the voluntary peer-review process;</w:t>
      </w:r>
    </w:p>
    <w:p w:rsidR="00642E5B" w:rsidRPr="00051FD1" w:rsidRDefault="00642E5B" w:rsidP="00051FD1">
      <w:pPr>
        <w:numPr>
          <w:ilvl w:val="0"/>
          <w:numId w:val="16"/>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Latest national report submitted;</w:t>
      </w:r>
    </w:p>
    <w:p w:rsidR="00642E5B" w:rsidRPr="00051FD1" w:rsidRDefault="00642E5B" w:rsidP="00051FD1">
      <w:pPr>
        <w:numPr>
          <w:ilvl w:val="0"/>
          <w:numId w:val="16"/>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Latest NBSAP adopted as a policy document; or advanced draft of an NBSAP, or policy equivalents, under revision;</w:t>
      </w:r>
    </w:p>
    <w:p w:rsidR="00642E5B" w:rsidRPr="00051FD1" w:rsidRDefault="00642E5B" w:rsidP="00051FD1">
      <w:pPr>
        <w:numPr>
          <w:ilvl w:val="0"/>
          <w:numId w:val="16"/>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Willingness to contribute to in-country costs of the review.</w:t>
      </w:r>
    </w:p>
    <w:p w:rsidR="00B76757" w:rsidRPr="00051FD1" w:rsidRDefault="00B76757"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lastRenderedPageBreak/>
        <w:t xml:space="preserve">Following the assembly of the peer review team and desk study, a country visit to Montenegro was carried out in November 2017. A draft report, prepared by the review team, was sent for </w:t>
      </w:r>
      <w:r w:rsidR="00590AF9" w:rsidRPr="00051FD1">
        <w:rPr>
          <w:kern w:val="22"/>
          <w:sz w:val="22"/>
          <w:szCs w:val="22"/>
          <w:lang w:val="en-GB"/>
        </w:rPr>
        <w:t>fact-checking</w:t>
      </w:r>
      <w:r w:rsidRPr="00051FD1">
        <w:rPr>
          <w:kern w:val="22"/>
          <w:sz w:val="22"/>
          <w:szCs w:val="22"/>
          <w:lang w:val="en-GB"/>
        </w:rPr>
        <w:t xml:space="preserve"> and a corrected version for commentary by the Party under review.</w:t>
      </w:r>
    </w:p>
    <w:p w:rsidR="00B76757" w:rsidRPr="00051FD1" w:rsidRDefault="00B76757"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Both the review team and representatives from the Party under review expressed satisfaction with the process and its outcomes and considered the approach and methodology of the voluntary peer review as effective. Further details of the voluntary peer review of implementation of the Convention </w:t>
      </w:r>
      <w:r w:rsidR="00D97732" w:rsidRPr="00051FD1">
        <w:rPr>
          <w:kern w:val="22"/>
          <w:sz w:val="22"/>
          <w:szCs w:val="22"/>
          <w:lang w:val="en-GB"/>
        </w:rPr>
        <w:t xml:space="preserve">by Montenegro </w:t>
      </w:r>
      <w:r w:rsidR="00337BC7" w:rsidRPr="00051FD1">
        <w:rPr>
          <w:kern w:val="22"/>
          <w:sz w:val="22"/>
          <w:szCs w:val="22"/>
          <w:lang w:val="en-GB"/>
        </w:rPr>
        <w:t>are</w:t>
      </w:r>
      <w:r w:rsidRPr="00051FD1">
        <w:rPr>
          <w:kern w:val="22"/>
          <w:sz w:val="22"/>
          <w:szCs w:val="22"/>
          <w:lang w:val="en-GB"/>
        </w:rPr>
        <w:t xml:space="preserve"> contained in an information note.</w:t>
      </w:r>
      <w:r w:rsidRPr="00051FD1">
        <w:rPr>
          <w:kern w:val="22"/>
          <w:sz w:val="22"/>
          <w:szCs w:val="22"/>
          <w:vertAlign w:val="superscript"/>
          <w:lang w:val="en-GB"/>
        </w:rPr>
        <w:footnoteReference w:id="8"/>
      </w:r>
      <w:r w:rsidRPr="00051FD1">
        <w:rPr>
          <w:kern w:val="22"/>
          <w:sz w:val="22"/>
          <w:szCs w:val="22"/>
          <w:vertAlign w:val="superscript"/>
          <w:lang w:val="en-GB"/>
        </w:rPr>
        <w:t xml:space="preserve"> </w:t>
      </w:r>
      <w:r w:rsidRPr="00051FD1">
        <w:rPr>
          <w:kern w:val="22"/>
          <w:sz w:val="22"/>
          <w:szCs w:val="22"/>
          <w:lang w:val="en-GB"/>
        </w:rPr>
        <w:t>The voluntary peer review for Sri Lanka has been initiated.</w:t>
      </w:r>
    </w:p>
    <w:p w:rsidR="00642E5B" w:rsidRPr="00051FD1" w:rsidRDefault="00642E5B"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direct cost of th</w:t>
      </w:r>
      <w:r w:rsidR="00337BC7" w:rsidRPr="00051FD1">
        <w:rPr>
          <w:kern w:val="22"/>
          <w:sz w:val="22"/>
          <w:szCs w:val="22"/>
          <w:lang w:val="en-GB"/>
        </w:rPr>
        <w:t>e</w:t>
      </w:r>
      <w:r w:rsidRPr="00051FD1">
        <w:rPr>
          <w:kern w:val="22"/>
          <w:sz w:val="22"/>
          <w:szCs w:val="22"/>
          <w:lang w:val="en-GB"/>
        </w:rPr>
        <w:t xml:space="preserve"> peer review </w:t>
      </w:r>
      <w:r w:rsidR="00337BC7" w:rsidRPr="00051FD1">
        <w:rPr>
          <w:kern w:val="22"/>
          <w:sz w:val="22"/>
          <w:szCs w:val="22"/>
          <w:lang w:val="en-GB"/>
        </w:rPr>
        <w:t>of implementation of the</w:t>
      </w:r>
      <w:r w:rsidRPr="00051FD1">
        <w:rPr>
          <w:kern w:val="22"/>
          <w:sz w:val="22"/>
          <w:szCs w:val="22"/>
          <w:lang w:val="en-GB"/>
        </w:rPr>
        <w:t xml:space="preserve"> Convention </w:t>
      </w:r>
      <w:r w:rsidR="00D97732" w:rsidRPr="00051FD1">
        <w:rPr>
          <w:kern w:val="22"/>
          <w:sz w:val="22"/>
          <w:szCs w:val="22"/>
          <w:lang w:val="en-GB"/>
        </w:rPr>
        <w:t xml:space="preserve">by Montenegro </w:t>
      </w:r>
      <w:r w:rsidRPr="00051FD1">
        <w:rPr>
          <w:kern w:val="22"/>
          <w:sz w:val="22"/>
          <w:szCs w:val="22"/>
          <w:lang w:val="en-GB"/>
        </w:rPr>
        <w:t>amounted to approximately US</w:t>
      </w:r>
      <w:r w:rsidR="00740C96">
        <w:rPr>
          <w:kern w:val="22"/>
          <w:sz w:val="22"/>
          <w:szCs w:val="22"/>
          <w:lang w:val="en-GB"/>
        </w:rPr>
        <w:t>$ </w:t>
      </w:r>
      <w:r w:rsidRPr="00051FD1">
        <w:rPr>
          <w:kern w:val="22"/>
          <w:sz w:val="22"/>
          <w:szCs w:val="22"/>
          <w:lang w:val="en-GB"/>
        </w:rPr>
        <w:t>24,000.</w:t>
      </w:r>
      <w:r w:rsidRPr="00051FD1">
        <w:rPr>
          <w:kern w:val="22"/>
          <w:sz w:val="22"/>
          <w:szCs w:val="22"/>
          <w:vertAlign w:val="superscript"/>
          <w:lang w:val="en-GB"/>
        </w:rPr>
        <w:footnoteReference w:id="9"/>
      </w:r>
      <w:r w:rsidRPr="00051FD1">
        <w:rPr>
          <w:kern w:val="22"/>
          <w:sz w:val="22"/>
          <w:szCs w:val="22"/>
          <w:lang w:val="en-GB"/>
        </w:rPr>
        <w:t xml:space="preserve"> This figure includes the costs for travel and daily subsistence allowance for SCBD staff and reviewers from developing countries. It does not include the participation of reviewers from developed countries or the cost borne by the host in initiating and participating in the peer review and supporting the review team during the in-country visit. Neither does it include Secretariat staff time for the peer review, which has largely been borne by the Japan Biodiversity Fund. The Montenegro review required approximately one month of time from one professional staff and one programme assistant. The staff time of the reviewers has been contributed by their respective institutions.</w:t>
      </w:r>
    </w:p>
    <w:p w:rsidR="00337BC7" w:rsidRPr="00051FD1" w:rsidRDefault="00337BC7"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conclusion, the voluntary peer review is the only established mechanism through which the implementation of an individual Party is being reviewed. It focuses on peer-to-peer exchanges and </w:t>
      </w:r>
      <w:r w:rsidR="00AC5513" w:rsidRPr="00051FD1">
        <w:rPr>
          <w:kern w:val="22"/>
          <w:sz w:val="22"/>
          <w:szCs w:val="22"/>
          <w:lang w:val="en-GB"/>
        </w:rPr>
        <w:t xml:space="preserve">mutual </w:t>
      </w:r>
      <w:r w:rsidRPr="00051FD1">
        <w:rPr>
          <w:kern w:val="22"/>
          <w:sz w:val="22"/>
          <w:szCs w:val="22"/>
          <w:lang w:val="en-GB"/>
        </w:rPr>
        <w:t xml:space="preserve">learning. Recommendations emanating from the voluntary peer review as a formalized process carry a certain weight which can provide the necessary support </w:t>
      </w:r>
      <w:r w:rsidR="00F1701C" w:rsidRPr="00051FD1">
        <w:rPr>
          <w:kern w:val="22"/>
          <w:sz w:val="22"/>
          <w:szCs w:val="22"/>
          <w:lang w:val="en-GB"/>
        </w:rPr>
        <w:t>for</w:t>
      </w:r>
      <w:r w:rsidRPr="00051FD1">
        <w:rPr>
          <w:kern w:val="22"/>
          <w:sz w:val="22"/>
          <w:szCs w:val="22"/>
          <w:lang w:val="en-GB"/>
        </w:rPr>
        <w:t xml:space="preserve"> the institutions responsible for national implementation to </w:t>
      </w:r>
      <w:r w:rsidR="00F1701C" w:rsidRPr="00051FD1">
        <w:rPr>
          <w:kern w:val="22"/>
          <w:sz w:val="22"/>
          <w:szCs w:val="22"/>
          <w:lang w:val="en-GB"/>
        </w:rPr>
        <w:t>see them addressed. It would therefore be desirable to pursue and complete the pilot phase of the voluntary peer review and to fully establish this process as part of a review mechanism under the Convention.</w:t>
      </w:r>
    </w:p>
    <w:p w:rsidR="00680BCD" w:rsidRPr="00051FD1" w:rsidRDefault="00680BCD" w:rsidP="00680BCD">
      <w:pPr>
        <w:pStyle w:val="Para1"/>
        <w:suppressLineNumbers/>
        <w:suppressAutoHyphens/>
        <w:spacing w:before="120"/>
        <w:rPr>
          <w:i/>
          <w:kern w:val="22"/>
          <w:sz w:val="22"/>
          <w:szCs w:val="22"/>
          <w:lang w:val="en-GB"/>
        </w:rPr>
      </w:pPr>
      <w:r w:rsidRPr="00051FD1">
        <w:rPr>
          <w:i/>
          <w:kern w:val="22"/>
          <w:sz w:val="22"/>
          <w:szCs w:val="22"/>
          <w:lang w:val="en-GB"/>
        </w:rPr>
        <w:t>Decision tracking tool</w:t>
      </w:r>
    </w:p>
    <w:p w:rsidR="00680BCD" w:rsidRPr="00051FD1" w:rsidRDefault="00680BCD"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In decision XIII/25, paragraph 5, the Conference of the Parties requested the Executive Secretary to further develop the decision-tracking tool, and to continue reviewing the decisions of the Conference of the Parties taken from the first to the seventh meetings, in addition to those of the tenth and eleventh meetings. Accordingly, the Secretariat developed a preview version of the decision-tracking tool, accessible at </w:t>
      </w:r>
      <w:hyperlink r:id="rId17" w:history="1">
        <w:r w:rsidRPr="00051FD1">
          <w:rPr>
            <w:kern w:val="22"/>
            <w:sz w:val="22"/>
            <w:szCs w:val="22"/>
            <w:lang w:val="en-GB"/>
          </w:rPr>
          <w:t>https://www.cbd.int/decisions/tracking/</w:t>
        </w:r>
      </w:hyperlink>
      <w:r w:rsidRPr="00051FD1">
        <w:rPr>
          <w:kern w:val="22"/>
          <w:sz w:val="22"/>
          <w:szCs w:val="22"/>
          <w:lang w:val="en-GB"/>
        </w:rPr>
        <w:t>.</w:t>
      </w:r>
      <w:r w:rsidRPr="00051FD1">
        <w:rPr>
          <w:kern w:val="22"/>
          <w:sz w:val="22"/>
          <w:szCs w:val="22"/>
          <w:vertAlign w:val="superscript"/>
          <w:lang w:val="en-GB"/>
        </w:rPr>
        <w:footnoteReference w:id="10"/>
      </w:r>
      <w:r w:rsidRPr="00051FD1">
        <w:rPr>
          <w:kern w:val="22"/>
          <w:sz w:val="22"/>
          <w:szCs w:val="22"/>
          <w:lang w:val="en-GB"/>
        </w:rPr>
        <w:t xml:space="preserve"> It includes review information on all decisions up to and including the twelfth meeting of the Conference of the Parties. For the decisions of the thirteenth meeting the texts have been uploaded in order to allow adding information or links to any relevant information that might be available in due course.</w:t>
      </w:r>
    </w:p>
    <w:p w:rsidR="00680BCD" w:rsidRPr="00051FD1" w:rsidRDefault="00680BCD" w:rsidP="00051FD1">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review of the decisions was conducted according to the criteria set out in the annex to decision XII/28, as well as taking into account the experiences gained from the implementation of the pilot phase. It is recalled that the decisions of the Conference of the Parties from the first to the seventh meetings, were already reviewed in the past by the Secretariat in order to facilitate the retirement of decisions following the commencement of retiring decisions in 2002</w:t>
      </w:r>
      <w:r w:rsidR="00D0315E" w:rsidRPr="00051FD1">
        <w:rPr>
          <w:kern w:val="22"/>
          <w:sz w:val="22"/>
          <w:szCs w:val="22"/>
          <w:lang w:val="en-GB"/>
        </w:rPr>
        <w:t>.</w:t>
      </w:r>
      <w:r w:rsidRPr="00051FD1">
        <w:rPr>
          <w:kern w:val="22"/>
          <w:sz w:val="22"/>
          <w:szCs w:val="22"/>
          <w:vertAlign w:val="superscript"/>
          <w:lang w:val="en-GB"/>
        </w:rPr>
        <w:footnoteReference w:id="11"/>
      </w:r>
      <w:r w:rsidRPr="00051FD1">
        <w:rPr>
          <w:kern w:val="22"/>
          <w:sz w:val="22"/>
          <w:szCs w:val="22"/>
          <w:lang w:val="en-GB"/>
        </w:rPr>
        <w:t xml:space="preserve"> As the retirement of decisions was discontinued (decision XII/28), those retired decisions have consequently been tagged on the tool with the same status (retired, elapsed, superseded, implemented, active) as indicated in the review documents </w:t>
      </w:r>
      <w:r w:rsidRPr="00051FD1">
        <w:rPr>
          <w:kern w:val="22"/>
          <w:sz w:val="22"/>
          <w:szCs w:val="22"/>
          <w:lang w:val="en-GB"/>
        </w:rPr>
        <w:lastRenderedPageBreak/>
        <w:t>prepared and submitted by the Secretariat at the time. Therefore, there will be no viewable “retired” tag in the tool and</w:t>
      </w:r>
      <w:r w:rsidR="00364F61">
        <w:rPr>
          <w:kern w:val="22"/>
          <w:sz w:val="22"/>
          <w:szCs w:val="22"/>
          <w:lang w:val="en-GB"/>
        </w:rPr>
        <w:t>,</w:t>
      </w:r>
      <w:r w:rsidRPr="00051FD1">
        <w:rPr>
          <w:kern w:val="22"/>
          <w:sz w:val="22"/>
          <w:szCs w:val="22"/>
          <w:lang w:val="en-GB"/>
        </w:rPr>
        <w:t xml:space="preserve"> instead, a note indicating the historical fact that the decision had been retired previously has been added.</w:t>
      </w:r>
    </w:p>
    <w:p w:rsidR="00680BCD" w:rsidRPr="00051FD1" w:rsidRDefault="00680BCD"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Additional functionalities and tags were added to the tool covering appropriate subject matters under the Convention as well as the Aichi Biodiversity Targets, with a view to provide additional filters for the search function.</w:t>
      </w:r>
      <w:r w:rsidRPr="00051FD1">
        <w:rPr>
          <w:kern w:val="22"/>
          <w:sz w:val="22"/>
          <w:szCs w:val="22"/>
          <w:vertAlign w:val="superscript"/>
          <w:lang w:val="en-GB"/>
        </w:rPr>
        <w:footnoteReference w:id="12"/>
      </w:r>
    </w:p>
    <w:p w:rsidR="00680BCD" w:rsidRPr="00051FD1" w:rsidRDefault="00680BCD"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maintenance of the decision-tracking tool is an ongoing task, as the status and other elements of a particular decision can change over time.</w:t>
      </w:r>
      <w:r w:rsidRPr="00051FD1">
        <w:rPr>
          <w:kern w:val="22"/>
          <w:sz w:val="22"/>
          <w:szCs w:val="22"/>
          <w:vertAlign w:val="superscript"/>
          <w:lang w:val="en-GB"/>
        </w:rPr>
        <w:footnoteReference w:id="13"/>
      </w:r>
      <w:r w:rsidRPr="00051FD1">
        <w:rPr>
          <w:kern w:val="22"/>
          <w:sz w:val="22"/>
          <w:szCs w:val="22"/>
          <w:lang w:val="en-GB"/>
        </w:rPr>
        <w:t xml:space="preserve"> In addition, it is envisaged that all future notifications and relevant documentation will be incorporated onto the decision-tracking tool in relation to the appropriate decision or element of a decision as soon as such notifications are issued or documents are made available.</w:t>
      </w:r>
    </w:p>
    <w:p w:rsidR="00D666B6" w:rsidRPr="00051FD1" w:rsidRDefault="00E9264A"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Once the development of the decision-tracking tool is complete with search and filter functions enabled it will p</w:t>
      </w:r>
      <w:r w:rsidR="00D666B6" w:rsidRPr="00051FD1">
        <w:rPr>
          <w:kern w:val="22"/>
          <w:sz w:val="22"/>
          <w:szCs w:val="22"/>
          <w:lang w:val="en-GB"/>
        </w:rPr>
        <w:t xml:space="preserve">rovide </w:t>
      </w:r>
      <w:r w:rsidRPr="00051FD1">
        <w:rPr>
          <w:kern w:val="22"/>
          <w:sz w:val="22"/>
          <w:szCs w:val="22"/>
          <w:lang w:val="en-GB"/>
        </w:rPr>
        <w:t xml:space="preserve">a complete </w:t>
      </w:r>
      <w:r w:rsidR="00D666B6" w:rsidRPr="00051FD1">
        <w:rPr>
          <w:kern w:val="22"/>
          <w:sz w:val="22"/>
          <w:szCs w:val="22"/>
          <w:lang w:val="en-GB"/>
        </w:rPr>
        <w:t xml:space="preserve">picture of </w:t>
      </w:r>
      <w:r w:rsidRPr="00051FD1">
        <w:rPr>
          <w:kern w:val="22"/>
          <w:sz w:val="22"/>
          <w:szCs w:val="22"/>
          <w:lang w:val="en-GB"/>
        </w:rPr>
        <w:t xml:space="preserve">the </w:t>
      </w:r>
      <w:r w:rsidR="00D666B6" w:rsidRPr="00051FD1">
        <w:rPr>
          <w:kern w:val="22"/>
          <w:sz w:val="22"/>
          <w:szCs w:val="22"/>
          <w:lang w:val="en-GB"/>
        </w:rPr>
        <w:t xml:space="preserve">status of implementation </w:t>
      </w:r>
      <w:r w:rsidRPr="00051FD1">
        <w:rPr>
          <w:kern w:val="22"/>
          <w:sz w:val="22"/>
          <w:szCs w:val="22"/>
          <w:lang w:val="en-GB"/>
        </w:rPr>
        <w:t xml:space="preserve">of decisions taken </w:t>
      </w:r>
      <w:r w:rsidR="00D666B6" w:rsidRPr="00051FD1">
        <w:rPr>
          <w:kern w:val="22"/>
          <w:sz w:val="22"/>
          <w:szCs w:val="22"/>
          <w:lang w:val="en-GB"/>
        </w:rPr>
        <w:t>globally</w:t>
      </w:r>
      <w:r w:rsidRPr="00051FD1">
        <w:rPr>
          <w:kern w:val="22"/>
          <w:sz w:val="22"/>
          <w:szCs w:val="22"/>
          <w:lang w:val="en-GB"/>
        </w:rPr>
        <w:t xml:space="preserve"> </w:t>
      </w:r>
      <w:r w:rsidR="00D666B6" w:rsidRPr="00051FD1">
        <w:rPr>
          <w:kern w:val="22"/>
          <w:sz w:val="22"/>
          <w:szCs w:val="22"/>
          <w:lang w:val="en-GB"/>
        </w:rPr>
        <w:t xml:space="preserve">and </w:t>
      </w:r>
      <w:r w:rsidRPr="00051FD1">
        <w:rPr>
          <w:kern w:val="22"/>
          <w:sz w:val="22"/>
          <w:szCs w:val="22"/>
          <w:lang w:val="en-GB"/>
        </w:rPr>
        <w:t xml:space="preserve">enable </w:t>
      </w:r>
      <w:r w:rsidR="00D666B6" w:rsidRPr="00051FD1">
        <w:rPr>
          <w:kern w:val="22"/>
          <w:sz w:val="22"/>
          <w:szCs w:val="22"/>
          <w:lang w:val="en-GB"/>
        </w:rPr>
        <w:t>Part</w:t>
      </w:r>
      <w:r w:rsidRPr="00051FD1">
        <w:rPr>
          <w:kern w:val="22"/>
          <w:sz w:val="22"/>
          <w:szCs w:val="22"/>
          <w:lang w:val="en-GB"/>
        </w:rPr>
        <w:t>ies</w:t>
      </w:r>
      <w:r w:rsidR="00D666B6" w:rsidRPr="00051FD1">
        <w:rPr>
          <w:kern w:val="22"/>
          <w:sz w:val="22"/>
          <w:szCs w:val="22"/>
          <w:lang w:val="en-GB"/>
        </w:rPr>
        <w:t xml:space="preserve"> </w:t>
      </w:r>
      <w:r w:rsidRPr="00051FD1">
        <w:rPr>
          <w:kern w:val="22"/>
          <w:sz w:val="22"/>
          <w:szCs w:val="22"/>
          <w:lang w:val="en-GB"/>
        </w:rPr>
        <w:t xml:space="preserve">use it </w:t>
      </w:r>
      <w:r w:rsidR="00D666B6" w:rsidRPr="00051FD1">
        <w:rPr>
          <w:kern w:val="22"/>
          <w:sz w:val="22"/>
          <w:szCs w:val="22"/>
          <w:lang w:val="en-GB"/>
        </w:rPr>
        <w:t xml:space="preserve">as </w:t>
      </w:r>
      <w:r w:rsidRPr="00051FD1">
        <w:rPr>
          <w:kern w:val="22"/>
          <w:sz w:val="22"/>
          <w:szCs w:val="22"/>
          <w:lang w:val="en-GB"/>
        </w:rPr>
        <w:t xml:space="preserve">a </w:t>
      </w:r>
      <w:r w:rsidR="00D666B6" w:rsidRPr="00051FD1">
        <w:rPr>
          <w:kern w:val="22"/>
          <w:sz w:val="22"/>
          <w:szCs w:val="22"/>
          <w:lang w:val="en-GB"/>
        </w:rPr>
        <w:t xml:space="preserve">checklist of </w:t>
      </w:r>
      <w:r w:rsidR="00764022" w:rsidRPr="00051FD1">
        <w:rPr>
          <w:kern w:val="22"/>
          <w:sz w:val="22"/>
          <w:szCs w:val="22"/>
          <w:lang w:val="en-GB"/>
        </w:rPr>
        <w:t xml:space="preserve">the </w:t>
      </w:r>
      <w:r w:rsidR="00D666B6" w:rsidRPr="00051FD1">
        <w:rPr>
          <w:kern w:val="22"/>
          <w:sz w:val="22"/>
          <w:szCs w:val="22"/>
          <w:lang w:val="en-GB"/>
        </w:rPr>
        <w:t>status of decisions that require certain action</w:t>
      </w:r>
      <w:r w:rsidR="00764022" w:rsidRPr="00051FD1">
        <w:rPr>
          <w:kern w:val="22"/>
          <w:sz w:val="22"/>
          <w:szCs w:val="22"/>
          <w:lang w:val="en-GB"/>
        </w:rPr>
        <w:t>s</w:t>
      </w:r>
      <w:r w:rsidR="00D666B6" w:rsidRPr="00051FD1">
        <w:rPr>
          <w:kern w:val="22"/>
          <w:sz w:val="22"/>
          <w:szCs w:val="22"/>
          <w:lang w:val="en-GB"/>
        </w:rPr>
        <w:t xml:space="preserve"> on their part</w:t>
      </w:r>
      <w:r w:rsidR="00764022" w:rsidRPr="00051FD1">
        <w:rPr>
          <w:kern w:val="22"/>
          <w:sz w:val="22"/>
          <w:szCs w:val="22"/>
          <w:lang w:val="en-GB"/>
        </w:rPr>
        <w:t>.</w:t>
      </w:r>
      <w:r w:rsidR="00D666B6" w:rsidRPr="00051FD1">
        <w:rPr>
          <w:kern w:val="22"/>
          <w:sz w:val="22"/>
          <w:szCs w:val="22"/>
          <w:lang w:val="en-GB"/>
        </w:rPr>
        <w:t xml:space="preserve"> </w:t>
      </w:r>
      <w:r w:rsidR="00764022" w:rsidRPr="00051FD1">
        <w:rPr>
          <w:kern w:val="22"/>
          <w:sz w:val="22"/>
          <w:szCs w:val="22"/>
          <w:lang w:val="en-GB"/>
        </w:rPr>
        <w:t xml:space="preserve">This will facilitate information on </w:t>
      </w:r>
      <w:r w:rsidRPr="00051FD1">
        <w:rPr>
          <w:kern w:val="22"/>
          <w:sz w:val="22"/>
          <w:szCs w:val="22"/>
          <w:lang w:val="en-GB"/>
        </w:rPr>
        <w:t xml:space="preserve">which </w:t>
      </w:r>
      <w:r w:rsidR="00764022" w:rsidRPr="00051FD1">
        <w:rPr>
          <w:kern w:val="22"/>
          <w:sz w:val="22"/>
          <w:szCs w:val="22"/>
          <w:lang w:val="en-GB"/>
        </w:rPr>
        <w:t>decisions have been</w:t>
      </w:r>
      <w:r w:rsidRPr="00051FD1">
        <w:rPr>
          <w:kern w:val="22"/>
          <w:sz w:val="22"/>
          <w:szCs w:val="22"/>
          <w:lang w:val="en-GB"/>
        </w:rPr>
        <w:t xml:space="preserve"> addressed and which ones </w:t>
      </w:r>
      <w:r w:rsidR="00764022" w:rsidRPr="00051FD1">
        <w:rPr>
          <w:kern w:val="22"/>
          <w:sz w:val="22"/>
          <w:szCs w:val="22"/>
          <w:lang w:val="en-GB"/>
        </w:rPr>
        <w:t>are pending.</w:t>
      </w:r>
    </w:p>
    <w:p w:rsidR="00196773" w:rsidRPr="00051FD1" w:rsidRDefault="00F95FA7" w:rsidP="00196773">
      <w:pPr>
        <w:pStyle w:val="Para1"/>
        <w:suppressLineNumbers/>
        <w:suppressAutoHyphens/>
        <w:spacing w:before="120"/>
        <w:rPr>
          <w:rFonts w:eastAsia="Malgun Gothic"/>
          <w:i/>
          <w:kern w:val="22"/>
          <w:sz w:val="22"/>
          <w:szCs w:val="22"/>
          <w:lang w:val="en-GB"/>
        </w:rPr>
      </w:pPr>
      <w:r w:rsidRPr="00051FD1">
        <w:rPr>
          <w:rFonts w:eastAsia="Malgun Gothic"/>
          <w:i/>
          <w:kern w:val="22"/>
          <w:sz w:val="22"/>
          <w:szCs w:val="22"/>
          <w:lang w:val="en-GB"/>
        </w:rPr>
        <w:t xml:space="preserve">National </w:t>
      </w:r>
      <w:r w:rsidR="00804B1C" w:rsidRPr="00051FD1">
        <w:rPr>
          <w:rFonts w:eastAsia="Malgun Gothic"/>
          <w:i/>
          <w:kern w:val="22"/>
          <w:sz w:val="22"/>
          <w:szCs w:val="22"/>
          <w:lang w:val="en-GB"/>
        </w:rPr>
        <w:t>p</w:t>
      </w:r>
      <w:r w:rsidRPr="00051FD1">
        <w:rPr>
          <w:rFonts w:eastAsia="Malgun Gothic"/>
          <w:i/>
          <w:kern w:val="22"/>
          <w:sz w:val="22"/>
          <w:szCs w:val="22"/>
          <w:lang w:val="en-GB"/>
        </w:rPr>
        <w:t>rocesses</w:t>
      </w:r>
      <w:r w:rsidR="00804B1C" w:rsidRPr="00051FD1">
        <w:rPr>
          <w:rFonts w:eastAsia="Malgun Gothic"/>
          <w:i/>
          <w:kern w:val="22"/>
          <w:sz w:val="22"/>
          <w:szCs w:val="22"/>
          <w:lang w:val="en-GB"/>
        </w:rPr>
        <w:t>:</w:t>
      </w:r>
      <w:r w:rsidRPr="00051FD1">
        <w:rPr>
          <w:rFonts w:eastAsia="Malgun Gothic"/>
          <w:i/>
          <w:kern w:val="22"/>
          <w:sz w:val="22"/>
          <w:szCs w:val="22"/>
          <w:lang w:val="en-GB"/>
        </w:rPr>
        <w:t xml:space="preserve"> </w:t>
      </w:r>
      <w:r w:rsidR="00AC5513" w:rsidRPr="00051FD1">
        <w:rPr>
          <w:rFonts w:eastAsia="Malgun Gothic"/>
          <w:i/>
          <w:kern w:val="22"/>
          <w:sz w:val="22"/>
          <w:szCs w:val="22"/>
          <w:lang w:val="en-GB"/>
        </w:rPr>
        <w:t>P</w:t>
      </w:r>
      <w:r w:rsidR="00196773" w:rsidRPr="00051FD1">
        <w:rPr>
          <w:rFonts w:eastAsia="Malgun Gothic"/>
          <w:i/>
          <w:kern w:val="22"/>
          <w:sz w:val="22"/>
          <w:szCs w:val="22"/>
          <w:lang w:val="en-GB"/>
        </w:rPr>
        <w:t xml:space="preserve">erformance audits of biodiversity </w:t>
      </w:r>
      <w:r w:rsidR="00AC5513" w:rsidRPr="00051FD1">
        <w:rPr>
          <w:rFonts w:eastAsia="Malgun Gothic"/>
          <w:i/>
          <w:kern w:val="22"/>
          <w:sz w:val="22"/>
          <w:szCs w:val="22"/>
          <w:lang w:val="en-GB"/>
        </w:rPr>
        <w:t>commitments</w:t>
      </w:r>
    </w:p>
    <w:p w:rsidR="00196773" w:rsidRPr="00051FD1" w:rsidRDefault="00196773"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Working Group on Environmental Auditing of the International Organization of Supreme Audit Institutions prepared a guidance document for supreme audit institutions on auditing biodiversity.</w:t>
      </w:r>
      <w:r w:rsidRPr="00051FD1">
        <w:rPr>
          <w:kern w:val="22"/>
          <w:sz w:val="22"/>
          <w:szCs w:val="22"/>
          <w:vertAlign w:val="superscript"/>
          <w:lang w:val="en-GB"/>
        </w:rPr>
        <w:footnoteReference w:id="14"/>
      </w:r>
      <w:r w:rsidRPr="00051FD1">
        <w:rPr>
          <w:kern w:val="22"/>
          <w:sz w:val="22"/>
          <w:szCs w:val="22"/>
          <w:lang w:val="en-GB"/>
        </w:rPr>
        <w:t xml:space="preserve"> Under the lead of the Supreme Audit Institutions of Indonesia and Lesotho and with the support of the Secretariat of the Convention on Biological Diversity, the document, published in 2007, will be updated with a view to adopting an updated document at the 19th Assembly of the Working Group on Environmental Auditing in September 2019. The guide provides multiple examples of the use of performance audits and explains the role that national supreme audit institutions can play in assessing the extent to which biodiversity actions planned at national level have been implemented, the cost effectiveness of such actions and the degree to which desired outcomes from these actions have been achieved. Many of the examples described in the guidance document focus on the audit of a specific thematic issue.</w:t>
      </w:r>
    </w:p>
    <w:p w:rsidR="00196773" w:rsidRPr="00051FD1" w:rsidRDefault="00196773"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One example of a broader audit is the mandate provided by Parliament to the Office of the Auditor General of Canada to undertake a performance audit of several of the 2020 biodiversity goals and targets for Canada.</w:t>
      </w:r>
      <w:r w:rsidRPr="00051FD1">
        <w:rPr>
          <w:kern w:val="22"/>
          <w:sz w:val="22"/>
          <w:szCs w:val="22"/>
          <w:vertAlign w:val="superscript"/>
          <w:lang w:val="en-GB"/>
        </w:rPr>
        <w:footnoteReference w:id="15"/>
      </w:r>
      <w:r w:rsidRPr="00051FD1">
        <w:rPr>
          <w:kern w:val="22"/>
          <w:sz w:val="22"/>
          <w:szCs w:val="22"/>
          <w:lang w:val="en-GB"/>
        </w:rPr>
        <w:t xml:space="preserve"> The audit seeks to elucidate the role of the Ministry of the Environment and Climate Change of Canada in providing leadership and coordination in progressing towards established targets and how effectively other federal departments and agencies are contributing to this process. It also reviews the effectiveness of the Ministry in reporting on progress and the risks arising from insufficient progress made towards these targets.</w:t>
      </w:r>
      <w:r w:rsidRPr="00051FD1">
        <w:rPr>
          <w:kern w:val="22"/>
          <w:sz w:val="22"/>
          <w:szCs w:val="22"/>
          <w:vertAlign w:val="superscript"/>
          <w:lang w:val="en-GB"/>
        </w:rPr>
        <w:footnoteReference w:id="16"/>
      </w:r>
    </w:p>
    <w:p w:rsidR="00196773" w:rsidRPr="00051FD1" w:rsidRDefault="00196773" w:rsidP="00051FD1">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Typically mandated by Parliament or equivalent legislative body, biodiversity audits can make significant contributions to mainstreaming the biodiversity agenda and advancing policy coherence </w:t>
      </w:r>
      <w:r w:rsidRPr="00051FD1">
        <w:rPr>
          <w:kern w:val="22"/>
          <w:sz w:val="22"/>
          <w:szCs w:val="22"/>
          <w:lang w:val="en-GB"/>
        </w:rPr>
        <w:lastRenderedPageBreak/>
        <w:t>at the national level by analysing and highlighting how policy interactions across various domains facilitate or impede the achievement of biodiversity outcomes and in some cases by offering alternative options or more effective avenues towards achieving the planned outcomes. It could therefore be in the interest of national institutions responsible for implementation of the biodiversity agenda to promote collaboration with the supreme audit institution in the country to assess the suitability of the political and economic frameworks in enabling a country to achieve its biodiversity objectives.</w:t>
      </w:r>
      <w:r w:rsidRPr="00051FD1">
        <w:rPr>
          <w:kern w:val="22"/>
          <w:sz w:val="22"/>
          <w:szCs w:val="22"/>
          <w:vertAlign w:val="superscript"/>
          <w:lang w:val="en-GB"/>
        </w:rPr>
        <w:footnoteReference w:id="17"/>
      </w:r>
    </w:p>
    <w:p w:rsidR="00196773" w:rsidRPr="00051FD1" w:rsidRDefault="00196773"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terms of reference for the audit are decisive factors in the potential to achieve positive outcomes for biodiversity. They can be enabling and promoting biodiversity mainstreaming, policy coherence and a whole-of-government approach in decision</w:t>
      </w:r>
      <w:r w:rsidR="00A54F67" w:rsidRPr="00051FD1">
        <w:rPr>
          <w:kern w:val="22"/>
          <w:sz w:val="22"/>
          <w:szCs w:val="22"/>
          <w:lang w:val="en-GB"/>
        </w:rPr>
        <w:t>-</w:t>
      </w:r>
      <w:r w:rsidRPr="00051FD1">
        <w:rPr>
          <w:kern w:val="22"/>
          <w:sz w:val="22"/>
          <w:szCs w:val="22"/>
          <w:lang w:val="en-GB"/>
        </w:rPr>
        <w:t xml:space="preserve">making </w:t>
      </w:r>
      <w:r w:rsidR="00AC5513" w:rsidRPr="00051FD1">
        <w:rPr>
          <w:kern w:val="22"/>
          <w:sz w:val="22"/>
          <w:szCs w:val="22"/>
          <w:lang w:val="en-GB"/>
        </w:rPr>
        <w:t>and should ideally go beyond a</w:t>
      </w:r>
      <w:r w:rsidRPr="00051FD1">
        <w:rPr>
          <w:kern w:val="22"/>
          <w:sz w:val="22"/>
          <w:szCs w:val="22"/>
          <w:lang w:val="en-GB"/>
        </w:rPr>
        <w:t xml:space="preserve"> focus on the use of financial resources. Because audit institution</w:t>
      </w:r>
      <w:r w:rsidR="00A54F67" w:rsidRPr="00051FD1">
        <w:rPr>
          <w:kern w:val="22"/>
          <w:sz w:val="22"/>
          <w:szCs w:val="22"/>
          <w:lang w:val="en-GB"/>
        </w:rPr>
        <w:t>s</w:t>
      </w:r>
      <w:r w:rsidRPr="00051FD1">
        <w:rPr>
          <w:kern w:val="22"/>
          <w:sz w:val="22"/>
          <w:szCs w:val="22"/>
          <w:lang w:val="en-GB"/>
        </w:rPr>
        <w:t xml:space="preserve"> have established methodologies to assess the effectiveness of actions in </w:t>
      </w:r>
      <w:r w:rsidR="00AF3DCF">
        <w:rPr>
          <w:kern w:val="22"/>
          <w:sz w:val="22"/>
          <w:szCs w:val="22"/>
          <w:lang w:val="en-GB"/>
        </w:rPr>
        <w:t xml:space="preserve">the </w:t>
      </w:r>
      <w:r w:rsidRPr="00051FD1">
        <w:rPr>
          <w:kern w:val="22"/>
          <w:sz w:val="22"/>
          <w:szCs w:val="22"/>
          <w:lang w:val="en-GB"/>
        </w:rPr>
        <w:t>light of broader plans and strategies and institutions in the country they can propose approaches that reduce inconsistencies and conflicts across different parts of government and thereby lead to achieving better outcomes with fewer resources.</w:t>
      </w:r>
    </w:p>
    <w:p w:rsidR="00332440" w:rsidRPr="00051FD1" w:rsidRDefault="00573E82" w:rsidP="00644480">
      <w:pPr>
        <w:pStyle w:val="Heading1"/>
        <w:numPr>
          <w:ilvl w:val="0"/>
          <w:numId w:val="14"/>
        </w:numPr>
        <w:suppressLineNumbers/>
        <w:suppressAutoHyphens/>
        <w:spacing w:before="120"/>
        <w:ind w:left="0" w:firstLine="0"/>
        <w:rPr>
          <w:snapToGrid w:val="0"/>
          <w:kern w:val="22"/>
          <w:sz w:val="22"/>
          <w:szCs w:val="22"/>
          <w:lang w:val="en-GB"/>
        </w:rPr>
      </w:pPr>
      <w:r w:rsidRPr="00051FD1">
        <w:rPr>
          <w:snapToGrid w:val="0"/>
          <w:kern w:val="22"/>
          <w:sz w:val="22"/>
          <w:szCs w:val="22"/>
          <w:lang w:val="en-GB"/>
        </w:rPr>
        <w:t xml:space="preserve">POTENTIAL </w:t>
      </w:r>
      <w:r w:rsidR="00332440" w:rsidRPr="00051FD1">
        <w:rPr>
          <w:snapToGrid w:val="0"/>
          <w:kern w:val="22"/>
          <w:sz w:val="22"/>
          <w:szCs w:val="22"/>
          <w:lang w:val="en-GB"/>
        </w:rPr>
        <w:t>Next steps</w:t>
      </w:r>
    </w:p>
    <w:p w:rsidR="009A5692" w:rsidRPr="00051FD1" w:rsidRDefault="00332440" w:rsidP="00804B1C">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The previous sections highlight some of the areas in which the existing elements of a review mechanism under the Convention could be strengthened or complemented, including by drawing from lessons </w:t>
      </w:r>
      <w:r w:rsidR="00EB42FF" w:rsidRPr="00051FD1">
        <w:rPr>
          <w:kern w:val="22"/>
          <w:sz w:val="22"/>
          <w:szCs w:val="22"/>
          <w:lang w:val="en-GB"/>
        </w:rPr>
        <w:t>from other conventions.</w:t>
      </w:r>
      <w:r w:rsidR="00EE672C" w:rsidRPr="00051FD1">
        <w:rPr>
          <w:kern w:val="22"/>
          <w:sz w:val="22"/>
          <w:szCs w:val="22"/>
          <w:lang w:val="en-GB"/>
        </w:rPr>
        <w:t xml:space="preserve"> Annex II provides an overview of possible elements of a multi-dimensional review mechanism, including ways in which existing components might be strengthened.</w:t>
      </w:r>
    </w:p>
    <w:p w:rsidR="00B75CF1" w:rsidRPr="00051FD1" w:rsidRDefault="00A54F67" w:rsidP="00B75CF1">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The Conference of the Parties</w:t>
      </w:r>
      <w:r w:rsidR="00B75CF1" w:rsidRPr="00051FD1">
        <w:rPr>
          <w:kern w:val="22"/>
          <w:sz w:val="22"/>
          <w:szCs w:val="22"/>
          <w:lang w:val="en-GB"/>
        </w:rPr>
        <w:t>, in paragraph 34 of decision XIII/1 on the follow-up to the Strategic Plan for Biodiversity 2011-2020, noted that work to develop the post 2020 framework should include options for fostering commitments and strengthened implementation. In this context, several Parties and observers, in their submissions concerning the preparation of the post-2020 global biodiversity framework</w:t>
      </w:r>
      <w:r w:rsidR="00D0315E" w:rsidRPr="00051FD1">
        <w:rPr>
          <w:kern w:val="22"/>
          <w:sz w:val="22"/>
          <w:szCs w:val="22"/>
          <w:lang w:val="en-GB"/>
        </w:rPr>
        <w:t>,</w:t>
      </w:r>
      <w:r w:rsidR="00B75CF1" w:rsidRPr="00051FD1">
        <w:rPr>
          <w:kern w:val="22"/>
          <w:sz w:val="22"/>
          <w:szCs w:val="22"/>
          <w:lang w:val="en-GB"/>
        </w:rPr>
        <w:footnoteReference w:id="18"/>
      </w:r>
      <w:r w:rsidR="00B75CF1" w:rsidRPr="00051FD1">
        <w:rPr>
          <w:kern w:val="22"/>
          <w:sz w:val="22"/>
          <w:szCs w:val="22"/>
          <w:lang w:val="en-GB"/>
        </w:rPr>
        <w:t xml:space="preserve"> noted that developing a process analogous to, or informed by, the Nationally Determined Contribution (NDC) process under the United Nations Framework Convention on Climate Change or the Land Degradation Neutrality Targets</w:t>
      </w:r>
      <w:r w:rsidR="00B75CF1" w:rsidRPr="00051FD1">
        <w:rPr>
          <w:kern w:val="22"/>
          <w:sz w:val="22"/>
          <w:szCs w:val="22"/>
          <w:vertAlign w:val="superscript"/>
          <w:lang w:val="en-GB"/>
        </w:rPr>
        <w:footnoteReference w:id="19"/>
      </w:r>
      <w:r w:rsidR="00B75CF1" w:rsidRPr="00051FD1">
        <w:rPr>
          <w:kern w:val="22"/>
          <w:sz w:val="22"/>
          <w:szCs w:val="22"/>
          <w:lang w:val="en-GB"/>
        </w:rPr>
        <w:t xml:space="preserve"> under the United Nations Convention to Combat Desertification, could be useful in building ownership for the successful implementation of the post-2020 global biodiversity framework. Reference was also made to the voluntary commitments put forward by both state and non-state actors</w:t>
      </w:r>
      <w:r w:rsidR="00D0315E" w:rsidRPr="00051FD1">
        <w:rPr>
          <w:kern w:val="22"/>
          <w:sz w:val="22"/>
          <w:szCs w:val="22"/>
          <w:lang w:val="en-GB"/>
        </w:rPr>
        <w:t>.</w:t>
      </w:r>
      <w:r w:rsidR="00B75CF1" w:rsidRPr="00051FD1">
        <w:rPr>
          <w:kern w:val="22"/>
          <w:sz w:val="22"/>
          <w:szCs w:val="22"/>
          <w:vertAlign w:val="superscript"/>
          <w:lang w:val="en-GB"/>
        </w:rPr>
        <w:footnoteReference w:id="20"/>
      </w:r>
      <w:r w:rsidR="00B75CF1" w:rsidRPr="00051FD1">
        <w:rPr>
          <w:kern w:val="22"/>
          <w:sz w:val="22"/>
          <w:szCs w:val="22"/>
          <w:lang w:val="en-GB"/>
        </w:rPr>
        <w:t xml:space="preserve"> Some submissions further suggested that international and non-governmental organizations, civil society organizations, the private sector, local authorities (subnational governments) and other stakeholders could be encouraged to develop biodiversity related commitments which could contribute to the national and global overall objective of safeguarding biodiversity.</w:t>
      </w:r>
    </w:p>
    <w:p w:rsidR="00EB42FF" w:rsidRPr="00051FD1" w:rsidRDefault="009A5692" w:rsidP="00051FD1">
      <w:pPr>
        <w:numPr>
          <w:ilvl w:val="0"/>
          <w:numId w:val="13"/>
        </w:numPr>
        <w:tabs>
          <w:tab w:val="clear" w:pos="360"/>
        </w:tabs>
        <w:jc w:val="both"/>
        <w:rPr>
          <w:snapToGrid w:val="0"/>
          <w:kern w:val="22"/>
          <w:sz w:val="22"/>
          <w:szCs w:val="22"/>
          <w:lang w:val="en-GB"/>
        </w:rPr>
      </w:pPr>
      <w:r w:rsidRPr="00051FD1">
        <w:rPr>
          <w:snapToGrid w:val="0"/>
          <w:kern w:val="22"/>
          <w:sz w:val="22"/>
          <w:szCs w:val="22"/>
          <w:lang w:val="en-GB"/>
        </w:rPr>
        <w:t xml:space="preserve">In the documentation of the first meeting of the </w:t>
      </w:r>
      <w:r w:rsidR="00A54F67" w:rsidRPr="00051FD1">
        <w:rPr>
          <w:snapToGrid w:val="0"/>
          <w:kern w:val="22"/>
          <w:sz w:val="22"/>
          <w:szCs w:val="22"/>
          <w:lang w:val="en-GB"/>
        </w:rPr>
        <w:t>Subsidiary Body on Implementation,</w:t>
      </w:r>
      <w:r w:rsidRPr="00051FD1">
        <w:rPr>
          <w:snapToGrid w:val="0"/>
          <w:kern w:val="22"/>
          <w:sz w:val="22"/>
          <w:szCs w:val="22"/>
          <w:lang w:val="en-GB"/>
        </w:rPr>
        <w:t xml:space="preserve"> potential </w:t>
      </w:r>
      <w:r w:rsidR="00694907" w:rsidRPr="00051FD1">
        <w:rPr>
          <w:snapToGrid w:val="0"/>
          <w:kern w:val="22"/>
          <w:sz w:val="22"/>
          <w:szCs w:val="22"/>
          <w:lang w:val="en-GB"/>
        </w:rPr>
        <w:t>e</w:t>
      </w:r>
      <w:r w:rsidRPr="00051FD1">
        <w:rPr>
          <w:snapToGrid w:val="0"/>
          <w:kern w:val="22"/>
          <w:sz w:val="22"/>
          <w:szCs w:val="22"/>
          <w:lang w:val="en-GB"/>
        </w:rPr>
        <w:t>lements of a Party-led review process were set out (SBI/1/10/</w:t>
      </w:r>
      <w:r w:rsidR="00D56F4C">
        <w:rPr>
          <w:snapToGrid w:val="0"/>
          <w:kern w:val="22"/>
          <w:sz w:val="22"/>
          <w:szCs w:val="22"/>
          <w:lang w:val="en-GB"/>
        </w:rPr>
        <w:t>A</w:t>
      </w:r>
      <w:r w:rsidRPr="00051FD1">
        <w:rPr>
          <w:snapToGrid w:val="0"/>
          <w:kern w:val="22"/>
          <w:sz w:val="22"/>
          <w:szCs w:val="22"/>
          <w:lang w:val="en-GB"/>
        </w:rPr>
        <w:t>dd.3, section III</w:t>
      </w:r>
      <w:r w:rsidR="00D0315E" w:rsidRPr="00051FD1">
        <w:rPr>
          <w:snapToGrid w:val="0"/>
          <w:kern w:val="22"/>
          <w:sz w:val="22"/>
          <w:szCs w:val="22"/>
          <w:lang w:val="en-GB"/>
        </w:rPr>
        <w:t> </w:t>
      </w:r>
      <w:r w:rsidRPr="00051FD1">
        <w:rPr>
          <w:snapToGrid w:val="0"/>
          <w:kern w:val="22"/>
          <w:sz w:val="22"/>
          <w:szCs w:val="22"/>
          <w:lang w:val="en-GB"/>
        </w:rPr>
        <w:t>B) complem</w:t>
      </w:r>
      <w:r w:rsidR="00694907" w:rsidRPr="00051FD1">
        <w:rPr>
          <w:snapToGrid w:val="0"/>
          <w:kern w:val="22"/>
          <w:sz w:val="22"/>
          <w:szCs w:val="22"/>
          <w:lang w:val="en-GB"/>
        </w:rPr>
        <w:t>e</w:t>
      </w:r>
      <w:r w:rsidRPr="00051FD1">
        <w:rPr>
          <w:snapToGrid w:val="0"/>
          <w:kern w:val="22"/>
          <w:sz w:val="22"/>
          <w:szCs w:val="22"/>
          <w:lang w:val="en-GB"/>
        </w:rPr>
        <w:t xml:space="preserve">nting existing approaches. </w:t>
      </w:r>
      <w:r w:rsidR="00A54F67" w:rsidRPr="00051FD1">
        <w:rPr>
          <w:snapToGrid w:val="0"/>
          <w:kern w:val="22"/>
          <w:sz w:val="22"/>
          <w:szCs w:val="22"/>
          <w:lang w:val="en-GB"/>
        </w:rPr>
        <w:t>The Subsidiary Body on Implementation, at its second meeting,,</w:t>
      </w:r>
      <w:r w:rsidRPr="00051FD1">
        <w:rPr>
          <w:snapToGrid w:val="0"/>
          <w:kern w:val="22"/>
          <w:sz w:val="22"/>
          <w:szCs w:val="22"/>
          <w:lang w:val="en-GB"/>
        </w:rPr>
        <w:t xml:space="preserve"> may wish to review these elements</w:t>
      </w:r>
      <w:r w:rsidR="00573E82" w:rsidRPr="00051FD1">
        <w:rPr>
          <w:snapToGrid w:val="0"/>
          <w:kern w:val="22"/>
          <w:sz w:val="22"/>
          <w:szCs w:val="22"/>
          <w:lang w:val="en-GB"/>
        </w:rPr>
        <w:t xml:space="preserve"> </w:t>
      </w:r>
      <w:r w:rsidR="00FC2FB0" w:rsidRPr="00051FD1">
        <w:rPr>
          <w:snapToGrid w:val="0"/>
          <w:kern w:val="22"/>
          <w:sz w:val="22"/>
          <w:szCs w:val="22"/>
          <w:lang w:val="en-GB"/>
        </w:rPr>
        <w:t xml:space="preserve">including </w:t>
      </w:r>
      <w:r w:rsidR="00573E82" w:rsidRPr="00051FD1">
        <w:rPr>
          <w:snapToGrid w:val="0"/>
          <w:kern w:val="22"/>
          <w:sz w:val="22"/>
          <w:szCs w:val="22"/>
          <w:lang w:val="en-GB"/>
        </w:rPr>
        <w:t xml:space="preserve">the idea of </w:t>
      </w:r>
      <w:r w:rsidR="00EB42FF" w:rsidRPr="00051FD1">
        <w:rPr>
          <w:snapToGrid w:val="0"/>
          <w:kern w:val="22"/>
          <w:sz w:val="22"/>
          <w:szCs w:val="22"/>
          <w:lang w:val="en-GB"/>
        </w:rPr>
        <w:t>establish</w:t>
      </w:r>
      <w:r w:rsidR="00573E82" w:rsidRPr="00051FD1">
        <w:rPr>
          <w:snapToGrid w:val="0"/>
          <w:kern w:val="22"/>
          <w:sz w:val="22"/>
          <w:szCs w:val="22"/>
          <w:lang w:val="en-GB"/>
        </w:rPr>
        <w:t>ing</w:t>
      </w:r>
      <w:r w:rsidR="00EB42FF" w:rsidRPr="00051FD1">
        <w:rPr>
          <w:snapToGrid w:val="0"/>
          <w:kern w:val="22"/>
          <w:sz w:val="22"/>
          <w:szCs w:val="22"/>
          <w:lang w:val="en-GB"/>
        </w:rPr>
        <w:t xml:space="preserve"> an open-ended forum </w:t>
      </w:r>
      <w:r w:rsidR="00573E82" w:rsidRPr="00051FD1">
        <w:rPr>
          <w:snapToGrid w:val="0"/>
          <w:kern w:val="22"/>
          <w:sz w:val="22"/>
          <w:szCs w:val="22"/>
          <w:lang w:val="en-GB"/>
        </w:rPr>
        <w:t xml:space="preserve">under </w:t>
      </w:r>
      <w:r w:rsidR="00A54F67" w:rsidRPr="00051FD1">
        <w:rPr>
          <w:snapToGrid w:val="0"/>
          <w:kern w:val="22"/>
          <w:sz w:val="22"/>
          <w:szCs w:val="22"/>
          <w:lang w:val="en-GB"/>
        </w:rPr>
        <w:t>the Subsidiary Body on Implementation,</w:t>
      </w:r>
      <w:r w:rsidR="00573E82" w:rsidRPr="00051FD1">
        <w:rPr>
          <w:snapToGrid w:val="0"/>
          <w:kern w:val="22"/>
          <w:sz w:val="22"/>
          <w:szCs w:val="22"/>
          <w:lang w:val="en-GB"/>
        </w:rPr>
        <w:t xml:space="preserve"> </w:t>
      </w:r>
      <w:r w:rsidR="00EB42FF" w:rsidRPr="00051FD1">
        <w:rPr>
          <w:snapToGrid w:val="0"/>
          <w:kern w:val="22"/>
          <w:sz w:val="22"/>
          <w:szCs w:val="22"/>
          <w:lang w:val="en-GB"/>
        </w:rPr>
        <w:t xml:space="preserve">to further support the review of implementation aimed at facilitating the exchange of information and experience among Parties. Such an </w:t>
      </w:r>
      <w:r w:rsidR="00573E82" w:rsidRPr="00051FD1">
        <w:rPr>
          <w:snapToGrid w:val="0"/>
          <w:kern w:val="22"/>
          <w:sz w:val="22"/>
          <w:szCs w:val="22"/>
          <w:lang w:val="en-GB"/>
        </w:rPr>
        <w:t>approach</w:t>
      </w:r>
      <w:r w:rsidR="00EB42FF" w:rsidRPr="00051FD1">
        <w:rPr>
          <w:snapToGrid w:val="0"/>
          <w:kern w:val="22"/>
          <w:sz w:val="22"/>
          <w:szCs w:val="22"/>
          <w:lang w:val="en-GB"/>
        </w:rPr>
        <w:t xml:space="preserve"> could be tested at the third meeting of the </w:t>
      </w:r>
      <w:r w:rsidR="00A54F67" w:rsidRPr="00051FD1">
        <w:rPr>
          <w:snapToGrid w:val="0"/>
          <w:kern w:val="22"/>
          <w:sz w:val="22"/>
          <w:szCs w:val="22"/>
          <w:lang w:val="en-GB"/>
        </w:rPr>
        <w:t>Subsidiary Body on Implementation</w:t>
      </w:r>
      <w:r w:rsidR="00EB42FF" w:rsidRPr="00051FD1">
        <w:rPr>
          <w:snapToGrid w:val="0"/>
          <w:kern w:val="22"/>
          <w:sz w:val="22"/>
          <w:szCs w:val="22"/>
          <w:lang w:val="en-GB"/>
        </w:rPr>
        <w:t xml:space="preserve"> on the basis of Parties volunteering to share their experience in implementing the Convention and the Strategic Plan for Biodiversity 2011-2020. The Executive Secretary could be requested to prepare guidance for the voluntary delivery of such review reports.</w:t>
      </w:r>
    </w:p>
    <w:p w:rsidR="00573E82" w:rsidRPr="00051FD1" w:rsidRDefault="00573E82" w:rsidP="001D178D">
      <w:pPr>
        <w:pStyle w:val="Para1"/>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lastRenderedPageBreak/>
        <w:t xml:space="preserve">The </w:t>
      </w:r>
      <w:r w:rsidR="00A54F67" w:rsidRPr="00051FD1">
        <w:rPr>
          <w:kern w:val="22"/>
          <w:sz w:val="22"/>
          <w:szCs w:val="22"/>
          <w:lang w:val="en-GB"/>
        </w:rPr>
        <w:t>Subsidiary Body on Implementation</w:t>
      </w:r>
      <w:r w:rsidRPr="00051FD1">
        <w:rPr>
          <w:kern w:val="22"/>
          <w:sz w:val="22"/>
          <w:szCs w:val="22"/>
          <w:lang w:val="en-GB"/>
        </w:rPr>
        <w:t xml:space="preserve"> could also encourage further consultations on options for strengthening the review mechanism as part of the process for developing the post-2020 global biodiversity framework. </w:t>
      </w:r>
      <w:r w:rsidR="00F7242A" w:rsidRPr="00051FD1">
        <w:rPr>
          <w:kern w:val="22"/>
          <w:sz w:val="22"/>
          <w:szCs w:val="22"/>
          <w:lang w:val="en-GB"/>
        </w:rPr>
        <w:t xml:space="preserve">Parties and observers could be invited to submit views and information in this regard, and </w:t>
      </w:r>
      <w:r w:rsidRPr="00051FD1">
        <w:rPr>
          <w:kern w:val="22"/>
          <w:sz w:val="22"/>
          <w:szCs w:val="22"/>
          <w:lang w:val="en-GB"/>
        </w:rPr>
        <w:t>he Executive Secretary could be requested to further develop options, in consultation with the Bureau and regional groups, and in light of the ongoing consultations foreseen as part of the process for developing the post-2020 global biodiversity framework.</w:t>
      </w:r>
    </w:p>
    <w:p w:rsidR="00A25115" w:rsidRPr="00051FD1" w:rsidRDefault="00A25115" w:rsidP="00051FD1">
      <w:pPr>
        <w:pStyle w:val="HEADINGNOTFORTOC"/>
        <w:keepLines/>
        <w:tabs>
          <w:tab w:val="clear" w:pos="720"/>
        </w:tabs>
        <w:spacing w:before="120"/>
        <w:ind w:left="360"/>
        <w:rPr>
          <w:snapToGrid w:val="0"/>
          <w:kern w:val="22"/>
          <w:sz w:val="22"/>
          <w:szCs w:val="22"/>
          <w:lang w:val="en-GB"/>
        </w:rPr>
      </w:pPr>
      <w:r w:rsidRPr="00051FD1">
        <w:rPr>
          <w:snapToGrid w:val="0"/>
          <w:kern w:val="22"/>
          <w:sz w:val="22"/>
          <w:szCs w:val="22"/>
          <w:lang w:val="en-GB"/>
        </w:rPr>
        <w:t>VII.</w:t>
      </w:r>
      <w:r w:rsidRPr="00051FD1">
        <w:rPr>
          <w:snapToGrid w:val="0"/>
          <w:kern w:val="22"/>
          <w:sz w:val="22"/>
          <w:szCs w:val="22"/>
          <w:lang w:val="en-GB"/>
        </w:rPr>
        <w:tab/>
        <w:t>DRAFT RECOMMENDATION</w:t>
      </w:r>
    </w:p>
    <w:p w:rsidR="00A25115" w:rsidRPr="00051FD1" w:rsidRDefault="00F7242A" w:rsidP="00051FD1">
      <w:pPr>
        <w:pStyle w:val="Para1"/>
        <w:keepNext/>
        <w:keepLines/>
        <w:numPr>
          <w:ilvl w:val="0"/>
          <w:numId w:val="13"/>
        </w:numPr>
        <w:suppressLineNumbers/>
        <w:tabs>
          <w:tab w:val="clear" w:pos="360"/>
          <w:tab w:val="num" w:pos="720"/>
        </w:tabs>
        <w:suppressAutoHyphens/>
        <w:spacing w:before="120"/>
        <w:jc w:val="both"/>
        <w:rPr>
          <w:kern w:val="22"/>
          <w:sz w:val="22"/>
          <w:szCs w:val="22"/>
          <w:lang w:val="en-GB"/>
        </w:rPr>
      </w:pPr>
      <w:r w:rsidRPr="00051FD1">
        <w:rPr>
          <w:kern w:val="22"/>
          <w:sz w:val="22"/>
          <w:szCs w:val="22"/>
          <w:lang w:val="en-GB"/>
        </w:rPr>
        <w:t xml:space="preserve">The </w:t>
      </w:r>
      <w:r w:rsidR="00D0315E" w:rsidRPr="00051FD1">
        <w:rPr>
          <w:kern w:val="22"/>
          <w:sz w:val="22"/>
          <w:szCs w:val="22"/>
          <w:lang w:val="en-GB"/>
        </w:rPr>
        <w:t xml:space="preserve">Subsidiary Body on Implementation </w:t>
      </w:r>
      <w:r w:rsidRPr="00051FD1">
        <w:rPr>
          <w:kern w:val="22"/>
          <w:sz w:val="22"/>
          <w:szCs w:val="22"/>
          <w:lang w:val="en-GB"/>
        </w:rPr>
        <w:t xml:space="preserve">may wish to consider </w:t>
      </w:r>
      <w:r w:rsidR="006D0EF8">
        <w:rPr>
          <w:kern w:val="22"/>
          <w:sz w:val="22"/>
          <w:szCs w:val="22"/>
          <w:lang w:val="en-GB"/>
        </w:rPr>
        <w:t xml:space="preserve">adopting </w:t>
      </w:r>
      <w:r w:rsidRPr="00051FD1">
        <w:rPr>
          <w:kern w:val="22"/>
          <w:sz w:val="22"/>
          <w:szCs w:val="22"/>
          <w:lang w:val="en-GB"/>
        </w:rPr>
        <w:t>a recommendation along the following lines:</w:t>
      </w:r>
    </w:p>
    <w:p w:rsidR="00A54F67" w:rsidRPr="00051FD1" w:rsidRDefault="00A54F67" w:rsidP="00051FD1">
      <w:pPr>
        <w:pStyle w:val="Para1"/>
        <w:keepNext/>
        <w:keepLines/>
        <w:suppressLineNumbers/>
        <w:suppressAutoHyphens/>
        <w:spacing w:before="120"/>
        <w:ind w:firstLine="720"/>
        <w:jc w:val="both"/>
        <w:rPr>
          <w:i/>
          <w:kern w:val="22"/>
          <w:sz w:val="22"/>
          <w:szCs w:val="22"/>
          <w:lang w:val="en-GB"/>
        </w:rPr>
      </w:pPr>
      <w:r w:rsidRPr="00051FD1">
        <w:rPr>
          <w:i/>
          <w:kern w:val="22"/>
          <w:sz w:val="22"/>
          <w:szCs w:val="22"/>
          <w:lang w:val="en-GB"/>
        </w:rPr>
        <w:t>The Subsidiary Body on Implementation</w:t>
      </w:r>
    </w:p>
    <w:p w:rsidR="00F7242A" w:rsidRPr="00051FD1" w:rsidRDefault="00F7242A" w:rsidP="00051FD1">
      <w:pPr>
        <w:pStyle w:val="Para1"/>
        <w:keepLines/>
        <w:numPr>
          <w:ilvl w:val="6"/>
          <w:numId w:val="13"/>
        </w:numPr>
        <w:suppressLineNumbers/>
        <w:tabs>
          <w:tab w:val="clear" w:pos="360"/>
        </w:tabs>
        <w:suppressAutoHyphens/>
        <w:spacing w:before="120"/>
        <w:ind w:left="0" w:firstLine="720"/>
        <w:jc w:val="both"/>
        <w:rPr>
          <w:kern w:val="22"/>
          <w:sz w:val="22"/>
          <w:szCs w:val="22"/>
          <w:lang w:val="en-GB"/>
        </w:rPr>
      </w:pPr>
      <w:r w:rsidRPr="00051FD1">
        <w:rPr>
          <w:i/>
          <w:kern w:val="22"/>
          <w:sz w:val="22"/>
          <w:szCs w:val="22"/>
          <w:lang w:val="en-GB"/>
        </w:rPr>
        <w:t>Invites</w:t>
      </w:r>
      <w:r w:rsidRPr="00051FD1">
        <w:rPr>
          <w:kern w:val="22"/>
          <w:sz w:val="22"/>
          <w:szCs w:val="22"/>
          <w:lang w:val="en-GB"/>
        </w:rPr>
        <w:t xml:space="preserve"> Parties and relevant organizations to provide further views and information with regard to possible approaches to enhanc</w:t>
      </w:r>
      <w:r w:rsidR="005B0938">
        <w:rPr>
          <w:kern w:val="22"/>
          <w:sz w:val="22"/>
          <w:szCs w:val="22"/>
          <w:lang w:val="en-GB"/>
        </w:rPr>
        <w:t>ing</w:t>
      </w:r>
      <w:r w:rsidRPr="00051FD1">
        <w:rPr>
          <w:kern w:val="22"/>
          <w:sz w:val="22"/>
          <w:szCs w:val="22"/>
          <w:lang w:val="en-GB"/>
        </w:rPr>
        <w:t xml:space="preserve"> review mechanisms with a view to strengthen</w:t>
      </w:r>
      <w:r w:rsidR="00FC2FB0" w:rsidRPr="00051FD1">
        <w:rPr>
          <w:kern w:val="22"/>
          <w:sz w:val="22"/>
          <w:szCs w:val="22"/>
          <w:lang w:val="en-GB"/>
        </w:rPr>
        <w:t>ing</w:t>
      </w:r>
      <w:r w:rsidRPr="00051FD1">
        <w:rPr>
          <w:kern w:val="22"/>
          <w:sz w:val="22"/>
          <w:szCs w:val="22"/>
          <w:lang w:val="en-GB"/>
        </w:rPr>
        <w:t xml:space="preserve"> implementation of the Convention</w:t>
      </w:r>
      <w:r w:rsidR="00FC2FB0" w:rsidRPr="00051FD1">
        <w:rPr>
          <w:kern w:val="22"/>
          <w:sz w:val="22"/>
          <w:szCs w:val="22"/>
          <w:lang w:val="en-GB"/>
        </w:rPr>
        <w:t>;</w:t>
      </w:r>
    </w:p>
    <w:p w:rsidR="00F7242A" w:rsidRPr="00051FD1" w:rsidRDefault="00F7242A" w:rsidP="00051FD1">
      <w:pPr>
        <w:pStyle w:val="Para1"/>
        <w:keepLines/>
        <w:numPr>
          <w:ilvl w:val="6"/>
          <w:numId w:val="13"/>
        </w:numPr>
        <w:suppressLineNumbers/>
        <w:tabs>
          <w:tab w:val="clear" w:pos="360"/>
        </w:tabs>
        <w:suppressAutoHyphens/>
        <w:spacing w:before="120"/>
        <w:ind w:left="0" w:firstLine="720"/>
        <w:jc w:val="both"/>
        <w:rPr>
          <w:kern w:val="22"/>
          <w:sz w:val="22"/>
          <w:szCs w:val="22"/>
          <w:lang w:val="en-GB"/>
        </w:rPr>
      </w:pPr>
      <w:r w:rsidRPr="00051FD1">
        <w:rPr>
          <w:i/>
          <w:kern w:val="22"/>
          <w:sz w:val="22"/>
          <w:szCs w:val="22"/>
          <w:lang w:val="en-GB"/>
        </w:rPr>
        <w:t>Requests</w:t>
      </w:r>
      <w:r w:rsidRPr="00051FD1">
        <w:rPr>
          <w:kern w:val="22"/>
          <w:sz w:val="22"/>
          <w:szCs w:val="22"/>
          <w:lang w:val="en-GB"/>
        </w:rPr>
        <w:t xml:space="preserve"> the Executive Secretary:</w:t>
      </w:r>
    </w:p>
    <w:p w:rsidR="00F7242A" w:rsidRPr="00051FD1" w:rsidRDefault="00B4642B" w:rsidP="00051FD1">
      <w:pPr>
        <w:keepLines/>
        <w:numPr>
          <w:ilvl w:val="0"/>
          <w:numId w:val="21"/>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 xml:space="preserve">To </w:t>
      </w:r>
      <w:r w:rsidR="00F7242A" w:rsidRPr="00051FD1">
        <w:rPr>
          <w:snapToGrid w:val="0"/>
          <w:kern w:val="22"/>
          <w:sz w:val="22"/>
          <w:szCs w:val="22"/>
          <w:lang w:val="en-GB"/>
        </w:rPr>
        <w:t xml:space="preserve">compile and analyse the views and information </w:t>
      </w:r>
      <w:r w:rsidR="009168E6" w:rsidRPr="00051FD1">
        <w:rPr>
          <w:snapToGrid w:val="0"/>
          <w:kern w:val="22"/>
          <w:sz w:val="22"/>
          <w:szCs w:val="22"/>
          <w:lang w:val="en-GB"/>
        </w:rPr>
        <w:t>provided pursuant to paragraph</w:t>
      </w:r>
      <w:r w:rsidR="00402C0C">
        <w:rPr>
          <w:snapToGrid w:val="0"/>
          <w:kern w:val="22"/>
          <w:sz w:val="22"/>
          <w:szCs w:val="22"/>
          <w:lang w:val="en-GB"/>
        </w:rPr>
        <w:t> </w:t>
      </w:r>
      <w:r w:rsidR="009168E6" w:rsidRPr="00051FD1">
        <w:rPr>
          <w:snapToGrid w:val="0"/>
          <w:kern w:val="22"/>
          <w:sz w:val="22"/>
          <w:szCs w:val="22"/>
          <w:lang w:val="en-GB"/>
        </w:rPr>
        <w:t>1</w:t>
      </w:r>
      <w:r w:rsidR="008A1412">
        <w:rPr>
          <w:snapToGrid w:val="0"/>
          <w:kern w:val="22"/>
          <w:sz w:val="22"/>
          <w:szCs w:val="22"/>
          <w:lang w:val="en-GB"/>
        </w:rPr>
        <w:t xml:space="preserve"> </w:t>
      </w:r>
      <w:r w:rsidR="00402C0C">
        <w:rPr>
          <w:snapToGrid w:val="0"/>
          <w:kern w:val="22"/>
          <w:sz w:val="22"/>
          <w:szCs w:val="22"/>
          <w:lang w:val="en-GB"/>
        </w:rPr>
        <w:t>above</w:t>
      </w:r>
      <w:r w:rsidR="00FC2FB0" w:rsidRPr="00051FD1">
        <w:rPr>
          <w:snapToGrid w:val="0"/>
          <w:kern w:val="22"/>
          <w:sz w:val="22"/>
          <w:szCs w:val="22"/>
          <w:lang w:val="en-GB"/>
        </w:rPr>
        <w:t>;</w:t>
      </w:r>
    </w:p>
    <w:p w:rsidR="009168E6" w:rsidRPr="00051FD1" w:rsidRDefault="00B4642B" w:rsidP="00051FD1">
      <w:pPr>
        <w:keepLines/>
        <w:numPr>
          <w:ilvl w:val="0"/>
          <w:numId w:val="21"/>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 xml:space="preserve">To </w:t>
      </w:r>
      <w:r w:rsidR="009168E6" w:rsidRPr="00051FD1">
        <w:rPr>
          <w:snapToGrid w:val="0"/>
          <w:kern w:val="22"/>
          <w:sz w:val="22"/>
          <w:szCs w:val="22"/>
          <w:lang w:val="en-GB"/>
        </w:rPr>
        <w:t>identify and/or develop options to enhance review mechanisms with a view to strengthen</w:t>
      </w:r>
      <w:r w:rsidR="00FC2FB0" w:rsidRPr="00051FD1">
        <w:rPr>
          <w:snapToGrid w:val="0"/>
          <w:kern w:val="22"/>
          <w:sz w:val="22"/>
          <w:szCs w:val="22"/>
          <w:lang w:val="en-GB"/>
        </w:rPr>
        <w:t>ing</w:t>
      </w:r>
      <w:r w:rsidR="009168E6" w:rsidRPr="00051FD1">
        <w:rPr>
          <w:snapToGrid w:val="0"/>
          <w:kern w:val="22"/>
          <w:sz w:val="22"/>
          <w:szCs w:val="22"/>
          <w:lang w:val="en-GB"/>
        </w:rPr>
        <w:t xml:space="preserve"> implementation of the Convention</w:t>
      </w:r>
      <w:r w:rsidR="00F1476E" w:rsidRPr="00051FD1">
        <w:rPr>
          <w:snapToGrid w:val="0"/>
          <w:kern w:val="22"/>
          <w:sz w:val="22"/>
          <w:szCs w:val="22"/>
          <w:lang w:val="en-GB"/>
        </w:rPr>
        <w:t xml:space="preserve">, taking into account the </w:t>
      </w:r>
      <w:r w:rsidR="00AE57A5" w:rsidRPr="00051FD1">
        <w:rPr>
          <w:snapToGrid w:val="0"/>
          <w:kern w:val="22"/>
          <w:sz w:val="22"/>
          <w:szCs w:val="22"/>
          <w:lang w:val="en-GB"/>
        </w:rPr>
        <w:t xml:space="preserve">views and information submitted by Parties and observers as well as information </w:t>
      </w:r>
      <w:r w:rsidR="007A5458">
        <w:rPr>
          <w:snapToGrid w:val="0"/>
          <w:kern w:val="22"/>
          <w:sz w:val="22"/>
          <w:szCs w:val="22"/>
          <w:lang w:val="en-GB"/>
        </w:rPr>
        <w:t xml:space="preserve">contained </w:t>
      </w:r>
      <w:r w:rsidR="00AE57A5" w:rsidRPr="00051FD1">
        <w:rPr>
          <w:snapToGrid w:val="0"/>
          <w:kern w:val="22"/>
          <w:sz w:val="22"/>
          <w:szCs w:val="22"/>
          <w:lang w:val="en-GB"/>
        </w:rPr>
        <w:t xml:space="preserve">in </w:t>
      </w:r>
      <w:r w:rsidR="00821AC4" w:rsidRPr="00051FD1">
        <w:rPr>
          <w:snapToGrid w:val="0"/>
          <w:kern w:val="22"/>
          <w:sz w:val="22"/>
          <w:szCs w:val="22"/>
          <w:lang w:val="en-GB"/>
        </w:rPr>
        <w:t>the notes by the Executive Secretary</w:t>
      </w:r>
      <w:r w:rsidR="00FC2FB0" w:rsidRPr="00051FD1">
        <w:rPr>
          <w:snapToGrid w:val="0"/>
          <w:kern w:val="22"/>
          <w:sz w:val="22"/>
          <w:szCs w:val="22"/>
          <w:lang w:val="en-GB"/>
        </w:rPr>
        <w:t>;</w:t>
      </w:r>
      <w:r w:rsidR="00821AC4" w:rsidRPr="00051FD1">
        <w:rPr>
          <w:rStyle w:val="FootnoteReference"/>
          <w:snapToGrid w:val="0"/>
          <w:kern w:val="22"/>
          <w:sz w:val="22"/>
          <w:szCs w:val="22"/>
          <w:u w:val="none"/>
          <w:vertAlign w:val="superscript"/>
          <w:lang w:val="en-GB"/>
        </w:rPr>
        <w:footnoteReference w:id="21"/>
      </w:r>
    </w:p>
    <w:p w:rsidR="009168E6" w:rsidRPr="00051FD1" w:rsidRDefault="00B4642B" w:rsidP="00051FD1">
      <w:pPr>
        <w:keepLines/>
        <w:numPr>
          <w:ilvl w:val="0"/>
          <w:numId w:val="21"/>
        </w:numPr>
        <w:suppressLineNumbers/>
        <w:suppressAutoHyphens/>
        <w:spacing w:after="120"/>
        <w:ind w:left="0" w:firstLine="720"/>
        <w:jc w:val="both"/>
        <w:rPr>
          <w:snapToGrid w:val="0"/>
          <w:kern w:val="22"/>
          <w:sz w:val="22"/>
          <w:szCs w:val="22"/>
          <w:lang w:val="en-GB"/>
        </w:rPr>
      </w:pPr>
      <w:r w:rsidRPr="00051FD1">
        <w:rPr>
          <w:snapToGrid w:val="0"/>
          <w:kern w:val="22"/>
          <w:sz w:val="22"/>
          <w:szCs w:val="22"/>
          <w:lang w:val="en-GB"/>
        </w:rPr>
        <w:t xml:space="preserve">To </w:t>
      </w:r>
      <w:r w:rsidR="009168E6" w:rsidRPr="00051FD1">
        <w:rPr>
          <w:snapToGrid w:val="0"/>
          <w:kern w:val="22"/>
          <w:sz w:val="22"/>
          <w:szCs w:val="22"/>
          <w:lang w:val="en-GB"/>
        </w:rPr>
        <w:t xml:space="preserve">make this available to Parties and observers through the </w:t>
      </w:r>
      <w:r w:rsidRPr="00051FD1">
        <w:rPr>
          <w:snapToGrid w:val="0"/>
          <w:kern w:val="22"/>
          <w:sz w:val="22"/>
          <w:szCs w:val="22"/>
          <w:lang w:val="en-GB"/>
        </w:rPr>
        <w:t>c</w:t>
      </w:r>
      <w:r w:rsidR="00FC2FB0" w:rsidRPr="00051FD1">
        <w:rPr>
          <w:snapToGrid w:val="0"/>
          <w:kern w:val="22"/>
          <w:sz w:val="22"/>
          <w:szCs w:val="22"/>
          <w:lang w:val="en-GB"/>
        </w:rPr>
        <w:t xml:space="preserve">learing-house </w:t>
      </w:r>
      <w:r w:rsidRPr="00051FD1">
        <w:rPr>
          <w:snapToGrid w:val="0"/>
          <w:kern w:val="22"/>
          <w:sz w:val="22"/>
          <w:szCs w:val="22"/>
          <w:lang w:val="en-GB"/>
        </w:rPr>
        <w:t>m</w:t>
      </w:r>
      <w:r w:rsidR="00FC2FB0" w:rsidRPr="00051FD1">
        <w:rPr>
          <w:snapToGrid w:val="0"/>
          <w:kern w:val="22"/>
          <w:sz w:val="22"/>
          <w:szCs w:val="22"/>
          <w:lang w:val="en-GB"/>
        </w:rPr>
        <w:t>echanism;</w:t>
      </w:r>
    </w:p>
    <w:p w:rsidR="00070B58" w:rsidRPr="00051FD1" w:rsidRDefault="009168E6" w:rsidP="00051FD1">
      <w:pPr>
        <w:pStyle w:val="Para1"/>
        <w:keepLines/>
        <w:numPr>
          <w:ilvl w:val="6"/>
          <w:numId w:val="13"/>
        </w:numPr>
        <w:suppressLineNumbers/>
        <w:tabs>
          <w:tab w:val="clear" w:pos="360"/>
        </w:tabs>
        <w:suppressAutoHyphens/>
        <w:spacing w:before="120"/>
        <w:ind w:left="0" w:firstLine="720"/>
        <w:jc w:val="both"/>
        <w:rPr>
          <w:i/>
          <w:kern w:val="22"/>
          <w:sz w:val="22"/>
          <w:szCs w:val="22"/>
          <w:lang w:val="en-GB"/>
        </w:rPr>
      </w:pPr>
      <w:r w:rsidRPr="00051FD1">
        <w:rPr>
          <w:i/>
          <w:kern w:val="22"/>
          <w:sz w:val="22"/>
          <w:szCs w:val="22"/>
          <w:lang w:val="en-GB"/>
        </w:rPr>
        <w:t xml:space="preserve">Recommends </w:t>
      </w:r>
      <w:r w:rsidRPr="00051FD1">
        <w:rPr>
          <w:kern w:val="22"/>
          <w:sz w:val="22"/>
          <w:szCs w:val="22"/>
          <w:lang w:val="en-GB"/>
        </w:rPr>
        <w:t xml:space="preserve">that the Conference of the Parties, in its consideration of the process for </w:t>
      </w:r>
      <w:r w:rsidR="00070B58" w:rsidRPr="00051FD1">
        <w:rPr>
          <w:kern w:val="22"/>
          <w:sz w:val="22"/>
          <w:szCs w:val="22"/>
          <w:lang w:val="en-GB"/>
        </w:rPr>
        <w:t xml:space="preserve">the </w:t>
      </w:r>
      <w:r w:rsidRPr="00051FD1">
        <w:rPr>
          <w:kern w:val="22"/>
          <w:sz w:val="22"/>
          <w:szCs w:val="22"/>
          <w:lang w:val="en-GB"/>
        </w:rPr>
        <w:t>develop</w:t>
      </w:r>
      <w:r w:rsidR="00070B58" w:rsidRPr="00051FD1">
        <w:rPr>
          <w:kern w:val="22"/>
          <w:sz w:val="22"/>
          <w:szCs w:val="22"/>
          <w:lang w:val="en-GB"/>
        </w:rPr>
        <w:t>ment of</w:t>
      </w:r>
      <w:r w:rsidRPr="00051FD1">
        <w:rPr>
          <w:kern w:val="22"/>
          <w:sz w:val="22"/>
          <w:szCs w:val="22"/>
          <w:lang w:val="en-GB"/>
        </w:rPr>
        <w:t xml:space="preserve"> the post-2020 global biodiversity framework</w:t>
      </w:r>
      <w:r w:rsidR="00070B58" w:rsidRPr="00051FD1">
        <w:rPr>
          <w:kern w:val="22"/>
          <w:sz w:val="22"/>
          <w:szCs w:val="22"/>
          <w:lang w:val="en-GB"/>
        </w:rPr>
        <w:t>, request the Executive Secretary to</w:t>
      </w:r>
      <w:r w:rsidRPr="00051FD1">
        <w:rPr>
          <w:kern w:val="22"/>
          <w:sz w:val="22"/>
          <w:szCs w:val="22"/>
          <w:lang w:val="en-GB"/>
        </w:rPr>
        <w:t xml:space="preserve"> </w:t>
      </w:r>
      <w:r w:rsidR="00070B58" w:rsidRPr="00051FD1">
        <w:rPr>
          <w:kern w:val="22"/>
          <w:sz w:val="22"/>
          <w:szCs w:val="22"/>
          <w:lang w:val="en-GB"/>
        </w:rPr>
        <w:t xml:space="preserve">consult with interested Parties </w:t>
      </w:r>
      <w:r w:rsidR="00690716">
        <w:rPr>
          <w:kern w:val="22"/>
          <w:sz w:val="22"/>
          <w:szCs w:val="22"/>
          <w:lang w:val="en-GB"/>
        </w:rPr>
        <w:t xml:space="preserve">in order </w:t>
      </w:r>
      <w:r w:rsidR="00070B58" w:rsidRPr="00051FD1">
        <w:rPr>
          <w:kern w:val="22"/>
          <w:sz w:val="22"/>
          <w:szCs w:val="22"/>
          <w:lang w:val="en-GB"/>
        </w:rPr>
        <w:t xml:space="preserve">to explore possible modalities </w:t>
      </w:r>
      <w:r w:rsidR="00874DFB">
        <w:rPr>
          <w:kern w:val="22"/>
          <w:sz w:val="22"/>
          <w:szCs w:val="22"/>
          <w:lang w:val="en-GB"/>
        </w:rPr>
        <w:t>for</w:t>
      </w:r>
      <w:r w:rsidR="00874DFB" w:rsidRPr="00051FD1">
        <w:rPr>
          <w:kern w:val="22"/>
          <w:sz w:val="22"/>
          <w:szCs w:val="22"/>
          <w:lang w:val="en-GB"/>
        </w:rPr>
        <w:t xml:space="preserve"> </w:t>
      </w:r>
      <w:r w:rsidR="00791315" w:rsidRPr="00051FD1">
        <w:rPr>
          <w:kern w:val="22"/>
          <w:sz w:val="22"/>
          <w:szCs w:val="22"/>
          <w:lang w:val="en-GB"/>
        </w:rPr>
        <w:t>apply</w:t>
      </w:r>
      <w:r w:rsidR="00874DFB">
        <w:rPr>
          <w:kern w:val="22"/>
          <w:sz w:val="22"/>
          <w:szCs w:val="22"/>
          <w:lang w:val="en-GB"/>
        </w:rPr>
        <w:t>ing</w:t>
      </w:r>
      <w:r w:rsidR="00791315" w:rsidRPr="00051FD1">
        <w:rPr>
          <w:kern w:val="22"/>
          <w:sz w:val="22"/>
          <w:szCs w:val="22"/>
          <w:lang w:val="en-GB"/>
        </w:rPr>
        <w:t xml:space="preserve"> </w:t>
      </w:r>
      <w:r w:rsidR="00070B58" w:rsidRPr="00051FD1">
        <w:rPr>
          <w:kern w:val="22"/>
          <w:sz w:val="22"/>
          <w:szCs w:val="22"/>
          <w:lang w:val="en-GB"/>
        </w:rPr>
        <w:t>approaches to enhanc</w:t>
      </w:r>
      <w:r w:rsidR="00874DFB">
        <w:rPr>
          <w:kern w:val="22"/>
          <w:sz w:val="22"/>
          <w:szCs w:val="22"/>
          <w:lang w:val="en-GB"/>
        </w:rPr>
        <w:t>ing</w:t>
      </w:r>
      <w:r w:rsidR="00070B58" w:rsidRPr="00051FD1">
        <w:rPr>
          <w:kern w:val="22"/>
          <w:sz w:val="22"/>
          <w:szCs w:val="22"/>
          <w:lang w:val="en-GB"/>
        </w:rPr>
        <w:t xml:space="preserve"> review of implementation at </w:t>
      </w:r>
      <w:r w:rsidR="00A54F67" w:rsidRPr="00051FD1">
        <w:rPr>
          <w:kern w:val="22"/>
          <w:sz w:val="22"/>
          <w:szCs w:val="22"/>
          <w:lang w:val="en-GB"/>
        </w:rPr>
        <w:t>the third meeting of the Subsidiary Body on Implementation</w:t>
      </w:r>
      <w:r w:rsidR="00070B58" w:rsidRPr="00051FD1">
        <w:rPr>
          <w:kern w:val="22"/>
          <w:sz w:val="22"/>
          <w:szCs w:val="22"/>
          <w:lang w:val="en-GB"/>
        </w:rPr>
        <w:t>.</w:t>
      </w:r>
    </w:p>
    <w:p w:rsidR="00B33755" w:rsidRPr="00051FD1" w:rsidRDefault="005509A7" w:rsidP="00A25115">
      <w:pPr>
        <w:pStyle w:val="Para1"/>
        <w:jc w:val="center"/>
        <w:rPr>
          <w:i/>
          <w:kern w:val="22"/>
          <w:sz w:val="22"/>
          <w:szCs w:val="22"/>
          <w:lang w:val="en-GB"/>
        </w:rPr>
      </w:pPr>
      <w:r w:rsidRPr="00051FD1">
        <w:rPr>
          <w:kern w:val="22"/>
          <w:sz w:val="22"/>
          <w:szCs w:val="22"/>
          <w:lang w:val="en-GB"/>
        </w:rPr>
        <w:br w:type="page"/>
      </w:r>
      <w:r w:rsidR="00B33755" w:rsidRPr="00051FD1">
        <w:rPr>
          <w:i/>
          <w:kern w:val="22"/>
          <w:sz w:val="22"/>
          <w:szCs w:val="22"/>
          <w:lang w:val="en-GB"/>
        </w:rPr>
        <w:lastRenderedPageBreak/>
        <w:t>Annex I</w:t>
      </w:r>
    </w:p>
    <w:p w:rsidR="00B33755" w:rsidRPr="00051FD1" w:rsidRDefault="00694907" w:rsidP="00A25115">
      <w:pPr>
        <w:pStyle w:val="Para1"/>
        <w:jc w:val="center"/>
        <w:rPr>
          <w:b/>
          <w:kern w:val="22"/>
          <w:sz w:val="22"/>
          <w:szCs w:val="22"/>
          <w:lang w:val="en-GB"/>
        </w:rPr>
      </w:pPr>
      <w:r w:rsidRPr="00051FD1">
        <w:rPr>
          <w:rStyle w:val="Heading1Char"/>
          <w:rFonts w:cs="Times New Roman"/>
          <w:kern w:val="22"/>
          <w:szCs w:val="22"/>
        </w:rPr>
        <w:t>Updated information on review mechanisms established under relevant intergovernmental processes</w:t>
      </w:r>
      <w:r w:rsidRPr="00051FD1">
        <w:rPr>
          <w:kern w:val="22"/>
          <w:sz w:val="22"/>
          <w:szCs w:val="22"/>
          <w:vertAlign w:val="superscript"/>
          <w:lang w:val="en-GB"/>
        </w:rPr>
        <w:footnoteReference w:id="22"/>
      </w:r>
    </w:p>
    <w:p w:rsidR="00B33755" w:rsidRPr="00051FD1" w:rsidRDefault="00B75CF1" w:rsidP="00B33755">
      <w:pPr>
        <w:pStyle w:val="Para1"/>
        <w:suppressLineNumbers/>
        <w:suppressAutoHyphens/>
        <w:spacing w:before="120"/>
        <w:rPr>
          <w:i/>
          <w:kern w:val="22"/>
          <w:sz w:val="22"/>
          <w:szCs w:val="22"/>
          <w:lang w:val="en-GB"/>
        </w:rPr>
      </w:pPr>
      <w:r w:rsidRPr="00051FD1">
        <w:rPr>
          <w:i/>
          <w:kern w:val="22"/>
          <w:sz w:val="22"/>
          <w:szCs w:val="22"/>
          <w:lang w:val="en-GB"/>
        </w:rPr>
        <w:t>United Nations Framework Convention on Climate Change</w:t>
      </w:r>
      <w:r w:rsidR="00C87797" w:rsidRPr="00051FD1">
        <w:rPr>
          <w:i/>
          <w:kern w:val="22"/>
          <w:sz w:val="22"/>
          <w:szCs w:val="22"/>
          <w:lang w:val="en-GB"/>
        </w:rPr>
        <w:t xml:space="preserve"> (UNFCCC)</w:t>
      </w:r>
    </w:p>
    <w:p w:rsidR="00B33755" w:rsidRPr="00051FD1" w:rsidRDefault="00B33755" w:rsidP="004B456F">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The Paris Agreement on climate change</w:t>
      </w:r>
      <w:r w:rsidR="00A54F67" w:rsidRPr="00051FD1">
        <w:rPr>
          <w:kern w:val="22"/>
          <w:sz w:val="22"/>
          <w:szCs w:val="22"/>
          <w:vertAlign w:val="superscript"/>
          <w:lang w:val="en-GB"/>
        </w:rPr>
        <w:footnoteReference w:id="23"/>
      </w:r>
      <w:r w:rsidRPr="00051FD1">
        <w:rPr>
          <w:kern w:val="22"/>
          <w:sz w:val="22"/>
          <w:szCs w:val="22"/>
          <w:lang w:val="en-GB"/>
        </w:rPr>
        <w:t xml:space="preserve"> requires each Party to prepare, communicate and maintain successive nationally determined contributions that it intends to achieve. Successive nationally determined contribution</w:t>
      </w:r>
      <w:r w:rsidR="00004A24" w:rsidRPr="00051FD1">
        <w:rPr>
          <w:kern w:val="22"/>
          <w:sz w:val="22"/>
          <w:szCs w:val="22"/>
          <w:lang w:val="en-GB"/>
        </w:rPr>
        <w:t>s</w:t>
      </w:r>
      <w:r w:rsidRPr="00051FD1">
        <w:rPr>
          <w:kern w:val="22"/>
          <w:sz w:val="22"/>
          <w:szCs w:val="22"/>
          <w:lang w:val="en-GB"/>
        </w:rPr>
        <w:t xml:space="preserve"> need to represent a progression beyond the Party’s then current nationally determined contribution and reflect its highest possible ambition (the </w:t>
      </w:r>
      <w:r w:rsidR="00F744CC">
        <w:rPr>
          <w:kern w:val="22"/>
          <w:sz w:val="22"/>
          <w:szCs w:val="22"/>
          <w:lang w:val="en-GB"/>
        </w:rPr>
        <w:t>“</w:t>
      </w:r>
      <w:r w:rsidRPr="00051FD1">
        <w:rPr>
          <w:kern w:val="22"/>
          <w:sz w:val="22"/>
          <w:szCs w:val="22"/>
          <w:lang w:val="en-GB"/>
        </w:rPr>
        <w:t>ratchet mechanism</w:t>
      </w:r>
      <w:r w:rsidR="00F744CC">
        <w:rPr>
          <w:kern w:val="22"/>
          <w:sz w:val="22"/>
          <w:szCs w:val="22"/>
          <w:lang w:val="en-GB"/>
        </w:rPr>
        <w:t>”</w:t>
      </w:r>
      <w:r w:rsidRPr="00051FD1">
        <w:rPr>
          <w:kern w:val="22"/>
          <w:sz w:val="22"/>
          <w:szCs w:val="22"/>
          <w:lang w:val="en-GB"/>
        </w:rPr>
        <w:t>).</w:t>
      </w:r>
      <w:r w:rsidR="00004A24" w:rsidRPr="00051FD1">
        <w:rPr>
          <w:kern w:val="22"/>
          <w:sz w:val="22"/>
          <w:szCs w:val="22"/>
          <w:lang w:val="en-GB"/>
        </w:rPr>
        <w:t xml:space="preserve"> This mechanism lays out a process to continue strengthening action in a regular and timely way every five years, starting before 2020.</w:t>
      </w:r>
    </w:p>
    <w:p w:rsidR="00B33755" w:rsidRPr="00051FD1" w:rsidRDefault="00B33755" w:rsidP="004B456F">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Each Party shall regularly prepare a national inventory report of anthropogenic emissions and provide the information necessary to track progress made in implementing and achieving its nationally determined contribution. In addition, developed country Parties are required to provide information on financial, technology transfer and capacity-building support provided to developing country Parties. This information undergoes a technical expert review which serves to identify areas of improvement for the Party under review.</w:t>
      </w:r>
    </w:p>
    <w:p w:rsidR="00B33755" w:rsidRPr="00051FD1" w:rsidRDefault="00B33755" w:rsidP="00051FD1">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 xml:space="preserve">The Paris Agreement also establishes a periodic global stocktake </w:t>
      </w:r>
      <w:r w:rsidR="00004A24" w:rsidRPr="00051FD1">
        <w:rPr>
          <w:kern w:val="22"/>
          <w:sz w:val="22"/>
          <w:szCs w:val="22"/>
          <w:lang w:val="en-GB"/>
        </w:rPr>
        <w:t>of implementation on mitigation, adaptation and finance. It</w:t>
      </w:r>
      <w:r w:rsidRPr="00051FD1">
        <w:rPr>
          <w:kern w:val="22"/>
          <w:sz w:val="22"/>
          <w:szCs w:val="22"/>
          <w:lang w:val="en-GB"/>
        </w:rPr>
        <w:t xml:space="preserve"> serves</w:t>
      </w:r>
      <w:r w:rsidR="00F744CC">
        <w:rPr>
          <w:kern w:val="22"/>
          <w:sz w:val="22"/>
          <w:szCs w:val="22"/>
          <w:lang w:val="en-GB"/>
        </w:rPr>
        <w:t>,</w:t>
      </w:r>
      <w:r w:rsidRPr="00051FD1">
        <w:rPr>
          <w:kern w:val="22"/>
          <w:sz w:val="22"/>
          <w:szCs w:val="22"/>
          <w:lang w:val="en-GB"/>
        </w:rPr>
        <w:t xml:space="preserve"> </w:t>
      </w:r>
      <w:r w:rsidR="00F744CC">
        <w:rPr>
          <w:kern w:val="22"/>
          <w:sz w:val="22"/>
          <w:szCs w:val="22"/>
          <w:lang w:val="en-GB"/>
        </w:rPr>
        <w:t xml:space="preserve">among other things, </w:t>
      </w:r>
      <w:r w:rsidRPr="00051FD1">
        <w:rPr>
          <w:kern w:val="22"/>
          <w:sz w:val="22"/>
          <w:szCs w:val="22"/>
          <w:lang w:val="en-GB"/>
        </w:rPr>
        <w:t xml:space="preserve">to review the adequacy and effectiveness of adaptation and support provided for adaptation as well as the </w:t>
      </w:r>
      <w:r w:rsidR="00004A24" w:rsidRPr="00051FD1">
        <w:rPr>
          <w:kern w:val="22"/>
          <w:sz w:val="22"/>
          <w:szCs w:val="22"/>
          <w:lang w:val="en-GB"/>
        </w:rPr>
        <w:t>collective</w:t>
      </w:r>
      <w:r w:rsidRPr="00051FD1">
        <w:rPr>
          <w:kern w:val="22"/>
          <w:sz w:val="22"/>
          <w:szCs w:val="22"/>
          <w:lang w:val="en-GB"/>
        </w:rPr>
        <w:t xml:space="preserve"> progress made in achieving the global goal on adaptation</w:t>
      </w:r>
      <w:r w:rsidR="00004A24" w:rsidRPr="00051FD1">
        <w:rPr>
          <w:kern w:val="22"/>
          <w:sz w:val="22"/>
          <w:szCs w:val="22"/>
          <w:lang w:val="en-GB"/>
        </w:rPr>
        <w:t xml:space="preserve"> every five years</w:t>
      </w:r>
      <w:r w:rsidRPr="00051FD1">
        <w:rPr>
          <w:kern w:val="22"/>
          <w:sz w:val="22"/>
          <w:szCs w:val="22"/>
          <w:lang w:val="en-GB"/>
        </w:rPr>
        <w:t>.</w:t>
      </w:r>
      <w:r w:rsidR="00004A24" w:rsidRPr="00051FD1">
        <w:rPr>
          <w:kern w:val="22"/>
          <w:sz w:val="22"/>
          <w:szCs w:val="22"/>
          <w:lang w:val="en-GB"/>
        </w:rPr>
        <w:t xml:space="preserve"> Submissions of updated nationally determined contributions from each country every five years are informed by the global stocktake.</w:t>
      </w:r>
    </w:p>
    <w:p w:rsidR="00B33755" w:rsidRPr="00051FD1" w:rsidRDefault="00B33755" w:rsidP="004B456F">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In addition, the Paris Agreement provides for a mechanism to facilitate implementation of and promote compliance with the provisions of the Agreement which is expert-based and facilitative in nature and function in a manner that is transparent, non-adversarial and non-punitive.</w:t>
      </w:r>
    </w:p>
    <w:p w:rsidR="00B33755" w:rsidRPr="00051FD1" w:rsidRDefault="004B456F" w:rsidP="004B456F">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 xml:space="preserve">The Conference </w:t>
      </w:r>
      <w:r w:rsidR="00C87797" w:rsidRPr="00051FD1">
        <w:rPr>
          <w:kern w:val="22"/>
          <w:sz w:val="22"/>
          <w:szCs w:val="22"/>
          <w:lang w:val="en-GB"/>
        </w:rPr>
        <w:t>of the Parties to UNFCCC</w:t>
      </w:r>
      <w:r w:rsidRPr="00051FD1">
        <w:rPr>
          <w:kern w:val="22"/>
          <w:sz w:val="22"/>
          <w:szCs w:val="22"/>
          <w:lang w:val="en-GB"/>
        </w:rPr>
        <w:t>, at its twenty-first meeting,</w:t>
      </w:r>
      <w:r w:rsidR="00C87797" w:rsidRPr="00051FD1">
        <w:rPr>
          <w:kern w:val="22"/>
          <w:sz w:val="22"/>
          <w:szCs w:val="22"/>
          <w:lang w:val="en-GB"/>
        </w:rPr>
        <w:t xml:space="preserve"> decided to convene a facilitative dialogue among Parties in 2018 to take stock of the collective efforts of Parties in relation to progress towards the long-term goal referred to in Article 4, paragraph 1, of the Paris Agreement and to inform the preparation of nationally determined contributions. At </w:t>
      </w:r>
      <w:r w:rsidRPr="00051FD1">
        <w:rPr>
          <w:kern w:val="22"/>
          <w:sz w:val="22"/>
          <w:szCs w:val="22"/>
          <w:lang w:val="en-GB"/>
        </w:rPr>
        <w:t>the twenty-third meeting of the Conference of the Parties</w:t>
      </w:r>
      <w:r w:rsidR="00C87797" w:rsidRPr="00051FD1">
        <w:rPr>
          <w:kern w:val="22"/>
          <w:sz w:val="22"/>
          <w:szCs w:val="22"/>
          <w:lang w:val="en-GB"/>
        </w:rPr>
        <w:t>, the Talanoa Dialogue was launched, to start in January 2018, as</w:t>
      </w:r>
      <w:r w:rsidR="00B33755" w:rsidRPr="00051FD1">
        <w:rPr>
          <w:kern w:val="22"/>
          <w:sz w:val="22"/>
          <w:szCs w:val="22"/>
          <w:lang w:val="en-GB"/>
        </w:rPr>
        <w:t xml:space="preserve"> a </w:t>
      </w:r>
      <w:r w:rsidR="007568E1" w:rsidRPr="00051FD1">
        <w:rPr>
          <w:kern w:val="22"/>
          <w:sz w:val="22"/>
          <w:szCs w:val="22"/>
          <w:lang w:val="en-GB"/>
        </w:rPr>
        <w:t xml:space="preserve">series of </w:t>
      </w:r>
      <w:r w:rsidR="00B33755" w:rsidRPr="00051FD1">
        <w:rPr>
          <w:kern w:val="22"/>
          <w:sz w:val="22"/>
          <w:szCs w:val="22"/>
          <w:lang w:val="en-GB"/>
        </w:rPr>
        <w:t>facilitative dialogue</w:t>
      </w:r>
      <w:r w:rsidR="00C87797" w:rsidRPr="00051FD1">
        <w:rPr>
          <w:kern w:val="22"/>
          <w:sz w:val="22"/>
          <w:szCs w:val="22"/>
          <w:lang w:val="en-GB"/>
        </w:rPr>
        <w:t>s</w:t>
      </w:r>
      <w:r w:rsidR="00B33755" w:rsidRPr="00051FD1">
        <w:rPr>
          <w:kern w:val="22"/>
          <w:sz w:val="22"/>
          <w:szCs w:val="22"/>
          <w:lang w:val="en-GB"/>
        </w:rPr>
        <w:t xml:space="preserve"> </w:t>
      </w:r>
      <w:r w:rsidR="00C87797" w:rsidRPr="00051FD1">
        <w:rPr>
          <w:kern w:val="22"/>
          <w:sz w:val="22"/>
          <w:szCs w:val="22"/>
          <w:lang w:val="en-GB"/>
        </w:rPr>
        <w:t>focusing on the efforts of Parties and non-Party stakeholders in relation to action and support in the pre-2020 period</w:t>
      </w:r>
      <w:r w:rsidR="00B33755" w:rsidRPr="00051FD1">
        <w:rPr>
          <w:kern w:val="22"/>
          <w:sz w:val="22"/>
          <w:szCs w:val="22"/>
          <w:lang w:val="en-GB"/>
        </w:rPr>
        <w:t>.</w:t>
      </w:r>
    </w:p>
    <w:p w:rsidR="00B75CF1" w:rsidRPr="00051FD1" w:rsidRDefault="00B75CF1" w:rsidP="00694907">
      <w:pPr>
        <w:pStyle w:val="Para1"/>
        <w:suppressLineNumbers/>
        <w:suppressAutoHyphens/>
        <w:spacing w:before="120"/>
        <w:jc w:val="both"/>
        <w:rPr>
          <w:i/>
          <w:kern w:val="22"/>
          <w:sz w:val="22"/>
          <w:szCs w:val="22"/>
          <w:lang w:val="en-GB"/>
        </w:rPr>
      </w:pPr>
      <w:r w:rsidRPr="00051FD1">
        <w:rPr>
          <w:i/>
          <w:kern w:val="22"/>
          <w:sz w:val="22"/>
          <w:szCs w:val="22"/>
          <w:lang w:val="en-GB"/>
        </w:rPr>
        <w:t>Convention on the Conservation of Migratory Species of Wild Animals</w:t>
      </w:r>
      <w:r w:rsidR="00C87797" w:rsidRPr="00051FD1">
        <w:rPr>
          <w:i/>
          <w:kern w:val="22"/>
          <w:sz w:val="22"/>
          <w:szCs w:val="22"/>
          <w:lang w:val="en-GB"/>
        </w:rPr>
        <w:t xml:space="preserve"> (CMS)</w:t>
      </w:r>
    </w:p>
    <w:p w:rsidR="00B33755" w:rsidRPr="00051FD1" w:rsidRDefault="004B456F" w:rsidP="00051FD1">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At its twelfth meeting, the Conference of the Partie</w:t>
      </w:r>
      <w:r w:rsidR="008A1764">
        <w:rPr>
          <w:kern w:val="22"/>
          <w:sz w:val="22"/>
          <w:szCs w:val="22"/>
          <w:lang w:val="en-GB"/>
        </w:rPr>
        <w:t>s</w:t>
      </w:r>
      <w:r w:rsidR="00B33755" w:rsidRPr="00051FD1">
        <w:rPr>
          <w:kern w:val="22"/>
          <w:sz w:val="22"/>
          <w:szCs w:val="22"/>
          <w:lang w:val="en-GB"/>
        </w:rPr>
        <w:t xml:space="preserve"> to CMS established a review mechanism for specific implementation matters as well as a national legislation programme. The review mechanism is supportive, non-adversarial and facilitative in nature. It is based on a triennial review of national reports by the Secretariat or on specific information made available to the Secretariat when implementation matters arise which can also come from international or accredited national non-governmental agencies or bodies. Following handling and screening of the information and a decision on its admissibility, the concerned Party is informed and given the opportunity to comment and/or address the matter. A failure to </w:t>
      </w:r>
      <w:r w:rsidR="00B33755" w:rsidRPr="00051FD1">
        <w:rPr>
          <w:kern w:val="22"/>
          <w:sz w:val="22"/>
          <w:szCs w:val="22"/>
          <w:lang w:val="en-GB"/>
        </w:rPr>
        <w:lastRenderedPageBreak/>
        <w:t>address the matter within a reasonable time is brought to the attention of the Standing Committee which acts as the review body and can take a number of measures aimed at enabling the concerned Party to address the matter.</w:t>
      </w:r>
    </w:p>
    <w:p w:rsidR="00B33755" w:rsidRPr="00051FD1" w:rsidRDefault="00B33755" w:rsidP="00051FD1">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 xml:space="preserve">The national legislation programme seeks to ensure, in a supportive, non-adversarial and facilitative way, the compliance with the obligations of each Range States of a migratory species listed in Appendix I through appropriate national legislation. </w:t>
      </w:r>
      <w:r w:rsidR="00C87797" w:rsidRPr="00051FD1">
        <w:rPr>
          <w:kern w:val="22"/>
          <w:sz w:val="22"/>
          <w:szCs w:val="22"/>
          <w:lang w:val="en-GB"/>
        </w:rPr>
        <w:t>The programme envisages the provision</w:t>
      </w:r>
      <w:r w:rsidR="00B0526C">
        <w:rPr>
          <w:kern w:val="22"/>
          <w:sz w:val="22"/>
          <w:szCs w:val="22"/>
          <w:lang w:val="en-GB"/>
        </w:rPr>
        <w:t>, among other things,</w:t>
      </w:r>
      <w:r w:rsidR="00C87797" w:rsidRPr="00051FD1">
        <w:rPr>
          <w:kern w:val="22"/>
          <w:sz w:val="22"/>
          <w:szCs w:val="22"/>
          <w:lang w:val="en-GB"/>
        </w:rPr>
        <w:t xml:space="preserve"> of guidance materials, model laws, technical assistance and capacity-building workshops to enable non-compliant Parties </w:t>
      </w:r>
      <w:r w:rsidR="004B456F" w:rsidRPr="00051FD1">
        <w:rPr>
          <w:kern w:val="22"/>
          <w:sz w:val="22"/>
          <w:szCs w:val="22"/>
          <w:lang w:val="en-GB"/>
        </w:rPr>
        <w:t xml:space="preserve">to </w:t>
      </w:r>
      <w:r w:rsidR="00C87797" w:rsidRPr="00051FD1">
        <w:rPr>
          <w:kern w:val="22"/>
          <w:sz w:val="22"/>
          <w:szCs w:val="22"/>
          <w:lang w:val="en-GB"/>
        </w:rPr>
        <w:t>meet their obligations.</w:t>
      </w:r>
    </w:p>
    <w:p w:rsidR="00004A24" w:rsidRPr="00051FD1" w:rsidRDefault="007568E1" w:rsidP="00051FD1">
      <w:pPr>
        <w:pStyle w:val="Para1"/>
        <w:spacing w:before="120"/>
        <w:jc w:val="both"/>
        <w:rPr>
          <w:i/>
          <w:kern w:val="22"/>
          <w:sz w:val="22"/>
          <w:szCs w:val="22"/>
          <w:lang w:val="en-GB"/>
        </w:rPr>
      </w:pPr>
      <w:r w:rsidRPr="00051FD1">
        <w:rPr>
          <w:i/>
          <w:kern w:val="22"/>
          <w:sz w:val="22"/>
          <w:szCs w:val="22"/>
          <w:lang w:val="en-GB"/>
        </w:rPr>
        <w:t>Voluntary National Reviews of implementation of the 2030 Agenda for Sustainable Development</w:t>
      </w:r>
    </w:p>
    <w:p w:rsidR="00F02B36" w:rsidRPr="00051FD1" w:rsidRDefault="007568E1" w:rsidP="00051FD1">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 xml:space="preserve">As part of follow-up and review for the 2030 Agenda for Sustainable Development, member </w:t>
      </w:r>
      <w:r w:rsidR="004B456F" w:rsidRPr="00051FD1">
        <w:rPr>
          <w:kern w:val="22"/>
          <w:sz w:val="22"/>
          <w:szCs w:val="22"/>
          <w:lang w:val="en-GB"/>
        </w:rPr>
        <w:t>S</w:t>
      </w:r>
      <w:r w:rsidRPr="00051FD1">
        <w:rPr>
          <w:kern w:val="22"/>
          <w:sz w:val="22"/>
          <w:szCs w:val="22"/>
          <w:lang w:val="en-GB"/>
        </w:rPr>
        <w:t xml:space="preserve">tates of the United Nations are encouraged to </w:t>
      </w:r>
      <w:r w:rsidR="004B456F" w:rsidRPr="00051FD1">
        <w:rPr>
          <w:kern w:val="22"/>
          <w:sz w:val="22"/>
          <w:szCs w:val="22"/>
          <w:lang w:val="en-GB"/>
        </w:rPr>
        <w:t>“</w:t>
      </w:r>
      <w:r w:rsidRPr="00051FD1">
        <w:rPr>
          <w:kern w:val="22"/>
          <w:sz w:val="22"/>
          <w:szCs w:val="22"/>
          <w:lang w:val="en-GB"/>
        </w:rPr>
        <w:t>conduct regular and inclusive reviews of progress at the national and sub-national levels, which are country-led and country-driven</w:t>
      </w:r>
      <w:r w:rsidR="004B456F" w:rsidRPr="00051FD1">
        <w:rPr>
          <w:kern w:val="22"/>
          <w:sz w:val="22"/>
          <w:szCs w:val="22"/>
          <w:lang w:val="en-GB"/>
        </w:rPr>
        <w:t>”</w:t>
      </w:r>
      <w:r w:rsidRPr="00051FD1">
        <w:rPr>
          <w:kern w:val="22"/>
          <w:sz w:val="22"/>
          <w:szCs w:val="22"/>
          <w:lang w:val="en-GB"/>
        </w:rPr>
        <w:t xml:space="preserve"> (para</w:t>
      </w:r>
      <w:r w:rsidR="004B456F" w:rsidRPr="00051FD1">
        <w:rPr>
          <w:kern w:val="22"/>
          <w:sz w:val="22"/>
          <w:szCs w:val="22"/>
          <w:lang w:val="en-GB"/>
        </w:rPr>
        <w:t>.</w:t>
      </w:r>
      <w:r w:rsidRPr="00051FD1">
        <w:rPr>
          <w:kern w:val="22"/>
          <w:sz w:val="22"/>
          <w:szCs w:val="22"/>
          <w:lang w:val="en-GB"/>
        </w:rPr>
        <w:t xml:space="preserve"> 79). These </w:t>
      </w:r>
      <w:hyperlink r:id="rId18" w:history="1">
        <w:r w:rsidRPr="00051FD1">
          <w:rPr>
            <w:kern w:val="22"/>
            <w:sz w:val="22"/>
            <w:szCs w:val="22"/>
            <w:lang w:val="en-GB"/>
          </w:rPr>
          <w:t>Voluntary National Reviews</w:t>
        </w:r>
      </w:hyperlink>
      <w:r w:rsidRPr="00051FD1">
        <w:rPr>
          <w:kern w:val="22"/>
          <w:sz w:val="22"/>
          <w:szCs w:val="22"/>
          <w:lang w:val="en-GB"/>
        </w:rPr>
        <w:t xml:space="preserve"> (VNRs) are conducted annually in New York under the auspices of the High-level Political Forum (HLPF). </w:t>
      </w:r>
      <w:r w:rsidR="00F02B36" w:rsidRPr="00051FD1">
        <w:rPr>
          <w:kern w:val="22"/>
          <w:sz w:val="22"/>
          <w:szCs w:val="22"/>
          <w:lang w:val="en-GB"/>
        </w:rPr>
        <w:t xml:space="preserve">Reviews are to be voluntary, </w:t>
      </w:r>
      <w:r w:rsidR="008C44D0">
        <w:rPr>
          <w:kern w:val="22"/>
          <w:sz w:val="22"/>
          <w:szCs w:val="22"/>
          <w:lang w:val="en-GB"/>
        </w:rPr>
        <w:t>S</w:t>
      </w:r>
      <w:r w:rsidR="00F02B36" w:rsidRPr="00051FD1">
        <w:rPr>
          <w:kern w:val="22"/>
          <w:sz w:val="22"/>
          <w:szCs w:val="22"/>
          <w:lang w:val="en-GB"/>
        </w:rPr>
        <w:t xml:space="preserve">tate-led, undertaken by both developed and developing countries, and involve multiple stakeholders. </w:t>
      </w:r>
      <w:r w:rsidRPr="00051FD1">
        <w:rPr>
          <w:kern w:val="22"/>
          <w:sz w:val="22"/>
          <w:szCs w:val="22"/>
          <w:lang w:val="en-GB"/>
        </w:rPr>
        <w:t xml:space="preserve">A </w:t>
      </w:r>
      <w:hyperlink r:id="rId19" w:history="1">
        <w:r w:rsidRPr="00051FD1">
          <w:rPr>
            <w:kern w:val="22"/>
            <w:sz w:val="22"/>
            <w:szCs w:val="22"/>
            <w:lang w:val="en-GB"/>
          </w:rPr>
          <w:t>Handbook</w:t>
        </w:r>
      </w:hyperlink>
      <w:r w:rsidRPr="00051FD1">
        <w:rPr>
          <w:kern w:val="22"/>
          <w:sz w:val="22"/>
          <w:szCs w:val="22"/>
          <w:lang w:val="en-GB"/>
        </w:rPr>
        <w:t xml:space="preserve"> </w:t>
      </w:r>
      <w:r w:rsidR="00C87797" w:rsidRPr="00051FD1">
        <w:rPr>
          <w:kern w:val="22"/>
          <w:sz w:val="22"/>
          <w:szCs w:val="22"/>
          <w:vertAlign w:val="superscript"/>
          <w:lang w:val="en-GB"/>
        </w:rPr>
        <w:footnoteReference w:id="24"/>
      </w:r>
      <w:r w:rsidR="00F02B36" w:rsidRPr="00051FD1">
        <w:rPr>
          <w:kern w:val="22"/>
          <w:sz w:val="22"/>
          <w:szCs w:val="22"/>
          <w:lang w:val="en-GB"/>
        </w:rPr>
        <w:t xml:space="preserve"> </w:t>
      </w:r>
      <w:r w:rsidRPr="00051FD1">
        <w:rPr>
          <w:kern w:val="22"/>
          <w:sz w:val="22"/>
          <w:szCs w:val="22"/>
          <w:lang w:val="en-GB"/>
        </w:rPr>
        <w:t xml:space="preserve">and voluntary </w:t>
      </w:r>
      <w:hyperlink r:id="rId20" w:history="1">
        <w:r w:rsidRPr="00051FD1">
          <w:rPr>
            <w:kern w:val="22"/>
            <w:sz w:val="22"/>
            <w:szCs w:val="22"/>
            <w:lang w:val="en-GB"/>
          </w:rPr>
          <w:t>Guidelines</w:t>
        </w:r>
      </w:hyperlink>
      <w:r w:rsidR="00C87797" w:rsidRPr="00051FD1">
        <w:rPr>
          <w:kern w:val="22"/>
          <w:sz w:val="22"/>
          <w:szCs w:val="22"/>
          <w:vertAlign w:val="superscript"/>
          <w:lang w:val="en-GB"/>
        </w:rPr>
        <w:footnoteReference w:id="25"/>
      </w:r>
      <w:r w:rsidR="00F02B36" w:rsidRPr="00051FD1">
        <w:rPr>
          <w:kern w:val="22"/>
          <w:sz w:val="22"/>
          <w:szCs w:val="22"/>
          <w:lang w:val="en-GB"/>
        </w:rPr>
        <w:t xml:space="preserve"> </w:t>
      </w:r>
      <w:r w:rsidRPr="00051FD1">
        <w:rPr>
          <w:kern w:val="22"/>
          <w:sz w:val="22"/>
          <w:szCs w:val="22"/>
          <w:lang w:val="en-GB"/>
        </w:rPr>
        <w:t xml:space="preserve">have been prepared by the Department of Economic and Social Affairs </w:t>
      </w:r>
      <w:r w:rsidR="00DA7335">
        <w:rPr>
          <w:kern w:val="22"/>
          <w:sz w:val="22"/>
          <w:szCs w:val="22"/>
          <w:lang w:val="en-GB"/>
        </w:rPr>
        <w:t>to assist M</w:t>
      </w:r>
      <w:bookmarkStart w:id="1" w:name="_GoBack"/>
      <w:bookmarkEnd w:id="1"/>
      <w:r w:rsidRPr="00051FD1">
        <w:rPr>
          <w:kern w:val="22"/>
          <w:sz w:val="22"/>
          <w:szCs w:val="22"/>
          <w:lang w:val="en-GB"/>
        </w:rPr>
        <w:t xml:space="preserve">ember </w:t>
      </w:r>
      <w:r w:rsidR="008A1764">
        <w:rPr>
          <w:kern w:val="22"/>
          <w:sz w:val="22"/>
          <w:szCs w:val="22"/>
          <w:lang w:val="en-GB"/>
        </w:rPr>
        <w:t>S</w:t>
      </w:r>
      <w:r w:rsidRPr="00051FD1">
        <w:rPr>
          <w:kern w:val="22"/>
          <w:sz w:val="22"/>
          <w:szCs w:val="22"/>
          <w:lang w:val="en-GB"/>
        </w:rPr>
        <w:t>tates in the preparation of their VNRs.</w:t>
      </w:r>
    </w:p>
    <w:p w:rsidR="007568E1" w:rsidRPr="00051FD1" w:rsidRDefault="00F02B36" w:rsidP="00051FD1">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The VNRs aim to facilitate the sharing of experiences, including successes, challenges and lessons learned, with a view to accelerating the implementation of the 2030 Agenda. This includes statements on how the Government is responding to the transformative nature of the 2030 Agenda for Development through</w:t>
      </w:r>
      <w:r w:rsidR="00810D6B">
        <w:rPr>
          <w:kern w:val="22"/>
          <w:sz w:val="22"/>
          <w:szCs w:val="22"/>
          <w:lang w:val="en-GB"/>
        </w:rPr>
        <w:t>, among other things,</w:t>
      </w:r>
      <w:r w:rsidRPr="00051FD1">
        <w:rPr>
          <w:kern w:val="22"/>
          <w:sz w:val="22"/>
          <w:szCs w:val="22"/>
          <w:lang w:val="en-GB"/>
        </w:rPr>
        <w:t xml:space="preserve"> its national development plans, strategies, or other relevant documents. The VNRs also seek to strengthen policies</w:t>
      </w:r>
      <w:bookmarkStart w:id="2" w:name="results_area"/>
      <w:bookmarkEnd w:id="2"/>
      <w:r w:rsidRPr="00051FD1">
        <w:rPr>
          <w:kern w:val="22"/>
          <w:sz w:val="22"/>
          <w:szCs w:val="22"/>
          <w:lang w:val="en-GB"/>
        </w:rPr>
        <w:t xml:space="preserve"> and institutions of governments and to mobilize multi-stakeholder support and partnerships for the implementation of the Sustainable Development Goal. 22 and 43 countries participated in the VNR in 2016 and 2017, respectively</w:t>
      </w:r>
      <w:r w:rsidR="00A212E7">
        <w:rPr>
          <w:kern w:val="22"/>
          <w:sz w:val="22"/>
          <w:szCs w:val="22"/>
          <w:lang w:val="en-GB"/>
        </w:rPr>
        <w:t>,</w:t>
      </w:r>
      <w:r w:rsidRPr="00051FD1">
        <w:rPr>
          <w:kern w:val="22"/>
          <w:sz w:val="22"/>
          <w:szCs w:val="22"/>
          <w:lang w:val="en-GB"/>
        </w:rPr>
        <w:t xml:space="preserve"> and 47 are scheduled to submit a VNR in 2018.</w:t>
      </w:r>
    </w:p>
    <w:p w:rsidR="00F02B36" w:rsidRPr="00051FD1" w:rsidRDefault="00F02B36" w:rsidP="00051FD1">
      <w:pPr>
        <w:pStyle w:val="Para1"/>
        <w:numPr>
          <w:ilvl w:val="0"/>
          <w:numId w:val="22"/>
        </w:numPr>
        <w:suppressLineNumbers/>
        <w:tabs>
          <w:tab w:val="clear" w:pos="360"/>
        </w:tabs>
        <w:suppressAutoHyphens/>
        <w:spacing w:before="120"/>
        <w:jc w:val="both"/>
        <w:rPr>
          <w:kern w:val="22"/>
          <w:sz w:val="22"/>
          <w:szCs w:val="22"/>
          <w:lang w:val="en-GB"/>
        </w:rPr>
      </w:pPr>
      <w:r w:rsidRPr="00051FD1">
        <w:rPr>
          <w:kern w:val="22"/>
          <w:sz w:val="22"/>
          <w:szCs w:val="22"/>
          <w:lang w:val="en-GB"/>
        </w:rPr>
        <w:t>Given the integrated and indivisible nature of the goals and targets of the 2030 Agenda for Sustainable Development</w:t>
      </w:r>
      <w:r w:rsidR="0075167F" w:rsidRPr="00051FD1">
        <w:rPr>
          <w:kern w:val="22"/>
          <w:sz w:val="22"/>
          <w:szCs w:val="22"/>
          <w:lang w:val="en-GB"/>
        </w:rPr>
        <w:t xml:space="preserve">, VNRs should recognize the fundamental importance of biodiversity to achieving the 2030 Agenda and </w:t>
      </w:r>
      <w:r w:rsidR="00DA24AB">
        <w:rPr>
          <w:kern w:val="22"/>
          <w:sz w:val="22"/>
          <w:szCs w:val="22"/>
          <w:lang w:val="en-GB"/>
        </w:rPr>
        <w:t>Sustainable Development Goals</w:t>
      </w:r>
      <w:r w:rsidR="0075167F" w:rsidRPr="00051FD1">
        <w:rPr>
          <w:kern w:val="22"/>
          <w:sz w:val="22"/>
          <w:szCs w:val="22"/>
          <w:lang w:val="en-GB"/>
        </w:rPr>
        <w:t>. A note providing guidance on the preparation of VNRs from a biodiversity perspective</w:t>
      </w:r>
      <w:r w:rsidR="00427620" w:rsidRPr="00051FD1">
        <w:rPr>
          <w:kern w:val="22"/>
          <w:sz w:val="22"/>
          <w:szCs w:val="22"/>
          <w:lang w:val="en-GB"/>
        </w:rPr>
        <w:t xml:space="preserve"> is being made available</w:t>
      </w:r>
      <w:r w:rsidR="0075167F" w:rsidRPr="00051FD1">
        <w:rPr>
          <w:kern w:val="22"/>
          <w:sz w:val="22"/>
          <w:szCs w:val="22"/>
          <w:lang w:val="en-GB"/>
        </w:rPr>
        <w:t>.</w:t>
      </w:r>
      <w:r w:rsidR="0075167F" w:rsidRPr="00051FD1">
        <w:rPr>
          <w:kern w:val="22"/>
          <w:sz w:val="22"/>
          <w:szCs w:val="22"/>
          <w:vertAlign w:val="superscript"/>
          <w:lang w:val="en-GB"/>
        </w:rPr>
        <w:footnoteReference w:id="26"/>
      </w:r>
    </w:p>
    <w:p w:rsidR="00A25115" w:rsidRPr="00051FD1" w:rsidRDefault="00B33755" w:rsidP="00A25115">
      <w:pPr>
        <w:pStyle w:val="Para1"/>
        <w:jc w:val="center"/>
        <w:rPr>
          <w:i/>
          <w:kern w:val="22"/>
          <w:sz w:val="22"/>
          <w:szCs w:val="22"/>
          <w:lang w:val="en-GB"/>
        </w:rPr>
      </w:pPr>
      <w:r w:rsidRPr="00051FD1">
        <w:rPr>
          <w:kern w:val="22"/>
          <w:sz w:val="22"/>
          <w:szCs w:val="22"/>
          <w:lang w:val="en-GB"/>
        </w:rPr>
        <w:br w:type="page"/>
      </w:r>
      <w:r w:rsidR="005509A7" w:rsidRPr="00051FD1">
        <w:rPr>
          <w:i/>
          <w:kern w:val="22"/>
          <w:sz w:val="22"/>
          <w:szCs w:val="22"/>
          <w:lang w:val="en-GB"/>
        </w:rPr>
        <w:lastRenderedPageBreak/>
        <w:t>Annex</w:t>
      </w:r>
      <w:r w:rsidR="001D178D" w:rsidRPr="00051FD1">
        <w:rPr>
          <w:i/>
          <w:kern w:val="22"/>
          <w:sz w:val="22"/>
          <w:szCs w:val="22"/>
          <w:lang w:val="en-GB"/>
        </w:rPr>
        <w:t xml:space="preserve"> II</w:t>
      </w:r>
    </w:p>
    <w:p w:rsidR="005509A7" w:rsidRPr="00051FD1" w:rsidRDefault="005509A7" w:rsidP="00051FD1">
      <w:pPr>
        <w:pStyle w:val="Heading1"/>
        <w:tabs>
          <w:tab w:val="clear" w:pos="720"/>
        </w:tabs>
        <w:spacing w:before="120"/>
        <w:rPr>
          <w:snapToGrid w:val="0"/>
          <w:kern w:val="22"/>
          <w:sz w:val="22"/>
          <w:szCs w:val="22"/>
          <w:lang w:val="en-GB"/>
        </w:rPr>
      </w:pPr>
      <w:r w:rsidRPr="00051FD1">
        <w:rPr>
          <w:snapToGrid w:val="0"/>
          <w:kern w:val="22"/>
          <w:sz w:val="22"/>
          <w:szCs w:val="22"/>
          <w:lang w:val="en-GB"/>
        </w:rPr>
        <w:t>Possible elements of a multidimensional review mechanism under the</w:t>
      </w:r>
      <w:r w:rsidR="00636FAE">
        <w:rPr>
          <w:snapToGrid w:val="0"/>
          <w:kern w:val="22"/>
          <w:sz w:val="22"/>
          <w:szCs w:val="22"/>
          <w:lang w:val="en-GB"/>
        </w:rPr>
        <w:t> </w:t>
      </w:r>
      <w:r w:rsidRPr="00051FD1">
        <w:rPr>
          <w:snapToGrid w:val="0"/>
          <w:kern w:val="22"/>
          <w:sz w:val="22"/>
          <w:szCs w:val="22"/>
          <w:lang w:val="en-GB"/>
        </w:rPr>
        <w:t>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020"/>
        <w:gridCol w:w="1597"/>
        <w:gridCol w:w="1597"/>
        <w:gridCol w:w="2211"/>
      </w:tblGrid>
      <w:tr w:rsidR="00DD1DF0" w:rsidRPr="00051FD1" w:rsidTr="00051FD1">
        <w:trPr>
          <w:tblHeader/>
        </w:trPr>
        <w:tc>
          <w:tcPr>
            <w:tcW w:w="1897" w:type="dxa"/>
            <w:shd w:val="clear" w:color="auto" w:fill="auto"/>
          </w:tcPr>
          <w:p w:rsidR="00DD1DF0" w:rsidRPr="00087A59" w:rsidRDefault="00DD1DF0" w:rsidP="00051FD1">
            <w:pPr>
              <w:pStyle w:val="Para1"/>
              <w:jc w:val="center"/>
              <w:rPr>
                <w:rFonts w:eastAsia="MS Mincho"/>
                <w:b/>
                <w:kern w:val="22"/>
                <w:sz w:val="22"/>
                <w:szCs w:val="22"/>
                <w:lang w:val="en-GB"/>
              </w:rPr>
            </w:pPr>
            <w:r w:rsidRPr="00087A59">
              <w:rPr>
                <w:rFonts w:eastAsia="MS Mincho"/>
                <w:b/>
                <w:kern w:val="22"/>
                <w:sz w:val="22"/>
                <w:szCs w:val="22"/>
                <w:lang w:val="en-GB"/>
              </w:rPr>
              <w:t>(possible) Element</w:t>
            </w:r>
          </w:p>
        </w:tc>
        <w:tc>
          <w:tcPr>
            <w:tcW w:w="2020" w:type="dxa"/>
            <w:shd w:val="clear" w:color="auto" w:fill="auto"/>
          </w:tcPr>
          <w:p w:rsidR="00DD1DF0" w:rsidRPr="00051FD1" w:rsidRDefault="00DD1DF0" w:rsidP="00051FD1">
            <w:pPr>
              <w:pStyle w:val="Para1"/>
              <w:jc w:val="center"/>
              <w:rPr>
                <w:rFonts w:eastAsia="MS Mincho"/>
                <w:b/>
                <w:kern w:val="22"/>
                <w:sz w:val="22"/>
                <w:szCs w:val="22"/>
                <w:lang w:val="en-GB"/>
              </w:rPr>
            </w:pPr>
            <w:r w:rsidRPr="00051FD1">
              <w:rPr>
                <w:rFonts w:eastAsia="MS Mincho"/>
                <w:b/>
                <w:kern w:val="22"/>
                <w:sz w:val="22"/>
                <w:szCs w:val="22"/>
                <w:lang w:val="en-GB"/>
              </w:rPr>
              <w:t>Example</w:t>
            </w:r>
          </w:p>
        </w:tc>
        <w:tc>
          <w:tcPr>
            <w:tcW w:w="1597" w:type="dxa"/>
            <w:shd w:val="clear" w:color="auto" w:fill="auto"/>
          </w:tcPr>
          <w:p w:rsidR="00DD1DF0" w:rsidRPr="00051FD1" w:rsidRDefault="00DD1DF0" w:rsidP="00051FD1">
            <w:pPr>
              <w:pStyle w:val="Para1"/>
              <w:jc w:val="center"/>
              <w:rPr>
                <w:rFonts w:eastAsia="MS Mincho"/>
                <w:b/>
                <w:kern w:val="22"/>
                <w:sz w:val="22"/>
                <w:szCs w:val="22"/>
                <w:lang w:val="en-GB"/>
              </w:rPr>
            </w:pPr>
            <w:r w:rsidRPr="00051FD1">
              <w:rPr>
                <w:rFonts w:eastAsia="MS Mincho"/>
                <w:b/>
                <w:kern w:val="22"/>
                <w:sz w:val="22"/>
                <w:szCs w:val="22"/>
                <w:lang w:val="en-GB"/>
              </w:rPr>
              <w:t>Periodicity</w:t>
            </w:r>
          </w:p>
        </w:tc>
        <w:tc>
          <w:tcPr>
            <w:tcW w:w="1597" w:type="dxa"/>
            <w:shd w:val="clear" w:color="auto" w:fill="auto"/>
          </w:tcPr>
          <w:p w:rsidR="00DD1DF0" w:rsidRPr="00051FD1" w:rsidRDefault="00DD1DF0" w:rsidP="00051FD1">
            <w:pPr>
              <w:pStyle w:val="Para1"/>
              <w:jc w:val="center"/>
              <w:rPr>
                <w:rFonts w:eastAsia="MS Mincho"/>
                <w:b/>
                <w:kern w:val="22"/>
                <w:sz w:val="22"/>
                <w:szCs w:val="22"/>
                <w:lang w:val="en-GB"/>
              </w:rPr>
            </w:pPr>
            <w:r w:rsidRPr="00051FD1">
              <w:rPr>
                <w:rFonts w:eastAsia="MS Mincho"/>
                <w:b/>
                <w:kern w:val="22"/>
                <w:sz w:val="22"/>
                <w:szCs w:val="22"/>
                <w:lang w:val="en-GB"/>
              </w:rPr>
              <w:t>Limitations</w:t>
            </w:r>
          </w:p>
        </w:tc>
        <w:tc>
          <w:tcPr>
            <w:tcW w:w="2211" w:type="dxa"/>
            <w:shd w:val="clear" w:color="auto" w:fill="auto"/>
          </w:tcPr>
          <w:p w:rsidR="00DD1DF0" w:rsidRPr="00051FD1" w:rsidRDefault="00DD1DF0" w:rsidP="00051FD1">
            <w:pPr>
              <w:pStyle w:val="Para1"/>
              <w:jc w:val="center"/>
              <w:rPr>
                <w:rFonts w:eastAsia="MS Mincho"/>
                <w:b/>
                <w:kern w:val="22"/>
                <w:sz w:val="22"/>
                <w:szCs w:val="22"/>
                <w:lang w:val="en-GB"/>
              </w:rPr>
            </w:pPr>
            <w:r w:rsidRPr="00051FD1">
              <w:rPr>
                <w:rFonts w:eastAsia="MS Mincho"/>
                <w:b/>
                <w:kern w:val="22"/>
                <w:sz w:val="22"/>
                <w:szCs w:val="22"/>
                <w:lang w:val="en-GB"/>
              </w:rPr>
              <w:t>Options for enhancement</w:t>
            </w:r>
          </w:p>
        </w:tc>
      </w:tr>
      <w:tr w:rsidR="00DD1DF0" w:rsidRPr="00051FD1" w:rsidTr="00DD1DF0">
        <w:tc>
          <w:tcPr>
            <w:tcW w:w="1897" w:type="dxa"/>
            <w:shd w:val="clear" w:color="auto" w:fill="auto"/>
          </w:tcPr>
          <w:p w:rsidR="00DD1DF0" w:rsidRPr="00051FD1" w:rsidRDefault="00DD1DF0" w:rsidP="0045138F">
            <w:pPr>
              <w:pStyle w:val="Para1"/>
              <w:rPr>
                <w:rFonts w:eastAsia="MS Mincho"/>
                <w:kern w:val="22"/>
                <w:sz w:val="22"/>
                <w:szCs w:val="22"/>
                <w:lang w:val="en-GB"/>
              </w:rPr>
            </w:pPr>
            <w:r w:rsidRPr="00051FD1">
              <w:rPr>
                <w:rFonts w:eastAsia="MS Mincho"/>
                <w:kern w:val="22"/>
                <w:sz w:val="22"/>
                <w:szCs w:val="22"/>
                <w:lang w:val="en-GB"/>
              </w:rPr>
              <w:t xml:space="preserve">Review of progress made by Parties </w:t>
            </w:r>
            <w:r w:rsidR="0045138F" w:rsidRPr="00051FD1">
              <w:rPr>
                <w:rFonts w:eastAsia="MS Mincho"/>
                <w:kern w:val="22"/>
                <w:sz w:val="22"/>
                <w:szCs w:val="22"/>
                <w:lang w:val="en-GB"/>
              </w:rPr>
              <w:t xml:space="preserve">collectively </w:t>
            </w:r>
            <w:r w:rsidRPr="00051FD1">
              <w:rPr>
                <w:rFonts w:eastAsia="MS Mincho"/>
                <w:kern w:val="22"/>
                <w:sz w:val="22"/>
                <w:szCs w:val="22"/>
                <w:lang w:val="en-GB"/>
              </w:rPr>
              <w:t>and the contribution of aggregate national targets towards global targets</w:t>
            </w:r>
          </w:p>
        </w:tc>
        <w:tc>
          <w:tcPr>
            <w:tcW w:w="2020"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GBO-4, CBD/SBI/2/2/Add.2 on the basis of NBSAPs and national reports</w:t>
            </w:r>
          </w:p>
        </w:tc>
        <w:tc>
          <w:tcPr>
            <w:tcW w:w="1597"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Update suggested to be continuous as new information is received (rec in SBI/2/2)</w:t>
            </w:r>
          </w:p>
        </w:tc>
        <w:tc>
          <w:tcPr>
            <w:tcW w:w="1597"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Aggregation is problematic. No mechanism to “ratchet up” progress</w:t>
            </w:r>
          </w:p>
        </w:tc>
        <w:tc>
          <w:tcPr>
            <w:tcW w:w="2211" w:type="dxa"/>
            <w:shd w:val="clear" w:color="auto" w:fill="auto"/>
          </w:tcPr>
          <w:p w:rsidR="00DD1DF0" w:rsidRPr="00051FD1" w:rsidRDefault="00DD1DF0" w:rsidP="00051FD1">
            <w:pPr>
              <w:pStyle w:val="Para1"/>
              <w:rPr>
                <w:rFonts w:eastAsia="MS Mincho"/>
                <w:kern w:val="22"/>
                <w:sz w:val="22"/>
                <w:szCs w:val="22"/>
                <w:lang w:val="en-GB"/>
              </w:rPr>
            </w:pPr>
            <w:r w:rsidRPr="00051FD1">
              <w:rPr>
                <w:rFonts w:eastAsia="MS Mincho"/>
                <w:kern w:val="22"/>
                <w:sz w:val="22"/>
                <w:szCs w:val="22"/>
                <w:lang w:val="en-GB"/>
              </w:rPr>
              <w:t xml:space="preserve">Voluntary </w:t>
            </w:r>
            <w:r w:rsidR="0045138F" w:rsidRPr="00051FD1">
              <w:rPr>
                <w:rFonts w:eastAsia="MS Mincho"/>
                <w:kern w:val="22"/>
                <w:sz w:val="22"/>
                <w:szCs w:val="22"/>
                <w:lang w:val="en-GB"/>
              </w:rPr>
              <w:t xml:space="preserve">individual </w:t>
            </w:r>
            <w:r w:rsidRPr="00051FD1">
              <w:rPr>
                <w:rFonts w:eastAsia="MS Mincho"/>
                <w:kern w:val="22"/>
                <w:sz w:val="22"/>
                <w:szCs w:val="22"/>
                <w:lang w:val="en-GB"/>
              </w:rPr>
              <w:t>pledges</w:t>
            </w:r>
          </w:p>
        </w:tc>
      </w:tr>
      <w:tr w:rsidR="00DD1DF0" w:rsidRPr="00051FD1" w:rsidTr="00DD1DF0">
        <w:tc>
          <w:tcPr>
            <w:tcW w:w="1897" w:type="dxa"/>
            <w:shd w:val="clear" w:color="auto" w:fill="auto"/>
          </w:tcPr>
          <w:p w:rsidR="00DD1DF0" w:rsidRPr="00051FD1" w:rsidRDefault="00DD1DF0" w:rsidP="00EE12E4">
            <w:pPr>
              <w:pStyle w:val="Para1"/>
              <w:rPr>
                <w:rFonts w:eastAsia="MS Mincho"/>
                <w:kern w:val="22"/>
                <w:sz w:val="22"/>
                <w:szCs w:val="22"/>
                <w:lang w:val="en-GB"/>
              </w:rPr>
            </w:pPr>
            <w:r w:rsidRPr="00087A59">
              <w:rPr>
                <w:rFonts w:eastAsia="MS Mincho"/>
                <w:kern w:val="22"/>
                <w:sz w:val="22"/>
                <w:szCs w:val="22"/>
                <w:lang w:val="en-GB"/>
              </w:rPr>
              <w:t>Review of progress by Parties in achieving their national targets and actions</w:t>
            </w:r>
          </w:p>
        </w:tc>
        <w:tc>
          <w:tcPr>
            <w:tcW w:w="2020" w:type="dxa"/>
            <w:shd w:val="clear" w:color="auto" w:fill="auto"/>
          </w:tcPr>
          <w:p w:rsidR="00DD1DF0" w:rsidRPr="00051FD1" w:rsidRDefault="00DD1DF0" w:rsidP="00051FD1">
            <w:pPr>
              <w:pStyle w:val="Para1"/>
              <w:rPr>
                <w:rFonts w:eastAsia="MS Mincho"/>
                <w:kern w:val="22"/>
                <w:sz w:val="22"/>
                <w:szCs w:val="22"/>
                <w:lang w:val="en-GB"/>
              </w:rPr>
            </w:pPr>
            <w:r w:rsidRPr="00051FD1">
              <w:rPr>
                <w:rFonts w:eastAsia="MS Mincho"/>
                <w:kern w:val="22"/>
                <w:sz w:val="22"/>
                <w:szCs w:val="22"/>
                <w:lang w:val="en-GB"/>
              </w:rPr>
              <w:t>Visualization of information from national reports</w:t>
            </w:r>
          </w:p>
        </w:tc>
        <w:tc>
          <w:tcPr>
            <w:tcW w:w="1597"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Approximately every 4 years</w:t>
            </w:r>
          </w:p>
        </w:tc>
        <w:tc>
          <w:tcPr>
            <w:tcW w:w="1597" w:type="dxa"/>
            <w:shd w:val="clear" w:color="auto" w:fill="auto"/>
          </w:tcPr>
          <w:p w:rsidR="00DD1DF0" w:rsidRPr="00051FD1" w:rsidRDefault="00DD1DF0" w:rsidP="00051FD1">
            <w:pPr>
              <w:pStyle w:val="Para1"/>
              <w:rPr>
                <w:rFonts w:eastAsia="MS Mincho"/>
                <w:kern w:val="22"/>
                <w:sz w:val="22"/>
                <w:szCs w:val="22"/>
                <w:lang w:val="en-GB"/>
              </w:rPr>
            </w:pPr>
            <w:r w:rsidRPr="00051FD1">
              <w:rPr>
                <w:rFonts w:eastAsia="MS Mincho"/>
                <w:kern w:val="22"/>
                <w:sz w:val="22"/>
                <w:szCs w:val="22"/>
                <w:lang w:val="en-GB"/>
              </w:rPr>
              <w:t>No verification mechanism</w:t>
            </w:r>
          </w:p>
        </w:tc>
        <w:tc>
          <w:tcPr>
            <w:tcW w:w="2211"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Soft verification through dialogue session or open-ended forum</w:t>
            </w:r>
          </w:p>
        </w:tc>
      </w:tr>
      <w:tr w:rsidR="001C3AD5" w:rsidRPr="00051FD1" w:rsidTr="00DD1DF0">
        <w:tc>
          <w:tcPr>
            <w:tcW w:w="1897" w:type="dxa"/>
            <w:shd w:val="clear" w:color="auto" w:fill="auto"/>
          </w:tcPr>
          <w:p w:rsidR="001C3AD5" w:rsidRPr="00051FD1" w:rsidRDefault="001C3AD5" w:rsidP="00EE12E4">
            <w:pPr>
              <w:pStyle w:val="Para1"/>
              <w:rPr>
                <w:rFonts w:eastAsia="MS Mincho"/>
                <w:kern w:val="22"/>
                <w:sz w:val="22"/>
                <w:szCs w:val="22"/>
                <w:lang w:val="en-GB"/>
              </w:rPr>
            </w:pPr>
            <w:r w:rsidRPr="00087A59">
              <w:rPr>
                <w:rFonts w:eastAsia="MS Mincho"/>
                <w:kern w:val="22"/>
                <w:sz w:val="22"/>
                <w:szCs w:val="22"/>
                <w:lang w:val="en-GB"/>
              </w:rPr>
              <w:t>Review of NBSAPs</w:t>
            </w:r>
          </w:p>
        </w:tc>
        <w:tc>
          <w:tcPr>
            <w:tcW w:w="2020" w:type="dxa"/>
            <w:shd w:val="clear" w:color="auto" w:fill="auto"/>
          </w:tcPr>
          <w:p w:rsidR="001C3AD5" w:rsidRPr="00051FD1" w:rsidRDefault="001C3AD5" w:rsidP="00EE12E4">
            <w:pPr>
              <w:pStyle w:val="Para1"/>
              <w:rPr>
                <w:rFonts w:eastAsia="MS Mincho"/>
                <w:kern w:val="22"/>
                <w:sz w:val="22"/>
                <w:szCs w:val="22"/>
                <w:lang w:val="en-GB"/>
              </w:rPr>
            </w:pPr>
            <w:r w:rsidRPr="00051FD1">
              <w:rPr>
                <w:rFonts w:eastAsia="MS Mincho"/>
                <w:kern w:val="22"/>
                <w:sz w:val="22"/>
                <w:szCs w:val="22"/>
                <w:lang w:val="en-GB"/>
              </w:rPr>
              <w:t>Voluntary peer review</w:t>
            </w:r>
          </w:p>
        </w:tc>
        <w:tc>
          <w:tcPr>
            <w:tcW w:w="1597" w:type="dxa"/>
            <w:shd w:val="clear" w:color="auto" w:fill="auto"/>
          </w:tcPr>
          <w:p w:rsidR="001C3AD5" w:rsidRPr="00051FD1" w:rsidRDefault="001C3AD5" w:rsidP="00EE12E4">
            <w:pPr>
              <w:pStyle w:val="Para1"/>
              <w:rPr>
                <w:rFonts w:eastAsia="MS Mincho"/>
                <w:kern w:val="22"/>
                <w:sz w:val="22"/>
                <w:szCs w:val="22"/>
                <w:lang w:val="en-GB"/>
              </w:rPr>
            </w:pPr>
            <w:r w:rsidRPr="00051FD1">
              <w:rPr>
                <w:rFonts w:eastAsia="MS Mincho"/>
                <w:kern w:val="22"/>
                <w:sz w:val="22"/>
                <w:szCs w:val="22"/>
                <w:lang w:val="en-GB"/>
              </w:rPr>
              <w:t>Ad hoc</w:t>
            </w:r>
          </w:p>
        </w:tc>
        <w:tc>
          <w:tcPr>
            <w:tcW w:w="1597" w:type="dxa"/>
            <w:shd w:val="clear" w:color="auto" w:fill="auto"/>
          </w:tcPr>
          <w:p w:rsidR="001C3AD5" w:rsidRPr="00051FD1" w:rsidRDefault="001C3AD5" w:rsidP="00EE12E4">
            <w:pPr>
              <w:pStyle w:val="Para1"/>
              <w:rPr>
                <w:rFonts w:eastAsia="MS Mincho"/>
                <w:kern w:val="22"/>
                <w:sz w:val="22"/>
                <w:szCs w:val="22"/>
                <w:lang w:val="en-GB"/>
              </w:rPr>
            </w:pPr>
            <w:r w:rsidRPr="00051FD1">
              <w:rPr>
                <w:rFonts w:eastAsia="MS Mincho"/>
                <w:kern w:val="22"/>
                <w:sz w:val="22"/>
                <w:szCs w:val="22"/>
                <w:lang w:val="en-GB"/>
              </w:rPr>
              <w:t>Small number of volunteers to date; time-consuming and relatively expensive process</w:t>
            </w:r>
          </w:p>
        </w:tc>
        <w:tc>
          <w:tcPr>
            <w:tcW w:w="2211" w:type="dxa"/>
            <w:shd w:val="clear" w:color="auto" w:fill="auto"/>
          </w:tcPr>
          <w:p w:rsidR="001C3AD5" w:rsidRPr="00051FD1" w:rsidRDefault="001C3AD5" w:rsidP="00EE12E4">
            <w:pPr>
              <w:pStyle w:val="Para1"/>
              <w:rPr>
                <w:rFonts w:eastAsia="MS Mincho"/>
                <w:kern w:val="22"/>
                <w:sz w:val="22"/>
                <w:szCs w:val="22"/>
                <w:lang w:val="en-GB"/>
              </w:rPr>
            </w:pPr>
            <w:r w:rsidRPr="00051FD1">
              <w:rPr>
                <w:rFonts w:eastAsia="MS Mincho"/>
                <w:kern w:val="22"/>
                <w:sz w:val="22"/>
                <w:szCs w:val="22"/>
                <w:lang w:val="en-GB"/>
              </w:rPr>
              <w:t>Soft verification through dialogue and country visits</w:t>
            </w:r>
          </w:p>
        </w:tc>
      </w:tr>
      <w:tr w:rsidR="00DD1DF0" w:rsidRPr="00051FD1" w:rsidTr="00DD1DF0">
        <w:tc>
          <w:tcPr>
            <w:tcW w:w="1897" w:type="dxa"/>
            <w:shd w:val="clear" w:color="auto" w:fill="auto"/>
          </w:tcPr>
          <w:p w:rsidR="00DD1DF0" w:rsidRPr="00051FD1" w:rsidRDefault="00DD1DF0" w:rsidP="00EE12E4">
            <w:pPr>
              <w:pStyle w:val="Para1"/>
              <w:rPr>
                <w:rFonts w:eastAsia="MS Mincho"/>
                <w:kern w:val="22"/>
                <w:sz w:val="22"/>
                <w:szCs w:val="22"/>
                <w:lang w:val="en-GB"/>
              </w:rPr>
            </w:pPr>
            <w:r w:rsidRPr="00087A59">
              <w:rPr>
                <w:rFonts w:eastAsia="MS Mincho"/>
                <w:kern w:val="22"/>
                <w:sz w:val="22"/>
                <w:szCs w:val="22"/>
                <w:lang w:val="en-GB"/>
              </w:rPr>
              <w:t>Review of compliance with procedural and institutional requirements under the Convention</w:t>
            </w:r>
          </w:p>
        </w:tc>
        <w:tc>
          <w:tcPr>
            <w:tcW w:w="2020"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Credentials;</w:t>
            </w:r>
          </w:p>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Review of financial contributions</w:t>
            </w:r>
          </w:p>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Decision-tracking tool</w:t>
            </w:r>
          </w:p>
        </w:tc>
        <w:tc>
          <w:tcPr>
            <w:tcW w:w="1597"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Every two years</w:t>
            </w:r>
          </w:p>
        </w:tc>
        <w:tc>
          <w:tcPr>
            <w:tcW w:w="1597" w:type="dxa"/>
            <w:shd w:val="clear" w:color="auto" w:fill="auto"/>
          </w:tcPr>
          <w:p w:rsidR="00DD1DF0" w:rsidRPr="00051FD1" w:rsidRDefault="00DD1DF0" w:rsidP="00E22D50">
            <w:pPr>
              <w:pStyle w:val="Para1"/>
              <w:rPr>
                <w:rFonts w:eastAsia="MS Mincho"/>
                <w:kern w:val="22"/>
                <w:sz w:val="22"/>
                <w:szCs w:val="22"/>
                <w:lang w:val="en-GB"/>
              </w:rPr>
            </w:pPr>
            <w:r w:rsidRPr="00051FD1">
              <w:rPr>
                <w:rFonts w:eastAsia="MS Mincho"/>
                <w:kern w:val="22"/>
                <w:sz w:val="22"/>
                <w:szCs w:val="22"/>
                <w:lang w:val="en-GB"/>
              </w:rPr>
              <w:t>Reviewing status of implementation of decisions mainly undertaken by SCBD</w:t>
            </w:r>
          </w:p>
        </w:tc>
        <w:tc>
          <w:tcPr>
            <w:tcW w:w="2211" w:type="dxa"/>
            <w:shd w:val="clear" w:color="auto" w:fill="auto"/>
          </w:tcPr>
          <w:p w:rsidR="00DD1DF0" w:rsidRPr="00051FD1" w:rsidRDefault="00DD1DF0" w:rsidP="00051FD1">
            <w:pPr>
              <w:pStyle w:val="Para1"/>
              <w:rPr>
                <w:rFonts w:eastAsia="MS Mincho"/>
                <w:kern w:val="22"/>
                <w:sz w:val="22"/>
                <w:szCs w:val="22"/>
                <w:lang w:val="en-GB"/>
              </w:rPr>
            </w:pPr>
            <w:r w:rsidRPr="00051FD1">
              <w:rPr>
                <w:rFonts w:eastAsia="MS Mincho"/>
                <w:kern w:val="22"/>
                <w:sz w:val="22"/>
                <w:szCs w:val="22"/>
                <w:lang w:val="en-GB"/>
              </w:rPr>
              <w:t>Inputs to be sought from Parties for reviewing status of implementation of decisions</w:t>
            </w:r>
          </w:p>
        </w:tc>
      </w:tr>
      <w:tr w:rsidR="00DD1DF0" w:rsidRPr="00051FD1" w:rsidTr="00DD1DF0">
        <w:tc>
          <w:tcPr>
            <w:tcW w:w="1897" w:type="dxa"/>
            <w:shd w:val="clear" w:color="auto" w:fill="auto"/>
          </w:tcPr>
          <w:p w:rsidR="00DD1DF0" w:rsidRPr="00051FD1" w:rsidRDefault="00DD1DF0" w:rsidP="00EE12E4">
            <w:pPr>
              <w:pStyle w:val="Para1"/>
              <w:rPr>
                <w:rFonts w:eastAsia="MS Mincho"/>
                <w:kern w:val="22"/>
                <w:sz w:val="22"/>
                <w:szCs w:val="22"/>
                <w:lang w:val="en-GB"/>
              </w:rPr>
            </w:pPr>
            <w:r w:rsidRPr="00087A59">
              <w:rPr>
                <w:rFonts w:eastAsia="MS Mincho"/>
                <w:kern w:val="22"/>
                <w:sz w:val="22"/>
                <w:szCs w:val="22"/>
                <w:lang w:val="en-GB"/>
              </w:rPr>
              <w:t>Party-led review process</w:t>
            </w:r>
          </w:p>
        </w:tc>
        <w:tc>
          <w:tcPr>
            <w:tcW w:w="2020"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A body with limited membership from both developing and developed countries could be established under SBI to review information provided by Parties on voluntary basis</w:t>
            </w:r>
          </w:p>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 xml:space="preserve">The review can examine national targets set in line with the global targets, actions taken to implement </w:t>
            </w:r>
            <w:r w:rsidRPr="00051FD1">
              <w:rPr>
                <w:rFonts w:eastAsia="MS Mincho"/>
                <w:kern w:val="22"/>
                <w:sz w:val="22"/>
                <w:szCs w:val="22"/>
                <w:lang w:val="en-GB"/>
              </w:rPr>
              <w:lastRenderedPageBreak/>
              <w:t>them</w:t>
            </w:r>
          </w:p>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 xml:space="preserve">The reviewed Parties </w:t>
            </w:r>
            <w:r w:rsidR="001C3AD5" w:rsidRPr="00051FD1">
              <w:rPr>
                <w:rFonts w:eastAsia="MS Mincho"/>
                <w:kern w:val="22"/>
                <w:sz w:val="22"/>
                <w:szCs w:val="22"/>
                <w:lang w:val="en-GB"/>
              </w:rPr>
              <w:t xml:space="preserve">could </w:t>
            </w:r>
            <w:r w:rsidRPr="00051FD1">
              <w:rPr>
                <w:rFonts w:eastAsia="MS Mincho"/>
                <w:kern w:val="22"/>
                <w:sz w:val="22"/>
                <w:szCs w:val="22"/>
                <w:lang w:val="en-GB"/>
              </w:rPr>
              <w:t>present an overview of such review at meetings of SBI and other relevant meetings under the Convention</w:t>
            </w:r>
          </w:p>
        </w:tc>
        <w:tc>
          <w:tcPr>
            <w:tcW w:w="1597"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lastRenderedPageBreak/>
              <w:t>Intersessionally</w:t>
            </w:r>
          </w:p>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The cycle for all Parties to undertake review and present review is long</w:t>
            </w:r>
          </w:p>
        </w:tc>
        <w:tc>
          <w:tcPr>
            <w:tcW w:w="1597" w:type="dxa"/>
            <w:shd w:val="clear" w:color="auto" w:fill="auto"/>
          </w:tcPr>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 xml:space="preserve">Voluntary in nature </w:t>
            </w:r>
          </w:p>
          <w:p w:rsidR="00DD1DF0" w:rsidRPr="00051FD1" w:rsidRDefault="00DD1DF0" w:rsidP="00EE12E4">
            <w:pPr>
              <w:pStyle w:val="Para1"/>
              <w:rPr>
                <w:rFonts w:eastAsia="MS Mincho"/>
                <w:kern w:val="22"/>
                <w:sz w:val="22"/>
                <w:szCs w:val="22"/>
                <w:lang w:val="en-GB"/>
              </w:rPr>
            </w:pPr>
            <w:r w:rsidRPr="00051FD1">
              <w:rPr>
                <w:rFonts w:eastAsia="MS Mincho"/>
                <w:kern w:val="22"/>
                <w:sz w:val="22"/>
                <w:szCs w:val="22"/>
                <w:lang w:val="en-GB"/>
              </w:rPr>
              <w:t>Scope and subject of the review to be determined by Parties</w:t>
            </w:r>
          </w:p>
        </w:tc>
        <w:tc>
          <w:tcPr>
            <w:tcW w:w="2211" w:type="dxa"/>
            <w:shd w:val="clear" w:color="auto" w:fill="auto"/>
          </w:tcPr>
          <w:p w:rsidR="00DD1DF0" w:rsidRPr="00051FD1" w:rsidRDefault="00DD1DF0" w:rsidP="00051FD1">
            <w:pPr>
              <w:pStyle w:val="Para1"/>
              <w:rPr>
                <w:rFonts w:eastAsia="MS Mincho"/>
                <w:kern w:val="22"/>
                <w:sz w:val="22"/>
                <w:szCs w:val="22"/>
                <w:lang w:val="en-GB"/>
              </w:rPr>
            </w:pPr>
            <w:r w:rsidRPr="00051FD1">
              <w:rPr>
                <w:rFonts w:eastAsia="MS Mincho"/>
                <w:kern w:val="22"/>
                <w:sz w:val="22"/>
                <w:szCs w:val="22"/>
                <w:lang w:val="en-GB"/>
              </w:rPr>
              <w:t>Support (technical and/or financial) might need to be provided for the preparation of the review, in connection with the reporting cycles under the Convention</w:t>
            </w:r>
          </w:p>
        </w:tc>
      </w:tr>
    </w:tbl>
    <w:p w:rsidR="005509A7" w:rsidRPr="00051FD1" w:rsidRDefault="005509A7" w:rsidP="00051FD1">
      <w:pPr>
        <w:pStyle w:val="Para1"/>
        <w:spacing w:after="0"/>
        <w:jc w:val="center"/>
        <w:rPr>
          <w:kern w:val="22"/>
          <w:sz w:val="22"/>
          <w:szCs w:val="22"/>
          <w:lang w:val="en-GB"/>
        </w:rPr>
      </w:pPr>
    </w:p>
    <w:p w:rsidR="005509A7" w:rsidRPr="00051FD1" w:rsidRDefault="005509A7" w:rsidP="00051FD1">
      <w:pPr>
        <w:pStyle w:val="Para1"/>
        <w:spacing w:after="0"/>
        <w:rPr>
          <w:kern w:val="22"/>
          <w:sz w:val="22"/>
          <w:szCs w:val="22"/>
          <w:lang w:val="en-GB"/>
        </w:rPr>
      </w:pPr>
    </w:p>
    <w:p w:rsidR="00A25115" w:rsidRPr="00051FD1" w:rsidRDefault="00A25115" w:rsidP="00A25115">
      <w:pPr>
        <w:pStyle w:val="Para1"/>
        <w:jc w:val="center"/>
        <w:rPr>
          <w:kern w:val="22"/>
          <w:sz w:val="22"/>
          <w:szCs w:val="22"/>
          <w:lang w:val="en-GB"/>
        </w:rPr>
      </w:pPr>
      <w:r w:rsidRPr="00051FD1">
        <w:rPr>
          <w:kern w:val="22"/>
          <w:sz w:val="22"/>
          <w:szCs w:val="22"/>
          <w:lang w:val="en-GB"/>
        </w:rPr>
        <w:t>__________</w:t>
      </w:r>
    </w:p>
    <w:p w:rsidR="00A25115" w:rsidRPr="00051FD1" w:rsidRDefault="00A25115" w:rsidP="00A25115">
      <w:pPr>
        <w:pStyle w:val="Para1"/>
        <w:suppressLineNumbers/>
        <w:suppressAutoHyphens/>
        <w:spacing w:before="120"/>
        <w:rPr>
          <w:kern w:val="22"/>
          <w:sz w:val="22"/>
          <w:szCs w:val="22"/>
          <w:lang w:val="en-GB"/>
        </w:rPr>
      </w:pPr>
    </w:p>
    <w:sectPr w:rsidR="00A25115" w:rsidRPr="00051FD1" w:rsidSect="00A25115">
      <w:headerReference w:type="even" r:id="rId21"/>
      <w:headerReference w:type="default" r:id="rId22"/>
      <w:footerReference w:type="default" r:id="rId23"/>
      <w:pgSz w:w="12240" w:h="15840" w:code="1"/>
      <w:pgMar w:top="1021" w:right="1440" w:bottom="114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96" w:rsidRDefault="004D1E96">
      <w:r>
        <w:separator/>
      </w:r>
    </w:p>
  </w:endnote>
  <w:endnote w:type="continuationSeparator" w:id="0">
    <w:p w:rsidR="004D1E96" w:rsidRDefault="004D1E96">
      <w:r>
        <w:continuationSeparator/>
      </w:r>
    </w:p>
  </w:endnote>
  <w:endnote w:type="continuationNotice" w:id="1">
    <w:p w:rsidR="004D1E96" w:rsidRDefault="004D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5F" w:rsidRDefault="00F37E5F" w:rsidP="00051FD1">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96" w:rsidRDefault="004D1E96">
      <w:r>
        <w:separator/>
      </w:r>
    </w:p>
  </w:footnote>
  <w:footnote w:type="continuationSeparator" w:id="0">
    <w:p w:rsidR="004D1E96" w:rsidRDefault="004D1E96">
      <w:r>
        <w:continuationSeparator/>
      </w:r>
    </w:p>
  </w:footnote>
  <w:footnote w:type="continuationNotice" w:id="1">
    <w:p w:rsidR="004D1E96" w:rsidRDefault="004D1E96"/>
  </w:footnote>
  <w:footnote w:id="2">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eastAsia="en-US"/>
        </w:rPr>
      </w:pPr>
      <w:r w:rsidRPr="00051FD1">
        <w:rPr>
          <w:rStyle w:val="FootnoteReference"/>
          <w:snapToGrid w:val="0"/>
          <w:kern w:val="18"/>
          <w:szCs w:val="18"/>
          <w:u w:val="none"/>
          <w:lang w:val="en-GB"/>
        </w:rPr>
        <w:t>*</w:t>
      </w:r>
      <w:r w:rsidRPr="00051FD1">
        <w:rPr>
          <w:snapToGrid w:val="0"/>
          <w:kern w:val="18"/>
          <w:szCs w:val="18"/>
          <w:lang w:val="en-GB"/>
        </w:rPr>
        <w:t xml:space="preserve"> </w:t>
      </w:r>
      <w:hyperlink r:id="rId1" w:history="1">
        <w:r w:rsidRPr="00051FD1">
          <w:rPr>
            <w:rStyle w:val="Hyperlink"/>
            <w:snapToGrid w:val="0"/>
            <w:kern w:val="18"/>
            <w:szCs w:val="18"/>
            <w:lang w:val="en-GB"/>
          </w:rPr>
          <w:t>CBD/SBI/2/1</w:t>
        </w:r>
      </w:hyperlink>
      <w:r w:rsidRPr="00051FD1">
        <w:rPr>
          <w:snapToGrid w:val="0"/>
          <w:kern w:val="18"/>
          <w:szCs w:val="18"/>
          <w:lang w:val="en-GB"/>
        </w:rPr>
        <w:t>.</w:t>
      </w:r>
    </w:p>
  </w:footnote>
  <w:footnote w:id="3">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CBD/SBI/2/17</w:t>
      </w:r>
      <w:r w:rsidR="00E7263E" w:rsidRPr="00051FD1">
        <w:rPr>
          <w:snapToGrid w:val="0"/>
          <w:kern w:val="18"/>
          <w:szCs w:val="18"/>
          <w:lang w:val="en-GB"/>
        </w:rPr>
        <w:t>.</w:t>
      </w:r>
    </w:p>
  </w:footnote>
  <w:footnote w:id="4">
    <w:p w:rsidR="000C237B" w:rsidRPr="00051FD1" w:rsidRDefault="000C237B"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See UNEP/CBD/SBI/1/10/Add.3 for details</w:t>
      </w:r>
      <w:r w:rsidR="00333434" w:rsidRPr="00051FD1">
        <w:rPr>
          <w:snapToGrid w:val="0"/>
          <w:kern w:val="18"/>
          <w:szCs w:val="18"/>
          <w:lang w:val="en-GB"/>
        </w:rPr>
        <w:t xml:space="preserve">. This document is also being made available for the information of </w:t>
      </w:r>
      <w:r w:rsidR="001E039F" w:rsidRPr="00051FD1">
        <w:rPr>
          <w:snapToGrid w:val="0"/>
          <w:kern w:val="18"/>
          <w:szCs w:val="18"/>
          <w:lang w:val="en-GB"/>
        </w:rPr>
        <w:t>the Subsidiary Body on Implementation</w:t>
      </w:r>
      <w:r w:rsidR="001E039F" w:rsidRPr="00051FD1" w:rsidDel="001E039F">
        <w:rPr>
          <w:snapToGrid w:val="0"/>
          <w:kern w:val="18"/>
          <w:szCs w:val="18"/>
          <w:lang w:val="en-GB"/>
        </w:rPr>
        <w:t xml:space="preserve"> </w:t>
      </w:r>
      <w:r w:rsidR="001E039F" w:rsidRPr="00051FD1">
        <w:rPr>
          <w:snapToGrid w:val="0"/>
          <w:kern w:val="18"/>
          <w:szCs w:val="18"/>
          <w:lang w:val="en-GB"/>
        </w:rPr>
        <w:t>at its second meeting.</w:t>
      </w:r>
    </w:p>
  </w:footnote>
  <w:footnote w:id="5">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The methodology in use is accessible from </w:t>
      </w:r>
      <w:hyperlink r:id="rId2" w:history="1">
        <w:r w:rsidRPr="00051FD1">
          <w:rPr>
            <w:rFonts w:eastAsia="Malgun Gothic"/>
            <w:snapToGrid w:val="0"/>
            <w:kern w:val="18"/>
            <w:szCs w:val="18"/>
            <w:lang w:val="en-GB"/>
          </w:rPr>
          <w:t>https://www.cbd.int/nbsap/vpr/default.shtml</w:t>
        </w:r>
      </w:hyperlink>
    </w:p>
  </w:footnote>
  <w:footnote w:id="6">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Iraq, Mali, Montenegro, Sri Lanka, Togo, Uganda – an incomplete expression of interest was received from Guyana</w:t>
      </w:r>
      <w:r w:rsidR="00236763" w:rsidRPr="00051FD1">
        <w:rPr>
          <w:snapToGrid w:val="0"/>
          <w:kern w:val="18"/>
          <w:szCs w:val="18"/>
          <w:lang w:val="en-GB"/>
        </w:rPr>
        <w:t>.</w:t>
      </w:r>
    </w:p>
  </w:footnote>
  <w:footnote w:id="7">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Antigua and Barbuda, European Union, Finland, Japan, Madagascar, Norway, Philippines, Sri Lanka, Togo, Uganda, Zimbabwe</w:t>
      </w:r>
    </w:p>
  </w:footnote>
  <w:footnote w:id="8">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w:t>
      </w:r>
      <w:r w:rsidR="002B714F" w:rsidRPr="00051FD1">
        <w:rPr>
          <w:snapToGrid w:val="0"/>
          <w:kern w:val="18"/>
          <w:szCs w:val="18"/>
          <w:lang w:val="en-GB"/>
        </w:rPr>
        <w:t>CBD/SBI/2/INF/</w:t>
      </w:r>
      <w:r w:rsidR="00FA0A5A" w:rsidRPr="00051FD1">
        <w:rPr>
          <w:snapToGrid w:val="0"/>
          <w:kern w:val="18"/>
          <w:szCs w:val="18"/>
          <w:lang w:val="en-GB"/>
        </w:rPr>
        <w:t>27</w:t>
      </w:r>
      <w:r w:rsidR="00236763" w:rsidRPr="00051FD1">
        <w:rPr>
          <w:snapToGrid w:val="0"/>
          <w:kern w:val="18"/>
          <w:szCs w:val="18"/>
          <w:lang w:val="en-GB"/>
        </w:rPr>
        <w:t>.</w:t>
      </w:r>
    </w:p>
  </w:footnote>
  <w:footnote w:id="9">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Due to visa problems</w:t>
      </w:r>
      <w:r w:rsidR="00A26077" w:rsidRPr="00051FD1">
        <w:rPr>
          <w:snapToGrid w:val="0"/>
          <w:kern w:val="18"/>
          <w:szCs w:val="18"/>
          <w:lang w:val="en-GB"/>
        </w:rPr>
        <w:t>,</w:t>
      </w:r>
      <w:r w:rsidRPr="00051FD1">
        <w:rPr>
          <w:snapToGrid w:val="0"/>
          <w:kern w:val="18"/>
          <w:szCs w:val="18"/>
          <w:lang w:val="en-GB"/>
        </w:rPr>
        <w:t xml:space="preserve"> an additional ticket needed to be purchased</w:t>
      </w:r>
      <w:r w:rsidR="00A26077" w:rsidRPr="00051FD1">
        <w:rPr>
          <w:snapToGrid w:val="0"/>
          <w:kern w:val="18"/>
          <w:szCs w:val="18"/>
          <w:lang w:val="en-GB"/>
        </w:rPr>
        <w:t>,</w:t>
      </w:r>
      <w:r w:rsidRPr="00051FD1">
        <w:rPr>
          <w:snapToGrid w:val="0"/>
          <w:kern w:val="18"/>
          <w:szCs w:val="18"/>
          <w:lang w:val="en-GB"/>
        </w:rPr>
        <w:t xml:space="preserve"> which increased the costs</w:t>
      </w:r>
      <w:r w:rsidR="00A26077" w:rsidRPr="00051FD1">
        <w:rPr>
          <w:snapToGrid w:val="0"/>
          <w:kern w:val="18"/>
          <w:szCs w:val="18"/>
          <w:lang w:val="en-GB"/>
        </w:rPr>
        <w:t>.</w:t>
      </w:r>
    </w:p>
  </w:footnote>
  <w:footnote w:id="10">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Support for the activities to further develop the decision-tracking tool was provided by the Japan Biodiversity Fund</w:t>
      </w:r>
      <w:r w:rsidR="00A26077" w:rsidRPr="00051FD1">
        <w:rPr>
          <w:snapToGrid w:val="0"/>
          <w:kern w:val="18"/>
          <w:szCs w:val="18"/>
          <w:lang w:val="en-GB"/>
        </w:rPr>
        <w:t>.</w:t>
      </w:r>
    </w:p>
  </w:footnote>
  <w:footnote w:id="11">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00A26077" w:rsidRPr="00051FD1">
        <w:rPr>
          <w:snapToGrid w:val="0"/>
          <w:kern w:val="18"/>
          <w:szCs w:val="18"/>
          <w:lang w:val="en-GB"/>
        </w:rPr>
        <w:t xml:space="preserve"> </w:t>
      </w:r>
      <w:r w:rsidRPr="00051FD1">
        <w:rPr>
          <w:snapToGrid w:val="0"/>
          <w:kern w:val="18"/>
          <w:szCs w:val="18"/>
          <w:lang w:val="en-GB"/>
        </w:rPr>
        <w:t>See documents UNEP/CBD/COP/6/INF/17, UNEP/CBD/COP/7/INF/16, UNEP/CBD/COP/8/INF/2 and UNEP/CBD/COP/11/INF/1</w:t>
      </w:r>
      <w:r w:rsidR="00A26077" w:rsidRPr="00051FD1">
        <w:rPr>
          <w:snapToGrid w:val="0"/>
          <w:kern w:val="18"/>
          <w:szCs w:val="18"/>
          <w:lang w:val="en-GB"/>
        </w:rPr>
        <w:t>.</w:t>
      </w:r>
    </w:p>
  </w:footnote>
  <w:footnote w:id="12">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The Secretariat will organize a side event at the second meeting of the Subsidiary Body on Implementation to demonstrate the decision-tracking tool as further developed.</w:t>
      </w:r>
    </w:p>
  </w:footnote>
  <w:footnote w:id="13">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UNEP/CBD/SBI/1/10/Add.2</w:t>
      </w:r>
      <w:r w:rsidR="00826C49">
        <w:rPr>
          <w:snapToGrid w:val="0"/>
          <w:kern w:val="18"/>
          <w:szCs w:val="18"/>
          <w:lang w:val="en-GB"/>
        </w:rPr>
        <w:t>.</w:t>
      </w:r>
    </w:p>
  </w:footnote>
  <w:footnote w:id="14">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w:t>
      </w:r>
      <w:hyperlink r:id="rId3" w:history="1">
        <w:r w:rsidR="00CC42FE" w:rsidRPr="00051FD1">
          <w:rPr>
            <w:rStyle w:val="Hyperlink"/>
            <w:snapToGrid w:val="0"/>
            <w:kern w:val="18"/>
            <w:szCs w:val="18"/>
            <w:lang w:val="en-GB"/>
          </w:rPr>
          <w:t>http://icisa.cag.gov.in/resource_files/87ca71601d696fd5b6baf378182c0603.pdf</w:t>
        </w:r>
      </w:hyperlink>
    </w:p>
  </w:footnote>
  <w:footnote w:id="15">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w:t>
      </w:r>
      <w:hyperlink r:id="rId4" w:history="1">
        <w:r w:rsidR="00CC42FE" w:rsidRPr="00051FD1">
          <w:rPr>
            <w:rStyle w:val="Hyperlink"/>
            <w:snapToGrid w:val="0"/>
            <w:kern w:val="18"/>
            <w:szCs w:val="18"/>
            <w:lang w:val="en-GB"/>
          </w:rPr>
          <w:t>https://www.cbd.int/countries/targets/?country=ca</w:t>
        </w:r>
      </w:hyperlink>
    </w:p>
  </w:footnote>
  <w:footnote w:id="16">
    <w:p w:rsidR="005509A7" w:rsidRPr="00051FD1" w:rsidRDefault="005509A7" w:rsidP="00051FD1">
      <w:pPr>
        <w:pStyle w:val="Heading3"/>
        <w:keepNext w:val="0"/>
        <w:keepLines/>
        <w:shd w:val="clear" w:color="auto" w:fill="FFFFFF"/>
        <w:kinsoku w:val="0"/>
        <w:overflowPunct w:val="0"/>
        <w:autoSpaceDE w:val="0"/>
        <w:autoSpaceDN w:val="0"/>
        <w:adjustRightInd w:val="0"/>
        <w:snapToGrid w:val="0"/>
        <w:spacing w:before="0" w:after="60"/>
        <w:jc w:val="left"/>
        <w:rPr>
          <w:i w:val="0"/>
          <w:iCs w:val="0"/>
          <w:snapToGrid w:val="0"/>
          <w:kern w:val="18"/>
          <w:sz w:val="18"/>
          <w:szCs w:val="18"/>
          <w:lang w:val="en-GB" w:eastAsia="x-none"/>
        </w:rPr>
      </w:pPr>
      <w:r w:rsidRPr="00051FD1">
        <w:rPr>
          <w:i w:val="0"/>
          <w:iCs w:val="0"/>
          <w:snapToGrid w:val="0"/>
          <w:kern w:val="18"/>
          <w:sz w:val="18"/>
          <w:szCs w:val="18"/>
          <w:vertAlign w:val="superscript"/>
          <w:lang w:val="en-GB"/>
        </w:rPr>
        <w:footnoteRef/>
      </w:r>
      <w:r w:rsidRPr="00051FD1">
        <w:rPr>
          <w:snapToGrid w:val="0"/>
          <w:kern w:val="18"/>
          <w:sz w:val="18"/>
          <w:szCs w:val="18"/>
          <w:lang w:val="en-GB"/>
        </w:rPr>
        <w:t xml:space="preserve"> </w:t>
      </w:r>
      <w:r w:rsidRPr="00051FD1">
        <w:rPr>
          <w:i w:val="0"/>
          <w:iCs w:val="0"/>
          <w:snapToGrid w:val="0"/>
          <w:kern w:val="18"/>
          <w:sz w:val="18"/>
          <w:szCs w:val="18"/>
          <w:lang w:val="en-GB" w:eastAsia="x-none"/>
        </w:rPr>
        <w:t>A representative of the Office of the Auditor</w:t>
      </w:r>
      <w:r w:rsidR="00CC42FE" w:rsidRPr="00051FD1">
        <w:rPr>
          <w:i w:val="0"/>
          <w:iCs w:val="0"/>
          <w:snapToGrid w:val="0"/>
          <w:kern w:val="18"/>
          <w:sz w:val="18"/>
          <w:szCs w:val="18"/>
          <w:lang w:val="en-GB" w:eastAsia="x-none"/>
        </w:rPr>
        <w:t>-</w:t>
      </w:r>
      <w:r w:rsidRPr="00051FD1">
        <w:rPr>
          <w:i w:val="0"/>
          <w:iCs w:val="0"/>
          <w:snapToGrid w:val="0"/>
          <w:kern w:val="18"/>
          <w:sz w:val="18"/>
          <w:szCs w:val="18"/>
          <w:lang w:val="en-GB" w:eastAsia="x-none"/>
        </w:rPr>
        <w:t xml:space="preserve">General of Canada made a presentation on auditing approaches at a workshop on the preparation of the sixth national report (Montreal, Canada, 9 December 2017) – see </w:t>
      </w:r>
      <w:hyperlink r:id="rId5" w:history="1">
        <w:r w:rsidRPr="00051FD1">
          <w:rPr>
            <w:rStyle w:val="Hyperlink"/>
            <w:i w:val="0"/>
            <w:iCs w:val="0"/>
            <w:snapToGrid w:val="0"/>
            <w:kern w:val="18"/>
            <w:sz w:val="18"/>
            <w:szCs w:val="18"/>
            <w:lang w:val="en-GB" w:eastAsia="x-none"/>
          </w:rPr>
          <w:t>https://www.cbd.int/doc/c/a7a0/180e/98bc80349a363a973049a4fc/nrws-2017-01-presentation-04-en.pdf</w:t>
        </w:r>
      </w:hyperlink>
    </w:p>
  </w:footnote>
  <w:footnote w:id="17">
    <w:p w:rsidR="005509A7" w:rsidRPr="00051FD1" w:rsidRDefault="005509A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See also paragraph 14 of CBD/SBSTTA/21/7 for examples of auditing approaches used for reviews of biodiversity policies and their implementation</w:t>
      </w:r>
      <w:r w:rsidR="00CC42FE" w:rsidRPr="00051FD1">
        <w:rPr>
          <w:snapToGrid w:val="0"/>
          <w:kern w:val="18"/>
          <w:szCs w:val="18"/>
          <w:lang w:val="en-GB"/>
        </w:rPr>
        <w:t>.</w:t>
      </w:r>
    </w:p>
  </w:footnote>
  <w:footnote w:id="18">
    <w:p w:rsidR="00B75CF1" w:rsidRPr="00051FD1" w:rsidRDefault="00B75CF1"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All of the submissions on this issue are accessible from https://www.cbd.int/post2020/submissions.shtml</w:t>
      </w:r>
    </w:p>
  </w:footnote>
  <w:footnote w:id="19">
    <w:p w:rsidR="00B75CF1" w:rsidRPr="00051FD1" w:rsidRDefault="00B75CF1"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w:t>
      </w:r>
      <w:hyperlink r:id="rId6" w:history="1">
        <w:r w:rsidR="007F548A" w:rsidRPr="00051FD1">
          <w:rPr>
            <w:rStyle w:val="Hyperlink"/>
            <w:snapToGrid w:val="0"/>
            <w:kern w:val="18"/>
            <w:szCs w:val="18"/>
            <w:lang w:val="en-GB"/>
          </w:rPr>
          <w:t>http://www2.unccd.int/actions/ldn-target-setting-programme</w:t>
        </w:r>
      </w:hyperlink>
    </w:p>
  </w:footnote>
  <w:footnote w:id="20">
    <w:p w:rsidR="00B75CF1" w:rsidRPr="00051FD1" w:rsidRDefault="00B75CF1"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For example</w:t>
      </w:r>
      <w:r w:rsidR="00B4642B" w:rsidRPr="00051FD1">
        <w:rPr>
          <w:snapToGrid w:val="0"/>
          <w:kern w:val="18"/>
          <w:szCs w:val="18"/>
          <w:lang w:val="en-GB"/>
        </w:rPr>
        <w:t>,</w:t>
      </w:r>
      <w:r w:rsidRPr="00051FD1">
        <w:rPr>
          <w:snapToGrid w:val="0"/>
          <w:kern w:val="18"/>
          <w:szCs w:val="18"/>
          <w:lang w:val="en-GB"/>
        </w:rPr>
        <w:t xml:space="preserve"> commitments for achieving Sustainable Development Goal 14 - </w:t>
      </w:r>
      <w:hyperlink r:id="rId7" w:history="1">
        <w:r w:rsidR="007F548A" w:rsidRPr="00051FD1">
          <w:rPr>
            <w:rStyle w:val="Hyperlink"/>
            <w:snapToGrid w:val="0"/>
            <w:kern w:val="18"/>
            <w:szCs w:val="18"/>
            <w:lang w:val="en-GB"/>
          </w:rPr>
          <w:t>https://oceanconference.un.org/commitments/</w:t>
        </w:r>
      </w:hyperlink>
    </w:p>
  </w:footnote>
  <w:footnote w:id="21">
    <w:p w:rsidR="00821AC4" w:rsidRPr="00051FD1" w:rsidRDefault="00821AC4" w:rsidP="00051FD1">
      <w:pPr>
        <w:pStyle w:val="FootnoteText"/>
        <w:kinsoku w:val="0"/>
        <w:overflowPunct w:val="0"/>
        <w:autoSpaceDE w:val="0"/>
        <w:autoSpaceDN w:val="0"/>
        <w:adjustRightInd w:val="0"/>
        <w:snapToGrid w:val="0"/>
        <w:ind w:firstLine="0"/>
        <w:rPr>
          <w:snapToGrid w:val="0"/>
          <w:kern w:val="18"/>
          <w:szCs w:val="18"/>
          <w:lang w:val="en-GB"/>
        </w:rPr>
      </w:pPr>
      <w:r w:rsidRPr="00051FD1">
        <w:rPr>
          <w:rStyle w:val="FootnoteReference"/>
          <w:snapToGrid w:val="0"/>
          <w:kern w:val="18"/>
          <w:szCs w:val="18"/>
          <w:u w:val="none"/>
          <w:vertAlign w:val="superscript"/>
          <w:lang w:val="en-GB"/>
        </w:rPr>
        <w:footnoteRef/>
      </w:r>
      <w:r w:rsidRPr="00051FD1">
        <w:rPr>
          <w:snapToGrid w:val="0"/>
          <w:kern w:val="18"/>
          <w:szCs w:val="18"/>
          <w:lang w:val="en-GB"/>
        </w:rPr>
        <w:t xml:space="preserve"> </w:t>
      </w:r>
      <w:r w:rsidRPr="00051FD1">
        <w:rPr>
          <w:snapToGrid w:val="0"/>
          <w:kern w:val="18"/>
          <w:szCs w:val="18"/>
          <w:lang w:val="en-GB"/>
        </w:rPr>
        <w:t>CBD/SBI/1/10/Add.3 and CBD/SBI/2/11</w:t>
      </w:r>
      <w:r w:rsidRPr="00051FD1">
        <w:rPr>
          <w:snapToGrid w:val="0"/>
          <w:kern w:val="18"/>
          <w:szCs w:val="18"/>
          <w:lang w:val="en-GB"/>
        </w:rPr>
        <w:t>.</w:t>
      </w:r>
    </w:p>
  </w:footnote>
  <w:footnote w:id="22">
    <w:p w:rsidR="00694907" w:rsidRPr="00051FD1" w:rsidRDefault="00694907" w:rsidP="00051FD1">
      <w:pPr>
        <w:pStyle w:val="FootnoteText"/>
        <w:kinsoku w:val="0"/>
        <w:overflowPunct w:val="0"/>
        <w:autoSpaceDE w:val="0"/>
        <w:autoSpaceDN w:val="0"/>
        <w:adjustRightInd w:val="0"/>
        <w:snapToGrid w:val="0"/>
        <w:ind w:firstLine="0"/>
        <w:rPr>
          <w:snapToGrid w:val="0"/>
          <w:kern w:val="18"/>
          <w:szCs w:val="18"/>
          <w:lang w:val="en-GB"/>
        </w:rPr>
      </w:pPr>
      <w:r w:rsidRPr="00051FD1">
        <w:rPr>
          <w:rStyle w:val="FootnoteReference"/>
          <w:snapToGrid w:val="0"/>
          <w:kern w:val="18"/>
          <w:szCs w:val="18"/>
          <w:u w:val="none"/>
          <w:vertAlign w:val="superscript"/>
          <w:lang w:val="en-GB"/>
        </w:rPr>
        <w:footnoteRef/>
      </w:r>
      <w:r w:rsidRPr="00051FD1">
        <w:rPr>
          <w:snapToGrid w:val="0"/>
          <w:kern w:val="18"/>
          <w:szCs w:val="18"/>
          <w:lang w:val="en-GB"/>
        </w:rPr>
        <w:t xml:space="preserve"> This annex contains an update of review mechanisms established since the review contained in UNEP/CBD/SBI/1/10/Add.3</w:t>
      </w:r>
      <w:r w:rsidR="00441A1B">
        <w:rPr>
          <w:snapToGrid w:val="0"/>
          <w:kern w:val="18"/>
          <w:szCs w:val="18"/>
          <w:lang w:val="en-GB"/>
        </w:rPr>
        <w:t>.</w:t>
      </w:r>
    </w:p>
  </w:footnote>
  <w:footnote w:id="23">
    <w:p w:rsidR="00A54F67" w:rsidRPr="00051FD1" w:rsidRDefault="00A54F67" w:rsidP="00051FD1">
      <w:pPr>
        <w:pStyle w:val="FootnoteText"/>
        <w:kinsoku w:val="0"/>
        <w:overflowPunct w:val="0"/>
        <w:autoSpaceDE w:val="0"/>
        <w:autoSpaceDN w:val="0"/>
        <w:adjustRightInd w:val="0"/>
        <w:snapToGrid w:val="0"/>
        <w:ind w:firstLine="0"/>
        <w:rPr>
          <w:snapToGrid w:val="0"/>
          <w:kern w:val="18"/>
          <w:szCs w:val="18"/>
          <w:lang w:val="en-GB"/>
        </w:rPr>
      </w:pPr>
      <w:r w:rsidRPr="00051FD1">
        <w:rPr>
          <w:rStyle w:val="FootnoteReference"/>
          <w:snapToGrid w:val="0"/>
          <w:kern w:val="18"/>
          <w:szCs w:val="18"/>
          <w:u w:val="none"/>
          <w:vertAlign w:val="superscript"/>
          <w:lang w:val="en-GB"/>
        </w:rPr>
        <w:footnoteRef/>
      </w:r>
      <w:r w:rsidRPr="00051FD1">
        <w:rPr>
          <w:snapToGrid w:val="0"/>
          <w:kern w:val="18"/>
          <w:szCs w:val="18"/>
          <w:lang w:val="en-GB"/>
        </w:rPr>
        <w:t xml:space="preserve"> United Nations, </w:t>
      </w:r>
      <w:r w:rsidRPr="00051FD1">
        <w:rPr>
          <w:i/>
          <w:iCs/>
          <w:snapToGrid w:val="0"/>
          <w:kern w:val="18"/>
          <w:szCs w:val="18"/>
          <w:lang w:val="en-GB"/>
        </w:rPr>
        <w:t>Treaty Series</w:t>
      </w:r>
      <w:r w:rsidRPr="00051FD1">
        <w:rPr>
          <w:snapToGrid w:val="0"/>
          <w:kern w:val="18"/>
          <w:szCs w:val="18"/>
          <w:lang w:val="en-GB"/>
        </w:rPr>
        <w:t>, Registration No. I-54113</w:t>
      </w:r>
      <w:r w:rsidR="00B41073">
        <w:rPr>
          <w:snapToGrid w:val="0"/>
          <w:kern w:val="18"/>
          <w:szCs w:val="18"/>
          <w:lang w:val="en-GB"/>
        </w:rPr>
        <w:t>.</w:t>
      </w:r>
    </w:p>
  </w:footnote>
  <w:footnote w:id="24">
    <w:p w:rsidR="00C87797" w:rsidRPr="00051FD1" w:rsidRDefault="00C8779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w:t>
      </w:r>
      <w:hyperlink r:id="rId8" w:history="1">
        <w:r w:rsidRPr="00051FD1">
          <w:rPr>
            <w:rStyle w:val="Hyperlink"/>
            <w:snapToGrid w:val="0"/>
            <w:kern w:val="18"/>
            <w:szCs w:val="18"/>
            <w:lang w:val="en-GB"/>
          </w:rPr>
          <w:t>https://sustainabledevelopment.un.org/content/documents/17354VNR_handbook_2018.pdf</w:t>
        </w:r>
      </w:hyperlink>
      <w:r w:rsidRPr="00051FD1">
        <w:rPr>
          <w:snapToGrid w:val="0"/>
          <w:kern w:val="18"/>
          <w:szCs w:val="18"/>
          <w:lang w:val="en-GB"/>
        </w:rPr>
        <w:t xml:space="preserve"> </w:t>
      </w:r>
    </w:p>
  </w:footnote>
  <w:footnote w:id="25">
    <w:p w:rsidR="00C87797" w:rsidRPr="00051FD1" w:rsidRDefault="00C87797"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w:t>
      </w:r>
      <w:hyperlink r:id="rId9" w:history="1">
        <w:r w:rsidRPr="00051FD1">
          <w:rPr>
            <w:rStyle w:val="Hyperlink"/>
            <w:snapToGrid w:val="0"/>
            <w:kern w:val="18"/>
            <w:szCs w:val="18"/>
            <w:lang w:val="en-GB"/>
          </w:rPr>
          <w:t>https://sustainabledevelopment.un.org/content/documents/17346Updated_Voluntary_Guidelines.pdf</w:t>
        </w:r>
      </w:hyperlink>
      <w:r w:rsidRPr="00051FD1">
        <w:rPr>
          <w:snapToGrid w:val="0"/>
          <w:kern w:val="18"/>
          <w:szCs w:val="18"/>
          <w:lang w:val="en-GB"/>
        </w:rPr>
        <w:t xml:space="preserve"> </w:t>
      </w:r>
    </w:p>
  </w:footnote>
  <w:footnote w:id="26">
    <w:p w:rsidR="0075167F" w:rsidRPr="00051FD1" w:rsidRDefault="0075167F" w:rsidP="00051FD1">
      <w:pPr>
        <w:pStyle w:val="FootnoteText"/>
        <w:kinsoku w:val="0"/>
        <w:overflowPunct w:val="0"/>
        <w:autoSpaceDE w:val="0"/>
        <w:autoSpaceDN w:val="0"/>
        <w:adjustRightInd w:val="0"/>
        <w:snapToGrid w:val="0"/>
        <w:ind w:firstLine="0"/>
        <w:rPr>
          <w:snapToGrid w:val="0"/>
          <w:kern w:val="18"/>
          <w:szCs w:val="18"/>
          <w:lang w:val="en-GB"/>
        </w:rPr>
      </w:pPr>
      <w:r w:rsidRPr="00051FD1">
        <w:rPr>
          <w:snapToGrid w:val="0"/>
          <w:kern w:val="18"/>
          <w:szCs w:val="18"/>
          <w:vertAlign w:val="superscript"/>
          <w:lang w:val="en-GB" w:eastAsia="en-US"/>
        </w:rPr>
        <w:footnoteRef/>
      </w:r>
      <w:r w:rsidRPr="00051FD1">
        <w:rPr>
          <w:snapToGrid w:val="0"/>
          <w:kern w:val="18"/>
          <w:szCs w:val="18"/>
          <w:lang w:val="en-GB"/>
        </w:rPr>
        <w:t xml:space="preserve"> CBD/SBI/2/I</w:t>
      </w:r>
      <w:r w:rsidR="00261AD1" w:rsidRPr="00051FD1">
        <w:rPr>
          <w:snapToGrid w:val="0"/>
          <w:kern w:val="18"/>
          <w:szCs w:val="18"/>
          <w:lang w:val="en-GB"/>
        </w:rPr>
        <w:t>NF/27.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A7" w:rsidRPr="00051FD1" w:rsidRDefault="005509A7" w:rsidP="00051FD1">
    <w:pPr>
      <w:suppressLineNumbers/>
      <w:suppressAutoHyphens/>
      <w:kinsoku w:val="0"/>
      <w:overflowPunct w:val="0"/>
      <w:autoSpaceDE w:val="0"/>
      <w:autoSpaceDN w:val="0"/>
      <w:adjustRightInd w:val="0"/>
      <w:snapToGrid w:val="0"/>
      <w:rPr>
        <w:noProof/>
        <w:snapToGrid w:val="0"/>
        <w:kern w:val="22"/>
        <w:sz w:val="22"/>
        <w:szCs w:val="22"/>
        <w:lang w:val="en-GB"/>
      </w:rPr>
    </w:pPr>
    <w:r w:rsidRPr="00051FD1">
      <w:rPr>
        <w:noProof/>
        <w:snapToGrid w:val="0"/>
        <w:kern w:val="22"/>
        <w:sz w:val="22"/>
        <w:szCs w:val="22"/>
        <w:lang w:val="en-GB"/>
      </w:rPr>
      <w:t>CBD/SBI/2/11</w:t>
    </w:r>
  </w:p>
  <w:p w:rsidR="005509A7" w:rsidRPr="00051FD1" w:rsidRDefault="005509A7" w:rsidP="00051FD1">
    <w:pPr>
      <w:pStyle w:val="Header"/>
      <w:suppressLineNumbers/>
      <w:tabs>
        <w:tab w:val="clear" w:pos="4320"/>
        <w:tab w:val="clear" w:pos="8640"/>
      </w:tabs>
      <w:suppressAutoHyphens/>
      <w:kinsoku w:val="0"/>
      <w:overflowPunct w:val="0"/>
      <w:autoSpaceDE w:val="0"/>
      <w:autoSpaceDN w:val="0"/>
      <w:adjustRightInd w:val="0"/>
      <w:snapToGrid w:val="0"/>
      <w:rPr>
        <w:noProof/>
        <w:snapToGrid w:val="0"/>
        <w:kern w:val="22"/>
        <w:sz w:val="22"/>
        <w:szCs w:val="22"/>
        <w:lang w:val="en-GB"/>
      </w:rPr>
    </w:pPr>
    <w:r w:rsidRPr="00051FD1">
      <w:rPr>
        <w:noProof/>
        <w:snapToGrid w:val="0"/>
        <w:kern w:val="22"/>
        <w:sz w:val="22"/>
        <w:szCs w:val="22"/>
        <w:lang w:val="en-GB"/>
      </w:rPr>
      <w:t xml:space="preserve">Page </w:t>
    </w:r>
    <w:r w:rsidRPr="00051FD1">
      <w:rPr>
        <w:noProof/>
        <w:snapToGrid w:val="0"/>
        <w:kern w:val="22"/>
        <w:sz w:val="22"/>
        <w:szCs w:val="22"/>
        <w:lang w:val="en-GB"/>
      </w:rPr>
      <w:fldChar w:fldCharType="begin"/>
    </w:r>
    <w:r w:rsidRPr="00051FD1">
      <w:rPr>
        <w:noProof/>
        <w:snapToGrid w:val="0"/>
        <w:kern w:val="22"/>
        <w:sz w:val="22"/>
        <w:szCs w:val="22"/>
        <w:lang w:val="en-GB"/>
      </w:rPr>
      <w:instrText xml:space="preserve"> PAGE   \* MERGEFORMAT </w:instrText>
    </w:r>
    <w:r w:rsidRPr="00051FD1">
      <w:rPr>
        <w:noProof/>
        <w:snapToGrid w:val="0"/>
        <w:kern w:val="22"/>
        <w:sz w:val="22"/>
        <w:szCs w:val="22"/>
        <w:lang w:val="en-GB"/>
      </w:rPr>
      <w:fldChar w:fldCharType="separate"/>
    </w:r>
    <w:r w:rsidR="00DA7335">
      <w:rPr>
        <w:noProof/>
        <w:snapToGrid w:val="0"/>
        <w:kern w:val="22"/>
        <w:sz w:val="22"/>
        <w:szCs w:val="22"/>
        <w:lang w:val="en-GB"/>
      </w:rPr>
      <w:t>10</w:t>
    </w:r>
    <w:r w:rsidRPr="00051FD1">
      <w:rPr>
        <w:noProof/>
        <w:snapToGrid w:val="0"/>
        <w:kern w:val="22"/>
        <w:sz w:val="22"/>
        <w:szCs w:val="22"/>
        <w:lang w:val="en-GB"/>
      </w:rPr>
      <w:fldChar w:fldCharType="end"/>
    </w:r>
  </w:p>
  <w:p w:rsidR="005509A7" w:rsidRPr="00051FD1" w:rsidRDefault="005509A7" w:rsidP="00051FD1">
    <w:pPr>
      <w:pStyle w:val="Header"/>
      <w:suppressLineNumbers/>
      <w:tabs>
        <w:tab w:val="clear" w:pos="4320"/>
        <w:tab w:val="clear" w:pos="8640"/>
      </w:tabs>
      <w:suppressAutoHyphens/>
      <w:kinsoku w:val="0"/>
      <w:overflowPunct w:val="0"/>
      <w:autoSpaceDE w:val="0"/>
      <w:autoSpaceDN w:val="0"/>
      <w:adjustRightInd w:val="0"/>
      <w:snapToGrid w:val="0"/>
      <w:rPr>
        <w:noProof/>
        <w:snapToGrid w:val="0"/>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9A7" w:rsidRPr="00051FD1" w:rsidRDefault="005509A7" w:rsidP="00051FD1">
    <w:pPr>
      <w:suppressLineNumbers/>
      <w:suppressAutoHyphens/>
      <w:kinsoku w:val="0"/>
      <w:overflowPunct w:val="0"/>
      <w:autoSpaceDE w:val="0"/>
      <w:autoSpaceDN w:val="0"/>
      <w:adjustRightInd w:val="0"/>
      <w:snapToGrid w:val="0"/>
      <w:jc w:val="right"/>
      <w:rPr>
        <w:noProof/>
        <w:snapToGrid w:val="0"/>
        <w:kern w:val="22"/>
        <w:sz w:val="22"/>
        <w:szCs w:val="22"/>
        <w:lang w:val="en-GB"/>
      </w:rPr>
    </w:pPr>
    <w:r w:rsidRPr="00051FD1">
      <w:rPr>
        <w:noProof/>
        <w:snapToGrid w:val="0"/>
        <w:kern w:val="22"/>
        <w:sz w:val="22"/>
        <w:szCs w:val="22"/>
        <w:lang w:val="en-GB"/>
      </w:rPr>
      <w:t>CBD/SBI/2/11</w:t>
    </w:r>
  </w:p>
  <w:p w:rsidR="005509A7" w:rsidRPr="00051FD1" w:rsidRDefault="005509A7" w:rsidP="00051FD1">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sz w:val="22"/>
        <w:szCs w:val="22"/>
        <w:lang w:val="en-GB"/>
      </w:rPr>
    </w:pPr>
    <w:r w:rsidRPr="00051FD1">
      <w:rPr>
        <w:noProof/>
        <w:snapToGrid w:val="0"/>
        <w:kern w:val="22"/>
        <w:sz w:val="22"/>
        <w:szCs w:val="22"/>
        <w:lang w:val="en-GB"/>
      </w:rPr>
      <w:t xml:space="preserve">Page </w:t>
    </w:r>
    <w:r w:rsidRPr="00051FD1">
      <w:rPr>
        <w:noProof/>
        <w:snapToGrid w:val="0"/>
        <w:kern w:val="22"/>
        <w:sz w:val="22"/>
        <w:szCs w:val="22"/>
        <w:lang w:val="en-GB"/>
      </w:rPr>
      <w:fldChar w:fldCharType="begin"/>
    </w:r>
    <w:r w:rsidRPr="00051FD1">
      <w:rPr>
        <w:noProof/>
        <w:snapToGrid w:val="0"/>
        <w:kern w:val="22"/>
        <w:sz w:val="22"/>
        <w:szCs w:val="22"/>
        <w:lang w:val="en-GB"/>
      </w:rPr>
      <w:instrText xml:space="preserve"> PAGE   \* MERGEFORMAT </w:instrText>
    </w:r>
    <w:r w:rsidRPr="00051FD1">
      <w:rPr>
        <w:noProof/>
        <w:snapToGrid w:val="0"/>
        <w:kern w:val="22"/>
        <w:sz w:val="22"/>
        <w:szCs w:val="22"/>
        <w:lang w:val="en-GB"/>
      </w:rPr>
      <w:fldChar w:fldCharType="separate"/>
    </w:r>
    <w:r w:rsidR="00DA7335">
      <w:rPr>
        <w:noProof/>
        <w:snapToGrid w:val="0"/>
        <w:kern w:val="22"/>
        <w:sz w:val="22"/>
        <w:szCs w:val="22"/>
        <w:lang w:val="en-GB"/>
      </w:rPr>
      <w:t>11</w:t>
    </w:r>
    <w:r w:rsidRPr="00051FD1">
      <w:rPr>
        <w:noProof/>
        <w:snapToGrid w:val="0"/>
        <w:kern w:val="22"/>
        <w:sz w:val="22"/>
        <w:szCs w:val="22"/>
        <w:lang w:val="en-GB"/>
      </w:rPr>
      <w:fldChar w:fldCharType="end"/>
    </w:r>
  </w:p>
  <w:p w:rsidR="005509A7" w:rsidRPr="00051FD1" w:rsidRDefault="005509A7" w:rsidP="00051FD1">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208D7B1B"/>
    <w:multiLevelType w:val="hybridMultilevel"/>
    <w:tmpl w:val="0574A79E"/>
    <w:lvl w:ilvl="0" w:tplc="3400702C">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7234AB"/>
    <w:multiLevelType w:val="hybridMultilevel"/>
    <w:tmpl w:val="2A14A36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A650566"/>
    <w:multiLevelType w:val="hybridMultilevel"/>
    <w:tmpl w:val="8140FCA6"/>
    <w:lvl w:ilvl="0" w:tplc="3400702C">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nsid w:val="3E6A3C8B"/>
    <w:multiLevelType w:val="hybridMultilevel"/>
    <w:tmpl w:val="BE1CDD2A"/>
    <w:lvl w:ilvl="0" w:tplc="4C7479F4">
      <w:start w:val="1"/>
      <w:numFmt w:val="bullet"/>
      <w:lvlText w:val="•"/>
      <w:lvlJc w:val="left"/>
      <w:pPr>
        <w:tabs>
          <w:tab w:val="num" w:pos="720"/>
        </w:tabs>
        <w:ind w:left="720" w:hanging="360"/>
      </w:pPr>
      <w:rPr>
        <w:rFonts w:ascii="Times New Roman" w:hAnsi="Times New Roman" w:hint="default"/>
      </w:rPr>
    </w:lvl>
    <w:lvl w:ilvl="1" w:tplc="26CE27D8" w:tentative="1">
      <w:start w:val="1"/>
      <w:numFmt w:val="bullet"/>
      <w:lvlText w:val="•"/>
      <w:lvlJc w:val="left"/>
      <w:pPr>
        <w:tabs>
          <w:tab w:val="num" w:pos="1440"/>
        </w:tabs>
        <w:ind w:left="1440" w:hanging="360"/>
      </w:pPr>
      <w:rPr>
        <w:rFonts w:ascii="Times New Roman" w:hAnsi="Times New Roman" w:hint="default"/>
      </w:rPr>
    </w:lvl>
    <w:lvl w:ilvl="2" w:tplc="DE18CCD8" w:tentative="1">
      <w:start w:val="1"/>
      <w:numFmt w:val="bullet"/>
      <w:lvlText w:val="•"/>
      <w:lvlJc w:val="left"/>
      <w:pPr>
        <w:tabs>
          <w:tab w:val="num" w:pos="2160"/>
        </w:tabs>
        <w:ind w:left="2160" w:hanging="360"/>
      </w:pPr>
      <w:rPr>
        <w:rFonts w:ascii="Times New Roman" w:hAnsi="Times New Roman" w:hint="default"/>
      </w:rPr>
    </w:lvl>
    <w:lvl w:ilvl="3" w:tplc="13D66F58" w:tentative="1">
      <w:start w:val="1"/>
      <w:numFmt w:val="bullet"/>
      <w:lvlText w:val="•"/>
      <w:lvlJc w:val="left"/>
      <w:pPr>
        <w:tabs>
          <w:tab w:val="num" w:pos="2880"/>
        </w:tabs>
        <w:ind w:left="2880" w:hanging="360"/>
      </w:pPr>
      <w:rPr>
        <w:rFonts w:ascii="Times New Roman" w:hAnsi="Times New Roman" w:hint="default"/>
      </w:rPr>
    </w:lvl>
    <w:lvl w:ilvl="4" w:tplc="25A6BF40" w:tentative="1">
      <w:start w:val="1"/>
      <w:numFmt w:val="bullet"/>
      <w:lvlText w:val="•"/>
      <w:lvlJc w:val="left"/>
      <w:pPr>
        <w:tabs>
          <w:tab w:val="num" w:pos="3600"/>
        </w:tabs>
        <w:ind w:left="3600" w:hanging="360"/>
      </w:pPr>
      <w:rPr>
        <w:rFonts w:ascii="Times New Roman" w:hAnsi="Times New Roman" w:hint="default"/>
      </w:rPr>
    </w:lvl>
    <w:lvl w:ilvl="5" w:tplc="7B0CE2C8" w:tentative="1">
      <w:start w:val="1"/>
      <w:numFmt w:val="bullet"/>
      <w:lvlText w:val="•"/>
      <w:lvlJc w:val="left"/>
      <w:pPr>
        <w:tabs>
          <w:tab w:val="num" w:pos="4320"/>
        </w:tabs>
        <w:ind w:left="4320" w:hanging="360"/>
      </w:pPr>
      <w:rPr>
        <w:rFonts w:ascii="Times New Roman" w:hAnsi="Times New Roman" w:hint="default"/>
      </w:rPr>
    </w:lvl>
    <w:lvl w:ilvl="6" w:tplc="BCC0C7F8" w:tentative="1">
      <w:start w:val="1"/>
      <w:numFmt w:val="bullet"/>
      <w:lvlText w:val="•"/>
      <w:lvlJc w:val="left"/>
      <w:pPr>
        <w:tabs>
          <w:tab w:val="num" w:pos="5040"/>
        </w:tabs>
        <w:ind w:left="5040" w:hanging="360"/>
      </w:pPr>
      <w:rPr>
        <w:rFonts w:ascii="Times New Roman" w:hAnsi="Times New Roman" w:hint="default"/>
      </w:rPr>
    </w:lvl>
    <w:lvl w:ilvl="7" w:tplc="EE98BFFE" w:tentative="1">
      <w:start w:val="1"/>
      <w:numFmt w:val="bullet"/>
      <w:lvlText w:val="•"/>
      <w:lvlJc w:val="left"/>
      <w:pPr>
        <w:tabs>
          <w:tab w:val="num" w:pos="5760"/>
        </w:tabs>
        <w:ind w:left="5760" w:hanging="360"/>
      </w:pPr>
      <w:rPr>
        <w:rFonts w:ascii="Times New Roman" w:hAnsi="Times New Roman" w:hint="default"/>
      </w:rPr>
    </w:lvl>
    <w:lvl w:ilvl="8" w:tplc="EAB009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2B4E64"/>
    <w:multiLevelType w:val="hybridMultilevel"/>
    <w:tmpl w:val="2B6652B8"/>
    <w:lvl w:ilvl="0" w:tplc="CAB40D4C">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2">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E0442B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707027"/>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CE1700"/>
    <w:multiLevelType w:val="hybridMultilevel"/>
    <w:tmpl w:val="2B6652B8"/>
    <w:lvl w:ilvl="0" w:tplc="CAB40D4C">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20">
    <w:nsid w:val="64EE46A3"/>
    <w:multiLevelType w:val="hybridMultilevel"/>
    <w:tmpl w:val="E5080D96"/>
    <w:lvl w:ilvl="0" w:tplc="5652EF34">
      <w:start w:val="1"/>
      <w:numFmt w:val="decimal"/>
      <w:lvlText w:val="%1."/>
      <w:lvlJc w:val="left"/>
      <w:pPr>
        <w:ind w:left="1260" w:hanging="360"/>
      </w:pPr>
      <w:rPr>
        <w:b w:val="0"/>
        <w:i w:val="0"/>
        <w:sz w:val="22"/>
      </w:rPr>
    </w:lvl>
    <w:lvl w:ilvl="1" w:tplc="340070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67126CB6"/>
    <w:multiLevelType w:val="hybridMultilevel"/>
    <w:tmpl w:val="0574A79E"/>
    <w:lvl w:ilvl="0" w:tplc="3400702C">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4"/>
  </w:num>
  <w:num w:numId="3">
    <w:abstractNumId w:val="10"/>
    <w:lvlOverride w:ilvl="0">
      <w:startOverride w:val="1"/>
    </w:lvlOverride>
  </w:num>
  <w:num w:numId="4">
    <w:abstractNumId w:val="0"/>
  </w:num>
  <w:num w:numId="5">
    <w:abstractNumId w:val="5"/>
  </w:num>
  <w:num w:numId="6">
    <w:abstractNumId w:val="21"/>
  </w:num>
  <w:num w:numId="7">
    <w:abstractNumId w:val="16"/>
  </w:num>
  <w:num w:numId="8">
    <w:abstractNumId w:val="7"/>
  </w:num>
  <w:num w:numId="9">
    <w:abstractNumId w:val="13"/>
  </w:num>
  <w:num w:numId="10">
    <w:abstractNumId w:val="8"/>
  </w:num>
  <w:num w:numId="11">
    <w:abstractNumId w:val="18"/>
  </w:num>
  <w:num w:numId="12">
    <w:abstractNumId w:val="2"/>
  </w:num>
  <w:num w:numId="13">
    <w:abstractNumId w:val="15"/>
  </w:num>
  <w:num w:numId="14">
    <w:abstractNumId w:val="12"/>
  </w:num>
  <w:num w:numId="15">
    <w:abstractNumId w:val="20"/>
  </w:num>
  <w:num w:numId="16">
    <w:abstractNumId w:val="11"/>
  </w:num>
  <w:num w:numId="17">
    <w:abstractNumId w:val="1"/>
  </w:num>
  <w:num w:numId="18">
    <w:abstractNumId w:val="6"/>
  </w:num>
  <w:num w:numId="19">
    <w:abstractNumId w:val="4"/>
  </w:num>
  <w:num w:numId="20">
    <w:abstractNumId w:val="22"/>
  </w:num>
  <w:num w:numId="21">
    <w:abstractNumId w:val="19"/>
  </w:num>
  <w:num w:numId="22">
    <w:abstractNumId w:val="17"/>
  </w:num>
  <w:num w:numId="23">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defaultTabStop w:val="720"/>
  <w:evenAndOddHeaders/>
  <w:drawingGridHorizontalSpacing w:val="110"/>
  <w:displayHorizontalDrawingGridEvery w:val="0"/>
  <w:displayVerticalDrawingGridEvery w:val="0"/>
  <w:noPunctuationKerning/>
  <w:characterSpacingControl w:val="doNotCompress"/>
  <w:hdrShapeDefaults>
    <o:shapedefaults v:ext="edit" spidmax="512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E04"/>
    <w:rsid w:val="00003800"/>
    <w:rsid w:val="0000395C"/>
    <w:rsid w:val="00004A24"/>
    <w:rsid w:val="00005724"/>
    <w:rsid w:val="000069DB"/>
    <w:rsid w:val="00006E03"/>
    <w:rsid w:val="0000752C"/>
    <w:rsid w:val="00010915"/>
    <w:rsid w:val="00011D38"/>
    <w:rsid w:val="00011F68"/>
    <w:rsid w:val="00012F49"/>
    <w:rsid w:val="00012F65"/>
    <w:rsid w:val="000130EE"/>
    <w:rsid w:val="00013692"/>
    <w:rsid w:val="000137DC"/>
    <w:rsid w:val="00013D92"/>
    <w:rsid w:val="00014F89"/>
    <w:rsid w:val="00015F50"/>
    <w:rsid w:val="0001785A"/>
    <w:rsid w:val="00022A4C"/>
    <w:rsid w:val="00023D05"/>
    <w:rsid w:val="00024A50"/>
    <w:rsid w:val="00025298"/>
    <w:rsid w:val="000261A5"/>
    <w:rsid w:val="00026934"/>
    <w:rsid w:val="00026D45"/>
    <w:rsid w:val="000270CE"/>
    <w:rsid w:val="00030A7A"/>
    <w:rsid w:val="000314DC"/>
    <w:rsid w:val="0003184D"/>
    <w:rsid w:val="00031DBD"/>
    <w:rsid w:val="00032743"/>
    <w:rsid w:val="000332D4"/>
    <w:rsid w:val="0003374F"/>
    <w:rsid w:val="000351C0"/>
    <w:rsid w:val="000359D1"/>
    <w:rsid w:val="00036EC8"/>
    <w:rsid w:val="0003703A"/>
    <w:rsid w:val="000379C5"/>
    <w:rsid w:val="00037B77"/>
    <w:rsid w:val="00037D25"/>
    <w:rsid w:val="0004131C"/>
    <w:rsid w:val="00042217"/>
    <w:rsid w:val="00044140"/>
    <w:rsid w:val="00044448"/>
    <w:rsid w:val="00045335"/>
    <w:rsid w:val="00051FD1"/>
    <w:rsid w:val="000521F3"/>
    <w:rsid w:val="00054BB9"/>
    <w:rsid w:val="00054FD8"/>
    <w:rsid w:val="00057114"/>
    <w:rsid w:val="000577B0"/>
    <w:rsid w:val="00057950"/>
    <w:rsid w:val="000609D1"/>
    <w:rsid w:val="00063331"/>
    <w:rsid w:val="00063619"/>
    <w:rsid w:val="000643AD"/>
    <w:rsid w:val="000644E6"/>
    <w:rsid w:val="00064DD1"/>
    <w:rsid w:val="0006714C"/>
    <w:rsid w:val="00070845"/>
    <w:rsid w:val="00070B58"/>
    <w:rsid w:val="00070E02"/>
    <w:rsid w:val="00070ECE"/>
    <w:rsid w:val="000719F5"/>
    <w:rsid w:val="0007221F"/>
    <w:rsid w:val="0007361F"/>
    <w:rsid w:val="00073903"/>
    <w:rsid w:val="00074504"/>
    <w:rsid w:val="00081187"/>
    <w:rsid w:val="00081A12"/>
    <w:rsid w:val="0008235C"/>
    <w:rsid w:val="00083126"/>
    <w:rsid w:val="00083F57"/>
    <w:rsid w:val="00084427"/>
    <w:rsid w:val="0008586B"/>
    <w:rsid w:val="00086B94"/>
    <w:rsid w:val="00087051"/>
    <w:rsid w:val="00087A59"/>
    <w:rsid w:val="00090E40"/>
    <w:rsid w:val="0009153A"/>
    <w:rsid w:val="00093501"/>
    <w:rsid w:val="000937AA"/>
    <w:rsid w:val="000948E5"/>
    <w:rsid w:val="00095BBA"/>
    <w:rsid w:val="00095BEF"/>
    <w:rsid w:val="00095FB3"/>
    <w:rsid w:val="0009645C"/>
    <w:rsid w:val="000973CE"/>
    <w:rsid w:val="000979C6"/>
    <w:rsid w:val="000A2C8B"/>
    <w:rsid w:val="000A2DD0"/>
    <w:rsid w:val="000A3E0B"/>
    <w:rsid w:val="000A4E08"/>
    <w:rsid w:val="000A6299"/>
    <w:rsid w:val="000A6ED7"/>
    <w:rsid w:val="000B0E47"/>
    <w:rsid w:val="000B11A5"/>
    <w:rsid w:val="000B2AAA"/>
    <w:rsid w:val="000B3029"/>
    <w:rsid w:val="000B3673"/>
    <w:rsid w:val="000B371E"/>
    <w:rsid w:val="000B61CE"/>
    <w:rsid w:val="000C03F2"/>
    <w:rsid w:val="000C06F8"/>
    <w:rsid w:val="000C175A"/>
    <w:rsid w:val="000C237B"/>
    <w:rsid w:val="000C24A8"/>
    <w:rsid w:val="000C2587"/>
    <w:rsid w:val="000C316D"/>
    <w:rsid w:val="000C342E"/>
    <w:rsid w:val="000C4432"/>
    <w:rsid w:val="000C6C75"/>
    <w:rsid w:val="000C6CC1"/>
    <w:rsid w:val="000C7AED"/>
    <w:rsid w:val="000D0625"/>
    <w:rsid w:val="000D118D"/>
    <w:rsid w:val="000D2E66"/>
    <w:rsid w:val="000D3A06"/>
    <w:rsid w:val="000D503C"/>
    <w:rsid w:val="000D5550"/>
    <w:rsid w:val="000D61CD"/>
    <w:rsid w:val="000D6716"/>
    <w:rsid w:val="000D6963"/>
    <w:rsid w:val="000D742A"/>
    <w:rsid w:val="000E045D"/>
    <w:rsid w:val="000E0933"/>
    <w:rsid w:val="000E1262"/>
    <w:rsid w:val="000E1A75"/>
    <w:rsid w:val="000E1C4E"/>
    <w:rsid w:val="000E44EB"/>
    <w:rsid w:val="000E590C"/>
    <w:rsid w:val="000E766A"/>
    <w:rsid w:val="000E7851"/>
    <w:rsid w:val="000F20E2"/>
    <w:rsid w:val="000F4A5E"/>
    <w:rsid w:val="000F599B"/>
    <w:rsid w:val="000F78FD"/>
    <w:rsid w:val="001009E0"/>
    <w:rsid w:val="001016C8"/>
    <w:rsid w:val="00101A4F"/>
    <w:rsid w:val="00101BF1"/>
    <w:rsid w:val="00101E91"/>
    <w:rsid w:val="00102DB3"/>
    <w:rsid w:val="0010379D"/>
    <w:rsid w:val="00103CAA"/>
    <w:rsid w:val="00104121"/>
    <w:rsid w:val="00104978"/>
    <w:rsid w:val="00105750"/>
    <w:rsid w:val="00105819"/>
    <w:rsid w:val="00105A40"/>
    <w:rsid w:val="00105D8E"/>
    <w:rsid w:val="00106A1E"/>
    <w:rsid w:val="00106B75"/>
    <w:rsid w:val="00107DD4"/>
    <w:rsid w:val="00107F8A"/>
    <w:rsid w:val="001100ED"/>
    <w:rsid w:val="001101D4"/>
    <w:rsid w:val="00110481"/>
    <w:rsid w:val="00112456"/>
    <w:rsid w:val="00112941"/>
    <w:rsid w:val="0011508D"/>
    <w:rsid w:val="0011689E"/>
    <w:rsid w:val="00116E05"/>
    <w:rsid w:val="001171E8"/>
    <w:rsid w:val="001178CC"/>
    <w:rsid w:val="001178F3"/>
    <w:rsid w:val="00117E96"/>
    <w:rsid w:val="00120DAA"/>
    <w:rsid w:val="001221C3"/>
    <w:rsid w:val="00122292"/>
    <w:rsid w:val="00122AA3"/>
    <w:rsid w:val="00122DD5"/>
    <w:rsid w:val="00123CB5"/>
    <w:rsid w:val="00124821"/>
    <w:rsid w:val="00124829"/>
    <w:rsid w:val="00124F73"/>
    <w:rsid w:val="00125806"/>
    <w:rsid w:val="0012695E"/>
    <w:rsid w:val="001274CF"/>
    <w:rsid w:val="001275BC"/>
    <w:rsid w:val="0012765C"/>
    <w:rsid w:val="0013148F"/>
    <w:rsid w:val="00131FC3"/>
    <w:rsid w:val="0013200E"/>
    <w:rsid w:val="001343FE"/>
    <w:rsid w:val="00135171"/>
    <w:rsid w:val="0013524D"/>
    <w:rsid w:val="001352FA"/>
    <w:rsid w:val="00135C65"/>
    <w:rsid w:val="00136C38"/>
    <w:rsid w:val="00137579"/>
    <w:rsid w:val="0013779D"/>
    <w:rsid w:val="00141225"/>
    <w:rsid w:val="001421B4"/>
    <w:rsid w:val="001423AD"/>
    <w:rsid w:val="00142DA6"/>
    <w:rsid w:val="00143C89"/>
    <w:rsid w:val="00144D88"/>
    <w:rsid w:val="0014503F"/>
    <w:rsid w:val="00147A01"/>
    <w:rsid w:val="00150A3A"/>
    <w:rsid w:val="00151E7F"/>
    <w:rsid w:val="00153252"/>
    <w:rsid w:val="00153F5C"/>
    <w:rsid w:val="0015550D"/>
    <w:rsid w:val="00155E23"/>
    <w:rsid w:val="00156840"/>
    <w:rsid w:val="001579D1"/>
    <w:rsid w:val="00157CDC"/>
    <w:rsid w:val="00162471"/>
    <w:rsid w:val="0016273C"/>
    <w:rsid w:val="00162FB8"/>
    <w:rsid w:val="00164124"/>
    <w:rsid w:val="001645D2"/>
    <w:rsid w:val="001647F0"/>
    <w:rsid w:val="00164832"/>
    <w:rsid w:val="0016666F"/>
    <w:rsid w:val="0016675A"/>
    <w:rsid w:val="001671C7"/>
    <w:rsid w:val="00167556"/>
    <w:rsid w:val="0016756E"/>
    <w:rsid w:val="0017060C"/>
    <w:rsid w:val="001724D0"/>
    <w:rsid w:val="00180C75"/>
    <w:rsid w:val="001813C8"/>
    <w:rsid w:val="00181849"/>
    <w:rsid w:val="0018334C"/>
    <w:rsid w:val="00184427"/>
    <w:rsid w:val="00187126"/>
    <w:rsid w:val="00190971"/>
    <w:rsid w:val="00190B7F"/>
    <w:rsid w:val="00191514"/>
    <w:rsid w:val="00191686"/>
    <w:rsid w:val="00193218"/>
    <w:rsid w:val="001938F6"/>
    <w:rsid w:val="00194FF2"/>
    <w:rsid w:val="00196773"/>
    <w:rsid w:val="00196FB7"/>
    <w:rsid w:val="001A0197"/>
    <w:rsid w:val="001A08ED"/>
    <w:rsid w:val="001A13F6"/>
    <w:rsid w:val="001A1A8C"/>
    <w:rsid w:val="001A1B02"/>
    <w:rsid w:val="001A2504"/>
    <w:rsid w:val="001A43E9"/>
    <w:rsid w:val="001A6D5C"/>
    <w:rsid w:val="001B088D"/>
    <w:rsid w:val="001B08C1"/>
    <w:rsid w:val="001B0A9C"/>
    <w:rsid w:val="001B28C7"/>
    <w:rsid w:val="001B2F43"/>
    <w:rsid w:val="001B32A6"/>
    <w:rsid w:val="001B412D"/>
    <w:rsid w:val="001B73B3"/>
    <w:rsid w:val="001C11F2"/>
    <w:rsid w:val="001C19F0"/>
    <w:rsid w:val="001C2363"/>
    <w:rsid w:val="001C2FAC"/>
    <w:rsid w:val="001C3AD5"/>
    <w:rsid w:val="001C427B"/>
    <w:rsid w:val="001C4823"/>
    <w:rsid w:val="001C5070"/>
    <w:rsid w:val="001C73C9"/>
    <w:rsid w:val="001C7D79"/>
    <w:rsid w:val="001C7EF2"/>
    <w:rsid w:val="001D178D"/>
    <w:rsid w:val="001D188A"/>
    <w:rsid w:val="001D1B7B"/>
    <w:rsid w:val="001D2CD9"/>
    <w:rsid w:val="001D34E6"/>
    <w:rsid w:val="001D37AA"/>
    <w:rsid w:val="001D41CA"/>
    <w:rsid w:val="001D428D"/>
    <w:rsid w:val="001D471B"/>
    <w:rsid w:val="001D4BA9"/>
    <w:rsid w:val="001D4C04"/>
    <w:rsid w:val="001D6419"/>
    <w:rsid w:val="001D7285"/>
    <w:rsid w:val="001E039F"/>
    <w:rsid w:val="001E18DE"/>
    <w:rsid w:val="001E199C"/>
    <w:rsid w:val="001E1F80"/>
    <w:rsid w:val="001E2136"/>
    <w:rsid w:val="001E41D6"/>
    <w:rsid w:val="001E46C5"/>
    <w:rsid w:val="001E4C91"/>
    <w:rsid w:val="001F0221"/>
    <w:rsid w:val="001F03A1"/>
    <w:rsid w:val="001F1ADF"/>
    <w:rsid w:val="001F3961"/>
    <w:rsid w:val="001F4EAD"/>
    <w:rsid w:val="001F5234"/>
    <w:rsid w:val="001F5988"/>
    <w:rsid w:val="002014CD"/>
    <w:rsid w:val="002014E6"/>
    <w:rsid w:val="00201752"/>
    <w:rsid w:val="002023FB"/>
    <w:rsid w:val="00202E66"/>
    <w:rsid w:val="00202E7F"/>
    <w:rsid w:val="0020310B"/>
    <w:rsid w:val="002035EF"/>
    <w:rsid w:val="00203E2C"/>
    <w:rsid w:val="002046FD"/>
    <w:rsid w:val="00206DB0"/>
    <w:rsid w:val="00207CEB"/>
    <w:rsid w:val="00207D32"/>
    <w:rsid w:val="002120F6"/>
    <w:rsid w:val="00212CC5"/>
    <w:rsid w:val="00214212"/>
    <w:rsid w:val="002145C7"/>
    <w:rsid w:val="002149CA"/>
    <w:rsid w:val="00215C0E"/>
    <w:rsid w:val="002169EB"/>
    <w:rsid w:val="00216F07"/>
    <w:rsid w:val="00217F79"/>
    <w:rsid w:val="00220593"/>
    <w:rsid w:val="00222A93"/>
    <w:rsid w:val="0022394D"/>
    <w:rsid w:val="00223A6E"/>
    <w:rsid w:val="00224A97"/>
    <w:rsid w:val="00224C4A"/>
    <w:rsid w:val="002252DA"/>
    <w:rsid w:val="002268B2"/>
    <w:rsid w:val="00227E6F"/>
    <w:rsid w:val="00231453"/>
    <w:rsid w:val="0023272E"/>
    <w:rsid w:val="00233897"/>
    <w:rsid w:val="0023397D"/>
    <w:rsid w:val="00236763"/>
    <w:rsid w:val="00236D4F"/>
    <w:rsid w:val="00237CAC"/>
    <w:rsid w:val="00240C99"/>
    <w:rsid w:val="002432F6"/>
    <w:rsid w:val="00251DA6"/>
    <w:rsid w:val="00252E47"/>
    <w:rsid w:val="00253975"/>
    <w:rsid w:val="00253C0F"/>
    <w:rsid w:val="00254375"/>
    <w:rsid w:val="00254469"/>
    <w:rsid w:val="0025563A"/>
    <w:rsid w:val="00256397"/>
    <w:rsid w:val="00256F5C"/>
    <w:rsid w:val="002572D9"/>
    <w:rsid w:val="0026001D"/>
    <w:rsid w:val="00261AD1"/>
    <w:rsid w:val="00261C0D"/>
    <w:rsid w:val="00261DED"/>
    <w:rsid w:val="00262948"/>
    <w:rsid w:val="00263F82"/>
    <w:rsid w:val="002643CD"/>
    <w:rsid w:val="00264E4F"/>
    <w:rsid w:val="002651B8"/>
    <w:rsid w:val="0026522F"/>
    <w:rsid w:val="002665B7"/>
    <w:rsid w:val="00267AA3"/>
    <w:rsid w:val="002715AD"/>
    <w:rsid w:val="00271A0E"/>
    <w:rsid w:val="00271BEA"/>
    <w:rsid w:val="0027264C"/>
    <w:rsid w:val="00272D13"/>
    <w:rsid w:val="00273401"/>
    <w:rsid w:val="0027698F"/>
    <w:rsid w:val="00276F6A"/>
    <w:rsid w:val="002771D7"/>
    <w:rsid w:val="00277CE2"/>
    <w:rsid w:val="002803F3"/>
    <w:rsid w:val="0028068B"/>
    <w:rsid w:val="00280926"/>
    <w:rsid w:val="002813CE"/>
    <w:rsid w:val="002834FF"/>
    <w:rsid w:val="002843E9"/>
    <w:rsid w:val="0028680E"/>
    <w:rsid w:val="00286DF5"/>
    <w:rsid w:val="00287580"/>
    <w:rsid w:val="00287A02"/>
    <w:rsid w:val="00290545"/>
    <w:rsid w:val="002907D1"/>
    <w:rsid w:val="002908C6"/>
    <w:rsid w:val="002909E7"/>
    <w:rsid w:val="00290A0E"/>
    <w:rsid w:val="00290E6F"/>
    <w:rsid w:val="00292620"/>
    <w:rsid w:val="00293265"/>
    <w:rsid w:val="00294139"/>
    <w:rsid w:val="00296574"/>
    <w:rsid w:val="002975AD"/>
    <w:rsid w:val="00297742"/>
    <w:rsid w:val="002A0E81"/>
    <w:rsid w:val="002A350E"/>
    <w:rsid w:val="002A3BD1"/>
    <w:rsid w:val="002A4871"/>
    <w:rsid w:val="002A4C61"/>
    <w:rsid w:val="002A5095"/>
    <w:rsid w:val="002A54D3"/>
    <w:rsid w:val="002A7C31"/>
    <w:rsid w:val="002B1D44"/>
    <w:rsid w:val="002B2186"/>
    <w:rsid w:val="002B2241"/>
    <w:rsid w:val="002B4B31"/>
    <w:rsid w:val="002B5091"/>
    <w:rsid w:val="002B5D3C"/>
    <w:rsid w:val="002B63A9"/>
    <w:rsid w:val="002B6732"/>
    <w:rsid w:val="002B674D"/>
    <w:rsid w:val="002B693D"/>
    <w:rsid w:val="002B714F"/>
    <w:rsid w:val="002C0A85"/>
    <w:rsid w:val="002C1489"/>
    <w:rsid w:val="002C248D"/>
    <w:rsid w:val="002C2FE8"/>
    <w:rsid w:val="002C3A01"/>
    <w:rsid w:val="002C491B"/>
    <w:rsid w:val="002C54DA"/>
    <w:rsid w:val="002C5886"/>
    <w:rsid w:val="002C7620"/>
    <w:rsid w:val="002C7AA0"/>
    <w:rsid w:val="002D2820"/>
    <w:rsid w:val="002D2F3E"/>
    <w:rsid w:val="002D3061"/>
    <w:rsid w:val="002D3260"/>
    <w:rsid w:val="002D34B4"/>
    <w:rsid w:val="002D4F85"/>
    <w:rsid w:val="002D4FB0"/>
    <w:rsid w:val="002D506B"/>
    <w:rsid w:val="002E00FD"/>
    <w:rsid w:val="002E28DE"/>
    <w:rsid w:val="002E2E13"/>
    <w:rsid w:val="002E3B3A"/>
    <w:rsid w:val="002E4B17"/>
    <w:rsid w:val="002E552E"/>
    <w:rsid w:val="002E6C49"/>
    <w:rsid w:val="002F1AF7"/>
    <w:rsid w:val="002F2015"/>
    <w:rsid w:val="002F3417"/>
    <w:rsid w:val="002F3515"/>
    <w:rsid w:val="002F3FF0"/>
    <w:rsid w:val="002F45C9"/>
    <w:rsid w:val="002F7F48"/>
    <w:rsid w:val="00301C4B"/>
    <w:rsid w:val="00302F54"/>
    <w:rsid w:val="003032CB"/>
    <w:rsid w:val="00304B50"/>
    <w:rsid w:val="00305196"/>
    <w:rsid w:val="0030546E"/>
    <w:rsid w:val="00306095"/>
    <w:rsid w:val="003061EF"/>
    <w:rsid w:val="00306331"/>
    <w:rsid w:val="00306C0E"/>
    <w:rsid w:val="0030744F"/>
    <w:rsid w:val="003077F6"/>
    <w:rsid w:val="00307F48"/>
    <w:rsid w:val="00310805"/>
    <w:rsid w:val="00310CB9"/>
    <w:rsid w:val="00311626"/>
    <w:rsid w:val="00312979"/>
    <w:rsid w:val="00312E4C"/>
    <w:rsid w:val="0031320E"/>
    <w:rsid w:val="00316034"/>
    <w:rsid w:val="00316484"/>
    <w:rsid w:val="00316C7D"/>
    <w:rsid w:val="003203BE"/>
    <w:rsid w:val="0032154D"/>
    <w:rsid w:val="00321EAB"/>
    <w:rsid w:val="00323CBF"/>
    <w:rsid w:val="00323D1B"/>
    <w:rsid w:val="00323D91"/>
    <w:rsid w:val="00324750"/>
    <w:rsid w:val="0032639C"/>
    <w:rsid w:val="0032747F"/>
    <w:rsid w:val="00327AA5"/>
    <w:rsid w:val="003302C8"/>
    <w:rsid w:val="003320D7"/>
    <w:rsid w:val="00332440"/>
    <w:rsid w:val="003329E8"/>
    <w:rsid w:val="00333434"/>
    <w:rsid w:val="00333B8C"/>
    <w:rsid w:val="00333D9F"/>
    <w:rsid w:val="003340AE"/>
    <w:rsid w:val="00335D62"/>
    <w:rsid w:val="00336313"/>
    <w:rsid w:val="003367B6"/>
    <w:rsid w:val="0033760E"/>
    <w:rsid w:val="0033779A"/>
    <w:rsid w:val="00337858"/>
    <w:rsid w:val="00337BC7"/>
    <w:rsid w:val="0034006B"/>
    <w:rsid w:val="00340181"/>
    <w:rsid w:val="003421AE"/>
    <w:rsid w:val="00342306"/>
    <w:rsid w:val="0034276B"/>
    <w:rsid w:val="00343535"/>
    <w:rsid w:val="0034426C"/>
    <w:rsid w:val="00344DFA"/>
    <w:rsid w:val="00345940"/>
    <w:rsid w:val="0034599A"/>
    <w:rsid w:val="00345A42"/>
    <w:rsid w:val="003469F7"/>
    <w:rsid w:val="00346A14"/>
    <w:rsid w:val="003476D0"/>
    <w:rsid w:val="00347AD4"/>
    <w:rsid w:val="00347E35"/>
    <w:rsid w:val="00350B80"/>
    <w:rsid w:val="0035223B"/>
    <w:rsid w:val="00352E7F"/>
    <w:rsid w:val="00353E84"/>
    <w:rsid w:val="00354355"/>
    <w:rsid w:val="00354C06"/>
    <w:rsid w:val="00354EEE"/>
    <w:rsid w:val="00355E2A"/>
    <w:rsid w:val="00357C70"/>
    <w:rsid w:val="003613C1"/>
    <w:rsid w:val="00362558"/>
    <w:rsid w:val="00362758"/>
    <w:rsid w:val="00362C1B"/>
    <w:rsid w:val="0036337B"/>
    <w:rsid w:val="003645D9"/>
    <w:rsid w:val="00364F61"/>
    <w:rsid w:val="00365ABB"/>
    <w:rsid w:val="00366617"/>
    <w:rsid w:val="00367421"/>
    <w:rsid w:val="00367447"/>
    <w:rsid w:val="00367A94"/>
    <w:rsid w:val="003703CE"/>
    <w:rsid w:val="00371727"/>
    <w:rsid w:val="00371D0F"/>
    <w:rsid w:val="00371E53"/>
    <w:rsid w:val="00374C17"/>
    <w:rsid w:val="00375350"/>
    <w:rsid w:val="00375E98"/>
    <w:rsid w:val="00375F94"/>
    <w:rsid w:val="003768B1"/>
    <w:rsid w:val="0037716D"/>
    <w:rsid w:val="0038009A"/>
    <w:rsid w:val="00381F45"/>
    <w:rsid w:val="0038264F"/>
    <w:rsid w:val="003841D6"/>
    <w:rsid w:val="0038485E"/>
    <w:rsid w:val="00384F1B"/>
    <w:rsid w:val="00385E6E"/>
    <w:rsid w:val="00385F34"/>
    <w:rsid w:val="00386C51"/>
    <w:rsid w:val="00387C1C"/>
    <w:rsid w:val="0039039D"/>
    <w:rsid w:val="003909CB"/>
    <w:rsid w:val="00391C20"/>
    <w:rsid w:val="00392B54"/>
    <w:rsid w:val="00392CEB"/>
    <w:rsid w:val="003931A6"/>
    <w:rsid w:val="0039556E"/>
    <w:rsid w:val="00396487"/>
    <w:rsid w:val="003970FB"/>
    <w:rsid w:val="00397AD0"/>
    <w:rsid w:val="00397C73"/>
    <w:rsid w:val="003A0B55"/>
    <w:rsid w:val="003A1052"/>
    <w:rsid w:val="003A10D6"/>
    <w:rsid w:val="003A23C7"/>
    <w:rsid w:val="003A2CE3"/>
    <w:rsid w:val="003A4ED6"/>
    <w:rsid w:val="003A4F32"/>
    <w:rsid w:val="003A5411"/>
    <w:rsid w:val="003A752D"/>
    <w:rsid w:val="003A77B3"/>
    <w:rsid w:val="003A7EFF"/>
    <w:rsid w:val="003B01B7"/>
    <w:rsid w:val="003B0FB0"/>
    <w:rsid w:val="003B1329"/>
    <w:rsid w:val="003B168F"/>
    <w:rsid w:val="003B1E1C"/>
    <w:rsid w:val="003B1FD4"/>
    <w:rsid w:val="003B35CB"/>
    <w:rsid w:val="003B3F42"/>
    <w:rsid w:val="003B3F9A"/>
    <w:rsid w:val="003B5BC8"/>
    <w:rsid w:val="003B6934"/>
    <w:rsid w:val="003B6F85"/>
    <w:rsid w:val="003B6FF5"/>
    <w:rsid w:val="003B7242"/>
    <w:rsid w:val="003B7908"/>
    <w:rsid w:val="003C06A1"/>
    <w:rsid w:val="003C0F6D"/>
    <w:rsid w:val="003C3368"/>
    <w:rsid w:val="003C3938"/>
    <w:rsid w:val="003C3E0E"/>
    <w:rsid w:val="003C45BC"/>
    <w:rsid w:val="003C4714"/>
    <w:rsid w:val="003C4EAA"/>
    <w:rsid w:val="003C52EC"/>
    <w:rsid w:val="003C5BAD"/>
    <w:rsid w:val="003C6480"/>
    <w:rsid w:val="003C6BDA"/>
    <w:rsid w:val="003C7BCB"/>
    <w:rsid w:val="003D014C"/>
    <w:rsid w:val="003D1BB8"/>
    <w:rsid w:val="003D1F6D"/>
    <w:rsid w:val="003D2342"/>
    <w:rsid w:val="003D3181"/>
    <w:rsid w:val="003D3309"/>
    <w:rsid w:val="003D3908"/>
    <w:rsid w:val="003D5A21"/>
    <w:rsid w:val="003D72E5"/>
    <w:rsid w:val="003E0258"/>
    <w:rsid w:val="003E1EE0"/>
    <w:rsid w:val="003E22EE"/>
    <w:rsid w:val="003E23CA"/>
    <w:rsid w:val="003E478E"/>
    <w:rsid w:val="003E567A"/>
    <w:rsid w:val="003E6133"/>
    <w:rsid w:val="003E64EA"/>
    <w:rsid w:val="003E6F57"/>
    <w:rsid w:val="003E70E1"/>
    <w:rsid w:val="003F03A9"/>
    <w:rsid w:val="003F04AB"/>
    <w:rsid w:val="003F0F0E"/>
    <w:rsid w:val="003F2E72"/>
    <w:rsid w:val="003F31FD"/>
    <w:rsid w:val="003F3FE4"/>
    <w:rsid w:val="003F406C"/>
    <w:rsid w:val="003F4150"/>
    <w:rsid w:val="003F58E2"/>
    <w:rsid w:val="003F6938"/>
    <w:rsid w:val="003F6CEC"/>
    <w:rsid w:val="003F7BB1"/>
    <w:rsid w:val="00401C33"/>
    <w:rsid w:val="00401FA0"/>
    <w:rsid w:val="004024BF"/>
    <w:rsid w:val="00402C0C"/>
    <w:rsid w:val="0040313D"/>
    <w:rsid w:val="00403156"/>
    <w:rsid w:val="00403428"/>
    <w:rsid w:val="004037A9"/>
    <w:rsid w:val="00406438"/>
    <w:rsid w:val="0041026A"/>
    <w:rsid w:val="004110A2"/>
    <w:rsid w:val="00411AED"/>
    <w:rsid w:val="00412D1B"/>
    <w:rsid w:val="00414977"/>
    <w:rsid w:val="0041597C"/>
    <w:rsid w:val="004168FE"/>
    <w:rsid w:val="00416FB9"/>
    <w:rsid w:val="004171AA"/>
    <w:rsid w:val="00420661"/>
    <w:rsid w:val="00422B9C"/>
    <w:rsid w:val="004238BD"/>
    <w:rsid w:val="00423A16"/>
    <w:rsid w:val="00424E0F"/>
    <w:rsid w:val="00427620"/>
    <w:rsid w:val="00427938"/>
    <w:rsid w:val="0043078E"/>
    <w:rsid w:val="00431C94"/>
    <w:rsid w:val="00432148"/>
    <w:rsid w:val="004326EF"/>
    <w:rsid w:val="004328C4"/>
    <w:rsid w:val="0043466F"/>
    <w:rsid w:val="00434BA2"/>
    <w:rsid w:val="00435BC0"/>
    <w:rsid w:val="00436194"/>
    <w:rsid w:val="00436B41"/>
    <w:rsid w:val="00436C05"/>
    <w:rsid w:val="00437A9A"/>
    <w:rsid w:val="00441A1B"/>
    <w:rsid w:val="00441D0E"/>
    <w:rsid w:val="00442E08"/>
    <w:rsid w:val="0044340B"/>
    <w:rsid w:val="00443BEC"/>
    <w:rsid w:val="00443C2E"/>
    <w:rsid w:val="00443CD0"/>
    <w:rsid w:val="0044424B"/>
    <w:rsid w:val="00444B04"/>
    <w:rsid w:val="00445558"/>
    <w:rsid w:val="00446FA2"/>
    <w:rsid w:val="004475A8"/>
    <w:rsid w:val="00447BE5"/>
    <w:rsid w:val="0045087F"/>
    <w:rsid w:val="00450C97"/>
    <w:rsid w:val="0045138F"/>
    <w:rsid w:val="004521B2"/>
    <w:rsid w:val="0045275A"/>
    <w:rsid w:val="004565A5"/>
    <w:rsid w:val="004575D3"/>
    <w:rsid w:val="004577B0"/>
    <w:rsid w:val="0046037E"/>
    <w:rsid w:val="00460673"/>
    <w:rsid w:val="00460E85"/>
    <w:rsid w:val="004616E3"/>
    <w:rsid w:val="00463F0E"/>
    <w:rsid w:val="004651BB"/>
    <w:rsid w:val="00465767"/>
    <w:rsid w:val="004659AD"/>
    <w:rsid w:val="00465C9A"/>
    <w:rsid w:val="004664D6"/>
    <w:rsid w:val="004670B8"/>
    <w:rsid w:val="0046762E"/>
    <w:rsid w:val="00467928"/>
    <w:rsid w:val="00473D34"/>
    <w:rsid w:val="004741F0"/>
    <w:rsid w:val="0047735A"/>
    <w:rsid w:val="004804FA"/>
    <w:rsid w:val="0048166C"/>
    <w:rsid w:val="004823D6"/>
    <w:rsid w:val="0048249B"/>
    <w:rsid w:val="004826A4"/>
    <w:rsid w:val="00484FE8"/>
    <w:rsid w:val="00485352"/>
    <w:rsid w:val="00487093"/>
    <w:rsid w:val="0048735C"/>
    <w:rsid w:val="00487F21"/>
    <w:rsid w:val="004950C3"/>
    <w:rsid w:val="00495470"/>
    <w:rsid w:val="004A1C76"/>
    <w:rsid w:val="004A1D41"/>
    <w:rsid w:val="004A33D6"/>
    <w:rsid w:val="004A36C3"/>
    <w:rsid w:val="004A5BFF"/>
    <w:rsid w:val="004A60C0"/>
    <w:rsid w:val="004B2405"/>
    <w:rsid w:val="004B42C4"/>
    <w:rsid w:val="004B44EE"/>
    <w:rsid w:val="004B456F"/>
    <w:rsid w:val="004B4799"/>
    <w:rsid w:val="004B65B0"/>
    <w:rsid w:val="004B6735"/>
    <w:rsid w:val="004B67FF"/>
    <w:rsid w:val="004B77B6"/>
    <w:rsid w:val="004C10E8"/>
    <w:rsid w:val="004C16A3"/>
    <w:rsid w:val="004C18D4"/>
    <w:rsid w:val="004C1CEF"/>
    <w:rsid w:val="004C1D73"/>
    <w:rsid w:val="004C2F1E"/>
    <w:rsid w:val="004C3740"/>
    <w:rsid w:val="004C3E72"/>
    <w:rsid w:val="004C41C9"/>
    <w:rsid w:val="004D13E7"/>
    <w:rsid w:val="004D1DF2"/>
    <w:rsid w:val="004D1E96"/>
    <w:rsid w:val="004D2280"/>
    <w:rsid w:val="004D2D9D"/>
    <w:rsid w:val="004D3E5C"/>
    <w:rsid w:val="004D3FDF"/>
    <w:rsid w:val="004D426E"/>
    <w:rsid w:val="004D4C00"/>
    <w:rsid w:val="004D581D"/>
    <w:rsid w:val="004D6A9E"/>
    <w:rsid w:val="004D7406"/>
    <w:rsid w:val="004D7801"/>
    <w:rsid w:val="004E0DFB"/>
    <w:rsid w:val="004E0E43"/>
    <w:rsid w:val="004E1FE3"/>
    <w:rsid w:val="004E3970"/>
    <w:rsid w:val="004E41C8"/>
    <w:rsid w:val="004E59B0"/>
    <w:rsid w:val="004E6F42"/>
    <w:rsid w:val="004E7AD0"/>
    <w:rsid w:val="004F0476"/>
    <w:rsid w:val="004F11EB"/>
    <w:rsid w:val="004F254E"/>
    <w:rsid w:val="004F3E2C"/>
    <w:rsid w:val="004F5C82"/>
    <w:rsid w:val="004F63FF"/>
    <w:rsid w:val="004F65EC"/>
    <w:rsid w:val="004F661B"/>
    <w:rsid w:val="004F688A"/>
    <w:rsid w:val="004F6BA1"/>
    <w:rsid w:val="004F74AC"/>
    <w:rsid w:val="00503820"/>
    <w:rsid w:val="0050460E"/>
    <w:rsid w:val="005054D2"/>
    <w:rsid w:val="00505EFA"/>
    <w:rsid w:val="00506479"/>
    <w:rsid w:val="00506615"/>
    <w:rsid w:val="00510463"/>
    <w:rsid w:val="00510B3B"/>
    <w:rsid w:val="00511916"/>
    <w:rsid w:val="00511A92"/>
    <w:rsid w:val="00511DB2"/>
    <w:rsid w:val="00512F67"/>
    <w:rsid w:val="00513BE8"/>
    <w:rsid w:val="00513C23"/>
    <w:rsid w:val="00514EC9"/>
    <w:rsid w:val="00514F43"/>
    <w:rsid w:val="005163B1"/>
    <w:rsid w:val="0051736E"/>
    <w:rsid w:val="005201A8"/>
    <w:rsid w:val="00520FD9"/>
    <w:rsid w:val="00521A12"/>
    <w:rsid w:val="0052265A"/>
    <w:rsid w:val="0052302F"/>
    <w:rsid w:val="00523198"/>
    <w:rsid w:val="005236ED"/>
    <w:rsid w:val="00523FFF"/>
    <w:rsid w:val="00524D8A"/>
    <w:rsid w:val="00527E13"/>
    <w:rsid w:val="00531063"/>
    <w:rsid w:val="00532185"/>
    <w:rsid w:val="00533B04"/>
    <w:rsid w:val="005341FE"/>
    <w:rsid w:val="00534B64"/>
    <w:rsid w:val="00535943"/>
    <w:rsid w:val="00535C39"/>
    <w:rsid w:val="005361A0"/>
    <w:rsid w:val="00536A59"/>
    <w:rsid w:val="0053760A"/>
    <w:rsid w:val="00540027"/>
    <w:rsid w:val="00540D69"/>
    <w:rsid w:val="00540D86"/>
    <w:rsid w:val="00542389"/>
    <w:rsid w:val="005447D2"/>
    <w:rsid w:val="00545BC6"/>
    <w:rsid w:val="00545CDC"/>
    <w:rsid w:val="00545FC1"/>
    <w:rsid w:val="00546911"/>
    <w:rsid w:val="00547344"/>
    <w:rsid w:val="005509A7"/>
    <w:rsid w:val="00550DA4"/>
    <w:rsid w:val="0055151A"/>
    <w:rsid w:val="00551814"/>
    <w:rsid w:val="00551A1E"/>
    <w:rsid w:val="00552C19"/>
    <w:rsid w:val="00553CC6"/>
    <w:rsid w:val="00554324"/>
    <w:rsid w:val="005565B1"/>
    <w:rsid w:val="00557033"/>
    <w:rsid w:val="00557A51"/>
    <w:rsid w:val="00557B1F"/>
    <w:rsid w:val="00557E44"/>
    <w:rsid w:val="00560B12"/>
    <w:rsid w:val="00561738"/>
    <w:rsid w:val="00562255"/>
    <w:rsid w:val="00562CE2"/>
    <w:rsid w:val="00563080"/>
    <w:rsid w:val="00563469"/>
    <w:rsid w:val="00563B5C"/>
    <w:rsid w:val="00563DCD"/>
    <w:rsid w:val="00563E5E"/>
    <w:rsid w:val="00564EEA"/>
    <w:rsid w:val="00565D64"/>
    <w:rsid w:val="005661A0"/>
    <w:rsid w:val="005707E6"/>
    <w:rsid w:val="00571158"/>
    <w:rsid w:val="0057128D"/>
    <w:rsid w:val="00573E33"/>
    <w:rsid w:val="00573E4B"/>
    <w:rsid w:val="00573E82"/>
    <w:rsid w:val="00575792"/>
    <w:rsid w:val="00576779"/>
    <w:rsid w:val="00577071"/>
    <w:rsid w:val="0058034C"/>
    <w:rsid w:val="00580A7A"/>
    <w:rsid w:val="00581057"/>
    <w:rsid w:val="005817A6"/>
    <w:rsid w:val="0058250A"/>
    <w:rsid w:val="00582865"/>
    <w:rsid w:val="0058374F"/>
    <w:rsid w:val="005853AD"/>
    <w:rsid w:val="005859B0"/>
    <w:rsid w:val="005860D7"/>
    <w:rsid w:val="005864AE"/>
    <w:rsid w:val="00587BD9"/>
    <w:rsid w:val="00590AF9"/>
    <w:rsid w:val="00591FEE"/>
    <w:rsid w:val="00592101"/>
    <w:rsid w:val="00592322"/>
    <w:rsid w:val="00592C48"/>
    <w:rsid w:val="00594176"/>
    <w:rsid w:val="00594994"/>
    <w:rsid w:val="00595431"/>
    <w:rsid w:val="00596ABD"/>
    <w:rsid w:val="00596D76"/>
    <w:rsid w:val="00596E7F"/>
    <w:rsid w:val="005972BD"/>
    <w:rsid w:val="00597E2E"/>
    <w:rsid w:val="005A143F"/>
    <w:rsid w:val="005A1FBE"/>
    <w:rsid w:val="005A2655"/>
    <w:rsid w:val="005A2C73"/>
    <w:rsid w:val="005A310E"/>
    <w:rsid w:val="005A350D"/>
    <w:rsid w:val="005A41A8"/>
    <w:rsid w:val="005A466F"/>
    <w:rsid w:val="005A48DA"/>
    <w:rsid w:val="005B03EA"/>
    <w:rsid w:val="005B0938"/>
    <w:rsid w:val="005B0B25"/>
    <w:rsid w:val="005B16E3"/>
    <w:rsid w:val="005B2259"/>
    <w:rsid w:val="005B43E0"/>
    <w:rsid w:val="005B4456"/>
    <w:rsid w:val="005B4A4A"/>
    <w:rsid w:val="005B4CA5"/>
    <w:rsid w:val="005B5F20"/>
    <w:rsid w:val="005B5FE5"/>
    <w:rsid w:val="005C1F1F"/>
    <w:rsid w:val="005C2B95"/>
    <w:rsid w:val="005C4AA2"/>
    <w:rsid w:val="005C5251"/>
    <w:rsid w:val="005C57E0"/>
    <w:rsid w:val="005C5A4B"/>
    <w:rsid w:val="005C5B4A"/>
    <w:rsid w:val="005C63FB"/>
    <w:rsid w:val="005C661D"/>
    <w:rsid w:val="005C69B0"/>
    <w:rsid w:val="005C6A5B"/>
    <w:rsid w:val="005C6A9A"/>
    <w:rsid w:val="005C6C31"/>
    <w:rsid w:val="005C7844"/>
    <w:rsid w:val="005C7875"/>
    <w:rsid w:val="005C78F7"/>
    <w:rsid w:val="005D08C5"/>
    <w:rsid w:val="005D0CD4"/>
    <w:rsid w:val="005D2AB0"/>
    <w:rsid w:val="005D3370"/>
    <w:rsid w:val="005D3CC2"/>
    <w:rsid w:val="005D3FD5"/>
    <w:rsid w:val="005D453E"/>
    <w:rsid w:val="005D46C0"/>
    <w:rsid w:val="005D6AC0"/>
    <w:rsid w:val="005D79E5"/>
    <w:rsid w:val="005E13A7"/>
    <w:rsid w:val="005E2220"/>
    <w:rsid w:val="005E298A"/>
    <w:rsid w:val="005E2CCF"/>
    <w:rsid w:val="005E2E4D"/>
    <w:rsid w:val="005E76EB"/>
    <w:rsid w:val="005F09C1"/>
    <w:rsid w:val="005F0BB2"/>
    <w:rsid w:val="005F112D"/>
    <w:rsid w:val="005F14F4"/>
    <w:rsid w:val="005F1CC1"/>
    <w:rsid w:val="005F2EAC"/>
    <w:rsid w:val="005F3185"/>
    <w:rsid w:val="005F32B8"/>
    <w:rsid w:val="005F32ED"/>
    <w:rsid w:val="005F33E1"/>
    <w:rsid w:val="005F3A74"/>
    <w:rsid w:val="005F44DD"/>
    <w:rsid w:val="005F4B5E"/>
    <w:rsid w:val="005F4C5F"/>
    <w:rsid w:val="005F5203"/>
    <w:rsid w:val="005F667B"/>
    <w:rsid w:val="005F6E06"/>
    <w:rsid w:val="005F7B6F"/>
    <w:rsid w:val="005F7D9B"/>
    <w:rsid w:val="00601123"/>
    <w:rsid w:val="0060176C"/>
    <w:rsid w:val="00601D70"/>
    <w:rsid w:val="00601F60"/>
    <w:rsid w:val="006029E2"/>
    <w:rsid w:val="00605190"/>
    <w:rsid w:val="00605A65"/>
    <w:rsid w:val="006102B1"/>
    <w:rsid w:val="006125C1"/>
    <w:rsid w:val="00612959"/>
    <w:rsid w:val="00612C82"/>
    <w:rsid w:val="00612E4B"/>
    <w:rsid w:val="006140FF"/>
    <w:rsid w:val="00614212"/>
    <w:rsid w:val="00615954"/>
    <w:rsid w:val="006162E5"/>
    <w:rsid w:val="00622220"/>
    <w:rsid w:val="00622C91"/>
    <w:rsid w:val="00623425"/>
    <w:rsid w:val="00623675"/>
    <w:rsid w:val="0062384C"/>
    <w:rsid w:val="00624D52"/>
    <w:rsid w:val="00626213"/>
    <w:rsid w:val="00626E38"/>
    <w:rsid w:val="006271FC"/>
    <w:rsid w:val="006302C4"/>
    <w:rsid w:val="00630662"/>
    <w:rsid w:val="00633E57"/>
    <w:rsid w:val="0063466B"/>
    <w:rsid w:val="0063517C"/>
    <w:rsid w:val="00635C4C"/>
    <w:rsid w:val="00636688"/>
    <w:rsid w:val="00636E17"/>
    <w:rsid w:val="00636FAE"/>
    <w:rsid w:val="00637080"/>
    <w:rsid w:val="006406D1"/>
    <w:rsid w:val="00642A41"/>
    <w:rsid w:val="00642E5B"/>
    <w:rsid w:val="006433C5"/>
    <w:rsid w:val="006434C7"/>
    <w:rsid w:val="0064413D"/>
    <w:rsid w:val="00644438"/>
    <w:rsid w:val="00644480"/>
    <w:rsid w:val="006456D8"/>
    <w:rsid w:val="006468F6"/>
    <w:rsid w:val="00646F61"/>
    <w:rsid w:val="00647852"/>
    <w:rsid w:val="00650668"/>
    <w:rsid w:val="0065081C"/>
    <w:rsid w:val="00651524"/>
    <w:rsid w:val="00652FFB"/>
    <w:rsid w:val="006530D0"/>
    <w:rsid w:val="006562FD"/>
    <w:rsid w:val="006565E2"/>
    <w:rsid w:val="00656B1A"/>
    <w:rsid w:val="00657358"/>
    <w:rsid w:val="00657C43"/>
    <w:rsid w:val="00660521"/>
    <w:rsid w:val="006606AF"/>
    <w:rsid w:val="006611FA"/>
    <w:rsid w:val="00663255"/>
    <w:rsid w:val="00664159"/>
    <w:rsid w:val="00664479"/>
    <w:rsid w:val="0066463D"/>
    <w:rsid w:val="0066465F"/>
    <w:rsid w:val="00664A03"/>
    <w:rsid w:val="00664EF2"/>
    <w:rsid w:val="00665623"/>
    <w:rsid w:val="00667749"/>
    <w:rsid w:val="00670323"/>
    <w:rsid w:val="006708A8"/>
    <w:rsid w:val="00670F1D"/>
    <w:rsid w:val="00672C3E"/>
    <w:rsid w:val="00673AFB"/>
    <w:rsid w:val="00673B16"/>
    <w:rsid w:val="00673CA1"/>
    <w:rsid w:val="006745AF"/>
    <w:rsid w:val="00680218"/>
    <w:rsid w:val="0068032F"/>
    <w:rsid w:val="00680BCD"/>
    <w:rsid w:val="00680BF7"/>
    <w:rsid w:val="00680D94"/>
    <w:rsid w:val="00681B8D"/>
    <w:rsid w:val="0068238F"/>
    <w:rsid w:val="00682F30"/>
    <w:rsid w:val="006851AD"/>
    <w:rsid w:val="00685C14"/>
    <w:rsid w:val="006860F0"/>
    <w:rsid w:val="00686137"/>
    <w:rsid w:val="006868AA"/>
    <w:rsid w:val="006876C6"/>
    <w:rsid w:val="00690516"/>
    <w:rsid w:val="00690716"/>
    <w:rsid w:val="00690E28"/>
    <w:rsid w:val="00691969"/>
    <w:rsid w:val="0069215E"/>
    <w:rsid w:val="00692F2B"/>
    <w:rsid w:val="00693A84"/>
    <w:rsid w:val="00694907"/>
    <w:rsid w:val="006949DE"/>
    <w:rsid w:val="00694F3E"/>
    <w:rsid w:val="00695566"/>
    <w:rsid w:val="006968AD"/>
    <w:rsid w:val="006A01B1"/>
    <w:rsid w:val="006A09A3"/>
    <w:rsid w:val="006A09F2"/>
    <w:rsid w:val="006A1A94"/>
    <w:rsid w:val="006A3299"/>
    <w:rsid w:val="006A35DD"/>
    <w:rsid w:val="006A3D56"/>
    <w:rsid w:val="006A439C"/>
    <w:rsid w:val="006A4ECF"/>
    <w:rsid w:val="006A6A60"/>
    <w:rsid w:val="006A74D4"/>
    <w:rsid w:val="006A7FB8"/>
    <w:rsid w:val="006B06CD"/>
    <w:rsid w:val="006B1EEB"/>
    <w:rsid w:val="006B2D88"/>
    <w:rsid w:val="006B2DD9"/>
    <w:rsid w:val="006B3B4B"/>
    <w:rsid w:val="006B3E15"/>
    <w:rsid w:val="006B5F7D"/>
    <w:rsid w:val="006B645F"/>
    <w:rsid w:val="006B6D9A"/>
    <w:rsid w:val="006B76E4"/>
    <w:rsid w:val="006B77A0"/>
    <w:rsid w:val="006C0393"/>
    <w:rsid w:val="006C07F7"/>
    <w:rsid w:val="006C0829"/>
    <w:rsid w:val="006C15D9"/>
    <w:rsid w:val="006C22DF"/>
    <w:rsid w:val="006C34C0"/>
    <w:rsid w:val="006C4C23"/>
    <w:rsid w:val="006C59D6"/>
    <w:rsid w:val="006C5A3C"/>
    <w:rsid w:val="006C5F25"/>
    <w:rsid w:val="006C6AAF"/>
    <w:rsid w:val="006C7AAE"/>
    <w:rsid w:val="006D0293"/>
    <w:rsid w:val="006D0EF8"/>
    <w:rsid w:val="006D1531"/>
    <w:rsid w:val="006D1E40"/>
    <w:rsid w:val="006D2152"/>
    <w:rsid w:val="006D2F6E"/>
    <w:rsid w:val="006D4127"/>
    <w:rsid w:val="006E0152"/>
    <w:rsid w:val="006E04A6"/>
    <w:rsid w:val="006E1516"/>
    <w:rsid w:val="006E1932"/>
    <w:rsid w:val="006E26CB"/>
    <w:rsid w:val="006E2D28"/>
    <w:rsid w:val="006E51A7"/>
    <w:rsid w:val="006E7D4E"/>
    <w:rsid w:val="006F2809"/>
    <w:rsid w:val="006F2CCB"/>
    <w:rsid w:val="006F2F8E"/>
    <w:rsid w:val="006F3435"/>
    <w:rsid w:val="006F49B1"/>
    <w:rsid w:val="006F6029"/>
    <w:rsid w:val="006F72DE"/>
    <w:rsid w:val="006F7A5C"/>
    <w:rsid w:val="006F7BD2"/>
    <w:rsid w:val="007008BE"/>
    <w:rsid w:val="00701B01"/>
    <w:rsid w:val="007029E3"/>
    <w:rsid w:val="00704BF3"/>
    <w:rsid w:val="00704FEA"/>
    <w:rsid w:val="007054F3"/>
    <w:rsid w:val="007062E1"/>
    <w:rsid w:val="007065B0"/>
    <w:rsid w:val="0071093B"/>
    <w:rsid w:val="00711277"/>
    <w:rsid w:val="0071255E"/>
    <w:rsid w:val="00712646"/>
    <w:rsid w:val="0071318C"/>
    <w:rsid w:val="00713727"/>
    <w:rsid w:val="0071465E"/>
    <w:rsid w:val="007153D8"/>
    <w:rsid w:val="00715C16"/>
    <w:rsid w:val="00715DC5"/>
    <w:rsid w:val="00716F1A"/>
    <w:rsid w:val="00717723"/>
    <w:rsid w:val="00720994"/>
    <w:rsid w:val="0072169F"/>
    <w:rsid w:val="0072335A"/>
    <w:rsid w:val="0072400F"/>
    <w:rsid w:val="00725C33"/>
    <w:rsid w:val="007272BC"/>
    <w:rsid w:val="0073008B"/>
    <w:rsid w:val="0073018C"/>
    <w:rsid w:val="00731C60"/>
    <w:rsid w:val="00732E1C"/>
    <w:rsid w:val="00733847"/>
    <w:rsid w:val="00734794"/>
    <w:rsid w:val="00735314"/>
    <w:rsid w:val="007358A4"/>
    <w:rsid w:val="00735D50"/>
    <w:rsid w:val="00735F22"/>
    <w:rsid w:val="0073631A"/>
    <w:rsid w:val="007369BB"/>
    <w:rsid w:val="00737E44"/>
    <w:rsid w:val="00737EC0"/>
    <w:rsid w:val="0074060E"/>
    <w:rsid w:val="00740C96"/>
    <w:rsid w:val="00741B3F"/>
    <w:rsid w:val="007429FE"/>
    <w:rsid w:val="0074397C"/>
    <w:rsid w:val="00743BB9"/>
    <w:rsid w:val="00744966"/>
    <w:rsid w:val="00744D7B"/>
    <w:rsid w:val="00745CC8"/>
    <w:rsid w:val="0074727A"/>
    <w:rsid w:val="0074753B"/>
    <w:rsid w:val="007475A3"/>
    <w:rsid w:val="00747759"/>
    <w:rsid w:val="0075014F"/>
    <w:rsid w:val="00750802"/>
    <w:rsid w:val="0075093A"/>
    <w:rsid w:val="0075167F"/>
    <w:rsid w:val="00752623"/>
    <w:rsid w:val="00752B8D"/>
    <w:rsid w:val="00753D40"/>
    <w:rsid w:val="007568E1"/>
    <w:rsid w:val="007600E4"/>
    <w:rsid w:val="0076065A"/>
    <w:rsid w:val="00761B49"/>
    <w:rsid w:val="00761E6A"/>
    <w:rsid w:val="00762098"/>
    <w:rsid w:val="00762131"/>
    <w:rsid w:val="00763504"/>
    <w:rsid w:val="00764022"/>
    <w:rsid w:val="0076444A"/>
    <w:rsid w:val="00764C56"/>
    <w:rsid w:val="007664A6"/>
    <w:rsid w:val="00766F69"/>
    <w:rsid w:val="00767248"/>
    <w:rsid w:val="00770736"/>
    <w:rsid w:val="00770903"/>
    <w:rsid w:val="00770A2E"/>
    <w:rsid w:val="00771EAB"/>
    <w:rsid w:val="007720F1"/>
    <w:rsid w:val="00773EEF"/>
    <w:rsid w:val="00774439"/>
    <w:rsid w:val="00774BF8"/>
    <w:rsid w:val="0077622A"/>
    <w:rsid w:val="007765AA"/>
    <w:rsid w:val="007768C0"/>
    <w:rsid w:val="0077697B"/>
    <w:rsid w:val="00776BC9"/>
    <w:rsid w:val="00777ECA"/>
    <w:rsid w:val="007806E2"/>
    <w:rsid w:val="00780F65"/>
    <w:rsid w:val="00781AC6"/>
    <w:rsid w:val="00781CC3"/>
    <w:rsid w:val="00783BBD"/>
    <w:rsid w:val="0078513B"/>
    <w:rsid w:val="007854EB"/>
    <w:rsid w:val="00785646"/>
    <w:rsid w:val="00786C77"/>
    <w:rsid w:val="007875AB"/>
    <w:rsid w:val="00787DDF"/>
    <w:rsid w:val="007904EE"/>
    <w:rsid w:val="00790F82"/>
    <w:rsid w:val="00791315"/>
    <w:rsid w:val="007921D8"/>
    <w:rsid w:val="00792AC2"/>
    <w:rsid w:val="007930E8"/>
    <w:rsid w:val="007931FB"/>
    <w:rsid w:val="00793EF9"/>
    <w:rsid w:val="0079470A"/>
    <w:rsid w:val="007947B4"/>
    <w:rsid w:val="007950D5"/>
    <w:rsid w:val="00795ECF"/>
    <w:rsid w:val="00796CC6"/>
    <w:rsid w:val="00797C73"/>
    <w:rsid w:val="00797C75"/>
    <w:rsid w:val="00797DE5"/>
    <w:rsid w:val="007A0207"/>
    <w:rsid w:val="007A0C50"/>
    <w:rsid w:val="007A1364"/>
    <w:rsid w:val="007A273C"/>
    <w:rsid w:val="007A29EF"/>
    <w:rsid w:val="007A3E93"/>
    <w:rsid w:val="007A5458"/>
    <w:rsid w:val="007A6791"/>
    <w:rsid w:val="007A681E"/>
    <w:rsid w:val="007A7D22"/>
    <w:rsid w:val="007A7DCE"/>
    <w:rsid w:val="007B0A9B"/>
    <w:rsid w:val="007B1D81"/>
    <w:rsid w:val="007B251D"/>
    <w:rsid w:val="007B344F"/>
    <w:rsid w:val="007B3D06"/>
    <w:rsid w:val="007B40B3"/>
    <w:rsid w:val="007B5030"/>
    <w:rsid w:val="007B5627"/>
    <w:rsid w:val="007B683A"/>
    <w:rsid w:val="007B6CFF"/>
    <w:rsid w:val="007B7025"/>
    <w:rsid w:val="007C07E1"/>
    <w:rsid w:val="007C0AD3"/>
    <w:rsid w:val="007C2BC5"/>
    <w:rsid w:val="007C570B"/>
    <w:rsid w:val="007C5AA2"/>
    <w:rsid w:val="007C6812"/>
    <w:rsid w:val="007C71D0"/>
    <w:rsid w:val="007C77C7"/>
    <w:rsid w:val="007D2AD8"/>
    <w:rsid w:val="007D3209"/>
    <w:rsid w:val="007D4B28"/>
    <w:rsid w:val="007D5453"/>
    <w:rsid w:val="007D546F"/>
    <w:rsid w:val="007D5DB0"/>
    <w:rsid w:val="007D6690"/>
    <w:rsid w:val="007D702D"/>
    <w:rsid w:val="007D7730"/>
    <w:rsid w:val="007D77EA"/>
    <w:rsid w:val="007D7C30"/>
    <w:rsid w:val="007E0582"/>
    <w:rsid w:val="007E0EFA"/>
    <w:rsid w:val="007E16CA"/>
    <w:rsid w:val="007E2C9A"/>
    <w:rsid w:val="007E2EE3"/>
    <w:rsid w:val="007E3B27"/>
    <w:rsid w:val="007E4A58"/>
    <w:rsid w:val="007E4BAF"/>
    <w:rsid w:val="007E4FFD"/>
    <w:rsid w:val="007E57EB"/>
    <w:rsid w:val="007E5917"/>
    <w:rsid w:val="007F09E9"/>
    <w:rsid w:val="007F09ED"/>
    <w:rsid w:val="007F0CD6"/>
    <w:rsid w:val="007F0E6B"/>
    <w:rsid w:val="007F1C4C"/>
    <w:rsid w:val="007F2D96"/>
    <w:rsid w:val="007F548A"/>
    <w:rsid w:val="007F56A8"/>
    <w:rsid w:val="007F6223"/>
    <w:rsid w:val="007F637A"/>
    <w:rsid w:val="007F6F5A"/>
    <w:rsid w:val="007F7178"/>
    <w:rsid w:val="007F72EB"/>
    <w:rsid w:val="007F7ACC"/>
    <w:rsid w:val="007F7FD6"/>
    <w:rsid w:val="00800D60"/>
    <w:rsid w:val="00801E25"/>
    <w:rsid w:val="00802120"/>
    <w:rsid w:val="00804B13"/>
    <w:rsid w:val="00804B1C"/>
    <w:rsid w:val="008108AA"/>
    <w:rsid w:val="00810D6B"/>
    <w:rsid w:val="00811605"/>
    <w:rsid w:val="008118DC"/>
    <w:rsid w:val="0081221F"/>
    <w:rsid w:val="00814B64"/>
    <w:rsid w:val="008152A5"/>
    <w:rsid w:val="00815FBB"/>
    <w:rsid w:val="00815FD7"/>
    <w:rsid w:val="00816B9F"/>
    <w:rsid w:val="00821AC4"/>
    <w:rsid w:val="00822009"/>
    <w:rsid w:val="00823250"/>
    <w:rsid w:val="00823CDA"/>
    <w:rsid w:val="008241C7"/>
    <w:rsid w:val="008244FA"/>
    <w:rsid w:val="00826454"/>
    <w:rsid w:val="00826C49"/>
    <w:rsid w:val="00826CA7"/>
    <w:rsid w:val="0082723B"/>
    <w:rsid w:val="00827ED5"/>
    <w:rsid w:val="00830241"/>
    <w:rsid w:val="008303F2"/>
    <w:rsid w:val="0083079F"/>
    <w:rsid w:val="00831E80"/>
    <w:rsid w:val="00832400"/>
    <w:rsid w:val="00832C0E"/>
    <w:rsid w:val="00833124"/>
    <w:rsid w:val="008356A3"/>
    <w:rsid w:val="00844613"/>
    <w:rsid w:val="008447AD"/>
    <w:rsid w:val="00844C69"/>
    <w:rsid w:val="0084517D"/>
    <w:rsid w:val="0084533A"/>
    <w:rsid w:val="00850803"/>
    <w:rsid w:val="00850960"/>
    <w:rsid w:val="00851DF9"/>
    <w:rsid w:val="008529A4"/>
    <w:rsid w:val="00852DCD"/>
    <w:rsid w:val="008534B2"/>
    <w:rsid w:val="0085431F"/>
    <w:rsid w:val="00854439"/>
    <w:rsid w:val="008544FB"/>
    <w:rsid w:val="008547A2"/>
    <w:rsid w:val="00854A48"/>
    <w:rsid w:val="00855A23"/>
    <w:rsid w:val="00856F10"/>
    <w:rsid w:val="0085701F"/>
    <w:rsid w:val="008624CB"/>
    <w:rsid w:val="0086259E"/>
    <w:rsid w:val="00862C7B"/>
    <w:rsid w:val="008633C0"/>
    <w:rsid w:val="00863E4F"/>
    <w:rsid w:val="008646FA"/>
    <w:rsid w:val="00864ADE"/>
    <w:rsid w:val="00864C63"/>
    <w:rsid w:val="00866029"/>
    <w:rsid w:val="00866113"/>
    <w:rsid w:val="00871B3C"/>
    <w:rsid w:val="008736D1"/>
    <w:rsid w:val="0087405F"/>
    <w:rsid w:val="00874404"/>
    <w:rsid w:val="00874DFB"/>
    <w:rsid w:val="00874EE1"/>
    <w:rsid w:val="00877B28"/>
    <w:rsid w:val="0088088A"/>
    <w:rsid w:val="008816BF"/>
    <w:rsid w:val="00881CF3"/>
    <w:rsid w:val="00882DA3"/>
    <w:rsid w:val="00883715"/>
    <w:rsid w:val="00883C04"/>
    <w:rsid w:val="00883C8C"/>
    <w:rsid w:val="00883F1C"/>
    <w:rsid w:val="00884941"/>
    <w:rsid w:val="00886B71"/>
    <w:rsid w:val="0089006A"/>
    <w:rsid w:val="00890431"/>
    <w:rsid w:val="008925C3"/>
    <w:rsid w:val="00892AB6"/>
    <w:rsid w:val="00893296"/>
    <w:rsid w:val="00894A0E"/>
    <w:rsid w:val="00895092"/>
    <w:rsid w:val="00895DC5"/>
    <w:rsid w:val="00896550"/>
    <w:rsid w:val="008966F8"/>
    <w:rsid w:val="00897085"/>
    <w:rsid w:val="008A0E57"/>
    <w:rsid w:val="008A1412"/>
    <w:rsid w:val="008A1744"/>
    <w:rsid w:val="008A1764"/>
    <w:rsid w:val="008A27AA"/>
    <w:rsid w:val="008A3273"/>
    <w:rsid w:val="008A3CAC"/>
    <w:rsid w:val="008A7128"/>
    <w:rsid w:val="008A77F8"/>
    <w:rsid w:val="008A7FE1"/>
    <w:rsid w:val="008B0610"/>
    <w:rsid w:val="008B112D"/>
    <w:rsid w:val="008B15FE"/>
    <w:rsid w:val="008B19E9"/>
    <w:rsid w:val="008B1FED"/>
    <w:rsid w:val="008B2A2B"/>
    <w:rsid w:val="008B3673"/>
    <w:rsid w:val="008B4033"/>
    <w:rsid w:val="008B63D2"/>
    <w:rsid w:val="008B64E0"/>
    <w:rsid w:val="008B7796"/>
    <w:rsid w:val="008C0061"/>
    <w:rsid w:val="008C0AF9"/>
    <w:rsid w:val="008C30A2"/>
    <w:rsid w:val="008C3BBC"/>
    <w:rsid w:val="008C40A2"/>
    <w:rsid w:val="008C44D0"/>
    <w:rsid w:val="008C472D"/>
    <w:rsid w:val="008C4994"/>
    <w:rsid w:val="008C5103"/>
    <w:rsid w:val="008C6D03"/>
    <w:rsid w:val="008C6D13"/>
    <w:rsid w:val="008D0054"/>
    <w:rsid w:val="008D0CDA"/>
    <w:rsid w:val="008D0FDB"/>
    <w:rsid w:val="008D14C3"/>
    <w:rsid w:val="008D1C35"/>
    <w:rsid w:val="008D2698"/>
    <w:rsid w:val="008D3318"/>
    <w:rsid w:val="008D3340"/>
    <w:rsid w:val="008D3396"/>
    <w:rsid w:val="008D3E5A"/>
    <w:rsid w:val="008D46D4"/>
    <w:rsid w:val="008D61B3"/>
    <w:rsid w:val="008D6493"/>
    <w:rsid w:val="008D6D0F"/>
    <w:rsid w:val="008D6E75"/>
    <w:rsid w:val="008D7998"/>
    <w:rsid w:val="008E2627"/>
    <w:rsid w:val="008E34F6"/>
    <w:rsid w:val="008E37B6"/>
    <w:rsid w:val="008E430D"/>
    <w:rsid w:val="008E46EF"/>
    <w:rsid w:val="008E5F2D"/>
    <w:rsid w:val="008E66B7"/>
    <w:rsid w:val="008F1464"/>
    <w:rsid w:val="008F21CC"/>
    <w:rsid w:val="008F2E3F"/>
    <w:rsid w:val="008F32AE"/>
    <w:rsid w:val="008F65D7"/>
    <w:rsid w:val="008F6B9C"/>
    <w:rsid w:val="008F6FF4"/>
    <w:rsid w:val="008F7C3A"/>
    <w:rsid w:val="00900159"/>
    <w:rsid w:val="00900CBE"/>
    <w:rsid w:val="00901110"/>
    <w:rsid w:val="00903163"/>
    <w:rsid w:val="00903518"/>
    <w:rsid w:val="00903660"/>
    <w:rsid w:val="00906136"/>
    <w:rsid w:val="00906E22"/>
    <w:rsid w:val="00907949"/>
    <w:rsid w:val="0091071D"/>
    <w:rsid w:val="0091075B"/>
    <w:rsid w:val="0091091B"/>
    <w:rsid w:val="00910C2E"/>
    <w:rsid w:val="00911265"/>
    <w:rsid w:val="009118FB"/>
    <w:rsid w:val="00914CF7"/>
    <w:rsid w:val="009168E6"/>
    <w:rsid w:val="009223B8"/>
    <w:rsid w:val="00923310"/>
    <w:rsid w:val="00923C02"/>
    <w:rsid w:val="009247CA"/>
    <w:rsid w:val="0092496B"/>
    <w:rsid w:val="009252DF"/>
    <w:rsid w:val="0092636F"/>
    <w:rsid w:val="00926601"/>
    <w:rsid w:val="009277CD"/>
    <w:rsid w:val="00927CF9"/>
    <w:rsid w:val="009310C2"/>
    <w:rsid w:val="0093171C"/>
    <w:rsid w:val="0093225B"/>
    <w:rsid w:val="00933095"/>
    <w:rsid w:val="0093311C"/>
    <w:rsid w:val="00933213"/>
    <w:rsid w:val="00933C8B"/>
    <w:rsid w:val="00934B70"/>
    <w:rsid w:val="00934D9E"/>
    <w:rsid w:val="00934F19"/>
    <w:rsid w:val="009359AF"/>
    <w:rsid w:val="009368BF"/>
    <w:rsid w:val="00936F30"/>
    <w:rsid w:val="009373E0"/>
    <w:rsid w:val="00937665"/>
    <w:rsid w:val="00937BF2"/>
    <w:rsid w:val="00937D2B"/>
    <w:rsid w:val="009416BA"/>
    <w:rsid w:val="00941840"/>
    <w:rsid w:val="0094199B"/>
    <w:rsid w:val="0094212C"/>
    <w:rsid w:val="00942882"/>
    <w:rsid w:val="00943219"/>
    <w:rsid w:val="009443D0"/>
    <w:rsid w:val="00945341"/>
    <w:rsid w:val="00946D84"/>
    <w:rsid w:val="0094725D"/>
    <w:rsid w:val="009525AC"/>
    <w:rsid w:val="00952D0D"/>
    <w:rsid w:val="009542E3"/>
    <w:rsid w:val="00956259"/>
    <w:rsid w:val="00956A1F"/>
    <w:rsid w:val="00957836"/>
    <w:rsid w:val="0096020B"/>
    <w:rsid w:val="009602C5"/>
    <w:rsid w:val="00960511"/>
    <w:rsid w:val="00960A52"/>
    <w:rsid w:val="00961438"/>
    <w:rsid w:val="009617AC"/>
    <w:rsid w:val="009622AD"/>
    <w:rsid w:val="00962A4C"/>
    <w:rsid w:val="00962A63"/>
    <w:rsid w:val="00962BFD"/>
    <w:rsid w:val="00962FC6"/>
    <w:rsid w:val="0096303C"/>
    <w:rsid w:val="009632B4"/>
    <w:rsid w:val="009636B2"/>
    <w:rsid w:val="00963AD2"/>
    <w:rsid w:val="00963BEB"/>
    <w:rsid w:val="009640F3"/>
    <w:rsid w:val="00965833"/>
    <w:rsid w:val="00965BFE"/>
    <w:rsid w:val="0096600B"/>
    <w:rsid w:val="00966423"/>
    <w:rsid w:val="0096758A"/>
    <w:rsid w:val="0097036C"/>
    <w:rsid w:val="00970BB4"/>
    <w:rsid w:val="00970C08"/>
    <w:rsid w:val="00970CDA"/>
    <w:rsid w:val="00970F61"/>
    <w:rsid w:val="00971A3A"/>
    <w:rsid w:val="009725BF"/>
    <w:rsid w:val="00972A4E"/>
    <w:rsid w:val="00973D73"/>
    <w:rsid w:val="00973DBC"/>
    <w:rsid w:val="009741A7"/>
    <w:rsid w:val="00974D7A"/>
    <w:rsid w:val="00975AEA"/>
    <w:rsid w:val="009762BD"/>
    <w:rsid w:val="00976675"/>
    <w:rsid w:val="009772D1"/>
    <w:rsid w:val="009775E1"/>
    <w:rsid w:val="009803BE"/>
    <w:rsid w:val="009808C2"/>
    <w:rsid w:val="0098101F"/>
    <w:rsid w:val="009822C4"/>
    <w:rsid w:val="0098274B"/>
    <w:rsid w:val="009830D3"/>
    <w:rsid w:val="00983785"/>
    <w:rsid w:val="00984E90"/>
    <w:rsid w:val="009857D9"/>
    <w:rsid w:val="00985D7E"/>
    <w:rsid w:val="009866D8"/>
    <w:rsid w:val="00986F7D"/>
    <w:rsid w:val="00987548"/>
    <w:rsid w:val="00987724"/>
    <w:rsid w:val="00987EFC"/>
    <w:rsid w:val="0099030D"/>
    <w:rsid w:val="009905C4"/>
    <w:rsid w:val="00991CE7"/>
    <w:rsid w:val="00992EAE"/>
    <w:rsid w:val="009945FB"/>
    <w:rsid w:val="009950D5"/>
    <w:rsid w:val="009958A7"/>
    <w:rsid w:val="009972CB"/>
    <w:rsid w:val="009A1AED"/>
    <w:rsid w:val="009A2ABE"/>
    <w:rsid w:val="009A2F1F"/>
    <w:rsid w:val="009A389D"/>
    <w:rsid w:val="009A3A90"/>
    <w:rsid w:val="009A471F"/>
    <w:rsid w:val="009A5692"/>
    <w:rsid w:val="009A6D02"/>
    <w:rsid w:val="009A7F3B"/>
    <w:rsid w:val="009B07D2"/>
    <w:rsid w:val="009B0A05"/>
    <w:rsid w:val="009B2066"/>
    <w:rsid w:val="009B2153"/>
    <w:rsid w:val="009B5CFE"/>
    <w:rsid w:val="009B72E7"/>
    <w:rsid w:val="009B742A"/>
    <w:rsid w:val="009C0E1B"/>
    <w:rsid w:val="009C21A9"/>
    <w:rsid w:val="009C3020"/>
    <w:rsid w:val="009C3927"/>
    <w:rsid w:val="009C3ED4"/>
    <w:rsid w:val="009C4A05"/>
    <w:rsid w:val="009C592F"/>
    <w:rsid w:val="009D116C"/>
    <w:rsid w:val="009D1418"/>
    <w:rsid w:val="009D17D7"/>
    <w:rsid w:val="009D18D4"/>
    <w:rsid w:val="009D2226"/>
    <w:rsid w:val="009D3A6E"/>
    <w:rsid w:val="009D46DA"/>
    <w:rsid w:val="009E1A04"/>
    <w:rsid w:val="009E1C4B"/>
    <w:rsid w:val="009E23F7"/>
    <w:rsid w:val="009E250C"/>
    <w:rsid w:val="009E3050"/>
    <w:rsid w:val="009E31BB"/>
    <w:rsid w:val="009E33BC"/>
    <w:rsid w:val="009E4386"/>
    <w:rsid w:val="009E5CDF"/>
    <w:rsid w:val="009E656F"/>
    <w:rsid w:val="009E6753"/>
    <w:rsid w:val="009E6803"/>
    <w:rsid w:val="009E6885"/>
    <w:rsid w:val="009F0853"/>
    <w:rsid w:val="009F4407"/>
    <w:rsid w:val="009F521A"/>
    <w:rsid w:val="009F690B"/>
    <w:rsid w:val="009F697E"/>
    <w:rsid w:val="009F6B78"/>
    <w:rsid w:val="00A001C9"/>
    <w:rsid w:val="00A03DAC"/>
    <w:rsid w:val="00A04917"/>
    <w:rsid w:val="00A05084"/>
    <w:rsid w:val="00A06701"/>
    <w:rsid w:val="00A06C66"/>
    <w:rsid w:val="00A07DF3"/>
    <w:rsid w:val="00A1286B"/>
    <w:rsid w:val="00A12C4D"/>
    <w:rsid w:val="00A1329A"/>
    <w:rsid w:val="00A15101"/>
    <w:rsid w:val="00A212E7"/>
    <w:rsid w:val="00A218C9"/>
    <w:rsid w:val="00A21EDC"/>
    <w:rsid w:val="00A23428"/>
    <w:rsid w:val="00A236B7"/>
    <w:rsid w:val="00A242CD"/>
    <w:rsid w:val="00A24D98"/>
    <w:rsid w:val="00A2507C"/>
    <w:rsid w:val="00A25115"/>
    <w:rsid w:val="00A25187"/>
    <w:rsid w:val="00A25956"/>
    <w:rsid w:val="00A25FA8"/>
    <w:rsid w:val="00A26077"/>
    <w:rsid w:val="00A26781"/>
    <w:rsid w:val="00A26D07"/>
    <w:rsid w:val="00A26E7B"/>
    <w:rsid w:val="00A31CC9"/>
    <w:rsid w:val="00A33C77"/>
    <w:rsid w:val="00A343FE"/>
    <w:rsid w:val="00A36A2E"/>
    <w:rsid w:val="00A430A8"/>
    <w:rsid w:val="00A459E0"/>
    <w:rsid w:val="00A463B7"/>
    <w:rsid w:val="00A46A80"/>
    <w:rsid w:val="00A47D8E"/>
    <w:rsid w:val="00A505AC"/>
    <w:rsid w:val="00A521B1"/>
    <w:rsid w:val="00A52C2A"/>
    <w:rsid w:val="00A53784"/>
    <w:rsid w:val="00A53881"/>
    <w:rsid w:val="00A54F67"/>
    <w:rsid w:val="00A55654"/>
    <w:rsid w:val="00A57787"/>
    <w:rsid w:val="00A60583"/>
    <w:rsid w:val="00A61B46"/>
    <w:rsid w:val="00A61D2A"/>
    <w:rsid w:val="00A6234A"/>
    <w:rsid w:val="00A62B2E"/>
    <w:rsid w:val="00A636FD"/>
    <w:rsid w:val="00A66E62"/>
    <w:rsid w:val="00A701C8"/>
    <w:rsid w:val="00A7062A"/>
    <w:rsid w:val="00A730F0"/>
    <w:rsid w:val="00A73242"/>
    <w:rsid w:val="00A737FF"/>
    <w:rsid w:val="00A74410"/>
    <w:rsid w:val="00A7496B"/>
    <w:rsid w:val="00A75EAB"/>
    <w:rsid w:val="00A7624F"/>
    <w:rsid w:val="00A76E2C"/>
    <w:rsid w:val="00A76F90"/>
    <w:rsid w:val="00A8023F"/>
    <w:rsid w:val="00A808C4"/>
    <w:rsid w:val="00A80C29"/>
    <w:rsid w:val="00A80C3E"/>
    <w:rsid w:val="00A81F73"/>
    <w:rsid w:val="00A8282F"/>
    <w:rsid w:val="00A834C5"/>
    <w:rsid w:val="00A83755"/>
    <w:rsid w:val="00A83E6D"/>
    <w:rsid w:val="00A83E6F"/>
    <w:rsid w:val="00A85DA1"/>
    <w:rsid w:val="00A86064"/>
    <w:rsid w:val="00A86879"/>
    <w:rsid w:val="00A8779D"/>
    <w:rsid w:val="00A902E7"/>
    <w:rsid w:val="00A90DD7"/>
    <w:rsid w:val="00A90F20"/>
    <w:rsid w:val="00A91332"/>
    <w:rsid w:val="00A91E00"/>
    <w:rsid w:val="00A927CF"/>
    <w:rsid w:val="00A92E93"/>
    <w:rsid w:val="00A9328C"/>
    <w:rsid w:val="00A9388F"/>
    <w:rsid w:val="00A950CD"/>
    <w:rsid w:val="00A9526D"/>
    <w:rsid w:val="00A963D8"/>
    <w:rsid w:val="00A96548"/>
    <w:rsid w:val="00AA0522"/>
    <w:rsid w:val="00AA1BA2"/>
    <w:rsid w:val="00AA2D50"/>
    <w:rsid w:val="00AA3791"/>
    <w:rsid w:val="00AA436F"/>
    <w:rsid w:val="00AA4682"/>
    <w:rsid w:val="00AA50D2"/>
    <w:rsid w:val="00AA5871"/>
    <w:rsid w:val="00AA61A3"/>
    <w:rsid w:val="00AA626C"/>
    <w:rsid w:val="00AA6757"/>
    <w:rsid w:val="00AA68AE"/>
    <w:rsid w:val="00AA6BCE"/>
    <w:rsid w:val="00AA6BEB"/>
    <w:rsid w:val="00AA6FED"/>
    <w:rsid w:val="00AA7171"/>
    <w:rsid w:val="00AA7818"/>
    <w:rsid w:val="00AB0FBB"/>
    <w:rsid w:val="00AB1259"/>
    <w:rsid w:val="00AB1C60"/>
    <w:rsid w:val="00AB2497"/>
    <w:rsid w:val="00AB2D52"/>
    <w:rsid w:val="00AB340A"/>
    <w:rsid w:val="00AB38C2"/>
    <w:rsid w:val="00AB52FB"/>
    <w:rsid w:val="00AB5707"/>
    <w:rsid w:val="00AB6B37"/>
    <w:rsid w:val="00AB6E5A"/>
    <w:rsid w:val="00AC0700"/>
    <w:rsid w:val="00AC12B6"/>
    <w:rsid w:val="00AC1700"/>
    <w:rsid w:val="00AC2A99"/>
    <w:rsid w:val="00AC2CC0"/>
    <w:rsid w:val="00AC2F32"/>
    <w:rsid w:val="00AC34AB"/>
    <w:rsid w:val="00AC426B"/>
    <w:rsid w:val="00AC4562"/>
    <w:rsid w:val="00AC5513"/>
    <w:rsid w:val="00AD09FA"/>
    <w:rsid w:val="00AD0A06"/>
    <w:rsid w:val="00AD145F"/>
    <w:rsid w:val="00AD19FF"/>
    <w:rsid w:val="00AD20DE"/>
    <w:rsid w:val="00AD2317"/>
    <w:rsid w:val="00AD361B"/>
    <w:rsid w:val="00AD502E"/>
    <w:rsid w:val="00AD5BCD"/>
    <w:rsid w:val="00AD6BB8"/>
    <w:rsid w:val="00AD7C9A"/>
    <w:rsid w:val="00AD7F36"/>
    <w:rsid w:val="00AE058F"/>
    <w:rsid w:val="00AE0C3B"/>
    <w:rsid w:val="00AE1E94"/>
    <w:rsid w:val="00AE3526"/>
    <w:rsid w:val="00AE356E"/>
    <w:rsid w:val="00AE3DF0"/>
    <w:rsid w:val="00AE4065"/>
    <w:rsid w:val="00AE45EE"/>
    <w:rsid w:val="00AE475D"/>
    <w:rsid w:val="00AE57A5"/>
    <w:rsid w:val="00AE5945"/>
    <w:rsid w:val="00AE622F"/>
    <w:rsid w:val="00AE6B26"/>
    <w:rsid w:val="00AF0ADF"/>
    <w:rsid w:val="00AF24F8"/>
    <w:rsid w:val="00AF2626"/>
    <w:rsid w:val="00AF3B10"/>
    <w:rsid w:val="00AF3DCF"/>
    <w:rsid w:val="00AF4686"/>
    <w:rsid w:val="00AF5323"/>
    <w:rsid w:val="00AF5375"/>
    <w:rsid w:val="00AF53CC"/>
    <w:rsid w:val="00AF6338"/>
    <w:rsid w:val="00AF6C66"/>
    <w:rsid w:val="00B00EA3"/>
    <w:rsid w:val="00B013B7"/>
    <w:rsid w:val="00B032B8"/>
    <w:rsid w:val="00B045E5"/>
    <w:rsid w:val="00B047B9"/>
    <w:rsid w:val="00B0526C"/>
    <w:rsid w:val="00B05434"/>
    <w:rsid w:val="00B056DF"/>
    <w:rsid w:val="00B07A0D"/>
    <w:rsid w:val="00B07A6B"/>
    <w:rsid w:val="00B10C1C"/>
    <w:rsid w:val="00B116E2"/>
    <w:rsid w:val="00B144E7"/>
    <w:rsid w:val="00B147EC"/>
    <w:rsid w:val="00B14DDB"/>
    <w:rsid w:val="00B153EE"/>
    <w:rsid w:val="00B16A35"/>
    <w:rsid w:val="00B1732A"/>
    <w:rsid w:val="00B20698"/>
    <w:rsid w:val="00B20B61"/>
    <w:rsid w:val="00B214EE"/>
    <w:rsid w:val="00B22379"/>
    <w:rsid w:val="00B22506"/>
    <w:rsid w:val="00B22797"/>
    <w:rsid w:val="00B25945"/>
    <w:rsid w:val="00B25C5B"/>
    <w:rsid w:val="00B2697E"/>
    <w:rsid w:val="00B2779D"/>
    <w:rsid w:val="00B3027F"/>
    <w:rsid w:val="00B30E7C"/>
    <w:rsid w:val="00B3154F"/>
    <w:rsid w:val="00B326C2"/>
    <w:rsid w:val="00B332E3"/>
    <w:rsid w:val="00B33755"/>
    <w:rsid w:val="00B33900"/>
    <w:rsid w:val="00B3505B"/>
    <w:rsid w:val="00B355B3"/>
    <w:rsid w:val="00B35BED"/>
    <w:rsid w:val="00B361A1"/>
    <w:rsid w:val="00B36397"/>
    <w:rsid w:val="00B36ADF"/>
    <w:rsid w:val="00B378D7"/>
    <w:rsid w:val="00B37957"/>
    <w:rsid w:val="00B40F4D"/>
    <w:rsid w:val="00B41073"/>
    <w:rsid w:val="00B41C3D"/>
    <w:rsid w:val="00B433D3"/>
    <w:rsid w:val="00B45EB0"/>
    <w:rsid w:val="00B4642B"/>
    <w:rsid w:val="00B47B85"/>
    <w:rsid w:val="00B53654"/>
    <w:rsid w:val="00B54072"/>
    <w:rsid w:val="00B5522A"/>
    <w:rsid w:val="00B554A2"/>
    <w:rsid w:val="00B559BD"/>
    <w:rsid w:val="00B55E4B"/>
    <w:rsid w:val="00B5607F"/>
    <w:rsid w:val="00B56E46"/>
    <w:rsid w:val="00B57EB9"/>
    <w:rsid w:val="00B60BD8"/>
    <w:rsid w:val="00B610B6"/>
    <w:rsid w:val="00B635BD"/>
    <w:rsid w:val="00B64A51"/>
    <w:rsid w:val="00B661A7"/>
    <w:rsid w:val="00B664E2"/>
    <w:rsid w:val="00B66F31"/>
    <w:rsid w:val="00B67116"/>
    <w:rsid w:val="00B67B5C"/>
    <w:rsid w:val="00B73996"/>
    <w:rsid w:val="00B75CF1"/>
    <w:rsid w:val="00B75E78"/>
    <w:rsid w:val="00B76757"/>
    <w:rsid w:val="00B767AD"/>
    <w:rsid w:val="00B76917"/>
    <w:rsid w:val="00B77E06"/>
    <w:rsid w:val="00B8009D"/>
    <w:rsid w:val="00B80E46"/>
    <w:rsid w:val="00B82916"/>
    <w:rsid w:val="00B83791"/>
    <w:rsid w:val="00B845FC"/>
    <w:rsid w:val="00B84BEE"/>
    <w:rsid w:val="00B85B3D"/>
    <w:rsid w:val="00B87034"/>
    <w:rsid w:val="00B912B1"/>
    <w:rsid w:val="00B914B6"/>
    <w:rsid w:val="00B91BD3"/>
    <w:rsid w:val="00B926EE"/>
    <w:rsid w:val="00B94994"/>
    <w:rsid w:val="00B964D3"/>
    <w:rsid w:val="00BA0206"/>
    <w:rsid w:val="00BA09B4"/>
    <w:rsid w:val="00BA1347"/>
    <w:rsid w:val="00BA170D"/>
    <w:rsid w:val="00BA2A4F"/>
    <w:rsid w:val="00BA3847"/>
    <w:rsid w:val="00BA3BC6"/>
    <w:rsid w:val="00BA4E69"/>
    <w:rsid w:val="00BA691B"/>
    <w:rsid w:val="00BB0180"/>
    <w:rsid w:val="00BB110D"/>
    <w:rsid w:val="00BB2E00"/>
    <w:rsid w:val="00BB325E"/>
    <w:rsid w:val="00BB3718"/>
    <w:rsid w:val="00BB39DF"/>
    <w:rsid w:val="00BB3FB3"/>
    <w:rsid w:val="00BB47F9"/>
    <w:rsid w:val="00BB5FB3"/>
    <w:rsid w:val="00BB68A0"/>
    <w:rsid w:val="00BB6ECA"/>
    <w:rsid w:val="00BB76D1"/>
    <w:rsid w:val="00BC0483"/>
    <w:rsid w:val="00BC0CB4"/>
    <w:rsid w:val="00BC0FA0"/>
    <w:rsid w:val="00BC5707"/>
    <w:rsid w:val="00BC62B0"/>
    <w:rsid w:val="00BC7DE5"/>
    <w:rsid w:val="00BD0D43"/>
    <w:rsid w:val="00BD1437"/>
    <w:rsid w:val="00BD18CD"/>
    <w:rsid w:val="00BD28E2"/>
    <w:rsid w:val="00BD2A90"/>
    <w:rsid w:val="00BD5EAE"/>
    <w:rsid w:val="00BE0329"/>
    <w:rsid w:val="00BE0B66"/>
    <w:rsid w:val="00BE0D63"/>
    <w:rsid w:val="00BE11B6"/>
    <w:rsid w:val="00BE1AF3"/>
    <w:rsid w:val="00BE30D1"/>
    <w:rsid w:val="00BE4772"/>
    <w:rsid w:val="00BE4DEE"/>
    <w:rsid w:val="00BE74D7"/>
    <w:rsid w:val="00BE7617"/>
    <w:rsid w:val="00BE7ED0"/>
    <w:rsid w:val="00BF041F"/>
    <w:rsid w:val="00BF1056"/>
    <w:rsid w:val="00BF15E5"/>
    <w:rsid w:val="00BF24ED"/>
    <w:rsid w:val="00BF3EDF"/>
    <w:rsid w:val="00BF4283"/>
    <w:rsid w:val="00BF484E"/>
    <w:rsid w:val="00BF48EA"/>
    <w:rsid w:val="00BF6717"/>
    <w:rsid w:val="00BF74BA"/>
    <w:rsid w:val="00C01AB2"/>
    <w:rsid w:val="00C01D4E"/>
    <w:rsid w:val="00C0576D"/>
    <w:rsid w:val="00C05AED"/>
    <w:rsid w:val="00C05B13"/>
    <w:rsid w:val="00C05ECF"/>
    <w:rsid w:val="00C06CA0"/>
    <w:rsid w:val="00C12B06"/>
    <w:rsid w:val="00C14968"/>
    <w:rsid w:val="00C14CEF"/>
    <w:rsid w:val="00C166C3"/>
    <w:rsid w:val="00C16FA9"/>
    <w:rsid w:val="00C176FB"/>
    <w:rsid w:val="00C20213"/>
    <w:rsid w:val="00C209AC"/>
    <w:rsid w:val="00C2132E"/>
    <w:rsid w:val="00C22B55"/>
    <w:rsid w:val="00C24902"/>
    <w:rsid w:val="00C251EE"/>
    <w:rsid w:val="00C257B0"/>
    <w:rsid w:val="00C25B3B"/>
    <w:rsid w:val="00C2620F"/>
    <w:rsid w:val="00C2705B"/>
    <w:rsid w:val="00C272C0"/>
    <w:rsid w:val="00C2764F"/>
    <w:rsid w:val="00C27832"/>
    <w:rsid w:val="00C27C83"/>
    <w:rsid w:val="00C32284"/>
    <w:rsid w:val="00C335C4"/>
    <w:rsid w:val="00C33AB1"/>
    <w:rsid w:val="00C349C1"/>
    <w:rsid w:val="00C34C77"/>
    <w:rsid w:val="00C34F8A"/>
    <w:rsid w:val="00C37CB5"/>
    <w:rsid w:val="00C42BA7"/>
    <w:rsid w:val="00C457C2"/>
    <w:rsid w:val="00C46D4A"/>
    <w:rsid w:val="00C472EE"/>
    <w:rsid w:val="00C4738A"/>
    <w:rsid w:val="00C50C30"/>
    <w:rsid w:val="00C51F19"/>
    <w:rsid w:val="00C51F56"/>
    <w:rsid w:val="00C57040"/>
    <w:rsid w:val="00C57A87"/>
    <w:rsid w:val="00C60AB3"/>
    <w:rsid w:val="00C60C5B"/>
    <w:rsid w:val="00C61845"/>
    <w:rsid w:val="00C62778"/>
    <w:rsid w:val="00C62EFD"/>
    <w:rsid w:val="00C62FFC"/>
    <w:rsid w:val="00C63202"/>
    <w:rsid w:val="00C63529"/>
    <w:rsid w:val="00C64C4C"/>
    <w:rsid w:val="00C651A4"/>
    <w:rsid w:val="00C65E8A"/>
    <w:rsid w:val="00C6679C"/>
    <w:rsid w:val="00C67549"/>
    <w:rsid w:val="00C7118C"/>
    <w:rsid w:val="00C722FE"/>
    <w:rsid w:val="00C74BEB"/>
    <w:rsid w:val="00C7564E"/>
    <w:rsid w:val="00C800AE"/>
    <w:rsid w:val="00C80C33"/>
    <w:rsid w:val="00C81A74"/>
    <w:rsid w:val="00C82ED6"/>
    <w:rsid w:val="00C84188"/>
    <w:rsid w:val="00C85870"/>
    <w:rsid w:val="00C87797"/>
    <w:rsid w:val="00C90B4A"/>
    <w:rsid w:val="00C92250"/>
    <w:rsid w:val="00C928F0"/>
    <w:rsid w:val="00C95BF2"/>
    <w:rsid w:val="00C95DBE"/>
    <w:rsid w:val="00CA383A"/>
    <w:rsid w:val="00CA3FAE"/>
    <w:rsid w:val="00CA5307"/>
    <w:rsid w:val="00CA6A1A"/>
    <w:rsid w:val="00CA705E"/>
    <w:rsid w:val="00CA745A"/>
    <w:rsid w:val="00CB0A69"/>
    <w:rsid w:val="00CB0F1B"/>
    <w:rsid w:val="00CB0F93"/>
    <w:rsid w:val="00CB3BCE"/>
    <w:rsid w:val="00CB43C6"/>
    <w:rsid w:val="00CB4B4A"/>
    <w:rsid w:val="00CB5ACF"/>
    <w:rsid w:val="00CB6AE3"/>
    <w:rsid w:val="00CB7ADB"/>
    <w:rsid w:val="00CC1109"/>
    <w:rsid w:val="00CC1FCB"/>
    <w:rsid w:val="00CC3430"/>
    <w:rsid w:val="00CC3838"/>
    <w:rsid w:val="00CC42FE"/>
    <w:rsid w:val="00CC4911"/>
    <w:rsid w:val="00CC5907"/>
    <w:rsid w:val="00CC6056"/>
    <w:rsid w:val="00CC64E3"/>
    <w:rsid w:val="00CC66C3"/>
    <w:rsid w:val="00CC6AF4"/>
    <w:rsid w:val="00CC7811"/>
    <w:rsid w:val="00CD0582"/>
    <w:rsid w:val="00CD1035"/>
    <w:rsid w:val="00CD2D05"/>
    <w:rsid w:val="00CD5E1D"/>
    <w:rsid w:val="00CE0DE9"/>
    <w:rsid w:val="00CE295B"/>
    <w:rsid w:val="00CE3614"/>
    <w:rsid w:val="00CE4185"/>
    <w:rsid w:val="00CE44E0"/>
    <w:rsid w:val="00CE4575"/>
    <w:rsid w:val="00CE6204"/>
    <w:rsid w:val="00CE633E"/>
    <w:rsid w:val="00CE7ADF"/>
    <w:rsid w:val="00CF1ABB"/>
    <w:rsid w:val="00CF356D"/>
    <w:rsid w:val="00CF415F"/>
    <w:rsid w:val="00CF4426"/>
    <w:rsid w:val="00CF5F12"/>
    <w:rsid w:val="00CF612B"/>
    <w:rsid w:val="00CF67D8"/>
    <w:rsid w:val="00CF6DDC"/>
    <w:rsid w:val="00CF72B6"/>
    <w:rsid w:val="00CF7F55"/>
    <w:rsid w:val="00D00516"/>
    <w:rsid w:val="00D00793"/>
    <w:rsid w:val="00D009D7"/>
    <w:rsid w:val="00D00E34"/>
    <w:rsid w:val="00D020F0"/>
    <w:rsid w:val="00D02149"/>
    <w:rsid w:val="00D0315E"/>
    <w:rsid w:val="00D031D0"/>
    <w:rsid w:val="00D05168"/>
    <w:rsid w:val="00D06331"/>
    <w:rsid w:val="00D072F0"/>
    <w:rsid w:val="00D07753"/>
    <w:rsid w:val="00D1099E"/>
    <w:rsid w:val="00D11024"/>
    <w:rsid w:val="00D11DE4"/>
    <w:rsid w:val="00D1265C"/>
    <w:rsid w:val="00D1381A"/>
    <w:rsid w:val="00D1447F"/>
    <w:rsid w:val="00D15014"/>
    <w:rsid w:val="00D153CD"/>
    <w:rsid w:val="00D1545D"/>
    <w:rsid w:val="00D15BE6"/>
    <w:rsid w:val="00D16003"/>
    <w:rsid w:val="00D16054"/>
    <w:rsid w:val="00D16F0A"/>
    <w:rsid w:val="00D177B5"/>
    <w:rsid w:val="00D201C3"/>
    <w:rsid w:val="00D2031B"/>
    <w:rsid w:val="00D2059D"/>
    <w:rsid w:val="00D22734"/>
    <w:rsid w:val="00D2294B"/>
    <w:rsid w:val="00D25207"/>
    <w:rsid w:val="00D2529D"/>
    <w:rsid w:val="00D260A1"/>
    <w:rsid w:val="00D268FD"/>
    <w:rsid w:val="00D272B0"/>
    <w:rsid w:val="00D272CC"/>
    <w:rsid w:val="00D2789C"/>
    <w:rsid w:val="00D35028"/>
    <w:rsid w:val="00D356C9"/>
    <w:rsid w:val="00D37E13"/>
    <w:rsid w:val="00D407EF"/>
    <w:rsid w:val="00D4232C"/>
    <w:rsid w:val="00D424CE"/>
    <w:rsid w:val="00D44112"/>
    <w:rsid w:val="00D44375"/>
    <w:rsid w:val="00D45B88"/>
    <w:rsid w:val="00D4781A"/>
    <w:rsid w:val="00D5200D"/>
    <w:rsid w:val="00D52505"/>
    <w:rsid w:val="00D54549"/>
    <w:rsid w:val="00D549FB"/>
    <w:rsid w:val="00D54A05"/>
    <w:rsid w:val="00D54C96"/>
    <w:rsid w:val="00D5532F"/>
    <w:rsid w:val="00D5606B"/>
    <w:rsid w:val="00D5627E"/>
    <w:rsid w:val="00D56F4C"/>
    <w:rsid w:val="00D57B7E"/>
    <w:rsid w:val="00D60FDC"/>
    <w:rsid w:val="00D611D0"/>
    <w:rsid w:val="00D61890"/>
    <w:rsid w:val="00D61D0D"/>
    <w:rsid w:val="00D62039"/>
    <w:rsid w:val="00D63874"/>
    <w:rsid w:val="00D63ACF"/>
    <w:rsid w:val="00D644F1"/>
    <w:rsid w:val="00D6538C"/>
    <w:rsid w:val="00D66600"/>
    <w:rsid w:val="00D666B6"/>
    <w:rsid w:val="00D6702A"/>
    <w:rsid w:val="00D673F8"/>
    <w:rsid w:val="00D67A9A"/>
    <w:rsid w:val="00D706A4"/>
    <w:rsid w:val="00D71930"/>
    <w:rsid w:val="00D71940"/>
    <w:rsid w:val="00D72598"/>
    <w:rsid w:val="00D733A1"/>
    <w:rsid w:val="00D74537"/>
    <w:rsid w:val="00D75002"/>
    <w:rsid w:val="00D75533"/>
    <w:rsid w:val="00D76540"/>
    <w:rsid w:val="00D774B8"/>
    <w:rsid w:val="00D77756"/>
    <w:rsid w:val="00D8064C"/>
    <w:rsid w:val="00D82536"/>
    <w:rsid w:val="00D83548"/>
    <w:rsid w:val="00D84484"/>
    <w:rsid w:val="00D84D2B"/>
    <w:rsid w:val="00D85580"/>
    <w:rsid w:val="00D85911"/>
    <w:rsid w:val="00D87361"/>
    <w:rsid w:val="00D8761A"/>
    <w:rsid w:val="00D87FDD"/>
    <w:rsid w:val="00D908B1"/>
    <w:rsid w:val="00D90B18"/>
    <w:rsid w:val="00D9145F"/>
    <w:rsid w:val="00D923A6"/>
    <w:rsid w:val="00D9283A"/>
    <w:rsid w:val="00D92F4F"/>
    <w:rsid w:val="00D95C14"/>
    <w:rsid w:val="00D95F25"/>
    <w:rsid w:val="00D961D9"/>
    <w:rsid w:val="00D97732"/>
    <w:rsid w:val="00DA0C9C"/>
    <w:rsid w:val="00DA2415"/>
    <w:rsid w:val="00DA24AB"/>
    <w:rsid w:val="00DA26F1"/>
    <w:rsid w:val="00DA2FC0"/>
    <w:rsid w:val="00DA45F5"/>
    <w:rsid w:val="00DA4AD0"/>
    <w:rsid w:val="00DA59F8"/>
    <w:rsid w:val="00DA5EB4"/>
    <w:rsid w:val="00DA7335"/>
    <w:rsid w:val="00DA765B"/>
    <w:rsid w:val="00DB0338"/>
    <w:rsid w:val="00DB0B74"/>
    <w:rsid w:val="00DB1FCA"/>
    <w:rsid w:val="00DB2CB7"/>
    <w:rsid w:val="00DB38C6"/>
    <w:rsid w:val="00DB6564"/>
    <w:rsid w:val="00DC10BC"/>
    <w:rsid w:val="00DC1D71"/>
    <w:rsid w:val="00DC2CF2"/>
    <w:rsid w:val="00DC33DB"/>
    <w:rsid w:val="00DC3413"/>
    <w:rsid w:val="00DC3A2B"/>
    <w:rsid w:val="00DC41EA"/>
    <w:rsid w:val="00DC5424"/>
    <w:rsid w:val="00DC594A"/>
    <w:rsid w:val="00DC5CE1"/>
    <w:rsid w:val="00DC628F"/>
    <w:rsid w:val="00DC6749"/>
    <w:rsid w:val="00DC6A97"/>
    <w:rsid w:val="00DC71AA"/>
    <w:rsid w:val="00DC78DD"/>
    <w:rsid w:val="00DD1DF0"/>
    <w:rsid w:val="00DD2214"/>
    <w:rsid w:val="00DD255F"/>
    <w:rsid w:val="00DD3CE6"/>
    <w:rsid w:val="00DD5DB8"/>
    <w:rsid w:val="00DD6465"/>
    <w:rsid w:val="00DD7752"/>
    <w:rsid w:val="00DD7DC4"/>
    <w:rsid w:val="00DE003D"/>
    <w:rsid w:val="00DE2AB8"/>
    <w:rsid w:val="00DE4AD2"/>
    <w:rsid w:val="00DE51AF"/>
    <w:rsid w:val="00DE7FB3"/>
    <w:rsid w:val="00DF0EB7"/>
    <w:rsid w:val="00DF187B"/>
    <w:rsid w:val="00DF2B09"/>
    <w:rsid w:val="00DF4935"/>
    <w:rsid w:val="00DF6500"/>
    <w:rsid w:val="00DF71E4"/>
    <w:rsid w:val="00E0055B"/>
    <w:rsid w:val="00E0133B"/>
    <w:rsid w:val="00E01363"/>
    <w:rsid w:val="00E01F4E"/>
    <w:rsid w:val="00E02E76"/>
    <w:rsid w:val="00E04BC0"/>
    <w:rsid w:val="00E057BF"/>
    <w:rsid w:val="00E0594C"/>
    <w:rsid w:val="00E061F9"/>
    <w:rsid w:val="00E07238"/>
    <w:rsid w:val="00E0750C"/>
    <w:rsid w:val="00E079F4"/>
    <w:rsid w:val="00E10932"/>
    <w:rsid w:val="00E117FA"/>
    <w:rsid w:val="00E11868"/>
    <w:rsid w:val="00E1187D"/>
    <w:rsid w:val="00E11B49"/>
    <w:rsid w:val="00E11FCC"/>
    <w:rsid w:val="00E120D5"/>
    <w:rsid w:val="00E124BC"/>
    <w:rsid w:val="00E12615"/>
    <w:rsid w:val="00E13427"/>
    <w:rsid w:val="00E151F8"/>
    <w:rsid w:val="00E154C2"/>
    <w:rsid w:val="00E15BF1"/>
    <w:rsid w:val="00E1698A"/>
    <w:rsid w:val="00E17889"/>
    <w:rsid w:val="00E17966"/>
    <w:rsid w:val="00E17EFC"/>
    <w:rsid w:val="00E20B6B"/>
    <w:rsid w:val="00E20DA1"/>
    <w:rsid w:val="00E22D50"/>
    <w:rsid w:val="00E23B71"/>
    <w:rsid w:val="00E2700F"/>
    <w:rsid w:val="00E3001D"/>
    <w:rsid w:val="00E30975"/>
    <w:rsid w:val="00E31618"/>
    <w:rsid w:val="00E31DB0"/>
    <w:rsid w:val="00E32B1F"/>
    <w:rsid w:val="00E3306E"/>
    <w:rsid w:val="00E3315C"/>
    <w:rsid w:val="00E3326E"/>
    <w:rsid w:val="00E33A59"/>
    <w:rsid w:val="00E34280"/>
    <w:rsid w:val="00E345AC"/>
    <w:rsid w:val="00E35727"/>
    <w:rsid w:val="00E3605D"/>
    <w:rsid w:val="00E363AD"/>
    <w:rsid w:val="00E369A6"/>
    <w:rsid w:val="00E36A8A"/>
    <w:rsid w:val="00E37477"/>
    <w:rsid w:val="00E3753E"/>
    <w:rsid w:val="00E375D5"/>
    <w:rsid w:val="00E37E87"/>
    <w:rsid w:val="00E403BD"/>
    <w:rsid w:val="00E4053C"/>
    <w:rsid w:val="00E40F82"/>
    <w:rsid w:val="00E44052"/>
    <w:rsid w:val="00E46534"/>
    <w:rsid w:val="00E50034"/>
    <w:rsid w:val="00E50C8A"/>
    <w:rsid w:val="00E51564"/>
    <w:rsid w:val="00E528F2"/>
    <w:rsid w:val="00E53C79"/>
    <w:rsid w:val="00E53ED2"/>
    <w:rsid w:val="00E540CF"/>
    <w:rsid w:val="00E54186"/>
    <w:rsid w:val="00E571FA"/>
    <w:rsid w:val="00E57FB2"/>
    <w:rsid w:val="00E60308"/>
    <w:rsid w:val="00E61B93"/>
    <w:rsid w:val="00E6234B"/>
    <w:rsid w:val="00E63347"/>
    <w:rsid w:val="00E657EF"/>
    <w:rsid w:val="00E6777A"/>
    <w:rsid w:val="00E708B8"/>
    <w:rsid w:val="00E70B33"/>
    <w:rsid w:val="00E71839"/>
    <w:rsid w:val="00E7263E"/>
    <w:rsid w:val="00E73179"/>
    <w:rsid w:val="00E7325B"/>
    <w:rsid w:val="00E74E82"/>
    <w:rsid w:val="00E74F5D"/>
    <w:rsid w:val="00E74F9D"/>
    <w:rsid w:val="00E77BB6"/>
    <w:rsid w:val="00E77F02"/>
    <w:rsid w:val="00E8104F"/>
    <w:rsid w:val="00E844CE"/>
    <w:rsid w:val="00E85990"/>
    <w:rsid w:val="00E873D5"/>
    <w:rsid w:val="00E87F78"/>
    <w:rsid w:val="00E90ACA"/>
    <w:rsid w:val="00E9264A"/>
    <w:rsid w:val="00E92B8D"/>
    <w:rsid w:val="00E94008"/>
    <w:rsid w:val="00E94180"/>
    <w:rsid w:val="00E95123"/>
    <w:rsid w:val="00E962F1"/>
    <w:rsid w:val="00E9643D"/>
    <w:rsid w:val="00E969EB"/>
    <w:rsid w:val="00EA2A20"/>
    <w:rsid w:val="00EA2E55"/>
    <w:rsid w:val="00EA349D"/>
    <w:rsid w:val="00EA4072"/>
    <w:rsid w:val="00EA6D5E"/>
    <w:rsid w:val="00EA7234"/>
    <w:rsid w:val="00EA7C86"/>
    <w:rsid w:val="00EB1BD6"/>
    <w:rsid w:val="00EB388D"/>
    <w:rsid w:val="00EB3A1D"/>
    <w:rsid w:val="00EB3F93"/>
    <w:rsid w:val="00EB42FF"/>
    <w:rsid w:val="00EB4716"/>
    <w:rsid w:val="00EB77FA"/>
    <w:rsid w:val="00EB7F55"/>
    <w:rsid w:val="00EC02C2"/>
    <w:rsid w:val="00EC0AFC"/>
    <w:rsid w:val="00EC1965"/>
    <w:rsid w:val="00EC1CB6"/>
    <w:rsid w:val="00EC2698"/>
    <w:rsid w:val="00EC4C0B"/>
    <w:rsid w:val="00EC5B43"/>
    <w:rsid w:val="00EC6FBB"/>
    <w:rsid w:val="00EC774D"/>
    <w:rsid w:val="00ED0A4A"/>
    <w:rsid w:val="00ED17DA"/>
    <w:rsid w:val="00ED1D50"/>
    <w:rsid w:val="00ED2272"/>
    <w:rsid w:val="00ED3578"/>
    <w:rsid w:val="00ED372A"/>
    <w:rsid w:val="00ED4AE3"/>
    <w:rsid w:val="00ED5008"/>
    <w:rsid w:val="00ED5B0A"/>
    <w:rsid w:val="00ED6082"/>
    <w:rsid w:val="00ED6F8C"/>
    <w:rsid w:val="00EE0D9B"/>
    <w:rsid w:val="00EE12E4"/>
    <w:rsid w:val="00EE1EFC"/>
    <w:rsid w:val="00EE2523"/>
    <w:rsid w:val="00EE3054"/>
    <w:rsid w:val="00EE41DB"/>
    <w:rsid w:val="00EE453D"/>
    <w:rsid w:val="00EE4FC5"/>
    <w:rsid w:val="00EE5658"/>
    <w:rsid w:val="00EE60BE"/>
    <w:rsid w:val="00EE672C"/>
    <w:rsid w:val="00EE74EA"/>
    <w:rsid w:val="00EE756F"/>
    <w:rsid w:val="00EE7AE2"/>
    <w:rsid w:val="00EF1E2B"/>
    <w:rsid w:val="00EF22B7"/>
    <w:rsid w:val="00EF332A"/>
    <w:rsid w:val="00EF676D"/>
    <w:rsid w:val="00EF79A4"/>
    <w:rsid w:val="00F0098A"/>
    <w:rsid w:val="00F01019"/>
    <w:rsid w:val="00F01BD6"/>
    <w:rsid w:val="00F02B36"/>
    <w:rsid w:val="00F02D2E"/>
    <w:rsid w:val="00F053EF"/>
    <w:rsid w:val="00F06B27"/>
    <w:rsid w:val="00F07DCD"/>
    <w:rsid w:val="00F131D7"/>
    <w:rsid w:val="00F1476E"/>
    <w:rsid w:val="00F14971"/>
    <w:rsid w:val="00F14B9B"/>
    <w:rsid w:val="00F155AF"/>
    <w:rsid w:val="00F16499"/>
    <w:rsid w:val="00F1701C"/>
    <w:rsid w:val="00F21111"/>
    <w:rsid w:val="00F221BA"/>
    <w:rsid w:val="00F22369"/>
    <w:rsid w:val="00F22EBB"/>
    <w:rsid w:val="00F23123"/>
    <w:rsid w:val="00F23A9F"/>
    <w:rsid w:val="00F23B2E"/>
    <w:rsid w:val="00F23F73"/>
    <w:rsid w:val="00F24E57"/>
    <w:rsid w:val="00F2642D"/>
    <w:rsid w:val="00F2698A"/>
    <w:rsid w:val="00F30535"/>
    <w:rsid w:val="00F309A7"/>
    <w:rsid w:val="00F32D4E"/>
    <w:rsid w:val="00F36622"/>
    <w:rsid w:val="00F36DF6"/>
    <w:rsid w:val="00F371CB"/>
    <w:rsid w:val="00F37E5F"/>
    <w:rsid w:val="00F40291"/>
    <w:rsid w:val="00F4042D"/>
    <w:rsid w:val="00F40576"/>
    <w:rsid w:val="00F4059E"/>
    <w:rsid w:val="00F4401E"/>
    <w:rsid w:val="00F444FA"/>
    <w:rsid w:val="00F44893"/>
    <w:rsid w:val="00F454D7"/>
    <w:rsid w:val="00F45921"/>
    <w:rsid w:val="00F45EC8"/>
    <w:rsid w:val="00F4615A"/>
    <w:rsid w:val="00F47BA4"/>
    <w:rsid w:val="00F506D6"/>
    <w:rsid w:val="00F51831"/>
    <w:rsid w:val="00F521CC"/>
    <w:rsid w:val="00F55C07"/>
    <w:rsid w:val="00F55F27"/>
    <w:rsid w:val="00F5682A"/>
    <w:rsid w:val="00F569E7"/>
    <w:rsid w:val="00F56F70"/>
    <w:rsid w:val="00F572F0"/>
    <w:rsid w:val="00F575BF"/>
    <w:rsid w:val="00F60548"/>
    <w:rsid w:val="00F616BF"/>
    <w:rsid w:val="00F62235"/>
    <w:rsid w:val="00F63440"/>
    <w:rsid w:val="00F64692"/>
    <w:rsid w:val="00F64878"/>
    <w:rsid w:val="00F702B2"/>
    <w:rsid w:val="00F7071F"/>
    <w:rsid w:val="00F71C70"/>
    <w:rsid w:val="00F7242A"/>
    <w:rsid w:val="00F7247C"/>
    <w:rsid w:val="00F7271D"/>
    <w:rsid w:val="00F73EF3"/>
    <w:rsid w:val="00F7437B"/>
    <w:rsid w:val="00F744CC"/>
    <w:rsid w:val="00F74A64"/>
    <w:rsid w:val="00F756B2"/>
    <w:rsid w:val="00F75DE6"/>
    <w:rsid w:val="00F75DF2"/>
    <w:rsid w:val="00F76D88"/>
    <w:rsid w:val="00F80A23"/>
    <w:rsid w:val="00F81BF3"/>
    <w:rsid w:val="00F81D14"/>
    <w:rsid w:val="00F81FD6"/>
    <w:rsid w:val="00F837C2"/>
    <w:rsid w:val="00F85D30"/>
    <w:rsid w:val="00F85D5A"/>
    <w:rsid w:val="00F85F98"/>
    <w:rsid w:val="00F86645"/>
    <w:rsid w:val="00F878BE"/>
    <w:rsid w:val="00F90CFA"/>
    <w:rsid w:val="00F911F8"/>
    <w:rsid w:val="00F913E3"/>
    <w:rsid w:val="00F91D4E"/>
    <w:rsid w:val="00F920B3"/>
    <w:rsid w:val="00F9384A"/>
    <w:rsid w:val="00F93B0A"/>
    <w:rsid w:val="00F94EAF"/>
    <w:rsid w:val="00F95FA7"/>
    <w:rsid w:val="00F96AD5"/>
    <w:rsid w:val="00F96BBC"/>
    <w:rsid w:val="00FA096D"/>
    <w:rsid w:val="00FA0987"/>
    <w:rsid w:val="00FA0A5A"/>
    <w:rsid w:val="00FA15FD"/>
    <w:rsid w:val="00FA34DA"/>
    <w:rsid w:val="00FA38D7"/>
    <w:rsid w:val="00FA5924"/>
    <w:rsid w:val="00FA7867"/>
    <w:rsid w:val="00FA7F67"/>
    <w:rsid w:val="00FB0381"/>
    <w:rsid w:val="00FB130C"/>
    <w:rsid w:val="00FB3007"/>
    <w:rsid w:val="00FB4E9B"/>
    <w:rsid w:val="00FB4FD0"/>
    <w:rsid w:val="00FB60C6"/>
    <w:rsid w:val="00FB6595"/>
    <w:rsid w:val="00FB69D6"/>
    <w:rsid w:val="00FB7580"/>
    <w:rsid w:val="00FC0E29"/>
    <w:rsid w:val="00FC10B3"/>
    <w:rsid w:val="00FC15C0"/>
    <w:rsid w:val="00FC1715"/>
    <w:rsid w:val="00FC17AA"/>
    <w:rsid w:val="00FC1842"/>
    <w:rsid w:val="00FC1E49"/>
    <w:rsid w:val="00FC2807"/>
    <w:rsid w:val="00FC2F6F"/>
    <w:rsid w:val="00FC2FB0"/>
    <w:rsid w:val="00FC3453"/>
    <w:rsid w:val="00FC3D0C"/>
    <w:rsid w:val="00FC3F5E"/>
    <w:rsid w:val="00FC4E85"/>
    <w:rsid w:val="00FC614C"/>
    <w:rsid w:val="00FC614E"/>
    <w:rsid w:val="00FC6376"/>
    <w:rsid w:val="00FC6593"/>
    <w:rsid w:val="00FC664D"/>
    <w:rsid w:val="00FC6C5B"/>
    <w:rsid w:val="00FC6DDE"/>
    <w:rsid w:val="00FD06C4"/>
    <w:rsid w:val="00FD193C"/>
    <w:rsid w:val="00FD2572"/>
    <w:rsid w:val="00FD2C25"/>
    <w:rsid w:val="00FD395A"/>
    <w:rsid w:val="00FD3AEE"/>
    <w:rsid w:val="00FD43BE"/>
    <w:rsid w:val="00FD5D8A"/>
    <w:rsid w:val="00FE12D2"/>
    <w:rsid w:val="00FE1B18"/>
    <w:rsid w:val="00FE1ECE"/>
    <w:rsid w:val="00FE78E0"/>
    <w:rsid w:val="00FF10BE"/>
    <w:rsid w:val="00FF3797"/>
    <w:rsid w:val="00FF38FC"/>
    <w:rsid w:val="00FF444A"/>
    <w:rsid w:val="00FF5492"/>
    <w:rsid w:val="00FF6DCE"/>
    <w:rsid w:val="00FF75BD"/>
    <w:rsid w:val="00FF797B"/>
    <w:rsid w:val="00FF7B4F"/>
    <w:rsid w:val="00FF7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69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eastAsia="x-none"/>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lang w:eastAsia="x-none"/>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GridTable21">
    <w:name w:val="Grid Table 2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rPr>
  </w:style>
  <w:style w:type="paragraph" w:customStyle="1" w:styleId="PlainTable22">
    <w:name w:val="Plain Table 22"/>
    <w:hidden/>
    <w:uiPriority w:val="99"/>
    <w:semiHidden/>
    <w:rsid w:val="00023D05"/>
    <w:rPr>
      <w:rFonts w:cs="Angsana New"/>
      <w:sz w:val="22"/>
      <w:szCs w:val="24"/>
      <w:lang w:val="en-GB"/>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rPr>
  </w:style>
  <w:style w:type="character" w:customStyle="1" w:styleId="CommentTextChar">
    <w:name w:val="Comment Text Char"/>
    <w:link w:val="CommentText"/>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character" w:customStyle="1" w:styleId="apple-converted-space">
    <w:name w:val="apple-converted-space"/>
    <w:rsid w:val="004C1CEF"/>
  </w:style>
  <w:style w:type="paragraph" w:customStyle="1" w:styleId="para11">
    <w:name w:val="para1"/>
    <w:basedOn w:val="Normal"/>
    <w:uiPriority w:val="99"/>
    <w:rsid w:val="00422B9C"/>
    <w:pPr>
      <w:tabs>
        <w:tab w:val="num" w:pos="360"/>
      </w:tabs>
      <w:snapToGrid w:val="0"/>
      <w:spacing w:before="120" w:after="120"/>
    </w:pPr>
    <w:rPr>
      <w:szCs w:val="22"/>
      <w:lang w:val="en-US"/>
    </w:rPr>
  </w:style>
  <w:style w:type="character" w:styleId="HTMLVariable">
    <w:name w:val="HTML Variable"/>
    <w:uiPriority w:val="99"/>
    <w:unhideWhenUsed/>
    <w:rsid w:val="00AE058F"/>
    <w:rPr>
      <w:i/>
      <w:iCs/>
    </w:rPr>
  </w:style>
  <w:style w:type="paragraph" w:customStyle="1" w:styleId="MediumGrid1-Accent21">
    <w:name w:val="Medium Grid 1 - Accent 21"/>
    <w:basedOn w:val="Normal"/>
    <w:uiPriority w:val="34"/>
    <w:qFormat/>
    <w:rsid w:val="00780F65"/>
    <w:pPr>
      <w:ind w:left="720"/>
      <w:contextualSpacing/>
    </w:pPr>
    <w:rPr>
      <w:rFonts w:ascii="Calibri" w:eastAsia="Calibri" w:hAnsi="Calibri"/>
      <w:szCs w:val="22"/>
      <w:lang w:eastAsia="en-CA"/>
    </w:rPr>
  </w:style>
  <w:style w:type="paragraph" w:customStyle="1" w:styleId="MediumList2-Accent21">
    <w:name w:val="Medium List 2 - Accent 21"/>
    <w:hidden/>
    <w:uiPriority w:val="99"/>
    <w:semiHidden/>
    <w:rsid w:val="006860F0"/>
    <w:rPr>
      <w:rFonts w:cs="Angsana New"/>
      <w:sz w:val="22"/>
      <w:szCs w:val="24"/>
      <w:lang w:val="en-GB"/>
    </w:rPr>
  </w:style>
  <w:style w:type="paragraph" w:customStyle="1" w:styleId="meetingname">
    <w:name w:val="meeting name"/>
    <w:basedOn w:val="Normal"/>
    <w:qFormat/>
    <w:rsid w:val="00750802"/>
    <w:pPr>
      <w:snapToGrid w:val="0"/>
      <w:ind w:left="170" w:right="3119" w:hanging="170"/>
    </w:pPr>
    <w:rPr>
      <w:rFonts w:eastAsia="Malgun Gothic"/>
      <w:caps/>
    </w:rPr>
  </w:style>
  <w:style w:type="paragraph" w:styleId="Revision">
    <w:name w:val="Revision"/>
    <w:hidden/>
    <w:uiPriority w:val="99"/>
    <w:semiHidden/>
    <w:rsid w:val="000C316D"/>
    <w:rPr>
      <w:rFonts w:cs="Angsana New"/>
      <w:sz w:val="22"/>
      <w:szCs w:val="24"/>
      <w:lang w:val="en-GB"/>
    </w:rPr>
  </w:style>
  <w:style w:type="paragraph" w:styleId="ListParagraph">
    <w:name w:val="List Paragraph"/>
    <w:basedOn w:val="Normal"/>
    <w:uiPriority w:val="34"/>
    <w:qFormat/>
    <w:rsid w:val="00A90DD7"/>
    <w:pPr>
      <w:ind w:left="720"/>
      <w:contextualSpacing/>
    </w:pPr>
  </w:style>
  <w:style w:type="table" w:styleId="TableGrid">
    <w:name w:val="Table Grid"/>
    <w:basedOn w:val="TableNormal"/>
    <w:rsid w:val="0055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7D2"/>
    <w:rPr>
      <w:color w:val="808080"/>
    </w:rPr>
  </w:style>
  <w:style w:type="character" w:customStyle="1" w:styleId="UnresolvedMention">
    <w:name w:val="Unresolved Mention"/>
    <w:basedOn w:val="DefaultParagraphFont"/>
    <w:uiPriority w:val="99"/>
    <w:semiHidden/>
    <w:unhideWhenUsed/>
    <w:rsid w:val="009B07D2"/>
    <w:rPr>
      <w:color w:val="808080"/>
      <w:shd w:val="clear" w:color="auto" w:fill="E6E6E6"/>
    </w:rPr>
  </w:style>
  <w:style w:type="paragraph" w:customStyle="1" w:styleId="StylePara111ptJustifiedBefore6ptKernat11pt">
    <w:name w:val="Style Para1 + 11 pt Justified Before:  6 pt Kern at 11 pt"/>
    <w:basedOn w:val="Para1"/>
    <w:rsid w:val="000C342E"/>
    <w:pPr>
      <w:spacing w:before="120"/>
      <w:jc w:val="both"/>
    </w:pPr>
    <w:rPr>
      <w:kern w:val="22"/>
      <w:sz w:val="22"/>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69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eastAsia="x-none"/>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lang w:eastAsia="x-none"/>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GridTable21">
    <w:name w:val="Grid Table 2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rPr>
  </w:style>
  <w:style w:type="paragraph" w:customStyle="1" w:styleId="PlainTable22">
    <w:name w:val="Plain Table 22"/>
    <w:hidden/>
    <w:uiPriority w:val="99"/>
    <w:semiHidden/>
    <w:rsid w:val="00023D05"/>
    <w:rPr>
      <w:rFonts w:cs="Angsana New"/>
      <w:sz w:val="22"/>
      <w:szCs w:val="24"/>
      <w:lang w:val="en-GB"/>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rPr>
  </w:style>
  <w:style w:type="character" w:customStyle="1" w:styleId="CommentTextChar">
    <w:name w:val="Comment Text Char"/>
    <w:link w:val="CommentText"/>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character" w:customStyle="1" w:styleId="apple-converted-space">
    <w:name w:val="apple-converted-space"/>
    <w:rsid w:val="004C1CEF"/>
  </w:style>
  <w:style w:type="paragraph" w:customStyle="1" w:styleId="para11">
    <w:name w:val="para1"/>
    <w:basedOn w:val="Normal"/>
    <w:uiPriority w:val="99"/>
    <w:rsid w:val="00422B9C"/>
    <w:pPr>
      <w:tabs>
        <w:tab w:val="num" w:pos="360"/>
      </w:tabs>
      <w:snapToGrid w:val="0"/>
      <w:spacing w:before="120" w:after="120"/>
    </w:pPr>
    <w:rPr>
      <w:szCs w:val="22"/>
      <w:lang w:val="en-US"/>
    </w:rPr>
  </w:style>
  <w:style w:type="character" w:styleId="HTMLVariable">
    <w:name w:val="HTML Variable"/>
    <w:uiPriority w:val="99"/>
    <w:unhideWhenUsed/>
    <w:rsid w:val="00AE058F"/>
    <w:rPr>
      <w:i/>
      <w:iCs/>
    </w:rPr>
  </w:style>
  <w:style w:type="paragraph" w:customStyle="1" w:styleId="MediumGrid1-Accent21">
    <w:name w:val="Medium Grid 1 - Accent 21"/>
    <w:basedOn w:val="Normal"/>
    <w:uiPriority w:val="34"/>
    <w:qFormat/>
    <w:rsid w:val="00780F65"/>
    <w:pPr>
      <w:ind w:left="720"/>
      <w:contextualSpacing/>
    </w:pPr>
    <w:rPr>
      <w:rFonts w:ascii="Calibri" w:eastAsia="Calibri" w:hAnsi="Calibri"/>
      <w:szCs w:val="22"/>
      <w:lang w:eastAsia="en-CA"/>
    </w:rPr>
  </w:style>
  <w:style w:type="paragraph" w:customStyle="1" w:styleId="MediumList2-Accent21">
    <w:name w:val="Medium List 2 - Accent 21"/>
    <w:hidden/>
    <w:uiPriority w:val="99"/>
    <w:semiHidden/>
    <w:rsid w:val="006860F0"/>
    <w:rPr>
      <w:rFonts w:cs="Angsana New"/>
      <w:sz w:val="22"/>
      <w:szCs w:val="24"/>
      <w:lang w:val="en-GB"/>
    </w:rPr>
  </w:style>
  <w:style w:type="paragraph" w:customStyle="1" w:styleId="meetingname">
    <w:name w:val="meeting name"/>
    <w:basedOn w:val="Normal"/>
    <w:qFormat/>
    <w:rsid w:val="00750802"/>
    <w:pPr>
      <w:snapToGrid w:val="0"/>
      <w:ind w:left="170" w:right="3119" w:hanging="170"/>
    </w:pPr>
    <w:rPr>
      <w:rFonts w:eastAsia="Malgun Gothic"/>
      <w:caps/>
    </w:rPr>
  </w:style>
  <w:style w:type="paragraph" w:styleId="Revision">
    <w:name w:val="Revision"/>
    <w:hidden/>
    <w:uiPriority w:val="99"/>
    <w:semiHidden/>
    <w:rsid w:val="000C316D"/>
    <w:rPr>
      <w:rFonts w:cs="Angsana New"/>
      <w:sz w:val="22"/>
      <w:szCs w:val="24"/>
      <w:lang w:val="en-GB"/>
    </w:rPr>
  </w:style>
  <w:style w:type="paragraph" w:styleId="ListParagraph">
    <w:name w:val="List Paragraph"/>
    <w:basedOn w:val="Normal"/>
    <w:uiPriority w:val="34"/>
    <w:qFormat/>
    <w:rsid w:val="00A90DD7"/>
    <w:pPr>
      <w:ind w:left="720"/>
      <w:contextualSpacing/>
    </w:pPr>
  </w:style>
  <w:style w:type="table" w:styleId="TableGrid">
    <w:name w:val="Table Grid"/>
    <w:basedOn w:val="TableNormal"/>
    <w:rsid w:val="0055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7D2"/>
    <w:rPr>
      <w:color w:val="808080"/>
    </w:rPr>
  </w:style>
  <w:style w:type="character" w:customStyle="1" w:styleId="UnresolvedMention">
    <w:name w:val="Unresolved Mention"/>
    <w:basedOn w:val="DefaultParagraphFont"/>
    <w:uiPriority w:val="99"/>
    <w:semiHidden/>
    <w:unhideWhenUsed/>
    <w:rsid w:val="009B07D2"/>
    <w:rPr>
      <w:color w:val="808080"/>
      <w:shd w:val="clear" w:color="auto" w:fill="E6E6E6"/>
    </w:rPr>
  </w:style>
  <w:style w:type="paragraph" w:customStyle="1" w:styleId="StylePara111ptJustifiedBefore6ptKernat11pt">
    <w:name w:val="Style Para1 + 11 pt Justified Before:  6 pt Kern at 11 pt"/>
    <w:basedOn w:val="Para1"/>
    <w:rsid w:val="000C342E"/>
    <w:pPr>
      <w:spacing w:before="120"/>
      <w:jc w:val="both"/>
    </w:pPr>
    <w:rPr>
      <w:kern w:val="22"/>
      <w:sz w:val="22"/>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6977087">
      <w:bodyDiv w:val="1"/>
      <w:marLeft w:val="0"/>
      <w:marRight w:val="0"/>
      <w:marTop w:val="0"/>
      <w:marBottom w:val="0"/>
      <w:divBdr>
        <w:top w:val="none" w:sz="0" w:space="0" w:color="auto"/>
        <w:left w:val="none" w:sz="0" w:space="0" w:color="auto"/>
        <w:bottom w:val="none" w:sz="0" w:space="0" w:color="auto"/>
        <w:right w:val="none" w:sz="0" w:space="0" w:color="auto"/>
      </w:divBdr>
    </w:div>
    <w:div w:id="407462530">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623313911">
      <w:bodyDiv w:val="1"/>
      <w:marLeft w:val="0"/>
      <w:marRight w:val="0"/>
      <w:marTop w:val="0"/>
      <w:marBottom w:val="0"/>
      <w:divBdr>
        <w:top w:val="none" w:sz="0" w:space="0" w:color="auto"/>
        <w:left w:val="none" w:sz="0" w:space="0" w:color="auto"/>
        <w:bottom w:val="none" w:sz="0" w:space="0" w:color="auto"/>
        <w:right w:val="none" w:sz="0" w:space="0" w:color="auto"/>
      </w:divBdr>
    </w:div>
    <w:div w:id="642732334">
      <w:bodyDiv w:val="1"/>
      <w:marLeft w:val="0"/>
      <w:marRight w:val="0"/>
      <w:marTop w:val="0"/>
      <w:marBottom w:val="0"/>
      <w:divBdr>
        <w:top w:val="none" w:sz="0" w:space="0" w:color="auto"/>
        <w:left w:val="none" w:sz="0" w:space="0" w:color="auto"/>
        <w:bottom w:val="none" w:sz="0" w:space="0" w:color="auto"/>
        <w:right w:val="none" w:sz="0" w:space="0" w:color="auto"/>
      </w:divBdr>
    </w:div>
    <w:div w:id="675305716">
      <w:bodyDiv w:val="1"/>
      <w:marLeft w:val="0"/>
      <w:marRight w:val="0"/>
      <w:marTop w:val="0"/>
      <w:marBottom w:val="0"/>
      <w:divBdr>
        <w:top w:val="none" w:sz="0" w:space="0" w:color="auto"/>
        <w:left w:val="none" w:sz="0" w:space="0" w:color="auto"/>
        <w:bottom w:val="none" w:sz="0" w:space="0" w:color="auto"/>
        <w:right w:val="none" w:sz="0" w:space="0" w:color="auto"/>
      </w:divBdr>
    </w:div>
    <w:div w:id="679084849">
      <w:bodyDiv w:val="1"/>
      <w:marLeft w:val="0"/>
      <w:marRight w:val="0"/>
      <w:marTop w:val="0"/>
      <w:marBottom w:val="0"/>
      <w:divBdr>
        <w:top w:val="none" w:sz="0" w:space="0" w:color="auto"/>
        <w:left w:val="none" w:sz="0" w:space="0" w:color="auto"/>
        <w:bottom w:val="none" w:sz="0" w:space="0" w:color="auto"/>
        <w:right w:val="none" w:sz="0" w:space="0" w:color="auto"/>
      </w:divBdr>
    </w:div>
    <w:div w:id="75321007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07299121">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0999850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060605">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23125156">
      <w:bodyDiv w:val="1"/>
      <w:marLeft w:val="0"/>
      <w:marRight w:val="0"/>
      <w:marTop w:val="0"/>
      <w:marBottom w:val="0"/>
      <w:divBdr>
        <w:top w:val="none" w:sz="0" w:space="0" w:color="auto"/>
        <w:left w:val="none" w:sz="0" w:space="0" w:color="auto"/>
        <w:bottom w:val="none" w:sz="0" w:space="0" w:color="auto"/>
        <w:right w:val="none" w:sz="0" w:space="0" w:color="auto"/>
      </w:divBdr>
    </w:div>
    <w:div w:id="1408454337">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55055535">
      <w:bodyDiv w:val="1"/>
      <w:marLeft w:val="0"/>
      <w:marRight w:val="0"/>
      <w:marTop w:val="0"/>
      <w:marBottom w:val="0"/>
      <w:divBdr>
        <w:top w:val="none" w:sz="0" w:space="0" w:color="auto"/>
        <w:left w:val="none" w:sz="0" w:space="0" w:color="auto"/>
        <w:bottom w:val="none" w:sz="0" w:space="0" w:color="auto"/>
        <w:right w:val="none" w:sz="0" w:space="0" w:color="auto"/>
      </w:divBdr>
    </w:div>
    <w:div w:id="1497110187">
      <w:bodyDiv w:val="1"/>
      <w:marLeft w:val="0"/>
      <w:marRight w:val="0"/>
      <w:marTop w:val="0"/>
      <w:marBottom w:val="0"/>
      <w:divBdr>
        <w:top w:val="none" w:sz="0" w:space="0" w:color="auto"/>
        <w:left w:val="none" w:sz="0" w:space="0" w:color="auto"/>
        <w:bottom w:val="none" w:sz="0" w:space="0" w:color="auto"/>
        <w:right w:val="none" w:sz="0" w:space="0" w:color="auto"/>
      </w:divBdr>
    </w:div>
    <w:div w:id="1499803082">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42589">
      <w:bodyDiv w:val="1"/>
      <w:marLeft w:val="0"/>
      <w:marRight w:val="0"/>
      <w:marTop w:val="0"/>
      <w:marBottom w:val="0"/>
      <w:divBdr>
        <w:top w:val="none" w:sz="0" w:space="0" w:color="auto"/>
        <w:left w:val="none" w:sz="0" w:space="0" w:color="auto"/>
        <w:bottom w:val="none" w:sz="0" w:space="0" w:color="auto"/>
        <w:right w:val="none" w:sz="0" w:space="0" w:color="auto"/>
      </w:divBdr>
    </w:div>
    <w:div w:id="1681007376">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4819">
      <w:bodyDiv w:val="1"/>
      <w:marLeft w:val="0"/>
      <w:marRight w:val="0"/>
      <w:marTop w:val="0"/>
      <w:marBottom w:val="0"/>
      <w:divBdr>
        <w:top w:val="none" w:sz="0" w:space="0" w:color="auto"/>
        <w:left w:val="none" w:sz="0" w:space="0" w:color="auto"/>
        <w:bottom w:val="none" w:sz="0" w:space="0" w:color="auto"/>
        <w:right w:val="none" w:sz="0" w:space="0" w:color="auto"/>
      </w:divBdr>
      <w:divsChild>
        <w:div w:id="179635668">
          <w:marLeft w:val="0"/>
          <w:marRight w:val="0"/>
          <w:marTop w:val="0"/>
          <w:marBottom w:val="0"/>
          <w:divBdr>
            <w:top w:val="none" w:sz="0" w:space="0" w:color="auto"/>
            <w:left w:val="none" w:sz="0" w:space="0" w:color="auto"/>
            <w:bottom w:val="none" w:sz="0" w:space="0" w:color="auto"/>
            <w:right w:val="none" w:sz="0" w:space="0" w:color="auto"/>
          </w:divBdr>
        </w:div>
        <w:div w:id="522669775">
          <w:marLeft w:val="0"/>
          <w:marRight w:val="0"/>
          <w:marTop w:val="0"/>
          <w:marBottom w:val="0"/>
          <w:divBdr>
            <w:top w:val="none" w:sz="0" w:space="0" w:color="auto"/>
            <w:left w:val="none" w:sz="0" w:space="0" w:color="auto"/>
            <w:bottom w:val="none" w:sz="0" w:space="0" w:color="auto"/>
            <w:right w:val="none" w:sz="0" w:space="0" w:color="auto"/>
          </w:divBdr>
        </w:div>
        <w:div w:id="782188015">
          <w:marLeft w:val="0"/>
          <w:marRight w:val="0"/>
          <w:marTop w:val="0"/>
          <w:marBottom w:val="0"/>
          <w:divBdr>
            <w:top w:val="none" w:sz="0" w:space="0" w:color="auto"/>
            <w:left w:val="none" w:sz="0" w:space="0" w:color="auto"/>
            <w:bottom w:val="none" w:sz="0" w:space="0" w:color="auto"/>
            <w:right w:val="none" w:sz="0" w:space="0" w:color="auto"/>
          </w:divBdr>
        </w:div>
      </w:divsChild>
    </w:div>
    <w:div w:id="1839156670">
      <w:bodyDiv w:val="1"/>
      <w:marLeft w:val="0"/>
      <w:marRight w:val="0"/>
      <w:marTop w:val="0"/>
      <w:marBottom w:val="0"/>
      <w:divBdr>
        <w:top w:val="none" w:sz="0" w:space="0" w:color="auto"/>
        <w:left w:val="none" w:sz="0" w:space="0" w:color="auto"/>
        <w:bottom w:val="none" w:sz="0" w:space="0" w:color="auto"/>
        <w:right w:val="none" w:sz="0" w:space="0" w:color="auto"/>
      </w:divBdr>
      <w:divsChild>
        <w:div w:id="946817819">
          <w:marLeft w:val="0"/>
          <w:marRight w:val="0"/>
          <w:marTop w:val="105"/>
          <w:marBottom w:val="105"/>
          <w:divBdr>
            <w:top w:val="none" w:sz="0" w:space="0" w:color="auto"/>
            <w:left w:val="none" w:sz="0" w:space="0" w:color="auto"/>
            <w:bottom w:val="none" w:sz="0" w:space="0" w:color="auto"/>
            <w:right w:val="none" w:sz="0" w:space="0" w:color="auto"/>
          </w:divBdr>
          <w:divsChild>
            <w:div w:id="154805789">
              <w:marLeft w:val="0"/>
              <w:marRight w:val="0"/>
              <w:marTop w:val="105"/>
              <w:marBottom w:val="105"/>
              <w:divBdr>
                <w:top w:val="none" w:sz="0" w:space="0" w:color="auto"/>
                <w:left w:val="none" w:sz="0" w:space="0" w:color="auto"/>
                <w:bottom w:val="none" w:sz="0" w:space="0" w:color="auto"/>
                <w:right w:val="none" w:sz="0" w:space="0" w:color="auto"/>
              </w:divBdr>
            </w:div>
          </w:divsChild>
        </w:div>
        <w:div w:id="1791898978">
          <w:marLeft w:val="0"/>
          <w:marRight w:val="0"/>
          <w:marTop w:val="105"/>
          <w:marBottom w:val="105"/>
          <w:divBdr>
            <w:top w:val="none" w:sz="0" w:space="0" w:color="auto"/>
            <w:left w:val="none" w:sz="0" w:space="0" w:color="auto"/>
            <w:bottom w:val="none" w:sz="0" w:space="0" w:color="auto"/>
            <w:right w:val="none" w:sz="0" w:space="0" w:color="auto"/>
          </w:divBdr>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53315692">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58310256">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431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6-en.pdf" TargetMode="External"/><Relationship Id="rId18" Type="http://schemas.openxmlformats.org/officeDocument/2006/relationships/hyperlink" Target="https://sustainabledevelopment.un.org/vn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ecisions/trackin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ecision/cop/default.shtml?id=13392" TargetMode="External"/><Relationship Id="rId20" Type="http://schemas.openxmlformats.org/officeDocument/2006/relationships/hyperlink" Target="https://sustainabledevelopment.un.org/content/documents/17346Updated_Voluntary_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13/cop-13-dec-25-en.pdf"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sustainabledevelopment.un.org/content/documents/17354VNR_handbook_2018.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5-en.pdf" TargetMode="External"/><Relationship Id="rId22" Type="http://schemas.openxmlformats.org/officeDocument/2006/relationships/header" Target="head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content/documents/17354VNR_handbook_2018.pdf" TargetMode="External"/><Relationship Id="rId3" Type="http://schemas.openxmlformats.org/officeDocument/2006/relationships/hyperlink" Target="http://icisa.cag.gov.in/resource_files/87ca71601d696fd5b6baf378182c0603.pdf" TargetMode="External"/><Relationship Id="rId7" Type="http://schemas.openxmlformats.org/officeDocument/2006/relationships/hyperlink" Target="https://oceanconference.un.org/commitments/" TargetMode="External"/><Relationship Id="rId2" Type="http://schemas.openxmlformats.org/officeDocument/2006/relationships/hyperlink" Target="https://www.cbd.int/nbsap/vpr/default.shtml"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ww2.unccd.int/actions/ldn-target-setting-programme" TargetMode="External"/><Relationship Id="rId5" Type="http://schemas.openxmlformats.org/officeDocument/2006/relationships/hyperlink" Target="https://www.cbd.int/doc/c/a7a0/180e/98bc80349a363a973049a4fc/nrws-2017-01-presentation-04-en.pdf" TargetMode="External"/><Relationship Id="rId4" Type="http://schemas.openxmlformats.org/officeDocument/2006/relationships/hyperlink" Target="https://www.cbd.int/countries/targets/?country=ca" TargetMode="External"/><Relationship Id="rId9" Type="http://schemas.openxmlformats.org/officeDocument/2006/relationships/hyperlink" Target="https://sustainabledevelopment.un.org/content/documents/17346Updated_Voluntary_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3BD651E7CD401E8FCF2400DCA5224F"/>
        <w:category>
          <w:name w:val="General"/>
          <w:gallery w:val="placeholder"/>
        </w:category>
        <w:types>
          <w:type w:val="bbPlcHdr"/>
        </w:types>
        <w:behaviors>
          <w:behavior w:val="content"/>
        </w:behaviors>
        <w:guid w:val="{985FE110-F64B-4EB5-8000-EDA291F5A225}"/>
      </w:docPartPr>
      <w:docPartBody>
        <w:p w:rsidR="00A93D16" w:rsidRDefault="008025B2">
          <w:r w:rsidRPr="00DC4F36">
            <w:rPr>
              <w:rStyle w:val="PlaceholderText"/>
            </w:rPr>
            <w:t>[Title]</w:t>
          </w:r>
        </w:p>
      </w:docPartBody>
    </w:docPart>
    <w:docPart>
      <w:docPartPr>
        <w:name w:val="355983AA81E74E8BAAFAAB098EAFF96F"/>
        <w:category>
          <w:name w:val="General"/>
          <w:gallery w:val="placeholder"/>
        </w:category>
        <w:types>
          <w:type w:val="bbPlcHdr"/>
        </w:types>
        <w:behaviors>
          <w:behavior w:val="content"/>
        </w:behaviors>
        <w:guid w:val="{E4A774C8-D52E-4DB8-B82D-34BA62A265D8}"/>
      </w:docPartPr>
      <w:docPartBody>
        <w:p w:rsidR="00A93D16" w:rsidRDefault="008025B2">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2"/>
    <w:rsid w:val="008025B2"/>
    <w:rsid w:val="00A93D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D4C2-C608-431B-9837-14F9D62A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Mechanisms to facilitate review of implementation</vt:lpstr>
    </vt:vector>
  </TitlesOfParts>
  <Company>BIODIVERSITY</Company>
  <LinksUpToDate>false</LinksUpToDate>
  <CharactersWithSpaces>36561</CharactersWithSpaces>
  <SharedDoc>false</SharedDoc>
  <HLinks>
    <vt:vector size="66" baseType="variant">
      <vt:variant>
        <vt:i4>5242955</vt:i4>
      </vt:variant>
      <vt:variant>
        <vt:i4>15</vt:i4>
      </vt:variant>
      <vt:variant>
        <vt:i4>0</vt:i4>
      </vt:variant>
      <vt:variant>
        <vt:i4>5</vt:i4>
      </vt:variant>
      <vt:variant>
        <vt:lpwstr>https://sustainabledevelopment.un.org/content/documents/17346Updated_Voluntary_Guidelines.pdf</vt:lpwstr>
      </vt:variant>
      <vt:variant>
        <vt:lpwstr/>
      </vt:variant>
      <vt:variant>
        <vt:i4>6225992</vt:i4>
      </vt:variant>
      <vt:variant>
        <vt:i4>12</vt:i4>
      </vt:variant>
      <vt:variant>
        <vt:i4>0</vt:i4>
      </vt:variant>
      <vt:variant>
        <vt:i4>5</vt:i4>
      </vt:variant>
      <vt:variant>
        <vt:lpwstr>https://sustainabledevelopment.un.org/content/documents/17354VNR_handbook_2018.pdf</vt:lpwstr>
      </vt:variant>
      <vt:variant>
        <vt:lpwstr/>
      </vt:variant>
      <vt:variant>
        <vt:i4>7340136</vt:i4>
      </vt:variant>
      <vt:variant>
        <vt:i4>9</vt:i4>
      </vt:variant>
      <vt:variant>
        <vt:i4>0</vt:i4>
      </vt:variant>
      <vt:variant>
        <vt:i4>5</vt:i4>
      </vt:variant>
      <vt:variant>
        <vt:lpwstr>https://sustainabledevelopment.un.org/vnrs/</vt:lpwstr>
      </vt:variant>
      <vt:variant>
        <vt:lpwstr/>
      </vt:variant>
      <vt:variant>
        <vt:i4>8257570</vt:i4>
      </vt:variant>
      <vt:variant>
        <vt:i4>6</vt:i4>
      </vt:variant>
      <vt:variant>
        <vt:i4>0</vt:i4>
      </vt:variant>
      <vt:variant>
        <vt:i4>5</vt:i4>
      </vt:variant>
      <vt:variant>
        <vt:lpwstr>https://www.cbd.int/decisions/tracking/</vt:lpwstr>
      </vt:variant>
      <vt:variant>
        <vt:lpwstr/>
      </vt:variant>
      <vt:variant>
        <vt:i4>7012404</vt:i4>
      </vt:variant>
      <vt:variant>
        <vt:i4>3</vt:i4>
      </vt:variant>
      <vt:variant>
        <vt:i4>0</vt:i4>
      </vt:variant>
      <vt:variant>
        <vt:i4>5</vt:i4>
      </vt:variant>
      <vt:variant>
        <vt:lpwstr>https://www.cbd.int/decision/cop/default.shtml?id=13392</vt:lpwstr>
      </vt:variant>
      <vt:variant>
        <vt:lpwstr/>
      </vt:variant>
      <vt:variant>
        <vt:i4>852047</vt:i4>
      </vt:variant>
      <vt:variant>
        <vt:i4>0</vt:i4>
      </vt:variant>
      <vt:variant>
        <vt:i4>0</vt:i4>
      </vt:variant>
      <vt:variant>
        <vt:i4>5</vt:i4>
      </vt:variant>
      <vt:variant>
        <vt:lpwstr>https://www.cbd.int/doc/decisions/cop-13/cop-13-dec-25-en.pdf</vt:lpwstr>
      </vt:variant>
      <vt:variant>
        <vt:lpwstr/>
      </vt:variant>
      <vt:variant>
        <vt:i4>5242955</vt:i4>
      </vt:variant>
      <vt:variant>
        <vt:i4>12</vt:i4>
      </vt:variant>
      <vt:variant>
        <vt:i4>0</vt:i4>
      </vt:variant>
      <vt:variant>
        <vt:i4>5</vt:i4>
      </vt:variant>
      <vt:variant>
        <vt:lpwstr>https://sustainabledevelopment.un.org/content/documents/17346Updated_Voluntary_Guidelines.pdf</vt:lpwstr>
      </vt:variant>
      <vt:variant>
        <vt:lpwstr/>
      </vt:variant>
      <vt:variant>
        <vt:i4>6225992</vt:i4>
      </vt:variant>
      <vt:variant>
        <vt:i4>9</vt:i4>
      </vt:variant>
      <vt:variant>
        <vt:i4>0</vt:i4>
      </vt:variant>
      <vt:variant>
        <vt:i4>5</vt:i4>
      </vt:variant>
      <vt:variant>
        <vt:lpwstr>https://sustainabledevelopment.un.org/content/documents/17354VNR_handbook_2018.pdf</vt:lpwstr>
      </vt:variant>
      <vt:variant>
        <vt:lpwstr/>
      </vt:variant>
      <vt:variant>
        <vt:i4>4259844</vt:i4>
      </vt:variant>
      <vt:variant>
        <vt:i4>6</vt:i4>
      </vt:variant>
      <vt:variant>
        <vt:i4>0</vt:i4>
      </vt:variant>
      <vt:variant>
        <vt:i4>5</vt:i4>
      </vt:variant>
      <vt:variant>
        <vt:lpwstr>https://www.cbd.int/doc/c/a7a0/180e/98bc80349a363a973049a4fc/nrws-2017-01-presentation-04-en.pdf</vt:lpwstr>
      </vt:variant>
      <vt:variant>
        <vt:lpwstr/>
      </vt:variant>
      <vt:variant>
        <vt:i4>7667767</vt:i4>
      </vt:variant>
      <vt:variant>
        <vt:i4>3</vt:i4>
      </vt:variant>
      <vt:variant>
        <vt:i4>0</vt:i4>
      </vt:variant>
      <vt:variant>
        <vt:i4>5</vt:i4>
      </vt:variant>
      <vt:variant>
        <vt:lpwstr>https://www.cbd.int/nbsap/vpr/default.shtml</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to facilitate review of implementation</dc:title>
  <dc:subject>CBD/SBI/2/11</dc:subject>
  <dc:creator>SCBD</dc:creator>
  <cp:lastModifiedBy>Orestes Plasencia</cp:lastModifiedBy>
  <cp:revision>5</cp:revision>
  <cp:lastPrinted>2018-04-03T12:48:00Z</cp:lastPrinted>
  <dcterms:created xsi:type="dcterms:W3CDTF">2018-06-05T02:40:00Z</dcterms:created>
  <dcterms:modified xsi:type="dcterms:W3CDTF">2018-06-05T02:43:00Z</dcterms:modified>
</cp:coreProperties>
</file>