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10629" w:type="dxa"/>
        <w:tblInd w:w="-459" w:type="dxa"/>
        <w:tblBorders>
          <w:bottom w:val="single" w:sz="36" w:space="0" w:color="000000"/>
        </w:tblBorders>
        <w:tblLayout w:type="fixed"/>
        <w:tblLook w:val="0000" w:firstRow="0" w:lastRow="0" w:firstColumn="0" w:lastColumn="0" w:noHBand="0" w:noVBand="0"/>
      </w:tblPr>
      <w:tblGrid>
        <w:gridCol w:w="909"/>
        <w:gridCol w:w="4140"/>
        <w:gridCol w:w="5580"/>
      </w:tblGrid>
      <w:tr w:rsidR="00CA5384" w:rsidRPr="00B7062B" w14:paraId="5B46F01F" w14:textId="77777777" w:rsidTr="005138AA">
        <w:trPr>
          <w:trHeight w:hRule="exact" w:val="810"/>
        </w:trPr>
        <w:tc>
          <w:tcPr>
            <w:tcW w:w="909" w:type="dxa"/>
            <w:tcBorders>
              <w:top w:val="nil"/>
              <w:bottom w:val="single" w:sz="12" w:space="0" w:color="000000"/>
              <w:right w:val="nil"/>
            </w:tcBorders>
          </w:tcPr>
          <w:p w14:paraId="0458024C" w14:textId="77777777" w:rsidR="00CA5384" w:rsidRPr="00B7062B" w:rsidRDefault="00314E11" w:rsidP="005138AA">
            <w:pPr>
              <w:spacing w:after="120" w:line="480" w:lineRule="auto"/>
              <w:rPr>
                <w:rFonts w:eastAsia="Times New Roman"/>
                <w:kern w:val="22"/>
                <w:sz w:val="20"/>
                <w:szCs w:val="20"/>
                <w:lang w:val="en-US"/>
              </w:rPr>
            </w:pPr>
            <w:bookmarkStart w:id="0" w:name="_Hlk33348613"/>
            <w:bookmarkStart w:id="1" w:name="Meeting"/>
            <w:r>
              <w:rPr>
                <w:noProof/>
                <w:lang w:val="en-US"/>
              </w:rPr>
              <w:pict w14:anchorId="660CDAA7">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1" o:spid="_x0000_s2050" type="#_x0000_t75" alt="Macintosh HD:Users:bilodeau:Desktop:logos:template 2017:un.emf" style="position:absolute;left:0;text-align:left;margin-left:-.05pt;margin-top:3.7pt;width:35.55pt;height:30.85pt;z-index:251657216;visibility:visible;mso-position-vertical-relative:page" wrapcoords="7353 527 2757 1580 -460 4741 -460 10010 1379 17385 5515 20546 7353 20546 14247 20546 15166 20546 19762 17385 21600 8956 21600 5268 17464 527 13328 527 7353 527">
                  <v:imagedata r:id="rId7" o:title="" cropleft="1f" cropright="1f"/>
                  <w10:wrap type="through" anchory="page"/>
                </v:shape>
              </w:pict>
            </w:r>
          </w:p>
        </w:tc>
        <w:tc>
          <w:tcPr>
            <w:tcW w:w="4140" w:type="dxa"/>
            <w:tcBorders>
              <w:top w:val="nil"/>
              <w:left w:val="nil"/>
              <w:bottom w:val="single" w:sz="12" w:space="0" w:color="000000"/>
              <w:right w:val="nil"/>
            </w:tcBorders>
          </w:tcPr>
          <w:p w14:paraId="3F5CDF06" w14:textId="77777777" w:rsidR="00CA5384" w:rsidRPr="00B7062B" w:rsidRDefault="00314E11" w:rsidP="005138AA">
            <w:pPr>
              <w:spacing w:before="60"/>
              <w:rPr>
                <w:rFonts w:eastAsia="Times New Roman"/>
                <w:sz w:val="20"/>
                <w:szCs w:val="20"/>
              </w:rPr>
            </w:pPr>
            <w:r>
              <w:rPr>
                <w:noProof/>
                <w:lang w:val="en-US"/>
              </w:rPr>
              <w:pict w14:anchorId="162D337A">
                <v:shape id="_x0000_s2051" type="#_x0000_t75" style="position:absolute;left:0;text-align:left;margin-left:32.05pt;margin-top:1.75pt;width:14.25pt;height:15.1pt;z-index:251658240;visibility:visible;mso-position-horizontal-relative:text;mso-position-vertical-relative:text">
                  <v:imagedata r:id="rId8" o:title=""/>
                </v:shape>
              </w:pict>
            </w:r>
            <w:r w:rsidR="00CA5384" w:rsidRPr="00B7062B">
              <w:rPr>
                <w:rFonts w:ascii="SimSun" w:hAnsi="SimSun" w:cs="SimSun" w:hint="eastAsia"/>
                <w:sz w:val="20"/>
                <w:szCs w:val="20"/>
              </w:rPr>
              <w:t>联合国</w:t>
            </w:r>
          </w:p>
          <w:p w14:paraId="68E4B29B" w14:textId="77777777" w:rsidR="00CA5384" w:rsidRPr="00B7062B" w:rsidRDefault="00CA5384" w:rsidP="005138AA">
            <w:pPr>
              <w:rPr>
                <w:rFonts w:eastAsia="Times New Roman"/>
                <w:sz w:val="20"/>
                <w:szCs w:val="20"/>
              </w:rPr>
            </w:pPr>
            <w:r w:rsidRPr="00B7062B">
              <w:rPr>
                <w:rFonts w:ascii="SimSun" w:hAnsi="SimSun" w:cs="SimSun" w:hint="eastAsia"/>
                <w:sz w:val="20"/>
                <w:szCs w:val="20"/>
              </w:rPr>
              <w:t>环境规划署</w:t>
            </w:r>
          </w:p>
          <w:p w14:paraId="28A4E4D0" w14:textId="77777777" w:rsidR="00CA5384" w:rsidRDefault="00CA5384" w:rsidP="005138AA">
            <w:pPr>
              <w:rPr>
                <w:rFonts w:eastAsia="Times New Roman"/>
                <w:sz w:val="24"/>
                <w:lang w:val="en-US"/>
              </w:rPr>
            </w:pPr>
          </w:p>
          <w:p w14:paraId="58EAC6BE" w14:textId="77777777" w:rsidR="00CA5384" w:rsidRPr="00773D63" w:rsidRDefault="00CA5384" w:rsidP="005138AA">
            <w:pPr>
              <w:rPr>
                <w:rFonts w:eastAsia="Times New Roman"/>
                <w:sz w:val="24"/>
                <w:lang w:val="en-US"/>
              </w:rPr>
            </w:pPr>
          </w:p>
        </w:tc>
        <w:tc>
          <w:tcPr>
            <w:tcW w:w="5580" w:type="dxa"/>
            <w:tcBorders>
              <w:top w:val="nil"/>
              <w:left w:val="nil"/>
              <w:bottom w:val="single" w:sz="12" w:space="0" w:color="000000"/>
            </w:tcBorders>
          </w:tcPr>
          <w:p w14:paraId="41D7564B" w14:textId="77777777" w:rsidR="00CA5384" w:rsidRPr="00B7062B" w:rsidRDefault="00CA5384" w:rsidP="005138AA">
            <w:pPr>
              <w:tabs>
                <w:tab w:val="right" w:pos="7611"/>
              </w:tabs>
              <w:spacing w:before="240"/>
              <w:ind w:left="360" w:right="216"/>
              <w:jc w:val="right"/>
              <w:rPr>
                <w:rFonts w:eastAsia="Times New Roman"/>
                <w:bCs/>
                <w:kern w:val="22"/>
                <w:sz w:val="40"/>
                <w:szCs w:val="40"/>
              </w:rPr>
            </w:pPr>
            <w:r w:rsidRPr="00B7062B">
              <w:rPr>
                <w:rFonts w:eastAsia="Times New Roman"/>
                <w:bCs/>
                <w:kern w:val="22"/>
                <w:sz w:val="40"/>
                <w:szCs w:val="40"/>
              </w:rPr>
              <w:t>CBD</w:t>
            </w:r>
            <w:r w:rsidRPr="00B542C2">
              <w:rPr>
                <w:rFonts w:eastAsia="Times New Roman"/>
                <w:bCs/>
                <w:kern w:val="22"/>
                <w:sz w:val="20"/>
                <w:szCs w:val="20"/>
              </w:rPr>
              <w:t>/SBSTTA/26/</w:t>
            </w:r>
            <w:r>
              <w:rPr>
                <w:bCs/>
                <w:kern w:val="22"/>
                <w:sz w:val="20"/>
                <w:szCs w:val="20"/>
              </w:rPr>
              <w:t>5</w:t>
            </w:r>
          </w:p>
          <w:p w14:paraId="7D164AF7" w14:textId="77777777" w:rsidR="00CA5384" w:rsidRPr="00B7062B" w:rsidRDefault="00CA5384" w:rsidP="005138AA">
            <w:pPr>
              <w:jc w:val="left"/>
              <w:rPr>
                <w:rFonts w:eastAsia="Times New Roman"/>
                <w:b/>
                <w:kern w:val="22"/>
                <w:sz w:val="20"/>
              </w:rPr>
            </w:pPr>
          </w:p>
        </w:tc>
      </w:tr>
      <w:tr w:rsidR="00CA5384" w:rsidRPr="00B7062B" w14:paraId="519E68B5" w14:textId="77777777" w:rsidTr="005138AA">
        <w:trPr>
          <w:trHeight w:val="2130"/>
        </w:trPr>
        <w:tc>
          <w:tcPr>
            <w:tcW w:w="5049" w:type="dxa"/>
            <w:gridSpan w:val="2"/>
            <w:tcBorders>
              <w:top w:val="nil"/>
              <w:bottom w:val="single" w:sz="18" w:space="0" w:color="000000"/>
            </w:tcBorders>
          </w:tcPr>
          <w:p w14:paraId="4B76C1FB" w14:textId="77777777" w:rsidR="00CA5384" w:rsidRPr="00B7062B" w:rsidRDefault="00314E11" w:rsidP="005138AA">
            <w:pPr>
              <w:snapToGrid w:val="0"/>
              <w:rPr>
                <w:rFonts w:ascii="Univers" w:hAnsi="Univers"/>
                <w:kern w:val="22"/>
                <w:sz w:val="32"/>
              </w:rPr>
            </w:pPr>
            <w:r>
              <w:rPr>
                <w:rFonts w:eastAsia="Times New Roman"/>
                <w:b/>
                <w:noProof/>
                <w:sz w:val="24"/>
                <w:lang w:val="en-US"/>
              </w:rPr>
              <w:pict w14:anchorId="5F1C9DFE">
                <v:shape id="Picture 3" o:spid="_x0000_i1025" type="#_x0000_t75" alt="CBD_logo_ch-CMYK-black [Converted]" style="width:222pt;height:78.5pt;visibility:visible">
                  <v:imagedata r:id="rId9" o:title=""/>
                </v:shape>
              </w:pict>
            </w:r>
          </w:p>
        </w:tc>
        <w:tc>
          <w:tcPr>
            <w:tcW w:w="5580" w:type="dxa"/>
            <w:tcBorders>
              <w:top w:val="nil"/>
              <w:bottom w:val="single" w:sz="18" w:space="0" w:color="000000"/>
            </w:tcBorders>
          </w:tcPr>
          <w:p w14:paraId="25FCA987" w14:textId="77777777" w:rsidR="00CA5384" w:rsidRPr="00A632AA" w:rsidRDefault="00CA5384" w:rsidP="005138AA">
            <w:pPr>
              <w:ind w:left="2016"/>
              <w:rPr>
                <w:rFonts w:eastAsia="Times New Roman"/>
                <w:bCs/>
                <w:kern w:val="22"/>
                <w:sz w:val="24"/>
              </w:rPr>
            </w:pPr>
            <w:r w:rsidRPr="00A632AA">
              <w:rPr>
                <w:rFonts w:eastAsia="Times New Roman"/>
                <w:bCs/>
                <w:kern w:val="22"/>
                <w:sz w:val="24"/>
              </w:rPr>
              <w:t>Distr.: General</w:t>
            </w:r>
          </w:p>
          <w:p w14:paraId="690076BC" w14:textId="77777777" w:rsidR="00CA5384" w:rsidRPr="00A632AA" w:rsidRDefault="00CA5384" w:rsidP="005138AA">
            <w:pPr>
              <w:ind w:left="2016"/>
              <w:rPr>
                <w:rFonts w:eastAsia="Times New Roman"/>
                <w:kern w:val="22"/>
                <w:sz w:val="24"/>
              </w:rPr>
            </w:pPr>
            <w:r w:rsidRPr="00A632AA">
              <w:rPr>
                <w:rFonts w:eastAsia="Times New Roman"/>
                <w:kern w:val="22"/>
                <w:sz w:val="24"/>
              </w:rPr>
              <w:t>1</w:t>
            </w:r>
            <w:r w:rsidRPr="00A632AA">
              <w:rPr>
                <w:kern w:val="22"/>
                <w:sz w:val="24"/>
              </w:rPr>
              <w:t>8</w:t>
            </w:r>
            <w:r w:rsidRPr="00A632AA">
              <w:rPr>
                <w:rFonts w:eastAsia="Times New Roman"/>
                <w:kern w:val="22"/>
                <w:sz w:val="24"/>
              </w:rPr>
              <w:t xml:space="preserve"> March 2024</w:t>
            </w:r>
          </w:p>
          <w:p w14:paraId="51D7EA34" w14:textId="77777777" w:rsidR="00CA5384" w:rsidRPr="00A632AA" w:rsidRDefault="00CA5384" w:rsidP="005138AA">
            <w:pPr>
              <w:ind w:left="2016"/>
              <w:rPr>
                <w:rFonts w:eastAsia="Times New Roman"/>
                <w:bCs/>
                <w:kern w:val="22"/>
                <w:sz w:val="24"/>
              </w:rPr>
            </w:pPr>
          </w:p>
          <w:p w14:paraId="6340B9E9" w14:textId="77777777" w:rsidR="00CA5384" w:rsidRPr="00A632AA" w:rsidRDefault="00CA5384" w:rsidP="005138AA">
            <w:pPr>
              <w:ind w:left="2016"/>
              <w:rPr>
                <w:rFonts w:eastAsia="Times New Roman"/>
                <w:bCs/>
                <w:kern w:val="22"/>
                <w:sz w:val="24"/>
              </w:rPr>
            </w:pPr>
            <w:r w:rsidRPr="00A632AA">
              <w:rPr>
                <w:rFonts w:eastAsia="Times New Roman"/>
                <w:bCs/>
                <w:kern w:val="22"/>
                <w:sz w:val="24"/>
              </w:rPr>
              <w:t>Chinese</w:t>
            </w:r>
          </w:p>
          <w:p w14:paraId="4529047F" w14:textId="77777777" w:rsidR="00CA5384" w:rsidRPr="00B7062B" w:rsidRDefault="00CA5384" w:rsidP="005138AA">
            <w:pPr>
              <w:ind w:left="2016"/>
              <w:rPr>
                <w:rFonts w:eastAsia="Times New Roman"/>
                <w:b/>
                <w:kern w:val="22"/>
                <w:sz w:val="24"/>
                <w:u w:val="single"/>
              </w:rPr>
            </w:pPr>
            <w:r w:rsidRPr="00A632AA">
              <w:rPr>
                <w:rFonts w:eastAsia="Times New Roman"/>
                <w:bCs/>
                <w:kern w:val="22"/>
                <w:sz w:val="24"/>
              </w:rPr>
              <w:t>Original: English</w:t>
            </w:r>
          </w:p>
        </w:tc>
      </w:tr>
    </w:tbl>
    <w:bookmarkEnd w:id="0"/>
    <w:p w14:paraId="4523C929" w14:textId="77777777" w:rsidR="00CA5384" w:rsidRPr="00671071" w:rsidRDefault="00CA5384" w:rsidP="00B3308B">
      <w:pPr>
        <w:snapToGrid w:val="0"/>
        <w:spacing w:before="60"/>
        <w:ind w:right="4176"/>
        <w:jc w:val="left"/>
        <w:rPr>
          <w:rFonts w:eastAsia="Times New Roman"/>
          <w:b/>
          <w:bCs/>
          <w:caps/>
          <w:kern w:val="22"/>
          <w:sz w:val="24"/>
          <w:lang w:val="en-US"/>
        </w:rPr>
      </w:pPr>
      <w:r w:rsidRPr="00671071">
        <w:rPr>
          <w:rFonts w:hAnsi="SimSun" w:hint="eastAsia"/>
          <w:b/>
          <w:bCs/>
          <w:kern w:val="22"/>
          <w:sz w:val="24"/>
          <w:lang w:val="en-CA"/>
        </w:rPr>
        <w:t>科学、技术和工艺咨询附属机构</w:t>
      </w:r>
    </w:p>
    <w:bookmarkEnd w:id="1"/>
    <w:p w14:paraId="08E908D5" w14:textId="77777777" w:rsidR="00CA5384" w:rsidRPr="00671071" w:rsidRDefault="00CA5384" w:rsidP="00B3308B">
      <w:pPr>
        <w:spacing w:line="240" w:lineRule="atLeast"/>
        <w:rPr>
          <w:rFonts w:eastAsia="Times New Roman"/>
          <w:b/>
          <w:bCs/>
          <w:caps/>
          <w:sz w:val="24"/>
        </w:rPr>
      </w:pPr>
      <w:r w:rsidRPr="00671071">
        <w:rPr>
          <w:rFonts w:hAnsi="SimSun" w:hint="eastAsia"/>
          <w:b/>
          <w:bCs/>
          <w:caps/>
          <w:sz w:val="24"/>
        </w:rPr>
        <w:t>第二十六次会议</w:t>
      </w:r>
    </w:p>
    <w:p w14:paraId="6F048C2C" w14:textId="77777777" w:rsidR="00CA5384" w:rsidRPr="00671071" w:rsidRDefault="00CA5384" w:rsidP="00B3308B">
      <w:pPr>
        <w:spacing w:line="240" w:lineRule="atLeast"/>
        <w:rPr>
          <w:rFonts w:eastAsia="Times New Roman"/>
          <w:caps/>
          <w:sz w:val="24"/>
        </w:rPr>
      </w:pPr>
      <w:smartTag w:uri="urn:schemas-microsoft-com:office:smarttags" w:element="chsdate">
        <w:smartTagPr>
          <w:attr w:name="Year" w:val="2024"/>
          <w:attr w:name="Month" w:val="5"/>
          <w:attr w:name="Day" w:val="13"/>
          <w:attr w:name="IsLunarDate" w:val="False"/>
          <w:attr w:name="IsROCDate" w:val="False"/>
        </w:smartTagPr>
        <w:r w:rsidRPr="00671071">
          <w:rPr>
            <w:kern w:val="22"/>
            <w:sz w:val="24"/>
            <w:lang w:val="en-CA"/>
          </w:rPr>
          <w:t>2024</w:t>
        </w:r>
        <w:r w:rsidRPr="00671071">
          <w:rPr>
            <w:rFonts w:hAnsi="SimSun" w:hint="eastAsia"/>
            <w:kern w:val="22"/>
            <w:sz w:val="24"/>
            <w:lang w:val="en-CA"/>
          </w:rPr>
          <w:t>年</w:t>
        </w:r>
        <w:r w:rsidRPr="00671071">
          <w:rPr>
            <w:kern w:val="22"/>
            <w:sz w:val="24"/>
            <w:lang w:val="en-CA"/>
          </w:rPr>
          <w:t>5</w:t>
        </w:r>
        <w:r w:rsidRPr="00671071">
          <w:rPr>
            <w:rFonts w:hAnsi="SimSun" w:hint="eastAsia"/>
            <w:kern w:val="22"/>
            <w:sz w:val="24"/>
            <w:lang w:val="en-CA"/>
          </w:rPr>
          <w:t>月</w:t>
        </w:r>
        <w:r w:rsidRPr="00671071">
          <w:rPr>
            <w:kern w:val="22"/>
            <w:sz w:val="24"/>
            <w:lang w:val="en-CA"/>
          </w:rPr>
          <w:t>13</w:t>
        </w:r>
        <w:r w:rsidRPr="00671071">
          <w:rPr>
            <w:rFonts w:hAnsi="SimSun" w:hint="eastAsia"/>
            <w:kern w:val="22"/>
            <w:sz w:val="24"/>
            <w:lang w:val="en-CA"/>
          </w:rPr>
          <w:t>日</w:t>
        </w:r>
      </w:smartTag>
      <w:r w:rsidRPr="00671071">
        <w:rPr>
          <w:rFonts w:hAnsi="SimSun" w:hint="eastAsia"/>
          <w:kern w:val="22"/>
          <w:sz w:val="24"/>
          <w:lang w:val="en-CA"/>
        </w:rPr>
        <w:t>至</w:t>
      </w:r>
      <w:r w:rsidRPr="00671071">
        <w:rPr>
          <w:kern w:val="22"/>
          <w:sz w:val="24"/>
          <w:lang w:val="en-CA"/>
        </w:rPr>
        <w:t>18</w:t>
      </w:r>
      <w:r w:rsidRPr="00671071">
        <w:rPr>
          <w:rFonts w:hAnsi="SimSun" w:hint="eastAsia"/>
          <w:kern w:val="22"/>
          <w:sz w:val="24"/>
          <w:lang w:val="en-CA"/>
        </w:rPr>
        <w:t>日，</w:t>
      </w:r>
      <w:r w:rsidRPr="00671071">
        <w:rPr>
          <w:rFonts w:hAnsi="SimSun" w:hint="eastAsia"/>
          <w:caps/>
          <w:sz w:val="24"/>
        </w:rPr>
        <w:t>内罗毕</w:t>
      </w:r>
    </w:p>
    <w:p w14:paraId="1C82680D" w14:textId="77777777" w:rsidR="00CA5384" w:rsidRPr="00671071" w:rsidRDefault="00CA5384" w:rsidP="00B3308B">
      <w:pPr>
        <w:rPr>
          <w:lang w:val="en-US"/>
        </w:rPr>
      </w:pPr>
      <w:r w:rsidRPr="00671071">
        <w:rPr>
          <w:rFonts w:hAnsi="SimSun" w:hint="eastAsia"/>
          <w:caps/>
          <w:sz w:val="24"/>
        </w:rPr>
        <w:t>临时议程</w:t>
      </w:r>
      <w:r w:rsidRPr="00671071">
        <w:rPr>
          <w:rFonts w:eastAsia="Times New Roman"/>
          <w:caps/>
          <w:sz w:val="24"/>
          <w:vertAlign w:val="superscript"/>
        </w:rPr>
        <w:footnoteReference w:customMarkFollows="1" w:id="2"/>
        <w:sym w:font="Symbol" w:char="F02A"/>
      </w:r>
      <w:r w:rsidRPr="00671071">
        <w:rPr>
          <w:rFonts w:hAnsi="SimSun" w:hint="eastAsia"/>
          <w:caps/>
          <w:sz w:val="24"/>
        </w:rPr>
        <w:t>项目</w:t>
      </w:r>
      <w:r w:rsidRPr="00671071">
        <w:rPr>
          <w:bCs/>
          <w:caps/>
          <w:sz w:val="24"/>
          <w:lang w:val="zh-CN"/>
        </w:rPr>
        <w:t>6</w:t>
      </w:r>
    </w:p>
    <w:p w14:paraId="51DE7C22" w14:textId="77777777" w:rsidR="00CA5384" w:rsidRPr="00671071" w:rsidRDefault="00CA5384" w:rsidP="00B3308B">
      <w:r w:rsidRPr="00671071">
        <w:rPr>
          <w:rFonts w:hint="eastAsia"/>
          <w:b/>
          <w:bCs/>
          <w:sz w:val="24"/>
          <w:lang w:val="zh-CN"/>
        </w:rPr>
        <w:t>风险评估和风险管理</w:t>
      </w:r>
    </w:p>
    <w:p w14:paraId="5F4D1425" w14:textId="77777777" w:rsidR="00CA5384" w:rsidRDefault="00CA5384">
      <w:pPr>
        <w:pStyle w:val="Cornernotation-Item"/>
        <w:topLinePunct/>
        <w:rPr>
          <w:bCs w:val="0"/>
          <w:szCs w:val="24"/>
        </w:rPr>
      </w:pPr>
      <w:bookmarkStart w:id="2" w:name="_Hlk137651738"/>
    </w:p>
    <w:bookmarkEnd w:id="2"/>
    <w:p w14:paraId="2B0AA995" w14:textId="77777777" w:rsidR="00CA5384" w:rsidRPr="0041090E" w:rsidRDefault="00CA5384">
      <w:pPr>
        <w:pStyle w:val="Title"/>
        <w:topLinePunct/>
        <w:jc w:val="left"/>
        <w:rPr>
          <w:rFonts w:ascii="SimSun" w:eastAsia="SimSun" w:hAnsi="Times New Roman"/>
          <w:bCs w:val="0"/>
          <w:spacing w:val="0"/>
          <w:lang w:val="en-US"/>
        </w:rPr>
      </w:pPr>
      <w:r w:rsidRPr="00671071">
        <w:rPr>
          <w:rFonts w:ascii="SimSun" w:eastAsia="SimSun" w:hAnsi="Times New Roman" w:hint="eastAsia"/>
          <w:bCs w:val="0"/>
          <w:spacing w:val="0"/>
          <w:lang w:val="zh-CN"/>
        </w:rPr>
        <w:t>风险评估和风险管理</w:t>
      </w:r>
      <w:r>
        <w:rPr>
          <w:rFonts w:ascii="SimSun" w:eastAsia="SimSun" w:hAnsi="Times New Roman"/>
          <w:bCs w:val="0"/>
          <w:spacing w:val="0"/>
          <w:lang w:val="en-US"/>
        </w:rPr>
        <w:t xml:space="preserve">  </w:t>
      </w:r>
    </w:p>
    <w:p w14:paraId="5318804F" w14:textId="77777777" w:rsidR="00CA5384" w:rsidRPr="00671071" w:rsidRDefault="00CA5384">
      <w:pPr>
        <w:pStyle w:val="Subtitle"/>
        <w:topLinePunct/>
        <w:spacing w:before="120" w:after="120"/>
        <w:ind w:left="567"/>
        <w:jc w:val="left"/>
        <w:rPr>
          <w:rFonts w:ascii="SimSun" w:eastAsia="SimSun" w:hAnsi="Times New Roman" w:cs="Times New Roman"/>
          <w:color w:val="auto"/>
          <w:sz w:val="24"/>
          <w:szCs w:val="24"/>
        </w:rPr>
      </w:pPr>
      <w:r w:rsidRPr="00671071">
        <w:rPr>
          <w:rFonts w:ascii="SimSun" w:eastAsia="SimSun" w:hAnsi="Times New Roman" w:cs="Times New Roman" w:hint="eastAsia"/>
          <w:sz w:val="24"/>
          <w:szCs w:val="24"/>
          <w:lang w:val="zh-CN"/>
        </w:rPr>
        <w:t>秘书处的说明</w:t>
      </w:r>
    </w:p>
    <w:p w14:paraId="6DFF45F7" w14:textId="77777777" w:rsidR="00CA5384" w:rsidRPr="00671071" w:rsidRDefault="00CA5384" w:rsidP="00671071">
      <w:pPr>
        <w:pStyle w:val="Heading1"/>
        <w:numPr>
          <w:ilvl w:val="0"/>
          <w:numId w:val="0"/>
        </w:numPr>
        <w:topLinePunct/>
        <w:rPr>
          <w:rFonts w:ascii="SimSun" w:eastAsia="SimSun"/>
          <w:bCs w:val="0"/>
          <w:szCs w:val="24"/>
        </w:rPr>
      </w:pPr>
      <w:r w:rsidRPr="00671071">
        <w:rPr>
          <w:rFonts w:ascii="SimSun" w:eastAsia="SimSun" w:hint="eastAsia"/>
          <w:bCs w:val="0"/>
          <w:szCs w:val="24"/>
          <w:lang w:val="zh-CN"/>
        </w:rPr>
        <w:t>一</w:t>
      </w:r>
      <w:r w:rsidRPr="00671071">
        <w:rPr>
          <w:rFonts w:ascii="SimSun" w:eastAsia="SimSun"/>
          <w:bCs w:val="0"/>
          <w:szCs w:val="24"/>
          <w:lang w:val="en-US"/>
        </w:rPr>
        <w:t>.</w:t>
      </w:r>
      <w:r w:rsidRPr="00671071">
        <w:rPr>
          <w:rFonts w:ascii="SimSun" w:eastAsia="SimSun"/>
          <w:bCs w:val="0"/>
          <w:szCs w:val="24"/>
          <w:lang w:val="en-US"/>
        </w:rPr>
        <w:tab/>
      </w:r>
      <w:r w:rsidRPr="00671071">
        <w:rPr>
          <w:rFonts w:ascii="SimSun" w:eastAsia="SimSun" w:hint="eastAsia"/>
          <w:bCs w:val="0"/>
          <w:szCs w:val="24"/>
          <w:lang w:val="zh-CN"/>
        </w:rPr>
        <w:t>背景</w:t>
      </w:r>
    </w:p>
    <w:p w14:paraId="752C0AD1" w14:textId="77777777" w:rsidR="00CA5384" w:rsidRPr="00671071" w:rsidRDefault="00CA5384">
      <w:pPr>
        <w:pStyle w:val="Para10"/>
        <w:topLinePunct/>
        <w:ind w:left="562" w:firstLine="0"/>
        <w:rPr>
          <w:sz w:val="24"/>
        </w:rPr>
      </w:pPr>
      <w:r w:rsidRPr="00671071">
        <w:rPr>
          <w:rFonts w:hint="eastAsia"/>
          <w:sz w:val="24"/>
          <w:lang w:val="zh-CN"/>
        </w:rPr>
        <w:t>作为卡塔赫纳生物安全议定书缔约方会议的缔约方大会第十次会议同意制定额外自愿指导意见</w:t>
      </w:r>
      <w:r w:rsidRPr="00671071">
        <w:rPr>
          <w:rFonts w:hint="eastAsia"/>
          <w:sz w:val="24"/>
        </w:rPr>
        <w:t>，</w:t>
      </w:r>
      <w:r w:rsidRPr="00671071">
        <w:rPr>
          <w:rFonts w:hint="eastAsia"/>
          <w:sz w:val="24"/>
          <w:lang w:val="zh-CN"/>
        </w:rPr>
        <w:t>以支持对含有人工基因驱动技术的改性活生物体进行个案风险评估</w:t>
      </w:r>
      <w:r w:rsidRPr="00671071">
        <w:rPr>
          <w:rFonts w:hint="eastAsia"/>
          <w:sz w:val="24"/>
        </w:rPr>
        <w:t>，</w:t>
      </w:r>
      <w:r w:rsidRPr="00671071">
        <w:rPr>
          <w:rFonts w:hint="eastAsia"/>
          <w:sz w:val="24"/>
          <w:lang w:val="zh-CN"/>
        </w:rPr>
        <w:t>并成立风险评估问题特设技术专家组来执行这项任务。它还在专家组的职权范围中规定</w:t>
      </w:r>
      <w:r w:rsidRPr="00671071">
        <w:rPr>
          <w:rFonts w:hint="eastAsia"/>
          <w:sz w:val="24"/>
          <w:lang w:val="en-US"/>
        </w:rPr>
        <w:t>，</w:t>
      </w:r>
      <w:r w:rsidRPr="00671071">
        <w:rPr>
          <w:rFonts w:hint="eastAsia"/>
          <w:sz w:val="24"/>
          <w:lang w:val="zh-CN"/>
        </w:rPr>
        <w:t>指导意见应特别关注使用人工基因驱动技术改性的蚊子</w:t>
      </w:r>
      <w:r w:rsidRPr="00671071">
        <w:rPr>
          <w:rFonts w:hint="eastAsia"/>
          <w:sz w:val="24"/>
          <w:lang w:val="en-US"/>
        </w:rPr>
        <w:t>，</w:t>
      </w:r>
      <w:r w:rsidRPr="00671071">
        <w:rPr>
          <w:rFonts w:hint="eastAsia"/>
          <w:sz w:val="24"/>
          <w:lang w:val="zh-CN"/>
        </w:rPr>
        <w:t>同时考虑到对该生物体的当前经验、基因驱动技术的类型以及</w:t>
      </w:r>
      <w:r w:rsidRPr="00671071">
        <w:rPr>
          <w:sz w:val="24"/>
          <w:lang w:val="en-US"/>
        </w:rPr>
        <w:t>CP</w:t>
      </w:r>
      <w:r w:rsidRPr="00671071">
        <w:rPr>
          <w:sz w:val="24"/>
          <w:lang w:val="en-US"/>
        </w:rPr>
        <w:noBreakHyphen/>
        <w:t>9/13</w:t>
      </w:r>
      <w:r w:rsidRPr="00671071">
        <w:rPr>
          <w:rFonts w:hint="eastAsia"/>
          <w:sz w:val="24"/>
          <w:lang w:val="zh-CN"/>
        </w:rPr>
        <w:t>号决定附件一中确定的具体风险评估问题</w:t>
      </w:r>
      <w:r w:rsidRPr="00671071">
        <w:rPr>
          <w:rFonts w:hint="eastAsia"/>
          <w:sz w:val="24"/>
          <w:lang w:val="en-US"/>
        </w:rPr>
        <w:t>，</w:t>
      </w:r>
      <w:r w:rsidRPr="00671071">
        <w:rPr>
          <w:rFonts w:hint="eastAsia"/>
          <w:sz w:val="24"/>
          <w:lang w:val="zh-CN"/>
        </w:rPr>
        <w:t>其中包括现有报告、含有人工基因驱动技术的改性活生物体的一般考虑以及国家和区域风险评估的现有经验</w:t>
      </w:r>
      <w:r w:rsidRPr="00671071">
        <w:rPr>
          <w:rFonts w:hint="eastAsia"/>
          <w:sz w:val="24"/>
          <w:lang w:val="en-US"/>
        </w:rPr>
        <w:t>（</w:t>
      </w:r>
      <w:r w:rsidRPr="00671071">
        <w:rPr>
          <w:sz w:val="24"/>
          <w:lang w:val="en-US"/>
        </w:rPr>
        <w:t>CP-10/10</w:t>
      </w:r>
      <w:r w:rsidRPr="00671071">
        <w:rPr>
          <w:rFonts w:hint="eastAsia"/>
          <w:sz w:val="24"/>
          <w:lang w:val="zh-CN"/>
        </w:rPr>
        <w:t>号决定</w:t>
      </w:r>
      <w:r w:rsidRPr="00671071">
        <w:rPr>
          <w:rFonts w:hint="eastAsia"/>
          <w:sz w:val="24"/>
          <w:lang w:val="en-US"/>
        </w:rPr>
        <w:t>）</w:t>
      </w:r>
      <w:r w:rsidRPr="00671071">
        <w:rPr>
          <w:rFonts w:hint="eastAsia"/>
          <w:sz w:val="24"/>
          <w:lang w:val="zh-CN"/>
        </w:rPr>
        <w:t>。</w:t>
      </w:r>
      <w:r w:rsidRPr="00671071">
        <w:rPr>
          <w:sz w:val="24"/>
        </w:rPr>
        <w:t xml:space="preserve"> </w:t>
      </w:r>
    </w:p>
    <w:p w14:paraId="35A7D7F5" w14:textId="77777777" w:rsidR="00CA5384" w:rsidRPr="00671071" w:rsidRDefault="00CA5384">
      <w:pPr>
        <w:pStyle w:val="Para10"/>
        <w:topLinePunct/>
        <w:ind w:left="562" w:firstLine="0"/>
        <w:rPr>
          <w:sz w:val="24"/>
        </w:rPr>
      </w:pPr>
      <w:r w:rsidRPr="00671071">
        <w:rPr>
          <w:rFonts w:hint="eastAsia"/>
          <w:sz w:val="24"/>
          <w:lang w:val="zh-CN"/>
        </w:rPr>
        <w:t>在同一决定中</w:t>
      </w:r>
      <w:r w:rsidRPr="00671071">
        <w:rPr>
          <w:rFonts w:hint="eastAsia"/>
          <w:sz w:val="24"/>
        </w:rPr>
        <w:t>，</w:t>
      </w:r>
      <w:r w:rsidRPr="00671071">
        <w:rPr>
          <w:rFonts w:hint="eastAsia"/>
          <w:sz w:val="24"/>
          <w:lang w:val="zh-CN"/>
        </w:rPr>
        <w:t>作为议定书缔约方会议的缔约方大会向执行秘书提出一系列便利专家组工作的要求</w:t>
      </w:r>
      <w:r w:rsidRPr="00671071">
        <w:rPr>
          <w:rFonts w:hint="eastAsia"/>
          <w:sz w:val="24"/>
        </w:rPr>
        <w:t>，</w:t>
      </w:r>
      <w:r w:rsidRPr="00671071">
        <w:rPr>
          <w:rFonts w:hint="eastAsia"/>
          <w:sz w:val="24"/>
          <w:lang w:val="zh-CN"/>
        </w:rPr>
        <w:t>详情见本说明第二节。</w:t>
      </w:r>
    </w:p>
    <w:p w14:paraId="0314985E" w14:textId="77777777" w:rsidR="00CA5384" w:rsidRPr="00671071" w:rsidRDefault="00CA5384">
      <w:pPr>
        <w:pStyle w:val="Para10"/>
        <w:topLinePunct/>
        <w:ind w:left="562" w:firstLine="0"/>
        <w:rPr>
          <w:sz w:val="24"/>
        </w:rPr>
      </w:pPr>
      <w:r w:rsidRPr="00671071">
        <w:rPr>
          <w:rFonts w:hint="eastAsia"/>
          <w:sz w:val="24"/>
          <w:lang w:val="zh-CN"/>
        </w:rPr>
        <w:t>在</w:t>
      </w:r>
      <w:r w:rsidRPr="00671071">
        <w:rPr>
          <w:sz w:val="24"/>
        </w:rPr>
        <w:t>CP-10/10</w:t>
      </w:r>
      <w:r w:rsidRPr="00671071">
        <w:rPr>
          <w:rFonts w:hint="eastAsia"/>
          <w:sz w:val="24"/>
          <w:lang w:val="zh-CN"/>
        </w:rPr>
        <w:t>号决定中</w:t>
      </w:r>
      <w:r w:rsidRPr="00671071">
        <w:rPr>
          <w:rFonts w:hint="eastAsia"/>
          <w:sz w:val="24"/>
        </w:rPr>
        <w:t>，</w:t>
      </w:r>
      <w:r w:rsidRPr="00671071">
        <w:rPr>
          <w:rFonts w:hint="eastAsia"/>
          <w:sz w:val="24"/>
          <w:lang w:val="zh-CN"/>
        </w:rPr>
        <w:t>作为议定书缔约方会议的缔约方大会还决定在其第十一次会议中审议关于改性活鱼的进一步指导意见以及其他可能需要进行风险评估的指导意见的问题。在这方面</w:t>
      </w:r>
      <w:r w:rsidRPr="00671071">
        <w:rPr>
          <w:rFonts w:hint="eastAsia"/>
          <w:sz w:val="24"/>
          <w:lang w:val="en-US"/>
        </w:rPr>
        <w:t>，</w:t>
      </w:r>
      <w:r w:rsidRPr="00671071">
        <w:rPr>
          <w:rFonts w:hint="eastAsia"/>
          <w:sz w:val="24"/>
          <w:lang w:val="zh-CN"/>
        </w:rPr>
        <w:t>请缔约方提交信息</w:t>
      </w:r>
      <w:r w:rsidRPr="00671071">
        <w:rPr>
          <w:rFonts w:hint="eastAsia"/>
          <w:sz w:val="24"/>
          <w:lang w:val="en-US"/>
        </w:rPr>
        <w:t>，</w:t>
      </w:r>
      <w:r w:rsidRPr="00671071">
        <w:rPr>
          <w:rFonts w:hint="eastAsia"/>
          <w:sz w:val="24"/>
          <w:lang w:val="zh-CN"/>
        </w:rPr>
        <w:t>说明其对改性活生物体风险评估的各项具体问题提供进一步指导意见的需求和优先次序</w:t>
      </w:r>
      <w:r w:rsidRPr="00671071">
        <w:rPr>
          <w:rFonts w:hint="eastAsia"/>
          <w:sz w:val="24"/>
          <w:lang w:val="en-US"/>
        </w:rPr>
        <w:t>，</w:t>
      </w:r>
      <w:r w:rsidRPr="00671071">
        <w:rPr>
          <w:rFonts w:hint="eastAsia"/>
          <w:sz w:val="24"/>
          <w:lang w:val="zh-CN"/>
        </w:rPr>
        <w:t>包括提交依照</w:t>
      </w:r>
      <w:r w:rsidRPr="00671071">
        <w:rPr>
          <w:sz w:val="24"/>
          <w:lang w:val="en-US"/>
        </w:rPr>
        <w:t>CP-9/13</w:t>
      </w:r>
      <w:r w:rsidRPr="00671071">
        <w:rPr>
          <w:rFonts w:hint="eastAsia"/>
          <w:sz w:val="24"/>
          <w:lang w:val="zh-CN"/>
        </w:rPr>
        <w:t>号决定附件一所列标准的理由。</w:t>
      </w:r>
    </w:p>
    <w:p w14:paraId="4825F0C4" w14:textId="77777777" w:rsidR="00CA5384" w:rsidRPr="00671071" w:rsidRDefault="00CA5384">
      <w:pPr>
        <w:pStyle w:val="Para10"/>
        <w:topLinePunct/>
        <w:ind w:left="562" w:firstLine="0"/>
        <w:rPr>
          <w:sz w:val="24"/>
        </w:rPr>
      </w:pPr>
      <w:r w:rsidRPr="00671071">
        <w:rPr>
          <w:rFonts w:hint="eastAsia"/>
          <w:sz w:val="24"/>
          <w:lang w:val="zh-CN"/>
        </w:rPr>
        <w:t>在同一决定</w:t>
      </w:r>
      <w:r w:rsidRPr="00671071">
        <w:rPr>
          <w:rFonts w:hint="eastAsia"/>
          <w:sz w:val="24"/>
        </w:rPr>
        <w:t>，</w:t>
      </w:r>
      <w:r w:rsidRPr="00671071">
        <w:rPr>
          <w:rFonts w:hint="eastAsia"/>
          <w:sz w:val="24"/>
          <w:lang w:val="zh-CN"/>
        </w:rPr>
        <w:t>要求科学、技术和工艺咨询附属机构第二十六次会议审议专家组的成果</w:t>
      </w:r>
      <w:r w:rsidRPr="00671071">
        <w:rPr>
          <w:rFonts w:hint="eastAsia"/>
          <w:sz w:val="24"/>
        </w:rPr>
        <w:t>，</w:t>
      </w:r>
      <w:r w:rsidRPr="00671071">
        <w:rPr>
          <w:rFonts w:hint="eastAsia"/>
          <w:sz w:val="24"/>
          <w:lang w:val="zh-CN"/>
        </w:rPr>
        <w:t>并提出建议供作为议定书缔约方会议的缔约方大会第十一次会议审议。</w:t>
      </w:r>
    </w:p>
    <w:p w14:paraId="729265E5" w14:textId="77777777" w:rsidR="00CA5384" w:rsidRPr="00671071" w:rsidRDefault="00CA5384">
      <w:pPr>
        <w:pStyle w:val="Para10"/>
        <w:topLinePunct/>
        <w:ind w:left="562" w:firstLine="0"/>
        <w:rPr>
          <w:sz w:val="24"/>
        </w:rPr>
      </w:pPr>
      <w:r w:rsidRPr="00671071">
        <w:rPr>
          <w:rFonts w:hint="eastAsia"/>
          <w:sz w:val="24"/>
          <w:lang w:val="zh-CN"/>
        </w:rPr>
        <w:lastRenderedPageBreak/>
        <w:t>本文件第二节载有为支持对含有人工基因驱动技术的改性活生物体进行个案风险评估而制定额外自愿指导意见所开展的活动</w:t>
      </w:r>
      <w:r w:rsidRPr="00671071">
        <w:rPr>
          <w:rFonts w:hint="eastAsia"/>
          <w:sz w:val="24"/>
        </w:rPr>
        <w:t>，</w:t>
      </w:r>
      <w:r w:rsidRPr="00671071">
        <w:rPr>
          <w:rFonts w:hint="eastAsia"/>
          <w:sz w:val="24"/>
          <w:lang w:val="zh-CN"/>
        </w:rPr>
        <w:t>为此制定的指导意见载于</w:t>
      </w:r>
      <w:r w:rsidRPr="00671071">
        <w:rPr>
          <w:sz w:val="24"/>
        </w:rPr>
        <w:t>CBD/SBSTTA/26/5/Add.1</w:t>
      </w:r>
      <w:r w:rsidRPr="00671071">
        <w:rPr>
          <w:rFonts w:hint="eastAsia"/>
          <w:sz w:val="24"/>
          <w:lang w:val="zh-CN"/>
        </w:rPr>
        <w:t>号文件。第三节载有关于要求对改性活生物体进行风险评估的各项具体问题提供进一步指导意见的需求和优先次序的信息</w:t>
      </w:r>
      <w:r w:rsidRPr="00671071">
        <w:rPr>
          <w:rFonts w:hint="eastAsia"/>
          <w:sz w:val="24"/>
          <w:lang w:val="en-US"/>
        </w:rPr>
        <w:t>，</w:t>
      </w:r>
      <w:r w:rsidRPr="00671071">
        <w:rPr>
          <w:rFonts w:hint="eastAsia"/>
          <w:sz w:val="24"/>
          <w:lang w:val="zh-CN"/>
        </w:rPr>
        <w:t>第四节提供了可能的决定要素草案。</w:t>
      </w:r>
    </w:p>
    <w:p w14:paraId="755BF91A" w14:textId="77777777" w:rsidR="00CA5384" w:rsidRPr="00671071" w:rsidRDefault="00CA5384" w:rsidP="00671071">
      <w:pPr>
        <w:pStyle w:val="Heading1"/>
        <w:numPr>
          <w:ilvl w:val="0"/>
          <w:numId w:val="0"/>
        </w:numPr>
        <w:topLinePunct/>
        <w:rPr>
          <w:rFonts w:ascii="SimSun" w:eastAsia="SimSun"/>
          <w:bCs w:val="0"/>
          <w:szCs w:val="24"/>
        </w:rPr>
      </w:pPr>
      <w:r w:rsidRPr="00671071">
        <w:rPr>
          <w:rFonts w:ascii="SimSun" w:eastAsia="SimSun" w:hint="eastAsia"/>
          <w:bCs w:val="0"/>
          <w:szCs w:val="24"/>
          <w:lang w:val="en-US"/>
        </w:rPr>
        <w:t>二</w:t>
      </w:r>
      <w:r w:rsidRPr="00671071">
        <w:rPr>
          <w:rFonts w:ascii="SimSun" w:eastAsia="SimSun"/>
          <w:bCs w:val="0"/>
          <w:szCs w:val="24"/>
          <w:lang w:val="en-US"/>
        </w:rPr>
        <w:t>.</w:t>
      </w:r>
      <w:r w:rsidRPr="00671071">
        <w:rPr>
          <w:rFonts w:ascii="SimSun" w:eastAsia="SimSun"/>
          <w:bCs w:val="0"/>
          <w:szCs w:val="24"/>
          <w:lang w:val="en-US"/>
        </w:rPr>
        <w:tab/>
      </w:r>
      <w:r w:rsidRPr="00671071">
        <w:rPr>
          <w:rFonts w:ascii="SimSun" w:eastAsia="SimSun" w:hint="eastAsia"/>
          <w:bCs w:val="0"/>
          <w:szCs w:val="24"/>
          <w:lang w:val="zh-CN"/>
        </w:rPr>
        <w:t>第</w:t>
      </w:r>
      <w:r w:rsidRPr="00671071">
        <w:rPr>
          <w:rFonts w:eastAsia="SimSun"/>
          <w:bCs w:val="0"/>
          <w:szCs w:val="24"/>
          <w:lang w:val="zh-CN"/>
        </w:rPr>
        <w:t>CP-10/10</w:t>
      </w:r>
      <w:r w:rsidRPr="00671071">
        <w:rPr>
          <w:rFonts w:ascii="SimSun" w:eastAsia="SimSun" w:hint="eastAsia"/>
          <w:bCs w:val="0"/>
          <w:szCs w:val="24"/>
          <w:lang w:val="zh-CN"/>
        </w:rPr>
        <w:t>号决定之后开展的进程概述</w:t>
      </w:r>
    </w:p>
    <w:p w14:paraId="64703E79" w14:textId="77777777" w:rsidR="00CA5384" w:rsidRPr="00671071" w:rsidRDefault="00CA5384">
      <w:pPr>
        <w:pStyle w:val="Para10"/>
        <w:topLinePunct/>
        <w:ind w:left="562" w:firstLine="0"/>
        <w:rPr>
          <w:sz w:val="24"/>
        </w:rPr>
      </w:pPr>
      <w:r w:rsidRPr="00671071">
        <w:rPr>
          <w:rFonts w:hint="eastAsia"/>
          <w:sz w:val="24"/>
          <w:lang w:val="zh-CN"/>
        </w:rPr>
        <w:t>依照上文第</w:t>
      </w:r>
      <w:r w:rsidRPr="00671071">
        <w:rPr>
          <w:sz w:val="24"/>
        </w:rPr>
        <w:t>1</w:t>
      </w:r>
      <w:r w:rsidRPr="00671071">
        <w:rPr>
          <w:rFonts w:hint="eastAsia"/>
          <w:sz w:val="24"/>
          <w:lang w:val="zh-CN"/>
        </w:rPr>
        <w:t>和第</w:t>
      </w:r>
      <w:r w:rsidRPr="00671071">
        <w:rPr>
          <w:sz w:val="24"/>
        </w:rPr>
        <w:t>2</w:t>
      </w:r>
      <w:r w:rsidRPr="00671071">
        <w:rPr>
          <w:rFonts w:hint="eastAsia"/>
          <w:sz w:val="24"/>
          <w:lang w:val="zh-CN"/>
        </w:rPr>
        <w:t>段概述的</w:t>
      </w:r>
      <w:r w:rsidRPr="00671071">
        <w:rPr>
          <w:sz w:val="24"/>
        </w:rPr>
        <w:t>CP-10/10</w:t>
      </w:r>
      <w:r w:rsidRPr="00671071">
        <w:rPr>
          <w:rFonts w:hint="eastAsia"/>
          <w:sz w:val="24"/>
          <w:lang w:val="zh-CN"/>
        </w:rPr>
        <w:t>号决定的规定</w:t>
      </w:r>
      <w:r w:rsidRPr="00671071">
        <w:rPr>
          <w:rFonts w:hint="eastAsia"/>
          <w:sz w:val="24"/>
        </w:rPr>
        <w:t>，</w:t>
      </w:r>
      <w:r w:rsidRPr="00671071">
        <w:rPr>
          <w:rFonts w:hint="eastAsia"/>
          <w:sz w:val="24"/>
          <w:lang w:val="zh-CN"/>
        </w:rPr>
        <w:t>执行秘书邀请缔约方提交有关进行风险评估的信息</w:t>
      </w:r>
      <w:r w:rsidRPr="00671071">
        <w:rPr>
          <w:rFonts w:hint="eastAsia"/>
          <w:sz w:val="24"/>
        </w:rPr>
        <w:t>；</w:t>
      </w:r>
      <w:r w:rsidRPr="00671071">
        <w:rPr>
          <w:rFonts w:hint="eastAsia"/>
          <w:sz w:val="24"/>
          <w:lang w:val="zh-CN"/>
        </w:rPr>
        <w:t>主持在线论坛讨论</w:t>
      </w:r>
      <w:r w:rsidRPr="00671071">
        <w:rPr>
          <w:rFonts w:hint="eastAsia"/>
          <w:sz w:val="24"/>
        </w:rPr>
        <w:t>；</w:t>
      </w:r>
      <w:r w:rsidRPr="00671071">
        <w:rPr>
          <w:rFonts w:hint="eastAsia"/>
          <w:sz w:val="24"/>
          <w:lang w:val="zh-CN"/>
        </w:rPr>
        <w:t>在芬兰政府和欧盟的财政支持下</w:t>
      </w:r>
      <w:r w:rsidRPr="00671071">
        <w:rPr>
          <w:rFonts w:hint="eastAsia"/>
          <w:sz w:val="24"/>
        </w:rPr>
        <w:t>，</w:t>
      </w:r>
      <w:r w:rsidRPr="00671071">
        <w:rPr>
          <w:rFonts w:hint="eastAsia"/>
          <w:sz w:val="24"/>
          <w:lang w:val="zh-CN"/>
        </w:rPr>
        <w:t>委托制定详细大纲</w:t>
      </w:r>
      <w:r w:rsidRPr="00671071">
        <w:rPr>
          <w:rFonts w:hint="eastAsia"/>
          <w:sz w:val="24"/>
        </w:rPr>
        <w:t>；</w:t>
      </w:r>
      <w:r w:rsidRPr="00671071">
        <w:rPr>
          <w:rFonts w:hint="eastAsia"/>
          <w:sz w:val="24"/>
          <w:lang w:val="zh-CN"/>
        </w:rPr>
        <w:t>收集和汇总相关信息</w:t>
      </w:r>
      <w:r w:rsidRPr="00671071">
        <w:rPr>
          <w:rFonts w:hint="eastAsia"/>
          <w:sz w:val="24"/>
        </w:rPr>
        <w:t>，</w:t>
      </w:r>
      <w:r w:rsidRPr="00671071">
        <w:rPr>
          <w:rFonts w:hint="eastAsia"/>
          <w:sz w:val="24"/>
          <w:lang w:val="zh-CN"/>
        </w:rPr>
        <w:t>以促进风险评估和风险管理问题不限成员名额在线论坛和专家组的工作</w:t>
      </w:r>
      <w:r w:rsidRPr="00671071">
        <w:rPr>
          <w:rFonts w:hint="eastAsia"/>
          <w:sz w:val="24"/>
        </w:rPr>
        <w:t>；</w:t>
      </w:r>
      <w:r w:rsidRPr="00671071">
        <w:rPr>
          <w:rFonts w:hint="eastAsia"/>
          <w:sz w:val="24"/>
          <w:lang w:val="zh-CN"/>
        </w:rPr>
        <w:t>在欧盟财政支持下</w:t>
      </w:r>
      <w:r w:rsidRPr="00671071">
        <w:rPr>
          <w:rFonts w:hint="eastAsia"/>
          <w:sz w:val="24"/>
        </w:rPr>
        <w:t>，</w:t>
      </w:r>
      <w:r w:rsidRPr="00671071">
        <w:rPr>
          <w:rFonts w:hint="eastAsia"/>
          <w:sz w:val="24"/>
          <w:lang w:val="zh-CN"/>
        </w:rPr>
        <w:t>召开了两次专家组会议。</w:t>
      </w:r>
      <w:r w:rsidRPr="00671071">
        <w:rPr>
          <w:sz w:val="24"/>
        </w:rPr>
        <w:t xml:space="preserve"> </w:t>
      </w:r>
    </w:p>
    <w:p w14:paraId="411994AE" w14:textId="77777777" w:rsidR="00CA5384" w:rsidRPr="00671071" w:rsidRDefault="00CA5384">
      <w:pPr>
        <w:pStyle w:val="Heading2"/>
        <w:numPr>
          <w:ilvl w:val="0"/>
          <w:numId w:val="38"/>
        </w:numPr>
        <w:suppressLineNumbers/>
        <w:topLinePunct/>
        <w:ind w:left="567" w:hanging="567"/>
        <w:rPr>
          <w:rFonts w:eastAsia="SimSun"/>
          <w:szCs w:val="24"/>
        </w:rPr>
      </w:pPr>
      <w:r w:rsidRPr="00671071">
        <w:rPr>
          <w:rFonts w:eastAsia="SimSun" w:hint="eastAsia"/>
          <w:szCs w:val="24"/>
          <w:lang w:val="zh-CN"/>
        </w:rPr>
        <w:t>委托编写额外自愿指导意见的详细大纲</w:t>
      </w:r>
    </w:p>
    <w:p w14:paraId="0D69A032" w14:textId="77777777" w:rsidR="00CA5384" w:rsidRPr="00671071" w:rsidRDefault="00CA5384">
      <w:pPr>
        <w:pStyle w:val="Para10"/>
        <w:topLinePunct/>
        <w:ind w:left="562" w:firstLine="0"/>
        <w:rPr>
          <w:sz w:val="24"/>
        </w:rPr>
      </w:pPr>
      <w:r w:rsidRPr="00671071">
        <w:rPr>
          <w:rFonts w:hint="eastAsia"/>
          <w:sz w:val="24"/>
          <w:lang w:val="zh-CN"/>
        </w:rPr>
        <w:t>为了支持编制额外自愿指导意见</w:t>
      </w:r>
      <w:r w:rsidRPr="00671071">
        <w:rPr>
          <w:rFonts w:hint="eastAsia"/>
          <w:sz w:val="24"/>
          <w:lang w:val="en-GB"/>
        </w:rPr>
        <w:t>，</w:t>
      </w:r>
      <w:r w:rsidRPr="00671071">
        <w:rPr>
          <w:rFonts w:hint="eastAsia"/>
          <w:sz w:val="24"/>
          <w:lang w:val="zh-CN"/>
        </w:rPr>
        <w:t>作为议定书缔约方会议的缔约方大会请执行秘书委托编写对含有人工基因驱动技术的改性活生物体进行风险评估提供额外指导意见的详细大纲</w:t>
      </w:r>
      <w:r w:rsidRPr="00671071">
        <w:rPr>
          <w:rFonts w:hint="eastAsia"/>
          <w:sz w:val="24"/>
          <w:lang w:val="en-GB"/>
        </w:rPr>
        <w:t>，</w:t>
      </w:r>
      <w:r w:rsidRPr="00671071">
        <w:rPr>
          <w:rFonts w:hint="eastAsia"/>
          <w:sz w:val="24"/>
          <w:lang w:val="zh-CN"/>
        </w:rPr>
        <w:t>并将其提供风险评估和风险管理问题不限成员名额在线论坛审议和作为专家组的工作基础。秘书处在芬兰政府和欧盟的财政支持下</w:t>
      </w:r>
      <w:r w:rsidRPr="00671071">
        <w:rPr>
          <w:rFonts w:hint="eastAsia"/>
          <w:sz w:val="24"/>
          <w:lang w:val="en-US"/>
        </w:rPr>
        <w:t>，</w:t>
      </w:r>
      <w:r w:rsidRPr="00671071">
        <w:rPr>
          <w:rFonts w:hint="eastAsia"/>
          <w:sz w:val="24"/>
          <w:lang w:val="zh-CN"/>
        </w:rPr>
        <w:t>委托国际遗传工程和生物技术中心起草详细大纲。</w:t>
      </w:r>
      <w:r w:rsidRPr="00671071">
        <w:rPr>
          <w:sz w:val="24"/>
        </w:rPr>
        <w:t xml:space="preserve"> </w:t>
      </w:r>
    </w:p>
    <w:p w14:paraId="28334E7F" w14:textId="77777777" w:rsidR="00CA5384" w:rsidRPr="00671071" w:rsidRDefault="00CA5384">
      <w:pPr>
        <w:pStyle w:val="Para10"/>
        <w:topLinePunct/>
        <w:ind w:left="562" w:firstLine="0"/>
        <w:rPr>
          <w:sz w:val="24"/>
        </w:rPr>
      </w:pPr>
      <w:r w:rsidRPr="00671071">
        <w:rPr>
          <w:rFonts w:hint="eastAsia"/>
          <w:sz w:val="24"/>
          <w:lang w:val="zh-CN"/>
        </w:rPr>
        <w:t>大纲草案在</w:t>
      </w:r>
      <w:smartTag w:uri="urn:schemas-microsoft-com:office:smarttags" w:element="chsdate">
        <w:smartTagPr>
          <w:attr w:name="Year" w:val="2014"/>
          <w:attr w:name="Month" w:val="10"/>
          <w:attr w:name="Day" w:val="3"/>
          <w:attr w:name="IsLunarDate" w:val="False"/>
          <w:attr w:name="IsROCDate" w:val="False"/>
        </w:smartTagPr>
        <w:r w:rsidRPr="00671071">
          <w:rPr>
            <w:sz w:val="24"/>
            <w:lang w:val="en-US"/>
          </w:rPr>
          <w:t>2023</w:t>
        </w:r>
        <w:r w:rsidRPr="00671071">
          <w:rPr>
            <w:rFonts w:hint="eastAsia"/>
            <w:sz w:val="24"/>
            <w:lang w:val="zh-CN"/>
          </w:rPr>
          <w:t>年</w:t>
        </w:r>
        <w:r w:rsidRPr="00671071">
          <w:rPr>
            <w:sz w:val="24"/>
            <w:lang w:val="en-US"/>
          </w:rPr>
          <w:t>8</w:t>
        </w:r>
        <w:r w:rsidRPr="00671071">
          <w:rPr>
            <w:rFonts w:hint="eastAsia"/>
            <w:sz w:val="24"/>
            <w:lang w:val="zh-CN"/>
          </w:rPr>
          <w:t>月</w:t>
        </w:r>
        <w:r w:rsidRPr="00671071">
          <w:rPr>
            <w:sz w:val="24"/>
            <w:lang w:val="en-US"/>
          </w:rPr>
          <w:t>21</w:t>
        </w:r>
        <w:r w:rsidRPr="00671071">
          <w:rPr>
            <w:rFonts w:hint="eastAsia"/>
            <w:sz w:val="24"/>
            <w:lang w:val="zh-CN"/>
          </w:rPr>
          <w:t>日</w:t>
        </w:r>
      </w:smartTag>
      <w:r w:rsidRPr="00671071">
        <w:rPr>
          <w:rFonts w:hint="eastAsia"/>
          <w:sz w:val="24"/>
          <w:lang w:val="zh-CN"/>
        </w:rPr>
        <w:t>至</w:t>
      </w:r>
      <w:r w:rsidRPr="00671071">
        <w:rPr>
          <w:sz w:val="24"/>
          <w:lang w:val="en-US"/>
        </w:rPr>
        <w:t>30</w:t>
      </w:r>
      <w:r w:rsidRPr="00671071">
        <w:rPr>
          <w:rFonts w:hint="eastAsia"/>
          <w:sz w:val="24"/>
          <w:lang w:val="zh-CN"/>
        </w:rPr>
        <w:t>日举行的风险评估和风险管理问题不限成员名额在线论坛进行了讨论</w:t>
      </w:r>
      <w:r w:rsidRPr="00671071">
        <w:rPr>
          <w:rFonts w:hint="eastAsia"/>
          <w:sz w:val="24"/>
          <w:lang w:val="en-US"/>
        </w:rPr>
        <w:t>（</w:t>
      </w:r>
      <w:r w:rsidRPr="00671071">
        <w:rPr>
          <w:rFonts w:hint="eastAsia"/>
          <w:sz w:val="24"/>
          <w:lang w:val="zh-CN"/>
        </w:rPr>
        <w:t>见</w:t>
      </w:r>
      <w:r w:rsidRPr="00671071">
        <w:rPr>
          <w:sz w:val="24"/>
          <w:lang w:val="en-US"/>
        </w:rPr>
        <w:t>B</w:t>
      </w:r>
      <w:r w:rsidRPr="00671071">
        <w:rPr>
          <w:rFonts w:hint="eastAsia"/>
          <w:sz w:val="24"/>
          <w:lang w:val="zh-CN"/>
        </w:rPr>
        <w:t>节</w:t>
      </w:r>
      <w:r w:rsidRPr="00671071">
        <w:rPr>
          <w:rFonts w:hint="eastAsia"/>
          <w:sz w:val="24"/>
          <w:lang w:val="en-US"/>
        </w:rPr>
        <w:t>），</w:t>
      </w:r>
      <w:r w:rsidRPr="00671071">
        <w:rPr>
          <w:rFonts w:hint="eastAsia"/>
          <w:sz w:val="24"/>
          <w:lang w:val="zh-CN"/>
        </w:rPr>
        <w:t>指导意见的详细大纲最终草案提交了</w:t>
      </w:r>
      <w:smartTag w:uri="urn:schemas-microsoft-com:office:smarttags" w:element="chsdate">
        <w:smartTagPr>
          <w:attr w:name="Year" w:val="2014"/>
          <w:attr w:name="Month" w:val="10"/>
          <w:attr w:name="Day" w:val="3"/>
          <w:attr w:name="IsLunarDate" w:val="False"/>
          <w:attr w:name="IsROCDate" w:val="False"/>
        </w:smartTagPr>
        <w:r w:rsidRPr="00671071">
          <w:rPr>
            <w:sz w:val="24"/>
            <w:lang w:val="en-US"/>
          </w:rPr>
          <w:t>2023</w:t>
        </w:r>
        <w:r w:rsidRPr="00671071">
          <w:rPr>
            <w:rFonts w:hint="eastAsia"/>
            <w:sz w:val="24"/>
            <w:lang w:val="zh-CN"/>
          </w:rPr>
          <w:t>年</w:t>
        </w:r>
        <w:r w:rsidRPr="00671071">
          <w:rPr>
            <w:sz w:val="24"/>
            <w:lang w:val="en-US"/>
          </w:rPr>
          <w:t>11</w:t>
        </w:r>
        <w:r w:rsidRPr="00671071">
          <w:rPr>
            <w:rFonts w:hint="eastAsia"/>
            <w:sz w:val="24"/>
            <w:lang w:val="zh-CN"/>
          </w:rPr>
          <w:t>月</w:t>
        </w:r>
        <w:r w:rsidRPr="00671071">
          <w:rPr>
            <w:sz w:val="24"/>
            <w:lang w:val="en-US"/>
          </w:rPr>
          <w:t>1</w:t>
        </w:r>
        <w:r w:rsidRPr="00671071">
          <w:rPr>
            <w:rFonts w:hint="eastAsia"/>
            <w:sz w:val="24"/>
            <w:lang w:val="zh-CN"/>
          </w:rPr>
          <w:t>日</w:t>
        </w:r>
      </w:smartTag>
      <w:r w:rsidRPr="00671071">
        <w:rPr>
          <w:rFonts w:hint="eastAsia"/>
          <w:sz w:val="24"/>
          <w:lang w:val="zh-CN"/>
        </w:rPr>
        <w:t>至</w:t>
      </w:r>
      <w:r w:rsidRPr="00671071">
        <w:rPr>
          <w:sz w:val="24"/>
          <w:lang w:val="en-US"/>
        </w:rPr>
        <w:t>3</w:t>
      </w:r>
      <w:r w:rsidRPr="00671071">
        <w:rPr>
          <w:rFonts w:hint="eastAsia"/>
          <w:sz w:val="24"/>
          <w:lang w:val="zh-CN"/>
        </w:rPr>
        <w:t>日举行的专家组第一次会议。</w:t>
      </w:r>
    </w:p>
    <w:p w14:paraId="535717AE" w14:textId="06AA1DAB" w:rsidR="00CA5384" w:rsidRPr="00671071" w:rsidRDefault="00CA5384">
      <w:pPr>
        <w:pStyle w:val="Heading2"/>
        <w:numPr>
          <w:ilvl w:val="0"/>
          <w:numId w:val="38"/>
        </w:numPr>
        <w:suppressLineNumbers/>
        <w:topLinePunct/>
        <w:ind w:left="567" w:hanging="567"/>
        <w:jc w:val="left"/>
        <w:rPr>
          <w:rFonts w:eastAsia="SimSun"/>
          <w:szCs w:val="24"/>
        </w:rPr>
      </w:pPr>
      <w:r w:rsidRPr="00671071">
        <w:rPr>
          <w:rFonts w:eastAsia="SimSun" w:hint="eastAsia"/>
          <w:szCs w:val="24"/>
          <w:lang w:val="zh-CN"/>
        </w:rPr>
        <w:t>提交风险评估的信息和风险评估和风险管理问题不限成员名额在线论坛</w:t>
      </w:r>
    </w:p>
    <w:p w14:paraId="4F345B3B" w14:textId="77777777" w:rsidR="00CA5384" w:rsidRPr="00671071" w:rsidRDefault="00CA5384">
      <w:pPr>
        <w:pStyle w:val="Para10"/>
        <w:topLinePunct/>
        <w:ind w:left="562" w:firstLine="0"/>
        <w:rPr>
          <w:sz w:val="24"/>
        </w:rPr>
      </w:pPr>
      <w:r w:rsidRPr="00671071">
        <w:rPr>
          <w:rFonts w:hint="eastAsia"/>
          <w:sz w:val="24"/>
          <w:lang w:val="zh-CN"/>
        </w:rPr>
        <w:t>执行秘书于</w:t>
      </w:r>
      <w:smartTag w:uri="urn:schemas-microsoft-com:office:smarttags" w:element="chsdate">
        <w:smartTagPr>
          <w:attr w:name="Year" w:val="2014"/>
          <w:attr w:name="Month" w:val="10"/>
          <w:attr w:name="Day" w:val="3"/>
          <w:attr w:name="IsLunarDate" w:val="False"/>
          <w:attr w:name="IsROCDate" w:val="False"/>
        </w:smartTagPr>
        <w:r w:rsidRPr="00671071">
          <w:rPr>
            <w:sz w:val="24"/>
            <w:lang w:val="en-GB"/>
          </w:rPr>
          <w:t>2023</w:t>
        </w:r>
        <w:r w:rsidRPr="00671071">
          <w:rPr>
            <w:rFonts w:hint="eastAsia"/>
            <w:sz w:val="24"/>
            <w:lang w:val="zh-CN"/>
          </w:rPr>
          <w:t>年</w:t>
        </w:r>
        <w:r w:rsidRPr="00671071">
          <w:rPr>
            <w:sz w:val="24"/>
            <w:lang w:val="en-GB"/>
          </w:rPr>
          <w:t>2</w:t>
        </w:r>
        <w:r w:rsidRPr="00671071">
          <w:rPr>
            <w:rFonts w:hint="eastAsia"/>
            <w:sz w:val="24"/>
            <w:lang w:val="zh-CN"/>
          </w:rPr>
          <w:t>月</w:t>
        </w:r>
        <w:r w:rsidRPr="00671071">
          <w:rPr>
            <w:sz w:val="24"/>
            <w:lang w:val="en-GB"/>
          </w:rPr>
          <w:t>6</w:t>
        </w:r>
        <w:r w:rsidRPr="00671071">
          <w:rPr>
            <w:rFonts w:hint="eastAsia"/>
            <w:sz w:val="24"/>
            <w:lang w:val="zh-CN"/>
          </w:rPr>
          <w:t>日</w:t>
        </w:r>
      </w:smartTag>
      <w:r w:rsidRPr="00671071">
        <w:rPr>
          <w:rFonts w:hint="eastAsia"/>
          <w:sz w:val="24"/>
          <w:lang w:val="zh-CN"/>
        </w:rPr>
        <w:t>发出第</w:t>
      </w:r>
      <w:hyperlink r:id="rId10" w:history="1">
        <w:r w:rsidRPr="00671071">
          <w:rPr>
            <w:rStyle w:val="Hyperlink"/>
            <w:sz w:val="24"/>
            <w:lang w:val="en-GB"/>
          </w:rPr>
          <w:t>2023-007</w:t>
        </w:r>
      </w:hyperlink>
      <w:r w:rsidRPr="00671071">
        <w:rPr>
          <w:rFonts w:hint="eastAsia"/>
          <w:sz w:val="24"/>
          <w:lang w:val="zh-CN"/>
        </w:rPr>
        <w:t>号通知</w:t>
      </w:r>
      <w:r w:rsidRPr="00671071">
        <w:rPr>
          <w:rFonts w:hint="eastAsia"/>
          <w:sz w:val="24"/>
          <w:lang w:val="en-GB"/>
        </w:rPr>
        <w:t>，</w:t>
      </w:r>
      <w:r w:rsidRPr="00671071">
        <w:rPr>
          <w:rFonts w:hint="eastAsia"/>
          <w:sz w:val="24"/>
          <w:lang w:val="zh-CN"/>
        </w:rPr>
        <w:t>邀请各缔约方、其他国家政府、土著人民和地方社区以及相关组织提交支持专家组工作的相关信息。</w:t>
      </w:r>
    </w:p>
    <w:p w14:paraId="269CCB4A" w14:textId="36BDC176" w:rsidR="00CA5384" w:rsidRPr="00671071" w:rsidRDefault="00CA5384">
      <w:pPr>
        <w:pStyle w:val="Para10"/>
        <w:topLinePunct/>
        <w:ind w:left="562" w:firstLine="0"/>
        <w:rPr>
          <w:sz w:val="24"/>
        </w:rPr>
      </w:pPr>
      <w:r w:rsidRPr="00671071">
        <w:rPr>
          <w:rFonts w:hint="eastAsia"/>
          <w:sz w:val="24"/>
          <w:lang w:val="zh-CN"/>
        </w:rPr>
        <w:t>共收到</w:t>
      </w:r>
      <w:r w:rsidRPr="00671071">
        <w:rPr>
          <w:sz w:val="24"/>
        </w:rPr>
        <w:t>14</w:t>
      </w:r>
      <w:r w:rsidRPr="00671071">
        <w:rPr>
          <w:rFonts w:hint="eastAsia"/>
          <w:sz w:val="24"/>
          <w:lang w:val="zh-CN"/>
        </w:rPr>
        <w:t>份来文</w:t>
      </w:r>
      <w:r w:rsidRPr="00671071">
        <w:rPr>
          <w:rFonts w:hint="eastAsia"/>
          <w:sz w:val="24"/>
        </w:rPr>
        <w:t>：</w:t>
      </w:r>
      <w:r w:rsidRPr="00671071">
        <w:rPr>
          <w:rFonts w:hint="eastAsia"/>
          <w:sz w:val="24"/>
          <w:lang w:val="zh-CN"/>
        </w:rPr>
        <w:t>五份来自议定书缔约方</w:t>
      </w:r>
      <w:r w:rsidRPr="00671071">
        <w:rPr>
          <w:rFonts w:hint="eastAsia"/>
          <w:sz w:val="24"/>
        </w:rPr>
        <w:t>（</w:t>
      </w:r>
      <w:r w:rsidRPr="00671071">
        <w:rPr>
          <w:rFonts w:hint="eastAsia"/>
          <w:sz w:val="24"/>
          <w:lang w:val="zh-CN"/>
        </w:rPr>
        <w:t>白俄罗斯、比利时、巴西、哥伦比亚和德国</w:t>
      </w:r>
      <w:r w:rsidRPr="00671071">
        <w:rPr>
          <w:rFonts w:hint="eastAsia"/>
          <w:sz w:val="24"/>
        </w:rPr>
        <w:t>）</w:t>
      </w:r>
      <w:r w:rsidRPr="00671071">
        <w:rPr>
          <w:rFonts w:hint="eastAsia"/>
          <w:sz w:val="24"/>
          <w:lang w:val="zh-CN"/>
        </w:rPr>
        <w:t>、一份来自非缔约方</w:t>
      </w:r>
      <w:r w:rsidRPr="00671071">
        <w:rPr>
          <w:rFonts w:hint="eastAsia"/>
          <w:sz w:val="24"/>
        </w:rPr>
        <w:t>（</w:t>
      </w:r>
      <w:r w:rsidRPr="00671071">
        <w:rPr>
          <w:rFonts w:hint="eastAsia"/>
          <w:sz w:val="24"/>
          <w:lang w:val="zh-CN"/>
        </w:rPr>
        <w:t>澳大利亚</w:t>
      </w:r>
      <w:r w:rsidRPr="00671071">
        <w:rPr>
          <w:rFonts w:hint="eastAsia"/>
          <w:sz w:val="24"/>
        </w:rPr>
        <w:t>）</w:t>
      </w:r>
      <w:r w:rsidRPr="00671071">
        <w:rPr>
          <w:rFonts w:hint="eastAsia"/>
          <w:sz w:val="24"/>
          <w:lang w:val="zh-CN"/>
        </w:rPr>
        <w:t>和八份来自相关组织</w:t>
      </w:r>
      <w:r w:rsidRPr="00671071">
        <w:rPr>
          <w:rFonts w:hint="eastAsia"/>
          <w:sz w:val="24"/>
        </w:rPr>
        <w:t>（</w:t>
      </w:r>
      <w:r w:rsidRPr="00671071">
        <w:rPr>
          <w:rFonts w:hint="eastAsia"/>
          <w:sz w:val="24"/>
          <w:lang w:val="zh-CN"/>
        </w:rPr>
        <w:t>非洲生物多样性中心、作物生命国际</w:t>
      </w:r>
      <w:r w:rsidRPr="00671071">
        <w:rPr>
          <w:sz w:val="24"/>
        </w:rPr>
        <w:t>/</w:t>
      </w:r>
      <w:r w:rsidRPr="00671071">
        <w:rPr>
          <w:rFonts w:hint="eastAsia"/>
          <w:sz w:val="24"/>
          <w:lang w:val="zh-CN"/>
        </w:rPr>
        <w:t>全球产业联盟、未来农业基金会</w:t>
      </w:r>
      <w:r w:rsidRPr="00671071">
        <w:rPr>
          <w:sz w:val="24"/>
        </w:rPr>
        <w:t>/</w:t>
      </w:r>
      <w:r w:rsidRPr="00671071">
        <w:rPr>
          <w:rFonts w:hint="eastAsia"/>
          <w:sz w:val="24"/>
          <w:lang w:val="zh-CN"/>
        </w:rPr>
        <w:t>拯救我们的种子、国立卫生研究院基金会、伦敦帝国理工学院、基因驱动技术研究外联网、试验生物技术和第三世界网络</w:t>
      </w:r>
      <w:r w:rsidRPr="00671071">
        <w:rPr>
          <w:rFonts w:hint="eastAsia"/>
          <w:sz w:val="24"/>
        </w:rPr>
        <w:t>）</w:t>
      </w:r>
      <w:r w:rsidRPr="00671071">
        <w:rPr>
          <w:rFonts w:hint="eastAsia"/>
          <w:sz w:val="24"/>
          <w:lang w:val="zh-CN"/>
        </w:rPr>
        <w:t>。提交的文件汇总载于</w:t>
      </w:r>
      <w:r w:rsidR="00314E11" w:rsidRPr="00DB7669">
        <w:t>CBD</w:t>
      </w:r>
      <w:r w:rsidR="00314E11" w:rsidRPr="0074027E">
        <w:t>/</w:t>
      </w:r>
      <w:r w:rsidR="00314E11" w:rsidRPr="00DB7669">
        <w:t>CP</w:t>
      </w:r>
      <w:r w:rsidR="00314E11" w:rsidRPr="0074027E">
        <w:t>/</w:t>
      </w:r>
      <w:r w:rsidR="00314E11" w:rsidRPr="00DB7669">
        <w:t>RA</w:t>
      </w:r>
      <w:r w:rsidR="00314E11" w:rsidRPr="0074027E">
        <w:t>/</w:t>
      </w:r>
      <w:r w:rsidR="00314E11" w:rsidRPr="00DB7669">
        <w:t>AHTEG</w:t>
      </w:r>
      <w:r w:rsidR="00314E11" w:rsidRPr="0074027E">
        <w:t>/2023/1/</w:t>
      </w:r>
      <w:r w:rsidR="00314E11" w:rsidRPr="00DB7669">
        <w:t>INF</w:t>
      </w:r>
      <w:r w:rsidR="00314E11" w:rsidRPr="0074027E">
        <w:t>/2</w:t>
      </w:r>
      <w:r w:rsidRPr="00671071">
        <w:rPr>
          <w:rFonts w:hint="eastAsia"/>
          <w:sz w:val="24"/>
          <w:lang w:val="zh-CN"/>
        </w:rPr>
        <w:t>号信息文件。</w:t>
      </w:r>
    </w:p>
    <w:p w14:paraId="682F9C17" w14:textId="77777777" w:rsidR="00CA5384" w:rsidRPr="00671071" w:rsidRDefault="00CA5384">
      <w:pPr>
        <w:pStyle w:val="Para10"/>
        <w:topLinePunct/>
        <w:ind w:left="562" w:firstLine="0"/>
        <w:rPr>
          <w:sz w:val="24"/>
        </w:rPr>
      </w:pPr>
      <w:r w:rsidRPr="00671071">
        <w:rPr>
          <w:rFonts w:hint="eastAsia"/>
          <w:sz w:val="24"/>
          <w:lang w:val="zh-CN"/>
        </w:rPr>
        <w:t>在同一份通知中</w:t>
      </w:r>
      <w:r w:rsidRPr="00671071">
        <w:rPr>
          <w:rFonts w:hint="eastAsia"/>
          <w:sz w:val="24"/>
          <w:lang w:val="en-US"/>
        </w:rPr>
        <w:t>，</w:t>
      </w:r>
      <w:r w:rsidRPr="00671071">
        <w:rPr>
          <w:rFonts w:hint="eastAsia"/>
          <w:sz w:val="24"/>
          <w:lang w:val="zh-CN"/>
        </w:rPr>
        <w:t>执行秘书请各缔约方提交关于它们对改性活生物体进行风险评估的各项具体问题提供进一步指导意见的需求和优先次序的信息</w:t>
      </w:r>
      <w:r w:rsidRPr="00671071">
        <w:rPr>
          <w:rFonts w:hint="eastAsia"/>
          <w:sz w:val="24"/>
          <w:lang w:val="en-US"/>
        </w:rPr>
        <w:t>，</w:t>
      </w:r>
      <w:r w:rsidRPr="00671071">
        <w:rPr>
          <w:rFonts w:hint="eastAsia"/>
          <w:sz w:val="24"/>
          <w:lang w:val="zh-CN"/>
        </w:rPr>
        <w:t>包括提交依照第</w:t>
      </w:r>
      <w:r w:rsidRPr="00671071">
        <w:rPr>
          <w:sz w:val="24"/>
          <w:lang w:val="en-US"/>
        </w:rPr>
        <w:t>CP</w:t>
      </w:r>
      <w:r w:rsidRPr="00671071">
        <w:rPr>
          <w:sz w:val="24"/>
          <w:lang w:val="en-US"/>
        </w:rPr>
        <w:noBreakHyphen/>
        <w:t>9/13</w:t>
      </w:r>
      <w:r w:rsidRPr="00671071">
        <w:rPr>
          <w:rFonts w:hint="eastAsia"/>
          <w:sz w:val="24"/>
          <w:lang w:val="zh-CN"/>
        </w:rPr>
        <w:t>号决定附件一所列标准的理由。收到的文件汇总载于</w:t>
      </w:r>
      <w:r w:rsidRPr="00671071">
        <w:rPr>
          <w:sz w:val="24"/>
          <w:lang w:val="zh-CN"/>
        </w:rPr>
        <w:t>CBD/CP/RA/AHTEG/</w:t>
      </w:r>
      <w:smartTag w:uri="urn:schemas-microsoft-com:office:smarttags" w:element="chsdate">
        <w:smartTagPr>
          <w:attr w:name="Year" w:val="2014"/>
          <w:attr w:name="Month" w:val="10"/>
          <w:attr w:name="Day" w:val="3"/>
          <w:attr w:name="IsLunarDate" w:val="False"/>
          <w:attr w:name="IsROCDate" w:val="False"/>
        </w:smartTagPr>
        <w:r w:rsidRPr="00671071">
          <w:rPr>
            <w:sz w:val="24"/>
            <w:lang w:val="zh-CN"/>
          </w:rPr>
          <w:t>2024/1/2</w:t>
        </w:r>
      </w:smartTag>
      <w:r w:rsidRPr="00671071">
        <w:rPr>
          <w:rFonts w:hint="eastAsia"/>
          <w:sz w:val="24"/>
          <w:lang w:val="zh-CN"/>
        </w:rPr>
        <w:t>号文件。</w:t>
      </w:r>
    </w:p>
    <w:p w14:paraId="0583FFC4" w14:textId="77777777" w:rsidR="00CA5384" w:rsidRPr="00671071" w:rsidRDefault="00CA5384">
      <w:pPr>
        <w:pStyle w:val="Para10"/>
        <w:topLinePunct/>
        <w:ind w:left="562" w:firstLine="0"/>
        <w:rPr>
          <w:sz w:val="24"/>
        </w:rPr>
      </w:pPr>
      <w:r w:rsidRPr="00671071">
        <w:rPr>
          <w:rFonts w:hint="eastAsia"/>
          <w:sz w:val="24"/>
          <w:lang w:val="zh-CN"/>
        </w:rPr>
        <w:t>秘书处于</w:t>
      </w:r>
      <w:smartTag w:uri="urn:schemas-microsoft-com:office:smarttags" w:element="chsdate">
        <w:smartTagPr>
          <w:attr w:name="Year" w:val="2014"/>
          <w:attr w:name="Month" w:val="10"/>
          <w:attr w:name="Day" w:val="3"/>
          <w:attr w:name="IsLunarDate" w:val="False"/>
          <w:attr w:name="IsROCDate" w:val="False"/>
        </w:smartTagPr>
        <w:r w:rsidRPr="00671071">
          <w:rPr>
            <w:sz w:val="24"/>
          </w:rPr>
          <w:t>2023</w:t>
        </w:r>
        <w:r w:rsidRPr="00671071">
          <w:rPr>
            <w:rFonts w:hint="eastAsia"/>
            <w:sz w:val="24"/>
            <w:lang w:val="zh-CN"/>
          </w:rPr>
          <w:t>年</w:t>
        </w:r>
        <w:r w:rsidRPr="00671071">
          <w:rPr>
            <w:sz w:val="24"/>
          </w:rPr>
          <w:t>4</w:t>
        </w:r>
        <w:r w:rsidRPr="00671071">
          <w:rPr>
            <w:rFonts w:hint="eastAsia"/>
            <w:sz w:val="24"/>
            <w:lang w:val="zh-CN"/>
          </w:rPr>
          <w:t>月</w:t>
        </w:r>
        <w:r w:rsidRPr="00671071">
          <w:rPr>
            <w:sz w:val="24"/>
          </w:rPr>
          <w:t>10</w:t>
        </w:r>
        <w:r w:rsidRPr="00671071">
          <w:rPr>
            <w:rFonts w:hint="eastAsia"/>
            <w:sz w:val="24"/>
            <w:lang w:val="zh-CN"/>
          </w:rPr>
          <w:t>日</w:t>
        </w:r>
      </w:smartTag>
      <w:r w:rsidRPr="00671071">
        <w:rPr>
          <w:rFonts w:hint="eastAsia"/>
          <w:sz w:val="24"/>
          <w:lang w:val="zh-CN"/>
        </w:rPr>
        <w:t>至</w:t>
      </w:r>
      <w:r w:rsidRPr="00671071">
        <w:rPr>
          <w:sz w:val="24"/>
        </w:rPr>
        <w:t>25</w:t>
      </w:r>
      <w:r w:rsidRPr="00671071">
        <w:rPr>
          <w:rFonts w:hint="eastAsia"/>
          <w:sz w:val="24"/>
          <w:lang w:val="zh-CN"/>
        </w:rPr>
        <w:t>日召开了风险评估和风险管理问题不限成员名额在线论坛第一次会议</w:t>
      </w:r>
      <w:r w:rsidRPr="00671071">
        <w:rPr>
          <w:rFonts w:hint="eastAsia"/>
          <w:sz w:val="24"/>
        </w:rPr>
        <w:t>，</w:t>
      </w:r>
      <w:r w:rsidRPr="00671071">
        <w:rPr>
          <w:rFonts w:hint="eastAsia"/>
          <w:sz w:val="24"/>
          <w:lang w:val="zh-CN"/>
        </w:rPr>
        <w:t>收集了关于预备列入额外自愿指导意见大纲草案的各项要素的意见</w:t>
      </w:r>
      <w:r w:rsidRPr="00671071">
        <w:rPr>
          <w:rFonts w:hint="eastAsia"/>
          <w:sz w:val="24"/>
        </w:rPr>
        <w:t>，</w:t>
      </w:r>
      <w:r w:rsidRPr="00671071">
        <w:rPr>
          <w:rFonts w:hint="eastAsia"/>
          <w:sz w:val="24"/>
          <w:lang w:val="zh-CN"/>
        </w:rPr>
        <w:t>并于</w:t>
      </w:r>
      <w:smartTag w:uri="urn:schemas-microsoft-com:office:smarttags" w:element="chsdate">
        <w:smartTagPr>
          <w:attr w:name="Year" w:val="2014"/>
          <w:attr w:name="Month" w:val="10"/>
          <w:attr w:name="Day" w:val="3"/>
          <w:attr w:name="IsLunarDate" w:val="False"/>
          <w:attr w:name="IsROCDate" w:val="False"/>
        </w:smartTagPr>
        <w:r w:rsidRPr="00671071">
          <w:rPr>
            <w:sz w:val="24"/>
          </w:rPr>
          <w:t>2023</w:t>
        </w:r>
        <w:r w:rsidRPr="00671071">
          <w:rPr>
            <w:rFonts w:hint="eastAsia"/>
            <w:sz w:val="24"/>
            <w:lang w:val="zh-CN"/>
          </w:rPr>
          <w:t>年</w:t>
        </w:r>
        <w:r w:rsidRPr="00671071">
          <w:rPr>
            <w:sz w:val="24"/>
          </w:rPr>
          <w:t>8</w:t>
        </w:r>
        <w:r w:rsidRPr="00671071">
          <w:rPr>
            <w:rFonts w:hint="eastAsia"/>
            <w:sz w:val="24"/>
            <w:lang w:val="zh-CN"/>
          </w:rPr>
          <w:t>月</w:t>
        </w:r>
        <w:r w:rsidRPr="00671071">
          <w:rPr>
            <w:sz w:val="24"/>
          </w:rPr>
          <w:t>21</w:t>
        </w:r>
        <w:r w:rsidRPr="00671071">
          <w:rPr>
            <w:rFonts w:hint="eastAsia"/>
            <w:sz w:val="24"/>
            <w:lang w:val="zh-CN"/>
          </w:rPr>
          <w:t>日</w:t>
        </w:r>
      </w:smartTag>
      <w:r w:rsidRPr="00671071">
        <w:rPr>
          <w:rFonts w:hint="eastAsia"/>
          <w:sz w:val="24"/>
          <w:lang w:val="zh-CN"/>
        </w:rPr>
        <w:t>至</w:t>
      </w:r>
      <w:r w:rsidRPr="00671071">
        <w:rPr>
          <w:sz w:val="24"/>
        </w:rPr>
        <w:t>30</w:t>
      </w:r>
      <w:r w:rsidRPr="00671071">
        <w:rPr>
          <w:rFonts w:hint="eastAsia"/>
          <w:sz w:val="24"/>
          <w:lang w:val="zh-CN"/>
        </w:rPr>
        <w:t>日举行了第二次会议</w:t>
      </w:r>
      <w:r w:rsidRPr="00671071">
        <w:rPr>
          <w:rFonts w:hint="eastAsia"/>
          <w:sz w:val="24"/>
        </w:rPr>
        <w:t>，</w:t>
      </w:r>
      <w:r w:rsidRPr="00671071">
        <w:rPr>
          <w:rFonts w:hint="eastAsia"/>
          <w:sz w:val="24"/>
          <w:lang w:val="zh-CN"/>
        </w:rPr>
        <w:t>审议大纲草案。在第一次会议期间</w:t>
      </w:r>
      <w:r w:rsidRPr="00671071">
        <w:rPr>
          <w:rFonts w:hint="eastAsia"/>
          <w:sz w:val="24"/>
          <w:lang w:val="en-US"/>
        </w:rPr>
        <w:t>，</w:t>
      </w:r>
      <w:r w:rsidRPr="00671071">
        <w:rPr>
          <w:rFonts w:hint="eastAsia"/>
          <w:sz w:val="24"/>
          <w:lang w:val="zh-CN"/>
        </w:rPr>
        <w:t>来自</w:t>
      </w:r>
      <w:r w:rsidRPr="00671071">
        <w:rPr>
          <w:sz w:val="24"/>
          <w:lang w:val="en-US"/>
        </w:rPr>
        <w:t>17</w:t>
      </w:r>
      <w:r w:rsidRPr="00671071">
        <w:rPr>
          <w:rFonts w:hint="eastAsia"/>
          <w:sz w:val="24"/>
          <w:lang w:val="zh-CN"/>
        </w:rPr>
        <w:t>个缔约方、</w:t>
      </w:r>
      <w:r w:rsidRPr="00671071">
        <w:rPr>
          <w:sz w:val="24"/>
          <w:lang w:val="en-US"/>
        </w:rPr>
        <w:t>2</w:t>
      </w:r>
      <w:r w:rsidRPr="00671071">
        <w:rPr>
          <w:rFonts w:hint="eastAsia"/>
          <w:sz w:val="24"/>
          <w:lang w:val="zh-CN"/>
        </w:rPr>
        <w:t>个其他国家政府、</w:t>
      </w:r>
      <w:r w:rsidRPr="00671071">
        <w:rPr>
          <w:sz w:val="24"/>
          <w:lang w:val="en-US"/>
        </w:rPr>
        <w:t>16</w:t>
      </w:r>
      <w:r w:rsidRPr="00671071">
        <w:rPr>
          <w:rFonts w:hint="eastAsia"/>
          <w:sz w:val="24"/>
          <w:lang w:val="zh-CN"/>
        </w:rPr>
        <w:t>个组织以及</w:t>
      </w:r>
      <w:r w:rsidRPr="00671071">
        <w:rPr>
          <w:sz w:val="24"/>
          <w:lang w:val="en-US"/>
        </w:rPr>
        <w:t>1</w:t>
      </w:r>
      <w:r w:rsidRPr="00671071">
        <w:rPr>
          <w:rFonts w:hint="eastAsia"/>
          <w:sz w:val="24"/>
          <w:lang w:val="zh-CN"/>
        </w:rPr>
        <w:t>个土著人民和地方社区的代表作了</w:t>
      </w:r>
      <w:r w:rsidRPr="00671071">
        <w:rPr>
          <w:sz w:val="24"/>
          <w:lang w:val="en-US"/>
        </w:rPr>
        <w:t>130</w:t>
      </w:r>
      <w:r w:rsidRPr="00671071">
        <w:rPr>
          <w:rFonts w:hint="eastAsia"/>
          <w:sz w:val="24"/>
          <w:lang w:val="zh-CN"/>
        </w:rPr>
        <w:t>次发言。在第二次会议期间</w:t>
      </w:r>
      <w:r w:rsidRPr="00671071">
        <w:rPr>
          <w:rFonts w:hint="eastAsia"/>
          <w:sz w:val="24"/>
          <w:lang w:val="en-US"/>
        </w:rPr>
        <w:t>，</w:t>
      </w:r>
      <w:r w:rsidRPr="00671071">
        <w:rPr>
          <w:rFonts w:hint="eastAsia"/>
          <w:sz w:val="24"/>
          <w:lang w:val="zh-CN"/>
        </w:rPr>
        <w:t>来自</w:t>
      </w:r>
      <w:r w:rsidRPr="00671071">
        <w:rPr>
          <w:sz w:val="24"/>
          <w:lang w:val="en-US"/>
        </w:rPr>
        <w:t>14</w:t>
      </w:r>
      <w:r w:rsidRPr="00671071">
        <w:rPr>
          <w:rFonts w:hint="eastAsia"/>
          <w:sz w:val="24"/>
          <w:lang w:val="zh-CN"/>
        </w:rPr>
        <w:t>个缔约方、</w:t>
      </w:r>
      <w:r w:rsidRPr="00671071">
        <w:rPr>
          <w:sz w:val="24"/>
          <w:lang w:val="en-US"/>
        </w:rPr>
        <w:t>1</w:t>
      </w:r>
      <w:r w:rsidRPr="00671071">
        <w:rPr>
          <w:rFonts w:hint="eastAsia"/>
          <w:sz w:val="24"/>
          <w:lang w:val="zh-CN"/>
        </w:rPr>
        <w:t>个</w:t>
      </w:r>
      <w:r w:rsidRPr="00671071">
        <w:rPr>
          <w:rFonts w:hint="eastAsia"/>
          <w:sz w:val="24"/>
          <w:lang w:val="zh-CN"/>
        </w:rPr>
        <w:lastRenderedPageBreak/>
        <w:t>其他国家政府和</w:t>
      </w:r>
      <w:r w:rsidRPr="00671071">
        <w:rPr>
          <w:sz w:val="24"/>
          <w:lang w:val="en-US"/>
        </w:rPr>
        <w:t>15</w:t>
      </w:r>
      <w:r w:rsidRPr="00671071">
        <w:rPr>
          <w:rFonts w:hint="eastAsia"/>
          <w:sz w:val="24"/>
          <w:lang w:val="zh-CN"/>
        </w:rPr>
        <w:t>个组织的代表作了</w:t>
      </w:r>
      <w:r w:rsidRPr="00671071">
        <w:rPr>
          <w:sz w:val="24"/>
          <w:lang w:val="en-US"/>
        </w:rPr>
        <w:t>94</w:t>
      </w:r>
      <w:r w:rsidRPr="00671071">
        <w:rPr>
          <w:rFonts w:hint="eastAsia"/>
          <w:sz w:val="24"/>
          <w:lang w:val="zh-CN"/>
        </w:rPr>
        <w:t>次发言。在最终确定详细大纲时</w:t>
      </w:r>
      <w:r w:rsidRPr="00671071">
        <w:rPr>
          <w:rFonts w:hint="eastAsia"/>
          <w:sz w:val="24"/>
          <w:lang w:val="en-US"/>
        </w:rPr>
        <w:t>，</w:t>
      </w:r>
      <w:r w:rsidRPr="00671071">
        <w:rPr>
          <w:rFonts w:hint="eastAsia"/>
          <w:sz w:val="24"/>
          <w:lang w:val="zh-CN"/>
        </w:rPr>
        <w:t>对收到的意见进行了审议和汇总</w:t>
      </w:r>
      <w:r w:rsidRPr="00671071">
        <w:rPr>
          <w:rFonts w:hint="eastAsia"/>
          <w:sz w:val="24"/>
          <w:lang w:val="en-US"/>
        </w:rPr>
        <w:t>，</w:t>
      </w:r>
      <w:r w:rsidRPr="00671071">
        <w:rPr>
          <w:rFonts w:hint="eastAsia"/>
          <w:sz w:val="24"/>
          <w:lang w:val="zh-CN"/>
        </w:rPr>
        <w:t>该大纲成为专家组第一次会议的工作基础。</w:t>
      </w:r>
    </w:p>
    <w:p w14:paraId="33F7BAC6" w14:textId="77777777" w:rsidR="00CA5384" w:rsidRPr="00671071" w:rsidRDefault="00CA5384">
      <w:pPr>
        <w:pStyle w:val="Heading2"/>
        <w:numPr>
          <w:ilvl w:val="0"/>
          <w:numId w:val="38"/>
        </w:numPr>
        <w:suppressLineNumbers/>
        <w:topLinePunct/>
        <w:ind w:left="567" w:hanging="567"/>
        <w:rPr>
          <w:rFonts w:eastAsia="SimSun"/>
          <w:kern w:val="22"/>
          <w:szCs w:val="24"/>
        </w:rPr>
      </w:pPr>
      <w:r w:rsidRPr="00671071">
        <w:rPr>
          <w:rFonts w:eastAsia="SimSun" w:hint="eastAsia"/>
          <w:kern w:val="22"/>
          <w:szCs w:val="24"/>
          <w:lang w:val="zh-CN"/>
        </w:rPr>
        <w:t>风险评估问题特设技术专家组会议</w:t>
      </w:r>
    </w:p>
    <w:p w14:paraId="41C51D17" w14:textId="77777777" w:rsidR="00CA5384" w:rsidRPr="00671071" w:rsidRDefault="00CA5384">
      <w:pPr>
        <w:pStyle w:val="Para10"/>
        <w:topLinePunct/>
        <w:ind w:left="562" w:firstLine="0"/>
        <w:rPr>
          <w:sz w:val="24"/>
        </w:rPr>
      </w:pPr>
      <w:r w:rsidRPr="00671071">
        <w:rPr>
          <w:rFonts w:hint="eastAsia"/>
          <w:sz w:val="24"/>
          <w:lang w:val="zh-CN"/>
        </w:rPr>
        <w:t>专家组在欧洲联盟的财政支持下</w:t>
      </w:r>
      <w:r w:rsidRPr="00671071">
        <w:rPr>
          <w:rFonts w:hint="eastAsia"/>
          <w:sz w:val="24"/>
          <w:lang w:val="en-GB"/>
        </w:rPr>
        <w:t>，</w:t>
      </w:r>
      <w:r w:rsidRPr="00671071">
        <w:rPr>
          <w:rFonts w:hint="eastAsia"/>
          <w:sz w:val="24"/>
          <w:lang w:val="zh-CN"/>
        </w:rPr>
        <w:t>于</w:t>
      </w:r>
      <w:smartTag w:uri="urn:schemas-microsoft-com:office:smarttags" w:element="chsdate">
        <w:smartTagPr>
          <w:attr w:name="Year" w:val="2014"/>
          <w:attr w:name="Month" w:val="10"/>
          <w:attr w:name="Day" w:val="3"/>
          <w:attr w:name="IsLunarDate" w:val="False"/>
          <w:attr w:name="IsROCDate" w:val="False"/>
        </w:smartTagPr>
        <w:r w:rsidRPr="00671071">
          <w:rPr>
            <w:sz w:val="24"/>
            <w:lang w:val="en-GB"/>
          </w:rPr>
          <w:t>2023</w:t>
        </w:r>
        <w:r w:rsidRPr="00671071">
          <w:rPr>
            <w:rFonts w:hint="eastAsia"/>
            <w:sz w:val="24"/>
            <w:lang w:val="zh-CN"/>
          </w:rPr>
          <w:t>年</w:t>
        </w:r>
        <w:r w:rsidRPr="00671071">
          <w:rPr>
            <w:sz w:val="24"/>
            <w:lang w:val="en-GB"/>
          </w:rPr>
          <w:t>11</w:t>
        </w:r>
        <w:r w:rsidRPr="00671071">
          <w:rPr>
            <w:rFonts w:hint="eastAsia"/>
            <w:sz w:val="24"/>
            <w:lang w:val="zh-CN"/>
          </w:rPr>
          <w:t>月</w:t>
        </w:r>
        <w:r w:rsidRPr="00671071">
          <w:rPr>
            <w:sz w:val="24"/>
            <w:lang w:val="en-GB"/>
          </w:rPr>
          <w:t>1</w:t>
        </w:r>
        <w:r w:rsidRPr="00671071">
          <w:rPr>
            <w:rFonts w:hint="eastAsia"/>
            <w:sz w:val="24"/>
            <w:lang w:val="zh-CN"/>
          </w:rPr>
          <w:t>日</w:t>
        </w:r>
      </w:smartTag>
      <w:r w:rsidRPr="00671071">
        <w:rPr>
          <w:rFonts w:hint="eastAsia"/>
          <w:sz w:val="24"/>
          <w:lang w:val="zh-CN"/>
        </w:rPr>
        <w:t>至</w:t>
      </w:r>
      <w:r w:rsidRPr="00671071">
        <w:rPr>
          <w:sz w:val="24"/>
          <w:lang w:val="en-GB"/>
        </w:rPr>
        <w:t>3</w:t>
      </w:r>
      <w:r w:rsidRPr="00671071">
        <w:rPr>
          <w:rFonts w:hint="eastAsia"/>
          <w:sz w:val="24"/>
          <w:lang w:val="zh-CN"/>
        </w:rPr>
        <w:t>日和</w:t>
      </w:r>
      <w:smartTag w:uri="urn:schemas-microsoft-com:office:smarttags" w:element="chsdate">
        <w:smartTagPr>
          <w:attr w:name="Year" w:val="2014"/>
          <w:attr w:name="Month" w:val="10"/>
          <w:attr w:name="Day" w:val="3"/>
          <w:attr w:name="IsLunarDate" w:val="False"/>
          <w:attr w:name="IsROCDate" w:val="False"/>
        </w:smartTagPr>
        <w:r w:rsidRPr="00671071">
          <w:rPr>
            <w:sz w:val="24"/>
            <w:lang w:val="en-GB"/>
          </w:rPr>
          <w:t>2024</w:t>
        </w:r>
        <w:r w:rsidRPr="00671071">
          <w:rPr>
            <w:rFonts w:hint="eastAsia"/>
            <w:sz w:val="24"/>
            <w:lang w:val="zh-CN"/>
          </w:rPr>
          <w:t>年</w:t>
        </w:r>
        <w:r w:rsidRPr="00671071">
          <w:rPr>
            <w:sz w:val="24"/>
            <w:lang w:val="en-GB"/>
          </w:rPr>
          <w:t>2</w:t>
        </w:r>
        <w:r w:rsidRPr="00671071">
          <w:rPr>
            <w:rFonts w:hint="eastAsia"/>
            <w:sz w:val="24"/>
            <w:lang w:val="zh-CN"/>
          </w:rPr>
          <w:t>月</w:t>
        </w:r>
        <w:r w:rsidRPr="00671071">
          <w:rPr>
            <w:sz w:val="24"/>
            <w:lang w:val="en-GB"/>
          </w:rPr>
          <w:t>27</w:t>
        </w:r>
        <w:r w:rsidRPr="00671071">
          <w:rPr>
            <w:rFonts w:hint="eastAsia"/>
            <w:sz w:val="24"/>
            <w:lang w:val="zh-CN"/>
          </w:rPr>
          <w:t>日</w:t>
        </w:r>
      </w:smartTag>
      <w:r w:rsidRPr="00671071">
        <w:rPr>
          <w:rFonts w:hint="eastAsia"/>
          <w:sz w:val="24"/>
          <w:lang w:val="zh-CN"/>
        </w:rPr>
        <w:t>至</w:t>
      </w:r>
      <w:smartTag w:uri="urn:schemas-microsoft-com:office:smarttags" w:element="chsdate">
        <w:smartTagPr>
          <w:attr w:name="Year" w:val="2014"/>
          <w:attr w:name="Month" w:val="10"/>
          <w:attr w:name="Day" w:val="3"/>
          <w:attr w:name="IsLunarDate" w:val="False"/>
          <w:attr w:name="IsROCDate" w:val="False"/>
        </w:smartTagPr>
        <w:r w:rsidRPr="00671071">
          <w:rPr>
            <w:sz w:val="24"/>
            <w:lang w:val="en-GB"/>
          </w:rPr>
          <w:t>3</w:t>
        </w:r>
        <w:r w:rsidRPr="00671071">
          <w:rPr>
            <w:rFonts w:hint="eastAsia"/>
            <w:sz w:val="24"/>
            <w:lang w:val="zh-CN"/>
          </w:rPr>
          <w:t>月</w:t>
        </w:r>
        <w:r w:rsidRPr="00671071">
          <w:rPr>
            <w:sz w:val="24"/>
            <w:lang w:val="en-GB"/>
          </w:rPr>
          <w:t>1</w:t>
        </w:r>
        <w:r w:rsidRPr="00671071">
          <w:rPr>
            <w:rFonts w:hint="eastAsia"/>
            <w:sz w:val="24"/>
            <w:lang w:val="zh-CN"/>
          </w:rPr>
          <w:t>日</w:t>
        </w:r>
      </w:smartTag>
      <w:r w:rsidRPr="00671071">
        <w:rPr>
          <w:rFonts w:hint="eastAsia"/>
          <w:sz w:val="24"/>
          <w:lang w:val="zh-CN"/>
        </w:rPr>
        <w:t>举行了两次会议。专家组还利用虚拟方式开展工作以及在线举行会议。在第一次会议上</w:t>
      </w:r>
      <w:r w:rsidRPr="00671071">
        <w:rPr>
          <w:rFonts w:hint="eastAsia"/>
          <w:sz w:val="24"/>
          <w:lang w:val="en-US"/>
        </w:rPr>
        <w:t>，</w:t>
      </w:r>
      <w:r w:rsidRPr="00671071">
        <w:rPr>
          <w:rFonts w:hint="eastAsia"/>
          <w:sz w:val="24"/>
          <w:lang w:val="zh-CN"/>
        </w:rPr>
        <w:t>专家组同意采用制定问题的方法</w:t>
      </w:r>
      <w:r w:rsidRPr="00671071">
        <w:rPr>
          <w:rFonts w:hint="eastAsia"/>
          <w:sz w:val="24"/>
          <w:lang w:val="en-US"/>
        </w:rPr>
        <w:t>，</w:t>
      </w:r>
      <w:r w:rsidRPr="00671071">
        <w:rPr>
          <w:rFonts w:hint="eastAsia"/>
          <w:sz w:val="24"/>
          <w:lang w:val="zh-CN"/>
        </w:rPr>
        <w:t>并就文件结构达成一致。第二次会议完成了制定指导意见的工作以及分析了改性活生物体风险评估的新问题。</w:t>
      </w:r>
    </w:p>
    <w:p w14:paraId="41F9C90E" w14:textId="77777777" w:rsidR="00CA5384" w:rsidRPr="00671071" w:rsidRDefault="00CA5384">
      <w:pPr>
        <w:pStyle w:val="Para10"/>
        <w:topLinePunct/>
        <w:ind w:left="562" w:firstLine="0"/>
        <w:rPr>
          <w:sz w:val="24"/>
        </w:rPr>
      </w:pPr>
      <w:r w:rsidRPr="00671071">
        <w:rPr>
          <w:rFonts w:hint="eastAsia"/>
          <w:sz w:val="24"/>
          <w:lang w:val="zh-CN"/>
        </w:rPr>
        <w:t>指导意见是由</w:t>
      </w:r>
      <w:r w:rsidRPr="00671071">
        <w:rPr>
          <w:rFonts w:hint="eastAsia"/>
          <w:color w:val="000000"/>
          <w:sz w:val="24"/>
          <w:lang w:val="zh-CN"/>
        </w:rPr>
        <w:t>区域代表性均衡</w:t>
      </w:r>
      <w:r w:rsidRPr="00671071">
        <w:rPr>
          <w:rFonts w:hint="eastAsia"/>
          <w:sz w:val="24"/>
          <w:lang w:val="zh-CN"/>
        </w:rPr>
        <w:t>的起草小组在专家组两次会议的休会期间制定的。专家组依照其职权范围</w:t>
      </w:r>
      <w:r w:rsidRPr="00671071">
        <w:rPr>
          <w:rFonts w:hint="eastAsia"/>
          <w:sz w:val="24"/>
          <w:lang w:val="en-US"/>
        </w:rPr>
        <w:t>，</w:t>
      </w:r>
      <w:r w:rsidRPr="00671071">
        <w:rPr>
          <w:rFonts w:hint="eastAsia"/>
          <w:sz w:val="24"/>
          <w:lang w:val="zh-CN"/>
        </w:rPr>
        <w:t>制定了额外的自愿指导意见</w:t>
      </w:r>
      <w:r w:rsidRPr="00671071">
        <w:rPr>
          <w:rFonts w:hint="eastAsia"/>
          <w:sz w:val="24"/>
          <w:lang w:val="en-US"/>
        </w:rPr>
        <w:t>，</w:t>
      </w:r>
      <w:r w:rsidRPr="00671071">
        <w:rPr>
          <w:rFonts w:hint="eastAsia"/>
          <w:sz w:val="24"/>
          <w:lang w:val="zh-CN"/>
        </w:rPr>
        <w:t>以便依照《议定书》附件三对含有人工基因驱动技术的改性活生物体进行个案风险评估</w:t>
      </w:r>
      <w:r w:rsidRPr="00671071">
        <w:rPr>
          <w:rFonts w:hint="eastAsia"/>
          <w:sz w:val="24"/>
          <w:lang w:val="en-US"/>
        </w:rPr>
        <w:t>，</w:t>
      </w:r>
      <w:r w:rsidRPr="00671071">
        <w:rPr>
          <w:rFonts w:hint="eastAsia"/>
          <w:sz w:val="24"/>
          <w:lang w:val="zh-CN"/>
        </w:rPr>
        <w:t>而指导意见的具体重点是针对使用人工基因驱动技术的蚊子。</w:t>
      </w:r>
    </w:p>
    <w:p w14:paraId="26A305CA" w14:textId="77777777" w:rsidR="00CA5384" w:rsidRPr="00671071" w:rsidRDefault="00CA5384">
      <w:pPr>
        <w:pStyle w:val="Para10"/>
        <w:topLinePunct/>
        <w:ind w:left="562" w:firstLine="0"/>
        <w:rPr>
          <w:sz w:val="24"/>
        </w:rPr>
      </w:pPr>
      <w:r w:rsidRPr="00671071">
        <w:rPr>
          <w:rFonts w:hint="eastAsia"/>
          <w:sz w:val="24"/>
          <w:lang w:val="zh-CN"/>
        </w:rPr>
        <w:t>专家组第一次会议的报告作为</w:t>
      </w:r>
      <w:r w:rsidRPr="00671071">
        <w:rPr>
          <w:sz w:val="24"/>
        </w:rPr>
        <w:t>CBD/CP/RA/AHTEG/</w:t>
      </w:r>
      <w:smartTag w:uri="urn:schemas-microsoft-com:office:smarttags" w:element="chsdate">
        <w:smartTagPr>
          <w:attr w:name="Year" w:val="2014"/>
          <w:attr w:name="Month" w:val="10"/>
          <w:attr w:name="Day" w:val="3"/>
          <w:attr w:name="IsLunarDate" w:val="False"/>
          <w:attr w:name="IsROCDate" w:val="False"/>
        </w:smartTagPr>
        <w:r w:rsidRPr="00671071">
          <w:rPr>
            <w:sz w:val="24"/>
          </w:rPr>
          <w:t>2023/1/4</w:t>
        </w:r>
      </w:smartTag>
      <w:r w:rsidRPr="00671071">
        <w:rPr>
          <w:rFonts w:hint="eastAsia"/>
          <w:sz w:val="24"/>
          <w:lang w:val="zh-CN"/>
        </w:rPr>
        <w:t>号文件印发</w:t>
      </w:r>
      <w:r w:rsidRPr="00671071">
        <w:rPr>
          <w:rFonts w:hint="eastAsia"/>
          <w:sz w:val="24"/>
        </w:rPr>
        <w:t>，</w:t>
      </w:r>
      <w:r w:rsidRPr="00671071">
        <w:rPr>
          <w:rFonts w:hint="eastAsia"/>
          <w:sz w:val="24"/>
          <w:lang w:val="zh-CN"/>
        </w:rPr>
        <w:t>第二次会议的报告将作为</w:t>
      </w:r>
      <w:r w:rsidRPr="00671071">
        <w:rPr>
          <w:sz w:val="24"/>
        </w:rPr>
        <w:t>CBD/CP/RA/AHTEG/</w:t>
      </w:r>
      <w:smartTag w:uri="urn:schemas-microsoft-com:office:smarttags" w:element="chsdate">
        <w:smartTagPr>
          <w:attr w:name="Year" w:val="2014"/>
          <w:attr w:name="Month" w:val="10"/>
          <w:attr w:name="Day" w:val="3"/>
          <w:attr w:name="IsLunarDate" w:val="False"/>
          <w:attr w:name="IsROCDate" w:val="False"/>
        </w:smartTagPr>
        <w:r w:rsidRPr="00671071">
          <w:rPr>
            <w:sz w:val="24"/>
          </w:rPr>
          <w:t>2024/1/3</w:t>
        </w:r>
      </w:smartTag>
      <w:r w:rsidRPr="00671071">
        <w:rPr>
          <w:rFonts w:hint="eastAsia"/>
          <w:sz w:val="24"/>
          <w:lang w:val="zh-CN"/>
        </w:rPr>
        <w:t>号文件印发。</w:t>
      </w:r>
    </w:p>
    <w:p w14:paraId="5721D8D8" w14:textId="77777777" w:rsidR="00CA5384" w:rsidRPr="00671071" w:rsidRDefault="00CA5384">
      <w:pPr>
        <w:pStyle w:val="Heading2"/>
        <w:numPr>
          <w:ilvl w:val="0"/>
          <w:numId w:val="38"/>
        </w:numPr>
        <w:suppressLineNumbers/>
        <w:topLinePunct/>
        <w:ind w:left="567" w:hanging="567"/>
        <w:rPr>
          <w:rFonts w:eastAsia="SimSun"/>
          <w:kern w:val="22"/>
          <w:szCs w:val="24"/>
        </w:rPr>
      </w:pPr>
      <w:r w:rsidRPr="00671071">
        <w:rPr>
          <w:rFonts w:eastAsia="SimSun" w:hint="eastAsia"/>
          <w:kern w:val="22"/>
          <w:szCs w:val="24"/>
          <w:lang w:val="zh-CN"/>
        </w:rPr>
        <w:t>额外自愿指导意见概述</w:t>
      </w:r>
    </w:p>
    <w:p w14:paraId="4888B4BA" w14:textId="77777777" w:rsidR="00CA5384" w:rsidRPr="00671071" w:rsidRDefault="00CA5384">
      <w:pPr>
        <w:pStyle w:val="Para10"/>
        <w:topLinePunct/>
        <w:ind w:left="562" w:firstLine="0"/>
        <w:rPr>
          <w:sz w:val="24"/>
        </w:rPr>
      </w:pPr>
      <w:r w:rsidRPr="00671071">
        <w:rPr>
          <w:rFonts w:hint="eastAsia"/>
          <w:sz w:val="24"/>
          <w:lang w:val="zh-CN"/>
        </w:rPr>
        <w:t>指导意见旨在通过提供额外的结构并更加注重第</w:t>
      </w:r>
      <w:r w:rsidRPr="00671071">
        <w:rPr>
          <w:sz w:val="24"/>
          <w:lang w:val="en-GB"/>
        </w:rPr>
        <w:t>8(a)</w:t>
      </w:r>
      <w:r w:rsidRPr="00671071">
        <w:rPr>
          <w:rFonts w:hint="eastAsia"/>
          <w:sz w:val="24"/>
          <w:lang w:val="zh-CN"/>
        </w:rPr>
        <w:t>和</w:t>
      </w:r>
      <w:r w:rsidRPr="00671071">
        <w:rPr>
          <w:sz w:val="24"/>
          <w:lang w:val="en-GB"/>
        </w:rPr>
        <w:t>(b)</w:t>
      </w:r>
      <w:r w:rsidRPr="00671071">
        <w:rPr>
          <w:rFonts w:hint="eastAsia"/>
          <w:sz w:val="24"/>
          <w:lang w:val="zh-CN"/>
        </w:rPr>
        <w:t>分段概述的步骤</w:t>
      </w:r>
      <w:r w:rsidRPr="00671071">
        <w:rPr>
          <w:rFonts w:hint="eastAsia"/>
          <w:sz w:val="24"/>
          <w:lang w:val="en-GB"/>
        </w:rPr>
        <w:t>，</w:t>
      </w:r>
      <w:r w:rsidRPr="00671071">
        <w:rPr>
          <w:rFonts w:hint="eastAsia"/>
          <w:sz w:val="24"/>
          <w:lang w:val="zh-CN"/>
        </w:rPr>
        <w:t>即采用制定问题的方法</w:t>
      </w:r>
      <w:r w:rsidRPr="00671071">
        <w:rPr>
          <w:rFonts w:hint="eastAsia"/>
          <w:sz w:val="24"/>
          <w:lang w:val="en-GB"/>
        </w:rPr>
        <w:t>，</w:t>
      </w:r>
      <w:r w:rsidRPr="00671071">
        <w:rPr>
          <w:rFonts w:hint="eastAsia"/>
          <w:sz w:val="24"/>
          <w:lang w:val="zh-CN"/>
        </w:rPr>
        <w:t>以支持《议定书》附件三的实施</w:t>
      </w:r>
      <w:r w:rsidRPr="00671071">
        <w:rPr>
          <w:rFonts w:hint="eastAsia"/>
          <w:sz w:val="24"/>
          <w:lang w:val="en-GB"/>
        </w:rPr>
        <w:t>，</w:t>
      </w:r>
      <w:r w:rsidRPr="00671071">
        <w:rPr>
          <w:rFonts w:hint="eastAsia"/>
          <w:sz w:val="24"/>
          <w:lang w:val="zh-CN"/>
        </w:rPr>
        <w:t>同时提高风险评估过程的透明度。制定问题的方法可通过以下五个步骤实施</w:t>
      </w:r>
      <w:r w:rsidRPr="00671071">
        <w:rPr>
          <w:rFonts w:hint="eastAsia"/>
          <w:sz w:val="24"/>
          <w:lang w:val="en-US"/>
        </w:rPr>
        <w:t>：（</w:t>
      </w:r>
      <w:r w:rsidRPr="00671071">
        <w:rPr>
          <w:sz w:val="24"/>
          <w:lang w:val="en-US"/>
        </w:rPr>
        <w:t>a</w:t>
      </w:r>
      <w:r w:rsidRPr="00671071">
        <w:rPr>
          <w:rFonts w:hint="eastAsia"/>
          <w:sz w:val="24"/>
          <w:lang w:val="en-US"/>
        </w:rPr>
        <w:t>）</w:t>
      </w:r>
      <w:r w:rsidRPr="00671071">
        <w:rPr>
          <w:rFonts w:hint="eastAsia"/>
          <w:sz w:val="24"/>
          <w:lang w:val="zh-CN"/>
        </w:rPr>
        <w:t>确定保护目标并设定评估终点</w:t>
      </w:r>
      <w:r w:rsidRPr="00671071">
        <w:rPr>
          <w:rFonts w:hint="eastAsia"/>
          <w:sz w:val="24"/>
          <w:lang w:val="en-US"/>
        </w:rPr>
        <w:t>；（</w:t>
      </w:r>
      <w:r w:rsidRPr="00671071">
        <w:rPr>
          <w:sz w:val="24"/>
          <w:lang w:val="en-US"/>
        </w:rPr>
        <w:t>b</w:t>
      </w:r>
      <w:r w:rsidRPr="00671071">
        <w:rPr>
          <w:rFonts w:hint="eastAsia"/>
          <w:sz w:val="24"/>
          <w:lang w:val="en-US"/>
        </w:rPr>
        <w:t>）</w:t>
      </w:r>
      <w:r w:rsidRPr="00671071">
        <w:rPr>
          <w:rFonts w:hint="eastAsia"/>
          <w:sz w:val="24"/>
          <w:lang w:val="zh-CN"/>
        </w:rPr>
        <w:t>确定对评估终点的潜在不利影响</w:t>
      </w:r>
      <w:r w:rsidRPr="00671071">
        <w:rPr>
          <w:rFonts w:hint="eastAsia"/>
          <w:sz w:val="24"/>
          <w:lang w:val="en-US"/>
        </w:rPr>
        <w:t>；（</w:t>
      </w:r>
      <w:r w:rsidRPr="00671071">
        <w:rPr>
          <w:sz w:val="24"/>
          <w:lang w:val="en-US"/>
        </w:rPr>
        <w:t>c</w:t>
      </w:r>
      <w:r w:rsidRPr="00671071">
        <w:rPr>
          <w:rFonts w:hint="eastAsia"/>
          <w:sz w:val="24"/>
          <w:lang w:val="en-US"/>
        </w:rPr>
        <w:t>）</w:t>
      </w:r>
      <w:r w:rsidRPr="00671071">
        <w:rPr>
          <w:rFonts w:hint="eastAsia"/>
          <w:sz w:val="24"/>
          <w:lang w:val="zh-CN"/>
        </w:rPr>
        <w:t>得出可能造成伤害的途径</w:t>
      </w:r>
      <w:r w:rsidRPr="00671071">
        <w:rPr>
          <w:rFonts w:hint="eastAsia"/>
          <w:sz w:val="24"/>
          <w:lang w:val="en-US"/>
        </w:rPr>
        <w:t>；（</w:t>
      </w:r>
      <w:r w:rsidRPr="00671071">
        <w:rPr>
          <w:sz w:val="24"/>
          <w:lang w:val="en-US"/>
        </w:rPr>
        <w:t>d</w:t>
      </w:r>
      <w:r w:rsidRPr="00671071">
        <w:rPr>
          <w:rFonts w:hint="eastAsia"/>
          <w:sz w:val="24"/>
          <w:lang w:val="en-US"/>
        </w:rPr>
        <w:t>）</w:t>
      </w:r>
      <w:r w:rsidRPr="00671071">
        <w:rPr>
          <w:rFonts w:hint="eastAsia"/>
          <w:sz w:val="24"/>
          <w:lang w:val="zh-CN"/>
        </w:rPr>
        <w:t>制定风险假设</w:t>
      </w:r>
      <w:r w:rsidRPr="00671071">
        <w:rPr>
          <w:rFonts w:hint="eastAsia"/>
          <w:sz w:val="24"/>
          <w:lang w:val="en-US"/>
        </w:rPr>
        <w:t>；（</w:t>
      </w:r>
      <w:r w:rsidRPr="00671071">
        <w:rPr>
          <w:sz w:val="24"/>
          <w:lang w:val="en-US"/>
        </w:rPr>
        <w:t>e</w:t>
      </w:r>
      <w:r w:rsidRPr="00671071">
        <w:rPr>
          <w:rFonts w:hint="eastAsia"/>
          <w:sz w:val="24"/>
          <w:lang w:val="en-US"/>
        </w:rPr>
        <w:t>）</w:t>
      </w:r>
      <w:r w:rsidRPr="00671071">
        <w:rPr>
          <w:rFonts w:hint="eastAsia"/>
          <w:sz w:val="24"/>
          <w:lang w:val="zh-CN"/>
        </w:rPr>
        <w:t>利益攸关方的参与。</w:t>
      </w:r>
      <w:r w:rsidRPr="00671071">
        <w:rPr>
          <w:sz w:val="24"/>
        </w:rPr>
        <w:t xml:space="preserve"> </w:t>
      </w:r>
    </w:p>
    <w:p w14:paraId="3F8A30BE" w14:textId="77777777" w:rsidR="00CA5384" w:rsidRPr="00671071" w:rsidRDefault="00CA5384">
      <w:pPr>
        <w:pStyle w:val="Para10"/>
        <w:topLinePunct/>
        <w:ind w:left="562" w:firstLine="0"/>
        <w:rPr>
          <w:sz w:val="24"/>
        </w:rPr>
      </w:pPr>
      <w:r w:rsidRPr="00671071">
        <w:rPr>
          <w:rFonts w:hint="eastAsia"/>
          <w:sz w:val="24"/>
          <w:lang w:val="zh-CN"/>
        </w:rPr>
        <w:t>按照风险评估的问题制定方法</w:t>
      </w:r>
      <w:r w:rsidRPr="00671071">
        <w:rPr>
          <w:rFonts w:hint="eastAsia"/>
          <w:sz w:val="24"/>
        </w:rPr>
        <w:t>，</w:t>
      </w:r>
      <w:r w:rsidRPr="00671071">
        <w:rPr>
          <w:rFonts w:hint="eastAsia"/>
          <w:sz w:val="24"/>
          <w:lang w:val="zh-CN"/>
        </w:rPr>
        <w:t>指导意见说明了如何评估对评估终点造成的危害、如何表明总体风险特征、如何就风险的接受和管理提供建议、如何确定风险管理战略以及如何实施监测</w:t>
      </w:r>
      <w:r w:rsidRPr="00671071">
        <w:rPr>
          <w:rFonts w:hint="eastAsia"/>
          <w:sz w:val="24"/>
        </w:rPr>
        <w:t>，</w:t>
      </w:r>
      <w:r w:rsidRPr="00671071">
        <w:rPr>
          <w:rFonts w:hint="eastAsia"/>
          <w:sz w:val="24"/>
          <w:lang w:val="zh-CN"/>
        </w:rPr>
        <w:t>它们对应了《议定书》附件三第</w:t>
      </w:r>
      <w:r w:rsidRPr="00671071">
        <w:rPr>
          <w:sz w:val="24"/>
        </w:rPr>
        <w:t>8(c)</w:t>
      </w:r>
      <w:r w:rsidRPr="00671071">
        <w:rPr>
          <w:rFonts w:hint="eastAsia"/>
          <w:sz w:val="24"/>
          <w:lang w:val="zh-CN"/>
        </w:rPr>
        <w:t>至</w:t>
      </w:r>
      <w:r w:rsidRPr="00671071">
        <w:rPr>
          <w:sz w:val="24"/>
        </w:rPr>
        <w:t>(f)</w:t>
      </w:r>
      <w:r w:rsidRPr="00671071">
        <w:rPr>
          <w:rFonts w:hint="eastAsia"/>
          <w:sz w:val="24"/>
          <w:lang w:val="zh-CN"/>
        </w:rPr>
        <w:t>分段概述的步骤。此外</w:t>
      </w:r>
      <w:r w:rsidRPr="00671071">
        <w:rPr>
          <w:rFonts w:hint="eastAsia"/>
          <w:sz w:val="24"/>
          <w:lang w:val="en-US"/>
        </w:rPr>
        <w:t>，</w:t>
      </w:r>
      <w:r w:rsidRPr="00671071">
        <w:rPr>
          <w:rFonts w:hint="eastAsia"/>
          <w:sz w:val="24"/>
          <w:lang w:val="zh-CN"/>
        </w:rPr>
        <w:t>与总体决策过程相关的问题都已纳入指导意见的最后部分。</w:t>
      </w:r>
      <w:r w:rsidRPr="00671071">
        <w:rPr>
          <w:sz w:val="24"/>
        </w:rPr>
        <w:t xml:space="preserve"> </w:t>
      </w:r>
    </w:p>
    <w:p w14:paraId="337CB574" w14:textId="77777777" w:rsidR="00CA5384" w:rsidRPr="00671071" w:rsidRDefault="00CA5384">
      <w:pPr>
        <w:pStyle w:val="Para10"/>
        <w:topLinePunct/>
        <w:ind w:left="562" w:firstLine="0"/>
        <w:rPr>
          <w:sz w:val="24"/>
        </w:rPr>
      </w:pPr>
      <w:r w:rsidRPr="00671071">
        <w:rPr>
          <w:rFonts w:hint="eastAsia"/>
          <w:sz w:val="24"/>
          <w:lang w:val="zh-CN"/>
        </w:rPr>
        <w:t>所附的附件还提供了有关建模、不确定性、世界卫生组织</w:t>
      </w:r>
      <w:r w:rsidRPr="00671071">
        <w:rPr>
          <w:rFonts w:eastAsia="KaiTi" w:hint="eastAsia"/>
          <w:sz w:val="24"/>
          <w:lang w:val="zh-CN"/>
        </w:rPr>
        <w:t>测试转基因蚊子的指导框架</w:t>
      </w:r>
      <w:r w:rsidRPr="00671071">
        <w:rPr>
          <w:rFonts w:hint="eastAsia"/>
          <w:sz w:val="24"/>
          <w:lang w:val="zh-CN"/>
        </w:rPr>
        <w:t>、蚊科分类学、蚊子媒介的疾病、蚊子人工基因驱动技术系统发展前景等问题的更多细节。</w:t>
      </w:r>
    </w:p>
    <w:p w14:paraId="5249E11B" w14:textId="77777777" w:rsidR="00CA5384" w:rsidRPr="00671071" w:rsidRDefault="00CA5384">
      <w:pPr>
        <w:pStyle w:val="Para10"/>
        <w:topLinePunct/>
        <w:ind w:left="562" w:firstLine="0"/>
        <w:rPr>
          <w:sz w:val="24"/>
        </w:rPr>
      </w:pPr>
      <w:r w:rsidRPr="00671071">
        <w:rPr>
          <w:rFonts w:hint="eastAsia"/>
          <w:sz w:val="24"/>
          <w:lang w:val="zh-CN"/>
        </w:rPr>
        <w:t>此外</w:t>
      </w:r>
      <w:r w:rsidRPr="00671071">
        <w:rPr>
          <w:rFonts w:hint="eastAsia"/>
          <w:sz w:val="24"/>
        </w:rPr>
        <w:t>，</w:t>
      </w:r>
      <w:r w:rsidRPr="00671071">
        <w:rPr>
          <w:rFonts w:hint="eastAsia"/>
          <w:sz w:val="24"/>
          <w:lang w:val="zh-CN"/>
        </w:rPr>
        <w:t>针对蚊子的具体内容已纳入指导意见的文本框中</w:t>
      </w:r>
      <w:r w:rsidRPr="00671071">
        <w:rPr>
          <w:rFonts w:hint="eastAsia"/>
          <w:sz w:val="24"/>
        </w:rPr>
        <w:t>，</w:t>
      </w:r>
      <w:r w:rsidRPr="00671071">
        <w:rPr>
          <w:rFonts w:hint="eastAsia"/>
          <w:sz w:val="24"/>
          <w:lang w:val="zh-CN"/>
        </w:rPr>
        <w:t>以满足</w:t>
      </w:r>
      <w:r w:rsidRPr="00671071">
        <w:rPr>
          <w:sz w:val="24"/>
        </w:rPr>
        <w:t>CP-10/10</w:t>
      </w:r>
      <w:r w:rsidRPr="00671071">
        <w:rPr>
          <w:rFonts w:hint="eastAsia"/>
          <w:sz w:val="24"/>
          <w:lang w:val="zh-CN"/>
        </w:rPr>
        <w:t>号决定要求的对蚊子的具体关注。</w:t>
      </w:r>
    </w:p>
    <w:p w14:paraId="774DAAF6" w14:textId="77777777" w:rsidR="00CA5384" w:rsidRDefault="00CA5384">
      <w:pPr>
        <w:pStyle w:val="Para10"/>
        <w:topLinePunct/>
        <w:ind w:left="562" w:firstLine="0"/>
      </w:pPr>
      <w:r w:rsidRPr="00671071">
        <w:rPr>
          <w:rFonts w:hint="eastAsia"/>
          <w:sz w:val="24"/>
          <w:lang w:val="zh-CN"/>
        </w:rPr>
        <w:t>依照</w:t>
      </w:r>
      <w:r w:rsidRPr="00671071">
        <w:rPr>
          <w:sz w:val="24"/>
        </w:rPr>
        <w:t>CP-10/10</w:t>
      </w:r>
      <w:r w:rsidRPr="00671071">
        <w:rPr>
          <w:rFonts w:hint="eastAsia"/>
          <w:sz w:val="24"/>
          <w:lang w:val="zh-CN"/>
        </w:rPr>
        <w:t>号决定</w:t>
      </w:r>
      <w:r w:rsidRPr="00671071">
        <w:rPr>
          <w:rFonts w:hint="eastAsia"/>
          <w:sz w:val="24"/>
        </w:rPr>
        <w:t>，</w:t>
      </w:r>
      <w:r w:rsidRPr="00671071">
        <w:rPr>
          <w:rFonts w:hint="eastAsia"/>
          <w:sz w:val="24"/>
          <w:lang w:val="zh-CN"/>
        </w:rPr>
        <w:t>指导意见考虑了现有报告、含有人工基因驱动技术的改性活生物体的一般考虑以及国家和区域风险评估的现有经验。这些指导意见载于</w:t>
      </w:r>
      <w:r w:rsidRPr="00671071">
        <w:rPr>
          <w:sz w:val="24"/>
        </w:rPr>
        <w:t>CBD/SBSTTA/26/5/Add.1</w:t>
      </w:r>
      <w:r w:rsidRPr="00671071">
        <w:rPr>
          <w:rFonts w:hint="eastAsia"/>
          <w:sz w:val="24"/>
          <w:lang w:val="zh-CN"/>
        </w:rPr>
        <w:t>号文件。</w:t>
      </w:r>
      <w:r>
        <w:t xml:space="preserve"> </w:t>
      </w:r>
    </w:p>
    <w:p w14:paraId="79A49D9E" w14:textId="77777777" w:rsidR="00CA5384" w:rsidRPr="00671071" w:rsidRDefault="00CA5384" w:rsidP="00671071">
      <w:pPr>
        <w:pStyle w:val="Heading1"/>
        <w:numPr>
          <w:ilvl w:val="0"/>
          <w:numId w:val="0"/>
        </w:numPr>
        <w:topLinePunct/>
        <w:ind w:left="562" w:hangingChars="200" w:hanging="562"/>
        <w:rPr>
          <w:rFonts w:ascii="SimSun" w:eastAsia="SimSun"/>
          <w:bCs w:val="0"/>
          <w:szCs w:val="24"/>
        </w:rPr>
      </w:pPr>
      <w:r w:rsidRPr="00671071">
        <w:rPr>
          <w:rFonts w:ascii="SimSun" w:eastAsia="SimSun" w:hint="eastAsia"/>
          <w:bCs w:val="0"/>
          <w:szCs w:val="24"/>
          <w:lang w:val="en-US"/>
        </w:rPr>
        <w:t>三</w:t>
      </w:r>
      <w:r w:rsidRPr="00671071">
        <w:rPr>
          <w:rFonts w:ascii="SimSun" w:eastAsia="SimSun"/>
          <w:bCs w:val="0"/>
          <w:szCs w:val="24"/>
          <w:lang w:val="en-US"/>
        </w:rPr>
        <w:t>.</w:t>
      </w:r>
      <w:r w:rsidRPr="00671071">
        <w:rPr>
          <w:rFonts w:ascii="SimSun" w:eastAsia="SimSun"/>
          <w:bCs w:val="0"/>
          <w:szCs w:val="24"/>
          <w:lang w:val="en-US"/>
        </w:rPr>
        <w:tab/>
      </w:r>
      <w:r w:rsidRPr="00671071">
        <w:rPr>
          <w:rFonts w:ascii="SimSun" w:eastAsia="SimSun" w:hint="eastAsia"/>
          <w:bCs w:val="0"/>
          <w:szCs w:val="24"/>
          <w:lang w:val="zh-CN"/>
        </w:rPr>
        <w:t>关于改性活生物体风险评估的各项具体问题的进一步指导意见的需求和优先次序</w:t>
      </w:r>
    </w:p>
    <w:p w14:paraId="3B3FB926" w14:textId="04A3007E" w:rsidR="00CA5384" w:rsidRPr="00671071" w:rsidRDefault="00CA5384">
      <w:pPr>
        <w:pStyle w:val="Para10"/>
        <w:topLinePunct/>
        <w:ind w:left="562" w:firstLine="0"/>
        <w:rPr>
          <w:sz w:val="24"/>
        </w:rPr>
      </w:pPr>
      <w:r w:rsidRPr="00671071">
        <w:rPr>
          <w:rFonts w:hint="eastAsia"/>
          <w:sz w:val="24"/>
          <w:lang w:val="zh-CN"/>
        </w:rPr>
        <w:t>在</w:t>
      </w:r>
      <w:hyperlink r:id="rId11" w:history="1">
        <w:r w:rsidRPr="00671071">
          <w:rPr>
            <w:rStyle w:val="Hyperlink"/>
            <w:sz w:val="24"/>
          </w:rPr>
          <w:t>CP-9/13</w:t>
        </w:r>
      </w:hyperlink>
      <w:r w:rsidRPr="00671071">
        <w:rPr>
          <w:rFonts w:hint="eastAsia"/>
          <w:sz w:val="24"/>
          <w:lang w:val="zh-CN"/>
        </w:rPr>
        <w:t>号决定中</w:t>
      </w:r>
      <w:r w:rsidRPr="00671071">
        <w:rPr>
          <w:rFonts w:hint="eastAsia"/>
          <w:sz w:val="24"/>
        </w:rPr>
        <w:t>，</w:t>
      </w:r>
      <w:r w:rsidRPr="00671071">
        <w:rPr>
          <w:rFonts w:hint="eastAsia"/>
          <w:sz w:val="24"/>
          <w:lang w:val="zh-CN"/>
        </w:rPr>
        <w:t>作为议定书缔约方会议的缔约方大会制定了一个进程</w:t>
      </w:r>
      <w:r w:rsidRPr="00671071">
        <w:rPr>
          <w:rFonts w:hint="eastAsia"/>
          <w:sz w:val="24"/>
        </w:rPr>
        <w:t>，</w:t>
      </w:r>
      <w:r w:rsidRPr="00671071">
        <w:rPr>
          <w:rFonts w:hint="eastAsia"/>
          <w:sz w:val="24"/>
          <w:lang w:val="zh-CN"/>
        </w:rPr>
        <w:t>以确定可供其审议的改性活生物体的风险评估的各项具体问题并制定其优先次序</w:t>
      </w:r>
      <w:r w:rsidRPr="00671071">
        <w:rPr>
          <w:rFonts w:hint="eastAsia"/>
          <w:sz w:val="24"/>
        </w:rPr>
        <w:t>，</w:t>
      </w:r>
      <w:r w:rsidRPr="00671071">
        <w:rPr>
          <w:rFonts w:hint="eastAsia"/>
          <w:sz w:val="24"/>
          <w:lang w:val="zh-CN"/>
        </w:rPr>
        <w:t>以便制定就这些确定的问题进行风险评估的进一步指导意见。该决定的附件一列出了可能值得进行这种考虑的问题的标准。</w:t>
      </w:r>
    </w:p>
    <w:p w14:paraId="16AEBF4C" w14:textId="77777777" w:rsidR="00CA5384" w:rsidRPr="00671071" w:rsidRDefault="00CA5384">
      <w:pPr>
        <w:pStyle w:val="Para10"/>
        <w:topLinePunct/>
        <w:ind w:left="562" w:firstLine="0"/>
        <w:rPr>
          <w:sz w:val="24"/>
        </w:rPr>
      </w:pPr>
      <w:r w:rsidRPr="00671071">
        <w:rPr>
          <w:rFonts w:hint="eastAsia"/>
          <w:sz w:val="24"/>
          <w:lang w:val="zh-CN"/>
        </w:rPr>
        <w:lastRenderedPageBreak/>
        <w:t>在其</w:t>
      </w:r>
      <w:hyperlink r:id="rId12" w:history="1">
        <w:r w:rsidRPr="00671071">
          <w:rPr>
            <w:rStyle w:val="Hyperlink"/>
            <w:sz w:val="24"/>
          </w:rPr>
          <w:t>CP-10/10</w:t>
        </w:r>
      </w:hyperlink>
      <w:r w:rsidRPr="00671071">
        <w:rPr>
          <w:rFonts w:hint="eastAsia"/>
          <w:sz w:val="24"/>
          <w:lang w:val="zh-CN"/>
        </w:rPr>
        <w:t>号决定中</w:t>
      </w:r>
      <w:r w:rsidRPr="00671071">
        <w:rPr>
          <w:rFonts w:hint="eastAsia"/>
          <w:sz w:val="24"/>
        </w:rPr>
        <w:t>，</w:t>
      </w:r>
      <w:r w:rsidRPr="00671071">
        <w:rPr>
          <w:rFonts w:hint="eastAsia"/>
          <w:sz w:val="24"/>
          <w:lang w:val="zh-CN"/>
        </w:rPr>
        <w:t>除了决定制定额外的自愿指导意见以支持对含有人工基因驱动技术的改性活生物体进行个案风险评估</w:t>
      </w:r>
      <w:r w:rsidRPr="00671071">
        <w:rPr>
          <w:rFonts w:hint="eastAsia"/>
          <w:sz w:val="24"/>
        </w:rPr>
        <w:t>（</w:t>
      </w:r>
      <w:r w:rsidRPr="00671071">
        <w:rPr>
          <w:rFonts w:hint="eastAsia"/>
          <w:sz w:val="24"/>
          <w:lang w:val="zh-CN"/>
        </w:rPr>
        <w:t>如上文第二节所述</w:t>
      </w:r>
      <w:r w:rsidRPr="00671071">
        <w:rPr>
          <w:rFonts w:hint="eastAsia"/>
          <w:sz w:val="24"/>
        </w:rPr>
        <w:t>）</w:t>
      </w:r>
      <w:r w:rsidRPr="00671071">
        <w:rPr>
          <w:rFonts w:hint="eastAsia"/>
          <w:sz w:val="24"/>
          <w:lang w:val="zh-CN"/>
        </w:rPr>
        <w:t>外</w:t>
      </w:r>
      <w:r w:rsidRPr="00671071">
        <w:rPr>
          <w:rFonts w:hint="eastAsia"/>
          <w:sz w:val="24"/>
        </w:rPr>
        <w:t>，</w:t>
      </w:r>
      <w:r w:rsidRPr="00671071">
        <w:rPr>
          <w:rFonts w:hint="eastAsia"/>
          <w:sz w:val="24"/>
          <w:lang w:val="zh-CN"/>
        </w:rPr>
        <w:t>作为议定书缔约方会议的缔约方大会决定在其第十一次会议审议关于改性活鱼的进一步指导意见以及可能需要风险评估指导意见的其他各项问题</w:t>
      </w:r>
      <w:r w:rsidRPr="00671071">
        <w:rPr>
          <w:rFonts w:hint="eastAsia"/>
          <w:sz w:val="24"/>
        </w:rPr>
        <w:t>，</w:t>
      </w:r>
      <w:r w:rsidRPr="00671071">
        <w:rPr>
          <w:rFonts w:hint="eastAsia"/>
          <w:sz w:val="24"/>
          <w:lang w:val="zh-CN"/>
        </w:rPr>
        <w:t>以进一步落实第</w:t>
      </w:r>
      <w:r w:rsidRPr="00671071">
        <w:rPr>
          <w:sz w:val="24"/>
        </w:rPr>
        <w:t>CP-9/13</w:t>
      </w:r>
      <w:r w:rsidRPr="00671071">
        <w:rPr>
          <w:rFonts w:hint="eastAsia"/>
          <w:sz w:val="24"/>
          <w:lang w:val="zh-CN"/>
        </w:rPr>
        <w:t>号决定确立的进程</w:t>
      </w:r>
      <w:r w:rsidRPr="00671071">
        <w:rPr>
          <w:rFonts w:hint="eastAsia"/>
          <w:sz w:val="24"/>
        </w:rPr>
        <w:t>，</w:t>
      </w:r>
      <w:r w:rsidRPr="00671071">
        <w:rPr>
          <w:rFonts w:hint="eastAsia"/>
          <w:sz w:val="24"/>
          <w:lang w:val="zh-CN"/>
        </w:rPr>
        <w:t>同时考虑到缔约方确定的优先次序和专家组的报告。</w:t>
      </w:r>
    </w:p>
    <w:p w14:paraId="48ED8DF1" w14:textId="77777777" w:rsidR="00CA5384" w:rsidRPr="00671071" w:rsidRDefault="00CA5384">
      <w:pPr>
        <w:pStyle w:val="Para10"/>
        <w:topLinePunct/>
        <w:ind w:left="562" w:firstLine="0"/>
        <w:rPr>
          <w:sz w:val="24"/>
        </w:rPr>
      </w:pPr>
      <w:bookmarkStart w:id="3" w:name="_Hlk160802577"/>
      <w:r w:rsidRPr="00671071">
        <w:rPr>
          <w:rFonts w:hint="eastAsia"/>
          <w:sz w:val="24"/>
          <w:lang w:val="zh-CN"/>
        </w:rPr>
        <w:t>在根据第</w:t>
      </w:r>
      <w:hyperlink r:id="rId13" w:history="1">
        <w:r w:rsidRPr="00671071">
          <w:rPr>
            <w:rStyle w:val="Hyperlink"/>
            <w:sz w:val="24"/>
            <w:lang w:val="en-US"/>
          </w:rPr>
          <w:t>2023-007</w:t>
        </w:r>
      </w:hyperlink>
      <w:r w:rsidRPr="00671071">
        <w:rPr>
          <w:rFonts w:hint="eastAsia"/>
          <w:sz w:val="24"/>
          <w:lang w:val="zh-CN"/>
        </w:rPr>
        <w:t>号通知和第</w:t>
      </w:r>
      <w:hyperlink r:id="rId14" w:history="1">
        <w:r w:rsidRPr="00671071">
          <w:rPr>
            <w:rStyle w:val="Hyperlink"/>
            <w:sz w:val="24"/>
            <w:lang w:val="en-US"/>
          </w:rPr>
          <w:t>2023-129</w:t>
        </w:r>
      </w:hyperlink>
      <w:r w:rsidRPr="00671071">
        <w:rPr>
          <w:rFonts w:hint="eastAsia"/>
          <w:sz w:val="24"/>
          <w:lang w:val="zh-CN"/>
        </w:rPr>
        <w:t>号后续通知提交的文件中</w:t>
      </w:r>
      <w:r w:rsidRPr="00671071">
        <w:rPr>
          <w:rFonts w:hint="eastAsia"/>
          <w:sz w:val="24"/>
          <w:lang w:val="en-US"/>
        </w:rPr>
        <w:t>，</w:t>
      </w:r>
      <w:r w:rsidRPr="00671071">
        <w:rPr>
          <w:rFonts w:hint="eastAsia"/>
          <w:sz w:val="24"/>
          <w:lang w:val="zh-CN"/>
        </w:rPr>
        <w:t>议定书缔约方确定了可能需要制定额外自愿指导意见以进行改性活生物体风险评估的四个问题或优先领域</w:t>
      </w:r>
      <w:r w:rsidRPr="00671071">
        <w:rPr>
          <w:rFonts w:hint="eastAsia"/>
          <w:sz w:val="24"/>
          <w:lang w:val="en-US"/>
        </w:rPr>
        <w:t>，</w:t>
      </w:r>
      <w:r w:rsidRPr="00671071">
        <w:rPr>
          <w:rFonts w:hint="eastAsia"/>
          <w:sz w:val="24"/>
          <w:lang w:val="zh-CN"/>
        </w:rPr>
        <w:t>它们是改性活水生生物</w:t>
      </w:r>
      <w:r w:rsidRPr="00671071">
        <w:rPr>
          <w:rFonts w:hint="eastAsia"/>
          <w:sz w:val="24"/>
          <w:lang w:val="en-US"/>
        </w:rPr>
        <w:t>，</w:t>
      </w:r>
      <w:r w:rsidRPr="00671071">
        <w:rPr>
          <w:rFonts w:hint="eastAsia"/>
          <w:sz w:val="24"/>
          <w:lang w:val="zh-CN"/>
        </w:rPr>
        <w:t>包括藻类、甲壳类动物和鱼类</w:t>
      </w:r>
      <w:r w:rsidRPr="00671071">
        <w:rPr>
          <w:rFonts w:hint="eastAsia"/>
          <w:sz w:val="24"/>
          <w:lang w:val="en-US"/>
        </w:rPr>
        <w:t>；</w:t>
      </w:r>
      <w:r w:rsidRPr="00671071">
        <w:rPr>
          <w:rFonts w:hint="eastAsia"/>
          <w:sz w:val="24"/>
          <w:lang w:val="zh-CN"/>
        </w:rPr>
        <w:t>含有人工基因驱动技术的改性活生物体</w:t>
      </w:r>
      <w:r w:rsidRPr="00671071">
        <w:rPr>
          <w:rFonts w:hint="eastAsia"/>
          <w:sz w:val="24"/>
          <w:lang w:val="en-US"/>
        </w:rPr>
        <w:t>；</w:t>
      </w:r>
      <w:r w:rsidRPr="00671071">
        <w:rPr>
          <w:rFonts w:hint="eastAsia"/>
          <w:sz w:val="24"/>
          <w:lang w:val="zh-CN"/>
        </w:rPr>
        <w:t>基因组编辑的植物和动物</w:t>
      </w:r>
      <w:r w:rsidRPr="00671071">
        <w:rPr>
          <w:rFonts w:hint="eastAsia"/>
          <w:sz w:val="24"/>
          <w:lang w:val="en-US"/>
        </w:rPr>
        <w:t>；</w:t>
      </w:r>
      <w:r w:rsidRPr="00671071">
        <w:rPr>
          <w:rFonts w:hint="eastAsia"/>
          <w:sz w:val="24"/>
          <w:lang w:val="zh-CN"/>
        </w:rPr>
        <w:t>将保护目标转化为有用的评估和管理终点。</w:t>
      </w:r>
      <w:r w:rsidRPr="00671071">
        <w:rPr>
          <w:rStyle w:val="FootnoteReference"/>
          <w:sz w:val="24"/>
          <w:lang w:val="zh-CN"/>
        </w:rPr>
        <w:footnoteReference w:id="3"/>
      </w:r>
    </w:p>
    <w:bookmarkEnd w:id="3"/>
    <w:p w14:paraId="5C6B2D64" w14:textId="77777777" w:rsidR="00CA5384" w:rsidRPr="00671071" w:rsidRDefault="00CA5384">
      <w:pPr>
        <w:pStyle w:val="Para10"/>
        <w:topLinePunct/>
        <w:ind w:left="562" w:firstLine="0"/>
        <w:rPr>
          <w:sz w:val="24"/>
        </w:rPr>
      </w:pPr>
      <w:r w:rsidRPr="00671071">
        <w:rPr>
          <w:rFonts w:hint="eastAsia"/>
          <w:sz w:val="24"/>
          <w:lang w:val="zh-CN"/>
        </w:rPr>
        <w:t>依照其任务授权</w:t>
      </w:r>
      <w:r w:rsidRPr="00671071">
        <w:rPr>
          <w:rFonts w:hint="eastAsia"/>
          <w:sz w:val="24"/>
          <w:lang w:val="en-US"/>
        </w:rPr>
        <w:t>，</w:t>
      </w:r>
      <w:r w:rsidRPr="00671071">
        <w:rPr>
          <w:rFonts w:hint="eastAsia"/>
          <w:sz w:val="24"/>
          <w:lang w:val="zh-CN"/>
        </w:rPr>
        <w:t>专家组根据第</w:t>
      </w:r>
      <w:r w:rsidRPr="00671071">
        <w:rPr>
          <w:sz w:val="24"/>
          <w:lang w:val="en-US"/>
        </w:rPr>
        <w:t>CP-9/13</w:t>
      </w:r>
      <w:r w:rsidRPr="00671071">
        <w:rPr>
          <w:rFonts w:hint="eastAsia"/>
          <w:sz w:val="24"/>
          <w:lang w:val="zh-CN"/>
        </w:rPr>
        <w:t>号决定附件一中设定的标准评估了缔约方提出的四个问题。专家组指出，依照第</w:t>
      </w:r>
      <w:r w:rsidRPr="00671071">
        <w:rPr>
          <w:sz w:val="24"/>
          <w:lang w:val="zh-CN"/>
        </w:rPr>
        <w:t>CP-10/10</w:t>
      </w:r>
      <w:r w:rsidRPr="00671071">
        <w:rPr>
          <w:rFonts w:hint="eastAsia"/>
          <w:sz w:val="24"/>
          <w:lang w:val="zh-CN"/>
        </w:rPr>
        <w:t>号决定，作为议定书缔约方会议的缔约方大会将在其第十一次会议上审议制定关于改性活鱼风险评估的额外自愿指导意见。在这方面，对于是否可以在这些讨论的范围内审议缔约方要求提供额外指导意见的改性活水生生物（包括藻类、甲壳类动物和鱼类）的问题存在多种观点。专家组的结论是，此时不应优先为其他问题制定额外指导意见。</w:t>
      </w:r>
      <w:r w:rsidRPr="00671071">
        <w:rPr>
          <w:sz w:val="24"/>
        </w:rPr>
        <w:t xml:space="preserve"> </w:t>
      </w:r>
    </w:p>
    <w:p w14:paraId="16B9432D" w14:textId="77777777" w:rsidR="00CA5384" w:rsidRPr="00671071" w:rsidRDefault="00CA5384">
      <w:pPr>
        <w:pStyle w:val="Para10"/>
        <w:topLinePunct/>
        <w:ind w:left="562" w:firstLine="0"/>
        <w:rPr>
          <w:sz w:val="24"/>
        </w:rPr>
      </w:pPr>
      <w:r w:rsidRPr="00671071">
        <w:rPr>
          <w:rFonts w:hint="eastAsia"/>
          <w:sz w:val="24"/>
          <w:lang w:val="zh-CN"/>
        </w:rPr>
        <w:t>此外</w:t>
      </w:r>
      <w:r w:rsidRPr="00671071">
        <w:rPr>
          <w:rFonts w:hint="eastAsia"/>
          <w:sz w:val="24"/>
          <w:lang w:val="en-US"/>
        </w:rPr>
        <w:t>，</w:t>
      </w:r>
      <w:r w:rsidRPr="00671071">
        <w:rPr>
          <w:rFonts w:hint="eastAsia"/>
          <w:sz w:val="24"/>
          <w:lang w:val="zh-CN"/>
        </w:rPr>
        <w:t>依照第</w:t>
      </w:r>
      <w:r w:rsidRPr="00671071">
        <w:rPr>
          <w:sz w:val="24"/>
          <w:lang w:val="en-US"/>
        </w:rPr>
        <w:t>CP-9/13</w:t>
      </w:r>
      <w:r w:rsidRPr="00671071">
        <w:rPr>
          <w:rFonts w:hint="eastAsia"/>
          <w:sz w:val="24"/>
          <w:lang w:val="zh-CN"/>
        </w:rPr>
        <w:t>号决定附件一</w:t>
      </w:r>
      <w:r w:rsidRPr="00671071">
        <w:rPr>
          <w:rFonts w:hint="eastAsia"/>
          <w:sz w:val="24"/>
          <w:lang w:val="en-US"/>
        </w:rPr>
        <w:t>，</w:t>
      </w:r>
      <w:r w:rsidRPr="00671071">
        <w:rPr>
          <w:rFonts w:hint="eastAsia"/>
          <w:sz w:val="24"/>
          <w:lang w:val="zh-CN"/>
        </w:rPr>
        <w:t>支持广泛和定期前景扫描、监测和评估进程的合成生物学问题多学科特设技术专家组认识到自限性昆虫是可以进一步制定风险评估指导意见的问题。然而，该问题需要在决定设定的标准范围内审议，并且需要缔约方为未来审议提供更多信息。</w:t>
      </w:r>
    </w:p>
    <w:p w14:paraId="5C52D3C3" w14:textId="77777777" w:rsidR="00CA5384" w:rsidRDefault="00CA5384">
      <w:pPr>
        <w:pStyle w:val="Para10"/>
        <w:numPr>
          <w:ilvl w:val="0"/>
          <w:numId w:val="0"/>
        </w:numPr>
        <w:topLinePunct/>
        <w:ind w:left="562"/>
        <w:sectPr w:rsidR="00CA5384" w:rsidSect="001567CF">
          <w:headerReference w:type="even" r:id="rId15"/>
          <w:headerReference w:type="default" r:id="rId16"/>
          <w:footerReference w:type="even" r:id="rId17"/>
          <w:footerReference w:type="default" r:id="rId18"/>
          <w:pgSz w:w="12240" w:h="15840"/>
          <w:pgMar w:top="1134" w:right="1440" w:bottom="1134" w:left="1440" w:header="709" w:footer="709" w:gutter="0"/>
          <w:cols w:space="708"/>
          <w:titlePg/>
          <w:docGrid w:linePitch="360"/>
        </w:sectPr>
      </w:pPr>
    </w:p>
    <w:p w14:paraId="7092C571" w14:textId="77777777" w:rsidR="00CA5384" w:rsidRPr="00671071" w:rsidRDefault="00CA5384" w:rsidP="00671071">
      <w:pPr>
        <w:pStyle w:val="Heading1"/>
        <w:numPr>
          <w:ilvl w:val="0"/>
          <w:numId w:val="0"/>
        </w:numPr>
        <w:topLinePunct/>
        <w:rPr>
          <w:rFonts w:ascii="SimSun" w:eastAsia="SimSun"/>
          <w:bCs w:val="0"/>
          <w:szCs w:val="24"/>
        </w:rPr>
      </w:pPr>
      <w:r w:rsidRPr="00671071">
        <w:rPr>
          <w:rFonts w:ascii="SimSun" w:eastAsia="SimSun" w:hint="eastAsia"/>
          <w:bCs w:val="0"/>
          <w:szCs w:val="24"/>
          <w:lang w:val="zh-CN"/>
        </w:rPr>
        <w:lastRenderedPageBreak/>
        <w:t>四</w:t>
      </w:r>
      <w:r w:rsidRPr="00671071">
        <w:rPr>
          <w:rFonts w:ascii="SimSun" w:eastAsia="SimSun"/>
          <w:bCs w:val="0"/>
          <w:szCs w:val="24"/>
          <w:lang w:val="en-US"/>
        </w:rPr>
        <w:t>.</w:t>
      </w:r>
      <w:r w:rsidRPr="00671071">
        <w:rPr>
          <w:rFonts w:ascii="SimSun" w:eastAsia="SimSun"/>
          <w:bCs w:val="0"/>
          <w:szCs w:val="24"/>
          <w:lang w:val="en-US"/>
        </w:rPr>
        <w:tab/>
      </w:r>
      <w:r w:rsidRPr="00671071">
        <w:rPr>
          <w:rFonts w:ascii="SimSun" w:eastAsia="SimSun" w:hint="eastAsia"/>
          <w:bCs w:val="0"/>
          <w:szCs w:val="24"/>
          <w:lang w:val="zh-CN"/>
        </w:rPr>
        <w:t>建议</w:t>
      </w:r>
    </w:p>
    <w:p w14:paraId="49AD6594" w14:textId="77777777" w:rsidR="00CA5384" w:rsidRPr="00671071" w:rsidRDefault="00CA5384">
      <w:pPr>
        <w:pStyle w:val="Para10"/>
        <w:keepNext/>
        <w:topLinePunct/>
        <w:ind w:left="562" w:firstLine="0"/>
        <w:rPr>
          <w:sz w:val="24"/>
        </w:rPr>
      </w:pPr>
      <w:r w:rsidRPr="00671071">
        <w:rPr>
          <w:rFonts w:hint="eastAsia"/>
          <w:sz w:val="24"/>
          <w:lang w:val="zh-CN"/>
        </w:rPr>
        <w:t>依照第</w:t>
      </w:r>
      <w:r w:rsidRPr="00671071">
        <w:rPr>
          <w:sz w:val="24"/>
        </w:rPr>
        <w:t>CP-10/10</w:t>
      </w:r>
      <w:r w:rsidRPr="00671071">
        <w:rPr>
          <w:rFonts w:hint="eastAsia"/>
          <w:sz w:val="24"/>
          <w:lang w:val="zh-CN"/>
        </w:rPr>
        <w:t>号决定关于制定额外自愿指导意见以支持对含有人工基因驱动技术的改性活生物体进行个案风险评估的要求</w:t>
      </w:r>
      <w:r w:rsidRPr="00671071">
        <w:rPr>
          <w:rFonts w:hint="eastAsia"/>
          <w:sz w:val="24"/>
        </w:rPr>
        <w:t>，</w:t>
      </w:r>
      <w:r w:rsidRPr="00671071">
        <w:rPr>
          <w:rFonts w:hint="eastAsia"/>
          <w:sz w:val="24"/>
          <w:lang w:val="zh-CN"/>
        </w:rPr>
        <w:t>科咨机构不妨建议作为议定书缔约方会议的缔约方大会第十一次会议通过内容大致如下的决定</w:t>
      </w:r>
      <w:r w:rsidRPr="00671071">
        <w:rPr>
          <w:rFonts w:hint="eastAsia"/>
          <w:sz w:val="24"/>
        </w:rPr>
        <w:t>：</w:t>
      </w:r>
      <w:r w:rsidRPr="00671071">
        <w:rPr>
          <w:sz w:val="24"/>
        </w:rPr>
        <w:t xml:space="preserve"> </w:t>
      </w:r>
    </w:p>
    <w:p w14:paraId="1C1EBD67" w14:textId="77777777" w:rsidR="00CA5384" w:rsidRPr="00671071" w:rsidRDefault="00CA5384">
      <w:pPr>
        <w:pStyle w:val="Para10"/>
        <w:numPr>
          <w:ilvl w:val="0"/>
          <w:numId w:val="0"/>
        </w:numPr>
        <w:tabs>
          <w:tab w:val="left" w:pos="2268"/>
        </w:tabs>
        <w:topLinePunct/>
        <w:ind w:left="1134" w:firstLine="567"/>
        <w:rPr>
          <w:sz w:val="24"/>
        </w:rPr>
      </w:pPr>
      <w:r w:rsidRPr="00671071">
        <w:rPr>
          <w:rFonts w:eastAsia="KaiTi" w:hint="eastAsia"/>
          <w:sz w:val="24"/>
          <w:lang w:val="zh-CN"/>
        </w:rPr>
        <w:t>作为卡塔赫纳生物安全议定书缔约方会议的缔约方大会</w:t>
      </w:r>
      <w:r w:rsidRPr="00671071">
        <w:rPr>
          <w:rFonts w:hint="eastAsia"/>
          <w:sz w:val="24"/>
        </w:rPr>
        <w:t>，</w:t>
      </w:r>
    </w:p>
    <w:p w14:paraId="6254DBB4" w14:textId="77777777" w:rsidR="00CA5384" w:rsidRPr="00671071" w:rsidRDefault="00CA5384">
      <w:pPr>
        <w:pStyle w:val="Para10"/>
        <w:numPr>
          <w:ilvl w:val="0"/>
          <w:numId w:val="0"/>
        </w:numPr>
        <w:tabs>
          <w:tab w:val="left" w:pos="2268"/>
        </w:tabs>
        <w:topLinePunct/>
        <w:ind w:left="1134" w:firstLine="567"/>
        <w:rPr>
          <w:sz w:val="24"/>
        </w:rPr>
      </w:pPr>
      <w:r w:rsidRPr="00671071">
        <w:rPr>
          <w:rFonts w:eastAsia="KaiTi" w:hint="eastAsia"/>
          <w:sz w:val="24"/>
          <w:lang w:val="zh-CN"/>
        </w:rPr>
        <w:t>回顾</w:t>
      </w:r>
      <w:smartTag w:uri="urn:schemas-microsoft-com:office:smarttags" w:element="chsdate">
        <w:smartTagPr>
          <w:attr w:name="Year" w:val="2014"/>
          <w:attr w:name="Month" w:val="10"/>
          <w:attr w:name="Day" w:val="3"/>
          <w:attr w:name="IsLunarDate" w:val="False"/>
          <w:attr w:name="IsROCDate" w:val="False"/>
        </w:smartTagPr>
        <w:r w:rsidRPr="00671071">
          <w:rPr>
            <w:sz w:val="24"/>
          </w:rPr>
          <w:t>2022</w:t>
        </w:r>
        <w:r w:rsidRPr="00671071">
          <w:rPr>
            <w:rFonts w:hint="eastAsia"/>
            <w:sz w:val="24"/>
            <w:lang w:val="zh-CN"/>
          </w:rPr>
          <w:t>年</w:t>
        </w:r>
        <w:r w:rsidRPr="00671071">
          <w:rPr>
            <w:sz w:val="24"/>
          </w:rPr>
          <w:t>12</w:t>
        </w:r>
        <w:r w:rsidRPr="00671071">
          <w:rPr>
            <w:rFonts w:hint="eastAsia"/>
            <w:sz w:val="24"/>
            <w:lang w:val="zh-CN"/>
          </w:rPr>
          <w:t>月</w:t>
        </w:r>
        <w:r w:rsidRPr="00671071">
          <w:rPr>
            <w:sz w:val="24"/>
          </w:rPr>
          <w:t>10</w:t>
        </w:r>
        <w:r w:rsidRPr="00671071">
          <w:rPr>
            <w:rFonts w:hint="eastAsia"/>
            <w:sz w:val="24"/>
            <w:lang w:val="zh-CN"/>
          </w:rPr>
          <w:t>日</w:t>
        </w:r>
      </w:smartTag>
      <w:r w:rsidRPr="00671071">
        <w:rPr>
          <w:rFonts w:hint="eastAsia"/>
          <w:sz w:val="24"/>
          <w:lang w:val="zh-CN"/>
        </w:rPr>
        <w:t>第</w:t>
      </w:r>
      <w:r w:rsidRPr="00671071">
        <w:rPr>
          <w:sz w:val="24"/>
        </w:rPr>
        <w:t>CP-10/10</w:t>
      </w:r>
      <w:r w:rsidRPr="00671071">
        <w:rPr>
          <w:rFonts w:hint="eastAsia"/>
          <w:sz w:val="24"/>
          <w:lang w:val="zh-CN"/>
        </w:rPr>
        <w:t>号决定</w:t>
      </w:r>
      <w:r w:rsidRPr="00671071">
        <w:rPr>
          <w:rFonts w:hint="eastAsia"/>
          <w:sz w:val="24"/>
        </w:rPr>
        <w:t>，</w:t>
      </w:r>
    </w:p>
    <w:p w14:paraId="6C7D6693" w14:textId="77777777" w:rsidR="00CA5384" w:rsidRPr="00671071" w:rsidRDefault="00CA5384">
      <w:pPr>
        <w:pStyle w:val="Para10"/>
        <w:numPr>
          <w:ilvl w:val="0"/>
          <w:numId w:val="0"/>
        </w:numPr>
        <w:tabs>
          <w:tab w:val="clear" w:pos="1134"/>
          <w:tab w:val="left" w:pos="1701"/>
          <w:tab w:val="left" w:pos="2268"/>
        </w:tabs>
        <w:topLinePunct/>
        <w:ind w:left="1134" w:firstLine="567"/>
        <w:rPr>
          <w:i/>
          <w:sz w:val="24"/>
        </w:rPr>
      </w:pPr>
      <w:r w:rsidRPr="00671071">
        <w:rPr>
          <w:sz w:val="24"/>
        </w:rPr>
        <w:t>1.</w:t>
      </w:r>
      <w:r w:rsidRPr="00671071">
        <w:rPr>
          <w:sz w:val="24"/>
        </w:rPr>
        <w:tab/>
      </w:r>
      <w:r w:rsidRPr="00671071">
        <w:rPr>
          <w:rFonts w:eastAsia="KaiTi" w:hint="eastAsia"/>
          <w:sz w:val="24"/>
          <w:lang w:val="zh-CN"/>
        </w:rPr>
        <w:t>欢迎</w:t>
      </w:r>
      <w:r w:rsidRPr="00671071">
        <w:rPr>
          <w:rFonts w:hint="eastAsia"/>
          <w:sz w:val="24"/>
          <w:lang w:val="zh-CN"/>
        </w:rPr>
        <w:t>风险评估问题特设技术专家组会议的成果</w:t>
      </w:r>
      <w:r w:rsidRPr="00671071">
        <w:rPr>
          <w:rFonts w:hint="eastAsia"/>
          <w:sz w:val="24"/>
        </w:rPr>
        <w:t>；</w:t>
      </w:r>
      <w:r w:rsidRPr="00671071">
        <w:rPr>
          <w:rStyle w:val="FootnoteReference"/>
          <w:sz w:val="24"/>
          <w:lang w:val="zh-CN"/>
        </w:rPr>
        <w:footnoteReference w:id="4"/>
      </w:r>
    </w:p>
    <w:p w14:paraId="21D4FB9B" w14:textId="77777777" w:rsidR="00CA5384" w:rsidRPr="00671071" w:rsidRDefault="00CA5384">
      <w:pPr>
        <w:pStyle w:val="Para10"/>
        <w:numPr>
          <w:ilvl w:val="0"/>
          <w:numId w:val="0"/>
        </w:numPr>
        <w:tabs>
          <w:tab w:val="clear" w:pos="1134"/>
          <w:tab w:val="left" w:pos="1701"/>
          <w:tab w:val="left" w:pos="2268"/>
        </w:tabs>
        <w:topLinePunct/>
        <w:ind w:left="1134" w:firstLine="567"/>
        <w:rPr>
          <w:i/>
          <w:sz w:val="24"/>
        </w:rPr>
      </w:pPr>
      <w:r w:rsidRPr="00671071">
        <w:rPr>
          <w:sz w:val="24"/>
        </w:rPr>
        <w:t>2.</w:t>
      </w:r>
      <w:r w:rsidRPr="00671071">
        <w:rPr>
          <w:sz w:val="24"/>
        </w:rPr>
        <w:tab/>
      </w:r>
      <w:r w:rsidRPr="00671071">
        <w:rPr>
          <w:rFonts w:eastAsia="KaiTi" w:hint="eastAsia"/>
          <w:sz w:val="24"/>
          <w:lang w:val="zh-CN"/>
        </w:rPr>
        <w:t>认可</w:t>
      </w:r>
      <w:r w:rsidRPr="00671071">
        <w:rPr>
          <w:rFonts w:hint="eastAsia"/>
          <w:sz w:val="24"/>
          <w:lang w:val="zh-CN"/>
        </w:rPr>
        <w:t>关于含有人工基因驱动技术的改性活生物体风险评估的额外自愿指导意见</w:t>
      </w:r>
      <w:r w:rsidRPr="00671071">
        <w:rPr>
          <w:rFonts w:hint="eastAsia"/>
          <w:sz w:val="24"/>
        </w:rPr>
        <w:t>；</w:t>
      </w:r>
    </w:p>
    <w:p w14:paraId="02C539DC" w14:textId="77777777" w:rsidR="00CA5384" w:rsidRPr="00671071" w:rsidRDefault="00CA5384">
      <w:pPr>
        <w:pStyle w:val="Para10"/>
        <w:numPr>
          <w:ilvl w:val="0"/>
          <w:numId w:val="0"/>
        </w:numPr>
        <w:tabs>
          <w:tab w:val="clear" w:pos="1134"/>
          <w:tab w:val="left" w:pos="1701"/>
          <w:tab w:val="left" w:pos="2268"/>
        </w:tabs>
        <w:topLinePunct/>
        <w:ind w:left="1134" w:firstLine="567"/>
        <w:rPr>
          <w:i/>
          <w:sz w:val="24"/>
        </w:rPr>
      </w:pPr>
      <w:r w:rsidRPr="00671071">
        <w:rPr>
          <w:sz w:val="24"/>
        </w:rPr>
        <w:t>3.</w:t>
      </w:r>
      <w:r w:rsidRPr="00671071">
        <w:rPr>
          <w:sz w:val="24"/>
        </w:rPr>
        <w:tab/>
      </w:r>
      <w:r w:rsidRPr="00671071">
        <w:rPr>
          <w:rFonts w:eastAsia="KaiTi" w:hint="eastAsia"/>
          <w:sz w:val="24"/>
          <w:lang w:val="zh-CN"/>
        </w:rPr>
        <w:t>鼓励</w:t>
      </w:r>
      <w:r w:rsidRPr="00671071">
        <w:rPr>
          <w:rFonts w:hint="eastAsia"/>
          <w:sz w:val="24"/>
          <w:lang w:val="zh-CN"/>
        </w:rPr>
        <w:t>各缔约方、其他国家政府和相关组织及利益攸关方利用额外自愿指导意见</w:t>
      </w:r>
      <w:r w:rsidRPr="00671071">
        <w:rPr>
          <w:rFonts w:hint="eastAsia"/>
          <w:sz w:val="24"/>
        </w:rPr>
        <w:t>；</w:t>
      </w:r>
    </w:p>
    <w:p w14:paraId="63496A83" w14:textId="77777777" w:rsidR="00CA5384" w:rsidRPr="00671071" w:rsidRDefault="00CA5384">
      <w:pPr>
        <w:pStyle w:val="Para10"/>
        <w:numPr>
          <w:ilvl w:val="0"/>
          <w:numId w:val="0"/>
        </w:numPr>
        <w:tabs>
          <w:tab w:val="clear" w:pos="1134"/>
          <w:tab w:val="left" w:pos="1701"/>
          <w:tab w:val="left" w:pos="2268"/>
        </w:tabs>
        <w:topLinePunct/>
        <w:ind w:left="1134" w:firstLine="567"/>
        <w:rPr>
          <w:kern w:val="22"/>
          <w:sz w:val="24"/>
        </w:rPr>
      </w:pPr>
      <w:r w:rsidRPr="00671071">
        <w:rPr>
          <w:sz w:val="24"/>
        </w:rPr>
        <w:t>4.</w:t>
      </w:r>
      <w:r w:rsidRPr="00671071">
        <w:rPr>
          <w:sz w:val="24"/>
        </w:rPr>
        <w:tab/>
      </w:r>
      <w:r w:rsidRPr="00671071">
        <w:rPr>
          <w:rFonts w:eastAsia="KaiTi" w:hint="eastAsia"/>
          <w:sz w:val="24"/>
          <w:lang w:val="zh-CN"/>
        </w:rPr>
        <w:t>呼吁</w:t>
      </w:r>
      <w:r w:rsidRPr="00671071">
        <w:rPr>
          <w:rFonts w:hint="eastAsia"/>
          <w:sz w:val="24"/>
          <w:lang w:val="zh-CN"/>
        </w:rPr>
        <w:t>开展广泛的国际合作、知识共享、能力建设和资源调动</w:t>
      </w:r>
      <w:r w:rsidRPr="00671071">
        <w:rPr>
          <w:rFonts w:hint="eastAsia"/>
          <w:sz w:val="24"/>
        </w:rPr>
        <w:t>，</w:t>
      </w:r>
      <w:r w:rsidRPr="00671071">
        <w:rPr>
          <w:rFonts w:hint="eastAsia"/>
          <w:sz w:val="24"/>
          <w:lang w:val="zh-CN"/>
        </w:rPr>
        <w:t>以支持适用额外自愿指导意见。</w:t>
      </w:r>
    </w:p>
    <w:p w14:paraId="12880946" w14:textId="77777777" w:rsidR="00CA5384" w:rsidRPr="00671071" w:rsidRDefault="00CA5384">
      <w:pPr>
        <w:pStyle w:val="Para10"/>
        <w:topLinePunct/>
        <w:ind w:left="562" w:firstLine="0"/>
        <w:rPr>
          <w:sz w:val="24"/>
        </w:rPr>
      </w:pPr>
      <w:r w:rsidRPr="00671071">
        <w:rPr>
          <w:rFonts w:hint="eastAsia"/>
          <w:sz w:val="24"/>
          <w:lang w:val="zh-CN"/>
        </w:rPr>
        <w:t>依照第</w:t>
      </w:r>
      <w:r w:rsidRPr="00671071">
        <w:rPr>
          <w:sz w:val="24"/>
        </w:rPr>
        <w:t>CP-10/10</w:t>
      </w:r>
      <w:r w:rsidRPr="00671071">
        <w:rPr>
          <w:rFonts w:hint="eastAsia"/>
          <w:sz w:val="24"/>
          <w:lang w:val="zh-CN"/>
        </w:rPr>
        <w:t>号决定关于审议对改性活鱼提供进一步指导意见以及可能需要为进行风险评估提供指导意见的其他各种问题的要求</w:t>
      </w:r>
      <w:r w:rsidRPr="00671071">
        <w:rPr>
          <w:rFonts w:hint="eastAsia"/>
          <w:sz w:val="24"/>
        </w:rPr>
        <w:t>，</w:t>
      </w:r>
      <w:r w:rsidRPr="00671071">
        <w:rPr>
          <w:rFonts w:hint="eastAsia"/>
          <w:sz w:val="24"/>
          <w:lang w:val="zh-CN"/>
        </w:rPr>
        <w:t>科咨机构不妨建议作为议定书缔约方会议的缔约方大会第十一次会议通过一项内容如下的决定草案</w:t>
      </w:r>
      <w:r w:rsidRPr="00671071">
        <w:rPr>
          <w:rFonts w:hint="eastAsia"/>
          <w:sz w:val="24"/>
        </w:rPr>
        <w:t>，</w:t>
      </w:r>
      <w:r w:rsidRPr="00671071">
        <w:rPr>
          <w:rFonts w:hint="eastAsia"/>
          <w:sz w:val="24"/>
          <w:lang w:val="zh-CN"/>
        </w:rPr>
        <w:t>同时并指出下文列出的内容不影响其是否继续制定此类指导意见的决定。</w:t>
      </w:r>
    </w:p>
    <w:p w14:paraId="07D87935" w14:textId="77777777" w:rsidR="00CA5384" w:rsidRPr="00671071" w:rsidRDefault="00CA5384">
      <w:pPr>
        <w:pStyle w:val="Para10"/>
        <w:keepNext/>
        <w:numPr>
          <w:ilvl w:val="0"/>
          <w:numId w:val="0"/>
        </w:numPr>
        <w:tabs>
          <w:tab w:val="clear" w:pos="1134"/>
          <w:tab w:val="left" w:pos="2268"/>
        </w:tabs>
        <w:topLinePunct/>
        <w:ind w:left="1138" w:firstLine="562"/>
        <w:rPr>
          <w:sz w:val="24"/>
        </w:rPr>
      </w:pPr>
      <w:r w:rsidRPr="00671071">
        <w:rPr>
          <w:rFonts w:eastAsia="KaiTi" w:hint="eastAsia"/>
          <w:sz w:val="24"/>
          <w:lang w:val="zh-CN"/>
        </w:rPr>
        <w:t>作为卡塔赫纳生物安全议定书缔约方会议的缔约方大会</w:t>
      </w:r>
      <w:r w:rsidRPr="00671071">
        <w:rPr>
          <w:rFonts w:hint="eastAsia"/>
          <w:sz w:val="24"/>
        </w:rPr>
        <w:t>，</w:t>
      </w:r>
    </w:p>
    <w:p w14:paraId="16AE9144" w14:textId="77777777" w:rsidR="00CA5384" w:rsidRPr="00671071" w:rsidRDefault="00CA5384">
      <w:pPr>
        <w:pStyle w:val="Para10"/>
        <w:numPr>
          <w:ilvl w:val="0"/>
          <w:numId w:val="0"/>
        </w:numPr>
        <w:tabs>
          <w:tab w:val="clear" w:pos="1134"/>
          <w:tab w:val="left" w:pos="2268"/>
          <w:tab w:val="left" w:pos="2481"/>
        </w:tabs>
        <w:topLinePunct/>
        <w:ind w:left="1134" w:firstLine="567"/>
        <w:rPr>
          <w:sz w:val="24"/>
        </w:rPr>
      </w:pPr>
      <w:r w:rsidRPr="00671071">
        <w:rPr>
          <w:rFonts w:eastAsia="KaiTi" w:hint="eastAsia"/>
          <w:sz w:val="24"/>
          <w:lang w:val="zh-CN"/>
        </w:rPr>
        <w:t>回顾</w:t>
      </w:r>
      <w:smartTag w:uri="urn:schemas-microsoft-com:office:smarttags" w:element="chsdate">
        <w:smartTagPr>
          <w:attr w:name="Year" w:val="2014"/>
          <w:attr w:name="Month" w:val="10"/>
          <w:attr w:name="Day" w:val="3"/>
          <w:attr w:name="IsLunarDate" w:val="False"/>
          <w:attr w:name="IsROCDate" w:val="False"/>
        </w:smartTagPr>
        <w:r w:rsidRPr="00671071">
          <w:rPr>
            <w:sz w:val="24"/>
          </w:rPr>
          <w:t>2022</w:t>
        </w:r>
        <w:r w:rsidRPr="00671071">
          <w:rPr>
            <w:rFonts w:hint="eastAsia"/>
            <w:sz w:val="24"/>
            <w:lang w:val="zh-CN"/>
          </w:rPr>
          <w:t>年</w:t>
        </w:r>
        <w:r w:rsidRPr="00671071">
          <w:rPr>
            <w:sz w:val="24"/>
          </w:rPr>
          <w:t>12</w:t>
        </w:r>
        <w:r w:rsidRPr="00671071">
          <w:rPr>
            <w:rFonts w:hint="eastAsia"/>
            <w:sz w:val="24"/>
            <w:lang w:val="zh-CN"/>
          </w:rPr>
          <w:t>月</w:t>
        </w:r>
        <w:r w:rsidRPr="00671071">
          <w:rPr>
            <w:sz w:val="24"/>
          </w:rPr>
          <w:t>10</w:t>
        </w:r>
        <w:r w:rsidRPr="00671071">
          <w:rPr>
            <w:rFonts w:hint="eastAsia"/>
            <w:sz w:val="24"/>
            <w:lang w:val="zh-CN"/>
          </w:rPr>
          <w:t>日</w:t>
        </w:r>
      </w:smartTag>
      <w:r w:rsidRPr="00671071">
        <w:rPr>
          <w:rFonts w:hint="eastAsia"/>
          <w:sz w:val="24"/>
          <w:lang w:val="zh-CN"/>
        </w:rPr>
        <w:t>第</w:t>
      </w:r>
      <w:r w:rsidRPr="00671071">
        <w:rPr>
          <w:sz w:val="24"/>
        </w:rPr>
        <w:t>CP-10/10</w:t>
      </w:r>
      <w:r w:rsidRPr="00671071">
        <w:rPr>
          <w:rFonts w:hint="eastAsia"/>
          <w:sz w:val="24"/>
          <w:lang w:val="zh-CN"/>
        </w:rPr>
        <w:t>号决定</w:t>
      </w:r>
      <w:r w:rsidRPr="00671071">
        <w:rPr>
          <w:rFonts w:hint="eastAsia"/>
          <w:sz w:val="24"/>
        </w:rPr>
        <w:t>，</w:t>
      </w:r>
    </w:p>
    <w:p w14:paraId="42079B38" w14:textId="77777777" w:rsidR="00CA5384" w:rsidRPr="00671071" w:rsidRDefault="00CA5384">
      <w:pPr>
        <w:pStyle w:val="Para10"/>
        <w:numPr>
          <w:ilvl w:val="0"/>
          <w:numId w:val="0"/>
        </w:numPr>
        <w:tabs>
          <w:tab w:val="clear" w:pos="1134"/>
          <w:tab w:val="left" w:pos="1701"/>
          <w:tab w:val="left" w:pos="2268"/>
          <w:tab w:val="left" w:pos="2481"/>
        </w:tabs>
        <w:topLinePunct/>
        <w:ind w:left="1134" w:firstLine="567"/>
        <w:rPr>
          <w:i/>
          <w:sz w:val="24"/>
        </w:rPr>
      </w:pPr>
      <w:r w:rsidRPr="00671071">
        <w:rPr>
          <w:rFonts w:eastAsia="KaiTi" w:hint="eastAsia"/>
          <w:sz w:val="24"/>
          <w:lang w:val="zh-CN"/>
        </w:rPr>
        <w:t>注意到</w:t>
      </w:r>
      <w:r w:rsidRPr="00671071">
        <w:rPr>
          <w:rFonts w:hint="eastAsia"/>
          <w:sz w:val="24"/>
          <w:lang w:val="zh-CN"/>
        </w:rPr>
        <w:t>风险评估问题特设技术专家组对可能需要进行风险评估提供指导意见的其他问题的评估</w:t>
      </w:r>
      <w:r w:rsidRPr="00671071">
        <w:rPr>
          <w:rFonts w:hint="eastAsia"/>
          <w:sz w:val="24"/>
        </w:rPr>
        <w:t>，</w:t>
      </w:r>
    </w:p>
    <w:p w14:paraId="38DA920E" w14:textId="77777777" w:rsidR="00CA5384" w:rsidRPr="00671071" w:rsidRDefault="00CA5384">
      <w:pPr>
        <w:tabs>
          <w:tab w:val="left" w:pos="1701"/>
          <w:tab w:val="left" w:pos="2268"/>
        </w:tabs>
        <w:topLinePunct/>
        <w:ind w:left="1134" w:firstLine="567"/>
        <w:rPr>
          <w:sz w:val="24"/>
        </w:rPr>
      </w:pPr>
      <w:r w:rsidRPr="00671071">
        <w:rPr>
          <w:sz w:val="24"/>
        </w:rPr>
        <w:t>1.</w:t>
      </w:r>
      <w:r w:rsidRPr="00671071">
        <w:rPr>
          <w:sz w:val="24"/>
        </w:rPr>
        <w:tab/>
      </w:r>
      <w:r w:rsidRPr="00671071">
        <w:rPr>
          <w:rFonts w:eastAsia="KaiTi" w:hint="eastAsia"/>
          <w:sz w:val="24"/>
          <w:lang w:val="zh-CN"/>
        </w:rPr>
        <w:t>决定</w:t>
      </w:r>
      <w:r w:rsidRPr="00671071">
        <w:rPr>
          <w:rFonts w:hint="eastAsia"/>
          <w:sz w:val="24"/>
          <w:lang w:val="zh-CN"/>
        </w:rPr>
        <w:t>设立一个特设技术专家组</w:t>
      </w:r>
      <w:r w:rsidRPr="00671071">
        <w:rPr>
          <w:rFonts w:hint="eastAsia"/>
          <w:sz w:val="24"/>
          <w:lang w:val="en-CA"/>
        </w:rPr>
        <w:t>，</w:t>
      </w:r>
      <w:r w:rsidRPr="00671071">
        <w:rPr>
          <w:rFonts w:hint="eastAsia"/>
          <w:sz w:val="24"/>
          <w:lang w:val="zh-CN"/>
        </w:rPr>
        <w:t>其职权范围载于本决定附件</w:t>
      </w:r>
      <w:r w:rsidRPr="00671071">
        <w:rPr>
          <w:rFonts w:hint="eastAsia"/>
          <w:sz w:val="24"/>
          <w:lang w:val="en-CA"/>
        </w:rPr>
        <w:t>，</w:t>
      </w:r>
      <w:r w:rsidRPr="00671071">
        <w:rPr>
          <w:rFonts w:hint="eastAsia"/>
          <w:sz w:val="24"/>
          <w:lang w:val="zh-CN"/>
        </w:rPr>
        <w:t>负责制定对改性活鱼进行风险评估的指导意见</w:t>
      </w:r>
      <w:r w:rsidRPr="00671071">
        <w:rPr>
          <w:rFonts w:hint="eastAsia"/>
          <w:sz w:val="24"/>
          <w:lang w:val="en-CA"/>
        </w:rPr>
        <w:t>；</w:t>
      </w:r>
    </w:p>
    <w:p w14:paraId="3421ED57" w14:textId="77777777" w:rsidR="00CA5384" w:rsidRPr="00671071" w:rsidRDefault="00CA5384">
      <w:pPr>
        <w:pStyle w:val="Para10"/>
        <w:numPr>
          <w:ilvl w:val="0"/>
          <w:numId w:val="0"/>
        </w:numPr>
        <w:tabs>
          <w:tab w:val="clear" w:pos="1134"/>
          <w:tab w:val="left" w:pos="1701"/>
          <w:tab w:val="left" w:pos="2268"/>
        </w:tabs>
        <w:topLinePunct/>
        <w:ind w:left="1134" w:firstLine="567"/>
        <w:rPr>
          <w:sz w:val="24"/>
        </w:rPr>
      </w:pPr>
      <w:r w:rsidRPr="00671071">
        <w:rPr>
          <w:sz w:val="24"/>
        </w:rPr>
        <w:t>2.</w:t>
      </w:r>
      <w:r w:rsidRPr="00671071">
        <w:rPr>
          <w:sz w:val="24"/>
        </w:rPr>
        <w:tab/>
      </w:r>
      <w:r w:rsidRPr="00671071">
        <w:rPr>
          <w:rFonts w:eastAsia="KaiTi" w:hint="eastAsia"/>
          <w:sz w:val="24"/>
          <w:lang w:val="zh-CN"/>
        </w:rPr>
        <w:t>请</w:t>
      </w:r>
      <w:r w:rsidRPr="00671071">
        <w:rPr>
          <w:rFonts w:hint="eastAsia"/>
          <w:sz w:val="24"/>
          <w:lang w:val="zh-CN"/>
        </w:rPr>
        <w:t>各缔约方、其他国家政府、土著人民和地方社区和相关组织向秘书处提交与风险评估问题特设技术专家组的工作相关的信息</w:t>
      </w:r>
      <w:r w:rsidRPr="00671071">
        <w:rPr>
          <w:rFonts w:hint="eastAsia"/>
          <w:sz w:val="24"/>
          <w:lang w:val="en-GB"/>
        </w:rPr>
        <w:t>；</w:t>
      </w:r>
    </w:p>
    <w:p w14:paraId="149AFCAC" w14:textId="77777777" w:rsidR="00CA5384" w:rsidRPr="00671071" w:rsidRDefault="00CA5384">
      <w:pPr>
        <w:tabs>
          <w:tab w:val="left" w:pos="1701"/>
          <w:tab w:val="left" w:pos="2268"/>
        </w:tabs>
        <w:topLinePunct/>
        <w:spacing w:before="120" w:after="120"/>
        <w:ind w:left="1134" w:firstLine="567"/>
        <w:rPr>
          <w:sz w:val="24"/>
        </w:rPr>
      </w:pPr>
      <w:r w:rsidRPr="00671071">
        <w:rPr>
          <w:sz w:val="24"/>
        </w:rPr>
        <w:t>3.</w:t>
      </w:r>
      <w:r w:rsidRPr="00671071">
        <w:rPr>
          <w:sz w:val="24"/>
        </w:rPr>
        <w:tab/>
      </w:r>
      <w:r w:rsidRPr="00671071">
        <w:rPr>
          <w:rFonts w:eastAsia="KaiTi" w:hint="eastAsia"/>
          <w:sz w:val="24"/>
          <w:lang w:val="zh-CN"/>
        </w:rPr>
        <w:t>决定</w:t>
      </w:r>
      <w:r w:rsidRPr="00671071">
        <w:rPr>
          <w:rFonts w:hint="eastAsia"/>
          <w:sz w:val="24"/>
          <w:lang w:val="zh-CN"/>
        </w:rPr>
        <w:t>延长风险评估和风险管理问题不限成员名额在线论坛的任务期限</w:t>
      </w:r>
      <w:r w:rsidRPr="00671071">
        <w:rPr>
          <w:rFonts w:hint="eastAsia"/>
          <w:sz w:val="24"/>
          <w:lang w:val="en-CA"/>
        </w:rPr>
        <w:t>，</w:t>
      </w:r>
      <w:r w:rsidRPr="00671071">
        <w:rPr>
          <w:rFonts w:hint="eastAsia"/>
          <w:sz w:val="24"/>
          <w:lang w:val="zh-CN"/>
        </w:rPr>
        <w:t>以促进制定对改性活鱼进行风险评估的指导意见</w:t>
      </w:r>
      <w:r w:rsidRPr="00671071">
        <w:rPr>
          <w:rFonts w:hint="eastAsia"/>
          <w:sz w:val="24"/>
          <w:lang w:val="en-CA"/>
        </w:rPr>
        <w:t>；</w:t>
      </w:r>
    </w:p>
    <w:p w14:paraId="18DC12B3" w14:textId="77777777" w:rsidR="00CA5384" w:rsidRPr="00671071" w:rsidRDefault="00CA5384">
      <w:pPr>
        <w:tabs>
          <w:tab w:val="left" w:pos="1701"/>
          <w:tab w:val="left" w:pos="2268"/>
        </w:tabs>
        <w:topLinePunct/>
        <w:ind w:left="1134" w:firstLine="567"/>
        <w:rPr>
          <w:i/>
          <w:sz w:val="24"/>
        </w:rPr>
      </w:pPr>
      <w:r w:rsidRPr="00671071">
        <w:rPr>
          <w:sz w:val="24"/>
        </w:rPr>
        <w:t>4.</w:t>
      </w:r>
      <w:r w:rsidRPr="00671071">
        <w:rPr>
          <w:sz w:val="24"/>
        </w:rPr>
        <w:tab/>
      </w:r>
      <w:r w:rsidRPr="00671071">
        <w:rPr>
          <w:rFonts w:eastAsia="KaiTi" w:hint="eastAsia"/>
          <w:sz w:val="24"/>
          <w:lang w:val="zh-CN"/>
        </w:rPr>
        <w:t>请</w:t>
      </w:r>
      <w:r w:rsidRPr="00671071">
        <w:rPr>
          <w:rFonts w:hint="eastAsia"/>
          <w:sz w:val="24"/>
          <w:lang w:val="zh-CN"/>
        </w:rPr>
        <w:t>秘书处</w:t>
      </w:r>
      <w:r w:rsidRPr="00671071">
        <w:rPr>
          <w:rFonts w:hint="eastAsia"/>
          <w:sz w:val="24"/>
        </w:rPr>
        <w:t>：</w:t>
      </w:r>
    </w:p>
    <w:p w14:paraId="4DC62A0E" w14:textId="77777777" w:rsidR="00CA5384" w:rsidRPr="00671071" w:rsidRDefault="00CA5384">
      <w:pPr>
        <w:pStyle w:val="Para10"/>
        <w:numPr>
          <w:ilvl w:val="0"/>
          <w:numId w:val="0"/>
        </w:numPr>
        <w:tabs>
          <w:tab w:val="clear" w:pos="1134"/>
          <w:tab w:val="left" w:pos="2268"/>
        </w:tabs>
        <w:topLinePunct/>
        <w:ind w:left="1134" w:firstLine="567"/>
        <w:rPr>
          <w:i/>
          <w:sz w:val="24"/>
        </w:rPr>
      </w:pPr>
      <w:r w:rsidRPr="00671071">
        <w:rPr>
          <w:noProof/>
          <w:sz w:val="24"/>
        </w:rPr>
        <w:t>(a)</w:t>
      </w:r>
      <w:r w:rsidRPr="00671071">
        <w:rPr>
          <w:sz w:val="24"/>
        </w:rPr>
        <w:tab/>
      </w:r>
      <w:r w:rsidRPr="00671071">
        <w:rPr>
          <w:rFonts w:hint="eastAsia"/>
          <w:sz w:val="24"/>
          <w:lang w:val="zh-CN"/>
        </w:rPr>
        <w:t>在资源允许的情况下</w:t>
      </w:r>
      <w:r w:rsidRPr="00671071">
        <w:rPr>
          <w:rFonts w:hint="eastAsia"/>
          <w:sz w:val="24"/>
          <w:lang w:val="en-GB"/>
        </w:rPr>
        <w:t>，</w:t>
      </w:r>
      <w:r w:rsidRPr="00671071">
        <w:rPr>
          <w:rFonts w:hint="eastAsia"/>
          <w:sz w:val="24"/>
          <w:lang w:val="zh-CN"/>
        </w:rPr>
        <w:t>按照生物多样性公约缔约方大会</w:t>
      </w:r>
      <w:smartTag w:uri="urn:schemas-microsoft-com:office:smarttags" w:element="chsdate">
        <w:smartTagPr>
          <w:attr w:name="Year" w:val="2014"/>
          <w:attr w:name="Month" w:val="10"/>
          <w:attr w:name="Day" w:val="3"/>
          <w:attr w:name="IsLunarDate" w:val="False"/>
          <w:attr w:name="IsROCDate" w:val="False"/>
        </w:smartTagPr>
        <w:r w:rsidRPr="00671071">
          <w:rPr>
            <w:sz w:val="24"/>
            <w:lang w:val="en-GB"/>
          </w:rPr>
          <w:t>2018</w:t>
        </w:r>
        <w:r w:rsidRPr="00671071">
          <w:rPr>
            <w:rFonts w:hint="eastAsia"/>
            <w:sz w:val="24"/>
            <w:lang w:val="zh-CN"/>
          </w:rPr>
          <w:t>年</w:t>
        </w:r>
        <w:r w:rsidRPr="00671071">
          <w:rPr>
            <w:sz w:val="24"/>
            <w:lang w:val="en-GB"/>
          </w:rPr>
          <w:t>11</w:t>
        </w:r>
        <w:r w:rsidRPr="00671071">
          <w:rPr>
            <w:rFonts w:hint="eastAsia"/>
            <w:sz w:val="24"/>
            <w:lang w:val="zh-CN"/>
          </w:rPr>
          <w:t>月</w:t>
        </w:r>
        <w:r w:rsidRPr="00671071">
          <w:rPr>
            <w:sz w:val="24"/>
            <w:lang w:val="en-GB"/>
          </w:rPr>
          <w:t>29</w:t>
        </w:r>
        <w:r w:rsidRPr="00671071">
          <w:rPr>
            <w:rFonts w:hint="eastAsia"/>
            <w:sz w:val="24"/>
            <w:lang w:val="zh-CN"/>
          </w:rPr>
          <w:t>日</w:t>
        </w:r>
      </w:smartTag>
      <w:r w:rsidRPr="00671071">
        <w:rPr>
          <w:rFonts w:hint="eastAsia"/>
          <w:sz w:val="24"/>
          <w:lang w:val="zh-CN"/>
        </w:rPr>
        <w:t>通过的关于避免或管理各专家组利益冲突的程序的第</w:t>
      </w:r>
      <w:r w:rsidRPr="00671071">
        <w:rPr>
          <w:sz w:val="24"/>
          <w:lang w:val="en-GB"/>
        </w:rPr>
        <w:t>14/33</w:t>
      </w:r>
      <w:r w:rsidRPr="00671071">
        <w:rPr>
          <w:rFonts w:hint="eastAsia"/>
          <w:sz w:val="24"/>
          <w:lang w:val="zh-CN"/>
        </w:rPr>
        <w:t>号决定</w:t>
      </w:r>
      <w:r w:rsidRPr="00671071">
        <w:rPr>
          <w:rStyle w:val="FootnoteReference"/>
          <w:sz w:val="24"/>
          <w:lang w:val="zh-CN"/>
        </w:rPr>
        <w:footnoteReference w:id="5"/>
      </w:r>
      <w:r w:rsidRPr="00671071">
        <w:rPr>
          <w:rFonts w:hint="eastAsia"/>
          <w:sz w:val="24"/>
          <w:lang w:val="zh-CN"/>
        </w:rPr>
        <w:t>的规定</w:t>
      </w:r>
      <w:r w:rsidRPr="00671071">
        <w:rPr>
          <w:rFonts w:hint="eastAsia"/>
          <w:sz w:val="24"/>
          <w:lang w:val="en-GB"/>
        </w:rPr>
        <w:t>，</w:t>
      </w:r>
      <w:r w:rsidRPr="00671071">
        <w:rPr>
          <w:rFonts w:hint="eastAsia"/>
          <w:sz w:val="24"/>
          <w:lang w:val="zh-CN"/>
        </w:rPr>
        <w:t>委托制定关于就改性活鱼进行风险评估的额外指导意见的详细大纲</w:t>
      </w:r>
      <w:r w:rsidRPr="00671071">
        <w:rPr>
          <w:rFonts w:hint="eastAsia"/>
          <w:sz w:val="24"/>
          <w:lang w:val="en-GB"/>
        </w:rPr>
        <w:t>；</w:t>
      </w:r>
    </w:p>
    <w:p w14:paraId="46482A6F" w14:textId="77777777" w:rsidR="00CA5384" w:rsidRPr="00671071" w:rsidRDefault="00CA5384">
      <w:pPr>
        <w:pStyle w:val="Para10"/>
        <w:numPr>
          <w:ilvl w:val="0"/>
          <w:numId w:val="0"/>
        </w:numPr>
        <w:tabs>
          <w:tab w:val="clear" w:pos="1134"/>
          <w:tab w:val="left" w:pos="2268"/>
        </w:tabs>
        <w:topLinePunct/>
        <w:ind w:left="1134" w:firstLine="567"/>
        <w:rPr>
          <w:i/>
          <w:sz w:val="24"/>
        </w:rPr>
      </w:pPr>
      <w:r w:rsidRPr="00671071">
        <w:rPr>
          <w:noProof/>
          <w:sz w:val="24"/>
        </w:rPr>
        <w:lastRenderedPageBreak/>
        <w:t>(b)</w:t>
      </w:r>
      <w:r w:rsidRPr="00671071">
        <w:rPr>
          <w:sz w:val="24"/>
        </w:rPr>
        <w:tab/>
      </w:r>
      <w:r w:rsidRPr="00671071">
        <w:rPr>
          <w:rFonts w:hint="eastAsia"/>
          <w:sz w:val="24"/>
          <w:lang w:val="zh-CN"/>
        </w:rPr>
        <w:t>汇总各缔约方、其他国家政府和相关组织提交的信息</w:t>
      </w:r>
      <w:r w:rsidRPr="00671071">
        <w:rPr>
          <w:rFonts w:hint="eastAsia"/>
          <w:sz w:val="24"/>
        </w:rPr>
        <w:t>，</w:t>
      </w:r>
      <w:r w:rsidRPr="00671071">
        <w:rPr>
          <w:rFonts w:hint="eastAsia"/>
          <w:sz w:val="24"/>
          <w:lang w:val="zh-CN"/>
        </w:rPr>
        <w:t>以促进风险评估问题特设技术专家组的工作</w:t>
      </w:r>
      <w:r w:rsidRPr="00671071">
        <w:rPr>
          <w:rFonts w:hint="eastAsia"/>
          <w:sz w:val="24"/>
        </w:rPr>
        <w:t>；</w:t>
      </w:r>
    </w:p>
    <w:p w14:paraId="5990CBE0" w14:textId="77777777" w:rsidR="00CA5384" w:rsidRPr="00671071" w:rsidRDefault="00CA5384">
      <w:pPr>
        <w:pStyle w:val="Para10"/>
        <w:numPr>
          <w:ilvl w:val="0"/>
          <w:numId w:val="0"/>
        </w:numPr>
        <w:tabs>
          <w:tab w:val="clear" w:pos="1134"/>
          <w:tab w:val="left" w:pos="2268"/>
        </w:tabs>
        <w:topLinePunct/>
        <w:ind w:left="1134" w:firstLine="567"/>
        <w:rPr>
          <w:sz w:val="24"/>
        </w:rPr>
      </w:pPr>
      <w:r w:rsidRPr="00671071">
        <w:rPr>
          <w:noProof/>
          <w:sz w:val="24"/>
        </w:rPr>
        <w:t>(c)</w:t>
      </w:r>
      <w:r w:rsidRPr="00671071">
        <w:rPr>
          <w:sz w:val="24"/>
        </w:rPr>
        <w:tab/>
      </w:r>
      <w:r w:rsidRPr="00671071">
        <w:rPr>
          <w:rFonts w:hint="eastAsia"/>
          <w:sz w:val="24"/>
          <w:lang w:val="zh-CN"/>
        </w:rPr>
        <w:t>在资源允许的情况下</w:t>
      </w:r>
      <w:r w:rsidRPr="00671071">
        <w:rPr>
          <w:rFonts w:hint="eastAsia"/>
          <w:sz w:val="24"/>
        </w:rPr>
        <w:t>，</w:t>
      </w:r>
      <w:r w:rsidRPr="00671071">
        <w:rPr>
          <w:rFonts w:hint="eastAsia"/>
          <w:sz w:val="24"/>
          <w:lang w:val="zh-CN"/>
        </w:rPr>
        <w:t>召开两次风险评估问题特设技术专家组会议</w:t>
      </w:r>
      <w:r w:rsidRPr="00671071">
        <w:rPr>
          <w:rFonts w:hint="eastAsia"/>
          <w:sz w:val="24"/>
        </w:rPr>
        <w:t>，</w:t>
      </w:r>
      <w:r w:rsidRPr="00671071">
        <w:rPr>
          <w:rFonts w:hint="eastAsia"/>
          <w:sz w:val="24"/>
          <w:lang w:val="zh-CN"/>
        </w:rPr>
        <w:t>其中至少一次应举行面对面会议。</w:t>
      </w:r>
      <w:r w:rsidRPr="00671071">
        <w:rPr>
          <w:sz w:val="24"/>
        </w:rPr>
        <w:t xml:space="preserve"> </w:t>
      </w:r>
    </w:p>
    <w:p w14:paraId="22EA2B44" w14:textId="77777777" w:rsidR="00CA5384" w:rsidRPr="00671071" w:rsidRDefault="00CA5384">
      <w:pPr>
        <w:keepNext/>
        <w:topLinePunct/>
        <w:spacing w:after="120" w:line="260" w:lineRule="auto"/>
        <w:ind w:left="1134"/>
        <w:jc w:val="left"/>
        <w:rPr>
          <w:b/>
          <w:sz w:val="24"/>
        </w:rPr>
      </w:pPr>
      <w:r w:rsidRPr="00671071">
        <w:rPr>
          <w:rFonts w:hint="eastAsia"/>
          <w:b/>
          <w:sz w:val="24"/>
          <w:lang w:val="zh-CN"/>
        </w:rPr>
        <w:t>附件</w:t>
      </w:r>
    </w:p>
    <w:p w14:paraId="0C8A8FD8" w14:textId="77777777" w:rsidR="00CA5384" w:rsidRPr="00671071" w:rsidRDefault="00CA5384">
      <w:pPr>
        <w:pStyle w:val="Title"/>
        <w:topLinePunct/>
        <w:spacing w:before="120" w:after="120"/>
        <w:ind w:left="1134"/>
        <w:jc w:val="left"/>
        <w:rPr>
          <w:rFonts w:ascii="SimSun" w:eastAsia="SimSun" w:hAnsi="Times New Roman"/>
          <w:bCs w:val="0"/>
          <w:spacing w:val="0"/>
          <w:szCs w:val="24"/>
        </w:rPr>
      </w:pPr>
      <w:r w:rsidRPr="00671071">
        <w:rPr>
          <w:rFonts w:ascii="SimSun" w:eastAsia="SimSun" w:hAnsi="Times New Roman" w:hint="eastAsia"/>
          <w:bCs w:val="0"/>
          <w:spacing w:val="0"/>
          <w:szCs w:val="24"/>
          <w:lang w:val="zh-CN"/>
        </w:rPr>
        <w:t>风险评估问题特设技术专家组的任务规定</w:t>
      </w:r>
    </w:p>
    <w:p w14:paraId="3ABD1787" w14:textId="77777777" w:rsidR="00CA5384" w:rsidRPr="00562630" w:rsidRDefault="00CA5384">
      <w:pPr>
        <w:pStyle w:val="Para10"/>
        <w:numPr>
          <w:ilvl w:val="0"/>
          <w:numId w:val="19"/>
        </w:numPr>
        <w:tabs>
          <w:tab w:val="clear" w:pos="1134"/>
          <w:tab w:val="left" w:pos="1701"/>
        </w:tabs>
        <w:topLinePunct/>
        <w:ind w:left="1134" w:firstLine="0"/>
        <w:rPr>
          <w:sz w:val="24"/>
        </w:rPr>
      </w:pPr>
      <w:r w:rsidRPr="00562630">
        <w:rPr>
          <w:rFonts w:hint="eastAsia"/>
          <w:sz w:val="24"/>
          <w:lang w:val="zh-CN"/>
        </w:rPr>
        <w:t>风险评估问题特设技术专家组应：</w:t>
      </w:r>
    </w:p>
    <w:p w14:paraId="033C6984" w14:textId="77777777" w:rsidR="00CA5384" w:rsidRPr="00562630" w:rsidRDefault="00CA5384">
      <w:pPr>
        <w:pStyle w:val="Para2"/>
        <w:numPr>
          <w:ilvl w:val="1"/>
          <w:numId w:val="2"/>
        </w:numPr>
        <w:tabs>
          <w:tab w:val="clear" w:pos="1701"/>
          <w:tab w:val="left" w:pos="2268"/>
        </w:tabs>
        <w:topLinePunct/>
        <w:ind w:left="1134" w:firstLine="567"/>
        <w:rPr>
          <w:sz w:val="24"/>
        </w:rPr>
      </w:pPr>
      <w:r w:rsidRPr="00562630">
        <w:rPr>
          <w:rFonts w:hint="eastAsia"/>
          <w:sz w:val="24"/>
          <w:lang w:val="zh-CN"/>
        </w:rPr>
        <w:t>根据</w:t>
      </w:r>
      <w:smartTag w:uri="urn:schemas-microsoft-com:office:smarttags" w:element="chsdate">
        <w:smartTagPr>
          <w:attr w:name="Year" w:val="2014"/>
          <w:attr w:name="Month" w:val="10"/>
          <w:attr w:name="Day" w:val="3"/>
          <w:attr w:name="IsLunarDate" w:val="False"/>
          <w:attr w:name="IsROCDate" w:val="False"/>
        </w:smartTagPr>
        <w:r w:rsidRPr="00562630">
          <w:rPr>
            <w:sz w:val="24"/>
          </w:rPr>
          <w:t>2018</w:t>
        </w:r>
        <w:r w:rsidRPr="00562630">
          <w:rPr>
            <w:rFonts w:hint="eastAsia"/>
            <w:sz w:val="24"/>
            <w:lang w:val="zh-CN"/>
          </w:rPr>
          <w:t>年</w:t>
        </w:r>
        <w:r w:rsidRPr="00562630">
          <w:rPr>
            <w:sz w:val="24"/>
          </w:rPr>
          <w:t>11</w:t>
        </w:r>
        <w:r w:rsidRPr="00562630">
          <w:rPr>
            <w:rFonts w:hint="eastAsia"/>
            <w:sz w:val="24"/>
            <w:lang w:val="zh-CN"/>
          </w:rPr>
          <w:t>月</w:t>
        </w:r>
        <w:r w:rsidRPr="00562630">
          <w:rPr>
            <w:sz w:val="24"/>
          </w:rPr>
          <w:t>29</w:t>
        </w:r>
        <w:r w:rsidRPr="00562630">
          <w:rPr>
            <w:rFonts w:hint="eastAsia"/>
            <w:sz w:val="24"/>
            <w:lang w:val="zh-CN"/>
          </w:rPr>
          <w:t>日</w:t>
        </w:r>
      </w:smartTag>
      <w:r w:rsidRPr="00562630">
        <w:rPr>
          <w:rFonts w:hint="eastAsia"/>
          <w:sz w:val="24"/>
          <w:lang w:val="zh-CN"/>
        </w:rPr>
        <w:t>关于避免或管理各专家组利益冲突的程序的第</w:t>
      </w:r>
      <w:r w:rsidRPr="00562630">
        <w:rPr>
          <w:sz w:val="24"/>
        </w:rPr>
        <w:t>14/33</w:t>
      </w:r>
      <w:r w:rsidRPr="00562630">
        <w:rPr>
          <w:rFonts w:hint="eastAsia"/>
          <w:sz w:val="24"/>
          <w:lang w:val="zh-CN"/>
        </w:rPr>
        <w:t>号决定的规定</w:t>
      </w:r>
      <w:r w:rsidRPr="00562630">
        <w:rPr>
          <w:rFonts w:hint="eastAsia"/>
          <w:sz w:val="24"/>
        </w:rPr>
        <w:t>，</w:t>
      </w:r>
      <w:r w:rsidRPr="00562630">
        <w:rPr>
          <w:rFonts w:hint="eastAsia"/>
          <w:sz w:val="24"/>
          <w:lang w:val="zh-CN"/>
        </w:rPr>
        <w:t>由依照科学、技术和工艺咨询附属机构综合工作方式</w:t>
      </w:r>
      <w:r w:rsidRPr="00562630">
        <w:rPr>
          <w:sz w:val="24"/>
        </w:rPr>
        <w:t>H</w:t>
      </w:r>
      <w:r w:rsidRPr="00562630">
        <w:rPr>
          <w:rFonts w:hint="eastAsia"/>
          <w:sz w:val="24"/>
          <w:lang w:val="zh-CN"/>
        </w:rPr>
        <w:t>节选出的专家组成</w:t>
      </w:r>
      <w:r w:rsidRPr="00562630">
        <w:rPr>
          <w:rFonts w:hint="eastAsia"/>
          <w:sz w:val="24"/>
        </w:rPr>
        <w:t>，</w:t>
      </w:r>
      <w:r w:rsidRPr="00562630">
        <w:rPr>
          <w:rFonts w:hint="eastAsia"/>
          <w:sz w:val="24"/>
          <w:lang w:val="zh-CN"/>
        </w:rPr>
        <w:t>他们具有对改性活鱼的具体科学和技术专门知识以及对生物多样性和对专家组的任务授权相关问题具有潜在影响力</w:t>
      </w:r>
      <w:r w:rsidRPr="00562630">
        <w:rPr>
          <w:rFonts w:hint="eastAsia"/>
          <w:sz w:val="24"/>
        </w:rPr>
        <w:t>，</w:t>
      </w:r>
      <w:r w:rsidRPr="00562630">
        <w:rPr>
          <w:rFonts w:hint="eastAsia"/>
          <w:sz w:val="24"/>
          <w:lang w:val="zh-CN"/>
        </w:rPr>
        <w:t>并包括来自相关国际组织以及土著人民和地方社区的专家</w:t>
      </w:r>
      <w:r w:rsidRPr="00562630">
        <w:rPr>
          <w:rFonts w:hint="eastAsia"/>
          <w:sz w:val="24"/>
        </w:rPr>
        <w:t>；</w:t>
      </w:r>
    </w:p>
    <w:p w14:paraId="3FA8ADC4" w14:textId="77777777" w:rsidR="00CA5384" w:rsidRPr="00562630" w:rsidRDefault="00CA5384">
      <w:pPr>
        <w:pStyle w:val="Para2"/>
        <w:numPr>
          <w:ilvl w:val="1"/>
          <w:numId w:val="2"/>
        </w:numPr>
        <w:tabs>
          <w:tab w:val="clear" w:pos="1701"/>
          <w:tab w:val="left" w:pos="2268"/>
        </w:tabs>
        <w:topLinePunct/>
        <w:ind w:left="1134" w:firstLine="567"/>
        <w:rPr>
          <w:sz w:val="24"/>
        </w:rPr>
      </w:pPr>
      <w:r w:rsidRPr="00562630">
        <w:rPr>
          <w:rFonts w:hint="eastAsia"/>
          <w:sz w:val="24"/>
          <w:lang w:val="zh-CN"/>
        </w:rPr>
        <w:t>在资金允许的情况下</w:t>
      </w:r>
      <w:r w:rsidRPr="00562630">
        <w:rPr>
          <w:rFonts w:hint="eastAsia"/>
          <w:sz w:val="24"/>
        </w:rPr>
        <w:t>，</w:t>
      </w:r>
      <w:r w:rsidRPr="00562630">
        <w:rPr>
          <w:rFonts w:hint="eastAsia"/>
          <w:sz w:val="24"/>
          <w:lang w:val="zh-CN"/>
        </w:rPr>
        <w:t>在作为卡塔赫纳生物安全议定书缔约方会议的缔约方大会举行第十二次会议之前举行一次会议</w:t>
      </w:r>
      <w:r w:rsidRPr="00562630">
        <w:rPr>
          <w:rFonts w:hint="eastAsia"/>
          <w:sz w:val="24"/>
        </w:rPr>
        <w:t>，</w:t>
      </w:r>
      <w:r w:rsidRPr="00562630">
        <w:rPr>
          <w:rFonts w:hint="eastAsia"/>
          <w:sz w:val="24"/>
          <w:lang w:val="zh-CN"/>
        </w:rPr>
        <w:t>并酌情通过在线沟通和参与的方式开展工作</w:t>
      </w:r>
      <w:r w:rsidRPr="00562630">
        <w:rPr>
          <w:rFonts w:hint="eastAsia"/>
          <w:sz w:val="24"/>
        </w:rPr>
        <w:t>；</w:t>
      </w:r>
    </w:p>
    <w:p w14:paraId="451F169D" w14:textId="77777777" w:rsidR="00CA5384" w:rsidRPr="00562630" w:rsidRDefault="00CA5384">
      <w:pPr>
        <w:pStyle w:val="Para2"/>
        <w:numPr>
          <w:ilvl w:val="1"/>
          <w:numId w:val="2"/>
        </w:numPr>
        <w:tabs>
          <w:tab w:val="clear" w:pos="1701"/>
          <w:tab w:val="left" w:pos="2268"/>
        </w:tabs>
        <w:topLinePunct/>
        <w:ind w:left="1134" w:firstLine="567"/>
        <w:rPr>
          <w:sz w:val="24"/>
        </w:rPr>
      </w:pPr>
      <w:r w:rsidRPr="00562630">
        <w:rPr>
          <w:rFonts w:hint="eastAsia"/>
          <w:sz w:val="24"/>
          <w:lang w:val="zh-CN"/>
        </w:rPr>
        <w:t>制定额外自愿指导意见</w:t>
      </w:r>
      <w:r w:rsidRPr="00562630">
        <w:rPr>
          <w:rFonts w:hint="eastAsia"/>
          <w:sz w:val="24"/>
        </w:rPr>
        <w:t>，</w:t>
      </w:r>
      <w:r w:rsidRPr="00562630">
        <w:rPr>
          <w:rFonts w:hint="eastAsia"/>
          <w:sz w:val="24"/>
          <w:lang w:val="zh-CN"/>
        </w:rPr>
        <w:t>以便依照《议定书》附件三对改性活鱼进行个案风险评估</w:t>
      </w:r>
      <w:r w:rsidRPr="00562630">
        <w:rPr>
          <w:rFonts w:hint="eastAsia"/>
          <w:sz w:val="24"/>
        </w:rPr>
        <w:t>，</w:t>
      </w:r>
      <w:r w:rsidRPr="00562630">
        <w:rPr>
          <w:rFonts w:hint="eastAsia"/>
          <w:sz w:val="24"/>
          <w:lang w:val="zh-CN"/>
        </w:rPr>
        <w:t>同时考虑到目前对生物体的经验以及</w:t>
      </w:r>
      <w:smartTag w:uri="urn:schemas-microsoft-com:office:smarttags" w:element="chsdate">
        <w:smartTagPr>
          <w:attr w:name="Year" w:val="2014"/>
          <w:attr w:name="Month" w:val="10"/>
          <w:attr w:name="Day" w:val="3"/>
          <w:attr w:name="IsLunarDate" w:val="False"/>
          <w:attr w:name="IsROCDate" w:val="False"/>
        </w:smartTagPr>
        <w:r w:rsidRPr="00562630">
          <w:rPr>
            <w:sz w:val="24"/>
          </w:rPr>
          <w:t>2018</w:t>
        </w:r>
        <w:r w:rsidRPr="00562630">
          <w:rPr>
            <w:rFonts w:hint="eastAsia"/>
            <w:sz w:val="24"/>
            <w:lang w:val="zh-CN"/>
          </w:rPr>
          <w:t>年</w:t>
        </w:r>
        <w:r w:rsidRPr="00562630">
          <w:rPr>
            <w:sz w:val="24"/>
          </w:rPr>
          <w:t>11</w:t>
        </w:r>
        <w:r w:rsidRPr="00562630">
          <w:rPr>
            <w:rFonts w:hint="eastAsia"/>
            <w:sz w:val="24"/>
            <w:lang w:val="zh-CN"/>
          </w:rPr>
          <w:t>月</w:t>
        </w:r>
        <w:r w:rsidRPr="00562630">
          <w:rPr>
            <w:sz w:val="24"/>
          </w:rPr>
          <w:t>28</w:t>
        </w:r>
        <w:r w:rsidRPr="00562630">
          <w:rPr>
            <w:rFonts w:hint="eastAsia"/>
            <w:sz w:val="24"/>
            <w:lang w:val="zh-CN"/>
          </w:rPr>
          <w:t>日</w:t>
        </w:r>
      </w:smartTag>
      <w:r w:rsidRPr="00562630">
        <w:rPr>
          <w:rFonts w:hint="eastAsia"/>
          <w:sz w:val="24"/>
          <w:lang w:val="zh-CN"/>
        </w:rPr>
        <w:t>第</w:t>
      </w:r>
      <w:r w:rsidRPr="00562630">
        <w:rPr>
          <w:sz w:val="24"/>
        </w:rPr>
        <w:t>CP-9/13</w:t>
      </w:r>
      <w:r w:rsidRPr="00562630">
        <w:rPr>
          <w:rFonts w:hint="eastAsia"/>
          <w:sz w:val="24"/>
          <w:lang w:val="zh-CN"/>
        </w:rPr>
        <w:t>号决定附件一中确定的风险评估的各项具体问题</w:t>
      </w:r>
      <w:r w:rsidRPr="00562630">
        <w:rPr>
          <w:rFonts w:hint="eastAsia"/>
          <w:sz w:val="24"/>
        </w:rPr>
        <w:t>，</w:t>
      </w:r>
      <w:r w:rsidRPr="00562630">
        <w:rPr>
          <w:rFonts w:hint="eastAsia"/>
          <w:sz w:val="24"/>
          <w:lang w:val="zh-CN"/>
        </w:rPr>
        <w:t>包括现有报告、改性活鱼的一般考虑以及国家和区域风险评估的现有经验</w:t>
      </w:r>
      <w:r w:rsidRPr="00562630">
        <w:rPr>
          <w:rFonts w:hint="eastAsia"/>
          <w:sz w:val="24"/>
        </w:rPr>
        <w:t>；</w:t>
      </w:r>
    </w:p>
    <w:p w14:paraId="54B370C8" w14:textId="77777777" w:rsidR="00CA5384" w:rsidRPr="00562630" w:rsidRDefault="00CA5384">
      <w:pPr>
        <w:pStyle w:val="Para2"/>
        <w:numPr>
          <w:ilvl w:val="1"/>
          <w:numId w:val="2"/>
        </w:numPr>
        <w:tabs>
          <w:tab w:val="clear" w:pos="1701"/>
          <w:tab w:val="left" w:pos="2268"/>
        </w:tabs>
        <w:topLinePunct/>
        <w:ind w:left="1134" w:firstLine="567"/>
        <w:rPr>
          <w:sz w:val="24"/>
        </w:rPr>
      </w:pPr>
      <w:r w:rsidRPr="00562630">
        <w:rPr>
          <w:rFonts w:hint="eastAsia"/>
          <w:sz w:val="24"/>
          <w:lang w:val="zh-CN"/>
        </w:rPr>
        <w:t>分析缔约方根据第</w:t>
      </w:r>
      <w:r w:rsidRPr="00562630">
        <w:rPr>
          <w:sz w:val="24"/>
        </w:rPr>
        <w:t>CP</w:t>
      </w:r>
      <w:r w:rsidRPr="00562630">
        <w:rPr>
          <w:sz w:val="24"/>
        </w:rPr>
        <w:noBreakHyphen/>
        <w:t>11/</w:t>
      </w:r>
      <w:r w:rsidRPr="00562630">
        <w:rPr>
          <w:sz w:val="24"/>
        </w:rPr>
        <w:noBreakHyphen/>
      </w:r>
      <w:r w:rsidRPr="00562630">
        <w:rPr>
          <w:sz w:val="24"/>
        </w:rPr>
        <w:noBreakHyphen/>
      </w:r>
      <w:r w:rsidRPr="00562630">
        <w:rPr>
          <w:rFonts w:hint="eastAsia"/>
          <w:sz w:val="24"/>
          <w:lang w:val="zh-CN"/>
        </w:rPr>
        <w:t>号决定第</w:t>
      </w:r>
      <w:r w:rsidRPr="00562630">
        <w:rPr>
          <w:sz w:val="24"/>
        </w:rPr>
        <w:t>9</w:t>
      </w:r>
      <w:r w:rsidRPr="00562630">
        <w:rPr>
          <w:rFonts w:hint="eastAsia"/>
          <w:sz w:val="24"/>
          <w:lang w:val="zh-CN"/>
        </w:rPr>
        <w:t>段提交的信息</w:t>
      </w:r>
      <w:r w:rsidRPr="00562630">
        <w:rPr>
          <w:rFonts w:hint="eastAsia"/>
          <w:sz w:val="24"/>
        </w:rPr>
        <w:t>，</w:t>
      </w:r>
      <w:r w:rsidRPr="00562630">
        <w:rPr>
          <w:rFonts w:hint="eastAsia"/>
          <w:sz w:val="24"/>
          <w:lang w:val="zh-CN"/>
        </w:rPr>
        <w:t>并在此基础上</w:t>
      </w:r>
      <w:r w:rsidRPr="00562630">
        <w:rPr>
          <w:rFonts w:hint="eastAsia"/>
          <w:sz w:val="24"/>
        </w:rPr>
        <w:t>，</w:t>
      </w:r>
      <w:r w:rsidRPr="00562630">
        <w:rPr>
          <w:rFonts w:hint="eastAsia"/>
          <w:sz w:val="24"/>
          <w:lang w:val="zh-CN"/>
        </w:rPr>
        <w:t>编制一份依照第</w:t>
      </w:r>
      <w:r w:rsidRPr="00562630">
        <w:rPr>
          <w:sz w:val="24"/>
        </w:rPr>
        <w:t>CP-9/13</w:t>
      </w:r>
      <w:r w:rsidRPr="00562630">
        <w:rPr>
          <w:rFonts w:hint="eastAsia"/>
          <w:sz w:val="24"/>
          <w:lang w:val="zh-CN"/>
        </w:rPr>
        <w:t>号决定附件一中的标准可能需要就风险评估提供进一步指导意见的优先问题清单</w:t>
      </w:r>
      <w:r w:rsidRPr="00562630">
        <w:rPr>
          <w:rFonts w:hint="eastAsia"/>
          <w:sz w:val="24"/>
        </w:rPr>
        <w:t>；</w:t>
      </w:r>
    </w:p>
    <w:p w14:paraId="02FA8A24" w14:textId="77777777" w:rsidR="00CA5384" w:rsidRPr="00562630" w:rsidRDefault="00CA5384">
      <w:pPr>
        <w:pStyle w:val="Para2"/>
        <w:numPr>
          <w:ilvl w:val="1"/>
          <w:numId w:val="2"/>
        </w:numPr>
        <w:tabs>
          <w:tab w:val="clear" w:pos="1701"/>
          <w:tab w:val="left" w:pos="2268"/>
        </w:tabs>
        <w:topLinePunct/>
        <w:ind w:left="1134" w:firstLine="567"/>
        <w:rPr>
          <w:sz w:val="24"/>
        </w:rPr>
      </w:pPr>
      <w:r w:rsidRPr="00562630">
        <w:rPr>
          <w:rFonts w:hint="eastAsia"/>
          <w:sz w:val="24"/>
          <w:lang w:val="zh-CN"/>
        </w:rPr>
        <w:t>编写一份报告</w:t>
      </w:r>
      <w:r w:rsidRPr="00562630">
        <w:rPr>
          <w:rFonts w:hint="eastAsia"/>
          <w:sz w:val="24"/>
        </w:rPr>
        <w:t>，</w:t>
      </w:r>
      <w:r w:rsidRPr="00562630">
        <w:rPr>
          <w:rFonts w:hint="eastAsia"/>
          <w:sz w:val="24"/>
          <w:lang w:val="zh-CN"/>
        </w:rPr>
        <w:t>其中包括关于改性活鱼的自愿指导意见草案和依照上文</w:t>
      </w:r>
      <w:r w:rsidRPr="00562630">
        <w:rPr>
          <w:sz w:val="24"/>
        </w:rPr>
        <w:t>(d)</w:t>
      </w:r>
      <w:r w:rsidRPr="00562630">
        <w:rPr>
          <w:rFonts w:hint="eastAsia"/>
          <w:sz w:val="24"/>
          <w:lang w:val="zh-CN"/>
        </w:rPr>
        <w:t>段可能需要就风险评估提供进一步指导意见的优先问题清单</w:t>
      </w:r>
      <w:r w:rsidRPr="00562630">
        <w:rPr>
          <w:rFonts w:hint="eastAsia"/>
          <w:sz w:val="24"/>
        </w:rPr>
        <w:t>，</w:t>
      </w:r>
      <w:r w:rsidRPr="00562630">
        <w:rPr>
          <w:rFonts w:hint="eastAsia"/>
          <w:sz w:val="24"/>
          <w:lang w:val="zh-CN"/>
        </w:rPr>
        <w:t>供科咨机构审议</w:t>
      </w:r>
      <w:r w:rsidRPr="00562630">
        <w:rPr>
          <w:rFonts w:hint="eastAsia"/>
          <w:sz w:val="24"/>
        </w:rPr>
        <w:t>；</w:t>
      </w:r>
    </w:p>
    <w:p w14:paraId="6092469E" w14:textId="77777777" w:rsidR="00CA5384" w:rsidRPr="00562630" w:rsidRDefault="00CA5384">
      <w:pPr>
        <w:pStyle w:val="Para10"/>
        <w:numPr>
          <w:ilvl w:val="0"/>
          <w:numId w:val="19"/>
        </w:numPr>
        <w:tabs>
          <w:tab w:val="clear" w:pos="1134"/>
          <w:tab w:val="left" w:pos="1701"/>
        </w:tabs>
        <w:topLinePunct/>
        <w:ind w:left="1134" w:firstLine="0"/>
        <w:rPr>
          <w:sz w:val="24"/>
        </w:rPr>
      </w:pPr>
      <w:r w:rsidRPr="00562630">
        <w:rPr>
          <w:rFonts w:hint="eastAsia"/>
          <w:sz w:val="24"/>
          <w:lang w:val="zh-CN"/>
        </w:rPr>
        <w:t>在开展工作时</w:t>
      </w:r>
      <w:r w:rsidRPr="00562630">
        <w:rPr>
          <w:rFonts w:hint="eastAsia"/>
          <w:sz w:val="24"/>
        </w:rPr>
        <w:t>，</w:t>
      </w:r>
      <w:r w:rsidRPr="00562630">
        <w:rPr>
          <w:rFonts w:hint="eastAsia"/>
          <w:sz w:val="24"/>
          <w:lang w:val="zh-CN"/>
        </w:rPr>
        <w:t>专家组应审议秘书处就提交的意见以及在风险评估和风险管理问题不限成员名额在线论坛进行的讨论的汇总文件</w:t>
      </w:r>
      <w:r w:rsidRPr="00562630">
        <w:rPr>
          <w:rFonts w:hint="eastAsia"/>
          <w:sz w:val="24"/>
        </w:rPr>
        <w:t>；</w:t>
      </w:r>
      <w:r w:rsidRPr="00562630">
        <w:rPr>
          <w:rFonts w:hint="eastAsia"/>
          <w:sz w:val="24"/>
          <w:lang w:val="zh-CN"/>
        </w:rPr>
        <w:t>现有资源</w:t>
      </w:r>
      <w:r w:rsidRPr="00562630">
        <w:rPr>
          <w:rFonts w:hint="eastAsia"/>
          <w:sz w:val="24"/>
        </w:rPr>
        <w:t>，</w:t>
      </w:r>
      <w:r w:rsidRPr="00562630">
        <w:rPr>
          <w:rFonts w:hint="eastAsia"/>
          <w:sz w:val="24"/>
          <w:lang w:val="zh-CN"/>
        </w:rPr>
        <w:t>包括在风险评估研究盘点工作确定的资源</w:t>
      </w:r>
      <w:r w:rsidRPr="00562630">
        <w:rPr>
          <w:rFonts w:hint="eastAsia"/>
          <w:sz w:val="24"/>
        </w:rPr>
        <w:t>：</w:t>
      </w:r>
      <w:r w:rsidRPr="00562630">
        <w:rPr>
          <w:rFonts w:hint="eastAsia"/>
          <w:sz w:val="24"/>
          <w:lang w:val="zh-CN"/>
        </w:rPr>
        <w:t>将第</w:t>
      </w:r>
      <w:r w:rsidRPr="00562630">
        <w:rPr>
          <w:sz w:val="24"/>
        </w:rPr>
        <w:t>CP</w:t>
      </w:r>
      <w:r w:rsidRPr="00562630">
        <w:rPr>
          <w:sz w:val="24"/>
        </w:rPr>
        <w:noBreakHyphen/>
        <w:t>9/13</w:t>
      </w:r>
      <w:r w:rsidRPr="00562630">
        <w:rPr>
          <w:rFonts w:hint="eastAsia"/>
          <w:sz w:val="24"/>
          <w:lang w:val="zh-CN"/>
        </w:rPr>
        <w:t>号决定附件一的规定适用于改性活鱼</w:t>
      </w:r>
      <w:r w:rsidRPr="00562630">
        <w:rPr>
          <w:rFonts w:hint="eastAsia"/>
          <w:sz w:val="24"/>
        </w:rPr>
        <w:t>；</w:t>
      </w:r>
      <w:r w:rsidRPr="00562630">
        <w:rPr>
          <w:rStyle w:val="FootnoteReference"/>
          <w:sz w:val="24"/>
          <w:lang w:val="zh-CN"/>
        </w:rPr>
        <w:footnoteReference w:id="6"/>
      </w:r>
      <w:r w:rsidRPr="00562630">
        <w:rPr>
          <w:rFonts w:hint="eastAsia"/>
          <w:sz w:val="24"/>
          <w:lang w:val="zh-CN"/>
        </w:rPr>
        <w:t>已经可用的指导意见</w:t>
      </w:r>
      <w:r w:rsidRPr="00562630">
        <w:rPr>
          <w:rFonts w:hint="eastAsia"/>
          <w:sz w:val="24"/>
        </w:rPr>
        <w:t>；</w:t>
      </w:r>
      <w:r w:rsidRPr="00562630">
        <w:rPr>
          <w:rFonts w:hint="eastAsia"/>
          <w:sz w:val="24"/>
          <w:lang w:val="zh-CN"/>
        </w:rPr>
        <w:t>以及作为卡塔赫纳生物安全议定书缔约方会议的缔约方大会通过的关于风险评估和风险管理的相关决定。</w:t>
      </w:r>
    </w:p>
    <w:p w14:paraId="66ABF670" w14:textId="77777777" w:rsidR="00CA5384" w:rsidRDefault="00CA5384">
      <w:pPr>
        <w:topLinePunct/>
        <w:spacing w:after="160" w:line="259" w:lineRule="auto"/>
        <w:jc w:val="left"/>
        <w:rPr>
          <w:lang w:val="en-CA"/>
        </w:rPr>
      </w:pPr>
      <w:r>
        <w:br w:type="page"/>
      </w:r>
    </w:p>
    <w:p w14:paraId="6E1A0BC3" w14:textId="77777777" w:rsidR="00CA5384" w:rsidRPr="00562630" w:rsidRDefault="00CA5384">
      <w:pPr>
        <w:pStyle w:val="Para10"/>
        <w:numPr>
          <w:ilvl w:val="0"/>
          <w:numId w:val="65"/>
        </w:numPr>
        <w:topLinePunct/>
        <w:ind w:left="567" w:firstLine="0"/>
        <w:rPr>
          <w:sz w:val="24"/>
        </w:rPr>
      </w:pPr>
      <w:r w:rsidRPr="00562630">
        <w:rPr>
          <w:rFonts w:hint="eastAsia"/>
          <w:sz w:val="24"/>
          <w:lang w:val="zh-CN"/>
        </w:rPr>
        <w:t>根据第</w:t>
      </w:r>
      <w:r w:rsidRPr="00562630">
        <w:rPr>
          <w:sz w:val="24"/>
        </w:rPr>
        <w:t>CP-9/13</w:t>
      </w:r>
      <w:r w:rsidRPr="00562630">
        <w:rPr>
          <w:rFonts w:hint="eastAsia"/>
          <w:sz w:val="24"/>
          <w:lang w:val="zh-CN"/>
        </w:rPr>
        <w:t>号决定为确定供作为议定书缔约方会议的缔约方大会审议的关于改性活生物体风险评估的各项具体问题及其优先次序的常规程序</w:t>
      </w:r>
      <w:r w:rsidRPr="00562630">
        <w:rPr>
          <w:rFonts w:hint="eastAsia"/>
          <w:sz w:val="24"/>
        </w:rPr>
        <w:t>，</w:t>
      </w:r>
      <w:r w:rsidRPr="00562630">
        <w:rPr>
          <w:rFonts w:hint="eastAsia"/>
          <w:sz w:val="24"/>
          <w:lang w:val="zh-CN"/>
        </w:rPr>
        <w:t>为了就查明的各项具体问题进行风险评估制定进一步指导意见</w:t>
      </w:r>
      <w:r w:rsidRPr="00562630">
        <w:rPr>
          <w:rFonts w:hint="eastAsia"/>
          <w:sz w:val="24"/>
        </w:rPr>
        <w:t>，</w:t>
      </w:r>
      <w:r w:rsidRPr="00562630">
        <w:rPr>
          <w:rFonts w:hint="eastAsia"/>
          <w:sz w:val="24"/>
          <w:lang w:val="zh-CN"/>
        </w:rPr>
        <w:t>科咨机构不妨建议作为议定书缔约方会议的缔约方大会第十一次会议通过一项内容大致如下的决定</w:t>
      </w:r>
      <w:r w:rsidRPr="00562630">
        <w:rPr>
          <w:rFonts w:hint="eastAsia"/>
          <w:sz w:val="24"/>
        </w:rPr>
        <w:t>：</w:t>
      </w:r>
      <w:r w:rsidRPr="00562630">
        <w:rPr>
          <w:sz w:val="24"/>
        </w:rPr>
        <w:t xml:space="preserve"> </w:t>
      </w:r>
    </w:p>
    <w:p w14:paraId="78423950" w14:textId="77777777" w:rsidR="00CA5384" w:rsidRPr="00562630" w:rsidRDefault="00CA5384">
      <w:pPr>
        <w:pStyle w:val="Para10"/>
        <w:numPr>
          <w:ilvl w:val="0"/>
          <w:numId w:val="0"/>
        </w:numPr>
        <w:topLinePunct/>
        <w:ind w:left="1134" w:firstLine="567"/>
        <w:rPr>
          <w:i/>
          <w:sz w:val="24"/>
        </w:rPr>
      </w:pPr>
      <w:r w:rsidRPr="00562630">
        <w:rPr>
          <w:rFonts w:eastAsia="KaiTi" w:hint="eastAsia"/>
          <w:sz w:val="24"/>
          <w:lang w:val="zh-CN"/>
        </w:rPr>
        <w:t>作为卡塔赫纳生物安全议定书缔约方会议的缔约方大会</w:t>
      </w:r>
      <w:r w:rsidRPr="00562630">
        <w:rPr>
          <w:rFonts w:hint="eastAsia"/>
          <w:sz w:val="24"/>
        </w:rPr>
        <w:t>，</w:t>
      </w:r>
    </w:p>
    <w:p w14:paraId="1F9DAD79" w14:textId="77777777" w:rsidR="00CA5384" w:rsidRPr="00562630" w:rsidRDefault="00CA5384">
      <w:pPr>
        <w:pStyle w:val="ListParagraph"/>
        <w:topLinePunct/>
        <w:ind w:left="1134" w:firstLine="567"/>
        <w:rPr>
          <w:i/>
          <w:sz w:val="24"/>
          <w:lang w:val="en-CA"/>
        </w:rPr>
      </w:pPr>
      <w:r w:rsidRPr="00562630">
        <w:rPr>
          <w:rFonts w:eastAsia="KaiTi" w:hint="eastAsia"/>
          <w:sz w:val="24"/>
          <w:lang w:val="zh-CN"/>
        </w:rPr>
        <w:t>回顾</w:t>
      </w:r>
      <w:smartTag w:uri="urn:schemas-microsoft-com:office:smarttags" w:element="chsdate">
        <w:smartTagPr>
          <w:attr w:name="Year" w:val="2014"/>
          <w:attr w:name="Month" w:val="10"/>
          <w:attr w:name="Day" w:val="3"/>
          <w:attr w:name="IsLunarDate" w:val="False"/>
          <w:attr w:name="IsROCDate" w:val="False"/>
        </w:smartTagPr>
        <w:r w:rsidRPr="00562630">
          <w:rPr>
            <w:sz w:val="24"/>
            <w:lang w:val="en-CA"/>
          </w:rPr>
          <w:t>2018</w:t>
        </w:r>
        <w:r w:rsidRPr="00562630">
          <w:rPr>
            <w:rFonts w:hint="eastAsia"/>
            <w:sz w:val="24"/>
            <w:lang w:val="zh-CN"/>
          </w:rPr>
          <w:t>年</w:t>
        </w:r>
        <w:r w:rsidRPr="00562630">
          <w:rPr>
            <w:sz w:val="24"/>
            <w:lang w:val="en-CA"/>
          </w:rPr>
          <w:t>11</w:t>
        </w:r>
        <w:r w:rsidRPr="00562630">
          <w:rPr>
            <w:rFonts w:hint="eastAsia"/>
            <w:sz w:val="24"/>
            <w:lang w:val="zh-CN"/>
          </w:rPr>
          <w:t>月</w:t>
        </w:r>
        <w:r w:rsidRPr="00562630">
          <w:rPr>
            <w:sz w:val="24"/>
            <w:lang w:val="en-CA"/>
          </w:rPr>
          <w:t>28</w:t>
        </w:r>
        <w:r w:rsidRPr="00562630">
          <w:rPr>
            <w:rFonts w:hint="eastAsia"/>
            <w:sz w:val="24"/>
            <w:lang w:val="zh-CN"/>
          </w:rPr>
          <w:t>日</w:t>
        </w:r>
      </w:smartTag>
      <w:r w:rsidRPr="00562630">
        <w:rPr>
          <w:rFonts w:hint="eastAsia"/>
          <w:sz w:val="24"/>
          <w:lang w:val="zh-CN"/>
        </w:rPr>
        <w:t>第</w:t>
      </w:r>
      <w:r w:rsidRPr="00562630">
        <w:rPr>
          <w:i/>
          <w:sz w:val="24"/>
          <w:lang w:val="en-CA"/>
        </w:rPr>
        <w:t xml:space="preserve"> </w:t>
      </w:r>
      <w:hyperlink r:id="rId19" w:history="1">
        <w:r w:rsidRPr="00562630">
          <w:rPr>
            <w:rStyle w:val="Hyperlink"/>
            <w:sz w:val="24"/>
            <w:lang w:val="en-CA"/>
          </w:rPr>
          <w:t>CP-9/13</w:t>
        </w:r>
      </w:hyperlink>
      <w:r w:rsidRPr="00562630">
        <w:rPr>
          <w:sz w:val="24"/>
          <w:lang w:val="en-CA"/>
        </w:rPr>
        <w:t xml:space="preserve"> </w:t>
      </w:r>
      <w:r w:rsidRPr="00562630">
        <w:rPr>
          <w:rFonts w:hint="eastAsia"/>
          <w:sz w:val="24"/>
          <w:lang w:val="zh-CN"/>
        </w:rPr>
        <w:t>号决定</w:t>
      </w:r>
      <w:r w:rsidRPr="00562630">
        <w:rPr>
          <w:rFonts w:hint="eastAsia"/>
          <w:sz w:val="24"/>
          <w:lang w:val="en-CA"/>
        </w:rPr>
        <w:t>，</w:t>
      </w:r>
      <w:r w:rsidRPr="00562630">
        <w:rPr>
          <w:rFonts w:hint="eastAsia"/>
          <w:sz w:val="24"/>
          <w:lang w:val="zh-CN"/>
        </w:rPr>
        <w:t>其中确立了确定对可能需要审议的改性活生物体进行风险评估的各项具体问题及其优先次序的程序</w:t>
      </w:r>
      <w:r w:rsidRPr="00562630">
        <w:rPr>
          <w:rFonts w:hint="eastAsia"/>
          <w:sz w:val="24"/>
          <w:lang w:val="en-CA"/>
        </w:rPr>
        <w:t>，</w:t>
      </w:r>
    </w:p>
    <w:p w14:paraId="7F14B4B9" w14:textId="6A5B31CD" w:rsidR="00CA5384" w:rsidRPr="00562630" w:rsidRDefault="0071031E">
      <w:pPr>
        <w:pStyle w:val="Para10"/>
        <w:numPr>
          <w:ilvl w:val="0"/>
          <w:numId w:val="0"/>
        </w:numPr>
        <w:topLinePunct/>
        <w:ind w:left="1134" w:firstLine="567"/>
        <w:rPr>
          <w:i/>
          <w:sz w:val="24"/>
        </w:rPr>
      </w:pPr>
      <w:r>
        <w:rPr>
          <w:rFonts w:eastAsia="KaiTi" w:hint="eastAsia"/>
          <w:sz w:val="24"/>
        </w:rPr>
        <w:t>又</w:t>
      </w:r>
      <w:r w:rsidR="00CA5384" w:rsidRPr="00562630">
        <w:rPr>
          <w:rFonts w:eastAsia="KaiTi" w:hint="eastAsia"/>
          <w:sz w:val="24"/>
          <w:lang w:val="zh-CN"/>
        </w:rPr>
        <w:t>回顾</w:t>
      </w:r>
      <w:smartTag w:uri="urn:schemas-microsoft-com:office:smarttags" w:element="chsdate">
        <w:smartTagPr>
          <w:attr w:name="Year" w:val="2014"/>
          <w:attr w:name="Month" w:val="10"/>
          <w:attr w:name="Day" w:val="3"/>
          <w:attr w:name="IsLunarDate" w:val="False"/>
          <w:attr w:name="IsROCDate" w:val="False"/>
        </w:smartTagPr>
        <w:r w:rsidR="00CA5384" w:rsidRPr="00562630">
          <w:rPr>
            <w:sz w:val="24"/>
          </w:rPr>
          <w:t>2014</w:t>
        </w:r>
        <w:r w:rsidR="00CA5384" w:rsidRPr="00562630">
          <w:rPr>
            <w:rFonts w:hint="eastAsia"/>
            <w:sz w:val="24"/>
            <w:lang w:val="zh-CN"/>
          </w:rPr>
          <w:t>年</w:t>
        </w:r>
        <w:r w:rsidR="00CA5384" w:rsidRPr="00562630">
          <w:rPr>
            <w:sz w:val="24"/>
          </w:rPr>
          <w:t>10</w:t>
        </w:r>
        <w:r w:rsidR="00CA5384" w:rsidRPr="00562630">
          <w:rPr>
            <w:rFonts w:hint="eastAsia"/>
            <w:sz w:val="24"/>
            <w:lang w:val="zh-CN"/>
          </w:rPr>
          <w:t>月</w:t>
        </w:r>
        <w:r w:rsidR="00CA5384" w:rsidRPr="00562630">
          <w:rPr>
            <w:sz w:val="24"/>
          </w:rPr>
          <w:t>3</w:t>
        </w:r>
        <w:r w:rsidR="00CA5384" w:rsidRPr="00562630">
          <w:rPr>
            <w:rFonts w:hint="eastAsia"/>
            <w:sz w:val="24"/>
            <w:lang w:val="zh-CN"/>
          </w:rPr>
          <w:t>日</w:t>
        </w:r>
      </w:smartTag>
      <w:r w:rsidR="00CA5384" w:rsidRPr="00562630">
        <w:rPr>
          <w:rFonts w:hint="eastAsia"/>
          <w:sz w:val="24"/>
          <w:lang w:val="zh-CN"/>
        </w:rPr>
        <w:t>第</w:t>
      </w:r>
      <w:hyperlink r:id="rId20" w:history="1">
        <w:r w:rsidR="00CA5384" w:rsidRPr="00562630">
          <w:rPr>
            <w:rStyle w:val="Hyperlink"/>
            <w:sz w:val="24"/>
          </w:rPr>
          <w:t>BS-VII/12</w:t>
        </w:r>
      </w:hyperlink>
      <w:r w:rsidR="00CA5384" w:rsidRPr="00562630">
        <w:rPr>
          <w:rFonts w:hint="eastAsia"/>
          <w:sz w:val="24"/>
          <w:lang w:val="zh-CN"/>
        </w:rPr>
        <w:t>号决定第</w:t>
      </w:r>
      <w:r w:rsidR="00CA5384" w:rsidRPr="00562630">
        <w:rPr>
          <w:sz w:val="24"/>
        </w:rPr>
        <w:t>17</w:t>
      </w:r>
      <w:r w:rsidR="00CA5384" w:rsidRPr="00562630">
        <w:rPr>
          <w:rFonts w:hint="eastAsia"/>
          <w:sz w:val="24"/>
          <w:lang w:val="zh-CN"/>
        </w:rPr>
        <w:t>段</w:t>
      </w:r>
      <w:r w:rsidR="00CA5384" w:rsidRPr="00562630">
        <w:rPr>
          <w:rFonts w:hint="eastAsia"/>
          <w:sz w:val="24"/>
        </w:rPr>
        <w:t>，</w:t>
      </w:r>
      <w:r w:rsidR="00CA5384" w:rsidRPr="00562630">
        <w:rPr>
          <w:rFonts w:hint="eastAsia"/>
          <w:sz w:val="24"/>
          <w:lang w:val="zh-CN"/>
        </w:rPr>
        <w:t>其中建议对合成生物学问题采取协调的方法</w:t>
      </w:r>
      <w:r w:rsidR="00CA5384" w:rsidRPr="00562630">
        <w:rPr>
          <w:rFonts w:hint="eastAsia"/>
          <w:sz w:val="24"/>
        </w:rPr>
        <w:t>，</w:t>
      </w:r>
      <w:r w:rsidR="00CA5384" w:rsidRPr="00562630">
        <w:rPr>
          <w:rFonts w:hint="eastAsia"/>
          <w:sz w:val="24"/>
          <w:lang w:val="zh-CN"/>
        </w:rPr>
        <w:t>并注意到支持广泛和定期前景扫描、监测和评估进程的合成生物学问题多学科特设技术专家组作出的结论</w:t>
      </w:r>
      <w:r w:rsidR="00CA5384" w:rsidRPr="00562630">
        <w:rPr>
          <w:rFonts w:hint="eastAsia"/>
          <w:sz w:val="24"/>
        </w:rPr>
        <w:t>，</w:t>
      </w:r>
      <w:r w:rsidR="00CA5384" w:rsidRPr="00562630">
        <w:rPr>
          <w:rFonts w:hint="eastAsia"/>
          <w:sz w:val="24"/>
          <w:lang w:val="zh-CN"/>
        </w:rPr>
        <w:t>特别是它建议将自限性昆虫视为依照第</w:t>
      </w:r>
      <w:r w:rsidR="00CA5384" w:rsidRPr="00562630">
        <w:rPr>
          <w:sz w:val="24"/>
        </w:rPr>
        <w:t>CP-9/13</w:t>
      </w:r>
      <w:r w:rsidR="00CA5384" w:rsidRPr="00562630">
        <w:rPr>
          <w:rFonts w:hint="eastAsia"/>
          <w:sz w:val="24"/>
          <w:lang w:val="zh-CN"/>
        </w:rPr>
        <w:t>号决定附件一可以进行进一步制定风险评估指导意见的问题</w:t>
      </w:r>
      <w:r w:rsidR="00CA5384" w:rsidRPr="00562630">
        <w:rPr>
          <w:rFonts w:hint="eastAsia"/>
          <w:sz w:val="24"/>
        </w:rPr>
        <w:t>，</w:t>
      </w:r>
    </w:p>
    <w:p w14:paraId="58661F22" w14:textId="77777777" w:rsidR="00CA5384" w:rsidRPr="00562630" w:rsidRDefault="00CA5384">
      <w:pPr>
        <w:pStyle w:val="Para10"/>
        <w:numPr>
          <w:ilvl w:val="0"/>
          <w:numId w:val="0"/>
        </w:numPr>
        <w:tabs>
          <w:tab w:val="left" w:pos="2268"/>
        </w:tabs>
        <w:topLinePunct/>
        <w:ind w:left="1134" w:firstLine="567"/>
        <w:rPr>
          <w:sz w:val="24"/>
        </w:rPr>
      </w:pPr>
      <w:bookmarkStart w:id="6" w:name="_Hlk161324193"/>
      <w:r w:rsidRPr="00562630">
        <w:rPr>
          <w:sz w:val="24"/>
        </w:rPr>
        <w:t>1.</w:t>
      </w:r>
      <w:r w:rsidRPr="00562630">
        <w:rPr>
          <w:sz w:val="24"/>
        </w:rPr>
        <w:tab/>
      </w:r>
      <w:r w:rsidRPr="00562630">
        <w:rPr>
          <w:rFonts w:eastAsia="KaiTi" w:hint="eastAsia"/>
          <w:sz w:val="24"/>
          <w:lang w:val="zh-CN"/>
        </w:rPr>
        <w:t>请</w:t>
      </w:r>
      <w:r w:rsidRPr="00562630">
        <w:rPr>
          <w:rFonts w:hint="eastAsia"/>
          <w:sz w:val="24"/>
          <w:lang w:val="zh-CN"/>
        </w:rPr>
        <w:t>缔约方提交信息</w:t>
      </w:r>
      <w:r w:rsidRPr="00562630">
        <w:rPr>
          <w:rFonts w:hint="eastAsia"/>
          <w:sz w:val="24"/>
        </w:rPr>
        <w:t>，</w:t>
      </w:r>
      <w:r w:rsidRPr="00562630">
        <w:rPr>
          <w:rFonts w:hint="eastAsia"/>
          <w:sz w:val="24"/>
          <w:lang w:val="zh-CN"/>
        </w:rPr>
        <w:t>说明其对改性活生物体进行风险评估的各项特定问题提供进一步指导意见的需求和优先次序</w:t>
      </w:r>
      <w:r w:rsidRPr="00562630">
        <w:rPr>
          <w:rFonts w:hint="eastAsia"/>
          <w:sz w:val="24"/>
        </w:rPr>
        <w:t>，</w:t>
      </w:r>
      <w:r w:rsidRPr="00562630">
        <w:rPr>
          <w:rFonts w:hint="eastAsia"/>
          <w:sz w:val="24"/>
          <w:lang w:val="zh-CN"/>
        </w:rPr>
        <w:t>包括提交依照第</w:t>
      </w:r>
      <w:r w:rsidRPr="00562630">
        <w:rPr>
          <w:sz w:val="24"/>
        </w:rPr>
        <w:t>CP-9/13</w:t>
      </w:r>
      <w:r w:rsidRPr="00562630">
        <w:rPr>
          <w:rFonts w:hint="eastAsia"/>
          <w:sz w:val="24"/>
          <w:lang w:val="zh-CN"/>
        </w:rPr>
        <w:t>号决定附件一所列标准的理由并在进行这项工作时</w:t>
      </w:r>
      <w:r w:rsidRPr="00562630">
        <w:rPr>
          <w:rFonts w:hint="eastAsia"/>
          <w:sz w:val="24"/>
        </w:rPr>
        <w:t>，</w:t>
      </w:r>
      <w:r w:rsidRPr="00562630">
        <w:rPr>
          <w:rFonts w:hint="eastAsia"/>
          <w:sz w:val="24"/>
          <w:lang w:val="zh-CN"/>
        </w:rPr>
        <w:t>将自限性昆虫视为一个可能的问题</w:t>
      </w:r>
      <w:r w:rsidRPr="00562630">
        <w:rPr>
          <w:rFonts w:hint="eastAsia"/>
          <w:sz w:val="24"/>
        </w:rPr>
        <w:t>；</w:t>
      </w:r>
    </w:p>
    <w:bookmarkEnd w:id="6"/>
    <w:p w14:paraId="60C533FD" w14:textId="77777777" w:rsidR="00CA5384" w:rsidRPr="00562630" w:rsidRDefault="00CA5384">
      <w:pPr>
        <w:pStyle w:val="Para10"/>
        <w:numPr>
          <w:ilvl w:val="0"/>
          <w:numId w:val="0"/>
        </w:numPr>
        <w:tabs>
          <w:tab w:val="left" w:pos="2268"/>
        </w:tabs>
        <w:topLinePunct/>
        <w:ind w:left="1134" w:firstLine="567"/>
        <w:rPr>
          <w:sz w:val="24"/>
        </w:rPr>
      </w:pPr>
      <w:r w:rsidRPr="00562630">
        <w:rPr>
          <w:sz w:val="24"/>
        </w:rPr>
        <w:t>2.</w:t>
      </w:r>
      <w:r w:rsidRPr="00562630">
        <w:rPr>
          <w:sz w:val="24"/>
        </w:rPr>
        <w:tab/>
      </w:r>
      <w:r w:rsidRPr="00562630">
        <w:rPr>
          <w:rFonts w:eastAsia="KaiTi" w:hint="eastAsia"/>
          <w:sz w:val="24"/>
          <w:lang w:val="zh-CN"/>
        </w:rPr>
        <w:t>决定</w:t>
      </w:r>
      <w:r w:rsidRPr="00562630">
        <w:rPr>
          <w:rFonts w:hint="eastAsia"/>
          <w:sz w:val="24"/>
          <w:lang w:val="zh-CN"/>
        </w:rPr>
        <w:t>延长风险评估和风险管理问题不限成员名额在线论坛的任务期限</w:t>
      </w:r>
      <w:r w:rsidRPr="00562630">
        <w:rPr>
          <w:rFonts w:hint="eastAsia"/>
          <w:sz w:val="24"/>
        </w:rPr>
        <w:t>，</w:t>
      </w:r>
      <w:r w:rsidRPr="00562630">
        <w:rPr>
          <w:rFonts w:hint="eastAsia"/>
          <w:sz w:val="24"/>
          <w:lang w:val="zh-CN"/>
        </w:rPr>
        <w:t>以便依照第</w:t>
      </w:r>
      <w:r w:rsidRPr="00562630">
        <w:rPr>
          <w:sz w:val="24"/>
        </w:rPr>
        <w:t>CP-9/13</w:t>
      </w:r>
      <w:r w:rsidRPr="00562630">
        <w:rPr>
          <w:rFonts w:hint="eastAsia"/>
          <w:sz w:val="24"/>
          <w:lang w:val="zh-CN"/>
        </w:rPr>
        <w:t>号决定附件一所列的标准</w:t>
      </w:r>
      <w:r w:rsidRPr="00562630">
        <w:rPr>
          <w:rFonts w:hint="eastAsia"/>
          <w:sz w:val="24"/>
        </w:rPr>
        <w:t>，</w:t>
      </w:r>
      <w:r w:rsidRPr="00562630">
        <w:rPr>
          <w:rFonts w:hint="eastAsia"/>
          <w:sz w:val="24"/>
          <w:lang w:val="zh-CN"/>
        </w:rPr>
        <w:t>支持分析风险评估的进一步问题</w:t>
      </w:r>
      <w:r w:rsidRPr="00562630">
        <w:rPr>
          <w:rFonts w:hint="eastAsia"/>
          <w:sz w:val="24"/>
        </w:rPr>
        <w:t>；</w:t>
      </w:r>
    </w:p>
    <w:p w14:paraId="08686C8C" w14:textId="77777777" w:rsidR="00CA5384" w:rsidRPr="00562630" w:rsidRDefault="00CA5384">
      <w:pPr>
        <w:pStyle w:val="Para10"/>
        <w:numPr>
          <w:ilvl w:val="0"/>
          <w:numId w:val="0"/>
        </w:numPr>
        <w:tabs>
          <w:tab w:val="left" w:pos="2268"/>
        </w:tabs>
        <w:topLinePunct/>
        <w:ind w:left="1134" w:firstLine="567"/>
        <w:rPr>
          <w:i/>
          <w:sz w:val="24"/>
        </w:rPr>
      </w:pPr>
      <w:bookmarkStart w:id="7" w:name="_Hlk161324373"/>
      <w:r w:rsidRPr="00562630">
        <w:rPr>
          <w:sz w:val="24"/>
        </w:rPr>
        <w:t>3.</w:t>
      </w:r>
      <w:r w:rsidRPr="00562630">
        <w:rPr>
          <w:sz w:val="24"/>
        </w:rPr>
        <w:tab/>
      </w:r>
      <w:r w:rsidRPr="00562630">
        <w:rPr>
          <w:rFonts w:eastAsia="KaiTi" w:hint="eastAsia"/>
          <w:sz w:val="24"/>
          <w:lang w:val="zh-CN"/>
        </w:rPr>
        <w:t>请</w:t>
      </w:r>
      <w:r w:rsidRPr="00562630">
        <w:rPr>
          <w:rFonts w:hint="eastAsia"/>
          <w:sz w:val="24"/>
          <w:lang w:val="zh-CN"/>
        </w:rPr>
        <w:t>秘书处</w:t>
      </w:r>
      <w:r w:rsidRPr="00562630">
        <w:rPr>
          <w:rFonts w:hint="eastAsia"/>
          <w:sz w:val="24"/>
        </w:rPr>
        <w:t>：</w:t>
      </w:r>
    </w:p>
    <w:bookmarkEnd w:id="7"/>
    <w:p w14:paraId="2918DF19" w14:textId="77777777" w:rsidR="00CA5384" w:rsidRPr="00562630" w:rsidRDefault="00CA5384">
      <w:pPr>
        <w:pStyle w:val="Para10"/>
        <w:numPr>
          <w:ilvl w:val="0"/>
          <w:numId w:val="0"/>
        </w:numPr>
        <w:tabs>
          <w:tab w:val="clear" w:pos="1134"/>
          <w:tab w:val="left" w:pos="2268"/>
        </w:tabs>
        <w:topLinePunct/>
        <w:ind w:left="1134" w:firstLine="567"/>
        <w:rPr>
          <w:sz w:val="24"/>
        </w:rPr>
      </w:pPr>
      <w:r w:rsidRPr="00562630">
        <w:rPr>
          <w:noProof/>
          <w:sz w:val="24"/>
        </w:rPr>
        <w:t>(a)</w:t>
      </w:r>
      <w:r w:rsidRPr="00562630">
        <w:rPr>
          <w:sz w:val="24"/>
        </w:rPr>
        <w:tab/>
      </w:r>
      <w:r w:rsidRPr="00562630">
        <w:rPr>
          <w:rFonts w:hint="eastAsia"/>
          <w:sz w:val="24"/>
          <w:lang w:val="zh-CN"/>
        </w:rPr>
        <w:t>汇总各缔约方、其他国家政府和相关组织根据上文第</w:t>
      </w:r>
      <w:r w:rsidRPr="00562630">
        <w:rPr>
          <w:sz w:val="24"/>
        </w:rPr>
        <w:t>1</w:t>
      </w:r>
      <w:r w:rsidRPr="00562630">
        <w:rPr>
          <w:rFonts w:hint="eastAsia"/>
          <w:sz w:val="24"/>
          <w:lang w:val="zh-CN"/>
        </w:rPr>
        <w:t>段的邀请提交的信息</w:t>
      </w:r>
      <w:r w:rsidRPr="00562630">
        <w:rPr>
          <w:rFonts w:hint="eastAsia"/>
          <w:sz w:val="24"/>
        </w:rPr>
        <w:t>；</w:t>
      </w:r>
    </w:p>
    <w:p w14:paraId="3A338A50" w14:textId="77777777" w:rsidR="00CA5384" w:rsidRPr="00562630" w:rsidRDefault="00CA5384">
      <w:pPr>
        <w:pStyle w:val="Para10"/>
        <w:numPr>
          <w:ilvl w:val="0"/>
          <w:numId w:val="0"/>
        </w:numPr>
        <w:tabs>
          <w:tab w:val="clear" w:pos="1134"/>
          <w:tab w:val="left" w:pos="2268"/>
        </w:tabs>
        <w:topLinePunct/>
        <w:ind w:left="1134" w:firstLine="567"/>
        <w:rPr>
          <w:sz w:val="24"/>
        </w:rPr>
      </w:pPr>
      <w:r w:rsidRPr="00562630">
        <w:rPr>
          <w:noProof/>
          <w:sz w:val="24"/>
        </w:rPr>
        <w:t>(b)</w:t>
      </w:r>
      <w:r w:rsidRPr="00562630">
        <w:rPr>
          <w:sz w:val="24"/>
        </w:rPr>
        <w:tab/>
      </w:r>
      <w:r w:rsidRPr="00562630">
        <w:rPr>
          <w:rFonts w:hint="eastAsia"/>
          <w:sz w:val="24"/>
          <w:lang w:val="zh-CN"/>
        </w:rPr>
        <w:t>举行风险评估和风险管理问题不限成员名额在线论坛的讨论</w:t>
      </w:r>
      <w:r w:rsidRPr="00562630">
        <w:rPr>
          <w:rFonts w:hint="eastAsia"/>
          <w:sz w:val="24"/>
        </w:rPr>
        <w:t>；</w:t>
      </w:r>
    </w:p>
    <w:p w14:paraId="664DFCCC" w14:textId="77777777" w:rsidR="00CA5384" w:rsidRPr="00562630" w:rsidRDefault="00CA5384">
      <w:pPr>
        <w:pStyle w:val="Para10"/>
        <w:numPr>
          <w:ilvl w:val="0"/>
          <w:numId w:val="0"/>
        </w:numPr>
        <w:tabs>
          <w:tab w:val="clear" w:pos="1134"/>
          <w:tab w:val="left" w:pos="2268"/>
        </w:tabs>
        <w:topLinePunct/>
        <w:ind w:left="1134" w:firstLine="567"/>
        <w:rPr>
          <w:sz w:val="24"/>
        </w:rPr>
      </w:pPr>
      <w:r w:rsidRPr="00562630">
        <w:rPr>
          <w:noProof/>
          <w:sz w:val="24"/>
        </w:rPr>
        <w:t>(c)</w:t>
      </w:r>
      <w:r w:rsidRPr="00562630">
        <w:rPr>
          <w:sz w:val="24"/>
        </w:rPr>
        <w:tab/>
      </w:r>
      <w:r w:rsidRPr="00562630">
        <w:rPr>
          <w:rFonts w:hint="eastAsia"/>
          <w:sz w:val="24"/>
          <w:lang w:val="zh-CN"/>
        </w:rPr>
        <w:t>收集和汇总相关信息</w:t>
      </w:r>
      <w:r w:rsidRPr="00562630">
        <w:rPr>
          <w:rFonts w:hint="eastAsia"/>
          <w:sz w:val="24"/>
        </w:rPr>
        <w:t>，</w:t>
      </w:r>
      <w:r w:rsidRPr="00562630">
        <w:rPr>
          <w:rFonts w:hint="eastAsia"/>
          <w:sz w:val="24"/>
          <w:lang w:val="zh-CN"/>
        </w:rPr>
        <w:t>以支持对自限性昆虫进行风险评估</w:t>
      </w:r>
      <w:r w:rsidRPr="00562630">
        <w:rPr>
          <w:rFonts w:hint="eastAsia"/>
          <w:sz w:val="24"/>
        </w:rPr>
        <w:t>，</w:t>
      </w:r>
      <w:r w:rsidRPr="00562630">
        <w:rPr>
          <w:rFonts w:hint="eastAsia"/>
          <w:sz w:val="24"/>
          <w:lang w:val="zh-CN"/>
        </w:rPr>
        <w:t>并将此信息提交生物安全信息交换所</w:t>
      </w:r>
      <w:r w:rsidRPr="00562630">
        <w:rPr>
          <w:rFonts w:hint="eastAsia"/>
          <w:sz w:val="24"/>
        </w:rPr>
        <w:t>；</w:t>
      </w:r>
    </w:p>
    <w:p w14:paraId="58E800DD" w14:textId="77777777" w:rsidR="00CA5384" w:rsidRPr="00562630" w:rsidRDefault="00CA5384">
      <w:pPr>
        <w:pStyle w:val="Para10"/>
        <w:numPr>
          <w:ilvl w:val="0"/>
          <w:numId w:val="0"/>
        </w:numPr>
        <w:tabs>
          <w:tab w:val="clear" w:pos="1134"/>
          <w:tab w:val="left" w:pos="2268"/>
        </w:tabs>
        <w:topLinePunct/>
        <w:ind w:left="1134" w:firstLine="567"/>
        <w:rPr>
          <w:b/>
          <w:sz w:val="24"/>
        </w:rPr>
      </w:pPr>
      <w:r w:rsidRPr="00562630">
        <w:rPr>
          <w:noProof/>
          <w:sz w:val="24"/>
        </w:rPr>
        <w:t>(d)</w:t>
      </w:r>
      <w:r w:rsidRPr="00562630">
        <w:rPr>
          <w:sz w:val="24"/>
        </w:rPr>
        <w:tab/>
      </w:r>
      <w:r w:rsidRPr="00562630">
        <w:rPr>
          <w:rFonts w:hint="eastAsia"/>
          <w:sz w:val="24"/>
          <w:lang w:val="zh-CN"/>
        </w:rPr>
        <w:t>在资源允许的情况下</w:t>
      </w:r>
      <w:r w:rsidRPr="00562630">
        <w:rPr>
          <w:rFonts w:hint="eastAsia"/>
          <w:sz w:val="24"/>
        </w:rPr>
        <w:t>，</w:t>
      </w:r>
      <w:r w:rsidRPr="00562630">
        <w:rPr>
          <w:rFonts w:hint="eastAsia"/>
          <w:sz w:val="24"/>
          <w:lang w:val="zh-CN"/>
        </w:rPr>
        <w:t>进行支持开展风险评估的能力建设活动</w:t>
      </w:r>
      <w:r w:rsidRPr="00562630">
        <w:rPr>
          <w:rFonts w:hint="eastAsia"/>
          <w:sz w:val="24"/>
        </w:rPr>
        <w:t>，</w:t>
      </w:r>
      <w:r w:rsidRPr="00562630">
        <w:rPr>
          <w:rFonts w:hint="eastAsia"/>
          <w:sz w:val="24"/>
          <w:lang w:val="zh-CN"/>
        </w:rPr>
        <w:t>特别关注对含有人工基因驱动技术的改性活生物体的风险评估。</w:t>
      </w:r>
    </w:p>
    <w:p w14:paraId="5776078F" w14:textId="77777777" w:rsidR="00CA5384" w:rsidRDefault="00CA5384" w:rsidP="0071031E">
      <w:pPr>
        <w:pStyle w:val="Para10"/>
        <w:numPr>
          <w:ilvl w:val="0"/>
          <w:numId w:val="0"/>
        </w:numPr>
        <w:topLinePunct/>
        <w:spacing w:before="240"/>
        <w:ind w:left="562"/>
        <w:jc w:val="center"/>
      </w:pPr>
      <w:r>
        <w:t>__________</w:t>
      </w:r>
    </w:p>
    <w:sectPr w:rsidR="00CA5384" w:rsidSect="001567CF">
      <w:pgSz w:w="12240" w:h="15840"/>
      <w:pgMar w:top="1134" w:right="1440" w:bottom="1134" w:left="144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0F5A5F3" w14:textId="77777777" w:rsidR="001567CF" w:rsidRDefault="001567CF">
      <w:r>
        <w:separator/>
      </w:r>
    </w:p>
  </w:endnote>
  <w:endnote w:type="continuationSeparator" w:id="0">
    <w:p w14:paraId="31AA9DFD" w14:textId="77777777" w:rsidR="001567CF" w:rsidRDefault="001567CF">
      <w:r>
        <w:continuationSeparator/>
      </w:r>
    </w:p>
  </w:endnote>
  <w:endnote w:type="continuationNotice" w:id="1">
    <w:p w14:paraId="1965A1B9" w14:textId="77777777" w:rsidR="001567CF" w:rsidRDefault="001567CF"/>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Courier New">
    <w:panose1 w:val="02070309020205020404"/>
    <w:charset w:val="00"/>
    <w:family w:val="modern"/>
    <w:pitch w:val="fixed"/>
    <w:sig w:usb0="E0002EFF" w:usb1="C0007843" w:usb2="00000009" w:usb3="00000000" w:csb0="000001FF" w:csb1="00000000"/>
  </w:font>
  <w:font w:name="DengXian Light">
    <w:altName w:val="等线 Light"/>
    <w:charset w:val="86"/>
    <w:family w:val="auto"/>
    <w:pitch w:val="variable"/>
    <w:sig w:usb0="A00002BF" w:usb1="38CF7CFA" w:usb2="00000016" w:usb3="00000000" w:csb0="0004000F" w:csb1="00000000"/>
  </w:font>
  <w:font w:name="Arial">
    <w:panose1 w:val="020B0604020202020204"/>
    <w:charset w:val="00"/>
    <w:family w:val="swiss"/>
    <w:pitch w:val="variable"/>
    <w:sig w:usb0="E0002EFF" w:usb1="C000785B" w:usb2="00000009" w:usb3="00000000" w:csb0="000001FF" w:csb1="00000000"/>
  </w:font>
  <w:font w:name="Times New Roman Bold">
    <w:panose1 w:val="02020803070505020304"/>
    <w:charset w:val="00"/>
    <w:family w:val="roman"/>
    <w:notTrueType/>
    <w:pitch w:val="default"/>
    <w:sig w:usb0="00000003" w:usb1="00000000" w:usb2="00000000" w:usb3="00000000" w:csb0="00000001" w:csb1="00000000"/>
  </w:font>
  <w:font w:name="DengXian">
    <w:altName w:val="等线"/>
    <w:panose1 w:val="02010600030101010101"/>
    <w:charset w:val="86"/>
    <w:family w:val="auto"/>
    <w:pitch w:val="variable"/>
    <w:sig w:usb0="A00002BF" w:usb1="38CF7CFA" w:usb2="00000016" w:usb3="00000000" w:csb0="0004000F" w:csb1="00000000"/>
  </w:font>
  <w:font w:name="Univers">
    <w:charset w:val="00"/>
    <w:family w:val="swiss"/>
    <w:pitch w:val="variable"/>
    <w:sig w:usb0="80000287" w:usb1="00000000" w:usb2="00000000" w:usb3="00000000" w:csb0="0000000F" w:csb1="00000000"/>
  </w:font>
  <w:font w:name="KaiTi">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CF88A83" w14:textId="77777777" w:rsidR="00CA5384" w:rsidRDefault="00CA5384">
    <w:pPr>
      <w:pStyle w:val="Footer"/>
    </w:pP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w:t>
    </w:r>
    <w:r>
      <w:rPr>
        <w:sz w:val="20"/>
      </w:rPr>
      <w:fldChar w:fldCharType="begin"/>
    </w:r>
    <w:r>
      <w:rPr>
        <w:sz w:val="20"/>
      </w:rPr>
      <w:instrText xml:space="preserve"> NUMPAGES  </w:instrText>
    </w:r>
    <w:r>
      <w:rPr>
        <w:sz w:val="20"/>
      </w:rPr>
      <w:fldChar w:fldCharType="separate"/>
    </w:r>
    <w:r>
      <w:rPr>
        <w:noProof/>
        <w:sz w:val="20"/>
      </w:rPr>
      <w:t>7</w:t>
    </w:r>
    <w:r>
      <w:rPr>
        <w:sz w:val="20"/>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CC1E4A9" w14:textId="78D7331F" w:rsidR="00CA5384" w:rsidRDefault="0071031E">
    <w:pPr>
      <w:pStyle w:val="Footer"/>
      <w:jc w:val="right"/>
    </w:pPr>
    <w:r>
      <w:rPr>
        <w:sz w:val="20"/>
      </w:rPr>
      <w:fldChar w:fldCharType="begin"/>
    </w:r>
    <w:r>
      <w:rPr>
        <w:sz w:val="20"/>
      </w:rPr>
      <w:instrText xml:space="preserve"> PAGE </w:instrText>
    </w:r>
    <w:r>
      <w:rPr>
        <w:sz w:val="20"/>
      </w:rPr>
      <w:fldChar w:fldCharType="separate"/>
    </w:r>
    <w:r>
      <w:rPr>
        <w:sz w:val="20"/>
      </w:rPr>
      <w:t>2</w:t>
    </w:r>
    <w:r>
      <w:rPr>
        <w:sz w:val="20"/>
      </w:rPr>
      <w:fldChar w:fldCharType="end"/>
    </w:r>
    <w:r>
      <w:rPr>
        <w:sz w:val="20"/>
      </w:rPr>
      <w:t>/</w:t>
    </w:r>
    <w:r>
      <w:rPr>
        <w:sz w:val="20"/>
      </w:rPr>
      <w:fldChar w:fldCharType="begin"/>
    </w:r>
    <w:r>
      <w:rPr>
        <w:sz w:val="20"/>
      </w:rPr>
      <w:instrText xml:space="preserve"> NUMPAGES  </w:instrText>
    </w:r>
    <w:r>
      <w:rPr>
        <w:sz w:val="20"/>
      </w:rPr>
      <w:fldChar w:fldCharType="separate"/>
    </w:r>
    <w:r>
      <w:rPr>
        <w:sz w:val="20"/>
      </w:rPr>
      <w:t>7</w:t>
    </w:r>
    <w:r>
      <w:rPr>
        <w:sz w:val="20"/>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5EA2E10" w14:textId="77777777" w:rsidR="001567CF" w:rsidRDefault="001567CF">
      <w:r>
        <w:separator/>
      </w:r>
    </w:p>
  </w:footnote>
  <w:footnote w:type="continuationSeparator" w:id="0">
    <w:p w14:paraId="39EA06DD" w14:textId="77777777" w:rsidR="001567CF" w:rsidRDefault="001567CF">
      <w:r>
        <w:continuationSeparator/>
      </w:r>
    </w:p>
  </w:footnote>
  <w:footnote w:type="continuationNotice" w:id="1">
    <w:p w14:paraId="05A1F83C" w14:textId="77777777" w:rsidR="001567CF" w:rsidRDefault="001567CF"/>
  </w:footnote>
  <w:footnote w:id="2">
    <w:p w14:paraId="290707CB" w14:textId="77777777" w:rsidR="00CA5384" w:rsidRDefault="00CA5384" w:rsidP="00B3308B">
      <w:pPr>
        <w:pStyle w:val="FootnoteText"/>
      </w:pPr>
      <w:r w:rsidRPr="00707280">
        <w:rPr>
          <w:rStyle w:val="FootnoteReference"/>
        </w:rPr>
        <w:sym w:font="Symbol" w:char="F02A"/>
      </w:r>
      <w:r w:rsidRPr="00707280">
        <w:rPr>
          <w:rStyle w:val="FootnoteReference"/>
        </w:rPr>
        <w:t xml:space="preserve"> </w:t>
      </w:r>
      <w:r w:rsidRPr="00707280">
        <w:t xml:space="preserve"> </w:t>
      </w:r>
      <w:r>
        <w:t xml:space="preserve"> </w:t>
      </w:r>
      <w:r w:rsidRPr="00707280">
        <w:t>CBD/SBSTTA/2</w:t>
      </w:r>
      <w:r>
        <w:t>6</w:t>
      </w:r>
      <w:r w:rsidRPr="00707280">
        <w:t>/1</w:t>
      </w:r>
      <w:r w:rsidRPr="00707280">
        <w:rPr>
          <w:rFonts w:ascii="SimSun" w:hAnsi="SimSun" w:cs="SimSun" w:hint="eastAsia"/>
        </w:rPr>
        <w:t>。</w:t>
      </w:r>
    </w:p>
  </w:footnote>
  <w:footnote w:id="3">
    <w:p w14:paraId="0DC2CFFD" w14:textId="77777777" w:rsidR="00CA5384" w:rsidRDefault="00CA5384" w:rsidP="00A632AA">
      <w:pPr>
        <w:pStyle w:val="FootnoteText"/>
        <w:spacing w:after="60"/>
      </w:pPr>
      <w:r w:rsidRPr="00562630">
        <w:rPr>
          <w:rStyle w:val="FootnoteReference"/>
          <w:szCs w:val="24"/>
        </w:rPr>
        <w:footnoteRef/>
      </w:r>
      <w:r w:rsidRPr="00562630">
        <w:rPr>
          <w:szCs w:val="24"/>
          <w:lang w:val="en-US"/>
        </w:rPr>
        <w:t xml:space="preserve"> </w:t>
      </w:r>
      <w:r w:rsidRPr="00562630">
        <w:rPr>
          <w:rFonts w:hint="eastAsia"/>
          <w:szCs w:val="24"/>
          <w:lang w:val="zh-CN"/>
        </w:rPr>
        <w:t>对保护目标、评估终点和衡量终点概念的解释</w:t>
      </w:r>
      <w:r>
        <w:rPr>
          <w:rFonts w:hint="eastAsia"/>
          <w:szCs w:val="24"/>
          <w:lang w:val="zh-CN"/>
        </w:rPr>
        <w:t>，</w:t>
      </w:r>
      <w:r w:rsidRPr="00562630">
        <w:rPr>
          <w:rFonts w:hint="eastAsia"/>
          <w:szCs w:val="24"/>
          <w:lang w:val="zh-CN"/>
        </w:rPr>
        <w:t>可参见</w:t>
      </w:r>
      <w:r w:rsidRPr="00562630">
        <w:rPr>
          <w:szCs w:val="24"/>
          <w:lang w:val="en-CA"/>
        </w:rPr>
        <w:t>UNEP/CBD/BS/COP-MOP/8/8/Add.1</w:t>
      </w:r>
      <w:r w:rsidRPr="00562630">
        <w:rPr>
          <w:rFonts w:hint="eastAsia"/>
          <w:szCs w:val="24"/>
          <w:lang w:val="zh-CN"/>
        </w:rPr>
        <w:t>号文件附件第</w:t>
      </w:r>
      <w:smartTag w:uri="urn:schemas-microsoft-com:office:smarttags" w:element="chsdate">
        <w:smartTagPr>
          <w:attr w:name="IsROCDate" w:val="False"/>
          <w:attr w:name="IsLunarDate" w:val="False"/>
          <w:attr w:name="Day" w:val="30"/>
          <w:attr w:name="Month" w:val="12"/>
          <w:attr w:name="Year" w:val="1899"/>
        </w:smartTagPr>
        <w:r w:rsidRPr="00562630">
          <w:rPr>
            <w:szCs w:val="24"/>
            <w:lang w:val="en-CA"/>
          </w:rPr>
          <w:t>1.3.1</w:t>
        </w:r>
      </w:smartTag>
      <w:r w:rsidRPr="00562630">
        <w:rPr>
          <w:rFonts w:hint="eastAsia"/>
          <w:szCs w:val="24"/>
          <w:lang w:val="zh-CN"/>
        </w:rPr>
        <w:t>节。</w:t>
      </w:r>
    </w:p>
  </w:footnote>
  <w:footnote w:id="4">
    <w:p w14:paraId="05B1DD34" w14:textId="77777777" w:rsidR="00CA5384" w:rsidRDefault="00CA5384" w:rsidP="00A632AA">
      <w:pPr>
        <w:pStyle w:val="FootnoteText"/>
        <w:spacing w:after="60"/>
      </w:pPr>
      <w:r w:rsidRPr="00562630">
        <w:rPr>
          <w:rStyle w:val="FootnoteReference"/>
        </w:rPr>
        <w:footnoteRef/>
      </w:r>
      <w:r w:rsidRPr="00562630">
        <w:t xml:space="preserve"> </w:t>
      </w:r>
      <w:r w:rsidRPr="0071031E">
        <w:t>CBD/CP/RA/AHTEG/</w:t>
      </w:r>
      <w:smartTag w:uri="urn:schemas-microsoft-com:office:smarttags" w:element="chsdate">
        <w:smartTagPr>
          <w:attr w:name="IsROCDate" w:val="False"/>
          <w:attr w:name="IsLunarDate" w:val="False"/>
          <w:attr w:name="Day" w:val="3"/>
          <w:attr w:name="Month" w:val="1"/>
          <w:attr w:name="Year" w:val="2020"/>
        </w:smartTagPr>
        <w:r w:rsidRPr="0071031E">
          <w:t>2023/1/4</w:t>
        </w:r>
      </w:smartTag>
      <w:r w:rsidRPr="00562630">
        <w:rPr>
          <w:rFonts w:hint="eastAsia"/>
          <w:lang w:val="zh-CN"/>
        </w:rPr>
        <w:t>号文件和</w:t>
      </w:r>
      <w:r w:rsidRPr="0071031E">
        <w:t>CBD/CP/RA/AHTEG/</w:t>
      </w:r>
      <w:smartTag w:uri="urn:schemas-microsoft-com:office:smarttags" w:element="chsdate">
        <w:smartTagPr>
          <w:attr w:name="IsROCDate" w:val="False"/>
          <w:attr w:name="IsLunarDate" w:val="False"/>
          <w:attr w:name="Day" w:val="3"/>
          <w:attr w:name="Month" w:val="1"/>
          <w:attr w:name="Year" w:val="2020"/>
        </w:smartTagPr>
        <w:r w:rsidRPr="0071031E">
          <w:t>2024/1/3</w:t>
        </w:r>
      </w:smartTag>
      <w:r w:rsidRPr="00562630">
        <w:rPr>
          <w:rFonts w:hint="eastAsia"/>
          <w:lang w:val="zh-CN"/>
        </w:rPr>
        <w:t>号文件。</w:t>
      </w:r>
    </w:p>
  </w:footnote>
  <w:footnote w:id="5">
    <w:p w14:paraId="137FC186" w14:textId="77777777" w:rsidR="00CA5384" w:rsidRDefault="00CA5384">
      <w:pPr>
        <w:pStyle w:val="FootnoteText"/>
      </w:pPr>
      <w:r w:rsidRPr="00562630">
        <w:rPr>
          <w:rStyle w:val="FootnoteReference"/>
        </w:rPr>
        <w:footnoteRef/>
      </w:r>
      <w:r w:rsidRPr="00562630">
        <w:t xml:space="preserve"> </w:t>
      </w:r>
      <w:r w:rsidRPr="00562630">
        <w:rPr>
          <w:rFonts w:hint="eastAsia"/>
          <w:lang w:val="zh-CN"/>
        </w:rPr>
        <w:t>联合国</w:t>
      </w:r>
      <w:r w:rsidRPr="0071031E">
        <w:rPr>
          <w:rFonts w:hint="eastAsia"/>
        </w:rPr>
        <w:t>，</w:t>
      </w:r>
      <w:r w:rsidRPr="00562630">
        <w:rPr>
          <w:rFonts w:hint="eastAsia"/>
          <w:lang w:val="zh-CN"/>
        </w:rPr>
        <w:t>《</w:t>
      </w:r>
      <w:r w:rsidRPr="00A632AA">
        <w:rPr>
          <w:rFonts w:hint="eastAsia"/>
          <w:lang w:val="zh-CN"/>
        </w:rPr>
        <w:t>条约汇编</w:t>
      </w:r>
      <w:r w:rsidRPr="00562630">
        <w:rPr>
          <w:rFonts w:hint="eastAsia"/>
          <w:lang w:val="zh-CN"/>
        </w:rPr>
        <w:t>》</w:t>
      </w:r>
      <w:r w:rsidRPr="0071031E">
        <w:rPr>
          <w:rFonts w:hint="eastAsia"/>
        </w:rPr>
        <w:t>，</w:t>
      </w:r>
      <w:r w:rsidRPr="00562630">
        <w:rPr>
          <w:rFonts w:hint="eastAsia"/>
          <w:lang w:val="zh-CN"/>
        </w:rPr>
        <w:t>第</w:t>
      </w:r>
      <w:r w:rsidRPr="0071031E">
        <w:t>1760</w:t>
      </w:r>
      <w:r w:rsidRPr="00562630">
        <w:rPr>
          <w:rFonts w:hint="eastAsia"/>
          <w:lang w:val="zh-CN"/>
        </w:rPr>
        <w:t>卷</w:t>
      </w:r>
      <w:r w:rsidRPr="0071031E">
        <w:rPr>
          <w:rFonts w:hint="eastAsia"/>
        </w:rPr>
        <w:t>，</w:t>
      </w:r>
      <w:r w:rsidRPr="00562630">
        <w:rPr>
          <w:rFonts w:hint="eastAsia"/>
          <w:lang w:val="zh-CN"/>
        </w:rPr>
        <w:t>第</w:t>
      </w:r>
      <w:r w:rsidRPr="0071031E">
        <w:t>30619</w:t>
      </w:r>
      <w:r w:rsidRPr="00562630">
        <w:rPr>
          <w:rFonts w:hint="eastAsia"/>
          <w:lang w:val="zh-CN"/>
        </w:rPr>
        <w:t>号。</w:t>
      </w:r>
    </w:p>
  </w:footnote>
  <w:footnote w:id="6">
    <w:p w14:paraId="272FFCE9" w14:textId="77777777" w:rsidR="00CA5384" w:rsidRDefault="00CA5384">
      <w:pPr>
        <w:pStyle w:val="FootnoteText"/>
      </w:pPr>
      <w:r w:rsidRPr="00562630">
        <w:rPr>
          <w:rStyle w:val="FootnoteReference"/>
          <w:szCs w:val="24"/>
        </w:rPr>
        <w:footnoteRef/>
      </w:r>
      <w:r w:rsidRPr="00562630">
        <w:rPr>
          <w:szCs w:val="24"/>
        </w:rPr>
        <w:t xml:space="preserve"> </w:t>
      </w:r>
      <w:r w:rsidRPr="00562630">
        <w:rPr>
          <w:szCs w:val="24"/>
          <w:lang w:val="zh-CN"/>
        </w:rPr>
        <w:t>CBD/CP/RA/AHTEG/</w:t>
      </w:r>
      <w:smartTag w:uri="urn:schemas-microsoft-com:office:smarttags" w:element="chsdate">
        <w:smartTagPr>
          <w:attr w:name="IsROCDate" w:val="False"/>
          <w:attr w:name="IsLunarDate" w:val="False"/>
          <w:attr w:name="Day" w:val="3"/>
          <w:attr w:name="Month" w:val="1"/>
          <w:attr w:name="Year" w:val="2020"/>
        </w:smartTagPr>
        <w:r w:rsidRPr="00562630">
          <w:rPr>
            <w:szCs w:val="24"/>
            <w:lang w:val="zh-CN"/>
          </w:rPr>
          <w:t>2020/1/3</w:t>
        </w:r>
      </w:smartTag>
      <w:r w:rsidRPr="00562630">
        <w:rPr>
          <w:rFonts w:hint="eastAsia"/>
          <w:szCs w:val="24"/>
          <w:lang w:val="zh-CN"/>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8705C31" w14:textId="77777777" w:rsidR="00CA5384" w:rsidRDefault="00CA5384">
    <w:pPr>
      <w:pStyle w:val="Header"/>
      <w:pBdr>
        <w:bottom w:val="single" w:sz="4" w:space="1" w:color="auto"/>
      </w:pBdr>
      <w:spacing w:after="240"/>
      <w:rPr>
        <w:sz w:val="20"/>
        <w:lang w:val="fr-FR"/>
      </w:rPr>
    </w:pPr>
    <w:bookmarkStart w:id="4" w:name="_Hlk137802784"/>
    <w:bookmarkStart w:id="5" w:name="_Hlk137802785"/>
    <w:r>
      <w:rPr>
        <w:sz w:val="20"/>
        <w:lang w:val="fr-FR"/>
      </w:rPr>
      <w:t>CBD/SBSTTA/26/5</w:t>
    </w:r>
    <w:bookmarkEnd w:id="4"/>
    <w:bookmarkEnd w:id="5"/>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7B79BD4" w14:textId="77777777" w:rsidR="00CA5384" w:rsidRDefault="00CA5384">
    <w:pPr>
      <w:pStyle w:val="Header"/>
      <w:pBdr>
        <w:bottom w:val="single" w:sz="4" w:space="1" w:color="auto"/>
      </w:pBdr>
      <w:spacing w:after="240"/>
      <w:jc w:val="right"/>
      <w:rPr>
        <w:sz w:val="20"/>
        <w:lang w:val="fr-FR"/>
      </w:rPr>
    </w:pPr>
    <w:r>
      <w:rPr>
        <w:sz w:val="20"/>
        <w:lang w:val="fr-FR"/>
      </w:rPr>
      <w:t>CBD/SBSTTA/26/5</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8345BD0"/>
    <w:multiLevelType w:val="hybridMultilevel"/>
    <w:tmpl w:val="2C80A920"/>
    <w:lvl w:ilvl="0" w:tplc="5540CAA8">
      <w:start w:val="1"/>
      <w:numFmt w:val="lowerLetter"/>
      <w:lvlText w:val="(%1)"/>
      <w:lvlJc w:val="left"/>
      <w:pPr>
        <w:ind w:left="1440" w:hanging="360"/>
      </w:pPr>
      <w:rPr>
        <w:rFonts w:cs="Times New Roman" w:hint="default"/>
      </w:rPr>
    </w:lvl>
    <w:lvl w:ilvl="1" w:tplc="04090019" w:tentative="1">
      <w:start w:val="1"/>
      <w:numFmt w:val="lowerLetter"/>
      <w:lvlText w:val="%2."/>
      <w:lvlJc w:val="left"/>
      <w:pPr>
        <w:ind w:left="2160" w:hanging="360"/>
      </w:pPr>
      <w:rPr>
        <w:rFonts w:cs="Times New Roman"/>
      </w:rPr>
    </w:lvl>
    <w:lvl w:ilvl="2" w:tplc="0409001B" w:tentative="1">
      <w:start w:val="1"/>
      <w:numFmt w:val="lowerRoman"/>
      <w:lvlText w:val="%3."/>
      <w:lvlJc w:val="right"/>
      <w:pPr>
        <w:ind w:left="2880" w:hanging="180"/>
      </w:pPr>
      <w:rPr>
        <w:rFonts w:cs="Times New Roman"/>
      </w:rPr>
    </w:lvl>
    <w:lvl w:ilvl="3" w:tplc="0409000F">
      <w:start w:val="1"/>
      <w:numFmt w:val="decimal"/>
      <w:lvlText w:val="%4."/>
      <w:lvlJc w:val="left"/>
      <w:pPr>
        <w:ind w:left="3600" w:hanging="360"/>
      </w:pPr>
      <w:rPr>
        <w:rFonts w:cs="Times New Roman"/>
      </w:rPr>
    </w:lvl>
    <w:lvl w:ilvl="4" w:tplc="04090019" w:tentative="1">
      <w:start w:val="1"/>
      <w:numFmt w:val="lowerLetter"/>
      <w:lvlText w:val="%5."/>
      <w:lvlJc w:val="left"/>
      <w:pPr>
        <w:ind w:left="4320" w:hanging="360"/>
      </w:pPr>
      <w:rPr>
        <w:rFonts w:cs="Times New Roman"/>
      </w:rPr>
    </w:lvl>
    <w:lvl w:ilvl="5" w:tplc="0409001B" w:tentative="1">
      <w:start w:val="1"/>
      <w:numFmt w:val="lowerRoman"/>
      <w:lvlText w:val="%6."/>
      <w:lvlJc w:val="right"/>
      <w:pPr>
        <w:ind w:left="5040" w:hanging="180"/>
      </w:pPr>
      <w:rPr>
        <w:rFonts w:cs="Times New Roman"/>
      </w:rPr>
    </w:lvl>
    <w:lvl w:ilvl="6" w:tplc="0409000F" w:tentative="1">
      <w:start w:val="1"/>
      <w:numFmt w:val="decimal"/>
      <w:lvlText w:val="%7."/>
      <w:lvlJc w:val="left"/>
      <w:pPr>
        <w:ind w:left="5760" w:hanging="360"/>
      </w:pPr>
      <w:rPr>
        <w:rFonts w:cs="Times New Roman"/>
      </w:rPr>
    </w:lvl>
    <w:lvl w:ilvl="7" w:tplc="04090019" w:tentative="1">
      <w:start w:val="1"/>
      <w:numFmt w:val="lowerLetter"/>
      <w:lvlText w:val="%8."/>
      <w:lvlJc w:val="left"/>
      <w:pPr>
        <w:ind w:left="6480" w:hanging="360"/>
      </w:pPr>
      <w:rPr>
        <w:rFonts w:cs="Times New Roman"/>
      </w:rPr>
    </w:lvl>
    <w:lvl w:ilvl="8" w:tplc="0409001B" w:tentative="1">
      <w:start w:val="1"/>
      <w:numFmt w:val="lowerRoman"/>
      <w:lvlText w:val="%9."/>
      <w:lvlJc w:val="right"/>
      <w:pPr>
        <w:ind w:left="7200" w:hanging="180"/>
      </w:pPr>
      <w:rPr>
        <w:rFonts w:cs="Times New Roman"/>
      </w:rPr>
    </w:lvl>
  </w:abstractNum>
  <w:abstractNum w:abstractNumId="1" w15:restartNumberingAfterBreak="0">
    <w:nsid w:val="1FFA6E10"/>
    <w:multiLevelType w:val="hybridMultilevel"/>
    <w:tmpl w:val="0CF80BDC"/>
    <w:lvl w:ilvl="0" w:tplc="807A2ECE">
      <w:start w:val="1"/>
      <w:numFmt w:val="decimal"/>
      <w:lvlText w:val="%1."/>
      <w:lvlJc w:val="left"/>
      <w:pPr>
        <w:ind w:left="927" w:hanging="360"/>
      </w:pPr>
      <w:rPr>
        <w:rFonts w:cs="Times New Roman" w:hint="default"/>
      </w:rPr>
    </w:lvl>
    <w:lvl w:ilvl="1" w:tplc="10090019" w:tentative="1">
      <w:start w:val="1"/>
      <w:numFmt w:val="lowerLetter"/>
      <w:lvlText w:val="%2."/>
      <w:lvlJc w:val="left"/>
      <w:pPr>
        <w:ind w:left="1647" w:hanging="360"/>
      </w:pPr>
      <w:rPr>
        <w:rFonts w:cs="Times New Roman"/>
      </w:rPr>
    </w:lvl>
    <w:lvl w:ilvl="2" w:tplc="1009001B" w:tentative="1">
      <w:start w:val="1"/>
      <w:numFmt w:val="lowerRoman"/>
      <w:lvlText w:val="%3."/>
      <w:lvlJc w:val="right"/>
      <w:pPr>
        <w:ind w:left="2367" w:hanging="180"/>
      </w:pPr>
      <w:rPr>
        <w:rFonts w:cs="Times New Roman"/>
      </w:rPr>
    </w:lvl>
    <w:lvl w:ilvl="3" w:tplc="1009000F" w:tentative="1">
      <w:start w:val="1"/>
      <w:numFmt w:val="decimal"/>
      <w:lvlText w:val="%4."/>
      <w:lvlJc w:val="left"/>
      <w:pPr>
        <w:ind w:left="3087" w:hanging="360"/>
      </w:pPr>
      <w:rPr>
        <w:rFonts w:cs="Times New Roman"/>
      </w:rPr>
    </w:lvl>
    <w:lvl w:ilvl="4" w:tplc="10090019" w:tentative="1">
      <w:start w:val="1"/>
      <w:numFmt w:val="lowerLetter"/>
      <w:lvlText w:val="%5."/>
      <w:lvlJc w:val="left"/>
      <w:pPr>
        <w:ind w:left="3807" w:hanging="360"/>
      </w:pPr>
      <w:rPr>
        <w:rFonts w:cs="Times New Roman"/>
      </w:rPr>
    </w:lvl>
    <w:lvl w:ilvl="5" w:tplc="1009001B" w:tentative="1">
      <w:start w:val="1"/>
      <w:numFmt w:val="lowerRoman"/>
      <w:lvlText w:val="%6."/>
      <w:lvlJc w:val="right"/>
      <w:pPr>
        <w:ind w:left="4527" w:hanging="180"/>
      </w:pPr>
      <w:rPr>
        <w:rFonts w:cs="Times New Roman"/>
      </w:rPr>
    </w:lvl>
    <w:lvl w:ilvl="6" w:tplc="1009000F" w:tentative="1">
      <w:start w:val="1"/>
      <w:numFmt w:val="decimal"/>
      <w:lvlText w:val="%7."/>
      <w:lvlJc w:val="left"/>
      <w:pPr>
        <w:ind w:left="5247" w:hanging="360"/>
      </w:pPr>
      <w:rPr>
        <w:rFonts w:cs="Times New Roman"/>
      </w:rPr>
    </w:lvl>
    <w:lvl w:ilvl="7" w:tplc="10090019" w:tentative="1">
      <w:start w:val="1"/>
      <w:numFmt w:val="lowerLetter"/>
      <w:lvlText w:val="%8."/>
      <w:lvlJc w:val="left"/>
      <w:pPr>
        <w:ind w:left="5967" w:hanging="360"/>
      </w:pPr>
      <w:rPr>
        <w:rFonts w:cs="Times New Roman"/>
      </w:rPr>
    </w:lvl>
    <w:lvl w:ilvl="8" w:tplc="1009001B" w:tentative="1">
      <w:start w:val="1"/>
      <w:numFmt w:val="lowerRoman"/>
      <w:lvlText w:val="%9."/>
      <w:lvlJc w:val="right"/>
      <w:pPr>
        <w:ind w:left="6687" w:hanging="180"/>
      </w:pPr>
      <w:rPr>
        <w:rFonts w:cs="Times New Roman"/>
      </w:rPr>
    </w:lvl>
  </w:abstractNum>
  <w:abstractNum w:abstractNumId="2" w15:restartNumberingAfterBreak="0">
    <w:nsid w:val="2247306A"/>
    <w:multiLevelType w:val="hybridMultilevel"/>
    <w:tmpl w:val="6E60F7DC"/>
    <w:lvl w:ilvl="0" w:tplc="5906913C">
      <w:start w:val="1"/>
      <w:numFmt w:val="decimal"/>
      <w:lvlText w:val="%1."/>
      <w:lvlJc w:val="right"/>
      <w:pPr>
        <w:ind w:left="927" w:hanging="360"/>
      </w:pPr>
      <w:rPr>
        <w:rFonts w:cs="Times New Roman" w:hint="default"/>
      </w:rPr>
    </w:lvl>
    <w:lvl w:ilvl="1" w:tplc="10090019" w:tentative="1">
      <w:start w:val="1"/>
      <w:numFmt w:val="lowerLetter"/>
      <w:lvlText w:val="%2."/>
      <w:lvlJc w:val="left"/>
      <w:pPr>
        <w:ind w:left="2313" w:hanging="360"/>
      </w:pPr>
      <w:rPr>
        <w:rFonts w:cs="Times New Roman"/>
      </w:rPr>
    </w:lvl>
    <w:lvl w:ilvl="2" w:tplc="1009001B" w:tentative="1">
      <w:start w:val="1"/>
      <w:numFmt w:val="lowerRoman"/>
      <w:lvlText w:val="%3."/>
      <w:lvlJc w:val="right"/>
      <w:pPr>
        <w:ind w:left="3033" w:hanging="180"/>
      </w:pPr>
      <w:rPr>
        <w:rFonts w:cs="Times New Roman"/>
      </w:rPr>
    </w:lvl>
    <w:lvl w:ilvl="3" w:tplc="1009000F" w:tentative="1">
      <w:start w:val="1"/>
      <w:numFmt w:val="decimal"/>
      <w:lvlText w:val="%4."/>
      <w:lvlJc w:val="left"/>
      <w:pPr>
        <w:ind w:left="3753" w:hanging="360"/>
      </w:pPr>
      <w:rPr>
        <w:rFonts w:cs="Times New Roman"/>
      </w:rPr>
    </w:lvl>
    <w:lvl w:ilvl="4" w:tplc="10090019" w:tentative="1">
      <w:start w:val="1"/>
      <w:numFmt w:val="lowerLetter"/>
      <w:lvlText w:val="%5."/>
      <w:lvlJc w:val="left"/>
      <w:pPr>
        <w:ind w:left="4473" w:hanging="360"/>
      </w:pPr>
      <w:rPr>
        <w:rFonts w:cs="Times New Roman"/>
      </w:rPr>
    </w:lvl>
    <w:lvl w:ilvl="5" w:tplc="1009001B" w:tentative="1">
      <w:start w:val="1"/>
      <w:numFmt w:val="lowerRoman"/>
      <w:lvlText w:val="%6."/>
      <w:lvlJc w:val="right"/>
      <w:pPr>
        <w:ind w:left="5193" w:hanging="180"/>
      </w:pPr>
      <w:rPr>
        <w:rFonts w:cs="Times New Roman"/>
      </w:rPr>
    </w:lvl>
    <w:lvl w:ilvl="6" w:tplc="1009000F" w:tentative="1">
      <w:start w:val="1"/>
      <w:numFmt w:val="decimal"/>
      <w:lvlText w:val="%7."/>
      <w:lvlJc w:val="left"/>
      <w:pPr>
        <w:ind w:left="5913" w:hanging="360"/>
      </w:pPr>
      <w:rPr>
        <w:rFonts w:cs="Times New Roman"/>
      </w:rPr>
    </w:lvl>
    <w:lvl w:ilvl="7" w:tplc="10090019" w:tentative="1">
      <w:start w:val="1"/>
      <w:numFmt w:val="lowerLetter"/>
      <w:lvlText w:val="%8."/>
      <w:lvlJc w:val="left"/>
      <w:pPr>
        <w:ind w:left="6633" w:hanging="360"/>
      </w:pPr>
      <w:rPr>
        <w:rFonts w:cs="Times New Roman"/>
      </w:rPr>
    </w:lvl>
    <w:lvl w:ilvl="8" w:tplc="1009001B" w:tentative="1">
      <w:start w:val="1"/>
      <w:numFmt w:val="lowerRoman"/>
      <w:lvlText w:val="%9."/>
      <w:lvlJc w:val="right"/>
      <w:pPr>
        <w:ind w:left="7353" w:hanging="180"/>
      </w:pPr>
      <w:rPr>
        <w:rFonts w:cs="Times New Roman"/>
      </w:rPr>
    </w:lvl>
  </w:abstractNum>
  <w:abstractNum w:abstractNumId="3" w15:restartNumberingAfterBreak="0">
    <w:nsid w:val="2439665E"/>
    <w:multiLevelType w:val="hybridMultilevel"/>
    <w:tmpl w:val="4EA69216"/>
    <w:lvl w:ilvl="0" w:tplc="04090017">
      <w:start w:val="1"/>
      <w:numFmt w:val="lowerLetter"/>
      <w:lvlText w:val="%1)"/>
      <w:lvlJc w:val="left"/>
      <w:pPr>
        <w:ind w:left="1080" w:hanging="360"/>
      </w:pPr>
      <w:rPr>
        <w:rFonts w:cs="Times New Roman" w:hint="default"/>
      </w:rPr>
    </w:lvl>
    <w:lvl w:ilvl="1" w:tplc="FFFFFFFF" w:tentative="1">
      <w:start w:val="1"/>
      <w:numFmt w:val="lowerLetter"/>
      <w:lvlText w:val="%2."/>
      <w:lvlJc w:val="left"/>
      <w:pPr>
        <w:ind w:left="1800" w:hanging="360"/>
      </w:pPr>
      <w:rPr>
        <w:rFonts w:cs="Times New Roman"/>
      </w:rPr>
    </w:lvl>
    <w:lvl w:ilvl="2" w:tplc="FFFFFFFF" w:tentative="1">
      <w:start w:val="1"/>
      <w:numFmt w:val="lowerRoman"/>
      <w:lvlText w:val="%3."/>
      <w:lvlJc w:val="right"/>
      <w:pPr>
        <w:ind w:left="2520" w:hanging="180"/>
      </w:pPr>
      <w:rPr>
        <w:rFonts w:cs="Times New Roman"/>
      </w:rPr>
    </w:lvl>
    <w:lvl w:ilvl="3" w:tplc="FFFFFFFF" w:tentative="1">
      <w:start w:val="1"/>
      <w:numFmt w:val="decimal"/>
      <w:lvlText w:val="%4."/>
      <w:lvlJc w:val="left"/>
      <w:pPr>
        <w:ind w:left="3240" w:hanging="360"/>
      </w:pPr>
      <w:rPr>
        <w:rFonts w:cs="Times New Roman"/>
      </w:rPr>
    </w:lvl>
    <w:lvl w:ilvl="4" w:tplc="FFFFFFFF" w:tentative="1">
      <w:start w:val="1"/>
      <w:numFmt w:val="lowerLetter"/>
      <w:lvlText w:val="%5."/>
      <w:lvlJc w:val="left"/>
      <w:pPr>
        <w:ind w:left="3960" w:hanging="360"/>
      </w:pPr>
      <w:rPr>
        <w:rFonts w:cs="Times New Roman"/>
      </w:rPr>
    </w:lvl>
    <w:lvl w:ilvl="5" w:tplc="FFFFFFFF" w:tentative="1">
      <w:start w:val="1"/>
      <w:numFmt w:val="lowerRoman"/>
      <w:lvlText w:val="%6."/>
      <w:lvlJc w:val="right"/>
      <w:pPr>
        <w:ind w:left="4680" w:hanging="180"/>
      </w:pPr>
      <w:rPr>
        <w:rFonts w:cs="Times New Roman"/>
      </w:rPr>
    </w:lvl>
    <w:lvl w:ilvl="6" w:tplc="FFFFFFFF" w:tentative="1">
      <w:start w:val="1"/>
      <w:numFmt w:val="decimal"/>
      <w:lvlText w:val="%7."/>
      <w:lvlJc w:val="left"/>
      <w:pPr>
        <w:ind w:left="5400" w:hanging="360"/>
      </w:pPr>
      <w:rPr>
        <w:rFonts w:cs="Times New Roman"/>
      </w:rPr>
    </w:lvl>
    <w:lvl w:ilvl="7" w:tplc="FFFFFFFF" w:tentative="1">
      <w:start w:val="1"/>
      <w:numFmt w:val="lowerLetter"/>
      <w:lvlText w:val="%8."/>
      <w:lvlJc w:val="left"/>
      <w:pPr>
        <w:ind w:left="6120" w:hanging="360"/>
      </w:pPr>
      <w:rPr>
        <w:rFonts w:cs="Times New Roman"/>
      </w:rPr>
    </w:lvl>
    <w:lvl w:ilvl="8" w:tplc="FFFFFFFF" w:tentative="1">
      <w:start w:val="1"/>
      <w:numFmt w:val="lowerRoman"/>
      <w:lvlText w:val="%9."/>
      <w:lvlJc w:val="right"/>
      <w:pPr>
        <w:ind w:left="6840" w:hanging="180"/>
      </w:pPr>
      <w:rPr>
        <w:rFonts w:cs="Times New Roman"/>
      </w:rPr>
    </w:lvl>
  </w:abstractNum>
  <w:abstractNum w:abstractNumId="4" w15:restartNumberingAfterBreak="0">
    <w:nsid w:val="27F173F0"/>
    <w:multiLevelType w:val="hybridMultilevel"/>
    <w:tmpl w:val="521EDFF0"/>
    <w:lvl w:ilvl="0" w:tplc="FFFFFFFF">
      <w:start w:val="1"/>
      <w:numFmt w:val="decimal"/>
      <w:lvlText w:val="%1."/>
      <w:lvlJc w:val="left"/>
      <w:pPr>
        <w:ind w:left="927" w:hanging="360"/>
      </w:pPr>
      <w:rPr>
        <w:rFonts w:cs="Times New Roman" w:hint="default"/>
        <w:b w:val="0"/>
        <w:bCs w:val="0"/>
      </w:rPr>
    </w:lvl>
    <w:lvl w:ilvl="1" w:tplc="FFFFFFFF">
      <w:start w:val="1"/>
      <w:numFmt w:val="lowerLetter"/>
      <w:lvlText w:val="(%2)"/>
      <w:lvlJc w:val="left"/>
      <w:pPr>
        <w:ind w:left="1647" w:hanging="360"/>
      </w:pPr>
      <w:rPr>
        <w:rFonts w:cs="Times New Roman" w:hint="default"/>
      </w:rPr>
    </w:lvl>
    <w:lvl w:ilvl="2" w:tplc="FFFFFFFF" w:tentative="1">
      <w:start w:val="1"/>
      <w:numFmt w:val="lowerRoman"/>
      <w:lvlText w:val="%3."/>
      <w:lvlJc w:val="right"/>
      <w:pPr>
        <w:ind w:left="2367" w:hanging="180"/>
      </w:pPr>
      <w:rPr>
        <w:rFonts w:cs="Times New Roman"/>
      </w:rPr>
    </w:lvl>
    <w:lvl w:ilvl="3" w:tplc="9E5A8ADE">
      <w:start w:val="1"/>
      <w:numFmt w:val="lowerLetter"/>
      <w:lvlText w:val="(%4)"/>
      <w:lvlJc w:val="left"/>
      <w:pPr>
        <w:ind w:left="1710" w:hanging="360"/>
      </w:pPr>
      <w:rPr>
        <w:rFonts w:cs="Times New Roman" w:hint="default"/>
        <w:b w:val="0"/>
        <w:bCs w:val="0"/>
        <w:i/>
        <w:iCs/>
      </w:rPr>
    </w:lvl>
    <w:lvl w:ilvl="4" w:tplc="FFFFFFFF">
      <w:start w:val="1"/>
      <w:numFmt w:val="lowerLetter"/>
      <w:lvlText w:val="%5."/>
      <w:lvlJc w:val="left"/>
      <w:pPr>
        <w:ind w:left="3807" w:hanging="360"/>
      </w:pPr>
      <w:rPr>
        <w:rFonts w:cs="Times New Roman"/>
      </w:rPr>
    </w:lvl>
    <w:lvl w:ilvl="5" w:tplc="FFFFFFFF" w:tentative="1">
      <w:start w:val="1"/>
      <w:numFmt w:val="lowerRoman"/>
      <w:lvlText w:val="%6."/>
      <w:lvlJc w:val="right"/>
      <w:pPr>
        <w:ind w:left="4527" w:hanging="180"/>
      </w:pPr>
      <w:rPr>
        <w:rFonts w:cs="Times New Roman"/>
      </w:rPr>
    </w:lvl>
    <w:lvl w:ilvl="6" w:tplc="FFFFFFFF" w:tentative="1">
      <w:start w:val="1"/>
      <w:numFmt w:val="decimal"/>
      <w:lvlText w:val="%7."/>
      <w:lvlJc w:val="left"/>
      <w:pPr>
        <w:ind w:left="5247" w:hanging="360"/>
      </w:pPr>
      <w:rPr>
        <w:rFonts w:cs="Times New Roman"/>
      </w:rPr>
    </w:lvl>
    <w:lvl w:ilvl="7" w:tplc="FFFFFFFF" w:tentative="1">
      <w:start w:val="1"/>
      <w:numFmt w:val="lowerLetter"/>
      <w:lvlText w:val="%8."/>
      <w:lvlJc w:val="left"/>
      <w:pPr>
        <w:ind w:left="5967" w:hanging="360"/>
      </w:pPr>
      <w:rPr>
        <w:rFonts w:cs="Times New Roman"/>
      </w:rPr>
    </w:lvl>
    <w:lvl w:ilvl="8" w:tplc="FFFFFFFF" w:tentative="1">
      <w:start w:val="1"/>
      <w:numFmt w:val="lowerRoman"/>
      <w:lvlText w:val="%9."/>
      <w:lvlJc w:val="right"/>
      <w:pPr>
        <w:ind w:left="6687" w:hanging="180"/>
      </w:pPr>
      <w:rPr>
        <w:rFonts w:cs="Times New Roman"/>
      </w:rPr>
    </w:lvl>
  </w:abstractNum>
  <w:abstractNum w:abstractNumId="5" w15:restartNumberingAfterBreak="0">
    <w:nsid w:val="28A90C32"/>
    <w:multiLevelType w:val="hybridMultilevel"/>
    <w:tmpl w:val="F4A86298"/>
    <w:lvl w:ilvl="0" w:tplc="CFF47566">
      <w:start w:val="1"/>
      <w:numFmt w:val="decimal"/>
      <w:lvlText w:val="%1."/>
      <w:lvlJc w:val="left"/>
      <w:pPr>
        <w:ind w:left="1494" w:hanging="360"/>
      </w:pPr>
      <w:rPr>
        <w:rFonts w:cs="Times New Roman" w:hint="default"/>
      </w:rPr>
    </w:lvl>
    <w:lvl w:ilvl="1" w:tplc="10090019" w:tentative="1">
      <w:start w:val="1"/>
      <w:numFmt w:val="lowerLetter"/>
      <w:lvlText w:val="%2."/>
      <w:lvlJc w:val="left"/>
      <w:pPr>
        <w:ind w:left="2007" w:hanging="360"/>
      </w:pPr>
      <w:rPr>
        <w:rFonts w:cs="Times New Roman"/>
      </w:rPr>
    </w:lvl>
    <w:lvl w:ilvl="2" w:tplc="1009001B" w:tentative="1">
      <w:start w:val="1"/>
      <w:numFmt w:val="lowerRoman"/>
      <w:lvlText w:val="%3."/>
      <w:lvlJc w:val="right"/>
      <w:pPr>
        <w:ind w:left="2727" w:hanging="180"/>
      </w:pPr>
      <w:rPr>
        <w:rFonts w:cs="Times New Roman"/>
      </w:rPr>
    </w:lvl>
    <w:lvl w:ilvl="3" w:tplc="1009000F" w:tentative="1">
      <w:start w:val="1"/>
      <w:numFmt w:val="decimal"/>
      <w:lvlText w:val="%4."/>
      <w:lvlJc w:val="left"/>
      <w:pPr>
        <w:ind w:left="3447" w:hanging="360"/>
      </w:pPr>
      <w:rPr>
        <w:rFonts w:cs="Times New Roman"/>
      </w:rPr>
    </w:lvl>
    <w:lvl w:ilvl="4" w:tplc="10090019" w:tentative="1">
      <w:start w:val="1"/>
      <w:numFmt w:val="lowerLetter"/>
      <w:lvlText w:val="%5."/>
      <w:lvlJc w:val="left"/>
      <w:pPr>
        <w:ind w:left="4167" w:hanging="360"/>
      </w:pPr>
      <w:rPr>
        <w:rFonts w:cs="Times New Roman"/>
      </w:rPr>
    </w:lvl>
    <w:lvl w:ilvl="5" w:tplc="1009001B" w:tentative="1">
      <w:start w:val="1"/>
      <w:numFmt w:val="lowerRoman"/>
      <w:lvlText w:val="%6."/>
      <w:lvlJc w:val="right"/>
      <w:pPr>
        <w:ind w:left="4887" w:hanging="180"/>
      </w:pPr>
      <w:rPr>
        <w:rFonts w:cs="Times New Roman"/>
      </w:rPr>
    </w:lvl>
    <w:lvl w:ilvl="6" w:tplc="1009000F" w:tentative="1">
      <w:start w:val="1"/>
      <w:numFmt w:val="decimal"/>
      <w:lvlText w:val="%7."/>
      <w:lvlJc w:val="left"/>
      <w:pPr>
        <w:ind w:left="5607" w:hanging="360"/>
      </w:pPr>
      <w:rPr>
        <w:rFonts w:cs="Times New Roman"/>
      </w:rPr>
    </w:lvl>
    <w:lvl w:ilvl="7" w:tplc="10090019" w:tentative="1">
      <w:start w:val="1"/>
      <w:numFmt w:val="lowerLetter"/>
      <w:lvlText w:val="%8."/>
      <w:lvlJc w:val="left"/>
      <w:pPr>
        <w:ind w:left="6327" w:hanging="360"/>
      </w:pPr>
      <w:rPr>
        <w:rFonts w:cs="Times New Roman"/>
      </w:rPr>
    </w:lvl>
    <w:lvl w:ilvl="8" w:tplc="1009001B" w:tentative="1">
      <w:start w:val="1"/>
      <w:numFmt w:val="lowerRoman"/>
      <w:lvlText w:val="%9."/>
      <w:lvlJc w:val="right"/>
      <w:pPr>
        <w:ind w:left="7047" w:hanging="180"/>
      </w:pPr>
      <w:rPr>
        <w:rFonts w:cs="Times New Roman"/>
      </w:rPr>
    </w:lvl>
  </w:abstractNum>
  <w:abstractNum w:abstractNumId="6" w15:restartNumberingAfterBreak="0">
    <w:nsid w:val="28F31E2A"/>
    <w:multiLevelType w:val="hybridMultilevel"/>
    <w:tmpl w:val="28629C36"/>
    <w:lvl w:ilvl="0" w:tplc="367A5790">
      <w:start w:val="1"/>
      <w:numFmt w:val="decimal"/>
      <w:lvlText w:val="%1."/>
      <w:lvlJc w:val="left"/>
      <w:pPr>
        <w:ind w:left="927" w:hanging="360"/>
      </w:pPr>
      <w:rPr>
        <w:rFonts w:cs="Times New Roman" w:hint="default"/>
      </w:rPr>
    </w:lvl>
    <w:lvl w:ilvl="1" w:tplc="FFFFFFFF" w:tentative="1">
      <w:start w:val="1"/>
      <w:numFmt w:val="lowerLetter"/>
      <w:lvlText w:val="%2."/>
      <w:lvlJc w:val="left"/>
      <w:pPr>
        <w:ind w:left="1647" w:hanging="360"/>
      </w:pPr>
      <w:rPr>
        <w:rFonts w:cs="Times New Roman"/>
      </w:rPr>
    </w:lvl>
    <w:lvl w:ilvl="2" w:tplc="FFFFFFFF" w:tentative="1">
      <w:start w:val="1"/>
      <w:numFmt w:val="lowerRoman"/>
      <w:lvlText w:val="%3."/>
      <w:lvlJc w:val="right"/>
      <w:pPr>
        <w:ind w:left="2367" w:hanging="180"/>
      </w:pPr>
      <w:rPr>
        <w:rFonts w:cs="Times New Roman"/>
      </w:rPr>
    </w:lvl>
    <w:lvl w:ilvl="3" w:tplc="FFFFFFFF" w:tentative="1">
      <w:start w:val="1"/>
      <w:numFmt w:val="decimal"/>
      <w:lvlText w:val="%4."/>
      <w:lvlJc w:val="left"/>
      <w:pPr>
        <w:ind w:left="3087" w:hanging="360"/>
      </w:pPr>
      <w:rPr>
        <w:rFonts w:cs="Times New Roman"/>
      </w:rPr>
    </w:lvl>
    <w:lvl w:ilvl="4" w:tplc="FFFFFFFF" w:tentative="1">
      <w:start w:val="1"/>
      <w:numFmt w:val="lowerLetter"/>
      <w:lvlText w:val="%5."/>
      <w:lvlJc w:val="left"/>
      <w:pPr>
        <w:ind w:left="3807" w:hanging="360"/>
      </w:pPr>
      <w:rPr>
        <w:rFonts w:cs="Times New Roman"/>
      </w:rPr>
    </w:lvl>
    <w:lvl w:ilvl="5" w:tplc="FFFFFFFF" w:tentative="1">
      <w:start w:val="1"/>
      <w:numFmt w:val="lowerRoman"/>
      <w:lvlText w:val="%6."/>
      <w:lvlJc w:val="right"/>
      <w:pPr>
        <w:ind w:left="4527" w:hanging="180"/>
      </w:pPr>
      <w:rPr>
        <w:rFonts w:cs="Times New Roman"/>
      </w:rPr>
    </w:lvl>
    <w:lvl w:ilvl="6" w:tplc="FFFFFFFF" w:tentative="1">
      <w:start w:val="1"/>
      <w:numFmt w:val="decimal"/>
      <w:lvlText w:val="%7."/>
      <w:lvlJc w:val="left"/>
      <w:pPr>
        <w:ind w:left="5247" w:hanging="360"/>
      </w:pPr>
      <w:rPr>
        <w:rFonts w:cs="Times New Roman"/>
      </w:rPr>
    </w:lvl>
    <w:lvl w:ilvl="7" w:tplc="FFFFFFFF" w:tentative="1">
      <w:start w:val="1"/>
      <w:numFmt w:val="lowerLetter"/>
      <w:lvlText w:val="%8."/>
      <w:lvlJc w:val="left"/>
      <w:pPr>
        <w:ind w:left="5967" w:hanging="360"/>
      </w:pPr>
      <w:rPr>
        <w:rFonts w:cs="Times New Roman"/>
      </w:rPr>
    </w:lvl>
    <w:lvl w:ilvl="8" w:tplc="FFFFFFFF" w:tentative="1">
      <w:start w:val="1"/>
      <w:numFmt w:val="lowerRoman"/>
      <w:lvlText w:val="%9."/>
      <w:lvlJc w:val="right"/>
      <w:pPr>
        <w:ind w:left="6687" w:hanging="180"/>
      </w:pPr>
      <w:rPr>
        <w:rFonts w:cs="Times New Roman"/>
      </w:rPr>
    </w:lvl>
  </w:abstractNum>
  <w:abstractNum w:abstractNumId="7" w15:restartNumberingAfterBreak="0">
    <w:nsid w:val="400B2BB0"/>
    <w:multiLevelType w:val="hybridMultilevel"/>
    <w:tmpl w:val="50FE85F4"/>
    <w:lvl w:ilvl="0" w:tplc="604E1688">
      <w:start w:val="1"/>
      <w:numFmt w:val="lowerLetter"/>
      <w:lvlText w:val="%1)"/>
      <w:lvlJc w:val="left"/>
      <w:pPr>
        <w:ind w:left="720" w:hanging="360"/>
      </w:pPr>
      <w:rPr>
        <w:rFonts w:cs="Times New Roman"/>
      </w:rPr>
    </w:lvl>
    <w:lvl w:ilvl="1" w:tplc="A9F49522">
      <w:start w:val="1"/>
      <w:numFmt w:val="lowerLetter"/>
      <w:lvlText w:val="%2)"/>
      <w:lvlJc w:val="left"/>
      <w:pPr>
        <w:ind w:left="720" w:hanging="360"/>
      </w:pPr>
      <w:rPr>
        <w:rFonts w:cs="Times New Roman"/>
      </w:rPr>
    </w:lvl>
    <w:lvl w:ilvl="2" w:tplc="E74CDA40">
      <w:start w:val="1"/>
      <w:numFmt w:val="lowerLetter"/>
      <w:lvlText w:val="%3)"/>
      <w:lvlJc w:val="left"/>
      <w:pPr>
        <w:ind w:left="720" w:hanging="360"/>
      </w:pPr>
      <w:rPr>
        <w:rFonts w:cs="Times New Roman"/>
      </w:rPr>
    </w:lvl>
    <w:lvl w:ilvl="3" w:tplc="45F65C42">
      <w:start w:val="1"/>
      <w:numFmt w:val="lowerLetter"/>
      <w:lvlText w:val="%4)"/>
      <w:lvlJc w:val="left"/>
      <w:pPr>
        <w:ind w:left="720" w:hanging="360"/>
      </w:pPr>
      <w:rPr>
        <w:rFonts w:cs="Times New Roman"/>
      </w:rPr>
    </w:lvl>
    <w:lvl w:ilvl="4" w:tplc="EAC29878">
      <w:start w:val="1"/>
      <w:numFmt w:val="lowerLetter"/>
      <w:lvlText w:val="%5)"/>
      <w:lvlJc w:val="left"/>
      <w:pPr>
        <w:ind w:left="720" w:hanging="360"/>
      </w:pPr>
      <w:rPr>
        <w:rFonts w:cs="Times New Roman"/>
      </w:rPr>
    </w:lvl>
    <w:lvl w:ilvl="5" w:tplc="E334E7B8">
      <w:start w:val="1"/>
      <w:numFmt w:val="lowerLetter"/>
      <w:lvlText w:val="%6)"/>
      <w:lvlJc w:val="left"/>
      <w:pPr>
        <w:ind w:left="720" w:hanging="360"/>
      </w:pPr>
      <w:rPr>
        <w:rFonts w:cs="Times New Roman"/>
      </w:rPr>
    </w:lvl>
    <w:lvl w:ilvl="6" w:tplc="FC62DD0A">
      <w:start w:val="1"/>
      <w:numFmt w:val="lowerLetter"/>
      <w:lvlText w:val="%7)"/>
      <w:lvlJc w:val="left"/>
      <w:pPr>
        <w:ind w:left="720" w:hanging="360"/>
      </w:pPr>
      <w:rPr>
        <w:rFonts w:cs="Times New Roman"/>
      </w:rPr>
    </w:lvl>
    <w:lvl w:ilvl="7" w:tplc="8684DAC4">
      <w:start w:val="1"/>
      <w:numFmt w:val="lowerLetter"/>
      <w:lvlText w:val="%8)"/>
      <w:lvlJc w:val="left"/>
      <w:pPr>
        <w:ind w:left="720" w:hanging="360"/>
      </w:pPr>
      <w:rPr>
        <w:rFonts w:cs="Times New Roman"/>
      </w:rPr>
    </w:lvl>
    <w:lvl w:ilvl="8" w:tplc="4E9C0718">
      <w:start w:val="1"/>
      <w:numFmt w:val="lowerLetter"/>
      <w:lvlText w:val="%9)"/>
      <w:lvlJc w:val="left"/>
      <w:pPr>
        <w:ind w:left="720" w:hanging="360"/>
      </w:pPr>
      <w:rPr>
        <w:rFonts w:cs="Times New Roman"/>
      </w:rPr>
    </w:lvl>
  </w:abstractNum>
  <w:abstractNum w:abstractNumId="8" w15:restartNumberingAfterBreak="0">
    <w:nsid w:val="44E00E31"/>
    <w:multiLevelType w:val="hybridMultilevel"/>
    <w:tmpl w:val="98DE1D60"/>
    <w:lvl w:ilvl="0" w:tplc="5540CAA8">
      <w:start w:val="1"/>
      <w:numFmt w:val="lowerLetter"/>
      <w:lvlText w:val="(%1)"/>
      <w:lvlJc w:val="left"/>
      <w:pPr>
        <w:ind w:left="1080" w:hanging="360"/>
      </w:pPr>
      <w:rPr>
        <w:rFonts w:cs="Times New Roman" w:hint="default"/>
      </w:rPr>
    </w:lvl>
    <w:lvl w:ilvl="1" w:tplc="FFFFFFFF" w:tentative="1">
      <w:start w:val="1"/>
      <w:numFmt w:val="lowerLetter"/>
      <w:lvlText w:val="%2."/>
      <w:lvlJc w:val="left"/>
      <w:pPr>
        <w:ind w:left="1800" w:hanging="360"/>
      </w:pPr>
      <w:rPr>
        <w:rFonts w:cs="Times New Roman"/>
      </w:rPr>
    </w:lvl>
    <w:lvl w:ilvl="2" w:tplc="FFFFFFFF" w:tentative="1">
      <w:start w:val="1"/>
      <w:numFmt w:val="lowerRoman"/>
      <w:lvlText w:val="%3."/>
      <w:lvlJc w:val="right"/>
      <w:pPr>
        <w:ind w:left="2520" w:hanging="180"/>
      </w:pPr>
      <w:rPr>
        <w:rFonts w:cs="Times New Roman"/>
      </w:rPr>
    </w:lvl>
    <w:lvl w:ilvl="3" w:tplc="FFFFFFFF" w:tentative="1">
      <w:start w:val="1"/>
      <w:numFmt w:val="decimal"/>
      <w:lvlText w:val="%4."/>
      <w:lvlJc w:val="left"/>
      <w:pPr>
        <w:ind w:left="3240" w:hanging="360"/>
      </w:pPr>
      <w:rPr>
        <w:rFonts w:cs="Times New Roman"/>
      </w:rPr>
    </w:lvl>
    <w:lvl w:ilvl="4" w:tplc="FFFFFFFF" w:tentative="1">
      <w:start w:val="1"/>
      <w:numFmt w:val="lowerLetter"/>
      <w:lvlText w:val="%5."/>
      <w:lvlJc w:val="left"/>
      <w:pPr>
        <w:ind w:left="3960" w:hanging="360"/>
      </w:pPr>
      <w:rPr>
        <w:rFonts w:cs="Times New Roman"/>
      </w:rPr>
    </w:lvl>
    <w:lvl w:ilvl="5" w:tplc="FFFFFFFF" w:tentative="1">
      <w:start w:val="1"/>
      <w:numFmt w:val="lowerRoman"/>
      <w:lvlText w:val="%6."/>
      <w:lvlJc w:val="right"/>
      <w:pPr>
        <w:ind w:left="4680" w:hanging="180"/>
      </w:pPr>
      <w:rPr>
        <w:rFonts w:cs="Times New Roman"/>
      </w:rPr>
    </w:lvl>
    <w:lvl w:ilvl="6" w:tplc="FFFFFFFF" w:tentative="1">
      <w:start w:val="1"/>
      <w:numFmt w:val="decimal"/>
      <w:lvlText w:val="%7."/>
      <w:lvlJc w:val="left"/>
      <w:pPr>
        <w:ind w:left="5400" w:hanging="360"/>
      </w:pPr>
      <w:rPr>
        <w:rFonts w:cs="Times New Roman"/>
      </w:rPr>
    </w:lvl>
    <w:lvl w:ilvl="7" w:tplc="FFFFFFFF" w:tentative="1">
      <w:start w:val="1"/>
      <w:numFmt w:val="lowerLetter"/>
      <w:lvlText w:val="%8."/>
      <w:lvlJc w:val="left"/>
      <w:pPr>
        <w:ind w:left="6120" w:hanging="360"/>
      </w:pPr>
      <w:rPr>
        <w:rFonts w:cs="Times New Roman"/>
      </w:rPr>
    </w:lvl>
    <w:lvl w:ilvl="8" w:tplc="FFFFFFFF" w:tentative="1">
      <w:start w:val="1"/>
      <w:numFmt w:val="lowerRoman"/>
      <w:lvlText w:val="%9."/>
      <w:lvlJc w:val="right"/>
      <w:pPr>
        <w:ind w:left="6840" w:hanging="180"/>
      </w:pPr>
      <w:rPr>
        <w:rFonts w:cs="Times New Roman"/>
      </w:rPr>
    </w:lvl>
  </w:abstractNum>
  <w:abstractNum w:abstractNumId="9" w15:restartNumberingAfterBreak="0">
    <w:nsid w:val="467961CE"/>
    <w:multiLevelType w:val="hybridMultilevel"/>
    <w:tmpl w:val="AFDCF908"/>
    <w:lvl w:ilvl="0" w:tplc="371C7C0E">
      <w:start w:val="1"/>
      <w:numFmt w:val="upperRoman"/>
      <w:pStyle w:val="Heading1"/>
      <w:lvlText w:val="%1."/>
      <w:lvlJc w:val="left"/>
      <w:pPr>
        <w:ind w:left="1080" w:hanging="720"/>
      </w:pPr>
      <w:rPr>
        <w:rFonts w:cs="Times New Roman" w:hint="default"/>
      </w:rPr>
    </w:lvl>
    <w:lvl w:ilvl="1" w:tplc="10090019" w:tentative="1">
      <w:start w:val="1"/>
      <w:numFmt w:val="lowerLetter"/>
      <w:lvlText w:val="%2."/>
      <w:lvlJc w:val="left"/>
      <w:pPr>
        <w:ind w:left="1440" w:hanging="360"/>
      </w:pPr>
      <w:rPr>
        <w:rFonts w:cs="Times New Roman"/>
      </w:rPr>
    </w:lvl>
    <w:lvl w:ilvl="2" w:tplc="1009001B" w:tentative="1">
      <w:start w:val="1"/>
      <w:numFmt w:val="lowerRoman"/>
      <w:lvlText w:val="%3."/>
      <w:lvlJc w:val="right"/>
      <w:pPr>
        <w:ind w:left="2160" w:hanging="180"/>
      </w:pPr>
      <w:rPr>
        <w:rFonts w:cs="Times New Roman"/>
      </w:rPr>
    </w:lvl>
    <w:lvl w:ilvl="3" w:tplc="1009000F" w:tentative="1">
      <w:start w:val="1"/>
      <w:numFmt w:val="decimal"/>
      <w:lvlText w:val="%4."/>
      <w:lvlJc w:val="left"/>
      <w:pPr>
        <w:ind w:left="2880" w:hanging="360"/>
      </w:pPr>
      <w:rPr>
        <w:rFonts w:cs="Times New Roman"/>
      </w:rPr>
    </w:lvl>
    <w:lvl w:ilvl="4" w:tplc="10090019" w:tentative="1">
      <w:start w:val="1"/>
      <w:numFmt w:val="lowerLetter"/>
      <w:lvlText w:val="%5."/>
      <w:lvlJc w:val="left"/>
      <w:pPr>
        <w:ind w:left="3600" w:hanging="360"/>
      </w:pPr>
      <w:rPr>
        <w:rFonts w:cs="Times New Roman"/>
      </w:rPr>
    </w:lvl>
    <w:lvl w:ilvl="5" w:tplc="1009001B" w:tentative="1">
      <w:start w:val="1"/>
      <w:numFmt w:val="lowerRoman"/>
      <w:lvlText w:val="%6."/>
      <w:lvlJc w:val="right"/>
      <w:pPr>
        <w:ind w:left="4320" w:hanging="180"/>
      </w:pPr>
      <w:rPr>
        <w:rFonts w:cs="Times New Roman"/>
      </w:rPr>
    </w:lvl>
    <w:lvl w:ilvl="6" w:tplc="1009000F" w:tentative="1">
      <w:start w:val="1"/>
      <w:numFmt w:val="decimal"/>
      <w:lvlText w:val="%7."/>
      <w:lvlJc w:val="left"/>
      <w:pPr>
        <w:ind w:left="5040" w:hanging="360"/>
      </w:pPr>
      <w:rPr>
        <w:rFonts w:cs="Times New Roman"/>
      </w:rPr>
    </w:lvl>
    <w:lvl w:ilvl="7" w:tplc="10090019" w:tentative="1">
      <w:start w:val="1"/>
      <w:numFmt w:val="lowerLetter"/>
      <w:lvlText w:val="%8."/>
      <w:lvlJc w:val="left"/>
      <w:pPr>
        <w:ind w:left="5760" w:hanging="360"/>
      </w:pPr>
      <w:rPr>
        <w:rFonts w:cs="Times New Roman"/>
      </w:rPr>
    </w:lvl>
    <w:lvl w:ilvl="8" w:tplc="1009001B" w:tentative="1">
      <w:start w:val="1"/>
      <w:numFmt w:val="lowerRoman"/>
      <w:lvlText w:val="%9."/>
      <w:lvlJc w:val="right"/>
      <w:pPr>
        <w:ind w:left="6480" w:hanging="180"/>
      </w:pPr>
      <w:rPr>
        <w:rFonts w:cs="Times New Roman"/>
      </w:rPr>
    </w:lvl>
  </w:abstractNum>
  <w:abstractNum w:abstractNumId="10" w15:restartNumberingAfterBreak="0">
    <w:nsid w:val="4D713373"/>
    <w:multiLevelType w:val="hybridMultilevel"/>
    <w:tmpl w:val="1968F470"/>
    <w:lvl w:ilvl="0" w:tplc="F2F8D1D0">
      <w:start w:val="1"/>
      <w:numFmt w:val="lowerLetter"/>
      <w:lvlText w:val="(%1)"/>
      <w:lvlJc w:val="left"/>
      <w:pPr>
        <w:ind w:left="1710" w:hanging="360"/>
      </w:pPr>
      <w:rPr>
        <w:rFonts w:cs="Times New Roman" w:hint="default"/>
        <w:i w:val="0"/>
        <w:iCs w:val="0"/>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11" w15:restartNumberingAfterBreak="0">
    <w:nsid w:val="4E0442B4"/>
    <w:multiLevelType w:val="multilevel"/>
    <w:tmpl w:val="4FF01174"/>
    <w:lvl w:ilvl="0">
      <w:start w:val="1"/>
      <w:numFmt w:val="decimal"/>
      <w:pStyle w:val="Para1"/>
      <w:lvlText w:val="%1."/>
      <w:lvlJc w:val="left"/>
      <w:pPr>
        <w:tabs>
          <w:tab w:val="num" w:pos="360"/>
        </w:tabs>
      </w:pPr>
      <w:rPr>
        <w:rFonts w:ascii="Times New Roman" w:hAnsi="Times New Roman" w:cs="Times New Roman" w:hint="default"/>
        <w:b w:val="0"/>
        <w:i w:val="0"/>
        <w:sz w:val="22"/>
      </w:rPr>
    </w:lvl>
    <w:lvl w:ilvl="1">
      <w:start w:val="1"/>
      <w:numFmt w:val="lowerLetter"/>
      <w:lvlText w:val="(%2)"/>
      <w:lvlJc w:val="left"/>
      <w:pPr>
        <w:tabs>
          <w:tab w:val="num" w:pos="1440"/>
        </w:tabs>
        <w:ind w:firstLine="720"/>
      </w:pPr>
      <w:rPr>
        <w:rFonts w:cs="Times New Roman"/>
        <w:b w:val="0"/>
        <w:i w:val="0"/>
      </w:rPr>
    </w:lvl>
    <w:lvl w:ilvl="2">
      <w:start w:val="1"/>
      <w:numFmt w:val="lowerRoman"/>
      <w:lvlText w:val="(%3)"/>
      <w:lvlJc w:val="right"/>
      <w:pPr>
        <w:tabs>
          <w:tab w:val="num" w:pos="1440"/>
        </w:tabs>
        <w:ind w:left="1440" w:hanging="360"/>
      </w:pPr>
      <w:rPr>
        <w:rFonts w:cs="Times New Roman"/>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12" w15:restartNumberingAfterBreak="0">
    <w:nsid w:val="521D6BE4"/>
    <w:multiLevelType w:val="hybridMultilevel"/>
    <w:tmpl w:val="A3F0CE96"/>
    <w:lvl w:ilvl="0" w:tplc="1009000F">
      <w:start w:val="1"/>
      <w:numFmt w:val="decimal"/>
      <w:lvlText w:val="%1."/>
      <w:lvlJc w:val="left"/>
      <w:pPr>
        <w:ind w:left="360" w:hanging="360"/>
      </w:pPr>
      <w:rPr>
        <w:rFonts w:cs="Times New Roman"/>
      </w:rPr>
    </w:lvl>
    <w:lvl w:ilvl="1" w:tplc="04090019" w:tentative="1">
      <w:start w:val="1"/>
      <w:numFmt w:val="lowerLetter"/>
      <w:lvlText w:val="%2."/>
      <w:lvlJc w:val="left"/>
      <w:pPr>
        <w:ind w:left="-1287" w:hanging="360"/>
      </w:pPr>
      <w:rPr>
        <w:rFonts w:cs="Times New Roman"/>
      </w:rPr>
    </w:lvl>
    <w:lvl w:ilvl="2" w:tplc="0409001B" w:tentative="1">
      <w:start w:val="1"/>
      <w:numFmt w:val="lowerRoman"/>
      <w:lvlText w:val="%3."/>
      <w:lvlJc w:val="right"/>
      <w:pPr>
        <w:ind w:left="-567" w:hanging="180"/>
      </w:pPr>
      <w:rPr>
        <w:rFonts w:cs="Times New Roman"/>
      </w:rPr>
    </w:lvl>
    <w:lvl w:ilvl="3" w:tplc="0409000F">
      <w:start w:val="1"/>
      <w:numFmt w:val="decimal"/>
      <w:lvlText w:val="%4."/>
      <w:lvlJc w:val="left"/>
      <w:pPr>
        <w:ind w:left="153" w:hanging="360"/>
      </w:pPr>
      <w:rPr>
        <w:rFonts w:cs="Times New Roman"/>
      </w:rPr>
    </w:lvl>
    <w:lvl w:ilvl="4" w:tplc="04090019" w:tentative="1">
      <w:start w:val="1"/>
      <w:numFmt w:val="lowerLetter"/>
      <w:lvlText w:val="%5."/>
      <w:lvlJc w:val="left"/>
      <w:pPr>
        <w:ind w:left="873" w:hanging="360"/>
      </w:pPr>
      <w:rPr>
        <w:rFonts w:cs="Times New Roman"/>
      </w:rPr>
    </w:lvl>
    <w:lvl w:ilvl="5" w:tplc="0409001B" w:tentative="1">
      <w:start w:val="1"/>
      <w:numFmt w:val="lowerRoman"/>
      <w:lvlText w:val="%6."/>
      <w:lvlJc w:val="right"/>
      <w:pPr>
        <w:ind w:left="1593" w:hanging="180"/>
      </w:pPr>
      <w:rPr>
        <w:rFonts w:cs="Times New Roman"/>
      </w:rPr>
    </w:lvl>
    <w:lvl w:ilvl="6" w:tplc="0409000F" w:tentative="1">
      <w:start w:val="1"/>
      <w:numFmt w:val="decimal"/>
      <w:lvlText w:val="%7."/>
      <w:lvlJc w:val="left"/>
      <w:pPr>
        <w:ind w:left="2313" w:hanging="360"/>
      </w:pPr>
      <w:rPr>
        <w:rFonts w:cs="Times New Roman"/>
      </w:rPr>
    </w:lvl>
    <w:lvl w:ilvl="7" w:tplc="04090019" w:tentative="1">
      <w:start w:val="1"/>
      <w:numFmt w:val="lowerLetter"/>
      <w:lvlText w:val="%8."/>
      <w:lvlJc w:val="left"/>
      <w:pPr>
        <w:ind w:left="3033" w:hanging="360"/>
      </w:pPr>
      <w:rPr>
        <w:rFonts w:cs="Times New Roman"/>
      </w:rPr>
    </w:lvl>
    <w:lvl w:ilvl="8" w:tplc="0409001B" w:tentative="1">
      <w:start w:val="1"/>
      <w:numFmt w:val="lowerRoman"/>
      <w:lvlText w:val="%9."/>
      <w:lvlJc w:val="right"/>
      <w:pPr>
        <w:ind w:left="3753" w:hanging="180"/>
      </w:pPr>
      <w:rPr>
        <w:rFonts w:cs="Times New Roman"/>
      </w:rPr>
    </w:lvl>
  </w:abstractNum>
  <w:abstractNum w:abstractNumId="13" w15:restartNumberingAfterBreak="0">
    <w:nsid w:val="5395409C"/>
    <w:multiLevelType w:val="hybridMultilevel"/>
    <w:tmpl w:val="07B4D422"/>
    <w:lvl w:ilvl="0" w:tplc="2DEE47E4">
      <w:start w:val="1"/>
      <w:numFmt w:val="decimal"/>
      <w:lvlText w:val="%1."/>
      <w:lvlJc w:val="left"/>
      <w:pPr>
        <w:ind w:left="927" w:hanging="360"/>
      </w:pPr>
      <w:rPr>
        <w:rFonts w:cs="Times New Roman" w:hint="default"/>
      </w:rPr>
    </w:lvl>
    <w:lvl w:ilvl="1" w:tplc="10090019" w:tentative="1">
      <w:start w:val="1"/>
      <w:numFmt w:val="lowerLetter"/>
      <w:lvlText w:val="%2."/>
      <w:lvlJc w:val="left"/>
      <w:pPr>
        <w:ind w:left="1647" w:hanging="360"/>
      </w:pPr>
      <w:rPr>
        <w:rFonts w:cs="Times New Roman"/>
      </w:rPr>
    </w:lvl>
    <w:lvl w:ilvl="2" w:tplc="1009001B" w:tentative="1">
      <w:start w:val="1"/>
      <w:numFmt w:val="lowerRoman"/>
      <w:lvlText w:val="%3."/>
      <w:lvlJc w:val="right"/>
      <w:pPr>
        <w:ind w:left="2367" w:hanging="180"/>
      </w:pPr>
      <w:rPr>
        <w:rFonts w:cs="Times New Roman"/>
      </w:rPr>
    </w:lvl>
    <w:lvl w:ilvl="3" w:tplc="1009000F" w:tentative="1">
      <w:start w:val="1"/>
      <w:numFmt w:val="decimal"/>
      <w:lvlText w:val="%4."/>
      <w:lvlJc w:val="left"/>
      <w:pPr>
        <w:ind w:left="3087" w:hanging="360"/>
      </w:pPr>
      <w:rPr>
        <w:rFonts w:cs="Times New Roman"/>
      </w:rPr>
    </w:lvl>
    <w:lvl w:ilvl="4" w:tplc="10090019" w:tentative="1">
      <w:start w:val="1"/>
      <w:numFmt w:val="lowerLetter"/>
      <w:lvlText w:val="%5."/>
      <w:lvlJc w:val="left"/>
      <w:pPr>
        <w:ind w:left="3807" w:hanging="360"/>
      </w:pPr>
      <w:rPr>
        <w:rFonts w:cs="Times New Roman"/>
      </w:rPr>
    </w:lvl>
    <w:lvl w:ilvl="5" w:tplc="1009001B" w:tentative="1">
      <w:start w:val="1"/>
      <w:numFmt w:val="lowerRoman"/>
      <w:lvlText w:val="%6."/>
      <w:lvlJc w:val="right"/>
      <w:pPr>
        <w:ind w:left="4527" w:hanging="180"/>
      </w:pPr>
      <w:rPr>
        <w:rFonts w:cs="Times New Roman"/>
      </w:rPr>
    </w:lvl>
    <w:lvl w:ilvl="6" w:tplc="1009000F" w:tentative="1">
      <w:start w:val="1"/>
      <w:numFmt w:val="decimal"/>
      <w:lvlText w:val="%7."/>
      <w:lvlJc w:val="left"/>
      <w:pPr>
        <w:ind w:left="5247" w:hanging="360"/>
      </w:pPr>
      <w:rPr>
        <w:rFonts w:cs="Times New Roman"/>
      </w:rPr>
    </w:lvl>
    <w:lvl w:ilvl="7" w:tplc="10090019" w:tentative="1">
      <w:start w:val="1"/>
      <w:numFmt w:val="lowerLetter"/>
      <w:lvlText w:val="%8."/>
      <w:lvlJc w:val="left"/>
      <w:pPr>
        <w:ind w:left="5967" w:hanging="360"/>
      </w:pPr>
      <w:rPr>
        <w:rFonts w:cs="Times New Roman"/>
      </w:rPr>
    </w:lvl>
    <w:lvl w:ilvl="8" w:tplc="1009001B" w:tentative="1">
      <w:start w:val="1"/>
      <w:numFmt w:val="lowerRoman"/>
      <w:lvlText w:val="%9."/>
      <w:lvlJc w:val="right"/>
      <w:pPr>
        <w:ind w:left="6687" w:hanging="180"/>
      </w:pPr>
      <w:rPr>
        <w:rFonts w:cs="Times New Roman"/>
      </w:rPr>
    </w:lvl>
  </w:abstractNum>
  <w:abstractNum w:abstractNumId="14" w15:restartNumberingAfterBreak="0">
    <w:nsid w:val="55B1798C"/>
    <w:multiLevelType w:val="hybridMultilevel"/>
    <w:tmpl w:val="BC1C3448"/>
    <w:lvl w:ilvl="0" w:tplc="0818E6A4">
      <w:start w:val="1"/>
      <w:numFmt w:val="upperLetter"/>
      <w:lvlText w:val="%1."/>
      <w:lvlJc w:val="left"/>
      <w:pPr>
        <w:ind w:left="720" w:hanging="360"/>
      </w:pPr>
      <w:rPr>
        <w:rFonts w:cs="Times New Roman"/>
        <w:b/>
        <w:bCs w:val="0"/>
      </w:rPr>
    </w:lvl>
    <w:lvl w:ilvl="1" w:tplc="4F7A6788">
      <w:start w:val="1"/>
      <w:numFmt w:val="lowerLetter"/>
      <w:lvlText w:val="%2."/>
      <w:lvlJc w:val="left"/>
      <w:pPr>
        <w:ind w:left="1440" w:hanging="360"/>
      </w:pPr>
      <w:rPr>
        <w:rFonts w:cs="Times New Roman"/>
      </w:rPr>
    </w:lvl>
    <w:lvl w:ilvl="2" w:tplc="363C11A0">
      <w:start w:val="1"/>
      <w:numFmt w:val="lowerRoman"/>
      <w:lvlText w:val="%3."/>
      <w:lvlJc w:val="right"/>
      <w:pPr>
        <w:ind w:left="2160" w:hanging="180"/>
      </w:pPr>
      <w:rPr>
        <w:rFonts w:cs="Times New Roman"/>
      </w:rPr>
    </w:lvl>
    <w:lvl w:ilvl="3" w:tplc="65FE3856">
      <w:start w:val="1"/>
      <w:numFmt w:val="decimal"/>
      <w:lvlText w:val="%4."/>
      <w:lvlJc w:val="left"/>
      <w:pPr>
        <w:ind w:left="2880" w:hanging="360"/>
      </w:pPr>
      <w:rPr>
        <w:rFonts w:cs="Times New Roman"/>
      </w:rPr>
    </w:lvl>
    <w:lvl w:ilvl="4" w:tplc="C48E0EE4">
      <w:start w:val="1"/>
      <w:numFmt w:val="lowerLetter"/>
      <w:lvlText w:val="%5."/>
      <w:lvlJc w:val="left"/>
      <w:pPr>
        <w:ind w:left="3600" w:hanging="360"/>
      </w:pPr>
      <w:rPr>
        <w:rFonts w:cs="Times New Roman"/>
      </w:rPr>
    </w:lvl>
    <w:lvl w:ilvl="5" w:tplc="858251C8">
      <w:start w:val="1"/>
      <w:numFmt w:val="lowerRoman"/>
      <w:lvlText w:val="%6."/>
      <w:lvlJc w:val="right"/>
      <w:pPr>
        <w:ind w:left="4320" w:hanging="180"/>
      </w:pPr>
      <w:rPr>
        <w:rFonts w:cs="Times New Roman"/>
      </w:rPr>
    </w:lvl>
    <w:lvl w:ilvl="6" w:tplc="F188B904">
      <w:start w:val="1"/>
      <w:numFmt w:val="decimal"/>
      <w:lvlText w:val="%7."/>
      <w:lvlJc w:val="left"/>
      <w:pPr>
        <w:ind w:left="5040" w:hanging="360"/>
      </w:pPr>
      <w:rPr>
        <w:rFonts w:cs="Times New Roman"/>
      </w:rPr>
    </w:lvl>
    <w:lvl w:ilvl="7" w:tplc="69C66824">
      <w:start w:val="1"/>
      <w:numFmt w:val="lowerLetter"/>
      <w:lvlText w:val="%8."/>
      <w:lvlJc w:val="left"/>
      <w:pPr>
        <w:ind w:left="5760" w:hanging="360"/>
      </w:pPr>
      <w:rPr>
        <w:rFonts w:cs="Times New Roman"/>
      </w:rPr>
    </w:lvl>
    <w:lvl w:ilvl="8" w:tplc="AAC00B08">
      <w:start w:val="1"/>
      <w:numFmt w:val="lowerRoman"/>
      <w:lvlText w:val="%9."/>
      <w:lvlJc w:val="right"/>
      <w:pPr>
        <w:ind w:left="6480" w:hanging="180"/>
      </w:pPr>
      <w:rPr>
        <w:rFonts w:cs="Times New Roman"/>
      </w:rPr>
    </w:lvl>
  </w:abstractNum>
  <w:abstractNum w:abstractNumId="15" w15:restartNumberingAfterBreak="0">
    <w:nsid w:val="599F7710"/>
    <w:multiLevelType w:val="hybridMultilevel"/>
    <w:tmpl w:val="1D280138"/>
    <w:lvl w:ilvl="0" w:tplc="3DF4418A">
      <w:start w:val="1"/>
      <w:numFmt w:val="decimal"/>
      <w:pStyle w:val="Heading3"/>
      <w:lvlText w:val="%1."/>
      <w:lvlJc w:val="left"/>
      <w:pPr>
        <w:ind w:left="720" w:hanging="360"/>
      </w:pPr>
      <w:rPr>
        <w:rFonts w:cs="Times New Roman" w:hint="default"/>
      </w:rPr>
    </w:lvl>
    <w:lvl w:ilvl="1" w:tplc="10090019" w:tentative="1">
      <w:start w:val="1"/>
      <w:numFmt w:val="lowerLetter"/>
      <w:lvlText w:val="%2."/>
      <w:lvlJc w:val="left"/>
      <w:pPr>
        <w:ind w:left="1440" w:hanging="360"/>
      </w:pPr>
      <w:rPr>
        <w:rFonts w:cs="Times New Roman"/>
      </w:rPr>
    </w:lvl>
    <w:lvl w:ilvl="2" w:tplc="1009001B" w:tentative="1">
      <w:start w:val="1"/>
      <w:numFmt w:val="lowerRoman"/>
      <w:lvlText w:val="%3."/>
      <w:lvlJc w:val="right"/>
      <w:pPr>
        <w:ind w:left="2160" w:hanging="180"/>
      </w:pPr>
      <w:rPr>
        <w:rFonts w:cs="Times New Roman"/>
      </w:rPr>
    </w:lvl>
    <w:lvl w:ilvl="3" w:tplc="1009000F" w:tentative="1">
      <w:start w:val="1"/>
      <w:numFmt w:val="decimal"/>
      <w:lvlText w:val="%4."/>
      <w:lvlJc w:val="left"/>
      <w:pPr>
        <w:ind w:left="2880" w:hanging="360"/>
      </w:pPr>
      <w:rPr>
        <w:rFonts w:cs="Times New Roman"/>
      </w:rPr>
    </w:lvl>
    <w:lvl w:ilvl="4" w:tplc="10090019" w:tentative="1">
      <w:start w:val="1"/>
      <w:numFmt w:val="lowerLetter"/>
      <w:lvlText w:val="%5."/>
      <w:lvlJc w:val="left"/>
      <w:pPr>
        <w:ind w:left="3600" w:hanging="360"/>
      </w:pPr>
      <w:rPr>
        <w:rFonts w:cs="Times New Roman"/>
      </w:rPr>
    </w:lvl>
    <w:lvl w:ilvl="5" w:tplc="1009001B" w:tentative="1">
      <w:start w:val="1"/>
      <w:numFmt w:val="lowerRoman"/>
      <w:lvlText w:val="%6."/>
      <w:lvlJc w:val="right"/>
      <w:pPr>
        <w:ind w:left="4320" w:hanging="180"/>
      </w:pPr>
      <w:rPr>
        <w:rFonts w:cs="Times New Roman"/>
      </w:rPr>
    </w:lvl>
    <w:lvl w:ilvl="6" w:tplc="1009000F" w:tentative="1">
      <w:start w:val="1"/>
      <w:numFmt w:val="decimal"/>
      <w:lvlText w:val="%7."/>
      <w:lvlJc w:val="left"/>
      <w:pPr>
        <w:ind w:left="5040" w:hanging="360"/>
      </w:pPr>
      <w:rPr>
        <w:rFonts w:cs="Times New Roman"/>
      </w:rPr>
    </w:lvl>
    <w:lvl w:ilvl="7" w:tplc="10090019" w:tentative="1">
      <w:start w:val="1"/>
      <w:numFmt w:val="lowerLetter"/>
      <w:lvlText w:val="%8."/>
      <w:lvlJc w:val="left"/>
      <w:pPr>
        <w:ind w:left="5760" w:hanging="360"/>
      </w:pPr>
      <w:rPr>
        <w:rFonts w:cs="Times New Roman"/>
      </w:rPr>
    </w:lvl>
    <w:lvl w:ilvl="8" w:tplc="1009001B" w:tentative="1">
      <w:start w:val="1"/>
      <w:numFmt w:val="lowerRoman"/>
      <w:lvlText w:val="%9."/>
      <w:lvlJc w:val="right"/>
      <w:pPr>
        <w:ind w:left="6480" w:hanging="180"/>
      </w:pPr>
      <w:rPr>
        <w:rFonts w:cs="Times New Roman"/>
      </w:rPr>
    </w:lvl>
  </w:abstractNum>
  <w:abstractNum w:abstractNumId="16" w15:restartNumberingAfterBreak="0">
    <w:nsid w:val="5E180578"/>
    <w:multiLevelType w:val="hybridMultilevel"/>
    <w:tmpl w:val="251AB796"/>
    <w:lvl w:ilvl="0" w:tplc="8862B882">
      <w:start w:val="1"/>
      <w:numFmt w:val="lowerLetter"/>
      <w:lvlText w:val="(%1)"/>
      <w:lvlJc w:val="left"/>
      <w:pPr>
        <w:ind w:left="927" w:hanging="360"/>
      </w:pPr>
      <w:rPr>
        <w:rFonts w:ascii="Times New Roman" w:hAnsi="Times New Roman" w:cs="Times New Roman" w:hint="default"/>
        <w:b w:val="0"/>
        <w:i w:val="0"/>
        <w:caps w:val="0"/>
        <w:strike w:val="0"/>
        <w:dstrike w:val="0"/>
        <w:vanish w:val="0"/>
        <w:color w:val="auto"/>
        <w:spacing w:val="0"/>
        <w:kern w:val="22"/>
        <w:position w:val="0"/>
        <w:sz w:val="22"/>
        <w:vertAlign w:val="baseline"/>
      </w:rPr>
    </w:lvl>
    <w:lvl w:ilvl="1" w:tplc="10090019" w:tentative="1">
      <w:start w:val="1"/>
      <w:numFmt w:val="lowerLetter"/>
      <w:lvlText w:val="%2."/>
      <w:lvlJc w:val="left"/>
      <w:pPr>
        <w:ind w:left="2466" w:hanging="360"/>
      </w:pPr>
      <w:rPr>
        <w:rFonts w:cs="Times New Roman"/>
      </w:rPr>
    </w:lvl>
    <w:lvl w:ilvl="2" w:tplc="1009001B" w:tentative="1">
      <w:start w:val="1"/>
      <w:numFmt w:val="lowerRoman"/>
      <w:lvlText w:val="%3."/>
      <w:lvlJc w:val="right"/>
      <w:pPr>
        <w:ind w:left="3186" w:hanging="180"/>
      </w:pPr>
      <w:rPr>
        <w:rFonts w:cs="Times New Roman"/>
      </w:rPr>
    </w:lvl>
    <w:lvl w:ilvl="3" w:tplc="1009000F" w:tentative="1">
      <w:start w:val="1"/>
      <w:numFmt w:val="decimal"/>
      <w:lvlText w:val="%4."/>
      <w:lvlJc w:val="left"/>
      <w:pPr>
        <w:ind w:left="3906" w:hanging="360"/>
      </w:pPr>
      <w:rPr>
        <w:rFonts w:cs="Times New Roman"/>
      </w:rPr>
    </w:lvl>
    <w:lvl w:ilvl="4" w:tplc="10090019" w:tentative="1">
      <w:start w:val="1"/>
      <w:numFmt w:val="lowerLetter"/>
      <w:lvlText w:val="%5."/>
      <w:lvlJc w:val="left"/>
      <w:pPr>
        <w:ind w:left="4626" w:hanging="360"/>
      </w:pPr>
      <w:rPr>
        <w:rFonts w:cs="Times New Roman"/>
      </w:rPr>
    </w:lvl>
    <w:lvl w:ilvl="5" w:tplc="1009001B" w:tentative="1">
      <w:start w:val="1"/>
      <w:numFmt w:val="lowerRoman"/>
      <w:lvlText w:val="%6."/>
      <w:lvlJc w:val="right"/>
      <w:pPr>
        <w:ind w:left="5346" w:hanging="180"/>
      </w:pPr>
      <w:rPr>
        <w:rFonts w:cs="Times New Roman"/>
      </w:rPr>
    </w:lvl>
    <w:lvl w:ilvl="6" w:tplc="1009000F" w:tentative="1">
      <w:start w:val="1"/>
      <w:numFmt w:val="decimal"/>
      <w:lvlText w:val="%7."/>
      <w:lvlJc w:val="left"/>
      <w:pPr>
        <w:ind w:left="6066" w:hanging="360"/>
      </w:pPr>
      <w:rPr>
        <w:rFonts w:cs="Times New Roman"/>
      </w:rPr>
    </w:lvl>
    <w:lvl w:ilvl="7" w:tplc="10090019" w:tentative="1">
      <w:start w:val="1"/>
      <w:numFmt w:val="lowerLetter"/>
      <w:lvlText w:val="%8."/>
      <w:lvlJc w:val="left"/>
      <w:pPr>
        <w:ind w:left="6786" w:hanging="360"/>
      </w:pPr>
      <w:rPr>
        <w:rFonts w:cs="Times New Roman"/>
      </w:rPr>
    </w:lvl>
    <w:lvl w:ilvl="8" w:tplc="1009001B" w:tentative="1">
      <w:start w:val="1"/>
      <w:numFmt w:val="lowerRoman"/>
      <w:lvlText w:val="%9."/>
      <w:lvlJc w:val="right"/>
      <w:pPr>
        <w:ind w:left="7506" w:hanging="180"/>
      </w:pPr>
      <w:rPr>
        <w:rFonts w:cs="Times New Roman"/>
      </w:rPr>
    </w:lvl>
  </w:abstractNum>
  <w:abstractNum w:abstractNumId="17" w15:restartNumberingAfterBreak="0">
    <w:nsid w:val="653730A5"/>
    <w:multiLevelType w:val="hybridMultilevel"/>
    <w:tmpl w:val="EF5A0DAC"/>
    <w:lvl w:ilvl="0" w:tplc="0B8E98AE">
      <w:start w:val="1"/>
      <w:numFmt w:val="decimal"/>
      <w:lvlText w:val="%1."/>
      <w:lvlJc w:val="left"/>
      <w:pPr>
        <w:ind w:left="1287" w:hanging="360"/>
      </w:pPr>
      <w:rPr>
        <w:rFonts w:cs="Times New Roman" w:hint="default"/>
      </w:rPr>
    </w:lvl>
    <w:lvl w:ilvl="1" w:tplc="10090019" w:tentative="1">
      <w:start w:val="1"/>
      <w:numFmt w:val="lowerLetter"/>
      <w:lvlText w:val="%2."/>
      <w:lvlJc w:val="left"/>
      <w:pPr>
        <w:ind w:left="2007" w:hanging="360"/>
      </w:pPr>
      <w:rPr>
        <w:rFonts w:cs="Times New Roman"/>
      </w:rPr>
    </w:lvl>
    <w:lvl w:ilvl="2" w:tplc="1009001B" w:tentative="1">
      <w:start w:val="1"/>
      <w:numFmt w:val="lowerRoman"/>
      <w:lvlText w:val="%3."/>
      <w:lvlJc w:val="right"/>
      <w:pPr>
        <w:ind w:left="2727" w:hanging="180"/>
      </w:pPr>
      <w:rPr>
        <w:rFonts w:cs="Times New Roman"/>
      </w:rPr>
    </w:lvl>
    <w:lvl w:ilvl="3" w:tplc="1009000F" w:tentative="1">
      <w:start w:val="1"/>
      <w:numFmt w:val="decimal"/>
      <w:lvlText w:val="%4."/>
      <w:lvlJc w:val="left"/>
      <w:pPr>
        <w:ind w:left="3447" w:hanging="360"/>
      </w:pPr>
      <w:rPr>
        <w:rFonts w:cs="Times New Roman"/>
      </w:rPr>
    </w:lvl>
    <w:lvl w:ilvl="4" w:tplc="10090019" w:tentative="1">
      <w:start w:val="1"/>
      <w:numFmt w:val="lowerLetter"/>
      <w:lvlText w:val="%5."/>
      <w:lvlJc w:val="left"/>
      <w:pPr>
        <w:ind w:left="4167" w:hanging="360"/>
      </w:pPr>
      <w:rPr>
        <w:rFonts w:cs="Times New Roman"/>
      </w:rPr>
    </w:lvl>
    <w:lvl w:ilvl="5" w:tplc="1009001B" w:tentative="1">
      <w:start w:val="1"/>
      <w:numFmt w:val="lowerRoman"/>
      <w:lvlText w:val="%6."/>
      <w:lvlJc w:val="right"/>
      <w:pPr>
        <w:ind w:left="4887" w:hanging="180"/>
      </w:pPr>
      <w:rPr>
        <w:rFonts w:cs="Times New Roman"/>
      </w:rPr>
    </w:lvl>
    <w:lvl w:ilvl="6" w:tplc="1009000F" w:tentative="1">
      <w:start w:val="1"/>
      <w:numFmt w:val="decimal"/>
      <w:lvlText w:val="%7."/>
      <w:lvlJc w:val="left"/>
      <w:pPr>
        <w:ind w:left="5607" w:hanging="360"/>
      </w:pPr>
      <w:rPr>
        <w:rFonts w:cs="Times New Roman"/>
      </w:rPr>
    </w:lvl>
    <w:lvl w:ilvl="7" w:tplc="10090019" w:tentative="1">
      <w:start w:val="1"/>
      <w:numFmt w:val="lowerLetter"/>
      <w:lvlText w:val="%8."/>
      <w:lvlJc w:val="left"/>
      <w:pPr>
        <w:ind w:left="6327" w:hanging="360"/>
      </w:pPr>
      <w:rPr>
        <w:rFonts w:cs="Times New Roman"/>
      </w:rPr>
    </w:lvl>
    <w:lvl w:ilvl="8" w:tplc="1009001B" w:tentative="1">
      <w:start w:val="1"/>
      <w:numFmt w:val="lowerRoman"/>
      <w:lvlText w:val="%9."/>
      <w:lvlJc w:val="right"/>
      <w:pPr>
        <w:ind w:left="7047" w:hanging="180"/>
      </w:pPr>
      <w:rPr>
        <w:rFonts w:cs="Times New Roman"/>
      </w:rPr>
    </w:lvl>
  </w:abstractNum>
  <w:abstractNum w:abstractNumId="18" w15:restartNumberingAfterBreak="0">
    <w:nsid w:val="65D441B4"/>
    <w:multiLevelType w:val="hybridMultilevel"/>
    <w:tmpl w:val="7C10E144"/>
    <w:lvl w:ilvl="0" w:tplc="2DEE47E4">
      <w:start w:val="1"/>
      <w:numFmt w:val="decimal"/>
      <w:lvlText w:val="%1."/>
      <w:lvlJc w:val="left"/>
      <w:pPr>
        <w:ind w:left="927" w:hanging="360"/>
      </w:pPr>
      <w:rPr>
        <w:rFonts w:cs="Times New Roman" w:hint="default"/>
      </w:rPr>
    </w:lvl>
    <w:lvl w:ilvl="1" w:tplc="10090019" w:tentative="1">
      <w:start w:val="1"/>
      <w:numFmt w:val="lowerLetter"/>
      <w:lvlText w:val="%2."/>
      <w:lvlJc w:val="left"/>
      <w:pPr>
        <w:ind w:left="1647" w:hanging="360"/>
      </w:pPr>
      <w:rPr>
        <w:rFonts w:cs="Times New Roman"/>
      </w:rPr>
    </w:lvl>
    <w:lvl w:ilvl="2" w:tplc="1009001B" w:tentative="1">
      <w:start w:val="1"/>
      <w:numFmt w:val="lowerRoman"/>
      <w:lvlText w:val="%3."/>
      <w:lvlJc w:val="right"/>
      <w:pPr>
        <w:ind w:left="2367" w:hanging="180"/>
      </w:pPr>
      <w:rPr>
        <w:rFonts w:cs="Times New Roman"/>
      </w:rPr>
    </w:lvl>
    <w:lvl w:ilvl="3" w:tplc="1009000F" w:tentative="1">
      <w:start w:val="1"/>
      <w:numFmt w:val="decimal"/>
      <w:lvlText w:val="%4."/>
      <w:lvlJc w:val="left"/>
      <w:pPr>
        <w:ind w:left="3087" w:hanging="360"/>
      </w:pPr>
      <w:rPr>
        <w:rFonts w:cs="Times New Roman"/>
      </w:rPr>
    </w:lvl>
    <w:lvl w:ilvl="4" w:tplc="10090019" w:tentative="1">
      <w:start w:val="1"/>
      <w:numFmt w:val="lowerLetter"/>
      <w:lvlText w:val="%5."/>
      <w:lvlJc w:val="left"/>
      <w:pPr>
        <w:ind w:left="3807" w:hanging="360"/>
      </w:pPr>
      <w:rPr>
        <w:rFonts w:cs="Times New Roman"/>
      </w:rPr>
    </w:lvl>
    <w:lvl w:ilvl="5" w:tplc="1009001B" w:tentative="1">
      <w:start w:val="1"/>
      <w:numFmt w:val="lowerRoman"/>
      <w:lvlText w:val="%6."/>
      <w:lvlJc w:val="right"/>
      <w:pPr>
        <w:ind w:left="4527" w:hanging="180"/>
      </w:pPr>
      <w:rPr>
        <w:rFonts w:cs="Times New Roman"/>
      </w:rPr>
    </w:lvl>
    <w:lvl w:ilvl="6" w:tplc="1009000F" w:tentative="1">
      <w:start w:val="1"/>
      <w:numFmt w:val="decimal"/>
      <w:lvlText w:val="%7."/>
      <w:lvlJc w:val="left"/>
      <w:pPr>
        <w:ind w:left="5247" w:hanging="360"/>
      </w:pPr>
      <w:rPr>
        <w:rFonts w:cs="Times New Roman"/>
      </w:rPr>
    </w:lvl>
    <w:lvl w:ilvl="7" w:tplc="10090019" w:tentative="1">
      <w:start w:val="1"/>
      <w:numFmt w:val="lowerLetter"/>
      <w:lvlText w:val="%8."/>
      <w:lvlJc w:val="left"/>
      <w:pPr>
        <w:ind w:left="5967" w:hanging="360"/>
      </w:pPr>
      <w:rPr>
        <w:rFonts w:cs="Times New Roman"/>
      </w:rPr>
    </w:lvl>
    <w:lvl w:ilvl="8" w:tplc="1009001B" w:tentative="1">
      <w:start w:val="1"/>
      <w:numFmt w:val="lowerRoman"/>
      <w:lvlText w:val="%9."/>
      <w:lvlJc w:val="right"/>
      <w:pPr>
        <w:ind w:left="6687" w:hanging="180"/>
      </w:pPr>
      <w:rPr>
        <w:rFonts w:cs="Times New Roman"/>
      </w:rPr>
    </w:lvl>
  </w:abstractNum>
  <w:abstractNum w:abstractNumId="19" w15:restartNumberingAfterBreak="0">
    <w:nsid w:val="68B70991"/>
    <w:multiLevelType w:val="hybridMultilevel"/>
    <w:tmpl w:val="94FCF8F8"/>
    <w:lvl w:ilvl="0" w:tplc="3CDE7230">
      <w:start w:val="1"/>
      <w:numFmt w:val="decimal"/>
      <w:pStyle w:val="Para10"/>
      <w:lvlText w:val="%1."/>
      <w:lvlJc w:val="left"/>
      <w:pPr>
        <w:ind w:left="2487" w:hanging="360"/>
      </w:pPr>
      <w:rPr>
        <w:rFonts w:cs="Times New Roman" w:hint="default"/>
        <w:b w:val="0"/>
        <w:bCs w:val="0"/>
      </w:rPr>
    </w:lvl>
    <w:lvl w:ilvl="1" w:tplc="5540CAA8">
      <w:start w:val="1"/>
      <w:numFmt w:val="lowerLetter"/>
      <w:lvlText w:val="(%2)"/>
      <w:lvlJc w:val="left"/>
      <w:pPr>
        <w:ind w:left="1647" w:hanging="360"/>
      </w:pPr>
      <w:rPr>
        <w:rFonts w:cs="Times New Roman" w:hint="default"/>
      </w:rPr>
    </w:lvl>
    <w:lvl w:ilvl="2" w:tplc="1009001B" w:tentative="1">
      <w:start w:val="1"/>
      <w:numFmt w:val="lowerRoman"/>
      <w:lvlText w:val="%3."/>
      <w:lvlJc w:val="right"/>
      <w:pPr>
        <w:ind w:left="2367" w:hanging="180"/>
      </w:pPr>
      <w:rPr>
        <w:rFonts w:cs="Times New Roman"/>
      </w:rPr>
    </w:lvl>
    <w:lvl w:ilvl="3" w:tplc="B4581F40">
      <w:start w:val="1"/>
      <w:numFmt w:val="decimal"/>
      <w:lvlText w:val="%4."/>
      <w:lvlJc w:val="left"/>
      <w:pPr>
        <w:ind w:left="1710" w:hanging="360"/>
      </w:pPr>
      <w:rPr>
        <w:rFonts w:cs="Times New Roman"/>
        <w:i w:val="0"/>
        <w:iCs w:val="0"/>
      </w:rPr>
    </w:lvl>
    <w:lvl w:ilvl="4" w:tplc="10090019">
      <w:start w:val="1"/>
      <w:numFmt w:val="lowerLetter"/>
      <w:lvlText w:val="%5."/>
      <w:lvlJc w:val="left"/>
      <w:pPr>
        <w:ind w:left="3807" w:hanging="360"/>
      </w:pPr>
      <w:rPr>
        <w:rFonts w:cs="Times New Roman"/>
      </w:rPr>
    </w:lvl>
    <w:lvl w:ilvl="5" w:tplc="1009001B" w:tentative="1">
      <w:start w:val="1"/>
      <w:numFmt w:val="lowerRoman"/>
      <w:lvlText w:val="%6."/>
      <w:lvlJc w:val="right"/>
      <w:pPr>
        <w:ind w:left="4527" w:hanging="180"/>
      </w:pPr>
      <w:rPr>
        <w:rFonts w:cs="Times New Roman"/>
      </w:rPr>
    </w:lvl>
    <w:lvl w:ilvl="6" w:tplc="1009000F" w:tentative="1">
      <w:start w:val="1"/>
      <w:numFmt w:val="decimal"/>
      <w:lvlText w:val="%7."/>
      <w:lvlJc w:val="left"/>
      <w:pPr>
        <w:ind w:left="5247" w:hanging="360"/>
      </w:pPr>
      <w:rPr>
        <w:rFonts w:cs="Times New Roman"/>
      </w:rPr>
    </w:lvl>
    <w:lvl w:ilvl="7" w:tplc="10090019" w:tentative="1">
      <w:start w:val="1"/>
      <w:numFmt w:val="lowerLetter"/>
      <w:lvlText w:val="%8."/>
      <w:lvlJc w:val="left"/>
      <w:pPr>
        <w:ind w:left="5967" w:hanging="360"/>
      </w:pPr>
      <w:rPr>
        <w:rFonts w:cs="Times New Roman"/>
      </w:rPr>
    </w:lvl>
    <w:lvl w:ilvl="8" w:tplc="1009001B" w:tentative="1">
      <w:start w:val="1"/>
      <w:numFmt w:val="lowerRoman"/>
      <w:lvlText w:val="%9."/>
      <w:lvlJc w:val="right"/>
      <w:pPr>
        <w:ind w:left="6687" w:hanging="180"/>
      </w:pPr>
      <w:rPr>
        <w:rFonts w:cs="Times New Roman"/>
      </w:rPr>
    </w:lvl>
  </w:abstractNum>
  <w:abstractNum w:abstractNumId="20" w15:restartNumberingAfterBreak="0">
    <w:nsid w:val="707050A9"/>
    <w:multiLevelType w:val="hybridMultilevel"/>
    <w:tmpl w:val="73AC1586"/>
    <w:lvl w:ilvl="0" w:tplc="377CF006">
      <w:start w:val="1"/>
      <w:numFmt w:val="decimal"/>
      <w:lvlText w:val="%1)"/>
      <w:lvlJc w:val="left"/>
      <w:pPr>
        <w:ind w:left="1080" w:hanging="360"/>
      </w:pPr>
      <w:rPr>
        <w:rFonts w:cs="Times New Roman"/>
      </w:rPr>
    </w:lvl>
    <w:lvl w:ilvl="1" w:tplc="D48A2880">
      <w:start w:val="1"/>
      <w:numFmt w:val="decimal"/>
      <w:lvlText w:val="%2)"/>
      <w:lvlJc w:val="left"/>
      <w:pPr>
        <w:ind w:left="1080" w:hanging="360"/>
      </w:pPr>
      <w:rPr>
        <w:rFonts w:cs="Times New Roman"/>
      </w:rPr>
    </w:lvl>
    <w:lvl w:ilvl="2" w:tplc="2C8417CA">
      <w:start w:val="1"/>
      <w:numFmt w:val="decimal"/>
      <w:lvlText w:val="%3)"/>
      <w:lvlJc w:val="left"/>
      <w:pPr>
        <w:ind w:left="1080" w:hanging="360"/>
      </w:pPr>
      <w:rPr>
        <w:rFonts w:cs="Times New Roman"/>
      </w:rPr>
    </w:lvl>
    <w:lvl w:ilvl="3" w:tplc="F918C5EE">
      <w:start w:val="1"/>
      <w:numFmt w:val="decimal"/>
      <w:lvlText w:val="%4)"/>
      <w:lvlJc w:val="left"/>
      <w:pPr>
        <w:ind w:left="1080" w:hanging="360"/>
      </w:pPr>
      <w:rPr>
        <w:rFonts w:cs="Times New Roman"/>
      </w:rPr>
    </w:lvl>
    <w:lvl w:ilvl="4" w:tplc="C9E87DF0">
      <w:start w:val="1"/>
      <w:numFmt w:val="decimal"/>
      <w:lvlText w:val="%5)"/>
      <w:lvlJc w:val="left"/>
      <w:pPr>
        <w:ind w:left="1080" w:hanging="360"/>
      </w:pPr>
      <w:rPr>
        <w:rFonts w:cs="Times New Roman"/>
      </w:rPr>
    </w:lvl>
    <w:lvl w:ilvl="5" w:tplc="065C5924">
      <w:start w:val="1"/>
      <w:numFmt w:val="decimal"/>
      <w:lvlText w:val="%6)"/>
      <w:lvlJc w:val="left"/>
      <w:pPr>
        <w:ind w:left="1080" w:hanging="360"/>
      </w:pPr>
      <w:rPr>
        <w:rFonts w:cs="Times New Roman"/>
      </w:rPr>
    </w:lvl>
    <w:lvl w:ilvl="6" w:tplc="4E72E570">
      <w:start w:val="1"/>
      <w:numFmt w:val="decimal"/>
      <w:lvlText w:val="%7)"/>
      <w:lvlJc w:val="left"/>
      <w:pPr>
        <w:ind w:left="1080" w:hanging="360"/>
      </w:pPr>
      <w:rPr>
        <w:rFonts w:cs="Times New Roman"/>
      </w:rPr>
    </w:lvl>
    <w:lvl w:ilvl="7" w:tplc="8182D8D4">
      <w:start w:val="1"/>
      <w:numFmt w:val="decimal"/>
      <w:lvlText w:val="%8)"/>
      <w:lvlJc w:val="left"/>
      <w:pPr>
        <w:ind w:left="1080" w:hanging="360"/>
      </w:pPr>
      <w:rPr>
        <w:rFonts w:cs="Times New Roman"/>
      </w:rPr>
    </w:lvl>
    <w:lvl w:ilvl="8" w:tplc="F1CEFBCE">
      <w:start w:val="1"/>
      <w:numFmt w:val="decimal"/>
      <w:lvlText w:val="%9)"/>
      <w:lvlJc w:val="left"/>
      <w:pPr>
        <w:ind w:left="1080" w:hanging="360"/>
      </w:pPr>
      <w:rPr>
        <w:rFonts w:cs="Times New Roman"/>
      </w:rPr>
    </w:lvl>
  </w:abstractNum>
  <w:abstractNum w:abstractNumId="21" w15:restartNumberingAfterBreak="0">
    <w:nsid w:val="74F368B8"/>
    <w:multiLevelType w:val="hybridMultilevel"/>
    <w:tmpl w:val="CB8E8B36"/>
    <w:lvl w:ilvl="0" w:tplc="43B25192">
      <w:start w:val="1"/>
      <w:numFmt w:val="upperLetter"/>
      <w:lvlText w:val="%1."/>
      <w:lvlJc w:val="left"/>
      <w:pPr>
        <w:ind w:left="927" w:hanging="360"/>
      </w:pPr>
      <w:rPr>
        <w:rFonts w:cs="Times New Roman" w:hint="default"/>
      </w:rPr>
    </w:lvl>
    <w:lvl w:ilvl="1" w:tplc="10090019" w:tentative="1">
      <w:start w:val="1"/>
      <w:numFmt w:val="lowerLetter"/>
      <w:lvlText w:val="%2."/>
      <w:lvlJc w:val="left"/>
      <w:pPr>
        <w:ind w:left="1647" w:hanging="360"/>
      </w:pPr>
      <w:rPr>
        <w:rFonts w:cs="Times New Roman"/>
      </w:rPr>
    </w:lvl>
    <w:lvl w:ilvl="2" w:tplc="1009001B" w:tentative="1">
      <w:start w:val="1"/>
      <w:numFmt w:val="lowerRoman"/>
      <w:lvlText w:val="%3."/>
      <w:lvlJc w:val="right"/>
      <w:pPr>
        <w:ind w:left="2367" w:hanging="180"/>
      </w:pPr>
      <w:rPr>
        <w:rFonts w:cs="Times New Roman"/>
      </w:rPr>
    </w:lvl>
    <w:lvl w:ilvl="3" w:tplc="1009000F" w:tentative="1">
      <w:start w:val="1"/>
      <w:numFmt w:val="decimal"/>
      <w:lvlText w:val="%4."/>
      <w:lvlJc w:val="left"/>
      <w:pPr>
        <w:ind w:left="3087" w:hanging="360"/>
      </w:pPr>
      <w:rPr>
        <w:rFonts w:cs="Times New Roman"/>
      </w:rPr>
    </w:lvl>
    <w:lvl w:ilvl="4" w:tplc="10090019" w:tentative="1">
      <w:start w:val="1"/>
      <w:numFmt w:val="lowerLetter"/>
      <w:lvlText w:val="%5."/>
      <w:lvlJc w:val="left"/>
      <w:pPr>
        <w:ind w:left="3807" w:hanging="360"/>
      </w:pPr>
      <w:rPr>
        <w:rFonts w:cs="Times New Roman"/>
      </w:rPr>
    </w:lvl>
    <w:lvl w:ilvl="5" w:tplc="1009001B" w:tentative="1">
      <w:start w:val="1"/>
      <w:numFmt w:val="lowerRoman"/>
      <w:lvlText w:val="%6."/>
      <w:lvlJc w:val="right"/>
      <w:pPr>
        <w:ind w:left="4527" w:hanging="180"/>
      </w:pPr>
      <w:rPr>
        <w:rFonts w:cs="Times New Roman"/>
      </w:rPr>
    </w:lvl>
    <w:lvl w:ilvl="6" w:tplc="1009000F" w:tentative="1">
      <w:start w:val="1"/>
      <w:numFmt w:val="decimal"/>
      <w:lvlText w:val="%7."/>
      <w:lvlJc w:val="left"/>
      <w:pPr>
        <w:ind w:left="5247" w:hanging="360"/>
      </w:pPr>
      <w:rPr>
        <w:rFonts w:cs="Times New Roman"/>
      </w:rPr>
    </w:lvl>
    <w:lvl w:ilvl="7" w:tplc="10090019" w:tentative="1">
      <w:start w:val="1"/>
      <w:numFmt w:val="lowerLetter"/>
      <w:lvlText w:val="%8."/>
      <w:lvlJc w:val="left"/>
      <w:pPr>
        <w:ind w:left="5967" w:hanging="360"/>
      </w:pPr>
      <w:rPr>
        <w:rFonts w:cs="Times New Roman"/>
      </w:rPr>
    </w:lvl>
    <w:lvl w:ilvl="8" w:tplc="1009001B" w:tentative="1">
      <w:start w:val="1"/>
      <w:numFmt w:val="lowerRoman"/>
      <w:lvlText w:val="%9."/>
      <w:lvlJc w:val="right"/>
      <w:pPr>
        <w:ind w:left="6687" w:hanging="180"/>
      </w:pPr>
      <w:rPr>
        <w:rFonts w:cs="Times New Roman"/>
      </w:rPr>
    </w:lvl>
  </w:abstractNum>
  <w:abstractNum w:abstractNumId="22" w15:restartNumberingAfterBreak="0">
    <w:nsid w:val="75A747F9"/>
    <w:multiLevelType w:val="hybridMultilevel"/>
    <w:tmpl w:val="A95A72F8"/>
    <w:lvl w:ilvl="0" w:tplc="5540CAA8">
      <w:start w:val="1"/>
      <w:numFmt w:val="lowerLetter"/>
      <w:lvlText w:val="(%1)"/>
      <w:lvlJc w:val="left"/>
      <w:pPr>
        <w:ind w:left="1287" w:hanging="360"/>
      </w:pPr>
      <w:rPr>
        <w:rFonts w:cs="Times New Roman" w:hint="default"/>
      </w:rPr>
    </w:lvl>
    <w:lvl w:ilvl="1" w:tplc="04090019" w:tentative="1">
      <w:start w:val="1"/>
      <w:numFmt w:val="lowerLetter"/>
      <w:lvlText w:val="%2."/>
      <w:lvlJc w:val="left"/>
      <w:pPr>
        <w:ind w:left="2007" w:hanging="360"/>
      </w:pPr>
      <w:rPr>
        <w:rFonts w:cs="Times New Roman"/>
      </w:rPr>
    </w:lvl>
    <w:lvl w:ilvl="2" w:tplc="0409001B" w:tentative="1">
      <w:start w:val="1"/>
      <w:numFmt w:val="lowerRoman"/>
      <w:lvlText w:val="%3."/>
      <w:lvlJc w:val="right"/>
      <w:pPr>
        <w:ind w:left="2727" w:hanging="180"/>
      </w:pPr>
      <w:rPr>
        <w:rFonts w:cs="Times New Roman"/>
      </w:rPr>
    </w:lvl>
    <w:lvl w:ilvl="3" w:tplc="0409000F" w:tentative="1">
      <w:start w:val="1"/>
      <w:numFmt w:val="decimal"/>
      <w:lvlText w:val="%4."/>
      <w:lvlJc w:val="left"/>
      <w:pPr>
        <w:ind w:left="3447" w:hanging="360"/>
      </w:pPr>
      <w:rPr>
        <w:rFonts w:cs="Times New Roman"/>
      </w:rPr>
    </w:lvl>
    <w:lvl w:ilvl="4" w:tplc="04090019" w:tentative="1">
      <w:start w:val="1"/>
      <w:numFmt w:val="lowerLetter"/>
      <w:lvlText w:val="%5."/>
      <w:lvlJc w:val="left"/>
      <w:pPr>
        <w:ind w:left="4167" w:hanging="360"/>
      </w:pPr>
      <w:rPr>
        <w:rFonts w:cs="Times New Roman"/>
      </w:rPr>
    </w:lvl>
    <w:lvl w:ilvl="5" w:tplc="0409001B" w:tentative="1">
      <w:start w:val="1"/>
      <w:numFmt w:val="lowerRoman"/>
      <w:lvlText w:val="%6."/>
      <w:lvlJc w:val="right"/>
      <w:pPr>
        <w:ind w:left="4887" w:hanging="180"/>
      </w:pPr>
      <w:rPr>
        <w:rFonts w:cs="Times New Roman"/>
      </w:rPr>
    </w:lvl>
    <w:lvl w:ilvl="6" w:tplc="0409000F" w:tentative="1">
      <w:start w:val="1"/>
      <w:numFmt w:val="decimal"/>
      <w:lvlText w:val="%7."/>
      <w:lvlJc w:val="left"/>
      <w:pPr>
        <w:ind w:left="5607" w:hanging="360"/>
      </w:pPr>
      <w:rPr>
        <w:rFonts w:cs="Times New Roman"/>
      </w:rPr>
    </w:lvl>
    <w:lvl w:ilvl="7" w:tplc="04090019" w:tentative="1">
      <w:start w:val="1"/>
      <w:numFmt w:val="lowerLetter"/>
      <w:lvlText w:val="%8."/>
      <w:lvlJc w:val="left"/>
      <w:pPr>
        <w:ind w:left="6327" w:hanging="360"/>
      </w:pPr>
      <w:rPr>
        <w:rFonts w:cs="Times New Roman"/>
      </w:rPr>
    </w:lvl>
    <w:lvl w:ilvl="8" w:tplc="0409001B" w:tentative="1">
      <w:start w:val="1"/>
      <w:numFmt w:val="lowerRoman"/>
      <w:lvlText w:val="%9."/>
      <w:lvlJc w:val="right"/>
      <w:pPr>
        <w:ind w:left="7047" w:hanging="180"/>
      </w:pPr>
      <w:rPr>
        <w:rFonts w:cs="Times New Roman"/>
      </w:rPr>
    </w:lvl>
  </w:abstractNum>
  <w:abstractNum w:abstractNumId="23" w15:restartNumberingAfterBreak="0">
    <w:nsid w:val="76B726FE"/>
    <w:multiLevelType w:val="hybridMultilevel"/>
    <w:tmpl w:val="F11202DC"/>
    <w:lvl w:ilvl="0" w:tplc="08A60150">
      <w:start w:val="1"/>
      <w:numFmt w:val="upperLetter"/>
      <w:lvlText w:val="%1."/>
      <w:lvlJc w:val="left"/>
      <w:pPr>
        <w:ind w:left="720" w:hanging="360"/>
      </w:pPr>
      <w:rPr>
        <w:rFonts w:cs="Times New Roman"/>
        <w:b/>
        <w:bCs/>
      </w:rPr>
    </w:lvl>
    <w:lvl w:ilvl="1" w:tplc="10090019">
      <w:start w:val="1"/>
      <w:numFmt w:val="lowerLetter"/>
      <w:lvlText w:val="%2."/>
      <w:lvlJc w:val="left"/>
      <w:pPr>
        <w:ind w:left="1440" w:hanging="360"/>
      </w:pPr>
      <w:rPr>
        <w:rFonts w:cs="Times New Roman"/>
      </w:rPr>
    </w:lvl>
    <w:lvl w:ilvl="2" w:tplc="1009001B">
      <w:start w:val="1"/>
      <w:numFmt w:val="lowerRoman"/>
      <w:lvlText w:val="%3."/>
      <w:lvlJc w:val="right"/>
      <w:pPr>
        <w:ind w:left="2160" w:hanging="180"/>
      </w:pPr>
      <w:rPr>
        <w:rFonts w:cs="Times New Roman"/>
      </w:rPr>
    </w:lvl>
    <w:lvl w:ilvl="3" w:tplc="1009000F">
      <w:start w:val="1"/>
      <w:numFmt w:val="decimal"/>
      <w:lvlText w:val="%4."/>
      <w:lvlJc w:val="left"/>
      <w:pPr>
        <w:ind w:left="2880" w:hanging="360"/>
      </w:pPr>
      <w:rPr>
        <w:rFonts w:cs="Times New Roman"/>
      </w:rPr>
    </w:lvl>
    <w:lvl w:ilvl="4" w:tplc="10090019">
      <w:start w:val="1"/>
      <w:numFmt w:val="lowerLetter"/>
      <w:lvlText w:val="%5."/>
      <w:lvlJc w:val="left"/>
      <w:pPr>
        <w:ind w:left="3600" w:hanging="360"/>
      </w:pPr>
      <w:rPr>
        <w:rFonts w:cs="Times New Roman"/>
      </w:rPr>
    </w:lvl>
    <w:lvl w:ilvl="5" w:tplc="1009001B">
      <w:start w:val="1"/>
      <w:numFmt w:val="lowerRoman"/>
      <w:lvlText w:val="%6."/>
      <w:lvlJc w:val="right"/>
      <w:pPr>
        <w:ind w:left="4320" w:hanging="180"/>
      </w:pPr>
      <w:rPr>
        <w:rFonts w:cs="Times New Roman"/>
      </w:rPr>
    </w:lvl>
    <w:lvl w:ilvl="6" w:tplc="1009000F">
      <w:start w:val="1"/>
      <w:numFmt w:val="decimal"/>
      <w:lvlText w:val="%7."/>
      <w:lvlJc w:val="left"/>
      <w:pPr>
        <w:ind w:left="5040" w:hanging="360"/>
      </w:pPr>
      <w:rPr>
        <w:rFonts w:cs="Times New Roman"/>
      </w:rPr>
    </w:lvl>
    <w:lvl w:ilvl="7" w:tplc="10090019">
      <w:start w:val="1"/>
      <w:numFmt w:val="lowerLetter"/>
      <w:lvlText w:val="%8."/>
      <w:lvlJc w:val="left"/>
      <w:pPr>
        <w:ind w:left="5760" w:hanging="360"/>
      </w:pPr>
      <w:rPr>
        <w:rFonts w:cs="Times New Roman"/>
      </w:rPr>
    </w:lvl>
    <w:lvl w:ilvl="8" w:tplc="1009001B">
      <w:start w:val="1"/>
      <w:numFmt w:val="lowerRoman"/>
      <w:lvlText w:val="%9."/>
      <w:lvlJc w:val="right"/>
      <w:pPr>
        <w:ind w:left="6480" w:hanging="180"/>
      </w:pPr>
      <w:rPr>
        <w:rFonts w:cs="Times New Roman"/>
      </w:rPr>
    </w:lvl>
  </w:abstractNum>
  <w:abstractNum w:abstractNumId="24" w15:restartNumberingAfterBreak="0">
    <w:nsid w:val="7BFF494A"/>
    <w:multiLevelType w:val="hybridMultilevel"/>
    <w:tmpl w:val="B8C27F8A"/>
    <w:lvl w:ilvl="0" w:tplc="48DEED9E">
      <w:start w:val="1"/>
      <w:numFmt w:val="lowerRoman"/>
      <w:lvlText w:val="(%1)"/>
      <w:lvlJc w:val="left"/>
      <w:pPr>
        <w:ind w:left="720" w:hanging="360"/>
      </w:pPr>
      <w:rPr>
        <w:rFonts w:cs="Times New Roman" w:hint="default"/>
      </w:rPr>
    </w:lvl>
    <w:lvl w:ilvl="1" w:tplc="10090019" w:tentative="1">
      <w:start w:val="1"/>
      <w:numFmt w:val="lowerLetter"/>
      <w:lvlText w:val="%2."/>
      <w:lvlJc w:val="left"/>
      <w:pPr>
        <w:ind w:left="1440" w:hanging="360"/>
      </w:pPr>
      <w:rPr>
        <w:rFonts w:cs="Times New Roman"/>
      </w:rPr>
    </w:lvl>
    <w:lvl w:ilvl="2" w:tplc="1009001B" w:tentative="1">
      <w:start w:val="1"/>
      <w:numFmt w:val="lowerRoman"/>
      <w:lvlText w:val="%3."/>
      <w:lvlJc w:val="right"/>
      <w:pPr>
        <w:ind w:left="2160" w:hanging="180"/>
      </w:pPr>
      <w:rPr>
        <w:rFonts w:cs="Times New Roman"/>
      </w:rPr>
    </w:lvl>
    <w:lvl w:ilvl="3" w:tplc="1009000F" w:tentative="1">
      <w:start w:val="1"/>
      <w:numFmt w:val="decimal"/>
      <w:lvlText w:val="%4."/>
      <w:lvlJc w:val="left"/>
      <w:pPr>
        <w:ind w:left="2880" w:hanging="360"/>
      </w:pPr>
      <w:rPr>
        <w:rFonts w:cs="Times New Roman"/>
      </w:rPr>
    </w:lvl>
    <w:lvl w:ilvl="4" w:tplc="10090019" w:tentative="1">
      <w:start w:val="1"/>
      <w:numFmt w:val="lowerLetter"/>
      <w:lvlText w:val="%5."/>
      <w:lvlJc w:val="left"/>
      <w:pPr>
        <w:ind w:left="3600" w:hanging="360"/>
      </w:pPr>
      <w:rPr>
        <w:rFonts w:cs="Times New Roman"/>
      </w:rPr>
    </w:lvl>
    <w:lvl w:ilvl="5" w:tplc="1009001B" w:tentative="1">
      <w:start w:val="1"/>
      <w:numFmt w:val="lowerRoman"/>
      <w:lvlText w:val="%6."/>
      <w:lvlJc w:val="right"/>
      <w:pPr>
        <w:ind w:left="4320" w:hanging="180"/>
      </w:pPr>
      <w:rPr>
        <w:rFonts w:cs="Times New Roman"/>
      </w:rPr>
    </w:lvl>
    <w:lvl w:ilvl="6" w:tplc="1009000F" w:tentative="1">
      <w:start w:val="1"/>
      <w:numFmt w:val="decimal"/>
      <w:lvlText w:val="%7."/>
      <w:lvlJc w:val="left"/>
      <w:pPr>
        <w:ind w:left="5040" w:hanging="360"/>
      </w:pPr>
      <w:rPr>
        <w:rFonts w:cs="Times New Roman"/>
      </w:rPr>
    </w:lvl>
    <w:lvl w:ilvl="7" w:tplc="10090019" w:tentative="1">
      <w:start w:val="1"/>
      <w:numFmt w:val="lowerLetter"/>
      <w:lvlText w:val="%8."/>
      <w:lvlJc w:val="left"/>
      <w:pPr>
        <w:ind w:left="5760" w:hanging="360"/>
      </w:pPr>
      <w:rPr>
        <w:rFonts w:cs="Times New Roman"/>
      </w:rPr>
    </w:lvl>
    <w:lvl w:ilvl="8" w:tplc="1009001B" w:tentative="1">
      <w:start w:val="1"/>
      <w:numFmt w:val="lowerRoman"/>
      <w:lvlText w:val="%9."/>
      <w:lvlJc w:val="right"/>
      <w:pPr>
        <w:ind w:left="6480" w:hanging="180"/>
      </w:pPr>
      <w:rPr>
        <w:rFonts w:cs="Times New Roman"/>
      </w:rPr>
    </w:lvl>
  </w:abstractNum>
  <w:abstractNum w:abstractNumId="25" w15:restartNumberingAfterBreak="0">
    <w:nsid w:val="7D0569B6"/>
    <w:multiLevelType w:val="hybridMultilevel"/>
    <w:tmpl w:val="6118466A"/>
    <w:lvl w:ilvl="0" w:tplc="5540CAA8">
      <w:start w:val="1"/>
      <w:numFmt w:val="lowerLetter"/>
      <w:lvlText w:val="(%1)"/>
      <w:lvlJc w:val="left"/>
      <w:pPr>
        <w:ind w:left="2430" w:hanging="360"/>
      </w:pPr>
      <w:rPr>
        <w:rFonts w:cs="Times New Roman" w:hint="default"/>
      </w:rPr>
    </w:lvl>
    <w:lvl w:ilvl="1" w:tplc="04090019" w:tentative="1">
      <w:start w:val="1"/>
      <w:numFmt w:val="lowerLetter"/>
      <w:lvlText w:val="%2."/>
      <w:lvlJc w:val="left"/>
      <w:pPr>
        <w:ind w:left="3150" w:hanging="360"/>
      </w:pPr>
      <w:rPr>
        <w:rFonts w:cs="Times New Roman"/>
      </w:rPr>
    </w:lvl>
    <w:lvl w:ilvl="2" w:tplc="0409001B" w:tentative="1">
      <w:start w:val="1"/>
      <w:numFmt w:val="lowerRoman"/>
      <w:lvlText w:val="%3."/>
      <w:lvlJc w:val="right"/>
      <w:pPr>
        <w:ind w:left="3870" w:hanging="180"/>
      </w:pPr>
      <w:rPr>
        <w:rFonts w:cs="Times New Roman"/>
      </w:rPr>
    </w:lvl>
    <w:lvl w:ilvl="3" w:tplc="0409000F" w:tentative="1">
      <w:start w:val="1"/>
      <w:numFmt w:val="decimal"/>
      <w:lvlText w:val="%4."/>
      <w:lvlJc w:val="left"/>
      <w:pPr>
        <w:ind w:left="4590" w:hanging="360"/>
      </w:pPr>
      <w:rPr>
        <w:rFonts w:cs="Times New Roman"/>
      </w:rPr>
    </w:lvl>
    <w:lvl w:ilvl="4" w:tplc="04090019" w:tentative="1">
      <w:start w:val="1"/>
      <w:numFmt w:val="lowerLetter"/>
      <w:lvlText w:val="%5."/>
      <w:lvlJc w:val="left"/>
      <w:pPr>
        <w:ind w:left="5310" w:hanging="360"/>
      </w:pPr>
      <w:rPr>
        <w:rFonts w:cs="Times New Roman"/>
      </w:rPr>
    </w:lvl>
    <w:lvl w:ilvl="5" w:tplc="0409001B" w:tentative="1">
      <w:start w:val="1"/>
      <w:numFmt w:val="lowerRoman"/>
      <w:lvlText w:val="%6."/>
      <w:lvlJc w:val="right"/>
      <w:pPr>
        <w:ind w:left="6030" w:hanging="180"/>
      </w:pPr>
      <w:rPr>
        <w:rFonts w:cs="Times New Roman"/>
      </w:rPr>
    </w:lvl>
    <w:lvl w:ilvl="6" w:tplc="0409000F" w:tentative="1">
      <w:start w:val="1"/>
      <w:numFmt w:val="decimal"/>
      <w:lvlText w:val="%7."/>
      <w:lvlJc w:val="left"/>
      <w:pPr>
        <w:ind w:left="6750" w:hanging="360"/>
      </w:pPr>
      <w:rPr>
        <w:rFonts w:cs="Times New Roman"/>
      </w:rPr>
    </w:lvl>
    <w:lvl w:ilvl="7" w:tplc="04090019" w:tentative="1">
      <w:start w:val="1"/>
      <w:numFmt w:val="lowerLetter"/>
      <w:lvlText w:val="%8."/>
      <w:lvlJc w:val="left"/>
      <w:pPr>
        <w:ind w:left="7470" w:hanging="360"/>
      </w:pPr>
      <w:rPr>
        <w:rFonts w:cs="Times New Roman"/>
      </w:rPr>
    </w:lvl>
    <w:lvl w:ilvl="8" w:tplc="0409001B" w:tentative="1">
      <w:start w:val="1"/>
      <w:numFmt w:val="lowerRoman"/>
      <w:lvlText w:val="%9."/>
      <w:lvlJc w:val="right"/>
      <w:pPr>
        <w:ind w:left="8190" w:hanging="180"/>
      </w:pPr>
      <w:rPr>
        <w:rFonts w:cs="Times New Roman"/>
      </w:rPr>
    </w:lvl>
  </w:abstractNum>
  <w:num w:numId="1" w16cid:durableId="14162318">
    <w:abstractNumId w:val="9"/>
  </w:num>
  <w:num w:numId="2" w16cid:durableId="1346134652">
    <w:abstractNumId w:val="19"/>
  </w:num>
  <w:num w:numId="3" w16cid:durableId="1454328777">
    <w:abstractNumId w:val="21"/>
  </w:num>
  <w:num w:numId="4" w16cid:durableId="178350353">
    <w:abstractNumId w:val="1"/>
  </w:num>
  <w:num w:numId="5" w16cid:durableId="354383523">
    <w:abstractNumId w:val="2"/>
  </w:num>
  <w:num w:numId="6" w16cid:durableId="1166362101">
    <w:abstractNumId w:val="2"/>
  </w:num>
  <w:num w:numId="7" w16cid:durableId="264307799">
    <w:abstractNumId w:val="6"/>
  </w:num>
  <w:num w:numId="8" w16cid:durableId="183515654">
    <w:abstractNumId w:val="15"/>
  </w:num>
  <w:num w:numId="9" w16cid:durableId="151944453">
    <w:abstractNumId w:val="18"/>
  </w:num>
  <w:num w:numId="10" w16cid:durableId="277759845">
    <w:abstractNumId w:val="17"/>
  </w:num>
  <w:num w:numId="11" w16cid:durableId="402484018">
    <w:abstractNumId w:val="13"/>
  </w:num>
  <w:num w:numId="12" w16cid:durableId="374818471">
    <w:abstractNumId w:val="5"/>
  </w:num>
  <w:num w:numId="13" w16cid:durableId="458913713">
    <w:abstractNumId w:val="5"/>
    <w:lvlOverride w:ilvl="0">
      <w:startOverride w:val="1"/>
    </w:lvlOverride>
  </w:num>
  <w:num w:numId="14" w16cid:durableId="1335499317">
    <w:abstractNumId w:val="16"/>
  </w:num>
  <w:num w:numId="15" w16cid:durableId="777601390">
    <w:abstractNumId w:val="16"/>
    <w:lvlOverride w:ilvl="0">
      <w:startOverride w:val="1"/>
    </w:lvlOverride>
  </w:num>
  <w:num w:numId="16" w16cid:durableId="34428555">
    <w:abstractNumId w:val="19"/>
  </w:num>
  <w:num w:numId="17" w16cid:durableId="2058626804">
    <w:abstractNumId w:val="16"/>
    <w:lvlOverride w:ilvl="0">
      <w:startOverride w:val="1"/>
    </w:lvlOverride>
  </w:num>
  <w:num w:numId="18" w16cid:durableId="291983658">
    <w:abstractNumId w:val="24"/>
  </w:num>
  <w:num w:numId="19" w16cid:durableId="1374382805">
    <w:abstractNumId w:val="19"/>
    <w:lvlOverride w:ilvl="0">
      <w:startOverride w:val="1"/>
    </w:lvlOverride>
  </w:num>
  <w:num w:numId="20" w16cid:durableId="1063917639">
    <w:abstractNumId w:val="19"/>
    <w:lvlOverride w:ilvl="0">
      <w:startOverride w:val="1"/>
    </w:lvlOverride>
  </w:num>
  <w:num w:numId="21" w16cid:durableId="90858291">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16cid:durableId="1961107618">
    <w:abstractNumId w:val="19"/>
    <w:lvlOverride w:ilvl="0">
      <w:startOverride w:val="3"/>
    </w:lvlOverride>
  </w:num>
  <w:num w:numId="23" w16cid:durableId="1706560340">
    <w:abstractNumId w:val="11"/>
    <w:lvlOverride w:ilvl="0">
      <w:startOverride w:val="1"/>
    </w:lvlOverride>
    <w:lvlOverride w:ilvl="1">
      <w:startOverride w:val="1"/>
    </w:lvlOverride>
    <w:lvlOverride w:ilvl="2">
      <w:startOverride w:val="1"/>
    </w:lvlOverride>
    <w:lvlOverride w:ilvl="3"/>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16cid:durableId="1915964718">
    <w:abstractNumId w:val="3"/>
  </w:num>
  <w:num w:numId="25" w16cid:durableId="2033876243">
    <w:abstractNumId w:val="11"/>
  </w:num>
  <w:num w:numId="26" w16cid:durableId="1346395800">
    <w:abstractNumId w:val="19"/>
    <w:lvlOverride w:ilvl="0">
      <w:startOverride w:val="1"/>
    </w:lvlOverride>
  </w:num>
  <w:num w:numId="27" w16cid:durableId="1873760772">
    <w:abstractNumId w:val="19"/>
  </w:num>
  <w:num w:numId="28" w16cid:durableId="1596740927">
    <w:abstractNumId w:val="19"/>
  </w:num>
  <w:num w:numId="29" w16cid:durableId="920916472">
    <w:abstractNumId w:val="19"/>
  </w:num>
  <w:num w:numId="30" w16cid:durableId="1418552827">
    <w:abstractNumId w:val="19"/>
  </w:num>
  <w:num w:numId="31" w16cid:durableId="89814801">
    <w:abstractNumId w:val="19"/>
  </w:num>
  <w:num w:numId="32" w16cid:durableId="1267226127">
    <w:abstractNumId w:val="19"/>
  </w:num>
  <w:num w:numId="33" w16cid:durableId="130832079">
    <w:abstractNumId w:val="19"/>
  </w:num>
  <w:num w:numId="34" w16cid:durableId="1394238438">
    <w:abstractNumId w:val="19"/>
  </w:num>
  <w:num w:numId="35" w16cid:durableId="1359354700">
    <w:abstractNumId w:val="8"/>
  </w:num>
  <w:num w:numId="36" w16cid:durableId="563950542">
    <w:abstractNumId w:val="9"/>
  </w:num>
  <w:num w:numId="37" w16cid:durableId="1506047881">
    <w:abstractNumId w:val="9"/>
  </w:num>
  <w:num w:numId="38" w16cid:durableId="1525053191">
    <w:abstractNumId w:val="14"/>
  </w:num>
  <w:num w:numId="39" w16cid:durableId="1547446861">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 w16cid:durableId="252595467">
    <w:abstractNumId w:val="19"/>
    <w:lvlOverride w:ilvl="0">
      <w:startOverride w:val="1"/>
    </w:lvlOverride>
  </w:num>
  <w:num w:numId="41" w16cid:durableId="961762320">
    <w:abstractNumId w:val="19"/>
  </w:num>
  <w:num w:numId="42" w16cid:durableId="1852376809">
    <w:abstractNumId w:val="19"/>
  </w:num>
  <w:num w:numId="43" w16cid:durableId="614211428">
    <w:abstractNumId w:val="19"/>
  </w:num>
  <w:num w:numId="44" w16cid:durableId="1639189037">
    <w:abstractNumId w:val="19"/>
  </w:num>
  <w:num w:numId="45" w16cid:durableId="1264729072">
    <w:abstractNumId w:val="19"/>
  </w:num>
  <w:num w:numId="46" w16cid:durableId="1413233506">
    <w:abstractNumId w:val="19"/>
  </w:num>
  <w:num w:numId="47" w16cid:durableId="1004087004">
    <w:abstractNumId w:val="12"/>
  </w:num>
  <w:num w:numId="48" w16cid:durableId="1308051967">
    <w:abstractNumId w:val="4"/>
  </w:num>
  <w:num w:numId="49" w16cid:durableId="1805654797">
    <w:abstractNumId w:val="0"/>
  </w:num>
  <w:num w:numId="50" w16cid:durableId="686179460">
    <w:abstractNumId w:val="19"/>
  </w:num>
  <w:num w:numId="51" w16cid:durableId="1901937436">
    <w:abstractNumId w:val="19"/>
  </w:num>
  <w:num w:numId="52" w16cid:durableId="152138026">
    <w:abstractNumId w:val="19"/>
  </w:num>
  <w:num w:numId="53" w16cid:durableId="697899605">
    <w:abstractNumId w:val="19"/>
  </w:num>
  <w:num w:numId="54" w16cid:durableId="872620743">
    <w:abstractNumId w:val="10"/>
  </w:num>
  <w:num w:numId="55" w16cid:durableId="2108496078">
    <w:abstractNumId w:val="7"/>
  </w:num>
  <w:num w:numId="56" w16cid:durableId="209920428">
    <w:abstractNumId w:val="19"/>
  </w:num>
  <w:num w:numId="57" w16cid:durableId="1036781903">
    <w:abstractNumId w:val="19"/>
  </w:num>
  <w:num w:numId="58" w16cid:durableId="1786731335">
    <w:abstractNumId w:val="22"/>
  </w:num>
  <w:num w:numId="59" w16cid:durableId="1973057618">
    <w:abstractNumId w:val="19"/>
  </w:num>
  <w:num w:numId="60" w16cid:durableId="492841852">
    <w:abstractNumId w:val="19"/>
  </w:num>
  <w:num w:numId="61" w16cid:durableId="1036547007">
    <w:abstractNumId w:val="19"/>
  </w:num>
  <w:num w:numId="62" w16cid:durableId="926352823">
    <w:abstractNumId w:val="19"/>
  </w:num>
  <w:num w:numId="63" w16cid:durableId="1063261665">
    <w:abstractNumId w:val="25"/>
  </w:num>
  <w:num w:numId="64" w16cid:durableId="375932344">
    <w:abstractNumId w:val="19"/>
  </w:num>
  <w:num w:numId="65" w16cid:durableId="2130663367">
    <w:abstractNumId w:val="19"/>
    <w:lvlOverride w:ilvl="0">
      <w:startOverride w:val="28"/>
    </w:lvlOverride>
  </w:num>
  <w:numIdMacAtCleanup w:val="6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attachedTemplate r:id="rId1"/>
  <w:doNotTrackMoves/>
  <w:defaultTabStop w:val="550"/>
  <w:evenAndOddHeaders/>
  <w:characterSpacingControl w:val="doNotCompress"/>
  <w:hdrShapeDefaults>
    <o:shapedefaults v:ext="edit" spidmax="2053"/>
  </w:hdrShapeDefaults>
  <w:footnotePr>
    <w:footnote w:id="-1"/>
    <w:footnote w:id="0"/>
    <w:footnote w:id="1"/>
  </w:footnotePr>
  <w:endnotePr>
    <w:endnote w:id="-1"/>
    <w:endnote w:id="0"/>
    <w:endnote w:id="1"/>
  </w:endnotePr>
  <w:compat>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0302D5"/>
    <w:rsid w:val="000008F6"/>
    <w:rsid w:val="00000EC2"/>
    <w:rsid w:val="000021E6"/>
    <w:rsid w:val="00003829"/>
    <w:rsid w:val="00004056"/>
    <w:rsid w:val="00006F3E"/>
    <w:rsid w:val="00007408"/>
    <w:rsid w:val="00007697"/>
    <w:rsid w:val="00010AAA"/>
    <w:rsid w:val="00013651"/>
    <w:rsid w:val="00013E57"/>
    <w:rsid w:val="000144F8"/>
    <w:rsid w:val="00015D57"/>
    <w:rsid w:val="0001724D"/>
    <w:rsid w:val="00020E43"/>
    <w:rsid w:val="00021477"/>
    <w:rsid w:val="00021FCF"/>
    <w:rsid w:val="000227D3"/>
    <w:rsid w:val="00024639"/>
    <w:rsid w:val="00024967"/>
    <w:rsid w:val="00025630"/>
    <w:rsid w:val="00026672"/>
    <w:rsid w:val="00027265"/>
    <w:rsid w:val="000302D5"/>
    <w:rsid w:val="00030408"/>
    <w:rsid w:val="00031014"/>
    <w:rsid w:val="00033EDF"/>
    <w:rsid w:val="00033EF8"/>
    <w:rsid w:val="00034B92"/>
    <w:rsid w:val="00036D51"/>
    <w:rsid w:val="000375D0"/>
    <w:rsid w:val="00037992"/>
    <w:rsid w:val="00040598"/>
    <w:rsid w:val="000420C7"/>
    <w:rsid w:val="000437C8"/>
    <w:rsid w:val="00044504"/>
    <w:rsid w:val="00044BD0"/>
    <w:rsid w:val="00047206"/>
    <w:rsid w:val="00054107"/>
    <w:rsid w:val="00055DCE"/>
    <w:rsid w:val="0005651B"/>
    <w:rsid w:val="0005797F"/>
    <w:rsid w:val="00057CF7"/>
    <w:rsid w:val="000603B9"/>
    <w:rsid w:val="000613EE"/>
    <w:rsid w:val="000634F2"/>
    <w:rsid w:val="00063563"/>
    <w:rsid w:val="0006526D"/>
    <w:rsid w:val="000727DE"/>
    <w:rsid w:val="00073701"/>
    <w:rsid w:val="00073799"/>
    <w:rsid w:val="00074409"/>
    <w:rsid w:val="00081281"/>
    <w:rsid w:val="00081763"/>
    <w:rsid w:val="0008504E"/>
    <w:rsid w:val="0009061C"/>
    <w:rsid w:val="000911D4"/>
    <w:rsid w:val="000920E8"/>
    <w:rsid w:val="000A13CC"/>
    <w:rsid w:val="000A3A55"/>
    <w:rsid w:val="000B111D"/>
    <w:rsid w:val="000B1C15"/>
    <w:rsid w:val="000B40AE"/>
    <w:rsid w:val="000B47A5"/>
    <w:rsid w:val="000B4BEA"/>
    <w:rsid w:val="000B597F"/>
    <w:rsid w:val="000B68D7"/>
    <w:rsid w:val="000C0D62"/>
    <w:rsid w:val="000C4753"/>
    <w:rsid w:val="000C5BD9"/>
    <w:rsid w:val="000D4961"/>
    <w:rsid w:val="000D553D"/>
    <w:rsid w:val="000D7AAC"/>
    <w:rsid w:val="000E3889"/>
    <w:rsid w:val="000E39F3"/>
    <w:rsid w:val="000E3DD5"/>
    <w:rsid w:val="000E43C2"/>
    <w:rsid w:val="000E57DD"/>
    <w:rsid w:val="000E58AA"/>
    <w:rsid w:val="000E767D"/>
    <w:rsid w:val="000F2301"/>
    <w:rsid w:val="000F3E9C"/>
    <w:rsid w:val="000F4431"/>
    <w:rsid w:val="000F4A5A"/>
    <w:rsid w:val="000F5FBE"/>
    <w:rsid w:val="000F61D0"/>
    <w:rsid w:val="000F68A2"/>
    <w:rsid w:val="00102F27"/>
    <w:rsid w:val="00104FF5"/>
    <w:rsid w:val="0010534A"/>
    <w:rsid w:val="0010725D"/>
    <w:rsid w:val="0011078C"/>
    <w:rsid w:val="00110CB3"/>
    <w:rsid w:val="001119D9"/>
    <w:rsid w:val="00111B65"/>
    <w:rsid w:val="001121DB"/>
    <w:rsid w:val="00113E74"/>
    <w:rsid w:val="0011455D"/>
    <w:rsid w:val="00114D94"/>
    <w:rsid w:val="00117CE4"/>
    <w:rsid w:val="00120F6C"/>
    <w:rsid w:val="0012538C"/>
    <w:rsid w:val="001268CD"/>
    <w:rsid w:val="0012723B"/>
    <w:rsid w:val="00127E0E"/>
    <w:rsid w:val="001312D9"/>
    <w:rsid w:val="00131A25"/>
    <w:rsid w:val="00132581"/>
    <w:rsid w:val="00132594"/>
    <w:rsid w:val="001331D4"/>
    <w:rsid w:val="001339F6"/>
    <w:rsid w:val="00134D03"/>
    <w:rsid w:val="001352D0"/>
    <w:rsid w:val="0013664B"/>
    <w:rsid w:val="0013686F"/>
    <w:rsid w:val="001402A2"/>
    <w:rsid w:val="001405FB"/>
    <w:rsid w:val="00140EA2"/>
    <w:rsid w:val="00141D95"/>
    <w:rsid w:val="00144D3C"/>
    <w:rsid w:val="00145CA1"/>
    <w:rsid w:val="00145CBD"/>
    <w:rsid w:val="0014670D"/>
    <w:rsid w:val="0015075E"/>
    <w:rsid w:val="001507EC"/>
    <w:rsid w:val="00151FE3"/>
    <w:rsid w:val="001528F0"/>
    <w:rsid w:val="00152A6A"/>
    <w:rsid w:val="00154582"/>
    <w:rsid w:val="00155430"/>
    <w:rsid w:val="001567CF"/>
    <w:rsid w:val="00157721"/>
    <w:rsid w:val="00160C29"/>
    <w:rsid w:val="0016134C"/>
    <w:rsid w:val="00162006"/>
    <w:rsid w:val="00162320"/>
    <w:rsid w:val="00162D68"/>
    <w:rsid w:val="00163E98"/>
    <w:rsid w:val="001645C0"/>
    <w:rsid w:val="001649BF"/>
    <w:rsid w:val="00166390"/>
    <w:rsid w:val="00170C93"/>
    <w:rsid w:val="001710BF"/>
    <w:rsid w:val="00173BF7"/>
    <w:rsid w:val="00175850"/>
    <w:rsid w:val="0017710C"/>
    <w:rsid w:val="001814D9"/>
    <w:rsid w:val="00182806"/>
    <w:rsid w:val="00183FC8"/>
    <w:rsid w:val="0018431A"/>
    <w:rsid w:val="00184909"/>
    <w:rsid w:val="0018696C"/>
    <w:rsid w:val="00186DA5"/>
    <w:rsid w:val="00187A09"/>
    <w:rsid w:val="00190567"/>
    <w:rsid w:val="001914B6"/>
    <w:rsid w:val="00192B8B"/>
    <w:rsid w:val="00193899"/>
    <w:rsid w:val="00194CD9"/>
    <w:rsid w:val="00197AB7"/>
    <w:rsid w:val="001A0716"/>
    <w:rsid w:val="001A0941"/>
    <w:rsid w:val="001A2082"/>
    <w:rsid w:val="001A5769"/>
    <w:rsid w:val="001B0423"/>
    <w:rsid w:val="001B07FE"/>
    <w:rsid w:val="001B2B44"/>
    <w:rsid w:val="001B460F"/>
    <w:rsid w:val="001B4863"/>
    <w:rsid w:val="001B56DA"/>
    <w:rsid w:val="001B6068"/>
    <w:rsid w:val="001C3C59"/>
    <w:rsid w:val="001C6320"/>
    <w:rsid w:val="001D2393"/>
    <w:rsid w:val="001D4876"/>
    <w:rsid w:val="001D48DF"/>
    <w:rsid w:val="001D6831"/>
    <w:rsid w:val="001E11CA"/>
    <w:rsid w:val="001E369E"/>
    <w:rsid w:val="001E4435"/>
    <w:rsid w:val="001F0D05"/>
    <w:rsid w:val="001F2208"/>
    <w:rsid w:val="001F279E"/>
    <w:rsid w:val="001F2BFF"/>
    <w:rsid w:val="001F2D49"/>
    <w:rsid w:val="001F66B1"/>
    <w:rsid w:val="001F69CF"/>
    <w:rsid w:val="00201E83"/>
    <w:rsid w:val="00202BFD"/>
    <w:rsid w:val="00202FEA"/>
    <w:rsid w:val="002041F5"/>
    <w:rsid w:val="00205D85"/>
    <w:rsid w:val="002106D4"/>
    <w:rsid w:val="00214A61"/>
    <w:rsid w:val="00216FDD"/>
    <w:rsid w:val="0022059E"/>
    <w:rsid w:val="00222146"/>
    <w:rsid w:val="00222AD9"/>
    <w:rsid w:val="00223065"/>
    <w:rsid w:val="00223E46"/>
    <w:rsid w:val="00224308"/>
    <w:rsid w:val="0022573D"/>
    <w:rsid w:val="00225988"/>
    <w:rsid w:val="00225EF0"/>
    <w:rsid w:val="002269A7"/>
    <w:rsid w:val="00227CC9"/>
    <w:rsid w:val="00230282"/>
    <w:rsid w:val="0023062B"/>
    <w:rsid w:val="00230F25"/>
    <w:rsid w:val="002332B0"/>
    <w:rsid w:val="00233E76"/>
    <w:rsid w:val="00234395"/>
    <w:rsid w:val="0023488C"/>
    <w:rsid w:val="002356E8"/>
    <w:rsid w:val="00235F53"/>
    <w:rsid w:val="00244480"/>
    <w:rsid w:val="00251E0E"/>
    <w:rsid w:val="002529A9"/>
    <w:rsid w:val="00257643"/>
    <w:rsid w:val="00257B49"/>
    <w:rsid w:val="00262061"/>
    <w:rsid w:val="00263652"/>
    <w:rsid w:val="00267178"/>
    <w:rsid w:val="00271821"/>
    <w:rsid w:val="00272091"/>
    <w:rsid w:val="00273271"/>
    <w:rsid w:val="00274E51"/>
    <w:rsid w:val="00274F0C"/>
    <w:rsid w:val="002753A1"/>
    <w:rsid w:val="002757C3"/>
    <w:rsid w:val="0027631A"/>
    <w:rsid w:val="002766F8"/>
    <w:rsid w:val="00277C44"/>
    <w:rsid w:val="002815E3"/>
    <w:rsid w:val="00281A61"/>
    <w:rsid w:val="002827CF"/>
    <w:rsid w:val="00283CB5"/>
    <w:rsid w:val="00284B63"/>
    <w:rsid w:val="00284BF3"/>
    <w:rsid w:val="0028664D"/>
    <w:rsid w:val="0028711B"/>
    <w:rsid w:val="00287A3A"/>
    <w:rsid w:val="00287ED5"/>
    <w:rsid w:val="002900F8"/>
    <w:rsid w:val="00290229"/>
    <w:rsid w:val="00293256"/>
    <w:rsid w:val="002970EB"/>
    <w:rsid w:val="002A256D"/>
    <w:rsid w:val="002A264A"/>
    <w:rsid w:val="002A2F99"/>
    <w:rsid w:val="002A5C85"/>
    <w:rsid w:val="002A5DA5"/>
    <w:rsid w:val="002A6B00"/>
    <w:rsid w:val="002A6BF1"/>
    <w:rsid w:val="002A76DD"/>
    <w:rsid w:val="002B00CA"/>
    <w:rsid w:val="002B04AC"/>
    <w:rsid w:val="002B0C7C"/>
    <w:rsid w:val="002B1203"/>
    <w:rsid w:val="002B1B5B"/>
    <w:rsid w:val="002B3679"/>
    <w:rsid w:val="002B48D9"/>
    <w:rsid w:val="002B4966"/>
    <w:rsid w:val="002B559C"/>
    <w:rsid w:val="002B717E"/>
    <w:rsid w:val="002B7AD1"/>
    <w:rsid w:val="002C0EC9"/>
    <w:rsid w:val="002C2927"/>
    <w:rsid w:val="002C3E77"/>
    <w:rsid w:val="002C4E13"/>
    <w:rsid w:val="002C5B8A"/>
    <w:rsid w:val="002C5F4D"/>
    <w:rsid w:val="002C7925"/>
    <w:rsid w:val="002D0248"/>
    <w:rsid w:val="002D0400"/>
    <w:rsid w:val="002D159C"/>
    <w:rsid w:val="002D2330"/>
    <w:rsid w:val="002D2878"/>
    <w:rsid w:val="002D3FF1"/>
    <w:rsid w:val="002D41B1"/>
    <w:rsid w:val="002D64B3"/>
    <w:rsid w:val="002D64F0"/>
    <w:rsid w:val="002D7002"/>
    <w:rsid w:val="002D7BFB"/>
    <w:rsid w:val="002D7DC5"/>
    <w:rsid w:val="002D7F33"/>
    <w:rsid w:val="002E0232"/>
    <w:rsid w:val="002E36D5"/>
    <w:rsid w:val="002E3C4E"/>
    <w:rsid w:val="002E43BD"/>
    <w:rsid w:val="002E4BE6"/>
    <w:rsid w:val="002E4E82"/>
    <w:rsid w:val="002E7B8B"/>
    <w:rsid w:val="002F3CA5"/>
    <w:rsid w:val="002F45FD"/>
    <w:rsid w:val="002F4B75"/>
    <w:rsid w:val="002F51D4"/>
    <w:rsid w:val="002F60C7"/>
    <w:rsid w:val="002F679E"/>
    <w:rsid w:val="002F767A"/>
    <w:rsid w:val="003004C2"/>
    <w:rsid w:val="00302F02"/>
    <w:rsid w:val="00303043"/>
    <w:rsid w:val="003038F2"/>
    <w:rsid w:val="00305248"/>
    <w:rsid w:val="00305F14"/>
    <w:rsid w:val="003073C3"/>
    <w:rsid w:val="0031046F"/>
    <w:rsid w:val="00310608"/>
    <w:rsid w:val="00311778"/>
    <w:rsid w:val="00312B57"/>
    <w:rsid w:val="003133DB"/>
    <w:rsid w:val="003136CD"/>
    <w:rsid w:val="00314E11"/>
    <w:rsid w:val="003159C2"/>
    <w:rsid w:val="00316094"/>
    <w:rsid w:val="00317A65"/>
    <w:rsid w:val="00321429"/>
    <w:rsid w:val="00321764"/>
    <w:rsid w:val="00322120"/>
    <w:rsid w:val="00323949"/>
    <w:rsid w:val="00323F22"/>
    <w:rsid w:val="003240B5"/>
    <w:rsid w:val="003251F8"/>
    <w:rsid w:val="00326F0B"/>
    <w:rsid w:val="003279A3"/>
    <w:rsid w:val="00331031"/>
    <w:rsid w:val="0033139C"/>
    <w:rsid w:val="00332066"/>
    <w:rsid w:val="003322BA"/>
    <w:rsid w:val="0033260F"/>
    <w:rsid w:val="00332CF5"/>
    <w:rsid w:val="00334782"/>
    <w:rsid w:val="00334DB8"/>
    <w:rsid w:val="0033798A"/>
    <w:rsid w:val="0034136D"/>
    <w:rsid w:val="003413E7"/>
    <w:rsid w:val="00341B5C"/>
    <w:rsid w:val="00345E54"/>
    <w:rsid w:val="003476A9"/>
    <w:rsid w:val="00351B40"/>
    <w:rsid w:val="00352DE4"/>
    <w:rsid w:val="00354EE0"/>
    <w:rsid w:val="00354FA1"/>
    <w:rsid w:val="00355952"/>
    <w:rsid w:val="00356B19"/>
    <w:rsid w:val="00357051"/>
    <w:rsid w:val="003577E1"/>
    <w:rsid w:val="0036098E"/>
    <w:rsid w:val="00361231"/>
    <w:rsid w:val="003612F4"/>
    <w:rsid w:val="0036310B"/>
    <w:rsid w:val="003634B9"/>
    <w:rsid w:val="003648C5"/>
    <w:rsid w:val="00364CEB"/>
    <w:rsid w:val="00365477"/>
    <w:rsid w:val="00365494"/>
    <w:rsid w:val="00366499"/>
    <w:rsid w:val="00370BED"/>
    <w:rsid w:val="00371449"/>
    <w:rsid w:val="00373A6A"/>
    <w:rsid w:val="00373CE0"/>
    <w:rsid w:val="00375254"/>
    <w:rsid w:val="003773FD"/>
    <w:rsid w:val="00377A40"/>
    <w:rsid w:val="00380397"/>
    <w:rsid w:val="003816E4"/>
    <w:rsid w:val="00381789"/>
    <w:rsid w:val="00381F72"/>
    <w:rsid w:val="00382686"/>
    <w:rsid w:val="00382777"/>
    <w:rsid w:val="0038303C"/>
    <w:rsid w:val="003835B5"/>
    <w:rsid w:val="00385757"/>
    <w:rsid w:val="00386142"/>
    <w:rsid w:val="003869FA"/>
    <w:rsid w:val="00391DF7"/>
    <w:rsid w:val="00391F7B"/>
    <w:rsid w:val="00397027"/>
    <w:rsid w:val="003A2A28"/>
    <w:rsid w:val="003A44A3"/>
    <w:rsid w:val="003A45B8"/>
    <w:rsid w:val="003A467E"/>
    <w:rsid w:val="003A4716"/>
    <w:rsid w:val="003A6A80"/>
    <w:rsid w:val="003A7375"/>
    <w:rsid w:val="003B0C56"/>
    <w:rsid w:val="003B269A"/>
    <w:rsid w:val="003B2B49"/>
    <w:rsid w:val="003B3FF3"/>
    <w:rsid w:val="003B58B7"/>
    <w:rsid w:val="003B6837"/>
    <w:rsid w:val="003C05DC"/>
    <w:rsid w:val="003C0C9F"/>
    <w:rsid w:val="003C0FF2"/>
    <w:rsid w:val="003C1E7B"/>
    <w:rsid w:val="003C5640"/>
    <w:rsid w:val="003C5835"/>
    <w:rsid w:val="003C61C2"/>
    <w:rsid w:val="003C65DC"/>
    <w:rsid w:val="003C6F10"/>
    <w:rsid w:val="003C6F5A"/>
    <w:rsid w:val="003D0858"/>
    <w:rsid w:val="003D1D3A"/>
    <w:rsid w:val="003D40C5"/>
    <w:rsid w:val="003D73A3"/>
    <w:rsid w:val="003D76C2"/>
    <w:rsid w:val="003E110A"/>
    <w:rsid w:val="003E2B66"/>
    <w:rsid w:val="003E5CD6"/>
    <w:rsid w:val="003E77BA"/>
    <w:rsid w:val="003F1726"/>
    <w:rsid w:val="003F1EA8"/>
    <w:rsid w:val="003F2667"/>
    <w:rsid w:val="003F428E"/>
    <w:rsid w:val="003F66FD"/>
    <w:rsid w:val="003F6C8A"/>
    <w:rsid w:val="004000A1"/>
    <w:rsid w:val="00400421"/>
    <w:rsid w:val="00405E23"/>
    <w:rsid w:val="00407078"/>
    <w:rsid w:val="0041056B"/>
    <w:rsid w:val="0041090E"/>
    <w:rsid w:val="00410CC1"/>
    <w:rsid w:val="00412D7C"/>
    <w:rsid w:val="0041429B"/>
    <w:rsid w:val="004155A3"/>
    <w:rsid w:val="0042420B"/>
    <w:rsid w:val="0042424A"/>
    <w:rsid w:val="00425E12"/>
    <w:rsid w:val="00431129"/>
    <w:rsid w:val="00431827"/>
    <w:rsid w:val="00432266"/>
    <w:rsid w:val="00432AEC"/>
    <w:rsid w:val="004335E2"/>
    <w:rsid w:val="004359BD"/>
    <w:rsid w:val="00435A96"/>
    <w:rsid w:val="00436DE6"/>
    <w:rsid w:val="00437B57"/>
    <w:rsid w:val="00441AB0"/>
    <w:rsid w:val="004428A6"/>
    <w:rsid w:val="00445EF1"/>
    <w:rsid w:val="0044786C"/>
    <w:rsid w:val="00450222"/>
    <w:rsid w:val="00451C4A"/>
    <w:rsid w:val="00453D62"/>
    <w:rsid w:val="0045547C"/>
    <w:rsid w:val="00455BDD"/>
    <w:rsid w:val="00456109"/>
    <w:rsid w:val="004575F3"/>
    <w:rsid w:val="00460211"/>
    <w:rsid w:val="004603B0"/>
    <w:rsid w:val="004603CB"/>
    <w:rsid w:val="004607B9"/>
    <w:rsid w:val="00460E52"/>
    <w:rsid w:val="004632E1"/>
    <w:rsid w:val="004641A1"/>
    <w:rsid w:val="00467CC8"/>
    <w:rsid w:val="004701EE"/>
    <w:rsid w:val="00471A9F"/>
    <w:rsid w:val="0047276F"/>
    <w:rsid w:val="004739E1"/>
    <w:rsid w:val="00474228"/>
    <w:rsid w:val="0047549E"/>
    <w:rsid w:val="00481B36"/>
    <w:rsid w:val="00483E66"/>
    <w:rsid w:val="0048497C"/>
    <w:rsid w:val="00484A14"/>
    <w:rsid w:val="00484A69"/>
    <w:rsid w:val="00484C8C"/>
    <w:rsid w:val="004857E0"/>
    <w:rsid w:val="00491955"/>
    <w:rsid w:val="00491B8D"/>
    <w:rsid w:val="00491C1B"/>
    <w:rsid w:val="004921B1"/>
    <w:rsid w:val="00494CD3"/>
    <w:rsid w:val="00496EA6"/>
    <w:rsid w:val="00497712"/>
    <w:rsid w:val="00497C9E"/>
    <w:rsid w:val="004A0336"/>
    <w:rsid w:val="004A0768"/>
    <w:rsid w:val="004A1ECD"/>
    <w:rsid w:val="004A25C7"/>
    <w:rsid w:val="004A2A2D"/>
    <w:rsid w:val="004A3211"/>
    <w:rsid w:val="004A33D1"/>
    <w:rsid w:val="004A3813"/>
    <w:rsid w:val="004A434D"/>
    <w:rsid w:val="004A5150"/>
    <w:rsid w:val="004A61ED"/>
    <w:rsid w:val="004A7425"/>
    <w:rsid w:val="004A7A73"/>
    <w:rsid w:val="004A7BD5"/>
    <w:rsid w:val="004A7BFD"/>
    <w:rsid w:val="004B0FCC"/>
    <w:rsid w:val="004B23A6"/>
    <w:rsid w:val="004B385C"/>
    <w:rsid w:val="004B4616"/>
    <w:rsid w:val="004B4A80"/>
    <w:rsid w:val="004B5FB9"/>
    <w:rsid w:val="004C1254"/>
    <w:rsid w:val="004C12FC"/>
    <w:rsid w:val="004C1A3B"/>
    <w:rsid w:val="004C1F76"/>
    <w:rsid w:val="004C251F"/>
    <w:rsid w:val="004C2EF5"/>
    <w:rsid w:val="004C4D98"/>
    <w:rsid w:val="004C52C2"/>
    <w:rsid w:val="004C5A99"/>
    <w:rsid w:val="004C721B"/>
    <w:rsid w:val="004D03DB"/>
    <w:rsid w:val="004D1A79"/>
    <w:rsid w:val="004D3825"/>
    <w:rsid w:val="004D65EF"/>
    <w:rsid w:val="004D71F2"/>
    <w:rsid w:val="004D744A"/>
    <w:rsid w:val="004E3599"/>
    <w:rsid w:val="004E4AA1"/>
    <w:rsid w:val="004E6838"/>
    <w:rsid w:val="004F1F76"/>
    <w:rsid w:val="004F263E"/>
    <w:rsid w:val="004F2DA5"/>
    <w:rsid w:val="004F44B7"/>
    <w:rsid w:val="004F5F74"/>
    <w:rsid w:val="004F630B"/>
    <w:rsid w:val="004F6D35"/>
    <w:rsid w:val="0050096C"/>
    <w:rsid w:val="00501CD1"/>
    <w:rsid w:val="00502BAF"/>
    <w:rsid w:val="00503FB2"/>
    <w:rsid w:val="00504070"/>
    <w:rsid w:val="0050519E"/>
    <w:rsid w:val="00505620"/>
    <w:rsid w:val="005073D5"/>
    <w:rsid w:val="00512C94"/>
    <w:rsid w:val="005138AA"/>
    <w:rsid w:val="00514064"/>
    <w:rsid w:val="0051469D"/>
    <w:rsid w:val="00516998"/>
    <w:rsid w:val="005176DA"/>
    <w:rsid w:val="00517B20"/>
    <w:rsid w:val="00522758"/>
    <w:rsid w:val="005248C6"/>
    <w:rsid w:val="00524D45"/>
    <w:rsid w:val="00524D49"/>
    <w:rsid w:val="0053049D"/>
    <w:rsid w:val="00533203"/>
    <w:rsid w:val="0053431D"/>
    <w:rsid w:val="0053602E"/>
    <w:rsid w:val="00537248"/>
    <w:rsid w:val="005373B8"/>
    <w:rsid w:val="0054060A"/>
    <w:rsid w:val="0054081D"/>
    <w:rsid w:val="005409E0"/>
    <w:rsid w:val="00540F22"/>
    <w:rsid w:val="00542CBB"/>
    <w:rsid w:val="00543263"/>
    <w:rsid w:val="00544763"/>
    <w:rsid w:val="00545B1E"/>
    <w:rsid w:val="005469DE"/>
    <w:rsid w:val="00550DCE"/>
    <w:rsid w:val="00550F83"/>
    <w:rsid w:val="00551407"/>
    <w:rsid w:val="00551EB2"/>
    <w:rsid w:val="0055213A"/>
    <w:rsid w:val="005524E5"/>
    <w:rsid w:val="00553122"/>
    <w:rsid w:val="005534B5"/>
    <w:rsid w:val="00553B19"/>
    <w:rsid w:val="005540F0"/>
    <w:rsid w:val="005547F9"/>
    <w:rsid w:val="00557B54"/>
    <w:rsid w:val="00561218"/>
    <w:rsid w:val="00561E2C"/>
    <w:rsid w:val="00562436"/>
    <w:rsid w:val="00562630"/>
    <w:rsid w:val="0056406B"/>
    <w:rsid w:val="005642EF"/>
    <w:rsid w:val="0057033E"/>
    <w:rsid w:val="00571E2D"/>
    <w:rsid w:val="00575917"/>
    <w:rsid w:val="005820BC"/>
    <w:rsid w:val="00586051"/>
    <w:rsid w:val="00587997"/>
    <w:rsid w:val="00591050"/>
    <w:rsid w:val="0059123B"/>
    <w:rsid w:val="005931D7"/>
    <w:rsid w:val="00593544"/>
    <w:rsid w:val="00594F2F"/>
    <w:rsid w:val="005961C5"/>
    <w:rsid w:val="00596243"/>
    <w:rsid w:val="00597748"/>
    <w:rsid w:val="005A14A5"/>
    <w:rsid w:val="005A1528"/>
    <w:rsid w:val="005A206E"/>
    <w:rsid w:val="005A2168"/>
    <w:rsid w:val="005A698F"/>
    <w:rsid w:val="005B22B0"/>
    <w:rsid w:val="005B23B8"/>
    <w:rsid w:val="005B36B3"/>
    <w:rsid w:val="005B3707"/>
    <w:rsid w:val="005B76EB"/>
    <w:rsid w:val="005C0A6E"/>
    <w:rsid w:val="005C164B"/>
    <w:rsid w:val="005D2BD5"/>
    <w:rsid w:val="005D367B"/>
    <w:rsid w:val="005D63BA"/>
    <w:rsid w:val="005D68E1"/>
    <w:rsid w:val="005D6B39"/>
    <w:rsid w:val="005D7F95"/>
    <w:rsid w:val="005E0702"/>
    <w:rsid w:val="005E09AF"/>
    <w:rsid w:val="005E0DC1"/>
    <w:rsid w:val="005E24AD"/>
    <w:rsid w:val="005E2605"/>
    <w:rsid w:val="005E2D2F"/>
    <w:rsid w:val="005E31CF"/>
    <w:rsid w:val="005E3C93"/>
    <w:rsid w:val="005E680C"/>
    <w:rsid w:val="005F0639"/>
    <w:rsid w:val="005F2076"/>
    <w:rsid w:val="005F2DF3"/>
    <w:rsid w:val="005F3140"/>
    <w:rsid w:val="005F3CE1"/>
    <w:rsid w:val="005F5564"/>
    <w:rsid w:val="006042B2"/>
    <w:rsid w:val="00604872"/>
    <w:rsid w:val="00606756"/>
    <w:rsid w:val="00612235"/>
    <w:rsid w:val="00612599"/>
    <w:rsid w:val="0061645B"/>
    <w:rsid w:val="0061646C"/>
    <w:rsid w:val="0061675C"/>
    <w:rsid w:val="006211B4"/>
    <w:rsid w:val="00623FD1"/>
    <w:rsid w:val="00625142"/>
    <w:rsid w:val="0062599D"/>
    <w:rsid w:val="00626AA6"/>
    <w:rsid w:val="00630136"/>
    <w:rsid w:val="0063192F"/>
    <w:rsid w:val="00632DBE"/>
    <w:rsid w:val="00636EC5"/>
    <w:rsid w:val="00640B28"/>
    <w:rsid w:val="0064374A"/>
    <w:rsid w:val="00644DAA"/>
    <w:rsid w:val="00646B3E"/>
    <w:rsid w:val="0064741F"/>
    <w:rsid w:val="006503F4"/>
    <w:rsid w:val="0065065D"/>
    <w:rsid w:val="00652495"/>
    <w:rsid w:val="00653261"/>
    <w:rsid w:val="006548C9"/>
    <w:rsid w:val="00654BD1"/>
    <w:rsid w:val="006550B0"/>
    <w:rsid w:val="0065669B"/>
    <w:rsid w:val="00656F04"/>
    <w:rsid w:val="00657ED6"/>
    <w:rsid w:val="00660A19"/>
    <w:rsid w:val="00660B83"/>
    <w:rsid w:val="00661CEB"/>
    <w:rsid w:val="006654F8"/>
    <w:rsid w:val="00665744"/>
    <w:rsid w:val="00665AA0"/>
    <w:rsid w:val="00666507"/>
    <w:rsid w:val="00666F02"/>
    <w:rsid w:val="00671071"/>
    <w:rsid w:val="006710E2"/>
    <w:rsid w:val="00671E75"/>
    <w:rsid w:val="0067306A"/>
    <w:rsid w:val="00673D26"/>
    <w:rsid w:val="006752E6"/>
    <w:rsid w:val="00676FBF"/>
    <w:rsid w:val="00681617"/>
    <w:rsid w:val="006816A2"/>
    <w:rsid w:val="0068290F"/>
    <w:rsid w:val="00682E81"/>
    <w:rsid w:val="006838CA"/>
    <w:rsid w:val="00684B92"/>
    <w:rsid w:val="00686AD2"/>
    <w:rsid w:val="00690FA5"/>
    <w:rsid w:val="00691196"/>
    <w:rsid w:val="006930E3"/>
    <w:rsid w:val="006939DB"/>
    <w:rsid w:val="00697248"/>
    <w:rsid w:val="00697E4C"/>
    <w:rsid w:val="006A0BB7"/>
    <w:rsid w:val="006A55B6"/>
    <w:rsid w:val="006A6897"/>
    <w:rsid w:val="006B03DE"/>
    <w:rsid w:val="006B293D"/>
    <w:rsid w:val="006B4F29"/>
    <w:rsid w:val="006B51A8"/>
    <w:rsid w:val="006B60E7"/>
    <w:rsid w:val="006B62D3"/>
    <w:rsid w:val="006B6479"/>
    <w:rsid w:val="006B69F3"/>
    <w:rsid w:val="006C06C9"/>
    <w:rsid w:val="006C12A4"/>
    <w:rsid w:val="006C3138"/>
    <w:rsid w:val="006C3333"/>
    <w:rsid w:val="006C480E"/>
    <w:rsid w:val="006C62BC"/>
    <w:rsid w:val="006D09EC"/>
    <w:rsid w:val="006D0C08"/>
    <w:rsid w:val="006D0D09"/>
    <w:rsid w:val="006D2944"/>
    <w:rsid w:val="006D3C87"/>
    <w:rsid w:val="006D4A10"/>
    <w:rsid w:val="006D4A44"/>
    <w:rsid w:val="006E1170"/>
    <w:rsid w:val="006E1C94"/>
    <w:rsid w:val="006E2656"/>
    <w:rsid w:val="006E4294"/>
    <w:rsid w:val="006E4AC8"/>
    <w:rsid w:val="006E4FCD"/>
    <w:rsid w:val="006E79FB"/>
    <w:rsid w:val="006F0348"/>
    <w:rsid w:val="006F0909"/>
    <w:rsid w:val="006F1959"/>
    <w:rsid w:val="006F4832"/>
    <w:rsid w:val="006F7298"/>
    <w:rsid w:val="00700802"/>
    <w:rsid w:val="007020CD"/>
    <w:rsid w:val="00704513"/>
    <w:rsid w:val="00705B75"/>
    <w:rsid w:val="00705D90"/>
    <w:rsid w:val="0070674F"/>
    <w:rsid w:val="00706772"/>
    <w:rsid w:val="00706840"/>
    <w:rsid w:val="00707280"/>
    <w:rsid w:val="00707C10"/>
    <w:rsid w:val="0071026C"/>
    <w:rsid w:val="0071031E"/>
    <w:rsid w:val="00711446"/>
    <w:rsid w:val="0071146C"/>
    <w:rsid w:val="00711C49"/>
    <w:rsid w:val="00712753"/>
    <w:rsid w:val="007138E8"/>
    <w:rsid w:val="00714A61"/>
    <w:rsid w:val="00715CD0"/>
    <w:rsid w:val="00720030"/>
    <w:rsid w:val="00720FF5"/>
    <w:rsid w:val="0072285D"/>
    <w:rsid w:val="00724001"/>
    <w:rsid w:val="0072722F"/>
    <w:rsid w:val="0073232E"/>
    <w:rsid w:val="007326C4"/>
    <w:rsid w:val="00733582"/>
    <w:rsid w:val="00734CD6"/>
    <w:rsid w:val="007354F9"/>
    <w:rsid w:val="00737F62"/>
    <w:rsid w:val="0074027E"/>
    <w:rsid w:val="007411A3"/>
    <w:rsid w:val="0074245C"/>
    <w:rsid w:val="00744C57"/>
    <w:rsid w:val="00744E31"/>
    <w:rsid w:val="00750788"/>
    <w:rsid w:val="00754149"/>
    <w:rsid w:val="00755752"/>
    <w:rsid w:val="00755F5B"/>
    <w:rsid w:val="00757178"/>
    <w:rsid w:val="007617DB"/>
    <w:rsid w:val="00762912"/>
    <w:rsid w:val="00762CD9"/>
    <w:rsid w:val="00762E80"/>
    <w:rsid w:val="00763408"/>
    <w:rsid w:val="00763DA6"/>
    <w:rsid w:val="00765C04"/>
    <w:rsid w:val="00770A83"/>
    <w:rsid w:val="00770D91"/>
    <w:rsid w:val="00771236"/>
    <w:rsid w:val="00771ECB"/>
    <w:rsid w:val="00772BB0"/>
    <w:rsid w:val="00773D63"/>
    <w:rsid w:val="00775349"/>
    <w:rsid w:val="0077566A"/>
    <w:rsid w:val="0077671F"/>
    <w:rsid w:val="00776A05"/>
    <w:rsid w:val="0078058E"/>
    <w:rsid w:val="007807E6"/>
    <w:rsid w:val="00780E7C"/>
    <w:rsid w:val="00781D22"/>
    <w:rsid w:val="0078290E"/>
    <w:rsid w:val="007831AD"/>
    <w:rsid w:val="007833E8"/>
    <w:rsid w:val="007846E9"/>
    <w:rsid w:val="00784E2C"/>
    <w:rsid w:val="00785393"/>
    <w:rsid w:val="00787F77"/>
    <w:rsid w:val="00790962"/>
    <w:rsid w:val="00793991"/>
    <w:rsid w:val="00793F7A"/>
    <w:rsid w:val="00793FC0"/>
    <w:rsid w:val="007947A1"/>
    <w:rsid w:val="007A3663"/>
    <w:rsid w:val="007A38C4"/>
    <w:rsid w:val="007A3B42"/>
    <w:rsid w:val="007A5840"/>
    <w:rsid w:val="007A7247"/>
    <w:rsid w:val="007A75A9"/>
    <w:rsid w:val="007B0603"/>
    <w:rsid w:val="007B06E5"/>
    <w:rsid w:val="007B3D23"/>
    <w:rsid w:val="007B43AB"/>
    <w:rsid w:val="007B6DB6"/>
    <w:rsid w:val="007C0B5E"/>
    <w:rsid w:val="007C0DD6"/>
    <w:rsid w:val="007C6CA8"/>
    <w:rsid w:val="007C77BC"/>
    <w:rsid w:val="007C7C04"/>
    <w:rsid w:val="007D03DB"/>
    <w:rsid w:val="007D43D8"/>
    <w:rsid w:val="007D4FFB"/>
    <w:rsid w:val="007D6AFF"/>
    <w:rsid w:val="007D774F"/>
    <w:rsid w:val="007E0A56"/>
    <w:rsid w:val="007E1612"/>
    <w:rsid w:val="007E1D89"/>
    <w:rsid w:val="007E23C0"/>
    <w:rsid w:val="007E47FB"/>
    <w:rsid w:val="007E4CEA"/>
    <w:rsid w:val="007E5C08"/>
    <w:rsid w:val="007E6F37"/>
    <w:rsid w:val="007E796D"/>
    <w:rsid w:val="007F0D5D"/>
    <w:rsid w:val="007F1606"/>
    <w:rsid w:val="007F1B78"/>
    <w:rsid w:val="007F57D2"/>
    <w:rsid w:val="007F7EC7"/>
    <w:rsid w:val="00801F5C"/>
    <w:rsid w:val="008034FB"/>
    <w:rsid w:val="0080480D"/>
    <w:rsid w:val="0080586B"/>
    <w:rsid w:val="008061EC"/>
    <w:rsid w:val="00806A19"/>
    <w:rsid w:val="00807CF2"/>
    <w:rsid w:val="00813157"/>
    <w:rsid w:val="0081417F"/>
    <w:rsid w:val="008145E5"/>
    <w:rsid w:val="00814638"/>
    <w:rsid w:val="00817E6B"/>
    <w:rsid w:val="00820DE0"/>
    <w:rsid w:val="008214B7"/>
    <w:rsid w:val="008245B4"/>
    <w:rsid w:val="00824749"/>
    <w:rsid w:val="0082508A"/>
    <w:rsid w:val="00826C91"/>
    <w:rsid w:val="00831520"/>
    <w:rsid w:val="0083413D"/>
    <w:rsid w:val="00835202"/>
    <w:rsid w:val="008352FA"/>
    <w:rsid w:val="00836877"/>
    <w:rsid w:val="00836BAA"/>
    <w:rsid w:val="0084102A"/>
    <w:rsid w:val="008414BF"/>
    <w:rsid w:val="00850537"/>
    <w:rsid w:val="0085589D"/>
    <w:rsid w:val="008578E6"/>
    <w:rsid w:val="00860B7D"/>
    <w:rsid w:val="00861578"/>
    <w:rsid w:val="00861FDC"/>
    <w:rsid w:val="00864119"/>
    <w:rsid w:val="00864B3E"/>
    <w:rsid w:val="00867032"/>
    <w:rsid w:val="00867375"/>
    <w:rsid w:val="0087066E"/>
    <w:rsid w:val="0087374C"/>
    <w:rsid w:val="008740DE"/>
    <w:rsid w:val="00874541"/>
    <w:rsid w:val="00874CF6"/>
    <w:rsid w:val="00875985"/>
    <w:rsid w:val="00876E95"/>
    <w:rsid w:val="00876EF4"/>
    <w:rsid w:val="008815A3"/>
    <w:rsid w:val="00882FDC"/>
    <w:rsid w:val="0088312D"/>
    <w:rsid w:val="008835C9"/>
    <w:rsid w:val="008908F2"/>
    <w:rsid w:val="00891F64"/>
    <w:rsid w:val="00892575"/>
    <w:rsid w:val="00897327"/>
    <w:rsid w:val="008976FB"/>
    <w:rsid w:val="008A1777"/>
    <w:rsid w:val="008A39E0"/>
    <w:rsid w:val="008A4371"/>
    <w:rsid w:val="008B0EB5"/>
    <w:rsid w:val="008B1626"/>
    <w:rsid w:val="008B222B"/>
    <w:rsid w:val="008B2245"/>
    <w:rsid w:val="008B4A60"/>
    <w:rsid w:val="008B4C09"/>
    <w:rsid w:val="008B50F1"/>
    <w:rsid w:val="008B54D4"/>
    <w:rsid w:val="008B7BFF"/>
    <w:rsid w:val="008B7DCB"/>
    <w:rsid w:val="008B7FEC"/>
    <w:rsid w:val="008C01B0"/>
    <w:rsid w:val="008C24C0"/>
    <w:rsid w:val="008C36A5"/>
    <w:rsid w:val="008C5096"/>
    <w:rsid w:val="008C5757"/>
    <w:rsid w:val="008D03EA"/>
    <w:rsid w:val="008D1F62"/>
    <w:rsid w:val="008D51EC"/>
    <w:rsid w:val="008D5F96"/>
    <w:rsid w:val="008D6B9A"/>
    <w:rsid w:val="008D6CDD"/>
    <w:rsid w:val="008D6E05"/>
    <w:rsid w:val="008E0581"/>
    <w:rsid w:val="008E3E12"/>
    <w:rsid w:val="008E5219"/>
    <w:rsid w:val="008E5ECF"/>
    <w:rsid w:val="008E6D58"/>
    <w:rsid w:val="008E7941"/>
    <w:rsid w:val="008E7A7C"/>
    <w:rsid w:val="008F12CC"/>
    <w:rsid w:val="008F147D"/>
    <w:rsid w:val="008F2055"/>
    <w:rsid w:val="008F23BB"/>
    <w:rsid w:val="008F2939"/>
    <w:rsid w:val="008F4401"/>
    <w:rsid w:val="008F6D36"/>
    <w:rsid w:val="008F712E"/>
    <w:rsid w:val="009006B6"/>
    <w:rsid w:val="00900CA2"/>
    <w:rsid w:val="00901425"/>
    <w:rsid w:val="00903D15"/>
    <w:rsid w:val="009045B4"/>
    <w:rsid w:val="00906B7C"/>
    <w:rsid w:val="009072EC"/>
    <w:rsid w:val="00910F22"/>
    <w:rsid w:val="009115FC"/>
    <w:rsid w:val="00914B69"/>
    <w:rsid w:val="009157A8"/>
    <w:rsid w:val="00915AE9"/>
    <w:rsid w:val="0091603A"/>
    <w:rsid w:val="00917307"/>
    <w:rsid w:val="00917A3A"/>
    <w:rsid w:val="00917D66"/>
    <w:rsid w:val="00920654"/>
    <w:rsid w:val="0092186D"/>
    <w:rsid w:val="00921A5D"/>
    <w:rsid w:val="00922139"/>
    <w:rsid w:val="00923098"/>
    <w:rsid w:val="009234AA"/>
    <w:rsid w:val="00924BEE"/>
    <w:rsid w:val="00925D96"/>
    <w:rsid w:val="00927272"/>
    <w:rsid w:val="00931227"/>
    <w:rsid w:val="0093143E"/>
    <w:rsid w:val="00931BFF"/>
    <w:rsid w:val="00932758"/>
    <w:rsid w:val="00934E32"/>
    <w:rsid w:val="00935461"/>
    <w:rsid w:val="0093705F"/>
    <w:rsid w:val="00940EF2"/>
    <w:rsid w:val="00943CC8"/>
    <w:rsid w:val="00944B89"/>
    <w:rsid w:val="00944C27"/>
    <w:rsid w:val="009464CD"/>
    <w:rsid w:val="00946F85"/>
    <w:rsid w:val="00947E5D"/>
    <w:rsid w:val="00951E0B"/>
    <w:rsid w:val="0095231E"/>
    <w:rsid w:val="0095422F"/>
    <w:rsid w:val="0095545A"/>
    <w:rsid w:val="00956616"/>
    <w:rsid w:val="00957964"/>
    <w:rsid w:val="0096033A"/>
    <w:rsid w:val="0096185D"/>
    <w:rsid w:val="00961FD1"/>
    <w:rsid w:val="0096271F"/>
    <w:rsid w:val="00962D0E"/>
    <w:rsid w:val="00963293"/>
    <w:rsid w:val="00966F7B"/>
    <w:rsid w:val="009679EF"/>
    <w:rsid w:val="00967D21"/>
    <w:rsid w:val="00967FC0"/>
    <w:rsid w:val="00970E48"/>
    <w:rsid w:val="00970F0D"/>
    <w:rsid w:val="0097137B"/>
    <w:rsid w:val="00971725"/>
    <w:rsid w:val="0097221E"/>
    <w:rsid w:val="00972A7B"/>
    <w:rsid w:val="00973F39"/>
    <w:rsid w:val="00977028"/>
    <w:rsid w:val="00977334"/>
    <w:rsid w:val="0098009D"/>
    <w:rsid w:val="0098041B"/>
    <w:rsid w:val="00982031"/>
    <w:rsid w:val="0098404C"/>
    <w:rsid w:val="009841CF"/>
    <w:rsid w:val="009843F2"/>
    <w:rsid w:val="00984E5E"/>
    <w:rsid w:val="00985E64"/>
    <w:rsid w:val="00985E93"/>
    <w:rsid w:val="009861AA"/>
    <w:rsid w:val="009868F0"/>
    <w:rsid w:val="009877FA"/>
    <w:rsid w:val="009912FA"/>
    <w:rsid w:val="00992212"/>
    <w:rsid w:val="00992C25"/>
    <w:rsid w:val="00992D7A"/>
    <w:rsid w:val="00992E8A"/>
    <w:rsid w:val="00994FDA"/>
    <w:rsid w:val="0099506F"/>
    <w:rsid w:val="00995DDC"/>
    <w:rsid w:val="009960C1"/>
    <w:rsid w:val="00997A34"/>
    <w:rsid w:val="009A04A1"/>
    <w:rsid w:val="009A3C42"/>
    <w:rsid w:val="009A445A"/>
    <w:rsid w:val="009A6AE4"/>
    <w:rsid w:val="009B11DC"/>
    <w:rsid w:val="009B1D9E"/>
    <w:rsid w:val="009B2A68"/>
    <w:rsid w:val="009B2B75"/>
    <w:rsid w:val="009B4164"/>
    <w:rsid w:val="009B4E26"/>
    <w:rsid w:val="009B7665"/>
    <w:rsid w:val="009B7C71"/>
    <w:rsid w:val="009C01EA"/>
    <w:rsid w:val="009C0F52"/>
    <w:rsid w:val="009C10A4"/>
    <w:rsid w:val="009C1114"/>
    <w:rsid w:val="009C1157"/>
    <w:rsid w:val="009C31BF"/>
    <w:rsid w:val="009C66A5"/>
    <w:rsid w:val="009C7000"/>
    <w:rsid w:val="009D1A09"/>
    <w:rsid w:val="009D5AD9"/>
    <w:rsid w:val="009D71B1"/>
    <w:rsid w:val="009E2684"/>
    <w:rsid w:val="009E2DD5"/>
    <w:rsid w:val="009E73C4"/>
    <w:rsid w:val="009F00CD"/>
    <w:rsid w:val="009F0A4E"/>
    <w:rsid w:val="009F1500"/>
    <w:rsid w:val="009F3929"/>
    <w:rsid w:val="009F3ADA"/>
    <w:rsid w:val="009F3E70"/>
    <w:rsid w:val="009F6B80"/>
    <w:rsid w:val="00A01F1A"/>
    <w:rsid w:val="00A022C2"/>
    <w:rsid w:val="00A026EB"/>
    <w:rsid w:val="00A02CD3"/>
    <w:rsid w:val="00A049E3"/>
    <w:rsid w:val="00A0595E"/>
    <w:rsid w:val="00A11B7C"/>
    <w:rsid w:val="00A121D3"/>
    <w:rsid w:val="00A132E7"/>
    <w:rsid w:val="00A158A1"/>
    <w:rsid w:val="00A164DB"/>
    <w:rsid w:val="00A16542"/>
    <w:rsid w:val="00A16A32"/>
    <w:rsid w:val="00A22B41"/>
    <w:rsid w:val="00A240D0"/>
    <w:rsid w:val="00A24B04"/>
    <w:rsid w:val="00A24DAA"/>
    <w:rsid w:val="00A30068"/>
    <w:rsid w:val="00A30FB8"/>
    <w:rsid w:val="00A3102A"/>
    <w:rsid w:val="00A31FC2"/>
    <w:rsid w:val="00A332BF"/>
    <w:rsid w:val="00A33D73"/>
    <w:rsid w:val="00A33F8D"/>
    <w:rsid w:val="00A35D0A"/>
    <w:rsid w:val="00A36AB4"/>
    <w:rsid w:val="00A36D03"/>
    <w:rsid w:val="00A3740E"/>
    <w:rsid w:val="00A378D0"/>
    <w:rsid w:val="00A40EBF"/>
    <w:rsid w:val="00A4102E"/>
    <w:rsid w:val="00A4207A"/>
    <w:rsid w:val="00A42A15"/>
    <w:rsid w:val="00A42A3F"/>
    <w:rsid w:val="00A449DE"/>
    <w:rsid w:val="00A471AF"/>
    <w:rsid w:val="00A546CF"/>
    <w:rsid w:val="00A54FA0"/>
    <w:rsid w:val="00A56CD4"/>
    <w:rsid w:val="00A610D8"/>
    <w:rsid w:val="00A616D0"/>
    <w:rsid w:val="00A61F57"/>
    <w:rsid w:val="00A632AA"/>
    <w:rsid w:val="00A6345E"/>
    <w:rsid w:val="00A63D15"/>
    <w:rsid w:val="00A647FD"/>
    <w:rsid w:val="00A65074"/>
    <w:rsid w:val="00A654D4"/>
    <w:rsid w:val="00A756BC"/>
    <w:rsid w:val="00A76A8F"/>
    <w:rsid w:val="00A770A1"/>
    <w:rsid w:val="00A80C63"/>
    <w:rsid w:val="00A84047"/>
    <w:rsid w:val="00A85977"/>
    <w:rsid w:val="00A85A7B"/>
    <w:rsid w:val="00A866B2"/>
    <w:rsid w:val="00A905C3"/>
    <w:rsid w:val="00A90787"/>
    <w:rsid w:val="00A926A7"/>
    <w:rsid w:val="00A92CF2"/>
    <w:rsid w:val="00A94367"/>
    <w:rsid w:val="00A96B21"/>
    <w:rsid w:val="00AA1696"/>
    <w:rsid w:val="00AA1852"/>
    <w:rsid w:val="00AA1EDA"/>
    <w:rsid w:val="00AA31BE"/>
    <w:rsid w:val="00AA36F8"/>
    <w:rsid w:val="00AA5F7A"/>
    <w:rsid w:val="00AB0B49"/>
    <w:rsid w:val="00AB142D"/>
    <w:rsid w:val="00AB19B0"/>
    <w:rsid w:val="00AB229E"/>
    <w:rsid w:val="00AB2EA8"/>
    <w:rsid w:val="00AB5291"/>
    <w:rsid w:val="00AB5678"/>
    <w:rsid w:val="00AB714C"/>
    <w:rsid w:val="00AC0070"/>
    <w:rsid w:val="00AC1BB9"/>
    <w:rsid w:val="00AC2622"/>
    <w:rsid w:val="00AC2F9C"/>
    <w:rsid w:val="00AC4C5C"/>
    <w:rsid w:val="00AC54D6"/>
    <w:rsid w:val="00AC5A9A"/>
    <w:rsid w:val="00AD023A"/>
    <w:rsid w:val="00AD38F4"/>
    <w:rsid w:val="00AD4EF9"/>
    <w:rsid w:val="00AE18B0"/>
    <w:rsid w:val="00AE1A95"/>
    <w:rsid w:val="00AE46AC"/>
    <w:rsid w:val="00AE63B5"/>
    <w:rsid w:val="00AE65F1"/>
    <w:rsid w:val="00AE7552"/>
    <w:rsid w:val="00AF03AB"/>
    <w:rsid w:val="00AF04FE"/>
    <w:rsid w:val="00AF1E04"/>
    <w:rsid w:val="00AF2776"/>
    <w:rsid w:val="00AF3F86"/>
    <w:rsid w:val="00AF45A2"/>
    <w:rsid w:val="00AF4914"/>
    <w:rsid w:val="00AF4A09"/>
    <w:rsid w:val="00AF553E"/>
    <w:rsid w:val="00AF6587"/>
    <w:rsid w:val="00AF7621"/>
    <w:rsid w:val="00AF7F3C"/>
    <w:rsid w:val="00B00D1B"/>
    <w:rsid w:val="00B0118A"/>
    <w:rsid w:val="00B01A3B"/>
    <w:rsid w:val="00B0205C"/>
    <w:rsid w:val="00B0384D"/>
    <w:rsid w:val="00B0408E"/>
    <w:rsid w:val="00B052EA"/>
    <w:rsid w:val="00B0577B"/>
    <w:rsid w:val="00B06109"/>
    <w:rsid w:val="00B068BC"/>
    <w:rsid w:val="00B07907"/>
    <w:rsid w:val="00B1141D"/>
    <w:rsid w:val="00B11529"/>
    <w:rsid w:val="00B11534"/>
    <w:rsid w:val="00B12123"/>
    <w:rsid w:val="00B178D7"/>
    <w:rsid w:val="00B17954"/>
    <w:rsid w:val="00B17E71"/>
    <w:rsid w:val="00B2222D"/>
    <w:rsid w:val="00B2281E"/>
    <w:rsid w:val="00B233B6"/>
    <w:rsid w:val="00B238AA"/>
    <w:rsid w:val="00B24895"/>
    <w:rsid w:val="00B25210"/>
    <w:rsid w:val="00B2568C"/>
    <w:rsid w:val="00B26B45"/>
    <w:rsid w:val="00B304EF"/>
    <w:rsid w:val="00B3308B"/>
    <w:rsid w:val="00B338DE"/>
    <w:rsid w:val="00B33F5C"/>
    <w:rsid w:val="00B3637E"/>
    <w:rsid w:val="00B364ED"/>
    <w:rsid w:val="00B36EA9"/>
    <w:rsid w:val="00B370D7"/>
    <w:rsid w:val="00B37A1D"/>
    <w:rsid w:val="00B40CE5"/>
    <w:rsid w:val="00B44C7F"/>
    <w:rsid w:val="00B46619"/>
    <w:rsid w:val="00B47002"/>
    <w:rsid w:val="00B47771"/>
    <w:rsid w:val="00B542C2"/>
    <w:rsid w:val="00B54944"/>
    <w:rsid w:val="00B54BFC"/>
    <w:rsid w:val="00B55185"/>
    <w:rsid w:val="00B558A8"/>
    <w:rsid w:val="00B5634C"/>
    <w:rsid w:val="00B5686C"/>
    <w:rsid w:val="00B56C6E"/>
    <w:rsid w:val="00B56EA7"/>
    <w:rsid w:val="00B604E1"/>
    <w:rsid w:val="00B60947"/>
    <w:rsid w:val="00B613D2"/>
    <w:rsid w:val="00B62D4B"/>
    <w:rsid w:val="00B64B35"/>
    <w:rsid w:val="00B7062B"/>
    <w:rsid w:val="00B72206"/>
    <w:rsid w:val="00B722F0"/>
    <w:rsid w:val="00B72407"/>
    <w:rsid w:val="00B726E4"/>
    <w:rsid w:val="00B73D03"/>
    <w:rsid w:val="00B75412"/>
    <w:rsid w:val="00B76649"/>
    <w:rsid w:val="00B773A3"/>
    <w:rsid w:val="00B82D5F"/>
    <w:rsid w:val="00B83962"/>
    <w:rsid w:val="00B85878"/>
    <w:rsid w:val="00B85917"/>
    <w:rsid w:val="00B86F22"/>
    <w:rsid w:val="00B91D1D"/>
    <w:rsid w:val="00B9206A"/>
    <w:rsid w:val="00B92346"/>
    <w:rsid w:val="00B93925"/>
    <w:rsid w:val="00B963AC"/>
    <w:rsid w:val="00BA0641"/>
    <w:rsid w:val="00BA16A5"/>
    <w:rsid w:val="00BA19EA"/>
    <w:rsid w:val="00BA42B4"/>
    <w:rsid w:val="00BA5842"/>
    <w:rsid w:val="00BA68A1"/>
    <w:rsid w:val="00BA7437"/>
    <w:rsid w:val="00BB060B"/>
    <w:rsid w:val="00BB112F"/>
    <w:rsid w:val="00BB2F23"/>
    <w:rsid w:val="00BB3533"/>
    <w:rsid w:val="00BB3C53"/>
    <w:rsid w:val="00BB4129"/>
    <w:rsid w:val="00BB4481"/>
    <w:rsid w:val="00BB4FD4"/>
    <w:rsid w:val="00BB7D79"/>
    <w:rsid w:val="00BC0035"/>
    <w:rsid w:val="00BC06FA"/>
    <w:rsid w:val="00BC3B6D"/>
    <w:rsid w:val="00BC3DCB"/>
    <w:rsid w:val="00BC4461"/>
    <w:rsid w:val="00BC4F85"/>
    <w:rsid w:val="00BC6FA6"/>
    <w:rsid w:val="00BC753F"/>
    <w:rsid w:val="00BC7EDC"/>
    <w:rsid w:val="00BD057F"/>
    <w:rsid w:val="00BD0642"/>
    <w:rsid w:val="00BD0AD7"/>
    <w:rsid w:val="00BD205E"/>
    <w:rsid w:val="00BD2C75"/>
    <w:rsid w:val="00BD319B"/>
    <w:rsid w:val="00BD73A6"/>
    <w:rsid w:val="00BE13B9"/>
    <w:rsid w:val="00BE1722"/>
    <w:rsid w:val="00BE677B"/>
    <w:rsid w:val="00BE6A7E"/>
    <w:rsid w:val="00BE7960"/>
    <w:rsid w:val="00BF0089"/>
    <w:rsid w:val="00BF5A97"/>
    <w:rsid w:val="00BF60B0"/>
    <w:rsid w:val="00BF6B04"/>
    <w:rsid w:val="00BF70BA"/>
    <w:rsid w:val="00C006C6"/>
    <w:rsid w:val="00C01DC2"/>
    <w:rsid w:val="00C0374B"/>
    <w:rsid w:val="00C05576"/>
    <w:rsid w:val="00C071DA"/>
    <w:rsid w:val="00C07B3C"/>
    <w:rsid w:val="00C10477"/>
    <w:rsid w:val="00C10BE5"/>
    <w:rsid w:val="00C1101E"/>
    <w:rsid w:val="00C11695"/>
    <w:rsid w:val="00C1332A"/>
    <w:rsid w:val="00C147DB"/>
    <w:rsid w:val="00C16430"/>
    <w:rsid w:val="00C17B00"/>
    <w:rsid w:val="00C204FF"/>
    <w:rsid w:val="00C208C6"/>
    <w:rsid w:val="00C20A83"/>
    <w:rsid w:val="00C22D49"/>
    <w:rsid w:val="00C22F93"/>
    <w:rsid w:val="00C2354A"/>
    <w:rsid w:val="00C23A13"/>
    <w:rsid w:val="00C24E99"/>
    <w:rsid w:val="00C2529F"/>
    <w:rsid w:val="00C25A29"/>
    <w:rsid w:val="00C263C4"/>
    <w:rsid w:val="00C26B50"/>
    <w:rsid w:val="00C30DD2"/>
    <w:rsid w:val="00C30DFF"/>
    <w:rsid w:val="00C31302"/>
    <w:rsid w:val="00C32CC2"/>
    <w:rsid w:val="00C33186"/>
    <w:rsid w:val="00C33724"/>
    <w:rsid w:val="00C33C2D"/>
    <w:rsid w:val="00C36A33"/>
    <w:rsid w:val="00C36C51"/>
    <w:rsid w:val="00C374D4"/>
    <w:rsid w:val="00C40D78"/>
    <w:rsid w:val="00C41782"/>
    <w:rsid w:val="00C42F7C"/>
    <w:rsid w:val="00C47452"/>
    <w:rsid w:val="00C50856"/>
    <w:rsid w:val="00C50C88"/>
    <w:rsid w:val="00C51EB2"/>
    <w:rsid w:val="00C5208B"/>
    <w:rsid w:val="00C52F00"/>
    <w:rsid w:val="00C53A6D"/>
    <w:rsid w:val="00C5425C"/>
    <w:rsid w:val="00C54518"/>
    <w:rsid w:val="00C54DE2"/>
    <w:rsid w:val="00C55931"/>
    <w:rsid w:val="00C55A49"/>
    <w:rsid w:val="00C55C65"/>
    <w:rsid w:val="00C56CD6"/>
    <w:rsid w:val="00C601C6"/>
    <w:rsid w:val="00C60D0E"/>
    <w:rsid w:val="00C61F17"/>
    <w:rsid w:val="00C66424"/>
    <w:rsid w:val="00C70225"/>
    <w:rsid w:val="00C70C44"/>
    <w:rsid w:val="00C71A68"/>
    <w:rsid w:val="00C72919"/>
    <w:rsid w:val="00C7670A"/>
    <w:rsid w:val="00C81614"/>
    <w:rsid w:val="00C819F5"/>
    <w:rsid w:val="00C82732"/>
    <w:rsid w:val="00C82FCA"/>
    <w:rsid w:val="00C8470C"/>
    <w:rsid w:val="00C848C6"/>
    <w:rsid w:val="00C859D1"/>
    <w:rsid w:val="00C87C6A"/>
    <w:rsid w:val="00C9077A"/>
    <w:rsid w:val="00C91380"/>
    <w:rsid w:val="00C91E2C"/>
    <w:rsid w:val="00C9235D"/>
    <w:rsid w:val="00C92566"/>
    <w:rsid w:val="00C93900"/>
    <w:rsid w:val="00C94C37"/>
    <w:rsid w:val="00CA3671"/>
    <w:rsid w:val="00CA3989"/>
    <w:rsid w:val="00CA5384"/>
    <w:rsid w:val="00CA5627"/>
    <w:rsid w:val="00CA62F1"/>
    <w:rsid w:val="00CB01DF"/>
    <w:rsid w:val="00CB0FD5"/>
    <w:rsid w:val="00CB4118"/>
    <w:rsid w:val="00CB5BD7"/>
    <w:rsid w:val="00CB616E"/>
    <w:rsid w:val="00CC0F16"/>
    <w:rsid w:val="00CC12A3"/>
    <w:rsid w:val="00CC1B7A"/>
    <w:rsid w:val="00CC21BC"/>
    <w:rsid w:val="00CC271D"/>
    <w:rsid w:val="00CC2DB8"/>
    <w:rsid w:val="00CC2FC7"/>
    <w:rsid w:val="00CC3FBD"/>
    <w:rsid w:val="00CC450E"/>
    <w:rsid w:val="00CC627E"/>
    <w:rsid w:val="00CC7F68"/>
    <w:rsid w:val="00CD053E"/>
    <w:rsid w:val="00CD1F4F"/>
    <w:rsid w:val="00CD20F4"/>
    <w:rsid w:val="00CD3CB6"/>
    <w:rsid w:val="00CD47AA"/>
    <w:rsid w:val="00CD5518"/>
    <w:rsid w:val="00CD773E"/>
    <w:rsid w:val="00CD7777"/>
    <w:rsid w:val="00CE07C6"/>
    <w:rsid w:val="00CE36CE"/>
    <w:rsid w:val="00CE3A47"/>
    <w:rsid w:val="00CE444C"/>
    <w:rsid w:val="00CE5D9C"/>
    <w:rsid w:val="00CF00CC"/>
    <w:rsid w:val="00CF01C7"/>
    <w:rsid w:val="00CF3E85"/>
    <w:rsid w:val="00CF5C7E"/>
    <w:rsid w:val="00CF64F3"/>
    <w:rsid w:val="00CF6EA3"/>
    <w:rsid w:val="00CF6ED9"/>
    <w:rsid w:val="00CF70AB"/>
    <w:rsid w:val="00CF780C"/>
    <w:rsid w:val="00CF788E"/>
    <w:rsid w:val="00D01066"/>
    <w:rsid w:val="00D01938"/>
    <w:rsid w:val="00D027EA"/>
    <w:rsid w:val="00D03BBC"/>
    <w:rsid w:val="00D045EE"/>
    <w:rsid w:val="00D05103"/>
    <w:rsid w:val="00D07412"/>
    <w:rsid w:val="00D160C4"/>
    <w:rsid w:val="00D162E1"/>
    <w:rsid w:val="00D163F5"/>
    <w:rsid w:val="00D16B91"/>
    <w:rsid w:val="00D20228"/>
    <w:rsid w:val="00D2193E"/>
    <w:rsid w:val="00D21E5E"/>
    <w:rsid w:val="00D22071"/>
    <w:rsid w:val="00D2459A"/>
    <w:rsid w:val="00D251F2"/>
    <w:rsid w:val="00D25512"/>
    <w:rsid w:val="00D3059B"/>
    <w:rsid w:val="00D30AC5"/>
    <w:rsid w:val="00D30B3D"/>
    <w:rsid w:val="00D3309F"/>
    <w:rsid w:val="00D343FD"/>
    <w:rsid w:val="00D35409"/>
    <w:rsid w:val="00D36629"/>
    <w:rsid w:val="00D369AD"/>
    <w:rsid w:val="00D37155"/>
    <w:rsid w:val="00D37679"/>
    <w:rsid w:val="00D3769D"/>
    <w:rsid w:val="00D37EAB"/>
    <w:rsid w:val="00D402AA"/>
    <w:rsid w:val="00D406E3"/>
    <w:rsid w:val="00D407C3"/>
    <w:rsid w:val="00D43A17"/>
    <w:rsid w:val="00D43E97"/>
    <w:rsid w:val="00D4744F"/>
    <w:rsid w:val="00D508D2"/>
    <w:rsid w:val="00D524EA"/>
    <w:rsid w:val="00D53C66"/>
    <w:rsid w:val="00D547A7"/>
    <w:rsid w:val="00D54AF3"/>
    <w:rsid w:val="00D54B52"/>
    <w:rsid w:val="00D5613B"/>
    <w:rsid w:val="00D56AEC"/>
    <w:rsid w:val="00D60046"/>
    <w:rsid w:val="00D62018"/>
    <w:rsid w:val="00D62307"/>
    <w:rsid w:val="00D62A9D"/>
    <w:rsid w:val="00D639BB"/>
    <w:rsid w:val="00D63F22"/>
    <w:rsid w:val="00D645C5"/>
    <w:rsid w:val="00D6478D"/>
    <w:rsid w:val="00D64B1E"/>
    <w:rsid w:val="00D65E38"/>
    <w:rsid w:val="00D66017"/>
    <w:rsid w:val="00D67B0D"/>
    <w:rsid w:val="00D70332"/>
    <w:rsid w:val="00D706A2"/>
    <w:rsid w:val="00D71A74"/>
    <w:rsid w:val="00D71FFB"/>
    <w:rsid w:val="00D7352B"/>
    <w:rsid w:val="00D743A0"/>
    <w:rsid w:val="00D76F7B"/>
    <w:rsid w:val="00D771B3"/>
    <w:rsid w:val="00D80724"/>
    <w:rsid w:val="00D80783"/>
    <w:rsid w:val="00D82518"/>
    <w:rsid w:val="00D82587"/>
    <w:rsid w:val="00D833CB"/>
    <w:rsid w:val="00D83F89"/>
    <w:rsid w:val="00D85E8B"/>
    <w:rsid w:val="00D90EA1"/>
    <w:rsid w:val="00D92DE5"/>
    <w:rsid w:val="00D9330B"/>
    <w:rsid w:val="00D94103"/>
    <w:rsid w:val="00D948E4"/>
    <w:rsid w:val="00D97609"/>
    <w:rsid w:val="00D97D08"/>
    <w:rsid w:val="00DA135F"/>
    <w:rsid w:val="00DA377D"/>
    <w:rsid w:val="00DA6448"/>
    <w:rsid w:val="00DA666A"/>
    <w:rsid w:val="00DB0D3D"/>
    <w:rsid w:val="00DB3674"/>
    <w:rsid w:val="00DB41F6"/>
    <w:rsid w:val="00DB7669"/>
    <w:rsid w:val="00DC0E2B"/>
    <w:rsid w:val="00DC1E3A"/>
    <w:rsid w:val="00DC305A"/>
    <w:rsid w:val="00DC4B89"/>
    <w:rsid w:val="00DC7557"/>
    <w:rsid w:val="00DC76D5"/>
    <w:rsid w:val="00DC7988"/>
    <w:rsid w:val="00DD0641"/>
    <w:rsid w:val="00DD27B2"/>
    <w:rsid w:val="00DD2CB6"/>
    <w:rsid w:val="00DD4EAE"/>
    <w:rsid w:val="00DD5E51"/>
    <w:rsid w:val="00DD7554"/>
    <w:rsid w:val="00DD7AAF"/>
    <w:rsid w:val="00DE0599"/>
    <w:rsid w:val="00DE149B"/>
    <w:rsid w:val="00DE1E4E"/>
    <w:rsid w:val="00DE2986"/>
    <w:rsid w:val="00DE33A7"/>
    <w:rsid w:val="00DE3A14"/>
    <w:rsid w:val="00DE3F86"/>
    <w:rsid w:val="00DE6058"/>
    <w:rsid w:val="00DE715C"/>
    <w:rsid w:val="00DE72F6"/>
    <w:rsid w:val="00DE79A2"/>
    <w:rsid w:val="00DF07D5"/>
    <w:rsid w:val="00DF10A8"/>
    <w:rsid w:val="00DF2ADC"/>
    <w:rsid w:val="00DF339C"/>
    <w:rsid w:val="00DF4CBE"/>
    <w:rsid w:val="00DF6B74"/>
    <w:rsid w:val="00DF7587"/>
    <w:rsid w:val="00E03DCE"/>
    <w:rsid w:val="00E04399"/>
    <w:rsid w:val="00E04EDF"/>
    <w:rsid w:val="00E059C2"/>
    <w:rsid w:val="00E05FCF"/>
    <w:rsid w:val="00E06173"/>
    <w:rsid w:val="00E071B7"/>
    <w:rsid w:val="00E10AF9"/>
    <w:rsid w:val="00E10C48"/>
    <w:rsid w:val="00E13A57"/>
    <w:rsid w:val="00E13E28"/>
    <w:rsid w:val="00E1559C"/>
    <w:rsid w:val="00E1597C"/>
    <w:rsid w:val="00E16690"/>
    <w:rsid w:val="00E16EC8"/>
    <w:rsid w:val="00E17605"/>
    <w:rsid w:val="00E208E8"/>
    <w:rsid w:val="00E209B2"/>
    <w:rsid w:val="00E22438"/>
    <w:rsid w:val="00E235D8"/>
    <w:rsid w:val="00E270D1"/>
    <w:rsid w:val="00E27BF4"/>
    <w:rsid w:val="00E31691"/>
    <w:rsid w:val="00E316AB"/>
    <w:rsid w:val="00E32947"/>
    <w:rsid w:val="00E33AF6"/>
    <w:rsid w:val="00E35315"/>
    <w:rsid w:val="00E36163"/>
    <w:rsid w:val="00E36352"/>
    <w:rsid w:val="00E37A06"/>
    <w:rsid w:val="00E417B6"/>
    <w:rsid w:val="00E42863"/>
    <w:rsid w:val="00E42A64"/>
    <w:rsid w:val="00E43C18"/>
    <w:rsid w:val="00E44467"/>
    <w:rsid w:val="00E44D13"/>
    <w:rsid w:val="00E45091"/>
    <w:rsid w:val="00E45F76"/>
    <w:rsid w:val="00E47E62"/>
    <w:rsid w:val="00E47E65"/>
    <w:rsid w:val="00E51B6C"/>
    <w:rsid w:val="00E51D6C"/>
    <w:rsid w:val="00E52A75"/>
    <w:rsid w:val="00E5411B"/>
    <w:rsid w:val="00E54286"/>
    <w:rsid w:val="00E54979"/>
    <w:rsid w:val="00E54C26"/>
    <w:rsid w:val="00E54FE3"/>
    <w:rsid w:val="00E55E34"/>
    <w:rsid w:val="00E56532"/>
    <w:rsid w:val="00E57E22"/>
    <w:rsid w:val="00E60036"/>
    <w:rsid w:val="00E602DE"/>
    <w:rsid w:val="00E64BAE"/>
    <w:rsid w:val="00E6558C"/>
    <w:rsid w:val="00E65A30"/>
    <w:rsid w:val="00E66143"/>
    <w:rsid w:val="00E6623F"/>
    <w:rsid w:val="00E665D0"/>
    <w:rsid w:val="00E67AD4"/>
    <w:rsid w:val="00E720ED"/>
    <w:rsid w:val="00E7460D"/>
    <w:rsid w:val="00E75599"/>
    <w:rsid w:val="00E76C6B"/>
    <w:rsid w:val="00E77CB3"/>
    <w:rsid w:val="00E800D0"/>
    <w:rsid w:val="00E80298"/>
    <w:rsid w:val="00E81767"/>
    <w:rsid w:val="00E81D72"/>
    <w:rsid w:val="00E8329A"/>
    <w:rsid w:val="00E85158"/>
    <w:rsid w:val="00E85688"/>
    <w:rsid w:val="00E85B84"/>
    <w:rsid w:val="00E86385"/>
    <w:rsid w:val="00E86E24"/>
    <w:rsid w:val="00E87C5B"/>
    <w:rsid w:val="00E9135F"/>
    <w:rsid w:val="00E91EA7"/>
    <w:rsid w:val="00E9273E"/>
    <w:rsid w:val="00E93F3D"/>
    <w:rsid w:val="00EA330B"/>
    <w:rsid w:val="00EA3620"/>
    <w:rsid w:val="00EA442C"/>
    <w:rsid w:val="00EA53E7"/>
    <w:rsid w:val="00EA5DE5"/>
    <w:rsid w:val="00EA7560"/>
    <w:rsid w:val="00EB0376"/>
    <w:rsid w:val="00EB1BD3"/>
    <w:rsid w:val="00EB3D94"/>
    <w:rsid w:val="00EB4ABC"/>
    <w:rsid w:val="00EB58E0"/>
    <w:rsid w:val="00EB5998"/>
    <w:rsid w:val="00EB757C"/>
    <w:rsid w:val="00EB7846"/>
    <w:rsid w:val="00EB797D"/>
    <w:rsid w:val="00EC0812"/>
    <w:rsid w:val="00EC082F"/>
    <w:rsid w:val="00EC12FC"/>
    <w:rsid w:val="00EC1D6D"/>
    <w:rsid w:val="00EC2BB2"/>
    <w:rsid w:val="00EC4407"/>
    <w:rsid w:val="00EC5EB9"/>
    <w:rsid w:val="00ED1066"/>
    <w:rsid w:val="00ED371A"/>
    <w:rsid w:val="00ED3849"/>
    <w:rsid w:val="00ED4AD8"/>
    <w:rsid w:val="00ED61C2"/>
    <w:rsid w:val="00ED6437"/>
    <w:rsid w:val="00ED6E76"/>
    <w:rsid w:val="00EE187D"/>
    <w:rsid w:val="00EE1910"/>
    <w:rsid w:val="00EE2027"/>
    <w:rsid w:val="00EE5129"/>
    <w:rsid w:val="00EE655E"/>
    <w:rsid w:val="00EE6BD6"/>
    <w:rsid w:val="00EF00F2"/>
    <w:rsid w:val="00EF1F47"/>
    <w:rsid w:val="00EF23DF"/>
    <w:rsid w:val="00EF43CC"/>
    <w:rsid w:val="00EF441D"/>
    <w:rsid w:val="00EF479A"/>
    <w:rsid w:val="00EF4D28"/>
    <w:rsid w:val="00EF568B"/>
    <w:rsid w:val="00F00284"/>
    <w:rsid w:val="00F00C27"/>
    <w:rsid w:val="00F01DD4"/>
    <w:rsid w:val="00F0285B"/>
    <w:rsid w:val="00F03480"/>
    <w:rsid w:val="00F05A15"/>
    <w:rsid w:val="00F10307"/>
    <w:rsid w:val="00F107CC"/>
    <w:rsid w:val="00F11F38"/>
    <w:rsid w:val="00F13625"/>
    <w:rsid w:val="00F1471C"/>
    <w:rsid w:val="00F148D9"/>
    <w:rsid w:val="00F15247"/>
    <w:rsid w:val="00F15337"/>
    <w:rsid w:val="00F15B39"/>
    <w:rsid w:val="00F15B4B"/>
    <w:rsid w:val="00F16A91"/>
    <w:rsid w:val="00F21311"/>
    <w:rsid w:val="00F23E85"/>
    <w:rsid w:val="00F24CD5"/>
    <w:rsid w:val="00F258FB"/>
    <w:rsid w:val="00F26665"/>
    <w:rsid w:val="00F27716"/>
    <w:rsid w:val="00F30B78"/>
    <w:rsid w:val="00F31F6D"/>
    <w:rsid w:val="00F34C5F"/>
    <w:rsid w:val="00F357F5"/>
    <w:rsid w:val="00F42A85"/>
    <w:rsid w:val="00F43766"/>
    <w:rsid w:val="00F43BFB"/>
    <w:rsid w:val="00F44186"/>
    <w:rsid w:val="00F4474B"/>
    <w:rsid w:val="00F44C26"/>
    <w:rsid w:val="00F453CF"/>
    <w:rsid w:val="00F45954"/>
    <w:rsid w:val="00F45DDC"/>
    <w:rsid w:val="00F45FBA"/>
    <w:rsid w:val="00F4723F"/>
    <w:rsid w:val="00F475E8"/>
    <w:rsid w:val="00F47724"/>
    <w:rsid w:val="00F522CA"/>
    <w:rsid w:val="00F57E59"/>
    <w:rsid w:val="00F60221"/>
    <w:rsid w:val="00F60576"/>
    <w:rsid w:val="00F6065D"/>
    <w:rsid w:val="00F60C19"/>
    <w:rsid w:val="00F61304"/>
    <w:rsid w:val="00F61EF4"/>
    <w:rsid w:val="00F64AA6"/>
    <w:rsid w:val="00F64DB8"/>
    <w:rsid w:val="00F65FEF"/>
    <w:rsid w:val="00F6646E"/>
    <w:rsid w:val="00F72790"/>
    <w:rsid w:val="00F7384D"/>
    <w:rsid w:val="00F738A2"/>
    <w:rsid w:val="00F73E15"/>
    <w:rsid w:val="00F75DE4"/>
    <w:rsid w:val="00F76098"/>
    <w:rsid w:val="00F7678C"/>
    <w:rsid w:val="00F773D4"/>
    <w:rsid w:val="00F8072B"/>
    <w:rsid w:val="00F8184A"/>
    <w:rsid w:val="00F82BEB"/>
    <w:rsid w:val="00F84D42"/>
    <w:rsid w:val="00F84F90"/>
    <w:rsid w:val="00F85FD1"/>
    <w:rsid w:val="00F86313"/>
    <w:rsid w:val="00F8692F"/>
    <w:rsid w:val="00F86B5F"/>
    <w:rsid w:val="00F939B0"/>
    <w:rsid w:val="00F943EE"/>
    <w:rsid w:val="00F956DA"/>
    <w:rsid w:val="00F95C38"/>
    <w:rsid w:val="00F95D5A"/>
    <w:rsid w:val="00F96145"/>
    <w:rsid w:val="00F96C47"/>
    <w:rsid w:val="00F97C1A"/>
    <w:rsid w:val="00FA0E67"/>
    <w:rsid w:val="00FA18C9"/>
    <w:rsid w:val="00FA23B6"/>
    <w:rsid w:val="00FA2B1D"/>
    <w:rsid w:val="00FA4B38"/>
    <w:rsid w:val="00FA61C5"/>
    <w:rsid w:val="00FB0900"/>
    <w:rsid w:val="00FB10F5"/>
    <w:rsid w:val="00FB1E18"/>
    <w:rsid w:val="00FB22ED"/>
    <w:rsid w:val="00FB2AFD"/>
    <w:rsid w:val="00FB3686"/>
    <w:rsid w:val="00FB7D2A"/>
    <w:rsid w:val="00FC0DFD"/>
    <w:rsid w:val="00FC0F5F"/>
    <w:rsid w:val="00FC1B1D"/>
    <w:rsid w:val="00FC32FE"/>
    <w:rsid w:val="00FC3C41"/>
    <w:rsid w:val="00FC79CE"/>
    <w:rsid w:val="00FC7BD0"/>
    <w:rsid w:val="00FD5B47"/>
    <w:rsid w:val="00FD5DEA"/>
    <w:rsid w:val="00FD6CE7"/>
    <w:rsid w:val="00FE02B2"/>
    <w:rsid w:val="00FE0D08"/>
    <w:rsid w:val="00FE11B7"/>
    <w:rsid w:val="00FE1FE2"/>
    <w:rsid w:val="00FE2996"/>
    <w:rsid w:val="00FE33CB"/>
    <w:rsid w:val="00FE4D28"/>
    <w:rsid w:val="00FE5AAE"/>
    <w:rsid w:val="00FE5E46"/>
    <w:rsid w:val="00FE6579"/>
    <w:rsid w:val="00FE7B08"/>
    <w:rsid w:val="00FF0CA1"/>
    <w:rsid w:val="00FF144C"/>
    <w:rsid w:val="00FF14C9"/>
    <w:rsid w:val="00FF24A0"/>
    <w:rsid w:val="00FF39AE"/>
    <w:rsid w:val="00FF3C46"/>
    <w:rsid w:val="00FF4779"/>
    <w:rsid w:val="00FF5975"/>
    <w:rsid w:val="00FF6D7D"/>
    <w:rsid w:val="00FF7C73"/>
    <w:rsid w:val="01508B29"/>
    <w:rsid w:val="0168B27A"/>
    <w:rsid w:val="023B2DB4"/>
    <w:rsid w:val="02B182DB"/>
    <w:rsid w:val="02FE6750"/>
    <w:rsid w:val="033B0C12"/>
    <w:rsid w:val="0374196C"/>
    <w:rsid w:val="03833EEF"/>
    <w:rsid w:val="03DFBF81"/>
    <w:rsid w:val="03E08874"/>
    <w:rsid w:val="042EDC55"/>
    <w:rsid w:val="0600EA39"/>
    <w:rsid w:val="06AF78D4"/>
    <w:rsid w:val="076A9314"/>
    <w:rsid w:val="07DE5C24"/>
    <w:rsid w:val="0856FFF9"/>
    <w:rsid w:val="08865B5B"/>
    <w:rsid w:val="08DAC6B9"/>
    <w:rsid w:val="090AF601"/>
    <w:rsid w:val="098997BD"/>
    <w:rsid w:val="099EFA62"/>
    <w:rsid w:val="09FE80DA"/>
    <w:rsid w:val="0A759AFB"/>
    <w:rsid w:val="0A833788"/>
    <w:rsid w:val="0B4B3D63"/>
    <w:rsid w:val="0BE46DDA"/>
    <w:rsid w:val="0BEBA07B"/>
    <w:rsid w:val="0BEF2784"/>
    <w:rsid w:val="0BFADE48"/>
    <w:rsid w:val="0C26B764"/>
    <w:rsid w:val="0C37830A"/>
    <w:rsid w:val="0D06C1E6"/>
    <w:rsid w:val="0D100CE1"/>
    <w:rsid w:val="0D869148"/>
    <w:rsid w:val="0E4A3572"/>
    <w:rsid w:val="0ED487F7"/>
    <w:rsid w:val="0F344049"/>
    <w:rsid w:val="0F864886"/>
    <w:rsid w:val="10949F06"/>
    <w:rsid w:val="11855EA2"/>
    <w:rsid w:val="1380586D"/>
    <w:rsid w:val="13DB80C9"/>
    <w:rsid w:val="14D4FC38"/>
    <w:rsid w:val="14E21E5A"/>
    <w:rsid w:val="185BBBBC"/>
    <w:rsid w:val="1957C9A5"/>
    <w:rsid w:val="1964AFF4"/>
    <w:rsid w:val="19C3CA64"/>
    <w:rsid w:val="1A4C24AB"/>
    <w:rsid w:val="1B0BC378"/>
    <w:rsid w:val="1B7FC08F"/>
    <w:rsid w:val="1B9B7639"/>
    <w:rsid w:val="1BF5E80C"/>
    <w:rsid w:val="1CC81149"/>
    <w:rsid w:val="1D32813D"/>
    <w:rsid w:val="1DC2E02A"/>
    <w:rsid w:val="1DE673DE"/>
    <w:rsid w:val="1E17C77E"/>
    <w:rsid w:val="1E60BDE3"/>
    <w:rsid w:val="1EF6618A"/>
    <w:rsid w:val="1FFAFAAD"/>
    <w:rsid w:val="206EE75C"/>
    <w:rsid w:val="2149E794"/>
    <w:rsid w:val="21699ABB"/>
    <w:rsid w:val="21ACCB42"/>
    <w:rsid w:val="2210905D"/>
    <w:rsid w:val="221C6E01"/>
    <w:rsid w:val="2275571B"/>
    <w:rsid w:val="23A48FE0"/>
    <w:rsid w:val="23A88BEF"/>
    <w:rsid w:val="23CF85A8"/>
    <w:rsid w:val="24818856"/>
    <w:rsid w:val="24912FA9"/>
    <w:rsid w:val="24929C00"/>
    <w:rsid w:val="24AF1D50"/>
    <w:rsid w:val="24EC8CE6"/>
    <w:rsid w:val="25A53D28"/>
    <w:rsid w:val="26AB9BB8"/>
    <w:rsid w:val="27BCF8EA"/>
    <w:rsid w:val="293BD11C"/>
    <w:rsid w:val="2AC19FD9"/>
    <w:rsid w:val="2BC467B8"/>
    <w:rsid w:val="2C06065C"/>
    <w:rsid w:val="2CDB9CCB"/>
    <w:rsid w:val="2CFD5FBC"/>
    <w:rsid w:val="2D802A5D"/>
    <w:rsid w:val="2E754E16"/>
    <w:rsid w:val="2E9620EB"/>
    <w:rsid w:val="2F899911"/>
    <w:rsid w:val="2F9C02D8"/>
    <w:rsid w:val="301ECFB4"/>
    <w:rsid w:val="303E4ECA"/>
    <w:rsid w:val="304AF61A"/>
    <w:rsid w:val="30635EC6"/>
    <w:rsid w:val="308C2AFC"/>
    <w:rsid w:val="309D5E9E"/>
    <w:rsid w:val="30FCF3E4"/>
    <w:rsid w:val="3100BE1D"/>
    <w:rsid w:val="315919F7"/>
    <w:rsid w:val="31AC248F"/>
    <w:rsid w:val="31D39366"/>
    <w:rsid w:val="320ED762"/>
    <w:rsid w:val="32583202"/>
    <w:rsid w:val="3261E1FA"/>
    <w:rsid w:val="33365572"/>
    <w:rsid w:val="333949CF"/>
    <w:rsid w:val="336F30F6"/>
    <w:rsid w:val="337FAD17"/>
    <w:rsid w:val="34FFBB34"/>
    <w:rsid w:val="35454934"/>
    <w:rsid w:val="35464553"/>
    <w:rsid w:val="3561D3D7"/>
    <w:rsid w:val="3589A8AB"/>
    <w:rsid w:val="358BA0E9"/>
    <w:rsid w:val="36842939"/>
    <w:rsid w:val="371EBA76"/>
    <w:rsid w:val="3782B934"/>
    <w:rsid w:val="3797B89A"/>
    <w:rsid w:val="381346B7"/>
    <w:rsid w:val="394737D5"/>
    <w:rsid w:val="3AB3C415"/>
    <w:rsid w:val="3B0203ED"/>
    <w:rsid w:val="3C023CED"/>
    <w:rsid w:val="3CAC16E9"/>
    <w:rsid w:val="3DFDC55C"/>
    <w:rsid w:val="3E53C54C"/>
    <w:rsid w:val="3EBE0EEF"/>
    <w:rsid w:val="3EF30565"/>
    <w:rsid w:val="3FD308B9"/>
    <w:rsid w:val="409CFFF0"/>
    <w:rsid w:val="40C9C009"/>
    <w:rsid w:val="40E15F67"/>
    <w:rsid w:val="40EE8544"/>
    <w:rsid w:val="41343829"/>
    <w:rsid w:val="422D7F2F"/>
    <w:rsid w:val="429E44B0"/>
    <w:rsid w:val="42AC7F97"/>
    <w:rsid w:val="42F7DB0D"/>
    <w:rsid w:val="430321EC"/>
    <w:rsid w:val="4316EA43"/>
    <w:rsid w:val="4337D9CE"/>
    <w:rsid w:val="433B33CD"/>
    <w:rsid w:val="437EC8FB"/>
    <w:rsid w:val="43C0FD63"/>
    <w:rsid w:val="44A84044"/>
    <w:rsid w:val="44BBB0C2"/>
    <w:rsid w:val="4519432E"/>
    <w:rsid w:val="451E30C4"/>
    <w:rsid w:val="45938E7F"/>
    <w:rsid w:val="4692843B"/>
    <w:rsid w:val="46D84F2C"/>
    <w:rsid w:val="47D4339E"/>
    <w:rsid w:val="47FED577"/>
    <w:rsid w:val="48218138"/>
    <w:rsid w:val="4859FC0C"/>
    <w:rsid w:val="4954A832"/>
    <w:rsid w:val="49BF14BF"/>
    <w:rsid w:val="49D643E3"/>
    <w:rsid w:val="4A3D391E"/>
    <w:rsid w:val="4A45A89E"/>
    <w:rsid w:val="4A5057B0"/>
    <w:rsid w:val="4BC94CC1"/>
    <w:rsid w:val="4C72BBF0"/>
    <w:rsid w:val="4E3FB637"/>
    <w:rsid w:val="4E85D2FF"/>
    <w:rsid w:val="4E92EA89"/>
    <w:rsid w:val="4F188249"/>
    <w:rsid w:val="4F19C32D"/>
    <w:rsid w:val="4F714E5D"/>
    <w:rsid w:val="50243DAE"/>
    <w:rsid w:val="5026BD72"/>
    <w:rsid w:val="50D24064"/>
    <w:rsid w:val="50F4A71F"/>
    <w:rsid w:val="51058C42"/>
    <w:rsid w:val="51287CC2"/>
    <w:rsid w:val="51492170"/>
    <w:rsid w:val="5183CDF4"/>
    <w:rsid w:val="53F18312"/>
    <w:rsid w:val="54452522"/>
    <w:rsid w:val="54B3822B"/>
    <w:rsid w:val="55690CC5"/>
    <w:rsid w:val="55B3F801"/>
    <w:rsid w:val="56AAAF51"/>
    <w:rsid w:val="56AB9F70"/>
    <w:rsid w:val="577045D2"/>
    <w:rsid w:val="577FE25A"/>
    <w:rsid w:val="578FDDE2"/>
    <w:rsid w:val="57EA8B75"/>
    <w:rsid w:val="58188516"/>
    <w:rsid w:val="5820D743"/>
    <w:rsid w:val="5857934B"/>
    <w:rsid w:val="588C72C0"/>
    <w:rsid w:val="58CB0F18"/>
    <w:rsid w:val="59CBEA3D"/>
    <w:rsid w:val="5A34F1A2"/>
    <w:rsid w:val="5A6C6FC7"/>
    <w:rsid w:val="5A82D7F9"/>
    <w:rsid w:val="5AC2A18D"/>
    <w:rsid w:val="5AEEDCD2"/>
    <w:rsid w:val="5BBAC536"/>
    <w:rsid w:val="5BFACE8F"/>
    <w:rsid w:val="5C58EDDB"/>
    <w:rsid w:val="5C613F0D"/>
    <w:rsid w:val="5C85E584"/>
    <w:rsid w:val="5E359CEA"/>
    <w:rsid w:val="5E58078C"/>
    <w:rsid w:val="5E59150A"/>
    <w:rsid w:val="5EC33D67"/>
    <w:rsid w:val="5EE917AC"/>
    <w:rsid w:val="5F1D6B3C"/>
    <w:rsid w:val="5F262210"/>
    <w:rsid w:val="5F4C0FD6"/>
    <w:rsid w:val="5F7DD787"/>
    <w:rsid w:val="5FF9F129"/>
    <w:rsid w:val="5FFE86FF"/>
    <w:rsid w:val="6027F8AC"/>
    <w:rsid w:val="608F84AE"/>
    <w:rsid w:val="60A36D3F"/>
    <w:rsid w:val="60F302E5"/>
    <w:rsid w:val="613F2D6C"/>
    <w:rsid w:val="615D1B26"/>
    <w:rsid w:val="619788B1"/>
    <w:rsid w:val="61985E27"/>
    <w:rsid w:val="619EB611"/>
    <w:rsid w:val="62225798"/>
    <w:rsid w:val="623B4C29"/>
    <w:rsid w:val="62E8DEA5"/>
    <w:rsid w:val="6303408A"/>
    <w:rsid w:val="6471E098"/>
    <w:rsid w:val="6484AF06"/>
    <w:rsid w:val="6485E88E"/>
    <w:rsid w:val="65679BC9"/>
    <w:rsid w:val="657DDEB7"/>
    <w:rsid w:val="65F05AB7"/>
    <w:rsid w:val="6651DD9F"/>
    <w:rsid w:val="665D89CB"/>
    <w:rsid w:val="66A0618B"/>
    <w:rsid w:val="6763F2F3"/>
    <w:rsid w:val="68242672"/>
    <w:rsid w:val="687046CB"/>
    <w:rsid w:val="689A1D1F"/>
    <w:rsid w:val="69152D0B"/>
    <w:rsid w:val="695FA80D"/>
    <w:rsid w:val="6994F7BC"/>
    <w:rsid w:val="69B21B2D"/>
    <w:rsid w:val="6BA05FA9"/>
    <w:rsid w:val="6BAD9E71"/>
    <w:rsid w:val="6BE3C206"/>
    <w:rsid w:val="6C613A6A"/>
    <w:rsid w:val="6DB70D25"/>
    <w:rsid w:val="6E6BAE3A"/>
    <w:rsid w:val="6E7DFABE"/>
    <w:rsid w:val="6E8923B8"/>
    <w:rsid w:val="6F1B62C8"/>
    <w:rsid w:val="6F3BF469"/>
    <w:rsid w:val="6FC0A412"/>
    <w:rsid w:val="702E4265"/>
    <w:rsid w:val="70614245"/>
    <w:rsid w:val="71164E94"/>
    <w:rsid w:val="713A636C"/>
    <w:rsid w:val="71ADC33B"/>
    <w:rsid w:val="71C0C47A"/>
    <w:rsid w:val="71DAE8F6"/>
    <w:rsid w:val="71FA28C4"/>
    <w:rsid w:val="720523F1"/>
    <w:rsid w:val="72561652"/>
    <w:rsid w:val="72AE2D7E"/>
    <w:rsid w:val="730DCBC0"/>
    <w:rsid w:val="73D13E84"/>
    <w:rsid w:val="73D9DA6E"/>
    <w:rsid w:val="74707097"/>
    <w:rsid w:val="74B2B120"/>
    <w:rsid w:val="74C63CBB"/>
    <w:rsid w:val="74F8653C"/>
    <w:rsid w:val="7504433E"/>
    <w:rsid w:val="7542FD82"/>
    <w:rsid w:val="76069EBB"/>
    <w:rsid w:val="7643A687"/>
    <w:rsid w:val="76FF39A2"/>
    <w:rsid w:val="770E1699"/>
    <w:rsid w:val="785B8B72"/>
    <w:rsid w:val="7891FD65"/>
    <w:rsid w:val="78F2D368"/>
    <w:rsid w:val="7941F7C1"/>
    <w:rsid w:val="7953BAD0"/>
    <w:rsid w:val="7AAF8C70"/>
    <w:rsid w:val="7AF18F02"/>
    <w:rsid w:val="7AF778B7"/>
    <w:rsid w:val="7B478DF7"/>
    <w:rsid w:val="7B8FDEE5"/>
    <w:rsid w:val="7C2D3B27"/>
    <w:rsid w:val="7D1BD09D"/>
    <w:rsid w:val="7D57E94D"/>
    <w:rsid w:val="7D62C462"/>
    <w:rsid w:val="7D6F4474"/>
    <w:rsid w:val="7EA90C5E"/>
    <w:rsid w:val="7F0CDB3D"/>
    <w:rsid w:val="7F5969CC"/>
    <w:rsid w:val="7FC62382"/>
  </w:rsids>
  <m:mathPr>
    <m:mathFont m:val="Cambria Math"/>
    <m:brkBin m:val="before"/>
    <m:brkBinSub m:val="--"/>
    <m:smallFrac m:val="0"/>
    <m:dispDef/>
    <m:lMargin m:val="0"/>
    <m:rMargin m:val="0"/>
    <m:defJc m:val="centerGroup"/>
    <m:wrapIndent m:val="1440"/>
    <m:intLim m:val="subSup"/>
    <m:naryLim m:val="undOvr"/>
  </m:mathPr>
  <w:attachedSchema w:val="http://schemas.microsoft.com/office/word/2003/wordmlurn:schemas-microsoft-com:office:smarttags"/>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doNotAutoCompressPictures/>
  <w:smartTagType w:namespaceuri="urn:schemas-microsoft-com:office:smarttags" w:name="chsdate"/>
  <w:shapeDefaults>
    <o:shapedefaults v:ext="edit" spidmax="2053"/>
    <o:shapelayout v:ext="edit">
      <o:idmap v:ext="edit" data="2"/>
    </o:shapelayout>
  </w:shapeDefaults>
  <w:decimalSymbol w:val="."/>
  <w:listSeparator w:val=","/>
  <w14:docId w14:val="5A9B45CF"/>
  <w15:docId w15:val="{D0549455-4FA0-4426-BBEC-B8D17B034F0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SimSun" w:hAnsi="Times New Roman" w:cs="Courier New"/>
        <w:lang w:val="en-US" w:eastAsia="zh-CN" w:bidi="ar-SA"/>
      </w:rPr>
    </w:rPrDefault>
    <w:pPrDefault/>
  </w:docDefaults>
  <w:latentStyles w:defLockedState="0" w:defUIPriority="99" w:defSemiHidden="0" w:defUnhideWhenUsed="0" w:defQFormat="0" w:count="376">
    <w:lsdException w:name="Normal" w:locked="1" w:uiPriority="0" w:qFormat="1"/>
    <w:lsdException w:name="heading 1" w:locked="1" w:uiPriority="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locked="1" w:uiPriority="0"/>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locked="1" w:uiPriority="0"/>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jc w:val="both"/>
    </w:pPr>
    <w:rPr>
      <w:rFonts w:cs="Times New Roman"/>
      <w:sz w:val="22"/>
      <w:szCs w:val="24"/>
      <w:lang w:val="en-GB"/>
    </w:rPr>
  </w:style>
  <w:style w:type="paragraph" w:styleId="Heading1">
    <w:name w:val="heading 1"/>
    <w:basedOn w:val="Normal"/>
    <w:next w:val="Normal"/>
    <w:link w:val="Heading1Char"/>
    <w:uiPriority w:val="99"/>
    <w:qFormat/>
    <w:pPr>
      <w:keepNext/>
      <w:keepLines/>
      <w:numPr>
        <w:numId w:val="1"/>
      </w:numPr>
      <w:spacing w:before="240" w:after="120"/>
      <w:jc w:val="left"/>
      <w:outlineLvl w:val="0"/>
    </w:pPr>
    <w:rPr>
      <w:rFonts w:eastAsia="DengXian Light"/>
      <w:b/>
      <w:bCs/>
      <w:kern w:val="2"/>
      <w:sz w:val="28"/>
      <w:szCs w:val="32"/>
      <w:lang w:val="en-CA"/>
    </w:rPr>
  </w:style>
  <w:style w:type="paragraph" w:styleId="Heading2">
    <w:name w:val="heading 2"/>
    <w:basedOn w:val="Normal"/>
    <w:next w:val="Normal"/>
    <w:link w:val="Heading2Char"/>
    <w:uiPriority w:val="99"/>
    <w:qFormat/>
    <w:pPr>
      <w:keepNext/>
      <w:keepLines/>
      <w:spacing w:before="120" w:after="120"/>
      <w:ind w:left="567" w:hanging="567"/>
      <w:outlineLvl w:val="1"/>
    </w:pPr>
    <w:rPr>
      <w:rFonts w:eastAsia="DengXian Light"/>
      <w:b/>
      <w:sz w:val="24"/>
      <w:szCs w:val="26"/>
    </w:rPr>
  </w:style>
  <w:style w:type="paragraph" w:styleId="Heading3">
    <w:name w:val="heading 3"/>
    <w:basedOn w:val="Normal"/>
    <w:next w:val="Normal"/>
    <w:link w:val="Heading3Char"/>
    <w:uiPriority w:val="99"/>
    <w:qFormat/>
    <w:pPr>
      <w:keepNext/>
      <w:keepLines/>
      <w:numPr>
        <w:numId w:val="8"/>
      </w:numPr>
      <w:spacing w:before="120" w:after="120"/>
      <w:ind w:left="567" w:hanging="578"/>
      <w:outlineLvl w:val="2"/>
    </w:pPr>
    <w:rPr>
      <w:rFonts w:eastAsia="DengXian Light"/>
      <w:b/>
      <w:bCs/>
      <w:szCs w:val="22"/>
    </w:rPr>
  </w:style>
  <w:style w:type="paragraph" w:styleId="Heading4">
    <w:name w:val="heading 4"/>
    <w:basedOn w:val="Normal"/>
    <w:next w:val="Normal"/>
    <w:link w:val="Heading4Char"/>
    <w:uiPriority w:val="99"/>
    <w:qFormat/>
    <w:pPr>
      <w:keepNext/>
      <w:spacing w:before="120" w:after="120"/>
      <w:ind w:left="567" w:hanging="567"/>
      <w:outlineLvl w:val="3"/>
    </w:pPr>
    <w:rPr>
      <w:rFonts w:eastAsia="DengXian Light"/>
      <w:b/>
      <w:bCs/>
    </w:rPr>
  </w:style>
  <w:style w:type="paragraph" w:styleId="Heading5">
    <w:name w:val="heading 5"/>
    <w:basedOn w:val="Normal"/>
    <w:next w:val="Normal"/>
    <w:link w:val="Heading5Char"/>
    <w:uiPriority w:val="99"/>
    <w:qFormat/>
    <w:pPr>
      <w:keepNext/>
      <w:spacing w:before="120" w:after="120"/>
      <w:ind w:left="567" w:hanging="567"/>
      <w:outlineLvl w:val="4"/>
    </w:pPr>
    <w:rPr>
      <w:rFonts w:eastAsia="DengXian Light"/>
      <w:i/>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99"/>
    <w:locked/>
    <w:rPr>
      <w:rFonts w:ascii="Times New Roman" w:eastAsia="DengXian Light" w:hAnsi="Times New Roman" w:cs="Times New Roman"/>
      <w:b/>
      <w:bCs/>
      <w:sz w:val="32"/>
      <w:szCs w:val="32"/>
    </w:rPr>
  </w:style>
  <w:style w:type="character" w:customStyle="1" w:styleId="Heading2Char">
    <w:name w:val="Heading 2 Char"/>
    <w:link w:val="Heading2"/>
    <w:uiPriority w:val="99"/>
    <w:locked/>
    <w:rPr>
      <w:rFonts w:ascii="Times New Roman" w:eastAsia="DengXian Light" w:hAnsi="Times New Roman" w:cs="Times New Roman"/>
      <w:b/>
      <w:kern w:val="0"/>
      <w:sz w:val="26"/>
      <w:szCs w:val="26"/>
      <w:lang w:val="en-GB"/>
    </w:rPr>
  </w:style>
  <w:style w:type="character" w:customStyle="1" w:styleId="Heading3Char">
    <w:name w:val="Heading 3 Char"/>
    <w:link w:val="Heading3"/>
    <w:uiPriority w:val="99"/>
    <w:locked/>
    <w:rPr>
      <w:rFonts w:ascii="Times New Roman" w:eastAsia="DengXian Light" w:hAnsi="Times New Roman" w:cs="Times New Roman"/>
      <w:b/>
      <w:bCs/>
      <w:kern w:val="0"/>
      <w:lang w:val="en-GB"/>
    </w:rPr>
  </w:style>
  <w:style w:type="character" w:customStyle="1" w:styleId="Heading4Char">
    <w:name w:val="Heading 4 Char"/>
    <w:link w:val="Heading4"/>
    <w:uiPriority w:val="99"/>
    <w:locked/>
    <w:rPr>
      <w:rFonts w:ascii="Times New Roman" w:eastAsia="DengXian Light" w:hAnsi="Times New Roman" w:cs="Times New Roman"/>
      <w:b/>
      <w:bCs/>
      <w:kern w:val="0"/>
      <w:sz w:val="24"/>
      <w:szCs w:val="24"/>
      <w:lang w:val="en-GB"/>
    </w:rPr>
  </w:style>
  <w:style w:type="character" w:customStyle="1" w:styleId="Heading5Char">
    <w:name w:val="Heading 5 Char"/>
    <w:link w:val="Heading5"/>
    <w:uiPriority w:val="99"/>
    <w:locked/>
    <w:rPr>
      <w:rFonts w:ascii="Times New Roman" w:eastAsia="DengXian Light" w:hAnsi="Times New Roman" w:cs="Times New Roman"/>
      <w:i/>
      <w:iCs/>
      <w:kern w:val="0"/>
      <w:sz w:val="24"/>
      <w:szCs w:val="24"/>
      <w:lang w:val="en-GB"/>
    </w:rPr>
  </w:style>
  <w:style w:type="paragraph" w:customStyle="1" w:styleId="Item">
    <w:name w:val="Item"/>
    <w:basedOn w:val="BodyText"/>
    <w:uiPriority w:val="99"/>
    <w:pPr>
      <w:suppressLineNumbers/>
      <w:suppressAutoHyphens/>
      <w:spacing w:before="120" w:line="240" w:lineRule="auto"/>
    </w:pPr>
    <w:rPr>
      <w:rFonts w:cs="Times New Roman"/>
      <w:b/>
      <w:iCs/>
      <w:kern w:val="22"/>
      <w:sz w:val="24"/>
      <w:lang w:val="en-GB"/>
    </w:rPr>
  </w:style>
  <w:style w:type="paragraph" w:styleId="BodyText">
    <w:name w:val="Body Text"/>
    <w:basedOn w:val="Normal"/>
    <w:link w:val="FollowedHyperlink"/>
    <w:uiPriority w:val="99"/>
    <w:semiHidden/>
    <w:pPr>
      <w:spacing w:after="120" w:line="259" w:lineRule="auto"/>
      <w:jc w:val="left"/>
    </w:pPr>
    <w:rPr>
      <w:rFonts w:cs="Arial"/>
      <w:kern w:val="2"/>
      <w:szCs w:val="22"/>
      <w:lang w:val="en-CA"/>
    </w:rPr>
  </w:style>
  <w:style w:type="character" w:customStyle="1" w:styleId="BodyTextChar">
    <w:name w:val="Body Text Char"/>
    <w:uiPriority w:val="99"/>
    <w:semiHidden/>
    <w:locked/>
    <w:rPr>
      <w:rFonts w:cs="Times New Roman"/>
    </w:rPr>
  </w:style>
  <w:style w:type="paragraph" w:styleId="Title">
    <w:name w:val="Title"/>
    <w:basedOn w:val="Normal"/>
    <w:next w:val="Normal"/>
    <w:link w:val="TitleChar"/>
    <w:uiPriority w:val="99"/>
    <w:qFormat/>
    <w:pPr>
      <w:keepNext/>
      <w:spacing w:before="240" w:after="240"/>
      <w:ind w:left="567"/>
    </w:pPr>
    <w:rPr>
      <w:rFonts w:ascii="Times New Roman Bold" w:eastAsia="DengXian Light" w:hAnsi="Times New Roman Bold"/>
      <w:b/>
      <w:bCs/>
      <w:spacing w:val="5"/>
      <w:kern w:val="28"/>
      <w:sz w:val="28"/>
      <w:szCs w:val="28"/>
    </w:rPr>
  </w:style>
  <w:style w:type="character" w:customStyle="1" w:styleId="TitleChar">
    <w:name w:val="Title Char"/>
    <w:link w:val="Title"/>
    <w:uiPriority w:val="99"/>
    <w:locked/>
    <w:rPr>
      <w:rFonts w:ascii="Times New Roman Bold" w:eastAsia="DengXian Light" w:hAnsi="Times New Roman Bold" w:cs="Times New Roman"/>
      <w:b/>
      <w:bCs/>
      <w:spacing w:val="5"/>
      <w:kern w:val="28"/>
      <w:sz w:val="28"/>
      <w:szCs w:val="28"/>
      <w:lang w:val="en-GB"/>
    </w:rPr>
  </w:style>
  <w:style w:type="paragraph" w:customStyle="1" w:styleId="Cornernotation">
    <w:name w:val="Corner notation"/>
    <w:basedOn w:val="Normal"/>
    <w:uiPriority w:val="99"/>
    <w:pPr>
      <w:ind w:right="3119"/>
      <w:jc w:val="left"/>
    </w:pPr>
    <w:rPr>
      <w:b/>
      <w:sz w:val="24"/>
    </w:rPr>
  </w:style>
  <w:style w:type="table" w:customStyle="1" w:styleId="TableGrid1">
    <w:name w:val="Table Grid1"/>
    <w:uiPriority w:val="99"/>
    <w:rPr>
      <w:rFonts w:eastAsia="DengXian" w:cs="Arial"/>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TableGrid">
    <w:name w:val="Table Grid"/>
    <w:basedOn w:val="TableNormal"/>
    <w:uiPriority w:val="99"/>
    <w:rPr>
      <w:rFonts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Venuedate">
    <w:name w:val="Venue&amp;date"/>
    <w:basedOn w:val="Cornernotation"/>
    <w:uiPriority w:val="99"/>
    <w:rPr>
      <w:b w:val="0"/>
      <w:bCs/>
      <w:sz w:val="22"/>
      <w:szCs w:val="22"/>
    </w:rPr>
  </w:style>
  <w:style w:type="paragraph" w:styleId="FootnoteText">
    <w:name w:val="footnote text"/>
    <w:aliases w:val="Geneva 9,Font: Geneva 9,Boston 10,f,ft,Fotnotstext Char,ft Char,single space,FOOTNOTES,ADB,single space1,footnote text1,FOOTNOTES1,fn1,ADB1,single space2,footnote text2,FOOTNOTES2,fn2,ADB2,single space3,footnote text3,fn3,fn"/>
    <w:basedOn w:val="Normal"/>
    <w:link w:val="FootnoteTextChar"/>
    <w:uiPriority w:val="99"/>
    <w:semiHidden/>
    <w:rPr>
      <w:sz w:val="20"/>
      <w:szCs w:val="20"/>
    </w:rPr>
  </w:style>
  <w:style w:type="character" w:customStyle="1" w:styleId="FootnoteTextChar">
    <w:name w:val="Footnote Text Char"/>
    <w:aliases w:val="Geneva 9 Char,Font: Geneva 9 Char,Boston 10 Char,f Char,ft Char1,Fotnotstext Char Char,ft Char Char,single space Char,FOOTNOTES Char,ADB Char,single space1 Char,footnote text1 Char,FOOTNOTES1 Char,fn1 Char,ADB1 Char,single space2 Char"/>
    <w:link w:val="FootnoteText"/>
    <w:uiPriority w:val="99"/>
    <w:semiHidden/>
    <w:rsid w:val="00BA2D0E"/>
    <w:rPr>
      <w:rFonts w:cs="Times New Roman"/>
      <w:sz w:val="20"/>
      <w:szCs w:val="20"/>
      <w:lang w:val="en-GB"/>
    </w:rPr>
  </w:style>
  <w:style w:type="character" w:customStyle="1" w:styleId="FootnoteTextChar1">
    <w:name w:val="Footnote Text Char1"/>
    <w:aliases w:val="Geneva 9 Char1,Font: Geneva 9 Char1,Boston 10 Char1,f Char1,ft Char11,Fotnotstext Char Char1,ft Char Char1,single space Char1,FOOTNOTES Char1,ADB Char1,single space1 Char1,footnote text1 Char1,FOOTNOTES1 Char1,fn1 Char1,ADB1 Char1"/>
    <w:uiPriority w:val="99"/>
    <w:semiHidden/>
    <w:locked/>
    <w:rPr>
      <w:rFonts w:ascii="Times New Roman" w:hAnsi="Times New Roman" w:cs="Times New Roman"/>
      <w:kern w:val="0"/>
      <w:sz w:val="20"/>
      <w:szCs w:val="20"/>
      <w:lang w:val="en-GB"/>
    </w:rPr>
  </w:style>
  <w:style w:type="character" w:styleId="FootnoteReference">
    <w:name w:val="footnote reference"/>
    <w:aliases w:val="number,Footnote Reference Superscript,-E Fu?notenzeichen,(Diplomarbeit FZ),(Diplomarbeit FZ)1,(Diplomarbeit FZ)2,(Diplomarbeit FZ)3,(Diplomarbeit FZ)4,(Diplomarbeit FZ)5,(Diplomarbeit FZ)6,(Diplomarbeit FZ)7,(Diplomarbeit FZ)8,16 Poi"/>
    <w:uiPriority w:val="99"/>
    <w:semiHidden/>
    <w:rPr>
      <w:rFonts w:cs="Times New Roman"/>
      <w:vertAlign w:val="superscript"/>
    </w:rPr>
  </w:style>
  <w:style w:type="paragraph" w:customStyle="1" w:styleId="Footnote">
    <w:name w:val="Footnote"/>
    <w:basedOn w:val="FootnoteText"/>
    <w:uiPriority w:val="99"/>
    <w:rPr>
      <w:sz w:val="18"/>
      <w:szCs w:val="18"/>
      <w:lang w:val="en-CA"/>
    </w:rPr>
  </w:style>
  <w:style w:type="paragraph" w:customStyle="1" w:styleId="Cornernotation-Item">
    <w:name w:val="Corner notation - Item"/>
    <w:basedOn w:val="Venuedate"/>
    <w:uiPriority w:val="99"/>
    <w:rPr>
      <w:b/>
    </w:rPr>
  </w:style>
  <w:style w:type="paragraph" w:styleId="Subtitle">
    <w:name w:val="Subtitle"/>
    <w:basedOn w:val="Normal"/>
    <w:next w:val="Normal"/>
    <w:link w:val="SubtitleChar"/>
    <w:uiPriority w:val="99"/>
    <w:qFormat/>
    <w:pPr>
      <w:numPr>
        <w:ilvl w:val="1"/>
      </w:numPr>
      <w:spacing w:after="160"/>
    </w:pPr>
    <w:rPr>
      <w:rFonts w:ascii="Times New Roman Bold" w:eastAsia="DengXian" w:hAnsi="Times New Roman Bold" w:cs="Arial"/>
      <w:b/>
      <w:color w:val="5A5A5A"/>
      <w:szCs w:val="22"/>
    </w:rPr>
  </w:style>
  <w:style w:type="character" w:customStyle="1" w:styleId="SubtitleChar">
    <w:name w:val="Subtitle Char"/>
    <w:link w:val="Subtitle"/>
    <w:uiPriority w:val="99"/>
    <w:locked/>
    <w:rPr>
      <w:rFonts w:ascii="Times New Roman Bold" w:eastAsia="DengXian" w:hAnsi="Times New Roman Bold" w:cs="Times New Roman"/>
      <w:b/>
      <w:color w:val="5A5A5A"/>
      <w:kern w:val="0"/>
      <w:lang w:val="en-GB"/>
    </w:rPr>
  </w:style>
  <w:style w:type="paragraph" w:customStyle="1" w:styleId="Para10">
    <w:name w:val="Para 1"/>
    <w:basedOn w:val="Normal"/>
    <w:uiPriority w:val="99"/>
    <w:pPr>
      <w:numPr>
        <w:numId w:val="2"/>
      </w:numPr>
      <w:tabs>
        <w:tab w:val="left" w:pos="1134"/>
      </w:tabs>
      <w:spacing w:before="120" w:after="120"/>
      <w:ind w:left="927"/>
    </w:pPr>
    <w:rPr>
      <w:lang w:val="en-CA"/>
    </w:rPr>
  </w:style>
  <w:style w:type="character" w:styleId="PlaceholderText">
    <w:name w:val="Placeholder Text"/>
    <w:uiPriority w:val="99"/>
    <w:semiHidden/>
    <w:rPr>
      <w:rFonts w:cs="Times New Roman"/>
      <w:color w:val="808080"/>
    </w:rPr>
  </w:style>
  <w:style w:type="paragraph" w:styleId="Header">
    <w:name w:val="header"/>
    <w:basedOn w:val="Normal"/>
    <w:link w:val="HeaderChar"/>
    <w:uiPriority w:val="99"/>
    <w:pPr>
      <w:tabs>
        <w:tab w:val="center" w:pos="4680"/>
        <w:tab w:val="right" w:pos="9360"/>
      </w:tabs>
    </w:pPr>
    <w:rPr>
      <w:caps/>
    </w:rPr>
  </w:style>
  <w:style w:type="character" w:customStyle="1" w:styleId="HeaderChar">
    <w:name w:val="Header Char"/>
    <w:link w:val="Header"/>
    <w:uiPriority w:val="99"/>
    <w:locked/>
    <w:rPr>
      <w:rFonts w:ascii="Times New Roman" w:hAnsi="Times New Roman" w:cs="Times New Roman"/>
      <w:caps/>
      <w:kern w:val="0"/>
      <w:sz w:val="24"/>
      <w:szCs w:val="24"/>
      <w:lang w:val="en-GB"/>
    </w:rPr>
  </w:style>
  <w:style w:type="paragraph" w:styleId="Footer">
    <w:name w:val="footer"/>
    <w:basedOn w:val="Normal"/>
    <w:link w:val="FooterChar"/>
    <w:uiPriority w:val="99"/>
    <w:pPr>
      <w:tabs>
        <w:tab w:val="center" w:pos="4680"/>
        <w:tab w:val="right" w:pos="9360"/>
      </w:tabs>
    </w:pPr>
  </w:style>
  <w:style w:type="character" w:customStyle="1" w:styleId="FooterChar">
    <w:name w:val="Footer Char"/>
    <w:link w:val="Footer"/>
    <w:uiPriority w:val="99"/>
    <w:locked/>
    <w:rPr>
      <w:rFonts w:ascii="Times New Roman" w:hAnsi="Times New Roman" w:cs="Times New Roman"/>
      <w:kern w:val="0"/>
      <w:sz w:val="24"/>
      <w:szCs w:val="24"/>
      <w:lang w:val="en-GB"/>
    </w:rPr>
  </w:style>
  <w:style w:type="paragraph" w:customStyle="1" w:styleId="Para2">
    <w:name w:val="Para 2"/>
    <w:uiPriority w:val="99"/>
    <w:pPr>
      <w:tabs>
        <w:tab w:val="left" w:pos="1701"/>
      </w:tabs>
      <w:spacing w:before="120" w:after="120"/>
      <w:jc w:val="both"/>
    </w:pPr>
    <w:rPr>
      <w:rFonts w:cs="Times New Roman"/>
      <w:sz w:val="22"/>
      <w:szCs w:val="24"/>
      <w:lang w:val="en-CA"/>
    </w:rPr>
  </w:style>
  <w:style w:type="paragraph" w:customStyle="1" w:styleId="Annex">
    <w:name w:val="Annex"/>
    <w:basedOn w:val="Normal"/>
    <w:uiPriority w:val="99"/>
    <w:rPr>
      <w:b/>
      <w:sz w:val="28"/>
    </w:rPr>
  </w:style>
  <w:style w:type="paragraph" w:customStyle="1" w:styleId="Para3">
    <w:name w:val="Para 3"/>
    <w:basedOn w:val="Normal"/>
    <w:uiPriority w:val="99"/>
    <w:pPr>
      <w:tabs>
        <w:tab w:val="left" w:pos="1701"/>
      </w:tabs>
      <w:spacing w:before="120" w:after="120"/>
    </w:pPr>
  </w:style>
  <w:style w:type="character" w:styleId="CommentReference">
    <w:name w:val="annotation reference"/>
    <w:uiPriority w:val="99"/>
    <w:semiHidden/>
    <w:rPr>
      <w:rFonts w:cs="Times New Roman"/>
      <w:sz w:val="16"/>
      <w:szCs w:val="16"/>
    </w:rPr>
  </w:style>
  <w:style w:type="paragraph" w:styleId="CommentText">
    <w:name w:val="annotation text"/>
    <w:basedOn w:val="Normal"/>
    <w:link w:val="CommentTextChar"/>
    <w:uiPriority w:val="99"/>
    <w:rPr>
      <w:sz w:val="20"/>
      <w:szCs w:val="20"/>
    </w:rPr>
  </w:style>
  <w:style w:type="character" w:customStyle="1" w:styleId="CommentTextChar">
    <w:name w:val="Comment Text Char"/>
    <w:link w:val="CommentText"/>
    <w:uiPriority w:val="99"/>
    <w:locked/>
    <w:rPr>
      <w:rFonts w:ascii="Times New Roman" w:hAnsi="Times New Roman" w:cs="Times New Roman"/>
      <w:kern w:val="0"/>
      <w:sz w:val="20"/>
      <w:szCs w:val="20"/>
      <w:lang w:val="en-GB"/>
    </w:rPr>
  </w:style>
  <w:style w:type="paragraph" w:styleId="CommentSubject">
    <w:name w:val="annotation subject"/>
    <w:basedOn w:val="CommentText"/>
    <w:next w:val="CommentText"/>
    <w:link w:val="CommentSubjectChar"/>
    <w:uiPriority w:val="99"/>
    <w:semiHidden/>
    <w:rPr>
      <w:b/>
      <w:bCs/>
    </w:rPr>
  </w:style>
  <w:style w:type="character" w:customStyle="1" w:styleId="CommentSubjectChar">
    <w:name w:val="Comment Subject Char"/>
    <w:link w:val="CommentSubject"/>
    <w:uiPriority w:val="99"/>
    <w:semiHidden/>
    <w:locked/>
    <w:rPr>
      <w:rFonts w:ascii="Times New Roman" w:hAnsi="Times New Roman" w:cs="Times New Roman"/>
      <w:b/>
      <w:bCs/>
      <w:kern w:val="0"/>
      <w:sz w:val="20"/>
      <w:szCs w:val="20"/>
      <w:lang w:val="en-GB"/>
    </w:rPr>
  </w:style>
  <w:style w:type="paragraph" w:styleId="ListParagraph">
    <w:name w:val="List Paragraph"/>
    <w:basedOn w:val="Normal"/>
    <w:uiPriority w:val="99"/>
    <w:qFormat/>
    <w:pPr>
      <w:ind w:left="720"/>
      <w:contextualSpacing/>
    </w:pPr>
  </w:style>
  <w:style w:type="character" w:customStyle="1" w:styleId="Para1Char">
    <w:name w:val="Para1 Char"/>
    <w:uiPriority w:val="99"/>
    <w:locked/>
    <w:rPr>
      <w:rFonts w:ascii="Times New Roman" w:hAnsi="Times New Roman"/>
      <w:sz w:val="18"/>
      <w:lang w:val="en-GB"/>
    </w:rPr>
  </w:style>
  <w:style w:type="paragraph" w:customStyle="1" w:styleId="Para1">
    <w:name w:val="Para1"/>
    <w:basedOn w:val="Normal"/>
    <w:uiPriority w:val="99"/>
    <w:pPr>
      <w:numPr>
        <w:numId w:val="23"/>
      </w:numPr>
      <w:snapToGrid w:val="0"/>
      <w:spacing w:before="120" w:after="120"/>
    </w:pPr>
    <w:rPr>
      <w:sz w:val="20"/>
      <w:szCs w:val="18"/>
    </w:rPr>
  </w:style>
  <w:style w:type="character" w:styleId="Hyperlink">
    <w:name w:val="Hyperlink"/>
    <w:uiPriority w:val="99"/>
    <w:rPr>
      <w:rFonts w:cs="Times New Roman"/>
      <w:color w:val="0000FF"/>
      <w:sz w:val="18"/>
      <w:u w:val="single"/>
    </w:rPr>
  </w:style>
  <w:style w:type="paragraph" w:customStyle="1" w:styleId="Para30">
    <w:name w:val="Para3"/>
    <w:basedOn w:val="Normal"/>
    <w:uiPriority w:val="99"/>
    <w:pPr>
      <w:tabs>
        <w:tab w:val="num" w:pos="1440"/>
        <w:tab w:val="left" w:pos="1980"/>
      </w:tabs>
      <w:spacing w:before="80" w:after="80"/>
      <w:ind w:left="1440" w:hanging="360"/>
    </w:pPr>
    <w:rPr>
      <w:szCs w:val="20"/>
    </w:rPr>
  </w:style>
  <w:style w:type="paragraph" w:styleId="Revision">
    <w:name w:val="Revision"/>
    <w:hidden/>
    <w:uiPriority w:val="99"/>
    <w:semiHidden/>
    <w:rPr>
      <w:rFonts w:cs="Times New Roman"/>
      <w:sz w:val="22"/>
      <w:szCs w:val="24"/>
      <w:lang w:val="en-GB"/>
    </w:rPr>
  </w:style>
  <w:style w:type="character" w:customStyle="1" w:styleId="UnresolvedMention1">
    <w:name w:val="Unresolved Mention1"/>
    <w:uiPriority w:val="99"/>
    <w:semiHidden/>
    <w:rPr>
      <w:rFonts w:cs="Times New Roman"/>
      <w:color w:val="605E5C"/>
      <w:shd w:val="clear" w:color="auto" w:fill="E1DFDD"/>
    </w:rPr>
  </w:style>
  <w:style w:type="character" w:styleId="FollowedHyperlink">
    <w:name w:val="FollowedHyperlink"/>
    <w:aliases w:val="Body Text Char1"/>
    <w:link w:val="BodyText"/>
    <w:uiPriority w:val="99"/>
    <w:semiHidden/>
    <w:locked/>
    <w:rPr>
      <w:rFonts w:cs="Times New Roman"/>
      <w:color w:val="954F72"/>
      <w:u w:val="single"/>
    </w:rPr>
  </w:style>
  <w:style w:type="character" w:customStyle="1" w:styleId="tw4winMark">
    <w:name w:val="tw4winMark"/>
    <w:uiPriority w:val="99"/>
    <w:rPr>
      <w:rFonts w:ascii="Courier New" w:hAnsi="Courier New"/>
      <w:vanish/>
      <w:color w:val="800080"/>
      <w:sz w:val="24"/>
      <w:vertAlign w:val="subscript"/>
    </w:rPr>
  </w:style>
  <w:style w:type="character" w:customStyle="1" w:styleId="style21">
    <w:name w:val="style21"/>
    <w:uiPriority w:val="99"/>
    <w:rPr>
      <w:rFonts w:cs="Times New Roman"/>
      <w:color w:val="000080"/>
      <w:sz w:val="24"/>
      <w:szCs w:val="24"/>
    </w:rPr>
  </w:style>
  <w:style w:type="character" w:customStyle="1" w:styleId="tw4winError">
    <w:name w:val="tw4winError"/>
    <w:uiPriority w:val="99"/>
    <w:rPr>
      <w:rFonts w:ascii="Courier New" w:hAnsi="Courier New"/>
      <w:color w:val="00FF00"/>
      <w:sz w:val="40"/>
    </w:rPr>
  </w:style>
  <w:style w:type="character" w:customStyle="1" w:styleId="tw4winTerm">
    <w:name w:val="tw4winTerm"/>
    <w:uiPriority w:val="99"/>
    <w:rPr>
      <w:color w:val="0000FF"/>
    </w:rPr>
  </w:style>
  <w:style w:type="character" w:customStyle="1" w:styleId="tw4winPopup">
    <w:name w:val="tw4winPopup"/>
    <w:uiPriority w:val="99"/>
    <w:rPr>
      <w:rFonts w:ascii="Courier New" w:hAnsi="Courier New"/>
      <w:noProof/>
      <w:color w:val="008000"/>
    </w:rPr>
  </w:style>
  <w:style w:type="character" w:customStyle="1" w:styleId="tw4winJump">
    <w:name w:val="tw4winJump"/>
    <w:uiPriority w:val="99"/>
    <w:rPr>
      <w:rFonts w:ascii="Courier New" w:hAnsi="Courier New"/>
      <w:noProof/>
      <w:color w:val="008080"/>
    </w:rPr>
  </w:style>
  <w:style w:type="character" w:customStyle="1" w:styleId="tw4winExternal">
    <w:name w:val="tw4winExternal"/>
    <w:uiPriority w:val="99"/>
    <w:rPr>
      <w:rFonts w:ascii="Courier New" w:hAnsi="Courier New"/>
      <w:noProof/>
      <w:color w:val="808080"/>
    </w:rPr>
  </w:style>
  <w:style w:type="character" w:customStyle="1" w:styleId="tw4winInternal">
    <w:name w:val="tw4winInternal"/>
    <w:uiPriority w:val="99"/>
    <w:rPr>
      <w:rFonts w:ascii="Courier New" w:hAnsi="Courier New"/>
      <w:noProof/>
      <w:color w:val="FF0000"/>
    </w:rPr>
  </w:style>
  <w:style w:type="character" w:customStyle="1" w:styleId="DONOTTRANSLATE">
    <w:name w:val="DO_NOT_TRANSLATE"/>
    <w:uiPriority w:val="99"/>
    <w:rPr>
      <w:rFonts w:ascii="Courier New" w:hAnsi="Courier New"/>
      <w:noProof/>
      <w:color w:val="80000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048065384">
      <w:marLeft w:val="0"/>
      <w:marRight w:val="0"/>
      <w:marTop w:val="0"/>
      <w:marBottom w:val="0"/>
      <w:divBdr>
        <w:top w:val="none" w:sz="0" w:space="0" w:color="auto"/>
        <w:left w:val="none" w:sz="0" w:space="0" w:color="auto"/>
        <w:bottom w:val="none" w:sz="0" w:space="0" w:color="auto"/>
        <w:right w:val="none" w:sz="0" w:space="0" w:color="auto"/>
      </w:divBdr>
    </w:div>
    <w:div w:id="1048065385">
      <w:marLeft w:val="0"/>
      <w:marRight w:val="0"/>
      <w:marTop w:val="0"/>
      <w:marBottom w:val="0"/>
      <w:divBdr>
        <w:top w:val="none" w:sz="0" w:space="0" w:color="auto"/>
        <w:left w:val="none" w:sz="0" w:space="0" w:color="auto"/>
        <w:bottom w:val="none" w:sz="0" w:space="0" w:color="auto"/>
        <w:right w:val="none" w:sz="0" w:space="0" w:color="auto"/>
      </w:divBdr>
    </w:div>
    <w:div w:id="1048065386">
      <w:marLeft w:val="0"/>
      <w:marRight w:val="0"/>
      <w:marTop w:val="0"/>
      <w:marBottom w:val="0"/>
      <w:divBdr>
        <w:top w:val="none" w:sz="0" w:space="0" w:color="auto"/>
        <w:left w:val="none" w:sz="0" w:space="0" w:color="auto"/>
        <w:bottom w:val="none" w:sz="0" w:space="0" w:color="auto"/>
        <w:right w:val="none" w:sz="0" w:space="0" w:color="auto"/>
      </w:divBdr>
    </w:div>
    <w:div w:id="1048065387">
      <w:marLeft w:val="0"/>
      <w:marRight w:val="0"/>
      <w:marTop w:val="0"/>
      <w:marBottom w:val="0"/>
      <w:divBdr>
        <w:top w:val="none" w:sz="0" w:space="0" w:color="auto"/>
        <w:left w:val="none" w:sz="0" w:space="0" w:color="auto"/>
        <w:bottom w:val="none" w:sz="0" w:space="0" w:color="auto"/>
        <w:right w:val="none" w:sz="0" w:space="0" w:color="auto"/>
      </w:divBdr>
    </w:div>
    <w:div w:id="1048065388">
      <w:marLeft w:val="0"/>
      <w:marRight w:val="0"/>
      <w:marTop w:val="0"/>
      <w:marBottom w:val="0"/>
      <w:divBdr>
        <w:top w:val="none" w:sz="0" w:space="0" w:color="auto"/>
        <w:left w:val="none" w:sz="0" w:space="0" w:color="auto"/>
        <w:bottom w:val="none" w:sz="0" w:space="0" w:color="auto"/>
        <w:right w:val="none" w:sz="0" w:space="0" w:color="auto"/>
      </w:divBdr>
    </w:div>
    <w:div w:id="1048065389">
      <w:marLeft w:val="0"/>
      <w:marRight w:val="0"/>
      <w:marTop w:val="0"/>
      <w:marBottom w:val="0"/>
      <w:divBdr>
        <w:top w:val="none" w:sz="0" w:space="0" w:color="auto"/>
        <w:left w:val="none" w:sz="0" w:space="0" w:color="auto"/>
        <w:bottom w:val="none" w:sz="0" w:space="0" w:color="auto"/>
        <w:right w:val="none" w:sz="0" w:space="0" w:color="auto"/>
      </w:divBdr>
    </w:div>
    <w:div w:id="1048065390">
      <w:marLeft w:val="0"/>
      <w:marRight w:val="0"/>
      <w:marTop w:val="0"/>
      <w:marBottom w:val="0"/>
      <w:divBdr>
        <w:top w:val="none" w:sz="0" w:space="0" w:color="auto"/>
        <w:left w:val="none" w:sz="0" w:space="0" w:color="auto"/>
        <w:bottom w:val="none" w:sz="0" w:space="0" w:color="auto"/>
        <w:right w:val="none" w:sz="0" w:space="0" w:color="auto"/>
      </w:divBdr>
    </w:div>
    <w:div w:id="1048065391">
      <w:marLeft w:val="0"/>
      <w:marRight w:val="0"/>
      <w:marTop w:val="0"/>
      <w:marBottom w:val="0"/>
      <w:divBdr>
        <w:top w:val="none" w:sz="0" w:space="0" w:color="auto"/>
        <w:left w:val="none" w:sz="0" w:space="0" w:color="auto"/>
        <w:bottom w:val="none" w:sz="0" w:space="0" w:color="auto"/>
        <w:right w:val="none" w:sz="0" w:space="0" w:color="auto"/>
      </w:divBdr>
    </w:div>
    <w:div w:id="1048065392">
      <w:marLeft w:val="0"/>
      <w:marRight w:val="0"/>
      <w:marTop w:val="0"/>
      <w:marBottom w:val="0"/>
      <w:divBdr>
        <w:top w:val="none" w:sz="0" w:space="0" w:color="auto"/>
        <w:left w:val="none" w:sz="0" w:space="0" w:color="auto"/>
        <w:bottom w:val="none" w:sz="0" w:space="0" w:color="auto"/>
        <w:right w:val="none" w:sz="0" w:space="0" w:color="auto"/>
      </w:divBdr>
    </w:div>
    <w:div w:id="1048065393">
      <w:marLeft w:val="0"/>
      <w:marRight w:val="0"/>
      <w:marTop w:val="0"/>
      <w:marBottom w:val="0"/>
      <w:divBdr>
        <w:top w:val="none" w:sz="0" w:space="0" w:color="auto"/>
        <w:left w:val="none" w:sz="0" w:space="0" w:color="auto"/>
        <w:bottom w:val="none" w:sz="0" w:space="0" w:color="auto"/>
        <w:right w:val="none" w:sz="0" w:space="0" w:color="auto"/>
      </w:divBdr>
    </w:div>
    <w:div w:id="1048065394">
      <w:marLeft w:val="0"/>
      <w:marRight w:val="0"/>
      <w:marTop w:val="0"/>
      <w:marBottom w:val="0"/>
      <w:divBdr>
        <w:top w:val="none" w:sz="0" w:space="0" w:color="auto"/>
        <w:left w:val="none" w:sz="0" w:space="0" w:color="auto"/>
        <w:bottom w:val="none" w:sz="0" w:space="0" w:color="auto"/>
        <w:right w:val="none" w:sz="0" w:space="0" w:color="auto"/>
      </w:divBdr>
    </w:div>
    <w:div w:id="1048065395">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hyperlink" Target="https://www.cbd.int/doc/notifications/2023/ntf-2023-007-bs-en.pdf" TargetMode="External"/><Relationship Id="rId18" Type="http://schemas.openxmlformats.org/officeDocument/2006/relationships/footer" Target="footer2.xml"/><Relationship Id="rId3" Type="http://schemas.openxmlformats.org/officeDocument/2006/relationships/settings" Target="settings.xml"/><Relationship Id="rId21" Type="http://schemas.openxmlformats.org/officeDocument/2006/relationships/fontTable" Target="fontTable.xml"/><Relationship Id="rId7" Type="http://schemas.openxmlformats.org/officeDocument/2006/relationships/image" Target="media/image1.emf"/><Relationship Id="rId12" Type="http://schemas.openxmlformats.org/officeDocument/2006/relationships/hyperlink" Target="https://www.cbd.int/doc/decisions/cp-mop-10/cp-mop-10-dec-10-zh.pdf" TargetMode="External"/><Relationship Id="rId17" Type="http://schemas.openxmlformats.org/officeDocument/2006/relationships/footer" Target="footer1.xml"/><Relationship Id="rId2" Type="http://schemas.openxmlformats.org/officeDocument/2006/relationships/styles" Target="styles.xml"/><Relationship Id="rId16" Type="http://schemas.openxmlformats.org/officeDocument/2006/relationships/header" Target="header2.xml"/><Relationship Id="rId20" Type="http://schemas.openxmlformats.org/officeDocument/2006/relationships/hyperlink" Target="https://www.cbd.int/doc/decisions/mop-07/mop-07-dec-12-zh.pdf" TargetMode="Externa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www.cbd.int/doc/decisions/cp-mop-09/cp-mop-09-dec-13-zh.pdf" TargetMode="External"/><Relationship Id="rId5" Type="http://schemas.openxmlformats.org/officeDocument/2006/relationships/footnotes" Target="footnotes.xml"/><Relationship Id="rId15" Type="http://schemas.openxmlformats.org/officeDocument/2006/relationships/header" Target="header1.xml"/><Relationship Id="rId10" Type="http://schemas.openxmlformats.org/officeDocument/2006/relationships/hyperlink" Target="https://www.cbd.int/doc/notifications/2023/ntf-2023-007-bs-en.pdf" TargetMode="External"/><Relationship Id="rId19" Type="http://schemas.openxmlformats.org/officeDocument/2006/relationships/hyperlink" Target="https://www.cbd.int/doc/decisions/cp-mop-09/cp-mop-09-dec-13-zh.pdf" TargetMode="External"/><Relationship Id="rId4" Type="http://schemas.openxmlformats.org/officeDocument/2006/relationships/webSettings" Target="webSettings.xml"/><Relationship Id="rId9" Type="http://schemas.openxmlformats.org/officeDocument/2006/relationships/image" Target="media/image3.png"/><Relationship Id="rId14" Type="http://schemas.openxmlformats.org/officeDocument/2006/relationships/hyperlink" Target="https://www.cbd.int/doc/notifications/2023/ntf-2023-129-bs-en.pdf" TargetMode="External"/><Relationship Id="rId22"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melissa.willey\Downloads\template-sbstta-26(1).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template-sbstta-26(1).dotm</Template>
  <TotalTime>14</TotalTime>
  <Pages>7</Pages>
  <Words>1012</Words>
  <Characters>5770</Characters>
  <Application>Microsoft Office Word</Application>
  <DocSecurity>0</DocSecurity>
  <Lines>48</Lines>
  <Paragraphs>13</Paragraphs>
  <ScaleCrop>false</ScaleCrop>
  <HeadingPairs>
    <vt:vector size="2" baseType="variant">
      <vt:variant>
        <vt:lpstr>Title</vt:lpstr>
      </vt:variant>
      <vt:variant>
        <vt:i4>1</vt:i4>
      </vt:variant>
    </vt:vector>
  </HeadingPairs>
  <TitlesOfParts>
    <vt:vector size="1" baseType="lpstr">
      <vt:lpstr>Risk assessment and risk management</vt:lpstr>
    </vt:vector>
  </TitlesOfParts>
  <Company/>
  <LinksUpToDate>false</LinksUpToDate>
  <CharactersWithSpaces>6769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Risk assessment and risk management</dc:title>
  <dc:subject>CBD/SBSTTA/26/5</dc:subject>
  <dc:creator>melissa.willey</dc:creator>
  <cp:keywords/>
  <dc:description/>
  <cp:lastModifiedBy>Lisa Pedicelli</cp:lastModifiedBy>
  <cp:revision>6</cp:revision>
  <cp:lastPrinted>2024-03-15T19:29:00Z</cp:lastPrinted>
  <dcterms:created xsi:type="dcterms:W3CDTF">2024-04-03T15:07:00Z</dcterms:created>
  <dcterms:modified xsi:type="dcterms:W3CDTF">2024-04-08T05:33:00Z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diaServiceImageTags">
    <vt:lpwstr/>
  </property>
  <property fmtid="{D5CDD505-2E9C-101B-9397-08002B2CF9AE}" pid="3" name="ContentTypeId">
    <vt:lpwstr>0x01010069BFACF6D92CD24AA50050CE23F68F74</vt:lpwstr>
  </property>
  <property fmtid="{D5CDD505-2E9C-101B-9397-08002B2CF9AE}" pid="4" name="TaxCatchAll">
    <vt:lpwstr/>
  </property>
  <property fmtid="{D5CDD505-2E9C-101B-9397-08002B2CF9AE}" pid="5" name="lcf76f155ced4ddcb4097134ff3c332f">
    <vt:lpwstr/>
  </property>
</Properties>
</file>