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537803" w:rsidTr="00CF5ABA">
        <w:tc>
          <w:tcPr>
            <w:tcW w:w="852" w:type="dxa"/>
            <w:tcBorders>
              <w:top w:val="nil"/>
              <w:bottom w:val="single" w:sz="12" w:space="0" w:color="000000"/>
              <w:right w:val="nil"/>
            </w:tcBorders>
          </w:tcPr>
          <w:p w:rsidR="00433B20" w:rsidRPr="00E733CD" w:rsidRDefault="00415C0F" w:rsidP="00E733CD">
            <w:pPr>
              <w:pStyle w:val="Corpsdetexte2"/>
              <w:suppressLineNumbers/>
              <w:suppressAutoHyphens/>
              <w:kinsoku w:val="0"/>
              <w:overflowPunct w:val="0"/>
              <w:autoSpaceDE w:val="0"/>
              <w:autoSpaceDN w:val="0"/>
              <w:adjustRightInd w:val="0"/>
              <w:snapToGrid w:val="0"/>
              <w:spacing w:after="120"/>
              <w:rPr>
                <w:b/>
                <w:snapToGrid w:val="0"/>
                <w:kern w:val="22"/>
                <w:lang w:eastAsia="en-CA"/>
              </w:rPr>
            </w:pPr>
            <w:r w:rsidRPr="00E733CD">
              <w:rPr>
                <w:b/>
                <w:noProof/>
                <w:snapToGrid w:val="0"/>
                <w:kern w:val="22"/>
                <w:lang w:val="fr-CA" w:eastAsia="fr-CA"/>
              </w:rPr>
              <w:drawing>
                <wp:inline distT="0" distB="0" distL="0" distR="0" wp14:anchorId="5F009275" wp14:editId="33FF7EED">
                  <wp:extent cx="485775" cy="39052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E733CD" w:rsidRDefault="00415C0F" w:rsidP="00E733CD">
            <w:pPr>
              <w:suppressLineNumbers/>
              <w:suppressAutoHyphens/>
              <w:kinsoku w:val="0"/>
              <w:overflowPunct w:val="0"/>
              <w:autoSpaceDE w:val="0"/>
              <w:autoSpaceDN w:val="0"/>
              <w:adjustRightInd w:val="0"/>
              <w:snapToGrid w:val="0"/>
              <w:spacing w:after="120"/>
              <w:rPr>
                <w:snapToGrid w:val="0"/>
                <w:kern w:val="22"/>
                <w:lang w:eastAsia="en-CA"/>
              </w:rPr>
            </w:pPr>
            <w:r w:rsidRPr="00E733CD">
              <w:rPr>
                <w:noProof/>
                <w:snapToGrid w:val="0"/>
                <w:kern w:val="22"/>
                <w:lang w:val="fr-CA" w:eastAsia="fr-CA"/>
              </w:rPr>
              <w:drawing>
                <wp:inline distT="0" distB="0" distL="0" distR="0" wp14:anchorId="0544CBAF" wp14:editId="3B46ADEC">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537803" w:rsidRDefault="00433B20" w:rsidP="00E733CD">
            <w:pPr>
              <w:suppressLineNumbers/>
              <w:suppressAutoHyphens/>
              <w:kinsoku w:val="0"/>
              <w:overflowPunct w:val="0"/>
              <w:autoSpaceDE w:val="0"/>
              <w:autoSpaceDN w:val="0"/>
              <w:adjustRightInd w:val="0"/>
              <w:snapToGrid w:val="0"/>
              <w:spacing w:after="120"/>
              <w:jc w:val="right"/>
              <w:rPr>
                <w:rFonts w:ascii="Univers" w:hAnsi="Univers"/>
                <w:b/>
                <w:snapToGrid w:val="0"/>
                <w:kern w:val="22"/>
                <w:sz w:val="32"/>
              </w:rPr>
            </w:pPr>
            <w:r w:rsidRPr="00537803">
              <w:rPr>
                <w:rFonts w:ascii="Univers" w:hAnsi="Univers"/>
                <w:b/>
                <w:snapToGrid w:val="0"/>
                <w:kern w:val="22"/>
                <w:sz w:val="32"/>
              </w:rPr>
              <w:t>CBD</w:t>
            </w:r>
          </w:p>
        </w:tc>
      </w:tr>
      <w:tr w:rsidR="00AD1731" w:rsidRPr="00E76622" w:rsidTr="00CF5ABA">
        <w:trPr>
          <w:trHeight w:val="1693"/>
        </w:trPr>
        <w:tc>
          <w:tcPr>
            <w:tcW w:w="6086" w:type="dxa"/>
            <w:gridSpan w:val="3"/>
            <w:tcBorders>
              <w:top w:val="nil"/>
              <w:bottom w:val="single" w:sz="36" w:space="0" w:color="000000"/>
            </w:tcBorders>
          </w:tcPr>
          <w:p w:rsidR="00AD1731" w:rsidRPr="00E76622" w:rsidRDefault="00AD1731" w:rsidP="00E733CD">
            <w:pPr>
              <w:suppressLineNumbers/>
              <w:suppressAutoHyphens/>
              <w:kinsoku w:val="0"/>
              <w:overflowPunct w:val="0"/>
              <w:autoSpaceDE w:val="0"/>
              <w:autoSpaceDN w:val="0"/>
              <w:adjustRightInd w:val="0"/>
              <w:snapToGrid w:val="0"/>
              <w:spacing w:after="120"/>
              <w:rPr>
                <w:snapToGrid w:val="0"/>
                <w:kern w:val="22"/>
                <w:lang w:val="fr-CA"/>
              </w:rPr>
            </w:pPr>
          </w:p>
          <w:p w:rsidR="00AD1731" w:rsidRPr="00E76622" w:rsidRDefault="00E76622" w:rsidP="00E733CD">
            <w:pPr>
              <w:suppressLineNumbers/>
              <w:suppressAutoHyphens/>
              <w:kinsoku w:val="0"/>
              <w:overflowPunct w:val="0"/>
              <w:autoSpaceDE w:val="0"/>
              <w:autoSpaceDN w:val="0"/>
              <w:adjustRightInd w:val="0"/>
              <w:snapToGrid w:val="0"/>
              <w:spacing w:after="120"/>
              <w:rPr>
                <w:snapToGrid w:val="0"/>
                <w:kern w:val="22"/>
                <w:lang w:val="fr-CA"/>
              </w:rPr>
            </w:pPr>
            <w:r w:rsidRPr="00E76622">
              <w:rPr>
                <w:noProof/>
                <w:kern w:val="22"/>
                <w:lang w:val="fr-CA" w:eastAsia="fr-CA"/>
              </w:rPr>
              <w:drawing>
                <wp:inline distT="0" distB="0" distL="0" distR="0">
                  <wp:extent cx="2882265" cy="1082675"/>
                  <wp:effectExtent l="0" t="0" r="0" b="3175"/>
                  <wp:docPr id="9" name="Image 9"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rsidR="00AD1731" w:rsidRPr="00E76622" w:rsidRDefault="00AD1731" w:rsidP="00E733CD">
            <w:pPr>
              <w:suppressLineNumbers/>
              <w:suppressAutoHyphens/>
              <w:kinsoku w:val="0"/>
              <w:overflowPunct w:val="0"/>
              <w:autoSpaceDE w:val="0"/>
              <w:autoSpaceDN w:val="0"/>
              <w:adjustRightInd w:val="0"/>
              <w:snapToGrid w:val="0"/>
              <w:spacing w:after="120"/>
              <w:rPr>
                <w:rFonts w:ascii="Univers" w:hAnsi="Univers"/>
                <w:snapToGrid w:val="0"/>
                <w:kern w:val="22"/>
                <w:sz w:val="24"/>
                <w:lang w:val="fr-CA"/>
              </w:rPr>
            </w:pPr>
          </w:p>
        </w:tc>
        <w:tc>
          <w:tcPr>
            <w:tcW w:w="1144" w:type="dxa"/>
            <w:tcBorders>
              <w:top w:val="nil"/>
              <w:bottom w:val="single" w:sz="36" w:space="0" w:color="000000"/>
            </w:tcBorders>
          </w:tcPr>
          <w:p w:rsidR="00AD1731" w:rsidRPr="00E76622" w:rsidRDefault="00AD1731" w:rsidP="00E733CD">
            <w:pPr>
              <w:pStyle w:val="En-tte"/>
              <w:suppressLineNumbers/>
              <w:tabs>
                <w:tab w:val="clear" w:pos="4320"/>
                <w:tab w:val="clear" w:pos="8640"/>
              </w:tabs>
              <w:suppressAutoHyphens/>
              <w:kinsoku w:val="0"/>
              <w:overflowPunct w:val="0"/>
              <w:autoSpaceDE w:val="0"/>
              <w:autoSpaceDN w:val="0"/>
              <w:adjustRightInd w:val="0"/>
              <w:snapToGrid w:val="0"/>
              <w:spacing w:after="120"/>
              <w:rPr>
                <w:bCs/>
                <w:snapToGrid w:val="0"/>
                <w:kern w:val="22"/>
                <w:sz w:val="32"/>
                <w:szCs w:val="32"/>
                <w:lang w:val="fr-CA"/>
              </w:rPr>
            </w:pPr>
          </w:p>
        </w:tc>
        <w:tc>
          <w:tcPr>
            <w:tcW w:w="2977" w:type="dxa"/>
            <w:tcBorders>
              <w:top w:val="nil"/>
              <w:bottom w:val="single" w:sz="36" w:space="0" w:color="000000"/>
            </w:tcBorders>
          </w:tcPr>
          <w:p w:rsidR="00AD1731" w:rsidRPr="00E76622" w:rsidRDefault="00AD1731" w:rsidP="00E733CD">
            <w:pPr>
              <w:suppressLineNumbers/>
              <w:suppressAutoHyphens/>
              <w:kinsoku w:val="0"/>
              <w:overflowPunct w:val="0"/>
              <w:autoSpaceDE w:val="0"/>
              <w:autoSpaceDN w:val="0"/>
              <w:adjustRightInd w:val="0"/>
              <w:snapToGrid w:val="0"/>
              <w:ind w:left="317"/>
              <w:rPr>
                <w:snapToGrid w:val="0"/>
                <w:kern w:val="22"/>
                <w:szCs w:val="22"/>
                <w:lang w:val="fr-CA"/>
              </w:rPr>
            </w:pPr>
            <w:proofErr w:type="spellStart"/>
            <w:r w:rsidRPr="00E76622">
              <w:rPr>
                <w:snapToGrid w:val="0"/>
                <w:kern w:val="22"/>
                <w:szCs w:val="22"/>
                <w:lang w:val="fr-CA"/>
              </w:rPr>
              <w:t>Distr</w:t>
            </w:r>
            <w:proofErr w:type="spellEnd"/>
            <w:r w:rsidRPr="00E76622">
              <w:rPr>
                <w:snapToGrid w:val="0"/>
                <w:kern w:val="22"/>
                <w:szCs w:val="22"/>
                <w:lang w:val="fr-CA"/>
              </w:rPr>
              <w:t>.</w:t>
            </w:r>
          </w:p>
          <w:p w:rsidR="00AD1731" w:rsidRPr="00E76622" w:rsidRDefault="00E76622" w:rsidP="00E733CD">
            <w:pPr>
              <w:suppressLineNumbers/>
              <w:suppressAutoHyphens/>
              <w:kinsoku w:val="0"/>
              <w:overflowPunct w:val="0"/>
              <w:autoSpaceDE w:val="0"/>
              <w:autoSpaceDN w:val="0"/>
              <w:adjustRightInd w:val="0"/>
              <w:snapToGrid w:val="0"/>
              <w:ind w:left="317"/>
              <w:rPr>
                <w:snapToGrid w:val="0"/>
                <w:kern w:val="22"/>
                <w:szCs w:val="22"/>
                <w:lang w:val="fr-CA"/>
              </w:rPr>
            </w:pPr>
            <w:r w:rsidRPr="00E76622">
              <w:rPr>
                <w:snapToGrid w:val="0"/>
                <w:kern w:val="22"/>
                <w:szCs w:val="22"/>
                <w:lang w:val="fr-CA"/>
              </w:rPr>
              <w:t>GÉNÉRALE</w:t>
            </w:r>
          </w:p>
          <w:p w:rsidR="00AD1731" w:rsidRPr="00E76622" w:rsidRDefault="00AD1731" w:rsidP="00E733CD">
            <w:pPr>
              <w:suppressLineNumbers/>
              <w:suppressAutoHyphens/>
              <w:kinsoku w:val="0"/>
              <w:overflowPunct w:val="0"/>
              <w:autoSpaceDE w:val="0"/>
              <w:autoSpaceDN w:val="0"/>
              <w:adjustRightInd w:val="0"/>
              <w:snapToGrid w:val="0"/>
              <w:ind w:left="317"/>
              <w:rPr>
                <w:snapToGrid w:val="0"/>
                <w:kern w:val="22"/>
                <w:szCs w:val="22"/>
                <w:lang w:val="fr-CA"/>
              </w:rPr>
            </w:pPr>
          </w:p>
          <w:sdt>
            <w:sdtPr>
              <w:rPr>
                <w:snapToGrid w:val="0"/>
                <w:kern w:val="22"/>
                <w:szCs w:val="22"/>
                <w:lang w:val="fr-CA"/>
              </w:rPr>
              <w:alias w:val="Subject"/>
              <w:tag w:val=""/>
              <w:id w:val="477654375"/>
              <w:placeholder>
                <w:docPart w:val="0EFA02AA087E457AB4E4602B89ABF8E4"/>
              </w:placeholder>
              <w:dataBinding w:prefixMappings="xmlns:ns0='http://purl.org/dc/elements/1.1/' xmlns:ns1='http://schemas.openxmlformats.org/package/2006/metadata/core-properties' " w:xpath="/ns1:coreProperties[1]/ns0:subject[1]" w:storeItemID="{6C3C8BC8-F283-45AE-878A-BAB7291924A1}"/>
              <w:text/>
            </w:sdtPr>
            <w:sdtEndPr/>
            <w:sdtContent>
              <w:p w:rsidR="00AD1731" w:rsidRPr="00E76622" w:rsidRDefault="0007070D" w:rsidP="00E733CD">
                <w:pPr>
                  <w:suppressLineNumbers/>
                  <w:suppressAutoHyphens/>
                  <w:kinsoku w:val="0"/>
                  <w:overflowPunct w:val="0"/>
                  <w:autoSpaceDE w:val="0"/>
                  <w:autoSpaceDN w:val="0"/>
                  <w:adjustRightInd w:val="0"/>
                  <w:snapToGrid w:val="0"/>
                  <w:ind w:left="317"/>
                  <w:rPr>
                    <w:snapToGrid w:val="0"/>
                    <w:kern w:val="22"/>
                    <w:szCs w:val="22"/>
                    <w:lang w:val="fr-CA"/>
                  </w:rPr>
                </w:pPr>
                <w:r w:rsidRPr="00E76622">
                  <w:rPr>
                    <w:snapToGrid w:val="0"/>
                    <w:kern w:val="22"/>
                    <w:szCs w:val="22"/>
                    <w:lang w:val="fr-CA"/>
                  </w:rPr>
                  <w:t>CBD/</w:t>
                </w:r>
                <w:proofErr w:type="spellStart"/>
                <w:r w:rsidRPr="00E76622">
                  <w:rPr>
                    <w:snapToGrid w:val="0"/>
                    <w:kern w:val="22"/>
                    <w:szCs w:val="22"/>
                    <w:lang w:val="fr-CA"/>
                  </w:rPr>
                  <w:t>SBI</w:t>
                </w:r>
                <w:proofErr w:type="spellEnd"/>
                <w:r w:rsidRPr="00E76622">
                  <w:rPr>
                    <w:snapToGrid w:val="0"/>
                    <w:kern w:val="22"/>
                    <w:szCs w:val="22"/>
                    <w:lang w:val="fr-CA"/>
                  </w:rPr>
                  <w:t>/2/8</w:t>
                </w:r>
              </w:p>
            </w:sdtContent>
          </w:sdt>
          <w:p w:rsidR="00AD1731" w:rsidRPr="00E76622" w:rsidRDefault="00074692" w:rsidP="00E733CD">
            <w:pPr>
              <w:suppressLineNumbers/>
              <w:suppressAutoHyphens/>
              <w:kinsoku w:val="0"/>
              <w:overflowPunct w:val="0"/>
              <w:autoSpaceDE w:val="0"/>
              <w:autoSpaceDN w:val="0"/>
              <w:adjustRightInd w:val="0"/>
              <w:snapToGrid w:val="0"/>
              <w:ind w:left="317"/>
              <w:rPr>
                <w:snapToGrid w:val="0"/>
                <w:kern w:val="22"/>
                <w:szCs w:val="22"/>
                <w:lang w:val="fr-CA"/>
              </w:rPr>
            </w:pPr>
            <w:r w:rsidRPr="00E76622">
              <w:rPr>
                <w:snapToGrid w:val="0"/>
                <w:kern w:val="22"/>
                <w:szCs w:val="22"/>
                <w:lang w:val="fr-CA"/>
              </w:rPr>
              <w:t>3</w:t>
            </w:r>
            <w:r w:rsidR="005552F3" w:rsidRPr="00E76622">
              <w:rPr>
                <w:snapToGrid w:val="0"/>
                <w:kern w:val="22"/>
                <w:szCs w:val="22"/>
                <w:lang w:val="fr-CA"/>
              </w:rPr>
              <w:t xml:space="preserve">1 </w:t>
            </w:r>
            <w:r w:rsidR="00E76622" w:rsidRPr="00E76622">
              <w:rPr>
                <w:snapToGrid w:val="0"/>
                <w:kern w:val="22"/>
                <w:szCs w:val="22"/>
                <w:lang w:val="fr-CA"/>
              </w:rPr>
              <w:t>mai</w:t>
            </w:r>
            <w:r w:rsidR="005552F3" w:rsidRPr="00E76622">
              <w:rPr>
                <w:snapToGrid w:val="0"/>
                <w:kern w:val="22"/>
                <w:szCs w:val="22"/>
                <w:lang w:val="fr-CA"/>
              </w:rPr>
              <w:t xml:space="preserve"> </w:t>
            </w:r>
            <w:r w:rsidR="00AD1731" w:rsidRPr="00E76622">
              <w:rPr>
                <w:snapToGrid w:val="0"/>
                <w:kern w:val="22"/>
                <w:szCs w:val="22"/>
                <w:lang w:val="fr-CA"/>
              </w:rPr>
              <w:t>201</w:t>
            </w:r>
            <w:r w:rsidRPr="00E76622">
              <w:rPr>
                <w:snapToGrid w:val="0"/>
                <w:kern w:val="22"/>
                <w:szCs w:val="22"/>
                <w:lang w:val="fr-CA"/>
              </w:rPr>
              <w:t>8</w:t>
            </w:r>
          </w:p>
          <w:p w:rsidR="00AD1731" w:rsidRPr="00E76622" w:rsidRDefault="00AD1731" w:rsidP="00E733CD">
            <w:pPr>
              <w:suppressLineNumbers/>
              <w:suppressAutoHyphens/>
              <w:kinsoku w:val="0"/>
              <w:overflowPunct w:val="0"/>
              <w:autoSpaceDE w:val="0"/>
              <w:autoSpaceDN w:val="0"/>
              <w:adjustRightInd w:val="0"/>
              <w:snapToGrid w:val="0"/>
              <w:ind w:left="317"/>
              <w:rPr>
                <w:snapToGrid w:val="0"/>
                <w:kern w:val="22"/>
                <w:szCs w:val="22"/>
                <w:lang w:val="fr-CA"/>
              </w:rPr>
            </w:pPr>
          </w:p>
          <w:p w:rsidR="00E76622" w:rsidRPr="00E76622" w:rsidRDefault="00E76622" w:rsidP="00E733CD">
            <w:pPr>
              <w:suppressLineNumbers/>
              <w:suppressAutoHyphens/>
              <w:kinsoku w:val="0"/>
              <w:overflowPunct w:val="0"/>
              <w:autoSpaceDE w:val="0"/>
              <w:autoSpaceDN w:val="0"/>
              <w:adjustRightInd w:val="0"/>
              <w:snapToGrid w:val="0"/>
              <w:ind w:left="317"/>
              <w:rPr>
                <w:snapToGrid w:val="0"/>
                <w:kern w:val="22"/>
                <w:szCs w:val="22"/>
                <w:lang w:val="fr-CA"/>
              </w:rPr>
            </w:pPr>
            <w:r w:rsidRPr="00E76622">
              <w:rPr>
                <w:snapToGrid w:val="0"/>
                <w:kern w:val="22"/>
                <w:szCs w:val="22"/>
                <w:lang w:val="fr-CA"/>
              </w:rPr>
              <w:t>FRANÇAIS</w:t>
            </w:r>
          </w:p>
          <w:p w:rsidR="00AD1731" w:rsidRPr="00E76622" w:rsidRDefault="00AD1731" w:rsidP="00E76622">
            <w:pPr>
              <w:suppressLineNumbers/>
              <w:suppressAutoHyphens/>
              <w:kinsoku w:val="0"/>
              <w:overflowPunct w:val="0"/>
              <w:autoSpaceDE w:val="0"/>
              <w:autoSpaceDN w:val="0"/>
              <w:adjustRightInd w:val="0"/>
              <w:snapToGrid w:val="0"/>
              <w:ind w:left="317"/>
              <w:rPr>
                <w:snapToGrid w:val="0"/>
                <w:kern w:val="22"/>
                <w:szCs w:val="22"/>
                <w:u w:val="single"/>
                <w:lang w:val="fr-CA"/>
              </w:rPr>
            </w:pPr>
            <w:r w:rsidRPr="00E76622">
              <w:rPr>
                <w:snapToGrid w:val="0"/>
                <w:kern w:val="22"/>
                <w:szCs w:val="22"/>
                <w:lang w:val="fr-CA"/>
              </w:rPr>
              <w:t>ORIGINAL</w:t>
            </w:r>
            <w:r w:rsidR="00E76622" w:rsidRPr="00E76622">
              <w:rPr>
                <w:snapToGrid w:val="0"/>
                <w:kern w:val="22"/>
                <w:szCs w:val="22"/>
                <w:lang w:val="fr-CA"/>
              </w:rPr>
              <w:t xml:space="preserve"> </w:t>
            </w:r>
            <w:r w:rsidRPr="00E76622">
              <w:rPr>
                <w:snapToGrid w:val="0"/>
                <w:kern w:val="22"/>
                <w:szCs w:val="22"/>
                <w:lang w:val="fr-CA"/>
              </w:rPr>
              <w:t xml:space="preserve">: </w:t>
            </w:r>
            <w:r w:rsidR="00E76622" w:rsidRPr="00E76622">
              <w:rPr>
                <w:snapToGrid w:val="0"/>
                <w:kern w:val="22"/>
                <w:szCs w:val="22"/>
                <w:lang w:val="fr-CA"/>
              </w:rPr>
              <w:t>ANGLAIS</w:t>
            </w:r>
          </w:p>
        </w:tc>
      </w:tr>
    </w:tbl>
    <w:p w:rsidR="00AD1731" w:rsidRPr="00E76622" w:rsidRDefault="00E76622" w:rsidP="00E733CD">
      <w:pPr>
        <w:pStyle w:val="meetingname"/>
        <w:suppressLineNumbers/>
        <w:suppressAutoHyphens/>
        <w:kinsoku w:val="0"/>
        <w:overflowPunct w:val="0"/>
        <w:autoSpaceDE w:val="0"/>
        <w:autoSpaceDN w:val="0"/>
        <w:adjustRightInd w:val="0"/>
        <w:snapToGrid w:val="0"/>
        <w:ind w:left="-180" w:right="4398" w:firstLine="0"/>
        <w:rPr>
          <w:kern w:val="22"/>
          <w:szCs w:val="22"/>
          <w:lang w:val="fr-CA"/>
        </w:rPr>
      </w:pPr>
      <w:r w:rsidRPr="00E76622">
        <w:rPr>
          <w:kern w:val="22"/>
          <w:szCs w:val="22"/>
          <w:lang w:val="fr-CA"/>
        </w:rPr>
        <w:t xml:space="preserve">ORGANE SUBSIDIAIRE DE MISE EN œuvre </w:t>
      </w:r>
    </w:p>
    <w:p w:rsidR="00AD1731" w:rsidRPr="00E76622" w:rsidRDefault="00E76622" w:rsidP="00E733CD">
      <w:pPr>
        <w:suppressLineNumbers/>
        <w:suppressAutoHyphens/>
        <w:kinsoku w:val="0"/>
        <w:overflowPunct w:val="0"/>
        <w:autoSpaceDE w:val="0"/>
        <w:autoSpaceDN w:val="0"/>
        <w:adjustRightInd w:val="0"/>
        <w:snapToGrid w:val="0"/>
        <w:rPr>
          <w:rFonts w:cs="Times New Roman"/>
          <w:snapToGrid w:val="0"/>
          <w:kern w:val="22"/>
          <w:szCs w:val="22"/>
          <w:lang w:val="fr-CA" w:eastAsia="nb-NO"/>
        </w:rPr>
      </w:pPr>
      <w:r w:rsidRPr="00E76622">
        <w:rPr>
          <w:rFonts w:cs="Times New Roman"/>
          <w:snapToGrid w:val="0"/>
          <w:kern w:val="22"/>
          <w:szCs w:val="22"/>
          <w:lang w:val="fr-CA" w:eastAsia="nb-NO"/>
        </w:rPr>
        <w:t>Deuxième réunion</w:t>
      </w:r>
    </w:p>
    <w:p w:rsidR="00AD1731" w:rsidRPr="00E76622" w:rsidRDefault="00E76622" w:rsidP="00E733CD">
      <w:pPr>
        <w:suppressLineNumbers/>
        <w:suppressAutoHyphens/>
        <w:kinsoku w:val="0"/>
        <w:overflowPunct w:val="0"/>
        <w:autoSpaceDE w:val="0"/>
        <w:autoSpaceDN w:val="0"/>
        <w:adjustRightInd w:val="0"/>
        <w:snapToGrid w:val="0"/>
        <w:rPr>
          <w:rFonts w:cs="Times New Roman"/>
          <w:snapToGrid w:val="0"/>
          <w:kern w:val="22"/>
          <w:szCs w:val="22"/>
          <w:lang w:val="fr-CA" w:eastAsia="nb-NO"/>
        </w:rPr>
      </w:pPr>
      <w:r w:rsidRPr="00E76622">
        <w:rPr>
          <w:rFonts w:cs="Times New Roman"/>
          <w:snapToGrid w:val="0"/>
          <w:kern w:val="22"/>
          <w:szCs w:val="22"/>
          <w:lang w:val="fr-CA" w:eastAsia="nb-NO"/>
        </w:rPr>
        <w:t>Montré</w:t>
      </w:r>
      <w:r w:rsidR="00AD1731" w:rsidRPr="00E76622">
        <w:rPr>
          <w:rFonts w:cs="Times New Roman"/>
          <w:snapToGrid w:val="0"/>
          <w:kern w:val="22"/>
          <w:szCs w:val="22"/>
          <w:lang w:val="fr-CA" w:eastAsia="nb-NO"/>
        </w:rPr>
        <w:t xml:space="preserve">al, Canada, 9-13 </w:t>
      </w:r>
      <w:r w:rsidRPr="00E76622">
        <w:rPr>
          <w:rFonts w:cs="Times New Roman"/>
          <w:snapToGrid w:val="0"/>
          <w:kern w:val="22"/>
          <w:szCs w:val="22"/>
          <w:lang w:val="fr-CA" w:eastAsia="nb-NO"/>
        </w:rPr>
        <w:t>juillet</w:t>
      </w:r>
      <w:r w:rsidR="00AD1731" w:rsidRPr="00E76622">
        <w:rPr>
          <w:rFonts w:cs="Times New Roman"/>
          <w:snapToGrid w:val="0"/>
          <w:kern w:val="22"/>
          <w:szCs w:val="22"/>
          <w:lang w:val="fr-CA" w:eastAsia="nb-NO"/>
        </w:rPr>
        <w:t xml:space="preserve"> 2018</w:t>
      </w:r>
    </w:p>
    <w:p w:rsidR="00AD1731" w:rsidRPr="00E76622" w:rsidRDefault="00E76622" w:rsidP="00E733CD">
      <w:pPr>
        <w:pStyle w:val="En-tte"/>
        <w:suppressLineNumbers/>
        <w:tabs>
          <w:tab w:val="clear" w:pos="4320"/>
          <w:tab w:val="clear" w:pos="8640"/>
        </w:tabs>
        <w:suppressAutoHyphens/>
        <w:kinsoku w:val="0"/>
        <w:overflowPunct w:val="0"/>
        <w:autoSpaceDE w:val="0"/>
        <w:autoSpaceDN w:val="0"/>
        <w:adjustRightInd w:val="0"/>
        <w:snapToGrid w:val="0"/>
        <w:spacing w:after="120"/>
        <w:rPr>
          <w:snapToGrid w:val="0"/>
          <w:kern w:val="22"/>
          <w:szCs w:val="22"/>
          <w:lang w:val="fr-CA"/>
        </w:rPr>
      </w:pPr>
      <w:r w:rsidRPr="00E76622">
        <w:rPr>
          <w:snapToGrid w:val="0"/>
          <w:kern w:val="22"/>
          <w:szCs w:val="22"/>
          <w:lang w:val="fr-CA"/>
        </w:rPr>
        <w:t>Point 8 de l’ordre du jour provisoire</w:t>
      </w:r>
    </w:p>
    <w:sdt>
      <w:sdtPr>
        <w:rPr>
          <w:rFonts w:cs="Times New Roman"/>
          <w:snapToGrid w:val="0"/>
          <w:kern w:val="22"/>
          <w:szCs w:val="22"/>
          <w:lang w:val="fr-CA"/>
        </w:rPr>
        <w:alias w:val="Title"/>
        <w:tag w:val=""/>
        <w:id w:val="2127654546"/>
        <w:placeholder>
          <w:docPart w:val="7F667401F4DD449AA1053D043335D8FD"/>
        </w:placeholder>
        <w:dataBinding w:prefixMappings="xmlns:ns0='http://purl.org/dc/elements/1.1/' xmlns:ns1='http://schemas.openxmlformats.org/package/2006/metadata/core-properties' " w:xpath="/ns1:coreProperties[1]/ns0:title[1]" w:storeItemID="{6C3C8BC8-F283-45AE-878A-BAB7291924A1}"/>
        <w:text/>
      </w:sdtPr>
      <w:sdtEndPr/>
      <w:sdtContent>
        <w:p w:rsidR="00933415" w:rsidRPr="00E76622" w:rsidRDefault="00E76622" w:rsidP="00E733CD">
          <w:pPr>
            <w:pStyle w:val="Titre1"/>
            <w:keepNext w:val="0"/>
            <w:suppressLineNumbers/>
            <w:tabs>
              <w:tab w:val="clear" w:pos="720"/>
            </w:tabs>
            <w:suppressAutoHyphens/>
            <w:kinsoku w:val="0"/>
            <w:overflowPunct w:val="0"/>
            <w:autoSpaceDE w:val="0"/>
            <w:autoSpaceDN w:val="0"/>
            <w:adjustRightInd w:val="0"/>
            <w:snapToGrid w:val="0"/>
            <w:spacing w:before="120"/>
            <w:rPr>
              <w:rFonts w:cs="Times New Roman"/>
              <w:caps w:val="0"/>
              <w:snapToGrid w:val="0"/>
              <w:kern w:val="22"/>
              <w:szCs w:val="22"/>
              <w:lang w:val="fr-CA"/>
            </w:rPr>
          </w:pPr>
          <w:r>
            <w:rPr>
              <w:rFonts w:cs="Times New Roman"/>
              <w:snapToGrid w:val="0"/>
              <w:kern w:val="22"/>
              <w:szCs w:val="22"/>
              <w:lang w:val="fr-CA"/>
            </w:rPr>
            <w:t>Le mécanisme de financement</w:t>
          </w:r>
          <w:r w:rsidR="0007070D" w:rsidRPr="00E76622">
            <w:rPr>
              <w:rFonts w:cs="Times New Roman"/>
              <w:snapToGrid w:val="0"/>
              <w:kern w:val="22"/>
              <w:szCs w:val="22"/>
              <w:lang w:val="fr-CA"/>
            </w:rPr>
            <w:t xml:space="preserve"> (</w:t>
          </w:r>
          <w:r w:rsidR="005F49C6" w:rsidRPr="00E76622">
            <w:rPr>
              <w:rFonts w:cs="Times New Roman"/>
              <w:snapToGrid w:val="0"/>
              <w:kern w:val="22"/>
              <w:szCs w:val="22"/>
              <w:lang w:val="fr-CA"/>
            </w:rPr>
            <w:t xml:space="preserve">Article </w:t>
          </w:r>
          <w:r w:rsidR="0007070D" w:rsidRPr="00E76622">
            <w:rPr>
              <w:rFonts w:cs="Times New Roman"/>
              <w:snapToGrid w:val="0"/>
              <w:kern w:val="22"/>
              <w:szCs w:val="22"/>
              <w:lang w:val="fr-CA"/>
            </w:rPr>
            <w:t>21)</w:t>
          </w:r>
        </w:p>
      </w:sdtContent>
    </w:sdt>
    <w:p w:rsidR="00933415" w:rsidRPr="00E76622" w:rsidRDefault="00B01312" w:rsidP="00E733CD">
      <w:pPr>
        <w:pStyle w:val="Titre1"/>
        <w:suppressLineNumbers/>
        <w:tabs>
          <w:tab w:val="clear" w:pos="720"/>
        </w:tabs>
        <w:suppressAutoHyphens/>
        <w:kinsoku w:val="0"/>
        <w:overflowPunct w:val="0"/>
        <w:autoSpaceDE w:val="0"/>
        <w:autoSpaceDN w:val="0"/>
        <w:adjustRightInd w:val="0"/>
        <w:snapToGrid w:val="0"/>
        <w:spacing w:before="120"/>
        <w:rPr>
          <w:rFonts w:cs="Times New Roman"/>
          <w:bCs/>
          <w:iCs/>
          <w:caps w:val="0"/>
          <w:snapToGrid w:val="0"/>
          <w:kern w:val="22"/>
          <w:szCs w:val="22"/>
          <w:lang w:val="fr-CA"/>
        </w:rPr>
      </w:pPr>
      <w:r w:rsidRPr="00E76622">
        <w:rPr>
          <w:rFonts w:cs="Times New Roman"/>
          <w:snapToGrid w:val="0"/>
          <w:kern w:val="22"/>
          <w:szCs w:val="22"/>
          <w:lang w:val="fr-CA"/>
        </w:rPr>
        <w:t>Introduction</w:t>
      </w:r>
    </w:p>
    <w:p w:rsidR="002C1BF8" w:rsidRPr="001C2C6C" w:rsidRDefault="009973E4"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lang w:val="fr-CA"/>
        </w:rPr>
      </w:pPr>
      <w:r w:rsidRPr="009973E4">
        <w:rPr>
          <w:rFonts w:cs="Times New Roman"/>
          <w:kern w:val="22"/>
          <w:szCs w:val="22"/>
          <w:lang w:val="fr-CA"/>
        </w:rPr>
        <w:t xml:space="preserve">Le mécanisme de financement de la Convention a connu deux importants développements depuis la treizième </w:t>
      </w:r>
      <w:r w:rsidR="00DF3EC0">
        <w:rPr>
          <w:rFonts w:cs="Times New Roman"/>
          <w:kern w:val="22"/>
          <w:szCs w:val="22"/>
          <w:lang w:val="fr-CA"/>
        </w:rPr>
        <w:t>ré</w:t>
      </w:r>
      <w:r w:rsidRPr="009973E4">
        <w:rPr>
          <w:rFonts w:cs="Times New Roman"/>
          <w:kern w:val="22"/>
          <w:szCs w:val="22"/>
          <w:lang w:val="fr-CA"/>
        </w:rPr>
        <w:t xml:space="preserve">union </w:t>
      </w:r>
      <w:r>
        <w:rPr>
          <w:rFonts w:cs="Times New Roman"/>
          <w:kern w:val="22"/>
          <w:szCs w:val="22"/>
          <w:lang w:val="fr-CA"/>
        </w:rPr>
        <w:t xml:space="preserve">de la Conférence des Parties. </w:t>
      </w:r>
      <w:r w:rsidRPr="009973E4">
        <w:rPr>
          <w:rFonts w:cs="Times New Roman"/>
          <w:kern w:val="22"/>
          <w:szCs w:val="22"/>
          <w:lang w:val="fr-CA"/>
        </w:rPr>
        <w:t xml:space="preserve">Premièrement, </w:t>
      </w:r>
      <w:r w:rsidR="001C2C6C">
        <w:rPr>
          <w:rFonts w:cs="Times New Roman"/>
          <w:kern w:val="22"/>
          <w:szCs w:val="22"/>
          <w:lang w:val="fr-CA"/>
        </w:rPr>
        <w:t>l</w:t>
      </w:r>
      <w:r w:rsidRPr="009973E4">
        <w:rPr>
          <w:rFonts w:cs="Times New Roman"/>
          <w:kern w:val="22"/>
          <w:szCs w:val="22"/>
          <w:lang w:val="fr-CA"/>
        </w:rPr>
        <w:t>e Bureau</w:t>
      </w:r>
      <w:r w:rsidR="004326B6">
        <w:rPr>
          <w:rFonts w:cs="Times New Roman"/>
          <w:kern w:val="22"/>
          <w:szCs w:val="22"/>
          <w:lang w:val="fr-CA"/>
        </w:rPr>
        <w:t xml:space="preserve"> indépendant </w:t>
      </w:r>
      <w:r w:rsidRPr="009973E4">
        <w:rPr>
          <w:rFonts w:cs="Times New Roman"/>
          <w:kern w:val="22"/>
          <w:szCs w:val="22"/>
          <w:lang w:val="fr-CA"/>
        </w:rPr>
        <w:t>d’évaluation du FEM a terminé sa sixième étude approfondie du Fonds pour l’environnement mondial (OPS6) en décembre 2017 et deuxi</w:t>
      </w:r>
      <w:r>
        <w:rPr>
          <w:rFonts w:cs="Times New Roman"/>
          <w:kern w:val="22"/>
          <w:szCs w:val="22"/>
          <w:lang w:val="fr-CA"/>
        </w:rPr>
        <w:t>èmement, les négociations ent</w:t>
      </w:r>
      <w:r w:rsidR="001C2C6C">
        <w:rPr>
          <w:rFonts w:cs="Times New Roman"/>
          <w:kern w:val="22"/>
          <w:szCs w:val="22"/>
          <w:lang w:val="fr-CA"/>
        </w:rPr>
        <w:t>ourant la</w:t>
      </w:r>
      <w:r>
        <w:rPr>
          <w:rFonts w:cs="Times New Roman"/>
          <w:kern w:val="22"/>
          <w:szCs w:val="22"/>
          <w:lang w:val="fr-CA"/>
        </w:rPr>
        <w:t xml:space="preserve"> septième reconstitution du fonds d’affectation spéciale du Fonds pour l’</w:t>
      </w:r>
      <w:r w:rsidR="001C2C6C">
        <w:rPr>
          <w:rFonts w:cs="Times New Roman"/>
          <w:kern w:val="22"/>
          <w:szCs w:val="22"/>
          <w:lang w:val="fr-CA"/>
        </w:rPr>
        <w:t>e</w:t>
      </w:r>
      <w:r w:rsidR="00DF3EC0">
        <w:rPr>
          <w:rFonts w:cs="Times New Roman"/>
          <w:kern w:val="22"/>
          <w:szCs w:val="22"/>
          <w:lang w:val="fr-CA"/>
        </w:rPr>
        <w:t>nvironnement m</w:t>
      </w:r>
      <w:r>
        <w:rPr>
          <w:rFonts w:cs="Times New Roman"/>
          <w:kern w:val="22"/>
          <w:szCs w:val="22"/>
          <w:lang w:val="fr-CA"/>
        </w:rPr>
        <w:t xml:space="preserve">ondial </w:t>
      </w:r>
      <w:r w:rsidR="00DF3EC0">
        <w:rPr>
          <w:rFonts w:cs="Times New Roman"/>
          <w:kern w:val="22"/>
          <w:szCs w:val="22"/>
          <w:lang w:val="fr-CA"/>
        </w:rPr>
        <w:t>(</w:t>
      </w:r>
      <w:r w:rsidR="004326B6">
        <w:rPr>
          <w:rFonts w:cs="Times New Roman"/>
          <w:kern w:val="22"/>
          <w:szCs w:val="22"/>
          <w:lang w:val="fr-CA"/>
        </w:rPr>
        <w:t>FEM</w:t>
      </w:r>
      <w:r w:rsidR="00DF3EC0">
        <w:rPr>
          <w:rFonts w:cs="Times New Roman"/>
          <w:kern w:val="22"/>
          <w:szCs w:val="22"/>
          <w:lang w:val="fr-CA"/>
        </w:rPr>
        <w:t xml:space="preserve">-7) </w:t>
      </w:r>
      <w:r>
        <w:rPr>
          <w:rFonts w:cs="Times New Roman"/>
          <w:kern w:val="22"/>
          <w:szCs w:val="22"/>
          <w:lang w:val="fr-CA"/>
        </w:rPr>
        <w:t>ont pris fin en avril 2018</w:t>
      </w:r>
      <w:r w:rsidR="00DF3EC0">
        <w:rPr>
          <w:rFonts w:cs="Times New Roman"/>
          <w:kern w:val="22"/>
          <w:szCs w:val="22"/>
          <w:lang w:val="fr-CA"/>
        </w:rPr>
        <w:t xml:space="preserve">, </w:t>
      </w:r>
      <w:r w:rsidR="001C2C6C">
        <w:rPr>
          <w:rFonts w:cs="Times New Roman"/>
          <w:kern w:val="22"/>
          <w:szCs w:val="22"/>
          <w:lang w:val="fr-CA"/>
        </w:rPr>
        <w:t>au cours desquelles</w:t>
      </w:r>
      <w:r w:rsidR="00DF3EC0">
        <w:rPr>
          <w:rFonts w:cs="Times New Roman"/>
          <w:kern w:val="22"/>
          <w:szCs w:val="22"/>
          <w:lang w:val="fr-CA"/>
        </w:rPr>
        <w:t xml:space="preserve"> des contributions de 4,1 milliards $US ont été annoncées. </w:t>
      </w:r>
      <w:r w:rsidR="00DF3EC0" w:rsidRPr="001C2C6C">
        <w:rPr>
          <w:rFonts w:cs="Times New Roman"/>
          <w:kern w:val="22"/>
          <w:szCs w:val="22"/>
          <w:lang w:val="fr-CA"/>
        </w:rPr>
        <w:t>L’of</w:t>
      </w:r>
      <w:r w:rsidR="004326B6">
        <w:rPr>
          <w:rFonts w:cs="Times New Roman"/>
          <w:kern w:val="22"/>
          <w:szCs w:val="22"/>
          <w:lang w:val="fr-CA"/>
        </w:rPr>
        <w:t>fre de reconstitution comprend l</w:t>
      </w:r>
      <w:r w:rsidR="00DF3EC0" w:rsidRPr="001C2C6C">
        <w:rPr>
          <w:rFonts w:cs="Times New Roman"/>
          <w:kern w:val="22"/>
          <w:szCs w:val="22"/>
          <w:lang w:val="fr-CA"/>
        </w:rPr>
        <w:t xml:space="preserve">es </w:t>
      </w:r>
      <w:r w:rsidR="004326B6">
        <w:rPr>
          <w:rFonts w:cs="Times New Roman"/>
          <w:kern w:val="22"/>
          <w:szCs w:val="22"/>
          <w:lang w:val="fr-CA"/>
        </w:rPr>
        <w:t>recommandations d’orientation de la</w:t>
      </w:r>
      <w:r w:rsidR="00DF3EC0" w:rsidRPr="001C2C6C">
        <w:rPr>
          <w:rFonts w:cs="Times New Roman"/>
          <w:kern w:val="22"/>
          <w:szCs w:val="22"/>
          <w:lang w:val="fr-CA"/>
        </w:rPr>
        <w:t xml:space="preserve"> FEM-7, des orientations de programme </w:t>
      </w:r>
      <w:r w:rsidR="004326B6">
        <w:rPr>
          <w:rFonts w:cs="Times New Roman"/>
          <w:kern w:val="22"/>
          <w:szCs w:val="22"/>
          <w:lang w:val="fr-CA"/>
        </w:rPr>
        <w:t>de la</w:t>
      </w:r>
      <w:r w:rsidR="00DF3EC0" w:rsidRPr="001C2C6C">
        <w:rPr>
          <w:rFonts w:cs="Times New Roman"/>
          <w:kern w:val="22"/>
          <w:szCs w:val="22"/>
          <w:lang w:val="fr-CA"/>
        </w:rPr>
        <w:t xml:space="preserve"> FEM-7 ainsi que l’</w:t>
      </w:r>
      <w:r w:rsidR="001C2C6C">
        <w:rPr>
          <w:rFonts w:cs="Times New Roman"/>
          <w:kern w:val="22"/>
          <w:szCs w:val="22"/>
          <w:lang w:val="fr-CA"/>
        </w:rPr>
        <w:t>affectation des ressour</w:t>
      </w:r>
      <w:r w:rsidR="00DF3EC0" w:rsidRPr="001C2C6C">
        <w:rPr>
          <w:rFonts w:cs="Times New Roman"/>
          <w:kern w:val="22"/>
          <w:szCs w:val="22"/>
          <w:lang w:val="fr-CA"/>
        </w:rPr>
        <w:t xml:space="preserve">ces et les cibles de </w:t>
      </w:r>
      <w:r w:rsidR="004326B6">
        <w:rPr>
          <w:rFonts w:cs="Times New Roman"/>
          <w:kern w:val="22"/>
          <w:szCs w:val="22"/>
          <w:lang w:val="fr-CA"/>
        </w:rPr>
        <w:t xml:space="preserve">la </w:t>
      </w:r>
      <w:r w:rsidR="00DF3EC0" w:rsidRPr="001C2C6C">
        <w:rPr>
          <w:rFonts w:cs="Times New Roman"/>
          <w:kern w:val="22"/>
          <w:szCs w:val="22"/>
          <w:lang w:val="fr-CA"/>
        </w:rPr>
        <w:t xml:space="preserve">FEM-7, </w:t>
      </w:r>
      <w:r w:rsidR="001C2C6C" w:rsidRPr="001C2C6C">
        <w:rPr>
          <w:rFonts w:cs="Times New Roman"/>
          <w:kern w:val="22"/>
          <w:szCs w:val="22"/>
          <w:lang w:val="fr-CA"/>
        </w:rPr>
        <w:t xml:space="preserve">comprenant explicitement les </w:t>
      </w:r>
      <w:r w:rsidR="001C2C6C">
        <w:rPr>
          <w:rFonts w:cs="Times New Roman"/>
          <w:kern w:val="22"/>
          <w:szCs w:val="22"/>
          <w:lang w:val="fr-CA"/>
        </w:rPr>
        <w:t>orientations fournies par la Co</w:t>
      </w:r>
      <w:r w:rsidR="001C2C6C" w:rsidRPr="001C2C6C">
        <w:rPr>
          <w:rFonts w:cs="Times New Roman"/>
          <w:kern w:val="22"/>
          <w:szCs w:val="22"/>
          <w:lang w:val="fr-CA"/>
        </w:rPr>
        <w:t>nférence des Parties dans sa décision</w:t>
      </w:r>
      <w:r w:rsidR="006765FC" w:rsidRPr="001C2C6C">
        <w:rPr>
          <w:rFonts w:eastAsia="Malgun Gothic" w:cs="Times New Roman"/>
          <w:kern w:val="22"/>
          <w:szCs w:val="22"/>
          <w:lang w:val="fr-CA"/>
        </w:rPr>
        <w:t xml:space="preserve"> </w:t>
      </w:r>
      <w:hyperlink r:id="rId11" w:history="1">
        <w:r w:rsidR="006765FC" w:rsidRPr="001C2C6C">
          <w:rPr>
            <w:rStyle w:val="Lienhypertexte"/>
            <w:rFonts w:eastAsia="Malgun Gothic" w:cs="Times New Roman"/>
            <w:kern w:val="22"/>
            <w:szCs w:val="22"/>
            <w:lang w:val="fr-CA"/>
          </w:rPr>
          <w:t>XIII/21</w:t>
        </w:r>
      </w:hyperlink>
      <w:r w:rsidR="00140BB8" w:rsidRPr="001C2C6C">
        <w:rPr>
          <w:rFonts w:eastAsia="Malgun Gothic" w:cs="Times New Roman"/>
          <w:kern w:val="22"/>
          <w:szCs w:val="22"/>
          <w:lang w:val="fr-CA"/>
        </w:rPr>
        <w:t xml:space="preserve">, </w:t>
      </w:r>
      <w:r w:rsidR="001C2C6C">
        <w:rPr>
          <w:rFonts w:eastAsia="Malgun Gothic" w:cs="Times New Roman"/>
          <w:kern w:val="22"/>
          <w:szCs w:val="22"/>
          <w:lang w:val="fr-CA"/>
        </w:rPr>
        <w:t>ainsi que le rapport de l’évaluation complète des sommes nécessaires pour la mise en œuvre de la Convention et de ses Protocoles pour la septième période de reconstitution du Fonds pour l’environnement mondial</w:t>
      </w:r>
      <w:r w:rsidR="002C1BF8" w:rsidRPr="001C2C6C">
        <w:rPr>
          <w:rFonts w:cs="Times New Roman"/>
          <w:kern w:val="22"/>
          <w:szCs w:val="22"/>
          <w:lang w:val="fr-CA"/>
        </w:rPr>
        <w:t>.</w:t>
      </w:r>
    </w:p>
    <w:p w:rsidR="0047695A" w:rsidRPr="00E76622" w:rsidRDefault="00FA5B23"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Pr>
          <w:rFonts w:eastAsia="Malgun Gothic" w:cs="Times New Roman"/>
          <w:kern w:val="22"/>
          <w:szCs w:val="22"/>
          <w:lang w:val="fr-CA"/>
        </w:rPr>
        <w:t xml:space="preserve">Le présent document présente un compte rendu de la mise en œuvre de la décision XIII/21 conformément aux éléments de structure du </w:t>
      </w:r>
      <w:r w:rsidR="005B0863">
        <w:rPr>
          <w:rFonts w:eastAsia="Malgun Gothic" w:cs="Times New Roman"/>
          <w:kern w:val="22"/>
          <w:szCs w:val="22"/>
          <w:lang w:val="fr-CA"/>
        </w:rPr>
        <w:t>M</w:t>
      </w:r>
      <w:r w:rsidR="0082460A">
        <w:rPr>
          <w:rFonts w:eastAsia="Malgun Gothic" w:cs="Times New Roman"/>
          <w:kern w:val="22"/>
          <w:szCs w:val="22"/>
          <w:lang w:val="fr-CA"/>
        </w:rPr>
        <w:t>émorandum d’accord</w:t>
      </w:r>
      <w:r>
        <w:rPr>
          <w:rFonts w:eastAsia="Malgun Gothic" w:cs="Times New Roman"/>
          <w:kern w:val="22"/>
          <w:szCs w:val="22"/>
          <w:lang w:val="fr-CA"/>
        </w:rPr>
        <w:t xml:space="preserve"> entre la Conférence des Parties à la Convention sur la diversité biologique et le Conseil du Fonds p</w:t>
      </w:r>
      <w:r w:rsidR="0082460A">
        <w:rPr>
          <w:rFonts w:eastAsia="Malgun Gothic" w:cs="Times New Roman"/>
          <w:kern w:val="22"/>
          <w:szCs w:val="22"/>
          <w:lang w:val="fr-CA"/>
        </w:rPr>
        <w:t>o</w:t>
      </w:r>
      <w:r>
        <w:rPr>
          <w:rFonts w:eastAsia="Malgun Gothic" w:cs="Times New Roman"/>
          <w:kern w:val="22"/>
          <w:szCs w:val="22"/>
          <w:lang w:val="fr-CA"/>
        </w:rPr>
        <w:t>ur l’environnement mondial convenu dans le décision</w:t>
      </w:r>
      <w:r w:rsidR="005A2149" w:rsidRPr="00E76622">
        <w:rPr>
          <w:rFonts w:eastAsia="Malgun Gothic" w:cs="Times New Roman"/>
          <w:kern w:val="22"/>
          <w:szCs w:val="22"/>
          <w:lang w:val="fr-CA"/>
        </w:rPr>
        <w:t xml:space="preserve"> </w:t>
      </w:r>
      <w:hyperlink r:id="rId12" w:history="1">
        <w:r w:rsidR="005A2149" w:rsidRPr="00E76622">
          <w:rPr>
            <w:rStyle w:val="Lienhypertexte"/>
            <w:rFonts w:eastAsia="Malgun Gothic" w:cs="Times New Roman"/>
            <w:kern w:val="22"/>
            <w:szCs w:val="22"/>
            <w:lang w:val="fr-CA"/>
          </w:rPr>
          <w:t>III/8</w:t>
        </w:r>
      </w:hyperlink>
      <w:r w:rsidR="005A2149" w:rsidRPr="00E76622">
        <w:rPr>
          <w:rFonts w:eastAsia="Malgun Gothic" w:cs="Times New Roman"/>
          <w:kern w:val="22"/>
          <w:szCs w:val="22"/>
          <w:lang w:val="fr-CA"/>
        </w:rPr>
        <w:t xml:space="preserve">. </w:t>
      </w:r>
      <w:r>
        <w:rPr>
          <w:rFonts w:eastAsia="Malgun Gothic" w:cs="Times New Roman"/>
          <w:kern w:val="22"/>
          <w:szCs w:val="22"/>
          <w:lang w:val="fr-CA"/>
        </w:rPr>
        <w:t xml:space="preserve">Les quatre parties </w:t>
      </w:r>
      <w:r w:rsidR="005B0863">
        <w:rPr>
          <w:rFonts w:eastAsia="Malgun Gothic" w:cs="Times New Roman"/>
          <w:kern w:val="22"/>
          <w:szCs w:val="22"/>
          <w:lang w:val="fr-CA"/>
        </w:rPr>
        <w:t>ci-dessous</w:t>
      </w:r>
      <w:r>
        <w:rPr>
          <w:rFonts w:eastAsia="Malgun Gothic" w:cs="Times New Roman"/>
          <w:kern w:val="22"/>
          <w:szCs w:val="22"/>
          <w:lang w:val="fr-CA"/>
        </w:rPr>
        <w:t xml:space="preserve"> portent sur : a) l’orientation donnée par la Conférence des Parties, b) </w:t>
      </w:r>
      <w:r w:rsidR="0082460A">
        <w:rPr>
          <w:rFonts w:eastAsia="Malgun Gothic" w:cs="Times New Roman"/>
          <w:kern w:val="22"/>
          <w:szCs w:val="22"/>
          <w:lang w:val="fr-CA"/>
        </w:rPr>
        <w:t>la communicati</w:t>
      </w:r>
      <w:r>
        <w:rPr>
          <w:rFonts w:eastAsia="Malgun Gothic" w:cs="Times New Roman"/>
          <w:kern w:val="22"/>
          <w:szCs w:val="22"/>
          <w:lang w:val="fr-CA"/>
        </w:rPr>
        <w:t>on des données, c) le suivi et l’évaluation et d) la détermination des exigences de financement</w:t>
      </w:r>
      <w:r w:rsidR="005A2149" w:rsidRPr="00E76622">
        <w:rPr>
          <w:rFonts w:eastAsia="Malgun Gothic" w:cs="Times New Roman"/>
          <w:kern w:val="22"/>
          <w:szCs w:val="22"/>
          <w:lang w:val="fr-CA"/>
        </w:rPr>
        <w:t>.</w:t>
      </w:r>
    </w:p>
    <w:p w:rsidR="00D612B8" w:rsidRPr="00E76622" w:rsidRDefault="0082460A"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lang w:val="fr-CA"/>
        </w:rPr>
      </w:pPr>
      <w:r>
        <w:rPr>
          <w:rFonts w:eastAsia="Malgun Gothic" w:cs="Times New Roman"/>
          <w:kern w:val="22"/>
          <w:szCs w:val="22"/>
          <w:lang w:val="fr-CA"/>
        </w:rPr>
        <w:t>De plus,</w:t>
      </w:r>
      <w:r w:rsidR="005B0863">
        <w:rPr>
          <w:rFonts w:eastAsia="Malgun Gothic" w:cs="Times New Roman"/>
          <w:kern w:val="22"/>
          <w:szCs w:val="22"/>
          <w:lang w:val="fr-CA"/>
        </w:rPr>
        <w:t xml:space="preserve"> comme le plan stratégique 2011-</w:t>
      </w:r>
      <w:r>
        <w:rPr>
          <w:rFonts w:eastAsia="Malgun Gothic" w:cs="Times New Roman"/>
          <w:kern w:val="22"/>
          <w:szCs w:val="22"/>
          <w:lang w:val="fr-CA"/>
        </w:rPr>
        <w:t xml:space="preserve">2020 </w:t>
      </w:r>
      <w:r w:rsidR="005B0863">
        <w:rPr>
          <w:rFonts w:eastAsia="Malgun Gothic" w:cs="Times New Roman"/>
          <w:kern w:val="22"/>
          <w:szCs w:val="22"/>
          <w:lang w:val="fr-CA"/>
        </w:rPr>
        <w:t xml:space="preserve">pour la diversité </w:t>
      </w:r>
      <w:r w:rsidR="00BA7F1E">
        <w:rPr>
          <w:rFonts w:eastAsia="Malgun Gothic" w:cs="Times New Roman"/>
          <w:kern w:val="22"/>
          <w:szCs w:val="22"/>
          <w:lang w:val="fr-CA"/>
        </w:rPr>
        <w:t xml:space="preserve">biologique </w:t>
      </w:r>
      <w:r w:rsidR="005B0863">
        <w:rPr>
          <w:rFonts w:eastAsia="Malgun Gothic" w:cs="Times New Roman"/>
          <w:kern w:val="22"/>
          <w:szCs w:val="22"/>
          <w:lang w:val="fr-CA"/>
        </w:rPr>
        <w:t>arrive à sa fi</w:t>
      </w:r>
      <w:r>
        <w:rPr>
          <w:rFonts w:eastAsia="Malgun Gothic" w:cs="Times New Roman"/>
          <w:kern w:val="22"/>
          <w:szCs w:val="22"/>
          <w:lang w:val="fr-CA"/>
        </w:rPr>
        <w:t>n, il est important d’examiner le rôle que jouera par le mécanisme de financement dans la période de l’après-2020. L’Organe subsidiaire de mise en œuvre se penchera sur l</w:t>
      </w:r>
      <w:r w:rsidR="00DF2F58">
        <w:rPr>
          <w:rFonts w:eastAsia="Malgun Gothic" w:cs="Times New Roman"/>
          <w:kern w:val="22"/>
          <w:szCs w:val="22"/>
          <w:lang w:val="fr-CA"/>
        </w:rPr>
        <w:t>e pr</w:t>
      </w:r>
      <w:r>
        <w:rPr>
          <w:rFonts w:eastAsia="Malgun Gothic" w:cs="Times New Roman"/>
          <w:kern w:val="22"/>
          <w:szCs w:val="22"/>
          <w:lang w:val="fr-CA"/>
        </w:rPr>
        <w:t>ocessus de suivi du Plan stratégique 2011-2020 pour la d</w:t>
      </w:r>
      <w:r w:rsidR="00DF2F58">
        <w:rPr>
          <w:rFonts w:eastAsia="Malgun Gothic" w:cs="Times New Roman"/>
          <w:kern w:val="22"/>
          <w:szCs w:val="22"/>
          <w:lang w:val="fr-CA"/>
        </w:rPr>
        <w:t>i</w:t>
      </w:r>
      <w:r>
        <w:rPr>
          <w:rFonts w:eastAsia="Malgun Gothic" w:cs="Times New Roman"/>
          <w:kern w:val="22"/>
          <w:szCs w:val="22"/>
          <w:lang w:val="fr-CA"/>
        </w:rPr>
        <w:t xml:space="preserve">versité biologique au point 3 de l’ordre du jour. La partie V du présent document </w:t>
      </w:r>
      <w:r w:rsidR="00DF2F58">
        <w:rPr>
          <w:rFonts w:eastAsia="Malgun Gothic" w:cs="Times New Roman"/>
          <w:kern w:val="22"/>
          <w:szCs w:val="22"/>
          <w:lang w:val="fr-CA"/>
        </w:rPr>
        <w:t>aborde les questions qui pourraient être analysées dans ce contexte</w:t>
      </w:r>
      <w:r w:rsidR="005D10C4" w:rsidRPr="00E76622">
        <w:rPr>
          <w:rFonts w:eastAsia="Malgun Gothic" w:cs="Times New Roman"/>
          <w:kern w:val="22"/>
          <w:szCs w:val="22"/>
          <w:lang w:val="fr-CA"/>
        </w:rPr>
        <w:t>.</w:t>
      </w:r>
    </w:p>
    <w:p w:rsidR="00693172" w:rsidRPr="00E76622" w:rsidRDefault="00DF2F58"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lang w:val="fr-CA"/>
        </w:rPr>
      </w:pPr>
      <w:r>
        <w:rPr>
          <w:rFonts w:eastAsia="Malgun Gothic" w:cs="Times New Roman"/>
          <w:kern w:val="22"/>
          <w:szCs w:val="22"/>
          <w:lang w:val="fr-CA"/>
        </w:rPr>
        <w:t>La dernière partie du présent document présente une série de recommandations pour examen par l’Organe subsidiaire de mise en œuvre</w:t>
      </w:r>
      <w:r w:rsidR="00693172" w:rsidRPr="00E76622">
        <w:rPr>
          <w:rFonts w:eastAsia="Malgun Gothic" w:cs="Times New Roman"/>
          <w:kern w:val="22"/>
          <w:szCs w:val="22"/>
          <w:lang w:val="fr-CA"/>
        </w:rPr>
        <w:t>.</w:t>
      </w:r>
    </w:p>
    <w:p w:rsidR="00933415" w:rsidRPr="00E76622" w:rsidRDefault="006E2E54"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lang w:val="fr-CA"/>
        </w:rPr>
      </w:pPr>
      <w:r w:rsidRPr="00E76622">
        <w:rPr>
          <w:rFonts w:cs="Times New Roman"/>
          <w:snapToGrid w:val="0"/>
          <w:kern w:val="22"/>
          <w:szCs w:val="22"/>
          <w:lang w:val="fr-CA"/>
        </w:rPr>
        <w:t>I</w:t>
      </w:r>
      <w:r w:rsidR="0081660B" w:rsidRPr="00E76622">
        <w:rPr>
          <w:rFonts w:cs="Times New Roman"/>
          <w:snapToGrid w:val="0"/>
          <w:kern w:val="22"/>
          <w:szCs w:val="22"/>
          <w:lang w:val="fr-CA"/>
        </w:rPr>
        <w:t>.</w:t>
      </w:r>
      <w:r w:rsidR="0081660B" w:rsidRPr="00E76622">
        <w:rPr>
          <w:rFonts w:cs="Times New Roman"/>
          <w:snapToGrid w:val="0"/>
          <w:kern w:val="22"/>
          <w:szCs w:val="22"/>
          <w:lang w:val="fr-CA"/>
        </w:rPr>
        <w:tab/>
      </w:r>
      <w:r w:rsidR="00DF2F58">
        <w:rPr>
          <w:rFonts w:cs="Times New Roman"/>
          <w:snapToGrid w:val="0"/>
          <w:kern w:val="22"/>
          <w:szCs w:val="22"/>
          <w:lang w:val="fr-CA"/>
        </w:rPr>
        <w:t>ORIENTATION DONNÉE PAR LA CONFÉRENCE DES PARTIES</w:t>
      </w:r>
    </w:p>
    <w:p w:rsidR="00273A99" w:rsidRPr="00E76622" w:rsidRDefault="00DF2F58" w:rsidP="00E733CD">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fr-CA"/>
        </w:rPr>
      </w:pPr>
      <w:bookmarkStart w:id="0" w:name="_Ref513550450"/>
      <w:r>
        <w:rPr>
          <w:rFonts w:eastAsia="Malgun Gothic" w:cs="Times New Roman"/>
          <w:kern w:val="22"/>
          <w:szCs w:val="22"/>
          <w:lang w:val="fr-CA"/>
        </w:rPr>
        <w:t>Donnant suite au paragraphe 1 de l’article 21 ainsi qu’au Mémorandum d’accord adopté par la Conférence des Parties dans sa décision III/8, la Conférence des Parties a décidé, à sa dixième réunion, que l’orientation donnée au mécanisme de financement</w:t>
      </w:r>
      <w:r w:rsidR="002535F6">
        <w:rPr>
          <w:rFonts w:eastAsia="Malgun Gothic" w:cs="Times New Roman"/>
          <w:kern w:val="22"/>
          <w:szCs w:val="22"/>
          <w:lang w:val="fr-CA"/>
        </w:rPr>
        <w:t xml:space="preserve"> pour une période de reconstitution donnée prendrait la forme d’une li</w:t>
      </w:r>
      <w:r w:rsidR="00BA7F1E">
        <w:rPr>
          <w:rFonts w:eastAsia="Malgun Gothic" w:cs="Times New Roman"/>
          <w:kern w:val="22"/>
          <w:szCs w:val="22"/>
          <w:lang w:val="fr-CA"/>
        </w:rPr>
        <w:t>s</w:t>
      </w:r>
      <w:r w:rsidR="002535F6">
        <w:rPr>
          <w:rFonts w:eastAsia="Malgun Gothic" w:cs="Times New Roman"/>
          <w:kern w:val="22"/>
          <w:szCs w:val="22"/>
          <w:lang w:val="fr-CA"/>
        </w:rPr>
        <w:t xml:space="preserve">te globale de priorités de programme définissant ce qui doit être financé et un cadre axé sur les résultats, en tenant compte du Plan stratégique 2011-2020 pour la diversité biologique, y compris les </w:t>
      </w:r>
      <w:r w:rsidR="002535F6">
        <w:rPr>
          <w:rFonts w:eastAsia="Malgun Gothic" w:cs="Times New Roman"/>
          <w:kern w:val="22"/>
          <w:szCs w:val="22"/>
          <w:lang w:val="fr-CA"/>
        </w:rPr>
        <w:lastRenderedPageBreak/>
        <w:t xml:space="preserve">Objectifs d’Aichi relatifs à la diversité biologique et les indicateurs </w:t>
      </w:r>
      <w:r w:rsidR="005B0863">
        <w:rPr>
          <w:rFonts w:eastAsia="Malgun Gothic" w:cs="Times New Roman"/>
          <w:kern w:val="22"/>
          <w:szCs w:val="22"/>
          <w:lang w:val="fr-CA"/>
        </w:rPr>
        <w:t>connexes</w:t>
      </w:r>
      <w:r w:rsidR="002535F6">
        <w:rPr>
          <w:rFonts w:eastAsia="Malgun Gothic" w:cs="Times New Roman"/>
          <w:kern w:val="22"/>
          <w:szCs w:val="22"/>
          <w:lang w:val="fr-CA"/>
        </w:rPr>
        <w:t xml:space="preserve"> (paragraphe 4 de la décision X/24). À la suite de cette décision, la Conférence des Parties, à sa treizième réunion</w:t>
      </w:r>
      <w:r w:rsidR="005B0863">
        <w:rPr>
          <w:rFonts w:eastAsia="Malgun Gothic" w:cs="Times New Roman"/>
          <w:kern w:val="22"/>
          <w:szCs w:val="22"/>
          <w:lang w:val="fr-CA"/>
        </w:rPr>
        <w:t xml:space="preserve"> et</w:t>
      </w:r>
      <w:r w:rsidR="002535F6">
        <w:rPr>
          <w:rFonts w:eastAsia="Malgun Gothic" w:cs="Times New Roman"/>
          <w:kern w:val="22"/>
          <w:szCs w:val="22"/>
          <w:lang w:val="fr-CA"/>
        </w:rPr>
        <w:t xml:space="preserve"> </w:t>
      </w:r>
      <w:r w:rsidR="00340A2D">
        <w:rPr>
          <w:rFonts w:eastAsia="Malgun Gothic" w:cs="Times New Roman"/>
          <w:kern w:val="22"/>
          <w:szCs w:val="22"/>
          <w:lang w:val="fr-CA"/>
        </w:rPr>
        <w:t xml:space="preserve">dans sa décision XIII/21, </w:t>
      </w:r>
      <w:r w:rsidR="002535F6">
        <w:rPr>
          <w:rFonts w:eastAsia="Malgun Gothic" w:cs="Times New Roman"/>
          <w:kern w:val="22"/>
          <w:szCs w:val="22"/>
          <w:lang w:val="fr-CA"/>
        </w:rPr>
        <w:t xml:space="preserve">a adopté </w:t>
      </w:r>
      <w:r w:rsidR="00340A2D">
        <w:rPr>
          <w:rFonts w:eastAsia="Malgun Gothic" w:cs="Times New Roman"/>
          <w:kern w:val="22"/>
          <w:szCs w:val="22"/>
          <w:lang w:val="fr-CA"/>
        </w:rPr>
        <w:t xml:space="preserve">l’orientation globale, y compris le cadre </w:t>
      </w:r>
      <w:r w:rsidR="00273038">
        <w:rPr>
          <w:rFonts w:eastAsia="Malgun Gothic" w:cs="Times New Roman"/>
          <w:kern w:val="22"/>
          <w:szCs w:val="22"/>
          <w:lang w:val="fr-CA"/>
        </w:rPr>
        <w:t>quadriennal</w:t>
      </w:r>
      <w:r w:rsidR="00340A2D">
        <w:rPr>
          <w:rFonts w:eastAsia="Malgun Gothic" w:cs="Times New Roman"/>
          <w:kern w:val="22"/>
          <w:szCs w:val="22"/>
          <w:lang w:val="fr-CA"/>
        </w:rPr>
        <w:t xml:space="preserve"> sur l</w:t>
      </w:r>
      <w:r w:rsidR="00350407">
        <w:rPr>
          <w:rFonts w:eastAsia="Malgun Gothic" w:cs="Times New Roman"/>
          <w:kern w:val="22"/>
          <w:szCs w:val="22"/>
          <w:lang w:val="fr-CA"/>
        </w:rPr>
        <w:t>es priorités de</w:t>
      </w:r>
      <w:r w:rsidR="00340A2D">
        <w:rPr>
          <w:rFonts w:eastAsia="Malgun Gothic" w:cs="Times New Roman"/>
          <w:kern w:val="22"/>
          <w:szCs w:val="22"/>
          <w:lang w:val="fr-CA"/>
        </w:rPr>
        <w:t xml:space="preserve"> programme (2018-2022) de la septième période de reconstitution du fonds d’affectation spéciale du Fonds pour l’environnement mondial. La Conférence des Parties a introduit dans cette même décision la prise en considération des synergies des programmes des conventions en lien avec la diversité biologique dans son orientation au mécanisme de financement</w:t>
      </w:r>
      <w:r w:rsidR="00273A99" w:rsidRPr="00E76622">
        <w:rPr>
          <w:rFonts w:cs="Times New Roman"/>
          <w:kern w:val="22"/>
          <w:szCs w:val="22"/>
          <w:lang w:val="fr-CA"/>
        </w:rPr>
        <w:t>.</w:t>
      </w:r>
      <w:bookmarkEnd w:id="0"/>
    </w:p>
    <w:p w:rsidR="00273A99" w:rsidRPr="00E76622" w:rsidRDefault="00823EAA"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lang w:val="fr-CA"/>
        </w:rPr>
      </w:pPr>
      <w:r w:rsidRPr="00E76622">
        <w:rPr>
          <w:rFonts w:cs="Times New Roman"/>
          <w:snapToGrid w:val="0"/>
          <w:kern w:val="22"/>
          <w:szCs w:val="22"/>
          <w:lang w:val="fr-CA"/>
        </w:rPr>
        <w:t>A.</w:t>
      </w:r>
      <w:r w:rsidRPr="00E76622">
        <w:rPr>
          <w:rFonts w:cs="Times New Roman"/>
          <w:snapToGrid w:val="0"/>
          <w:kern w:val="22"/>
          <w:szCs w:val="22"/>
          <w:lang w:val="fr-CA"/>
        </w:rPr>
        <w:tab/>
      </w:r>
      <w:r w:rsidR="00340A2D">
        <w:rPr>
          <w:rFonts w:cs="Times New Roman"/>
          <w:snapToGrid w:val="0"/>
          <w:kern w:val="22"/>
          <w:szCs w:val="22"/>
          <w:lang w:val="fr-CA"/>
        </w:rPr>
        <w:t>Réponse à l’orientation donnée par la treizième réunion de la Conférence des Parties</w:t>
      </w:r>
    </w:p>
    <w:p w:rsidR="00D56E8B" w:rsidRPr="00E76622" w:rsidRDefault="00A60B81"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lang w:val="fr-CA"/>
        </w:rPr>
      </w:pPr>
      <w:r>
        <w:rPr>
          <w:rFonts w:eastAsia="Malgun Gothic" w:cs="Times New Roman"/>
          <w:kern w:val="22"/>
          <w:szCs w:val="22"/>
          <w:lang w:val="fr-CA"/>
        </w:rPr>
        <w:t>Les rapports du FEM à la</w:t>
      </w:r>
      <w:r w:rsidRPr="00A60B81">
        <w:rPr>
          <w:rFonts w:eastAsia="Malgun Gothic" w:cs="Times New Roman"/>
          <w:kern w:val="22"/>
          <w:szCs w:val="22"/>
          <w:lang w:val="fr-CA"/>
        </w:rPr>
        <w:t xml:space="preserve"> Conférence des Parties</w:t>
      </w:r>
      <w:r>
        <w:rPr>
          <w:rFonts w:eastAsia="Malgun Gothic" w:cs="Times New Roman"/>
          <w:kern w:val="22"/>
          <w:szCs w:val="22"/>
          <w:lang w:val="fr-CA"/>
        </w:rPr>
        <w:t xml:space="preserve"> contiennent de l’information précise su</w:t>
      </w:r>
      <w:r w:rsidR="00597C35">
        <w:rPr>
          <w:rFonts w:eastAsia="Malgun Gothic" w:cs="Times New Roman"/>
          <w:kern w:val="22"/>
          <w:szCs w:val="22"/>
          <w:lang w:val="fr-CA"/>
        </w:rPr>
        <w:t>r les moyens utilisés par le Con</w:t>
      </w:r>
      <w:r>
        <w:rPr>
          <w:rFonts w:eastAsia="Malgun Gothic" w:cs="Times New Roman"/>
          <w:kern w:val="22"/>
          <w:szCs w:val="22"/>
          <w:lang w:val="fr-CA"/>
        </w:rPr>
        <w:t>seil du FEM, son Secrétariat et ses agences d’exécution pour appliquer les orientations et mettre en œuvre l</w:t>
      </w:r>
      <w:r w:rsidR="00597C35">
        <w:rPr>
          <w:rFonts w:eastAsia="Malgun Gothic" w:cs="Times New Roman"/>
          <w:kern w:val="22"/>
          <w:szCs w:val="22"/>
          <w:lang w:val="fr-CA"/>
        </w:rPr>
        <w:t>es politiques, stratégies, prio</w:t>
      </w:r>
      <w:r>
        <w:rPr>
          <w:rFonts w:eastAsia="Malgun Gothic" w:cs="Times New Roman"/>
          <w:kern w:val="22"/>
          <w:szCs w:val="22"/>
          <w:lang w:val="fr-CA"/>
        </w:rPr>
        <w:t>rités de programme et critères d’adm</w:t>
      </w:r>
      <w:r w:rsidR="00597C35">
        <w:rPr>
          <w:rFonts w:eastAsia="Malgun Gothic" w:cs="Times New Roman"/>
          <w:kern w:val="22"/>
          <w:szCs w:val="22"/>
          <w:lang w:val="fr-CA"/>
        </w:rPr>
        <w:t>i</w:t>
      </w:r>
      <w:r>
        <w:rPr>
          <w:rFonts w:eastAsia="Malgun Gothic" w:cs="Times New Roman"/>
          <w:kern w:val="22"/>
          <w:szCs w:val="22"/>
          <w:lang w:val="fr-CA"/>
        </w:rPr>
        <w:t xml:space="preserve">ssibilité </w:t>
      </w:r>
      <w:r w:rsidR="00597C35">
        <w:rPr>
          <w:rFonts w:eastAsia="Malgun Gothic" w:cs="Times New Roman"/>
          <w:kern w:val="22"/>
          <w:szCs w:val="22"/>
          <w:lang w:val="fr-CA"/>
        </w:rPr>
        <w:t>déterminés</w:t>
      </w:r>
      <w:r>
        <w:rPr>
          <w:rFonts w:eastAsia="Malgun Gothic" w:cs="Times New Roman"/>
          <w:kern w:val="22"/>
          <w:szCs w:val="22"/>
          <w:lang w:val="fr-CA"/>
        </w:rPr>
        <w:t xml:space="preserve"> par la Conférence des Parties, ainsi que toute autre décision de</w:t>
      </w:r>
      <w:r w:rsidR="00597C35">
        <w:rPr>
          <w:rFonts w:eastAsia="Malgun Gothic" w:cs="Times New Roman"/>
          <w:kern w:val="22"/>
          <w:szCs w:val="22"/>
          <w:lang w:val="fr-CA"/>
        </w:rPr>
        <w:t xml:space="preserve"> </w:t>
      </w:r>
      <w:r>
        <w:rPr>
          <w:rFonts w:eastAsia="Malgun Gothic" w:cs="Times New Roman"/>
          <w:kern w:val="22"/>
          <w:szCs w:val="22"/>
          <w:lang w:val="fr-CA"/>
        </w:rPr>
        <w:t xml:space="preserve">la Conférence des Parties communiquée au FEM au titre de l’article 21 de la </w:t>
      </w:r>
      <w:r w:rsidR="00597C35">
        <w:rPr>
          <w:rFonts w:eastAsia="Malgun Gothic" w:cs="Times New Roman"/>
          <w:kern w:val="22"/>
          <w:szCs w:val="22"/>
          <w:lang w:val="fr-CA"/>
        </w:rPr>
        <w:t>Convention</w:t>
      </w:r>
      <w:r w:rsidR="007B34A0">
        <w:rPr>
          <w:rFonts w:eastAsia="Malgun Gothic" w:cs="Times New Roman"/>
          <w:kern w:val="22"/>
          <w:szCs w:val="22"/>
          <w:lang w:val="fr-CA"/>
        </w:rPr>
        <w:t>, comme le prévoit</w:t>
      </w:r>
      <w:r>
        <w:rPr>
          <w:rFonts w:eastAsia="Malgun Gothic" w:cs="Times New Roman"/>
          <w:kern w:val="22"/>
          <w:szCs w:val="22"/>
          <w:lang w:val="fr-CA"/>
        </w:rPr>
        <w:t xml:space="preserve"> le Mémorandum d’accord. Le Conseil présente aussi un rapport de ses activités de su</w:t>
      </w:r>
      <w:r w:rsidR="00597C35">
        <w:rPr>
          <w:rFonts w:eastAsia="Malgun Gothic" w:cs="Times New Roman"/>
          <w:kern w:val="22"/>
          <w:szCs w:val="22"/>
          <w:lang w:val="fr-CA"/>
        </w:rPr>
        <w:t>ivi et évaluation des projets du domaine d’intervention de la</w:t>
      </w:r>
      <w:r>
        <w:rPr>
          <w:rFonts w:eastAsia="Malgun Gothic" w:cs="Times New Roman"/>
          <w:kern w:val="22"/>
          <w:szCs w:val="22"/>
          <w:lang w:val="fr-CA"/>
        </w:rPr>
        <w:t xml:space="preserve"> diversité biologique</w:t>
      </w:r>
      <w:r w:rsidR="00D56E8B" w:rsidRPr="00E76622">
        <w:rPr>
          <w:rFonts w:eastAsia="Malgun Gothic" w:cs="Times New Roman"/>
          <w:kern w:val="22"/>
          <w:szCs w:val="22"/>
          <w:lang w:val="fr-CA"/>
        </w:rPr>
        <w:t>.</w:t>
      </w:r>
      <w:r w:rsidR="00597C35">
        <w:rPr>
          <w:rFonts w:eastAsia="Malgun Gothic" w:cs="Times New Roman"/>
          <w:kern w:val="22"/>
          <w:szCs w:val="22"/>
          <w:lang w:val="fr-CA"/>
        </w:rPr>
        <w:t xml:space="preserve"> </w:t>
      </w:r>
      <w:r w:rsidR="001F32DA">
        <w:rPr>
          <w:rFonts w:eastAsia="Malgun Gothic" w:cs="Times New Roman"/>
          <w:kern w:val="22"/>
          <w:szCs w:val="22"/>
          <w:lang w:val="fr-CA"/>
        </w:rPr>
        <w:t>En conséquence</w:t>
      </w:r>
      <w:r w:rsidR="00597C35">
        <w:rPr>
          <w:rFonts w:eastAsia="Malgun Gothic" w:cs="Times New Roman"/>
          <w:kern w:val="22"/>
          <w:szCs w:val="22"/>
          <w:lang w:val="fr-CA"/>
        </w:rPr>
        <w:t xml:space="preserve">, le rapport préliminaire du FEM décrit dans la partie III, y compris les rapports d’évaluation du Bureau </w:t>
      </w:r>
      <w:r w:rsidR="001F32DA">
        <w:rPr>
          <w:rFonts w:eastAsia="Malgun Gothic" w:cs="Times New Roman"/>
          <w:kern w:val="22"/>
          <w:szCs w:val="22"/>
          <w:lang w:val="fr-CA"/>
        </w:rPr>
        <w:t xml:space="preserve">indépendant </w:t>
      </w:r>
      <w:r w:rsidR="00597C35">
        <w:rPr>
          <w:rFonts w:eastAsia="Malgun Gothic" w:cs="Times New Roman"/>
          <w:kern w:val="22"/>
          <w:szCs w:val="22"/>
          <w:lang w:val="fr-CA"/>
        </w:rPr>
        <w:t xml:space="preserve">d’évaluation du FEM, </w:t>
      </w:r>
      <w:r w:rsidR="001F32DA">
        <w:rPr>
          <w:rFonts w:eastAsia="Malgun Gothic" w:cs="Times New Roman"/>
          <w:kern w:val="22"/>
          <w:szCs w:val="22"/>
          <w:lang w:val="fr-CA"/>
        </w:rPr>
        <w:t>transmettent</w:t>
      </w:r>
      <w:r w:rsidR="00597C35">
        <w:rPr>
          <w:rFonts w:eastAsia="Malgun Gothic" w:cs="Times New Roman"/>
          <w:kern w:val="22"/>
          <w:szCs w:val="22"/>
          <w:lang w:val="fr-CA"/>
        </w:rPr>
        <w:t xml:space="preserve"> de l’information sur les moyens utilisés par le FEM pour appliquer et mettre en œuvre l’orientation fournie par la Conférence des Parties pour la période FEM-6. La présente partie porte donc sur la plus récente orientation fournie par la treizième réun</w:t>
      </w:r>
      <w:r w:rsidR="001F32DA">
        <w:rPr>
          <w:rFonts w:eastAsia="Malgun Gothic" w:cs="Times New Roman"/>
          <w:kern w:val="22"/>
          <w:szCs w:val="22"/>
          <w:lang w:val="fr-CA"/>
        </w:rPr>
        <w:t>ion de la Conférence des P</w:t>
      </w:r>
      <w:r w:rsidR="00597C35">
        <w:rPr>
          <w:rFonts w:eastAsia="Malgun Gothic" w:cs="Times New Roman"/>
          <w:kern w:val="22"/>
          <w:szCs w:val="22"/>
          <w:lang w:val="fr-CA"/>
        </w:rPr>
        <w:t>arties</w:t>
      </w:r>
      <w:r w:rsidR="001F32DA">
        <w:rPr>
          <w:rFonts w:eastAsia="Malgun Gothic" w:cs="Times New Roman"/>
          <w:kern w:val="22"/>
          <w:szCs w:val="22"/>
          <w:lang w:val="fr-CA"/>
        </w:rPr>
        <w:t>.</w:t>
      </w:r>
    </w:p>
    <w:p w:rsidR="00DE7001" w:rsidRPr="00E76622" w:rsidRDefault="00015091"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lang w:val="fr-CA"/>
        </w:rPr>
      </w:pPr>
      <w:r>
        <w:rPr>
          <w:rFonts w:eastAsia="Malgun Gothic" w:cs="Times New Roman"/>
          <w:kern w:val="22"/>
          <w:szCs w:val="22"/>
          <w:lang w:val="fr-CA"/>
        </w:rPr>
        <w:t xml:space="preserve">Les secrétariats de la CDB et du FEM se sont consultés abondamment pendant la préparation du document de reconstitution de </w:t>
      </w:r>
      <w:r w:rsidR="001F32DA">
        <w:rPr>
          <w:rFonts w:eastAsia="Malgun Gothic" w:cs="Times New Roman"/>
          <w:kern w:val="22"/>
          <w:szCs w:val="22"/>
          <w:lang w:val="fr-CA"/>
        </w:rPr>
        <w:t xml:space="preserve">la </w:t>
      </w:r>
      <w:r>
        <w:rPr>
          <w:rFonts w:eastAsia="Malgun Gothic" w:cs="Times New Roman"/>
          <w:kern w:val="22"/>
          <w:szCs w:val="22"/>
          <w:lang w:val="fr-CA"/>
        </w:rPr>
        <w:t>FEM-7 sur les directions de programmation (</w:t>
      </w:r>
      <w:proofErr w:type="spellStart"/>
      <w:r>
        <w:rPr>
          <w:rFonts w:eastAsia="Malgun Gothic" w:cs="Times New Roman"/>
          <w:kern w:val="22"/>
          <w:szCs w:val="22"/>
          <w:lang w:val="fr-CA"/>
        </w:rPr>
        <w:t>GER</w:t>
      </w:r>
      <w:proofErr w:type="spellEnd"/>
      <w:r>
        <w:rPr>
          <w:rFonts w:eastAsia="Malgun Gothic" w:cs="Times New Roman"/>
          <w:kern w:val="22"/>
          <w:szCs w:val="22"/>
          <w:lang w:val="fr-CA"/>
        </w:rPr>
        <w:t xml:space="preserve">/R.7/19, 2 avril 2018) au cours de la dernière période biennale, </w:t>
      </w:r>
      <w:r w:rsidR="00CE7F4F">
        <w:rPr>
          <w:rFonts w:eastAsia="Malgun Gothic" w:cs="Times New Roman"/>
          <w:kern w:val="22"/>
          <w:szCs w:val="22"/>
          <w:lang w:val="fr-CA"/>
        </w:rPr>
        <w:t>y compris le cadre quadriennal sur les priorités de programme (2018-2022) de la septième reconstitution du fonds d’affectation spéciale du Fonds pour l’environnement mondial et l’orientation supplémentaire donnée dans les parties A et E de la décision XIII/21</w:t>
      </w:r>
      <w:r w:rsidR="00CE7F4F">
        <w:rPr>
          <w:rFonts w:eastAsia="Malgun Gothic" w:cs="Times New Roman"/>
          <w:kern w:val="22"/>
          <w:szCs w:val="22"/>
          <w:lang w:val="fr-CA"/>
        </w:rPr>
        <w:t xml:space="preserve">, </w:t>
      </w:r>
      <w:r>
        <w:rPr>
          <w:rFonts w:eastAsia="Malgun Gothic" w:cs="Times New Roman"/>
          <w:kern w:val="22"/>
          <w:szCs w:val="22"/>
          <w:lang w:val="fr-CA"/>
        </w:rPr>
        <w:t xml:space="preserve">car </w:t>
      </w:r>
      <w:r w:rsidR="00543BF5">
        <w:rPr>
          <w:rFonts w:eastAsia="Malgun Gothic" w:cs="Times New Roman"/>
          <w:kern w:val="22"/>
          <w:szCs w:val="22"/>
          <w:lang w:val="fr-CA"/>
        </w:rPr>
        <w:t>ell</w:t>
      </w:r>
      <w:r w:rsidR="007B4CB4">
        <w:rPr>
          <w:rFonts w:eastAsia="Malgun Gothic" w:cs="Times New Roman"/>
          <w:kern w:val="22"/>
          <w:szCs w:val="22"/>
          <w:lang w:val="fr-CA"/>
        </w:rPr>
        <w:t>e</w:t>
      </w:r>
      <w:r w:rsidR="001F32DA">
        <w:rPr>
          <w:rFonts w:eastAsia="Malgun Gothic" w:cs="Times New Roman"/>
          <w:kern w:val="22"/>
          <w:szCs w:val="22"/>
          <w:lang w:val="fr-CA"/>
        </w:rPr>
        <w:t>s</w:t>
      </w:r>
      <w:r w:rsidR="007B4CB4">
        <w:rPr>
          <w:rFonts w:eastAsia="Malgun Gothic" w:cs="Times New Roman"/>
          <w:kern w:val="22"/>
          <w:szCs w:val="22"/>
          <w:lang w:val="fr-CA"/>
        </w:rPr>
        <w:t xml:space="preserve"> représente</w:t>
      </w:r>
      <w:r w:rsidR="001F32DA">
        <w:rPr>
          <w:rFonts w:eastAsia="Malgun Gothic" w:cs="Times New Roman"/>
          <w:kern w:val="22"/>
          <w:szCs w:val="22"/>
          <w:lang w:val="fr-CA"/>
        </w:rPr>
        <w:t>nt</w:t>
      </w:r>
      <w:r w:rsidR="007B4CB4">
        <w:rPr>
          <w:rFonts w:eastAsia="Malgun Gothic" w:cs="Times New Roman"/>
          <w:kern w:val="22"/>
          <w:szCs w:val="22"/>
          <w:lang w:val="fr-CA"/>
        </w:rPr>
        <w:t xml:space="preserve"> le premier point d</w:t>
      </w:r>
      <w:r w:rsidR="00543BF5">
        <w:rPr>
          <w:rFonts w:eastAsia="Malgun Gothic" w:cs="Times New Roman"/>
          <w:kern w:val="22"/>
          <w:szCs w:val="22"/>
          <w:lang w:val="fr-CA"/>
        </w:rPr>
        <w:t xml:space="preserve">’entrée pour la mise en </w:t>
      </w:r>
      <w:r w:rsidR="007B4CB4">
        <w:rPr>
          <w:rFonts w:eastAsia="Malgun Gothic" w:cs="Times New Roman"/>
          <w:kern w:val="22"/>
          <w:szCs w:val="22"/>
          <w:lang w:val="fr-CA"/>
        </w:rPr>
        <w:t>œuvre</w:t>
      </w:r>
      <w:r w:rsidR="00CE7F4F">
        <w:rPr>
          <w:rFonts w:eastAsia="Malgun Gothic" w:cs="Times New Roman"/>
          <w:kern w:val="22"/>
          <w:szCs w:val="22"/>
          <w:lang w:val="fr-CA"/>
        </w:rPr>
        <w:t xml:space="preserve"> de l’orientation globale</w:t>
      </w:r>
      <w:r w:rsidR="00543BF5">
        <w:rPr>
          <w:rFonts w:eastAsia="Malgun Gothic" w:cs="Times New Roman"/>
          <w:kern w:val="22"/>
          <w:szCs w:val="22"/>
          <w:lang w:val="fr-CA"/>
        </w:rPr>
        <w:t xml:space="preserve">. La stratégie du domaine d’intervention de la diversité biologique du document de reconstitution </w:t>
      </w:r>
      <w:r w:rsidR="00B85142">
        <w:rPr>
          <w:rFonts w:eastAsia="Malgun Gothic" w:cs="Times New Roman"/>
          <w:kern w:val="22"/>
          <w:szCs w:val="22"/>
          <w:lang w:val="fr-CA"/>
        </w:rPr>
        <w:t>de la</w:t>
      </w:r>
      <w:r w:rsidR="00543BF5">
        <w:rPr>
          <w:rFonts w:eastAsia="Malgun Gothic" w:cs="Times New Roman"/>
          <w:kern w:val="22"/>
          <w:szCs w:val="22"/>
          <w:lang w:val="fr-CA"/>
        </w:rPr>
        <w:t xml:space="preserve"> FEM-7 est développée en fonction de la réalisation </w:t>
      </w:r>
      <w:r w:rsidR="00B85142">
        <w:rPr>
          <w:rFonts w:eastAsia="Malgun Gothic" w:cs="Times New Roman"/>
          <w:kern w:val="22"/>
          <w:szCs w:val="22"/>
          <w:lang w:val="fr-CA"/>
        </w:rPr>
        <w:t>des</w:t>
      </w:r>
      <w:r w:rsidR="00543BF5">
        <w:rPr>
          <w:rFonts w:eastAsia="Malgun Gothic" w:cs="Times New Roman"/>
          <w:kern w:val="22"/>
          <w:szCs w:val="22"/>
          <w:lang w:val="fr-CA"/>
        </w:rPr>
        <w:t xml:space="preserve"> </w:t>
      </w:r>
      <w:r w:rsidR="007B4CB4">
        <w:rPr>
          <w:rFonts w:eastAsia="Malgun Gothic" w:cs="Times New Roman"/>
          <w:kern w:val="22"/>
          <w:szCs w:val="22"/>
          <w:lang w:val="fr-CA"/>
        </w:rPr>
        <w:t xml:space="preserve">trois </w:t>
      </w:r>
      <w:r w:rsidR="00543BF5">
        <w:rPr>
          <w:rFonts w:eastAsia="Malgun Gothic" w:cs="Times New Roman"/>
          <w:kern w:val="22"/>
          <w:szCs w:val="22"/>
          <w:lang w:val="fr-CA"/>
        </w:rPr>
        <w:t xml:space="preserve">groupes de priorités du cadre quadriennal </w:t>
      </w:r>
      <w:r w:rsidR="00B85142">
        <w:rPr>
          <w:rFonts w:eastAsia="Malgun Gothic" w:cs="Times New Roman"/>
          <w:kern w:val="22"/>
          <w:szCs w:val="22"/>
          <w:lang w:val="fr-CA"/>
        </w:rPr>
        <w:t>sur les</w:t>
      </w:r>
      <w:r w:rsidR="00543BF5">
        <w:rPr>
          <w:rFonts w:eastAsia="Malgun Gothic" w:cs="Times New Roman"/>
          <w:kern w:val="22"/>
          <w:szCs w:val="22"/>
          <w:lang w:val="fr-CA"/>
        </w:rPr>
        <w:t xml:space="preserve"> priorités d</w:t>
      </w:r>
      <w:r w:rsidR="00350407">
        <w:rPr>
          <w:rFonts w:eastAsia="Malgun Gothic" w:cs="Times New Roman"/>
          <w:kern w:val="22"/>
          <w:szCs w:val="22"/>
          <w:lang w:val="fr-CA"/>
        </w:rPr>
        <w:t>e</w:t>
      </w:r>
      <w:r w:rsidR="00543BF5">
        <w:rPr>
          <w:rFonts w:eastAsia="Malgun Gothic" w:cs="Times New Roman"/>
          <w:kern w:val="22"/>
          <w:szCs w:val="22"/>
          <w:lang w:val="fr-CA"/>
        </w:rPr>
        <w:t xml:space="preserve"> programme (2018-2022) : a) l’intégration de la diversité biologique dans tous les secteurs ainsi que dans les paysages terrestres et marins, b) </w:t>
      </w:r>
      <w:r w:rsidR="007B4CB4">
        <w:rPr>
          <w:rFonts w:eastAsia="Malgun Gothic" w:cs="Times New Roman"/>
          <w:kern w:val="22"/>
          <w:szCs w:val="22"/>
          <w:lang w:val="fr-CA"/>
        </w:rPr>
        <w:t xml:space="preserve">la </w:t>
      </w:r>
      <w:r w:rsidR="00B85142">
        <w:rPr>
          <w:rFonts w:eastAsia="Malgun Gothic" w:cs="Times New Roman"/>
          <w:kern w:val="22"/>
          <w:szCs w:val="22"/>
          <w:lang w:val="fr-CA"/>
        </w:rPr>
        <w:t xml:space="preserve">lutte </w:t>
      </w:r>
      <w:r w:rsidR="00CE7F4F">
        <w:rPr>
          <w:rFonts w:eastAsia="Malgun Gothic" w:cs="Times New Roman"/>
          <w:kern w:val="22"/>
          <w:szCs w:val="22"/>
          <w:lang w:val="fr-CA"/>
        </w:rPr>
        <w:t>contre les</w:t>
      </w:r>
      <w:r w:rsidR="007B4CB4">
        <w:rPr>
          <w:rFonts w:eastAsia="Malgun Gothic" w:cs="Times New Roman"/>
          <w:kern w:val="22"/>
          <w:szCs w:val="22"/>
          <w:lang w:val="fr-CA"/>
        </w:rPr>
        <w:t xml:space="preserve"> moteurs directs afin de protéger les habitats et les espèces</w:t>
      </w:r>
      <w:r w:rsidR="00B85142">
        <w:rPr>
          <w:rFonts w:eastAsia="Malgun Gothic" w:cs="Times New Roman"/>
          <w:kern w:val="22"/>
          <w:szCs w:val="22"/>
          <w:lang w:val="fr-CA"/>
        </w:rPr>
        <w:t xml:space="preserve"> et</w:t>
      </w:r>
      <w:r w:rsidR="007B4CB4">
        <w:rPr>
          <w:rFonts w:eastAsia="Malgun Gothic" w:cs="Times New Roman"/>
          <w:kern w:val="22"/>
          <w:szCs w:val="22"/>
          <w:lang w:val="fr-CA"/>
        </w:rPr>
        <w:t xml:space="preserve"> c) </w:t>
      </w:r>
      <w:r w:rsidR="00B85142">
        <w:rPr>
          <w:rFonts w:eastAsia="Malgun Gothic" w:cs="Times New Roman"/>
          <w:kern w:val="22"/>
          <w:szCs w:val="22"/>
          <w:lang w:val="fr-CA"/>
        </w:rPr>
        <w:t>le développement plus poussé</w:t>
      </w:r>
      <w:r w:rsidR="007B4CB4">
        <w:rPr>
          <w:rFonts w:eastAsia="Malgun Gothic" w:cs="Times New Roman"/>
          <w:kern w:val="22"/>
          <w:szCs w:val="22"/>
          <w:lang w:val="fr-CA"/>
        </w:rPr>
        <w:t xml:space="preserve"> </w:t>
      </w:r>
      <w:r w:rsidR="00B85142">
        <w:rPr>
          <w:rFonts w:eastAsia="Malgun Gothic" w:cs="Times New Roman"/>
          <w:kern w:val="22"/>
          <w:szCs w:val="22"/>
          <w:lang w:val="fr-CA"/>
        </w:rPr>
        <w:t>d</w:t>
      </w:r>
      <w:r w:rsidR="007B4CB4">
        <w:rPr>
          <w:rFonts w:eastAsia="Malgun Gothic" w:cs="Times New Roman"/>
          <w:kern w:val="22"/>
          <w:szCs w:val="22"/>
          <w:lang w:val="fr-CA"/>
        </w:rPr>
        <w:t xml:space="preserve">es politiques et cadres institutionnels de la diversité biologique. De plus, l’annexe II à ce document présente les choix de programme offerts aux pays, sous forme d’investissements dans le </w:t>
      </w:r>
      <w:r w:rsidR="006B2CA8">
        <w:rPr>
          <w:rFonts w:eastAsia="Malgun Gothic" w:cs="Times New Roman"/>
          <w:kern w:val="22"/>
          <w:szCs w:val="22"/>
          <w:lang w:val="fr-CA"/>
        </w:rPr>
        <w:t>domaine</w:t>
      </w:r>
      <w:r w:rsidR="007B4CB4">
        <w:rPr>
          <w:rFonts w:eastAsia="Malgun Gothic" w:cs="Times New Roman"/>
          <w:kern w:val="22"/>
          <w:szCs w:val="22"/>
          <w:lang w:val="fr-CA"/>
        </w:rPr>
        <w:t xml:space="preserve"> d’intervention de la dive</w:t>
      </w:r>
      <w:r w:rsidR="006B2CA8">
        <w:rPr>
          <w:rFonts w:eastAsia="Malgun Gothic" w:cs="Times New Roman"/>
          <w:kern w:val="22"/>
          <w:szCs w:val="22"/>
          <w:lang w:val="fr-CA"/>
        </w:rPr>
        <w:t>r</w:t>
      </w:r>
      <w:r w:rsidR="007B4CB4">
        <w:rPr>
          <w:rFonts w:eastAsia="Malgun Gothic" w:cs="Times New Roman"/>
          <w:kern w:val="22"/>
          <w:szCs w:val="22"/>
          <w:lang w:val="fr-CA"/>
        </w:rPr>
        <w:t xml:space="preserve">sité biologique, de </w:t>
      </w:r>
      <w:r w:rsidR="006B2CA8">
        <w:rPr>
          <w:rFonts w:eastAsia="Malgun Gothic" w:cs="Times New Roman"/>
          <w:kern w:val="22"/>
          <w:szCs w:val="22"/>
          <w:lang w:val="fr-CA"/>
        </w:rPr>
        <w:t xml:space="preserve">programmes à </w:t>
      </w:r>
      <w:r w:rsidR="007B4CB4">
        <w:rPr>
          <w:rFonts w:eastAsia="Malgun Gothic" w:cs="Times New Roman"/>
          <w:kern w:val="22"/>
          <w:szCs w:val="22"/>
          <w:lang w:val="fr-CA"/>
        </w:rPr>
        <w:t xml:space="preserve">impact et autres </w:t>
      </w:r>
      <w:r w:rsidR="00B85142">
        <w:rPr>
          <w:rFonts w:eastAsia="Malgun Gothic" w:cs="Times New Roman"/>
          <w:kern w:val="22"/>
          <w:szCs w:val="22"/>
          <w:lang w:val="fr-CA"/>
        </w:rPr>
        <w:t>domaines</w:t>
      </w:r>
      <w:r w:rsidR="007B4CB4">
        <w:rPr>
          <w:rFonts w:eastAsia="Malgun Gothic" w:cs="Times New Roman"/>
          <w:kern w:val="22"/>
          <w:szCs w:val="22"/>
          <w:lang w:val="fr-CA"/>
        </w:rPr>
        <w:t xml:space="preserve"> d’intervention, par rapport au</w:t>
      </w:r>
      <w:r w:rsidR="006B2CA8">
        <w:rPr>
          <w:rFonts w:eastAsia="Malgun Gothic" w:cs="Times New Roman"/>
          <w:kern w:val="22"/>
          <w:szCs w:val="22"/>
          <w:lang w:val="fr-CA"/>
        </w:rPr>
        <w:t>x priorités individuelles et ré</w:t>
      </w:r>
      <w:r w:rsidR="007B4CB4">
        <w:rPr>
          <w:rFonts w:eastAsia="Malgun Gothic" w:cs="Times New Roman"/>
          <w:kern w:val="22"/>
          <w:szCs w:val="22"/>
          <w:lang w:val="fr-CA"/>
        </w:rPr>
        <w:t>sultats escomptés pour chaqu</w:t>
      </w:r>
      <w:r w:rsidR="00273038">
        <w:rPr>
          <w:rFonts w:eastAsia="Malgun Gothic" w:cs="Times New Roman"/>
          <w:kern w:val="22"/>
          <w:szCs w:val="22"/>
          <w:lang w:val="fr-CA"/>
        </w:rPr>
        <w:t>e groupe de priorités du cadre</w:t>
      </w:r>
      <w:r w:rsidR="007B4CB4">
        <w:rPr>
          <w:rFonts w:eastAsia="Malgun Gothic" w:cs="Times New Roman"/>
          <w:kern w:val="22"/>
          <w:szCs w:val="22"/>
          <w:lang w:val="fr-CA"/>
        </w:rPr>
        <w:t xml:space="preserve"> quadriennal.</w:t>
      </w:r>
    </w:p>
    <w:p w:rsidR="00384B78" w:rsidRPr="0051033B" w:rsidRDefault="006B2CA8"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lang w:val="fr-CA"/>
        </w:rPr>
      </w:pPr>
      <w:r w:rsidRPr="006B2CA8">
        <w:rPr>
          <w:rFonts w:eastAsia="Malgun Gothic" w:cs="Times New Roman"/>
          <w:kern w:val="22"/>
          <w:szCs w:val="22"/>
          <w:lang w:val="fr-CA"/>
        </w:rPr>
        <w:t>Au paragraphe 3 de la décision</w:t>
      </w:r>
      <w:r w:rsidR="00384B78" w:rsidRPr="006B2CA8">
        <w:rPr>
          <w:rFonts w:eastAsia="Malgun Gothic" w:cs="Times New Roman"/>
          <w:kern w:val="22"/>
          <w:szCs w:val="22"/>
          <w:lang w:val="fr-CA"/>
        </w:rPr>
        <w:t xml:space="preserve"> </w:t>
      </w:r>
      <w:r w:rsidR="00384B78" w:rsidRPr="00AF0B2B">
        <w:rPr>
          <w:rFonts w:eastAsia="Malgun Gothic" w:cs="Times New Roman"/>
          <w:kern w:val="22"/>
          <w:szCs w:val="22"/>
          <w:lang w:val="fr-CA"/>
        </w:rPr>
        <w:t>XIII/</w:t>
      </w:r>
      <w:r w:rsidR="00AF0B2B" w:rsidRPr="00AF0B2B">
        <w:rPr>
          <w:rFonts w:eastAsia="Malgun Gothic" w:cs="Times New Roman"/>
          <w:kern w:val="22"/>
          <w:szCs w:val="22"/>
          <w:lang w:val="fr-CA"/>
        </w:rPr>
        <w:t>21</w:t>
      </w:r>
      <w:r w:rsidR="00384B78" w:rsidRPr="006B2CA8">
        <w:rPr>
          <w:rFonts w:eastAsia="Malgun Gothic" w:cs="Times New Roman"/>
          <w:kern w:val="22"/>
          <w:szCs w:val="22"/>
          <w:lang w:val="fr-CA"/>
        </w:rPr>
        <w:t xml:space="preserve">, </w:t>
      </w:r>
      <w:r w:rsidRPr="006B2CA8">
        <w:rPr>
          <w:rFonts w:eastAsia="Malgun Gothic" w:cs="Times New Roman"/>
          <w:kern w:val="22"/>
          <w:szCs w:val="22"/>
          <w:lang w:val="fr-CA"/>
        </w:rPr>
        <w:t>la Conférence des Parties</w:t>
      </w:r>
      <w:r w:rsidR="00D401F8">
        <w:rPr>
          <w:rFonts w:eastAsia="Malgun Gothic" w:cs="Times New Roman"/>
          <w:kern w:val="22"/>
          <w:szCs w:val="22"/>
          <w:lang w:val="fr-CA"/>
        </w:rPr>
        <w:t xml:space="preserve"> encourage le Fonds pour l’environnement mondial à poursuivre et à renforcer davantage </w:t>
      </w:r>
      <w:r w:rsidR="00D401F8" w:rsidRPr="0051033B">
        <w:rPr>
          <w:rFonts w:eastAsia="Malgun Gothic" w:cs="Times New Roman"/>
          <w:kern w:val="22"/>
          <w:szCs w:val="22"/>
          <w:lang w:val="fr-CA"/>
        </w:rPr>
        <w:t xml:space="preserve">la programmation intégrée </w:t>
      </w:r>
      <w:r w:rsidR="00B85142" w:rsidRPr="0051033B">
        <w:rPr>
          <w:rFonts w:eastAsia="Malgun Gothic" w:cs="Times New Roman"/>
          <w:kern w:val="22"/>
          <w:szCs w:val="22"/>
          <w:lang w:val="fr-CA"/>
        </w:rPr>
        <w:t>afin</w:t>
      </w:r>
      <w:r w:rsidR="00D401F8" w:rsidRPr="0051033B">
        <w:rPr>
          <w:rFonts w:eastAsia="Malgun Gothic" w:cs="Times New Roman"/>
          <w:kern w:val="22"/>
          <w:szCs w:val="22"/>
          <w:lang w:val="fr-CA"/>
        </w:rPr>
        <w:t xml:space="preserve"> de regrouper les occasions de synergie. Le document de reconstitution de</w:t>
      </w:r>
      <w:r w:rsidR="00B85142" w:rsidRPr="0051033B">
        <w:rPr>
          <w:rFonts w:eastAsia="Malgun Gothic" w:cs="Times New Roman"/>
          <w:kern w:val="22"/>
          <w:szCs w:val="22"/>
          <w:lang w:val="fr-CA"/>
        </w:rPr>
        <w:t xml:space="preserve"> la</w:t>
      </w:r>
      <w:r w:rsidR="00D401F8" w:rsidRPr="0051033B">
        <w:rPr>
          <w:rFonts w:eastAsia="Malgun Gothic" w:cs="Times New Roman"/>
          <w:kern w:val="22"/>
          <w:szCs w:val="22"/>
          <w:lang w:val="fr-CA"/>
        </w:rPr>
        <w:t xml:space="preserve"> FEM-7 sur la direction des programmes indique que </w:t>
      </w:r>
      <w:r w:rsidR="00546084" w:rsidRPr="0051033B">
        <w:rPr>
          <w:rFonts w:eastAsia="Malgun Gothic" w:cs="Times New Roman"/>
          <w:kern w:val="22"/>
          <w:szCs w:val="22"/>
          <w:lang w:val="fr-CA"/>
        </w:rPr>
        <w:t>les programmes à impact portant sur a) les systèmes alimentaires, l’</w:t>
      </w:r>
      <w:r w:rsidR="00546084" w:rsidRPr="0051033B">
        <w:rPr>
          <w:rFonts w:eastAsia="Times New Roman" w:cs="Times New Roman"/>
          <w:kern w:val="22"/>
          <w:szCs w:val="22"/>
          <w:lang w:val="fr-CA"/>
        </w:rPr>
        <w:t>utilisation</w:t>
      </w:r>
      <w:r w:rsidR="00546084" w:rsidRPr="0051033B">
        <w:rPr>
          <w:rFonts w:eastAsia="Malgun Gothic" w:cs="Times New Roman"/>
          <w:kern w:val="22"/>
          <w:szCs w:val="22"/>
          <w:lang w:val="fr-CA"/>
        </w:rPr>
        <w:t xml:space="preserve"> des terres et la restauration, b) les villes durables et c) la gestion durable des forêts offre</w:t>
      </w:r>
      <w:r w:rsidR="0051033B" w:rsidRPr="0051033B">
        <w:rPr>
          <w:rFonts w:eastAsia="Malgun Gothic" w:cs="Times New Roman"/>
          <w:kern w:val="22"/>
          <w:szCs w:val="22"/>
          <w:lang w:val="fr-CA"/>
        </w:rPr>
        <w:t>nt</w:t>
      </w:r>
      <w:r w:rsidR="00546084" w:rsidRPr="0051033B">
        <w:rPr>
          <w:rFonts w:eastAsia="Malgun Gothic" w:cs="Times New Roman"/>
          <w:kern w:val="22"/>
          <w:szCs w:val="22"/>
          <w:lang w:val="fr-CA"/>
        </w:rPr>
        <w:t xml:space="preserve"> des</w:t>
      </w:r>
      <w:r w:rsidR="00D401F8" w:rsidRPr="0051033B">
        <w:rPr>
          <w:rFonts w:eastAsia="Malgun Gothic" w:cs="Times New Roman"/>
          <w:kern w:val="22"/>
          <w:szCs w:val="22"/>
          <w:lang w:val="fr-CA"/>
        </w:rPr>
        <w:t xml:space="preserve"> occa</w:t>
      </w:r>
      <w:r w:rsidR="00546084" w:rsidRPr="0051033B">
        <w:rPr>
          <w:rFonts w:eastAsia="Malgun Gothic" w:cs="Times New Roman"/>
          <w:kern w:val="22"/>
          <w:szCs w:val="22"/>
          <w:lang w:val="fr-CA"/>
        </w:rPr>
        <w:t>sions de programmation intégrée</w:t>
      </w:r>
      <w:r w:rsidR="00384B78" w:rsidRPr="0051033B">
        <w:rPr>
          <w:rFonts w:eastAsia="Malgun Gothic" w:cs="Times New Roman"/>
          <w:kern w:val="22"/>
          <w:szCs w:val="22"/>
          <w:lang w:val="fr-CA"/>
        </w:rPr>
        <w:t>.</w:t>
      </w:r>
    </w:p>
    <w:p w:rsidR="00273A99" w:rsidRPr="00FF4284" w:rsidRDefault="00546084" w:rsidP="00AF0B2B">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lang w:val="fr-CA"/>
        </w:rPr>
      </w:pPr>
      <w:r w:rsidRPr="0051033B">
        <w:rPr>
          <w:rFonts w:eastAsia="Malgun Gothic" w:cs="Times New Roman"/>
          <w:kern w:val="22"/>
          <w:szCs w:val="22"/>
          <w:lang w:val="fr-CA"/>
        </w:rPr>
        <w:t>Dans l</w:t>
      </w:r>
      <w:r w:rsidR="00CB3A48" w:rsidRPr="0051033B">
        <w:rPr>
          <w:rFonts w:eastAsia="Malgun Gothic" w:cs="Times New Roman"/>
          <w:kern w:val="22"/>
          <w:szCs w:val="22"/>
          <w:lang w:val="fr-CA"/>
        </w:rPr>
        <w:t>es paragraphes 7 et 8 de la déci</w:t>
      </w:r>
      <w:r w:rsidR="00AF0B2B" w:rsidRPr="0051033B">
        <w:rPr>
          <w:rFonts w:eastAsia="Malgun Gothic" w:cs="Times New Roman"/>
          <w:kern w:val="22"/>
          <w:szCs w:val="22"/>
          <w:lang w:val="fr-CA"/>
        </w:rPr>
        <w:t>sion XIII/21</w:t>
      </w:r>
      <w:r w:rsidRPr="0051033B">
        <w:rPr>
          <w:rFonts w:eastAsia="Malgun Gothic" w:cs="Times New Roman"/>
          <w:kern w:val="22"/>
          <w:szCs w:val="22"/>
          <w:lang w:val="fr-CA"/>
        </w:rPr>
        <w:t xml:space="preserve">, </w:t>
      </w:r>
      <w:r w:rsidR="00CB3A48" w:rsidRPr="0051033B">
        <w:rPr>
          <w:rFonts w:eastAsia="Malgun Gothic" w:cs="Times New Roman"/>
          <w:kern w:val="22"/>
          <w:szCs w:val="22"/>
          <w:lang w:val="fr-CA"/>
        </w:rPr>
        <w:t>la Confér</w:t>
      </w:r>
      <w:r w:rsidR="00FF4284" w:rsidRPr="0051033B">
        <w:rPr>
          <w:rFonts w:eastAsia="Malgun Gothic" w:cs="Times New Roman"/>
          <w:kern w:val="22"/>
          <w:szCs w:val="22"/>
          <w:lang w:val="fr-CA"/>
        </w:rPr>
        <w:t xml:space="preserve">ence des Parties prend note avec </w:t>
      </w:r>
      <w:r w:rsidR="007E4171" w:rsidRPr="0051033B">
        <w:rPr>
          <w:rFonts w:eastAsia="Malgun Gothic" w:cs="Times New Roman"/>
          <w:kern w:val="22"/>
          <w:szCs w:val="22"/>
          <w:lang w:val="fr-CA"/>
        </w:rPr>
        <w:t>satisfaction</w:t>
      </w:r>
      <w:r w:rsidR="00FF4284" w:rsidRPr="0051033B">
        <w:rPr>
          <w:rFonts w:eastAsia="Malgun Gothic" w:cs="Times New Roman"/>
          <w:kern w:val="22"/>
          <w:szCs w:val="22"/>
          <w:lang w:val="fr-CA"/>
        </w:rPr>
        <w:t xml:space="preserve"> des éléments </w:t>
      </w:r>
      <w:r w:rsidR="002E6914" w:rsidRPr="0051033B">
        <w:rPr>
          <w:rFonts w:eastAsia="Malgun Gothic" w:cs="Times New Roman"/>
          <w:kern w:val="22"/>
          <w:szCs w:val="22"/>
          <w:lang w:val="fr-CA"/>
        </w:rPr>
        <w:t>d’avis</w:t>
      </w:r>
      <w:r w:rsidR="00FF4284" w:rsidRPr="0051033B">
        <w:rPr>
          <w:rFonts w:eastAsia="Malgun Gothic" w:cs="Times New Roman"/>
          <w:kern w:val="22"/>
          <w:szCs w:val="22"/>
          <w:lang w:val="fr-CA"/>
        </w:rPr>
        <w:t xml:space="preserve"> et de contribution reçus d’autres</w:t>
      </w:r>
      <w:r w:rsidR="00FF4284">
        <w:rPr>
          <w:rFonts w:eastAsia="Malgun Gothic" w:cs="Times New Roman"/>
          <w:kern w:val="22"/>
          <w:szCs w:val="22"/>
          <w:lang w:val="fr-CA"/>
        </w:rPr>
        <w:t xml:space="preserve"> conventions reliées à la diversité biologique, en </w:t>
      </w:r>
      <w:r w:rsidR="007E4171">
        <w:rPr>
          <w:rFonts w:eastAsia="Malgun Gothic" w:cs="Times New Roman"/>
          <w:kern w:val="22"/>
          <w:szCs w:val="22"/>
          <w:lang w:val="fr-CA"/>
        </w:rPr>
        <w:t>indiquant</w:t>
      </w:r>
      <w:r w:rsidR="00FF4284">
        <w:rPr>
          <w:rFonts w:eastAsia="Malgun Gothic" w:cs="Times New Roman"/>
          <w:kern w:val="22"/>
          <w:szCs w:val="22"/>
          <w:lang w:val="fr-CA"/>
        </w:rPr>
        <w:t xml:space="preserve"> que les éléments et la contribution qui relèvent du mandat du Fonds pour l’environnement mondial</w:t>
      </w:r>
      <w:r w:rsidR="005911EB">
        <w:rPr>
          <w:rFonts w:eastAsia="Malgun Gothic" w:cs="Times New Roman"/>
          <w:kern w:val="22"/>
          <w:szCs w:val="22"/>
          <w:lang w:val="fr-CA"/>
        </w:rPr>
        <w:t xml:space="preserve"> </w:t>
      </w:r>
      <w:r w:rsidR="007E4171">
        <w:rPr>
          <w:rFonts w:eastAsia="Malgun Gothic" w:cs="Times New Roman"/>
          <w:kern w:val="22"/>
          <w:szCs w:val="22"/>
          <w:lang w:val="fr-CA"/>
        </w:rPr>
        <w:t>se reflètent</w:t>
      </w:r>
      <w:r w:rsidR="00FF4284">
        <w:rPr>
          <w:rFonts w:eastAsia="Malgun Gothic" w:cs="Times New Roman"/>
          <w:kern w:val="22"/>
          <w:szCs w:val="22"/>
          <w:lang w:val="fr-CA"/>
        </w:rPr>
        <w:t xml:space="preserve"> au niveau stratégique dans le cadre quadriennal des priorités d</w:t>
      </w:r>
      <w:r w:rsidR="003911A8">
        <w:rPr>
          <w:rFonts w:eastAsia="Malgun Gothic" w:cs="Times New Roman"/>
          <w:kern w:val="22"/>
          <w:szCs w:val="22"/>
          <w:lang w:val="fr-CA"/>
        </w:rPr>
        <w:t>e</w:t>
      </w:r>
      <w:r w:rsidR="00FF4284">
        <w:rPr>
          <w:rFonts w:eastAsia="Malgun Gothic" w:cs="Times New Roman"/>
          <w:kern w:val="22"/>
          <w:szCs w:val="22"/>
          <w:lang w:val="fr-CA"/>
        </w:rPr>
        <w:t xml:space="preserve"> programme</w:t>
      </w:r>
      <w:r w:rsidR="005911EB">
        <w:rPr>
          <w:rFonts w:eastAsia="Malgun Gothic" w:cs="Times New Roman"/>
          <w:kern w:val="22"/>
          <w:szCs w:val="22"/>
          <w:lang w:val="fr-CA"/>
        </w:rPr>
        <w:t xml:space="preserve">, ce qui </w:t>
      </w:r>
      <w:r w:rsidR="0051033B">
        <w:rPr>
          <w:rFonts w:eastAsia="Malgun Gothic" w:cs="Times New Roman"/>
          <w:kern w:val="22"/>
          <w:szCs w:val="22"/>
          <w:lang w:val="fr-CA"/>
        </w:rPr>
        <w:t>permettra</w:t>
      </w:r>
      <w:r w:rsidR="007E4171">
        <w:rPr>
          <w:rFonts w:eastAsia="Malgun Gothic" w:cs="Times New Roman"/>
          <w:kern w:val="22"/>
          <w:szCs w:val="22"/>
          <w:lang w:val="fr-CA"/>
        </w:rPr>
        <w:t xml:space="preserve"> d’améliorer davantage</w:t>
      </w:r>
      <w:r w:rsidR="005911EB">
        <w:rPr>
          <w:rFonts w:eastAsia="Malgun Gothic" w:cs="Times New Roman"/>
          <w:kern w:val="22"/>
          <w:szCs w:val="22"/>
          <w:lang w:val="fr-CA"/>
        </w:rPr>
        <w:t xml:space="preserve"> les synergies </w:t>
      </w:r>
      <w:r w:rsidR="007E4171">
        <w:rPr>
          <w:rFonts w:eastAsia="Malgun Gothic" w:cs="Times New Roman"/>
          <w:kern w:val="22"/>
          <w:szCs w:val="22"/>
          <w:lang w:val="fr-CA"/>
        </w:rPr>
        <w:t>programmatiques</w:t>
      </w:r>
      <w:r w:rsidR="005911EB">
        <w:rPr>
          <w:rFonts w:eastAsia="Malgun Gothic" w:cs="Times New Roman"/>
          <w:kern w:val="22"/>
          <w:szCs w:val="22"/>
          <w:lang w:val="fr-CA"/>
        </w:rPr>
        <w:t xml:space="preserve"> entre les conventions </w:t>
      </w:r>
      <w:r w:rsidR="007E4171">
        <w:rPr>
          <w:rFonts w:eastAsia="Malgun Gothic" w:cs="Times New Roman"/>
          <w:kern w:val="22"/>
          <w:szCs w:val="22"/>
          <w:lang w:val="fr-CA"/>
        </w:rPr>
        <w:t>relatives</w:t>
      </w:r>
      <w:r w:rsidR="005911EB">
        <w:rPr>
          <w:rFonts w:eastAsia="Malgun Gothic" w:cs="Times New Roman"/>
          <w:kern w:val="22"/>
          <w:szCs w:val="22"/>
          <w:lang w:val="fr-CA"/>
        </w:rPr>
        <w:t xml:space="preserve"> à la diversité biologique. Le </w:t>
      </w:r>
      <w:r w:rsidR="005911EB" w:rsidRPr="0051033B">
        <w:rPr>
          <w:rFonts w:eastAsia="Malgun Gothic" w:cs="Times New Roman"/>
          <w:kern w:val="22"/>
          <w:szCs w:val="22"/>
          <w:lang w:val="fr-CA"/>
        </w:rPr>
        <w:t>document de reconstitution de</w:t>
      </w:r>
      <w:r w:rsidR="0051033B" w:rsidRPr="0051033B">
        <w:rPr>
          <w:rFonts w:eastAsia="Malgun Gothic" w:cs="Times New Roman"/>
          <w:kern w:val="22"/>
          <w:szCs w:val="22"/>
          <w:lang w:val="fr-CA"/>
        </w:rPr>
        <w:t xml:space="preserve"> la</w:t>
      </w:r>
      <w:r w:rsidR="005911EB" w:rsidRPr="0051033B">
        <w:rPr>
          <w:rFonts w:eastAsia="Malgun Gothic" w:cs="Times New Roman"/>
          <w:kern w:val="22"/>
          <w:szCs w:val="22"/>
          <w:lang w:val="fr-CA"/>
        </w:rPr>
        <w:t xml:space="preserve"> FEM-7 sur la direction des programmes indique que les investissements dans le domaine </w:t>
      </w:r>
      <w:r w:rsidR="002E2D56" w:rsidRPr="0051033B">
        <w:rPr>
          <w:rFonts w:eastAsia="Malgun Gothic" w:cs="Times New Roman"/>
          <w:kern w:val="22"/>
          <w:szCs w:val="22"/>
          <w:lang w:val="fr-CA"/>
        </w:rPr>
        <w:t>d’intervention</w:t>
      </w:r>
      <w:r w:rsidR="005911EB" w:rsidRPr="0051033B">
        <w:rPr>
          <w:rFonts w:eastAsia="Malgun Gothic" w:cs="Times New Roman"/>
          <w:kern w:val="22"/>
          <w:szCs w:val="22"/>
          <w:lang w:val="fr-CA"/>
        </w:rPr>
        <w:t xml:space="preserve"> de la diversité biologique de </w:t>
      </w:r>
      <w:r w:rsidR="0051033B" w:rsidRPr="0051033B">
        <w:rPr>
          <w:rFonts w:eastAsia="Malgun Gothic" w:cs="Times New Roman"/>
          <w:kern w:val="22"/>
          <w:szCs w:val="22"/>
          <w:lang w:val="fr-CA"/>
        </w:rPr>
        <w:t xml:space="preserve">la </w:t>
      </w:r>
      <w:r w:rsidR="005911EB" w:rsidRPr="0051033B">
        <w:rPr>
          <w:rFonts w:eastAsia="Malgun Gothic" w:cs="Times New Roman"/>
          <w:kern w:val="22"/>
          <w:szCs w:val="22"/>
          <w:lang w:val="fr-CA"/>
        </w:rPr>
        <w:t xml:space="preserve">FEM-7 et les stratégies </w:t>
      </w:r>
      <w:r w:rsidR="007E4171" w:rsidRPr="0051033B">
        <w:rPr>
          <w:rFonts w:eastAsia="Malgun Gothic" w:cs="Times New Roman"/>
          <w:kern w:val="22"/>
          <w:szCs w:val="22"/>
          <w:lang w:val="fr-CA"/>
        </w:rPr>
        <w:t>programmatiques</w:t>
      </w:r>
      <w:r w:rsidR="005911EB" w:rsidRPr="0051033B">
        <w:rPr>
          <w:rFonts w:eastAsia="Malgun Gothic" w:cs="Times New Roman"/>
          <w:kern w:val="22"/>
          <w:szCs w:val="22"/>
          <w:lang w:val="fr-CA"/>
        </w:rPr>
        <w:t xml:space="preserve"> connexes incarnent pleinement les approches </w:t>
      </w:r>
      <w:r w:rsidR="002E2D56" w:rsidRPr="0051033B">
        <w:rPr>
          <w:rFonts w:eastAsia="Malgun Gothic" w:cs="Times New Roman"/>
          <w:kern w:val="22"/>
          <w:szCs w:val="22"/>
          <w:lang w:val="fr-CA"/>
        </w:rPr>
        <w:t>intégrée</w:t>
      </w:r>
      <w:r w:rsidR="005911EB" w:rsidRPr="0051033B">
        <w:rPr>
          <w:rFonts w:eastAsia="Malgun Gothic" w:cs="Times New Roman"/>
          <w:kern w:val="22"/>
          <w:szCs w:val="22"/>
          <w:lang w:val="fr-CA"/>
        </w:rPr>
        <w:t xml:space="preserve">s pour la </w:t>
      </w:r>
      <w:r w:rsidR="002E2D56" w:rsidRPr="0051033B">
        <w:rPr>
          <w:rFonts w:eastAsia="Malgun Gothic" w:cs="Times New Roman"/>
          <w:kern w:val="22"/>
          <w:szCs w:val="22"/>
          <w:lang w:val="fr-CA"/>
        </w:rPr>
        <w:t>réalisation</w:t>
      </w:r>
      <w:r w:rsidR="005911EB" w:rsidRPr="0051033B">
        <w:rPr>
          <w:rFonts w:eastAsia="Malgun Gothic" w:cs="Times New Roman"/>
          <w:kern w:val="22"/>
          <w:szCs w:val="22"/>
          <w:lang w:val="fr-CA"/>
        </w:rPr>
        <w:t xml:space="preserve"> des résultats de conservation et d’</w:t>
      </w:r>
      <w:r w:rsidR="005911EB" w:rsidRPr="0051033B">
        <w:rPr>
          <w:rFonts w:eastAsia="Times New Roman" w:cs="Times New Roman"/>
          <w:kern w:val="22"/>
          <w:szCs w:val="22"/>
          <w:lang w:val="fr-CA"/>
        </w:rPr>
        <w:t>utilisation</w:t>
      </w:r>
      <w:r w:rsidR="005911EB" w:rsidRPr="0051033B">
        <w:rPr>
          <w:rFonts w:eastAsia="Malgun Gothic" w:cs="Times New Roman"/>
          <w:kern w:val="22"/>
          <w:szCs w:val="22"/>
          <w:lang w:val="fr-CA"/>
        </w:rPr>
        <w:t xml:space="preserve"> durable de la diversité </w:t>
      </w:r>
      <w:r w:rsidR="002E2D56" w:rsidRPr="0051033B">
        <w:rPr>
          <w:rFonts w:eastAsia="Malgun Gothic" w:cs="Times New Roman"/>
          <w:kern w:val="22"/>
          <w:szCs w:val="22"/>
          <w:lang w:val="fr-CA"/>
        </w:rPr>
        <w:t>biologique du cadre q</w:t>
      </w:r>
      <w:r w:rsidR="005911EB" w:rsidRPr="0051033B">
        <w:rPr>
          <w:rFonts w:eastAsia="Malgun Gothic" w:cs="Times New Roman"/>
          <w:kern w:val="22"/>
          <w:szCs w:val="22"/>
          <w:lang w:val="fr-CA"/>
        </w:rPr>
        <w:t>uadriennal tout en soutenant la mise en œuvre de toutes les conventions reliées à la diversité biologique de manière synergétique</w:t>
      </w:r>
      <w:r w:rsidR="002E2D56" w:rsidRPr="0051033B">
        <w:rPr>
          <w:rFonts w:eastAsia="Malgun Gothic" w:cs="Times New Roman"/>
          <w:kern w:val="22"/>
          <w:szCs w:val="22"/>
          <w:lang w:val="fr-CA"/>
        </w:rPr>
        <w:t>. Bien que le document ne</w:t>
      </w:r>
      <w:r w:rsidR="002E2D56">
        <w:rPr>
          <w:rFonts w:eastAsia="Malgun Gothic" w:cs="Times New Roman"/>
          <w:kern w:val="22"/>
          <w:szCs w:val="22"/>
          <w:lang w:val="fr-CA"/>
        </w:rPr>
        <w:t xml:space="preserve"> nomme pas précisément toutes les conventions reliées à </w:t>
      </w:r>
      <w:r w:rsidR="002E2D56">
        <w:rPr>
          <w:rFonts w:eastAsia="Malgun Gothic" w:cs="Times New Roman"/>
          <w:kern w:val="22"/>
          <w:szCs w:val="22"/>
          <w:lang w:val="fr-CA"/>
        </w:rPr>
        <w:lastRenderedPageBreak/>
        <w:t xml:space="preserve">la diversité biologique, plusieurs investissements dans des domaines d’intervention et des programmes à impact offrent des occasions de projet </w:t>
      </w:r>
      <w:r w:rsidR="00273A99" w:rsidRPr="00FF4284">
        <w:rPr>
          <w:rFonts w:eastAsia="Malgun Gothic" w:cs="Times New Roman"/>
          <w:kern w:val="22"/>
          <w:szCs w:val="22"/>
          <w:lang w:val="fr-CA"/>
        </w:rPr>
        <w:t>:</w:t>
      </w:r>
    </w:p>
    <w:p w:rsidR="00273A99" w:rsidRPr="0051033B" w:rsidRDefault="002E2D56" w:rsidP="002E2D56">
      <w:pPr>
        <w:pStyle w:val="Para1"/>
        <w:numPr>
          <w:ilvl w:val="0"/>
          <w:numId w:val="49"/>
        </w:numPr>
        <w:suppressLineNumbers/>
        <w:suppressAutoHyphens/>
        <w:kinsoku w:val="0"/>
        <w:overflowPunct w:val="0"/>
        <w:autoSpaceDE w:val="0"/>
        <w:autoSpaceDN w:val="0"/>
        <w:adjustRightInd w:val="0"/>
        <w:snapToGrid w:val="0"/>
        <w:ind w:left="0" w:firstLine="720"/>
        <w:rPr>
          <w:rFonts w:eastAsia="Malgun Gothic" w:cs="Times New Roman"/>
          <w:kern w:val="22"/>
          <w:szCs w:val="22"/>
          <w:lang w:val="fr-CA"/>
        </w:rPr>
      </w:pPr>
      <w:r w:rsidRPr="0051033B">
        <w:rPr>
          <w:rFonts w:eastAsia="Malgun Gothic" w:cs="Times New Roman"/>
          <w:kern w:val="22"/>
          <w:szCs w:val="22"/>
          <w:lang w:val="fr-CA"/>
        </w:rPr>
        <w:t>Convention</w:t>
      </w:r>
      <w:r w:rsidR="00AF448D" w:rsidRPr="0051033B">
        <w:rPr>
          <w:rFonts w:eastAsia="Malgun Gothic" w:cs="Times New Roman"/>
          <w:kern w:val="22"/>
          <w:szCs w:val="22"/>
          <w:lang w:val="fr-CA"/>
        </w:rPr>
        <w:t xml:space="preserve"> du patrimoine mondial et</w:t>
      </w:r>
      <w:r w:rsidRPr="0051033B">
        <w:rPr>
          <w:rFonts w:eastAsia="Malgun Gothic" w:cs="Times New Roman"/>
          <w:kern w:val="22"/>
          <w:szCs w:val="22"/>
          <w:lang w:val="fr-CA"/>
        </w:rPr>
        <w:t xml:space="preserve"> Convention de </w:t>
      </w:r>
      <w:proofErr w:type="spellStart"/>
      <w:r w:rsidRPr="0051033B">
        <w:rPr>
          <w:rFonts w:eastAsia="Malgun Gothic" w:cs="Times New Roman"/>
          <w:kern w:val="22"/>
          <w:szCs w:val="22"/>
          <w:lang w:val="fr-CA"/>
        </w:rPr>
        <w:t>Ramsar</w:t>
      </w:r>
      <w:proofErr w:type="spellEnd"/>
      <w:r w:rsidRPr="0051033B">
        <w:rPr>
          <w:rFonts w:eastAsia="Malgun Gothic" w:cs="Times New Roman"/>
          <w:kern w:val="22"/>
          <w:szCs w:val="22"/>
          <w:lang w:val="fr-CA"/>
        </w:rPr>
        <w:t xml:space="preserve"> sur les zones humides</w:t>
      </w:r>
      <w:r w:rsidR="00350407">
        <w:rPr>
          <w:rFonts w:eastAsia="Malgun Gothic" w:cs="Times New Roman"/>
          <w:kern w:val="22"/>
          <w:szCs w:val="22"/>
          <w:lang w:val="fr-CA"/>
        </w:rPr>
        <w:t> : D</w:t>
      </w:r>
      <w:r w:rsidR="00AF448D" w:rsidRPr="0051033B">
        <w:rPr>
          <w:rFonts w:eastAsia="Malgun Gothic" w:cs="Times New Roman"/>
          <w:kern w:val="22"/>
          <w:szCs w:val="22"/>
          <w:lang w:val="fr-CA"/>
        </w:rPr>
        <w:t>omaine mondial des aires protégées, programme de gestion durable des forêts, conservation intégrée</w:t>
      </w:r>
      <w:r w:rsidR="00DF24EE" w:rsidRPr="0051033B">
        <w:rPr>
          <w:rFonts w:eastAsia="Malgun Gothic" w:cs="Times New Roman"/>
          <w:kern w:val="22"/>
          <w:szCs w:val="22"/>
          <w:lang w:val="fr-CA"/>
        </w:rPr>
        <w:t>;</w:t>
      </w:r>
    </w:p>
    <w:p w:rsidR="00273A99" w:rsidRPr="0051033B" w:rsidRDefault="00AF448D"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lang w:val="fr-CA"/>
        </w:rPr>
      </w:pPr>
      <w:r w:rsidRPr="0051033B">
        <w:rPr>
          <w:rFonts w:eastAsia="Malgun Gothic" w:cs="Times New Roman"/>
          <w:kern w:val="22"/>
          <w:szCs w:val="22"/>
          <w:lang w:val="fr-CA"/>
        </w:rPr>
        <w:t>Convention sur le commerce international d</w:t>
      </w:r>
      <w:r w:rsidR="00335E49" w:rsidRPr="0051033B">
        <w:rPr>
          <w:rFonts w:eastAsia="Malgun Gothic" w:cs="Times New Roman"/>
          <w:kern w:val="22"/>
          <w:szCs w:val="22"/>
          <w:lang w:val="fr-CA"/>
        </w:rPr>
        <w:t xml:space="preserve">es </w:t>
      </w:r>
      <w:r w:rsidRPr="0051033B">
        <w:rPr>
          <w:rFonts w:eastAsia="Malgun Gothic" w:cs="Times New Roman"/>
          <w:kern w:val="22"/>
          <w:szCs w:val="22"/>
          <w:lang w:val="fr-CA"/>
        </w:rPr>
        <w:t>espèces de faune et de flore sauvages </w:t>
      </w:r>
      <w:r w:rsidR="00335E49" w:rsidRPr="0051033B">
        <w:rPr>
          <w:rFonts w:eastAsia="Malgun Gothic" w:cs="Times New Roman"/>
          <w:kern w:val="22"/>
          <w:szCs w:val="22"/>
          <w:lang w:val="fr-CA"/>
        </w:rPr>
        <w:t xml:space="preserve">menacées d’extinction </w:t>
      </w:r>
      <w:r w:rsidR="00350407">
        <w:rPr>
          <w:rFonts w:eastAsia="Malgun Gothic" w:cs="Times New Roman"/>
          <w:kern w:val="22"/>
          <w:szCs w:val="22"/>
          <w:lang w:val="fr-CA"/>
        </w:rPr>
        <w:t>: P</w:t>
      </w:r>
      <w:r w:rsidRPr="0051033B">
        <w:rPr>
          <w:rFonts w:eastAsia="Malgun Gothic" w:cs="Times New Roman"/>
          <w:kern w:val="22"/>
          <w:szCs w:val="22"/>
          <w:lang w:val="fr-CA"/>
        </w:rPr>
        <w:t>rogramme de vie sauvage</w:t>
      </w:r>
      <w:r w:rsidR="00DF24EE" w:rsidRPr="0051033B">
        <w:rPr>
          <w:rFonts w:eastAsia="Malgun Gothic" w:cs="Times New Roman"/>
          <w:kern w:val="22"/>
          <w:szCs w:val="22"/>
          <w:lang w:val="fr-CA"/>
        </w:rPr>
        <w:t>;</w:t>
      </w:r>
    </w:p>
    <w:p w:rsidR="00273A99" w:rsidRPr="0051033B" w:rsidRDefault="00335E49"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lang w:val="fr-CA"/>
        </w:rPr>
      </w:pPr>
      <w:r w:rsidRPr="0051033B">
        <w:rPr>
          <w:rFonts w:eastAsia="Malgun Gothic" w:cs="Times New Roman"/>
          <w:kern w:val="22"/>
          <w:szCs w:val="22"/>
          <w:lang w:val="fr-CA"/>
        </w:rPr>
        <w:t xml:space="preserve">Convention </w:t>
      </w:r>
      <w:r w:rsidRPr="0051033B">
        <w:rPr>
          <w:rFonts w:eastAsia="Times New Roman" w:cs="Times New Roman"/>
          <w:kern w:val="22"/>
          <w:szCs w:val="22"/>
          <w:lang w:val="fr-CA"/>
        </w:rPr>
        <w:t>internationale</w:t>
      </w:r>
      <w:r w:rsidRPr="0051033B">
        <w:rPr>
          <w:rFonts w:eastAsia="Malgun Gothic" w:cs="Times New Roman"/>
          <w:kern w:val="22"/>
          <w:szCs w:val="22"/>
          <w:lang w:val="fr-CA"/>
        </w:rPr>
        <w:t xml:space="preserve"> pour la protection des végétaux : </w:t>
      </w:r>
      <w:r w:rsidR="00350407">
        <w:rPr>
          <w:rFonts w:eastAsia="Times New Roman" w:cs="Times New Roman"/>
          <w:kern w:val="22"/>
          <w:szCs w:val="22"/>
          <w:lang w:val="fr-CA"/>
        </w:rPr>
        <w:t>U</w:t>
      </w:r>
      <w:r w:rsidRPr="0051033B">
        <w:rPr>
          <w:rFonts w:eastAsia="Times New Roman" w:cs="Times New Roman"/>
          <w:kern w:val="22"/>
          <w:szCs w:val="22"/>
          <w:lang w:val="fr-CA"/>
        </w:rPr>
        <w:t>tilisation</w:t>
      </w:r>
      <w:r w:rsidRPr="0051033B">
        <w:rPr>
          <w:rFonts w:eastAsia="Malgun Gothic" w:cs="Times New Roman"/>
          <w:kern w:val="22"/>
          <w:szCs w:val="22"/>
          <w:lang w:val="fr-CA"/>
        </w:rPr>
        <w:t xml:space="preserve"> durable des ressources phytogénétiques et zoogénétiques, programme d’impact sur la gestion durable des forêts</w:t>
      </w:r>
      <w:r w:rsidR="00DF24EE" w:rsidRPr="0051033B">
        <w:rPr>
          <w:rFonts w:eastAsia="Malgun Gothic" w:cs="Times New Roman"/>
          <w:kern w:val="22"/>
          <w:szCs w:val="22"/>
          <w:lang w:val="fr-CA"/>
        </w:rPr>
        <w:t>;</w:t>
      </w:r>
    </w:p>
    <w:p w:rsidR="00273A99" w:rsidRPr="0051033B" w:rsidRDefault="00113802" w:rsidP="00E733CD">
      <w:pPr>
        <w:pStyle w:val="Para1"/>
        <w:numPr>
          <w:ilvl w:val="0"/>
          <w:numId w:val="49"/>
        </w:numPr>
        <w:suppressLineNumbers/>
        <w:suppressAutoHyphens/>
        <w:kinsoku w:val="0"/>
        <w:overflowPunct w:val="0"/>
        <w:autoSpaceDE w:val="0"/>
        <w:autoSpaceDN w:val="0"/>
        <w:adjustRightInd w:val="0"/>
        <w:snapToGrid w:val="0"/>
        <w:ind w:left="0" w:firstLine="709"/>
        <w:rPr>
          <w:rFonts w:cs="Times New Roman"/>
          <w:kern w:val="22"/>
          <w:szCs w:val="22"/>
          <w:lang w:val="fr-CA"/>
        </w:rPr>
      </w:pPr>
      <w:r w:rsidRPr="0051033B">
        <w:rPr>
          <w:rFonts w:eastAsia="Malgun Gothic" w:cs="Times New Roman"/>
          <w:kern w:val="22"/>
          <w:szCs w:val="22"/>
          <w:lang w:val="fr-CA"/>
        </w:rPr>
        <w:t>Convention sur la conserva</w:t>
      </w:r>
      <w:r w:rsidR="00350407">
        <w:rPr>
          <w:rFonts w:eastAsia="Malgun Gothic" w:cs="Times New Roman"/>
          <w:kern w:val="22"/>
          <w:szCs w:val="22"/>
          <w:lang w:val="fr-CA"/>
        </w:rPr>
        <w:t>tion des espèces migratrices : D</w:t>
      </w:r>
      <w:r w:rsidRPr="0051033B">
        <w:rPr>
          <w:rFonts w:eastAsia="Malgun Gothic" w:cs="Times New Roman"/>
          <w:kern w:val="22"/>
          <w:szCs w:val="22"/>
          <w:lang w:val="fr-CA"/>
        </w:rPr>
        <w:t>omaine mondial des aires protégées, programme mondial de vie sauvage, conservation intégrée</w:t>
      </w:r>
      <w:r w:rsidR="00DF24EE" w:rsidRPr="0051033B">
        <w:rPr>
          <w:rFonts w:eastAsia="Malgun Gothic" w:cs="Times New Roman"/>
          <w:kern w:val="22"/>
          <w:szCs w:val="22"/>
          <w:lang w:val="fr-CA"/>
        </w:rPr>
        <w:t>;</w:t>
      </w:r>
    </w:p>
    <w:p w:rsidR="00273A99" w:rsidRPr="0051033B" w:rsidRDefault="00113802" w:rsidP="00E733CD">
      <w:pPr>
        <w:pStyle w:val="Para1"/>
        <w:numPr>
          <w:ilvl w:val="0"/>
          <w:numId w:val="49"/>
        </w:numPr>
        <w:suppressLineNumbers/>
        <w:suppressAutoHyphens/>
        <w:kinsoku w:val="0"/>
        <w:overflowPunct w:val="0"/>
        <w:autoSpaceDE w:val="0"/>
        <w:autoSpaceDN w:val="0"/>
        <w:adjustRightInd w:val="0"/>
        <w:snapToGrid w:val="0"/>
        <w:ind w:left="0" w:firstLine="709"/>
        <w:rPr>
          <w:rFonts w:eastAsia="Malgun Gothic" w:cs="Times New Roman"/>
          <w:kern w:val="22"/>
          <w:szCs w:val="22"/>
          <w:lang w:val="fr-CA"/>
        </w:rPr>
      </w:pPr>
      <w:r w:rsidRPr="0051033B">
        <w:rPr>
          <w:rFonts w:cs="Times New Roman"/>
          <w:kern w:val="22"/>
          <w:szCs w:val="22"/>
          <w:lang w:val="fr-CA"/>
        </w:rPr>
        <w:t>Traité international sur les ressources phytogénétiques pour l’a</w:t>
      </w:r>
      <w:r w:rsidR="00350407">
        <w:rPr>
          <w:rFonts w:cs="Times New Roman"/>
          <w:kern w:val="22"/>
          <w:szCs w:val="22"/>
          <w:lang w:val="fr-CA"/>
        </w:rPr>
        <w:t>limentation et l’agriculture : U</w:t>
      </w:r>
      <w:r w:rsidRPr="0051033B">
        <w:rPr>
          <w:rFonts w:cs="Times New Roman"/>
          <w:kern w:val="22"/>
          <w:szCs w:val="22"/>
          <w:lang w:val="fr-CA"/>
        </w:rPr>
        <w:t xml:space="preserve">tilisation durable des ressources phytogénétiques et zoogénétiques, mise en œuvre du Protocole de Nagoya sur l’accès et le partage des avantages, systèmes alimentaires, </w:t>
      </w:r>
      <w:r w:rsidRPr="0051033B">
        <w:rPr>
          <w:rFonts w:eastAsia="Times New Roman" w:cs="Times New Roman"/>
          <w:kern w:val="22"/>
          <w:szCs w:val="22"/>
          <w:lang w:val="fr-CA"/>
        </w:rPr>
        <w:t>utilisation</w:t>
      </w:r>
      <w:r w:rsidRPr="0051033B">
        <w:rPr>
          <w:rFonts w:cs="Times New Roman"/>
          <w:kern w:val="22"/>
          <w:szCs w:val="22"/>
          <w:lang w:val="fr-CA"/>
        </w:rPr>
        <w:t xml:space="preserve"> des terres et programme d’impact sur la restauration</w:t>
      </w:r>
      <w:r w:rsidR="00BC1B79" w:rsidRPr="0051033B">
        <w:rPr>
          <w:rFonts w:eastAsia="Malgun Gothic" w:cs="Times New Roman"/>
          <w:kern w:val="22"/>
          <w:szCs w:val="22"/>
          <w:lang w:val="fr-CA"/>
        </w:rPr>
        <w:t>.</w:t>
      </w:r>
    </w:p>
    <w:p w:rsidR="00273A99" w:rsidRPr="0051033B" w:rsidRDefault="00D421FF"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sidRPr="0051033B">
        <w:rPr>
          <w:rFonts w:cs="Times New Roman"/>
          <w:kern w:val="22"/>
          <w:szCs w:val="22"/>
          <w:lang w:val="fr-CA"/>
        </w:rPr>
        <w:t>La décision XIII/21 propose également une orientation supplémentaire pour le mécanisme de financement concernant la restauration des écosystèmes, le Plan stratégique 2011-2020 pour la diversité biologique, les Objectifs 11 et 12 d’Aichi relatif</w:t>
      </w:r>
      <w:r w:rsidR="009E1833">
        <w:rPr>
          <w:rFonts w:cs="Times New Roman"/>
          <w:kern w:val="22"/>
          <w:szCs w:val="22"/>
          <w:lang w:val="fr-CA"/>
        </w:rPr>
        <w:t>s</w:t>
      </w:r>
      <w:r w:rsidRPr="0051033B">
        <w:rPr>
          <w:rFonts w:cs="Times New Roman"/>
          <w:kern w:val="22"/>
          <w:szCs w:val="22"/>
          <w:lang w:val="fr-CA"/>
        </w:rPr>
        <w:t xml:space="preserve"> à la diversité biologique</w:t>
      </w:r>
      <w:r w:rsidR="00BB55BF" w:rsidRPr="0051033B">
        <w:rPr>
          <w:rFonts w:cs="Times New Roman"/>
          <w:kern w:val="22"/>
          <w:szCs w:val="22"/>
          <w:lang w:val="fr-CA"/>
        </w:rPr>
        <w:t>, l</w:t>
      </w:r>
      <w:r w:rsidRPr="0051033B">
        <w:rPr>
          <w:rFonts w:cs="Times New Roman"/>
          <w:kern w:val="22"/>
          <w:szCs w:val="22"/>
          <w:lang w:val="fr-CA"/>
        </w:rPr>
        <w:t>e sixi</w:t>
      </w:r>
      <w:r w:rsidR="00BB55BF" w:rsidRPr="0051033B">
        <w:rPr>
          <w:rFonts w:cs="Times New Roman"/>
          <w:kern w:val="22"/>
          <w:szCs w:val="22"/>
          <w:lang w:val="fr-CA"/>
        </w:rPr>
        <w:t>è</w:t>
      </w:r>
      <w:r w:rsidRPr="0051033B">
        <w:rPr>
          <w:rFonts w:cs="Times New Roman"/>
          <w:kern w:val="22"/>
          <w:szCs w:val="22"/>
          <w:lang w:val="fr-CA"/>
        </w:rPr>
        <w:t xml:space="preserve">me rapport </w:t>
      </w:r>
      <w:r w:rsidRPr="0051033B">
        <w:rPr>
          <w:rFonts w:eastAsia="Times New Roman" w:cs="Times New Roman"/>
          <w:kern w:val="22"/>
          <w:szCs w:val="22"/>
          <w:lang w:val="fr-CA"/>
        </w:rPr>
        <w:t>national</w:t>
      </w:r>
      <w:r w:rsidRPr="0051033B">
        <w:rPr>
          <w:rFonts w:cs="Times New Roman"/>
          <w:kern w:val="22"/>
          <w:szCs w:val="22"/>
          <w:lang w:val="fr-CA"/>
        </w:rPr>
        <w:t>, l’intégration inte</w:t>
      </w:r>
      <w:r w:rsidR="00BB55BF" w:rsidRPr="0051033B">
        <w:rPr>
          <w:rFonts w:cs="Times New Roman"/>
          <w:kern w:val="22"/>
          <w:szCs w:val="22"/>
          <w:lang w:val="fr-CA"/>
        </w:rPr>
        <w:t>rse</w:t>
      </w:r>
      <w:r w:rsidRPr="0051033B">
        <w:rPr>
          <w:rFonts w:cs="Times New Roman"/>
          <w:kern w:val="22"/>
          <w:szCs w:val="22"/>
          <w:lang w:val="fr-CA"/>
        </w:rPr>
        <w:t xml:space="preserve">ctorielle, les connaissances traditionnelles, le Protocole de Cartagena sur la prévention des risques biotechnologiques et le Protocole de </w:t>
      </w:r>
      <w:r w:rsidR="00BB55BF" w:rsidRPr="0051033B">
        <w:rPr>
          <w:rFonts w:cs="Times New Roman"/>
          <w:kern w:val="22"/>
          <w:szCs w:val="22"/>
          <w:lang w:val="fr-CA"/>
        </w:rPr>
        <w:t>Nagoya</w:t>
      </w:r>
      <w:r w:rsidRPr="0051033B">
        <w:rPr>
          <w:rFonts w:cs="Times New Roman"/>
          <w:kern w:val="22"/>
          <w:szCs w:val="22"/>
          <w:lang w:val="fr-CA"/>
        </w:rPr>
        <w:t xml:space="preserve"> sur l’accès et le partage des avantages. Les mécanismes de prestation </w:t>
      </w:r>
      <w:r w:rsidR="009E1833">
        <w:rPr>
          <w:rFonts w:cs="Times New Roman"/>
          <w:kern w:val="22"/>
          <w:szCs w:val="22"/>
          <w:lang w:val="fr-CA"/>
        </w:rPr>
        <w:t>présentés</w:t>
      </w:r>
      <w:r w:rsidRPr="0051033B">
        <w:rPr>
          <w:rFonts w:cs="Times New Roman"/>
          <w:kern w:val="22"/>
          <w:szCs w:val="22"/>
          <w:lang w:val="fr-CA"/>
        </w:rPr>
        <w:t xml:space="preserve"> dans le document sur la direction des programme</w:t>
      </w:r>
      <w:r w:rsidR="009E1833">
        <w:rPr>
          <w:rFonts w:cs="Times New Roman"/>
          <w:kern w:val="22"/>
          <w:szCs w:val="22"/>
          <w:lang w:val="fr-CA"/>
        </w:rPr>
        <w:t>s</w:t>
      </w:r>
      <w:r w:rsidRPr="0051033B">
        <w:rPr>
          <w:rFonts w:cs="Times New Roman"/>
          <w:kern w:val="22"/>
          <w:szCs w:val="22"/>
          <w:lang w:val="fr-CA"/>
        </w:rPr>
        <w:t xml:space="preserve"> de </w:t>
      </w:r>
      <w:r w:rsidR="009E1833">
        <w:rPr>
          <w:rFonts w:cs="Times New Roman"/>
          <w:kern w:val="22"/>
          <w:szCs w:val="22"/>
          <w:lang w:val="fr-CA"/>
        </w:rPr>
        <w:t xml:space="preserve">la </w:t>
      </w:r>
      <w:r w:rsidRPr="0051033B">
        <w:rPr>
          <w:rFonts w:cs="Times New Roman"/>
          <w:kern w:val="22"/>
          <w:szCs w:val="22"/>
          <w:lang w:val="fr-CA"/>
        </w:rPr>
        <w:t xml:space="preserve">FEM-7 </w:t>
      </w:r>
      <w:r w:rsidR="00BB55BF" w:rsidRPr="0051033B">
        <w:rPr>
          <w:rFonts w:cs="Times New Roman"/>
          <w:kern w:val="22"/>
          <w:szCs w:val="22"/>
          <w:lang w:val="fr-CA"/>
        </w:rPr>
        <w:t>proposent différentes occasions de financement de projets dans ces domaines, par exemple</w:t>
      </w:r>
      <w:r w:rsidR="009E1833">
        <w:rPr>
          <w:rFonts w:cs="Times New Roman"/>
          <w:kern w:val="22"/>
          <w:szCs w:val="22"/>
          <w:lang w:val="fr-CA"/>
        </w:rPr>
        <w:t> :</w:t>
      </w:r>
    </w:p>
    <w:p w:rsidR="00273A99" w:rsidRPr="0051033B" w:rsidRDefault="00BB55BF"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 xml:space="preserve">Restauration des écosystèmes : Systèmes alimentaires, </w:t>
      </w:r>
      <w:r w:rsidRPr="0051033B">
        <w:rPr>
          <w:rFonts w:eastAsia="Times New Roman" w:cs="Times New Roman"/>
          <w:kern w:val="22"/>
          <w:szCs w:val="22"/>
          <w:lang w:val="fr-CA"/>
        </w:rPr>
        <w:t>utilisation</w:t>
      </w:r>
      <w:r w:rsidRPr="0051033B">
        <w:rPr>
          <w:rFonts w:eastAsia="Malgun Gothic" w:cs="Times New Roman"/>
          <w:kern w:val="22"/>
          <w:szCs w:val="22"/>
          <w:lang w:val="fr-CA"/>
        </w:rPr>
        <w:t xml:space="preserve"> des terres et programme d’impact sur la restauration</w:t>
      </w:r>
      <w:r w:rsidR="008A144D" w:rsidRPr="0051033B">
        <w:rPr>
          <w:rFonts w:eastAsia="Malgun Gothic" w:cs="Times New Roman"/>
          <w:kern w:val="22"/>
          <w:szCs w:val="22"/>
          <w:lang w:val="fr-CA"/>
        </w:rPr>
        <w:t>;</w:t>
      </w:r>
    </w:p>
    <w:p w:rsidR="00273A99" w:rsidRPr="0051033B" w:rsidRDefault="00BB55BF"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 xml:space="preserve">Plan stratégique : Activités </w:t>
      </w:r>
      <w:r w:rsidR="009E1833">
        <w:rPr>
          <w:rFonts w:eastAsia="Malgun Gothic" w:cs="Times New Roman"/>
          <w:kern w:val="22"/>
          <w:szCs w:val="22"/>
          <w:lang w:val="fr-CA"/>
        </w:rPr>
        <w:t>de facilitation</w:t>
      </w:r>
      <w:r w:rsidR="008A144D" w:rsidRPr="0051033B">
        <w:rPr>
          <w:rFonts w:eastAsia="Malgun Gothic" w:cs="Times New Roman"/>
          <w:kern w:val="22"/>
          <w:szCs w:val="22"/>
          <w:lang w:val="fr-CA"/>
        </w:rPr>
        <w:t>;</w:t>
      </w:r>
    </w:p>
    <w:p w:rsidR="00273A99" w:rsidRPr="0051033B" w:rsidRDefault="00350407"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Pr>
          <w:rFonts w:eastAsia="Malgun Gothic" w:cs="Times New Roman"/>
          <w:kern w:val="22"/>
          <w:szCs w:val="22"/>
          <w:lang w:val="fr-CA"/>
        </w:rPr>
        <w:t>Objectifs 11 et 12 d</w:t>
      </w:r>
      <w:r w:rsidR="00BB55BF" w:rsidRPr="0051033B">
        <w:rPr>
          <w:rFonts w:eastAsia="Malgun Gothic" w:cs="Times New Roman"/>
          <w:kern w:val="22"/>
          <w:szCs w:val="22"/>
          <w:lang w:val="fr-CA"/>
        </w:rPr>
        <w:t>’Aichi : Domaine mondial des aires protégées, programme mondial de vie sauvage</w:t>
      </w:r>
      <w:r w:rsidR="008A144D" w:rsidRPr="0051033B">
        <w:rPr>
          <w:rFonts w:eastAsia="Malgun Gothic" w:cs="Times New Roman"/>
          <w:kern w:val="22"/>
          <w:szCs w:val="22"/>
          <w:lang w:val="fr-CA"/>
        </w:rPr>
        <w:t>;</w:t>
      </w:r>
    </w:p>
    <w:p w:rsidR="00273A99" w:rsidRPr="0051033B" w:rsidRDefault="00BB55BF"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 xml:space="preserve">Sixième rapport </w:t>
      </w:r>
      <w:r w:rsidRPr="0051033B">
        <w:rPr>
          <w:rFonts w:eastAsia="Times New Roman" w:cs="Times New Roman"/>
          <w:kern w:val="22"/>
          <w:szCs w:val="22"/>
          <w:lang w:val="fr-CA"/>
        </w:rPr>
        <w:t>national</w:t>
      </w:r>
      <w:r w:rsidRPr="0051033B">
        <w:rPr>
          <w:rFonts w:eastAsia="Malgun Gothic" w:cs="Times New Roman"/>
          <w:kern w:val="22"/>
          <w:szCs w:val="22"/>
          <w:lang w:val="fr-CA"/>
        </w:rPr>
        <w:t xml:space="preserve"> : Activités </w:t>
      </w:r>
      <w:r w:rsidR="00350407">
        <w:rPr>
          <w:rFonts w:eastAsia="Malgun Gothic" w:cs="Times New Roman"/>
          <w:kern w:val="22"/>
          <w:szCs w:val="22"/>
          <w:lang w:val="fr-CA"/>
        </w:rPr>
        <w:t>de facilitation</w:t>
      </w:r>
      <w:r w:rsidR="008A144D" w:rsidRPr="0051033B">
        <w:rPr>
          <w:rFonts w:eastAsia="Malgun Gothic" w:cs="Times New Roman"/>
          <w:kern w:val="22"/>
          <w:szCs w:val="22"/>
          <w:lang w:val="fr-CA"/>
        </w:rPr>
        <w:t>;</w:t>
      </w:r>
    </w:p>
    <w:p w:rsidR="00273A99" w:rsidRPr="0051033B" w:rsidRDefault="00BB55BF"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 xml:space="preserve">Intégration intersectorielle : </w:t>
      </w:r>
      <w:r w:rsidR="008C73F0" w:rsidRPr="0051033B">
        <w:rPr>
          <w:rFonts w:eastAsia="Malgun Gothic" w:cs="Times New Roman"/>
          <w:kern w:val="22"/>
          <w:szCs w:val="22"/>
          <w:lang w:val="fr-CA"/>
        </w:rPr>
        <w:t>Intégration de la diversité biologique dans les secteurs prioritaires, programme d’impact et capital naturel</w:t>
      </w:r>
      <w:r w:rsidR="008A144D" w:rsidRPr="0051033B">
        <w:rPr>
          <w:rFonts w:eastAsia="Malgun Gothic" w:cs="Times New Roman"/>
          <w:kern w:val="22"/>
          <w:szCs w:val="22"/>
          <w:lang w:val="fr-CA"/>
        </w:rPr>
        <w:t>;</w:t>
      </w:r>
    </w:p>
    <w:p w:rsidR="00273A99" w:rsidRPr="0051033B" w:rsidRDefault="008C73F0"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Connaissances traditionnelles : Conservation intégrée</w:t>
      </w:r>
      <w:r w:rsidR="008A144D" w:rsidRPr="0051033B">
        <w:rPr>
          <w:rFonts w:eastAsia="Malgun Gothic" w:cs="Times New Roman"/>
          <w:kern w:val="22"/>
          <w:szCs w:val="22"/>
          <w:lang w:val="fr-CA"/>
        </w:rPr>
        <w:t>;</w:t>
      </w:r>
    </w:p>
    <w:p w:rsidR="00273A99" w:rsidRPr="0051033B" w:rsidRDefault="008C73F0" w:rsidP="00E733CD">
      <w:pPr>
        <w:pStyle w:val="Para1"/>
        <w:numPr>
          <w:ilvl w:val="0"/>
          <w:numId w:val="23"/>
        </w:numPr>
        <w:suppressLineNumbers/>
        <w:suppressAutoHyphens/>
        <w:kinsoku w:val="0"/>
        <w:overflowPunct w:val="0"/>
        <w:autoSpaceDE w:val="0"/>
        <w:autoSpaceDN w:val="0"/>
        <w:adjustRightInd w:val="0"/>
        <w:snapToGrid w:val="0"/>
        <w:spacing w:after="0"/>
        <w:ind w:left="1080"/>
        <w:rPr>
          <w:rFonts w:eastAsia="Malgun Gothic" w:cs="Times New Roman"/>
          <w:kern w:val="22"/>
          <w:szCs w:val="22"/>
          <w:lang w:val="fr-CA"/>
        </w:rPr>
      </w:pPr>
      <w:r w:rsidRPr="0051033B">
        <w:rPr>
          <w:rFonts w:eastAsia="Malgun Gothic" w:cs="Times New Roman"/>
          <w:kern w:val="22"/>
          <w:szCs w:val="22"/>
          <w:lang w:val="fr-CA"/>
        </w:rPr>
        <w:t>Protocole de Cartagena sur la prévention des risques biotechnologiques : Programme de mise en œuvre</w:t>
      </w:r>
      <w:r w:rsidR="008A144D" w:rsidRPr="0051033B">
        <w:rPr>
          <w:rFonts w:eastAsia="Malgun Gothic" w:cs="Times New Roman"/>
          <w:kern w:val="22"/>
          <w:szCs w:val="22"/>
          <w:lang w:val="fr-CA"/>
        </w:rPr>
        <w:t>;</w:t>
      </w:r>
    </w:p>
    <w:p w:rsidR="00273A99" w:rsidRPr="0051033B" w:rsidRDefault="008C73F0" w:rsidP="00E733CD">
      <w:pPr>
        <w:pStyle w:val="Para1"/>
        <w:numPr>
          <w:ilvl w:val="0"/>
          <w:numId w:val="23"/>
        </w:numPr>
        <w:suppressLineNumbers/>
        <w:suppressAutoHyphens/>
        <w:kinsoku w:val="0"/>
        <w:overflowPunct w:val="0"/>
        <w:autoSpaceDE w:val="0"/>
        <w:autoSpaceDN w:val="0"/>
        <w:adjustRightInd w:val="0"/>
        <w:snapToGrid w:val="0"/>
        <w:ind w:left="1080"/>
        <w:rPr>
          <w:rFonts w:eastAsia="Malgun Gothic" w:cs="Times New Roman"/>
          <w:kern w:val="22"/>
          <w:szCs w:val="22"/>
          <w:lang w:val="fr-CA"/>
        </w:rPr>
      </w:pPr>
      <w:r w:rsidRPr="0051033B">
        <w:rPr>
          <w:rFonts w:eastAsia="Malgun Gothic" w:cs="Times New Roman"/>
          <w:kern w:val="22"/>
          <w:szCs w:val="22"/>
          <w:lang w:val="fr-CA"/>
        </w:rPr>
        <w:t>Protocole de Nagoya sur l’accès et le partage des avantages : Programme de mise en œuvre</w:t>
      </w:r>
      <w:r w:rsidR="008A144D" w:rsidRPr="0051033B">
        <w:rPr>
          <w:rFonts w:eastAsia="Malgun Gothic" w:cs="Times New Roman"/>
          <w:kern w:val="22"/>
          <w:szCs w:val="22"/>
          <w:lang w:val="fr-CA"/>
        </w:rPr>
        <w:t>;</w:t>
      </w:r>
    </w:p>
    <w:p w:rsidR="00273A99" w:rsidRPr="0051033B" w:rsidRDefault="00BC1B79" w:rsidP="00E733CD">
      <w:pPr>
        <w:pStyle w:val="Titre2"/>
        <w:suppressLineNumbers/>
        <w:suppressAutoHyphens/>
        <w:kinsoku w:val="0"/>
        <w:overflowPunct w:val="0"/>
        <w:autoSpaceDE w:val="0"/>
        <w:autoSpaceDN w:val="0"/>
        <w:adjustRightInd w:val="0"/>
        <w:snapToGrid w:val="0"/>
        <w:rPr>
          <w:rFonts w:cs="Times New Roman"/>
          <w:snapToGrid w:val="0"/>
          <w:kern w:val="22"/>
          <w:szCs w:val="22"/>
          <w:lang w:val="fr-CA"/>
        </w:rPr>
      </w:pPr>
      <w:r w:rsidRPr="0051033B">
        <w:rPr>
          <w:rFonts w:cs="Times New Roman"/>
          <w:snapToGrid w:val="0"/>
          <w:kern w:val="22"/>
          <w:szCs w:val="22"/>
          <w:lang w:val="fr-CA"/>
        </w:rPr>
        <w:t>B.</w:t>
      </w:r>
      <w:r w:rsidRPr="0051033B">
        <w:rPr>
          <w:rFonts w:cs="Times New Roman"/>
          <w:snapToGrid w:val="0"/>
          <w:kern w:val="22"/>
          <w:szCs w:val="22"/>
          <w:lang w:val="fr-CA"/>
        </w:rPr>
        <w:tab/>
      </w:r>
      <w:r w:rsidR="00273038" w:rsidRPr="0051033B">
        <w:rPr>
          <w:rFonts w:cs="Times New Roman"/>
          <w:snapToGrid w:val="0"/>
          <w:kern w:val="22"/>
          <w:szCs w:val="22"/>
          <w:lang w:val="fr-CA"/>
        </w:rPr>
        <w:t>Futur développement des orientations</w:t>
      </w:r>
    </w:p>
    <w:p w:rsidR="00576E4E" w:rsidRPr="00E76622" w:rsidRDefault="00273038"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sidRPr="0051033B">
        <w:rPr>
          <w:rFonts w:cs="Times New Roman"/>
          <w:kern w:val="22"/>
          <w:szCs w:val="22"/>
          <w:lang w:val="fr-CA"/>
        </w:rPr>
        <w:t>Les orientations données par la Conférence des Parties consiste</w:t>
      </w:r>
      <w:r w:rsidR="00D84503" w:rsidRPr="0051033B">
        <w:rPr>
          <w:rFonts w:cs="Times New Roman"/>
          <w:kern w:val="22"/>
          <w:szCs w:val="22"/>
          <w:lang w:val="fr-CA"/>
        </w:rPr>
        <w:t>nt</w:t>
      </w:r>
      <w:r w:rsidRPr="0051033B">
        <w:rPr>
          <w:rFonts w:cs="Times New Roman"/>
          <w:kern w:val="22"/>
          <w:szCs w:val="22"/>
          <w:lang w:val="fr-CA"/>
        </w:rPr>
        <w:t xml:space="preserve"> en un regroupement des orientations supplémentaires existantes et un cadre quadriennal des priorités de programme </w:t>
      </w:r>
      <w:r w:rsidR="00D84503" w:rsidRPr="0051033B">
        <w:rPr>
          <w:rFonts w:cs="Times New Roman"/>
          <w:kern w:val="22"/>
          <w:szCs w:val="22"/>
          <w:lang w:val="fr-CA"/>
        </w:rPr>
        <w:t>qui coïncide</w:t>
      </w:r>
      <w:r w:rsidRPr="0051033B">
        <w:rPr>
          <w:rFonts w:cs="Times New Roman"/>
          <w:kern w:val="22"/>
          <w:szCs w:val="22"/>
          <w:lang w:val="fr-CA"/>
        </w:rPr>
        <w:t xml:space="preserve"> avec le cycle de reconstitution du fonds d’affectation spéciale du FEM. </w:t>
      </w:r>
      <w:r w:rsidR="001B4541" w:rsidRPr="0051033B">
        <w:rPr>
          <w:rFonts w:cs="Times New Roman"/>
          <w:kern w:val="22"/>
          <w:szCs w:val="22"/>
          <w:lang w:val="fr-CA"/>
        </w:rPr>
        <w:t>Bien que le développement du premier cadre quadriennal axé sur</w:t>
      </w:r>
      <w:r w:rsidR="003911A8">
        <w:rPr>
          <w:rFonts w:cs="Times New Roman"/>
          <w:kern w:val="22"/>
          <w:szCs w:val="22"/>
          <w:lang w:val="fr-CA"/>
        </w:rPr>
        <w:t xml:space="preserve"> les résultats des priorités de programme</w:t>
      </w:r>
      <w:r w:rsidR="001B4541" w:rsidRPr="0051033B">
        <w:rPr>
          <w:rFonts w:cs="Times New Roman"/>
          <w:kern w:val="22"/>
          <w:szCs w:val="22"/>
          <w:lang w:val="fr-CA"/>
        </w:rPr>
        <w:t xml:space="preserve">, développé pour couvrir la période de </w:t>
      </w:r>
      <w:r w:rsidR="003911A8">
        <w:rPr>
          <w:rFonts w:cs="Times New Roman"/>
          <w:kern w:val="22"/>
          <w:szCs w:val="22"/>
          <w:lang w:val="fr-CA"/>
        </w:rPr>
        <w:t xml:space="preserve">la </w:t>
      </w:r>
      <w:r w:rsidR="001B4541" w:rsidRPr="0051033B">
        <w:rPr>
          <w:rFonts w:cs="Times New Roman"/>
          <w:kern w:val="22"/>
          <w:szCs w:val="22"/>
          <w:lang w:val="fr-CA"/>
        </w:rPr>
        <w:t xml:space="preserve">FEM-5 (2010-2014), ait précédé l’adoption du Plan stratégique 2011-2020 pour la diversité biologique en 2010, les deux cadres quadriennaux suivants ont suivi une logique </w:t>
      </w:r>
      <w:r w:rsidR="00D84503" w:rsidRPr="0051033B">
        <w:rPr>
          <w:rFonts w:cs="Times New Roman"/>
          <w:kern w:val="22"/>
          <w:szCs w:val="22"/>
          <w:lang w:val="fr-CA"/>
        </w:rPr>
        <w:t>d’ordonnancement</w:t>
      </w:r>
      <w:r w:rsidR="001B4541" w:rsidRPr="0051033B">
        <w:rPr>
          <w:rFonts w:cs="Times New Roman"/>
          <w:kern w:val="22"/>
          <w:szCs w:val="22"/>
          <w:lang w:val="fr-CA"/>
        </w:rPr>
        <w:t xml:space="preserve"> stratégique, en ce sens que le cadre quadriennal axé sur les résultats</w:t>
      </w:r>
      <w:r w:rsidR="00B85ABF" w:rsidRPr="0051033B">
        <w:rPr>
          <w:rFonts w:cs="Times New Roman"/>
          <w:kern w:val="22"/>
          <w:szCs w:val="22"/>
          <w:lang w:val="fr-CA"/>
        </w:rPr>
        <w:t xml:space="preserve"> des </w:t>
      </w:r>
      <w:r w:rsidR="003911A8">
        <w:rPr>
          <w:rFonts w:cs="Times New Roman"/>
          <w:kern w:val="22"/>
          <w:szCs w:val="22"/>
          <w:lang w:val="fr-CA"/>
        </w:rPr>
        <w:t>priorités de programme de la</w:t>
      </w:r>
      <w:r w:rsidR="00D84503" w:rsidRPr="0051033B">
        <w:rPr>
          <w:rFonts w:cs="Times New Roman"/>
          <w:kern w:val="22"/>
          <w:szCs w:val="22"/>
          <w:lang w:val="fr-CA"/>
        </w:rPr>
        <w:t xml:space="preserve"> FEM-6 offrai</w:t>
      </w:r>
      <w:r w:rsidR="00B85ABF" w:rsidRPr="0051033B">
        <w:rPr>
          <w:rFonts w:cs="Times New Roman"/>
          <w:kern w:val="22"/>
          <w:szCs w:val="22"/>
          <w:lang w:val="fr-CA"/>
        </w:rPr>
        <w:t xml:space="preserve">t une vaste orientation pour mettre en œuvre </w:t>
      </w:r>
      <w:r w:rsidR="00D84503" w:rsidRPr="0051033B">
        <w:rPr>
          <w:rFonts w:cs="Times New Roman"/>
          <w:kern w:val="22"/>
          <w:szCs w:val="22"/>
          <w:lang w:val="fr-CA"/>
        </w:rPr>
        <w:t>les récents plans strat</w:t>
      </w:r>
      <w:r w:rsidR="00B85ABF" w:rsidRPr="0051033B">
        <w:rPr>
          <w:rFonts w:cs="Times New Roman"/>
          <w:kern w:val="22"/>
          <w:szCs w:val="22"/>
          <w:lang w:val="fr-CA"/>
        </w:rPr>
        <w:t>égiques adoptés au</w:t>
      </w:r>
      <w:r w:rsidR="00D84503" w:rsidRPr="0051033B">
        <w:rPr>
          <w:rFonts w:cs="Times New Roman"/>
          <w:kern w:val="22"/>
          <w:szCs w:val="22"/>
          <w:lang w:val="fr-CA"/>
        </w:rPr>
        <w:t xml:space="preserve"> titre </w:t>
      </w:r>
      <w:r w:rsidR="00B85ABF" w:rsidRPr="0051033B">
        <w:rPr>
          <w:rFonts w:cs="Times New Roman"/>
          <w:kern w:val="22"/>
          <w:szCs w:val="22"/>
          <w:lang w:val="fr-CA"/>
        </w:rPr>
        <w:t xml:space="preserve">de la Convention et du Protocole de Cartagena, ainsi qu’une orientation spécifique développée au titre du Protocole de Nagoya, tandis que le cadre </w:t>
      </w:r>
      <w:r w:rsidR="00F416FD" w:rsidRPr="0051033B">
        <w:rPr>
          <w:rFonts w:cs="Times New Roman"/>
          <w:kern w:val="22"/>
          <w:szCs w:val="22"/>
          <w:lang w:val="fr-CA"/>
        </w:rPr>
        <w:t>quadriennal axé sur l</w:t>
      </w:r>
      <w:r w:rsidR="003911A8">
        <w:rPr>
          <w:rFonts w:cs="Times New Roman"/>
          <w:kern w:val="22"/>
          <w:szCs w:val="22"/>
          <w:lang w:val="fr-CA"/>
        </w:rPr>
        <w:t>es résultats des priorités de programme de la</w:t>
      </w:r>
      <w:r w:rsidR="00B85ABF" w:rsidRPr="0051033B">
        <w:rPr>
          <w:rFonts w:cs="Times New Roman"/>
          <w:kern w:val="22"/>
          <w:szCs w:val="22"/>
          <w:lang w:val="fr-CA"/>
        </w:rPr>
        <w:t xml:space="preserve"> FEM-7 mettait en évidence les secteurs dans lesquels un </w:t>
      </w:r>
      <w:r w:rsidR="00F416FD" w:rsidRPr="0051033B">
        <w:rPr>
          <w:rFonts w:cs="Times New Roman"/>
          <w:kern w:val="22"/>
          <w:szCs w:val="22"/>
          <w:lang w:val="fr-CA"/>
        </w:rPr>
        <w:t>financement</w:t>
      </w:r>
      <w:r w:rsidR="00B85ABF" w:rsidRPr="0051033B">
        <w:rPr>
          <w:rFonts w:cs="Times New Roman"/>
          <w:kern w:val="22"/>
          <w:szCs w:val="22"/>
          <w:lang w:val="fr-CA"/>
        </w:rPr>
        <w:t xml:space="preserve"> supplémentaire du FEM fournirait le soutien nécessaire pour réaliser</w:t>
      </w:r>
      <w:r w:rsidR="00F416FD" w:rsidRPr="0051033B">
        <w:rPr>
          <w:rFonts w:cs="Times New Roman"/>
          <w:kern w:val="22"/>
          <w:szCs w:val="22"/>
          <w:lang w:val="fr-CA"/>
        </w:rPr>
        <w:t xml:space="preserve"> </w:t>
      </w:r>
      <w:r w:rsidR="00B85ABF" w:rsidRPr="0051033B">
        <w:rPr>
          <w:rFonts w:cs="Times New Roman"/>
          <w:kern w:val="22"/>
          <w:szCs w:val="22"/>
          <w:lang w:val="fr-CA"/>
        </w:rPr>
        <w:t>le plan stratégique en</w:t>
      </w:r>
      <w:r w:rsidR="00B85ABF">
        <w:rPr>
          <w:rFonts w:cs="Times New Roman"/>
          <w:kern w:val="22"/>
          <w:szCs w:val="22"/>
          <w:lang w:val="fr-CA"/>
        </w:rPr>
        <w:t xml:space="preserve"> cours </w:t>
      </w:r>
      <w:r w:rsidR="00C0022B">
        <w:rPr>
          <w:rFonts w:cs="Times New Roman"/>
          <w:kern w:val="22"/>
          <w:szCs w:val="22"/>
          <w:lang w:val="fr-CA"/>
        </w:rPr>
        <w:t>pendant les</w:t>
      </w:r>
      <w:r w:rsidR="00B85ABF">
        <w:rPr>
          <w:rFonts w:cs="Times New Roman"/>
          <w:kern w:val="22"/>
          <w:szCs w:val="22"/>
          <w:lang w:val="fr-CA"/>
        </w:rPr>
        <w:t xml:space="preserve"> années r</w:t>
      </w:r>
      <w:r w:rsidR="00F416FD">
        <w:rPr>
          <w:rFonts w:cs="Times New Roman"/>
          <w:kern w:val="22"/>
          <w:szCs w:val="22"/>
          <w:lang w:val="fr-CA"/>
        </w:rPr>
        <w:t>e</w:t>
      </w:r>
      <w:r w:rsidR="00B85ABF">
        <w:rPr>
          <w:rFonts w:cs="Times New Roman"/>
          <w:kern w:val="22"/>
          <w:szCs w:val="22"/>
          <w:lang w:val="fr-CA"/>
        </w:rPr>
        <w:t>stantes, ainsi que le soutien pr</w:t>
      </w:r>
      <w:r w:rsidR="00F416FD">
        <w:rPr>
          <w:rFonts w:cs="Times New Roman"/>
          <w:kern w:val="22"/>
          <w:szCs w:val="22"/>
          <w:lang w:val="fr-CA"/>
        </w:rPr>
        <w:t>i</w:t>
      </w:r>
      <w:r w:rsidR="00B85ABF">
        <w:rPr>
          <w:rFonts w:cs="Times New Roman"/>
          <w:kern w:val="22"/>
          <w:szCs w:val="22"/>
          <w:lang w:val="fr-CA"/>
        </w:rPr>
        <w:t xml:space="preserve">orisé pour les </w:t>
      </w:r>
      <w:r w:rsidR="00F416FD">
        <w:rPr>
          <w:rFonts w:cs="Times New Roman"/>
          <w:kern w:val="22"/>
          <w:szCs w:val="22"/>
          <w:lang w:val="fr-CA"/>
        </w:rPr>
        <w:t>principales</w:t>
      </w:r>
      <w:r w:rsidR="00B85ABF">
        <w:rPr>
          <w:rFonts w:cs="Times New Roman"/>
          <w:kern w:val="22"/>
          <w:szCs w:val="22"/>
          <w:lang w:val="fr-CA"/>
        </w:rPr>
        <w:t xml:space="preserve"> activités </w:t>
      </w:r>
      <w:r w:rsidR="003911A8">
        <w:rPr>
          <w:rFonts w:cs="Times New Roman"/>
          <w:kern w:val="22"/>
          <w:szCs w:val="22"/>
          <w:lang w:val="fr-CA"/>
        </w:rPr>
        <w:t>de facilitation</w:t>
      </w:r>
      <w:r w:rsidR="00F416FD">
        <w:rPr>
          <w:rFonts w:cs="Times New Roman"/>
          <w:kern w:val="22"/>
          <w:szCs w:val="22"/>
          <w:lang w:val="fr-CA"/>
        </w:rPr>
        <w:t>, surtout celles qui deviendront importantes</w:t>
      </w:r>
      <w:r w:rsidR="00B85ABF">
        <w:rPr>
          <w:rFonts w:cs="Times New Roman"/>
          <w:kern w:val="22"/>
          <w:szCs w:val="22"/>
          <w:lang w:val="fr-CA"/>
        </w:rPr>
        <w:t xml:space="preserve"> pour la période de l’</w:t>
      </w:r>
      <w:r w:rsidR="00167F1E">
        <w:rPr>
          <w:rFonts w:cs="Times New Roman"/>
          <w:kern w:val="22"/>
          <w:szCs w:val="22"/>
          <w:lang w:val="fr-CA"/>
        </w:rPr>
        <w:t>aprè</w:t>
      </w:r>
      <w:r w:rsidR="00B85ABF">
        <w:rPr>
          <w:rFonts w:cs="Times New Roman"/>
          <w:kern w:val="22"/>
          <w:szCs w:val="22"/>
          <w:lang w:val="fr-CA"/>
        </w:rPr>
        <w:t xml:space="preserve">s-2020. </w:t>
      </w:r>
      <w:r w:rsidR="00F416FD">
        <w:rPr>
          <w:rFonts w:cs="Times New Roman"/>
          <w:kern w:val="22"/>
          <w:szCs w:val="22"/>
          <w:lang w:val="fr-CA"/>
        </w:rPr>
        <w:t xml:space="preserve">Les deux cadres ont </w:t>
      </w:r>
      <w:r w:rsidR="00861D05">
        <w:rPr>
          <w:rFonts w:cs="Times New Roman"/>
          <w:kern w:val="22"/>
          <w:szCs w:val="22"/>
          <w:lang w:val="fr-CA"/>
        </w:rPr>
        <w:t xml:space="preserve">toutefois </w:t>
      </w:r>
      <w:r w:rsidR="00F416FD">
        <w:rPr>
          <w:rFonts w:cs="Times New Roman"/>
          <w:kern w:val="22"/>
          <w:szCs w:val="22"/>
          <w:lang w:val="fr-CA"/>
        </w:rPr>
        <w:t xml:space="preserve">été élaborés de manière indépendante et, de ce point de vue, l’ordonnancement pourraient être renforcé et intégré au titre de l’accord de succession au plan </w:t>
      </w:r>
      <w:r w:rsidR="00F416FD">
        <w:rPr>
          <w:rFonts w:cs="Times New Roman"/>
          <w:kern w:val="22"/>
          <w:szCs w:val="22"/>
          <w:lang w:val="fr-CA"/>
        </w:rPr>
        <w:lastRenderedPageBreak/>
        <w:t>stratégi</w:t>
      </w:r>
      <w:r w:rsidR="00167F1E">
        <w:rPr>
          <w:rFonts w:cs="Times New Roman"/>
          <w:kern w:val="22"/>
          <w:szCs w:val="22"/>
          <w:lang w:val="fr-CA"/>
        </w:rPr>
        <w:t>qu</w:t>
      </w:r>
      <w:r w:rsidR="00F416FD">
        <w:rPr>
          <w:rFonts w:cs="Times New Roman"/>
          <w:kern w:val="22"/>
          <w:szCs w:val="22"/>
          <w:lang w:val="fr-CA"/>
        </w:rPr>
        <w:t>e actuel, établissant idéalement la carte de route du financement de la mise en œuvre du cadre de succession pour la prochaine décennie. Parallèlement, des occasions d’amélioration du cadre quadriennal des priorités d</w:t>
      </w:r>
      <w:r w:rsidR="00861D05">
        <w:rPr>
          <w:rFonts w:cs="Times New Roman"/>
          <w:kern w:val="22"/>
          <w:szCs w:val="22"/>
          <w:lang w:val="fr-CA"/>
        </w:rPr>
        <w:t>e</w:t>
      </w:r>
      <w:r w:rsidR="00F416FD">
        <w:rPr>
          <w:rFonts w:cs="Times New Roman"/>
          <w:kern w:val="22"/>
          <w:szCs w:val="22"/>
          <w:lang w:val="fr-CA"/>
        </w:rPr>
        <w:t xml:space="preserve"> programme pourraient être examinées.</w:t>
      </w:r>
    </w:p>
    <w:p w:rsidR="00D612B8" w:rsidRPr="00167F1E" w:rsidRDefault="006E2E54"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lang w:val="fr-CA"/>
        </w:rPr>
      </w:pPr>
      <w:r w:rsidRPr="00167F1E">
        <w:rPr>
          <w:rFonts w:eastAsia="Malgun Gothic" w:cs="Times New Roman"/>
          <w:snapToGrid w:val="0"/>
          <w:kern w:val="22"/>
          <w:szCs w:val="22"/>
          <w:lang w:val="fr-CA"/>
        </w:rPr>
        <w:t>II</w:t>
      </w:r>
      <w:r w:rsidR="00D612B8" w:rsidRPr="00167F1E">
        <w:rPr>
          <w:rFonts w:cs="Times New Roman"/>
          <w:snapToGrid w:val="0"/>
          <w:kern w:val="22"/>
          <w:szCs w:val="22"/>
          <w:lang w:val="fr-CA"/>
        </w:rPr>
        <w:t>.</w:t>
      </w:r>
      <w:r w:rsidR="00D612B8" w:rsidRPr="00167F1E">
        <w:rPr>
          <w:rFonts w:cs="Times New Roman"/>
          <w:snapToGrid w:val="0"/>
          <w:kern w:val="22"/>
          <w:szCs w:val="22"/>
          <w:lang w:val="fr-CA"/>
        </w:rPr>
        <w:tab/>
      </w:r>
      <w:r w:rsidR="00167F1E">
        <w:rPr>
          <w:rFonts w:cs="Times New Roman"/>
          <w:snapToGrid w:val="0"/>
          <w:kern w:val="22"/>
          <w:szCs w:val="22"/>
          <w:lang w:val="fr-CA"/>
        </w:rPr>
        <w:t>RAPPORTS DU CONSEIL DU FONDS POUR L’ENVIRONNEMENT MONDIAL</w:t>
      </w:r>
    </w:p>
    <w:p w:rsidR="00724468" w:rsidRPr="00167F1E" w:rsidRDefault="00167F1E"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Le Mémorandum d’accord adopté à la décision III/8 </w:t>
      </w:r>
      <w:r w:rsidR="00647DB1">
        <w:rPr>
          <w:rFonts w:cs="Times New Roman"/>
          <w:kern w:val="22"/>
          <w:szCs w:val="22"/>
          <w:lang w:val="fr-CA"/>
        </w:rPr>
        <w:t>précise</w:t>
      </w:r>
      <w:r>
        <w:rPr>
          <w:rFonts w:cs="Times New Roman"/>
          <w:kern w:val="22"/>
          <w:szCs w:val="22"/>
          <w:lang w:val="fr-CA"/>
        </w:rPr>
        <w:t xml:space="preserve"> que les rapports doivent fournir de l’information spécifique sur la façon dont le </w:t>
      </w:r>
      <w:r w:rsidR="00647DB1">
        <w:rPr>
          <w:rFonts w:cs="Times New Roman"/>
          <w:kern w:val="22"/>
          <w:szCs w:val="22"/>
          <w:lang w:val="fr-CA"/>
        </w:rPr>
        <w:t>Conseil</w:t>
      </w:r>
      <w:r>
        <w:rPr>
          <w:rFonts w:cs="Times New Roman"/>
          <w:kern w:val="22"/>
          <w:szCs w:val="22"/>
          <w:lang w:val="fr-CA"/>
        </w:rPr>
        <w:t>, son Secrétariat et ses agences d’exécution ont appliqué les orientations et mis en œuvre les politiques, stratégies</w:t>
      </w:r>
      <w:r w:rsidR="00647DB1">
        <w:rPr>
          <w:rFonts w:cs="Times New Roman"/>
          <w:kern w:val="22"/>
          <w:szCs w:val="22"/>
          <w:lang w:val="fr-CA"/>
        </w:rPr>
        <w:t>,</w:t>
      </w:r>
      <w:r>
        <w:rPr>
          <w:rFonts w:cs="Times New Roman"/>
          <w:kern w:val="22"/>
          <w:szCs w:val="22"/>
          <w:lang w:val="fr-CA"/>
        </w:rPr>
        <w:t xml:space="preserve"> priorités de programme et critères d’admissibilité déterminés par la Conférence des Parties</w:t>
      </w:r>
      <w:r w:rsidR="00647DB1">
        <w:rPr>
          <w:rFonts w:cs="Times New Roman"/>
          <w:kern w:val="22"/>
          <w:szCs w:val="22"/>
          <w:lang w:val="fr-CA"/>
        </w:rPr>
        <w:t>,</w:t>
      </w:r>
      <w:r>
        <w:rPr>
          <w:rFonts w:cs="Times New Roman"/>
          <w:kern w:val="22"/>
          <w:szCs w:val="22"/>
          <w:lang w:val="fr-CA"/>
        </w:rPr>
        <w:t xml:space="preserve"> ainsi que toute autre décision de la Conférence des Parties communiquée au FEM au titre de l’article 21 de la Convention. </w:t>
      </w:r>
      <w:r w:rsidR="00944701">
        <w:rPr>
          <w:rFonts w:cs="Times New Roman"/>
          <w:kern w:val="22"/>
          <w:szCs w:val="22"/>
          <w:lang w:val="fr-CA"/>
        </w:rPr>
        <w:t xml:space="preserve">Le Conseil du FEM doit aussi faire rapport de ses activités de suivi et d’évaluation des projets dans le domaine d’intervention de la diversité biologique. La Conférence des Parties a décidé, à la décision XII/30, que le Fonds pour l’environnement mondial devrait mettre à </w:t>
      </w:r>
      <w:r w:rsidR="002F1B0B">
        <w:rPr>
          <w:rFonts w:cs="Times New Roman"/>
          <w:kern w:val="22"/>
          <w:szCs w:val="22"/>
          <w:lang w:val="fr-CA"/>
        </w:rPr>
        <w:t xml:space="preserve">la </w:t>
      </w:r>
      <w:r w:rsidR="00944701">
        <w:rPr>
          <w:rFonts w:cs="Times New Roman"/>
          <w:kern w:val="22"/>
          <w:szCs w:val="22"/>
          <w:lang w:val="fr-CA"/>
        </w:rPr>
        <w:t xml:space="preserve">disposition </w:t>
      </w:r>
      <w:r w:rsidR="002F1B0B">
        <w:rPr>
          <w:rFonts w:cs="Times New Roman"/>
          <w:kern w:val="22"/>
          <w:szCs w:val="22"/>
          <w:lang w:val="fr-CA"/>
        </w:rPr>
        <w:t xml:space="preserve">de </w:t>
      </w:r>
      <w:r w:rsidR="002F1B0B">
        <w:rPr>
          <w:rFonts w:cs="Times New Roman"/>
          <w:kern w:val="22"/>
          <w:szCs w:val="22"/>
          <w:lang w:val="fr-CA"/>
        </w:rPr>
        <w:t xml:space="preserve">l’Organe subsidiaire de mise en œuvre </w:t>
      </w:r>
      <w:r w:rsidR="00944701">
        <w:rPr>
          <w:rFonts w:cs="Times New Roman"/>
          <w:kern w:val="22"/>
          <w:szCs w:val="22"/>
          <w:lang w:val="fr-CA"/>
        </w:rPr>
        <w:t>un projet préliminaire de son rapport à la Conférence des Parties, portant surtout sur la réponse du Fonds pour l’environnement mondial aux orientations précédentes de la Conférence des Partie</w:t>
      </w:r>
      <w:r w:rsidR="002F1B0B">
        <w:rPr>
          <w:rFonts w:cs="Times New Roman"/>
          <w:kern w:val="22"/>
          <w:szCs w:val="22"/>
          <w:lang w:val="fr-CA"/>
        </w:rPr>
        <w:t>,</w:t>
      </w:r>
      <w:r w:rsidR="00944701">
        <w:rPr>
          <w:rFonts w:cs="Times New Roman"/>
          <w:kern w:val="22"/>
          <w:szCs w:val="22"/>
          <w:lang w:val="fr-CA"/>
        </w:rPr>
        <w:t xml:space="preserve"> avant la réunion de la Conférence des Parties à laquelle le rapport sera examiné à titre officiel, afin de favoriser l’examen efficace et opportun de l’information contenue dans le rapport</w:t>
      </w:r>
      <w:r w:rsidR="00F21307" w:rsidRPr="00167F1E">
        <w:rPr>
          <w:rFonts w:cs="Times New Roman"/>
          <w:kern w:val="22"/>
          <w:szCs w:val="22"/>
          <w:lang w:val="fr-CA"/>
        </w:rPr>
        <w:t>.</w:t>
      </w:r>
    </w:p>
    <w:p w:rsidR="00F73958" w:rsidRPr="00167F1E" w:rsidRDefault="003C6E3F"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L’annexe II à la décision XIII/21 présente un regroupement des demandes en lien avec le rapport du Conseil du FEM, à savoir : a) la soumission d’un projet préliminaire, portant surtout sur la réponse du Fonds pour l’environnement mondial aux orientations </w:t>
      </w:r>
      <w:r w:rsidR="002F1B0B">
        <w:rPr>
          <w:rFonts w:cs="Times New Roman"/>
          <w:kern w:val="22"/>
          <w:szCs w:val="22"/>
          <w:lang w:val="fr-CA"/>
        </w:rPr>
        <w:t>précédentes</w:t>
      </w:r>
      <w:r>
        <w:rPr>
          <w:rFonts w:cs="Times New Roman"/>
          <w:kern w:val="22"/>
          <w:szCs w:val="22"/>
          <w:lang w:val="fr-CA"/>
        </w:rPr>
        <w:t xml:space="preserve"> de la C</w:t>
      </w:r>
      <w:r w:rsidR="002F1B0B">
        <w:rPr>
          <w:rFonts w:cs="Times New Roman"/>
          <w:kern w:val="22"/>
          <w:szCs w:val="22"/>
          <w:lang w:val="fr-CA"/>
        </w:rPr>
        <w:t>onférence des Parties à l’Organ</w:t>
      </w:r>
      <w:r>
        <w:rPr>
          <w:rFonts w:cs="Times New Roman"/>
          <w:kern w:val="22"/>
          <w:szCs w:val="22"/>
          <w:lang w:val="fr-CA"/>
        </w:rPr>
        <w:t xml:space="preserve">e subsidiaire de mise en œuvre, b) </w:t>
      </w:r>
      <w:r w:rsidR="00ED09C5">
        <w:rPr>
          <w:rFonts w:cs="Times New Roman"/>
          <w:kern w:val="22"/>
          <w:szCs w:val="22"/>
          <w:lang w:val="fr-CA"/>
        </w:rPr>
        <w:t>l’information sur la mise en œuvre du cadre quadriennal axé su</w:t>
      </w:r>
      <w:r w:rsidR="003911A8">
        <w:rPr>
          <w:rFonts w:cs="Times New Roman"/>
          <w:kern w:val="22"/>
          <w:szCs w:val="22"/>
          <w:lang w:val="fr-CA"/>
        </w:rPr>
        <w:t>r les résultats des priorités de</w:t>
      </w:r>
      <w:r w:rsidR="00ED09C5">
        <w:rPr>
          <w:rFonts w:cs="Times New Roman"/>
          <w:kern w:val="22"/>
          <w:szCs w:val="22"/>
          <w:lang w:val="fr-CA"/>
        </w:rPr>
        <w:t xml:space="preserve"> programme et sa réponse aux éléments individuels,</w:t>
      </w:r>
      <w:r w:rsidR="00CA4661">
        <w:rPr>
          <w:rFonts w:cs="Times New Roman"/>
          <w:kern w:val="22"/>
          <w:szCs w:val="22"/>
          <w:lang w:val="fr-CA"/>
        </w:rPr>
        <w:t xml:space="preserve"> et</w:t>
      </w:r>
      <w:r w:rsidR="00ED09C5">
        <w:rPr>
          <w:rFonts w:cs="Times New Roman"/>
          <w:kern w:val="22"/>
          <w:szCs w:val="22"/>
          <w:lang w:val="fr-CA"/>
        </w:rPr>
        <w:t xml:space="preserve"> c) la réponse planifiée au rapport sur la détermination des exigences de financement. La décision XIII/21 contient également  plusieurs paragraphes offrant une orientation </w:t>
      </w:r>
      <w:r w:rsidR="00CA4661">
        <w:rPr>
          <w:rFonts w:cs="Times New Roman"/>
          <w:kern w:val="22"/>
          <w:szCs w:val="22"/>
          <w:lang w:val="fr-CA"/>
        </w:rPr>
        <w:t>précise</w:t>
      </w:r>
      <w:r w:rsidR="00ED09C5">
        <w:rPr>
          <w:rFonts w:cs="Times New Roman"/>
          <w:kern w:val="22"/>
          <w:szCs w:val="22"/>
          <w:lang w:val="fr-CA"/>
        </w:rPr>
        <w:t xml:space="preserve"> au FEM concernant les demandes d’information spécifique à inclure dans le rapport</w:t>
      </w:r>
      <w:r w:rsidR="00A828F2" w:rsidRPr="00167F1E">
        <w:rPr>
          <w:rFonts w:cs="Times New Roman"/>
          <w:kern w:val="22"/>
          <w:szCs w:val="22"/>
          <w:lang w:val="fr-CA"/>
        </w:rPr>
        <w:t>.</w:t>
      </w:r>
    </w:p>
    <w:p w:rsidR="00830DD4" w:rsidRPr="00167F1E" w:rsidRDefault="00ED09C5"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Le projet de rapport préliminaire du Fonds pour l’environnement mondial à la quatorzième </w:t>
      </w:r>
      <w:r w:rsidR="008D2871">
        <w:rPr>
          <w:rFonts w:cs="Times New Roman"/>
          <w:kern w:val="22"/>
          <w:szCs w:val="22"/>
          <w:lang w:val="fr-CA"/>
        </w:rPr>
        <w:t>réunion de la Conférence des Parties est présenté dans le documen</w:t>
      </w:r>
      <w:r w:rsidR="00CA4661">
        <w:rPr>
          <w:rFonts w:cs="Times New Roman"/>
          <w:kern w:val="22"/>
          <w:szCs w:val="22"/>
          <w:lang w:val="fr-CA"/>
        </w:rPr>
        <w:t>t CBD/</w:t>
      </w:r>
      <w:proofErr w:type="spellStart"/>
      <w:r w:rsidR="00CA4661">
        <w:rPr>
          <w:rFonts w:cs="Times New Roman"/>
          <w:kern w:val="22"/>
          <w:szCs w:val="22"/>
          <w:lang w:val="fr-CA"/>
        </w:rPr>
        <w:t>SBI</w:t>
      </w:r>
      <w:proofErr w:type="spellEnd"/>
      <w:r w:rsidR="00CA4661">
        <w:rPr>
          <w:rFonts w:cs="Times New Roman"/>
          <w:kern w:val="22"/>
          <w:szCs w:val="22"/>
          <w:lang w:val="fr-CA"/>
        </w:rPr>
        <w:t>/2/8/Add,1 aux fins d’e</w:t>
      </w:r>
      <w:r w:rsidR="008D2871">
        <w:rPr>
          <w:rFonts w:cs="Times New Roman"/>
          <w:kern w:val="22"/>
          <w:szCs w:val="22"/>
          <w:lang w:val="fr-CA"/>
        </w:rPr>
        <w:t>xamen par l’Organe subsidiaire. Les réponses du Conseil du FEM aux orientations de la décision XIII/21 sont présentées dans le tableau 1 de son rapport</w:t>
      </w:r>
      <w:r w:rsidR="00A828F2" w:rsidRPr="00167F1E">
        <w:rPr>
          <w:rFonts w:cs="Times New Roman"/>
          <w:kern w:val="22"/>
          <w:szCs w:val="22"/>
          <w:lang w:val="fr-CA"/>
        </w:rPr>
        <w:t>.</w:t>
      </w:r>
    </w:p>
    <w:p w:rsidR="00933415" w:rsidRPr="00AB2BD4" w:rsidRDefault="006E2E54" w:rsidP="00E733CD">
      <w:pPr>
        <w:pStyle w:val="Titre1"/>
        <w:suppressLineNumbers/>
        <w:tabs>
          <w:tab w:val="clear" w:pos="720"/>
          <w:tab w:val="left" w:pos="450"/>
        </w:tabs>
        <w:suppressAutoHyphens/>
        <w:kinsoku w:val="0"/>
        <w:overflowPunct w:val="0"/>
        <w:autoSpaceDE w:val="0"/>
        <w:autoSpaceDN w:val="0"/>
        <w:adjustRightInd w:val="0"/>
        <w:snapToGrid w:val="0"/>
        <w:spacing w:before="120"/>
        <w:rPr>
          <w:rFonts w:cs="Times New Roman"/>
          <w:snapToGrid w:val="0"/>
          <w:kern w:val="22"/>
          <w:szCs w:val="22"/>
          <w:lang w:val="fr-CA"/>
        </w:rPr>
      </w:pPr>
      <w:r w:rsidRPr="00AB2BD4">
        <w:rPr>
          <w:rFonts w:cs="Times New Roman"/>
          <w:snapToGrid w:val="0"/>
          <w:kern w:val="22"/>
          <w:szCs w:val="22"/>
          <w:lang w:val="fr-CA"/>
        </w:rPr>
        <w:t>III</w:t>
      </w:r>
      <w:r w:rsidR="0081660B" w:rsidRPr="00AB2BD4">
        <w:rPr>
          <w:rFonts w:cs="Times New Roman"/>
          <w:snapToGrid w:val="0"/>
          <w:kern w:val="22"/>
          <w:szCs w:val="22"/>
          <w:lang w:val="fr-CA"/>
        </w:rPr>
        <w:t>.</w:t>
      </w:r>
      <w:r w:rsidR="0081660B" w:rsidRPr="00AB2BD4">
        <w:rPr>
          <w:rFonts w:cs="Times New Roman"/>
          <w:snapToGrid w:val="0"/>
          <w:kern w:val="22"/>
          <w:szCs w:val="22"/>
          <w:lang w:val="fr-CA"/>
        </w:rPr>
        <w:tab/>
      </w:r>
      <w:r w:rsidR="003A7302">
        <w:rPr>
          <w:rFonts w:cs="Times New Roman"/>
          <w:snapToGrid w:val="0"/>
          <w:kern w:val="22"/>
          <w:szCs w:val="22"/>
          <w:lang w:val="fr-CA"/>
        </w:rPr>
        <w:t>SUIVI ET ÉVALUATION</w:t>
      </w:r>
    </w:p>
    <w:p w:rsidR="009264E6" w:rsidRPr="00AB2BD4" w:rsidRDefault="003A7302" w:rsidP="00E733CD">
      <w:pPr>
        <w:pStyle w:val="Titre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lang w:val="fr-CA"/>
        </w:rPr>
      </w:pPr>
      <w:r>
        <w:rPr>
          <w:rFonts w:cs="Times New Roman"/>
          <w:snapToGrid w:val="0"/>
          <w:kern w:val="22"/>
          <w:szCs w:val="22"/>
          <w:lang w:val="fr-CA"/>
        </w:rPr>
        <w:t>Cinquième examen de l’efficacité du mécanisme de financement</w:t>
      </w:r>
    </w:p>
    <w:p w:rsidR="00A36429" w:rsidRPr="00B9370B" w:rsidRDefault="003A7302" w:rsidP="00E733CD">
      <w:pPr>
        <w:numPr>
          <w:ilvl w:val="0"/>
          <w:numId w:val="14"/>
        </w:numPr>
        <w:suppressLineNumbers/>
        <w:suppressAutoHyphens/>
        <w:kinsoku w:val="0"/>
        <w:overflowPunct w:val="0"/>
        <w:autoSpaceDE w:val="0"/>
        <w:autoSpaceDN w:val="0"/>
        <w:adjustRightInd w:val="0"/>
        <w:snapToGrid w:val="0"/>
        <w:spacing w:after="120"/>
        <w:ind w:left="0" w:firstLine="0"/>
        <w:rPr>
          <w:rFonts w:cs="Times New Roman"/>
          <w:snapToGrid w:val="0"/>
          <w:kern w:val="22"/>
          <w:szCs w:val="22"/>
          <w:lang w:val="fr-CA"/>
        </w:rPr>
      </w:pPr>
      <w:r>
        <w:rPr>
          <w:rFonts w:cs="Times New Roman"/>
          <w:snapToGrid w:val="0"/>
          <w:kern w:val="22"/>
          <w:szCs w:val="22"/>
          <w:lang w:val="fr-CA"/>
        </w:rPr>
        <w:t xml:space="preserve">Dans la décision XIII/21, la Conférence des Parties demande à la Secrétaire exécutive d’assurer la mise en œuvre </w:t>
      </w:r>
      <w:r w:rsidR="006703B5">
        <w:rPr>
          <w:rFonts w:cs="Times New Roman"/>
          <w:snapToGrid w:val="0"/>
          <w:kern w:val="22"/>
          <w:szCs w:val="22"/>
          <w:lang w:val="fr-CA"/>
        </w:rPr>
        <w:t>du cinqui</w:t>
      </w:r>
      <w:r>
        <w:rPr>
          <w:rFonts w:cs="Times New Roman"/>
          <w:snapToGrid w:val="0"/>
          <w:kern w:val="22"/>
          <w:szCs w:val="22"/>
          <w:lang w:val="fr-CA"/>
        </w:rPr>
        <w:t>ème examen de l’effi</w:t>
      </w:r>
      <w:r w:rsidR="006703B5">
        <w:rPr>
          <w:rFonts w:cs="Times New Roman"/>
          <w:snapToGrid w:val="0"/>
          <w:kern w:val="22"/>
          <w:szCs w:val="22"/>
          <w:lang w:val="fr-CA"/>
        </w:rPr>
        <w:t>c</w:t>
      </w:r>
      <w:r>
        <w:rPr>
          <w:rFonts w:cs="Times New Roman"/>
          <w:snapToGrid w:val="0"/>
          <w:kern w:val="22"/>
          <w:szCs w:val="22"/>
          <w:lang w:val="fr-CA"/>
        </w:rPr>
        <w:t>acité du mécanisme de financement, conformément au mandat (paragraphe 12) et d’assurer la disponibilité du rapport pour examen à la deuxième réunion de l’Organ</w:t>
      </w:r>
      <w:r w:rsidR="006703B5">
        <w:rPr>
          <w:rFonts w:cs="Times New Roman"/>
          <w:snapToGrid w:val="0"/>
          <w:kern w:val="22"/>
          <w:szCs w:val="22"/>
          <w:lang w:val="fr-CA"/>
        </w:rPr>
        <w:t>e</w:t>
      </w:r>
      <w:r>
        <w:rPr>
          <w:rFonts w:cs="Times New Roman"/>
          <w:snapToGrid w:val="0"/>
          <w:kern w:val="22"/>
          <w:szCs w:val="22"/>
          <w:lang w:val="fr-CA"/>
        </w:rPr>
        <w:t xml:space="preserve"> subsidiaire de mise en œuvre. </w:t>
      </w:r>
      <w:r w:rsidR="00B9370B" w:rsidRPr="00B9370B">
        <w:rPr>
          <w:rFonts w:cs="Times New Roman"/>
          <w:snapToGrid w:val="0"/>
          <w:kern w:val="22"/>
          <w:szCs w:val="22"/>
          <w:lang w:val="fr-CA"/>
        </w:rPr>
        <w:t>Il n’</w:t>
      </w:r>
      <w:r w:rsidR="006703B5">
        <w:rPr>
          <w:rFonts w:cs="Times New Roman"/>
          <w:snapToGrid w:val="0"/>
          <w:kern w:val="22"/>
          <w:szCs w:val="22"/>
          <w:lang w:val="fr-CA"/>
        </w:rPr>
        <w:t>a pas été possible de contracte</w:t>
      </w:r>
      <w:r w:rsidR="00B9370B" w:rsidRPr="00B9370B">
        <w:rPr>
          <w:rFonts w:cs="Times New Roman"/>
          <w:snapToGrid w:val="0"/>
          <w:kern w:val="22"/>
          <w:szCs w:val="22"/>
          <w:lang w:val="fr-CA"/>
        </w:rPr>
        <w:t>r</w:t>
      </w:r>
      <w:r w:rsidR="006703B5">
        <w:rPr>
          <w:rFonts w:cs="Times New Roman"/>
          <w:snapToGrid w:val="0"/>
          <w:kern w:val="22"/>
          <w:szCs w:val="22"/>
          <w:lang w:val="fr-CA"/>
        </w:rPr>
        <w:t xml:space="preserve"> </w:t>
      </w:r>
      <w:r w:rsidR="00B9370B" w:rsidRPr="00B9370B">
        <w:rPr>
          <w:rFonts w:cs="Times New Roman"/>
          <w:snapToGrid w:val="0"/>
          <w:kern w:val="22"/>
          <w:szCs w:val="22"/>
          <w:lang w:val="fr-CA"/>
        </w:rPr>
        <w:t xml:space="preserve">les services d’un évaluateur </w:t>
      </w:r>
      <w:r w:rsidR="002B72F6">
        <w:rPr>
          <w:rFonts w:cs="Times New Roman"/>
          <w:snapToGrid w:val="0"/>
          <w:kern w:val="22"/>
          <w:szCs w:val="22"/>
          <w:lang w:val="fr-CA"/>
        </w:rPr>
        <w:t xml:space="preserve">indépendant </w:t>
      </w:r>
      <w:r w:rsidR="00B9370B" w:rsidRPr="00B9370B">
        <w:rPr>
          <w:rFonts w:cs="Times New Roman"/>
          <w:snapToGrid w:val="0"/>
          <w:kern w:val="22"/>
          <w:szCs w:val="22"/>
          <w:lang w:val="fr-CA"/>
        </w:rPr>
        <w:t>d’</w:t>
      </w:r>
      <w:r w:rsidR="00B9370B">
        <w:rPr>
          <w:rFonts w:cs="Times New Roman"/>
          <w:snapToGrid w:val="0"/>
          <w:kern w:val="22"/>
          <w:szCs w:val="22"/>
          <w:lang w:val="fr-CA"/>
        </w:rPr>
        <w:t>expérience pour réaliser l’examen, conformément aux objectifs, à la méthodologie et aux crit</w:t>
      </w:r>
      <w:r w:rsidR="006703B5">
        <w:rPr>
          <w:rFonts w:cs="Times New Roman"/>
          <w:snapToGrid w:val="0"/>
          <w:kern w:val="22"/>
          <w:szCs w:val="22"/>
          <w:lang w:val="fr-CA"/>
        </w:rPr>
        <w:t>ères éta</w:t>
      </w:r>
      <w:r w:rsidR="00B9370B">
        <w:rPr>
          <w:rFonts w:cs="Times New Roman"/>
          <w:snapToGrid w:val="0"/>
          <w:kern w:val="22"/>
          <w:szCs w:val="22"/>
          <w:lang w:val="fr-CA"/>
        </w:rPr>
        <w:t>blis dans le mandat joint à l’annexe II de la décision XIII/21, à cause d’un manque de ressources</w:t>
      </w:r>
      <w:r w:rsidR="00C264A3">
        <w:rPr>
          <w:rFonts w:cs="Times New Roman"/>
          <w:snapToGrid w:val="0"/>
          <w:kern w:val="22"/>
          <w:szCs w:val="22"/>
          <w:lang w:val="fr-CA"/>
        </w:rPr>
        <w:t xml:space="preserve">. </w:t>
      </w:r>
      <w:r w:rsidR="00B9370B">
        <w:rPr>
          <w:rFonts w:cs="Times New Roman"/>
          <w:snapToGrid w:val="0"/>
          <w:kern w:val="22"/>
          <w:szCs w:val="22"/>
          <w:lang w:val="fr-CA"/>
        </w:rPr>
        <w:t>Ce</w:t>
      </w:r>
      <w:r w:rsidR="00C264A3">
        <w:rPr>
          <w:rFonts w:cs="Times New Roman"/>
          <w:snapToGrid w:val="0"/>
          <w:kern w:val="22"/>
          <w:szCs w:val="22"/>
          <w:lang w:val="fr-CA"/>
        </w:rPr>
        <w:t>t</w:t>
      </w:r>
      <w:r w:rsidR="00B9370B">
        <w:rPr>
          <w:rFonts w:cs="Times New Roman"/>
          <w:snapToGrid w:val="0"/>
          <w:kern w:val="22"/>
          <w:szCs w:val="22"/>
          <w:lang w:val="fr-CA"/>
        </w:rPr>
        <w:t>te partie offre un bref aperçu de l’information relative à l’évaluation déj</w:t>
      </w:r>
      <w:r w:rsidR="00C264A3">
        <w:rPr>
          <w:rFonts w:cs="Times New Roman"/>
          <w:snapToGrid w:val="0"/>
          <w:kern w:val="22"/>
          <w:szCs w:val="22"/>
          <w:lang w:val="fr-CA"/>
        </w:rPr>
        <w:t>à publiée par</w:t>
      </w:r>
      <w:r w:rsidR="00B9370B">
        <w:rPr>
          <w:rFonts w:cs="Times New Roman"/>
          <w:snapToGrid w:val="0"/>
          <w:kern w:val="22"/>
          <w:szCs w:val="22"/>
          <w:lang w:val="fr-CA"/>
        </w:rPr>
        <w:t xml:space="preserve"> le Bureau indépendant d’é</w:t>
      </w:r>
      <w:r w:rsidR="00C264A3">
        <w:rPr>
          <w:rFonts w:cs="Times New Roman"/>
          <w:snapToGrid w:val="0"/>
          <w:kern w:val="22"/>
          <w:szCs w:val="22"/>
          <w:lang w:val="fr-CA"/>
        </w:rPr>
        <w:t>valuati</w:t>
      </w:r>
      <w:r w:rsidR="00B9370B">
        <w:rPr>
          <w:rFonts w:cs="Times New Roman"/>
          <w:snapToGrid w:val="0"/>
          <w:kern w:val="22"/>
          <w:szCs w:val="22"/>
          <w:lang w:val="fr-CA"/>
        </w:rPr>
        <w:t xml:space="preserve">on </w:t>
      </w:r>
      <w:r w:rsidR="00C264A3">
        <w:rPr>
          <w:rFonts w:cs="Times New Roman"/>
          <w:snapToGrid w:val="0"/>
          <w:kern w:val="22"/>
          <w:szCs w:val="22"/>
          <w:lang w:val="fr-CA"/>
        </w:rPr>
        <w:t>du Fonds pour l’environnement mondial</w:t>
      </w:r>
      <w:r w:rsidR="002B72F6">
        <w:rPr>
          <w:rFonts w:cs="Times New Roman"/>
          <w:snapToGrid w:val="0"/>
          <w:kern w:val="22"/>
          <w:szCs w:val="22"/>
          <w:lang w:val="fr-CA"/>
        </w:rPr>
        <w:t xml:space="preserve"> (BIE/</w:t>
      </w:r>
      <w:r w:rsidR="006703B5">
        <w:rPr>
          <w:rFonts w:cs="Times New Roman"/>
          <w:snapToGrid w:val="0"/>
          <w:kern w:val="22"/>
          <w:szCs w:val="22"/>
          <w:lang w:val="fr-CA"/>
        </w:rPr>
        <w:t>FEM)</w:t>
      </w:r>
      <w:r w:rsidR="00C264A3">
        <w:rPr>
          <w:rFonts w:cs="Times New Roman"/>
          <w:snapToGrid w:val="0"/>
          <w:kern w:val="22"/>
          <w:szCs w:val="22"/>
          <w:lang w:val="fr-CA"/>
        </w:rPr>
        <w:t xml:space="preserve"> en réponse à la décision XIII/21 qui demande </w:t>
      </w:r>
      <w:r w:rsidR="002B72F6">
        <w:rPr>
          <w:rFonts w:cs="Times New Roman"/>
          <w:snapToGrid w:val="0"/>
          <w:kern w:val="22"/>
          <w:szCs w:val="22"/>
          <w:lang w:val="fr-CA"/>
        </w:rPr>
        <w:t>l’examen des rapports du BIE/</w:t>
      </w:r>
      <w:r w:rsidR="00C264A3">
        <w:rPr>
          <w:rFonts w:cs="Times New Roman"/>
          <w:snapToGrid w:val="0"/>
          <w:kern w:val="22"/>
          <w:szCs w:val="22"/>
          <w:lang w:val="fr-CA"/>
        </w:rPr>
        <w:t xml:space="preserve">FEM </w:t>
      </w:r>
      <w:r w:rsidR="004C5471">
        <w:rPr>
          <w:rFonts w:cs="Times New Roman"/>
          <w:snapToGrid w:val="0"/>
          <w:kern w:val="22"/>
          <w:szCs w:val="22"/>
          <w:lang w:val="fr-CA"/>
        </w:rPr>
        <w:t>sur</w:t>
      </w:r>
      <w:r w:rsidR="00C264A3">
        <w:rPr>
          <w:rFonts w:cs="Times New Roman"/>
          <w:snapToGrid w:val="0"/>
          <w:kern w:val="22"/>
          <w:szCs w:val="22"/>
          <w:lang w:val="fr-CA"/>
        </w:rPr>
        <w:t xml:space="preserve"> les activités du</w:t>
      </w:r>
      <w:r w:rsidR="004C5471">
        <w:rPr>
          <w:rFonts w:cs="Times New Roman"/>
          <w:snapToGrid w:val="0"/>
          <w:kern w:val="22"/>
          <w:szCs w:val="22"/>
          <w:lang w:val="fr-CA"/>
        </w:rPr>
        <w:t xml:space="preserve"> FEM </w:t>
      </w:r>
      <w:r w:rsidR="002B72F6">
        <w:rPr>
          <w:rFonts w:cs="Times New Roman"/>
          <w:snapToGrid w:val="0"/>
          <w:kern w:val="22"/>
          <w:szCs w:val="22"/>
          <w:lang w:val="fr-CA"/>
        </w:rPr>
        <w:t>en matière de</w:t>
      </w:r>
      <w:r w:rsidR="004C5471">
        <w:rPr>
          <w:rFonts w:cs="Times New Roman"/>
          <w:snapToGrid w:val="0"/>
          <w:kern w:val="22"/>
          <w:szCs w:val="22"/>
          <w:lang w:val="fr-CA"/>
        </w:rPr>
        <w:t xml:space="preserve"> diversité biologiqu</w:t>
      </w:r>
      <w:r w:rsidR="00C264A3">
        <w:rPr>
          <w:rFonts w:cs="Times New Roman"/>
          <w:snapToGrid w:val="0"/>
          <w:kern w:val="22"/>
          <w:szCs w:val="22"/>
          <w:lang w:val="fr-CA"/>
        </w:rPr>
        <w:t xml:space="preserve">e, y compris la sixième évaluation exhaustive du FEM (OPS6), afin de faciliter </w:t>
      </w:r>
      <w:r w:rsidR="00FB4987">
        <w:rPr>
          <w:rFonts w:cs="Times New Roman"/>
          <w:snapToGrid w:val="0"/>
          <w:kern w:val="22"/>
          <w:szCs w:val="22"/>
          <w:lang w:val="fr-CA"/>
        </w:rPr>
        <w:t>l’examen de la possibilité de mettre</w:t>
      </w:r>
      <w:r w:rsidR="004C5471">
        <w:rPr>
          <w:rFonts w:cs="Times New Roman"/>
          <w:snapToGrid w:val="0"/>
          <w:kern w:val="22"/>
          <w:szCs w:val="22"/>
          <w:lang w:val="fr-CA"/>
        </w:rPr>
        <w:t xml:space="preserve"> en œuvre</w:t>
      </w:r>
      <w:r w:rsidR="006703B5">
        <w:rPr>
          <w:rFonts w:cs="Times New Roman"/>
          <w:snapToGrid w:val="0"/>
          <w:kern w:val="22"/>
          <w:szCs w:val="22"/>
          <w:lang w:val="fr-CA"/>
        </w:rPr>
        <w:t xml:space="preserve"> </w:t>
      </w:r>
      <w:r w:rsidR="00FB4987">
        <w:rPr>
          <w:rFonts w:cs="Times New Roman"/>
          <w:snapToGrid w:val="0"/>
          <w:kern w:val="22"/>
          <w:szCs w:val="22"/>
          <w:lang w:val="fr-CA"/>
        </w:rPr>
        <w:t>le</w:t>
      </w:r>
      <w:r w:rsidR="00C264A3">
        <w:rPr>
          <w:rFonts w:cs="Times New Roman"/>
          <w:snapToGrid w:val="0"/>
          <w:kern w:val="22"/>
          <w:szCs w:val="22"/>
          <w:lang w:val="fr-CA"/>
        </w:rPr>
        <w:t xml:space="preserve"> cinqui</w:t>
      </w:r>
      <w:r w:rsidR="006703B5">
        <w:rPr>
          <w:rFonts w:cs="Times New Roman"/>
          <w:snapToGrid w:val="0"/>
          <w:kern w:val="22"/>
          <w:szCs w:val="22"/>
          <w:lang w:val="fr-CA"/>
        </w:rPr>
        <w:t xml:space="preserve">ème examen de l’efficacité du mécanisme de financement par </w:t>
      </w:r>
      <w:r w:rsidR="004C5471">
        <w:rPr>
          <w:rFonts w:cs="Times New Roman"/>
          <w:snapToGrid w:val="0"/>
          <w:kern w:val="22"/>
          <w:szCs w:val="22"/>
          <w:lang w:val="fr-CA"/>
        </w:rPr>
        <w:t>l’Organe subsidiaire</w:t>
      </w:r>
      <w:r w:rsidR="006703B5">
        <w:rPr>
          <w:rFonts w:cs="Times New Roman"/>
          <w:snapToGrid w:val="0"/>
          <w:kern w:val="22"/>
          <w:szCs w:val="22"/>
          <w:lang w:val="fr-CA"/>
        </w:rPr>
        <w:t xml:space="preserve"> de mise en œuvre à sa deuxième réunion. Un résumé complet de cette information, comprenant les conclusions du B</w:t>
      </w:r>
      <w:r w:rsidR="00B9370B">
        <w:rPr>
          <w:rFonts w:cs="Times New Roman"/>
          <w:snapToGrid w:val="0"/>
          <w:kern w:val="22"/>
          <w:szCs w:val="22"/>
          <w:lang w:val="fr-CA"/>
        </w:rPr>
        <w:t>IE</w:t>
      </w:r>
      <w:r w:rsidR="00C264A3">
        <w:rPr>
          <w:rFonts w:cs="Times New Roman"/>
          <w:snapToGrid w:val="0"/>
          <w:kern w:val="22"/>
          <w:szCs w:val="22"/>
          <w:lang w:val="fr-CA"/>
        </w:rPr>
        <w:t>/FEM</w:t>
      </w:r>
      <w:r w:rsidR="006703B5">
        <w:rPr>
          <w:rFonts w:cs="Times New Roman"/>
          <w:snapToGrid w:val="0"/>
          <w:kern w:val="22"/>
          <w:szCs w:val="22"/>
          <w:lang w:val="fr-CA"/>
        </w:rPr>
        <w:t xml:space="preserve"> est proposé dans un document informatif</w:t>
      </w:r>
      <w:r w:rsidR="003D7EB4" w:rsidRPr="00B9370B">
        <w:rPr>
          <w:rFonts w:cs="Times New Roman"/>
          <w:snapToGrid w:val="0"/>
          <w:kern w:val="22"/>
          <w:szCs w:val="22"/>
          <w:lang w:val="fr-CA"/>
        </w:rPr>
        <w:t xml:space="preserve"> </w:t>
      </w:r>
      <w:r w:rsidR="006703B5">
        <w:rPr>
          <w:rFonts w:cs="Times New Roman"/>
          <w:snapToGrid w:val="0"/>
          <w:kern w:val="22"/>
          <w:szCs w:val="22"/>
          <w:lang w:val="fr-CA"/>
        </w:rPr>
        <w:t>(</w:t>
      </w:r>
      <w:r w:rsidR="003D7EB4" w:rsidRPr="00B9370B">
        <w:rPr>
          <w:rFonts w:cs="Times New Roman"/>
          <w:snapToGrid w:val="0"/>
          <w:kern w:val="22"/>
          <w:szCs w:val="22"/>
          <w:lang w:val="fr-CA"/>
        </w:rPr>
        <w:t>CBD/</w:t>
      </w:r>
      <w:proofErr w:type="spellStart"/>
      <w:r w:rsidR="003D7EB4" w:rsidRPr="00B9370B">
        <w:rPr>
          <w:rFonts w:cs="Times New Roman"/>
          <w:snapToGrid w:val="0"/>
          <w:kern w:val="22"/>
          <w:szCs w:val="22"/>
          <w:lang w:val="fr-CA"/>
        </w:rPr>
        <w:t>SBI</w:t>
      </w:r>
      <w:proofErr w:type="spellEnd"/>
      <w:r w:rsidR="003D7EB4" w:rsidRPr="00B9370B">
        <w:rPr>
          <w:rFonts w:cs="Times New Roman"/>
          <w:snapToGrid w:val="0"/>
          <w:kern w:val="22"/>
          <w:szCs w:val="22"/>
          <w:lang w:val="fr-CA"/>
        </w:rPr>
        <w:t>/2/</w:t>
      </w:r>
      <w:proofErr w:type="spellStart"/>
      <w:r w:rsidR="003D7EB4" w:rsidRPr="00B9370B">
        <w:rPr>
          <w:rFonts w:cs="Times New Roman"/>
          <w:snapToGrid w:val="0"/>
          <w:kern w:val="22"/>
          <w:szCs w:val="22"/>
          <w:lang w:val="fr-CA"/>
        </w:rPr>
        <w:t>INF</w:t>
      </w:r>
      <w:proofErr w:type="spellEnd"/>
      <w:r w:rsidR="003D7EB4" w:rsidRPr="00B9370B">
        <w:rPr>
          <w:rFonts w:cs="Times New Roman"/>
          <w:snapToGrid w:val="0"/>
          <w:kern w:val="22"/>
          <w:szCs w:val="22"/>
          <w:lang w:val="fr-CA"/>
        </w:rPr>
        <w:t>/</w:t>
      </w:r>
      <w:r w:rsidR="00285386" w:rsidRPr="00B9370B">
        <w:rPr>
          <w:rFonts w:cs="Times New Roman"/>
          <w:snapToGrid w:val="0"/>
          <w:kern w:val="22"/>
          <w:szCs w:val="22"/>
          <w:lang w:val="fr-CA"/>
        </w:rPr>
        <w:t>25</w:t>
      </w:r>
      <w:r w:rsidR="00C264A3">
        <w:rPr>
          <w:rFonts w:cs="Times New Roman"/>
          <w:snapToGrid w:val="0"/>
          <w:kern w:val="22"/>
          <w:szCs w:val="22"/>
          <w:lang w:val="fr-CA"/>
        </w:rPr>
        <w:t>)</w:t>
      </w:r>
      <w:r w:rsidR="006703B5">
        <w:rPr>
          <w:rFonts w:cs="Times New Roman"/>
          <w:snapToGrid w:val="0"/>
          <w:kern w:val="22"/>
          <w:szCs w:val="22"/>
          <w:lang w:val="fr-CA"/>
        </w:rPr>
        <w:t>.</w:t>
      </w:r>
    </w:p>
    <w:p w:rsidR="006872FB" w:rsidRPr="00AB2BD4" w:rsidRDefault="000449FE"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after="0"/>
        <w:ind w:left="0" w:firstLine="0"/>
        <w:rPr>
          <w:rFonts w:cs="Times New Roman"/>
          <w:kern w:val="22"/>
          <w:szCs w:val="22"/>
          <w:lang w:val="fr-CA"/>
        </w:rPr>
      </w:pPr>
      <w:r w:rsidRPr="000449FE">
        <w:rPr>
          <w:rFonts w:cs="Times New Roman"/>
          <w:kern w:val="22"/>
          <w:szCs w:val="22"/>
          <w:lang w:val="fr-CA"/>
        </w:rPr>
        <w:t>Le BIE</w:t>
      </w:r>
      <w:r w:rsidR="002B72F6">
        <w:rPr>
          <w:rFonts w:cs="Times New Roman"/>
          <w:kern w:val="22"/>
          <w:szCs w:val="22"/>
          <w:lang w:val="fr-CA"/>
        </w:rPr>
        <w:t>/</w:t>
      </w:r>
      <w:r>
        <w:rPr>
          <w:rFonts w:cs="Times New Roman"/>
          <w:kern w:val="22"/>
          <w:szCs w:val="22"/>
          <w:lang w:val="fr-CA"/>
        </w:rPr>
        <w:t>FEM</w:t>
      </w:r>
      <w:r w:rsidRPr="000449FE">
        <w:rPr>
          <w:rFonts w:cs="Times New Roman"/>
          <w:kern w:val="22"/>
          <w:szCs w:val="22"/>
          <w:lang w:val="fr-CA"/>
        </w:rPr>
        <w:t xml:space="preserve"> a réalisé plusieurs évaluation</w:t>
      </w:r>
      <w:r w:rsidR="002B72F6">
        <w:rPr>
          <w:rFonts w:cs="Times New Roman"/>
          <w:kern w:val="22"/>
          <w:szCs w:val="22"/>
          <w:lang w:val="fr-CA"/>
        </w:rPr>
        <w:t>s</w:t>
      </w:r>
      <w:r w:rsidRPr="000449FE">
        <w:rPr>
          <w:rFonts w:cs="Times New Roman"/>
          <w:kern w:val="22"/>
          <w:szCs w:val="22"/>
          <w:lang w:val="fr-CA"/>
        </w:rPr>
        <w:t xml:space="preserve"> de rendement</w:t>
      </w:r>
      <w:r>
        <w:rPr>
          <w:rFonts w:cs="Times New Roman"/>
          <w:kern w:val="22"/>
          <w:szCs w:val="22"/>
          <w:lang w:val="fr-CA"/>
        </w:rPr>
        <w:t>, évaluations de sociétés et de pays, et évaluations thématiques et d’impact, ainsi que des évaluations des domaines d’intervention au cours du dernier cycle de reconstitution, et a publié la sixième évaluation exhaustive du FEM en décembre 2017. Le BEI/FEM a préparé des évaluations pertinentes pour la diversité</w:t>
      </w:r>
      <w:r w:rsidR="008300F8">
        <w:rPr>
          <w:rFonts w:cs="Times New Roman"/>
          <w:kern w:val="22"/>
          <w:szCs w:val="22"/>
          <w:lang w:val="fr-CA"/>
        </w:rPr>
        <w:t xml:space="preserve"> biologique</w:t>
      </w:r>
      <w:r>
        <w:rPr>
          <w:rFonts w:cs="Times New Roman"/>
          <w:kern w:val="22"/>
          <w:szCs w:val="22"/>
          <w:lang w:val="fr-CA"/>
        </w:rPr>
        <w:t>, notamment des évaluations des réseaux d’aires protégées</w:t>
      </w:r>
      <w:r w:rsidR="006872FB" w:rsidRPr="00AB2BD4">
        <w:rPr>
          <w:rFonts w:cs="Times New Roman"/>
          <w:kern w:val="22"/>
          <w:szCs w:val="22"/>
          <w:lang w:val="fr-CA"/>
        </w:rPr>
        <w:t xml:space="preserve"> </w:t>
      </w:r>
      <w:r w:rsidR="006872FB" w:rsidRPr="000449FE">
        <w:rPr>
          <w:rFonts w:cs="Times New Roman"/>
          <w:kern w:val="22"/>
          <w:szCs w:val="22"/>
          <w:lang w:val="fr-CA"/>
        </w:rPr>
        <w:t>(</w:t>
      </w:r>
      <w:proofErr w:type="spellStart"/>
      <w:r w:rsidR="006872FB" w:rsidRPr="000449FE">
        <w:rPr>
          <w:rFonts w:cs="Times New Roman"/>
          <w:kern w:val="22"/>
          <w:szCs w:val="22"/>
          <w:lang w:val="fr-CA"/>
        </w:rPr>
        <w:t>GEF</w:t>
      </w:r>
      <w:proofErr w:type="spellEnd"/>
      <w:r w:rsidR="006872FB" w:rsidRPr="000449FE">
        <w:rPr>
          <w:rFonts w:cs="Times New Roman"/>
          <w:kern w:val="22"/>
          <w:szCs w:val="22"/>
          <w:lang w:val="fr-CA"/>
        </w:rPr>
        <w:t xml:space="preserve">/ME/C.49/Inf.02, </w:t>
      </w:r>
      <w:r>
        <w:rPr>
          <w:rFonts w:cs="Times New Roman"/>
          <w:kern w:val="22"/>
          <w:szCs w:val="22"/>
          <w:lang w:val="fr-CA"/>
        </w:rPr>
        <w:t>octobre</w:t>
      </w:r>
      <w:r w:rsidR="008300F8">
        <w:rPr>
          <w:rFonts w:cs="Times New Roman"/>
          <w:kern w:val="22"/>
          <w:szCs w:val="22"/>
          <w:lang w:val="fr-CA"/>
        </w:rPr>
        <w:t xml:space="preserve"> 2015) et </w:t>
      </w:r>
      <w:r>
        <w:rPr>
          <w:rFonts w:cs="Times New Roman"/>
          <w:kern w:val="22"/>
          <w:szCs w:val="22"/>
          <w:lang w:val="fr-CA"/>
        </w:rPr>
        <w:t>de la gestion des esp</w:t>
      </w:r>
      <w:r w:rsidR="009B0D81">
        <w:rPr>
          <w:rFonts w:cs="Times New Roman"/>
          <w:kern w:val="22"/>
          <w:szCs w:val="22"/>
          <w:lang w:val="fr-CA"/>
        </w:rPr>
        <w:t xml:space="preserve">èces, de l’accès </w:t>
      </w:r>
      <w:r w:rsidR="009B0D81">
        <w:rPr>
          <w:rFonts w:cs="Times New Roman"/>
          <w:kern w:val="22"/>
          <w:szCs w:val="22"/>
          <w:lang w:val="fr-CA"/>
        </w:rPr>
        <w:lastRenderedPageBreak/>
        <w:t>et du partage des avantages et du Protocole de Nagoya</w:t>
      </w:r>
      <w:r w:rsidR="006872FB" w:rsidRPr="000449FE">
        <w:rPr>
          <w:rFonts w:cs="Times New Roman"/>
          <w:kern w:val="22"/>
          <w:szCs w:val="22"/>
          <w:lang w:val="fr-CA"/>
        </w:rPr>
        <w:t xml:space="preserve"> (</w:t>
      </w:r>
      <w:proofErr w:type="spellStart"/>
      <w:r w:rsidR="006872FB" w:rsidRPr="000449FE">
        <w:rPr>
          <w:rFonts w:cs="Times New Roman"/>
          <w:kern w:val="22"/>
          <w:szCs w:val="22"/>
          <w:lang w:val="fr-CA"/>
        </w:rPr>
        <w:t>GEF</w:t>
      </w:r>
      <w:proofErr w:type="spellEnd"/>
      <w:r w:rsidR="006872FB" w:rsidRPr="000449FE">
        <w:rPr>
          <w:rFonts w:cs="Times New Roman"/>
          <w:kern w:val="22"/>
          <w:szCs w:val="22"/>
          <w:lang w:val="fr-CA"/>
        </w:rPr>
        <w:t xml:space="preserve">/ME/C.53/Inf.03, </w:t>
      </w:r>
      <w:r w:rsidR="009B0D81">
        <w:rPr>
          <w:rFonts w:cs="Times New Roman"/>
          <w:kern w:val="22"/>
          <w:szCs w:val="22"/>
          <w:lang w:val="fr-CA"/>
        </w:rPr>
        <w:t>novembre</w:t>
      </w:r>
      <w:r w:rsidR="006872FB" w:rsidRPr="000449FE">
        <w:rPr>
          <w:rFonts w:cs="Times New Roman"/>
          <w:kern w:val="22"/>
          <w:szCs w:val="22"/>
          <w:lang w:val="fr-CA"/>
        </w:rPr>
        <w:t xml:space="preserve"> 2017). </w:t>
      </w:r>
      <w:r w:rsidR="009B0D81">
        <w:rPr>
          <w:rFonts w:cs="Times New Roman"/>
          <w:kern w:val="22"/>
          <w:szCs w:val="22"/>
          <w:lang w:val="fr-CA"/>
        </w:rPr>
        <w:t>L’évaluation du FEM en appui à l’intégration de la diversité biologique sera disponible en juin 2018</w:t>
      </w:r>
      <w:r w:rsidR="006872FB" w:rsidRPr="00AB2BD4">
        <w:rPr>
          <w:rFonts w:cs="Times New Roman"/>
          <w:kern w:val="22"/>
          <w:szCs w:val="22"/>
          <w:lang w:val="fr-CA"/>
        </w:rPr>
        <w:t>.</w:t>
      </w:r>
    </w:p>
    <w:p w:rsidR="006872FB" w:rsidRPr="00AB2BD4" w:rsidRDefault="0095246F"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lang w:val="fr-CA"/>
        </w:rPr>
      </w:pPr>
      <w:r>
        <w:rPr>
          <w:rFonts w:cs="Times New Roman"/>
          <w:kern w:val="22"/>
          <w:szCs w:val="22"/>
          <w:lang w:val="fr-CA"/>
        </w:rPr>
        <w:t>L</w:t>
      </w:r>
      <w:r w:rsidR="009B0D81">
        <w:rPr>
          <w:rFonts w:cs="Times New Roman"/>
          <w:kern w:val="22"/>
          <w:szCs w:val="22"/>
          <w:lang w:val="fr-CA"/>
        </w:rPr>
        <w:t xml:space="preserve">e BIE/FEM a publié l’information suivante </w:t>
      </w:r>
      <w:r>
        <w:rPr>
          <w:rFonts w:cs="Times New Roman"/>
          <w:kern w:val="22"/>
          <w:szCs w:val="22"/>
          <w:lang w:val="fr-CA"/>
        </w:rPr>
        <w:t>concernant la liste de mesures que doit prendre le FEM afin d’améliorer l’efficacité du mécanisme de financement, joint</w:t>
      </w:r>
      <w:r w:rsidR="008300F8">
        <w:rPr>
          <w:rFonts w:cs="Times New Roman"/>
          <w:kern w:val="22"/>
          <w:szCs w:val="22"/>
          <w:lang w:val="fr-CA"/>
        </w:rPr>
        <w:t>e</w:t>
      </w:r>
      <w:r>
        <w:rPr>
          <w:rFonts w:cs="Times New Roman"/>
          <w:kern w:val="22"/>
          <w:szCs w:val="22"/>
          <w:lang w:val="fr-CA"/>
        </w:rPr>
        <w:t xml:space="preserve"> au paragraphe 28 de l’annexe II de la décision XIII/21, ainsi que les </w:t>
      </w:r>
      <w:r w:rsidR="008300F8">
        <w:rPr>
          <w:rFonts w:cs="Times New Roman"/>
          <w:kern w:val="22"/>
          <w:szCs w:val="22"/>
          <w:lang w:val="fr-CA"/>
        </w:rPr>
        <w:t xml:space="preserve">autres </w:t>
      </w:r>
      <w:r>
        <w:rPr>
          <w:rFonts w:cs="Times New Roman"/>
          <w:kern w:val="22"/>
          <w:szCs w:val="22"/>
          <w:lang w:val="fr-CA"/>
        </w:rPr>
        <w:t xml:space="preserve">mesures contenues dans l’orientation supplémentaire donnée dans cette même décision </w:t>
      </w:r>
      <w:r w:rsidR="003D7EB4" w:rsidRPr="00AB2BD4">
        <w:rPr>
          <w:rFonts w:cs="Times New Roman"/>
          <w:kern w:val="22"/>
          <w:szCs w:val="22"/>
          <w:lang w:val="fr-CA"/>
        </w:rPr>
        <w:t>:</w:t>
      </w:r>
    </w:p>
    <w:p w:rsidR="006872FB" w:rsidRPr="0095246F" w:rsidRDefault="0095246F" w:rsidP="0095246F">
      <w:pPr>
        <w:pStyle w:val="Paragraphedeliste"/>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95246F">
        <w:rPr>
          <w:rFonts w:cs="Times New Roman"/>
          <w:snapToGrid w:val="0"/>
          <w:kern w:val="22"/>
          <w:szCs w:val="22"/>
          <w:lang w:val="fr-CA"/>
        </w:rPr>
        <w:t>Inclure le sexe dans le financement de la diversité biologique et des services écosysté</w:t>
      </w:r>
      <w:r>
        <w:rPr>
          <w:rFonts w:cs="Times New Roman"/>
          <w:snapToGrid w:val="0"/>
          <w:kern w:val="22"/>
          <w:szCs w:val="22"/>
          <w:lang w:val="fr-CA"/>
        </w:rPr>
        <w:t>miques</w:t>
      </w:r>
      <w:r w:rsidR="00EB3FD2">
        <w:rPr>
          <w:rFonts w:cs="Times New Roman"/>
          <w:snapToGrid w:val="0"/>
          <w:kern w:val="22"/>
          <w:szCs w:val="22"/>
          <w:lang w:val="fr-CA"/>
        </w:rPr>
        <w:t> :</w:t>
      </w:r>
      <w:r>
        <w:rPr>
          <w:rFonts w:cs="Times New Roman"/>
          <w:snapToGrid w:val="0"/>
          <w:kern w:val="22"/>
          <w:szCs w:val="22"/>
          <w:lang w:val="fr-CA"/>
        </w:rPr>
        <w:t xml:space="preserve"> </w:t>
      </w:r>
      <w:r w:rsidR="00EB3FD2">
        <w:rPr>
          <w:rFonts w:cs="Times New Roman"/>
          <w:snapToGrid w:val="0"/>
          <w:kern w:val="22"/>
          <w:szCs w:val="22"/>
          <w:lang w:val="fr-CA"/>
        </w:rPr>
        <w:t>É</w:t>
      </w:r>
      <w:r w:rsidRPr="0095246F">
        <w:rPr>
          <w:rFonts w:cs="Times New Roman"/>
          <w:snapToGrid w:val="0"/>
          <w:kern w:val="22"/>
          <w:szCs w:val="22"/>
          <w:lang w:val="fr-CA"/>
        </w:rPr>
        <w:t>valuation de la gendérisation au FEM</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/ME/C.52/Inf.09, May 2017)</w:t>
      </w:r>
      <w:r w:rsidR="0007070D" w:rsidRPr="0095246F">
        <w:rPr>
          <w:rFonts w:cs="Times New Roman"/>
          <w:snapToGrid w:val="0"/>
          <w:kern w:val="22"/>
          <w:szCs w:val="22"/>
          <w:lang w:val="fr-CA"/>
        </w:rPr>
        <w:t>;</w:t>
      </w:r>
    </w:p>
    <w:p w:rsidR="006872FB" w:rsidRPr="0095246F" w:rsidRDefault="0095246F"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95246F">
        <w:rPr>
          <w:rFonts w:cs="Times New Roman"/>
          <w:snapToGrid w:val="0"/>
          <w:kern w:val="22"/>
          <w:szCs w:val="22"/>
          <w:lang w:val="fr-CA"/>
        </w:rPr>
        <w:t xml:space="preserve">Procédure relative aux projets </w:t>
      </w:r>
      <w:r w:rsidR="006872FB" w:rsidRPr="0095246F">
        <w:rPr>
          <w:rFonts w:cs="Times New Roman"/>
          <w:snapToGrid w:val="0"/>
          <w:kern w:val="22"/>
          <w:szCs w:val="22"/>
          <w:lang w:val="fr-CA"/>
        </w:rPr>
        <w:t xml:space="preserve">: </w:t>
      </w:r>
      <w:r w:rsidR="00EB3FD2">
        <w:rPr>
          <w:rFonts w:cs="Times New Roman"/>
          <w:snapToGrid w:val="0"/>
          <w:kern w:val="22"/>
          <w:szCs w:val="22"/>
          <w:lang w:val="fr-CA"/>
        </w:rPr>
        <w:t>É</w:t>
      </w:r>
      <w:r w:rsidRPr="0095246F">
        <w:rPr>
          <w:rFonts w:cs="Times New Roman"/>
          <w:snapToGrid w:val="0"/>
          <w:kern w:val="22"/>
          <w:szCs w:val="22"/>
          <w:lang w:val="fr-CA"/>
        </w:rPr>
        <w:t>valuation des approches programmatiques au FEM</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/ME/C.52/Inf.01/Rev.01), </w:t>
      </w:r>
      <w:r w:rsidRPr="0095246F">
        <w:rPr>
          <w:rFonts w:cs="Times New Roman"/>
          <w:snapToGrid w:val="0"/>
          <w:kern w:val="22"/>
          <w:szCs w:val="22"/>
          <w:lang w:val="fr-CA"/>
        </w:rPr>
        <w:t xml:space="preserve">évaluation des nombreux avantages du portefeuille </w:t>
      </w:r>
      <w:r w:rsidR="006872FB" w:rsidRPr="0095246F">
        <w:rPr>
          <w:rFonts w:cs="Times New Roman"/>
          <w:snapToGrid w:val="0"/>
          <w:kern w:val="22"/>
          <w:szCs w:val="22"/>
          <w:lang w:val="fr-CA"/>
        </w:rPr>
        <w:t xml:space="preserve"> </w:t>
      </w:r>
      <w:r w:rsidRPr="0095246F">
        <w:rPr>
          <w:rFonts w:cs="Times New Roman"/>
          <w:snapToGrid w:val="0"/>
          <w:kern w:val="22"/>
          <w:szCs w:val="22"/>
          <w:lang w:val="fr-CA"/>
        </w:rPr>
        <w:t xml:space="preserve">multisectoriel du FEM </w:t>
      </w:r>
      <w:r w:rsidR="006872FB" w:rsidRPr="0095246F">
        <w:rPr>
          <w:rFonts w:cs="Times New Roman"/>
          <w:snapToGrid w:val="0"/>
          <w:kern w:val="22"/>
          <w:szCs w:val="22"/>
          <w:lang w:val="fr-CA"/>
        </w:rPr>
        <w:t>(</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/ME/C.53/Inf.05), </w:t>
      </w:r>
      <w:r w:rsidRPr="0095246F">
        <w:rPr>
          <w:rFonts w:cs="Times New Roman"/>
          <w:snapToGrid w:val="0"/>
          <w:kern w:val="22"/>
          <w:szCs w:val="22"/>
          <w:lang w:val="fr-CA"/>
        </w:rPr>
        <w:t>examen formatif de l’approche intégrée en mati</w:t>
      </w:r>
      <w:r>
        <w:rPr>
          <w:rFonts w:cs="Times New Roman"/>
          <w:snapToGrid w:val="0"/>
          <w:kern w:val="22"/>
          <w:szCs w:val="22"/>
          <w:lang w:val="fr-CA"/>
        </w:rPr>
        <w:t>ère de programmes pilotes</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/ME/C.53/Inf.04), </w:t>
      </w:r>
      <w:r>
        <w:rPr>
          <w:rFonts w:cs="Times New Roman"/>
          <w:snapToGrid w:val="0"/>
          <w:kern w:val="22"/>
          <w:szCs w:val="22"/>
          <w:lang w:val="fr-CA"/>
        </w:rPr>
        <w:t>examen du soutien du FEM au changement transformationnel</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/ME/C.52/Inf.06), </w:t>
      </w:r>
      <w:r>
        <w:rPr>
          <w:rFonts w:cs="Times New Roman"/>
          <w:snapToGrid w:val="0"/>
          <w:kern w:val="22"/>
          <w:szCs w:val="22"/>
          <w:lang w:val="fr-CA"/>
        </w:rPr>
        <w:t>impact du soutien du FEM</w:t>
      </w:r>
      <w:r w:rsidR="00256D6D">
        <w:rPr>
          <w:rFonts w:cs="Times New Roman"/>
          <w:snapToGrid w:val="0"/>
          <w:kern w:val="22"/>
          <w:szCs w:val="22"/>
          <w:lang w:val="fr-CA"/>
        </w:rPr>
        <w:t xml:space="preserve"> sur les lois et politiques environnementales nationales</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/ME/C.52/Inf.05), </w:t>
      </w:r>
      <w:r w:rsidR="00256D6D">
        <w:rPr>
          <w:rFonts w:cs="Times New Roman"/>
          <w:snapToGrid w:val="0"/>
          <w:kern w:val="22"/>
          <w:szCs w:val="22"/>
          <w:lang w:val="fr-CA"/>
        </w:rPr>
        <w:t>évaluation des connaissances des besoins de gestion</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/ME/C.49/Inf.01), </w:t>
      </w:r>
      <w:r w:rsidR="00256D6D">
        <w:rPr>
          <w:rFonts w:cs="Times New Roman"/>
          <w:snapToGrid w:val="0"/>
          <w:kern w:val="22"/>
          <w:szCs w:val="22"/>
          <w:lang w:val="fr-CA"/>
        </w:rPr>
        <w:t>examen de la gestion des connaissances au FEM</w:t>
      </w:r>
      <w:r w:rsidR="006872FB" w:rsidRPr="0095246F">
        <w:rPr>
          <w:rFonts w:cs="Times New Roman"/>
          <w:snapToGrid w:val="0"/>
          <w:kern w:val="22"/>
          <w:szCs w:val="22"/>
          <w:lang w:val="fr-CA"/>
        </w:rPr>
        <w:t xml:space="preserve"> (</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/ME/C.53/Inf.08), </w:t>
      </w:r>
      <w:r w:rsidR="00256D6D">
        <w:rPr>
          <w:rFonts w:cs="Times New Roman"/>
          <w:snapToGrid w:val="0"/>
          <w:kern w:val="22"/>
          <w:szCs w:val="22"/>
          <w:lang w:val="fr-CA"/>
        </w:rPr>
        <w:t xml:space="preserve">examen de la gestion fondée sur les résultats au FEM </w:t>
      </w:r>
      <w:r w:rsidR="006872FB" w:rsidRPr="0095246F">
        <w:rPr>
          <w:rFonts w:cs="Times New Roman"/>
          <w:snapToGrid w:val="0"/>
          <w:kern w:val="22"/>
          <w:szCs w:val="22"/>
          <w:lang w:val="fr-CA"/>
        </w:rPr>
        <w:t>(</w:t>
      </w:r>
      <w:proofErr w:type="spellStart"/>
      <w:r w:rsidR="006872FB" w:rsidRPr="0095246F">
        <w:rPr>
          <w:rFonts w:cs="Times New Roman"/>
          <w:snapToGrid w:val="0"/>
          <w:kern w:val="22"/>
          <w:szCs w:val="22"/>
          <w:lang w:val="fr-CA"/>
        </w:rPr>
        <w:t>GEF</w:t>
      </w:r>
      <w:proofErr w:type="spellEnd"/>
      <w:r w:rsidR="006872FB" w:rsidRPr="0095246F">
        <w:rPr>
          <w:rFonts w:cs="Times New Roman"/>
          <w:snapToGrid w:val="0"/>
          <w:kern w:val="22"/>
          <w:szCs w:val="22"/>
          <w:lang w:val="fr-CA"/>
        </w:rPr>
        <w:t xml:space="preserve">/ME/C.52/Inf.07), </w:t>
      </w:r>
      <w:r w:rsidR="00256D6D">
        <w:rPr>
          <w:rFonts w:cs="Times New Roman"/>
          <w:snapToGrid w:val="0"/>
          <w:kern w:val="22"/>
          <w:szCs w:val="22"/>
          <w:lang w:val="fr-CA"/>
        </w:rPr>
        <w:t>évaluation du cycle des projets de la FEM</w:t>
      </w:r>
      <w:r w:rsidR="006872FB" w:rsidRPr="0095246F">
        <w:rPr>
          <w:rFonts w:cs="Times New Roman"/>
          <w:snapToGrid w:val="0"/>
          <w:kern w:val="22"/>
          <w:szCs w:val="22"/>
          <w:lang w:val="fr-CA"/>
        </w:rPr>
        <w:t xml:space="preserve"> (OPS5 </w:t>
      </w:r>
      <w:r w:rsidR="00256D6D">
        <w:rPr>
          <w:rFonts w:cs="Times New Roman"/>
          <w:snapToGrid w:val="0"/>
          <w:kern w:val="22"/>
          <w:szCs w:val="22"/>
          <w:lang w:val="fr-CA"/>
        </w:rPr>
        <w:t>Série technique n</w:t>
      </w:r>
      <w:r w:rsidR="00256D6D" w:rsidRPr="00256D6D">
        <w:rPr>
          <w:rFonts w:cs="Times New Roman"/>
          <w:snapToGrid w:val="0"/>
          <w:kern w:val="22"/>
          <w:szCs w:val="22"/>
          <w:vertAlign w:val="superscript"/>
          <w:lang w:val="fr-CA"/>
        </w:rPr>
        <w:t>o</w:t>
      </w:r>
      <w:r w:rsidR="00256D6D">
        <w:rPr>
          <w:rFonts w:cs="Times New Roman"/>
          <w:snapToGrid w:val="0"/>
          <w:kern w:val="22"/>
          <w:szCs w:val="22"/>
          <w:lang w:val="fr-CA"/>
        </w:rPr>
        <w:t xml:space="preserve"> 18</w:t>
      </w:r>
      <w:r w:rsidR="006872FB" w:rsidRPr="0095246F">
        <w:rPr>
          <w:rFonts w:cs="Times New Roman"/>
          <w:snapToGrid w:val="0"/>
          <w:kern w:val="22"/>
          <w:szCs w:val="22"/>
          <w:lang w:val="fr-CA"/>
        </w:rPr>
        <w:t xml:space="preserve">, </w:t>
      </w:r>
      <w:r w:rsidR="00256D6D">
        <w:rPr>
          <w:rFonts w:cs="Times New Roman"/>
          <w:snapToGrid w:val="0"/>
          <w:kern w:val="22"/>
          <w:szCs w:val="22"/>
          <w:lang w:val="fr-CA"/>
        </w:rPr>
        <w:t>octobre</w:t>
      </w:r>
      <w:r w:rsidR="006872FB" w:rsidRPr="0095246F">
        <w:rPr>
          <w:rFonts w:cs="Times New Roman"/>
          <w:snapToGrid w:val="0"/>
          <w:kern w:val="22"/>
          <w:szCs w:val="22"/>
          <w:lang w:val="fr-CA"/>
        </w:rPr>
        <w:t xml:space="preserve"> 2013)</w:t>
      </w:r>
      <w:r w:rsidR="0007070D" w:rsidRPr="0095246F">
        <w:rPr>
          <w:rFonts w:cs="Times New Roman"/>
          <w:snapToGrid w:val="0"/>
          <w:kern w:val="22"/>
          <w:szCs w:val="22"/>
          <w:lang w:val="fr-CA"/>
        </w:rPr>
        <w:t>;</w:t>
      </w:r>
    </w:p>
    <w:p w:rsidR="006872FB" w:rsidRPr="00452C3C" w:rsidRDefault="00256D6D"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452C3C">
        <w:rPr>
          <w:rFonts w:cs="Times New Roman"/>
          <w:snapToGrid w:val="0"/>
          <w:kern w:val="22"/>
          <w:szCs w:val="22"/>
          <w:lang w:val="fr-CA"/>
        </w:rPr>
        <w:t>Rôle catalytique et c</w:t>
      </w:r>
      <w:r w:rsidR="00EB3FD2">
        <w:rPr>
          <w:rFonts w:cs="Times New Roman"/>
          <w:snapToGrid w:val="0"/>
          <w:kern w:val="22"/>
          <w:szCs w:val="22"/>
          <w:lang w:val="fr-CA"/>
        </w:rPr>
        <w:t>ofinancement : Évaluation du co</w:t>
      </w:r>
      <w:r w:rsidRPr="00452C3C">
        <w:rPr>
          <w:rFonts w:cs="Times New Roman"/>
          <w:snapToGrid w:val="0"/>
          <w:kern w:val="22"/>
          <w:szCs w:val="22"/>
          <w:lang w:val="fr-CA"/>
        </w:rPr>
        <w:t>financement</w:t>
      </w:r>
      <w:r w:rsidR="006872FB" w:rsidRPr="00452C3C">
        <w:rPr>
          <w:rFonts w:eastAsia="Times New Roman" w:cs="Times New Roman"/>
          <w:iCs/>
          <w:snapToGrid w:val="0"/>
          <w:kern w:val="22"/>
          <w:szCs w:val="22"/>
          <w:lang w:val="fr-CA"/>
        </w:rPr>
        <w:t xml:space="preserve"> (OPS5 </w:t>
      </w:r>
      <w:r w:rsidR="00452C3C" w:rsidRPr="00452C3C">
        <w:rPr>
          <w:rFonts w:eastAsia="Times New Roman" w:cs="Times New Roman"/>
          <w:iCs/>
          <w:snapToGrid w:val="0"/>
          <w:kern w:val="22"/>
          <w:szCs w:val="22"/>
          <w:lang w:val="fr-CA"/>
        </w:rPr>
        <w:t>Série technique n</w:t>
      </w:r>
      <w:r w:rsidR="00452C3C" w:rsidRPr="00452C3C">
        <w:rPr>
          <w:rFonts w:eastAsia="Times New Roman" w:cs="Times New Roman"/>
          <w:iCs/>
          <w:snapToGrid w:val="0"/>
          <w:kern w:val="22"/>
          <w:szCs w:val="22"/>
          <w:vertAlign w:val="superscript"/>
          <w:lang w:val="fr-CA"/>
        </w:rPr>
        <w:t>o</w:t>
      </w:r>
      <w:r w:rsidR="00452C3C" w:rsidRPr="00452C3C">
        <w:rPr>
          <w:rFonts w:eastAsia="Times New Roman" w:cs="Times New Roman"/>
          <w:iCs/>
          <w:snapToGrid w:val="0"/>
          <w:kern w:val="22"/>
          <w:szCs w:val="22"/>
          <w:lang w:val="fr-CA"/>
        </w:rPr>
        <w:t xml:space="preserve"> 21</w:t>
      </w:r>
      <w:r w:rsidR="006872FB" w:rsidRPr="00452C3C">
        <w:rPr>
          <w:rFonts w:eastAsia="Times New Roman" w:cs="Times New Roman"/>
          <w:iCs/>
          <w:snapToGrid w:val="0"/>
          <w:kern w:val="22"/>
          <w:szCs w:val="22"/>
          <w:lang w:val="fr-CA"/>
        </w:rPr>
        <w:t xml:space="preserve">, </w:t>
      </w:r>
      <w:r w:rsidR="00452C3C" w:rsidRPr="00452C3C">
        <w:rPr>
          <w:rFonts w:eastAsia="Times New Roman" w:cs="Times New Roman"/>
          <w:iCs/>
          <w:snapToGrid w:val="0"/>
          <w:kern w:val="22"/>
          <w:szCs w:val="22"/>
          <w:lang w:val="fr-CA"/>
        </w:rPr>
        <w:t>novembre</w:t>
      </w:r>
      <w:r w:rsidR="006872FB" w:rsidRPr="00452C3C">
        <w:rPr>
          <w:rFonts w:eastAsia="Times New Roman" w:cs="Times New Roman"/>
          <w:iCs/>
          <w:snapToGrid w:val="0"/>
          <w:kern w:val="22"/>
          <w:szCs w:val="22"/>
          <w:lang w:val="fr-CA"/>
        </w:rPr>
        <w:t xml:space="preserve"> 2013</w:t>
      </w:r>
      <w:r w:rsidR="006872FB" w:rsidRPr="00452C3C">
        <w:rPr>
          <w:rFonts w:cs="Times New Roman"/>
          <w:snapToGrid w:val="0"/>
          <w:kern w:val="22"/>
          <w:szCs w:val="22"/>
          <w:lang w:val="fr-CA"/>
        </w:rPr>
        <w:t xml:space="preserve">), </w:t>
      </w:r>
      <w:r w:rsidR="00EB3FD2">
        <w:rPr>
          <w:rFonts w:cs="Times New Roman"/>
          <w:snapToGrid w:val="0"/>
          <w:kern w:val="22"/>
          <w:szCs w:val="22"/>
          <w:lang w:val="fr-CA"/>
        </w:rPr>
        <w:t>s</w:t>
      </w:r>
      <w:r w:rsidR="00452C3C" w:rsidRPr="00452C3C">
        <w:rPr>
          <w:rFonts w:cs="Times New Roman"/>
          <w:snapToGrid w:val="0"/>
          <w:kern w:val="22"/>
          <w:szCs w:val="22"/>
          <w:lang w:val="fr-CA"/>
        </w:rPr>
        <w:t>ixi</w:t>
      </w:r>
      <w:r w:rsidR="00452C3C">
        <w:rPr>
          <w:rFonts w:cs="Times New Roman"/>
          <w:snapToGrid w:val="0"/>
          <w:kern w:val="22"/>
          <w:szCs w:val="22"/>
          <w:lang w:val="fr-CA"/>
        </w:rPr>
        <w:t>ème évaluation exhausti</w:t>
      </w:r>
      <w:r w:rsidR="00452C3C" w:rsidRPr="00452C3C">
        <w:rPr>
          <w:rFonts w:cs="Times New Roman"/>
          <w:snapToGrid w:val="0"/>
          <w:kern w:val="22"/>
          <w:szCs w:val="22"/>
          <w:lang w:val="fr-CA"/>
        </w:rPr>
        <w:t>ve du FEM</w:t>
      </w:r>
      <w:r w:rsidR="006872FB" w:rsidRPr="00452C3C">
        <w:rPr>
          <w:rFonts w:cs="Times New Roman"/>
          <w:snapToGrid w:val="0"/>
          <w:kern w:val="22"/>
          <w:szCs w:val="22"/>
          <w:lang w:val="fr-CA"/>
        </w:rPr>
        <w:t xml:space="preserve"> (OPS6) (</w:t>
      </w:r>
      <w:proofErr w:type="spellStart"/>
      <w:r w:rsidR="006872FB" w:rsidRPr="00452C3C">
        <w:rPr>
          <w:rFonts w:cs="Times New Roman"/>
          <w:snapToGrid w:val="0"/>
          <w:kern w:val="22"/>
          <w:szCs w:val="22"/>
          <w:lang w:val="fr-CA"/>
        </w:rPr>
        <w:t>GEF</w:t>
      </w:r>
      <w:proofErr w:type="spellEnd"/>
      <w:r w:rsidR="006872FB" w:rsidRPr="00452C3C">
        <w:rPr>
          <w:rFonts w:cs="Times New Roman"/>
          <w:snapToGrid w:val="0"/>
          <w:kern w:val="22"/>
          <w:szCs w:val="22"/>
          <w:lang w:val="fr-CA"/>
        </w:rPr>
        <w:t>/R.7/</w:t>
      </w:r>
      <w:proofErr w:type="spellStart"/>
      <w:r w:rsidR="006872FB" w:rsidRPr="00452C3C">
        <w:rPr>
          <w:rFonts w:cs="Times New Roman"/>
          <w:snapToGrid w:val="0"/>
          <w:kern w:val="22"/>
          <w:szCs w:val="22"/>
          <w:lang w:val="fr-CA"/>
        </w:rPr>
        <w:t>Misc</w:t>
      </w:r>
      <w:proofErr w:type="spellEnd"/>
      <w:r w:rsidR="006872FB" w:rsidRPr="00452C3C">
        <w:rPr>
          <w:rFonts w:cs="Times New Roman"/>
          <w:snapToGrid w:val="0"/>
          <w:kern w:val="22"/>
          <w:szCs w:val="22"/>
          <w:lang w:val="fr-CA"/>
        </w:rPr>
        <w:t>/OPS6-</w:t>
      </w:r>
      <w:r w:rsidR="00FB4987">
        <w:rPr>
          <w:rFonts w:cs="Times New Roman"/>
          <w:snapToGrid w:val="0"/>
          <w:kern w:val="22"/>
          <w:szCs w:val="22"/>
          <w:lang w:val="fr-CA"/>
        </w:rPr>
        <w:t>R</w:t>
      </w:r>
      <w:r w:rsidR="00452C3C">
        <w:rPr>
          <w:rFonts w:cs="Times New Roman"/>
          <w:snapToGrid w:val="0"/>
          <w:kern w:val="22"/>
          <w:szCs w:val="22"/>
          <w:lang w:val="fr-CA"/>
        </w:rPr>
        <w:t>apport final</w:t>
      </w:r>
      <w:r w:rsidR="006872FB" w:rsidRPr="00452C3C">
        <w:rPr>
          <w:rFonts w:cs="Times New Roman"/>
          <w:snapToGrid w:val="0"/>
          <w:kern w:val="22"/>
          <w:szCs w:val="22"/>
          <w:lang w:val="fr-CA"/>
        </w:rPr>
        <w:t xml:space="preserve">, </w:t>
      </w:r>
      <w:r w:rsidR="00452C3C">
        <w:rPr>
          <w:rFonts w:cs="Times New Roman"/>
          <w:snapToGrid w:val="0"/>
          <w:kern w:val="22"/>
          <w:szCs w:val="22"/>
          <w:lang w:val="fr-CA"/>
        </w:rPr>
        <w:t>décembre</w:t>
      </w:r>
      <w:r w:rsidR="006872FB" w:rsidRPr="00452C3C">
        <w:rPr>
          <w:rFonts w:cs="Times New Roman"/>
          <w:snapToGrid w:val="0"/>
          <w:kern w:val="22"/>
          <w:szCs w:val="22"/>
          <w:lang w:val="fr-CA"/>
        </w:rPr>
        <w:t xml:space="preserve"> 2017)</w:t>
      </w:r>
      <w:r w:rsidR="0007070D" w:rsidRPr="00452C3C">
        <w:rPr>
          <w:rFonts w:cs="Times New Roman"/>
          <w:snapToGrid w:val="0"/>
          <w:kern w:val="22"/>
          <w:szCs w:val="22"/>
          <w:lang w:val="fr-CA"/>
        </w:rPr>
        <w:t>;</w:t>
      </w:r>
    </w:p>
    <w:p w:rsidR="006872FB" w:rsidRPr="00452C3C" w:rsidRDefault="00452C3C"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452C3C">
        <w:rPr>
          <w:rFonts w:cs="Times New Roman"/>
          <w:snapToGrid w:val="0"/>
          <w:kern w:val="22"/>
          <w:szCs w:val="22"/>
          <w:lang w:val="fr-CA"/>
        </w:rPr>
        <w:t xml:space="preserve">Surcoûts : </w:t>
      </w:r>
      <w:r w:rsidR="00EB3FD2">
        <w:rPr>
          <w:rFonts w:cs="Times New Roman"/>
          <w:snapToGrid w:val="0"/>
          <w:kern w:val="22"/>
          <w:szCs w:val="22"/>
          <w:lang w:val="fr-CA"/>
        </w:rPr>
        <w:t>É</w:t>
      </w:r>
      <w:r w:rsidRPr="00452C3C">
        <w:rPr>
          <w:rFonts w:cs="Times New Roman"/>
          <w:snapToGrid w:val="0"/>
          <w:kern w:val="22"/>
          <w:szCs w:val="22"/>
          <w:lang w:val="fr-CA"/>
        </w:rPr>
        <w:t>valuation de l’examen des surcoûts</w:t>
      </w:r>
      <w:r w:rsidR="006872FB" w:rsidRPr="00452C3C">
        <w:rPr>
          <w:rFonts w:cs="Times New Roman"/>
          <w:snapToGrid w:val="0"/>
          <w:kern w:val="22"/>
          <w:szCs w:val="22"/>
          <w:lang w:val="fr-CA"/>
        </w:rPr>
        <w:t xml:space="preserve"> (</w:t>
      </w:r>
      <w:proofErr w:type="spellStart"/>
      <w:r w:rsidR="006872FB" w:rsidRPr="00452C3C">
        <w:rPr>
          <w:rFonts w:cs="Times New Roman"/>
          <w:snapToGrid w:val="0"/>
          <w:kern w:val="22"/>
          <w:szCs w:val="22"/>
          <w:lang w:val="fr-CA"/>
        </w:rPr>
        <w:t>GEF</w:t>
      </w:r>
      <w:proofErr w:type="spellEnd"/>
      <w:r w:rsidR="006872FB" w:rsidRPr="00452C3C">
        <w:rPr>
          <w:rFonts w:cs="Times New Roman"/>
          <w:snapToGrid w:val="0"/>
          <w:kern w:val="22"/>
          <w:szCs w:val="22"/>
          <w:lang w:val="fr-CA"/>
        </w:rPr>
        <w:t>/ME/C.30/2, 2</w:t>
      </w:r>
      <w:r w:rsidRPr="00452C3C">
        <w:rPr>
          <w:rFonts w:cs="Times New Roman"/>
          <w:snapToGrid w:val="0"/>
          <w:kern w:val="22"/>
          <w:szCs w:val="22"/>
          <w:lang w:val="fr-CA"/>
        </w:rPr>
        <w:t xml:space="preserve"> novembre</w:t>
      </w:r>
      <w:r w:rsidR="006872FB" w:rsidRPr="00452C3C">
        <w:rPr>
          <w:rFonts w:cs="Times New Roman"/>
          <w:snapToGrid w:val="0"/>
          <w:kern w:val="22"/>
          <w:szCs w:val="22"/>
          <w:lang w:val="fr-CA"/>
        </w:rPr>
        <w:t xml:space="preserve"> 2006) </w:t>
      </w:r>
      <w:r w:rsidRPr="00452C3C">
        <w:rPr>
          <w:rFonts w:cs="Times New Roman"/>
          <w:snapToGrid w:val="0"/>
          <w:kern w:val="22"/>
          <w:szCs w:val="22"/>
          <w:lang w:val="fr-CA"/>
        </w:rPr>
        <w:t>Durabilité : sixi</w:t>
      </w:r>
      <w:r>
        <w:rPr>
          <w:rFonts w:cs="Times New Roman"/>
          <w:snapToGrid w:val="0"/>
          <w:kern w:val="22"/>
          <w:szCs w:val="22"/>
          <w:lang w:val="fr-CA"/>
        </w:rPr>
        <w:t>ème évaluation exhaustive du FEM</w:t>
      </w:r>
      <w:r w:rsidR="006872FB" w:rsidRPr="00452C3C">
        <w:rPr>
          <w:rFonts w:cs="Times New Roman"/>
          <w:snapToGrid w:val="0"/>
          <w:kern w:val="22"/>
          <w:szCs w:val="22"/>
          <w:lang w:val="fr-CA"/>
        </w:rPr>
        <w:t xml:space="preserve"> (OPS6) (</w:t>
      </w:r>
      <w:proofErr w:type="spellStart"/>
      <w:r w:rsidR="006872FB" w:rsidRPr="00452C3C">
        <w:rPr>
          <w:rFonts w:cs="Times New Roman"/>
          <w:snapToGrid w:val="0"/>
          <w:kern w:val="22"/>
          <w:szCs w:val="22"/>
          <w:lang w:val="fr-CA"/>
        </w:rPr>
        <w:t>GEF</w:t>
      </w:r>
      <w:proofErr w:type="spellEnd"/>
      <w:r w:rsidR="006872FB" w:rsidRPr="00452C3C">
        <w:rPr>
          <w:rFonts w:cs="Times New Roman"/>
          <w:snapToGrid w:val="0"/>
          <w:kern w:val="22"/>
          <w:szCs w:val="22"/>
          <w:lang w:val="fr-CA"/>
        </w:rPr>
        <w:t>/R.7/</w:t>
      </w:r>
      <w:proofErr w:type="spellStart"/>
      <w:r w:rsidR="006872FB" w:rsidRPr="00452C3C">
        <w:rPr>
          <w:rFonts w:cs="Times New Roman"/>
          <w:snapToGrid w:val="0"/>
          <w:kern w:val="22"/>
          <w:szCs w:val="22"/>
          <w:lang w:val="fr-CA"/>
        </w:rPr>
        <w:t>Misc</w:t>
      </w:r>
      <w:proofErr w:type="spellEnd"/>
      <w:r w:rsidR="006872FB" w:rsidRPr="00452C3C">
        <w:rPr>
          <w:rFonts w:cs="Times New Roman"/>
          <w:snapToGrid w:val="0"/>
          <w:kern w:val="22"/>
          <w:szCs w:val="22"/>
          <w:lang w:val="fr-CA"/>
        </w:rPr>
        <w:t>/OPS6-</w:t>
      </w:r>
      <w:r>
        <w:rPr>
          <w:rFonts w:cs="Times New Roman"/>
          <w:snapToGrid w:val="0"/>
          <w:kern w:val="22"/>
          <w:szCs w:val="22"/>
          <w:lang w:val="fr-CA"/>
        </w:rPr>
        <w:t>Rapport final, décembre</w:t>
      </w:r>
      <w:r w:rsidR="006872FB" w:rsidRPr="00452C3C">
        <w:rPr>
          <w:rFonts w:cs="Times New Roman"/>
          <w:snapToGrid w:val="0"/>
          <w:kern w:val="22"/>
          <w:szCs w:val="22"/>
          <w:lang w:val="fr-CA"/>
        </w:rPr>
        <w:t xml:space="preserve"> 2017)</w:t>
      </w:r>
      <w:r w:rsidR="0007070D" w:rsidRPr="00452C3C">
        <w:rPr>
          <w:rFonts w:cs="Times New Roman"/>
          <w:snapToGrid w:val="0"/>
          <w:kern w:val="22"/>
          <w:szCs w:val="22"/>
          <w:lang w:val="fr-CA"/>
        </w:rPr>
        <w:t>;</w:t>
      </w:r>
    </w:p>
    <w:p w:rsidR="006872FB" w:rsidRPr="00AB2BD4" w:rsidRDefault="00EB3FD2"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Pr>
          <w:rFonts w:cs="Times New Roman"/>
          <w:snapToGrid w:val="0"/>
          <w:kern w:val="22"/>
          <w:szCs w:val="22"/>
          <w:lang w:val="fr-CA"/>
        </w:rPr>
        <w:t>Appropriation : É</w:t>
      </w:r>
      <w:r w:rsidR="00452C3C">
        <w:rPr>
          <w:rFonts w:cs="Times New Roman"/>
          <w:snapToGrid w:val="0"/>
          <w:kern w:val="22"/>
          <w:szCs w:val="22"/>
          <w:lang w:val="fr-CA"/>
        </w:rPr>
        <w:t xml:space="preserve">valuation du système du FEM pour </w:t>
      </w:r>
      <w:r>
        <w:rPr>
          <w:rFonts w:cs="Times New Roman"/>
          <w:snapToGrid w:val="0"/>
          <w:kern w:val="22"/>
          <w:szCs w:val="22"/>
          <w:lang w:val="fr-CA"/>
        </w:rPr>
        <w:t>l’affectation</w:t>
      </w:r>
      <w:r w:rsidR="00452C3C">
        <w:rPr>
          <w:rFonts w:cs="Times New Roman"/>
          <w:snapToGrid w:val="0"/>
          <w:kern w:val="22"/>
          <w:szCs w:val="22"/>
          <w:lang w:val="fr-CA"/>
        </w:rPr>
        <w:t xml:space="preserve"> transparent</w:t>
      </w:r>
      <w:r w:rsidR="002E2966">
        <w:rPr>
          <w:rFonts w:cs="Times New Roman"/>
          <w:snapToGrid w:val="0"/>
          <w:kern w:val="22"/>
          <w:szCs w:val="22"/>
          <w:lang w:val="fr-CA"/>
        </w:rPr>
        <w:t>e</w:t>
      </w:r>
      <w:r w:rsidR="00452C3C">
        <w:rPr>
          <w:rFonts w:cs="Times New Roman"/>
          <w:snapToGrid w:val="0"/>
          <w:kern w:val="22"/>
          <w:szCs w:val="22"/>
          <w:lang w:val="fr-CA"/>
        </w:rPr>
        <w:t xml:space="preserve"> des ressources </w:t>
      </w:r>
      <w:r w:rsidR="006872FB" w:rsidRPr="00AB2BD4">
        <w:rPr>
          <w:rFonts w:cs="Times New Roman"/>
          <w:snapToGrid w:val="0"/>
          <w:kern w:val="22"/>
          <w:szCs w:val="22"/>
          <w:lang w:val="fr-CA"/>
        </w:rPr>
        <w:t>(</w:t>
      </w:r>
      <w:proofErr w:type="spellStart"/>
      <w:r w:rsidR="006872FB" w:rsidRPr="00AB2BD4">
        <w:rPr>
          <w:rFonts w:cs="Times New Roman"/>
          <w:snapToGrid w:val="0"/>
          <w:kern w:val="22"/>
          <w:szCs w:val="22"/>
          <w:lang w:val="fr-CA"/>
        </w:rPr>
        <w:t>GEF</w:t>
      </w:r>
      <w:proofErr w:type="spellEnd"/>
      <w:r w:rsidR="006872FB" w:rsidRPr="00AB2BD4">
        <w:rPr>
          <w:rFonts w:cs="Times New Roman"/>
          <w:snapToGrid w:val="0"/>
          <w:kern w:val="22"/>
          <w:szCs w:val="22"/>
          <w:lang w:val="fr-CA"/>
        </w:rPr>
        <w:t xml:space="preserve">/ME/C.53/Inf.10, </w:t>
      </w:r>
      <w:r w:rsidR="002E2966">
        <w:rPr>
          <w:rFonts w:cs="Times New Roman"/>
          <w:snapToGrid w:val="0"/>
          <w:kern w:val="22"/>
          <w:szCs w:val="22"/>
          <w:lang w:val="fr-CA"/>
        </w:rPr>
        <w:t>novembre</w:t>
      </w:r>
      <w:r w:rsidR="006872FB" w:rsidRPr="00AB2BD4">
        <w:rPr>
          <w:rFonts w:cs="Times New Roman"/>
          <w:snapToGrid w:val="0"/>
          <w:kern w:val="22"/>
          <w:szCs w:val="22"/>
          <w:lang w:val="fr-CA"/>
        </w:rPr>
        <w:t xml:space="preserve"> 2017)</w:t>
      </w:r>
      <w:r w:rsidR="0007070D" w:rsidRPr="00AB2BD4">
        <w:rPr>
          <w:rFonts w:cs="Times New Roman"/>
          <w:snapToGrid w:val="0"/>
          <w:kern w:val="22"/>
          <w:szCs w:val="22"/>
          <w:lang w:val="fr-CA"/>
        </w:rPr>
        <w:t>;</w:t>
      </w:r>
    </w:p>
    <w:p w:rsidR="006872FB" w:rsidRPr="002E2966" w:rsidRDefault="002E2966"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2E2966">
        <w:rPr>
          <w:rFonts w:cs="Times New Roman"/>
          <w:snapToGrid w:val="0"/>
          <w:kern w:val="22"/>
          <w:szCs w:val="22"/>
          <w:lang w:val="fr-CA"/>
        </w:rPr>
        <w:t xml:space="preserve">Conformité </w:t>
      </w:r>
      <w:r w:rsidR="003E1BD9">
        <w:rPr>
          <w:rFonts w:cs="Times New Roman"/>
          <w:snapToGrid w:val="0"/>
          <w:kern w:val="22"/>
          <w:szCs w:val="22"/>
          <w:lang w:val="fr-CA"/>
        </w:rPr>
        <w:t>et collaboration des agences : É</w:t>
      </w:r>
      <w:r w:rsidRPr="002E2966">
        <w:rPr>
          <w:rFonts w:cs="Times New Roman"/>
          <w:snapToGrid w:val="0"/>
          <w:kern w:val="22"/>
          <w:szCs w:val="22"/>
          <w:lang w:val="fr-CA"/>
        </w:rPr>
        <w:t>valuation du processus d’accréditation pour l’expansion du partenariat du FEM</w:t>
      </w:r>
      <w:r w:rsidR="006872FB" w:rsidRPr="002E2966">
        <w:rPr>
          <w:rFonts w:cs="Times New Roman"/>
          <w:snapToGrid w:val="0"/>
          <w:kern w:val="22"/>
          <w:szCs w:val="22"/>
          <w:lang w:val="fr-CA"/>
        </w:rPr>
        <w:t xml:space="preserve"> (</w:t>
      </w:r>
      <w:proofErr w:type="spellStart"/>
      <w:r w:rsidR="006872FB" w:rsidRPr="002E2966">
        <w:rPr>
          <w:rFonts w:cs="Times New Roman"/>
          <w:snapToGrid w:val="0"/>
          <w:kern w:val="22"/>
          <w:szCs w:val="22"/>
          <w:lang w:val="fr-CA"/>
        </w:rPr>
        <w:t>GEF</w:t>
      </w:r>
      <w:proofErr w:type="spellEnd"/>
      <w:r w:rsidR="006872FB" w:rsidRPr="002E2966">
        <w:rPr>
          <w:rFonts w:cs="Times New Roman"/>
          <w:snapToGrid w:val="0"/>
          <w:kern w:val="22"/>
          <w:szCs w:val="22"/>
          <w:lang w:val="fr-CA"/>
        </w:rPr>
        <w:t xml:space="preserve">/ME/C.48/Inf.03, </w:t>
      </w:r>
      <w:r w:rsidRPr="002E2966">
        <w:rPr>
          <w:rFonts w:cs="Times New Roman"/>
          <w:snapToGrid w:val="0"/>
          <w:kern w:val="22"/>
          <w:szCs w:val="22"/>
          <w:lang w:val="fr-CA"/>
        </w:rPr>
        <w:t>juin</w:t>
      </w:r>
      <w:r w:rsidR="006872FB" w:rsidRPr="002E2966">
        <w:rPr>
          <w:rFonts w:cs="Times New Roman"/>
          <w:snapToGrid w:val="0"/>
          <w:kern w:val="22"/>
          <w:szCs w:val="22"/>
          <w:lang w:val="fr-CA"/>
        </w:rPr>
        <w:t xml:space="preserve"> 2015), </w:t>
      </w:r>
      <w:r w:rsidRPr="002E2966">
        <w:rPr>
          <w:rFonts w:cs="Times New Roman"/>
          <w:snapToGrid w:val="0"/>
          <w:kern w:val="22"/>
          <w:szCs w:val="22"/>
          <w:lang w:val="fr-CA"/>
        </w:rPr>
        <w:t xml:space="preserve">évaluation de l’expansion du partenariat du </w:t>
      </w:r>
      <w:r w:rsidRPr="003E1BD9">
        <w:rPr>
          <w:rFonts w:cs="Times New Roman"/>
          <w:snapToGrid w:val="0"/>
          <w:kern w:val="22"/>
          <w:szCs w:val="22"/>
          <w:lang w:val="fr-CA"/>
        </w:rPr>
        <w:t xml:space="preserve">FEM : première phase </w:t>
      </w:r>
      <w:r w:rsidR="006872FB" w:rsidRPr="003E1BD9">
        <w:rPr>
          <w:rFonts w:cs="Times New Roman"/>
          <w:snapToGrid w:val="0"/>
          <w:kern w:val="22"/>
          <w:szCs w:val="22"/>
          <w:lang w:val="fr-CA"/>
        </w:rPr>
        <w:t>(</w:t>
      </w:r>
      <w:proofErr w:type="spellStart"/>
      <w:r w:rsidR="006872FB" w:rsidRPr="003E1BD9">
        <w:rPr>
          <w:rFonts w:cs="Times New Roman"/>
          <w:snapToGrid w:val="0"/>
          <w:kern w:val="22"/>
          <w:szCs w:val="22"/>
          <w:lang w:val="fr-CA"/>
        </w:rPr>
        <w:t>GEF</w:t>
      </w:r>
      <w:proofErr w:type="spellEnd"/>
      <w:r w:rsidR="006872FB" w:rsidRPr="003E1BD9">
        <w:rPr>
          <w:rFonts w:cs="Times New Roman"/>
          <w:snapToGrid w:val="0"/>
          <w:kern w:val="22"/>
          <w:szCs w:val="22"/>
          <w:lang w:val="fr-CA"/>
        </w:rPr>
        <w:t xml:space="preserve">/ME/C.50/06, </w:t>
      </w:r>
      <w:r w:rsidRPr="003E1BD9">
        <w:rPr>
          <w:rFonts w:cs="Times New Roman"/>
          <w:snapToGrid w:val="0"/>
          <w:kern w:val="22"/>
          <w:szCs w:val="22"/>
          <w:lang w:val="fr-CA"/>
        </w:rPr>
        <w:t>juin</w:t>
      </w:r>
      <w:r w:rsidR="006872FB" w:rsidRPr="003E1BD9">
        <w:rPr>
          <w:rFonts w:cs="Times New Roman"/>
          <w:snapToGrid w:val="0"/>
          <w:kern w:val="22"/>
          <w:szCs w:val="22"/>
          <w:lang w:val="fr-CA"/>
        </w:rPr>
        <w:t xml:space="preserve"> 2016), </w:t>
      </w:r>
      <w:r w:rsidRPr="003E1BD9">
        <w:rPr>
          <w:rFonts w:cs="Times New Roman"/>
          <w:snapToGrid w:val="0"/>
          <w:kern w:val="22"/>
          <w:szCs w:val="22"/>
          <w:lang w:val="fr-CA"/>
        </w:rPr>
        <w:t xml:space="preserve">examen des politiques du FEM sur les </w:t>
      </w:r>
      <w:r w:rsidRPr="003E1BD9">
        <w:rPr>
          <w:rFonts w:eastAsia="Times New Roman" w:cs="Times New Roman"/>
          <w:snapToGrid w:val="0"/>
          <w:kern w:val="22"/>
          <w:szCs w:val="22"/>
          <w:lang w:val="fr-CA"/>
        </w:rPr>
        <w:t>normes</w:t>
      </w:r>
      <w:r w:rsidRPr="003E1BD9">
        <w:rPr>
          <w:rFonts w:cs="Times New Roman"/>
          <w:snapToGrid w:val="0"/>
          <w:kern w:val="22"/>
          <w:szCs w:val="22"/>
          <w:lang w:val="fr-CA"/>
        </w:rPr>
        <w:t xml:space="preserve"> minimales des agences en matière de sauvegardes environnementales et sociétales</w:t>
      </w:r>
      <w:r w:rsidR="006872FB" w:rsidRPr="003E1BD9">
        <w:rPr>
          <w:rFonts w:cs="Times New Roman"/>
          <w:snapToGrid w:val="0"/>
          <w:kern w:val="22"/>
          <w:szCs w:val="22"/>
          <w:lang w:val="fr-CA"/>
        </w:rPr>
        <w:t xml:space="preserve"> (</w:t>
      </w:r>
      <w:proofErr w:type="spellStart"/>
      <w:r w:rsidR="006872FB" w:rsidRPr="003E1BD9">
        <w:rPr>
          <w:rFonts w:cs="Times New Roman"/>
          <w:snapToGrid w:val="0"/>
          <w:kern w:val="22"/>
          <w:szCs w:val="22"/>
          <w:lang w:val="fr-CA"/>
        </w:rPr>
        <w:t>GEF</w:t>
      </w:r>
      <w:proofErr w:type="spellEnd"/>
      <w:r w:rsidR="006872FB" w:rsidRPr="003E1BD9">
        <w:rPr>
          <w:rFonts w:cs="Times New Roman"/>
          <w:snapToGrid w:val="0"/>
          <w:kern w:val="22"/>
          <w:szCs w:val="22"/>
          <w:lang w:val="fr-CA"/>
        </w:rPr>
        <w:t>/ME/C.52/Inf.08</w:t>
      </w:r>
      <w:r w:rsidR="006872FB" w:rsidRPr="002E2966">
        <w:rPr>
          <w:rFonts w:cs="Times New Roman"/>
          <w:snapToGrid w:val="0"/>
          <w:kern w:val="22"/>
          <w:szCs w:val="22"/>
          <w:lang w:val="fr-CA"/>
        </w:rPr>
        <w:t xml:space="preserve">, </w:t>
      </w:r>
      <w:r>
        <w:rPr>
          <w:rFonts w:cs="Times New Roman"/>
          <w:snapToGrid w:val="0"/>
          <w:kern w:val="22"/>
          <w:szCs w:val="22"/>
          <w:lang w:val="fr-CA"/>
        </w:rPr>
        <w:t>mai</w:t>
      </w:r>
      <w:r w:rsidR="006872FB" w:rsidRPr="002E2966">
        <w:rPr>
          <w:rFonts w:cs="Times New Roman"/>
          <w:snapToGrid w:val="0"/>
          <w:kern w:val="22"/>
          <w:szCs w:val="22"/>
          <w:lang w:val="fr-CA"/>
        </w:rPr>
        <w:t xml:space="preserve"> 2017), </w:t>
      </w:r>
      <w:r>
        <w:rPr>
          <w:rFonts w:cs="Times New Roman"/>
          <w:snapToGrid w:val="0"/>
          <w:kern w:val="22"/>
          <w:szCs w:val="22"/>
          <w:lang w:val="fr-CA"/>
        </w:rPr>
        <w:t>et avantage comparatif, caractère adéquat du financement, santé du partenariat étendu et de la structure de gouvernance du FEM</w:t>
      </w:r>
      <w:r w:rsidR="006872FB" w:rsidRPr="002E2966">
        <w:rPr>
          <w:rFonts w:cs="Times New Roman"/>
          <w:snapToGrid w:val="0"/>
          <w:kern w:val="22"/>
          <w:szCs w:val="22"/>
          <w:lang w:val="fr-CA"/>
        </w:rPr>
        <w:t xml:space="preserve"> (</w:t>
      </w:r>
      <w:proofErr w:type="spellStart"/>
      <w:r w:rsidR="006872FB" w:rsidRPr="002E2966">
        <w:rPr>
          <w:rFonts w:cs="Times New Roman"/>
          <w:snapToGrid w:val="0"/>
          <w:kern w:val="22"/>
          <w:szCs w:val="22"/>
          <w:lang w:val="fr-CA"/>
        </w:rPr>
        <w:t>GEF</w:t>
      </w:r>
      <w:proofErr w:type="spellEnd"/>
      <w:r w:rsidR="006872FB" w:rsidRPr="002E2966">
        <w:rPr>
          <w:rFonts w:cs="Times New Roman"/>
          <w:snapToGrid w:val="0"/>
          <w:kern w:val="22"/>
          <w:szCs w:val="22"/>
          <w:lang w:val="fr-CA"/>
        </w:rPr>
        <w:t xml:space="preserve">/ME/C.53/Inf.09, </w:t>
      </w:r>
      <w:r>
        <w:rPr>
          <w:rFonts w:cs="Times New Roman"/>
          <w:snapToGrid w:val="0"/>
          <w:kern w:val="22"/>
          <w:szCs w:val="22"/>
          <w:lang w:val="fr-CA"/>
        </w:rPr>
        <w:t>novembre</w:t>
      </w:r>
      <w:r w:rsidR="006872FB" w:rsidRPr="002E2966">
        <w:rPr>
          <w:rFonts w:cs="Times New Roman"/>
          <w:snapToGrid w:val="0"/>
          <w:kern w:val="22"/>
          <w:szCs w:val="22"/>
          <w:lang w:val="fr-CA"/>
        </w:rPr>
        <w:t xml:space="preserve"> 2017)</w:t>
      </w:r>
      <w:r w:rsidR="0007070D" w:rsidRPr="002E2966">
        <w:rPr>
          <w:rFonts w:cs="Times New Roman"/>
          <w:snapToGrid w:val="0"/>
          <w:kern w:val="22"/>
          <w:szCs w:val="22"/>
          <w:lang w:val="fr-CA"/>
        </w:rPr>
        <w:t>;</w:t>
      </w:r>
    </w:p>
    <w:p w:rsidR="006872FB" w:rsidRPr="00AB2BD4" w:rsidRDefault="00D8790C"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Pr>
          <w:rFonts w:cs="Times New Roman"/>
          <w:snapToGrid w:val="0"/>
          <w:kern w:val="22"/>
          <w:szCs w:val="22"/>
          <w:lang w:val="fr-CA"/>
        </w:rPr>
        <w:t>Suivi et évaluation : S</w:t>
      </w:r>
      <w:r w:rsidR="002E2966">
        <w:rPr>
          <w:rFonts w:cs="Times New Roman"/>
          <w:snapToGrid w:val="0"/>
          <w:kern w:val="22"/>
          <w:szCs w:val="22"/>
          <w:lang w:val="fr-CA"/>
        </w:rPr>
        <w:t>ixième évaluation exhaustive du FEM</w:t>
      </w:r>
      <w:r w:rsidR="006872FB" w:rsidRPr="00AB2BD4">
        <w:rPr>
          <w:rFonts w:cs="Times New Roman"/>
          <w:snapToGrid w:val="0"/>
          <w:kern w:val="22"/>
          <w:szCs w:val="22"/>
          <w:lang w:val="fr-CA"/>
        </w:rPr>
        <w:t xml:space="preserve"> (OPS6) (</w:t>
      </w:r>
      <w:proofErr w:type="spellStart"/>
      <w:r w:rsidR="006872FB" w:rsidRPr="00AB2BD4">
        <w:rPr>
          <w:rFonts w:cs="Times New Roman"/>
          <w:snapToGrid w:val="0"/>
          <w:kern w:val="22"/>
          <w:szCs w:val="22"/>
          <w:lang w:val="fr-CA"/>
        </w:rPr>
        <w:t>GEF</w:t>
      </w:r>
      <w:proofErr w:type="spellEnd"/>
      <w:r w:rsidR="006872FB" w:rsidRPr="00AB2BD4">
        <w:rPr>
          <w:rFonts w:cs="Times New Roman"/>
          <w:snapToGrid w:val="0"/>
          <w:kern w:val="22"/>
          <w:szCs w:val="22"/>
          <w:lang w:val="fr-CA"/>
        </w:rPr>
        <w:t>/R.7/</w:t>
      </w:r>
      <w:proofErr w:type="spellStart"/>
      <w:r w:rsidR="006872FB" w:rsidRPr="00AB2BD4">
        <w:rPr>
          <w:rFonts w:cs="Times New Roman"/>
          <w:snapToGrid w:val="0"/>
          <w:kern w:val="22"/>
          <w:szCs w:val="22"/>
          <w:lang w:val="fr-CA"/>
        </w:rPr>
        <w:t>Misc</w:t>
      </w:r>
      <w:proofErr w:type="spellEnd"/>
      <w:r w:rsidR="006872FB" w:rsidRPr="00AB2BD4">
        <w:rPr>
          <w:rFonts w:cs="Times New Roman"/>
          <w:snapToGrid w:val="0"/>
          <w:kern w:val="22"/>
          <w:szCs w:val="22"/>
          <w:lang w:val="fr-CA"/>
        </w:rPr>
        <w:t xml:space="preserve">/OPS6-Final Report, </w:t>
      </w:r>
      <w:r w:rsidR="002E2966">
        <w:rPr>
          <w:rFonts w:cs="Times New Roman"/>
          <w:snapToGrid w:val="0"/>
          <w:kern w:val="22"/>
          <w:szCs w:val="22"/>
          <w:lang w:val="fr-CA"/>
        </w:rPr>
        <w:t>décembre</w:t>
      </w:r>
      <w:r w:rsidR="006872FB" w:rsidRPr="00AB2BD4">
        <w:rPr>
          <w:rFonts w:cs="Times New Roman"/>
          <w:snapToGrid w:val="0"/>
          <w:kern w:val="22"/>
          <w:szCs w:val="22"/>
          <w:lang w:val="fr-CA"/>
        </w:rPr>
        <w:t xml:space="preserve"> 2017)</w:t>
      </w:r>
      <w:r w:rsidR="0007070D" w:rsidRPr="00AB2BD4">
        <w:rPr>
          <w:rFonts w:cs="Times New Roman"/>
          <w:snapToGrid w:val="0"/>
          <w:kern w:val="22"/>
          <w:szCs w:val="22"/>
          <w:lang w:val="fr-CA"/>
        </w:rPr>
        <w:t>;</w:t>
      </w:r>
    </w:p>
    <w:p w:rsidR="006872FB" w:rsidRPr="00AB2BD4" w:rsidRDefault="002E2966"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Pr>
          <w:rFonts w:cs="Times New Roman"/>
          <w:snapToGrid w:val="0"/>
          <w:kern w:val="22"/>
          <w:szCs w:val="22"/>
          <w:lang w:val="fr-CA"/>
        </w:rPr>
        <w:t xml:space="preserve">Programme de petites subventions : </w:t>
      </w:r>
      <w:r w:rsidR="00D8790C">
        <w:rPr>
          <w:rFonts w:cs="Times New Roman"/>
          <w:snapToGrid w:val="0"/>
          <w:kern w:val="22"/>
          <w:szCs w:val="22"/>
          <w:lang w:val="fr-CA"/>
        </w:rPr>
        <w:t>P</w:t>
      </w:r>
      <w:r w:rsidR="00020A26">
        <w:rPr>
          <w:rFonts w:cs="Times New Roman"/>
          <w:snapToGrid w:val="0"/>
          <w:kern w:val="22"/>
          <w:szCs w:val="22"/>
          <w:lang w:val="fr-CA"/>
        </w:rPr>
        <w:t xml:space="preserve">rogramme mixte de petites subventions du FEM/PNUD </w:t>
      </w:r>
      <w:r w:rsidR="006872FB" w:rsidRPr="00AB2BD4">
        <w:rPr>
          <w:rFonts w:cs="Times New Roman"/>
          <w:snapToGrid w:val="0"/>
          <w:kern w:val="22"/>
          <w:szCs w:val="22"/>
          <w:lang w:val="fr-CA"/>
        </w:rPr>
        <w:t>(</w:t>
      </w:r>
      <w:proofErr w:type="spellStart"/>
      <w:r w:rsidR="006872FB" w:rsidRPr="00AB2BD4">
        <w:rPr>
          <w:rFonts w:cs="Times New Roman"/>
          <w:snapToGrid w:val="0"/>
          <w:kern w:val="22"/>
          <w:szCs w:val="22"/>
          <w:lang w:val="fr-CA"/>
        </w:rPr>
        <w:t>GEF</w:t>
      </w:r>
      <w:proofErr w:type="spellEnd"/>
      <w:r w:rsidR="006872FB" w:rsidRPr="00AB2BD4">
        <w:rPr>
          <w:rFonts w:cs="Times New Roman"/>
          <w:snapToGrid w:val="0"/>
          <w:kern w:val="22"/>
          <w:szCs w:val="22"/>
          <w:lang w:val="fr-CA"/>
        </w:rPr>
        <w:t xml:space="preserve">/ME/C.48/Inf.02, </w:t>
      </w:r>
      <w:r w:rsidR="00020A26">
        <w:rPr>
          <w:rFonts w:cs="Times New Roman"/>
          <w:snapToGrid w:val="0"/>
          <w:kern w:val="22"/>
          <w:szCs w:val="22"/>
          <w:lang w:val="fr-CA"/>
        </w:rPr>
        <w:t>mai</w:t>
      </w:r>
      <w:r w:rsidR="006872FB" w:rsidRPr="00AB2BD4">
        <w:rPr>
          <w:rFonts w:cs="Times New Roman"/>
          <w:snapToGrid w:val="0"/>
          <w:kern w:val="22"/>
          <w:szCs w:val="22"/>
          <w:lang w:val="fr-CA"/>
        </w:rPr>
        <w:t xml:space="preserve"> 2015)</w:t>
      </w:r>
      <w:r w:rsidR="0007070D" w:rsidRPr="00AB2BD4">
        <w:rPr>
          <w:rFonts w:cs="Times New Roman"/>
          <w:snapToGrid w:val="0"/>
          <w:kern w:val="22"/>
          <w:szCs w:val="22"/>
          <w:lang w:val="fr-CA"/>
        </w:rPr>
        <w:t>;</w:t>
      </w:r>
    </w:p>
    <w:p w:rsidR="006872FB" w:rsidRPr="00D8790C" w:rsidRDefault="00020A26" w:rsidP="00E733CD">
      <w:pPr>
        <w:numPr>
          <w:ilvl w:val="0"/>
          <w:numId w:val="44"/>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020A26">
        <w:rPr>
          <w:rFonts w:cs="Times New Roman"/>
          <w:snapToGrid w:val="0"/>
          <w:kern w:val="22"/>
          <w:szCs w:val="22"/>
          <w:lang w:val="fr-CA"/>
        </w:rPr>
        <w:t xml:space="preserve">Gestion financière : sixième évaluation exhaustive du FEM </w:t>
      </w:r>
      <w:r w:rsidR="006872FB" w:rsidRPr="00020A26">
        <w:rPr>
          <w:rFonts w:cs="Times New Roman"/>
          <w:snapToGrid w:val="0"/>
          <w:kern w:val="22"/>
          <w:szCs w:val="22"/>
          <w:lang w:val="fr-CA"/>
        </w:rPr>
        <w:t>(OPS6) (</w:t>
      </w:r>
      <w:proofErr w:type="spellStart"/>
      <w:r w:rsidR="006872FB" w:rsidRPr="00020A26">
        <w:rPr>
          <w:rFonts w:cs="Times New Roman"/>
          <w:snapToGrid w:val="0"/>
          <w:kern w:val="22"/>
          <w:szCs w:val="22"/>
          <w:lang w:val="fr-CA"/>
        </w:rPr>
        <w:t>GEF</w:t>
      </w:r>
      <w:proofErr w:type="spellEnd"/>
      <w:r w:rsidR="006872FB" w:rsidRPr="00020A26">
        <w:rPr>
          <w:rFonts w:cs="Times New Roman"/>
          <w:snapToGrid w:val="0"/>
          <w:kern w:val="22"/>
          <w:szCs w:val="22"/>
          <w:lang w:val="fr-CA"/>
        </w:rPr>
        <w:t>/R.7/</w:t>
      </w:r>
      <w:proofErr w:type="spellStart"/>
      <w:r w:rsidR="006872FB" w:rsidRPr="00020A26">
        <w:rPr>
          <w:rFonts w:cs="Times New Roman"/>
          <w:snapToGrid w:val="0"/>
          <w:kern w:val="22"/>
          <w:szCs w:val="22"/>
          <w:lang w:val="fr-CA"/>
        </w:rPr>
        <w:t>Misc</w:t>
      </w:r>
      <w:proofErr w:type="spellEnd"/>
      <w:r w:rsidR="006872FB" w:rsidRPr="00020A26">
        <w:rPr>
          <w:rFonts w:cs="Times New Roman"/>
          <w:snapToGrid w:val="0"/>
          <w:kern w:val="22"/>
          <w:szCs w:val="22"/>
          <w:lang w:val="fr-CA"/>
        </w:rPr>
        <w:t>/OPS6-</w:t>
      </w:r>
      <w:r w:rsidRPr="00020A26">
        <w:rPr>
          <w:rFonts w:cs="Times New Roman"/>
          <w:snapToGrid w:val="0"/>
          <w:kern w:val="22"/>
          <w:szCs w:val="22"/>
          <w:lang w:val="fr-CA"/>
        </w:rPr>
        <w:t>Rapport final, décembre</w:t>
      </w:r>
      <w:r w:rsidR="006872FB" w:rsidRPr="00020A26">
        <w:rPr>
          <w:rFonts w:eastAsia="Times New Roman" w:cs="Times New Roman"/>
          <w:iCs/>
          <w:snapToGrid w:val="0"/>
          <w:kern w:val="22"/>
          <w:szCs w:val="22"/>
          <w:lang w:val="fr-CA"/>
        </w:rPr>
        <w:t xml:space="preserve"> 2017)</w:t>
      </w:r>
      <w:r w:rsidR="0007070D" w:rsidRPr="00020A26">
        <w:rPr>
          <w:rFonts w:eastAsia="Times New Roman" w:cs="Times New Roman"/>
          <w:iCs/>
          <w:snapToGrid w:val="0"/>
          <w:kern w:val="22"/>
          <w:szCs w:val="22"/>
          <w:lang w:val="fr-CA"/>
        </w:rPr>
        <w:t>.</w:t>
      </w:r>
    </w:p>
    <w:p w:rsidR="004C16FB" w:rsidRPr="00D8790C" w:rsidRDefault="00D8790C"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sidRPr="00D8790C">
        <w:rPr>
          <w:rFonts w:cs="Times New Roman"/>
          <w:kern w:val="22"/>
          <w:szCs w:val="22"/>
          <w:lang w:val="fr-CA"/>
        </w:rPr>
        <w:t>Le</w:t>
      </w:r>
      <w:r w:rsidR="00020A26" w:rsidRPr="00D8790C">
        <w:rPr>
          <w:rFonts w:cs="Times New Roman"/>
          <w:kern w:val="22"/>
          <w:szCs w:val="22"/>
          <w:lang w:val="fr-CA"/>
        </w:rPr>
        <w:t xml:space="preserve"> Bureau indépendant d’évaluation a fait participer le personnel du Secrétariat de la </w:t>
      </w:r>
      <w:r w:rsidR="0097352F" w:rsidRPr="00D8790C">
        <w:rPr>
          <w:rFonts w:cs="Times New Roman"/>
          <w:kern w:val="22"/>
          <w:szCs w:val="22"/>
          <w:lang w:val="fr-CA"/>
        </w:rPr>
        <w:t>Convention</w:t>
      </w:r>
      <w:r w:rsidR="00020A26" w:rsidRPr="00D8790C">
        <w:rPr>
          <w:rFonts w:cs="Times New Roman"/>
          <w:kern w:val="22"/>
          <w:szCs w:val="22"/>
          <w:lang w:val="fr-CA"/>
        </w:rPr>
        <w:t xml:space="preserve">, ainsi que les Parties et autres parties prenantes à </w:t>
      </w:r>
      <w:r w:rsidR="00020A26" w:rsidRPr="00D8790C">
        <w:rPr>
          <w:rFonts w:eastAsia="Times New Roman" w:cs="Times New Roman"/>
          <w:kern w:val="22"/>
          <w:szCs w:val="22"/>
          <w:lang w:val="fr-CA"/>
        </w:rPr>
        <w:t>toutes</w:t>
      </w:r>
      <w:r w:rsidR="00020A26" w:rsidRPr="00D8790C">
        <w:rPr>
          <w:rFonts w:cs="Times New Roman"/>
          <w:kern w:val="22"/>
          <w:szCs w:val="22"/>
          <w:lang w:val="fr-CA"/>
        </w:rPr>
        <w:t xml:space="preserve"> se</w:t>
      </w:r>
      <w:r w:rsidR="0097352F" w:rsidRPr="00D8790C">
        <w:rPr>
          <w:rFonts w:cs="Times New Roman"/>
          <w:kern w:val="22"/>
          <w:szCs w:val="22"/>
          <w:lang w:val="fr-CA"/>
        </w:rPr>
        <w:t>s évaluations th</w:t>
      </w:r>
      <w:r w:rsidR="00020A26" w:rsidRPr="00D8790C">
        <w:rPr>
          <w:rFonts w:cs="Times New Roman"/>
          <w:kern w:val="22"/>
          <w:szCs w:val="22"/>
          <w:lang w:val="fr-CA"/>
        </w:rPr>
        <w:t>ématiques et d’impact pendant la préparation de la sixi</w:t>
      </w:r>
      <w:r w:rsidR="0097352F" w:rsidRPr="00D8790C">
        <w:rPr>
          <w:rFonts w:cs="Times New Roman"/>
          <w:kern w:val="22"/>
          <w:szCs w:val="22"/>
          <w:lang w:val="fr-CA"/>
        </w:rPr>
        <w:t>ème évaluation exhaustive d</w:t>
      </w:r>
      <w:r w:rsidR="00020A26" w:rsidRPr="00D8790C">
        <w:rPr>
          <w:rFonts w:cs="Times New Roman"/>
          <w:kern w:val="22"/>
          <w:szCs w:val="22"/>
          <w:lang w:val="fr-CA"/>
        </w:rPr>
        <w:t xml:space="preserve">u FEM, </w:t>
      </w:r>
      <w:r w:rsidR="0097352F" w:rsidRPr="00D8790C">
        <w:rPr>
          <w:rFonts w:cs="Times New Roman"/>
          <w:kern w:val="22"/>
          <w:szCs w:val="22"/>
          <w:lang w:val="fr-CA"/>
        </w:rPr>
        <w:t>au moyen de</w:t>
      </w:r>
      <w:r w:rsidR="00020A26" w:rsidRPr="00D8790C">
        <w:rPr>
          <w:rFonts w:cs="Times New Roman"/>
          <w:kern w:val="22"/>
          <w:szCs w:val="22"/>
          <w:lang w:val="fr-CA"/>
        </w:rPr>
        <w:t xml:space="preserve"> conférence</w:t>
      </w:r>
      <w:r w:rsidR="0097352F" w:rsidRPr="00D8790C">
        <w:rPr>
          <w:rFonts w:cs="Times New Roman"/>
          <w:kern w:val="22"/>
          <w:szCs w:val="22"/>
          <w:lang w:val="fr-CA"/>
        </w:rPr>
        <w:t xml:space="preserve">s </w:t>
      </w:r>
      <w:r w:rsidR="00020A26" w:rsidRPr="00D8790C">
        <w:rPr>
          <w:rFonts w:cs="Times New Roman"/>
          <w:kern w:val="22"/>
          <w:szCs w:val="22"/>
          <w:lang w:val="fr-CA"/>
        </w:rPr>
        <w:t>téléphonique</w:t>
      </w:r>
      <w:r w:rsidR="0097352F" w:rsidRPr="00D8790C">
        <w:rPr>
          <w:rFonts w:cs="Times New Roman"/>
          <w:kern w:val="22"/>
          <w:szCs w:val="22"/>
          <w:lang w:val="fr-CA"/>
        </w:rPr>
        <w:t>, de rencontres, d’enquêtes en ligne et de rencontres en personne. Le rapport de la sixième évaluation exhaustive du FEM</w:t>
      </w:r>
      <w:r w:rsidR="004C16FB" w:rsidRPr="00D8790C">
        <w:rPr>
          <w:rFonts w:cs="Times New Roman"/>
          <w:kern w:val="22"/>
          <w:szCs w:val="22"/>
          <w:lang w:val="fr-CA"/>
        </w:rPr>
        <w:t>,</w:t>
      </w:r>
      <w:r w:rsidR="00033DAA" w:rsidRPr="00D8790C">
        <w:rPr>
          <w:rStyle w:val="Appelnotedebasdep"/>
          <w:rFonts w:cs="Times New Roman"/>
          <w:kern w:val="22"/>
          <w:sz w:val="22"/>
          <w:szCs w:val="22"/>
          <w:lang w:val="fr-CA"/>
        </w:rPr>
        <w:footnoteReference w:id="1"/>
      </w:r>
      <w:r w:rsidR="004C16FB" w:rsidRPr="00D8790C">
        <w:rPr>
          <w:rFonts w:cs="Times New Roman"/>
          <w:kern w:val="22"/>
          <w:szCs w:val="22"/>
          <w:lang w:val="fr-CA"/>
        </w:rPr>
        <w:t xml:space="preserve"> </w:t>
      </w:r>
      <w:r w:rsidR="0097352F" w:rsidRPr="00D8790C">
        <w:rPr>
          <w:rFonts w:cs="Times New Roman"/>
          <w:kern w:val="22"/>
          <w:szCs w:val="22"/>
          <w:lang w:val="fr-CA"/>
        </w:rPr>
        <w:t xml:space="preserve">présente les résultats et les conclusions ci-dessous </w:t>
      </w:r>
      <w:r w:rsidR="004C16FB" w:rsidRPr="00D8790C">
        <w:rPr>
          <w:rFonts w:cs="Times New Roman"/>
          <w:kern w:val="22"/>
          <w:szCs w:val="22"/>
          <w:lang w:val="fr-CA"/>
        </w:rPr>
        <w:t>:</w:t>
      </w:r>
    </w:p>
    <w:p w:rsidR="004C16FB" w:rsidRPr="0097352F" w:rsidRDefault="0097352F" w:rsidP="0097352F">
      <w:pPr>
        <w:pStyle w:val="Paragraphedeliste"/>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sidRPr="00D8790C">
        <w:rPr>
          <w:rFonts w:cs="Times New Roman"/>
          <w:snapToGrid w:val="0"/>
          <w:kern w:val="22"/>
          <w:szCs w:val="22"/>
          <w:lang w:val="fr-CA"/>
        </w:rPr>
        <w:t xml:space="preserve">Pertinence du FEM dans l’environnement mondial : </w:t>
      </w:r>
      <w:r w:rsidR="00B32DAD" w:rsidRPr="00D8790C">
        <w:rPr>
          <w:rFonts w:cs="Times New Roman"/>
          <w:snapToGrid w:val="0"/>
          <w:kern w:val="22"/>
          <w:szCs w:val="22"/>
          <w:lang w:val="fr-CA"/>
        </w:rPr>
        <w:t>Le FEM occupe un espace unique dans l’</w:t>
      </w:r>
      <w:r w:rsidRPr="00D8790C">
        <w:rPr>
          <w:rFonts w:cs="Times New Roman"/>
          <w:snapToGrid w:val="0"/>
          <w:kern w:val="22"/>
          <w:szCs w:val="22"/>
          <w:lang w:val="fr-CA"/>
        </w:rPr>
        <w:t xml:space="preserve">architecture de </w:t>
      </w:r>
      <w:r w:rsidR="00B32DAD" w:rsidRPr="00D8790C">
        <w:rPr>
          <w:rFonts w:cs="Times New Roman"/>
          <w:snapToGrid w:val="0"/>
          <w:kern w:val="22"/>
          <w:szCs w:val="22"/>
          <w:lang w:val="fr-CA"/>
        </w:rPr>
        <w:t>financement</w:t>
      </w:r>
      <w:r w:rsidRPr="00D8790C">
        <w:rPr>
          <w:rFonts w:cs="Times New Roman"/>
          <w:snapToGrid w:val="0"/>
          <w:kern w:val="22"/>
          <w:szCs w:val="22"/>
          <w:lang w:val="fr-CA"/>
        </w:rPr>
        <w:t xml:space="preserve"> mondiale à cause de son vaste champ d’</w:t>
      </w:r>
      <w:r w:rsidR="00B32DAD" w:rsidRPr="00D8790C">
        <w:rPr>
          <w:rFonts w:cs="Times New Roman"/>
          <w:snapToGrid w:val="0"/>
          <w:kern w:val="22"/>
          <w:szCs w:val="22"/>
          <w:lang w:val="fr-CA"/>
        </w:rPr>
        <w:t>applicati</w:t>
      </w:r>
      <w:r w:rsidRPr="00D8790C">
        <w:rPr>
          <w:rFonts w:cs="Times New Roman"/>
          <w:snapToGrid w:val="0"/>
          <w:kern w:val="22"/>
          <w:szCs w:val="22"/>
          <w:lang w:val="fr-CA"/>
        </w:rPr>
        <w:t>on et en tant que mécanisme de financement</w:t>
      </w:r>
      <w:r w:rsidR="00B32DAD" w:rsidRPr="00D8790C">
        <w:rPr>
          <w:rFonts w:cs="Times New Roman"/>
          <w:snapToGrid w:val="0"/>
          <w:kern w:val="22"/>
          <w:szCs w:val="22"/>
          <w:lang w:val="fr-CA"/>
        </w:rPr>
        <w:t xml:space="preserve"> des conventions sur l’environnement. Les stratégies de domaine d’intervention du FEM ont répondu aux orientations des conventions. Le FEM se</w:t>
      </w:r>
      <w:r w:rsidR="00B32DAD">
        <w:rPr>
          <w:rFonts w:cs="Times New Roman"/>
          <w:snapToGrid w:val="0"/>
          <w:kern w:val="22"/>
          <w:szCs w:val="22"/>
          <w:lang w:val="fr-CA"/>
        </w:rPr>
        <w:t xml:space="preserve"> démarque des autres mécanismes de financement </w:t>
      </w:r>
      <w:r w:rsidR="00B32DAD">
        <w:rPr>
          <w:rFonts w:cs="Times New Roman"/>
          <w:snapToGrid w:val="0"/>
          <w:kern w:val="22"/>
          <w:szCs w:val="22"/>
          <w:lang w:val="fr-CA"/>
        </w:rPr>
        <w:lastRenderedPageBreak/>
        <w:t xml:space="preserve">environnementaux par sa capacité de travailler par l’entremise de nombreuses agences dans plus de 140 pays bénéficiaires. Le soutien du FEM aux pays les moins avancés et aux petits États insulaires est à la hausse; le soutien aux pays à revenu </w:t>
      </w:r>
      <w:r w:rsidR="00F35204">
        <w:rPr>
          <w:rFonts w:cs="Times New Roman"/>
          <w:snapToGrid w:val="0"/>
          <w:kern w:val="22"/>
          <w:szCs w:val="22"/>
          <w:lang w:val="fr-CA"/>
        </w:rPr>
        <w:t>intermédiaire</w:t>
      </w:r>
      <w:r w:rsidR="00B32DAD">
        <w:rPr>
          <w:rFonts w:cs="Times New Roman"/>
          <w:snapToGrid w:val="0"/>
          <w:kern w:val="22"/>
          <w:szCs w:val="22"/>
          <w:lang w:val="fr-CA"/>
        </w:rPr>
        <w:t xml:space="preserve"> demeure toutefois critique</w:t>
      </w:r>
      <w:r w:rsidR="004C16FB" w:rsidRPr="0097352F">
        <w:rPr>
          <w:rFonts w:cs="Times New Roman"/>
          <w:snapToGrid w:val="0"/>
          <w:kern w:val="22"/>
          <w:szCs w:val="22"/>
          <w:lang w:val="fr-CA"/>
        </w:rPr>
        <w:t>;</w:t>
      </w:r>
    </w:p>
    <w:p w:rsidR="004C16FB" w:rsidRPr="00AB2BD4" w:rsidRDefault="00BE709A"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Pr>
          <w:rFonts w:cs="Times New Roman"/>
          <w:snapToGrid w:val="0"/>
          <w:kern w:val="22"/>
          <w:szCs w:val="22"/>
          <w:lang w:val="fr-CA"/>
        </w:rPr>
        <w:t xml:space="preserve">Efficacité et impact : Le FEM présente une excellente fiche d’efficacité dans la prestation des programmes; la durabilité </w:t>
      </w:r>
      <w:r w:rsidR="00D8790C">
        <w:rPr>
          <w:rFonts w:cs="Times New Roman"/>
          <w:snapToGrid w:val="0"/>
          <w:kern w:val="22"/>
          <w:szCs w:val="22"/>
          <w:lang w:val="fr-CA"/>
        </w:rPr>
        <w:t xml:space="preserve">probable </w:t>
      </w:r>
      <w:r>
        <w:rPr>
          <w:rFonts w:cs="Times New Roman"/>
          <w:snapToGrid w:val="0"/>
          <w:kern w:val="22"/>
          <w:szCs w:val="22"/>
          <w:lang w:val="fr-CA"/>
        </w:rPr>
        <w:t xml:space="preserve">des résultats demeure son plus grand défi. Les interventions du FEM ont contribué à réduire le stress environnemental. Le FEM est en excellente position pour atteindre ses cibles de reconstitution de </w:t>
      </w:r>
      <w:r w:rsidR="00A036F6">
        <w:rPr>
          <w:rFonts w:cs="Times New Roman"/>
          <w:snapToGrid w:val="0"/>
          <w:kern w:val="22"/>
          <w:szCs w:val="22"/>
          <w:lang w:val="fr-CA"/>
        </w:rPr>
        <w:t xml:space="preserve">la </w:t>
      </w:r>
      <w:r>
        <w:rPr>
          <w:rFonts w:cs="Times New Roman"/>
          <w:snapToGrid w:val="0"/>
          <w:kern w:val="22"/>
          <w:szCs w:val="22"/>
          <w:lang w:val="fr-CA"/>
        </w:rPr>
        <w:t>FEM-5 pour la plupart des indicateurs et dépasser la majorité des cibles de</w:t>
      </w:r>
      <w:r w:rsidR="00A036F6">
        <w:rPr>
          <w:rFonts w:cs="Times New Roman"/>
          <w:snapToGrid w:val="0"/>
          <w:kern w:val="22"/>
          <w:szCs w:val="22"/>
          <w:lang w:val="fr-CA"/>
        </w:rPr>
        <w:t xml:space="preserve"> la</w:t>
      </w:r>
      <w:r>
        <w:rPr>
          <w:rFonts w:cs="Times New Roman"/>
          <w:snapToGrid w:val="0"/>
          <w:kern w:val="22"/>
          <w:szCs w:val="22"/>
          <w:lang w:val="fr-CA"/>
        </w:rPr>
        <w:t xml:space="preserve"> FEM-6. Le FEM a joué un rôle catalytique et </w:t>
      </w:r>
      <w:r w:rsidR="00A036F6">
        <w:rPr>
          <w:rFonts w:cs="Times New Roman"/>
          <w:snapToGrid w:val="0"/>
          <w:kern w:val="22"/>
          <w:szCs w:val="22"/>
          <w:lang w:val="fr-CA"/>
        </w:rPr>
        <w:t xml:space="preserve">a </w:t>
      </w:r>
      <w:r>
        <w:rPr>
          <w:rFonts w:cs="Times New Roman"/>
          <w:snapToGrid w:val="0"/>
          <w:kern w:val="22"/>
          <w:szCs w:val="22"/>
          <w:lang w:val="fr-CA"/>
        </w:rPr>
        <w:t xml:space="preserve">soutenu le changement transformationnel surtout grâce à l’intégration. </w:t>
      </w:r>
      <w:r w:rsidR="00A036F6">
        <w:rPr>
          <w:rFonts w:cs="Times New Roman"/>
          <w:snapToGrid w:val="0"/>
          <w:kern w:val="22"/>
          <w:szCs w:val="22"/>
          <w:lang w:val="fr-CA"/>
        </w:rPr>
        <w:t>M</w:t>
      </w:r>
      <w:r w:rsidR="00E44EC9">
        <w:rPr>
          <w:rFonts w:cs="Times New Roman"/>
          <w:snapToGrid w:val="0"/>
          <w:kern w:val="22"/>
          <w:szCs w:val="22"/>
          <w:lang w:val="fr-CA"/>
        </w:rPr>
        <w:t>ettant l’accent sur l’intégration, les approches programmatiques et les projets plurisectoriels ont de l’importance dans la lutte contre les moteurs de la dégradation de l’environnement; la conception complexe des programmes a toutefois des conséquences sur les résultats, l’efficacité et la gestion. Les projets pilotes sur l’approche intégrée sont importants pour les enjeux environnementaux et les pays et villes qu’ils desservent, et ont été conçus dans le contexte d’une durabilité à long terme</w:t>
      </w:r>
      <w:r w:rsidR="004706F5">
        <w:rPr>
          <w:rFonts w:cs="Times New Roman"/>
          <w:snapToGrid w:val="0"/>
          <w:kern w:val="22"/>
          <w:szCs w:val="22"/>
          <w:lang w:val="fr-CA"/>
        </w:rPr>
        <w:t>. L’additionnalité doit être démontrée et les problèmes de processus exigent de l’attention</w:t>
      </w:r>
      <w:r w:rsidR="00A036F6">
        <w:rPr>
          <w:rFonts w:cs="Times New Roman"/>
          <w:snapToGrid w:val="0"/>
          <w:kern w:val="22"/>
          <w:szCs w:val="22"/>
          <w:lang w:val="fr-CA"/>
        </w:rPr>
        <w:t>.</w:t>
      </w:r>
    </w:p>
    <w:p w:rsidR="004C16FB" w:rsidRPr="001F42A2" w:rsidRDefault="004E745E" w:rsidP="00E733CD">
      <w:pPr>
        <w:numPr>
          <w:ilvl w:val="0"/>
          <w:numId w:val="45"/>
        </w:numPr>
        <w:suppressLineNumbers/>
        <w:suppressAutoHyphens/>
        <w:kinsoku w:val="0"/>
        <w:overflowPunct w:val="0"/>
        <w:autoSpaceDE w:val="0"/>
        <w:autoSpaceDN w:val="0"/>
        <w:adjustRightInd w:val="0"/>
        <w:snapToGrid w:val="0"/>
        <w:spacing w:after="120"/>
        <w:ind w:left="0" w:firstLine="720"/>
        <w:rPr>
          <w:rFonts w:cs="Times New Roman"/>
          <w:snapToGrid w:val="0"/>
          <w:kern w:val="22"/>
          <w:szCs w:val="22"/>
          <w:lang w:val="fr-CA"/>
        </w:rPr>
      </w:pPr>
      <w:r>
        <w:rPr>
          <w:rFonts w:cs="Times New Roman"/>
          <w:snapToGrid w:val="0"/>
          <w:kern w:val="22"/>
          <w:szCs w:val="22"/>
          <w:lang w:val="fr-CA"/>
        </w:rPr>
        <w:t>Financement, gouvernance, pol</w:t>
      </w:r>
      <w:r w:rsidR="00A036F6">
        <w:rPr>
          <w:rFonts w:cs="Times New Roman"/>
          <w:snapToGrid w:val="0"/>
          <w:kern w:val="22"/>
          <w:szCs w:val="22"/>
          <w:lang w:val="fr-CA"/>
        </w:rPr>
        <w:t>itiques et systèmes internes : L</w:t>
      </w:r>
      <w:r>
        <w:rPr>
          <w:rFonts w:cs="Times New Roman"/>
          <w:snapToGrid w:val="0"/>
          <w:kern w:val="22"/>
          <w:szCs w:val="22"/>
          <w:lang w:val="fr-CA"/>
        </w:rPr>
        <w:t>es contraintes de fonctionnement et le manque de sensibilisation du FEM ont eu comme conséquence de limiter ou de ne pas comprendre à sa juste valeur le potentiel d’engager le secteur privé avec succès. Le partenariat du FEM est bien gouverné, de façon générale; des craintes subsistent toutefois au sujet de la représentation, de l’e</w:t>
      </w:r>
      <w:r w:rsidR="00A036F6">
        <w:rPr>
          <w:rFonts w:cs="Times New Roman"/>
          <w:snapToGrid w:val="0"/>
          <w:kern w:val="22"/>
          <w:szCs w:val="22"/>
          <w:lang w:val="fr-CA"/>
        </w:rPr>
        <w:t>fficacité, de la responsabilité et</w:t>
      </w:r>
      <w:r>
        <w:rPr>
          <w:rFonts w:cs="Times New Roman"/>
          <w:snapToGrid w:val="0"/>
          <w:kern w:val="22"/>
          <w:szCs w:val="22"/>
          <w:lang w:val="fr-CA"/>
        </w:rPr>
        <w:t xml:space="preserve"> de la transparence. La politique de gendérisation du FEM a fait avancer les efforts du FEM de renforcer la gendér</w:t>
      </w:r>
      <w:r w:rsidR="00423E99">
        <w:rPr>
          <w:rFonts w:cs="Times New Roman"/>
          <w:snapToGrid w:val="0"/>
          <w:kern w:val="22"/>
          <w:szCs w:val="22"/>
          <w:lang w:val="fr-CA"/>
        </w:rPr>
        <w:t>isation dans les programmes et l</w:t>
      </w:r>
      <w:r>
        <w:rPr>
          <w:rFonts w:cs="Times New Roman"/>
          <w:snapToGrid w:val="0"/>
          <w:kern w:val="22"/>
          <w:szCs w:val="22"/>
          <w:lang w:val="fr-CA"/>
        </w:rPr>
        <w:t>es opérations du FEM de manière plus systématique; il y a encore matière à amélioration dans la mise en œuvre. Les politiques et l’orientation du FEM concernant les sauvegardes et les peuples autochtones ont fait avancer les efforts du FEM dans ces secteurs; il y a toutefois des lacunes dans les cadres</w:t>
      </w:r>
      <w:r w:rsidR="00FD6B32">
        <w:rPr>
          <w:rFonts w:cs="Times New Roman"/>
          <w:snapToGrid w:val="0"/>
          <w:kern w:val="22"/>
          <w:szCs w:val="22"/>
          <w:lang w:val="fr-CA"/>
        </w:rPr>
        <w:t xml:space="preserve"> de décision</w:t>
      </w:r>
      <w:r>
        <w:rPr>
          <w:rFonts w:cs="Times New Roman"/>
          <w:snapToGrid w:val="0"/>
          <w:kern w:val="22"/>
          <w:szCs w:val="22"/>
          <w:lang w:val="fr-CA"/>
        </w:rPr>
        <w:t xml:space="preserve"> en ce qui con</w:t>
      </w:r>
      <w:r w:rsidR="00FD6B32">
        <w:rPr>
          <w:rFonts w:cs="Times New Roman"/>
          <w:snapToGrid w:val="0"/>
          <w:kern w:val="22"/>
          <w:szCs w:val="22"/>
          <w:lang w:val="fr-CA"/>
        </w:rPr>
        <w:t>cerne les bo</w:t>
      </w:r>
      <w:r w:rsidR="001F42A2">
        <w:rPr>
          <w:rFonts w:cs="Times New Roman"/>
          <w:snapToGrid w:val="0"/>
          <w:kern w:val="22"/>
          <w:szCs w:val="22"/>
          <w:lang w:val="fr-CA"/>
        </w:rPr>
        <w:t xml:space="preserve">nnes </w:t>
      </w:r>
      <w:r>
        <w:rPr>
          <w:rFonts w:cs="Times New Roman"/>
          <w:snapToGrid w:val="0"/>
          <w:kern w:val="22"/>
          <w:szCs w:val="22"/>
          <w:lang w:val="fr-CA"/>
        </w:rPr>
        <w:t>pr</w:t>
      </w:r>
      <w:r w:rsidR="00FD6B32">
        <w:rPr>
          <w:rFonts w:cs="Times New Roman"/>
          <w:snapToGrid w:val="0"/>
          <w:kern w:val="22"/>
          <w:szCs w:val="22"/>
          <w:lang w:val="fr-CA"/>
        </w:rPr>
        <w:t>atiques dans les agences parten</w:t>
      </w:r>
      <w:r>
        <w:rPr>
          <w:rFonts w:cs="Times New Roman"/>
          <w:snapToGrid w:val="0"/>
          <w:kern w:val="22"/>
          <w:szCs w:val="22"/>
          <w:lang w:val="fr-CA"/>
        </w:rPr>
        <w:t>aires et lors de la mise en œuvre. Certains progrès ont été accomplis au niveau du syst</w:t>
      </w:r>
      <w:r w:rsidR="00FD6B32">
        <w:rPr>
          <w:rFonts w:cs="Times New Roman"/>
          <w:snapToGrid w:val="0"/>
          <w:kern w:val="22"/>
          <w:szCs w:val="22"/>
          <w:lang w:val="fr-CA"/>
        </w:rPr>
        <w:t>è</w:t>
      </w:r>
      <w:r>
        <w:rPr>
          <w:rFonts w:cs="Times New Roman"/>
          <w:snapToGrid w:val="0"/>
          <w:kern w:val="22"/>
          <w:szCs w:val="22"/>
          <w:lang w:val="fr-CA"/>
        </w:rPr>
        <w:t>me de gestion d</w:t>
      </w:r>
      <w:r w:rsidR="00FD6B32">
        <w:rPr>
          <w:rFonts w:cs="Times New Roman"/>
          <w:snapToGrid w:val="0"/>
          <w:kern w:val="22"/>
          <w:szCs w:val="22"/>
          <w:lang w:val="fr-CA"/>
        </w:rPr>
        <w:t>e l’</w:t>
      </w:r>
      <w:r>
        <w:rPr>
          <w:rFonts w:cs="Times New Roman"/>
          <w:snapToGrid w:val="0"/>
          <w:kern w:val="22"/>
          <w:szCs w:val="22"/>
          <w:lang w:val="fr-CA"/>
        </w:rPr>
        <w:t>information sur les projets du FEM, le système de gestion axé sur les résult</w:t>
      </w:r>
      <w:r w:rsidR="00FD6B32">
        <w:rPr>
          <w:rFonts w:cs="Times New Roman"/>
          <w:snapToGrid w:val="0"/>
          <w:kern w:val="22"/>
          <w:szCs w:val="22"/>
          <w:lang w:val="fr-CA"/>
        </w:rPr>
        <w:t>ats et la gestion des connaissa</w:t>
      </w:r>
      <w:r>
        <w:rPr>
          <w:rFonts w:cs="Times New Roman"/>
          <w:snapToGrid w:val="0"/>
          <w:kern w:val="22"/>
          <w:szCs w:val="22"/>
          <w:lang w:val="fr-CA"/>
        </w:rPr>
        <w:t xml:space="preserve">nces; </w:t>
      </w:r>
      <w:r w:rsidR="00FD6B32">
        <w:rPr>
          <w:rFonts w:cs="Times New Roman"/>
          <w:snapToGrid w:val="0"/>
          <w:kern w:val="22"/>
          <w:szCs w:val="22"/>
          <w:lang w:val="fr-CA"/>
        </w:rPr>
        <w:t>l</w:t>
      </w:r>
      <w:r>
        <w:rPr>
          <w:rFonts w:cs="Times New Roman"/>
          <w:snapToGrid w:val="0"/>
          <w:kern w:val="22"/>
          <w:szCs w:val="22"/>
          <w:lang w:val="fr-CA"/>
        </w:rPr>
        <w:t>a disp</w:t>
      </w:r>
      <w:r w:rsidR="00FD6B32">
        <w:rPr>
          <w:rFonts w:cs="Times New Roman"/>
          <w:snapToGrid w:val="0"/>
          <w:kern w:val="22"/>
          <w:szCs w:val="22"/>
          <w:lang w:val="fr-CA"/>
        </w:rPr>
        <w:t>o</w:t>
      </w:r>
      <w:r>
        <w:rPr>
          <w:rFonts w:cs="Times New Roman"/>
          <w:snapToGrid w:val="0"/>
          <w:kern w:val="22"/>
          <w:szCs w:val="22"/>
          <w:lang w:val="fr-CA"/>
        </w:rPr>
        <w:t>nibilité et la qualité de l’</w:t>
      </w:r>
      <w:r w:rsidR="00FD6B32">
        <w:rPr>
          <w:rFonts w:cs="Times New Roman"/>
          <w:snapToGrid w:val="0"/>
          <w:kern w:val="22"/>
          <w:szCs w:val="22"/>
          <w:lang w:val="fr-CA"/>
        </w:rPr>
        <w:t xml:space="preserve">information de ces systèmes </w:t>
      </w:r>
      <w:r>
        <w:rPr>
          <w:rFonts w:cs="Times New Roman"/>
          <w:snapToGrid w:val="0"/>
          <w:kern w:val="22"/>
          <w:szCs w:val="22"/>
          <w:lang w:val="fr-CA"/>
        </w:rPr>
        <w:t>doi</w:t>
      </w:r>
      <w:r w:rsidR="00423E99">
        <w:rPr>
          <w:rFonts w:cs="Times New Roman"/>
          <w:snapToGrid w:val="0"/>
          <w:kern w:val="22"/>
          <w:szCs w:val="22"/>
          <w:lang w:val="fr-CA"/>
        </w:rPr>
        <w:t>ven</w:t>
      </w:r>
      <w:r>
        <w:rPr>
          <w:rFonts w:cs="Times New Roman"/>
          <w:snapToGrid w:val="0"/>
          <w:kern w:val="22"/>
          <w:szCs w:val="22"/>
          <w:lang w:val="fr-CA"/>
        </w:rPr>
        <w:t>t cependant être améliorées</w:t>
      </w:r>
      <w:r w:rsidR="004C16FB" w:rsidRPr="00AB2BD4">
        <w:rPr>
          <w:rFonts w:cs="Times New Roman"/>
          <w:snapToGrid w:val="0"/>
          <w:kern w:val="22"/>
          <w:szCs w:val="22"/>
          <w:lang w:val="fr-CA"/>
        </w:rPr>
        <w:t>.</w:t>
      </w:r>
    </w:p>
    <w:p w:rsidR="00CA7383" w:rsidRPr="001F42A2" w:rsidRDefault="00FD6B3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sidRPr="001F42A2">
        <w:rPr>
          <w:rFonts w:cs="Times New Roman"/>
          <w:kern w:val="22"/>
          <w:szCs w:val="22"/>
          <w:lang w:val="fr-CA"/>
        </w:rPr>
        <w:t>S’appuyant sur les rec</w:t>
      </w:r>
      <w:r w:rsidR="001F42A2" w:rsidRPr="001F42A2">
        <w:rPr>
          <w:rFonts w:cs="Times New Roman"/>
          <w:kern w:val="22"/>
          <w:szCs w:val="22"/>
          <w:lang w:val="fr-CA"/>
        </w:rPr>
        <w:t xml:space="preserve">ommandations concernant les 29 </w:t>
      </w:r>
      <w:r w:rsidRPr="001F42A2">
        <w:rPr>
          <w:rFonts w:cs="Times New Roman"/>
          <w:kern w:val="22"/>
          <w:szCs w:val="22"/>
          <w:lang w:val="fr-CA"/>
        </w:rPr>
        <w:t xml:space="preserve">évaluations menées en </w:t>
      </w:r>
      <w:r w:rsidRPr="001F42A2">
        <w:rPr>
          <w:rFonts w:eastAsia="Times New Roman" w:cs="Times New Roman"/>
          <w:kern w:val="22"/>
          <w:szCs w:val="22"/>
          <w:lang w:val="fr-CA"/>
        </w:rPr>
        <w:t>préparation</w:t>
      </w:r>
      <w:r w:rsidR="008C009D" w:rsidRPr="001F42A2">
        <w:rPr>
          <w:rFonts w:cs="Times New Roman"/>
          <w:kern w:val="22"/>
          <w:szCs w:val="22"/>
          <w:lang w:val="fr-CA"/>
        </w:rPr>
        <w:t xml:space="preserve"> du sixiè</w:t>
      </w:r>
      <w:r w:rsidRPr="001F42A2">
        <w:rPr>
          <w:rFonts w:cs="Times New Roman"/>
          <w:kern w:val="22"/>
          <w:szCs w:val="22"/>
          <w:lang w:val="fr-CA"/>
        </w:rPr>
        <w:t>me examen exhaustif, le Bureau indépen</w:t>
      </w:r>
      <w:r w:rsidR="008C009D" w:rsidRPr="001F42A2">
        <w:rPr>
          <w:rFonts w:cs="Times New Roman"/>
          <w:kern w:val="22"/>
          <w:szCs w:val="22"/>
          <w:lang w:val="fr-CA"/>
        </w:rPr>
        <w:t>d</w:t>
      </w:r>
      <w:r w:rsidRPr="001F42A2">
        <w:rPr>
          <w:rFonts w:cs="Times New Roman"/>
          <w:kern w:val="22"/>
          <w:szCs w:val="22"/>
          <w:lang w:val="fr-CA"/>
        </w:rPr>
        <w:t xml:space="preserve">ant d’évaluation a développé les recommandations stratégiques suivantes visant à fournir de l’information </w:t>
      </w:r>
      <w:r w:rsidR="008C009D" w:rsidRPr="001F42A2">
        <w:rPr>
          <w:rFonts w:cs="Times New Roman"/>
          <w:kern w:val="22"/>
          <w:szCs w:val="22"/>
          <w:lang w:val="fr-CA"/>
        </w:rPr>
        <w:t xml:space="preserve">pour les futures directions du FEM </w:t>
      </w:r>
      <w:r w:rsidR="00CA7383" w:rsidRPr="001F42A2">
        <w:rPr>
          <w:rFonts w:cs="Times New Roman"/>
          <w:kern w:val="22"/>
          <w:szCs w:val="22"/>
          <w:lang w:val="fr-CA"/>
        </w:rPr>
        <w:t>:</w:t>
      </w:r>
    </w:p>
    <w:p w:rsidR="00CA7383" w:rsidRPr="001F42A2" w:rsidRDefault="008C009D" w:rsidP="008C009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1F42A2">
        <w:rPr>
          <w:rFonts w:cs="Times New Roman"/>
          <w:i/>
          <w:iCs/>
          <w:kern w:val="22"/>
          <w:szCs w:val="22"/>
          <w:lang w:val="fr-CA"/>
        </w:rPr>
        <w:t>Positionnement stratégique</w:t>
      </w:r>
      <w:r w:rsidR="00CA7383" w:rsidRPr="001F42A2">
        <w:rPr>
          <w:rFonts w:cs="Times New Roman"/>
          <w:kern w:val="22"/>
          <w:szCs w:val="22"/>
          <w:lang w:val="fr-CA"/>
        </w:rPr>
        <w:t xml:space="preserve">. </w:t>
      </w:r>
      <w:r w:rsidRPr="001F42A2">
        <w:rPr>
          <w:rFonts w:cs="Times New Roman"/>
          <w:kern w:val="22"/>
          <w:szCs w:val="22"/>
          <w:lang w:val="fr-CA"/>
        </w:rPr>
        <w:t xml:space="preserve">Le FEM devrait accroître ses efforts dans le domaine d’intervention de la diversité biologique, où les sources de financement sont limitées et </w:t>
      </w:r>
      <w:r w:rsidR="001F42A2">
        <w:rPr>
          <w:rFonts w:cs="Times New Roman"/>
          <w:kern w:val="22"/>
          <w:szCs w:val="22"/>
          <w:lang w:val="fr-CA"/>
        </w:rPr>
        <w:t>les</w:t>
      </w:r>
      <w:r w:rsidRPr="001F42A2">
        <w:rPr>
          <w:rFonts w:cs="Times New Roman"/>
          <w:kern w:val="22"/>
          <w:szCs w:val="22"/>
          <w:lang w:val="fr-CA"/>
        </w:rPr>
        <w:t xml:space="preserve"> joueurs ayant le niveau de connaissances et d’expérience du FEM</w:t>
      </w:r>
      <w:r w:rsidR="001F42A2">
        <w:rPr>
          <w:rFonts w:cs="Times New Roman"/>
          <w:kern w:val="22"/>
          <w:szCs w:val="22"/>
          <w:lang w:val="fr-CA"/>
        </w:rPr>
        <w:t xml:space="preserve"> sont rares</w:t>
      </w:r>
      <w:r w:rsidRPr="001F42A2">
        <w:rPr>
          <w:rFonts w:cs="Times New Roman"/>
          <w:kern w:val="22"/>
          <w:szCs w:val="22"/>
          <w:lang w:val="fr-CA"/>
        </w:rPr>
        <w:t xml:space="preserve">. Le FEM doit examiner le </w:t>
      </w:r>
      <w:r w:rsidR="00165E3E" w:rsidRPr="001F42A2">
        <w:rPr>
          <w:rFonts w:cs="Times New Roman"/>
          <w:kern w:val="22"/>
          <w:szCs w:val="22"/>
          <w:lang w:val="fr-CA"/>
        </w:rPr>
        <w:t>potentiel</w:t>
      </w:r>
      <w:r w:rsidRPr="001F42A2">
        <w:rPr>
          <w:rFonts w:cs="Times New Roman"/>
          <w:kern w:val="22"/>
          <w:szCs w:val="22"/>
          <w:lang w:val="fr-CA"/>
        </w:rPr>
        <w:t xml:space="preserve"> de jouer le rôle d’inc</w:t>
      </w:r>
      <w:r w:rsidR="00165E3E" w:rsidRPr="001F42A2">
        <w:rPr>
          <w:rFonts w:cs="Times New Roman"/>
          <w:kern w:val="22"/>
          <w:szCs w:val="22"/>
          <w:lang w:val="fr-CA"/>
        </w:rPr>
        <w:t>u</w:t>
      </w:r>
      <w:r w:rsidRPr="001F42A2">
        <w:rPr>
          <w:rFonts w:cs="Times New Roman"/>
          <w:kern w:val="22"/>
          <w:szCs w:val="22"/>
          <w:lang w:val="fr-CA"/>
        </w:rPr>
        <w:t xml:space="preserve">bateur pour </w:t>
      </w:r>
      <w:r w:rsidR="00165E3E" w:rsidRPr="001F42A2">
        <w:rPr>
          <w:rFonts w:cs="Times New Roman"/>
          <w:kern w:val="22"/>
          <w:szCs w:val="22"/>
          <w:lang w:val="fr-CA"/>
        </w:rPr>
        <w:t>permettre aux pays de mettre leurs approches à l’essai et de les peaufiner avant de solliciter un financement à grande échelle auprès d’autres partenaires</w:t>
      </w:r>
      <w:r w:rsidR="00CA7383" w:rsidRPr="001F42A2">
        <w:rPr>
          <w:rFonts w:cs="Times New Roman"/>
          <w:kern w:val="22"/>
          <w:szCs w:val="22"/>
          <w:lang w:val="fr-CA"/>
        </w:rPr>
        <w:t>;</w:t>
      </w:r>
    </w:p>
    <w:p w:rsidR="00CA7383" w:rsidRPr="001F42A2" w:rsidRDefault="00165E3E"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1F42A2">
        <w:rPr>
          <w:rFonts w:cs="Times New Roman"/>
          <w:i/>
          <w:iCs/>
          <w:kern w:val="22"/>
          <w:szCs w:val="22"/>
          <w:lang w:val="fr-CA"/>
        </w:rPr>
        <w:t>Promotion du changement transformationnel</w:t>
      </w:r>
      <w:r w:rsidR="00CA7383" w:rsidRPr="001F42A2">
        <w:rPr>
          <w:rFonts w:cs="Times New Roman"/>
          <w:kern w:val="22"/>
          <w:szCs w:val="22"/>
          <w:lang w:val="fr-CA"/>
        </w:rPr>
        <w:t xml:space="preserve">. </w:t>
      </w:r>
      <w:r w:rsidRPr="001F42A2">
        <w:rPr>
          <w:rFonts w:cs="Times New Roman"/>
          <w:kern w:val="22"/>
          <w:szCs w:val="22"/>
          <w:lang w:val="fr-CA"/>
        </w:rPr>
        <w:t xml:space="preserve">Le FEM devra améliorer ses efforts </w:t>
      </w:r>
      <w:r w:rsidR="0028772D">
        <w:rPr>
          <w:rFonts w:cs="Times New Roman"/>
          <w:kern w:val="22"/>
          <w:szCs w:val="22"/>
          <w:lang w:val="fr-CA"/>
        </w:rPr>
        <w:t>de</w:t>
      </w:r>
      <w:r w:rsidRPr="001F42A2">
        <w:rPr>
          <w:rFonts w:cs="Times New Roman"/>
          <w:kern w:val="22"/>
          <w:szCs w:val="22"/>
          <w:lang w:val="fr-CA"/>
        </w:rPr>
        <w:t xml:space="preserve"> conception </w:t>
      </w:r>
      <w:r w:rsidR="0028772D">
        <w:rPr>
          <w:rFonts w:cs="Times New Roman"/>
          <w:kern w:val="22"/>
          <w:szCs w:val="22"/>
          <w:lang w:val="fr-CA"/>
        </w:rPr>
        <w:t>en vue de</w:t>
      </w:r>
      <w:r w:rsidRPr="001F42A2">
        <w:rPr>
          <w:rFonts w:cs="Times New Roman"/>
          <w:kern w:val="22"/>
          <w:szCs w:val="22"/>
          <w:lang w:val="fr-CA"/>
        </w:rPr>
        <w:t xml:space="preserve"> la transformation </w:t>
      </w:r>
      <w:r w:rsidR="007D5D9D" w:rsidRPr="001F42A2">
        <w:rPr>
          <w:rFonts w:cs="Times New Roman"/>
          <w:kern w:val="22"/>
          <w:szCs w:val="22"/>
          <w:lang w:val="fr-CA"/>
        </w:rPr>
        <w:t xml:space="preserve">en adoptant des mesures pour les systèmes et en luttant </w:t>
      </w:r>
      <w:r w:rsidRPr="001F42A2">
        <w:rPr>
          <w:rFonts w:cs="Times New Roman"/>
          <w:kern w:val="22"/>
          <w:szCs w:val="22"/>
          <w:lang w:val="fr-CA"/>
        </w:rPr>
        <w:t>con</w:t>
      </w:r>
      <w:r w:rsidR="007D5D9D" w:rsidRPr="001F42A2">
        <w:rPr>
          <w:rFonts w:cs="Times New Roman"/>
          <w:kern w:val="22"/>
          <w:szCs w:val="22"/>
          <w:lang w:val="fr-CA"/>
        </w:rPr>
        <w:t>tre le</w:t>
      </w:r>
      <w:r w:rsidRPr="001F42A2">
        <w:rPr>
          <w:rFonts w:cs="Times New Roman"/>
          <w:kern w:val="22"/>
          <w:szCs w:val="22"/>
          <w:lang w:val="fr-CA"/>
        </w:rPr>
        <w:t>s</w:t>
      </w:r>
      <w:r w:rsidR="007D5D9D" w:rsidRPr="001F42A2">
        <w:rPr>
          <w:rFonts w:cs="Times New Roman"/>
          <w:kern w:val="22"/>
          <w:szCs w:val="22"/>
          <w:lang w:val="fr-CA"/>
        </w:rPr>
        <w:t xml:space="preserve"> </w:t>
      </w:r>
      <w:r w:rsidRPr="001F42A2">
        <w:rPr>
          <w:rFonts w:cs="Times New Roman"/>
          <w:kern w:val="22"/>
          <w:szCs w:val="22"/>
          <w:lang w:val="fr-CA"/>
        </w:rPr>
        <w:t xml:space="preserve">moteurs de la dégradation, </w:t>
      </w:r>
      <w:r w:rsidR="007D5D9D" w:rsidRPr="001F42A2">
        <w:rPr>
          <w:rFonts w:cs="Times New Roman"/>
          <w:kern w:val="22"/>
          <w:szCs w:val="22"/>
          <w:lang w:val="fr-CA"/>
        </w:rPr>
        <w:t>en faisant</w:t>
      </w:r>
      <w:r w:rsidRPr="001F42A2">
        <w:rPr>
          <w:rFonts w:cs="Times New Roman"/>
          <w:kern w:val="22"/>
          <w:szCs w:val="22"/>
          <w:lang w:val="fr-CA"/>
        </w:rPr>
        <w:t xml:space="preserve"> la promotion</w:t>
      </w:r>
      <w:r w:rsidR="007D5D9D" w:rsidRPr="001F42A2">
        <w:rPr>
          <w:rFonts w:cs="Times New Roman"/>
          <w:kern w:val="22"/>
          <w:szCs w:val="22"/>
          <w:lang w:val="fr-CA"/>
        </w:rPr>
        <w:t xml:space="preserve"> de la réforme des directions et de la </w:t>
      </w:r>
      <w:r w:rsidRPr="001F42A2">
        <w:rPr>
          <w:rFonts w:cs="Times New Roman"/>
          <w:kern w:val="22"/>
          <w:szCs w:val="22"/>
          <w:lang w:val="fr-CA"/>
        </w:rPr>
        <w:t xml:space="preserve">réglementation, et </w:t>
      </w:r>
      <w:r w:rsidR="007D5D9D" w:rsidRPr="001F42A2">
        <w:rPr>
          <w:rFonts w:cs="Times New Roman"/>
          <w:kern w:val="22"/>
          <w:szCs w:val="22"/>
          <w:lang w:val="fr-CA"/>
        </w:rPr>
        <w:t>en renforçant les</w:t>
      </w:r>
      <w:r w:rsidRPr="001F42A2">
        <w:rPr>
          <w:rFonts w:cs="Times New Roman"/>
          <w:kern w:val="22"/>
          <w:szCs w:val="22"/>
          <w:lang w:val="fr-CA"/>
        </w:rPr>
        <w:t xml:space="preserve"> capacités institutionnelles dans le</w:t>
      </w:r>
      <w:r w:rsidR="00423E99">
        <w:rPr>
          <w:rFonts w:cs="Times New Roman"/>
          <w:kern w:val="22"/>
          <w:szCs w:val="22"/>
          <w:lang w:val="fr-CA"/>
        </w:rPr>
        <w:t>s</w:t>
      </w:r>
      <w:r w:rsidRPr="001F42A2">
        <w:rPr>
          <w:rFonts w:cs="Times New Roman"/>
          <w:kern w:val="22"/>
          <w:szCs w:val="22"/>
          <w:lang w:val="fr-CA"/>
        </w:rPr>
        <w:t xml:space="preserve"> pays bénéficiaires</w:t>
      </w:r>
      <w:r w:rsidR="0028772D">
        <w:rPr>
          <w:rFonts w:cs="Times New Roman"/>
          <w:kern w:val="22"/>
          <w:szCs w:val="22"/>
          <w:lang w:val="fr-CA"/>
        </w:rPr>
        <w:t>,</w:t>
      </w:r>
      <w:r w:rsidRPr="001F42A2">
        <w:rPr>
          <w:rFonts w:cs="Times New Roman"/>
          <w:kern w:val="22"/>
          <w:szCs w:val="22"/>
          <w:lang w:val="fr-CA"/>
        </w:rPr>
        <w:t xml:space="preserve"> afin de diriger le changement transformationnel dans les domaines d’intervention.</w:t>
      </w:r>
      <w:r w:rsidR="007D5D9D" w:rsidRPr="001F42A2">
        <w:rPr>
          <w:rFonts w:cs="Times New Roman"/>
          <w:kern w:val="22"/>
          <w:szCs w:val="22"/>
          <w:lang w:val="fr-CA"/>
        </w:rPr>
        <w:t xml:space="preserve"> Il devra également collaborer avec les </w:t>
      </w:r>
      <w:r w:rsidR="008301F1" w:rsidRPr="001F42A2">
        <w:rPr>
          <w:rFonts w:cs="Times New Roman"/>
          <w:kern w:val="22"/>
          <w:szCs w:val="22"/>
          <w:lang w:val="fr-CA"/>
        </w:rPr>
        <w:t>institutions</w:t>
      </w:r>
      <w:r w:rsidR="007D5D9D" w:rsidRPr="001F42A2">
        <w:rPr>
          <w:rFonts w:cs="Times New Roman"/>
          <w:kern w:val="22"/>
          <w:szCs w:val="22"/>
          <w:lang w:val="fr-CA"/>
        </w:rPr>
        <w:t xml:space="preserve"> financières pour éliminer les risques associés aux investissements, élaborer des op</w:t>
      </w:r>
      <w:r w:rsidR="008301F1" w:rsidRPr="001F42A2">
        <w:rPr>
          <w:rFonts w:cs="Times New Roman"/>
          <w:kern w:val="22"/>
          <w:szCs w:val="22"/>
          <w:lang w:val="fr-CA"/>
        </w:rPr>
        <w:t>é</w:t>
      </w:r>
      <w:r w:rsidR="007D5D9D" w:rsidRPr="001F42A2">
        <w:rPr>
          <w:rFonts w:cs="Times New Roman"/>
          <w:kern w:val="22"/>
          <w:szCs w:val="22"/>
          <w:lang w:val="fr-CA"/>
        </w:rPr>
        <w:t>rations</w:t>
      </w:r>
      <w:r w:rsidR="008301F1" w:rsidRPr="001F42A2">
        <w:rPr>
          <w:rFonts w:cs="Times New Roman"/>
          <w:kern w:val="22"/>
          <w:szCs w:val="22"/>
          <w:lang w:val="fr-CA"/>
        </w:rPr>
        <w:t xml:space="preserve"> financières structurées et démontrer comment engager les marchés. Des évaluations préventives du potentiel de transformation fondées sur des critères clairs doivent être réalisées pour les projets qui en sont encore à l’étape de la conception</w:t>
      </w:r>
      <w:r w:rsidRPr="001F42A2">
        <w:rPr>
          <w:rFonts w:cs="Times New Roman"/>
          <w:kern w:val="22"/>
          <w:szCs w:val="22"/>
          <w:lang w:val="fr-CA"/>
        </w:rPr>
        <w:t xml:space="preserve"> </w:t>
      </w:r>
      <w:r w:rsidR="00CA7383" w:rsidRPr="001F42A2">
        <w:rPr>
          <w:rFonts w:cs="Times New Roman"/>
          <w:kern w:val="22"/>
          <w:szCs w:val="22"/>
          <w:lang w:val="fr-CA"/>
        </w:rPr>
        <w:t>;</w:t>
      </w:r>
    </w:p>
    <w:p w:rsidR="00CA7383" w:rsidRPr="001F42A2" w:rsidRDefault="0028772D"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Pr>
          <w:rFonts w:cs="Times New Roman"/>
          <w:i/>
          <w:iCs/>
          <w:kern w:val="22"/>
          <w:szCs w:val="22"/>
          <w:lang w:val="fr-CA"/>
        </w:rPr>
        <w:t>Maintien du</w:t>
      </w:r>
      <w:r w:rsidR="008301F1" w:rsidRPr="001F42A2">
        <w:rPr>
          <w:rFonts w:cs="Times New Roman"/>
          <w:i/>
          <w:iCs/>
          <w:kern w:val="22"/>
          <w:szCs w:val="22"/>
          <w:lang w:val="fr-CA"/>
        </w:rPr>
        <w:t xml:space="preserve"> cap sur l’intégration fondée sur l’additionnalité</w:t>
      </w:r>
      <w:r w:rsidR="00CA7383" w:rsidRPr="001F42A2">
        <w:rPr>
          <w:rFonts w:cs="Times New Roman"/>
          <w:kern w:val="22"/>
          <w:szCs w:val="22"/>
          <w:lang w:val="fr-CA"/>
        </w:rPr>
        <w:t xml:space="preserve">. </w:t>
      </w:r>
      <w:r w:rsidR="008301F1" w:rsidRPr="001F42A2">
        <w:rPr>
          <w:rFonts w:cs="Times New Roman"/>
          <w:kern w:val="22"/>
          <w:szCs w:val="22"/>
          <w:lang w:val="fr-CA"/>
        </w:rPr>
        <w:t>Le FEM doit continuer à</w:t>
      </w:r>
      <w:r w:rsidR="00F35204" w:rsidRPr="001F42A2">
        <w:rPr>
          <w:rFonts w:cs="Times New Roman"/>
          <w:kern w:val="22"/>
          <w:szCs w:val="22"/>
          <w:lang w:val="fr-CA"/>
        </w:rPr>
        <w:t xml:space="preserve"> appliquer le principe intégratif à ses programmes en se fondant sur leurs qualités scientifiques et techniques, dont l’additionnalité manifeste, l’expérience du FEM, l’avantage comparatif du FEM, les contributions innovatrices, le besoin environnemental et la pertinence nationale</w:t>
      </w:r>
      <w:r w:rsidR="00CA7383" w:rsidRPr="001F42A2">
        <w:rPr>
          <w:rFonts w:cs="Times New Roman"/>
          <w:kern w:val="22"/>
          <w:szCs w:val="22"/>
          <w:lang w:val="fr-CA"/>
        </w:rPr>
        <w:t>;</w:t>
      </w:r>
    </w:p>
    <w:p w:rsidR="00CA7383" w:rsidRPr="00D050A4" w:rsidRDefault="00F35204"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1F42A2">
        <w:rPr>
          <w:rFonts w:cs="Times New Roman"/>
          <w:i/>
          <w:iCs/>
          <w:kern w:val="22"/>
          <w:szCs w:val="22"/>
          <w:lang w:val="fr-CA"/>
        </w:rPr>
        <w:t>Amélioration de la gestion financière</w:t>
      </w:r>
      <w:r w:rsidR="00CA7383" w:rsidRPr="001F42A2">
        <w:rPr>
          <w:rFonts w:cs="Times New Roman"/>
          <w:kern w:val="22"/>
          <w:szCs w:val="22"/>
          <w:lang w:val="fr-CA"/>
        </w:rPr>
        <w:t xml:space="preserve">. </w:t>
      </w:r>
      <w:r w:rsidRPr="001F42A2">
        <w:rPr>
          <w:rFonts w:cs="Times New Roman"/>
          <w:kern w:val="22"/>
          <w:szCs w:val="22"/>
          <w:lang w:val="fr-CA"/>
        </w:rPr>
        <w:t>Le FEM devrait envisager d’augmenter le nombre et la diversité des donateurs, autant chez les membres de l’Organisation de coopération et de développement</w:t>
      </w:r>
      <w:r>
        <w:rPr>
          <w:rFonts w:cs="Times New Roman"/>
          <w:kern w:val="22"/>
          <w:szCs w:val="22"/>
          <w:lang w:val="fr-CA"/>
        </w:rPr>
        <w:t xml:space="preserve"> </w:t>
      </w:r>
      <w:r>
        <w:rPr>
          <w:rFonts w:cs="Times New Roman"/>
          <w:kern w:val="22"/>
          <w:szCs w:val="22"/>
          <w:lang w:val="fr-CA"/>
        </w:rPr>
        <w:lastRenderedPageBreak/>
        <w:t xml:space="preserve">économiques (OCDE) </w:t>
      </w:r>
      <w:r w:rsidR="00D050A4">
        <w:rPr>
          <w:rFonts w:cs="Times New Roman"/>
          <w:kern w:val="22"/>
          <w:szCs w:val="22"/>
          <w:lang w:val="fr-CA"/>
        </w:rPr>
        <w:t>que dans</w:t>
      </w:r>
      <w:r>
        <w:rPr>
          <w:rFonts w:cs="Times New Roman"/>
          <w:kern w:val="22"/>
          <w:szCs w:val="22"/>
          <w:lang w:val="fr-CA"/>
        </w:rPr>
        <w:t xml:space="preserve"> </w:t>
      </w:r>
      <w:r w:rsidRPr="00D050A4">
        <w:rPr>
          <w:rFonts w:cs="Times New Roman"/>
          <w:kern w:val="22"/>
          <w:szCs w:val="22"/>
          <w:lang w:val="fr-CA"/>
        </w:rPr>
        <w:t>les pays à revenu intermédiaire</w:t>
      </w:r>
      <w:r w:rsidR="005B167E" w:rsidRPr="00D050A4">
        <w:rPr>
          <w:rFonts w:cs="Times New Roman"/>
          <w:kern w:val="22"/>
          <w:szCs w:val="22"/>
          <w:lang w:val="fr-CA"/>
        </w:rPr>
        <w:t xml:space="preserve">, dont des États/provinces infranationaux, qui n’ont pas encore contribué et sont de plus en plus capables de le faire. Le FEM devrait mettre </w:t>
      </w:r>
      <w:r w:rsidR="00D050A4" w:rsidRPr="00D050A4">
        <w:rPr>
          <w:rFonts w:cs="Times New Roman"/>
          <w:kern w:val="22"/>
          <w:szCs w:val="22"/>
          <w:lang w:val="fr-CA"/>
        </w:rPr>
        <w:t xml:space="preserve">en œuvre </w:t>
      </w:r>
      <w:r w:rsidR="005B167E" w:rsidRPr="00D050A4">
        <w:rPr>
          <w:rFonts w:cs="Times New Roman"/>
          <w:kern w:val="22"/>
          <w:szCs w:val="22"/>
          <w:lang w:val="fr-CA"/>
        </w:rPr>
        <w:t xml:space="preserve">un système de gestion des risques associés aux </w:t>
      </w:r>
      <w:r w:rsidR="004949D7" w:rsidRPr="00D050A4">
        <w:rPr>
          <w:rFonts w:cs="Times New Roman"/>
          <w:kern w:val="22"/>
          <w:szCs w:val="22"/>
          <w:lang w:val="fr-CA"/>
        </w:rPr>
        <w:t>opérations de change</w:t>
      </w:r>
      <w:r w:rsidR="005B167E" w:rsidRPr="00D050A4">
        <w:rPr>
          <w:rFonts w:cs="Times New Roman"/>
          <w:kern w:val="22"/>
          <w:szCs w:val="22"/>
          <w:lang w:val="fr-CA"/>
        </w:rPr>
        <w:t xml:space="preserve"> dans les paramètres de l’instrument du FEM et/ou comme l’exige la loi pour gérer la volatilité</w:t>
      </w:r>
      <w:r w:rsidR="00813E7B" w:rsidRPr="00D050A4">
        <w:rPr>
          <w:rFonts w:cs="Times New Roman"/>
          <w:kern w:val="22"/>
          <w:szCs w:val="22"/>
          <w:lang w:val="fr-CA"/>
        </w:rPr>
        <w:t>;</w:t>
      </w:r>
    </w:p>
    <w:p w:rsidR="00CA7383" w:rsidRPr="00D050A4" w:rsidRDefault="004949D7"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D050A4">
        <w:rPr>
          <w:rFonts w:cs="Times New Roman"/>
          <w:i/>
          <w:iCs/>
          <w:kern w:val="22"/>
          <w:szCs w:val="22"/>
          <w:lang w:val="fr-CA"/>
        </w:rPr>
        <w:t>Engage</w:t>
      </w:r>
      <w:r w:rsidR="008D333D">
        <w:rPr>
          <w:rFonts w:cs="Times New Roman"/>
          <w:i/>
          <w:iCs/>
          <w:kern w:val="22"/>
          <w:szCs w:val="22"/>
          <w:lang w:val="fr-CA"/>
        </w:rPr>
        <w:t>ment du</w:t>
      </w:r>
      <w:r w:rsidRPr="00D050A4">
        <w:rPr>
          <w:rFonts w:cs="Times New Roman"/>
          <w:i/>
          <w:iCs/>
          <w:kern w:val="22"/>
          <w:szCs w:val="22"/>
          <w:lang w:val="fr-CA"/>
        </w:rPr>
        <w:t xml:space="preserve"> secteur privé.</w:t>
      </w:r>
      <w:r w:rsidRPr="00D050A4">
        <w:rPr>
          <w:rFonts w:cs="Times New Roman"/>
          <w:iCs/>
          <w:kern w:val="22"/>
          <w:szCs w:val="22"/>
          <w:lang w:val="fr-CA"/>
        </w:rPr>
        <w:t xml:space="preserve"> Le FEM devra adapter sa stratégie pour améliorer sa </w:t>
      </w:r>
      <w:r w:rsidRPr="00D050A4">
        <w:rPr>
          <w:rFonts w:eastAsia="Times New Roman" w:cs="Times New Roman"/>
          <w:iCs/>
          <w:kern w:val="22"/>
          <w:szCs w:val="22"/>
          <w:lang w:val="fr-CA"/>
        </w:rPr>
        <w:t>collaboration</w:t>
      </w:r>
      <w:r w:rsidRPr="00D050A4">
        <w:rPr>
          <w:rFonts w:cs="Times New Roman"/>
          <w:iCs/>
          <w:kern w:val="22"/>
          <w:szCs w:val="22"/>
          <w:lang w:val="fr-CA"/>
        </w:rPr>
        <w:t xml:space="preserve"> avec le secteur privé</w:t>
      </w:r>
      <w:r w:rsidR="00813E7B" w:rsidRPr="00D050A4">
        <w:rPr>
          <w:rFonts w:cs="Times New Roman"/>
          <w:kern w:val="22"/>
          <w:szCs w:val="22"/>
          <w:lang w:val="fr-CA"/>
        </w:rPr>
        <w:t>;</w:t>
      </w:r>
    </w:p>
    <w:p w:rsidR="007317D5" w:rsidRPr="00D050A4" w:rsidRDefault="004949D7"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D050A4">
        <w:rPr>
          <w:rFonts w:cs="Times New Roman"/>
          <w:i/>
          <w:iCs/>
          <w:kern w:val="22"/>
          <w:szCs w:val="22"/>
          <w:lang w:val="fr-CA"/>
        </w:rPr>
        <w:t xml:space="preserve">Promotion de l’équité entre les sexes. </w:t>
      </w:r>
      <w:r w:rsidRPr="00D050A4">
        <w:rPr>
          <w:rFonts w:cs="Times New Roman"/>
          <w:iCs/>
          <w:kern w:val="22"/>
          <w:szCs w:val="22"/>
          <w:lang w:val="fr-CA"/>
        </w:rPr>
        <w:t>Le FEM devra harmoniser davantage sa politique aux normes de bonnes pratiques internationales de gendérisation lorsqu’il révisera sa politique de gendérisation</w:t>
      </w:r>
      <w:r w:rsidR="00813E7B" w:rsidRPr="00D050A4">
        <w:rPr>
          <w:rFonts w:cs="Times New Roman"/>
          <w:kern w:val="22"/>
          <w:szCs w:val="22"/>
          <w:lang w:val="fr-CA"/>
        </w:rPr>
        <w:t>;</w:t>
      </w:r>
    </w:p>
    <w:p w:rsidR="007317D5" w:rsidRPr="00D050A4" w:rsidRDefault="004949D7"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D050A4">
        <w:rPr>
          <w:rFonts w:cs="Times New Roman"/>
          <w:i/>
          <w:iCs/>
          <w:kern w:val="22"/>
          <w:szCs w:val="22"/>
          <w:lang w:val="fr-CA"/>
        </w:rPr>
        <w:t xml:space="preserve">Examen et révision des politiques de sauvegarde. </w:t>
      </w:r>
      <w:r w:rsidR="00231E5B" w:rsidRPr="00D050A4">
        <w:rPr>
          <w:rFonts w:cs="Times New Roman"/>
          <w:iCs/>
          <w:kern w:val="22"/>
          <w:szCs w:val="22"/>
          <w:lang w:val="fr-CA"/>
        </w:rPr>
        <w:t>La politique de sauvegarde et les règles d’engagement auprès des peuples autochtones doivent être examinées afin de repérer les écarts par rapport aux bonnes pratiques</w:t>
      </w:r>
      <w:r w:rsidR="00D050A4">
        <w:rPr>
          <w:rFonts w:cs="Times New Roman"/>
          <w:iCs/>
          <w:kern w:val="22"/>
          <w:szCs w:val="22"/>
          <w:lang w:val="fr-CA"/>
        </w:rPr>
        <w:t>,</w:t>
      </w:r>
      <w:r w:rsidR="00231E5B" w:rsidRPr="00D050A4">
        <w:rPr>
          <w:rFonts w:cs="Times New Roman"/>
          <w:iCs/>
          <w:kern w:val="22"/>
          <w:szCs w:val="22"/>
          <w:lang w:val="fr-CA"/>
        </w:rPr>
        <w:t xml:space="preserve"> et mises à jour en conséquence</w:t>
      </w:r>
      <w:r w:rsidR="00813E7B" w:rsidRPr="00D050A4">
        <w:rPr>
          <w:rFonts w:cs="Times New Roman"/>
          <w:kern w:val="22"/>
          <w:szCs w:val="22"/>
          <w:lang w:val="fr-CA"/>
        </w:rPr>
        <w:t>;</w:t>
      </w:r>
    </w:p>
    <w:p w:rsidR="007317D5" w:rsidRPr="00D050A4" w:rsidRDefault="00231E5B"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D050A4">
        <w:rPr>
          <w:rFonts w:cs="Times New Roman"/>
          <w:i/>
          <w:iCs/>
          <w:kern w:val="22"/>
          <w:szCs w:val="22"/>
          <w:lang w:val="fr-CA"/>
        </w:rPr>
        <w:t xml:space="preserve">Renforcement de la gouvernance opérationnelle. </w:t>
      </w:r>
      <w:r w:rsidRPr="00D050A4">
        <w:rPr>
          <w:rFonts w:cs="Times New Roman"/>
          <w:iCs/>
          <w:kern w:val="22"/>
          <w:szCs w:val="22"/>
          <w:lang w:val="fr-CA"/>
        </w:rPr>
        <w:t xml:space="preserve">Le Secrétariat du FEM doit développer et communiquer clairement les critères de sélection et de conception des programmes. </w:t>
      </w:r>
      <w:r w:rsidR="008B74AD" w:rsidRPr="00D050A4">
        <w:rPr>
          <w:rFonts w:cs="Times New Roman"/>
          <w:iCs/>
          <w:kern w:val="22"/>
          <w:szCs w:val="22"/>
          <w:lang w:val="fr-CA"/>
        </w:rPr>
        <w:t>Il est impérieux de traiter des conflits d’intérêt potentiels découlant d’un chevauchement des rôles des agences d’exécution, y compris les agences des organisations civiles internationales partenaires</w:t>
      </w:r>
      <w:r w:rsidR="00813E7B" w:rsidRPr="00D050A4">
        <w:rPr>
          <w:rFonts w:cs="Times New Roman"/>
          <w:kern w:val="22"/>
          <w:szCs w:val="22"/>
          <w:lang w:val="fr-CA"/>
        </w:rPr>
        <w:t>;</w:t>
      </w:r>
    </w:p>
    <w:p w:rsidR="007317D5" w:rsidRPr="00D050A4" w:rsidRDefault="008B74AD" w:rsidP="00E733CD">
      <w:pPr>
        <w:pStyle w:val="Para1"/>
        <w:numPr>
          <w:ilvl w:val="0"/>
          <w:numId w:val="46"/>
        </w:numPr>
        <w:suppressLineNumbers/>
        <w:suppressAutoHyphens/>
        <w:kinsoku w:val="0"/>
        <w:overflowPunct w:val="0"/>
        <w:autoSpaceDE w:val="0"/>
        <w:autoSpaceDN w:val="0"/>
        <w:adjustRightInd w:val="0"/>
        <w:snapToGrid w:val="0"/>
        <w:ind w:left="0" w:firstLine="720"/>
        <w:rPr>
          <w:rFonts w:cs="Times New Roman"/>
          <w:kern w:val="22"/>
          <w:szCs w:val="22"/>
          <w:lang w:val="fr-CA"/>
        </w:rPr>
      </w:pPr>
      <w:r w:rsidRPr="00D050A4">
        <w:rPr>
          <w:rFonts w:cs="Times New Roman"/>
          <w:i/>
          <w:iCs/>
          <w:kern w:val="22"/>
          <w:szCs w:val="22"/>
          <w:lang w:val="fr-CA"/>
        </w:rPr>
        <w:t xml:space="preserve">Amélioration des systèmes de données, de suivi et de connaissances. </w:t>
      </w:r>
      <w:r w:rsidRPr="00D050A4">
        <w:rPr>
          <w:rFonts w:cs="Times New Roman"/>
          <w:iCs/>
          <w:kern w:val="22"/>
          <w:szCs w:val="22"/>
          <w:lang w:val="fr-CA"/>
        </w:rPr>
        <w:t>Les systèmes de gestion de l’information, des résultats et des connaissances sur les projets du FEM</w:t>
      </w:r>
      <w:r w:rsidR="004D1C71" w:rsidRPr="00D050A4">
        <w:rPr>
          <w:rFonts w:cs="Times New Roman"/>
          <w:iCs/>
          <w:kern w:val="22"/>
          <w:szCs w:val="22"/>
          <w:lang w:val="fr-CA"/>
        </w:rPr>
        <w:t xml:space="preserve"> doivent être renforcés afin que le FEM puisse faire la démonstration de leurs résultats et répondre aux besoins des partenariats d’apprentissage</w:t>
      </w:r>
      <w:r w:rsidR="00CA7383" w:rsidRPr="00D050A4">
        <w:rPr>
          <w:rFonts w:cs="Times New Roman"/>
          <w:kern w:val="22"/>
          <w:szCs w:val="22"/>
          <w:lang w:val="fr-CA"/>
        </w:rPr>
        <w:t>.</w:t>
      </w:r>
    </w:p>
    <w:p w:rsidR="009264E6" w:rsidRPr="004D1C71" w:rsidRDefault="00910914" w:rsidP="00E733CD">
      <w:pPr>
        <w:pStyle w:val="Titre2"/>
        <w:numPr>
          <w:ilvl w:val="0"/>
          <w:numId w:val="47"/>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lang w:val="fr-CA"/>
        </w:rPr>
      </w:pPr>
      <w:r>
        <w:rPr>
          <w:rFonts w:cs="Times New Roman"/>
          <w:snapToGrid w:val="0"/>
          <w:kern w:val="22"/>
          <w:szCs w:val="22"/>
          <w:lang w:val="fr-CA"/>
        </w:rPr>
        <w:t>Mise en œuvre future de l’examen de l’efficacité du mécanisme de financement</w:t>
      </w:r>
    </w:p>
    <w:p w:rsidR="009264E6" w:rsidRPr="004D1C71" w:rsidRDefault="00910914"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lang w:val="fr-CA"/>
        </w:rPr>
      </w:pPr>
      <w:r>
        <w:rPr>
          <w:rFonts w:eastAsia="Times New Roman" w:cs="Times New Roman"/>
          <w:iCs/>
          <w:kern w:val="22"/>
          <w:szCs w:val="22"/>
          <w:lang w:val="fr-CA"/>
        </w:rPr>
        <w:t>L’article 3 de la décision 21 précise que la Conférence des Parties examinera régulièrement l’efficacité du mécanisme de financement et prendra les mesures nécessaires pour améliorer l’efficacité du mécanisme, s’il y a lieu. Le mandat original de cet examen a été adopté par la Conférence des Parties dans sa décision III/7 (Lignes directrices relatives à l’étude de l’efficacité du mécanisme de financement)</w:t>
      </w:r>
      <w:r w:rsidR="008C3C2D">
        <w:rPr>
          <w:rFonts w:eastAsia="Times New Roman" w:cs="Times New Roman"/>
          <w:iCs/>
          <w:kern w:val="22"/>
          <w:szCs w:val="22"/>
          <w:lang w:val="fr-CA"/>
        </w:rPr>
        <w:t xml:space="preserve"> en 1996, et dans la décision V/12 (Deuxième examen du mécanisme de financement) en 2000. Des mandats semblables ont été adoptés pour des examens subséquents de l’efficacité du mécanisme de financement, dans le cadre desquels les services d’un évaluateur indépendant d’expérience était retenus pour réaliser l’examen, conformément aux objectifs, méthodologies et critères adoptés. La mise </w:t>
      </w:r>
      <w:r w:rsidR="00946A25">
        <w:rPr>
          <w:rFonts w:eastAsia="Times New Roman" w:cs="Times New Roman"/>
          <w:iCs/>
          <w:kern w:val="22"/>
          <w:szCs w:val="22"/>
          <w:lang w:val="fr-CA"/>
        </w:rPr>
        <w:t>en</w:t>
      </w:r>
      <w:r w:rsidR="008C3C2D">
        <w:rPr>
          <w:rFonts w:eastAsia="Times New Roman" w:cs="Times New Roman"/>
          <w:iCs/>
          <w:kern w:val="22"/>
          <w:szCs w:val="22"/>
          <w:lang w:val="fr-CA"/>
        </w:rPr>
        <w:t xml:space="preserve"> œuvre du mandat de l’examen de l’efficacité du mécanisme de financement </w:t>
      </w:r>
      <w:r w:rsidR="00523923">
        <w:rPr>
          <w:rFonts w:eastAsia="Times New Roman" w:cs="Times New Roman"/>
          <w:iCs/>
          <w:kern w:val="22"/>
          <w:szCs w:val="22"/>
          <w:lang w:val="fr-CA"/>
        </w:rPr>
        <w:t>dépend maintenant des contributions volontaires, qui ne sont pas toujours disponibles à temps pour la préparation du rapport sur l’examen de l’efficacité. Ainsi, le quatrième examen de l’efficacité du mécanisme de financement a dû être reporté de la onzième à la douzième réunion de la Conférence des Parties (voir le paragraphe 7 la décision XI/5)</w:t>
      </w:r>
      <w:r w:rsidR="00B2122E" w:rsidRPr="004D1C71">
        <w:rPr>
          <w:rFonts w:eastAsia="Times New Roman" w:cs="Times New Roman"/>
          <w:iCs/>
          <w:kern w:val="22"/>
          <w:szCs w:val="22"/>
          <w:lang w:val="fr-CA"/>
        </w:rPr>
        <w:t>.</w:t>
      </w:r>
      <w:r w:rsidR="00523923">
        <w:rPr>
          <w:rFonts w:eastAsia="Times New Roman" w:cs="Times New Roman"/>
          <w:iCs/>
          <w:kern w:val="22"/>
          <w:szCs w:val="22"/>
          <w:lang w:val="fr-CA"/>
        </w:rPr>
        <w:t xml:space="preserve"> Le cinquième examen de l’efficacité du mécanisme de financement n’a pas été réalisé à cause d’un manque de fonds.</w:t>
      </w:r>
    </w:p>
    <w:p w:rsidR="00EF6C70" w:rsidRPr="007107C9" w:rsidRDefault="00DB4C48" w:rsidP="007107C9">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lang w:val="fr-CA"/>
        </w:rPr>
      </w:pPr>
      <w:bookmarkStart w:id="1" w:name="_Ref513635853"/>
      <w:r>
        <w:rPr>
          <w:rFonts w:eastAsia="Times New Roman" w:cs="Times New Roman"/>
          <w:iCs/>
          <w:kern w:val="22"/>
          <w:szCs w:val="22"/>
          <w:lang w:val="fr-CA"/>
        </w:rPr>
        <w:t>Le Conseil du FEM</w:t>
      </w:r>
      <w:r w:rsidR="0011675F">
        <w:rPr>
          <w:rFonts w:eastAsia="Times New Roman" w:cs="Times New Roman"/>
          <w:iCs/>
          <w:kern w:val="22"/>
          <w:szCs w:val="22"/>
          <w:lang w:val="fr-CA"/>
        </w:rPr>
        <w:t xml:space="preserve"> a décidé de créer le Bureau indépendant d’évaluation en juillet 2003, en réponse à l’adoption d’un processus d’examen indépendant de l’efficacité du mécanisme de financement </w:t>
      </w:r>
      <w:r w:rsidR="002161B6">
        <w:rPr>
          <w:rFonts w:eastAsia="Times New Roman" w:cs="Times New Roman"/>
          <w:iCs/>
          <w:kern w:val="22"/>
          <w:szCs w:val="22"/>
          <w:lang w:val="fr-CA"/>
        </w:rPr>
        <w:t xml:space="preserve">par la Conférence des Parties </w:t>
      </w:r>
      <w:r w:rsidR="0011675F">
        <w:rPr>
          <w:rFonts w:eastAsia="Times New Roman" w:cs="Times New Roman"/>
          <w:iCs/>
          <w:kern w:val="22"/>
          <w:szCs w:val="22"/>
          <w:lang w:val="fr-CA"/>
        </w:rPr>
        <w:t xml:space="preserve">en </w:t>
      </w:r>
      <w:r w:rsidR="002161B6">
        <w:rPr>
          <w:rFonts w:eastAsia="Times New Roman" w:cs="Times New Roman"/>
          <w:iCs/>
          <w:kern w:val="22"/>
          <w:szCs w:val="22"/>
          <w:lang w:val="fr-CA"/>
        </w:rPr>
        <w:t>mai 20</w:t>
      </w:r>
      <w:r w:rsidR="00946A25">
        <w:rPr>
          <w:rFonts w:eastAsia="Times New Roman" w:cs="Times New Roman"/>
          <w:iCs/>
          <w:kern w:val="22"/>
          <w:szCs w:val="22"/>
          <w:lang w:val="fr-CA"/>
        </w:rPr>
        <w:t>03</w:t>
      </w:r>
      <w:r w:rsidR="0011675F">
        <w:rPr>
          <w:rFonts w:eastAsia="Times New Roman" w:cs="Times New Roman"/>
          <w:iCs/>
          <w:kern w:val="22"/>
          <w:szCs w:val="22"/>
          <w:lang w:val="fr-CA"/>
        </w:rPr>
        <w:t>, afin d’</w:t>
      </w:r>
      <w:r w:rsidR="002161B6">
        <w:rPr>
          <w:rFonts w:eastAsia="Times New Roman" w:cs="Times New Roman"/>
          <w:iCs/>
          <w:kern w:val="22"/>
          <w:szCs w:val="22"/>
          <w:lang w:val="fr-CA"/>
        </w:rPr>
        <w:t>offrir un servi</w:t>
      </w:r>
      <w:r w:rsidR="0011675F">
        <w:rPr>
          <w:rFonts w:eastAsia="Times New Roman" w:cs="Times New Roman"/>
          <w:iCs/>
          <w:kern w:val="22"/>
          <w:szCs w:val="22"/>
          <w:lang w:val="fr-CA"/>
        </w:rPr>
        <w:t>ce indépendant d’évaluation au sein du FEM</w:t>
      </w:r>
      <w:r w:rsidR="00946A25">
        <w:rPr>
          <w:rFonts w:eastAsia="Times New Roman" w:cs="Times New Roman"/>
          <w:iCs/>
          <w:kern w:val="22"/>
          <w:szCs w:val="22"/>
          <w:lang w:val="fr-CA"/>
        </w:rPr>
        <w:t>. Le BIE/</w:t>
      </w:r>
      <w:r w:rsidR="002161B6">
        <w:rPr>
          <w:rFonts w:eastAsia="Times New Roman" w:cs="Times New Roman"/>
          <w:iCs/>
          <w:kern w:val="22"/>
          <w:szCs w:val="22"/>
          <w:lang w:val="fr-CA"/>
        </w:rPr>
        <w:t>FEM est indépendant des fonctions d’organe directeur, de la prestation et de la gestion de l’</w:t>
      </w:r>
      <w:r w:rsidR="00466057">
        <w:rPr>
          <w:rFonts w:eastAsia="Times New Roman" w:cs="Times New Roman"/>
          <w:iCs/>
          <w:kern w:val="22"/>
          <w:szCs w:val="22"/>
          <w:lang w:val="fr-CA"/>
        </w:rPr>
        <w:t xml:space="preserve">assistance </w:t>
      </w:r>
      <w:r w:rsidR="002161B6">
        <w:rPr>
          <w:rFonts w:eastAsia="Times New Roman" w:cs="Times New Roman"/>
          <w:iCs/>
          <w:kern w:val="22"/>
          <w:szCs w:val="22"/>
          <w:lang w:val="fr-CA"/>
        </w:rPr>
        <w:t>du FEM, et rel</w:t>
      </w:r>
      <w:r w:rsidR="00466057">
        <w:rPr>
          <w:rFonts w:eastAsia="Times New Roman" w:cs="Times New Roman"/>
          <w:iCs/>
          <w:kern w:val="22"/>
          <w:szCs w:val="22"/>
          <w:lang w:val="fr-CA"/>
        </w:rPr>
        <w:t>ève di</w:t>
      </w:r>
      <w:r w:rsidR="002161B6">
        <w:rPr>
          <w:rFonts w:eastAsia="Times New Roman" w:cs="Times New Roman"/>
          <w:iCs/>
          <w:kern w:val="22"/>
          <w:szCs w:val="22"/>
          <w:lang w:val="fr-CA"/>
        </w:rPr>
        <w:t>rectement du Conseil du FEM. Le BIE/FEM entreprend ses évaluations en respectant les principes suivants expliqués dans la politique de suivi et évaluation 2010 du FEM</w:t>
      </w:r>
      <w:bookmarkEnd w:id="1"/>
      <w:r w:rsidR="002161B6">
        <w:rPr>
          <w:rFonts w:eastAsia="Times New Roman" w:cs="Times New Roman"/>
          <w:iCs/>
          <w:kern w:val="22"/>
          <w:szCs w:val="22"/>
          <w:lang w:val="fr-CA"/>
        </w:rPr>
        <w:t xml:space="preserve"> </w:t>
      </w:r>
      <w:r w:rsidR="002161B6" w:rsidRPr="002161B6">
        <w:rPr>
          <w:rFonts w:cs="Times New Roman"/>
          <w:kern w:val="22"/>
          <w:szCs w:val="22"/>
          <w:lang w:val="fr-CA"/>
        </w:rPr>
        <w:t>(</w:t>
      </w:r>
      <w:proofErr w:type="spellStart"/>
      <w:r w:rsidR="002161B6" w:rsidRPr="002161B6">
        <w:rPr>
          <w:rFonts w:cs="Times New Roman"/>
          <w:kern w:val="22"/>
          <w:szCs w:val="22"/>
          <w:lang w:val="fr-CA"/>
        </w:rPr>
        <w:t>GEF</w:t>
      </w:r>
      <w:proofErr w:type="spellEnd"/>
      <w:r w:rsidR="002161B6" w:rsidRPr="002161B6">
        <w:rPr>
          <w:rFonts w:cs="Times New Roman"/>
          <w:kern w:val="22"/>
          <w:szCs w:val="22"/>
          <w:lang w:val="fr-CA"/>
        </w:rPr>
        <w:t>/ME/C.39/6/Rev.1, 17</w:t>
      </w:r>
      <w:r w:rsidR="002161B6">
        <w:rPr>
          <w:rFonts w:cs="Times New Roman"/>
          <w:kern w:val="22"/>
          <w:szCs w:val="22"/>
          <w:lang w:val="fr-CA"/>
        </w:rPr>
        <w:t xml:space="preserve"> novembre</w:t>
      </w:r>
      <w:r w:rsidR="002161B6" w:rsidRPr="002161B6">
        <w:rPr>
          <w:rFonts w:cs="Times New Roman"/>
          <w:kern w:val="22"/>
          <w:szCs w:val="22"/>
          <w:lang w:val="fr-CA"/>
        </w:rPr>
        <w:t xml:space="preserve"> 2010</w:t>
      </w:r>
      <w:r w:rsidR="002161B6">
        <w:rPr>
          <w:rFonts w:cs="Times New Roman"/>
          <w:kern w:val="22"/>
          <w:szCs w:val="22"/>
          <w:lang w:val="fr-CA"/>
        </w:rPr>
        <w:t>) :</w:t>
      </w:r>
      <w:r w:rsidR="00466057">
        <w:rPr>
          <w:rFonts w:cs="Times New Roman"/>
          <w:kern w:val="22"/>
          <w:szCs w:val="22"/>
          <w:lang w:val="fr-CA"/>
        </w:rPr>
        <w:t xml:space="preserve"> indépendance, cr</w:t>
      </w:r>
      <w:r w:rsidR="002161B6">
        <w:rPr>
          <w:rFonts w:cs="Times New Roman"/>
          <w:kern w:val="22"/>
          <w:szCs w:val="22"/>
          <w:lang w:val="fr-CA"/>
        </w:rPr>
        <w:t>édibilité, utilité, impartialité, transparence, divulgation, éthique, participation, compétences et capacités. Les Lign</w:t>
      </w:r>
      <w:r w:rsidR="00466057">
        <w:rPr>
          <w:rFonts w:cs="Times New Roman"/>
          <w:kern w:val="22"/>
          <w:szCs w:val="22"/>
          <w:lang w:val="fr-CA"/>
        </w:rPr>
        <w:t>es</w:t>
      </w:r>
      <w:r w:rsidR="002161B6">
        <w:rPr>
          <w:rFonts w:cs="Times New Roman"/>
          <w:kern w:val="22"/>
          <w:szCs w:val="22"/>
          <w:lang w:val="fr-CA"/>
        </w:rPr>
        <w:t xml:space="preserve"> directrices sur le Bureau </w:t>
      </w:r>
      <w:r w:rsidR="00466057">
        <w:rPr>
          <w:rFonts w:cs="Times New Roman"/>
          <w:kern w:val="22"/>
          <w:szCs w:val="22"/>
          <w:lang w:val="fr-CA"/>
        </w:rPr>
        <w:t>indépendant d’évaluation de 2007 exige</w:t>
      </w:r>
      <w:r w:rsidR="00946A25">
        <w:rPr>
          <w:rFonts w:cs="Times New Roman"/>
          <w:kern w:val="22"/>
          <w:szCs w:val="22"/>
          <w:lang w:val="fr-CA"/>
        </w:rPr>
        <w:t>nt</w:t>
      </w:r>
      <w:r w:rsidR="007107C9">
        <w:rPr>
          <w:rFonts w:cs="Times New Roman"/>
          <w:kern w:val="22"/>
          <w:szCs w:val="22"/>
          <w:lang w:val="fr-CA"/>
        </w:rPr>
        <w:t xml:space="preserve"> également que </w:t>
      </w:r>
      <w:r w:rsidR="007107C9" w:rsidRPr="007107C9">
        <w:rPr>
          <w:rFonts w:cs="Times New Roman"/>
          <w:kern w:val="22"/>
          <w:szCs w:val="22"/>
          <w:lang w:val="fr-CA"/>
        </w:rPr>
        <w:t>les évaluations soient</w:t>
      </w:r>
      <w:r w:rsidR="00466057" w:rsidRPr="007107C9">
        <w:rPr>
          <w:rFonts w:cs="Times New Roman"/>
          <w:kern w:val="22"/>
          <w:szCs w:val="22"/>
          <w:lang w:val="fr-CA"/>
        </w:rPr>
        <w:t xml:space="preserve"> </w:t>
      </w:r>
      <w:r w:rsidR="005D42EE" w:rsidRPr="007107C9">
        <w:rPr>
          <w:rFonts w:cs="Times New Roman"/>
          <w:kern w:val="22"/>
          <w:szCs w:val="22"/>
          <w:lang w:val="fr-CA"/>
        </w:rPr>
        <w:t>indépe</w:t>
      </w:r>
      <w:r w:rsidR="00466057" w:rsidRPr="007107C9">
        <w:rPr>
          <w:rFonts w:cs="Times New Roman"/>
          <w:kern w:val="22"/>
          <w:szCs w:val="22"/>
          <w:lang w:val="fr-CA"/>
        </w:rPr>
        <w:t>ndan</w:t>
      </w:r>
      <w:r w:rsidR="007107C9" w:rsidRPr="007107C9">
        <w:rPr>
          <w:rFonts w:cs="Times New Roman"/>
          <w:kern w:val="22"/>
          <w:szCs w:val="22"/>
          <w:lang w:val="fr-CA"/>
        </w:rPr>
        <w:t>te</w:t>
      </w:r>
      <w:r w:rsidR="007C00C1">
        <w:rPr>
          <w:rFonts w:cs="Times New Roman"/>
          <w:kern w:val="22"/>
          <w:szCs w:val="22"/>
          <w:lang w:val="fr-CA"/>
        </w:rPr>
        <w:t>s</w:t>
      </w:r>
      <w:r w:rsidR="00466057" w:rsidRPr="007107C9">
        <w:rPr>
          <w:rFonts w:cs="Times New Roman"/>
          <w:kern w:val="22"/>
          <w:szCs w:val="22"/>
          <w:lang w:val="fr-CA"/>
        </w:rPr>
        <w:t xml:space="preserve">, </w:t>
      </w:r>
      <w:r w:rsidR="007107C9" w:rsidRPr="007107C9">
        <w:rPr>
          <w:rFonts w:cs="Times New Roman"/>
          <w:kern w:val="22"/>
          <w:szCs w:val="22"/>
          <w:lang w:val="fr-CA"/>
        </w:rPr>
        <w:t>impartiales</w:t>
      </w:r>
      <w:r w:rsidR="00466057" w:rsidRPr="007107C9">
        <w:rPr>
          <w:rFonts w:cs="Times New Roman"/>
          <w:kern w:val="22"/>
          <w:szCs w:val="22"/>
          <w:lang w:val="fr-CA"/>
        </w:rPr>
        <w:t xml:space="preserve">, </w:t>
      </w:r>
      <w:r w:rsidR="007107C9" w:rsidRPr="007107C9">
        <w:rPr>
          <w:rFonts w:cs="Times New Roman"/>
          <w:kern w:val="22"/>
          <w:szCs w:val="22"/>
          <w:lang w:val="fr-CA"/>
        </w:rPr>
        <w:t>transparentes</w:t>
      </w:r>
      <w:r w:rsidR="005D42EE" w:rsidRPr="007107C9">
        <w:rPr>
          <w:rFonts w:cs="Times New Roman"/>
          <w:kern w:val="22"/>
          <w:szCs w:val="22"/>
          <w:lang w:val="fr-CA"/>
        </w:rPr>
        <w:t xml:space="preserve">, </w:t>
      </w:r>
      <w:r w:rsidR="007107C9" w:rsidRPr="007107C9">
        <w:rPr>
          <w:rFonts w:cs="Times New Roman"/>
          <w:kern w:val="22"/>
          <w:szCs w:val="22"/>
          <w:lang w:val="fr-CA"/>
        </w:rPr>
        <w:t>divulguées</w:t>
      </w:r>
      <w:r w:rsidR="005D42EE" w:rsidRPr="007107C9">
        <w:rPr>
          <w:rFonts w:cs="Times New Roman"/>
          <w:kern w:val="22"/>
          <w:szCs w:val="22"/>
          <w:lang w:val="fr-CA"/>
        </w:rPr>
        <w:t xml:space="preserve"> et </w:t>
      </w:r>
      <w:r w:rsidR="007107C9" w:rsidRPr="007107C9">
        <w:rPr>
          <w:rFonts w:cs="Times New Roman"/>
          <w:kern w:val="22"/>
          <w:szCs w:val="22"/>
          <w:lang w:val="fr-CA"/>
        </w:rPr>
        <w:t>que les connaissances soient partagées</w:t>
      </w:r>
      <w:r w:rsidR="007C00C1">
        <w:rPr>
          <w:rFonts w:cs="Times New Roman"/>
          <w:kern w:val="22"/>
          <w:szCs w:val="22"/>
          <w:lang w:val="fr-CA"/>
        </w:rPr>
        <w:t>,</w:t>
      </w:r>
      <w:r w:rsidR="00466057" w:rsidRPr="007107C9">
        <w:rPr>
          <w:rFonts w:cs="Times New Roman"/>
          <w:kern w:val="22"/>
          <w:szCs w:val="22"/>
          <w:lang w:val="fr-CA"/>
        </w:rPr>
        <w:t xml:space="preserve"> et </w:t>
      </w:r>
      <w:r w:rsidR="005D42EE" w:rsidRPr="007107C9">
        <w:rPr>
          <w:rFonts w:cs="Times New Roman"/>
          <w:kern w:val="22"/>
          <w:szCs w:val="22"/>
          <w:lang w:val="fr-CA"/>
        </w:rPr>
        <w:t xml:space="preserve">stipulent que les évaluations doivent offrir une présentation complète et équilibrée des forces et des faiblesses des directions, des programmes, des projets ou de l’organisation évaluée. Le processus d’évaluation </w:t>
      </w:r>
      <w:r w:rsidR="007107C9">
        <w:rPr>
          <w:rFonts w:cs="Times New Roman"/>
          <w:kern w:val="22"/>
          <w:szCs w:val="22"/>
          <w:lang w:val="fr-CA"/>
        </w:rPr>
        <w:t>devra être</w:t>
      </w:r>
      <w:r w:rsidR="005D42EE" w:rsidRPr="007107C9">
        <w:rPr>
          <w:rFonts w:cs="Times New Roman"/>
          <w:kern w:val="22"/>
          <w:szCs w:val="22"/>
          <w:lang w:val="fr-CA"/>
        </w:rPr>
        <w:t xml:space="preserve"> impartial à </w:t>
      </w:r>
      <w:r w:rsidR="005D42EE" w:rsidRPr="007107C9">
        <w:rPr>
          <w:rFonts w:eastAsia="Times New Roman" w:cs="Times New Roman"/>
          <w:kern w:val="22"/>
          <w:szCs w:val="22"/>
          <w:lang w:val="fr-CA"/>
        </w:rPr>
        <w:t>toutes</w:t>
      </w:r>
      <w:r w:rsidR="005D42EE" w:rsidRPr="007107C9">
        <w:rPr>
          <w:rFonts w:cs="Times New Roman"/>
          <w:kern w:val="22"/>
          <w:szCs w:val="22"/>
          <w:lang w:val="fr-CA"/>
        </w:rPr>
        <w:t xml:space="preserve"> ses étapes et </w:t>
      </w:r>
      <w:r w:rsidR="007107C9">
        <w:rPr>
          <w:rFonts w:cs="Times New Roman"/>
          <w:kern w:val="22"/>
          <w:szCs w:val="22"/>
          <w:lang w:val="fr-CA"/>
        </w:rPr>
        <w:t>tenir</w:t>
      </w:r>
      <w:r w:rsidR="005D42EE" w:rsidRPr="007107C9">
        <w:rPr>
          <w:rFonts w:cs="Times New Roman"/>
          <w:kern w:val="22"/>
          <w:szCs w:val="22"/>
          <w:lang w:val="fr-CA"/>
        </w:rPr>
        <w:t xml:space="preserve"> dûment compte des points de vue de </w:t>
      </w:r>
      <w:r w:rsidR="005D42EE" w:rsidRPr="007107C9">
        <w:rPr>
          <w:rFonts w:eastAsia="Times New Roman" w:cs="Times New Roman"/>
          <w:kern w:val="22"/>
          <w:szCs w:val="22"/>
          <w:lang w:val="fr-CA"/>
        </w:rPr>
        <w:t>toutes</w:t>
      </w:r>
      <w:r w:rsidR="005D42EE" w:rsidRPr="007107C9">
        <w:rPr>
          <w:rFonts w:cs="Times New Roman"/>
          <w:kern w:val="22"/>
          <w:szCs w:val="22"/>
          <w:lang w:val="fr-CA"/>
        </w:rPr>
        <w:t xml:space="preserve"> les parties prenantes.</w:t>
      </w:r>
    </w:p>
    <w:p w:rsidR="00D612B8" w:rsidRPr="00D20988" w:rsidRDefault="00D612B8"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lang w:val="fr-CA"/>
        </w:rPr>
      </w:pPr>
      <w:r w:rsidRPr="00D20988">
        <w:rPr>
          <w:rFonts w:cs="Times New Roman"/>
          <w:snapToGrid w:val="0"/>
          <w:kern w:val="22"/>
          <w:szCs w:val="22"/>
          <w:lang w:val="fr-CA"/>
        </w:rPr>
        <w:lastRenderedPageBreak/>
        <w:t>IV.</w:t>
      </w:r>
      <w:r w:rsidRPr="00D20988">
        <w:rPr>
          <w:rFonts w:cs="Times New Roman"/>
          <w:snapToGrid w:val="0"/>
          <w:kern w:val="22"/>
          <w:szCs w:val="22"/>
          <w:lang w:val="fr-CA"/>
        </w:rPr>
        <w:tab/>
      </w:r>
      <w:r w:rsidR="005D42EE" w:rsidRPr="00D20988">
        <w:rPr>
          <w:rFonts w:cs="Times New Roman"/>
          <w:snapToGrid w:val="0"/>
          <w:kern w:val="22"/>
          <w:szCs w:val="22"/>
          <w:lang w:val="fr-CA"/>
        </w:rPr>
        <w:t>DÉTERMINATION DES EXIGENCES DE FINANCEMENT</w:t>
      </w:r>
    </w:p>
    <w:p w:rsidR="00E22D51" w:rsidRPr="00D20988" w:rsidRDefault="00D20988"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lang w:val="fr-CA"/>
        </w:rPr>
      </w:pPr>
      <w:r w:rsidRPr="00D20988">
        <w:rPr>
          <w:rFonts w:eastAsia="Malgun Gothic" w:cs="Times New Roman"/>
          <w:kern w:val="22"/>
          <w:szCs w:val="22"/>
          <w:lang w:val="fr-CA"/>
        </w:rPr>
        <w:t>Dans sa décision</w:t>
      </w:r>
      <w:r w:rsidR="00494431" w:rsidRPr="00D20988">
        <w:rPr>
          <w:rFonts w:eastAsia="Malgun Gothic" w:cs="Times New Roman"/>
          <w:kern w:val="22"/>
          <w:szCs w:val="22"/>
          <w:lang w:val="fr-CA"/>
        </w:rPr>
        <w:t xml:space="preserve"> </w:t>
      </w:r>
      <w:hyperlink r:id="rId13" w:history="1">
        <w:r w:rsidR="00494431" w:rsidRPr="00D20988">
          <w:rPr>
            <w:rStyle w:val="Lienhypertexte"/>
            <w:rFonts w:eastAsia="Malgun Gothic" w:cs="Times New Roman"/>
            <w:kern w:val="22"/>
            <w:szCs w:val="22"/>
            <w:lang w:val="fr-CA"/>
          </w:rPr>
          <w:t>X/26</w:t>
        </w:r>
      </w:hyperlink>
      <w:r w:rsidR="00494431" w:rsidRPr="00D20988">
        <w:rPr>
          <w:rFonts w:eastAsia="Malgun Gothic" w:cs="Times New Roman"/>
          <w:kern w:val="22"/>
          <w:szCs w:val="22"/>
          <w:lang w:val="fr-CA"/>
        </w:rPr>
        <w:t xml:space="preserve">, </w:t>
      </w:r>
      <w:r w:rsidRPr="00D20988">
        <w:rPr>
          <w:rFonts w:eastAsia="Malgun Gothic" w:cs="Times New Roman"/>
          <w:kern w:val="22"/>
          <w:szCs w:val="22"/>
          <w:lang w:val="fr-CA"/>
        </w:rPr>
        <w:t>la</w:t>
      </w:r>
      <w:r>
        <w:rPr>
          <w:rFonts w:eastAsia="Malgun Gothic" w:cs="Times New Roman"/>
          <w:kern w:val="22"/>
          <w:szCs w:val="22"/>
          <w:lang w:val="fr-CA"/>
        </w:rPr>
        <w:t xml:space="preserve"> Conférence des Parties a décidé d’entreprendre </w:t>
      </w:r>
      <w:r w:rsidR="007912F2">
        <w:rPr>
          <w:rFonts w:eastAsia="Malgun Gothic" w:cs="Times New Roman"/>
          <w:kern w:val="22"/>
          <w:szCs w:val="22"/>
          <w:lang w:val="fr-CA"/>
        </w:rPr>
        <w:t xml:space="preserve">une </w:t>
      </w:r>
      <w:r>
        <w:rPr>
          <w:rFonts w:eastAsia="Malgun Gothic" w:cs="Times New Roman"/>
          <w:kern w:val="22"/>
          <w:szCs w:val="22"/>
          <w:lang w:val="fr-CA"/>
        </w:rPr>
        <w:t xml:space="preserve">évaluation des sommes </w:t>
      </w:r>
      <w:r w:rsidR="007912F2">
        <w:rPr>
          <w:rFonts w:eastAsia="Malgun Gothic" w:cs="Times New Roman"/>
          <w:kern w:val="22"/>
          <w:szCs w:val="22"/>
          <w:lang w:val="fr-CA"/>
        </w:rPr>
        <w:t>nécessaires</w:t>
      </w:r>
      <w:r>
        <w:rPr>
          <w:rFonts w:eastAsia="Malgun Gothic" w:cs="Times New Roman"/>
          <w:kern w:val="22"/>
          <w:szCs w:val="22"/>
          <w:lang w:val="fr-CA"/>
        </w:rPr>
        <w:t xml:space="preserve"> pour aider les pays en développement à respecter leurs engagements </w:t>
      </w:r>
      <w:r w:rsidR="00D265B9">
        <w:rPr>
          <w:rFonts w:eastAsia="Malgun Gothic" w:cs="Times New Roman"/>
          <w:kern w:val="22"/>
          <w:szCs w:val="22"/>
          <w:lang w:val="fr-CA"/>
        </w:rPr>
        <w:t xml:space="preserve">au titre de la Convention pendant le prochain cycle de reconstitution du FEM, conformément à l’orientation donnée par la Conférence des Parties. </w:t>
      </w:r>
      <w:r w:rsidR="00D265B9" w:rsidRPr="00D265B9">
        <w:rPr>
          <w:rFonts w:eastAsia="Malgun Gothic" w:cs="Times New Roman"/>
          <w:kern w:val="22"/>
          <w:szCs w:val="22"/>
          <w:lang w:val="fr-CA"/>
        </w:rPr>
        <w:t xml:space="preserve">Une équipe d’experts a réalisé une évaluation </w:t>
      </w:r>
      <w:r w:rsidR="00686F47">
        <w:rPr>
          <w:rFonts w:eastAsia="Malgun Gothic" w:cs="Times New Roman"/>
          <w:kern w:val="22"/>
          <w:szCs w:val="22"/>
          <w:lang w:val="fr-CA"/>
        </w:rPr>
        <w:t>complè</w:t>
      </w:r>
      <w:r w:rsidR="00D265B9" w:rsidRPr="00D265B9">
        <w:rPr>
          <w:rFonts w:eastAsia="Malgun Gothic" w:cs="Times New Roman"/>
          <w:kern w:val="22"/>
          <w:szCs w:val="22"/>
          <w:lang w:val="fr-CA"/>
        </w:rPr>
        <w:t>te des besoins de financement en vue de la sept</w:t>
      </w:r>
      <w:r w:rsidR="00686F47">
        <w:rPr>
          <w:rFonts w:eastAsia="Malgun Gothic" w:cs="Times New Roman"/>
          <w:kern w:val="22"/>
          <w:szCs w:val="22"/>
          <w:lang w:val="fr-CA"/>
        </w:rPr>
        <w:t>i</w:t>
      </w:r>
      <w:r w:rsidR="00D265B9">
        <w:rPr>
          <w:rFonts w:eastAsia="Malgun Gothic" w:cs="Times New Roman"/>
          <w:kern w:val="22"/>
          <w:szCs w:val="22"/>
          <w:lang w:val="fr-CA"/>
        </w:rPr>
        <w:t xml:space="preserve">ème reconstitution du fonds d’affectation spéciale du FEM et </w:t>
      </w:r>
      <w:r w:rsidR="00686F47">
        <w:rPr>
          <w:rFonts w:eastAsia="Malgun Gothic" w:cs="Times New Roman"/>
          <w:kern w:val="22"/>
          <w:szCs w:val="22"/>
          <w:lang w:val="fr-CA"/>
        </w:rPr>
        <w:t xml:space="preserve">a évalué les besoins de financement de </w:t>
      </w:r>
      <w:r w:rsidR="007C00C1">
        <w:rPr>
          <w:rFonts w:eastAsia="Malgun Gothic" w:cs="Times New Roman"/>
          <w:kern w:val="22"/>
          <w:szCs w:val="22"/>
          <w:lang w:val="fr-CA"/>
        </w:rPr>
        <w:t xml:space="preserve">la </w:t>
      </w:r>
      <w:r w:rsidR="00686F47">
        <w:rPr>
          <w:rFonts w:eastAsia="Malgun Gothic" w:cs="Times New Roman"/>
          <w:kern w:val="22"/>
          <w:szCs w:val="22"/>
          <w:lang w:val="fr-CA"/>
        </w:rPr>
        <w:t>FEM-7 à 2 milliards $US à 4,5 milliards $US</w:t>
      </w:r>
      <w:r w:rsidR="00E22D51" w:rsidRPr="00D265B9">
        <w:rPr>
          <w:rFonts w:eastAsia="Malgun Gothic" w:cs="Times New Roman"/>
          <w:kern w:val="22"/>
          <w:szCs w:val="22"/>
          <w:lang w:val="fr-CA"/>
        </w:rPr>
        <w:t>.</w:t>
      </w:r>
      <w:r w:rsidR="006E2E54" w:rsidRPr="00D20988">
        <w:rPr>
          <w:rStyle w:val="Appelnotedebasdep"/>
          <w:rFonts w:eastAsia="Malgun Gothic" w:cs="Times New Roman"/>
          <w:kern w:val="22"/>
          <w:sz w:val="22"/>
          <w:szCs w:val="22"/>
          <w:lang w:val="fr-CA"/>
        </w:rPr>
        <w:footnoteReference w:id="2"/>
      </w:r>
      <w:r w:rsidR="00E22D51" w:rsidRPr="00D265B9">
        <w:rPr>
          <w:rFonts w:eastAsia="Malgun Gothic" w:cs="Times New Roman"/>
          <w:kern w:val="22"/>
          <w:szCs w:val="22"/>
          <w:lang w:val="fr-CA"/>
        </w:rPr>
        <w:t xml:space="preserve"> </w:t>
      </w:r>
      <w:r w:rsidR="00686F47" w:rsidRPr="00686F47">
        <w:rPr>
          <w:rFonts w:eastAsia="Malgun Gothic" w:cs="Times New Roman"/>
          <w:kern w:val="22"/>
          <w:szCs w:val="22"/>
          <w:lang w:val="fr-CA"/>
        </w:rPr>
        <w:t>Dans sa d</w:t>
      </w:r>
      <w:r w:rsidR="003020F4">
        <w:rPr>
          <w:rFonts w:eastAsia="Malgun Gothic" w:cs="Times New Roman"/>
          <w:kern w:val="22"/>
          <w:szCs w:val="22"/>
          <w:lang w:val="fr-CA"/>
        </w:rPr>
        <w:t>é</w:t>
      </w:r>
      <w:r w:rsidR="00686F47" w:rsidRPr="00686F47">
        <w:rPr>
          <w:rFonts w:eastAsia="Malgun Gothic" w:cs="Times New Roman"/>
          <w:kern w:val="22"/>
          <w:szCs w:val="22"/>
          <w:lang w:val="fr-CA"/>
        </w:rPr>
        <w:t xml:space="preserve">cision </w:t>
      </w:r>
      <w:r w:rsidR="003020F4">
        <w:rPr>
          <w:rFonts w:eastAsia="Malgun Gothic" w:cs="Times New Roman"/>
          <w:kern w:val="22"/>
          <w:szCs w:val="22"/>
          <w:lang w:val="fr-CA"/>
        </w:rPr>
        <w:t>XIII/21, la Con</w:t>
      </w:r>
      <w:r w:rsidR="00686F47" w:rsidRPr="00686F47">
        <w:rPr>
          <w:rFonts w:eastAsia="Malgun Gothic" w:cs="Times New Roman"/>
          <w:kern w:val="22"/>
          <w:szCs w:val="22"/>
          <w:lang w:val="fr-CA"/>
        </w:rPr>
        <w:t>férence des Parties a discuté de</w:t>
      </w:r>
      <w:r w:rsidR="003020F4">
        <w:rPr>
          <w:rFonts w:eastAsia="Malgun Gothic" w:cs="Times New Roman"/>
          <w:kern w:val="22"/>
          <w:szCs w:val="22"/>
          <w:lang w:val="fr-CA"/>
        </w:rPr>
        <w:t xml:space="preserve"> </w:t>
      </w:r>
      <w:r w:rsidR="00686F47" w:rsidRPr="00686F47">
        <w:rPr>
          <w:rFonts w:eastAsia="Malgun Gothic" w:cs="Times New Roman"/>
          <w:kern w:val="22"/>
          <w:szCs w:val="22"/>
          <w:lang w:val="fr-CA"/>
        </w:rPr>
        <w:t>la deuxi</w:t>
      </w:r>
      <w:r w:rsidR="00686F47">
        <w:rPr>
          <w:rFonts w:eastAsia="Malgun Gothic" w:cs="Times New Roman"/>
          <w:kern w:val="22"/>
          <w:szCs w:val="22"/>
          <w:lang w:val="fr-CA"/>
        </w:rPr>
        <w:t xml:space="preserve">ème détermination des besoins en financement et a prié le Fonds pour l’environnement mondial de prendre en considération le Plan stratégique 2011-2020 pour la diversité biologique et les Objectifs d’Aichi </w:t>
      </w:r>
      <w:r w:rsidR="003020F4">
        <w:rPr>
          <w:rFonts w:eastAsia="Malgun Gothic" w:cs="Times New Roman"/>
          <w:kern w:val="22"/>
          <w:szCs w:val="22"/>
          <w:lang w:val="fr-CA"/>
        </w:rPr>
        <w:t>relatifs</w:t>
      </w:r>
      <w:r w:rsidR="00686F47">
        <w:rPr>
          <w:rFonts w:eastAsia="Malgun Gothic" w:cs="Times New Roman"/>
          <w:kern w:val="22"/>
          <w:szCs w:val="22"/>
          <w:lang w:val="fr-CA"/>
        </w:rPr>
        <w:t xml:space="preserve"> à la diversité biologique</w:t>
      </w:r>
      <w:r w:rsidR="007912F2">
        <w:rPr>
          <w:rFonts w:eastAsia="Malgun Gothic" w:cs="Times New Roman"/>
          <w:kern w:val="22"/>
          <w:szCs w:val="22"/>
          <w:lang w:val="fr-CA"/>
        </w:rPr>
        <w:t>,</w:t>
      </w:r>
      <w:r w:rsidR="00686F47">
        <w:rPr>
          <w:rFonts w:eastAsia="Malgun Gothic" w:cs="Times New Roman"/>
          <w:kern w:val="22"/>
          <w:szCs w:val="22"/>
          <w:lang w:val="fr-CA"/>
        </w:rPr>
        <w:t xml:space="preserve"> ainsi que le rapport préparé par l’équipe d’experts sur l’</w:t>
      </w:r>
      <w:r w:rsidR="003020F4">
        <w:rPr>
          <w:rFonts w:eastAsia="Malgun Gothic" w:cs="Times New Roman"/>
          <w:kern w:val="22"/>
          <w:szCs w:val="22"/>
          <w:lang w:val="fr-CA"/>
        </w:rPr>
        <w:t>évaluati</w:t>
      </w:r>
      <w:r w:rsidR="00686F47">
        <w:rPr>
          <w:rFonts w:eastAsia="Malgun Gothic" w:cs="Times New Roman"/>
          <w:kern w:val="22"/>
          <w:szCs w:val="22"/>
          <w:lang w:val="fr-CA"/>
        </w:rPr>
        <w:t xml:space="preserve">on complète des sommes nécessaires pour la mise en œuvre de la Convention et </w:t>
      </w:r>
      <w:r w:rsidR="007912F2">
        <w:rPr>
          <w:rFonts w:eastAsia="Malgun Gothic" w:cs="Times New Roman"/>
          <w:kern w:val="22"/>
          <w:szCs w:val="22"/>
          <w:lang w:val="fr-CA"/>
        </w:rPr>
        <w:t xml:space="preserve">de </w:t>
      </w:r>
      <w:r w:rsidR="00686F47">
        <w:rPr>
          <w:rFonts w:eastAsia="Malgun Gothic" w:cs="Times New Roman"/>
          <w:kern w:val="22"/>
          <w:szCs w:val="22"/>
          <w:lang w:val="fr-CA"/>
        </w:rPr>
        <w:t>ses Protocoles</w:t>
      </w:r>
      <w:r w:rsidR="003020F4">
        <w:rPr>
          <w:rFonts w:eastAsia="Malgun Gothic" w:cs="Times New Roman"/>
          <w:kern w:val="22"/>
          <w:szCs w:val="22"/>
          <w:lang w:val="fr-CA"/>
        </w:rPr>
        <w:t xml:space="preserve"> pour la septième reconstitution du Fonds pour l’environnement mondial</w:t>
      </w:r>
      <w:r w:rsidR="007912F2">
        <w:rPr>
          <w:rFonts w:eastAsia="Malgun Gothic" w:cs="Times New Roman"/>
          <w:kern w:val="22"/>
          <w:szCs w:val="22"/>
          <w:lang w:val="fr-CA"/>
        </w:rPr>
        <w:t>,</w:t>
      </w:r>
      <w:r w:rsidR="003020F4">
        <w:rPr>
          <w:rFonts w:eastAsia="Malgun Gothic" w:cs="Times New Roman"/>
          <w:kern w:val="22"/>
          <w:szCs w:val="22"/>
          <w:lang w:val="fr-CA"/>
        </w:rPr>
        <w:t xml:space="preserve"> lors de la septième reconstitution du fonds d’affectation spéciale du Fonds pour l’environnement mondial</w:t>
      </w:r>
      <w:r w:rsidR="00D546B7">
        <w:rPr>
          <w:rFonts w:eastAsia="Malgun Gothic" w:cs="Times New Roman"/>
          <w:kern w:val="22"/>
          <w:szCs w:val="22"/>
          <w:lang w:val="fr-CA"/>
        </w:rPr>
        <w:t>,</w:t>
      </w:r>
      <w:r w:rsidR="003020F4">
        <w:rPr>
          <w:rFonts w:eastAsia="Malgun Gothic" w:cs="Times New Roman"/>
          <w:kern w:val="22"/>
          <w:szCs w:val="22"/>
          <w:lang w:val="fr-CA"/>
        </w:rPr>
        <w:t xml:space="preserve"> </w:t>
      </w:r>
      <w:r w:rsidR="00D546B7">
        <w:rPr>
          <w:rFonts w:eastAsia="Malgun Gothic" w:cs="Times New Roman"/>
          <w:kern w:val="22"/>
          <w:szCs w:val="22"/>
          <w:lang w:val="fr-CA"/>
        </w:rPr>
        <w:t>et a également souligné</w:t>
      </w:r>
      <w:r w:rsidR="003020F4">
        <w:rPr>
          <w:rFonts w:eastAsia="Malgun Gothic" w:cs="Times New Roman"/>
          <w:kern w:val="22"/>
          <w:szCs w:val="22"/>
          <w:lang w:val="fr-CA"/>
        </w:rPr>
        <w:t xml:space="preserve"> les contraintes relevées par l’équipe d’experts. Elle a aussi invité le Fonds pour l’environnement mondial à préciser sa réponse à cette évaluation au cours du cycle de reconstitution dans son rapport remis périodiquement à la Conférence des P</w:t>
      </w:r>
      <w:r w:rsidR="007912F2">
        <w:rPr>
          <w:rFonts w:eastAsia="Malgun Gothic" w:cs="Times New Roman"/>
          <w:kern w:val="22"/>
          <w:szCs w:val="22"/>
          <w:lang w:val="fr-CA"/>
        </w:rPr>
        <w:t>arties.</w:t>
      </w:r>
    </w:p>
    <w:p w:rsidR="00EF22E8" w:rsidRPr="00D20988" w:rsidRDefault="007912F2" w:rsidP="00040CD4">
      <w:pPr>
        <w:pStyle w:val="Para1"/>
        <w:numPr>
          <w:ilvl w:val="0"/>
          <w:numId w:val="14"/>
        </w:numPr>
        <w:suppressLineNumbers/>
        <w:tabs>
          <w:tab w:val="num" w:pos="720"/>
        </w:tabs>
        <w:suppressAutoHyphens/>
        <w:ind w:left="0" w:firstLine="0"/>
        <w:rPr>
          <w:rFonts w:eastAsia="Malgun Gothic" w:cs="Times New Roman"/>
          <w:kern w:val="22"/>
          <w:szCs w:val="22"/>
          <w:lang w:val="fr-CA"/>
        </w:rPr>
      </w:pPr>
      <w:r w:rsidRPr="007912F2">
        <w:rPr>
          <w:rFonts w:eastAsia="Malgun Gothic" w:cs="Times New Roman"/>
          <w:kern w:val="22"/>
          <w:szCs w:val="22"/>
          <w:lang w:val="fr-CA"/>
        </w:rPr>
        <w:t>Le FEM indique dans son</w:t>
      </w:r>
      <w:r>
        <w:rPr>
          <w:rFonts w:eastAsia="Malgun Gothic" w:cs="Times New Roman"/>
          <w:kern w:val="22"/>
          <w:szCs w:val="22"/>
          <w:lang w:val="fr-CA"/>
        </w:rPr>
        <w:t xml:space="preserve"> rapport préliminaire que les participants à la reconstitution ont tenu compte des éléments ci-dessus</w:t>
      </w:r>
      <w:r w:rsidR="00967D4E">
        <w:rPr>
          <w:rFonts w:eastAsia="Malgun Gothic" w:cs="Times New Roman"/>
          <w:kern w:val="22"/>
          <w:szCs w:val="22"/>
          <w:lang w:val="fr-CA"/>
        </w:rPr>
        <w:t xml:space="preserve">. </w:t>
      </w:r>
      <w:r w:rsidR="00967D4E" w:rsidRPr="00967D4E">
        <w:rPr>
          <w:rFonts w:eastAsia="Malgun Gothic" w:cs="Times New Roman"/>
          <w:kern w:val="22"/>
          <w:szCs w:val="22"/>
          <w:lang w:val="fr-CA"/>
        </w:rPr>
        <w:t xml:space="preserve">La stratégie sur la diversité biologique proposée pour </w:t>
      </w:r>
      <w:r w:rsidR="00D546B7">
        <w:rPr>
          <w:rFonts w:eastAsia="Malgun Gothic" w:cs="Times New Roman"/>
          <w:kern w:val="22"/>
          <w:szCs w:val="22"/>
          <w:lang w:val="fr-CA"/>
        </w:rPr>
        <w:t xml:space="preserve">la </w:t>
      </w:r>
      <w:r w:rsidR="00967D4E" w:rsidRPr="00967D4E">
        <w:rPr>
          <w:rFonts w:eastAsia="Malgun Gothic" w:cs="Times New Roman"/>
          <w:kern w:val="22"/>
          <w:szCs w:val="22"/>
          <w:lang w:val="fr-CA"/>
        </w:rPr>
        <w:t xml:space="preserve">FEM-7 </w:t>
      </w:r>
      <w:r w:rsidR="00967D4E">
        <w:rPr>
          <w:rFonts w:eastAsia="Malgun Gothic" w:cs="Times New Roman"/>
          <w:kern w:val="22"/>
          <w:szCs w:val="22"/>
          <w:lang w:val="fr-CA"/>
        </w:rPr>
        <w:t>ainsi que les programmes d’impact mentionnés ci-dessus relient leurs objectifs et leurs résultats à leurs contributions à la réalisation des Objectifs d’Aichi relatifs à la diversité biologique</w:t>
      </w:r>
      <w:r w:rsidR="00CE34BF" w:rsidRPr="00967D4E">
        <w:rPr>
          <w:rFonts w:eastAsia="Malgun Gothic" w:cs="Times New Roman"/>
          <w:kern w:val="22"/>
          <w:szCs w:val="22"/>
          <w:lang w:val="fr-CA"/>
        </w:rPr>
        <w:t>.</w:t>
      </w:r>
      <w:r w:rsidR="00CE34BF" w:rsidRPr="00D20988">
        <w:rPr>
          <w:rStyle w:val="Appelnotedebasdep"/>
          <w:rFonts w:eastAsia="Malgun Gothic" w:cs="Times New Roman"/>
          <w:kern w:val="22"/>
          <w:sz w:val="22"/>
          <w:szCs w:val="22"/>
          <w:lang w:val="fr-CA"/>
        </w:rPr>
        <w:footnoteReference w:id="3"/>
      </w:r>
      <w:r w:rsidR="00E22D51" w:rsidRPr="00967D4E">
        <w:rPr>
          <w:rFonts w:eastAsia="Malgun Gothic" w:cs="Times New Roman"/>
          <w:kern w:val="22"/>
          <w:szCs w:val="22"/>
          <w:lang w:val="fr-CA"/>
        </w:rPr>
        <w:t xml:space="preserve"> </w:t>
      </w:r>
      <w:r w:rsidR="00BF554C">
        <w:rPr>
          <w:rFonts w:eastAsia="Malgun Gothic" w:cs="Times New Roman"/>
          <w:kern w:val="22"/>
          <w:szCs w:val="22"/>
          <w:lang w:val="fr-CA"/>
        </w:rPr>
        <w:t>Selon l</w:t>
      </w:r>
      <w:r w:rsidR="00967D4E" w:rsidRPr="00967D4E">
        <w:rPr>
          <w:rFonts w:eastAsia="Malgun Gothic" w:cs="Times New Roman"/>
          <w:kern w:val="22"/>
          <w:szCs w:val="22"/>
          <w:lang w:val="fr-CA"/>
        </w:rPr>
        <w:t>e document</w:t>
      </w:r>
      <w:r w:rsidR="00BF554C">
        <w:rPr>
          <w:rFonts w:eastAsia="Malgun Gothic" w:cs="Times New Roman"/>
          <w:kern w:val="22"/>
          <w:szCs w:val="22"/>
          <w:lang w:val="fr-CA"/>
        </w:rPr>
        <w:t xml:space="preserve"> de la reconstitution </w:t>
      </w:r>
      <w:r w:rsidR="00D546B7">
        <w:rPr>
          <w:rFonts w:eastAsia="Malgun Gothic" w:cs="Times New Roman"/>
          <w:kern w:val="22"/>
          <w:szCs w:val="22"/>
          <w:lang w:val="fr-CA"/>
        </w:rPr>
        <w:t xml:space="preserve">de la </w:t>
      </w:r>
      <w:r w:rsidR="00BF554C">
        <w:rPr>
          <w:rFonts w:eastAsia="Malgun Gothic" w:cs="Times New Roman"/>
          <w:kern w:val="22"/>
          <w:szCs w:val="22"/>
          <w:lang w:val="fr-CA"/>
        </w:rPr>
        <w:t>FEM-</w:t>
      </w:r>
      <w:r w:rsidR="00967D4E" w:rsidRPr="00967D4E">
        <w:rPr>
          <w:rFonts w:eastAsia="Malgun Gothic" w:cs="Times New Roman"/>
          <w:kern w:val="22"/>
          <w:szCs w:val="22"/>
          <w:lang w:val="fr-CA"/>
        </w:rPr>
        <w:t>7 sur</w:t>
      </w:r>
      <w:r w:rsidR="00BF554C">
        <w:rPr>
          <w:rFonts w:eastAsia="Malgun Gothic" w:cs="Times New Roman"/>
          <w:kern w:val="22"/>
          <w:szCs w:val="22"/>
          <w:lang w:val="fr-CA"/>
        </w:rPr>
        <w:t xml:space="preserve"> les scénarios d’</w:t>
      </w:r>
      <w:r w:rsidR="00967D4E" w:rsidRPr="00967D4E">
        <w:rPr>
          <w:rFonts w:eastAsia="Malgun Gothic" w:cs="Times New Roman"/>
          <w:kern w:val="22"/>
          <w:szCs w:val="22"/>
          <w:lang w:val="fr-CA"/>
        </w:rPr>
        <w:t>affectation des ressources</w:t>
      </w:r>
      <w:r w:rsidR="00BF554C">
        <w:rPr>
          <w:rFonts w:eastAsia="Malgun Gothic" w:cs="Times New Roman"/>
          <w:kern w:val="22"/>
          <w:szCs w:val="22"/>
          <w:lang w:val="fr-CA"/>
        </w:rPr>
        <w:t xml:space="preserve"> et les cibles d’avantages environnementaux  (</w:t>
      </w:r>
      <w:proofErr w:type="spellStart"/>
      <w:r w:rsidR="00BF554C">
        <w:rPr>
          <w:rFonts w:eastAsia="Malgun Gothic" w:cs="Times New Roman"/>
          <w:kern w:val="22"/>
          <w:szCs w:val="22"/>
          <w:lang w:val="fr-CA"/>
        </w:rPr>
        <w:t>GEF</w:t>
      </w:r>
      <w:proofErr w:type="spellEnd"/>
      <w:r w:rsidR="00BF554C">
        <w:rPr>
          <w:rFonts w:eastAsia="Malgun Gothic" w:cs="Times New Roman"/>
          <w:kern w:val="22"/>
          <w:szCs w:val="22"/>
          <w:lang w:val="fr-CA"/>
        </w:rPr>
        <w:t>/R.7/22, 2 avril</w:t>
      </w:r>
      <w:r w:rsidR="00BF554C" w:rsidRPr="00BF554C">
        <w:rPr>
          <w:rFonts w:eastAsia="Malgun Gothic" w:cs="Times New Roman"/>
          <w:kern w:val="22"/>
          <w:szCs w:val="22"/>
          <w:lang w:val="fr-CA"/>
        </w:rPr>
        <w:t xml:space="preserve"> 2018</w:t>
      </w:r>
      <w:r w:rsidR="00BF554C">
        <w:rPr>
          <w:rFonts w:eastAsia="Malgun Gothic" w:cs="Times New Roman"/>
          <w:kern w:val="22"/>
          <w:szCs w:val="22"/>
          <w:lang w:val="fr-CA"/>
        </w:rPr>
        <w:t>), le FEM prévoit augmenter le soutien financier du domaine d’intervention de la diversité biologique de</w:t>
      </w:r>
      <w:r w:rsidR="00D546B7">
        <w:rPr>
          <w:rFonts w:eastAsia="Malgun Gothic" w:cs="Times New Roman"/>
          <w:kern w:val="22"/>
          <w:szCs w:val="22"/>
          <w:lang w:val="fr-CA"/>
        </w:rPr>
        <w:t>s</w:t>
      </w:r>
      <w:r w:rsidR="00BF554C">
        <w:rPr>
          <w:rFonts w:eastAsia="Malgun Gothic" w:cs="Times New Roman"/>
          <w:kern w:val="22"/>
          <w:szCs w:val="22"/>
          <w:lang w:val="fr-CA"/>
        </w:rPr>
        <w:t xml:space="preserve"> 29,2 pour cent de </w:t>
      </w:r>
      <w:r w:rsidR="00D546B7">
        <w:rPr>
          <w:rFonts w:eastAsia="Malgun Gothic" w:cs="Times New Roman"/>
          <w:kern w:val="22"/>
          <w:szCs w:val="22"/>
          <w:lang w:val="fr-CA"/>
        </w:rPr>
        <w:t xml:space="preserve">la </w:t>
      </w:r>
      <w:r w:rsidR="00BF554C">
        <w:rPr>
          <w:rFonts w:eastAsia="Malgun Gothic" w:cs="Times New Roman"/>
          <w:kern w:val="22"/>
          <w:szCs w:val="22"/>
          <w:lang w:val="fr-CA"/>
        </w:rPr>
        <w:t xml:space="preserve">FEM-6 à 31,9 pour cent pour </w:t>
      </w:r>
      <w:r w:rsidR="00D546B7">
        <w:rPr>
          <w:rFonts w:eastAsia="Malgun Gothic" w:cs="Times New Roman"/>
          <w:kern w:val="22"/>
          <w:szCs w:val="22"/>
          <w:lang w:val="fr-CA"/>
        </w:rPr>
        <w:t xml:space="preserve">la </w:t>
      </w:r>
      <w:r w:rsidR="00BF554C">
        <w:rPr>
          <w:rFonts w:eastAsia="Malgun Gothic" w:cs="Times New Roman"/>
          <w:kern w:val="22"/>
          <w:szCs w:val="22"/>
          <w:lang w:val="fr-CA"/>
        </w:rPr>
        <w:t>FEM-7</w:t>
      </w:r>
      <w:r w:rsidR="00D546B7">
        <w:rPr>
          <w:rFonts w:eastAsia="Malgun Gothic" w:cs="Times New Roman"/>
          <w:kern w:val="22"/>
          <w:szCs w:val="22"/>
          <w:lang w:val="fr-CA"/>
        </w:rPr>
        <w:t>,</w:t>
      </w:r>
      <w:r w:rsidR="00BF554C">
        <w:rPr>
          <w:rFonts w:eastAsia="Malgun Gothic" w:cs="Times New Roman"/>
          <w:kern w:val="22"/>
          <w:szCs w:val="22"/>
          <w:lang w:val="fr-CA"/>
        </w:rPr>
        <w:t xml:space="preserve"> afin de renforcer la capacité du FEM à contribuer à la lutte </w:t>
      </w:r>
      <w:r w:rsidR="00D546B7">
        <w:rPr>
          <w:rFonts w:eastAsia="Malgun Gothic" w:cs="Times New Roman"/>
          <w:kern w:val="22"/>
          <w:szCs w:val="22"/>
          <w:lang w:val="fr-CA"/>
        </w:rPr>
        <w:t>contre</w:t>
      </w:r>
      <w:r w:rsidR="00BF554C">
        <w:rPr>
          <w:rFonts w:eastAsia="Malgun Gothic" w:cs="Times New Roman"/>
          <w:kern w:val="22"/>
          <w:szCs w:val="22"/>
          <w:lang w:val="fr-CA"/>
        </w:rPr>
        <w:t xml:space="preserve"> déclin de la diversité biologique mondiale en finançant les objectifs prioritaires recensés dans le cadre quadriennal convenu par</w:t>
      </w:r>
      <w:r w:rsidR="0090622A">
        <w:rPr>
          <w:rFonts w:eastAsia="Malgun Gothic" w:cs="Times New Roman"/>
          <w:kern w:val="22"/>
          <w:szCs w:val="22"/>
          <w:lang w:val="fr-CA"/>
        </w:rPr>
        <w:t xml:space="preserve"> </w:t>
      </w:r>
      <w:r w:rsidR="00BF554C">
        <w:rPr>
          <w:rFonts w:eastAsia="Malgun Gothic" w:cs="Times New Roman"/>
          <w:kern w:val="22"/>
          <w:szCs w:val="22"/>
          <w:lang w:val="fr-CA"/>
        </w:rPr>
        <w:t xml:space="preserve">la Conférence des Parties à sa treizième réunion. </w:t>
      </w:r>
      <w:r w:rsidR="0090622A">
        <w:rPr>
          <w:rFonts w:eastAsia="Malgun Gothic" w:cs="Times New Roman"/>
          <w:kern w:val="22"/>
          <w:szCs w:val="22"/>
          <w:lang w:val="fr-CA"/>
        </w:rPr>
        <w:t xml:space="preserve">L’accent doit être mis davantage sur les travaux du FEM sur la vie sauvage dans le contexte du domaine d’intervention de la diversité biologique, à cause de la demande accrue lors de </w:t>
      </w:r>
      <w:r w:rsidR="00D546B7">
        <w:rPr>
          <w:rFonts w:eastAsia="Malgun Gothic" w:cs="Times New Roman"/>
          <w:kern w:val="22"/>
          <w:szCs w:val="22"/>
          <w:lang w:val="fr-CA"/>
        </w:rPr>
        <w:t xml:space="preserve">la </w:t>
      </w:r>
      <w:r w:rsidR="0090622A">
        <w:rPr>
          <w:rFonts w:eastAsia="Malgun Gothic" w:cs="Times New Roman"/>
          <w:kern w:val="22"/>
          <w:szCs w:val="22"/>
          <w:lang w:val="fr-CA"/>
        </w:rPr>
        <w:t xml:space="preserve">FEM-6 et </w:t>
      </w:r>
      <w:r w:rsidR="00C46C73">
        <w:rPr>
          <w:rFonts w:eastAsia="Malgun Gothic" w:cs="Times New Roman"/>
          <w:kern w:val="22"/>
          <w:szCs w:val="22"/>
          <w:lang w:val="fr-CA"/>
        </w:rPr>
        <w:t xml:space="preserve">de </w:t>
      </w:r>
      <w:r w:rsidR="0090622A">
        <w:rPr>
          <w:rFonts w:eastAsia="Malgun Gothic" w:cs="Times New Roman"/>
          <w:kern w:val="22"/>
          <w:szCs w:val="22"/>
          <w:lang w:val="fr-CA"/>
        </w:rPr>
        <w:t xml:space="preserve">l’orientation de la Conférence des Parties. Le modèle de ces affectations indicatives peut être résumé comme suit </w:t>
      </w:r>
      <w:r w:rsidR="00EF22E8" w:rsidRPr="00D20988">
        <w:rPr>
          <w:rFonts w:eastAsia="Malgun Gothic" w:cs="Times New Roman"/>
          <w:kern w:val="22"/>
          <w:szCs w:val="22"/>
          <w:lang w:val="fr-CA"/>
        </w:rPr>
        <w:t>:</w:t>
      </w:r>
    </w:p>
    <w:p w:rsidR="00C46C73" w:rsidRDefault="0090622A" w:rsidP="00C46C73">
      <w:pPr>
        <w:pStyle w:val="Para1"/>
        <w:numPr>
          <w:ilvl w:val="0"/>
          <w:numId w:val="48"/>
        </w:numPr>
        <w:suppressLineNumbers/>
        <w:suppressAutoHyphens/>
        <w:kinsoku w:val="0"/>
        <w:overflowPunct w:val="0"/>
        <w:autoSpaceDE w:val="0"/>
        <w:autoSpaceDN w:val="0"/>
        <w:adjustRightInd w:val="0"/>
        <w:snapToGrid w:val="0"/>
        <w:spacing w:before="240" w:after="0"/>
        <w:ind w:left="0" w:firstLine="720"/>
        <w:rPr>
          <w:rFonts w:eastAsia="Malgun Gothic" w:cs="Times New Roman"/>
          <w:kern w:val="22"/>
          <w:szCs w:val="22"/>
          <w:lang w:val="fr-CA"/>
        </w:rPr>
      </w:pPr>
      <w:r w:rsidRPr="00C46C73">
        <w:rPr>
          <w:rFonts w:eastAsia="Malgun Gothic" w:cs="Times New Roman"/>
          <w:kern w:val="22"/>
          <w:szCs w:val="22"/>
          <w:lang w:val="fr-CA"/>
        </w:rPr>
        <w:t xml:space="preserve">Les deux cinquièmes (40 pour cent) de son financement consacré à la diversité biologique cibleront les programmes </w:t>
      </w:r>
      <w:r w:rsidR="00C46C73" w:rsidRPr="00C46C73">
        <w:rPr>
          <w:rFonts w:eastAsia="Malgun Gothic" w:cs="Times New Roman"/>
          <w:kern w:val="22"/>
          <w:szCs w:val="22"/>
          <w:lang w:val="fr-CA"/>
        </w:rPr>
        <w:t>ayant sans doute pour objectif de</w:t>
      </w:r>
      <w:r w:rsidR="00970E74" w:rsidRPr="00C46C73">
        <w:rPr>
          <w:rFonts w:eastAsia="Malgun Gothic" w:cs="Times New Roman"/>
          <w:kern w:val="22"/>
          <w:szCs w:val="22"/>
          <w:lang w:val="fr-CA"/>
        </w:rPr>
        <w:t xml:space="preserve"> réaliser le changement transformationnel</w:t>
      </w:r>
      <w:r w:rsidR="00C46C73" w:rsidRPr="00C46C73">
        <w:rPr>
          <w:rFonts w:eastAsia="Malgun Gothic" w:cs="Times New Roman"/>
          <w:kern w:val="22"/>
          <w:szCs w:val="22"/>
          <w:lang w:val="fr-CA"/>
        </w:rPr>
        <w:t>, à savoir</w:t>
      </w:r>
      <w:r w:rsidR="00970E74" w:rsidRPr="00C46C73">
        <w:rPr>
          <w:rFonts w:eastAsia="Malgun Gothic" w:cs="Times New Roman"/>
          <w:kern w:val="22"/>
          <w:szCs w:val="22"/>
          <w:lang w:val="fr-CA"/>
        </w:rPr>
        <w:t xml:space="preserve"> l’intégration de la diversité biologique aux secteurs prioritaires</w:t>
      </w:r>
      <w:r w:rsidR="00766831">
        <w:rPr>
          <w:rFonts w:eastAsia="Malgun Gothic" w:cs="Times New Roman"/>
          <w:kern w:val="22"/>
          <w:szCs w:val="22"/>
          <w:lang w:val="fr-CA"/>
        </w:rPr>
        <w:t xml:space="preserve"> (19 pour cent)</w:t>
      </w:r>
      <w:r w:rsidR="00970E74" w:rsidRPr="00C46C73">
        <w:rPr>
          <w:rFonts w:eastAsia="Malgun Gothic" w:cs="Times New Roman"/>
          <w:kern w:val="22"/>
          <w:szCs w:val="22"/>
          <w:lang w:val="fr-CA"/>
        </w:rPr>
        <w:t>, les programmes d’impact (19 pour cent) et les projets de capital naturel (2 pour cent)</w:t>
      </w:r>
      <w:r w:rsidR="008D6A20" w:rsidRPr="00C46C73">
        <w:rPr>
          <w:rFonts w:eastAsia="Malgun Gothic" w:cs="Times New Roman"/>
          <w:kern w:val="22"/>
          <w:szCs w:val="22"/>
          <w:lang w:val="fr-CA"/>
        </w:rPr>
        <w:t>;</w:t>
      </w:r>
    </w:p>
    <w:p w:rsidR="008D6A20" w:rsidRPr="00C46C73" w:rsidRDefault="00970E74" w:rsidP="004820DE">
      <w:pPr>
        <w:pStyle w:val="Para1"/>
        <w:numPr>
          <w:ilvl w:val="0"/>
          <w:numId w:val="48"/>
        </w:numPr>
        <w:suppressLineNumbers/>
        <w:suppressAutoHyphens/>
        <w:kinsoku w:val="0"/>
        <w:overflowPunct w:val="0"/>
        <w:autoSpaceDE w:val="0"/>
        <w:autoSpaceDN w:val="0"/>
        <w:adjustRightInd w:val="0"/>
        <w:snapToGrid w:val="0"/>
        <w:spacing w:before="240"/>
        <w:ind w:left="0" w:firstLine="720"/>
        <w:rPr>
          <w:rFonts w:eastAsia="Malgun Gothic" w:cs="Times New Roman"/>
          <w:kern w:val="22"/>
          <w:szCs w:val="22"/>
          <w:lang w:val="fr-CA"/>
        </w:rPr>
      </w:pPr>
      <w:r w:rsidRPr="00C46C73">
        <w:rPr>
          <w:rFonts w:eastAsia="Malgun Gothic" w:cs="Times New Roman"/>
          <w:kern w:val="22"/>
          <w:szCs w:val="22"/>
          <w:lang w:val="fr-CA"/>
        </w:rPr>
        <w:t xml:space="preserve">Un cinquième de son financement consacré </w:t>
      </w:r>
      <w:r w:rsidR="00C46C73">
        <w:rPr>
          <w:rFonts w:eastAsia="Malgun Gothic" w:cs="Times New Roman"/>
          <w:kern w:val="22"/>
          <w:szCs w:val="22"/>
          <w:lang w:val="fr-CA"/>
        </w:rPr>
        <w:t>au domaine d’intervention de</w:t>
      </w:r>
      <w:r w:rsidRPr="00C46C73">
        <w:rPr>
          <w:rFonts w:eastAsia="Malgun Gothic" w:cs="Times New Roman"/>
          <w:kern w:val="22"/>
          <w:szCs w:val="22"/>
          <w:lang w:val="fr-CA"/>
        </w:rPr>
        <w:t xml:space="preserve"> la diversité biologique sera mis de côté pour les activités </w:t>
      </w:r>
      <w:r w:rsidR="00C46C73">
        <w:rPr>
          <w:rFonts w:eastAsia="Malgun Gothic" w:cs="Times New Roman"/>
          <w:kern w:val="22"/>
          <w:szCs w:val="22"/>
          <w:lang w:val="fr-CA"/>
        </w:rPr>
        <w:t>de facilitation</w:t>
      </w:r>
      <w:r w:rsidRPr="00C46C73">
        <w:rPr>
          <w:rFonts w:eastAsia="Malgun Gothic" w:cs="Times New Roman"/>
          <w:kern w:val="22"/>
          <w:szCs w:val="22"/>
          <w:lang w:val="fr-CA"/>
        </w:rPr>
        <w:t xml:space="preserve"> (4 pour cent), les programmes intégrés (12 pour cent) et les programmes mondiaux et régionaux (4 pour cent)</w:t>
      </w:r>
      <w:r w:rsidR="008D6A20" w:rsidRPr="00C46C73">
        <w:rPr>
          <w:rFonts w:eastAsia="Malgun Gothic" w:cs="Times New Roman"/>
          <w:kern w:val="22"/>
          <w:szCs w:val="22"/>
          <w:lang w:val="fr-CA"/>
        </w:rPr>
        <w:t>;</w:t>
      </w:r>
    </w:p>
    <w:p w:rsidR="008D6A20" w:rsidRPr="00D20988" w:rsidRDefault="00970E74"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lang w:val="fr-CA"/>
        </w:rPr>
      </w:pPr>
      <w:r>
        <w:rPr>
          <w:rFonts w:eastAsia="Malgun Gothic" w:cs="Times New Roman"/>
          <w:kern w:val="22"/>
          <w:szCs w:val="22"/>
          <w:lang w:val="fr-CA"/>
        </w:rPr>
        <w:t>Dix-sept pour cent iront aux aires protégées</w:t>
      </w:r>
      <w:r w:rsidR="008D6A20" w:rsidRPr="00D20988">
        <w:rPr>
          <w:rFonts w:eastAsia="Malgun Gothic" w:cs="Times New Roman"/>
          <w:kern w:val="22"/>
          <w:szCs w:val="22"/>
          <w:lang w:val="fr-CA"/>
        </w:rPr>
        <w:t>;</w:t>
      </w:r>
    </w:p>
    <w:p w:rsidR="008D6A20" w:rsidRPr="00D20988" w:rsidRDefault="00970E74"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lang w:val="fr-CA"/>
        </w:rPr>
      </w:pPr>
      <w:r>
        <w:rPr>
          <w:rFonts w:eastAsia="Malgun Gothic" w:cs="Times New Roman"/>
          <w:kern w:val="22"/>
          <w:szCs w:val="22"/>
          <w:lang w:val="fr-CA"/>
        </w:rPr>
        <w:t xml:space="preserve">Seize pour cent </w:t>
      </w:r>
      <w:r w:rsidR="006D04C3">
        <w:rPr>
          <w:rFonts w:eastAsia="Malgun Gothic" w:cs="Times New Roman"/>
          <w:kern w:val="22"/>
          <w:szCs w:val="22"/>
          <w:lang w:val="fr-CA"/>
        </w:rPr>
        <w:t xml:space="preserve">du financement destiné à la diversité biologique </w:t>
      </w:r>
      <w:r>
        <w:rPr>
          <w:rFonts w:eastAsia="Malgun Gothic" w:cs="Times New Roman"/>
          <w:kern w:val="22"/>
          <w:szCs w:val="22"/>
          <w:lang w:val="fr-CA"/>
        </w:rPr>
        <w:t>iront à la gestion des espèces</w:t>
      </w:r>
      <w:r w:rsidR="006D04C3">
        <w:rPr>
          <w:rFonts w:eastAsia="Malgun Gothic" w:cs="Times New Roman"/>
          <w:kern w:val="22"/>
          <w:szCs w:val="22"/>
          <w:lang w:val="fr-CA"/>
        </w:rPr>
        <w:t>, dont les programmes mondiaux de vie sauvage (13 pour cent) et la prévention, le contrôle et la gestion des espèces exotiques envahissantes (3 pour cent)</w:t>
      </w:r>
      <w:r w:rsidR="008D6A20" w:rsidRPr="00D20988">
        <w:rPr>
          <w:rFonts w:eastAsia="Malgun Gothic" w:cs="Times New Roman"/>
          <w:kern w:val="22"/>
          <w:szCs w:val="22"/>
          <w:lang w:val="fr-CA"/>
        </w:rPr>
        <w:t>;</w:t>
      </w:r>
    </w:p>
    <w:p w:rsidR="008D6A20" w:rsidRPr="00C46C73" w:rsidRDefault="006D04C3" w:rsidP="00E733CD">
      <w:pPr>
        <w:pStyle w:val="Para1"/>
        <w:numPr>
          <w:ilvl w:val="0"/>
          <w:numId w:val="48"/>
        </w:numPr>
        <w:suppressLineNumbers/>
        <w:suppressAutoHyphens/>
        <w:kinsoku w:val="0"/>
        <w:overflowPunct w:val="0"/>
        <w:autoSpaceDE w:val="0"/>
        <w:autoSpaceDN w:val="0"/>
        <w:adjustRightInd w:val="0"/>
        <w:snapToGrid w:val="0"/>
        <w:ind w:left="0" w:firstLine="720"/>
        <w:rPr>
          <w:rFonts w:eastAsia="Malgun Gothic" w:cs="Times New Roman"/>
          <w:kern w:val="22"/>
          <w:szCs w:val="22"/>
          <w:lang w:val="fr-CA"/>
        </w:rPr>
      </w:pPr>
      <w:r>
        <w:rPr>
          <w:rFonts w:eastAsia="Malgun Gothic" w:cs="Times New Roman"/>
          <w:kern w:val="22"/>
          <w:szCs w:val="22"/>
          <w:lang w:val="fr-CA"/>
        </w:rPr>
        <w:t xml:space="preserve">Sept pour cent de son financement </w:t>
      </w:r>
      <w:r w:rsidRPr="00C46C73">
        <w:rPr>
          <w:rFonts w:eastAsia="Malgun Gothic" w:cs="Times New Roman"/>
          <w:kern w:val="22"/>
          <w:szCs w:val="22"/>
          <w:lang w:val="fr-CA"/>
        </w:rPr>
        <w:t>destiné au dom</w:t>
      </w:r>
      <w:r w:rsidR="00C46C73">
        <w:rPr>
          <w:rFonts w:eastAsia="Malgun Gothic" w:cs="Times New Roman"/>
          <w:kern w:val="22"/>
          <w:szCs w:val="22"/>
          <w:lang w:val="fr-CA"/>
        </w:rPr>
        <w:t>a</w:t>
      </w:r>
      <w:r w:rsidRPr="00C46C73">
        <w:rPr>
          <w:rFonts w:eastAsia="Malgun Gothic" w:cs="Times New Roman"/>
          <w:kern w:val="22"/>
          <w:szCs w:val="22"/>
          <w:lang w:val="fr-CA"/>
        </w:rPr>
        <w:t xml:space="preserve">ine d’intervention de la diversité biologique servira à soutenir des projets associés aux </w:t>
      </w:r>
      <w:r w:rsidRPr="00C46C73">
        <w:rPr>
          <w:rFonts w:eastAsia="Times New Roman" w:cs="Times New Roman"/>
          <w:kern w:val="22"/>
          <w:szCs w:val="22"/>
          <w:lang w:val="fr-CA"/>
        </w:rPr>
        <w:t>ressources</w:t>
      </w:r>
      <w:r w:rsidRPr="00C46C73">
        <w:rPr>
          <w:rFonts w:eastAsia="Malgun Gothic" w:cs="Times New Roman"/>
          <w:kern w:val="22"/>
          <w:szCs w:val="22"/>
          <w:lang w:val="fr-CA"/>
        </w:rPr>
        <w:t xml:space="preserve"> génétiques, dont l’utilisation durable des ressources génétiques (3 pour cent), </w:t>
      </w:r>
      <w:r w:rsidR="00C46C73">
        <w:rPr>
          <w:rFonts w:eastAsia="Malgun Gothic" w:cs="Times New Roman"/>
          <w:kern w:val="22"/>
          <w:szCs w:val="22"/>
          <w:lang w:val="fr-CA"/>
        </w:rPr>
        <w:t xml:space="preserve">et </w:t>
      </w:r>
      <w:r w:rsidRPr="00C46C73">
        <w:rPr>
          <w:rFonts w:eastAsia="Malgun Gothic" w:cs="Times New Roman"/>
          <w:kern w:val="22"/>
          <w:szCs w:val="22"/>
          <w:lang w:val="fr-CA"/>
        </w:rPr>
        <w:t xml:space="preserve">la mise en œuvre du Protocole de Nagoya sur l’accès et le partage des avantages (3 pour cent) et </w:t>
      </w:r>
      <w:r w:rsidR="00C46C73">
        <w:rPr>
          <w:rFonts w:eastAsia="Malgun Gothic" w:cs="Times New Roman"/>
          <w:kern w:val="22"/>
          <w:szCs w:val="22"/>
          <w:lang w:val="fr-CA"/>
        </w:rPr>
        <w:t>du</w:t>
      </w:r>
      <w:r w:rsidRPr="00C46C73">
        <w:rPr>
          <w:rFonts w:eastAsia="Malgun Gothic" w:cs="Times New Roman"/>
          <w:kern w:val="22"/>
          <w:szCs w:val="22"/>
          <w:lang w:val="fr-CA"/>
        </w:rPr>
        <w:t xml:space="preserve"> Protocole de Cartagena sur la prévention des risques biotechnologiques (1 pour cent)</w:t>
      </w:r>
      <w:r w:rsidR="008D6A20" w:rsidRPr="00C46C73">
        <w:rPr>
          <w:rFonts w:eastAsia="Malgun Gothic" w:cs="Times New Roman"/>
          <w:kern w:val="22"/>
          <w:szCs w:val="22"/>
          <w:lang w:val="fr-CA"/>
        </w:rPr>
        <w:t>.</w:t>
      </w:r>
    </w:p>
    <w:p w:rsidR="00D36E3F" w:rsidRPr="00D20988" w:rsidRDefault="00D612B8"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lang w:val="fr-CA"/>
        </w:rPr>
      </w:pPr>
      <w:r w:rsidRPr="00D20988">
        <w:rPr>
          <w:rFonts w:ascii="Times New Roman Bold" w:hAnsi="Times New Roman Bold" w:cs="Times New Roman Bold"/>
          <w:bCs/>
          <w:snapToGrid w:val="0"/>
          <w:kern w:val="22"/>
          <w:szCs w:val="22"/>
          <w:lang w:val="fr-CA"/>
        </w:rPr>
        <w:lastRenderedPageBreak/>
        <w:t>V</w:t>
      </w:r>
      <w:r w:rsidR="0081660B" w:rsidRPr="00D20988">
        <w:rPr>
          <w:rFonts w:ascii="Times New Roman Bold" w:hAnsi="Times New Roman Bold" w:cs="Times New Roman Bold"/>
          <w:bCs/>
          <w:snapToGrid w:val="0"/>
          <w:kern w:val="22"/>
          <w:szCs w:val="22"/>
          <w:lang w:val="fr-CA"/>
        </w:rPr>
        <w:t>.</w:t>
      </w:r>
      <w:r w:rsidR="0081660B" w:rsidRPr="00D20988">
        <w:rPr>
          <w:rFonts w:ascii="Times New Roman Bold" w:hAnsi="Times New Roman Bold" w:cs="Times New Roman Bold"/>
          <w:bCs/>
          <w:snapToGrid w:val="0"/>
          <w:kern w:val="22"/>
          <w:szCs w:val="22"/>
          <w:lang w:val="fr-CA"/>
        </w:rPr>
        <w:tab/>
      </w:r>
      <w:r w:rsidR="003F73D5">
        <w:rPr>
          <w:rFonts w:ascii="Times New Roman Bold" w:hAnsi="Times New Roman Bold" w:cs="Times New Roman Bold"/>
          <w:bCs/>
          <w:snapToGrid w:val="0"/>
          <w:kern w:val="22"/>
          <w:szCs w:val="22"/>
          <w:lang w:val="fr-CA"/>
        </w:rPr>
        <w:t>APPLICATION DE L’ARTICLE 21</w:t>
      </w:r>
      <w:r w:rsidR="00116EEF">
        <w:rPr>
          <w:rFonts w:ascii="Times New Roman Bold" w:hAnsi="Times New Roman Bold" w:cs="Times New Roman Bold"/>
          <w:bCs/>
          <w:snapToGrid w:val="0"/>
          <w:kern w:val="22"/>
          <w:szCs w:val="22"/>
          <w:lang w:val="fr-CA"/>
        </w:rPr>
        <w:t xml:space="preserve"> DANS L’</w:t>
      </w:r>
      <w:r w:rsidR="003F73D5">
        <w:rPr>
          <w:rFonts w:ascii="Times New Roman Bold" w:hAnsi="Times New Roman Bold" w:cs="Times New Roman Bold"/>
          <w:bCs/>
          <w:snapToGrid w:val="0"/>
          <w:kern w:val="22"/>
          <w:szCs w:val="22"/>
          <w:lang w:val="fr-CA"/>
        </w:rPr>
        <w:t>APRÈS</w:t>
      </w:r>
      <w:r w:rsidR="00116EEF">
        <w:rPr>
          <w:rFonts w:ascii="Times New Roman Bold" w:hAnsi="Times New Roman Bold" w:cs="Times New Roman Bold"/>
          <w:bCs/>
          <w:snapToGrid w:val="0"/>
          <w:kern w:val="22"/>
          <w:szCs w:val="22"/>
          <w:lang w:val="fr-CA"/>
        </w:rPr>
        <w:t>-</w:t>
      </w:r>
      <w:r w:rsidR="003F73D5">
        <w:rPr>
          <w:rFonts w:ascii="Times New Roman Bold" w:hAnsi="Times New Roman Bold" w:cs="Times New Roman Bold"/>
          <w:bCs/>
          <w:snapToGrid w:val="0"/>
          <w:kern w:val="22"/>
          <w:szCs w:val="22"/>
          <w:lang w:val="fr-CA"/>
        </w:rPr>
        <w:t>2020</w:t>
      </w:r>
    </w:p>
    <w:p w:rsidR="004267F6" w:rsidRPr="00D20988" w:rsidRDefault="003F73D5"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L’article 21 de la Convention définit les dispositions institutionnelles pour répondre au besoin de versements prévisibles, adéquats et ponctuels</w:t>
      </w:r>
      <w:r w:rsidR="00AB0603">
        <w:rPr>
          <w:rFonts w:cs="Times New Roman"/>
          <w:kern w:val="22"/>
          <w:szCs w:val="22"/>
          <w:lang w:val="fr-CA"/>
        </w:rPr>
        <w:t xml:space="preserve"> mentionnés dans l’article 20. La Conférence des Parties </w:t>
      </w:r>
      <w:r w:rsidR="00631741">
        <w:rPr>
          <w:rFonts w:cs="Times New Roman"/>
          <w:kern w:val="22"/>
          <w:szCs w:val="22"/>
          <w:lang w:val="fr-CA"/>
        </w:rPr>
        <w:t xml:space="preserve">utilise </w:t>
      </w:r>
      <w:r w:rsidR="00AB0603">
        <w:rPr>
          <w:rFonts w:cs="Times New Roman"/>
          <w:kern w:val="22"/>
          <w:szCs w:val="22"/>
          <w:lang w:val="fr-CA"/>
        </w:rPr>
        <w:t xml:space="preserve">le Fonds pour l’environnement mondial comme mécanisme de financement de la Convention </w:t>
      </w:r>
      <w:r w:rsidR="00E015F5">
        <w:rPr>
          <w:rFonts w:cs="Times New Roman"/>
          <w:kern w:val="22"/>
          <w:szCs w:val="22"/>
          <w:lang w:val="fr-CA"/>
        </w:rPr>
        <w:t>depuis le</w:t>
      </w:r>
      <w:r w:rsidR="00AB0603">
        <w:rPr>
          <w:rFonts w:cs="Times New Roman"/>
          <w:kern w:val="22"/>
          <w:szCs w:val="22"/>
          <w:lang w:val="fr-CA"/>
        </w:rPr>
        <w:t>s</w:t>
      </w:r>
      <w:r w:rsidR="00E015F5">
        <w:rPr>
          <w:rFonts w:cs="Times New Roman"/>
          <w:kern w:val="22"/>
          <w:szCs w:val="22"/>
          <w:lang w:val="fr-CA"/>
        </w:rPr>
        <w:t xml:space="preserve"> </w:t>
      </w:r>
      <w:r w:rsidR="00AB0603">
        <w:rPr>
          <w:rFonts w:cs="Times New Roman"/>
          <w:kern w:val="22"/>
          <w:szCs w:val="22"/>
          <w:lang w:val="fr-CA"/>
        </w:rPr>
        <w:t>deux dernières décennies, afin de financer les surcoûts de la mise en œuvre de la Convention conformément aux dispositions du Mémorandum d’accord entre la Conférence des Parties à la Convention sur la diversité biologique et le Conseil du Fonds pour l’environnement mondial adopté à la décision III/8. Le FEM a considérablement évolué, dirigeant son programme vers une approche plus intégrée</w:t>
      </w:r>
      <w:r w:rsidR="00627B19" w:rsidRPr="00D20988">
        <w:rPr>
          <w:rFonts w:cs="Times New Roman"/>
          <w:kern w:val="22"/>
          <w:szCs w:val="22"/>
          <w:lang w:val="fr-CA"/>
        </w:rPr>
        <w:t>.</w:t>
      </w:r>
      <w:r w:rsidR="00397534">
        <w:rPr>
          <w:rFonts w:cs="Times New Roman"/>
          <w:kern w:val="22"/>
          <w:szCs w:val="22"/>
          <w:lang w:val="fr-CA"/>
        </w:rPr>
        <w:t xml:space="preserve"> Le mécanisme de financement international a également évolué, et propose une plus grande diversité d’instruments et de sources de financement. L</w:t>
      </w:r>
      <w:r w:rsidR="00E015F5">
        <w:rPr>
          <w:rFonts w:cs="Times New Roman"/>
          <w:kern w:val="22"/>
          <w:szCs w:val="22"/>
          <w:lang w:val="fr-CA"/>
        </w:rPr>
        <w:t>e</w:t>
      </w:r>
      <w:r w:rsidR="00397534">
        <w:rPr>
          <w:rFonts w:cs="Times New Roman"/>
          <w:kern w:val="22"/>
          <w:szCs w:val="22"/>
          <w:lang w:val="fr-CA"/>
        </w:rPr>
        <w:t xml:space="preserve"> développement de nouvelles institutions, par exemple le Fonds vert pour le climat, est </w:t>
      </w:r>
      <w:r w:rsidR="00631741">
        <w:rPr>
          <w:rFonts w:cs="Times New Roman"/>
          <w:kern w:val="22"/>
          <w:szCs w:val="22"/>
          <w:lang w:val="fr-CA"/>
        </w:rPr>
        <w:t>également</w:t>
      </w:r>
      <w:r w:rsidR="00397534">
        <w:rPr>
          <w:rFonts w:cs="Times New Roman"/>
          <w:kern w:val="22"/>
          <w:szCs w:val="22"/>
          <w:lang w:val="fr-CA"/>
        </w:rPr>
        <w:t xml:space="preserve"> pertinent pour la Convention sur la diversité biologique. La mise en œuvre de l’article 21 </w:t>
      </w:r>
      <w:r w:rsidR="00116EEF">
        <w:rPr>
          <w:rFonts w:cs="Times New Roman"/>
          <w:kern w:val="22"/>
          <w:szCs w:val="22"/>
          <w:lang w:val="fr-CA"/>
        </w:rPr>
        <w:t>dans l’après-</w:t>
      </w:r>
      <w:r w:rsidR="00397534">
        <w:rPr>
          <w:rFonts w:cs="Times New Roman"/>
          <w:kern w:val="22"/>
          <w:szCs w:val="22"/>
          <w:lang w:val="fr-CA"/>
        </w:rPr>
        <w:t xml:space="preserve">2020 doit donc être abordée en tenant compte </w:t>
      </w:r>
      <w:r w:rsidR="00E015F5">
        <w:rPr>
          <w:rFonts w:cs="Times New Roman"/>
          <w:kern w:val="22"/>
          <w:szCs w:val="22"/>
          <w:lang w:val="fr-CA"/>
        </w:rPr>
        <w:t>adéquatement de ces grandes tendances du paysage et de l’architecture de financement, qui sont décrites brièvement ci-dessous.</w:t>
      </w:r>
      <w:r w:rsidR="00397534">
        <w:rPr>
          <w:rFonts w:cs="Times New Roman"/>
          <w:kern w:val="22"/>
          <w:szCs w:val="22"/>
          <w:lang w:val="fr-CA"/>
        </w:rPr>
        <w:t xml:space="preserve"> </w:t>
      </w:r>
    </w:p>
    <w:p w:rsidR="00116BDB" w:rsidRPr="00D20988" w:rsidRDefault="00A717C3"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lang w:val="fr-CA"/>
        </w:rPr>
      </w:pPr>
      <w:r w:rsidRPr="00D20988">
        <w:rPr>
          <w:rFonts w:cs="Times New Roman"/>
          <w:snapToGrid w:val="0"/>
          <w:kern w:val="22"/>
          <w:szCs w:val="22"/>
          <w:lang w:val="fr-CA"/>
        </w:rPr>
        <w:t>A.</w:t>
      </w:r>
      <w:r w:rsidRPr="00D20988">
        <w:rPr>
          <w:rFonts w:cs="Times New Roman"/>
          <w:i/>
          <w:snapToGrid w:val="0"/>
          <w:kern w:val="22"/>
          <w:szCs w:val="22"/>
          <w:lang w:val="fr-CA"/>
        </w:rPr>
        <w:tab/>
      </w:r>
      <w:r w:rsidR="00E015F5">
        <w:rPr>
          <w:rFonts w:cs="Times New Roman"/>
          <w:snapToGrid w:val="0"/>
          <w:kern w:val="22"/>
          <w:szCs w:val="22"/>
          <w:lang w:val="fr-CA"/>
        </w:rPr>
        <w:t>Besoins et sources de financement</w:t>
      </w:r>
    </w:p>
    <w:p w:rsidR="00CC137C" w:rsidRPr="00E80F09" w:rsidRDefault="00276329"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lang w:val="fr-CA"/>
        </w:rPr>
      </w:pPr>
      <w:r w:rsidRPr="00276329">
        <w:rPr>
          <w:rFonts w:cs="Times New Roman"/>
          <w:kern w:val="22"/>
          <w:szCs w:val="22"/>
          <w:lang w:val="fr-CA"/>
        </w:rPr>
        <w:t>Le cadre mondial pour la</w:t>
      </w:r>
      <w:r>
        <w:rPr>
          <w:rFonts w:cs="Times New Roman"/>
          <w:kern w:val="22"/>
          <w:szCs w:val="22"/>
          <w:lang w:val="fr-CA"/>
        </w:rPr>
        <w:t xml:space="preserve"> diversité biologique </w:t>
      </w:r>
      <w:r w:rsidR="00116EEF">
        <w:rPr>
          <w:rFonts w:cs="Times New Roman"/>
          <w:kern w:val="22"/>
          <w:szCs w:val="22"/>
          <w:lang w:val="fr-CA"/>
        </w:rPr>
        <w:t>de l’après-</w:t>
      </w:r>
      <w:r>
        <w:rPr>
          <w:rFonts w:cs="Times New Roman"/>
          <w:kern w:val="22"/>
          <w:szCs w:val="22"/>
          <w:lang w:val="fr-CA"/>
        </w:rPr>
        <w:t xml:space="preserve">2020 sera élaboré dans le contexte des autres </w:t>
      </w:r>
      <w:r w:rsidR="005607E5">
        <w:rPr>
          <w:rFonts w:cs="Times New Roman"/>
          <w:kern w:val="22"/>
          <w:szCs w:val="22"/>
          <w:lang w:val="fr-CA"/>
        </w:rPr>
        <w:t>ententes</w:t>
      </w:r>
      <w:r>
        <w:rPr>
          <w:rFonts w:cs="Times New Roman"/>
          <w:kern w:val="22"/>
          <w:szCs w:val="22"/>
          <w:lang w:val="fr-CA"/>
        </w:rPr>
        <w:t xml:space="preserve"> internationales pertinentes, en </w:t>
      </w:r>
      <w:r w:rsidR="005607E5">
        <w:rPr>
          <w:rFonts w:cs="Times New Roman"/>
          <w:kern w:val="22"/>
          <w:szCs w:val="22"/>
          <w:lang w:val="fr-CA"/>
        </w:rPr>
        <w:t>particulier le Programme de développement durable à l’horizon 2030 et l’Accord de Paris</w:t>
      </w:r>
      <w:r w:rsidR="00396F94" w:rsidRPr="00276329">
        <w:rPr>
          <w:rFonts w:cs="Times New Roman"/>
          <w:kern w:val="22"/>
          <w:szCs w:val="22"/>
          <w:lang w:val="fr-CA"/>
        </w:rPr>
        <w:t>.</w:t>
      </w:r>
      <w:r w:rsidR="007E354A" w:rsidRPr="00D20988">
        <w:rPr>
          <w:rStyle w:val="Appelnotedebasdep"/>
          <w:rFonts w:cs="Times New Roman"/>
          <w:kern w:val="22"/>
          <w:sz w:val="22"/>
          <w:szCs w:val="22"/>
          <w:lang w:val="fr-CA"/>
        </w:rPr>
        <w:footnoteReference w:id="4"/>
      </w:r>
      <w:r w:rsidR="00396F94" w:rsidRPr="00276329">
        <w:rPr>
          <w:rFonts w:cs="Times New Roman"/>
          <w:kern w:val="22"/>
          <w:szCs w:val="22"/>
          <w:lang w:val="fr-CA"/>
        </w:rPr>
        <w:t xml:space="preserve"> </w:t>
      </w:r>
      <w:r w:rsidR="005607E5" w:rsidRPr="005607E5">
        <w:rPr>
          <w:rFonts w:cs="Times New Roman"/>
          <w:kern w:val="22"/>
          <w:szCs w:val="22"/>
          <w:lang w:val="fr-CA"/>
        </w:rPr>
        <w:t>L’É</w:t>
      </w:r>
      <w:r w:rsidR="00A91A36">
        <w:rPr>
          <w:rFonts w:cs="Times New Roman"/>
          <w:kern w:val="22"/>
          <w:szCs w:val="22"/>
          <w:lang w:val="fr-CA"/>
        </w:rPr>
        <w:t>qu</w:t>
      </w:r>
      <w:r w:rsidR="005607E5" w:rsidRPr="005607E5">
        <w:rPr>
          <w:rFonts w:cs="Times New Roman"/>
          <w:kern w:val="22"/>
          <w:szCs w:val="22"/>
          <w:lang w:val="fr-CA"/>
        </w:rPr>
        <w:t xml:space="preserve">ipe spéciale des Nations Unies chargée du financement du </w:t>
      </w:r>
      <w:r w:rsidR="00A91A36">
        <w:rPr>
          <w:rFonts w:cs="Times New Roman"/>
          <w:kern w:val="22"/>
          <w:szCs w:val="22"/>
          <w:lang w:val="fr-CA"/>
        </w:rPr>
        <w:t>d</w:t>
      </w:r>
      <w:r w:rsidR="005607E5" w:rsidRPr="005607E5">
        <w:rPr>
          <w:rFonts w:cs="Times New Roman"/>
          <w:kern w:val="22"/>
          <w:szCs w:val="22"/>
          <w:lang w:val="fr-CA"/>
        </w:rPr>
        <w:t>é</w:t>
      </w:r>
      <w:r w:rsidR="005607E5">
        <w:rPr>
          <w:rFonts w:cs="Times New Roman"/>
          <w:kern w:val="22"/>
          <w:szCs w:val="22"/>
          <w:lang w:val="fr-CA"/>
        </w:rPr>
        <w:t xml:space="preserve">veloppement durable a recueilli des estimations de coût des différentes </w:t>
      </w:r>
      <w:r w:rsidR="00A91A36">
        <w:rPr>
          <w:rFonts w:cs="Times New Roman"/>
          <w:kern w:val="22"/>
          <w:szCs w:val="22"/>
          <w:lang w:val="fr-CA"/>
        </w:rPr>
        <w:t>di</w:t>
      </w:r>
      <w:r w:rsidR="005607E5">
        <w:rPr>
          <w:rFonts w:cs="Times New Roman"/>
          <w:kern w:val="22"/>
          <w:szCs w:val="22"/>
          <w:lang w:val="fr-CA"/>
        </w:rPr>
        <w:t>mensions de la réalisation du Programme à l’horizon 203</w:t>
      </w:r>
      <w:r w:rsidR="00A91A36">
        <w:rPr>
          <w:rFonts w:cs="Times New Roman"/>
          <w:kern w:val="22"/>
          <w:szCs w:val="22"/>
          <w:lang w:val="fr-CA"/>
        </w:rPr>
        <w:t>0</w:t>
      </w:r>
      <w:r w:rsidR="005607E5">
        <w:rPr>
          <w:rFonts w:cs="Times New Roman"/>
          <w:kern w:val="22"/>
          <w:szCs w:val="22"/>
          <w:lang w:val="fr-CA"/>
        </w:rPr>
        <w:t>, comme illustré ci-dessous</w:t>
      </w:r>
      <w:r w:rsidR="00A91A36">
        <w:rPr>
          <w:rFonts w:cs="Times New Roman"/>
          <w:kern w:val="22"/>
          <w:szCs w:val="22"/>
          <w:lang w:val="fr-CA"/>
        </w:rPr>
        <w:t xml:space="preserve">, comprenant les besoins de financement pour la mise en œuvre le Plan stratégique 2011-2020 pour la diversité biologique soulignés par le </w:t>
      </w:r>
      <w:r w:rsidR="00C178F2">
        <w:rPr>
          <w:rFonts w:cs="Times New Roman"/>
          <w:kern w:val="22"/>
          <w:szCs w:val="22"/>
          <w:lang w:val="fr-CA"/>
        </w:rPr>
        <w:t>Groupe d’experts de haut niveau sur la mobilisation des ressources</w:t>
      </w:r>
      <w:r w:rsidR="006B5870" w:rsidRPr="00C178F2">
        <w:rPr>
          <w:rFonts w:cs="Times New Roman"/>
          <w:kern w:val="22"/>
          <w:szCs w:val="22"/>
          <w:lang w:val="fr-CA"/>
        </w:rPr>
        <w:t>.</w:t>
      </w:r>
      <w:r w:rsidR="00826BDC" w:rsidRPr="00D20988">
        <w:rPr>
          <w:rStyle w:val="Appelnotedebasdep"/>
          <w:rFonts w:cs="Times New Roman"/>
          <w:kern w:val="22"/>
          <w:sz w:val="22"/>
          <w:szCs w:val="22"/>
          <w:lang w:val="fr-CA"/>
        </w:rPr>
        <w:footnoteReference w:id="5"/>
      </w:r>
      <w:r w:rsidR="00C747D8" w:rsidRPr="00C178F2">
        <w:rPr>
          <w:rFonts w:cs="Times New Roman"/>
          <w:kern w:val="22"/>
          <w:szCs w:val="22"/>
          <w:lang w:val="fr-CA"/>
        </w:rPr>
        <w:t xml:space="preserve"> </w:t>
      </w:r>
      <w:r w:rsidR="00C178F2" w:rsidRPr="00E80F09">
        <w:rPr>
          <w:rFonts w:cs="Times New Roman"/>
          <w:kern w:val="22"/>
          <w:szCs w:val="22"/>
          <w:lang w:val="fr-CA"/>
        </w:rPr>
        <w:t xml:space="preserve">Compte tenu des </w:t>
      </w:r>
      <w:r w:rsidR="00E80F09" w:rsidRPr="00E80F09">
        <w:rPr>
          <w:rFonts w:cs="Times New Roman"/>
          <w:kern w:val="22"/>
          <w:szCs w:val="22"/>
          <w:lang w:val="fr-CA"/>
        </w:rPr>
        <w:t>liaisons réciproques entre le Programme à l’</w:t>
      </w:r>
      <w:r w:rsidR="00E80F09">
        <w:rPr>
          <w:rFonts w:cs="Times New Roman"/>
          <w:kern w:val="22"/>
          <w:szCs w:val="22"/>
          <w:lang w:val="fr-CA"/>
        </w:rPr>
        <w:t>horizon 2030 et la réalisati</w:t>
      </w:r>
      <w:r w:rsidR="00E80F09" w:rsidRPr="00E80F09">
        <w:rPr>
          <w:rFonts w:cs="Times New Roman"/>
          <w:kern w:val="22"/>
          <w:szCs w:val="22"/>
          <w:lang w:val="fr-CA"/>
        </w:rPr>
        <w:t xml:space="preserve">on des objectifs de la Convention et de ses Protocoles, les </w:t>
      </w:r>
      <w:r w:rsidR="00E80F09">
        <w:rPr>
          <w:rFonts w:cs="Times New Roman"/>
          <w:kern w:val="22"/>
          <w:szCs w:val="22"/>
          <w:lang w:val="fr-CA"/>
        </w:rPr>
        <w:t xml:space="preserve">estimations des </w:t>
      </w:r>
      <w:r w:rsidR="00E80F09" w:rsidRPr="00E80F09">
        <w:rPr>
          <w:rFonts w:cs="Times New Roman"/>
          <w:kern w:val="22"/>
          <w:szCs w:val="22"/>
          <w:lang w:val="fr-CA"/>
        </w:rPr>
        <w:t>besoins de financement sont</w:t>
      </w:r>
      <w:r w:rsidR="00C178F2" w:rsidRPr="00E80F09">
        <w:rPr>
          <w:rFonts w:cs="Times New Roman"/>
          <w:kern w:val="22"/>
          <w:szCs w:val="22"/>
          <w:lang w:val="fr-CA"/>
        </w:rPr>
        <w:t xml:space="preserve"> </w:t>
      </w:r>
      <w:r w:rsidR="00E80F09">
        <w:rPr>
          <w:rFonts w:cs="Times New Roman"/>
          <w:kern w:val="22"/>
          <w:szCs w:val="22"/>
          <w:lang w:val="fr-CA"/>
        </w:rPr>
        <w:t xml:space="preserve">pertinentes à la mise en œuvre de l’article </w:t>
      </w:r>
      <w:r w:rsidR="00C747D8" w:rsidRPr="00E80F09">
        <w:rPr>
          <w:rFonts w:cs="Times New Roman"/>
          <w:kern w:val="22"/>
          <w:szCs w:val="22"/>
          <w:lang w:val="fr-CA"/>
        </w:rPr>
        <w:t>21</w:t>
      </w:r>
      <w:r w:rsidR="00E80F09">
        <w:rPr>
          <w:rFonts w:cs="Times New Roman"/>
          <w:kern w:val="22"/>
          <w:szCs w:val="22"/>
          <w:lang w:val="fr-CA"/>
        </w:rPr>
        <w:t xml:space="preserve"> </w:t>
      </w:r>
      <w:r w:rsidR="00116EEF">
        <w:rPr>
          <w:rFonts w:cs="Times New Roman"/>
          <w:kern w:val="22"/>
          <w:szCs w:val="22"/>
          <w:lang w:val="fr-CA"/>
        </w:rPr>
        <w:t>dans l’</w:t>
      </w:r>
      <w:r w:rsidR="00E80F09">
        <w:rPr>
          <w:rFonts w:cs="Times New Roman"/>
          <w:kern w:val="22"/>
          <w:szCs w:val="22"/>
          <w:lang w:val="fr-CA"/>
        </w:rPr>
        <w:t>après</w:t>
      </w:r>
      <w:r w:rsidR="00116EEF">
        <w:rPr>
          <w:rFonts w:cs="Times New Roman"/>
          <w:kern w:val="22"/>
          <w:szCs w:val="22"/>
          <w:lang w:val="fr-CA"/>
        </w:rPr>
        <w:t>-</w:t>
      </w:r>
      <w:r w:rsidR="00E80F09">
        <w:rPr>
          <w:rFonts w:cs="Times New Roman"/>
          <w:kern w:val="22"/>
          <w:szCs w:val="22"/>
          <w:lang w:val="fr-CA"/>
        </w:rPr>
        <w:t>2020</w:t>
      </w:r>
      <w:r w:rsidR="00C747D8" w:rsidRPr="00E80F09">
        <w:rPr>
          <w:rFonts w:cs="Times New Roman"/>
          <w:kern w:val="22"/>
          <w:szCs w:val="22"/>
          <w:lang w:val="fr-CA"/>
        </w:rPr>
        <w:t>.</w:t>
      </w:r>
    </w:p>
    <w:p w:rsidR="00CC137C" w:rsidRPr="005607E5" w:rsidRDefault="00415C0F" w:rsidP="00E733CD">
      <w:pPr>
        <w:pStyle w:val="Para1"/>
        <w:suppressLineNumbers/>
        <w:suppressAutoHyphens/>
        <w:kinsoku w:val="0"/>
        <w:overflowPunct w:val="0"/>
        <w:autoSpaceDE w:val="0"/>
        <w:autoSpaceDN w:val="0"/>
        <w:adjustRightInd w:val="0"/>
        <w:snapToGrid w:val="0"/>
        <w:jc w:val="center"/>
        <w:rPr>
          <w:rFonts w:cs="Times New Roman"/>
          <w:kern w:val="22"/>
          <w:szCs w:val="22"/>
          <w:lang w:val="en-US"/>
        </w:rPr>
      </w:pPr>
      <w:r w:rsidRPr="00D20988">
        <w:rPr>
          <w:rFonts w:cs="Times New Roman"/>
          <w:noProof/>
          <w:kern w:val="22"/>
          <w:szCs w:val="22"/>
          <w:lang w:val="fr-CA" w:eastAsia="fr-CA"/>
        </w:rPr>
        <w:drawing>
          <wp:inline distT="0" distB="0" distL="0" distR="0" wp14:anchorId="27BB7946" wp14:editId="5E28315E">
            <wp:extent cx="3124200" cy="2247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p w:rsidR="009975EB" w:rsidRPr="005607E5"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en-US"/>
        </w:rPr>
      </w:pPr>
      <w:r w:rsidRPr="005607E5">
        <w:rPr>
          <w:rFonts w:cs="Times New Roman"/>
          <w:snapToGrid w:val="0"/>
          <w:kern w:val="22"/>
          <w:szCs w:val="22"/>
          <w:lang w:val="en-US"/>
        </w:rPr>
        <w:t>B.</w:t>
      </w:r>
      <w:r w:rsidRPr="005607E5">
        <w:rPr>
          <w:rFonts w:cs="Times New Roman"/>
          <w:i/>
          <w:snapToGrid w:val="0"/>
          <w:kern w:val="22"/>
          <w:szCs w:val="22"/>
          <w:lang w:val="en-US"/>
        </w:rPr>
        <w:tab/>
      </w:r>
      <w:r w:rsidR="00E80F09">
        <w:rPr>
          <w:rFonts w:cs="Times New Roman"/>
          <w:snapToGrid w:val="0"/>
          <w:kern w:val="22"/>
          <w:szCs w:val="22"/>
          <w:lang w:val="en-US"/>
        </w:rPr>
        <w:t>Finances</w:t>
      </w:r>
    </w:p>
    <w:p w:rsidR="00783852" w:rsidRPr="00D20988" w:rsidRDefault="004B116F"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sidRPr="004B116F">
        <w:rPr>
          <w:rFonts w:cs="Times New Roman"/>
          <w:kern w:val="22"/>
          <w:szCs w:val="22"/>
          <w:lang w:val="fr-CA"/>
        </w:rPr>
        <w:t xml:space="preserve">Selon l’équipe </w:t>
      </w:r>
      <w:r w:rsidR="00FA7703">
        <w:rPr>
          <w:rFonts w:cs="Times New Roman"/>
          <w:kern w:val="22"/>
          <w:szCs w:val="22"/>
          <w:lang w:val="fr-CA"/>
        </w:rPr>
        <w:t>de travail sur le financement m</w:t>
      </w:r>
      <w:r w:rsidRPr="004B116F">
        <w:rPr>
          <w:rFonts w:cs="Times New Roman"/>
          <w:kern w:val="22"/>
          <w:szCs w:val="22"/>
          <w:lang w:val="fr-CA"/>
        </w:rPr>
        <w:t xml:space="preserve">ixte de la Commission </w:t>
      </w:r>
      <w:r>
        <w:rPr>
          <w:rFonts w:cs="Times New Roman"/>
          <w:kern w:val="22"/>
          <w:szCs w:val="22"/>
          <w:lang w:val="fr-CA"/>
        </w:rPr>
        <w:t xml:space="preserve">des affaires et du développement durable, le marché du financement mixte a doublé au cours des cinq dernières années et </w:t>
      </w:r>
      <w:r w:rsidR="00FA7703">
        <w:rPr>
          <w:rFonts w:cs="Times New Roman"/>
          <w:kern w:val="22"/>
          <w:szCs w:val="22"/>
          <w:lang w:val="fr-CA"/>
        </w:rPr>
        <w:t>pourrait</w:t>
      </w:r>
      <w:r>
        <w:rPr>
          <w:rFonts w:cs="Times New Roman"/>
          <w:kern w:val="22"/>
          <w:szCs w:val="22"/>
          <w:lang w:val="fr-CA"/>
        </w:rPr>
        <w:t xml:space="preserve"> doubler de nouveau au cours des trois </w:t>
      </w:r>
      <w:r w:rsidR="00116EEF">
        <w:rPr>
          <w:rFonts w:cs="Times New Roman"/>
          <w:kern w:val="22"/>
          <w:szCs w:val="22"/>
          <w:lang w:val="fr-CA"/>
        </w:rPr>
        <w:t>ou</w:t>
      </w:r>
      <w:r>
        <w:rPr>
          <w:rFonts w:cs="Times New Roman"/>
          <w:kern w:val="22"/>
          <w:szCs w:val="22"/>
          <w:lang w:val="fr-CA"/>
        </w:rPr>
        <w:t xml:space="preserve"> quatre prochaines années</w:t>
      </w:r>
      <w:r w:rsidR="00116EEF">
        <w:rPr>
          <w:rFonts w:cs="Times New Roman"/>
          <w:kern w:val="22"/>
          <w:szCs w:val="22"/>
          <w:lang w:val="fr-CA"/>
        </w:rPr>
        <w:t>,</w:t>
      </w:r>
      <w:r w:rsidR="00FA7703">
        <w:rPr>
          <w:rFonts w:cs="Times New Roman"/>
          <w:kern w:val="22"/>
          <w:szCs w:val="22"/>
          <w:lang w:val="fr-CA"/>
        </w:rPr>
        <w:t xml:space="preserve"> alors que les fournisseurs de financement à taux réduit et d’autres formes de Fonds d’équipement consacrent plus d’argent à la mixité. Dominés par l’importance accordée aux changements climatiques à l’heure actuelle, les énor</w:t>
      </w:r>
      <w:r w:rsidR="008F3FC7">
        <w:rPr>
          <w:rFonts w:cs="Times New Roman"/>
          <w:kern w:val="22"/>
          <w:szCs w:val="22"/>
          <w:lang w:val="fr-CA"/>
        </w:rPr>
        <w:t>m</w:t>
      </w:r>
      <w:r w:rsidR="00FA7703">
        <w:rPr>
          <w:rFonts w:cs="Times New Roman"/>
          <w:kern w:val="22"/>
          <w:szCs w:val="22"/>
          <w:lang w:val="fr-CA"/>
        </w:rPr>
        <w:t>es marchés</w:t>
      </w:r>
      <w:r w:rsidR="008F3FC7">
        <w:rPr>
          <w:rFonts w:cs="Times New Roman"/>
          <w:kern w:val="22"/>
          <w:szCs w:val="22"/>
          <w:lang w:val="fr-CA"/>
        </w:rPr>
        <w:t xml:space="preserve"> des investissements institutionnels pourraient profiter des occasions sans précédent d’augmenter l’exposition du portefeuille aux groupes d’actifs de la diversité biologique car les capitaux propres et l</w:t>
      </w:r>
      <w:r w:rsidR="00335C6C">
        <w:rPr>
          <w:rFonts w:cs="Times New Roman"/>
          <w:kern w:val="22"/>
          <w:szCs w:val="22"/>
          <w:lang w:val="fr-CA"/>
        </w:rPr>
        <w:t>a consolidati</w:t>
      </w:r>
      <w:r w:rsidR="008F3FC7">
        <w:rPr>
          <w:rFonts w:cs="Times New Roman"/>
          <w:kern w:val="22"/>
          <w:szCs w:val="22"/>
          <w:lang w:val="fr-CA"/>
        </w:rPr>
        <w:t>on de dettes de la diversité biologique offrent de</w:t>
      </w:r>
      <w:r w:rsidR="00021D7F">
        <w:rPr>
          <w:rFonts w:cs="Times New Roman"/>
          <w:kern w:val="22"/>
          <w:szCs w:val="22"/>
          <w:lang w:val="fr-CA"/>
        </w:rPr>
        <w:t>s</w:t>
      </w:r>
      <w:r w:rsidR="008F3FC7">
        <w:rPr>
          <w:rFonts w:cs="Times New Roman"/>
          <w:kern w:val="22"/>
          <w:szCs w:val="22"/>
          <w:lang w:val="fr-CA"/>
        </w:rPr>
        <w:t xml:space="preserve"> </w:t>
      </w:r>
      <w:r w:rsidR="00021D7F">
        <w:rPr>
          <w:rFonts w:cs="Times New Roman"/>
          <w:kern w:val="22"/>
          <w:szCs w:val="22"/>
          <w:lang w:val="fr-CA"/>
        </w:rPr>
        <w:t>occasions de diversifier l</w:t>
      </w:r>
      <w:r w:rsidR="008F3FC7">
        <w:rPr>
          <w:rFonts w:cs="Times New Roman"/>
          <w:kern w:val="22"/>
          <w:szCs w:val="22"/>
          <w:lang w:val="fr-CA"/>
        </w:rPr>
        <w:t>es portefeuilles, un meilleur rendement global à long te</w:t>
      </w:r>
      <w:r w:rsidR="00335C6C">
        <w:rPr>
          <w:rFonts w:cs="Times New Roman"/>
          <w:kern w:val="22"/>
          <w:szCs w:val="22"/>
          <w:lang w:val="fr-CA"/>
        </w:rPr>
        <w:t xml:space="preserve">rme et </w:t>
      </w:r>
      <w:r w:rsidR="00021D7F">
        <w:rPr>
          <w:rFonts w:cs="Times New Roman"/>
          <w:kern w:val="22"/>
          <w:szCs w:val="22"/>
          <w:lang w:val="fr-CA"/>
        </w:rPr>
        <w:t>des</w:t>
      </w:r>
      <w:r w:rsidR="00335C6C">
        <w:rPr>
          <w:rFonts w:cs="Times New Roman"/>
          <w:kern w:val="22"/>
          <w:szCs w:val="22"/>
          <w:lang w:val="fr-CA"/>
        </w:rPr>
        <w:t xml:space="preserve"> taux de défaut moins élevé</w:t>
      </w:r>
      <w:r w:rsidR="00021D7F">
        <w:rPr>
          <w:rFonts w:cs="Times New Roman"/>
          <w:kern w:val="22"/>
          <w:szCs w:val="22"/>
          <w:lang w:val="fr-CA"/>
        </w:rPr>
        <w:t>s,</w:t>
      </w:r>
      <w:r w:rsidR="00335C6C">
        <w:rPr>
          <w:rFonts w:cs="Times New Roman"/>
          <w:kern w:val="22"/>
          <w:szCs w:val="22"/>
          <w:lang w:val="fr-CA"/>
        </w:rPr>
        <w:t xml:space="preserve"> et une meilleure protection </w:t>
      </w:r>
      <w:r w:rsidR="00335C6C">
        <w:rPr>
          <w:rFonts w:cs="Times New Roman"/>
          <w:kern w:val="22"/>
          <w:szCs w:val="22"/>
          <w:lang w:val="fr-CA"/>
        </w:rPr>
        <w:lastRenderedPageBreak/>
        <w:t>contre les revers grâce au financement mixte. La coopération au développement international pourrait faire grimper les ratios de mobilisation de leurs divisions du secteur privé</w:t>
      </w:r>
      <w:r w:rsidR="00D276FE">
        <w:rPr>
          <w:rFonts w:cs="Times New Roman"/>
          <w:kern w:val="22"/>
          <w:szCs w:val="22"/>
          <w:lang w:val="fr-CA"/>
        </w:rPr>
        <w:t xml:space="preserve"> de moins de 2 pour 1 à près de 4 pour 1 (ou plus) au cours des prochaines années.</w:t>
      </w:r>
      <w:r w:rsidR="008F3FC7">
        <w:rPr>
          <w:rFonts w:cs="Times New Roman"/>
          <w:kern w:val="22"/>
          <w:szCs w:val="22"/>
          <w:lang w:val="fr-CA"/>
        </w:rPr>
        <w:t xml:space="preserve"> </w:t>
      </w:r>
    </w:p>
    <w:p w:rsidR="001837AE" w:rsidRPr="00D20988"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fr-CA"/>
        </w:rPr>
      </w:pPr>
      <w:r w:rsidRPr="00D20988">
        <w:rPr>
          <w:rFonts w:cs="Times New Roman"/>
          <w:snapToGrid w:val="0"/>
          <w:kern w:val="22"/>
          <w:szCs w:val="22"/>
          <w:lang w:val="fr-CA"/>
        </w:rPr>
        <w:t>C.</w:t>
      </w:r>
      <w:r w:rsidRPr="00D20988">
        <w:rPr>
          <w:rFonts w:cs="Times New Roman"/>
          <w:snapToGrid w:val="0"/>
          <w:kern w:val="22"/>
          <w:szCs w:val="22"/>
          <w:lang w:val="fr-CA"/>
        </w:rPr>
        <w:tab/>
      </w:r>
      <w:r w:rsidR="00D276FE">
        <w:rPr>
          <w:rFonts w:cs="Times New Roman"/>
          <w:snapToGrid w:val="0"/>
          <w:kern w:val="22"/>
          <w:szCs w:val="22"/>
          <w:lang w:val="fr-CA"/>
        </w:rPr>
        <w:t>Obligations vertes</w:t>
      </w:r>
    </w:p>
    <w:p w:rsidR="00836501" w:rsidRPr="00021D7F" w:rsidRDefault="00D276FE" w:rsidP="00D276FE">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lang w:val="fr-CA"/>
        </w:rPr>
      </w:pPr>
      <w:r w:rsidRPr="00021D7F">
        <w:rPr>
          <w:rFonts w:cs="Times New Roman"/>
          <w:kern w:val="22"/>
          <w:szCs w:val="22"/>
          <w:lang w:val="fr-CA"/>
        </w:rPr>
        <w:t xml:space="preserve">Largement influencé par les préoccupations en matière de </w:t>
      </w:r>
      <w:r w:rsidRPr="00021D7F">
        <w:rPr>
          <w:rFonts w:eastAsia="Times New Roman" w:cs="Times New Roman"/>
          <w:kern w:val="22"/>
          <w:szCs w:val="22"/>
          <w:lang w:val="fr-CA"/>
        </w:rPr>
        <w:t>changements</w:t>
      </w:r>
      <w:r w:rsidRPr="00021D7F">
        <w:rPr>
          <w:rFonts w:cs="Times New Roman"/>
          <w:kern w:val="22"/>
          <w:szCs w:val="22"/>
          <w:lang w:val="fr-CA"/>
        </w:rPr>
        <w:t xml:space="preserve"> climatiques, le marché des obligations vertes a considérablement augmenté au cours des dernières année pour tripler </w:t>
      </w:r>
      <w:r w:rsidR="00DD0183">
        <w:rPr>
          <w:rFonts w:cs="Times New Roman"/>
          <w:kern w:val="22"/>
          <w:szCs w:val="22"/>
          <w:lang w:val="fr-CA"/>
        </w:rPr>
        <w:t>à</w:t>
      </w:r>
      <w:r w:rsidRPr="00021D7F">
        <w:rPr>
          <w:rFonts w:cs="Times New Roman"/>
          <w:kern w:val="22"/>
          <w:szCs w:val="22"/>
          <w:lang w:val="fr-CA"/>
        </w:rPr>
        <w:t xml:space="preserve"> 38 milliards $US de 2008 à 2014, et a atteint environ 161 milliards $US en 2017</w:t>
      </w:r>
      <w:r w:rsidR="00836501" w:rsidRPr="00021D7F">
        <w:rPr>
          <w:rFonts w:cs="Times New Roman"/>
          <w:kern w:val="22"/>
          <w:szCs w:val="22"/>
          <w:lang w:val="fr-CA"/>
        </w:rPr>
        <w:t>.</w:t>
      </w:r>
      <w:r w:rsidRPr="00021D7F">
        <w:rPr>
          <w:rFonts w:cs="Times New Roman"/>
          <w:kern w:val="22"/>
          <w:szCs w:val="22"/>
          <w:lang w:val="fr-CA"/>
        </w:rPr>
        <w:t xml:space="preserve"> </w:t>
      </w:r>
      <w:r w:rsidR="00CA5DFF" w:rsidRPr="00021D7F">
        <w:rPr>
          <w:rFonts w:cs="Times New Roman"/>
          <w:kern w:val="22"/>
          <w:szCs w:val="22"/>
          <w:lang w:val="fr-CA"/>
        </w:rPr>
        <w:t>L’année 2017 a été retenue comme étant « l’année de la souveraineté » sur le marché des obligations vertes, grâce à des émissions inaugurales de la Pologne et de la France, créant un précédent à la fin de 2016 et au début de 2017, et Fidji et le Nigeria devenant les premiers pays en développement émetteurs. Quatre-vingt-treize pour cent du bu</w:t>
      </w:r>
      <w:r w:rsidR="005D7E56" w:rsidRPr="00021D7F">
        <w:rPr>
          <w:rFonts w:cs="Times New Roman"/>
          <w:kern w:val="22"/>
          <w:szCs w:val="22"/>
          <w:lang w:val="fr-CA"/>
        </w:rPr>
        <w:t>d</w:t>
      </w:r>
      <w:r w:rsidR="00CA5DFF" w:rsidRPr="00021D7F">
        <w:rPr>
          <w:rFonts w:cs="Times New Roman"/>
          <w:kern w:val="22"/>
          <w:szCs w:val="22"/>
          <w:lang w:val="fr-CA"/>
        </w:rPr>
        <w:t>get de l’État allemand de la Rhénanie-du-Nord-Westphalie</w:t>
      </w:r>
      <w:r w:rsidR="005D7E56" w:rsidRPr="00021D7F">
        <w:rPr>
          <w:rFonts w:cs="Times New Roman"/>
          <w:kern w:val="22"/>
          <w:szCs w:val="22"/>
          <w:lang w:val="fr-CA"/>
        </w:rPr>
        <w:t xml:space="preserve"> destiné à la protection des ressources naturelles étaient considérés admissibles au financement par obligations. À l’échelle mondiale, 4 pour cent des</w:t>
      </w:r>
      <w:r w:rsidR="009D3A9C" w:rsidRPr="00021D7F">
        <w:rPr>
          <w:rFonts w:cs="Times New Roman"/>
          <w:kern w:val="22"/>
          <w:szCs w:val="22"/>
          <w:lang w:val="fr-CA"/>
        </w:rPr>
        <w:t xml:space="preserve"> profits d</w:t>
      </w:r>
      <w:r w:rsidR="005D7E56" w:rsidRPr="00021D7F">
        <w:rPr>
          <w:rFonts w:cs="Times New Roman"/>
          <w:kern w:val="22"/>
          <w:szCs w:val="22"/>
          <w:lang w:val="fr-CA"/>
        </w:rPr>
        <w:t xml:space="preserve">es obligations </w:t>
      </w:r>
      <w:r w:rsidR="00DD0183">
        <w:rPr>
          <w:rFonts w:cs="Times New Roman"/>
          <w:kern w:val="22"/>
          <w:szCs w:val="22"/>
          <w:lang w:val="fr-CA"/>
        </w:rPr>
        <w:t xml:space="preserve">sont allés à </w:t>
      </w:r>
      <w:r w:rsidR="00DD0183" w:rsidRPr="00021D7F">
        <w:rPr>
          <w:rFonts w:cs="Times New Roman"/>
          <w:kern w:val="22"/>
          <w:szCs w:val="22"/>
          <w:lang w:val="fr-CA"/>
        </w:rPr>
        <w:t xml:space="preserve">la conservation de la diversité biologique </w:t>
      </w:r>
      <w:r w:rsidR="007C57C3">
        <w:rPr>
          <w:rFonts w:cs="Times New Roman"/>
          <w:kern w:val="22"/>
          <w:szCs w:val="22"/>
          <w:lang w:val="fr-CA"/>
        </w:rPr>
        <w:t xml:space="preserve">et </w:t>
      </w:r>
      <w:r w:rsidR="00DD0183">
        <w:rPr>
          <w:rFonts w:cs="Times New Roman"/>
          <w:kern w:val="22"/>
          <w:szCs w:val="22"/>
          <w:lang w:val="fr-CA"/>
        </w:rPr>
        <w:t xml:space="preserve">2 pour cent ont été versés à </w:t>
      </w:r>
      <w:r w:rsidR="005D7E56" w:rsidRPr="00021D7F">
        <w:rPr>
          <w:rFonts w:cs="Times New Roman"/>
          <w:kern w:val="22"/>
          <w:szCs w:val="22"/>
          <w:lang w:val="fr-CA"/>
        </w:rPr>
        <w:t>l</w:t>
      </w:r>
      <w:r w:rsidR="00DD0183">
        <w:rPr>
          <w:rFonts w:cs="Times New Roman"/>
          <w:kern w:val="22"/>
          <w:szCs w:val="22"/>
          <w:lang w:val="fr-CA"/>
        </w:rPr>
        <w:t>’utilisation durable des terres</w:t>
      </w:r>
      <w:r w:rsidR="005D7E56" w:rsidRPr="00021D7F">
        <w:rPr>
          <w:rFonts w:cs="Times New Roman"/>
          <w:kern w:val="22"/>
          <w:szCs w:val="22"/>
          <w:lang w:val="fr-CA"/>
        </w:rPr>
        <w:t>. L’</w:t>
      </w:r>
      <w:r w:rsidR="009D3A9C" w:rsidRPr="00021D7F">
        <w:rPr>
          <w:rFonts w:cs="Times New Roman"/>
          <w:kern w:val="22"/>
          <w:szCs w:val="22"/>
          <w:lang w:val="fr-CA"/>
        </w:rPr>
        <w:t>Initiative pour les obligations climat prévoit que l’émission d’obligations vertes pourrait atteindre 1 billion $US en 2020</w:t>
      </w:r>
      <w:r w:rsidR="005D7E56" w:rsidRPr="00021D7F">
        <w:rPr>
          <w:rFonts w:cs="Times New Roman"/>
          <w:kern w:val="22"/>
          <w:szCs w:val="22"/>
          <w:lang w:val="fr-CA"/>
        </w:rPr>
        <w:t xml:space="preserve">. </w:t>
      </w:r>
    </w:p>
    <w:p w:rsidR="00116BDB" w:rsidRPr="00021D7F" w:rsidRDefault="00A717C3"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lang w:val="fr-CA"/>
        </w:rPr>
      </w:pPr>
      <w:r w:rsidRPr="00021D7F">
        <w:rPr>
          <w:rFonts w:cs="Times New Roman"/>
          <w:snapToGrid w:val="0"/>
          <w:kern w:val="22"/>
          <w:szCs w:val="22"/>
          <w:lang w:val="fr-CA"/>
        </w:rPr>
        <w:t>D.</w:t>
      </w:r>
      <w:r w:rsidRPr="00021D7F">
        <w:rPr>
          <w:rFonts w:cs="Times New Roman"/>
          <w:snapToGrid w:val="0"/>
          <w:kern w:val="22"/>
          <w:szCs w:val="22"/>
          <w:lang w:val="fr-CA"/>
        </w:rPr>
        <w:tab/>
      </w:r>
      <w:r w:rsidR="009D3A9C" w:rsidRPr="00021D7F">
        <w:rPr>
          <w:rFonts w:cs="Times New Roman"/>
          <w:snapToGrid w:val="0"/>
          <w:kern w:val="22"/>
          <w:szCs w:val="22"/>
          <w:lang w:val="fr-CA"/>
        </w:rPr>
        <w:t>Nouveaux fonds</w:t>
      </w:r>
    </w:p>
    <w:p w:rsidR="002F7B38" w:rsidRPr="00021D7F" w:rsidRDefault="009D3A9C"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lang w:val="fr-CA"/>
        </w:rPr>
      </w:pPr>
      <w:r w:rsidRPr="00021D7F">
        <w:rPr>
          <w:rFonts w:eastAsia="Times New Roman" w:cs="Times New Roman"/>
          <w:iCs/>
          <w:kern w:val="22"/>
          <w:szCs w:val="22"/>
          <w:lang w:val="fr-CA"/>
        </w:rPr>
        <w:t xml:space="preserve">De nouveaux fonds ont récemment été créés dans les contextes de la désertification et des changements climatiques en réponse à la demande accrue. Le Fonds de neutralité en matière de dégradation des terres, visant une envergure de 300 millions $US, a été créé en 2017, lors de la treizième </w:t>
      </w:r>
      <w:r w:rsidR="005A09AB" w:rsidRPr="00021D7F">
        <w:rPr>
          <w:rFonts w:eastAsia="Times New Roman" w:cs="Times New Roman"/>
          <w:iCs/>
          <w:kern w:val="22"/>
          <w:szCs w:val="22"/>
          <w:lang w:val="fr-CA"/>
        </w:rPr>
        <w:t>session de la Conférence des Parties de la Convention des Nations Unies sur la lutte contre la désertification. Le Fonds vert pour le climat créé à la quinzième réunion de la Conf</w:t>
      </w:r>
      <w:r w:rsidR="006B7236" w:rsidRPr="00021D7F">
        <w:rPr>
          <w:rFonts w:eastAsia="Times New Roman" w:cs="Times New Roman"/>
          <w:iCs/>
          <w:kern w:val="22"/>
          <w:szCs w:val="22"/>
          <w:lang w:val="fr-CA"/>
        </w:rPr>
        <w:t>é</w:t>
      </w:r>
      <w:r w:rsidR="005A09AB" w:rsidRPr="00021D7F">
        <w:rPr>
          <w:rFonts w:eastAsia="Times New Roman" w:cs="Times New Roman"/>
          <w:iCs/>
          <w:kern w:val="22"/>
          <w:szCs w:val="22"/>
          <w:lang w:val="fr-CA"/>
        </w:rPr>
        <w:t>rence des Parties à la Convention-cadre des Na</w:t>
      </w:r>
      <w:r w:rsidR="006B7236" w:rsidRPr="00021D7F">
        <w:rPr>
          <w:rFonts w:eastAsia="Times New Roman" w:cs="Times New Roman"/>
          <w:iCs/>
          <w:kern w:val="22"/>
          <w:szCs w:val="22"/>
          <w:lang w:val="fr-CA"/>
        </w:rPr>
        <w:t>ti</w:t>
      </w:r>
      <w:r w:rsidR="005A09AB" w:rsidRPr="00021D7F">
        <w:rPr>
          <w:rFonts w:eastAsia="Times New Roman" w:cs="Times New Roman"/>
          <w:iCs/>
          <w:kern w:val="22"/>
          <w:szCs w:val="22"/>
          <w:lang w:val="fr-CA"/>
        </w:rPr>
        <w:t>ons Unies s</w:t>
      </w:r>
      <w:r w:rsidR="006B7236" w:rsidRPr="00021D7F">
        <w:rPr>
          <w:rFonts w:eastAsia="Times New Roman" w:cs="Times New Roman"/>
          <w:iCs/>
          <w:kern w:val="22"/>
          <w:szCs w:val="22"/>
          <w:lang w:val="fr-CA"/>
        </w:rPr>
        <w:t>u</w:t>
      </w:r>
      <w:r w:rsidR="005A09AB" w:rsidRPr="00021D7F">
        <w:rPr>
          <w:rFonts w:eastAsia="Times New Roman" w:cs="Times New Roman"/>
          <w:iCs/>
          <w:kern w:val="22"/>
          <w:szCs w:val="22"/>
          <w:lang w:val="fr-CA"/>
        </w:rPr>
        <w:t xml:space="preserve">r les changements climatiques, </w:t>
      </w:r>
      <w:r w:rsidR="006B7236" w:rsidRPr="00021D7F">
        <w:rPr>
          <w:rFonts w:eastAsia="Times New Roman" w:cs="Times New Roman"/>
          <w:iCs/>
          <w:kern w:val="22"/>
          <w:szCs w:val="22"/>
          <w:lang w:val="fr-CA"/>
        </w:rPr>
        <w:t xml:space="preserve">à Copenhague, </w:t>
      </w:r>
      <w:r w:rsidR="005A09AB" w:rsidRPr="00021D7F">
        <w:rPr>
          <w:rFonts w:eastAsia="Times New Roman" w:cs="Times New Roman"/>
          <w:iCs/>
          <w:kern w:val="22"/>
          <w:szCs w:val="22"/>
          <w:lang w:val="fr-CA"/>
        </w:rPr>
        <w:t>et établi à la seizième session de la Conférence des P</w:t>
      </w:r>
      <w:r w:rsidR="006B7236" w:rsidRPr="00021D7F">
        <w:rPr>
          <w:rFonts w:eastAsia="Times New Roman" w:cs="Times New Roman"/>
          <w:iCs/>
          <w:kern w:val="22"/>
          <w:szCs w:val="22"/>
          <w:lang w:val="fr-CA"/>
        </w:rPr>
        <w:t>arties à la Convention-cadre à Cancun, au Mexique, a attiré des promesses de dons de plus de 10 milliards $US dans le contexte des changements climatiques, qui se sont ajoutés au paysage déjà imposant des fonds multilatéraux pour le climat</w:t>
      </w:r>
      <w:r w:rsidR="0077532B" w:rsidRPr="00021D7F">
        <w:rPr>
          <w:rFonts w:cs="Times New Roman"/>
          <w:kern w:val="22"/>
          <w:szCs w:val="22"/>
          <w:lang w:val="fr-CA"/>
        </w:rPr>
        <w:t>.</w:t>
      </w:r>
      <w:r w:rsidR="00E415D3" w:rsidRPr="00021D7F">
        <w:rPr>
          <w:rStyle w:val="Appelnotedebasdep"/>
          <w:rFonts w:cs="Times New Roman"/>
          <w:kern w:val="22"/>
          <w:sz w:val="22"/>
          <w:szCs w:val="22"/>
          <w:lang w:val="fr-CA"/>
        </w:rPr>
        <w:footnoteReference w:id="6"/>
      </w:r>
      <w:r w:rsidR="002F7B38" w:rsidRPr="00021D7F">
        <w:rPr>
          <w:rFonts w:cs="Times New Roman"/>
          <w:kern w:val="22"/>
          <w:szCs w:val="22"/>
          <w:lang w:val="fr-CA"/>
        </w:rPr>
        <w:t xml:space="preserve"> </w:t>
      </w:r>
      <w:r w:rsidR="006B7236" w:rsidRPr="00021D7F">
        <w:rPr>
          <w:rFonts w:cs="Times New Roman"/>
          <w:kern w:val="22"/>
          <w:szCs w:val="22"/>
          <w:lang w:val="fr-CA"/>
        </w:rPr>
        <w:t xml:space="preserve">Entre temps, le ratio des </w:t>
      </w:r>
      <w:r w:rsidR="00623DBE">
        <w:rPr>
          <w:rFonts w:cs="Times New Roman"/>
          <w:kern w:val="22"/>
          <w:szCs w:val="22"/>
          <w:lang w:val="fr-CA"/>
        </w:rPr>
        <w:t>affectations</w:t>
      </w:r>
      <w:r w:rsidR="006B7236" w:rsidRPr="00021D7F">
        <w:rPr>
          <w:rFonts w:cs="Times New Roman"/>
          <w:kern w:val="22"/>
          <w:szCs w:val="22"/>
          <w:lang w:val="fr-CA"/>
        </w:rPr>
        <w:t xml:space="preserve"> du domaine d’intervention de la diversité biologique à l’assistance officielle pour le développement destiné à la diversité biologique, indiqué dans le </w:t>
      </w:r>
      <w:r w:rsidR="004428EE" w:rsidRPr="00021D7F">
        <w:rPr>
          <w:rFonts w:cs="Times New Roman"/>
          <w:kern w:val="22"/>
          <w:szCs w:val="22"/>
          <w:lang w:val="fr-CA"/>
        </w:rPr>
        <w:t>schéma</w:t>
      </w:r>
      <w:r w:rsidR="006B7236" w:rsidRPr="00021D7F">
        <w:rPr>
          <w:rFonts w:cs="Times New Roman"/>
          <w:kern w:val="22"/>
          <w:szCs w:val="22"/>
          <w:lang w:val="fr-CA"/>
        </w:rPr>
        <w:t xml:space="preserve"> suivant, a diminué considérablement au cours des deux dernières décennies, de près de 10 pour cent au début des années 2000 à moins de 4 pour cent au cours des dernières année</w:t>
      </w:r>
      <w:r w:rsidR="002F7B38" w:rsidRPr="00021D7F">
        <w:rPr>
          <w:rFonts w:cs="Times New Roman"/>
          <w:kern w:val="22"/>
          <w:szCs w:val="22"/>
          <w:lang w:val="fr-CA"/>
        </w:rPr>
        <w:t>s.</w:t>
      </w:r>
      <w:r w:rsidR="0035144F" w:rsidRPr="00021D7F">
        <w:rPr>
          <w:rStyle w:val="Appelnotedebasdep"/>
          <w:rFonts w:cs="Times New Roman"/>
          <w:kern w:val="22"/>
          <w:sz w:val="22"/>
          <w:szCs w:val="22"/>
          <w:lang w:val="fr-CA"/>
        </w:rPr>
        <w:footnoteReference w:id="7"/>
      </w:r>
    </w:p>
    <w:p w:rsidR="00831E09" w:rsidRPr="009D3A9C" w:rsidRDefault="00415C0F" w:rsidP="00E733CD">
      <w:pPr>
        <w:pStyle w:val="Para1"/>
        <w:suppressLineNumbers/>
        <w:suppressAutoHyphens/>
        <w:kinsoku w:val="0"/>
        <w:overflowPunct w:val="0"/>
        <w:autoSpaceDE w:val="0"/>
        <w:autoSpaceDN w:val="0"/>
        <w:adjustRightInd w:val="0"/>
        <w:snapToGrid w:val="0"/>
        <w:jc w:val="center"/>
        <w:rPr>
          <w:rFonts w:cs="Times New Roman"/>
          <w:b/>
          <w:kern w:val="22"/>
          <w:szCs w:val="22"/>
          <w:lang w:val="en-US"/>
        </w:rPr>
      </w:pPr>
      <w:r w:rsidRPr="00D20988">
        <w:rPr>
          <w:rFonts w:cs="Times New Roman"/>
          <w:noProof/>
          <w:kern w:val="22"/>
          <w:szCs w:val="22"/>
          <w:lang w:val="fr-CA" w:eastAsia="fr-CA"/>
        </w:rPr>
        <w:drawing>
          <wp:inline distT="0" distB="0" distL="0" distR="0" wp14:anchorId="50C247B0" wp14:editId="48451AF5">
            <wp:extent cx="2983230" cy="1809115"/>
            <wp:effectExtent l="0" t="0" r="0" b="0"/>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3448" w:rsidRPr="005D57A2"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fr-CA"/>
        </w:rPr>
      </w:pPr>
      <w:r w:rsidRPr="005D57A2">
        <w:rPr>
          <w:rFonts w:cs="Times New Roman"/>
          <w:snapToGrid w:val="0"/>
          <w:kern w:val="22"/>
          <w:szCs w:val="22"/>
          <w:lang w:val="fr-CA"/>
        </w:rPr>
        <w:t>E.</w:t>
      </w:r>
      <w:r w:rsidRPr="005D57A2">
        <w:rPr>
          <w:rFonts w:cs="Times New Roman"/>
          <w:snapToGrid w:val="0"/>
          <w:kern w:val="22"/>
          <w:szCs w:val="22"/>
          <w:lang w:val="fr-CA"/>
        </w:rPr>
        <w:tab/>
      </w:r>
      <w:r w:rsidR="005D57A2">
        <w:rPr>
          <w:rFonts w:cs="Times New Roman"/>
          <w:snapToGrid w:val="0"/>
          <w:kern w:val="22"/>
          <w:szCs w:val="22"/>
          <w:lang w:val="fr-CA"/>
        </w:rPr>
        <w:t>Financement bilatéral et multilatéral</w:t>
      </w:r>
    </w:p>
    <w:p w:rsidR="00E93448" w:rsidRPr="005D57A2" w:rsidRDefault="002F6C04"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Selon le rapport de 2018 de l’Équipe spéciale </w:t>
      </w:r>
      <w:proofErr w:type="spellStart"/>
      <w:r>
        <w:rPr>
          <w:rFonts w:cs="Times New Roman"/>
          <w:kern w:val="22"/>
          <w:szCs w:val="22"/>
          <w:lang w:val="fr-CA"/>
        </w:rPr>
        <w:t>interinstitutions</w:t>
      </w:r>
      <w:proofErr w:type="spellEnd"/>
      <w:r>
        <w:rPr>
          <w:rFonts w:cs="Times New Roman"/>
          <w:kern w:val="22"/>
          <w:szCs w:val="22"/>
          <w:lang w:val="fr-CA"/>
        </w:rPr>
        <w:t xml:space="preserve"> pour le développement, l’assistance officielle pour le développement fournie par les membres du Comité d’assistance au développement de </w:t>
      </w:r>
      <w:r>
        <w:rPr>
          <w:rFonts w:cs="Times New Roman"/>
          <w:kern w:val="22"/>
          <w:szCs w:val="22"/>
          <w:lang w:val="fr-CA"/>
        </w:rPr>
        <w:lastRenderedPageBreak/>
        <w:t>l’Organisation de coopération et de développement économiques (OCDE)</w:t>
      </w:r>
      <w:r w:rsidR="00B35882">
        <w:rPr>
          <w:rFonts w:cs="Times New Roman"/>
          <w:kern w:val="22"/>
          <w:szCs w:val="22"/>
          <w:lang w:val="fr-CA"/>
        </w:rPr>
        <w:t xml:space="preserve"> a représenté la somme de 145,7 milliards $</w:t>
      </w:r>
      <w:r w:rsidR="00623DBE">
        <w:rPr>
          <w:rFonts w:cs="Times New Roman"/>
          <w:kern w:val="22"/>
          <w:szCs w:val="22"/>
          <w:lang w:val="fr-CA"/>
        </w:rPr>
        <w:t>U</w:t>
      </w:r>
      <w:r w:rsidR="00B35882">
        <w:rPr>
          <w:rFonts w:cs="Times New Roman"/>
          <w:kern w:val="22"/>
          <w:szCs w:val="22"/>
          <w:lang w:val="fr-CA"/>
        </w:rPr>
        <w:t>S en 2016, tandis que les décaissements annuels de</w:t>
      </w:r>
      <w:r w:rsidR="00420B52">
        <w:rPr>
          <w:rFonts w:cs="Times New Roman"/>
          <w:kern w:val="22"/>
          <w:szCs w:val="22"/>
          <w:lang w:val="fr-CA"/>
        </w:rPr>
        <w:t xml:space="preserve"> soutien financier non lié à des subventions</w:t>
      </w:r>
      <w:r w:rsidR="007A39FB">
        <w:rPr>
          <w:rFonts w:cs="Times New Roman"/>
          <w:kern w:val="22"/>
          <w:szCs w:val="22"/>
          <w:lang w:val="fr-CA"/>
        </w:rPr>
        <w:t xml:space="preserve"> provenant de sept banque</w:t>
      </w:r>
      <w:r w:rsidR="00623DBE">
        <w:rPr>
          <w:rFonts w:cs="Times New Roman"/>
          <w:kern w:val="22"/>
          <w:szCs w:val="22"/>
          <w:lang w:val="fr-CA"/>
        </w:rPr>
        <w:t>s</w:t>
      </w:r>
      <w:r w:rsidR="007A39FB">
        <w:rPr>
          <w:rFonts w:cs="Times New Roman"/>
          <w:kern w:val="22"/>
          <w:szCs w:val="22"/>
          <w:lang w:val="fr-CA"/>
        </w:rPr>
        <w:t xml:space="preserve"> multilatérales de développement a atteint les 65,8 milliards $US et deux nouvelles institutions multilatérales ont été fondées pour fournir un financement supplémentaire</w:t>
      </w:r>
      <w:r w:rsidR="00E54701" w:rsidRPr="005D57A2">
        <w:rPr>
          <w:rFonts w:cs="Times New Roman"/>
          <w:kern w:val="22"/>
          <w:szCs w:val="22"/>
          <w:lang w:val="fr-CA"/>
        </w:rPr>
        <w:t>.</w:t>
      </w:r>
      <w:r w:rsidR="003748C8">
        <w:rPr>
          <w:rFonts w:cs="Times New Roman"/>
          <w:kern w:val="22"/>
          <w:szCs w:val="22"/>
          <w:lang w:val="fr-CA"/>
        </w:rPr>
        <w:t xml:space="preserve"> Les schémas ci-dessous illustrent la tendance à la hausse du financement bilatéral et multilatéral depuis le début du siècle.</w:t>
      </w:r>
    </w:p>
    <w:p w:rsidR="00E93448" w:rsidRPr="005D57A2" w:rsidRDefault="00415C0F" w:rsidP="00E733CD">
      <w:pPr>
        <w:suppressLineNumbers/>
        <w:suppressAutoHyphens/>
        <w:kinsoku w:val="0"/>
        <w:overflowPunct w:val="0"/>
        <w:autoSpaceDE w:val="0"/>
        <w:autoSpaceDN w:val="0"/>
        <w:adjustRightInd w:val="0"/>
        <w:snapToGrid w:val="0"/>
        <w:spacing w:after="120"/>
        <w:rPr>
          <w:rFonts w:cs="Times New Roman"/>
          <w:snapToGrid w:val="0"/>
          <w:kern w:val="22"/>
          <w:szCs w:val="22"/>
          <w:lang w:val="fr-CA"/>
        </w:rPr>
      </w:pPr>
      <w:r w:rsidRPr="005D57A2">
        <w:rPr>
          <w:rFonts w:cs="Times New Roman"/>
          <w:noProof/>
          <w:snapToGrid w:val="0"/>
          <w:kern w:val="22"/>
          <w:szCs w:val="22"/>
          <w:lang w:val="fr-CA" w:eastAsia="fr-CA"/>
        </w:rPr>
        <w:drawing>
          <wp:inline distT="0" distB="0" distL="0" distR="0" wp14:anchorId="6C8806C4" wp14:editId="3978871D">
            <wp:extent cx="2781300" cy="1800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r w:rsidR="00E93448" w:rsidRPr="005D57A2">
        <w:rPr>
          <w:rFonts w:cs="Times New Roman"/>
          <w:snapToGrid w:val="0"/>
          <w:kern w:val="22"/>
          <w:szCs w:val="22"/>
          <w:lang w:val="fr-CA" w:eastAsia="zh-CN"/>
        </w:rPr>
        <w:t xml:space="preserve"> </w:t>
      </w:r>
      <w:r w:rsidRPr="005D57A2">
        <w:rPr>
          <w:rFonts w:cs="Times New Roman"/>
          <w:noProof/>
          <w:snapToGrid w:val="0"/>
          <w:kern w:val="22"/>
          <w:szCs w:val="22"/>
          <w:lang w:val="fr-CA" w:eastAsia="fr-CA"/>
        </w:rPr>
        <w:drawing>
          <wp:inline distT="0" distB="0" distL="0" distR="0" wp14:anchorId="69F5577D" wp14:editId="042A3DD1">
            <wp:extent cx="2867025" cy="18002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300669" w:rsidRPr="005D57A2"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fr-CA"/>
        </w:rPr>
      </w:pPr>
      <w:r w:rsidRPr="005D57A2">
        <w:rPr>
          <w:rFonts w:cs="Times New Roman"/>
          <w:snapToGrid w:val="0"/>
          <w:kern w:val="22"/>
          <w:szCs w:val="22"/>
          <w:lang w:val="fr-CA"/>
        </w:rPr>
        <w:t>F.</w:t>
      </w:r>
      <w:r w:rsidRPr="005D57A2">
        <w:rPr>
          <w:rFonts w:cs="Times New Roman"/>
          <w:snapToGrid w:val="0"/>
          <w:kern w:val="22"/>
          <w:szCs w:val="22"/>
          <w:lang w:val="fr-CA"/>
        </w:rPr>
        <w:tab/>
      </w:r>
      <w:r w:rsidR="003748C8">
        <w:rPr>
          <w:rFonts w:cs="Times New Roman"/>
          <w:snapToGrid w:val="0"/>
          <w:kern w:val="22"/>
          <w:szCs w:val="22"/>
          <w:lang w:val="fr-CA"/>
        </w:rPr>
        <w:t>Nouveaux partenaires de développement</w:t>
      </w:r>
    </w:p>
    <w:p w:rsidR="00300669" w:rsidRPr="005D57A2" w:rsidRDefault="003748C8"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Les estimations du Département des affaires économiques et sociales des Nations Unies laissent entendre que le volet financier de la </w:t>
      </w:r>
      <w:r w:rsidR="00BF43E9">
        <w:rPr>
          <w:rFonts w:cs="Times New Roman"/>
          <w:kern w:val="22"/>
          <w:szCs w:val="22"/>
          <w:lang w:val="fr-CA"/>
        </w:rPr>
        <w:t>coopération</w:t>
      </w:r>
      <w:r>
        <w:rPr>
          <w:rFonts w:cs="Times New Roman"/>
          <w:kern w:val="22"/>
          <w:szCs w:val="22"/>
          <w:lang w:val="fr-CA"/>
        </w:rPr>
        <w:t xml:space="preserve"> Sud-Sud </w:t>
      </w:r>
      <w:r w:rsidR="00FD2A8E">
        <w:rPr>
          <w:rFonts w:cs="Times New Roman"/>
          <w:kern w:val="22"/>
          <w:szCs w:val="22"/>
          <w:lang w:val="fr-CA"/>
        </w:rPr>
        <w:t>pour le développement</w:t>
      </w:r>
      <w:r>
        <w:rPr>
          <w:rFonts w:cs="Times New Roman"/>
          <w:kern w:val="22"/>
          <w:szCs w:val="22"/>
          <w:lang w:val="fr-CA"/>
        </w:rPr>
        <w:t xml:space="preserve"> </w:t>
      </w:r>
      <w:r w:rsidR="000A602A">
        <w:rPr>
          <w:rFonts w:cs="Times New Roman"/>
          <w:kern w:val="22"/>
          <w:szCs w:val="22"/>
          <w:lang w:val="fr-CA"/>
        </w:rPr>
        <w:t>peut avoir augmenté pou</w:t>
      </w:r>
      <w:r w:rsidR="00623DBE">
        <w:rPr>
          <w:rFonts w:cs="Times New Roman"/>
          <w:kern w:val="22"/>
          <w:szCs w:val="22"/>
          <w:lang w:val="fr-CA"/>
        </w:rPr>
        <w:t>r atteindre 26 milliards $US</w:t>
      </w:r>
      <w:r w:rsidR="000A602A">
        <w:rPr>
          <w:rFonts w:cs="Times New Roman"/>
          <w:kern w:val="22"/>
          <w:szCs w:val="22"/>
          <w:lang w:val="fr-CA"/>
        </w:rPr>
        <w:t xml:space="preserve"> en 2015</w:t>
      </w:r>
      <w:r w:rsidR="00FD2A8E">
        <w:rPr>
          <w:rFonts w:cs="Times New Roman"/>
          <w:kern w:val="22"/>
          <w:szCs w:val="22"/>
          <w:lang w:val="fr-CA"/>
        </w:rPr>
        <w:t xml:space="preserve">, </w:t>
      </w:r>
      <w:r w:rsidR="00FD2A8E">
        <w:rPr>
          <w:rFonts w:cs="Times New Roman"/>
          <w:kern w:val="22"/>
          <w:szCs w:val="22"/>
          <w:lang w:val="fr-CA"/>
        </w:rPr>
        <w:t xml:space="preserve">en tenant compte des ressources à taux réduit officielles (prêts à taux réduits et subventions, consolidation de dettes et coopération technique) </w:t>
      </w:r>
      <w:r w:rsidR="00FD2A8E">
        <w:rPr>
          <w:rFonts w:cs="Times New Roman"/>
          <w:kern w:val="22"/>
          <w:szCs w:val="22"/>
          <w:lang w:val="fr-CA"/>
        </w:rPr>
        <w:t>fournies</w:t>
      </w:r>
      <w:r w:rsidR="00FD2A8E">
        <w:rPr>
          <w:rFonts w:cs="Times New Roman"/>
          <w:kern w:val="22"/>
          <w:szCs w:val="22"/>
          <w:lang w:val="fr-CA"/>
        </w:rPr>
        <w:t xml:space="preserve"> par les pays en dével</w:t>
      </w:r>
      <w:r w:rsidR="00FD2A8E">
        <w:rPr>
          <w:rFonts w:cs="Times New Roman"/>
          <w:kern w:val="22"/>
          <w:szCs w:val="22"/>
          <w:lang w:val="fr-CA"/>
        </w:rPr>
        <w:t>oppement pour le développement</w:t>
      </w:r>
      <w:r w:rsidR="000A602A">
        <w:rPr>
          <w:rFonts w:cs="Times New Roman"/>
          <w:kern w:val="22"/>
          <w:szCs w:val="22"/>
          <w:lang w:val="fr-CA"/>
        </w:rPr>
        <w:t xml:space="preserve">. Les contributions autres que de </w:t>
      </w:r>
      <w:r w:rsidR="001A7514">
        <w:rPr>
          <w:rFonts w:cs="Times New Roman"/>
          <w:kern w:val="22"/>
          <w:szCs w:val="22"/>
          <w:lang w:val="fr-CA"/>
        </w:rPr>
        <w:t xml:space="preserve">les contributions </w:t>
      </w:r>
      <w:r w:rsidR="000A602A">
        <w:rPr>
          <w:rFonts w:cs="Times New Roman"/>
          <w:kern w:val="22"/>
          <w:szCs w:val="22"/>
          <w:lang w:val="fr-CA"/>
        </w:rPr>
        <w:t>base des partenaires du sud aux activités opérationnelles des Nations Unies ont beaucoup plus que doublé de 2010 à 2016, comme indiqué ci-dessous</w:t>
      </w:r>
      <w:r w:rsidR="00642506" w:rsidRPr="005D57A2">
        <w:rPr>
          <w:rFonts w:cs="Times New Roman"/>
          <w:kern w:val="22"/>
          <w:szCs w:val="22"/>
          <w:lang w:val="fr-CA"/>
        </w:rPr>
        <w:t>.</w:t>
      </w:r>
    </w:p>
    <w:p w:rsidR="00300669" w:rsidRPr="005D57A2" w:rsidRDefault="00300669" w:rsidP="00E733CD">
      <w:pPr>
        <w:suppressLineNumbers/>
        <w:suppressAutoHyphens/>
        <w:kinsoku w:val="0"/>
        <w:overflowPunct w:val="0"/>
        <w:autoSpaceDE w:val="0"/>
        <w:autoSpaceDN w:val="0"/>
        <w:adjustRightInd w:val="0"/>
        <w:snapToGrid w:val="0"/>
        <w:spacing w:after="120"/>
        <w:jc w:val="left"/>
        <w:rPr>
          <w:rFonts w:cs="Times New Roman"/>
          <w:snapToGrid w:val="0"/>
          <w:color w:val="000000"/>
          <w:kern w:val="22"/>
          <w:szCs w:val="22"/>
          <w:lang w:val="fr-CA" w:eastAsia="zh-CN"/>
        </w:rPr>
      </w:pPr>
    </w:p>
    <w:p w:rsidR="00300669" w:rsidRPr="005D57A2" w:rsidRDefault="00415C0F" w:rsidP="00E733CD">
      <w:pPr>
        <w:suppressLineNumbers/>
        <w:suppressAutoHyphens/>
        <w:kinsoku w:val="0"/>
        <w:overflowPunct w:val="0"/>
        <w:autoSpaceDE w:val="0"/>
        <w:autoSpaceDN w:val="0"/>
        <w:adjustRightInd w:val="0"/>
        <w:snapToGrid w:val="0"/>
        <w:spacing w:after="120"/>
        <w:jc w:val="center"/>
        <w:rPr>
          <w:rFonts w:cs="Times New Roman"/>
          <w:snapToGrid w:val="0"/>
          <w:kern w:val="22"/>
          <w:szCs w:val="22"/>
          <w:lang w:val="fr-CA" w:eastAsia="zh-CN"/>
        </w:rPr>
      </w:pPr>
      <w:r w:rsidRPr="005D57A2">
        <w:rPr>
          <w:rFonts w:cs="Times New Roman"/>
          <w:noProof/>
          <w:snapToGrid w:val="0"/>
          <w:kern w:val="22"/>
          <w:szCs w:val="22"/>
          <w:lang w:val="fr-CA" w:eastAsia="fr-CA"/>
        </w:rPr>
        <w:drawing>
          <wp:inline distT="0" distB="0" distL="0" distR="0" wp14:anchorId="6EE3795D" wp14:editId="27B3E297">
            <wp:extent cx="4133850" cy="23812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3850" cy="2381250"/>
                    </a:xfrm>
                    <a:prstGeom prst="rect">
                      <a:avLst/>
                    </a:prstGeom>
                    <a:noFill/>
                    <a:ln>
                      <a:noFill/>
                    </a:ln>
                  </pic:spPr>
                </pic:pic>
              </a:graphicData>
            </a:graphic>
          </wp:inline>
        </w:drawing>
      </w:r>
    </w:p>
    <w:p w:rsidR="0016517D" w:rsidRPr="005D57A2"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fr-CA"/>
        </w:rPr>
      </w:pPr>
      <w:r w:rsidRPr="005D57A2">
        <w:rPr>
          <w:rFonts w:cs="Times New Roman"/>
          <w:snapToGrid w:val="0"/>
          <w:kern w:val="22"/>
          <w:szCs w:val="22"/>
          <w:lang w:val="fr-CA"/>
        </w:rPr>
        <w:t>F.</w:t>
      </w:r>
      <w:r w:rsidRPr="005D57A2">
        <w:rPr>
          <w:rFonts w:cs="Times New Roman"/>
          <w:snapToGrid w:val="0"/>
          <w:kern w:val="22"/>
          <w:szCs w:val="22"/>
          <w:lang w:val="fr-CA"/>
        </w:rPr>
        <w:tab/>
      </w:r>
      <w:r w:rsidR="000A602A">
        <w:rPr>
          <w:rFonts w:cs="Times New Roman"/>
          <w:snapToGrid w:val="0"/>
          <w:kern w:val="22"/>
          <w:szCs w:val="22"/>
          <w:lang w:val="fr-CA"/>
        </w:rPr>
        <w:t>Philant</w:t>
      </w:r>
      <w:r w:rsidR="00C034F5">
        <w:rPr>
          <w:rFonts w:cs="Times New Roman"/>
          <w:snapToGrid w:val="0"/>
          <w:kern w:val="22"/>
          <w:szCs w:val="22"/>
          <w:lang w:val="fr-CA"/>
        </w:rPr>
        <w:t>h</w:t>
      </w:r>
      <w:r w:rsidR="000A602A">
        <w:rPr>
          <w:rFonts w:cs="Times New Roman"/>
          <w:snapToGrid w:val="0"/>
          <w:kern w:val="22"/>
          <w:szCs w:val="22"/>
          <w:lang w:val="fr-CA"/>
        </w:rPr>
        <w:t>ropie</w:t>
      </w:r>
    </w:p>
    <w:p w:rsidR="00E54F89" w:rsidRPr="005D57A2" w:rsidRDefault="00FD2A8E"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 w:val="24"/>
          <w:szCs w:val="24"/>
          <w:lang w:val="fr-CA"/>
        </w:rPr>
      </w:pPr>
      <w:r>
        <w:rPr>
          <w:rFonts w:cs="Times New Roman"/>
          <w:kern w:val="22"/>
          <w:szCs w:val="24"/>
          <w:lang w:val="fr-CA"/>
        </w:rPr>
        <w:t>L</w:t>
      </w:r>
      <w:r w:rsidR="000A602A">
        <w:rPr>
          <w:rFonts w:cs="Times New Roman"/>
          <w:kern w:val="22"/>
          <w:szCs w:val="24"/>
          <w:lang w:val="fr-CA"/>
        </w:rPr>
        <w:t>’augmentation des richesses au cours des 15 dernières années</w:t>
      </w:r>
      <w:r>
        <w:rPr>
          <w:rFonts w:cs="Times New Roman"/>
          <w:kern w:val="22"/>
          <w:szCs w:val="24"/>
          <w:lang w:val="fr-CA"/>
        </w:rPr>
        <w:t xml:space="preserve"> a entraîné une augmentation d</w:t>
      </w:r>
      <w:r w:rsidR="00C034F5">
        <w:rPr>
          <w:rFonts w:cs="Times New Roman"/>
          <w:kern w:val="22"/>
          <w:szCs w:val="24"/>
          <w:lang w:val="fr-CA"/>
        </w:rPr>
        <w:t xml:space="preserve">es dons philanthropiques et </w:t>
      </w:r>
      <w:r>
        <w:rPr>
          <w:rFonts w:cs="Times New Roman"/>
          <w:kern w:val="22"/>
          <w:szCs w:val="24"/>
          <w:lang w:val="fr-CA"/>
        </w:rPr>
        <w:t>du</w:t>
      </w:r>
      <w:r w:rsidR="00C034F5">
        <w:rPr>
          <w:rFonts w:cs="Times New Roman"/>
          <w:kern w:val="22"/>
          <w:szCs w:val="24"/>
          <w:lang w:val="fr-CA"/>
        </w:rPr>
        <w:t xml:space="preserve"> nombre de fondations contribuant au développement partout au monde. Les contributions philanthropiques des pays donateurs aux pays en développement ont augmenté à 64 milliards $US</w:t>
      </w:r>
      <w:r w:rsidR="00BD5AE1" w:rsidRPr="00BD5AE1">
        <w:rPr>
          <w:rStyle w:val="Appelnotedebasdep"/>
          <w:rFonts w:cs="Times New Roman"/>
          <w:kern w:val="22"/>
          <w:sz w:val="22"/>
          <w:szCs w:val="24"/>
        </w:rPr>
        <w:footnoteReference w:id="8"/>
      </w:r>
      <w:r w:rsidR="00C034F5">
        <w:rPr>
          <w:rFonts w:cs="Times New Roman"/>
          <w:kern w:val="22"/>
          <w:szCs w:val="24"/>
          <w:lang w:val="fr-CA"/>
        </w:rPr>
        <w:t xml:space="preserve">. Les fondations philanthropiques basées dans les pays en développement mènent leurs activités à l’intérieur des frontières du pays, dans une grande mesure. </w:t>
      </w:r>
      <w:r w:rsidR="00BD5AE1">
        <w:rPr>
          <w:rFonts w:cs="Times New Roman"/>
          <w:kern w:val="22"/>
          <w:szCs w:val="24"/>
          <w:lang w:val="fr-CA"/>
        </w:rPr>
        <w:t xml:space="preserve">Les contributions philanthropiques </w:t>
      </w:r>
      <w:r w:rsidR="00BD5AE1">
        <w:rPr>
          <w:rFonts w:cs="Times New Roman"/>
          <w:kern w:val="22"/>
          <w:szCs w:val="24"/>
          <w:lang w:val="fr-CA"/>
        </w:rPr>
        <w:lastRenderedPageBreak/>
        <w:t>intérieures sont de l’ordre de 83 pour cent en Turquie, de 60 pour cent au Mexique et de 35 pour cent en Chine. Le nombre de fondations chinoises est passé de moins de 200 en 2012 à 5 454 en 2016, et les 75 plus grandes fondations de la Chine ont déclaré des dépenses atteignant 2,8 milliards $US</w:t>
      </w:r>
      <w:r w:rsidR="000D5303" w:rsidRPr="005D57A2">
        <w:rPr>
          <w:rFonts w:cs="Times New Roman"/>
          <w:kern w:val="22"/>
          <w:sz w:val="24"/>
          <w:szCs w:val="24"/>
          <w:lang w:val="fr-CA"/>
        </w:rPr>
        <w:t>.</w:t>
      </w:r>
    </w:p>
    <w:p w:rsidR="00847D3A" w:rsidRPr="005D57A2"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lang w:val="fr-CA"/>
        </w:rPr>
      </w:pPr>
      <w:r w:rsidRPr="005D57A2">
        <w:rPr>
          <w:rFonts w:cs="Times New Roman"/>
          <w:snapToGrid w:val="0"/>
          <w:kern w:val="22"/>
          <w:szCs w:val="22"/>
          <w:lang w:val="fr-CA"/>
        </w:rPr>
        <w:t>G.</w:t>
      </w:r>
      <w:r w:rsidRPr="005D57A2">
        <w:rPr>
          <w:rFonts w:cs="Times New Roman"/>
          <w:snapToGrid w:val="0"/>
          <w:kern w:val="22"/>
          <w:szCs w:val="22"/>
          <w:lang w:val="fr-CA"/>
        </w:rPr>
        <w:tab/>
      </w:r>
      <w:r w:rsidR="00847D3A" w:rsidRPr="005D57A2">
        <w:rPr>
          <w:rFonts w:cs="Times New Roman"/>
          <w:snapToGrid w:val="0"/>
          <w:kern w:val="22"/>
          <w:szCs w:val="22"/>
          <w:lang w:val="fr-CA"/>
        </w:rPr>
        <w:t>Conclusion</w:t>
      </w:r>
    </w:p>
    <w:p w:rsidR="005262AD" w:rsidRPr="005D57A2" w:rsidRDefault="00BD5AE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lang w:val="fr-CA"/>
        </w:rPr>
      </w:pPr>
      <w:r>
        <w:rPr>
          <w:rFonts w:cs="Times New Roman"/>
          <w:kern w:val="22"/>
          <w:szCs w:val="22"/>
          <w:lang w:val="fr-CA"/>
        </w:rPr>
        <w:t xml:space="preserve">Les dispositions actuelles pour la mise en œuvre de l’article 21 sur le mécanisme de financement de la Convention ont joué un rôle déterminant </w:t>
      </w:r>
      <w:r w:rsidR="00154E5D">
        <w:rPr>
          <w:rFonts w:cs="Times New Roman"/>
          <w:kern w:val="22"/>
          <w:szCs w:val="22"/>
          <w:lang w:val="fr-CA"/>
        </w:rPr>
        <w:t>dans</w:t>
      </w:r>
      <w:r>
        <w:rPr>
          <w:rFonts w:cs="Times New Roman"/>
          <w:kern w:val="22"/>
          <w:szCs w:val="22"/>
          <w:lang w:val="fr-CA"/>
        </w:rPr>
        <w:t xml:space="preserve"> le financement des surcoûts de la mise en œuvre de la Convention</w:t>
      </w:r>
      <w:r w:rsidR="00872255">
        <w:rPr>
          <w:rFonts w:cs="Times New Roman"/>
          <w:kern w:val="22"/>
          <w:szCs w:val="22"/>
          <w:lang w:val="fr-CA"/>
        </w:rPr>
        <w:t xml:space="preserve"> par les pays en développement Parties et les Parties à économi</w:t>
      </w:r>
      <w:r w:rsidR="00154E5D">
        <w:rPr>
          <w:rFonts w:cs="Times New Roman"/>
          <w:kern w:val="22"/>
          <w:szCs w:val="22"/>
          <w:lang w:val="fr-CA"/>
        </w:rPr>
        <w:t>e en transition au cours des 25 </w:t>
      </w:r>
      <w:r w:rsidR="00872255">
        <w:rPr>
          <w:rFonts w:cs="Times New Roman"/>
          <w:kern w:val="22"/>
          <w:szCs w:val="22"/>
          <w:lang w:val="fr-CA"/>
        </w:rPr>
        <w:t xml:space="preserve">dernières années. Bien que le FEM poursuivra vraisemblablement son évolution au </w:t>
      </w:r>
      <w:r w:rsidR="00584D2B">
        <w:rPr>
          <w:rFonts w:cs="Times New Roman"/>
          <w:kern w:val="22"/>
          <w:szCs w:val="22"/>
          <w:lang w:val="fr-CA"/>
        </w:rPr>
        <w:t>niveau de</w:t>
      </w:r>
      <w:r w:rsidR="00872255">
        <w:rPr>
          <w:rFonts w:cs="Times New Roman"/>
          <w:kern w:val="22"/>
          <w:szCs w:val="22"/>
          <w:lang w:val="fr-CA"/>
        </w:rPr>
        <w:t xml:space="preserve">s approches, la mise </w:t>
      </w:r>
      <w:r w:rsidR="00154E5D">
        <w:rPr>
          <w:rFonts w:cs="Times New Roman"/>
          <w:kern w:val="22"/>
          <w:szCs w:val="22"/>
          <w:lang w:val="fr-CA"/>
        </w:rPr>
        <w:t>en œuvre de l’article 21 de la C</w:t>
      </w:r>
      <w:r w:rsidR="00872255">
        <w:rPr>
          <w:rFonts w:cs="Times New Roman"/>
          <w:kern w:val="22"/>
          <w:szCs w:val="22"/>
          <w:lang w:val="fr-CA"/>
        </w:rPr>
        <w:t xml:space="preserve">onvention </w:t>
      </w:r>
      <w:r w:rsidR="00154E5D">
        <w:rPr>
          <w:rFonts w:cs="Times New Roman"/>
          <w:kern w:val="22"/>
          <w:szCs w:val="22"/>
          <w:lang w:val="fr-CA"/>
        </w:rPr>
        <w:t>dans l’</w:t>
      </w:r>
      <w:r w:rsidR="00872255">
        <w:rPr>
          <w:rFonts w:cs="Times New Roman"/>
          <w:kern w:val="22"/>
          <w:szCs w:val="22"/>
          <w:lang w:val="fr-CA"/>
        </w:rPr>
        <w:t>après</w:t>
      </w:r>
      <w:r w:rsidR="00154E5D">
        <w:rPr>
          <w:rFonts w:cs="Times New Roman"/>
          <w:kern w:val="22"/>
          <w:szCs w:val="22"/>
          <w:lang w:val="fr-CA"/>
        </w:rPr>
        <w:t>-</w:t>
      </w:r>
      <w:r w:rsidR="00872255">
        <w:rPr>
          <w:rFonts w:cs="Times New Roman"/>
          <w:kern w:val="22"/>
          <w:szCs w:val="22"/>
          <w:lang w:val="fr-CA"/>
        </w:rPr>
        <w:t>20</w:t>
      </w:r>
      <w:r w:rsidR="00154E5D">
        <w:rPr>
          <w:rFonts w:cs="Times New Roman"/>
          <w:kern w:val="22"/>
          <w:szCs w:val="22"/>
          <w:lang w:val="fr-CA"/>
        </w:rPr>
        <w:t>20 doit tenir compte de c</w:t>
      </w:r>
      <w:r w:rsidR="00872255">
        <w:rPr>
          <w:rFonts w:cs="Times New Roman"/>
          <w:kern w:val="22"/>
          <w:szCs w:val="22"/>
          <w:lang w:val="fr-CA"/>
        </w:rPr>
        <w:t>es</w:t>
      </w:r>
      <w:r w:rsidR="00154E5D">
        <w:rPr>
          <w:rFonts w:cs="Times New Roman"/>
          <w:kern w:val="22"/>
          <w:szCs w:val="22"/>
          <w:lang w:val="fr-CA"/>
        </w:rPr>
        <w:t xml:space="preserve"> autres</w:t>
      </w:r>
      <w:r w:rsidR="00872255">
        <w:rPr>
          <w:rFonts w:cs="Times New Roman"/>
          <w:kern w:val="22"/>
          <w:szCs w:val="22"/>
          <w:lang w:val="fr-CA"/>
        </w:rPr>
        <w:t xml:space="preserve"> développements afin de garantir le financement nécessaire à la </w:t>
      </w:r>
      <w:r w:rsidR="00584D2B">
        <w:rPr>
          <w:rFonts w:cs="Times New Roman"/>
          <w:kern w:val="22"/>
          <w:szCs w:val="22"/>
          <w:lang w:val="fr-CA"/>
        </w:rPr>
        <w:t>mise</w:t>
      </w:r>
      <w:r w:rsidR="00872255">
        <w:rPr>
          <w:rFonts w:cs="Times New Roman"/>
          <w:kern w:val="22"/>
          <w:szCs w:val="22"/>
          <w:lang w:val="fr-CA"/>
        </w:rPr>
        <w:t xml:space="preserve"> en œuvre de l’ensemble de la Convention. Entre temps, la mise en œuvre de l’</w:t>
      </w:r>
      <w:r w:rsidR="00584D2B">
        <w:rPr>
          <w:rFonts w:cs="Times New Roman"/>
          <w:kern w:val="22"/>
          <w:szCs w:val="22"/>
          <w:lang w:val="fr-CA"/>
        </w:rPr>
        <w:t>article 21 de la Con</w:t>
      </w:r>
      <w:r w:rsidR="00872255">
        <w:rPr>
          <w:rFonts w:cs="Times New Roman"/>
          <w:kern w:val="22"/>
          <w:szCs w:val="22"/>
          <w:lang w:val="fr-CA"/>
        </w:rPr>
        <w:t xml:space="preserve">vention </w:t>
      </w:r>
      <w:r w:rsidR="00154E5D">
        <w:rPr>
          <w:rFonts w:cs="Times New Roman"/>
          <w:kern w:val="22"/>
          <w:szCs w:val="22"/>
          <w:lang w:val="fr-CA"/>
        </w:rPr>
        <w:t>dans l’</w:t>
      </w:r>
      <w:r w:rsidR="00872255">
        <w:rPr>
          <w:rFonts w:cs="Times New Roman"/>
          <w:kern w:val="22"/>
          <w:szCs w:val="22"/>
          <w:lang w:val="fr-CA"/>
        </w:rPr>
        <w:t>après</w:t>
      </w:r>
      <w:r w:rsidR="00154E5D">
        <w:rPr>
          <w:rFonts w:cs="Times New Roman"/>
          <w:kern w:val="22"/>
          <w:szCs w:val="22"/>
          <w:lang w:val="fr-CA"/>
        </w:rPr>
        <w:t>-</w:t>
      </w:r>
      <w:r w:rsidR="00872255">
        <w:rPr>
          <w:rFonts w:cs="Times New Roman"/>
          <w:kern w:val="22"/>
          <w:szCs w:val="22"/>
          <w:lang w:val="fr-CA"/>
        </w:rPr>
        <w:t xml:space="preserve">2020 doit s’adapter davantage au vaste contexte socioéconomique et financier mondial et </w:t>
      </w:r>
      <w:r w:rsidR="00584D2B">
        <w:rPr>
          <w:rFonts w:cs="Times New Roman"/>
          <w:kern w:val="22"/>
          <w:szCs w:val="22"/>
          <w:lang w:val="fr-CA"/>
        </w:rPr>
        <w:t xml:space="preserve">s’harmoniser aux besoins et aux </w:t>
      </w:r>
      <w:r w:rsidR="00872255">
        <w:rPr>
          <w:rFonts w:cs="Times New Roman"/>
          <w:kern w:val="22"/>
          <w:szCs w:val="22"/>
          <w:lang w:val="fr-CA"/>
        </w:rPr>
        <w:t xml:space="preserve">occasions de financement </w:t>
      </w:r>
      <w:r w:rsidR="00584D2B">
        <w:rPr>
          <w:rFonts w:cs="Times New Roman"/>
          <w:kern w:val="22"/>
          <w:szCs w:val="22"/>
          <w:lang w:val="fr-CA"/>
        </w:rPr>
        <w:t>découlant du cadre global de mise en œuvre de la Convention et de ses Protocoles dans l’après-2020</w:t>
      </w:r>
      <w:r w:rsidR="005262AD" w:rsidRPr="005D57A2">
        <w:rPr>
          <w:rFonts w:cs="Times New Roman"/>
          <w:kern w:val="22"/>
          <w:szCs w:val="22"/>
          <w:lang w:val="fr-CA"/>
        </w:rPr>
        <w:t>.</w:t>
      </w:r>
    </w:p>
    <w:p w:rsidR="0098127B" w:rsidRPr="005D57A2" w:rsidRDefault="00FA05D9" w:rsidP="00E733CD">
      <w:pPr>
        <w:pStyle w:val="Titre1"/>
        <w:suppressLineNumber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lang w:val="fr-CA"/>
        </w:rPr>
      </w:pPr>
      <w:r w:rsidRPr="005D57A2">
        <w:rPr>
          <w:rFonts w:ascii="Times New Roman Bold" w:hAnsi="Times New Roman Bold" w:cs="Times New Roman Bold"/>
          <w:caps w:val="0"/>
          <w:snapToGrid w:val="0"/>
          <w:kern w:val="22"/>
          <w:szCs w:val="22"/>
          <w:lang w:val="fr-CA"/>
        </w:rPr>
        <w:t>VI.</w:t>
      </w:r>
      <w:r w:rsidRPr="005D57A2">
        <w:rPr>
          <w:rFonts w:ascii="Times New Roman Bold" w:hAnsi="Times New Roman Bold" w:cs="Times New Roman Bold"/>
          <w:caps w:val="0"/>
          <w:snapToGrid w:val="0"/>
          <w:kern w:val="22"/>
          <w:szCs w:val="22"/>
          <w:lang w:val="fr-CA"/>
        </w:rPr>
        <w:tab/>
      </w:r>
      <w:r w:rsidR="00584D2B">
        <w:rPr>
          <w:rFonts w:ascii="Times New Roman Bold" w:hAnsi="Times New Roman Bold" w:cs="Times New Roman Bold"/>
          <w:caps w:val="0"/>
          <w:snapToGrid w:val="0"/>
          <w:kern w:val="22"/>
          <w:szCs w:val="22"/>
          <w:lang w:val="fr-CA"/>
        </w:rPr>
        <w:t>RECOMMANDATIONS SUGGÉRÉES</w:t>
      </w:r>
    </w:p>
    <w:p w:rsidR="00AE7A38" w:rsidRPr="005D57A2" w:rsidRDefault="00584D2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lang w:val="fr-CA"/>
        </w:rPr>
      </w:pPr>
      <w:r>
        <w:rPr>
          <w:rFonts w:cs="Times New Roman"/>
          <w:kern w:val="22"/>
          <w:szCs w:val="22"/>
          <w:lang w:val="fr-CA"/>
        </w:rPr>
        <w:t xml:space="preserve">À la lumière de l’information ci-dessus, l’Organe subsidiaire de mise en œuvre pourrait souhaiter adopter une recommandation qui ressemble à ce qui suit </w:t>
      </w:r>
      <w:r w:rsidR="00F5652F" w:rsidRPr="005D57A2">
        <w:rPr>
          <w:rFonts w:eastAsia="Times New Roman" w:cs="Times New Roman"/>
          <w:iCs/>
          <w:kern w:val="22"/>
          <w:szCs w:val="22"/>
          <w:lang w:val="fr-CA"/>
        </w:rPr>
        <w:t>:</w:t>
      </w:r>
    </w:p>
    <w:p w:rsidR="00A717C3" w:rsidRPr="005D57A2" w:rsidRDefault="00584D2B" w:rsidP="00E733CD">
      <w:pPr>
        <w:pStyle w:val="Para1"/>
        <w:suppressLineNumbers/>
        <w:suppressAutoHyphens/>
        <w:kinsoku w:val="0"/>
        <w:overflowPunct w:val="0"/>
        <w:autoSpaceDE w:val="0"/>
        <w:autoSpaceDN w:val="0"/>
        <w:adjustRightInd w:val="0"/>
        <w:snapToGrid w:val="0"/>
        <w:ind w:left="720"/>
        <w:rPr>
          <w:rFonts w:eastAsia="Times New Roman" w:cs="Times New Roman"/>
          <w:i/>
          <w:iCs/>
          <w:kern w:val="22"/>
          <w:szCs w:val="22"/>
          <w:lang w:val="fr-CA"/>
        </w:rPr>
      </w:pPr>
      <w:r>
        <w:rPr>
          <w:rFonts w:eastAsia="Times New Roman" w:cs="Times New Roman"/>
          <w:i/>
          <w:iCs/>
          <w:kern w:val="22"/>
          <w:szCs w:val="22"/>
          <w:lang w:val="fr-CA"/>
        </w:rPr>
        <w:t xml:space="preserve">L’Organe subsidiaire de mise en œuvre, </w:t>
      </w:r>
    </w:p>
    <w:p w:rsidR="005C4DE4" w:rsidRPr="00584D2B" w:rsidRDefault="00584D2B" w:rsidP="00E733CD">
      <w:pPr>
        <w:pStyle w:val="Para1"/>
        <w:suppressLineNumbers/>
        <w:suppressAutoHyphens/>
        <w:kinsoku w:val="0"/>
        <w:overflowPunct w:val="0"/>
        <w:autoSpaceDE w:val="0"/>
        <w:autoSpaceDN w:val="0"/>
        <w:adjustRightInd w:val="0"/>
        <w:snapToGrid w:val="0"/>
        <w:ind w:firstLine="720"/>
        <w:rPr>
          <w:rFonts w:eastAsia="Times New Roman" w:cs="Times New Roman"/>
          <w:kern w:val="22"/>
          <w:szCs w:val="22"/>
          <w:lang w:val="fr-CA"/>
        </w:rPr>
      </w:pPr>
      <w:r w:rsidRPr="00584D2B">
        <w:rPr>
          <w:rFonts w:eastAsia="Times New Roman" w:cs="Times New Roman"/>
          <w:i/>
          <w:iCs/>
          <w:kern w:val="22"/>
          <w:szCs w:val="22"/>
          <w:lang w:val="fr-CA"/>
        </w:rPr>
        <w:t>Prenant note avec satisfaction</w:t>
      </w:r>
      <w:r w:rsidR="002B25C5" w:rsidRPr="00584D2B">
        <w:rPr>
          <w:rFonts w:eastAsia="Times New Roman" w:cs="Times New Roman"/>
          <w:kern w:val="22"/>
          <w:szCs w:val="22"/>
          <w:lang w:val="fr-CA"/>
        </w:rPr>
        <w:t xml:space="preserve"> </w:t>
      </w:r>
      <w:r w:rsidRPr="00584D2B">
        <w:rPr>
          <w:rFonts w:eastAsia="Times New Roman" w:cs="Times New Roman"/>
          <w:kern w:val="22"/>
          <w:szCs w:val="22"/>
          <w:lang w:val="fr-CA"/>
        </w:rPr>
        <w:t>du rapport préliminaire sur le Fonds pour l’environnement mondial</w:t>
      </w:r>
      <w:r w:rsidR="00127761" w:rsidRPr="00584D2B">
        <w:rPr>
          <w:rFonts w:eastAsia="Times New Roman" w:cs="Times New Roman"/>
          <w:kern w:val="22"/>
          <w:szCs w:val="22"/>
          <w:lang w:val="fr-CA"/>
        </w:rPr>
        <w:t>,</w:t>
      </w:r>
      <w:r w:rsidR="00975C21" w:rsidRPr="005D57A2">
        <w:rPr>
          <w:rStyle w:val="Appelnotedebasdep"/>
          <w:rFonts w:eastAsia="Times New Roman" w:cs="Times New Roman"/>
          <w:kern w:val="22"/>
          <w:sz w:val="22"/>
          <w:szCs w:val="22"/>
          <w:lang w:val="fr-CA"/>
        </w:rPr>
        <w:footnoteReference w:id="9"/>
      </w:r>
      <w:r w:rsidR="00127761" w:rsidRPr="00584D2B">
        <w:rPr>
          <w:rFonts w:eastAsia="Times New Roman" w:cs="Times New Roman"/>
          <w:kern w:val="22"/>
          <w:szCs w:val="22"/>
          <w:lang w:val="fr-CA"/>
        </w:rPr>
        <w:t xml:space="preserve"> </w:t>
      </w:r>
      <w:r>
        <w:rPr>
          <w:rFonts w:eastAsia="Times New Roman" w:cs="Times New Roman"/>
          <w:kern w:val="22"/>
          <w:szCs w:val="22"/>
          <w:lang w:val="fr-CA"/>
        </w:rPr>
        <w:t>ainsi que de l’examen</w:t>
      </w:r>
      <w:r w:rsidR="00467517">
        <w:rPr>
          <w:rFonts w:eastAsia="Times New Roman" w:cs="Times New Roman"/>
          <w:kern w:val="22"/>
          <w:szCs w:val="22"/>
          <w:lang w:val="fr-CA"/>
        </w:rPr>
        <w:t xml:space="preserve"> de l’efficacité générale du Bureau indépendant d’évaluation du Fonds p</w:t>
      </w:r>
      <w:r w:rsidR="00CF09FD">
        <w:rPr>
          <w:rFonts w:eastAsia="Times New Roman" w:cs="Times New Roman"/>
          <w:kern w:val="22"/>
          <w:szCs w:val="22"/>
          <w:lang w:val="fr-CA"/>
        </w:rPr>
        <w:t>o</w:t>
      </w:r>
      <w:r w:rsidR="00467517">
        <w:rPr>
          <w:rFonts w:eastAsia="Times New Roman" w:cs="Times New Roman"/>
          <w:kern w:val="22"/>
          <w:szCs w:val="22"/>
          <w:lang w:val="fr-CA"/>
        </w:rPr>
        <w:t>ur l’environnement mondial</w:t>
      </w:r>
      <w:r w:rsidR="00975C21" w:rsidRPr="00584D2B">
        <w:rPr>
          <w:rFonts w:eastAsia="Times New Roman" w:cs="Times New Roman"/>
          <w:kern w:val="22"/>
          <w:szCs w:val="22"/>
          <w:lang w:val="fr-CA"/>
        </w:rPr>
        <w:t>,</w:t>
      </w:r>
      <w:r w:rsidR="00975C21" w:rsidRPr="005D57A2">
        <w:rPr>
          <w:rStyle w:val="Appelnotedebasdep"/>
          <w:rFonts w:eastAsia="Times New Roman" w:cs="Times New Roman"/>
          <w:kern w:val="22"/>
          <w:sz w:val="22"/>
          <w:szCs w:val="22"/>
          <w:lang w:val="fr-CA"/>
        </w:rPr>
        <w:footnoteReference w:id="10"/>
      </w:r>
    </w:p>
    <w:p w:rsidR="005C4DE4" w:rsidRPr="005D57A2" w:rsidRDefault="00467517" w:rsidP="00E733CD">
      <w:pPr>
        <w:pStyle w:val="Para1"/>
        <w:suppressLineNumbers/>
        <w:suppressAutoHyphens/>
        <w:kinsoku w:val="0"/>
        <w:overflowPunct w:val="0"/>
        <w:autoSpaceDE w:val="0"/>
        <w:autoSpaceDN w:val="0"/>
        <w:adjustRightInd w:val="0"/>
        <w:snapToGrid w:val="0"/>
        <w:ind w:firstLine="720"/>
        <w:rPr>
          <w:rFonts w:eastAsia="Times New Roman" w:cs="Times New Roman"/>
          <w:iCs/>
          <w:kern w:val="22"/>
          <w:szCs w:val="22"/>
          <w:lang w:val="fr-CA"/>
        </w:rPr>
      </w:pPr>
      <w:r>
        <w:rPr>
          <w:rFonts w:eastAsia="Times New Roman" w:cs="Times New Roman"/>
          <w:i/>
          <w:iCs/>
          <w:kern w:val="22"/>
          <w:szCs w:val="22"/>
          <w:lang w:val="fr-CA"/>
        </w:rPr>
        <w:t xml:space="preserve">Prenant note </w:t>
      </w:r>
      <w:r>
        <w:rPr>
          <w:rFonts w:eastAsia="Times New Roman" w:cs="Times New Roman"/>
          <w:iCs/>
          <w:kern w:val="22"/>
          <w:szCs w:val="22"/>
          <w:lang w:val="fr-CA"/>
        </w:rPr>
        <w:t>de l’information concernant la mise en œuvre de l’article 21 de la Convention contenue dans une note de la Secrétaire exécutive sur le mécanisme de financement</w:t>
      </w:r>
      <w:r w:rsidR="005C4DE4" w:rsidRPr="005D57A2">
        <w:rPr>
          <w:rFonts w:eastAsia="Times New Roman" w:cs="Times New Roman"/>
          <w:iCs/>
          <w:kern w:val="22"/>
          <w:szCs w:val="22"/>
          <w:lang w:val="fr-CA"/>
        </w:rPr>
        <w:t>,</w:t>
      </w:r>
      <w:r w:rsidR="000C5BB9" w:rsidRPr="005D57A2">
        <w:rPr>
          <w:rStyle w:val="Appelnotedebasdep"/>
          <w:rFonts w:eastAsia="Times New Roman" w:cs="Times New Roman"/>
          <w:iCs/>
          <w:kern w:val="22"/>
          <w:sz w:val="22"/>
          <w:szCs w:val="22"/>
          <w:lang w:val="fr-CA"/>
        </w:rPr>
        <w:footnoteReference w:id="11"/>
      </w:r>
    </w:p>
    <w:p w:rsidR="00873B66" w:rsidRPr="005D57A2" w:rsidRDefault="00467517" w:rsidP="00E733CD">
      <w:pPr>
        <w:pStyle w:val="Para1"/>
        <w:suppressLineNumbers/>
        <w:suppressAutoHyphens/>
        <w:kinsoku w:val="0"/>
        <w:overflowPunct w:val="0"/>
        <w:autoSpaceDE w:val="0"/>
        <w:autoSpaceDN w:val="0"/>
        <w:adjustRightInd w:val="0"/>
        <w:snapToGrid w:val="0"/>
        <w:ind w:firstLine="720"/>
        <w:rPr>
          <w:rFonts w:cs="Times New Roman"/>
          <w:kern w:val="22"/>
          <w:szCs w:val="22"/>
          <w:lang w:val="fr-CA"/>
        </w:rPr>
      </w:pPr>
      <w:r>
        <w:rPr>
          <w:rFonts w:cs="Times New Roman"/>
          <w:i/>
          <w:kern w:val="22"/>
          <w:szCs w:val="22"/>
          <w:lang w:val="fr-CA"/>
        </w:rPr>
        <w:t xml:space="preserve">Recommande </w:t>
      </w:r>
      <w:r>
        <w:rPr>
          <w:rFonts w:cs="Times New Roman"/>
          <w:kern w:val="22"/>
          <w:szCs w:val="22"/>
          <w:lang w:val="fr-CA"/>
        </w:rPr>
        <w:t xml:space="preserve">que la Conférence des Parties, à sa quatorzième réunion, adopte une décision qui ressemble à ce qui suit </w:t>
      </w:r>
      <w:r w:rsidR="00873B66" w:rsidRPr="005D57A2">
        <w:rPr>
          <w:rFonts w:cs="Times New Roman"/>
          <w:kern w:val="22"/>
          <w:szCs w:val="22"/>
          <w:lang w:val="fr-CA"/>
        </w:rPr>
        <w:t>:</w:t>
      </w:r>
    </w:p>
    <w:p w:rsidR="00873B66" w:rsidRPr="005D57A2" w:rsidRDefault="00467517" w:rsidP="00E733CD">
      <w:pPr>
        <w:suppressLineNumbers/>
        <w:suppressAutoHyphens/>
        <w:kinsoku w:val="0"/>
        <w:overflowPunct w:val="0"/>
        <w:autoSpaceDE w:val="0"/>
        <w:autoSpaceDN w:val="0"/>
        <w:adjustRightInd w:val="0"/>
        <w:snapToGrid w:val="0"/>
        <w:spacing w:after="120"/>
        <w:ind w:left="720" w:firstLine="720"/>
        <w:rPr>
          <w:rFonts w:cs="Times New Roman"/>
          <w:i/>
          <w:snapToGrid w:val="0"/>
          <w:kern w:val="22"/>
          <w:szCs w:val="22"/>
          <w:lang w:val="fr-CA"/>
        </w:rPr>
      </w:pPr>
      <w:r>
        <w:rPr>
          <w:rFonts w:cs="Times New Roman"/>
          <w:i/>
          <w:snapToGrid w:val="0"/>
          <w:kern w:val="22"/>
          <w:szCs w:val="22"/>
          <w:lang w:val="fr-CA"/>
        </w:rPr>
        <w:t>La Conférence des Parties</w:t>
      </w:r>
    </w:p>
    <w:p w:rsidR="002B25C5" w:rsidRPr="005D57A2"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lang w:val="fr-CA"/>
        </w:rPr>
      </w:pPr>
      <w:r w:rsidRPr="005D57A2">
        <w:rPr>
          <w:rFonts w:eastAsia="Times New Roman" w:cs="Times New Roman"/>
          <w:iCs/>
          <w:kern w:val="22"/>
          <w:szCs w:val="22"/>
          <w:lang w:val="fr-CA"/>
        </w:rPr>
        <w:t>1.</w:t>
      </w:r>
      <w:r w:rsidRPr="005D57A2">
        <w:rPr>
          <w:rFonts w:eastAsia="Times New Roman" w:cs="Times New Roman"/>
          <w:iCs/>
          <w:kern w:val="22"/>
          <w:szCs w:val="22"/>
          <w:lang w:val="fr-CA"/>
        </w:rPr>
        <w:tab/>
      </w:r>
      <w:r w:rsidR="00467517">
        <w:rPr>
          <w:rFonts w:eastAsia="Times New Roman" w:cs="Times New Roman"/>
          <w:i/>
          <w:iCs/>
          <w:kern w:val="22"/>
          <w:szCs w:val="22"/>
          <w:lang w:val="fr-CA"/>
        </w:rPr>
        <w:t xml:space="preserve">Se réjouit </w:t>
      </w:r>
      <w:r w:rsidR="00467517">
        <w:rPr>
          <w:rFonts w:eastAsia="Times New Roman" w:cs="Times New Roman"/>
          <w:iCs/>
          <w:kern w:val="22"/>
          <w:szCs w:val="22"/>
          <w:lang w:val="fr-CA"/>
        </w:rPr>
        <w:t xml:space="preserve">de la conclusion réussie de la septième reconstitution </w:t>
      </w:r>
      <w:r w:rsidR="00D56DC5">
        <w:rPr>
          <w:rFonts w:eastAsia="Times New Roman" w:cs="Times New Roman"/>
          <w:iCs/>
          <w:kern w:val="22"/>
          <w:szCs w:val="22"/>
          <w:lang w:val="fr-CA"/>
        </w:rPr>
        <w:t xml:space="preserve">du fonds d’affectation spéciale du Fonds pour l’environnement mondial et </w:t>
      </w:r>
      <w:r w:rsidR="00D56DC5">
        <w:rPr>
          <w:rFonts w:eastAsia="Times New Roman" w:cs="Times New Roman"/>
          <w:i/>
          <w:iCs/>
          <w:kern w:val="22"/>
          <w:szCs w:val="22"/>
          <w:lang w:val="fr-CA"/>
        </w:rPr>
        <w:t xml:space="preserve">exprime sa reconnaissance </w:t>
      </w:r>
      <w:r w:rsidR="00D56DC5">
        <w:rPr>
          <w:rFonts w:eastAsia="Times New Roman" w:cs="Times New Roman"/>
          <w:iCs/>
          <w:kern w:val="22"/>
          <w:szCs w:val="22"/>
          <w:lang w:val="fr-CA"/>
        </w:rPr>
        <w:t xml:space="preserve">à l’égard du soutien financier continu des Parties et des gouvernements pour la réalisation des tâches relevant du Plan stratégique 2011-2020 pour la diversité biologique pendant les années restantes, et </w:t>
      </w:r>
      <w:r w:rsidR="00AB5543">
        <w:rPr>
          <w:rFonts w:eastAsia="Times New Roman" w:cs="Times New Roman"/>
          <w:iCs/>
          <w:kern w:val="22"/>
          <w:szCs w:val="22"/>
          <w:lang w:val="fr-CA"/>
        </w:rPr>
        <w:t>du</w:t>
      </w:r>
      <w:bookmarkStart w:id="2" w:name="_GoBack"/>
      <w:bookmarkEnd w:id="2"/>
      <w:r w:rsidR="00D56DC5">
        <w:rPr>
          <w:rFonts w:eastAsia="Times New Roman" w:cs="Times New Roman"/>
          <w:iCs/>
          <w:kern w:val="22"/>
          <w:szCs w:val="22"/>
          <w:lang w:val="fr-CA"/>
        </w:rPr>
        <w:t xml:space="preserve"> soutien à la mise en œuvre du cadre mondial pour la diversité biologique de l’après-2020 au cours de</w:t>
      </w:r>
      <w:r w:rsidR="00CF09FD">
        <w:rPr>
          <w:rFonts w:eastAsia="Times New Roman" w:cs="Times New Roman"/>
          <w:iCs/>
          <w:kern w:val="22"/>
          <w:szCs w:val="22"/>
          <w:lang w:val="fr-CA"/>
        </w:rPr>
        <w:t xml:space="preserve"> se</w:t>
      </w:r>
      <w:r w:rsidR="00D56DC5">
        <w:rPr>
          <w:rFonts w:eastAsia="Times New Roman" w:cs="Times New Roman"/>
          <w:iCs/>
          <w:kern w:val="22"/>
          <w:szCs w:val="22"/>
          <w:lang w:val="fr-CA"/>
        </w:rPr>
        <w:t>s deux premières années</w:t>
      </w:r>
      <w:r w:rsidR="0035144F" w:rsidRPr="005D57A2">
        <w:rPr>
          <w:rFonts w:eastAsia="Times New Roman" w:cs="Times New Roman"/>
          <w:iCs/>
          <w:kern w:val="22"/>
          <w:szCs w:val="22"/>
          <w:lang w:val="fr-CA"/>
        </w:rPr>
        <w:t>;</w:t>
      </w:r>
    </w:p>
    <w:p w:rsidR="00AE60A8" w:rsidRPr="005D57A2"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lang w:val="fr-CA"/>
        </w:rPr>
      </w:pPr>
      <w:r w:rsidRPr="005D57A2">
        <w:rPr>
          <w:rFonts w:eastAsia="Times New Roman" w:cs="Times New Roman"/>
          <w:iCs/>
          <w:kern w:val="22"/>
          <w:szCs w:val="22"/>
          <w:lang w:val="fr-CA"/>
        </w:rPr>
        <w:t>2.</w:t>
      </w:r>
      <w:r w:rsidRPr="005D57A2">
        <w:rPr>
          <w:rFonts w:eastAsia="Times New Roman" w:cs="Times New Roman"/>
          <w:iCs/>
          <w:kern w:val="22"/>
          <w:szCs w:val="22"/>
          <w:lang w:val="fr-CA"/>
        </w:rPr>
        <w:tab/>
      </w:r>
      <w:r w:rsidR="00D56DC5">
        <w:rPr>
          <w:rFonts w:eastAsia="Times New Roman" w:cs="Times New Roman"/>
          <w:i/>
          <w:iCs/>
          <w:kern w:val="22"/>
          <w:szCs w:val="22"/>
          <w:lang w:val="fr-CA"/>
        </w:rPr>
        <w:t xml:space="preserve">Prend note </w:t>
      </w:r>
      <w:r w:rsidR="00D56DC5">
        <w:rPr>
          <w:rFonts w:eastAsia="Times New Roman" w:cs="Times New Roman"/>
          <w:iCs/>
          <w:kern w:val="22"/>
          <w:szCs w:val="22"/>
          <w:lang w:val="fr-CA"/>
        </w:rPr>
        <w:t xml:space="preserve">que la direction des programmes </w:t>
      </w:r>
      <w:r w:rsidR="007E1D7E">
        <w:rPr>
          <w:rFonts w:eastAsia="Times New Roman" w:cs="Times New Roman"/>
          <w:iCs/>
          <w:kern w:val="22"/>
          <w:szCs w:val="22"/>
          <w:lang w:val="fr-CA"/>
        </w:rPr>
        <w:t>pour la diversité biologique pour la septième reconstitution du fonds d’affectation spéciale reflète l’orientation adoptée par la Conférence des Parties à sa treizième réunion, qui comprend l’orientation globale au mécanisme de financement et le cadre quadriennal des priorités d</w:t>
      </w:r>
      <w:r w:rsidR="003911A8">
        <w:rPr>
          <w:rFonts w:eastAsia="Times New Roman" w:cs="Times New Roman"/>
          <w:iCs/>
          <w:kern w:val="22"/>
          <w:szCs w:val="22"/>
          <w:lang w:val="fr-CA"/>
        </w:rPr>
        <w:t>e</w:t>
      </w:r>
      <w:r w:rsidR="007E1D7E">
        <w:rPr>
          <w:rFonts w:eastAsia="Times New Roman" w:cs="Times New Roman"/>
          <w:iCs/>
          <w:kern w:val="22"/>
          <w:szCs w:val="22"/>
          <w:lang w:val="fr-CA"/>
        </w:rPr>
        <w:t xml:space="preserve"> programme (2018-2022) ainsi que des orientations supplémentaires</w:t>
      </w:r>
      <w:r w:rsidR="0035144F" w:rsidRPr="005D57A2">
        <w:rPr>
          <w:rFonts w:eastAsia="Times New Roman" w:cs="Times New Roman"/>
          <w:iCs/>
          <w:kern w:val="22"/>
          <w:szCs w:val="22"/>
          <w:lang w:val="fr-CA"/>
        </w:rPr>
        <w:t>;</w:t>
      </w:r>
    </w:p>
    <w:p w:rsidR="00F475E1" w:rsidRPr="005D57A2"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lang w:val="fr-CA"/>
        </w:rPr>
      </w:pPr>
      <w:r w:rsidRPr="005D57A2">
        <w:rPr>
          <w:rFonts w:eastAsia="Times New Roman" w:cs="Times New Roman"/>
          <w:iCs/>
          <w:kern w:val="22"/>
          <w:szCs w:val="22"/>
          <w:lang w:val="fr-CA"/>
        </w:rPr>
        <w:t>3.</w:t>
      </w:r>
      <w:r w:rsidRPr="005D57A2">
        <w:rPr>
          <w:rFonts w:eastAsia="Times New Roman" w:cs="Times New Roman"/>
          <w:iCs/>
          <w:kern w:val="22"/>
          <w:szCs w:val="22"/>
          <w:lang w:val="fr-CA"/>
        </w:rPr>
        <w:tab/>
      </w:r>
      <w:r w:rsidR="007E1D7E">
        <w:rPr>
          <w:rFonts w:eastAsia="Times New Roman" w:cs="Times New Roman"/>
          <w:i/>
          <w:iCs/>
          <w:kern w:val="22"/>
          <w:szCs w:val="22"/>
          <w:lang w:val="fr-CA"/>
        </w:rPr>
        <w:t xml:space="preserve">Encourage </w:t>
      </w:r>
      <w:r w:rsidR="007E1D7E">
        <w:rPr>
          <w:rFonts w:eastAsia="Times New Roman" w:cs="Times New Roman"/>
          <w:iCs/>
          <w:kern w:val="22"/>
          <w:szCs w:val="22"/>
          <w:lang w:val="fr-CA"/>
        </w:rPr>
        <w:t>la Secrétaire exécutive à travailler en étroite collaboration avec le partenariat du Fonds pour l’environnement mondial au cours de la transition au cadre mondial pour la diversité biologique de l’après-2020</w:t>
      </w:r>
      <w:r w:rsidR="00D56E8B" w:rsidRPr="005D57A2">
        <w:rPr>
          <w:rFonts w:eastAsia="Times New Roman" w:cs="Times New Roman"/>
          <w:iCs/>
          <w:kern w:val="22"/>
          <w:szCs w:val="22"/>
          <w:lang w:val="fr-CA"/>
        </w:rPr>
        <w:t>.</w:t>
      </w:r>
    </w:p>
    <w:p w:rsidR="009D0FEB" w:rsidRPr="005D57A2" w:rsidRDefault="007D4D6E" w:rsidP="00E733CD">
      <w:pPr>
        <w:pStyle w:val="Para1"/>
        <w:suppressLineNumbers/>
        <w:suppressAutoHyphens/>
        <w:kinsoku w:val="0"/>
        <w:overflowPunct w:val="0"/>
        <w:autoSpaceDE w:val="0"/>
        <w:autoSpaceDN w:val="0"/>
        <w:adjustRightInd w:val="0"/>
        <w:snapToGrid w:val="0"/>
        <w:jc w:val="center"/>
        <w:rPr>
          <w:rFonts w:cs="Times New Roman"/>
          <w:kern w:val="22"/>
          <w:szCs w:val="22"/>
          <w:lang w:val="fr-CA"/>
        </w:rPr>
      </w:pPr>
      <w:r w:rsidRPr="005D57A2">
        <w:rPr>
          <w:rFonts w:eastAsia="Times New Roman" w:cs="Times New Roman"/>
          <w:iCs/>
          <w:kern w:val="22"/>
          <w:szCs w:val="22"/>
          <w:lang w:val="fr-CA"/>
        </w:rPr>
        <w:t>_____</w:t>
      </w:r>
      <w:r w:rsidR="00074D8A" w:rsidRPr="005D57A2">
        <w:rPr>
          <w:rFonts w:eastAsia="Times New Roman" w:cs="Times New Roman"/>
          <w:iCs/>
          <w:kern w:val="22"/>
          <w:szCs w:val="22"/>
          <w:lang w:val="fr-CA"/>
        </w:rPr>
        <w:t>_____</w:t>
      </w:r>
    </w:p>
    <w:sectPr w:rsidR="009D0FEB" w:rsidRPr="005D57A2" w:rsidSect="006F4060">
      <w:headerReference w:type="even" r:id="rId19"/>
      <w:headerReference w:type="default" r:id="rId20"/>
      <w:footerReference w:type="even" r:id="rId21"/>
      <w:footerReference w:type="first" r:id="rId22"/>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B5" w:rsidRDefault="002C57B5">
      <w:r>
        <w:separator/>
      </w:r>
    </w:p>
  </w:endnote>
  <w:endnote w:type="continuationSeparator" w:id="0">
    <w:p w:rsidR="002C57B5" w:rsidRDefault="002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6" w:rsidRDefault="006B7236" w:rsidP="006F4060">
    <w:pPr>
      <w:pStyle w:val="Pieddepage"/>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6" w:rsidRPr="009F11A4" w:rsidRDefault="006B7236"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B5" w:rsidRDefault="002C57B5">
      <w:r>
        <w:separator/>
      </w:r>
    </w:p>
  </w:footnote>
  <w:footnote w:type="continuationSeparator" w:id="0">
    <w:p w:rsidR="002C57B5" w:rsidRDefault="002C57B5">
      <w:r>
        <w:continuationSeparator/>
      </w:r>
    </w:p>
  </w:footnote>
  <w:footnote w:id="1">
    <w:p w:rsidR="006B7236" w:rsidRPr="00E733CD" w:rsidRDefault="006B7236" w:rsidP="00E733CD">
      <w:pPr>
        <w:pStyle w:val="Notedebasdepage"/>
        <w:kinsoku w:val="0"/>
        <w:overflowPunct w:val="0"/>
        <w:autoSpaceDE w:val="0"/>
        <w:autoSpaceDN w:val="0"/>
        <w:adjustRightInd w:val="0"/>
        <w:snapToGrid w:val="0"/>
        <w:ind w:firstLine="0"/>
        <w:jc w:val="left"/>
        <w:rPr>
          <w:snapToGrid w:val="0"/>
          <w:kern w:val="18"/>
          <w:szCs w:val="18"/>
        </w:rPr>
      </w:pPr>
      <w:r w:rsidRPr="00E733CD">
        <w:rPr>
          <w:rStyle w:val="Appelnotedebasdep"/>
          <w:snapToGrid w:val="0"/>
          <w:kern w:val="18"/>
          <w:szCs w:val="18"/>
        </w:rPr>
        <w:footnoteRef/>
      </w:r>
      <w:r w:rsidRPr="00E733CD">
        <w:rPr>
          <w:snapToGrid w:val="0"/>
          <w:kern w:val="18"/>
          <w:szCs w:val="18"/>
        </w:rPr>
        <w:t xml:space="preserve"> CBD/</w:t>
      </w:r>
      <w:proofErr w:type="spellStart"/>
      <w:r w:rsidRPr="00E733CD">
        <w:rPr>
          <w:snapToGrid w:val="0"/>
          <w:kern w:val="18"/>
          <w:szCs w:val="18"/>
        </w:rPr>
        <w:t>SBI</w:t>
      </w:r>
      <w:proofErr w:type="spellEnd"/>
      <w:r w:rsidRPr="00E733CD">
        <w:rPr>
          <w:snapToGrid w:val="0"/>
          <w:kern w:val="18"/>
          <w:szCs w:val="18"/>
        </w:rPr>
        <w:t>/2/INF/25.</w:t>
      </w:r>
    </w:p>
  </w:footnote>
  <w:footnote w:id="2">
    <w:p w:rsidR="006B7236" w:rsidRPr="00E733CD" w:rsidRDefault="006B7236" w:rsidP="00E733CD">
      <w:pPr>
        <w:pStyle w:val="Notedebasdepage"/>
        <w:kinsoku w:val="0"/>
        <w:overflowPunct w:val="0"/>
        <w:autoSpaceDE w:val="0"/>
        <w:autoSpaceDN w:val="0"/>
        <w:adjustRightInd w:val="0"/>
        <w:snapToGrid w:val="0"/>
        <w:ind w:firstLine="0"/>
        <w:jc w:val="left"/>
        <w:rPr>
          <w:snapToGrid w:val="0"/>
          <w:kern w:val="18"/>
          <w:szCs w:val="18"/>
        </w:rPr>
      </w:pPr>
      <w:r w:rsidRPr="00E733CD">
        <w:rPr>
          <w:rStyle w:val="Appelnotedebasdep"/>
          <w:snapToGrid w:val="0"/>
          <w:kern w:val="18"/>
          <w:szCs w:val="18"/>
        </w:rPr>
        <w:footnoteRef/>
      </w:r>
      <w:r w:rsidRPr="00E733CD">
        <w:rPr>
          <w:snapToGrid w:val="0"/>
          <w:kern w:val="18"/>
          <w:szCs w:val="18"/>
        </w:rPr>
        <w:t xml:space="preserve"> UNEP/CBD/COP/13/12/Add.2.</w:t>
      </w:r>
    </w:p>
  </w:footnote>
  <w:footnote w:id="3">
    <w:p w:rsidR="006B7236" w:rsidRPr="004326B6" w:rsidRDefault="006B7236" w:rsidP="00E733CD">
      <w:pPr>
        <w:pStyle w:val="Notedebasdepage"/>
        <w:kinsoku w:val="0"/>
        <w:overflowPunct w:val="0"/>
        <w:autoSpaceDE w:val="0"/>
        <w:autoSpaceDN w:val="0"/>
        <w:adjustRightInd w:val="0"/>
        <w:snapToGrid w:val="0"/>
        <w:ind w:firstLine="0"/>
        <w:jc w:val="left"/>
        <w:rPr>
          <w:snapToGrid w:val="0"/>
          <w:kern w:val="18"/>
          <w:szCs w:val="18"/>
          <w:lang w:val="fr-CA"/>
        </w:rPr>
      </w:pPr>
      <w:r w:rsidRPr="00E733CD">
        <w:rPr>
          <w:rStyle w:val="Appelnotedebasdep"/>
          <w:snapToGrid w:val="0"/>
          <w:kern w:val="18"/>
          <w:szCs w:val="18"/>
        </w:rPr>
        <w:footnoteRef/>
      </w:r>
      <w:r w:rsidRPr="004326B6">
        <w:rPr>
          <w:snapToGrid w:val="0"/>
          <w:kern w:val="18"/>
          <w:szCs w:val="18"/>
          <w:lang w:val="fr-CA"/>
        </w:rPr>
        <w:t xml:space="preserve"> CBD/</w:t>
      </w:r>
      <w:proofErr w:type="spellStart"/>
      <w:r w:rsidRPr="004326B6">
        <w:rPr>
          <w:snapToGrid w:val="0"/>
          <w:kern w:val="18"/>
          <w:szCs w:val="18"/>
          <w:lang w:val="fr-CA"/>
        </w:rPr>
        <w:t>SBI</w:t>
      </w:r>
      <w:proofErr w:type="spellEnd"/>
      <w:r w:rsidRPr="004326B6">
        <w:rPr>
          <w:snapToGrid w:val="0"/>
          <w:kern w:val="18"/>
          <w:szCs w:val="18"/>
          <w:lang w:val="fr-CA"/>
        </w:rPr>
        <w:t>/2/8/Add.1.</w:t>
      </w:r>
    </w:p>
  </w:footnote>
  <w:footnote w:id="4">
    <w:p w:rsidR="006B7236" w:rsidRPr="00E80F09" w:rsidRDefault="006B7236" w:rsidP="00E733CD">
      <w:pPr>
        <w:pStyle w:val="Notedebasdepage"/>
        <w:kinsoku w:val="0"/>
        <w:overflowPunct w:val="0"/>
        <w:autoSpaceDE w:val="0"/>
        <w:autoSpaceDN w:val="0"/>
        <w:adjustRightInd w:val="0"/>
        <w:snapToGrid w:val="0"/>
        <w:ind w:firstLine="0"/>
        <w:jc w:val="left"/>
        <w:rPr>
          <w:snapToGrid w:val="0"/>
          <w:kern w:val="18"/>
          <w:szCs w:val="18"/>
          <w:lang w:val="fr-CA"/>
        </w:rPr>
      </w:pPr>
      <w:r w:rsidRPr="00E733CD">
        <w:rPr>
          <w:rStyle w:val="Appelnotedebasdep"/>
          <w:snapToGrid w:val="0"/>
          <w:kern w:val="18"/>
          <w:szCs w:val="18"/>
        </w:rPr>
        <w:footnoteRef/>
      </w:r>
      <w:r w:rsidRPr="00E80F09">
        <w:rPr>
          <w:snapToGrid w:val="0"/>
          <w:kern w:val="18"/>
          <w:szCs w:val="18"/>
          <w:lang w:val="fr-CA"/>
        </w:rPr>
        <w:t xml:space="preserve"> Nations Unies, </w:t>
      </w:r>
      <w:r w:rsidRPr="00E80F09">
        <w:rPr>
          <w:i/>
          <w:snapToGrid w:val="0"/>
          <w:kern w:val="18"/>
          <w:szCs w:val="18"/>
          <w:lang w:val="fr-CA"/>
        </w:rPr>
        <w:t>Recueil des Traités des Nations Unies</w:t>
      </w:r>
      <w:r>
        <w:rPr>
          <w:snapToGrid w:val="0"/>
          <w:kern w:val="18"/>
          <w:szCs w:val="18"/>
          <w:lang w:val="fr-CA"/>
        </w:rPr>
        <w:t>, enregistremen</w:t>
      </w:r>
      <w:r w:rsidRPr="00E80F09">
        <w:rPr>
          <w:snapToGrid w:val="0"/>
          <w:kern w:val="18"/>
          <w:szCs w:val="18"/>
          <w:lang w:val="fr-CA"/>
        </w:rPr>
        <w:t>t n</w:t>
      </w:r>
      <w:r w:rsidRPr="00E80F09">
        <w:rPr>
          <w:snapToGrid w:val="0"/>
          <w:kern w:val="18"/>
          <w:szCs w:val="18"/>
          <w:vertAlign w:val="superscript"/>
          <w:lang w:val="fr-CA"/>
        </w:rPr>
        <w:t>o</w:t>
      </w:r>
      <w:r w:rsidRPr="00E80F09">
        <w:rPr>
          <w:snapToGrid w:val="0"/>
          <w:kern w:val="18"/>
          <w:szCs w:val="18"/>
          <w:lang w:val="fr-CA"/>
        </w:rPr>
        <w:t xml:space="preserve"> I-54113.</w:t>
      </w:r>
    </w:p>
  </w:footnote>
  <w:footnote w:id="5">
    <w:p w:rsidR="006B7236" w:rsidRPr="004326B6" w:rsidRDefault="006B7236" w:rsidP="00E733CD">
      <w:pPr>
        <w:pStyle w:val="Notedebasdepage"/>
        <w:kinsoku w:val="0"/>
        <w:overflowPunct w:val="0"/>
        <w:autoSpaceDE w:val="0"/>
        <w:autoSpaceDN w:val="0"/>
        <w:adjustRightInd w:val="0"/>
        <w:snapToGrid w:val="0"/>
        <w:ind w:firstLine="0"/>
        <w:jc w:val="left"/>
        <w:rPr>
          <w:snapToGrid w:val="0"/>
          <w:kern w:val="18"/>
          <w:szCs w:val="18"/>
          <w:lang w:val="fr-CA"/>
        </w:rPr>
      </w:pPr>
      <w:r w:rsidRPr="00E733CD">
        <w:rPr>
          <w:rStyle w:val="Appelnotedebasdep"/>
          <w:snapToGrid w:val="0"/>
          <w:kern w:val="18"/>
          <w:szCs w:val="18"/>
        </w:rPr>
        <w:footnoteRef/>
      </w:r>
      <w:r w:rsidRPr="004326B6">
        <w:rPr>
          <w:snapToGrid w:val="0"/>
          <w:kern w:val="18"/>
          <w:szCs w:val="18"/>
          <w:lang w:val="fr-CA"/>
        </w:rPr>
        <w:t xml:space="preserve"> </w:t>
      </w:r>
      <w:r w:rsidRPr="007C57C3">
        <w:rPr>
          <w:snapToGrid w:val="0"/>
          <w:kern w:val="18"/>
          <w:szCs w:val="18"/>
          <w:lang w:val="fr-CA"/>
        </w:rPr>
        <w:t>https://www.cbd.int/doc/meetings/cop/cop-11/information/cop-11-inf-20-en.pdf</w:t>
      </w:r>
    </w:p>
  </w:footnote>
  <w:footnote w:id="6">
    <w:p w:rsidR="006B7236" w:rsidRPr="005D57A2" w:rsidRDefault="006B7236" w:rsidP="00E733CD">
      <w:pPr>
        <w:pStyle w:val="Notedebasdepage"/>
        <w:kinsoku w:val="0"/>
        <w:overflowPunct w:val="0"/>
        <w:autoSpaceDE w:val="0"/>
        <w:autoSpaceDN w:val="0"/>
        <w:adjustRightInd w:val="0"/>
        <w:snapToGrid w:val="0"/>
        <w:ind w:firstLine="0"/>
        <w:jc w:val="left"/>
        <w:rPr>
          <w:snapToGrid w:val="0"/>
          <w:kern w:val="18"/>
          <w:szCs w:val="18"/>
          <w:lang w:val="fr-CA"/>
        </w:rPr>
      </w:pPr>
      <w:r w:rsidRPr="00E733CD">
        <w:rPr>
          <w:rStyle w:val="Appelnotedebasdep"/>
          <w:snapToGrid w:val="0"/>
          <w:kern w:val="18"/>
          <w:szCs w:val="18"/>
        </w:rPr>
        <w:footnoteRef/>
      </w:r>
      <w:r w:rsidRPr="005D57A2">
        <w:rPr>
          <w:snapToGrid w:val="0"/>
          <w:kern w:val="18"/>
          <w:szCs w:val="18"/>
          <w:lang w:val="fr-CA"/>
        </w:rPr>
        <w:t xml:space="preserve"> </w:t>
      </w:r>
      <w:r w:rsidR="005D57A2" w:rsidRPr="005D57A2">
        <w:rPr>
          <w:snapToGrid w:val="0"/>
          <w:kern w:val="18"/>
          <w:szCs w:val="18"/>
          <w:lang w:val="fr-CA"/>
        </w:rPr>
        <w:t>Voir le tableau de bord des données du</w:t>
      </w:r>
      <w:r w:rsidRPr="005D57A2">
        <w:rPr>
          <w:rFonts w:eastAsia="Times New Roman"/>
          <w:iCs/>
          <w:snapToGrid w:val="0"/>
          <w:kern w:val="18"/>
          <w:szCs w:val="18"/>
          <w:lang w:val="fr-CA"/>
        </w:rPr>
        <w:t xml:space="preserve"> </w:t>
      </w:r>
      <w:proofErr w:type="spellStart"/>
      <w:r w:rsidRPr="005D57A2">
        <w:rPr>
          <w:snapToGrid w:val="0"/>
          <w:kern w:val="18"/>
          <w:szCs w:val="18"/>
          <w:lang w:val="fr-CA"/>
        </w:rPr>
        <w:t>Climate</w:t>
      </w:r>
      <w:proofErr w:type="spellEnd"/>
      <w:r w:rsidRPr="005D57A2">
        <w:rPr>
          <w:snapToGrid w:val="0"/>
          <w:kern w:val="18"/>
          <w:szCs w:val="18"/>
          <w:lang w:val="fr-CA"/>
        </w:rPr>
        <w:t xml:space="preserve"> Funds Update (</w:t>
      </w:r>
      <w:r w:rsidR="005D57A2">
        <w:rPr>
          <w:snapToGrid w:val="0"/>
          <w:kern w:val="18"/>
          <w:szCs w:val="18"/>
          <w:lang w:val="fr-CA"/>
        </w:rPr>
        <w:t>mars</w:t>
      </w:r>
      <w:r w:rsidRPr="005D57A2">
        <w:rPr>
          <w:snapToGrid w:val="0"/>
          <w:kern w:val="18"/>
          <w:szCs w:val="18"/>
          <w:lang w:val="fr-CA"/>
        </w:rPr>
        <w:t xml:space="preserve"> 2018), </w:t>
      </w:r>
      <w:r w:rsidR="005D57A2">
        <w:rPr>
          <w:snapToGrid w:val="0"/>
          <w:kern w:val="18"/>
          <w:szCs w:val="18"/>
          <w:lang w:val="fr-CA"/>
        </w:rPr>
        <w:t>sur le site</w:t>
      </w:r>
      <w:r w:rsidRPr="005D57A2">
        <w:rPr>
          <w:snapToGrid w:val="0"/>
          <w:kern w:val="18"/>
          <w:szCs w:val="18"/>
          <w:lang w:val="fr-CA"/>
        </w:rPr>
        <w:t xml:space="preserve"> https://climatefundsupdate.org/the-funds/ </w:t>
      </w:r>
    </w:p>
  </w:footnote>
  <w:footnote w:id="7">
    <w:p w:rsidR="006B7236" w:rsidRPr="005D57A2" w:rsidRDefault="006B7236" w:rsidP="00E733CD">
      <w:pPr>
        <w:pStyle w:val="Notedebasdepage"/>
        <w:kinsoku w:val="0"/>
        <w:overflowPunct w:val="0"/>
        <w:autoSpaceDE w:val="0"/>
        <w:autoSpaceDN w:val="0"/>
        <w:adjustRightInd w:val="0"/>
        <w:snapToGrid w:val="0"/>
        <w:ind w:firstLine="0"/>
        <w:jc w:val="left"/>
        <w:rPr>
          <w:snapToGrid w:val="0"/>
          <w:kern w:val="18"/>
          <w:szCs w:val="18"/>
          <w:lang w:val="fr-CA"/>
        </w:rPr>
      </w:pPr>
      <w:r w:rsidRPr="00E733CD">
        <w:rPr>
          <w:rStyle w:val="Appelnotedebasdep"/>
          <w:snapToGrid w:val="0"/>
          <w:kern w:val="18"/>
          <w:szCs w:val="18"/>
        </w:rPr>
        <w:footnoteRef/>
      </w:r>
      <w:r w:rsidRPr="005D57A2">
        <w:rPr>
          <w:snapToGrid w:val="0"/>
          <w:kern w:val="18"/>
          <w:szCs w:val="18"/>
          <w:lang w:val="fr-CA"/>
        </w:rPr>
        <w:t xml:space="preserve"> </w:t>
      </w:r>
      <w:r w:rsidR="005D57A2" w:rsidRPr="005D57A2">
        <w:rPr>
          <w:rStyle w:val="Appelnotedebasdep"/>
          <w:snapToGrid w:val="0"/>
          <w:kern w:val="18"/>
          <w:szCs w:val="18"/>
          <w:vertAlign w:val="baseline"/>
          <w:lang w:val="fr-CA"/>
        </w:rPr>
        <w:t>L</w:t>
      </w:r>
      <w:r w:rsidR="005D57A2" w:rsidRPr="005D57A2">
        <w:rPr>
          <w:snapToGrid w:val="0"/>
          <w:kern w:val="18"/>
          <w:szCs w:val="18"/>
          <w:lang w:val="fr-CA"/>
        </w:rPr>
        <w:t xml:space="preserve">es données au sujet </w:t>
      </w:r>
      <w:r w:rsidR="005D57A2">
        <w:rPr>
          <w:snapToGrid w:val="0"/>
          <w:kern w:val="18"/>
          <w:szCs w:val="18"/>
          <w:lang w:val="fr-CA"/>
        </w:rPr>
        <w:t xml:space="preserve">de L’assistance officielle au développement sont tirées du site </w:t>
      </w:r>
      <w:r w:rsidRPr="005D57A2">
        <w:rPr>
          <w:rStyle w:val="Appelnotedebasdep"/>
          <w:snapToGrid w:val="0"/>
          <w:kern w:val="18"/>
          <w:szCs w:val="18"/>
          <w:vertAlign w:val="baseline"/>
          <w:lang w:val="fr-CA"/>
        </w:rPr>
        <w:t xml:space="preserve">: </w:t>
      </w:r>
      <w:r w:rsidR="005D57A2" w:rsidRPr="001A7514">
        <w:rPr>
          <w:snapToGrid w:val="0"/>
          <w:kern w:val="18"/>
          <w:szCs w:val="18"/>
          <w:lang w:val="fr-CA"/>
        </w:rPr>
        <w:t>http://stats.oecd.org/viewhtml.aspx?lang=fr&amp;SubSessionId=40144e72-1602-4b07-a6db-5aafbbe66906</w:t>
      </w:r>
      <w:r w:rsidRPr="005D57A2">
        <w:rPr>
          <w:rStyle w:val="Appelnotedebasdep"/>
          <w:snapToGrid w:val="0"/>
          <w:kern w:val="18"/>
          <w:szCs w:val="18"/>
          <w:vertAlign w:val="baseline"/>
          <w:lang w:val="fr-CA"/>
        </w:rPr>
        <w:t xml:space="preserve">, </w:t>
      </w:r>
      <w:r w:rsidR="005D57A2">
        <w:rPr>
          <w:rStyle w:val="Appelnotedebasdep"/>
          <w:snapToGrid w:val="0"/>
          <w:kern w:val="18"/>
          <w:szCs w:val="18"/>
          <w:vertAlign w:val="baseline"/>
          <w:lang w:val="fr-CA"/>
        </w:rPr>
        <w:t>e</w:t>
      </w:r>
      <w:r w:rsidR="005D57A2">
        <w:rPr>
          <w:snapToGrid w:val="0"/>
          <w:kern w:val="18"/>
          <w:szCs w:val="18"/>
          <w:lang w:val="fr-CA"/>
        </w:rPr>
        <w:t>t les données sur le FEM proviennent de différents documents sommaires sur la reconstitution</w:t>
      </w:r>
      <w:r w:rsidRPr="005D57A2">
        <w:rPr>
          <w:snapToGrid w:val="0"/>
          <w:kern w:val="18"/>
          <w:szCs w:val="18"/>
          <w:lang w:val="fr-CA"/>
        </w:rPr>
        <w:t>.</w:t>
      </w:r>
    </w:p>
  </w:footnote>
  <w:footnote w:id="8">
    <w:p w:rsidR="00BD5AE1" w:rsidRPr="00E733CD" w:rsidRDefault="00BD5AE1" w:rsidP="00BD5AE1">
      <w:pPr>
        <w:keepLines/>
        <w:kinsoku w:val="0"/>
        <w:overflowPunct w:val="0"/>
        <w:autoSpaceDE w:val="0"/>
        <w:autoSpaceDN w:val="0"/>
        <w:adjustRightInd w:val="0"/>
        <w:snapToGrid w:val="0"/>
        <w:spacing w:after="60"/>
        <w:jc w:val="left"/>
        <w:rPr>
          <w:snapToGrid w:val="0"/>
          <w:color w:val="1F497D"/>
          <w:kern w:val="18"/>
          <w:sz w:val="18"/>
          <w:szCs w:val="18"/>
          <w:lang w:val="en-US"/>
        </w:rPr>
      </w:pPr>
      <w:r w:rsidRPr="00E733CD">
        <w:rPr>
          <w:rStyle w:val="Appelnotedebasdep"/>
          <w:snapToGrid w:val="0"/>
          <w:kern w:val="18"/>
          <w:szCs w:val="18"/>
        </w:rPr>
        <w:footnoteRef/>
      </w:r>
      <w:r w:rsidRPr="00E733CD">
        <w:rPr>
          <w:snapToGrid w:val="0"/>
          <w:kern w:val="18"/>
          <w:sz w:val="18"/>
          <w:szCs w:val="18"/>
        </w:rPr>
        <w:t xml:space="preserve"> </w:t>
      </w:r>
      <w:r w:rsidRPr="00E733CD">
        <w:rPr>
          <w:snapToGrid w:val="0"/>
          <w:kern w:val="18"/>
          <w:sz w:val="18"/>
          <w:szCs w:val="18"/>
          <w:lang w:val="en-CA"/>
        </w:rPr>
        <w:t xml:space="preserve">Hudson Institute (2017). </w:t>
      </w:r>
      <w:r w:rsidRPr="00E733CD">
        <w:rPr>
          <w:i/>
          <w:iCs/>
          <w:snapToGrid w:val="0"/>
          <w:kern w:val="18"/>
          <w:sz w:val="18"/>
          <w:szCs w:val="18"/>
          <w:lang w:val="en-CA"/>
        </w:rPr>
        <w:t>The Index of Global Philanthropy and Remittances 2016</w:t>
      </w:r>
      <w:r w:rsidRPr="00E733CD">
        <w:rPr>
          <w:snapToGrid w:val="0"/>
          <w:kern w:val="18"/>
          <w:sz w:val="18"/>
          <w:szCs w:val="18"/>
          <w:lang w:val="en-CA"/>
        </w:rPr>
        <w:t xml:space="preserve">, Center for Global Prosperity, </w:t>
      </w:r>
      <w:r>
        <w:rPr>
          <w:snapToGrid w:val="0"/>
          <w:kern w:val="18"/>
          <w:sz w:val="18"/>
          <w:szCs w:val="18"/>
          <w:lang w:val="en-CA"/>
        </w:rPr>
        <w:t xml:space="preserve">sur le site </w:t>
      </w:r>
      <w:r w:rsidRPr="00E733CD">
        <w:rPr>
          <w:snapToGrid w:val="0"/>
          <w:kern w:val="18"/>
          <w:sz w:val="18"/>
          <w:szCs w:val="18"/>
          <w:lang w:val="en-CA"/>
        </w:rPr>
        <w:t xml:space="preserve">: </w:t>
      </w:r>
      <w:r w:rsidRPr="00BD5AE1">
        <w:rPr>
          <w:snapToGrid w:val="0"/>
          <w:kern w:val="18"/>
          <w:sz w:val="18"/>
          <w:szCs w:val="18"/>
          <w:lang w:val="en-US"/>
        </w:rPr>
        <w:t>www.hudson.org/cgp</w:t>
      </w:r>
      <w:r w:rsidRPr="00E733CD">
        <w:rPr>
          <w:snapToGrid w:val="0"/>
          <w:color w:val="1F497D"/>
          <w:kern w:val="18"/>
          <w:sz w:val="18"/>
          <w:szCs w:val="18"/>
          <w:lang w:val="en-US"/>
        </w:rPr>
        <w:t>.</w:t>
      </w:r>
    </w:p>
  </w:footnote>
  <w:footnote w:id="9">
    <w:p w:rsidR="006B7236" w:rsidRPr="00E733CD" w:rsidRDefault="006B7236" w:rsidP="00E733CD">
      <w:pPr>
        <w:pStyle w:val="Notedebasdepage"/>
        <w:kinsoku w:val="0"/>
        <w:overflowPunct w:val="0"/>
        <w:autoSpaceDE w:val="0"/>
        <w:autoSpaceDN w:val="0"/>
        <w:adjustRightInd w:val="0"/>
        <w:snapToGrid w:val="0"/>
        <w:ind w:firstLine="0"/>
        <w:jc w:val="left"/>
        <w:rPr>
          <w:snapToGrid w:val="0"/>
          <w:kern w:val="18"/>
          <w:szCs w:val="18"/>
        </w:rPr>
      </w:pPr>
      <w:r w:rsidRPr="00E733CD">
        <w:rPr>
          <w:rStyle w:val="Appelnotedebasdep"/>
          <w:snapToGrid w:val="0"/>
          <w:kern w:val="18"/>
          <w:szCs w:val="18"/>
        </w:rPr>
        <w:footnoteRef/>
      </w:r>
      <w:r w:rsidRPr="00E733CD">
        <w:rPr>
          <w:snapToGrid w:val="0"/>
          <w:kern w:val="18"/>
          <w:szCs w:val="18"/>
        </w:rPr>
        <w:t xml:space="preserve"> </w:t>
      </w:r>
      <w:r w:rsidRPr="00E733CD">
        <w:rPr>
          <w:rFonts w:eastAsia="Times New Roman"/>
          <w:snapToGrid w:val="0"/>
          <w:kern w:val="18"/>
          <w:szCs w:val="18"/>
        </w:rPr>
        <w:t>CBD/</w:t>
      </w:r>
      <w:proofErr w:type="spellStart"/>
      <w:r w:rsidRPr="00E733CD">
        <w:rPr>
          <w:rFonts w:eastAsia="Times New Roman"/>
          <w:snapToGrid w:val="0"/>
          <w:kern w:val="18"/>
          <w:szCs w:val="18"/>
        </w:rPr>
        <w:t>SBI</w:t>
      </w:r>
      <w:proofErr w:type="spellEnd"/>
      <w:r w:rsidRPr="00E733CD">
        <w:rPr>
          <w:rFonts w:eastAsia="Times New Roman"/>
          <w:snapToGrid w:val="0"/>
          <w:kern w:val="18"/>
          <w:szCs w:val="18"/>
        </w:rPr>
        <w:t>/2/8/Add.1.</w:t>
      </w:r>
    </w:p>
  </w:footnote>
  <w:footnote w:id="10">
    <w:p w:rsidR="006B7236" w:rsidRPr="00E733CD" w:rsidRDefault="006B7236" w:rsidP="00E733CD">
      <w:pPr>
        <w:pStyle w:val="Notedebasdepage"/>
        <w:kinsoku w:val="0"/>
        <w:overflowPunct w:val="0"/>
        <w:autoSpaceDE w:val="0"/>
        <w:autoSpaceDN w:val="0"/>
        <w:adjustRightInd w:val="0"/>
        <w:snapToGrid w:val="0"/>
        <w:ind w:firstLine="0"/>
        <w:jc w:val="left"/>
        <w:rPr>
          <w:snapToGrid w:val="0"/>
          <w:kern w:val="18"/>
          <w:szCs w:val="18"/>
        </w:rPr>
      </w:pPr>
      <w:r w:rsidRPr="00E733CD">
        <w:rPr>
          <w:rStyle w:val="Appelnotedebasdep"/>
          <w:snapToGrid w:val="0"/>
          <w:kern w:val="18"/>
          <w:szCs w:val="18"/>
        </w:rPr>
        <w:footnoteRef/>
      </w:r>
      <w:r w:rsidRPr="00E733CD">
        <w:rPr>
          <w:snapToGrid w:val="0"/>
          <w:kern w:val="18"/>
          <w:szCs w:val="18"/>
        </w:rPr>
        <w:t xml:space="preserve"> </w:t>
      </w:r>
      <w:r w:rsidRPr="00E733CD">
        <w:rPr>
          <w:rFonts w:eastAsia="Times New Roman"/>
          <w:snapToGrid w:val="0"/>
          <w:kern w:val="18"/>
          <w:szCs w:val="18"/>
        </w:rPr>
        <w:t>CBD/</w:t>
      </w:r>
      <w:proofErr w:type="spellStart"/>
      <w:r w:rsidRPr="00E733CD">
        <w:rPr>
          <w:rFonts w:eastAsia="Times New Roman"/>
          <w:snapToGrid w:val="0"/>
          <w:kern w:val="18"/>
          <w:szCs w:val="18"/>
        </w:rPr>
        <w:t>SBI</w:t>
      </w:r>
      <w:proofErr w:type="spellEnd"/>
      <w:r w:rsidRPr="00E733CD">
        <w:rPr>
          <w:rFonts w:eastAsia="Times New Roman"/>
          <w:snapToGrid w:val="0"/>
          <w:kern w:val="18"/>
          <w:szCs w:val="18"/>
        </w:rPr>
        <w:t>/2/INF/25.</w:t>
      </w:r>
    </w:p>
  </w:footnote>
  <w:footnote w:id="11">
    <w:p w:rsidR="006B7236" w:rsidRPr="00E733CD" w:rsidRDefault="006B7236" w:rsidP="00E733CD">
      <w:pPr>
        <w:pStyle w:val="Notedebasdepage"/>
        <w:kinsoku w:val="0"/>
        <w:overflowPunct w:val="0"/>
        <w:autoSpaceDE w:val="0"/>
        <w:autoSpaceDN w:val="0"/>
        <w:adjustRightInd w:val="0"/>
        <w:snapToGrid w:val="0"/>
        <w:ind w:firstLine="0"/>
        <w:jc w:val="left"/>
        <w:rPr>
          <w:snapToGrid w:val="0"/>
          <w:kern w:val="18"/>
          <w:szCs w:val="18"/>
        </w:rPr>
      </w:pPr>
      <w:r w:rsidRPr="00E733CD">
        <w:rPr>
          <w:rStyle w:val="Appelnotedebasdep"/>
          <w:snapToGrid w:val="0"/>
          <w:kern w:val="18"/>
          <w:szCs w:val="18"/>
        </w:rPr>
        <w:footnoteRef/>
      </w:r>
      <w:r w:rsidRPr="00E733CD">
        <w:rPr>
          <w:snapToGrid w:val="0"/>
          <w:kern w:val="18"/>
          <w:szCs w:val="18"/>
        </w:rPr>
        <w:t xml:space="preserve"> </w:t>
      </w:r>
      <w:r w:rsidRPr="00E733CD">
        <w:rPr>
          <w:rFonts w:eastAsia="Times New Roman"/>
          <w:iCs/>
          <w:snapToGrid w:val="0"/>
          <w:kern w:val="18"/>
          <w:szCs w:val="18"/>
        </w:rPr>
        <w:t>CBD/</w:t>
      </w:r>
      <w:proofErr w:type="spellStart"/>
      <w:r w:rsidRPr="00E733CD">
        <w:rPr>
          <w:rFonts w:eastAsia="Times New Roman"/>
          <w:iCs/>
          <w:snapToGrid w:val="0"/>
          <w:kern w:val="18"/>
          <w:szCs w:val="18"/>
        </w:rPr>
        <w:t>SBI</w:t>
      </w:r>
      <w:proofErr w:type="spellEnd"/>
      <w:r w:rsidRPr="00E733CD">
        <w:rPr>
          <w:rFonts w:eastAsia="Times New Roman"/>
          <w:iCs/>
          <w:snapToGrid w:val="0"/>
          <w:kern w:val="18"/>
          <w:szCs w:val="18"/>
        </w:rPr>
        <w:t>/2/8.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6" w:rsidRDefault="006B7236" w:rsidP="006F4060">
    <w:pPr>
      <w:pStyle w:val="En-tte"/>
      <w:tabs>
        <w:tab w:val="clear" w:pos="4320"/>
        <w:tab w:val="clear" w:pos="8640"/>
      </w:tabs>
      <w:jc w:val="left"/>
      <w:rPr>
        <w:noProof/>
        <w:kern w:val="22"/>
        <w:szCs w:val="22"/>
      </w:rPr>
    </w:pPr>
    <w:r w:rsidRPr="00C34607">
      <w:rPr>
        <w:noProof/>
        <w:kern w:val="22"/>
        <w:szCs w:val="22"/>
      </w:rPr>
      <w:t>C</w:t>
    </w:r>
    <w:r>
      <w:rPr>
        <w:noProof/>
        <w:kern w:val="22"/>
        <w:szCs w:val="22"/>
      </w:rPr>
      <w:t>BD/SBI/2/8</w:t>
    </w:r>
  </w:p>
  <w:p w:rsidR="006B7236" w:rsidRPr="006F4060" w:rsidRDefault="006B7236" w:rsidP="006F4060">
    <w:pPr>
      <w:pStyle w:val="En-tte"/>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AB5543">
      <w:rPr>
        <w:bCs/>
        <w:noProof/>
        <w:kern w:val="22"/>
        <w:szCs w:val="22"/>
      </w:rPr>
      <w:t>10</w:t>
    </w:r>
    <w:r w:rsidRPr="006F4060">
      <w:rPr>
        <w:bCs/>
        <w:noProof/>
        <w:kern w:val="22"/>
        <w:szCs w:val="22"/>
      </w:rPr>
      <w:fldChar w:fldCharType="end"/>
    </w:r>
  </w:p>
  <w:p w:rsidR="006B7236" w:rsidRPr="006F4060" w:rsidRDefault="006B7236" w:rsidP="009B2C93">
    <w:pPr>
      <w:pStyle w:val="En-tte"/>
      <w:tabs>
        <w:tab w:val="clear" w:pos="4320"/>
        <w:tab w:val="clear" w:pos="8640"/>
      </w:tabs>
      <w:jc w:val="left"/>
      <w:rPr>
        <w:noProof/>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36" w:rsidRDefault="006B7236" w:rsidP="006F4060">
    <w:pPr>
      <w:pStyle w:val="En-tte"/>
      <w:tabs>
        <w:tab w:val="clear" w:pos="4320"/>
        <w:tab w:val="clear" w:pos="8640"/>
      </w:tabs>
      <w:jc w:val="right"/>
      <w:rPr>
        <w:noProof/>
        <w:kern w:val="22"/>
        <w:szCs w:val="22"/>
      </w:rPr>
    </w:pPr>
    <w:r w:rsidRPr="00C34607">
      <w:rPr>
        <w:noProof/>
        <w:kern w:val="22"/>
        <w:szCs w:val="22"/>
      </w:rPr>
      <w:t>C</w:t>
    </w:r>
    <w:r>
      <w:rPr>
        <w:noProof/>
        <w:kern w:val="22"/>
        <w:szCs w:val="22"/>
      </w:rPr>
      <w:t>BD/SBI/2/8</w:t>
    </w:r>
  </w:p>
  <w:p w:rsidR="006B7236" w:rsidRPr="006F4060" w:rsidRDefault="006B7236" w:rsidP="006F4060">
    <w:pPr>
      <w:pStyle w:val="En-tte"/>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AB5543">
      <w:rPr>
        <w:bCs/>
        <w:noProof/>
        <w:kern w:val="22"/>
        <w:szCs w:val="22"/>
      </w:rPr>
      <w:t>11</w:t>
    </w:r>
    <w:r w:rsidRPr="006F4060">
      <w:rPr>
        <w:bCs/>
        <w:noProof/>
        <w:kern w:val="22"/>
        <w:szCs w:val="22"/>
      </w:rPr>
      <w:fldChar w:fldCharType="end"/>
    </w:r>
  </w:p>
  <w:p w:rsidR="006B7236" w:rsidRPr="006F4060" w:rsidRDefault="006B7236" w:rsidP="006F4060">
    <w:pPr>
      <w:pStyle w:val="En-tte"/>
      <w:tabs>
        <w:tab w:val="clear" w:pos="4320"/>
        <w:tab w:val="clear" w:pos="8640"/>
      </w:tabs>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787571"/>
    <w:multiLevelType w:val="hybridMultilevel"/>
    <w:tmpl w:val="A3384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A94"/>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666E41"/>
    <w:multiLevelType w:val="hybridMultilevel"/>
    <w:tmpl w:val="506C9F20"/>
    <w:lvl w:ilvl="0" w:tplc="2962FE0E">
      <w:start w:val="1"/>
      <w:numFmt w:val="lowerLetter"/>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5F2B"/>
    <w:multiLevelType w:val="hybridMultilevel"/>
    <w:tmpl w:val="59708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F2C12"/>
    <w:multiLevelType w:val="hybridMultilevel"/>
    <w:tmpl w:val="E13A1A52"/>
    <w:lvl w:ilvl="0" w:tplc="092AFEE6">
      <w:start w:val="1"/>
      <w:numFmt w:val="lowerLetter"/>
      <w:lvlText w:val="%1)"/>
      <w:lvlJc w:val="left"/>
      <w:pPr>
        <w:ind w:left="720" w:hanging="360"/>
      </w:pPr>
      <w:rPr>
        <w:rFonts w:ascii="Times New Roman" w:eastAsia="Malgun Gothic" w:hAnsi="Times New Roman" w:cs="Times New Roman"/>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6FD1"/>
    <w:multiLevelType w:val="multilevel"/>
    <w:tmpl w:val="08AC1BD0"/>
    <w:styleLink w:val="Style2"/>
    <w:lvl w:ilvl="0">
      <w:start w:val="29"/>
      <w:numFmt w:val="lowerLetter"/>
      <w:pStyle w:val="StylePara1Before0p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483CD1"/>
    <w:multiLevelType w:val="hybridMultilevel"/>
    <w:tmpl w:val="C9CAD5D0"/>
    <w:lvl w:ilvl="0" w:tplc="1E9217F4">
      <w:start w:val="1"/>
      <w:numFmt w:val="lowerLetter"/>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0D63FD4"/>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A54494"/>
    <w:multiLevelType w:val="hybridMultilevel"/>
    <w:tmpl w:val="676E77B8"/>
    <w:lvl w:ilvl="0" w:tplc="31FCE39A">
      <w:start w:val="1"/>
      <w:numFmt w:val="lowerLetter"/>
      <w:lvlText w:val="%1)"/>
      <w:lvlJc w:val="left"/>
      <w:pPr>
        <w:ind w:left="720" w:hanging="360"/>
      </w:pPr>
      <w:rPr>
        <w:rFonts w:ascii="Times New Roman" w:eastAsia="Malgun Gothic"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77AF"/>
    <w:multiLevelType w:val="hybridMultilevel"/>
    <w:tmpl w:val="8E3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37C"/>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B2A0643"/>
    <w:multiLevelType w:val="hybridMultilevel"/>
    <w:tmpl w:val="2AE4F4DE"/>
    <w:lvl w:ilvl="0" w:tplc="703E8A0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FA6960"/>
    <w:multiLevelType w:val="hybridMultilevel"/>
    <w:tmpl w:val="AA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561892"/>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E40D2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7C4B96"/>
    <w:multiLevelType w:val="multilevel"/>
    <w:tmpl w:val="A8AC4E4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08F162D"/>
    <w:multiLevelType w:val="multilevel"/>
    <w:tmpl w:val="EA429F0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righ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4EE46A3"/>
    <w:multiLevelType w:val="hybridMultilevel"/>
    <w:tmpl w:val="F8009C12"/>
    <w:lvl w:ilvl="0" w:tplc="CF940006">
      <w:start w:val="1"/>
      <w:numFmt w:val="decimal"/>
      <w:lvlText w:val="%1."/>
      <w:lvlJc w:val="left"/>
      <w:pPr>
        <w:ind w:left="1260" w:hanging="360"/>
      </w:pPr>
      <w:rPr>
        <w:b w:val="0"/>
        <w:i w:val="0"/>
        <w:sz w:val="22"/>
        <w:lang w:val="en-GB"/>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665110F8"/>
    <w:multiLevelType w:val="hybridMultilevel"/>
    <w:tmpl w:val="539CEA60"/>
    <w:lvl w:ilvl="0" w:tplc="94E6D7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308E7"/>
    <w:multiLevelType w:val="hybridMultilevel"/>
    <w:tmpl w:val="7334F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15:restartNumberingAfterBreak="0">
    <w:nsid w:val="7CBD3463"/>
    <w:multiLevelType w:val="hybridMultilevel"/>
    <w:tmpl w:val="2F228CF0"/>
    <w:lvl w:ilvl="0" w:tplc="64B6F026">
      <w:start w:val="1"/>
      <w:numFmt w:val="lowerLetter"/>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952E0"/>
    <w:multiLevelType w:val="hybridMultilevel"/>
    <w:tmpl w:val="4C7C82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lvlOverride w:ilvl="0">
      <w:startOverride w:val="1"/>
    </w:lvlOverride>
  </w:num>
  <w:num w:numId="4">
    <w:abstractNumId w:val="3"/>
  </w:num>
  <w:num w:numId="5">
    <w:abstractNumId w:val="12"/>
  </w:num>
  <w:num w:numId="6">
    <w:abstractNumId w:val="33"/>
  </w:num>
  <w:num w:numId="7">
    <w:abstractNumId w:val="27"/>
  </w:num>
  <w:num w:numId="8">
    <w:abstractNumId w:val="17"/>
  </w:num>
  <w:num w:numId="9">
    <w:abstractNumId w:val="21"/>
  </w:num>
  <w:num w:numId="10">
    <w:abstractNumId w:val="19"/>
  </w:num>
  <w:num w:numId="11">
    <w:abstractNumId w:val="29"/>
  </w:num>
  <w:num w:numId="12">
    <w:abstractNumId w:val="8"/>
  </w:num>
  <w:num w:numId="13">
    <w:abstractNumId w:val="25"/>
  </w:num>
  <w:num w:numId="14">
    <w:abstractNumId w:val="32"/>
  </w:num>
  <w:num w:numId="15">
    <w:abstractNumId w:val="11"/>
  </w:num>
  <w:num w:numId="16">
    <w:abstractNumId w:val="36"/>
  </w:num>
  <w:num w:numId="17">
    <w:abstractNumId w:val="23"/>
  </w:num>
  <w:num w:numId="18">
    <w:abstractNumId w:val="0"/>
  </w:num>
  <w:num w:numId="19">
    <w:abstractNumId w:val="24"/>
  </w:num>
  <w:num w:numId="20">
    <w:abstractNumId w:val="5"/>
  </w:num>
  <w:num w:numId="21">
    <w:abstractNumId w:val="13"/>
  </w:num>
  <w:num w:numId="22">
    <w:abstractNumId w:val="28"/>
  </w:num>
  <w:num w:numId="23">
    <w:abstractNumId w:val="18"/>
  </w:num>
  <w:num w:numId="24">
    <w:abstractNumId w:val="15"/>
  </w:num>
  <w:num w:numId="25">
    <w:abstractNumId w:val="2"/>
  </w:num>
  <w:num w:numId="26">
    <w:abstractNumId w:val="1"/>
  </w:num>
  <w:num w:numId="27">
    <w:abstractNumId w:val="38"/>
  </w:num>
  <w:num w:numId="28">
    <w:abstractNumId w:val="30"/>
  </w:num>
  <w:num w:numId="29">
    <w:abstractNumId w:val="12"/>
  </w:num>
  <w:num w:numId="30">
    <w:abstractNumId w:val="31"/>
  </w:num>
  <w:num w:numId="31">
    <w:abstractNumId w:val="12"/>
  </w:num>
  <w:num w:numId="32">
    <w:abstractNumId w:val="12"/>
  </w:num>
  <w:num w:numId="33">
    <w:abstractNumId w:val="12"/>
  </w:num>
  <w:num w:numId="34">
    <w:abstractNumId w:val="12"/>
  </w:num>
  <w:num w:numId="35">
    <w:abstractNumId w:val="16"/>
  </w:num>
  <w:num w:numId="36">
    <w:abstractNumId w:val="12"/>
  </w:num>
  <w:num w:numId="37">
    <w:abstractNumId w:val="12"/>
  </w:num>
  <w:num w:numId="38">
    <w:abstractNumId w:val="12"/>
  </w:num>
  <w:num w:numId="39">
    <w:abstractNumId w:val="12"/>
  </w:num>
  <w:num w:numId="40">
    <w:abstractNumId w:val="26"/>
  </w:num>
  <w:num w:numId="41">
    <w:abstractNumId w:val="12"/>
  </w:num>
  <w:num w:numId="42">
    <w:abstractNumId w:val="34"/>
  </w:num>
  <w:num w:numId="43">
    <w:abstractNumId w:val="6"/>
  </w:num>
  <w:num w:numId="44">
    <w:abstractNumId w:val="9"/>
  </w:num>
  <w:num w:numId="45">
    <w:abstractNumId w:val="37"/>
  </w:num>
  <w:num w:numId="46">
    <w:abstractNumId w:val="4"/>
  </w:num>
  <w:num w:numId="47">
    <w:abstractNumId w:val="35"/>
  </w:num>
  <w:num w:numId="48">
    <w:abstractNumId w:val="14"/>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395C"/>
    <w:rsid w:val="00005724"/>
    <w:rsid w:val="00006A12"/>
    <w:rsid w:val="00006C15"/>
    <w:rsid w:val="00006E94"/>
    <w:rsid w:val="0000752C"/>
    <w:rsid w:val="0000799F"/>
    <w:rsid w:val="000106CB"/>
    <w:rsid w:val="00011546"/>
    <w:rsid w:val="00011D38"/>
    <w:rsid w:val="000130EE"/>
    <w:rsid w:val="000137DC"/>
    <w:rsid w:val="00013D92"/>
    <w:rsid w:val="00015091"/>
    <w:rsid w:val="000157BF"/>
    <w:rsid w:val="00015F50"/>
    <w:rsid w:val="0001785A"/>
    <w:rsid w:val="00017CA7"/>
    <w:rsid w:val="00020A26"/>
    <w:rsid w:val="00021D7F"/>
    <w:rsid w:val="00023D05"/>
    <w:rsid w:val="00025298"/>
    <w:rsid w:val="0002569C"/>
    <w:rsid w:val="000261A5"/>
    <w:rsid w:val="00026D45"/>
    <w:rsid w:val="000270CE"/>
    <w:rsid w:val="000271F9"/>
    <w:rsid w:val="00030AFA"/>
    <w:rsid w:val="00031DFC"/>
    <w:rsid w:val="0003261C"/>
    <w:rsid w:val="000332D4"/>
    <w:rsid w:val="0003374F"/>
    <w:rsid w:val="00033DAA"/>
    <w:rsid w:val="000343CD"/>
    <w:rsid w:val="00036EC8"/>
    <w:rsid w:val="0003703A"/>
    <w:rsid w:val="000379C5"/>
    <w:rsid w:val="00037B77"/>
    <w:rsid w:val="00040CD4"/>
    <w:rsid w:val="00040D2C"/>
    <w:rsid w:val="00040DEC"/>
    <w:rsid w:val="0004131C"/>
    <w:rsid w:val="00043AD0"/>
    <w:rsid w:val="00044448"/>
    <w:rsid w:val="000449FE"/>
    <w:rsid w:val="00045D03"/>
    <w:rsid w:val="00050FA5"/>
    <w:rsid w:val="000512DF"/>
    <w:rsid w:val="00051567"/>
    <w:rsid w:val="000521F3"/>
    <w:rsid w:val="00052283"/>
    <w:rsid w:val="00052C88"/>
    <w:rsid w:val="00053A1F"/>
    <w:rsid w:val="00056CCC"/>
    <w:rsid w:val="00057114"/>
    <w:rsid w:val="000577B0"/>
    <w:rsid w:val="00057950"/>
    <w:rsid w:val="000604C1"/>
    <w:rsid w:val="000609D1"/>
    <w:rsid w:val="000615F9"/>
    <w:rsid w:val="00062983"/>
    <w:rsid w:val="00062E18"/>
    <w:rsid w:val="00063203"/>
    <w:rsid w:val="00063619"/>
    <w:rsid w:val="000644E6"/>
    <w:rsid w:val="00065397"/>
    <w:rsid w:val="00065E05"/>
    <w:rsid w:val="0006714C"/>
    <w:rsid w:val="0007070D"/>
    <w:rsid w:val="00070E02"/>
    <w:rsid w:val="000719F5"/>
    <w:rsid w:val="00071E24"/>
    <w:rsid w:val="00073903"/>
    <w:rsid w:val="00074692"/>
    <w:rsid w:val="00074D8A"/>
    <w:rsid w:val="000754B6"/>
    <w:rsid w:val="000768AB"/>
    <w:rsid w:val="00076DAA"/>
    <w:rsid w:val="00077FE1"/>
    <w:rsid w:val="00081A12"/>
    <w:rsid w:val="000829BC"/>
    <w:rsid w:val="00082AF6"/>
    <w:rsid w:val="00082BF6"/>
    <w:rsid w:val="00083167"/>
    <w:rsid w:val="00083F57"/>
    <w:rsid w:val="00084DE7"/>
    <w:rsid w:val="00085304"/>
    <w:rsid w:val="000857B8"/>
    <w:rsid w:val="000857F4"/>
    <w:rsid w:val="0008586B"/>
    <w:rsid w:val="00090E40"/>
    <w:rsid w:val="000927B5"/>
    <w:rsid w:val="00093501"/>
    <w:rsid w:val="000937AA"/>
    <w:rsid w:val="000948E5"/>
    <w:rsid w:val="00094C9B"/>
    <w:rsid w:val="00095BBA"/>
    <w:rsid w:val="00095FB3"/>
    <w:rsid w:val="000962A9"/>
    <w:rsid w:val="0009645C"/>
    <w:rsid w:val="000A0D20"/>
    <w:rsid w:val="000A2EF5"/>
    <w:rsid w:val="000A37DF"/>
    <w:rsid w:val="000A3E0B"/>
    <w:rsid w:val="000A602A"/>
    <w:rsid w:val="000A6299"/>
    <w:rsid w:val="000A6ED7"/>
    <w:rsid w:val="000B11A5"/>
    <w:rsid w:val="000B19BA"/>
    <w:rsid w:val="000B1F25"/>
    <w:rsid w:val="000B26B9"/>
    <w:rsid w:val="000B3673"/>
    <w:rsid w:val="000B371E"/>
    <w:rsid w:val="000B40E8"/>
    <w:rsid w:val="000B4303"/>
    <w:rsid w:val="000B4660"/>
    <w:rsid w:val="000B53BC"/>
    <w:rsid w:val="000C06F8"/>
    <w:rsid w:val="000C0DAE"/>
    <w:rsid w:val="000C24A8"/>
    <w:rsid w:val="000C29BC"/>
    <w:rsid w:val="000C56C5"/>
    <w:rsid w:val="000C5BB9"/>
    <w:rsid w:val="000C6CC1"/>
    <w:rsid w:val="000C7659"/>
    <w:rsid w:val="000C7AED"/>
    <w:rsid w:val="000D0625"/>
    <w:rsid w:val="000D0D11"/>
    <w:rsid w:val="000D1057"/>
    <w:rsid w:val="000D118D"/>
    <w:rsid w:val="000D178B"/>
    <w:rsid w:val="000D2531"/>
    <w:rsid w:val="000D5303"/>
    <w:rsid w:val="000D6963"/>
    <w:rsid w:val="000D6FD2"/>
    <w:rsid w:val="000D742A"/>
    <w:rsid w:val="000E0D1D"/>
    <w:rsid w:val="000E1262"/>
    <w:rsid w:val="000E44EB"/>
    <w:rsid w:val="000E4558"/>
    <w:rsid w:val="000E590C"/>
    <w:rsid w:val="000F20E2"/>
    <w:rsid w:val="000F3EA4"/>
    <w:rsid w:val="000F599B"/>
    <w:rsid w:val="000F6343"/>
    <w:rsid w:val="000F78FD"/>
    <w:rsid w:val="00101BF1"/>
    <w:rsid w:val="00101E91"/>
    <w:rsid w:val="00102DB3"/>
    <w:rsid w:val="0010379D"/>
    <w:rsid w:val="001048B5"/>
    <w:rsid w:val="00105750"/>
    <w:rsid w:val="00105819"/>
    <w:rsid w:val="0010594D"/>
    <w:rsid w:val="00105A40"/>
    <w:rsid w:val="00106A1E"/>
    <w:rsid w:val="001101D4"/>
    <w:rsid w:val="00110D4C"/>
    <w:rsid w:val="00111492"/>
    <w:rsid w:val="00111D6A"/>
    <w:rsid w:val="001122E9"/>
    <w:rsid w:val="00113802"/>
    <w:rsid w:val="00114F4F"/>
    <w:rsid w:val="001164AB"/>
    <w:rsid w:val="0011675F"/>
    <w:rsid w:val="0011689E"/>
    <w:rsid w:val="00116BDB"/>
    <w:rsid w:val="00116EEF"/>
    <w:rsid w:val="001171E8"/>
    <w:rsid w:val="001178CC"/>
    <w:rsid w:val="001178F3"/>
    <w:rsid w:val="00120DAA"/>
    <w:rsid w:val="00120FCE"/>
    <w:rsid w:val="001221C3"/>
    <w:rsid w:val="00122AA3"/>
    <w:rsid w:val="00122DD5"/>
    <w:rsid w:val="00123CB5"/>
    <w:rsid w:val="00123E8C"/>
    <w:rsid w:val="00123EFB"/>
    <w:rsid w:val="00124153"/>
    <w:rsid w:val="00124821"/>
    <w:rsid w:val="00124F73"/>
    <w:rsid w:val="00125806"/>
    <w:rsid w:val="0012695E"/>
    <w:rsid w:val="00126960"/>
    <w:rsid w:val="00126993"/>
    <w:rsid w:val="00126AEA"/>
    <w:rsid w:val="001275BC"/>
    <w:rsid w:val="00127761"/>
    <w:rsid w:val="00130E9A"/>
    <w:rsid w:val="001313B4"/>
    <w:rsid w:val="00131414"/>
    <w:rsid w:val="001339C3"/>
    <w:rsid w:val="001343FE"/>
    <w:rsid w:val="00135171"/>
    <w:rsid w:val="0013524D"/>
    <w:rsid w:val="001352FA"/>
    <w:rsid w:val="001362E0"/>
    <w:rsid w:val="0013691E"/>
    <w:rsid w:val="00136C38"/>
    <w:rsid w:val="00137579"/>
    <w:rsid w:val="0013779D"/>
    <w:rsid w:val="00140BB8"/>
    <w:rsid w:val="001416C5"/>
    <w:rsid w:val="001423AD"/>
    <w:rsid w:val="00143C89"/>
    <w:rsid w:val="00144D88"/>
    <w:rsid w:val="00146C45"/>
    <w:rsid w:val="00146D8E"/>
    <w:rsid w:val="00147A01"/>
    <w:rsid w:val="00150BB2"/>
    <w:rsid w:val="00150D48"/>
    <w:rsid w:val="00152991"/>
    <w:rsid w:val="00154D78"/>
    <w:rsid w:val="00154E5D"/>
    <w:rsid w:val="00155616"/>
    <w:rsid w:val="0015620D"/>
    <w:rsid w:val="00156FC6"/>
    <w:rsid w:val="001573C5"/>
    <w:rsid w:val="0016130A"/>
    <w:rsid w:val="0016273C"/>
    <w:rsid w:val="0016296B"/>
    <w:rsid w:val="0016330A"/>
    <w:rsid w:val="00164124"/>
    <w:rsid w:val="001645D2"/>
    <w:rsid w:val="001647F0"/>
    <w:rsid w:val="00164832"/>
    <w:rsid w:val="0016517D"/>
    <w:rsid w:val="0016539C"/>
    <w:rsid w:val="00165E3E"/>
    <w:rsid w:val="00167F1E"/>
    <w:rsid w:val="0017060C"/>
    <w:rsid w:val="001721A7"/>
    <w:rsid w:val="00174E49"/>
    <w:rsid w:val="00176E77"/>
    <w:rsid w:val="00181849"/>
    <w:rsid w:val="001837AE"/>
    <w:rsid w:val="001841AA"/>
    <w:rsid w:val="001841C5"/>
    <w:rsid w:val="00184379"/>
    <w:rsid w:val="00186147"/>
    <w:rsid w:val="00187126"/>
    <w:rsid w:val="00191514"/>
    <w:rsid w:val="00191686"/>
    <w:rsid w:val="00193806"/>
    <w:rsid w:val="001938F6"/>
    <w:rsid w:val="00194CFA"/>
    <w:rsid w:val="00194FF2"/>
    <w:rsid w:val="00196278"/>
    <w:rsid w:val="001966DB"/>
    <w:rsid w:val="001972B8"/>
    <w:rsid w:val="0019744E"/>
    <w:rsid w:val="001A0585"/>
    <w:rsid w:val="001A08ED"/>
    <w:rsid w:val="001A13F6"/>
    <w:rsid w:val="001A1A8C"/>
    <w:rsid w:val="001A1B02"/>
    <w:rsid w:val="001A26E2"/>
    <w:rsid w:val="001A432F"/>
    <w:rsid w:val="001A7514"/>
    <w:rsid w:val="001A7D5E"/>
    <w:rsid w:val="001B08C1"/>
    <w:rsid w:val="001B2F43"/>
    <w:rsid w:val="001B412D"/>
    <w:rsid w:val="001B4541"/>
    <w:rsid w:val="001B6A4B"/>
    <w:rsid w:val="001B73B3"/>
    <w:rsid w:val="001C19F0"/>
    <w:rsid w:val="001C2C6C"/>
    <w:rsid w:val="001C2D65"/>
    <w:rsid w:val="001C4823"/>
    <w:rsid w:val="001C600B"/>
    <w:rsid w:val="001C65AB"/>
    <w:rsid w:val="001C73C9"/>
    <w:rsid w:val="001C7D79"/>
    <w:rsid w:val="001C7EF2"/>
    <w:rsid w:val="001D188A"/>
    <w:rsid w:val="001D1B7B"/>
    <w:rsid w:val="001D1EDB"/>
    <w:rsid w:val="001D2209"/>
    <w:rsid w:val="001D2CD9"/>
    <w:rsid w:val="001D34E6"/>
    <w:rsid w:val="001D37AA"/>
    <w:rsid w:val="001D428D"/>
    <w:rsid w:val="001D4BA9"/>
    <w:rsid w:val="001D7193"/>
    <w:rsid w:val="001E03DA"/>
    <w:rsid w:val="001E17B8"/>
    <w:rsid w:val="001E199C"/>
    <w:rsid w:val="001E1F80"/>
    <w:rsid w:val="001E2445"/>
    <w:rsid w:val="001E36EA"/>
    <w:rsid w:val="001E41D1"/>
    <w:rsid w:val="001E41D6"/>
    <w:rsid w:val="001E5074"/>
    <w:rsid w:val="001E59C5"/>
    <w:rsid w:val="001E73B7"/>
    <w:rsid w:val="001E7FD2"/>
    <w:rsid w:val="001F0221"/>
    <w:rsid w:val="001F03A1"/>
    <w:rsid w:val="001F0A33"/>
    <w:rsid w:val="001F2A75"/>
    <w:rsid w:val="001F2B5D"/>
    <w:rsid w:val="001F32DA"/>
    <w:rsid w:val="001F3C18"/>
    <w:rsid w:val="001F42A2"/>
    <w:rsid w:val="001F4EAD"/>
    <w:rsid w:val="00200902"/>
    <w:rsid w:val="00201752"/>
    <w:rsid w:val="00201BCD"/>
    <w:rsid w:val="002023FB"/>
    <w:rsid w:val="002026FB"/>
    <w:rsid w:val="00202E66"/>
    <w:rsid w:val="00202E7F"/>
    <w:rsid w:val="002035EF"/>
    <w:rsid w:val="002042A2"/>
    <w:rsid w:val="00205FEB"/>
    <w:rsid w:val="00206DB0"/>
    <w:rsid w:val="00207D32"/>
    <w:rsid w:val="00210FDA"/>
    <w:rsid w:val="002112D1"/>
    <w:rsid w:val="00211618"/>
    <w:rsid w:val="00211795"/>
    <w:rsid w:val="002120F6"/>
    <w:rsid w:val="00212CC5"/>
    <w:rsid w:val="00214212"/>
    <w:rsid w:val="00214311"/>
    <w:rsid w:val="002145C7"/>
    <w:rsid w:val="002161B6"/>
    <w:rsid w:val="002169EB"/>
    <w:rsid w:val="00220593"/>
    <w:rsid w:val="0022187B"/>
    <w:rsid w:val="00221A07"/>
    <w:rsid w:val="00222837"/>
    <w:rsid w:val="00223A6E"/>
    <w:rsid w:val="00224A1E"/>
    <w:rsid w:val="002268B2"/>
    <w:rsid w:val="002269E2"/>
    <w:rsid w:val="00226D95"/>
    <w:rsid w:val="00226DE9"/>
    <w:rsid w:val="002270DD"/>
    <w:rsid w:val="00227E6F"/>
    <w:rsid w:val="00230202"/>
    <w:rsid w:val="002309E1"/>
    <w:rsid w:val="00230D31"/>
    <w:rsid w:val="002311AB"/>
    <w:rsid w:val="00231453"/>
    <w:rsid w:val="00231E5B"/>
    <w:rsid w:val="0023272E"/>
    <w:rsid w:val="00233495"/>
    <w:rsid w:val="0023397D"/>
    <w:rsid w:val="00233CDF"/>
    <w:rsid w:val="00237CAC"/>
    <w:rsid w:val="00240C99"/>
    <w:rsid w:val="00243F6D"/>
    <w:rsid w:val="00244094"/>
    <w:rsid w:val="002447F9"/>
    <w:rsid w:val="00244B2E"/>
    <w:rsid w:val="00244BC1"/>
    <w:rsid w:val="00244FD7"/>
    <w:rsid w:val="00246471"/>
    <w:rsid w:val="00246FC4"/>
    <w:rsid w:val="00247254"/>
    <w:rsid w:val="0024794E"/>
    <w:rsid w:val="00250BA5"/>
    <w:rsid w:val="00252472"/>
    <w:rsid w:val="002535F6"/>
    <w:rsid w:val="00254375"/>
    <w:rsid w:val="00254469"/>
    <w:rsid w:val="0025563A"/>
    <w:rsid w:val="00256451"/>
    <w:rsid w:val="00256D6D"/>
    <w:rsid w:val="00256F5C"/>
    <w:rsid w:val="002570CC"/>
    <w:rsid w:val="00257129"/>
    <w:rsid w:val="0026001D"/>
    <w:rsid w:val="00261C0D"/>
    <w:rsid w:val="00261DED"/>
    <w:rsid w:val="00263355"/>
    <w:rsid w:val="00263FF2"/>
    <w:rsid w:val="002643CD"/>
    <w:rsid w:val="00264E4F"/>
    <w:rsid w:val="002679C0"/>
    <w:rsid w:val="00267AA3"/>
    <w:rsid w:val="00267FBD"/>
    <w:rsid w:val="00270DFD"/>
    <w:rsid w:val="00271A0E"/>
    <w:rsid w:val="0027264C"/>
    <w:rsid w:val="00272811"/>
    <w:rsid w:val="00272BBD"/>
    <w:rsid w:val="00273038"/>
    <w:rsid w:val="00273199"/>
    <w:rsid w:val="002732EC"/>
    <w:rsid w:val="00273401"/>
    <w:rsid w:val="00273A99"/>
    <w:rsid w:val="00276329"/>
    <w:rsid w:val="0027698F"/>
    <w:rsid w:val="00276F6A"/>
    <w:rsid w:val="002771D7"/>
    <w:rsid w:val="002774B7"/>
    <w:rsid w:val="00277CE2"/>
    <w:rsid w:val="0028068B"/>
    <w:rsid w:val="00280753"/>
    <w:rsid w:val="0028080E"/>
    <w:rsid w:val="00280E97"/>
    <w:rsid w:val="002814CE"/>
    <w:rsid w:val="00283A57"/>
    <w:rsid w:val="00283D83"/>
    <w:rsid w:val="002843A6"/>
    <w:rsid w:val="002843E9"/>
    <w:rsid w:val="00285386"/>
    <w:rsid w:val="00286DF5"/>
    <w:rsid w:val="0028772D"/>
    <w:rsid w:val="00290627"/>
    <w:rsid w:val="002907D1"/>
    <w:rsid w:val="002908C6"/>
    <w:rsid w:val="002909E7"/>
    <w:rsid w:val="00290A0E"/>
    <w:rsid w:val="00293265"/>
    <w:rsid w:val="00294C94"/>
    <w:rsid w:val="00295434"/>
    <w:rsid w:val="00295BC4"/>
    <w:rsid w:val="00296574"/>
    <w:rsid w:val="002975AD"/>
    <w:rsid w:val="002A0055"/>
    <w:rsid w:val="002A0D72"/>
    <w:rsid w:val="002A2C89"/>
    <w:rsid w:val="002A4825"/>
    <w:rsid w:val="002A4871"/>
    <w:rsid w:val="002A4C61"/>
    <w:rsid w:val="002A5095"/>
    <w:rsid w:val="002A5455"/>
    <w:rsid w:val="002B0078"/>
    <w:rsid w:val="002B0681"/>
    <w:rsid w:val="002B1D44"/>
    <w:rsid w:val="002B25C5"/>
    <w:rsid w:val="002B4108"/>
    <w:rsid w:val="002B4A08"/>
    <w:rsid w:val="002B4B31"/>
    <w:rsid w:val="002B657E"/>
    <w:rsid w:val="002B6732"/>
    <w:rsid w:val="002B674D"/>
    <w:rsid w:val="002B72F6"/>
    <w:rsid w:val="002C0A85"/>
    <w:rsid w:val="002C1BF8"/>
    <w:rsid w:val="002C248D"/>
    <w:rsid w:val="002C2490"/>
    <w:rsid w:val="002C509F"/>
    <w:rsid w:val="002C57B5"/>
    <w:rsid w:val="002D0326"/>
    <w:rsid w:val="002D2820"/>
    <w:rsid w:val="002D2A60"/>
    <w:rsid w:val="002D2C4D"/>
    <w:rsid w:val="002D3061"/>
    <w:rsid w:val="002D3270"/>
    <w:rsid w:val="002D4D05"/>
    <w:rsid w:val="002D4D7F"/>
    <w:rsid w:val="002D5AC4"/>
    <w:rsid w:val="002D6C9A"/>
    <w:rsid w:val="002E00FD"/>
    <w:rsid w:val="002E28DE"/>
    <w:rsid w:val="002E2966"/>
    <w:rsid w:val="002E2D56"/>
    <w:rsid w:val="002E3B3A"/>
    <w:rsid w:val="002E3C03"/>
    <w:rsid w:val="002E4E67"/>
    <w:rsid w:val="002E552E"/>
    <w:rsid w:val="002E6914"/>
    <w:rsid w:val="002E7E3E"/>
    <w:rsid w:val="002F1751"/>
    <w:rsid w:val="002F1B0B"/>
    <w:rsid w:val="002F21E7"/>
    <w:rsid w:val="002F308E"/>
    <w:rsid w:val="002F4F51"/>
    <w:rsid w:val="002F6C04"/>
    <w:rsid w:val="002F7B38"/>
    <w:rsid w:val="002F7F48"/>
    <w:rsid w:val="00300669"/>
    <w:rsid w:val="003020F4"/>
    <w:rsid w:val="003032CB"/>
    <w:rsid w:val="00304B50"/>
    <w:rsid w:val="00304C23"/>
    <w:rsid w:val="0030546E"/>
    <w:rsid w:val="00306095"/>
    <w:rsid w:val="003061EF"/>
    <w:rsid w:val="00306310"/>
    <w:rsid w:val="003068CD"/>
    <w:rsid w:val="00306CF6"/>
    <w:rsid w:val="003077F6"/>
    <w:rsid w:val="00307F48"/>
    <w:rsid w:val="00310805"/>
    <w:rsid w:val="00311756"/>
    <w:rsid w:val="00312979"/>
    <w:rsid w:val="00313E42"/>
    <w:rsid w:val="00314994"/>
    <w:rsid w:val="00315211"/>
    <w:rsid w:val="00316C7D"/>
    <w:rsid w:val="003218FC"/>
    <w:rsid w:val="00321EAB"/>
    <w:rsid w:val="00321F5A"/>
    <w:rsid w:val="0032316C"/>
    <w:rsid w:val="00323CBF"/>
    <w:rsid w:val="00324DD2"/>
    <w:rsid w:val="0032636E"/>
    <w:rsid w:val="00330AC9"/>
    <w:rsid w:val="00331C98"/>
    <w:rsid w:val="00333D5A"/>
    <w:rsid w:val="00333D9F"/>
    <w:rsid w:val="003340AE"/>
    <w:rsid w:val="00334685"/>
    <w:rsid w:val="00335C6C"/>
    <w:rsid w:val="00335E49"/>
    <w:rsid w:val="00336313"/>
    <w:rsid w:val="003367B6"/>
    <w:rsid w:val="00336F16"/>
    <w:rsid w:val="00337858"/>
    <w:rsid w:val="00337A08"/>
    <w:rsid w:val="00337AE6"/>
    <w:rsid w:val="003401FA"/>
    <w:rsid w:val="00340A2D"/>
    <w:rsid w:val="0034233F"/>
    <w:rsid w:val="00342BE1"/>
    <w:rsid w:val="00342C49"/>
    <w:rsid w:val="0034426C"/>
    <w:rsid w:val="0034599A"/>
    <w:rsid w:val="003476D0"/>
    <w:rsid w:val="00347AD4"/>
    <w:rsid w:val="00347E35"/>
    <w:rsid w:val="00350407"/>
    <w:rsid w:val="00350B80"/>
    <w:rsid w:val="00350DA8"/>
    <w:rsid w:val="0035144F"/>
    <w:rsid w:val="0035223B"/>
    <w:rsid w:val="00352D06"/>
    <w:rsid w:val="00354055"/>
    <w:rsid w:val="00361CB7"/>
    <w:rsid w:val="0036296B"/>
    <w:rsid w:val="00362CA3"/>
    <w:rsid w:val="00362FBA"/>
    <w:rsid w:val="0036336B"/>
    <w:rsid w:val="00365ABB"/>
    <w:rsid w:val="0036615B"/>
    <w:rsid w:val="00367054"/>
    <w:rsid w:val="00367421"/>
    <w:rsid w:val="00367A94"/>
    <w:rsid w:val="00373CEA"/>
    <w:rsid w:val="00373CEB"/>
    <w:rsid w:val="003748C8"/>
    <w:rsid w:val="00374C17"/>
    <w:rsid w:val="00375350"/>
    <w:rsid w:val="00375E98"/>
    <w:rsid w:val="00375F94"/>
    <w:rsid w:val="00376218"/>
    <w:rsid w:val="003768B1"/>
    <w:rsid w:val="003768BF"/>
    <w:rsid w:val="003769A6"/>
    <w:rsid w:val="0037716D"/>
    <w:rsid w:val="00380048"/>
    <w:rsid w:val="0038157F"/>
    <w:rsid w:val="00381F45"/>
    <w:rsid w:val="0038264F"/>
    <w:rsid w:val="00383CFD"/>
    <w:rsid w:val="003841D6"/>
    <w:rsid w:val="003845E5"/>
    <w:rsid w:val="00384759"/>
    <w:rsid w:val="00384B78"/>
    <w:rsid w:val="00384F1B"/>
    <w:rsid w:val="0038587E"/>
    <w:rsid w:val="00385E6E"/>
    <w:rsid w:val="00386947"/>
    <w:rsid w:val="003909CB"/>
    <w:rsid w:val="003911A8"/>
    <w:rsid w:val="003923B1"/>
    <w:rsid w:val="00392DED"/>
    <w:rsid w:val="00394037"/>
    <w:rsid w:val="0039556E"/>
    <w:rsid w:val="00396487"/>
    <w:rsid w:val="00396F94"/>
    <w:rsid w:val="003970FB"/>
    <w:rsid w:val="00397534"/>
    <w:rsid w:val="003975A6"/>
    <w:rsid w:val="00397AD0"/>
    <w:rsid w:val="003A0459"/>
    <w:rsid w:val="003A11D9"/>
    <w:rsid w:val="003A219C"/>
    <w:rsid w:val="003A23C7"/>
    <w:rsid w:val="003A6D03"/>
    <w:rsid w:val="003A7302"/>
    <w:rsid w:val="003A77B3"/>
    <w:rsid w:val="003B01B7"/>
    <w:rsid w:val="003B0FB0"/>
    <w:rsid w:val="003B1329"/>
    <w:rsid w:val="003B13D2"/>
    <w:rsid w:val="003B168F"/>
    <w:rsid w:val="003B384A"/>
    <w:rsid w:val="003B3F42"/>
    <w:rsid w:val="003B4583"/>
    <w:rsid w:val="003B4C00"/>
    <w:rsid w:val="003B4E13"/>
    <w:rsid w:val="003B56DC"/>
    <w:rsid w:val="003B5BC8"/>
    <w:rsid w:val="003B6F6F"/>
    <w:rsid w:val="003B6FF5"/>
    <w:rsid w:val="003B788F"/>
    <w:rsid w:val="003C00AA"/>
    <w:rsid w:val="003C06A1"/>
    <w:rsid w:val="003C0DF2"/>
    <w:rsid w:val="003C1770"/>
    <w:rsid w:val="003C1CF6"/>
    <w:rsid w:val="003C2EEF"/>
    <w:rsid w:val="003C3938"/>
    <w:rsid w:val="003C4714"/>
    <w:rsid w:val="003C4EFC"/>
    <w:rsid w:val="003C52EC"/>
    <w:rsid w:val="003C5BAD"/>
    <w:rsid w:val="003C6BDA"/>
    <w:rsid w:val="003C6E3F"/>
    <w:rsid w:val="003C6F6E"/>
    <w:rsid w:val="003D1F6D"/>
    <w:rsid w:val="003D277B"/>
    <w:rsid w:val="003D3908"/>
    <w:rsid w:val="003D3A35"/>
    <w:rsid w:val="003D5A21"/>
    <w:rsid w:val="003D6417"/>
    <w:rsid w:val="003D713D"/>
    <w:rsid w:val="003D72E5"/>
    <w:rsid w:val="003D7EB4"/>
    <w:rsid w:val="003E1BD9"/>
    <w:rsid w:val="003E22EE"/>
    <w:rsid w:val="003E28C0"/>
    <w:rsid w:val="003E2A02"/>
    <w:rsid w:val="003E317C"/>
    <w:rsid w:val="003E567A"/>
    <w:rsid w:val="003E6744"/>
    <w:rsid w:val="003E6F4E"/>
    <w:rsid w:val="003E6F57"/>
    <w:rsid w:val="003F04AB"/>
    <w:rsid w:val="003F07D0"/>
    <w:rsid w:val="003F0F0E"/>
    <w:rsid w:val="003F2E72"/>
    <w:rsid w:val="003F406C"/>
    <w:rsid w:val="003F4150"/>
    <w:rsid w:val="003F44A4"/>
    <w:rsid w:val="003F6494"/>
    <w:rsid w:val="003F6CEC"/>
    <w:rsid w:val="003F6D36"/>
    <w:rsid w:val="003F7302"/>
    <w:rsid w:val="003F73D5"/>
    <w:rsid w:val="003F7D97"/>
    <w:rsid w:val="00400144"/>
    <w:rsid w:val="00401FA0"/>
    <w:rsid w:val="00402146"/>
    <w:rsid w:val="004024BF"/>
    <w:rsid w:val="004028B6"/>
    <w:rsid w:val="00402E07"/>
    <w:rsid w:val="00403156"/>
    <w:rsid w:val="00403428"/>
    <w:rsid w:val="00406438"/>
    <w:rsid w:val="004066B8"/>
    <w:rsid w:val="00407C67"/>
    <w:rsid w:val="004101EA"/>
    <w:rsid w:val="004104C5"/>
    <w:rsid w:val="0041161B"/>
    <w:rsid w:val="00411F73"/>
    <w:rsid w:val="00412D1B"/>
    <w:rsid w:val="0041441C"/>
    <w:rsid w:val="00414977"/>
    <w:rsid w:val="00414E30"/>
    <w:rsid w:val="004155EC"/>
    <w:rsid w:val="00415C0F"/>
    <w:rsid w:val="004168FE"/>
    <w:rsid w:val="00416CCF"/>
    <w:rsid w:val="00420B52"/>
    <w:rsid w:val="00420D90"/>
    <w:rsid w:val="00422087"/>
    <w:rsid w:val="00422DD0"/>
    <w:rsid w:val="004238BD"/>
    <w:rsid w:val="00423A16"/>
    <w:rsid w:val="00423AA3"/>
    <w:rsid w:val="00423E99"/>
    <w:rsid w:val="004247F4"/>
    <w:rsid w:val="00424E0F"/>
    <w:rsid w:val="004267F6"/>
    <w:rsid w:val="00426E2C"/>
    <w:rsid w:val="004305AF"/>
    <w:rsid w:val="004326B6"/>
    <w:rsid w:val="004329C9"/>
    <w:rsid w:val="00433B20"/>
    <w:rsid w:val="0043466F"/>
    <w:rsid w:val="004347F9"/>
    <w:rsid w:val="00435DB4"/>
    <w:rsid w:val="00436194"/>
    <w:rsid w:val="004367B7"/>
    <w:rsid w:val="00436C05"/>
    <w:rsid w:val="00437A9A"/>
    <w:rsid w:val="0044107D"/>
    <w:rsid w:val="0044183E"/>
    <w:rsid w:val="004428EE"/>
    <w:rsid w:val="0044340B"/>
    <w:rsid w:val="00443BEC"/>
    <w:rsid w:val="00443C2E"/>
    <w:rsid w:val="0044424B"/>
    <w:rsid w:val="00444B04"/>
    <w:rsid w:val="004453AF"/>
    <w:rsid w:val="00445558"/>
    <w:rsid w:val="0045087F"/>
    <w:rsid w:val="00451B77"/>
    <w:rsid w:val="00451E1C"/>
    <w:rsid w:val="004521B2"/>
    <w:rsid w:val="00452C3C"/>
    <w:rsid w:val="00454923"/>
    <w:rsid w:val="00455AB8"/>
    <w:rsid w:val="0045666A"/>
    <w:rsid w:val="004577B0"/>
    <w:rsid w:val="00460186"/>
    <w:rsid w:val="0046037E"/>
    <w:rsid w:val="00460DEA"/>
    <w:rsid w:val="004616E3"/>
    <w:rsid w:val="00461A69"/>
    <w:rsid w:val="00463F0E"/>
    <w:rsid w:val="0046424B"/>
    <w:rsid w:val="004651BB"/>
    <w:rsid w:val="0046530B"/>
    <w:rsid w:val="004659AD"/>
    <w:rsid w:val="00465C9A"/>
    <w:rsid w:val="00466057"/>
    <w:rsid w:val="00466BE6"/>
    <w:rsid w:val="004670B8"/>
    <w:rsid w:val="00467517"/>
    <w:rsid w:val="004706F5"/>
    <w:rsid w:val="00470DBE"/>
    <w:rsid w:val="004716A2"/>
    <w:rsid w:val="00473D34"/>
    <w:rsid w:val="00474126"/>
    <w:rsid w:val="004741F0"/>
    <w:rsid w:val="0047695A"/>
    <w:rsid w:val="00477F62"/>
    <w:rsid w:val="004804CD"/>
    <w:rsid w:val="004804E5"/>
    <w:rsid w:val="00480748"/>
    <w:rsid w:val="0048166C"/>
    <w:rsid w:val="00484FE8"/>
    <w:rsid w:val="00485352"/>
    <w:rsid w:val="0048598B"/>
    <w:rsid w:val="004877A6"/>
    <w:rsid w:val="00490622"/>
    <w:rsid w:val="00491628"/>
    <w:rsid w:val="00491825"/>
    <w:rsid w:val="00492099"/>
    <w:rsid w:val="00493B00"/>
    <w:rsid w:val="00494431"/>
    <w:rsid w:val="004949D7"/>
    <w:rsid w:val="00497262"/>
    <w:rsid w:val="0049767B"/>
    <w:rsid w:val="004A05DC"/>
    <w:rsid w:val="004A0738"/>
    <w:rsid w:val="004A1C76"/>
    <w:rsid w:val="004A1D41"/>
    <w:rsid w:val="004A1EA5"/>
    <w:rsid w:val="004A36C3"/>
    <w:rsid w:val="004A3A78"/>
    <w:rsid w:val="004A3D7A"/>
    <w:rsid w:val="004A60C0"/>
    <w:rsid w:val="004A69CA"/>
    <w:rsid w:val="004A6BBF"/>
    <w:rsid w:val="004A78D9"/>
    <w:rsid w:val="004B0511"/>
    <w:rsid w:val="004B116F"/>
    <w:rsid w:val="004B42A0"/>
    <w:rsid w:val="004B42C4"/>
    <w:rsid w:val="004B4799"/>
    <w:rsid w:val="004B5D26"/>
    <w:rsid w:val="004B65B0"/>
    <w:rsid w:val="004B6735"/>
    <w:rsid w:val="004B67FF"/>
    <w:rsid w:val="004C0098"/>
    <w:rsid w:val="004C16FB"/>
    <w:rsid w:val="004C1D73"/>
    <w:rsid w:val="004C41C9"/>
    <w:rsid w:val="004C5471"/>
    <w:rsid w:val="004C54B3"/>
    <w:rsid w:val="004D13E7"/>
    <w:rsid w:val="004D198C"/>
    <w:rsid w:val="004D1C71"/>
    <w:rsid w:val="004D21CF"/>
    <w:rsid w:val="004D391D"/>
    <w:rsid w:val="004D3FDF"/>
    <w:rsid w:val="004D426E"/>
    <w:rsid w:val="004D4385"/>
    <w:rsid w:val="004D43EB"/>
    <w:rsid w:val="004D4C00"/>
    <w:rsid w:val="004D4DB7"/>
    <w:rsid w:val="004D581D"/>
    <w:rsid w:val="004E0918"/>
    <w:rsid w:val="004E0DFB"/>
    <w:rsid w:val="004E0E43"/>
    <w:rsid w:val="004E1FE3"/>
    <w:rsid w:val="004E3DBC"/>
    <w:rsid w:val="004E5720"/>
    <w:rsid w:val="004E5D67"/>
    <w:rsid w:val="004E6F42"/>
    <w:rsid w:val="004E745E"/>
    <w:rsid w:val="004F1286"/>
    <w:rsid w:val="004F12DE"/>
    <w:rsid w:val="004F1A61"/>
    <w:rsid w:val="004F2918"/>
    <w:rsid w:val="004F63FF"/>
    <w:rsid w:val="004F6536"/>
    <w:rsid w:val="004F6BA1"/>
    <w:rsid w:val="004F74AC"/>
    <w:rsid w:val="004F7BB3"/>
    <w:rsid w:val="0050213C"/>
    <w:rsid w:val="00504339"/>
    <w:rsid w:val="00506086"/>
    <w:rsid w:val="00506615"/>
    <w:rsid w:val="005069F8"/>
    <w:rsid w:val="005074CE"/>
    <w:rsid w:val="00507DA0"/>
    <w:rsid w:val="0051033B"/>
    <w:rsid w:val="00510463"/>
    <w:rsid w:val="00510B3B"/>
    <w:rsid w:val="00511B0D"/>
    <w:rsid w:val="00512F67"/>
    <w:rsid w:val="0051338E"/>
    <w:rsid w:val="00514EC9"/>
    <w:rsid w:val="0051593D"/>
    <w:rsid w:val="00516037"/>
    <w:rsid w:val="0051612C"/>
    <w:rsid w:val="00516301"/>
    <w:rsid w:val="00517CC8"/>
    <w:rsid w:val="00520FD9"/>
    <w:rsid w:val="00521A3B"/>
    <w:rsid w:val="0052265A"/>
    <w:rsid w:val="00523198"/>
    <w:rsid w:val="00523328"/>
    <w:rsid w:val="005236C8"/>
    <w:rsid w:val="005236ED"/>
    <w:rsid w:val="00523923"/>
    <w:rsid w:val="00523EB6"/>
    <w:rsid w:val="00524D8A"/>
    <w:rsid w:val="005262AD"/>
    <w:rsid w:val="00526968"/>
    <w:rsid w:val="00527411"/>
    <w:rsid w:val="00527E13"/>
    <w:rsid w:val="00531063"/>
    <w:rsid w:val="005310CA"/>
    <w:rsid w:val="00531F95"/>
    <w:rsid w:val="00532185"/>
    <w:rsid w:val="00533529"/>
    <w:rsid w:val="00535943"/>
    <w:rsid w:val="00535CFD"/>
    <w:rsid w:val="00535D4C"/>
    <w:rsid w:val="00537803"/>
    <w:rsid w:val="00540027"/>
    <w:rsid w:val="00540D69"/>
    <w:rsid w:val="00543BF5"/>
    <w:rsid w:val="00543E6D"/>
    <w:rsid w:val="005447D2"/>
    <w:rsid w:val="00545E01"/>
    <w:rsid w:val="00545FC1"/>
    <w:rsid w:val="00546084"/>
    <w:rsid w:val="00546911"/>
    <w:rsid w:val="005500AD"/>
    <w:rsid w:val="0055151A"/>
    <w:rsid w:val="00551A1E"/>
    <w:rsid w:val="005523FA"/>
    <w:rsid w:val="0055331E"/>
    <w:rsid w:val="00553CC6"/>
    <w:rsid w:val="0055459A"/>
    <w:rsid w:val="005552F3"/>
    <w:rsid w:val="00557A51"/>
    <w:rsid w:val="00560118"/>
    <w:rsid w:val="0056020A"/>
    <w:rsid w:val="005607E5"/>
    <w:rsid w:val="00561738"/>
    <w:rsid w:val="00562255"/>
    <w:rsid w:val="00562CE2"/>
    <w:rsid w:val="00563080"/>
    <w:rsid w:val="00563469"/>
    <w:rsid w:val="00563B5C"/>
    <w:rsid w:val="00564E94"/>
    <w:rsid w:val="00564EEA"/>
    <w:rsid w:val="00565197"/>
    <w:rsid w:val="0056558E"/>
    <w:rsid w:val="00570015"/>
    <w:rsid w:val="00571158"/>
    <w:rsid w:val="0057128D"/>
    <w:rsid w:val="0057254C"/>
    <w:rsid w:val="00573E33"/>
    <w:rsid w:val="00575792"/>
    <w:rsid w:val="00576779"/>
    <w:rsid w:val="00576E4E"/>
    <w:rsid w:val="0058027C"/>
    <w:rsid w:val="0058034C"/>
    <w:rsid w:val="00581057"/>
    <w:rsid w:val="005811B2"/>
    <w:rsid w:val="005817A6"/>
    <w:rsid w:val="00581BBD"/>
    <w:rsid w:val="0058250A"/>
    <w:rsid w:val="00582542"/>
    <w:rsid w:val="00582865"/>
    <w:rsid w:val="0058374F"/>
    <w:rsid w:val="005844A6"/>
    <w:rsid w:val="0058476D"/>
    <w:rsid w:val="00584D2B"/>
    <w:rsid w:val="005864AE"/>
    <w:rsid w:val="00587BD9"/>
    <w:rsid w:val="005911EB"/>
    <w:rsid w:val="00591FEE"/>
    <w:rsid w:val="00592101"/>
    <w:rsid w:val="00592322"/>
    <w:rsid w:val="00593EC9"/>
    <w:rsid w:val="00594176"/>
    <w:rsid w:val="005943E7"/>
    <w:rsid w:val="00594994"/>
    <w:rsid w:val="00595431"/>
    <w:rsid w:val="0059644A"/>
    <w:rsid w:val="00596E7F"/>
    <w:rsid w:val="00597C35"/>
    <w:rsid w:val="00597E2E"/>
    <w:rsid w:val="005A09AB"/>
    <w:rsid w:val="005A1FBE"/>
    <w:rsid w:val="005A201E"/>
    <w:rsid w:val="005A2149"/>
    <w:rsid w:val="005A3577"/>
    <w:rsid w:val="005A41A8"/>
    <w:rsid w:val="005A442E"/>
    <w:rsid w:val="005A44EB"/>
    <w:rsid w:val="005A466F"/>
    <w:rsid w:val="005A61B0"/>
    <w:rsid w:val="005B0863"/>
    <w:rsid w:val="005B0B25"/>
    <w:rsid w:val="005B167E"/>
    <w:rsid w:val="005B2632"/>
    <w:rsid w:val="005B31F0"/>
    <w:rsid w:val="005B4A4A"/>
    <w:rsid w:val="005B4A7C"/>
    <w:rsid w:val="005B5B7A"/>
    <w:rsid w:val="005B5CCF"/>
    <w:rsid w:val="005B7A40"/>
    <w:rsid w:val="005C23C2"/>
    <w:rsid w:val="005C4651"/>
    <w:rsid w:val="005C48CC"/>
    <w:rsid w:val="005C4AA2"/>
    <w:rsid w:val="005C4DE4"/>
    <w:rsid w:val="005C5251"/>
    <w:rsid w:val="005C5B4A"/>
    <w:rsid w:val="005C63FB"/>
    <w:rsid w:val="005C6490"/>
    <w:rsid w:val="005C64BF"/>
    <w:rsid w:val="005C69B0"/>
    <w:rsid w:val="005C6A5B"/>
    <w:rsid w:val="005C6C31"/>
    <w:rsid w:val="005C78F7"/>
    <w:rsid w:val="005D10C4"/>
    <w:rsid w:val="005D2AB0"/>
    <w:rsid w:val="005D3370"/>
    <w:rsid w:val="005D3FD5"/>
    <w:rsid w:val="005D42EE"/>
    <w:rsid w:val="005D453E"/>
    <w:rsid w:val="005D46C0"/>
    <w:rsid w:val="005D57A2"/>
    <w:rsid w:val="005D6AC0"/>
    <w:rsid w:val="005D7E56"/>
    <w:rsid w:val="005E0090"/>
    <w:rsid w:val="005E13A7"/>
    <w:rsid w:val="005E15B0"/>
    <w:rsid w:val="005E15D4"/>
    <w:rsid w:val="005E2220"/>
    <w:rsid w:val="005E2CCF"/>
    <w:rsid w:val="005E2DAC"/>
    <w:rsid w:val="005E2E4D"/>
    <w:rsid w:val="005E5B5C"/>
    <w:rsid w:val="005E6D8A"/>
    <w:rsid w:val="005E76EB"/>
    <w:rsid w:val="005F09C1"/>
    <w:rsid w:val="005F14F4"/>
    <w:rsid w:val="005F1A25"/>
    <w:rsid w:val="005F3185"/>
    <w:rsid w:val="005F3291"/>
    <w:rsid w:val="005F32ED"/>
    <w:rsid w:val="005F44DD"/>
    <w:rsid w:val="005F49C6"/>
    <w:rsid w:val="005F4B5E"/>
    <w:rsid w:val="005F667B"/>
    <w:rsid w:val="005F6E06"/>
    <w:rsid w:val="00600525"/>
    <w:rsid w:val="00600F77"/>
    <w:rsid w:val="0060176C"/>
    <w:rsid w:val="00601F60"/>
    <w:rsid w:val="006029E2"/>
    <w:rsid w:val="006059C7"/>
    <w:rsid w:val="00606ACC"/>
    <w:rsid w:val="006102B1"/>
    <w:rsid w:val="00612E4B"/>
    <w:rsid w:val="00614212"/>
    <w:rsid w:val="00614BA5"/>
    <w:rsid w:val="00615783"/>
    <w:rsid w:val="00615954"/>
    <w:rsid w:val="00616614"/>
    <w:rsid w:val="00616CA9"/>
    <w:rsid w:val="0062170B"/>
    <w:rsid w:val="00622C91"/>
    <w:rsid w:val="00623240"/>
    <w:rsid w:val="0062384C"/>
    <w:rsid w:val="00623866"/>
    <w:rsid w:val="00623DBE"/>
    <w:rsid w:val="006271FC"/>
    <w:rsid w:val="00627B19"/>
    <w:rsid w:val="00631741"/>
    <w:rsid w:val="00631A79"/>
    <w:rsid w:val="00633E57"/>
    <w:rsid w:val="00634854"/>
    <w:rsid w:val="00634C2E"/>
    <w:rsid w:val="0063517C"/>
    <w:rsid w:val="00635C4C"/>
    <w:rsid w:val="00637080"/>
    <w:rsid w:val="006406D1"/>
    <w:rsid w:val="00641050"/>
    <w:rsid w:val="00641217"/>
    <w:rsid w:val="00642506"/>
    <w:rsid w:val="0064330C"/>
    <w:rsid w:val="006433C5"/>
    <w:rsid w:val="00643A73"/>
    <w:rsid w:val="00643E0D"/>
    <w:rsid w:val="0064413D"/>
    <w:rsid w:val="00644438"/>
    <w:rsid w:val="00646F61"/>
    <w:rsid w:val="00647852"/>
    <w:rsid w:val="00647DB1"/>
    <w:rsid w:val="0065108A"/>
    <w:rsid w:val="00651524"/>
    <w:rsid w:val="00652596"/>
    <w:rsid w:val="00652930"/>
    <w:rsid w:val="00652FFB"/>
    <w:rsid w:val="006530D0"/>
    <w:rsid w:val="006562FD"/>
    <w:rsid w:val="00656B1A"/>
    <w:rsid w:val="0065715F"/>
    <w:rsid w:val="00657358"/>
    <w:rsid w:val="0065784D"/>
    <w:rsid w:val="00657C43"/>
    <w:rsid w:val="00660521"/>
    <w:rsid w:val="006606AF"/>
    <w:rsid w:val="00660A26"/>
    <w:rsid w:val="006611FA"/>
    <w:rsid w:val="00661216"/>
    <w:rsid w:val="00664479"/>
    <w:rsid w:val="00664A03"/>
    <w:rsid w:val="00664BBF"/>
    <w:rsid w:val="006700D2"/>
    <w:rsid w:val="006703B5"/>
    <w:rsid w:val="006708A8"/>
    <w:rsid w:val="00674C19"/>
    <w:rsid w:val="006765B8"/>
    <w:rsid w:val="006765FC"/>
    <w:rsid w:val="00677347"/>
    <w:rsid w:val="00680218"/>
    <w:rsid w:val="0068032F"/>
    <w:rsid w:val="00680BF7"/>
    <w:rsid w:val="00680D94"/>
    <w:rsid w:val="00681B8D"/>
    <w:rsid w:val="0068278C"/>
    <w:rsid w:val="006851AD"/>
    <w:rsid w:val="00685A77"/>
    <w:rsid w:val="00685C14"/>
    <w:rsid w:val="00685D20"/>
    <w:rsid w:val="00686137"/>
    <w:rsid w:val="006866F8"/>
    <w:rsid w:val="00686F47"/>
    <w:rsid w:val="006871B9"/>
    <w:rsid w:val="006872FB"/>
    <w:rsid w:val="00690E28"/>
    <w:rsid w:val="00691315"/>
    <w:rsid w:val="00691969"/>
    <w:rsid w:val="00693172"/>
    <w:rsid w:val="00694382"/>
    <w:rsid w:val="00694B67"/>
    <w:rsid w:val="006968AD"/>
    <w:rsid w:val="00696DAE"/>
    <w:rsid w:val="006A01B1"/>
    <w:rsid w:val="006A09F2"/>
    <w:rsid w:val="006A1A94"/>
    <w:rsid w:val="006A218D"/>
    <w:rsid w:val="006A3516"/>
    <w:rsid w:val="006A3927"/>
    <w:rsid w:val="006A3AF8"/>
    <w:rsid w:val="006A74D4"/>
    <w:rsid w:val="006A7FB8"/>
    <w:rsid w:val="006B2CA8"/>
    <w:rsid w:val="006B3B4B"/>
    <w:rsid w:val="006B4165"/>
    <w:rsid w:val="006B4406"/>
    <w:rsid w:val="006B5870"/>
    <w:rsid w:val="006B5F7D"/>
    <w:rsid w:val="006B6C79"/>
    <w:rsid w:val="006B6F3D"/>
    <w:rsid w:val="006B7196"/>
    <w:rsid w:val="006B7236"/>
    <w:rsid w:val="006B76E4"/>
    <w:rsid w:val="006C0393"/>
    <w:rsid w:val="006C07F7"/>
    <w:rsid w:val="006C15D9"/>
    <w:rsid w:val="006C2076"/>
    <w:rsid w:val="006C22DF"/>
    <w:rsid w:val="006C25AE"/>
    <w:rsid w:val="006C2CC5"/>
    <w:rsid w:val="006C4C23"/>
    <w:rsid w:val="006C5AA3"/>
    <w:rsid w:val="006C5F25"/>
    <w:rsid w:val="006C68F4"/>
    <w:rsid w:val="006C7122"/>
    <w:rsid w:val="006D0293"/>
    <w:rsid w:val="006D04C3"/>
    <w:rsid w:val="006D1531"/>
    <w:rsid w:val="006D20F7"/>
    <w:rsid w:val="006D7697"/>
    <w:rsid w:val="006D77DF"/>
    <w:rsid w:val="006E04A6"/>
    <w:rsid w:val="006E1516"/>
    <w:rsid w:val="006E247D"/>
    <w:rsid w:val="006E2E54"/>
    <w:rsid w:val="006E43AD"/>
    <w:rsid w:val="006E4C50"/>
    <w:rsid w:val="006E51A7"/>
    <w:rsid w:val="006F2809"/>
    <w:rsid w:val="006F2CCB"/>
    <w:rsid w:val="006F3D0E"/>
    <w:rsid w:val="006F4060"/>
    <w:rsid w:val="006F4234"/>
    <w:rsid w:val="006F72DE"/>
    <w:rsid w:val="006F7BD2"/>
    <w:rsid w:val="006F7CAC"/>
    <w:rsid w:val="00701407"/>
    <w:rsid w:val="00701B01"/>
    <w:rsid w:val="007029F8"/>
    <w:rsid w:val="007054F3"/>
    <w:rsid w:val="007064A8"/>
    <w:rsid w:val="007065B0"/>
    <w:rsid w:val="00707300"/>
    <w:rsid w:val="00710375"/>
    <w:rsid w:val="007107C9"/>
    <w:rsid w:val="0071255E"/>
    <w:rsid w:val="00712646"/>
    <w:rsid w:val="007128BA"/>
    <w:rsid w:val="00712AE2"/>
    <w:rsid w:val="00712BBB"/>
    <w:rsid w:val="00712FA1"/>
    <w:rsid w:val="0071318C"/>
    <w:rsid w:val="007153D8"/>
    <w:rsid w:val="00715C16"/>
    <w:rsid w:val="00716E00"/>
    <w:rsid w:val="00717723"/>
    <w:rsid w:val="00720FEE"/>
    <w:rsid w:val="007232C8"/>
    <w:rsid w:val="00723D0C"/>
    <w:rsid w:val="00724468"/>
    <w:rsid w:val="0072591D"/>
    <w:rsid w:val="00725C33"/>
    <w:rsid w:val="007270E8"/>
    <w:rsid w:val="007272BC"/>
    <w:rsid w:val="00727C4C"/>
    <w:rsid w:val="0073018C"/>
    <w:rsid w:val="00731045"/>
    <w:rsid w:val="007317D5"/>
    <w:rsid w:val="00733207"/>
    <w:rsid w:val="00733847"/>
    <w:rsid w:val="00733DC5"/>
    <w:rsid w:val="00734731"/>
    <w:rsid w:val="0073567B"/>
    <w:rsid w:val="007358A4"/>
    <w:rsid w:val="00735D50"/>
    <w:rsid w:val="00735F22"/>
    <w:rsid w:val="007369BB"/>
    <w:rsid w:val="00736C8F"/>
    <w:rsid w:val="00736F4C"/>
    <w:rsid w:val="00737EC0"/>
    <w:rsid w:val="00744168"/>
    <w:rsid w:val="007446CD"/>
    <w:rsid w:val="0074498D"/>
    <w:rsid w:val="00744D7B"/>
    <w:rsid w:val="00745211"/>
    <w:rsid w:val="00745CC8"/>
    <w:rsid w:val="007462D4"/>
    <w:rsid w:val="0074634A"/>
    <w:rsid w:val="00746AB2"/>
    <w:rsid w:val="0074727A"/>
    <w:rsid w:val="007475A3"/>
    <w:rsid w:val="0075093A"/>
    <w:rsid w:val="00752623"/>
    <w:rsid w:val="0075392E"/>
    <w:rsid w:val="00753DBA"/>
    <w:rsid w:val="0075579C"/>
    <w:rsid w:val="00757A0A"/>
    <w:rsid w:val="0076065A"/>
    <w:rsid w:val="00762098"/>
    <w:rsid w:val="0076209E"/>
    <w:rsid w:val="00763504"/>
    <w:rsid w:val="00764ABB"/>
    <w:rsid w:val="00764C56"/>
    <w:rsid w:val="00766831"/>
    <w:rsid w:val="00766B0C"/>
    <w:rsid w:val="00766F69"/>
    <w:rsid w:val="00770903"/>
    <w:rsid w:val="00774BF8"/>
    <w:rsid w:val="0077532B"/>
    <w:rsid w:val="0077622A"/>
    <w:rsid w:val="007766D6"/>
    <w:rsid w:val="0077697B"/>
    <w:rsid w:val="00776BC9"/>
    <w:rsid w:val="00777BE9"/>
    <w:rsid w:val="00777ECA"/>
    <w:rsid w:val="00781CC3"/>
    <w:rsid w:val="00782BEC"/>
    <w:rsid w:val="00783852"/>
    <w:rsid w:val="0078513B"/>
    <w:rsid w:val="007854EB"/>
    <w:rsid w:val="00785646"/>
    <w:rsid w:val="00786D26"/>
    <w:rsid w:val="0078783B"/>
    <w:rsid w:val="007904EE"/>
    <w:rsid w:val="00790BD7"/>
    <w:rsid w:val="00790F82"/>
    <w:rsid w:val="007912F2"/>
    <w:rsid w:val="007921D8"/>
    <w:rsid w:val="00793E7F"/>
    <w:rsid w:val="0079470A"/>
    <w:rsid w:val="00794ABC"/>
    <w:rsid w:val="007950D5"/>
    <w:rsid w:val="00795821"/>
    <w:rsid w:val="00795830"/>
    <w:rsid w:val="00797DE5"/>
    <w:rsid w:val="007A0207"/>
    <w:rsid w:val="007A033C"/>
    <w:rsid w:val="007A2503"/>
    <w:rsid w:val="007A26C3"/>
    <w:rsid w:val="007A273C"/>
    <w:rsid w:val="007A2783"/>
    <w:rsid w:val="007A29EF"/>
    <w:rsid w:val="007A31F6"/>
    <w:rsid w:val="007A3449"/>
    <w:rsid w:val="007A36CB"/>
    <w:rsid w:val="007A39FB"/>
    <w:rsid w:val="007A3E93"/>
    <w:rsid w:val="007A4922"/>
    <w:rsid w:val="007A5541"/>
    <w:rsid w:val="007A6791"/>
    <w:rsid w:val="007A7DCE"/>
    <w:rsid w:val="007B07D9"/>
    <w:rsid w:val="007B0A9B"/>
    <w:rsid w:val="007B2944"/>
    <w:rsid w:val="007B2F69"/>
    <w:rsid w:val="007B344F"/>
    <w:rsid w:val="007B34A0"/>
    <w:rsid w:val="007B3D06"/>
    <w:rsid w:val="007B41CC"/>
    <w:rsid w:val="007B4CB4"/>
    <w:rsid w:val="007B4D68"/>
    <w:rsid w:val="007B5030"/>
    <w:rsid w:val="007B5627"/>
    <w:rsid w:val="007B5CD9"/>
    <w:rsid w:val="007B683A"/>
    <w:rsid w:val="007B6CFF"/>
    <w:rsid w:val="007C00C1"/>
    <w:rsid w:val="007C07E1"/>
    <w:rsid w:val="007C0AD3"/>
    <w:rsid w:val="007C1D61"/>
    <w:rsid w:val="007C24CD"/>
    <w:rsid w:val="007C2BC5"/>
    <w:rsid w:val="007C3A72"/>
    <w:rsid w:val="007C4CAD"/>
    <w:rsid w:val="007C4FC1"/>
    <w:rsid w:val="007C5626"/>
    <w:rsid w:val="007C57C3"/>
    <w:rsid w:val="007C58D1"/>
    <w:rsid w:val="007C5958"/>
    <w:rsid w:val="007C5AA2"/>
    <w:rsid w:val="007C62BF"/>
    <w:rsid w:val="007C6812"/>
    <w:rsid w:val="007C6DDB"/>
    <w:rsid w:val="007D07CB"/>
    <w:rsid w:val="007D118B"/>
    <w:rsid w:val="007D194A"/>
    <w:rsid w:val="007D3209"/>
    <w:rsid w:val="007D4D6E"/>
    <w:rsid w:val="007D52DA"/>
    <w:rsid w:val="007D546F"/>
    <w:rsid w:val="007D5D9D"/>
    <w:rsid w:val="007D5DB0"/>
    <w:rsid w:val="007D5FE5"/>
    <w:rsid w:val="007D702D"/>
    <w:rsid w:val="007E0582"/>
    <w:rsid w:val="007E0EFA"/>
    <w:rsid w:val="007E16CA"/>
    <w:rsid w:val="007E1D7E"/>
    <w:rsid w:val="007E318B"/>
    <w:rsid w:val="007E354A"/>
    <w:rsid w:val="007E3B27"/>
    <w:rsid w:val="007E3D1F"/>
    <w:rsid w:val="007E4171"/>
    <w:rsid w:val="007E4A58"/>
    <w:rsid w:val="007E4BAF"/>
    <w:rsid w:val="007E4FFD"/>
    <w:rsid w:val="007E50AC"/>
    <w:rsid w:val="007E5B4D"/>
    <w:rsid w:val="007E6EF3"/>
    <w:rsid w:val="007F09E9"/>
    <w:rsid w:val="007F0CD6"/>
    <w:rsid w:val="007F1595"/>
    <w:rsid w:val="007F56A8"/>
    <w:rsid w:val="007F7178"/>
    <w:rsid w:val="007F7CB8"/>
    <w:rsid w:val="00800262"/>
    <w:rsid w:val="00800D60"/>
    <w:rsid w:val="008016CE"/>
    <w:rsid w:val="00802B7D"/>
    <w:rsid w:val="008073F1"/>
    <w:rsid w:val="0080752B"/>
    <w:rsid w:val="008118DC"/>
    <w:rsid w:val="0081221F"/>
    <w:rsid w:val="008129F5"/>
    <w:rsid w:val="00813E7B"/>
    <w:rsid w:val="00813F77"/>
    <w:rsid w:val="00814158"/>
    <w:rsid w:val="00814B64"/>
    <w:rsid w:val="00815A1A"/>
    <w:rsid w:val="00815FBB"/>
    <w:rsid w:val="00815FD7"/>
    <w:rsid w:val="0081660B"/>
    <w:rsid w:val="00817C96"/>
    <w:rsid w:val="00821D90"/>
    <w:rsid w:val="00823CDA"/>
    <w:rsid w:val="00823EAA"/>
    <w:rsid w:val="0082460A"/>
    <w:rsid w:val="00826454"/>
    <w:rsid w:val="00826BDC"/>
    <w:rsid w:val="00826CA7"/>
    <w:rsid w:val="00826D2D"/>
    <w:rsid w:val="00827DAE"/>
    <w:rsid w:val="008300F8"/>
    <w:rsid w:val="008301F1"/>
    <w:rsid w:val="00830DD4"/>
    <w:rsid w:val="008315DF"/>
    <w:rsid w:val="00831AD5"/>
    <w:rsid w:val="00831E09"/>
    <w:rsid w:val="00831E80"/>
    <w:rsid w:val="00832C0E"/>
    <w:rsid w:val="00833124"/>
    <w:rsid w:val="00833341"/>
    <w:rsid w:val="00833FCA"/>
    <w:rsid w:val="0083425D"/>
    <w:rsid w:val="00836501"/>
    <w:rsid w:val="00836E77"/>
    <w:rsid w:val="00841A13"/>
    <w:rsid w:val="00842B9E"/>
    <w:rsid w:val="008434B9"/>
    <w:rsid w:val="00843823"/>
    <w:rsid w:val="00844613"/>
    <w:rsid w:val="008447AD"/>
    <w:rsid w:val="00844A58"/>
    <w:rsid w:val="00846867"/>
    <w:rsid w:val="00847D3A"/>
    <w:rsid w:val="0085035E"/>
    <w:rsid w:val="00852786"/>
    <w:rsid w:val="00852BEC"/>
    <w:rsid w:val="0085431F"/>
    <w:rsid w:val="00854439"/>
    <w:rsid w:val="00854D24"/>
    <w:rsid w:val="0085701F"/>
    <w:rsid w:val="00861D05"/>
    <w:rsid w:val="008621D4"/>
    <w:rsid w:val="0086259E"/>
    <w:rsid w:val="00862BD6"/>
    <w:rsid w:val="00862C7B"/>
    <w:rsid w:val="00863029"/>
    <w:rsid w:val="0086341D"/>
    <w:rsid w:val="0086345D"/>
    <w:rsid w:val="00863650"/>
    <w:rsid w:val="00863E4F"/>
    <w:rsid w:val="00864C63"/>
    <w:rsid w:val="00864D08"/>
    <w:rsid w:val="00866029"/>
    <w:rsid w:val="008702DA"/>
    <w:rsid w:val="00871B3C"/>
    <w:rsid w:val="00872255"/>
    <w:rsid w:val="00873B66"/>
    <w:rsid w:val="008743D4"/>
    <w:rsid w:val="00874404"/>
    <w:rsid w:val="00875C72"/>
    <w:rsid w:val="008802E6"/>
    <w:rsid w:val="008816BF"/>
    <w:rsid w:val="00883715"/>
    <w:rsid w:val="00883C30"/>
    <w:rsid w:val="00883C8C"/>
    <w:rsid w:val="00883F1C"/>
    <w:rsid w:val="00886145"/>
    <w:rsid w:val="00886B71"/>
    <w:rsid w:val="00887368"/>
    <w:rsid w:val="008879DB"/>
    <w:rsid w:val="008925C3"/>
    <w:rsid w:val="00892786"/>
    <w:rsid w:val="00892AB6"/>
    <w:rsid w:val="008937AD"/>
    <w:rsid w:val="00895092"/>
    <w:rsid w:val="00895DC5"/>
    <w:rsid w:val="00896550"/>
    <w:rsid w:val="00897085"/>
    <w:rsid w:val="00897A7E"/>
    <w:rsid w:val="008A0E57"/>
    <w:rsid w:val="008A0F03"/>
    <w:rsid w:val="008A144D"/>
    <w:rsid w:val="008A2FFC"/>
    <w:rsid w:val="008A3DB0"/>
    <w:rsid w:val="008A4186"/>
    <w:rsid w:val="008A4E32"/>
    <w:rsid w:val="008A5215"/>
    <w:rsid w:val="008A59DC"/>
    <w:rsid w:val="008A5E2A"/>
    <w:rsid w:val="008A7128"/>
    <w:rsid w:val="008B0393"/>
    <w:rsid w:val="008B0610"/>
    <w:rsid w:val="008B112D"/>
    <w:rsid w:val="008B15FE"/>
    <w:rsid w:val="008B19E9"/>
    <w:rsid w:val="008B1FED"/>
    <w:rsid w:val="008B2A2B"/>
    <w:rsid w:val="008B3673"/>
    <w:rsid w:val="008B42B6"/>
    <w:rsid w:val="008B70A8"/>
    <w:rsid w:val="008B74AD"/>
    <w:rsid w:val="008B7B1B"/>
    <w:rsid w:val="008C009D"/>
    <w:rsid w:val="008C0AF9"/>
    <w:rsid w:val="008C12C3"/>
    <w:rsid w:val="008C2E31"/>
    <w:rsid w:val="008C3BBC"/>
    <w:rsid w:val="008C3C2D"/>
    <w:rsid w:val="008C5288"/>
    <w:rsid w:val="008C5F9D"/>
    <w:rsid w:val="008C6D13"/>
    <w:rsid w:val="008C73F0"/>
    <w:rsid w:val="008D0054"/>
    <w:rsid w:val="008D0BB2"/>
    <w:rsid w:val="008D0FDB"/>
    <w:rsid w:val="008D14C3"/>
    <w:rsid w:val="008D1BA2"/>
    <w:rsid w:val="008D1EA6"/>
    <w:rsid w:val="008D1FB5"/>
    <w:rsid w:val="008D23F0"/>
    <w:rsid w:val="008D2871"/>
    <w:rsid w:val="008D2A73"/>
    <w:rsid w:val="008D3318"/>
    <w:rsid w:val="008D333D"/>
    <w:rsid w:val="008D3396"/>
    <w:rsid w:val="008D3E5A"/>
    <w:rsid w:val="008D46D4"/>
    <w:rsid w:val="008D58E0"/>
    <w:rsid w:val="008D5E67"/>
    <w:rsid w:val="008D6493"/>
    <w:rsid w:val="008D6A20"/>
    <w:rsid w:val="008D6E75"/>
    <w:rsid w:val="008D7998"/>
    <w:rsid w:val="008E147D"/>
    <w:rsid w:val="008E26B5"/>
    <w:rsid w:val="008E3111"/>
    <w:rsid w:val="008E66B7"/>
    <w:rsid w:val="008F2E3F"/>
    <w:rsid w:val="008F31E2"/>
    <w:rsid w:val="008F32AE"/>
    <w:rsid w:val="008F3FC7"/>
    <w:rsid w:val="008F4C69"/>
    <w:rsid w:val="008F4FAA"/>
    <w:rsid w:val="008F65D7"/>
    <w:rsid w:val="008F78DC"/>
    <w:rsid w:val="008F7DD5"/>
    <w:rsid w:val="00900E5C"/>
    <w:rsid w:val="00900EE6"/>
    <w:rsid w:val="00901110"/>
    <w:rsid w:val="00901E93"/>
    <w:rsid w:val="00902726"/>
    <w:rsid w:val="00903163"/>
    <w:rsid w:val="00903660"/>
    <w:rsid w:val="009039C7"/>
    <w:rsid w:val="00905689"/>
    <w:rsid w:val="0090622A"/>
    <w:rsid w:val="00906EE8"/>
    <w:rsid w:val="0090723A"/>
    <w:rsid w:val="00907949"/>
    <w:rsid w:val="0091075B"/>
    <w:rsid w:val="00910914"/>
    <w:rsid w:val="0091091B"/>
    <w:rsid w:val="00911740"/>
    <w:rsid w:val="0091281E"/>
    <w:rsid w:val="0091352A"/>
    <w:rsid w:val="00914CF7"/>
    <w:rsid w:val="00914E1A"/>
    <w:rsid w:val="0091511A"/>
    <w:rsid w:val="009166C2"/>
    <w:rsid w:val="009168A5"/>
    <w:rsid w:val="0091733E"/>
    <w:rsid w:val="00922175"/>
    <w:rsid w:val="009223B8"/>
    <w:rsid w:val="00922D13"/>
    <w:rsid w:val="00923C02"/>
    <w:rsid w:val="00923C1D"/>
    <w:rsid w:val="009252DF"/>
    <w:rsid w:val="0092636F"/>
    <w:rsid w:val="009264E6"/>
    <w:rsid w:val="0092734E"/>
    <w:rsid w:val="009310C2"/>
    <w:rsid w:val="00931AD9"/>
    <w:rsid w:val="00931CC2"/>
    <w:rsid w:val="0093225B"/>
    <w:rsid w:val="00933095"/>
    <w:rsid w:val="0093311C"/>
    <w:rsid w:val="00933138"/>
    <w:rsid w:val="00933415"/>
    <w:rsid w:val="00934AD2"/>
    <w:rsid w:val="00934D9E"/>
    <w:rsid w:val="009359AF"/>
    <w:rsid w:val="00935BC4"/>
    <w:rsid w:val="00936680"/>
    <w:rsid w:val="009369BA"/>
    <w:rsid w:val="009373E0"/>
    <w:rsid w:val="00937BF2"/>
    <w:rsid w:val="00937D2B"/>
    <w:rsid w:val="00940A7A"/>
    <w:rsid w:val="009416BA"/>
    <w:rsid w:val="00941840"/>
    <w:rsid w:val="0094199B"/>
    <w:rsid w:val="00942882"/>
    <w:rsid w:val="009443D0"/>
    <w:rsid w:val="00944701"/>
    <w:rsid w:val="00944983"/>
    <w:rsid w:val="0094539D"/>
    <w:rsid w:val="00945611"/>
    <w:rsid w:val="009462AE"/>
    <w:rsid w:val="00946A25"/>
    <w:rsid w:val="00950BAA"/>
    <w:rsid w:val="0095246F"/>
    <w:rsid w:val="00953C2E"/>
    <w:rsid w:val="009559B3"/>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67D4E"/>
    <w:rsid w:val="0097036C"/>
    <w:rsid w:val="00970B6E"/>
    <w:rsid w:val="00970CDA"/>
    <w:rsid w:val="00970E74"/>
    <w:rsid w:val="00971584"/>
    <w:rsid w:val="009719DF"/>
    <w:rsid w:val="00972337"/>
    <w:rsid w:val="0097352F"/>
    <w:rsid w:val="0097385A"/>
    <w:rsid w:val="00973FE0"/>
    <w:rsid w:val="009741A7"/>
    <w:rsid w:val="00975AEA"/>
    <w:rsid w:val="00975C21"/>
    <w:rsid w:val="009762BD"/>
    <w:rsid w:val="00976464"/>
    <w:rsid w:val="00976675"/>
    <w:rsid w:val="00976C6D"/>
    <w:rsid w:val="009775E1"/>
    <w:rsid w:val="009803BE"/>
    <w:rsid w:val="009808C2"/>
    <w:rsid w:val="0098127B"/>
    <w:rsid w:val="0098158A"/>
    <w:rsid w:val="009822C4"/>
    <w:rsid w:val="00982FD6"/>
    <w:rsid w:val="009830D3"/>
    <w:rsid w:val="00983467"/>
    <w:rsid w:val="0098413A"/>
    <w:rsid w:val="00984A99"/>
    <w:rsid w:val="009867A2"/>
    <w:rsid w:val="00987548"/>
    <w:rsid w:val="00987EFC"/>
    <w:rsid w:val="0099004B"/>
    <w:rsid w:val="0099030D"/>
    <w:rsid w:val="009905C4"/>
    <w:rsid w:val="00990795"/>
    <w:rsid w:val="00990D65"/>
    <w:rsid w:val="00990DC0"/>
    <w:rsid w:val="00991000"/>
    <w:rsid w:val="00991434"/>
    <w:rsid w:val="00992EAE"/>
    <w:rsid w:val="009958A7"/>
    <w:rsid w:val="009973E4"/>
    <w:rsid w:val="009975EB"/>
    <w:rsid w:val="009A0E64"/>
    <w:rsid w:val="009A1AED"/>
    <w:rsid w:val="009A1DC0"/>
    <w:rsid w:val="009A28BD"/>
    <w:rsid w:val="009A2ABE"/>
    <w:rsid w:val="009A3805"/>
    <w:rsid w:val="009A471F"/>
    <w:rsid w:val="009A5C66"/>
    <w:rsid w:val="009A6CCA"/>
    <w:rsid w:val="009A6D02"/>
    <w:rsid w:val="009A7CCC"/>
    <w:rsid w:val="009A7FFC"/>
    <w:rsid w:val="009B0A05"/>
    <w:rsid w:val="009B0D81"/>
    <w:rsid w:val="009B1A9E"/>
    <w:rsid w:val="009B2066"/>
    <w:rsid w:val="009B27D1"/>
    <w:rsid w:val="009B2C93"/>
    <w:rsid w:val="009B5CFE"/>
    <w:rsid w:val="009B5FC5"/>
    <w:rsid w:val="009B6C32"/>
    <w:rsid w:val="009B72E7"/>
    <w:rsid w:val="009B7642"/>
    <w:rsid w:val="009C0E1B"/>
    <w:rsid w:val="009C21A9"/>
    <w:rsid w:val="009C3ED4"/>
    <w:rsid w:val="009D0129"/>
    <w:rsid w:val="009D0B63"/>
    <w:rsid w:val="009D0FEB"/>
    <w:rsid w:val="009D17D7"/>
    <w:rsid w:val="009D1889"/>
    <w:rsid w:val="009D18D4"/>
    <w:rsid w:val="009D3A6E"/>
    <w:rsid w:val="009D3A9C"/>
    <w:rsid w:val="009D3BA7"/>
    <w:rsid w:val="009D4A19"/>
    <w:rsid w:val="009E05C2"/>
    <w:rsid w:val="009E0F13"/>
    <w:rsid w:val="009E0FCF"/>
    <w:rsid w:val="009E1833"/>
    <w:rsid w:val="009E1C4B"/>
    <w:rsid w:val="009E23F7"/>
    <w:rsid w:val="009E250C"/>
    <w:rsid w:val="009E32F4"/>
    <w:rsid w:val="009E361C"/>
    <w:rsid w:val="009E4386"/>
    <w:rsid w:val="009E5CDF"/>
    <w:rsid w:val="009E6803"/>
    <w:rsid w:val="009E7CAE"/>
    <w:rsid w:val="009F0853"/>
    <w:rsid w:val="009F0D00"/>
    <w:rsid w:val="009F11A4"/>
    <w:rsid w:val="009F18D6"/>
    <w:rsid w:val="009F4407"/>
    <w:rsid w:val="009F5373"/>
    <w:rsid w:val="009F614F"/>
    <w:rsid w:val="009F690B"/>
    <w:rsid w:val="009F6B78"/>
    <w:rsid w:val="00A0222A"/>
    <w:rsid w:val="00A030AA"/>
    <w:rsid w:val="00A0328D"/>
    <w:rsid w:val="00A036F6"/>
    <w:rsid w:val="00A04917"/>
    <w:rsid w:val="00A05347"/>
    <w:rsid w:val="00A06C66"/>
    <w:rsid w:val="00A07EA0"/>
    <w:rsid w:val="00A112AF"/>
    <w:rsid w:val="00A12C4D"/>
    <w:rsid w:val="00A166EC"/>
    <w:rsid w:val="00A17820"/>
    <w:rsid w:val="00A218C9"/>
    <w:rsid w:val="00A21EDC"/>
    <w:rsid w:val="00A2507C"/>
    <w:rsid w:val="00A25187"/>
    <w:rsid w:val="00A26D07"/>
    <w:rsid w:val="00A26E7B"/>
    <w:rsid w:val="00A311A0"/>
    <w:rsid w:val="00A31253"/>
    <w:rsid w:val="00A343FE"/>
    <w:rsid w:val="00A36429"/>
    <w:rsid w:val="00A36A2E"/>
    <w:rsid w:val="00A36DE7"/>
    <w:rsid w:val="00A372D4"/>
    <w:rsid w:val="00A430A8"/>
    <w:rsid w:val="00A459E0"/>
    <w:rsid w:val="00A46F37"/>
    <w:rsid w:val="00A47D8E"/>
    <w:rsid w:val="00A505AC"/>
    <w:rsid w:val="00A50A4E"/>
    <w:rsid w:val="00A52C2A"/>
    <w:rsid w:val="00A531A5"/>
    <w:rsid w:val="00A53784"/>
    <w:rsid w:val="00A55B8E"/>
    <w:rsid w:val="00A57787"/>
    <w:rsid w:val="00A57873"/>
    <w:rsid w:val="00A578FC"/>
    <w:rsid w:val="00A60583"/>
    <w:rsid w:val="00A60B81"/>
    <w:rsid w:val="00A61660"/>
    <w:rsid w:val="00A618D6"/>
    <w:rsid w:val="00A61B46"/>
    <w:rsid w:val="00A622AA"/>
    <w:rsid w:val="00A6285D"/>
    <w:rsid w:val="00A62B2E"/>
    <w:rsid w:val="00A632DF"/>
    <w:rsid w:val="00A65453"/>
    <w:rsid w:val="00A6689D"/>
    <w:rsid w:val="00A701C8"/>
    <w:rsid w:val="00A705B0"/>
    <w:rsid w:val="00A70714"/>
    <w:rsid w:val="00A711F9"/>
    <w:rsid w:val="00A717C3"/>
    <w:rsid w:val="00A727EE"/>
    <w:rsid w:val="00A730F0"/>
    <w:rsid w:val="00A737FF"/>
    <w:rsid w:val="00A75404"/>
    <w:rsid w:val="00A75D93"/>
    <w:rsid w:val="00A7704A"/>
    <w:rsid w:val="00A80179"/>
    <w:rsid w:val="00A8023F"/>
    <w:rsid w:val="00A818BB"/>
    <w:rsid w:val="00A81BDC"/>
    <w:rsid w:val="00A821D5"/>
    <w:rsid w:val="00A828F2"/>
    <w:rsid w:val="00A83E6D"/>
    <w:rsid w:val="00A83E6F"/>
    <w:rsid w:val="00A8604A"/>
    <w:rsid w:val="00A8779D"/>
    <w:rsid w:val="00A902E7"/>
    <w:rsid w:val="00A90F20"/>
    <w:rsid w:val="00A91332"/>
    <w:rsid w:val="00A91A36"/>
    <w:rsid w:val="00A92E93"/>
    <w:rsid w:val="00A9388F"/>
    <w:rsid w:val="00A947C1"/>
    <w:rsid w:val="00A950CD"/>
    <w:rsid w:val="00A963D8"/>
    <w:rsid w:val="00A97ADC"/>
    <w:rsid w:val="00AA0D1E"/>
    <w:rsid w:val="00AA2D50"/>
    <w:rsid w:val="00AA300B"/>
    <w:rsid w:val="00AA459C"/>
    <w:rsid w:val="00AA4682"/>
    <w:rsid w:val="00AA50D2"/>
    <w:rsid w:val="00AA61A3"/>
    <w:rsid w:val="00AA6757"/>
    <w:rsid w:val="00AA68AE"/>
    <w:rsid w:val="00AA6BCE"/>
    <w:rsid w:val="00AA6BEB"/>
    <w:rsid w:val="00AA7171"/>
    <w:rsid w:val="00AA7751"/>
    <w:rsid w:val="00AB0603"/>
    <w:rsid w:val="00AB1259"/>
    <w:rsid w:val="00AB1C60"/>
    <w:rsid w:val="00AB2497"/>
    <w:rsid w:val="00AB2BD4"/>
    <w:rsid w:val="00AB3B78"/>
    <w:rsid w:val="00AB419E"/>
    <w:rsid w:val="00AB5543"/>
    <w:rsid w:val="00AB6B37"/>
    <w:rsid w:val="00AB729E"/>
    <w:rsid w:val="00AC0154"/>
    <w:rsid w:val="00AC2CC0"/>
    <w:rsid w:val="00AC3461"/>
    <w:rsid w:val="00AC34AB"/>
    <w:rsid w:val="00AC415A"/>
    <w:rsid w:val="00AC4562"/>
    <w:rsid w:val="00AC5040"/>
    <w:rsid w:val="00AC7981"/>
    <w:rsid w:val="00AD09FA"/>
    <w:rsid w:val="00AD0A06"/>
    <w:rsid w:val="00AD145F"/>
    <w:rsid w:val="00AD1731"/>
    <w:rsid w:val="00AD19FF"/>
    <w:rsid w:val="00AD20DE"/>
    <w:rsid w:val="00AD5BCD"/>
    <w:rsid w:val="00AD6D65"/>
    <w:rsid w:val="00AD7C9A"/>
    <w:rsid w:val="00AD7F36"/>
    <w:rsid w:val="00AE0A8B"/>
    <w:rsid w:val="00AE0C3B"/>
    <w:rsid w:val="00AE1D67"/>
    <w:rsid w:val="00AE3526"/>
    <w:rsid w:val="00AE475D"/>
    <w:rsid w:val="00AE4A02"/>
    <w:rsid w:val="00AE60A8"/>
    <w:rsid w:val="00AE622F"/>
    <w:rsid w:val="00AE6B26"/>
    <w:rsid w:val="00AE6E6A"/>
    <w:rsid w:val="00AE7A38"/>
    <w:rsid w:val="00AF0ADF"/>
    <w:rsid w:val="00AF0B2B"/>
    <w:rsid w:val="00AF1916"/>
    <w:rsid w:val="00AF24F8"/>
    <w:rsid w:val="00AF26A8"/>
    <w:rsid w:val="00AF28A1"/>
    <w:rsid w:val="00AF2E75"/>
    <w:rsid w:val="00AF3B10"/>
    <w:rsid w:val="00AF3C74"/>
    <w:rsid w:val="00AF448D"/>
    <w:rsid w:val="00AF4686"/>
    <w:rsid w:val="00AF53CC"/>
    <w:rsid w:val="00AF7475"/>
    <w:rsid w:val="00AF7C12"/>
    <w:rsid w:val="00B01312"/>
    <w:rsid w:val="00B01D25"/>
    <w:rsid w:val="00B04CCC"/>
    <w:rsid w:val="00B07A0D"/>
    <w:rsid w:val="00B10C1C"/>
    <w:rsid w:val="00B10FDF"/>
    <w:rsid w:val="00B116E2"/>
    <w:rsid w:val="00B12679"/>
    <w:rsid w:val="00B144E7"/>
    <w:rsid w:val="00B14DDB"/>
    <w:rsid w:val="00B14E21"/>
    <w:rsid w:val="00B14E4D"/>
    <w:rsid w:val="00B153EE"/>
    <w:rsid w:val="00B16A35"/>
    <w:rsid w:val="00B1732A"/>
    <w:rsid w:val="00B2122E"/>
    <w:rsid w:val="00B22506"/>
    <w:rsid w:val="00B22797"/>
    <w:rsid w:val="00B22C9D"/>
    <w:rsid w:val="00B25945"/>
    <w:rsid w:val="00B25C5B"/>
    <w:rsid w:val="00B25F02"/>
    <w:rsid w:val="00B2697E"/>
    <w:rsid w:val="00B3154F"/>
    <w:rsid w:val="00B31B41"/>
    <w:rsid w:val="00B326C2"/>
    <w:rsid w:val="00B32DAD"/>
    <w:rsid w:val="00B3320E"/>
    <w:rsid w:val="00B332E3"/>
    <w:rsid w:val="00B33900"/>
    <w:rsid w:val="00B35882"/>
    <w:rsid w:val="00B35BED"/>
    <w:rsid w:val="00B361A1"/>
    <w:rsid w:val="00B37005"/>
    <w:rsid w:val="00B37718"/>
    <w:rsid w:val="00B378D7"/>
    <w:rsid w:val="00B37957"/>
    <w:rsid w:val="00B40F4D"/>
    <w:rsid w:val="00B41C3D"/>
    <w:rsid w:val="00B433D3"/>
    <w:rsid w:val="00B44AB3"/>
    <w:rsid w:val="00B53461"/>
    <w:rsid w:val="00B54072"/>
    <w:rsid w:val="00B5522A"/>
    <w:rsid w:val="00B55C3C"/>
    <w:rsid w:val="00B5607F"/>
    <w:rsid w:val="00B569FF"/>
    <w:rsid w:val="00B56E46"/>
    <w:rsid w:val="00B57EB9"/>
    <w:rsid w:val="00B610B6"/>
    <w:rsid w:val="00B61F90"/>
    <w:rsid w:val="00B635BD"/>
    <w:rsid w:val="00B655CC"/>
    <w:rsid w:val="00B66F31"/>
    <w:rsid w:val="00B67116"/>
    <w:rsid w:val="00B67B5C"/>
    <w:rsid w:val="00B747CF"/>
    <w:rsid w:val="00B7621F"/>
    <w:rsid w:val="00B76481"/>
    <w:rsid w:val="00B76917"/>
    <w:rsid w:val="00B76F25"/>
    <w:rsid w:val="00B77E06"/>
    <w:rsid w:val="00B80E46"/>
    <w:rsid w:val="00B81265"/>
    <w:rsid w:val="00B82916"/>
    <w:rsid w:val="00B85142"/>
    <w:rsid w:val="00B8576E"/>
    <w:rsid w:val="00B85ABF"/>
    <w:rsid w:val="00B86142"/>
    <w:rsid w:val="00B906C2"/>
    <w:rsid w:val="00B912B1"/>
    <w:rsid w:val="00B9370B"/>
    <w:rsid w:val="00B962D9"/>
    <w:rsid w:val="00B9693C"/>
    <w:rsid w:val="00B96E84"/>
    <w:rsid w:val="00B97F50"/>
    <w:rsid w:val="00BA1347"/>
    <w:rsid w:val="00BA25A8"/>
    <w:rsid w:val="00BA4E69"/>
    <w:rsid w:val="00BA5211"/>
    <w:rsid w:val="00BA680D"/>
    <w:rsid w:val="00BA691B"/>
    <w:rsid w:val="00BA7F1E"/>
    <w:rsid w:val="00BB39DF"/>
    <w:rsid w:val="00BB4A36"/>
    <w:rsid w:val="00BB512E"/>
    <w:rsid w:val="00BB55BF"/>
    <w:rsid w:val="00BB5FB3"/>
    <w:rsid w:val="00BC0483"/>
    <w:rsid w:val="00BC06C5"/>
    <w:rsid w:val="00BC0CB4"/>
    <w:rsid w:val="00BC1B79"/>
    <w:rsid w:val="00BC3FD4"/>
    <w:rsid w:val="00BC53CC"/>
    <w:rsid w:val="00BC62B0"/>
    <w:rsid w:val="00BC6B23"/>
    <w:rsid w:val="00BC7DE5"/>
    <w:rsid w:val="00BD1437"/>
    <w:rsid w:val="00BD18CD"/>
    <w:rsid w:val="00BD199F"/>
    <w:rsid w:val="00BD2609"/>
    <w:rsid w:val="00BD28E2"/>
    <w:rsid w:val="00BD3372"/>
    <w:rsid w:val="00BD44E2"/>
    <w:rsid w:val="00BD49BA"/>
    <w:rsid w:val="00BD5AE1"/>
    <w:rsid w:val="00BD5EAE"/>
    <w:rsid w:val="00BE0329"/>
    <w:rsid w:val="00BE0749"/>
    <w:rsid w:val="00BE0B66"/>
    <w:rsid w:val="00BE11B6"/>
    <w:rsid w:val="00BE30D1"/>
    <w:rsid w:val="00BE4DEE"/>
    <w:rsid w:val="00BE4F4A"/>
    <w:rsid w:val="00BE517F"/>
    <w:rsid w:val="00BE5728"/>
    <w:rsid w:val="00BE57A8"/>
    <w:rsid w:val="00BE5B0B"/>
    <w:rsid w:val="00BE6193"/>
    <w:rsid w:val="00BE709A"/>
    <w:rsid w:val="00BE7ED0"/>
    <w:rsid w:val="00BF0356"/>
    <w:rsid w:val="00BF041F"/>
    <w:rsid w:val="00BF1056"/>
    <w:rsid w:val="00BF43E9"/>
    <w:rsid w:val="00BF484E"/>
    <w:rsid w:val="00BF48EA"/>
    <w:rsid w:val="00BF53F1"/>
    <w:rsid w:val="00BF554C"/>
    <w:rsid w:val="00BF6717"/>
    <w:rsid w:val="00BF6A55"/>
    <w:rsid w:val="00BF7E4D"/>
    <w:rsid w:val="00C0022B"/>
    <w:rsid w:val="00C01AB2"/>
    <w:rsid w:val="00C01D4E"/>
    <w:rsid w:val="00C025AF"/>
    <w:rsid w:val="00C034F5"/>
    <w:rsid w:val="00C05DDF"/>
    <w:rsid w:val="00C05ECF"/>
    <w:rsid w:val="00C1112E"/>
    <w:rsid w:val="00C12B06"/>
    <w:rsid w:val="00C14968"/>
    <w:rsid w:val="00C14CEF"/>
    <w:rsid w:val="00C1569D"/>
    <w:rsid w:val="00C16188"/>
    <w:rsid w:val="00C166C3"/>
    <w:rsid w:val="00C178F2"/>
    <w:rsid w:val="00C17CE2"/>
    <w:rsid w:val="00C20799"/>
    <w:rsid w:val="00C22B55"/>
    <w:rsid w:val="00C24902"/>
    <w:rsid w:val="00C251EE"/>
    <w:rsid w:val="00C257B0"/>
    <w:rsid w:val="00C2620F"/>
    <w:rsid w:val="00C264A3"/>
    <w:rsid w:val="00C27152"/>
    <w:rsid w:val="00C2764F"/>
    <w:rsid w:val="00C27C83"/>
    <w:rsid w:val="00C31677"/>
    <w:rsid w:val="00C32284"/>
    <w:rsid w:val="00C3286A"/>
    <w:rsid w:val="00C3295E"/>
    <w:rsid w:val="00C335C4"/>
    <w:rsid w:val="00C34607"/>
    <w:rsid w:val="00C349C1"/>
    <w:rsid w:val="00C34C77"/>
    <w:rsid w:val="00C34F8A"/>
    <w:rsid w:val="00C36330"/>
    <w:rsid w:val="00C363A6"/>
    <w:rsid w:val="00C371C1"/>
    <w:rsid w:val="00C375C5"/>
    <w:rsid w:val="00C37656"/>
    <w:rsid w:val="00C44437"/>
    <w:rsid w:val="00C44B0B"/>
    <w:rsid w:val="00C4659E"/>
    <w:rsid w:val="00C46C73"/>
    <w:rsid w:val="00C4738A"/>
    <w:rsid w:val="00C50CF7"/>
    <w:rsid w:val="00C517EC"/>
    <w:rsid w:val="00C51F19"/>
    <w:rsid w:val="00C51F56"/>
    <w:rsid w:val="00C57A87"/>
    <w:rsid w:val="00C60226"/>
    <w:rsid w:val="00C60824"/>
    <w:rsid w:val="00C60AB3"/>
    <w:rsid w:val="00C60C5B"/>
    <w:rsid w:val="00C62778"/>
    <w:rsid w:val="00C627B2"/>
    <w:rsid w:val="00C62EFD"/>
    <w:rsid w:val="00C63D86"/>
    <w:rsid w:val="00C64C4C"/>
    <w:rsid w:val="00C64D69"/>
    <w:rsid w:val="00C64F3F"/>
    <w:rsid w:val="00C67549"/>
    <w:rsid w:val="00C70069"/>
    <w:rsid w:val="00C70828"/>
    <w:rsid w:val="00C708A7"/>
    <w:rsid w:val="00C7118C"/>
    <w:rsid w:val="00C7121F"/>
    <w:rsid w:val="00C722FE"/>
    <w:rsid w:val="00C72A87"/>
    <w:rsid w:val="00C745BB"/>
    <w:rsid w:val="00C747D8"/>
    <w:rsid w:val="00C74BEB"/>
    <w:rsid w:val="00C76C54"/>
    <w:rsid w:val="00C80C33"/>
    <w:rsid w:val="00C81A74"/>
    <w:rsid w:val="00C82ED6"/>
    <w:rsid w:val="00C84188"/>
    <w:rsid w:val="00C9127F"/>
    <w:rsid w:val="00C91A79"/>
    <w:rsid w:val="00C92250"/>
    <w:rsid w:val="00C928F0"/>
    <w:rsid w:val="00C93177"/>
    <w:rsid w:val="00C95BF2"/>
    <w:rsid w:val="00C96282"/>
    <w:rsid w:val="00C96343"/>
    <w:rsid w:val="00CA3FAE"/>
    <w:rsid w:val="00CA4661"/>
    <w:rsid w:val="00CA5177"/>
    <w:rsid w:val="00CA5307"/>
    <w:rsid w:val="00CA5DFF"/>
    <w:rsid w:val="00CA6A1A"/>
    <w:rsid w:val="00CA6A51"/>
    <w:rsid w:val="00CA6C20"/>
    <w:rsid w:val="00CA705E"/>
    <w:rsid w:val="00CA7383"/>
    <w:rsid w:val="00CB077A"/>
    <w:rsid w:val="00CB0F93"/>
    <w:rsid w:val="00CB3A48"/>
    <w:rsid w:val="00CB5ACF"/>
    <w:rsid w:val="00CB645B"/>
    <w:rsid w:val="00CB65DD"/>
    <w:rsid w:val="00CB7ADB"/>
    <w:rsid w:val="00CC137C"/>
    <w:rsid w:val="00CC13E2"/>
    <w:rsid w:val="00CC19DC"/>
    <w:rsid w:val="00CC319E"/>
    <w:rsid w:val="00CC3638"/>
    <w:rsid w:val="00CC399C"/>
    <w:rsid w:val="00CC5907"/>
    <w:rsid w:val="00CC6056"/>
    <w:rsid w:val="00CC6405"/>
    <w:rsid w:val="00CC64E3"/>
    <w:rsid w:val="00CC6AF4"/>
    <w:rsid w:val="00CC7811"/>
    <w:rsid w:val="00CD1DC2"/>
    <w:rsid w:val="00CD2D05"/>
    <w:rsid w:val="00CD3C39"/>
    <w:rsid w:val="00CD46A4"/>
    <w:rsid w:val="00CD5A98"/>
    <w:rsid w:val="00CD5E1D"/>
    <w:rsid w:val="00CE0DE9"/>
    <w:rsid w:val="00CE295B"/>
    <w:rsid w:val="00CE34BF"/>
    <w:rsid w:val="00CE3A54"/>
    <w:rsid w:val="00CE44E0"/>
    <w:rsid w:val="00CE633E"/>
    <w:rsid w:val="00CE6B03"/>
    <w:rsid w:val="00CE7ADF"/>
    <w:rsid w:val="00CE7F4F"/>
    <w:rsid w:val="00CF08E1"/>
    <w:rsid w:val="00CF09FD"/>
    <w:rsid w:val="00CF356D"/>
    <w:rsid w:val="00CF3969"/>
    <w:rsid w:val="00CF415F"/>
    <w:rsid w:val="00CF4426"/>
    <w:rsid w:val="00CF4D55"/>
    <w:rsid w:val="00CF5ABA"/>
    <w:rsid w:val="00CF5F12"/>
    <w:rsid w:val="00CF6C5F"/>
    <w:rsid w:val="00CF704E"/>
    <w:rsid w:val="00CF7A07"/>
    <w:rsid w:val="00CF7DD9"/>
    <w:rsid w:val="00D00793"/>
    <w:rsid w:val="00D009D7"/>
    <w:rsid w:val="00D00E34"/>
    <w:rsid w:val="00D01164"/>
    <w:rsid w:val="00D025DE"/>
    <w:rsid w:val="00D02CB0"/>
    <w:rsid w:val="00D031D0"/>
    <w:rsid w:val="00D04225"/>
    <w:rsid w:val="00D050A4"/>
    <w:rsid w:val="00D05168"/>
    <w:rsid w:val="00D05829"/>
    <w:rsid w:val="00D06429"/>
    <w:rsid w:val="00D072F0"/>
    <w:rsid w:val="00D07567"/>
    <w:rsid w:val="00D1082B"/>
    <w:rsid w:val="00D1099E"/>
    <w:rsid w:val="00D11024"/>
    <w:rsid w:val="00D1197D"/>
    <w:rsid w:val="00D1265C"/>
    <w:rsid w:val="00D1267F"/>
    <w:rsid w:val="00D1349A"/>
    <w:rsid w:val="00D1447F"/>
    <w:rsid w:val="00D153CD"/>
    <w:rsid w:val="00D1545D"/>
    <w:rsid w:val="00D15BE6"/>
    <w:rsid w:val="00D16003"/>
    <w:rsid w:val="00D16054"/>
    <w:rsid w:val="00D16F0A"/>
    <w:rsid w:val="00D17DB6"/>
    <w:rsid w:val="00D2059D"/>
    <w:rsid w:val="00D20988"/>
    <w:rsid w:val="00D21D22"/>
    <w:rsid w:val="00D235C3"/>
    <w:rsid w:val="00D2529D"/>
    <w:rsid w:val="00D25FBF"/>
    <w:rsid w:val="00D260A1"/>
    <w:rsid w:val="00D265B9"/>
    <w:rsid w:val="00D268FD"/>
    <w:rsid w:val="00D272B0"/>
    <w:rsid w:val="00D276FE"/>
    <w:rsid w:val="00D2789C"/>
    <w:rsid w:val="00D27E70"/>
    <w:rsid w:val="00D27FAF"/>
    <w:rsid w:val="00D31533"/>
    <w:rsid w:val="00D33298"/>
    <w:rsid w:val="00D351B2"/>
    <w:rsid w:val="00D36E3F"/>
    <w:rsid w:val="00D37D98"/>
    <w:rsid w:val="00D37E13"/>
    <w:rsid w:val="00D401F8"/>
    <w:rsid w:val="00D407EF"/>
    <w:rsid w:val="00D421FF"/>
    <w:rsid w:val="00D424CE"/>
    <w:rsid w:val="00D44112"/>
    <w:rsid w:val="00D445E3"/>
    <w:rsid w:val="00D44683"/>
    <w:rsid w:val="00D4495B"/>
    <w:rsid w:val="00D44CC5"/>
    <w:rsid w:val="00D45B88"/>
    <w:rsid w:val="00D52505"/>
    <w:rsid w:val="00D54549"/>
    <w:rsid w:val="00D546B7"/>
    <w:rsid w:val="00D55028"/>
    <w:rsid w:val="00D556FC"/>
    <w:rsid w:val="00D56DC5"/>
    <w:rsid w:val="00D56E8B"/>
    <w:rsid w:val="00D573DF"/>
    <w:rsid w:val="00D57B7E"/>
    <w:rsid w:val="00D607CE"/>
    <w:rsid w:val="00D60DC1"/>
    <w:rsid w:val="00D611D0"/>
    <w:rsid w:val="00D612B8"/>
    <w:rsid w:val="00D61890"/>
    <w:rsid w:val="00D61D0D"/>
    <w:rsid w:val="00D62039"/>
    <w:rsid w:val="00D644F1"/>
    <w:rsid w:val="00D64605"/>
    <w:rsid w:val="00D6538C"/>
    <w:rsid w:val="00D66600"/>
    <w:rsid w:val="00D666AC"/>
    <w:rsid w:val="00D6702A"/>
    <w:rsid w:val="00D67A9A"/>
    <w:rsid w:val="00D67B8B"/>
    <w:rsid w:val="00D71930"/>
    <w:rsid w:val="00D724DE"/>
    <w:rsid w:val="00D733A1"/>
    <w:rsid w:val="00D767AF"/>
    <w:rsid w:val="00D774B8"/>
    <w:rsid w:val="00D77E2C"/>
    <w:rsid w:val="00D8064C"/>
    <w:rsid w:val="00D84484"/>
    <w:rsid w:val="00D84503"/>
    <w:rsid w:val="00D84D2B"/>
    <w:rsid w:val="00D85911"/>
    <w:rsid w:val="00D862B2"/>
    <w:rsid w:val="00D8761A"/>
    <w:rsid w:val="00D8790C"/>
    <w:rsid w:val="00D87FDD"/>
    <w:rsid w:val="00D913E2"/>
    <w:rsid w:val="00D92F4F"/>
    <w:rsid w:val="00D961D9"/>
    <w:rsid w:val="00D96702"/>
    <w:rsid w:val="00D96F22"/>
    <w:rsid w:val="00DA0C71"/>
    <w:rsid w:val="00DA0C9C"/>
    <w:rsid w:val="00DA2415"/>
    <w:rsid w:val="00DA26F1"/>
    <w:rsid w:val="00DA2FC0"/>
    <w:rsid w:val="00DA3E01"/>
    <w:rsid w:val="00DA512A"/>
    <w:rsid w:val="00DA59F8"/>
    <w:rsid w:val="00DA5D41"/>
    <w:rsid w:val="00DB0338"/>
    <w:rsid w:val="00DB1E00"/>
    <w:rsid w:val="00DB1FCA"/>
    <w:rsid w:val="00DB29BB"/>
    <w:rsid w:val="00DB332D"/>
    <w:rsid w:val="00DB4C48"/>
    <w:rsid w:val="00DC10BC"/>
    <w:rsid w:val="00DC1D71"/>
    <w:rsid w:val="00DC3A2B"/>
    <w:rsid w:val="00DC41EA"/>
    <w:rsid w:val="00DC5424"/>
    <w:rsid w:val="00DC592C"/>
    <w:rsid w:val="00DD0183"/>
    <w:rsid w:val="00DD255F"/>
    <w:rsid w:val="00DD31F8"/>
    <w:rsid w:val="00DD5DB8"/>
    <w:rsid w:val="00DD6465"/>
    <w:rsid w:val="00DD674F"/>
    <w:rsid w:val="00DD7752"/>
    <w:rsid w:val="00DE0F80"/>
    <w:rsid w:val="00DE2996"/>
    <w:rsid w:val="00DE51AF"/>
    <w:rsid w:val="00DE7001"/>
    <w:rsid w:val="00DF0EB7"/>
    <w:rsid w:val="00DF187B"/>
    <w:rsid w:val="00DF1FAB"/>
    <w:rsid w:val="00DF24EE"/>
    <w:rsid w:val="00DF2B09"/>
    <w:rsid w:val="00DF2F58"/>
    <w:rsid w:val="00DF3EC0"/>
    <w:rsid w:val="00DF6500"/>
    <w:rsid w:val="00DF7939"/>
    <w:rsid w:val="00E0055B"/>
    <w:rsid w:val="00E0133B"/>
    <w:rsid w:val="00E01363"/>
    <w:rsid w:val="00E015F5"/>
    <w:rsid w:val="00E017B6"/>
    <w:rsid w:val="00E039F4"/>
    <w:rsid w:val="00E053FE"/>
    <w:rsid w:val="00E057BF"/>
    <w:rsid w:val="00E0594C"/>
    <w:rsid w:val="00E05CF9"/>
    <w:rsid w:val="00E061F9"/>
    <w:rsid w:val="00E079F4"/>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1EA0"/>
    <w:rsid w:val="00E22D51"/>
    <w:rsid w:val="00E25AC4"/>
    <w:rsid w:val="00E26FDC"/>
    <w:rsid w:val="00E2725B"/>
    <w:rsid w:val="00E277CE"/>
    <w:rsid w:val="00E27F03"/>
    <w:rsid w:val="00E30975"/>
    <w:rsid w:val="00E31DB0"/>
    <w:rsid w:val="00E3298C"/>
    <w:rsid w:val="00E32B1F"/>
    <w:rsid w:val="00E3306E"/>
    <w:rsid w:val="00E3326E"/>
    <w:rsid w:val="00E33EDC"/>
    <w:rsid w:val="00E345AC"/>
    <w:rsid w:val="00E35DD5"/>
    <w:rsid w:val="00E35FCA"/>
    <w:rsid w:val="00E3605D"/>
    <w:rsid w:val="00E37477"/>
    <w:rsid w:val="00E3753E"/>
    <w:rsid w:val="00E377F2"/>
    <w:rsid w:val="00E37F8D"/>
    <w:rsid w:val="00E407A1"/>
    <w:rsid w:val="00E40F82"/>
    <w:rsid w:val="00E415D3"/>
    <w:rsid w:val="00E42C05"/>
    <w:rsid w:val="00E43990"/>
    <w:rsid w:val="00E44EC9"/>
    <w:rsid w:val="00E45B42"/>
    <w:rsid w:val="00E45CD1"/>
    <w:rsid w:val="00E464C3"/>
    <w:rsid w:val="00E46BD2"/>
    <w:rsid w:val="00E51564"/>
    <w:rsid w:val="00E528F2"/>
    <w:rsid w:val="00E52A6C"/>
    <w:rsid w:val="00E54186"/>
    <w:rsid w:val="00E54701"/>
    <w:rsid w:val="00E54F89"/>
    <w:rsid w:val="00E564FF"/>
    <w:rsid w:val="00E60A4D"/>
    <w:rsid w:val="00E62189"/>
    <w:rsid w:val="00E63347"/>
    <w:rsid w:val="00E6502F"/>
    <w:rsid w:val="00E657EF"/>
    <w:rsid w:val="00E65C2C"/>
    <w:rsid w:val="00E66607"/>
    <w:rsid w:val="00E6777A"/>
    <w:rsid w:val="00E708B8"/>
    <w:rsid w:val="00E70B33"/>
    <w:rsid w:val="00E71BDB"/>
    <w:rsid w:val="00E73179"/>
    <w:rsid w:val="00E733CD"/>
    <w:rsid w:val="00E74130"/>
    <w:rsid w:val="00E74837"/>
    <w:rsid w:val="00E75481"/>
    <w:rsid w:val="00E76622"/>
    <w:rsid w:val="00E7738D"/>
    <w:rsid w:val="00E7769E"/>
    <w:rsid w:val="00E77BB6"/>
    <w:rsid w:val="00E80F09"/>
    <w:rsid w:val="00E8104F"/>
    <w:rsid w:val="00E8336F"/>
    <w:rsid w:val="00E844CE"/>
    <w:rsid w:val="00E873D5"/>
    <w:rsid w:val="00E874C0"/>
    <w:rsid w:val="00E90ACA"/>
    <w:rsid w:val="00E91F17"/>
    <w:rsid w:val="00E92DA5"/>
    <w:rsid w:val="00E93448"/>
    <w:rsid w:val="00E94713"/>
    <w:rsid w:val="00E95123"/>
    <w:rsid w:val="00E95929"/>
    <w:rsid w:val="00E962F1"/>
    <w:rsid w:val="00EA0553"/>
    <w:rsid w:val="00EA214C"/>
    <w:rsid w:val="00EA2E55"/>
    <w:rsid w:val="00EA340C"/>
    <w:rsid w:val="00EA528C"/>
    <w:rsid w:val="00EA66D9"/>
    <w:rsid w:val="00EA6D5E"/>
    <w:rsid w:val="00EB0331"/>
    <w:rsid w:val="00EB1000"/>
    <w:rsid w:val="00EB3F93"/>
    <w:rsid w:val="00EB3FD2"/>
    <w:rsid w:val="00EB4B12"/>
    <w:rsid w:val="00EB660C"/>
    <w:rsid w:val="00EB7815"/>
    <w:rsid w:val="00EB7F55"/>
    <w:rsid w:val="00EC02C2"/>
    <w:rsid w:val="00EC0AFC"/>
    <w:rsid w:val="00EC27C1"/>
    <w:rsid w:val="00EC316E"/>
    <w:rsid w:val="00EC4C0B"/>
    <w:rsid w:val="00EC5B43"/>
    <w:rsid w:val="00EC6BB0"/>
    <w:rsid w:val="00EC6C3B"/>
    <w:rsid w:val="00EC6FBB"/>
    <w:rsid w:val="00EC767B"/>
    <w:rsid w:val="00ED09C5"/>
    <w:rsid w:val="00ED17DA"/>
    <w:rsid w:val="00ED1AAE"/>
    <w:rsid w:val="00ED1D50"/>
    <w:rsid w:val="00ED26E6"/>
    <w:rsid w:val="00ED372A"/>
    <w:rsid w:val="00ED406F"/>
    <w:rsid w:val="00ED4AE3"/>
    <w:rsid w:val="00ED5008"/>
    <w:rsid w:val="00ED7773"/>
    <w:rsid w:val="00EE0545"/>
    <w:rsid w:val="00EE0A26"/>
    <w:rsid w:val="00EE0D9B"/>
    <w:rsid w:val="00EE1EFC"/>
    <w:rsid w:val="00EE3054"/>
    <w:rsid w:val="00EE41DB"/>
    <w:rsid w:val="00EE4716"/>
    <w:rsid w:val="00EE4FC5"/>
    <w:rsid w:val="00EE5494"/>
    <w:rsid w:val="00EE61A4"/>
    <w:rsid w:val="00EE7B03"/>
    <w:rsid w:val="00EF076A"/>
    <w:rsid w:val="00EF1014"/>
    <w:rsid w:val="00EF22E8"/>
    <w:rsid w:val="00EF2340"/>
    <w:rsid w:val="00EF3FF7"/>
    <w:rsid w:val="00EF509C"/>
    <w:rsid w:val="00EF51FA"/>
    <w:rsid w:val="00EF6C70"/>
    <w:rsid w:val="00F00316"/>
    <w:rsid w:val="00F01019"/>
    <w:rsid w:val="00F01320"/>
    <w:rsid w:val="00F01540"/>
    <w:rsid w:val="00F01BD6"/>
    <w:rsid w:val="00F03BFD"/>
    <w:rsid w:val="00F049D3"/>
    <w:rsid w:val="00F05B36"/>
    <w:rsid w:val="00F0674A"/>
    <w:rsid w:val="00F07DCD"/>
    <w:rsid w:val="00F131D7"/>
    <w:rsid w:val="00F14B9B"/>
    <w:rsid w:val="00F176BE"/>
    <w:rsid w:val="00F17D71"/>
    <w:rsid w:val="00F21111"/>
    <w:rsid w:val="00F21307"/>
    <w:rsid w:val="00F221BA"/>
    <w:rsid w:val="00F2276E"/>
    <w:rsid w:val="00F23A9F"/>
    <w:rsid w:val="00F23B2E"/>
    <w:rsid w:val="00F23E43"/>
    <w:rsid w:val="00F23F73"/>
    <w:rsid w:val="00F2642D"/>
    <w:rsid w:val="00F27B51"/>
    <w:rsid w:val="00F30535"/>
    <w:rsid w:val="00F309A7"/>
    <w:rsid w:val="00F32597"/>
    <w:rsid w:val="00F33B40"/>
    <w:rsid w:val="00F33E85"/>
    <w:rsid w:val="00F35204"/>
    <w:rsid w:val="00F37351"/>
    <w:rsid w:val="00F40291"/>
    <w:rsid w:val="00F410CD"/>
    <w:rsid w:val="00F416FD"/>
    <w:rsid w:val="00F444FA"/>
    <w:rsid w:val="00F44893"/>
    <w:rsid w:val="00F454D7"/>
    <w:rsid w:val="00F45563"/>
    <w:rsid w:val="00F45EC8"/>
    <w:rsid w:val="00F475E1"/>
    <w:rsid w:val="00F47F1B"/>
    <w:rsid w:val="00F50696"/>
    <w:rsid w:val="00F50708"/>
    <w:rsid w:val="00F51831"/>
    <w:rsid w:val="00F51BEF"/>
    <w:rsid w:val="00F53860"/>
    <w:rsid w:val="00F539B2"/>
    <w:rsid w:val="00F55F27"/>
    <w:rsid w:val="00F5652F"/>
    <w:rsid w:val="00F5682A"/>
    <w:rsid w:val="00F56D52"/>
    <w:rsid w:val="00F572F0"/>
    <w:rsid w:val="00F575BF"/>
    <w:rsid w:val="00F57731"/>
    <w:rsid w:val="00F616BF"/>
    <w:rsid w:val="00F62235"/>
    <w:rsid w:val="00F6253B"/>
    <w:rsid w:val="00F62773"/>
    <w:rsid w:val="00F64692"/>
    <w:rsid w:val="00F65E73"/>
    <w:rsid w:val="00F67948"/>
    <w:rsid w:val="00F7071F"/>
    <w:rsid w:val="00F71338"/>
    <w:rsid w:val="00F71C70"/>
    <w:rsid w:val="00F7247C"/>
    <w:rsid w:val="00F73958"/>
    <w:rsid w:val="00F73A9F"/>
    <w:rsid w:val="00F73EF3"/>
    <w:rsid w:val="00F74A64"/>
    <w:rsid w:val="00F75DE6"/>
    <w:rsid w:val="00F75DF2"/>
    <w:rsid w:val="00F77665"/>
    <w:rsid w:val="00F777BD"/>
    <w:rsid w:val="00F808EB"/>
    <w:rsid w:val="00F80A23"/>
    <w:rsid w:val="00F81D14"/>
    <w:rsid w:val="00F86645"/>
    <w:rsid w:val="00F86B0E"/>
    <w:rsid w:val="00F90A96"/>
    <w:rsid w:val="00F911F8"/>
    <w:rsid w:val="00F913E3"/>
    <w:rsid w:val="00F92B31"/>
    <w:rsid w:val="00F9356B"/>
    <w:rsid w:val="00F93866"/>
    <w:rsid w:val="00F93B0A"/>
    <w:rsid w:val="00F94113"/>
    <w:rsid w:val="00F94661"/>
    <w:rsid w:val="00F94EAF"/>
    <w:rsid w:val="00F96AD5"/>
    <w:rsid w:val="00F96BBC"/>
    <w:rsid w:val="00FA05D9"/>
    <w:rsid w:val="00FA096D"/>
    <w:rsid w:val="00FA162A"/>
    <w:rsid w:val="00FA34DA"/>
    <w:rsid w:val="00FA5924"/>
    <w:rsid w:val="00FA5B23"/>
    <w:rsid w:val="00FA6311"/>
    <w:rsid w:val="00FA7703"/>
    <w:rsid w:val="00FA7F67"/>
    <w:rsid w:val="00FB208B"/>
    <w:rsid w:val="00FB4987"/>
    <w:rsid w:val="00FB4FD0"/>
    <w:rsid w:val="00FB5950"/>
    <w:rsid w:val="00FB6482"/>
    <w:rsid w:val="00FB6595"/>
    <w:rsid w:val="00FB69D6"/>
    <w:rsid w:val="00FB7580"/>
    <w:rsid w:val="00FB7826"/>
    <w:rsid w:val="00FC00FD"/>
    <w:rsid w:val="00FC0E29"/>
    <w:rsid w:val="00FC15C0"/>
    <w:rsid w:val="00FC1715"/>
    <w:rsid w:val="00FC17AA"/>
    <w:rsid w:val="00FC1EFB"/>
    <w:rsid w:val="00FC3D0C"/>
    <w:rsid w:val="00FC4E85"/>
    <w:rsid w:val="00FC4EB6"/>
    <w:rsid w:val="00FC614E"/>
    <w:rsid w:val="00FC642C"/>
    <w:rsid w:val="00FC6457"/>
    <w:rsid w:val="00FC6E94"/>
    <w:rsid w:val="00FD06C4"/>
    <w:rsid w:val="00FD1030"/>
    <w:rsid w:val="00FD2A8E"/>
    <w:rsid w:val="00FD2C25"/>
    <w:rsid w:val="00FD31F7"/>
    <w:rsid w:val="00FD3322"/>
    <w:rsid w:val="00FD43BE"/>
    <w:rsid w:val="00FD5D8A"/>
    <w:rsid w:val="00FD61DA"/>
    <w:rsid w:val="00FD6B32"/>
    <w:rsid w:val="00FD7DF5"/>
    <w:rsid w:val="00FE12D2"/>
    <w:rsid w:val="00FE14DE"/>
    <w:rsid w:val="00FE1ECE"/>
    <w:rsid w:val="00FE2CE8"/>
    <w:rsid w:val="00FE665E"/>
    <w:rsid w:val="00FE67B4"/>
    <w:rsid w:val="00FF048B"/>
    <w:rsid w:val="00FF0521"/>
    <w:rsid w:val="00FF063F"/>
    <w:rsid w:val="00FF10BE"/>
    <w:rsid w:val="00FF3797"/>
    <w:rsid w:val="00FF4284"/>
    <w:rsid w:val="00FF444A"/>
    <w:rsid w:val="00FF5492"/>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DB6B7D-4EF5-492E-9DE2-660EA3ED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00"/>
    <w:pPr>
      <w:jc w:val="both"/>
    </w:pPr>
    <w:rPr>
      <w:rFonts w:cs="Angsana New"/>
      <w:sz w:val="22"/>
      <w:szCs w:val="24"/>
      <w:lang w:val="en-GB"/>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A717C3"/>
    <w:pPr>
      <w:keepNext/>
      <w:tabs>
        <w:tab w:val="left" w:pos="720"/>
      </w:tabs>
      <w:spacing w:before="120" w:after="120"/>
      <w:jc w:val="center"/>
      <w:outlineLvl w:val="1"/>
    </w:pPr>
    <w:rPr>
      <w:b/>
      <w:bCs/>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Titre6">
    <w:name w:val="heading 6"/>
    <w:basedOn w:val="Normal"/>
    <w:next w:val="Normal"/>
    <w:link w:val="Titre6Car"/>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link w:val="Titre9Car"/>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717C3"/>
    <w:rPr>
      <w:sz w:val="18"/>
      <w:u w:val="none"/>
      <w:vertAlign w:val="superscript"/>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rsid w:val="00424E0F"/>
    <w:pPr>
      <w:tabs>
        <w:tab w:val="center" w:pos="4320"/>
        <w:tab w:val="right" w:pos="8640"/>
      </w:tabs>
    </w:pPr>
    <w:rPr>
      <w:rFonts w:cs="Times New Roman"/>
    </w:rPr>
  </w:style>
  <w:style w:type="paragraph" w:styleId="Pieddepage">
    <w:name w:val="footer"/>
    <w:basedOn w:val="Normal"/>
    <w:link w:val="PieddepageCar"/>
    <w:uiPriority w:val="99"/>
    <w:rsid w:val="00424E0F"/>
    <w:pPr>
      <w:tabs>
        <w:tab w:val="center" w:pos="4320"/>
        <w:tab w:val="right" w:pos="8640"/>
      </w:tabs>
      <w:ind w:firstLine="720"/>
      <w:jc w:val="right"/>
    </w:pPr>
    <w:rPr>
      <w:rFonts w:cs="Times New Roman"/>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rFonts w:cs="Times New Roman"/>
      <w:sz w:val="18"/>
      <w:lang w:eastAsia="x-none"/>
    </w:rPr>
  </w:style>
  <w:style w:type="paragraph" w:styleId="Corpsdetexte2">
    <w:name w:val="Body Text 2"/>
    <w:basedOn w:val="Normal"/>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rsid w:val="00424E0F"/>
    <w:pPr>
      <w:spacing w:before="120" w:after="120"/>
      <w:ind w:left="1440" w:hanging="720"/>
      <w:jc w:val="left"/>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rPr>
  </w:style>
  <w:style w:type="character" w:styleId="lev">
    <w:name w:val="Strong"/>
    <w:qFormat/>
    <w:rsid w:val="00424E0F"/>
    <w:rPr>
      <w:b/>
      <w:bCs/>
    </w:rPr>
  </w:style>
  <w:style w:type="paragraph" w:customStyle="1" w:styleId="Para10">
    <w:name w:val="Para 1"/>
    <w:basedOn w:val="Corpsdetex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edebulles">
    <w:name w:val="Balloon Text"/>
    <w:basedOn w:val="Normal"/>
    <w:link w:val="TextedebullesC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Accentuation">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itre1C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En-tteCar">
    <w:name w:val="En-tête Car"/>
    <w:link w:val="En-tte"/>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M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semiHidden/>
    <w:rsid w:val="00FD31F7"/>
    <w:rPr>
      <w:rFonts w:cs="Angsana New"/>
      <w:szCs w:val="24"/>
      <w:lang w:val="en-GB"/>
    </w:rPr>
  </w:style>
  <w:style w:type="character" w:customStyle="1" w:styleId="BalloonTextChar">
    <w:name w:val="Balloon Text Char"/>
    <w:uiPriority w:val="99"/>
    <w:semiHidden/>
    <w:rsid w:val="009D0FEB"/>
    <w:rPr>
      <w:rFonts w:ascii="Lucida Grande" w:hAnsi="Lucida Grande"/>
      <w:sz w:val="18"/>
      <w:szCs w:val="18"/>
    </w:rPr>
  </w:style>
  <w:style w:type="character" w:customStyle="1" w:styleId="TextedebullesCar">
    <w:name w:val="Texte de bulles Car"/>
    <w:link w:val="Textedebulles"/>
    <w:semiHidden/>
    <w:rsid w:val="009D0FEB"/>
    <w:rPr>
      <w:rFonts w:ascii="Tahoma" w:hAnsi="Tahoma" w:cs="Tahoma"/>
      <w:sz w:val="16"/>
      <w:szCs w:val="16"/>
      <w:lang w:val="en-GB" w:eastAsia="en-US"/>
    </w:rPr>
  </w:style>
  <w:style w:type="paragraph" w:customStyle="1" w:styleId="Paragraph">
    <w:name w:val="Paragraph"/>
    <w:basedOn w:val="Normal"/>
    <w:rsid w:val="009D0FEB"/>
    <w:pPr>
      <w:spacing w:before="120" w:after="120"/>
    </w:pPr>
    <w:rPr>
      <w:rFonts w:eastAsia="Malgun Gothic" w:cs="Times New Roman"/>
    </w:rPr>
  </w:style>
  <w:style w:type="paragraph" w:customStyle="1" w:styleId="Heading4">
    <w:name w:val="Heading4"/>
    <w:basedOn w:val="Normal"/>
    <w:rsid w:val="009D0FEB"/>
    <w:pPr>
      <w:numPr>
        <w:numId w:val="15"/>
      </w:numPr>
    </w:pPr>
    <w:rPr>
      <w:rFonts w:eastAsia="Malgun Gothic" w:cs="Times New Roman"/>
      <w:b/>
      <w:i/>
      <w:iCs/>
      <w:szCs w:val="20"/>
    </w:rPr>
  </w:style>
  <w:style w:type="paragraph" w:customStyle="1" w:styleId="Activity">
    <w:name w:val="Activity"/>
    <w:basedOn w:val="Normal"/>
    <w:rsid w:val="009D0FEB"/>
    <w:pPr>
      <w:numPr>
        <w:ilvl w:val="1"/>
        <w:numId w:val="16"/>
      </w:numPr>
      <w:spacing w:before="120" w:after="120"/>
    </w:pPr>
    <w:rPr>
      <w:rFonts w:eastAsia="Malgun Gothic" w:cs="Times New Roman"/>
    </w:rPr>
  </w:style>
  <w:style w:type="paragraph" w:customStyle="1" w:styleId="heading-plainbold0">
    <w:name w:val="heading-plain bold"/>
    <w:basedOn w:val="Titre1"/>
    <w:rsid w:val="009D0FEB"/>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rsid w:val="009D0FEB"/>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9D0FEB"/>
    <w:pPr>
      <w:widowControl w:val="0"/>
      <w:tabs>
        <w:tab w:val="left" w:pos="-720"/>
      </w:tabs>
      <w:suppressAutoHyphens/>
    </w:pPr>
    <w:rPr>
      <w:rFonts w:eastAsia="Malgun Gothic"/>
    </w:rPr>
  </w:style>
  <w:style w:type="paragraph" w:customStyle="1" w:styleId="Numbering">
    <w:name w:val="Numbering"/>
    <w:basedOn w:val="Normal"/>
    <w:rsid w:val="009D0FEB"/>
    <w:pPr>
      <w:numPr>
        <w:numId w:val="17"/>
      </w:numPr>
    </w:pPr>
    <w:rPr>
      <w:rFonts w:eastAsia="Malgun Gothic" w:cs="Times New Roman"/>
      <w:lang w:val="en-US"/>
    </w:rPr>
  </w:style>
  <w:style w:type="character" w:customStyle="1" w:styleId="CharChar2">
    <w:name w:val="Char Char2"/>
    <w:semiHidden/>
    <w:rsid w:val="009D0FEB"/>
    <w:rPr>
      <w:lang w:val="en-GB" w:eastAsia="en-US"/>
    </w:rPr>
  </w:style>
  <w:style w:type="paragraph" w:styleId="Listepuces">
    <w:name w:val="List Bullet"/>
    <w:basedOn w:val="Normal"/>
    <w:autoRedefine/>
    <w:rsid w:val="009D0FEB"/>
    <w:pPr>
      <w:numPr>
        <w:numId w:val="18"/>
      </w:numPr>
      <w:jc w:val="left"/>
    </w:pPr>
    <w:rPr>
      <w:rFonts w:eastAsia="Malgun Gothic" w:cs="Times New Roman"/>
      <w:sz w:val="24"/>
      <w:lang w:val="en-US"/>
    </w:rPr>
  </w:style>
  <w:style w:type="character" w:customStyle="1" w:styleId="CharChar3">
    <w:name w:val="Char Char3"/>
    <w:rsid w:val="009D0FEB"/>
    <w:rPr>
      <w:rFonts w:ascii="Times New Roman" w:hAnsi="Times New Roman"/>
      <w:b/>
      <w:caps/>
      <w:sz w:val="24"/>
      <w:lang w:val="en-GB"/>
    </w:rPr>
  </w:style>
  <w:style w:type="character" w:customStyle="1" w:styleId="Titre6Car">
    <w:name w:val="Titre 6 Car"/>
    <w:link w:val="Titre6"/>
    <w:locked/>
    <w:rsid w:val="009D0FEB"/>
    <w:rPr>
      <w:rFonts w:cs="Angsana New"/>
      <w:sz w:val="22"/>
      <w:szCs w:val="24"/>
      <w:u w:val="single"/>
      <w:lang w:val="en-GB" w:eastAsia="en-US"/>
    </w:rPr>
  </w:style>
  <w:style w:type="character" w:customStyle="1" w:styleId="Titre9Car">
    <w:name w:val="Titre 9 Car"/>
    <w:link w:val="Titre9"/>
    <w:rsid w:val="009D0FEB"/>
    <w:rPr>
      <w:rFonts w:cs="Angsana New"/>
      <w:i/>
      <w:iCs/>
      <w:sz w:val="22"/>
      <w:szCs w:val="24"/>
      <w:lang w:val="en-GB" w:eastAsia="en-US"/>
    </w:rPr>
  </w:style>
  <w:style w:type="paragraph" w:customStyle="1" w:styleId="ColorfulShading-Accent11">
    <w:name w:val="Colorful Shading - Accent 11"/>
    <w:hidden/>
    <w:uiPriority w:val="99"/>
    <w:semiHidden/>
    <w:rsid w:val="009D0FEB"/>
    <w:rPr>
      <w:rFonts w:eastAsia="Malgun Gothic"/>
      <w:sz w:val="22"/>
      <w:szCs w:val="24"/>
      <w:lang w:val="en-GB"/>
    </w:rPr>
  </w:style>
  <w:style w:type="paragraph" w:customStyle="1" w:styleId="ColorfulList-Accent12">
    <w:name w:val="Colorful List - Accent 12"/>
    <w:basedOn w:val="Normal"/>
    <w:uiPriority w:val="34"/>
    <w:qFormat/>
    <w:rsid w:val="009D0FEB"/>
    <w:pPr>
      <w:ind w:left="720"/>
    </w:pPr>
    <w:rPr>
      <w:rFonts w:eastAsia="Malgun Gothic" w:cs="Times New Roman"/>
    </w:rPr>
  </w:style>
  <w:style w:type="character" w:customStyle="1" w:styleId="hps">
    <w:name w:val="hps"/>
    <w:rsid w:val="009D0FEB"/>
  </w:style>
  <w:style w:type="table" w:styleId="Grilledutableau">
    <w:name w:val="Table Grid"/>
    <w:basedOn w:val="TableauNormal"/>
    <w:rsid w:val="009D0FE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9D0FEB"/>
    <w:pPr>
      <w:numPr>
        <w:numId w:val="12"/>
      </w:numPr>
      <w:spacing w:before="120"/>
    </w:pPr>
    <w:rPr>
      <w:rFonts w:eastAsia="Malgun Gothic" w:cs="Times New Roman"/>
      <w:szCs w:val="20"/>
      <w:lang w:eastAsia="x-none"/>
    </w:rPr>
  </w:style>
  <w:style w:type="paragraph" w:customStyle="1" w:styleId="Quotationtextindented">
    <w:name w:val="Quotation text (indented)"/>
    <w:basedOn w:val="Normal"/>
    <w:qFormat/>
    <w:rsid w:val="009D0FEB"/>
    <w:pPr>
      <w:spacing w:before="120" w:after="120"/>
      <w:ind w:left="720" w:right="720"/>
    </w:pPr>
    <w:rPr>
      <w:rFonts w:eastAsia="Times New Roman" w:cs="Times New Roman"/>
      <w:bCs/>
    </w:rPr>
  </w:style>
  <w:style w:type="character" w:styleId="VariableHTML">
    <w:name w:val="HTML Variable"/>
    <w:uiPriority w:val="99"/>
    <w:unhideWhenUsed/>
    <w:rsid w:val="009D0FEB"/>
    <w:rPr>
      <w:i/>
      <w:iCs/>
    </w:rPr>
  </w:style>
  <w:style w:type="paragraph" w:customStyle="1" w:styleId="Corpo">
    <w:name w:val="Corpo"/>
    <w:rsid w:val="009D0FE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recommendationheader">
    <w:name w:val="recommendation header"/>
    <w:basedOn w:val="Titre2"/>
    <w:qFormat/>
    <w:rsid w:val="009D0FEB"/>
    <w:rPr>
      <w:rFonts w:eastAsia="Times New Roman" w:cs="Times New Roman"/>
      <w:i/>
    </w:rPr>
  </w:style>
  <w:style w:type="character" w:customStyle="1" w:styleId="views-field">
    <w:name w:val="views-field"/>
    <w:rsid w:val="00A372D4"/>
  </w:style>
  <w:style w:type="character" w:customStyle="1" w:styleId="field-content">
    <w:name w:val="field-content"/>
    <w:rsid w:val="00A372D4"/>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rsid w:val="000D5303"/>
    <w:rPr>
      <w:lang w:val="en-US" w:eastAsia="en-US" w:bidi="ar-SA"/>
    </w:rPr>
  </w:style>
  <w:style w:type="character" w:styleId="Textedelespacerserv">
    <w:name w:val="Placeholder Text"/>
    <w:basedOn w:val="Policepardfaut"/>
    <w:uiPriority w:val="99"/>
    <w:semiHidden/>
    <w:rsid w:val="0007070D"/>
    <w:rPr>
      <w:color w:val="808080"/>
    </w:rPr>
  </w:style>
  <w:style w:type="character" w:customStyle="1" w:styleId="UnresolvedMention">
    <w:name w:val="Unresolved Mention"/>
    <w:basedOn w:val="Policepardfaut"/>
    <w:uiPriority w:val="99"/>
    <w:semiHidden/>
    <w:unhideWhenUsed/>
    <w:rsid w:val="00823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78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8942019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604462907">
      <w:bodyDiv w:val="1"/>
      <w:marLeft w:val="0"/>
      <w:marRight w:val="0"/>
      <w:marTop w:val="0"/>
      <w:marBottom w:val="0"/>
      <w:divBdr>
        <w:top w:val="none" w:sz="0" w:space="0" w:color="auto"/>
        <w:left w:val="none" w:sz="0" w:space="0" w:color="auto"/>
        <w:bottom w:val="none" w:sz="0" w:space="0" w:color="auto"/>
        <w:right w:val="none" w:sz="0" w:space="0" w:color="auto"/>
      </w:divBdr>
    </w:div>
    <w:div w:id="751896205">
      <w:bodyDiv w:val="1"/>
      <w:marLeft w:val="0"/>
      <w:marRight w:val="0"/>
      <w:marTop w:val="0"/>
      <w:marBottom w:val="0"/>
      <w:divBdr>
        <w:top w:val="none" w:sz="0" w:space="0" w:color="auto"/>
        <w:left w:val="none" w:sz="0" w:space="0" w:color="auto"/>
        <w:bottom w:val="none" w:sz="0" w:space="0" w:color="auto"/>
        <w:right w:val="none" w:sz="0" w:space="0" w:color="auto"/>
      </w:divBdr>
      <w:divsChild>
        <w:div w:id="361562754">
          <w:marLeft w:val="0"/>
          <w:marRight w:val="0"/>
          <w:marTop w:val="0"/>
          <w:marBottom w:val="0"/>
          <w:divBdr>
            <w:top w:val="none" w:sz="0" w:space="0" w:color="auto"/>
            <w:left w:val="none" w:sz="0" w:space="0" w:color="auto"/>
            <w:bottom w:val="none" w:sz="0" w:space="0" w:color="auto"/>
            <w:right w:val="none" w:sz="0" w:space="0" w:color="auto"/>
          </w:divBdr>
          <w:divsChild>
            <w:div w:id="327447157">
              <w:marLeft w:val="0"/>
              <w:marRight w:val="0"/>
              <w:marTop w:val="0"/>
              <w:marBottom w:val="0"/>
              <w:divBdr>
                <w:top w:val="none" w:sz="0" w:space="0" w:color="auto"/>
                <w:left w:val="none" w:sz="0" w:space="0" w:color="auto"/>
                <w:bottom w:val="none" w:sz="0" w:space="0" w:color="auto"/>
                <w:right w:val="none" w:sz="0" w:space="0" w:color="auto"/>
              </w:divBdr>
              <w:divsChild>
                <w:div w:id="666401199">
                  <w:marLeft w:val="0"/>
                  <w:marRight w:val="0"/>
                  <w:marTop w:val="0"/>
                  <w:marBottom w:val="0"/>
                  <w:divBdr>
                    <w:top w:val="none" w:sz="0" w:space="0" w:color="auto"/>
                    <w:left w:val="none" w:sz="0" w:space="0" w:color="auto"/>
                    <w:bottom w:val="none" w:sz="0" w:space="0" w:color="auto"/>
                    <w:right w:val="none" w:sz="0" w:space="0" w:color="auto"/>
                  </w:divBdr>
                  <w:divsChild>
                    <w:div w:id="317803880">
                      <w:marLeft w:val="0"/>
                      <w:marRight w:val="0"/>
                      <w:marTop w:val="0"/>
                      <w:marBottom w:val="0"/>
                      <w:divBdr>
                        <w:top w:val="none" w:sz="0" w:space="0" w:color="auto"/>
                        <w:left w:val="none" w:sz="0" w:space="0" w:color="auto"/>
                        <w:bottom w:val="none" w:sz="0" w:space="0" w:color="auto"/>
                        <w:right w:val="none" w:sz="0" w:space="0" w:color="auto"/>
                      </w:divBdr>
                    </w:div>
                  </w:divsChild>
                </w:div>
                <w:div w:id="1837109640">
                  <w:marLeft w:val="0"/>
                  <w:marRight w:val="0"/>
                  <w:marTop w:val="0"/>
                  <w:marBottom w:val="0"/>
                  <w:divBdr>
                    <w:top w:val="none" w:sz="0" w:space="0" w:color="auto"/>
                    <w:left w:val="none" w:sz="0" w:space="0" w:color="auto"/>
                    <w:bottom w:val="none" w:sz="0" w:space="0" w:color="auto"/>
                    <w:right w:val="none" w:sz="0" w:space="0" w:color="auto"/>
                  </w:divBdr>
                  <w:divsChild>
                    <w:div w:id="1928687069">
                      <w:marLeft w:val="0"/>
                      <w:marRight w:val="0"/>
                      <w:marTop w:val="0"/>
                      <w:marBottom w:val="0"/>
                      <w:divBdr>
                        <w:top w:val="none" w:sz="0" w:space="0" w:color="auto"/>
                        <w:left w:val="none" w:sz="0" w:space="0" w:color="auto"/>
                        <w:bottom w:val="none" w:sz="0" w:space="0" w:color="auto"/>
                        <w:right w:val="none" w:sz="0" w:space="0" w:color="auto"/>
                      </w:divBdr>
                      <w:divsChild>
                        <w:div w:id="295574242">
                          <w:marLeft w:val="0"/>
                          <w:marRight w:val="0"/>
                          <w:marTop w:val="0"/>
                          <w:marBottom w:val="0"/>
                          <w:divBdr>
                            <w:top w:val="none" w:sz="0" w:space="0" w:color="auto"/>
                            <w:left w:val="none" w:sz="0" w:space="0" w:color="auto"/>
                            <w:bottom w:val="none" w:sz="0" w:space="0" w:color="auto"/>
                            <w:right w:val="none" w:sz="0" w:space="0" w:color="auto"/>
                          </w:divBdr>
                        </w:div>
                        <w:div w:id="969088481">
                          <w:marLeft w:val="0"/>
                          <w:marRight w:val="0"/>
                          <w:marTop w:val="0"/>
                          <w:marBottom w:val="0"/>
                          <w:divBdr>
                            <w:top w:val="none" w:sz="0" w:space="0" w:color="auto"/>
                            <w:left w:val="none" w:sz="0" w:space="0" w:color="auto"/>
                            <w:bottom w:val="none" w:sz="0" w:space="0" w:color="auto"/>
                            <w:right w:val="none" w:sz="0" w:space="0" w:color="auto"/>
                          </w:divBdr>
                        </w:div>
                        <w:div w:id="1117722547">
                          <w:marLeft w:val="0"/>
                          <w:marRight w:val="0"/>
                          <w:marTop w:val="0"/>
                          <w:marBottom w:val="0"/>
                          <w:divBdr>
                            <w:top w:val="none" w:sz="0" w:space="0" w:color="auto"/>
                            <w:left w:val="none" w:sz="0" w:space="0" w:color="auto"/>
                            <w:bottom w:val="none" w:sz="0" w:space="0" w:color="auto"/>
                            <w:right w:val="none" w:sz="0" w:space="0" w:color="auto"/>
                          </w:divBdr>
                        </w:div>
                        <w:div w:id="1204253640">
                          <w:marLeft w:val="0"/>
                          <w:marRight w:val="0"/>
                          <w:marTop w:val="0"/>
                          <w:marBottom w:val="0"/>
                          <w:divBdr>
                            <w:top w:val="none" w:sz="0" w:space="0" w:color="auto"/>
                            <w:left w:val="none" w:sz="0" w:space="0" w:color="auto"/>
                            <w:bottom w:val="none" w:sz="0" w:space="0" w:color="auto"/>
                            <w:right w:val="none" w:sz="0" w:space="0" w:color="auto"/>
                          </w:divBdr>
                        </w:div>
                        <w:div w:id="1727796603">
                          <w:marLeft w:val="0"/>
                          <w:marRight w:val="0"/>
                          <w:marTop w:val="0"/>
                          <w:marBottom w:val="0"/>
                          <w:divBdr>
                            <w:top w:val="none" w:sz="0" w:space="0" w:color="auto"/>
                            <w:left w:val="none" w:sz="0" w:space="0" w:color="auto"/>
                            <w:bottom w:val="none" w:sz="0" w:space="0" w:color="auto"/>
                            <w:right w:val="none" w:sz="0" w:space="0" w:color="auto"/>
                          </w:divBdr>
                        </w:div>
                        <w:div w:id="1734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2531">
          <w:marLeft w:val="0"/>
          <w:marRight w:val="0"/>
          <w:marTop w:val="0"/>
          <w:marBottom w:val="0"/>
          <w:divBdr>
            <w:top w:val="none" w:sz="0" w:space="0" w:color="auto"/>
            <w:left w:val="none" w:sz="0" w:space="0" w:color="auto"/>
            <w:bottom w:val="none" w:sz="0" w:space="0" w:color="auto"/>
            <w:right w:val="none" w:sz="0" w:space="0" w:color="auto"/>
          </w:divBdr>
          <w:divsChild>
            <w:div w:id="1809590826">
              <w:marLeft w:val="0"/>
              <w:marRight w:val="0"/>
              <w:marTop w:val="0"/>
              <w:marBottom w:val="0"/>
              <w:divBdr>
                <w:top w:val="none" w:sz="0" w:space="0" w:color="auto"/>
                <w:left w:val="none" w:sz="0" w:space="0" w:color="auto"/>
                <w:bottom w:val="none" w:sz="0" w:space="0" w:color="auto"/>
                <w:right w:val="none" w:sz="0" w:space="0" w:color="auto"/>
              </w:divBdr>
              <w:divsChild>
                <w:div w:id="1980914257">
                  <w:marLeft w:val="0"/>
                  <w:marRight w:val="0"/>
                  <w:marTop w:val="0"/>
                  <w:marBottom w:val="0"/>
                  <w:divBdr>
                    <w:top w:val="none" w:sz="0" w:space="0" w:color="auto"/>
                    <w:left w:val="none" w:sz="0" w:space="0" w:color="auto"/>
                    <w:bottom w:val="none" w:sz="0" w:space="0" w:color="auto"/>
                    <w:right w:val="none" w:sz="0" w:space="0" w:color="auto"/>
                  </w:divBdr>
                  <w:divsChild>
                    <w:div w:id="303317957">
                      <w:marLeft w:val="0"/>
                      <w:marRight w:val="0"/>
                      <w:marTop w:val="0"/>
                      <w:marBottom w:val="0"/>
                      <w:divBdr>
                        <w:top w:val="none" w:sz="0" w:space="0" w:color="auto"/>
                        <w:left w:val="none" w:sz="0" w:space="0" w:color="auto"/>
                        <w:bottom w:val="none" w:sz="0" w:space="0" w:color="auto"/>
                        <w:right w:val="none" w:sz="0" w:space="0" w:color="auto"/>
                      </w:divBdr>
                      <w:divsChild>
                        <w:div w:id="38551193">
                          <w:marLeft w:val="0"/>
                          <w:marRight w:val="0"/>
                          <w:marTop w:val="0"/>
                          <w:marBottom w:val="0"/>
                          <w:divBdr>
                            <w:top w:val="none" w:sz="0" w:space="0" w:color="auto"/>
                            <w:left w:val="none" w:sz="0" w:space="0" w:color="auto"/>
                            <w:bottom w:val="none" w:sz="0" w:space="0" w:color="auto"/>
                            <w:right w:val="none" w:sz="0" w:space="0" w:color="auto"/>
                          </w:divBdr>
                        </w:div>
                        <w:div w:id="468476177">
                          <w:marLeft w:val="0"/>
                          <w:marRight w:val="0"/>
                          <w:marTop w:val="0"/>
                          <w:marBottom w:val="0"/>
                          <w:divBdr>
                            <w:top w:val="none" w:sz="0" w:space="0" w:color="auto"/>
                            <w:left w:val="none" w:sz="0" w:space="0" w:color="auto"/>
                            <w:bottom w:val="none" w:sz="0" w:space="0" w:color="auto"/>
                            <w:right w:val="none" w:sz="0" w:space="0" w:color="auto"/>
                          </w:divBdr>
                        </w:div>
                        <w:div w:id="485585492">
                          <w:marLeft w:val="0"/>
                          <w:marRight w:val="0"/>
                          <w:marTop w:val="0"/>
                          <w:marBottom w:val="0"/>
                          <w:divBdr>
                            <w:top w:val="none" w:sz="0" w:space="0" w:color="auto"/>
                            <w:left w:val="none" w:sz="0" w:space="0" w:color="auto"/>
                            <w:bottom w:val="none" w:sz="0" w:space="0" w:color="auto"/>
                            <w:right w:val="none" w:sz="0" w:space="0" w:color="auto"/>
                          </w:divBdr>
                        </w:div>
                        <w:div w:id="677390343">
                          <w:marLeft w:val="0"/>
                          <w:marRight w:val="0"/>
                          <w:marTop w:val="0"/>
                          <w:marBottom w:val="0"/>
                          <w:divBdr>
                            <w:top w:val="none" w:sz="0" w:space="0" w:color="auto"/>
                            <w:left w:val="none" w:sz="0" w:space="0" w:color="auto"/>
                            <w:bottom w:val="none" w:sz="0" w:space="0" w:color="auto"/>
                            <w:right w:val="none" w:sz="0" w:space="0" w:color="auto"/>
                          </w:divBdr>
                        </w:div>
                        <w:div w:id="904993708">
                          <w:marLeft w:val="0"/>
                          <w:marRight w:val="0"/>
                          <w:marTop w:val="0"/>
                          <w:marBottom w:val="0"/>
                          <w:divBdr>
                            <w:top w:val="none" w:sz="0" w:space="0" w:color="auto"/>
                            <w:left w:val="none" w:sz="0" w:space="0" w:color="auto"/>
                            <w:bottom w:val="none" w:sz="0" w:space="0" w:color="auto"/>
                            <w:right w:val="none" w:sz="0" w:space="0" w:color="auto"/>
                          </w:divBdr>
                        </w:div>
                        <w:div w:id="1159926621">
                          <w:marLeft w:val="0"/>
                          <w:marRight w:val="0"/>
                          <w:marTop w:val="0"/>
                          <w:marBottom w:val="0"/>
                          <w:divBdr>
                            <w:top w:val="none" w:sz="0" w:space="0" w:color="auto"/>
                            <w:left w:val="none" w:sz="0" w:space="0" w:color="auto"/>
                            <w:bottom w:val="none" w:sz="0" w:space="0" w:color="auto"/>
                            <w:right w:val="none" w:sz="0" w:space="0" w:color="auto"/>
                          </w:divBdr>
                        </w:div>
                        <w:div w:id="1254318522">
                          <w:marLeft w:val="0"/>
                          <w:marRight w:val="0"/>
                          <w:marTop w:val="0"/>
                          <w:marBottom w:val="0"/>
                          <w:divBdr>
                            <w:top w:val="none" w:sz="0" w:space="0" w:color="auto"/>
                            <w:left w:val="none" w:sz="0" w:space="0" w:color="auto"/>
                            <w:bottom w:val="none" w:sz="0" w:space="0" w:color="auto"/>
                            <w:right w:val="none" w:sz="0" w:space="0" w:color="auto"/>
                          </w:divBdr>
                        </w:div>
                        <w:div w:id="1355379694">
                          <w:marLeft w:val="0"/>
                          <w:marRight w:val="0"/>
                          <w:marTop w:val="0"/>
                          <w:marBottom w:val="0"/>
                          <w:divBdr>
                            <w:top w:val="none" w:sz="0" w:space="0" w:color="auto"/>
                            <w:left w:val="none" w:sz="0" w:space="0" w:color="auto"/>
                            <w:bottom w:val="none" w:sz="0" w:space="0" w:color="auto"/>
                            <w:right w:val="none" w:sz="0" w:space="0" w:color="auto"/>
                          </w:divBdr>
                        </w:div>
                        <w:div w:id="1410227142">
                          <w:marLeft w:val="0"/>
                          <w:marRight w:val="0"/>
                          <w:marTop w:val="0"/>
                          <w:marBottom w:val="0"/>
                          <w:divBdr>
                            <w:top w:val="none" w:sz="0" w:space="0" w:color="auto"/>
                            <w:left w:val="none" w:sz="0" w:space="0" w:color="auto"/>
                            <w:bottom w:val="none" w:sz="0" w:space="0" w:color="auto"/>
                            <w:right w:val="none" w:sz="0" w:space="0" w:color="auto"/>
                          </w:divBdr>
                        </w:div>
                        <w:div w:id="1775706501">
                          <w:marLeft w:val="0"/>
                          <w:marRight w:val="0"/>
                          <w:marTop w:val="0"/>
                          <w:marBottom w:val="0"/>
                          <w:divBdr>
                            <w:top w:val="none" w:sz="0" w:space="0" w:color="auto"/>
                            <w:left w:val="none" w:sz="0" w:space="0" w:color="auto"/>
                            <w:bottom w:val="none" w:sz="0" w:space="0" w:color="auto"/>
                            <w:right w:val="none" w:sz="0" w:space="0" w:color="auto"/>
                          </w:divBdr>
                        </w:div>
                        <w:div w:id="1845166586">
                          <w:marLeft w:val="0"/>
                          <w:marRight w:val="0"/>
                          <w:marTop w:val="0"/>
                          <w:marBottom w:val="0"/>
                          <w:divBdr>
                            <w:top w:val="none" w:sz="0" w:space="0" w:color="auto"/>
                            <w:left w:val="none" w:sz="0" w:space="0" w:color="auto"/>
                            <w:bottom w:val="none" w:sz="0" w:space="0" w:color="auto"/>
                            <w:right w:val="none" w:sz="0" w:space="0" w:color="auto"/>
                          </w:divBdr>
                        </w:div>
                        <w:div w:id="1956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137">
          <w:marLeft w:val="0"/>
          <w:marRight w:val="0"/>
          <w:marTop w:val="0"/>
          <w:marBottom w:val="0"/>
          <w:divBdr>
            <w:top w:val="none" w:sz="0" w:space="0" w:color="auto"/>
            <w:left w:val="none" w:sz="0" w:space="0" w:color="auto"/>
            <w:bottom w:val="none" w:sz="0" w:space="0" w:color="auto"/>
            <w:right w:val="none" w:sz="0" w:space="0" w:color="auto"/>
          </w:divBdr>
          <w:divsChild>
            <w:div w:id="1228883633">
              <w:marLeft w:val="0"/>
              <w:marRight w:val="0"/>
              <w:marTop w:val="0"/>
              <w:marBottom w:val="0"/>
              <w:divBdr>
                <w:top w:val="none" w:sz="0" w:space="0" w:color="auto"/>
                <w:left w:val="none" w:sz="0" w:space="0" w:color="auto"/>
                <w:bottom w:val="none" w:sz="0" w:space="0" w:color="auto"/>
                <w:right w:val="none" w:sz="0" w:space="0" w:color="auto"/>
              </w:divBdr>
              <w:divsChild>
                <w:div w:id="633174203">
                  <w:marLeft w:val="0"/>
                  <w:marRight w:val="0"/>
                  <w:marTop w:val="0"/>
                  <w:marBottom w:val="0"/>
                  <w:divBdr>
                    <w:top w:val="none" w:sz="0" w:space="0" w:color="auto"/>
                    <w:left w:val="none" w:sz="0" w:space="0" w:color="auto"/>
                    <w:bottom w:val="none" w:sz="0" w:space="0" w:color="auto"/>
                    <w:right w:val="none" w:sz="0" w:space="0" w:color="auto"/>
                  </w:divBdr>
                  <w:divsChild>
                    <w:div w:id="562258815">
                      <w:marLeft w:val="0"/>
                      <w:marRight w:val="0"/>
                      <w:marTop w:val="0"/>
                      <w:marBottom w:val="0"/>
                      <w:divBdr>
                        <w:top w:val="none" w:sz="0" w:space="0" w:color="auto"/>
                        <w:left w:val="none" w:sz="0" w:space="0" w:color="auto"/>
                        <w:bottom w:val="none" w:sz="0" w:space="0" w:color="auto"/>
                        <w:right w:val="none" w:sz="0" w:space="0" w:color="auto"/>
                      </w:divBdr>
                      <w:divsChild>
                        <w:div w:id="61804240">
                          <w:marLeft w:val="0"/>
                          <w:marRight w:val="0"/>
                          <w:marTop w:val="0"/>
                          <w:marBottom w:val="0"/>
                          <w:divBdr>
                            <w:top w:val="none" w:sz="0" w:space="0" w:color="auto"/>
                            <w:left w:val="none" w:sz="0" w:space="0" w:color="auto"/>
                            <w:bottom w:val="none" w:sz="0" w:space="0" w:color="auto"/>
                            <w:right w:val="none" w:sz="0" w:space="0" w:color="auto"/>
                          </w:divBdr>
                        </w:div>
                        <w:div w:id="308754397">
                          <w:marLeft w:val="0"/>
                          <w:marRight w:val="0"/>
                          <w:marTop w:val="0"/>
                          <w:marBottom w:val="0"/>
                          <w:divBdr>
                            <w:top w:val="none" w:sz="0" w:space="0" w:color="auto"/>
                            <w:left w:val="none" w:sz="0" w:space="0" w:color="auto"/>
                            <w:bottom w:val="none" w:sz="0" w:space="0" w:color="auto"/>
                            <w:right w:val="none" w:sz="0" w:space="0" w:color="auto"/>
                          </w:divBdr>
                        </w:div>
                        <w:div w:id="311103876">
                          <w:marLeft w:val="0"/>
                          <w:marRight w:val="0"/>
                          <w:marTop w:val="0"/>
                          <w:marBottom w:val="0"/>
                          <w:divBdr>
                            <w:top w:val="none" w:sz="0" w:space="0" w:color="auto"/>
                            <w:left w:val="none" w:sz="0" w:space="0" w:color="auto"/>
                            <w:bottom w:val="none" w:sz="0" w:space="0" w:color="auto"/>
                            <w:right w:val="none" w:sz="0" w:space="0" w:color="auto"/>
                          </w:divBdr>
                        </w:div>
                        <w:div w:id="563368769">
                          <w:marLeft w:val="0"/>
                          <w:marRight w:val="0"/>
                          <w:marTop w:val="0"/>
                          <w:marBottom w:val="0"/>
                          <w:divBdr>
                            <w:top w:val="none" w:sz="0" w:space="0" w:color="auto"/>
                            <w:left w:val="none" w:sz="0" w:space="0" w:color="auto"/>
                            <w:bottom w:val="none" w:sz="0" w:space="0" w:color="auto"/>
                            <w:right w:val="none" w:sz="0" w:space="0" w:color="auto"/>
                          </w:divBdr>
                        </w:div>
                        <w:div w:id="1153180540">
                          <w:marLeft w:val="0"/>
                          <w:marRight w:val="0"/>
                          <w:marTop w:val="0"/>
                          <w:marBottom w:val="0"/>
                          <w:divBdr>
                            <w:top w:val="none" w:sz="0" w:space="0" w:color="auto"/>
                            <w:left w:val="none" w:sz="0" w:space="0" w:color="auto"/>
                            <w:bottom w:val="none" w:sz="0" w:space="0" w:color="auto"/>
                            <w:right w:val="none" w:sz="0" w:space="0" w:color="auto"/>
                          </w:divBdr>
                        </w:div>
                        <w:div w:id="1201164624">
                          <w:marLeft w:val="0"/>
                          <w:marRight w:val="0"/>
                          <w:marTop w:val="0"/>
                          <w:marBottom w:val="0"/>
                          <w:divBdr>
                            <w:top w:val="none" w:sz="0" w:space="0" w:color="auto"/>
                            <w:left w:val="none" w:sz="0" w:space="0" w:color="auto"/>
                            <w:bottom w:val="none" w:sz="0" w:space="0" w:color="auto"/>
                            <w:right w:val="none" w:sz="0" w:space="0" w:color="auto"/>
                          </w:divBdr>
                        </w:div>
                        <w:div w:id="1286498531">
                          <w:marLeft w:val="0"/>
                          <w:marRight w:val="0"/>
                          <w:marTop w:val="0"/>
                          <w:marBottom w:val="0"/>
                          <w:divBdr>
                            <w:top w:val="none" w:sz="0" w:space="0" w:color="auto"/>
                            <w:left w:val="none" w:sz="0" w:space="0" w:color="auto"/>
                            <w:bottom w:val="none" w:sz="0" w:space="0" w:color="auto"/>
                            <w:right w:val="none" w:sz="0" w:space="0" w:color="auto"/>
                          </w:divBdr>
                        </w:div>
                        <w:div w:id="1320767297">
                          <w:marLeft w:val="0"/>
                          <w:marRight w:val="0"/>
                          <w:marTop w:val="0"/>
                          <w:marBottom w:val="0"/>
                          <w:divBdr>
                            <w:top w:val="none" w:sz="0" w:space="0" w:color="auto"/>
                            <w:left w:val="none" w:sz="0" w:space="0" w:color="auto"/>
                            <w:bottom w:val="none" w:sz="0" w:space="0" w:color="auto"/>
                            <w:right w:val="none" w:sz="0" w:space="0" w:color="auto"/>
                          </w:divBdr>
                        </w:div>
                        <w:div w:id="1379622070">
                          <w:marLeft w:val="0"/>
                          <w:marRight w:val="0"/>
                          <w:marTop w:val="0"/>
                          <w:marBottom w:val="0"/>
                          <w:divBdr>
                            <w:top w:val="none" w:sz="0" w:space="0" w:color="auto"/>
                            <w:left w:val="none" w:sz="0" w:space="0" w:color="auto"/>
                            <w:bottom w:val="none" w:sz="0" w:space="0" w:color="auto"/>
                            <w:right w:val="none" w:sz="0" w:space="0" w:color="auto"/>
                          </w:divBdr>
                        </w:div>
                        <w:div w:id="1772361621">
                          <w:marLeft w:val="0"/>
                          <w:marRight w:val="0"/>
                          <w:marTop w:val="0"/>
                          <w:marBottom w:val="0"/>
                          <w:divBdr>
                            <w:top w:val="none" w:sz="0" w:space="0" w:color="auto"/>
                            <w:left w:val="none" w:sz="0" w:space="0" w:color="auto"/>
                            <w:bottom w:val="none" w:sz="0" w:space="0" w:color="auto"/>
                            <w:right w:val="none" w:sz="0" w:space="0" w:color="auto"/>
                          </w:divBdr>
                        </w:div>
                        <w:div w:id="2093238079">
                          <w:marLeft w:val="0"/>
                          <w:marRight w:val="0"/>
                          <w:marTop w:val="0"/>
                          <w:marBottom w:val="0"/>
                          <w:divBdr>
                            <w:top w:val="none" w:sz="0" w:space="0" w:color="auto"/>
                            <w:left w:val="none" w:sz="0" w:space="0" w:color="auto"/>
                            <w:bottom w:val="none" w:sz="0" w:space="0" w:color="auto"/>
                            <w:right w:val="none" w:sz="0" w:space="0" w:color="auto"/>
                          </w:divBdr>
                        </w:div>
                        <w:div w:id="2138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518">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983">
          <w:marLeft w:val="0"/>
          <w:marRight w:val="0"/>
          <w:marTop w:val="0"/>
          <w:marBottom w:val="0"/>
          <w:divBdr>
            <w:top w:val="none" w:sz="0" w:space="0" w:color="auto"/>
            <w:left w:val="none" w:sz="0" w:space="0" w:color="auto"/>
            <w:bottom w:val="none" w:sz="0" w:space="0" w:color="auto"/>
            <w:right w:val="none" w:sz="0" w:space="0" w:color="auto"/>
          </w:divBdr>
          <w:divsChild>
            <w:div w:id="1160199517">
              <w:marLeft w:val="0"/>
              <w:marRight w:val="0"/>
              <w:marTop w:val="0"/>
              <w:marBottom w:val="0"/>
              <w:divBdr>
                <w:top w:val="none" w:sz="0" w:space="0" w:color="auto"/>
                <w:left w:val="none" w:sz="0" w:space="0" w:color="auto"/>
                <w:bottom w:val="none" w:sz="0" w:space="0" w:color="auto"/>
                <w:right w:val="none" w:sz="0" w:space="0" w:color="auto"/>
              </w:divBdr>
              <w:divsChild>
                <w:div w:id="200439354">
                  <w:marLeft w:val="0"/>
                  <w:marRight w:val="0"/>
                  <w:marTop w:val="0"/>
                  <w:marBottom w:val="0"/>
                  <w:divBdr>
                    <w:top w:val="none" w:sz="0" w:space="0" w:color="auto"/>
                    <w:left w:val="none" w:sz="0" w:space="0" w:color="auto"/>
                    <w:bottom w:val="none" w:sz="0" w:space="0" w:color="auto"/>
                    <w:right w:val="none" w:sz="0" w:space="0" w:color="auto"/>
                  </w:divBdr>
                  <w:divsChild>
                    <w:div w:id="43022121">
                      <w:marLeft w:val="0"/>
                      <w:marRight w:val="0"/>
                      <w:marTop w:val="0"/>
                      <w:marBottom w:val="0"/>
                      <w:divBdr>
                        <w:top w:val="none" w:sz="0" w:space="0" w:color="auto"/>
                        <w:left w:val="none" w:sz="0" w:space="0" w:color="auto"/>
                        <w:bottom w:val="none" w:sz="0" w:space="0" w:color="auto"/>
                        <w:right w:val="none" w:sz="0" w:space="0" w:color="auto"/>
                      </w:divBdr>
                      <w:divsChild>
                        <w:div w:id="128208368">
                          <w:marLeft w:val="0"/>
                          <w:marRight w:val="0"/>
                          <w:marTop w:val="0"/>
                          <w:marBottom w:val="0"/>
                          <w:divBdr>
                            <w:top w:val="none" w:sz="0" w:space="0" w:color="auto"/>
                            <w:left w:val="none" w:sz="0" w:space="0" w:color="auto"/>
                            <w:bottom w:val="none" w:sz="0" w:space="0" w:color="auto"/>
                            <w:right w:val="none" w:sz="0" w:space="0" w:color="auto"/>
                          </w:divBdr>
                        </w:div>
                        <w:div w:id="132257731">
                          <w:marLeft w:val="0"/>
                          <w:marRight w:val="0"/>
                          <w:marTop w:val="0"/>
                          <w:marBottom w:val="0"/>
                          <w:divBdr>
                            <w:top w:val="none" w:sz="0" w:space="0" w:color="auto"/>
                            <w:left w:val="none" w:sz="0" w:space="0" w:color="auto"/>
                            <w:bottom w:val="none" w:sz="0" w:space="0" w:color="auto"/>
                            <w:right w:val="none" w:sz="0" w:space="0" w:color="auto"/>
                          </w:divBdr>
                        </w:div>
                        <w:div w:id="610863958">
                          <w:marLeft w:val="0"/>
                          <w:marRight w:val="0"/>
                          <w:marTop w:val="0"/>
                          <w:marBottom w:val="0"/>
                          <w:divBdr>
                            <w:top w:val="none" w:sz="0" w:space="0" w:color="auto"/>
                            <w:left w:val="none" w:sz="0" w:space="0" w:color="auto"/>
                            <w:bottom w:val="none" w:sz="0" w:space="0" w:color="auto"/>
                            <w:right w:val="none" w:sz="0" w:space="0" w:color="auto"/>
                          </w:divBdr>
                        </w:div>
                        <w:div w:id="784007265">
                          <w:marLeft w:val="0"/>
                          <w:marRight w:val="0"/>
                          <w:marTop w:val="0"/>
                          <w:marBottom w:val="0"/>
                          <w:divBdr>
                            <w:top w:val="none" w:sz="0" w:space="0" w:color="auto"/>
                            <w:left w:val="none" w:sz="0" w:space="0" w:color="auto"/>
                            <w:bottom w:val="none" w:sz="0" w:space="0" w:color="auto"/>
                            <w:right w:val="none" w:sz="0" w:space="0" w:color="auto"/>
                          </w:divBdr>
                        </w:div>
                        <w:div w:id="1159879169">
                          <w:marLeft w:val="0"/>
                          <w:marRight w:val="0"/>
                          <w:marTop w:val="0"/>
                          <w:marBottom w:val="0"/>
                          <w:divBdr>
                            <w:top w:val="none" w:sz="0" w:space="0" w:color="auto"/>
                            <w:left w:val="none" w:sz="0" w:space="0" w:color="auto"/>
                            <w:bottom w:val="none" w:sz="0" w:space="0" w:color="auto"/>
                            <w:right w:val="none" w:sz="0" w:space="0" w:color="auto"/>
                          </w:divBdr>
                        </w:div>
                        <w:div w:id="1398474769">
                          <w:marLeft w:val="0"/>
                          <w:marRight w:val="0"/>
                          <w:marTop w:val="0"/>
                          <w:marBottom w:val="0"/>
                          <w:divBdr>
                            <w:top w:val="none" w:sz="0" w:space="0" w:color="auto"/>
                            <w:left w:val="none" w:sz="0" w:space="0" w:color="auto"/>
                            <w:bottom w:val="none" w:sz="0" w:space="0" w:color="auto"/>
                            <w:right w:val="none" w:sz="0" w:space="0" w:color="auto"/>
                          </w:divBdr>
                        </w:div>
                        <w:div w:id="1471244645">
                          <w:marLeft w:val="0"/>
                          <w:marRight w:val="0"/>
                          <w:marTop w:val="0"/>
                          <w:marBottom w:val="0"/>
                          <w:divBdr>
                            <w:top w:val="none" w:sz="0" w:space="0" w:color="auto"/>
                            <w:left w:val="none" w:sz="0" w:space="0" w:color="auto"/>
                            <w:bottom w:val="none" w:sz="0" w:space="0" w:color="auto"/>
                            <w:right w:val="none" w:sz="0" w:space="0" w:color="auto"/>
                          </w:divBdr>
                        </w:div>
                        <w:div w:id="1486631795">
                          <w:marLeft w:val="0"/>
                          <w:marRight w:val="0"/>
                          <w:marTop w:val="0"/>
                          <w:marBottom w:val="0"/>
                          <w:divBdr>
                            <w:top w:val="none" w:sz="0" w:space="0" w:color="auto"/>
                            <w:left w:val="none" w:sz="0" w:space="0" w:color="auto"/>
                            <w:bottom w:val="none" w:sz="0" w:space="0" w:color="auto"/>
                            <w:right w:val="none" w:sz="0" w:space="0" w:color="auto"/>
                          </w:divBdr>
                        </w:div>
                        <w:div w:id="1777796620">
                          <w:marLeft w:val="0"/>
                          <w:marRight w:val="0"/>
                          <w:marTop w:val="0"/>
                          <w:marBottom w:val="0"/>
                          <w:divBdr>
                            <w:top w:val="none" w:sz="0" w:space="0" w:color="auto"/>
                            <w:left w:val="none" w:sz="0" w:space="0" w:color="auto"/>
                            <w:bottom w:val="none" w:sz="0" w:space="0" w:color="auto"/>
                            <w:right w:val="none" w:sz="0" w:space="0" w:color="auto"/>
                          </w:divBdr>
                        </w:div>
                        <w:div w:id="1872260398">
                          <w:marLeft w:val="0"/>
                          <w:marRight w:val="0"/>
                          <w:marTop w:val="0"/>
                          <w:marBottom w:val="0"/>
                          <w:divBdr>
                            <w:top w:val="none" w:sz="0" w:space="0" w:color="auto"/>
                            <w:left w:val="none" w:sz="0" w:space="0" w:color="auto"/>
                            <w:bottom w:val="none" w:sz="0" w:space="0" w:color="auto"/>
                            <w:right w:val="none" w:sz="0" w:space="0" w:color="auto"/>
                          </w:divBdr>
                        </w:div>
                        <w:div w:id="1945453222">
                          <w:marLeft w:val="0"/>
                          <w:marRight w:val="0"/>
                          <w:marTop w:val="0"/>
                          <w:marBottom w:val="0"/>
                          <w:divBdr>
                            <w:top w:val="none" w:sz="0" w:space="0" w:color="auto"/>
                            <w:left w:val="none" w:sz="0" w:space="0" w:color="auto"/>
                            <w:bottom w:val="none" w:sz="0" w:space="0" w:color="auto"/>
                            <w:right w:val="none" w:sz="0" w:space="0" w:color="auto"/>
                          </w:divBdr>
                        </w:div>
                        <w:div w:id="1949237677">
                          <w:marLeft w:val="0"/>
                          <w:marRight w:val="0"/>
                          <w:marTop w:val="0"/>
                          <w:marBottom w:val="0"/>
                          <w:divBdr>
                            <w:top w:val="none" w:sz="0" w:space="0" w:color="auto"/>
                            <w:left w:val="none" w:sz="0" w:space="0" w:color="auto"/>
                            <w:bottom w:val="none" w:sz="0" w:space="0" w:color="auto"/>
                            <w:right w:val="none" w:sz="0" w:space="0" w:color="auto"/>
                          </w:divBdr>
                        </w:div>
                        <w:div w:id="2029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7521">
                  <w:marLeft w:val="0"/>
                  <w:marRight w:val="0"/>
                  <w:marTop w:val="0"/>
                  <w:marBottom w:val="0"/>
                  <w:divBdr>
                    <w:top w:val="none" w:sz="0" w:space="0" w:color="auto"/>
                    <w:left w:val="none" w:sz="0" w:space="0" w:color="auto"/>
                    <w:bottom w:val="none" w:sz="0" w:space="0" w:color="auto"/>
                    <w:right w:val="none" w:sz="0" w:space="0" w:color="auto"/>
                  </w:divBdr>
                  <w:divsChild>
                    <w:div w:id="515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561">
          <w:marLeft w:val="0"/>
          <w:marRight w:val="0"/>
          <w:marTop w:val="0"/>
          <w:marBottom w:val="0"/>
          <w:divBdr>
            <w:top w:val="none" w:sz="0" w:space="0" w:color="auto"/>
            <w:left w:val="none" w:sz="0" w:space="0" w:color="auto"/>
            <w:bottom w:val="none" w:sz="0" w:space="0" w:color="auto"/>
            <w:right w:val="none" w:sz="0" w:space="0" w:color="auto"/>
          </w:divBdr>
          <w:divsChild>
            <w:div w:id="2114595491">
              <w:marLeft w:val="0"/>
              <w:marRight w:val="0"/>
              <w:marTop w:val="0"/>
              <w:marBottom w:val="0"/>
              <w:divBdr>
                <w:top w:val="none" w:sz="0" w:space="0" w:color="auto"/>
                <w:left w:val="none" w:sz="0" w:space="0" w:color="auto"/>
                <w:bottom w:val="none" w:sz="0" w:space="0" w:color="auto"/>
                <w:right w:val="none" w:sz="0" w:space="0" w:color="auto"/>
              </w:divBdr>
              <w:divsChild>
                <w:div w:id="1444812109">
                  <w:marLeft w:val="0"/>
                  <w:marRight w:val="0"/>
                  <w:marTop w:val="0"/>
                  <w:marBottom w:val="0"/>
                  <w:divBdr>
                    <w:top w:val="none" w:sz="0" w:space="0" w:color="auto"/>
                    <w:left w:val="none" w:sz="0" w:space="0" w:color="auto"/>
                    <w:bottom w:val="none" w:sz="0" w:space="0" w:color="auto"/>
                    <w:right w:val="none" w:sz="0" w:space="0" w:color="auto"/>
                  </w:divBdr>
                  <w:divsChild>
                    <w:div w:id="1759130807">
                      <w:marLeft w:val="0"/>
                      <w:marRight w:val="0"/>
                      <w:marTop w:val="0"/>
                      <w:marBottom w:val="0"/>
                      <w:divBdr>
                        <w:top w:val="none" w:sz="0" w:space="0" w:color="auto"/>
                        <w:left w:val="none" w:sz="0" w:space="0" w:color="auto"/>
                        <w:bottom w:val="none" w:sz="0" w:space="0" w:color="auto"/>
                        <w:right w:val="none" w:sz="0" w:space="0" w:color="auto"/>
                      </w:divBdr>
                    </w:div>
                  </w:divsChild>
                </w:div>
                <w:div w:id="1632394693">
                  <w:marLeft w:val="0"/>
                  <w:marRight w:val="0"/>
                  <w:marTop w:val="0"/>
                  <w:marBottom w:val="0"/>
                  <w:divBdr>
                    <w:top w:val="none" w:sz="0" w:space="0" w:color="auto"/>
                    <w:left w:val="none" w:sz="0" w:space="0" w:color="auto"/>
                    <w:bottom w:val="none" w:sz="0" w:space="0" w:color="auto"/>
                    <w:right w:val="none" w:sz="0" w:space="0" w:color="auto"/>
                  </w:divBdr>
                  <w:divsChild>
                    <w:div w:id="907886702">
                      <w:marLeft w:val="0"/>
                      <w:marRight w:val="0"/>
                      <w:marTop w:val="0"/>
                      <w:marBottom w:val="0"/>
                      <w:divBdr>
                        <w:top w:val="none" w:sz="0" w:space="0" w:color="auto"/>
                        <w:left w:val="none" w:sz="0" w:space="0" w:color="auto"/>
                        <w:bottom w:val="none" w:sz="0" w:space="0" w:color="auto"/>
                        <w:right w:val="none" w:sz="0" w:space="0" w:color="auto"/>
                      </w:divBdr>
                      <w:divsChild>
                        <w:div w:id="858743046">
                          <w:marLeft w:val="0"/>
                          <w:marRight w:val="0"/>
                          <w:marTop w:val="0"/>
                          <w:marBottom w:val="0"/>
                          <w:divBdr>
                            <w:top w:val="none" w:sz="0" w:space="0" w:color="auto"/>
                            <w:left w:val="none" w:sz="0" w:space="0" w:color="auto"/>
                            <w:bottom w:val="none" w:sz="0" w:space="0" w:color="auto"/>
                            <w:right w:val="none" w:sz="0" w:space="0" w:color="auto"/>
                          </w:divBdr>
                        </w:div>
                        <w:div w:id="1085418651">
                          <w:marLeft w:val="0"/>
                          <w:marRight w:val="0"/>
                          <w:marTop w:val="0"/>
                          <w:marBottom w:val="0"/>
                          <w:divBdr>
                            <w:top w:val="none" w:sz="0" w:space="0" w:color="auto"/>
                            <w:left w:val="none" w:sz="0" w:space="0" w:color="auto"/>
                            <w:bottom w:val="none" w:sz="0" w:space="0" w:color="auto"/>
                            <w:right w:val="none" w:sz="0" w:space="0" w:color="auto"/>
                          </w:divBdr>
                        </w:div>
                        <w:div w:id="1207059930">
                          <w:marLeft w:val="0"/>
                          <w:marRight w:val="0"/>
                          <w:marTop w:val="0"/>
                          <w:marBottom w:val="0"/>
                          <w:divBdr>
                            <w:top w:val="none" w:sz="0" w:space="0" w:color="auto"/>
                            <w:left w:val="none" w:sz="0" w:space="0" w:color="auto"/>
                            <w:bottom w:val="none" w:sz="0" w:space="0" w:color="auto"/>
                            <w:right w:val="none" w:sz="0" w:space="0" w:color="auto"/>
                          </w:divBdr>
                        </w:div>
                        <w:div w:id="1249268279">
                          <w:marLeft w:val="0"/>
                          <w:marRight w:val="0"/>
                          <w:marTop w:val="0"/>
                          <w:marBottom w:val="0"/>
                          <w:divBdr>
                            <w:top w:val="none" w:sz="0" w:space="0" w:color="auto"/>
                            <w:left w:val="none" w:sz="0" w:space="0" w:color="auto"/>
                            <w:bottom w:val="none" w:sz="0" w:space="0" w:color="auto"/>
                            <w:right w:val="none" w:sz="0" w:space="0" w:color="auto"/>
                          </w:divBdr>
                        </w:div>
                        <w:div w:id="15009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8434">
          <w:marLeft w:val="0"/>
          <w:marRight w:val="0"/>
          <w:marTop w:val="0"/>
          <w:marBottom w:val="0"/>
          <w:divBdr>
            <w:top w:val="none" w:sz="0" w:space="0" w:color="auto"/>
            <w:left w:val="none" w:sz="0" w:space="0" w:color="auto"/>
            <w:bottom w:val="none" w:sz="0" w:space="0" w:color="auto"/>
            <w:right w:val="none" w:sz="0" w:space="0" w:color="auto"/>
          </w:divBdr>
          <w:divsChild>
            <w:div w:id="1079669954">
              <w:marLeft w:val="0"/>
              <w:marRight w:val="0"/>
              <w:marTop w:val="0"/>
              <w:marBottom w:val="0"/>
              <w:divBdr>
                <w:top w:val="none" w:sz="0" w:space="0" w:color="auto"/>
                <w:left w:val="none" w:sz="0" w:space="0" w:color="auto"/>
                <w:bottom w:val="none" w:sz="0" w:space="0" w:color="auto"/>
                <w:right w:val="none" w:sz="0" w:space="0" w:color="auto"/>
              </w:divBdr>
              <w:divsChild>
                <w:div w:id="340622154">
                  <w:marLeft w:val="0"/>
                  <w:marRight w:val="0"/>
                  <w:marTop w:val="0"/>
                  <w:marBottom w:val="0"/>
                  <w:divBdr>
                    <w:top w:val="none" w:sz="0" w:space="0" w:color="auto"/>
                    <w:left w:val="none" w:sz="0" w:space="0" w:color="auto"/>
                    <w:bottom w:val="none" w:sz="0" w:space="0" w:color="auto"/>
                    <w:right w:val="none" w:sz="0" w:space="0" w:color="auto"/>
                  </w:divBdr>
                  <w:divsChild>
                    <w:div w:id="1796750137">
                      <w:marLeft w:val="0"/>
                      <w:marRight w:val="0"/>
                      <w:marTop w:val="0"/>
                      <w:marBottom w:val="0"/>
                      <w:divBdr>
                        <w:top w:val="none" w:sz="0" w:space="0" w:color="auto"/>
                        <w:left w:val="none" w:sz="0" w:space="0" w:color="auto"/>
                        <w:bottom w:val="none" w:sz="0" w:space="0" w:color="auto"/>
                        <w:right w:val="none" w:sz="0" w:space="0" w:color="auto"/>
                      </w:divBdr>
                    </w:div>
                  </w:divsChild>
                </w:div>
                <w:div w:id="1860049606">
                  <w:marLeft w:val="0"/>
                  <w:marRight w:val="0"/>
                  <w:marTop w:val="0"/>
                  <w:marBottom w:val="0"/>
                  <w:divBdr>
                    <w:top w:val="none" w:sz="0" w:space="0" w:color="auto"/>
                    <w:left w:val="none" w:sz="0" w:space="0" w:color="auto"/>
                    <w:bottom w:val="none" w:sz="0" w:space="0" w:color="auto"/>
                    <w:right w:val="none" w:sz="0" w:space="0" w:color="auto"/>
                  </w:divBdr>
                  <w:divsChild>
                    <w:div w:id="489099435">
                      <w:marLeft w:val="0"/>
                      <w:marRight w:val="0"/>
                      <w:marTop w:val="0"/>
                      <w:marBottom w:val="0"/>
                      <w:divBdr>
                        <w:top w:val="none" w:sz="0" w:space="0" w:color="auto"/>
                        <w:left w:val="none" w:sz="0" w:space="0" w:color="auto"/>
                        <w:bottom w:val="none" w:sz="0" w:space="0" w:color="auto"/>
                        <w:right w:val="none" w:sz="0" w:space="0" w:color="auto"/>
                      </w:divBdr>
                      <w:divsChild>
                        <w:div w:id="691759912">
                          <w:marLeft w:val="0"/>
                          <w:marRight w:val="0"/>
                          <w:marTop w:val="0"/>
                          <w:marBottom w:val="0"/>
                          <w:divBdr>
                            <w:top w:val="none" w:sz="0" w:space="0" w:color="auto"/>
                            <w:left w:val="none" w:sz="0" w:space="0" w:color="auto"/>
                            <w:bottom w:val="none" w:sz="0" w:space="0" w:color="auto"/>
                            <w:right w:val="none" w:sz="0" w:space="0" w:color="auto"/>
                          </w:divBdr>
                        </w:div>
                        <w:div w:id="1371106419">
                          <w:marLeft w:val="0"/>
                          <w:marRight w:val="0"/>
                          <w:marTop w:val="0"/>
                          <w:marBottom w:val="0"/>
                          <w:divBdr>
                            <w:top w:val="none" w:sz="0" w:space="0" w:color="auto"/>
                            <w:left w:val="none" w:sz="0" w:space="0" w:color="auto"/>
                            <w:bottom w:val="none" w:sz="0" w:space="0" w:color="auto"/>
                            <w:right w:val="none" w:sz="0" w:space="0" w:color="auto"/>
                          </w:divBdr>
                        </w:div>
                        <w:div w:id="1936744572">
                          <w:marLeft w:val="0"/>
                          <w:marRight w:val="0"/>
                          <w:marTop w:val="0"/>
                          <w:marBottom w:val="0"/>
                          <w:divBdr>
                            <w:top w:val="none" w:sz="0" w:space="0" w:color="auto"/>
                            <w:left w:val="none" w:sz="0" w:space="0" w:color="auto"/>
                            <w:bottom w:val="none" w:sz="0" w:space="0" w:color="auto"/>
                            <w:right w:val="none" w:sz="0" w:space="0" w:color="auto"/>
                          </w:divBdr>
                        </w:div>
                        <w:div w:id="1941176912">
                          <w:marLeft w:val="0"/>
                          <w:marRight w:val="0"/>
                          <w:marTop w:val="0"/>
                          <w:marBottom w:val="0"/>
                          <w:divBdr>
                            <w:top w:val="none" w:sz="0" w:space="0" w:color="auto"/>
                            <w:left w:val="none" w:sz="0" w:space="0" w:color="auto"/>
                            <w:bottom w:val="none" w:sz="0" w:space="0" w:color="auto"/>
                            <w:right w:val="none" w:sz="0" w:space="0" w:color="auto"/>
                          </w:divBdr>
                        </w:div>
                        <w:div w:id="2134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146612">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26-fr.pdf"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bd.int/decision/cop/default.shtml?id=7104"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1-fr.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xiang\Documents\2018\gef7\gef-over-time.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fundinglevels!$K$26:$K$29</c:f>
              <c:strCache>
                <c:ptCount val="4"/>
                <c:pt idx="0">
                  <c:v>GEF3 (2002-06)</c:v>
                </c:pt>
                <c:pt idx="1">
                  <c:v>GEF4 (2006-10)</c:v>
                </c:pt>
                <c:pt idx="2">
                  <c:v>GEF5 (2010-14)</c:v>
                </c:pt>
                <c:pt idx="3">
                  <c:v>GEF6 (2014-18)</c:v>
                </c:pt>
              </c:strCache>
            </c:strRef>
          </c:cat>
          <c:val>
            <c:numRef>
              <c:f>fundinglevels!$L$26:$L$29</c:f>
              <c:numCache>
                <c:formatCode>0.0%</c:formatCode>
                <c:ptCount val="4"/>
                <c:pt idx="0">
                  <c:v>9.2229031585561172E-2</c:v>
                </c:pt>
                <c:pt idx="1">
                  <c:v>5.6916263535001996E-2</c:v>
                </c:pt>
                <c:pt idx="2">
                  <c:v>5.0936816457390725E-2</c:v>
                </c:pt>
                <c:pt idx="3">
                  <c:v>3.5569685845021556E-2</c:v>
                </c:pt>
              </c:numCache>
            </c:numRef>
          </c:val>
          <c:extLst xmlns:c16r2="http://schemas.microsoft.com/office/drawing/2015/06/chart">
            <c:ext xmlns:c16="http://schemas.microsoft.com/office/drawing/2014/chart" uri="{C3380CC4-5D6E-409C-BE32-E72D297353CC}">
              <c16:uniqueId val="{00000000-F9C7-C44B-ADBA-649C4DA8B77D}"/>
            </c:ext>
          </c:extLst>
        </c:ser>
        <c:dLbls>
          <c:showLegendKey val="0"/>
          <c:showVal val="1"/>
          <c:showCatName val="0"/>
          <c:showSerName val="0"/>
          <c:showPercent val="0"/>
          <c:showBubbleSize val="0"/>
        </c:dLbls>
        <c:gapWidth val="150"/>
        <c:overlap val="-25"/>
        <c:axId val="703518464"/>
        <c:axId val="704292416"/>
      </c:barChart>
      <c:catAx>
        <c:axId val="703518464"/>
        <c:scaling>
          <c:orientation val="minMax"/>
        </c:scaling>
        <c:delete val="0"/>
        <c:axPos val="b"/>
        <c:numFmt formatCode="General" sourceLinked="0"/>
        <c:majorTickMark val="none"/>
        <c:minorTickMark val="none"/>
        <c:tickLblPos val="nextTo"/>
        <c:crossAx val="704292416"/>
        <c:crosses val="autoZero"/>
        <c:auto val="1"/>
        <c:lblAlgn val="ctr"/>
        <c:lblOffset val="100"/>
        <c:noMultiLvlLbl val="0"/>
      </c:catAx>
      <c:valAx>
        <c:axId val="704292416"/>
        <c:scaling>
          <c:orientation val="minMax"/>
        </c:scaling>
        <c:delete val="1"/>
        <c:axPos val="l"/>
        <c:numFmt formatCode="0.0%" sourceLinked="1"/>
        <c:majorTickMark val="out"/>
        <c:minorTickMark val="none"/>
        <c:tickLblPos val="nextTo"/>
        <c:crossAx val="703518464"/>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667401F4DD449AA1053D043335D8FD"/>
        <w:category>
          <w:name w:val="General"/>
          <w:gallery w:val="placeholder"/>
        </w:category>
        <w:types>
          <w:type w:val="bbPlcHdr"/>
        </w:types>
        <w:behaviors>
          <w:behavior w:val="content"/>
        </w:behaviors>
        <w:guid w:val="{FFB1D17D-F58B-47E0-A41D-49358882E3C1}"/>
      </w:docPartPr>
      <w:docPartBody>
        <w:p w:rsidR="00055C10" w:rsidRDefault="00DB232C">
          <w:r w:rsidRPr="00DC4F36">
            <w:rPr>
              <w:rStyle w:val="Textedelespacerserv"/>
            </w:rPr>
            <w:t>[Title]</w:t>
          </w:r>
        </w:p>
      </w:docPartBody>
    </w:docPart>
    <w:docPart>
      <w:docPartPr>
        <w:name w:val="0EFA02AA087E457AB4E4602B89ABF8E4"/>
        <w:category>
          <w:name w:val="General"/>
          <w:gallery w:val="placeholder"/>
        </w:category>
        <w:types>
          <w:type w:val="bbPlcHdr"/>
        </w:types>
        <w:behaviors>
          <w:behavior w:val="content"/>
        </w:behaviors>
        <w:guid w:val="{82F9D421-5853-4F18-BD9D-08653FFCCF87}"/>
      </w:docPartPr>
      <w:docPartBody>
        <w:p w:rsidR="00055C10" w:rsidRDefault="00DB232C">
          <w:r w:rsidRPr="00DC4F3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2C"/>
    <w:rsid w:val="00055C10"/>
    <w:rsid w:val="004D3F59"/>
    <w:rsid w:val="00747426"/>
    <w:rsid w:val="00950355"/>
    <w:rsid w:val="00D7739F"/>
    <w:rsid w:val="00DB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2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41A8-A40A-431B-8723-070431FA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12</Pages>
  <Words>6919</Words>
  <Characters>38058</Characters>
  <Application>Microsoft Office Word</Application>
  <DocSecurity>0</DocSecurity>
  <Lines>317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mécanisme de financement (Article 21)</vt:lpstr>
      <vt:lpstr>The financial mechanism (Article 21)</vt:lpstr>
    </vt:vector>
  </TitlesOfParts>
  <Company>SCBD</Company>
  <LinksUpToDate>false</LinksUpToDate>
  <CharactersWithSpaces>44888</CharactersWithSpaces>
  <SharedDoc>false</SharedDoc>
  <HLinks>
    <vt:vector size="18" baseType="variant">
      <vt:variant>
        <vt:i4>7536672</vt:i4>
      </vt:variant>
      <vt:variant>
        <vt:i4>6</vt:i4>
      </vt:variant>
      <vt:variant>
        <vt:i4>0</vt:i4>
      </vt:variant>
      <vt:variant>
        <vt:i4>5</vt:i4>
      </vt:variant>
      <vt:variant>
        <vt:lpwstr>http://stats.oecd.org/viewhtml.aspx?datasetcode=RIOMARKERS&amp;lang=en</vt:lpwstr>
      </vt:variant>
      <vt:variant>
        <vt:lpwstr/>
      </vt:variant>
      <vt:variant>
        <vt:i4>589853</vt:i4>
      </vt:variant>
      <vt:variant>
        <vt:i4>3</vt:i4>
      </vt:variant>
      <vt:variant>
        <vt:i4>0</vt:i4>
      </vt:variant>
      <vt:variant>
        <vt:i4>5</vt:i4>
      </vt:variant>
      <vt:variant>
        <vt:lpwstr>https://climatefundsupdate.org/the-funds/</vt:lpwstr>
      </vt:variant>
      <vt:variant>
        <vt:lpwstr/>
      </vt:variant>
      <vt:variant>
        <vt:i4>5505039</vt:i4>
      </vt:variant>
      <vt:variant>
        <vt:i4>0</vt:i4>
      </vt:variant>
      <vt:variant>
        <vt:i4>0</vt:i4>
      </vt:variant>
      <vt:variant>
        <vt:i4>5</vt:i4>
      </vt:variant>
      <vt:variant>
        <vt:lpwstr>https://www.cbd.int/doc/meetings/cop/cop-11/information/cop-11-inf-20-en.pdf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mécanisme de financement (Article 21)</dc:title>
  <dc:subject>CBD/SBI/2/8</dc:subject>
  <dc:creator>SCBD</dc:creator>
  <cp:lastModifiedBy>Louise</cp:lastModifiedBy>
  <cp:revision>23</cp:revision>
  <cp:lastPrinted>2018-06-08T13:46:00Z</cp:lastPrinted>
  <dcterms:created xsi:type="dcterms:W3CDTF">2018-06-05T15:30:00Z</dcterms:created>
  <dcterms:modified xsi:type="dcterms:W3CDTF">2018-06-08T16:14:00Z</dcterms:modified>
</cp:coreProperties>
</file>