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428"/>
        <w:gridCol w:w="2160"/>
        <w:gridCol w:w="1440"/>
        <w:gridCol w:w="1620"/>
      </w:tblGrid>
      <w:tr w:rsidR="0084008D" w:rsidRPr="007B18FE" w:rsidTr="0084008D">
        <w:trPr>
          <w:cantSplit/>
          <w:trHeight w:val="1080"/>
        </w:trPr>
        <w:tc>
          <w:tcPr>
            <w:tcW w:w="6588" w:type="dxa"/>
            <w:gridSpan w:val="2"/>
            <w:tcBorders>
              <w:top w:val="nil"/>
              <w:left w:val="nil"/>
              <w:bottom w:val="single" w:sz="12" w:space="0" w:color="auto"/>
              <w:right w:val="nil"/>
            </w:tcBorders>
          </w:tcPr>
          <w:p w:rsidR="0084008D" w:rsidRPr="008F4364" w:rsidRDefault="0084008D" w:rsidP="00247059">
            <w:pPr>
              <w:pStyle w:val="Heading2"/>
              <w:tabs>
                <w:tab w:val="left" w:pos="1795"/>
              </w:tabs>
              <w:bidi w:val="0"/>
              <w:spacing w:before="240" w:after="0"/>
              <w:jc w:val="left"/>
              <w:rPr>
                <w:rFonts w:ascii="Univers" w:hAnsi="Univers"/>
                <w:bCs w:val="0"/>
                <w:sz w:val="32"/>
                <w:szCs w:val="32"/>
                <w:lang w:val="en-US"/>
              </w:rPr>
            </w:pPr>
            <w:r w:rsidRPr="007B18FE">
              <w:rPr>
                <w:rFonts w:ascii="Univers" w:hAnsi="Univers"/>
                <w:bCs w:val="0"/>
                <w:iCs/>
                <w:sz w:val="32"/>
                <w:szCs w:val="32"/>
              </w:rPr>
              <w:t>CBD</w:t>
            </w:r>
          </w:p>
        </w:tc>
        <w:tc>
          <w:tcPr>
            <w:tcW w:w="1440" w:type="dxa"/>
            <w:tcBorders>
              <w:top w:val="nil"/>
              <w:left w:val="nil"/>
              <w:bottom w:val="single" w:sz="12" w:space="0" w:color="auto"/>
              <w:right w:val="nil"/>
            </w:tcBorders>
          </w:tcPr>
          <w:p w:rsidR="0084008D" w:rsidRPr="007B18FE" w:rsidRDefault="0084008D" w:rsidP="0084008D">
            <w:pPr>
              <w:tabs>
                <w:tab w:val="left" w:pos="-720"/>
              </w:tabs>
              <w:suppressAutoHyphens/>
              <w:jc w:val="center"/>
              <w:rPr>
                <w:b/>
                <w:bCs/>
                <w:lang w:bidi="ar-EG"/>
              </w:rPr>
            </w:pPr>
          </w:p>
        </w:tc>
        <w:tc>
          <w:tcPr>
            <w:tcW w:w="1620" w:type="dxa"/>
            <w:tcBorders>
              <w:top w:val="nil"/>
              <w:left w:val="nil"/>
              <w:bottom w:val="single" w:sz="12" w:space="0" w:color="auto"/>
              <w:right w:val="nil"/>
            </w:tcBorders>
          </w:tcPr>
          <w:p w:rsidR="0084008D" w:rsidRPr="007B18FE" w:rsidRDefault="008F4364" w:rsidP="0084008D">
            <w:pPr>
              <w:tabs>
                <w:tab w:val="left" w:pos="-720"/>
              </w:tabs>
              <w:suppressAutoHyphens/>
              <w:spacing w:before="120"/>
              <w:jc w:val="center"/>
              <w:rPr>
                <w:rtl/>
                <w:lang w:bidi="ar-EG"/>
              </w:rPr>
            </w:pPr>
            <w:r w:rsidRPr="008F4364">
              <w:rPr>
                <w:noProof/>
                <w:rtl/>
              </w:rPr>
              <w:drawing>
                <wp:anchor distT="0" distB="0" distL="114300" distR="114300" simplePos="0" relativeHeight="251766784" behindDoc="0" locked="0" layoutInCell="1" allowOverlap="1">
                  <wp:simplePos x="0" y="0"/>
                  <wp:positionH relativeFrom="column">
                    <wp:posOffset>-1624330</wp:posOffset>
                  </wp:positionH>
                  <wp:positionV relativeFrom="paragraph">
                    <wp:posOffset>12700</wp:posOffset>
                  </wp:positionV>
                  <wp:extent cx="2025650" cy="584200"/>
                  <wp:effectExtent l="19050" t="0" r="0" b="0"/>
                  <wp:wrapNone/>
                  <wp:docPr id="21"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2025650" cy="584200"/>
                          </a:xfrm>
                          <a:prstGeom prst="rect">
                            <a:avLst/>
                          </a:prstGeom>
                          <a:noFill/>
                          <a:ln w="9525">
                            <a:noFill/>
                            <a:miter lim="800000"/>
                            <a:headEnd/>
                            <a:tailEnd/>
                          </a:ln>
                        </pic:spPr>
                      </pic:pic>
                    </a:graphicData>
                  </a:graphic>
                </wp:anchor>
              </w:drawing>
            </w:r>
            <w:r w:rsidRPr="008F4364">
              <w:rPr>
                <w:noProof/>
                <w:rtl/>
              </w:rPr>
              <w:drawing>
                <wp:anchor distT="0" distB="0" distL="114300" distR="114300" simplePos="0" relativeHeight="251767808" behindDoc="0" locked="0" layoutInCell="1" allowOverlap="1">
                  <wp:simplePos x="0" y="0"/>
                  <wp:positionH relativeFrom="margin">
                    <wp:posOffset>483870</wp:posOffset>
                  </wp:positionH>
                  <wp:positionV relativeFrom="margin">
                    <wp:posOffset>114300</wp:posOffset>
                  </wp:positionV>
                  <wp:extent cx="476250" cy="406400"/>
                  <wp:effectExtent l="19050" t="0" r="0" b="0"/>
                  <wp:wrapNone/>
                  <wp:docPr id="22"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76250" cy="406400"/>
                          </a:xfrm>
                          <a:prstGeom prst="rect">
                            <a:avLst/>
                          </a:prstGeom>
                          <a:noFill/>
                        </pic:spPr>
                      </pic:pic>
                    </a:graphicData>
                  </a:graphic>
                </wp:anchor>
              </w:drawing>
            </w:r>
          </w:p>
          <w:p w:rsidR="0084008D" w:rsidRPr="007B18FE" w:rsidRDefault="0084008D" w:rsidP="0084008D">
            <w:pPr>
              <w:tabs>
                <w:tab w:val="left" w:pos="-720"/>
              </w:tabs>
              <w:suppressAutoHyphens/>
              <w:spacing w:line="120" w:lineRule="auto"/>
            </w:pPr>
          </w:p>
        </w:tc>
      </w:tr>
      <w:tr w:rsidR="0084008D" w:rsidRPr="007B18FE" w:rsidTr="0084008D">
        <w:trPr>
          <w:cantSplit/>
          <w:trHeight w:val="1770"/>
        </w:trPr>
        <w:tc>
          <w:tcPr>
            <w:tcW w:w="4428" w:type="dxa"/>
            <w:tcBorders>
              <w:top w:val="nil"/>
              <w:left w:val="nil"/>
              <w:bottom w:val="single" w:sz="24" w:space="0" w:color="auto"/>
              <w:right w:val="nil"/>
            </w:tcBorders>
          </w:tcPr>
          <w:p w:rsidR="0084008D" w:rsidRPr="007B18FE" w:rsidRDefault="0084008D" w:rsidP="008A38E7">
            <w:pPr>
              <w:bidi w:val="0"/>
              <w:rPr>
                <w:sz w:val="22"/>
                <w:szCs w:val="22"/>
              </w:rPr>
            </w:pPr>
            <w:r w:rsidRPr="007B18FE">
              <w:rPr>
                <w:sz w:val="22"/>
                <w:szCs w:val="22"/>
              </w:rPr>
              <w:t>Distr.</w:t>
            </w:r>
          </w:p>
          <w:p w:rsidR="0084008D" w:rsidRPr="007B18FE" w:rsidRDefault="00B7545A" w:rsidP="008A38E7">
            <w:pPr>
              <w:bidi w:val="0"/>
              <w:rPr>
                <w:sz w:val="22"/>
                <w:szCs w:val="22"/>
              </w:rPr>
            </w:pPr>
            <w:r>
              <w:rPr>
                <w:sz w:val="22"/>
                <w:szCs w:val="22"/>
              </w:rPr>
              <w:t>GENERAL</w:t>
            </w:r>
          </w:p>
          <w:p w:rsidR="0084008D" w:rsidRPr="007B18FE" w:rsidRDefault="0084008D" w:rsidP="008A38E7">
            <w:pPr>
              <w:pStyle w:val="Heading3"/>
              <w:bidi w:val="0"/>
              <w:spacing w:before="0" w:after="0" w:line="240" w:lineRule="auto"/>
              <w:jc w:val="left"/>
              <w:rPr>
                <w:rFonts w:eastAsia="YouYuan" w:cs="Simplified Arabic"/>
                <w:sz w:val="22"/>
                <w:szCs w:val="22"/>
                <w:lang w:val="en-US"/>
              </w:rPr>
            </w:pPr>
          </w:p>
          <w:p w:rsidR="001B7AD2" w:rsidRPr="001B7AD2" w:rsidRDefault="001B7AD2" w:rsidP="00B97F02">
            <w:pPr>
              <w:suppressLineNumbers/>
              <w:suppressAutoHyphens/>
              <w:kinsoku w:val="0"/>
              <w:overflowPunct w:val="0"/>
              <w:autoSpaceDE w:val="0"/>
              <w:autoSpaceDN w:val="0"/>
              <w:bidi w:val="0"/>
              <w:adjustRightInd w:val="0"/>
              <w:snapToGrid w:val="0"/>
              <w:rPr>
                <w:snapToGrid w:val="0"/>
                <w:kern w:val="22"/>
                <w:sz w:val="22"/>
                <w:szCs w:val="22"/>
              </w:rPr>
            </w:pPr>
            <w:r w:rsidRPr="001B7AD2">
              <w:rPr>
                <w:snapToGrid w:val="0"/>
                <w:kern w:val="22"/>
                <w:sz w:val="22"/>
                <w:szCs w:val="22"/>
              </w:rPr>
              <w:t>CBD/NP/MOP/</w:t>
            </w:r>
            <w:r w:rsidR="00B7545A">
              <w:rPr>
                <w:snapToGrid w:val="0"/>
                <w:kern w:val="22"/>
                <w:sz w:val="22"/>
                <w:szCs w:val="22"/>
              </w:rPr>
              <w:t>4/</w:t>
            </w:r>
            <w:r w:rsidR="00B97F02">
              <w:rPr>
                <w:snapToGrid w:val="0"/>
                <w:kern w:val="22"/>
                <w:sz w:val="22"/>
                <w:szCs w:val="22"/>
              </w:rPr>
              <w:t>6</w:t>
            </w:r>
          </w:p>
          <w:p w:rsidR="007769D9" w:rsidRPr="007B18FE" w:rsidRDefault="00B97F02" w:rsidP="001B7AD2">
            <w:pPr>
              <w:bidi w:val="0"/>
              <w:jc w:val="left"/>
              <w:rPr>
                <w:sz w:val="22"/>
              </w:rPr>
            </w:pPr>
            <w:r>
              <w:rPr>
                <w:sz w:val="22"/>
              </w:rPr>
              <w:t>3 May 2022</w:t>
            </w:r>
          </w:p>
          <w:p w:rsidR="00FA6745" w:rsidRPr="007B18FE" w:rsidRDefault="00FA6745" w:rsidP="00FA6745">
            <w:pPr>
              <w:bidi w:val="0"/>
              <w:jc w:val="left"/>
              <w:rPr>
                <w:sz w:val="22"/>
                <w:szCs w:val="22"/>
              </w:rPr>
            </w:pPr>
          </w:p>
          <w:p w:rsidR="0084008D" w:rsidRPr="007B18FE" w:rsidRDefault="0084008D" w:rsidP="008A38E7">
            <w:pPr>
              <w:pStyle w:val="Heading5"/>
              <w:tabs>
                <w:tab w:val="left" w:pos="-720"/>
              </w:tabs>
              <w:suppressAutoHyphens/>
              <w:bidi w:val="0"/>
              <w:spacing w:before="0" w:after="0"/>
              <w:rPr>
                <w:rFonts w:ascii="Times New Roman" w:eastAsia="YouYuan" w:hAnsi="Times New Roman"/>
                <w:b w:val="0"/>
                <w:bCs w:val="0"/>
                <w:spacing w:val="0"/>
                <w:kern w:val="2"/>
                <w:szCs w:val="22"/>
                <w:lang w:eastAsia="en-US"/>
              </w:rPr>
            </w:pPr>
            <w:r w:rsidRPr="007B18FE">
              <w:rPr>
                <w:rFonts w:ascii="Times New Roman" w:eastAsia="YouYuan" w:hAnsi="Times New Roman"/>
                <w:b w:val="0"/>
                <w:bCs w:val="0"/>
                <w:spacing w:val="0"/>
                <w:kern w:val="2"/>
                <w:szCs w:val="22"/>
                <w:lang w:eastAsia="en-US"/>
              </w:rPr>
              <w:t>ARABIC</w:t>
            </w:r>
          </w:p>
          <w:p w:rsidR="0084008D" w:rsidRPr="007B18FE" w:rsidRDefault="0084008D" w:rsidP="008A38E7">
            <w:pPr>
              <w:tabs>
                <w:tab w:val="left" w:pos="-720"/>
              </w:tabs>
              <w:suppressAutoHyphens/>
              <w:bidi w:val="0"/>
              <w:spacing w:after="40"/>
              <w:rPr>
                <w:sz w:val="22"/>
                <w:szCs w:val="22"/>
              </w:rPr>
            </w:pPr>
            <w:r w:rsidRPr="007B18FE">
              <w:rPr>
                <w:sz w:val="22"/>
                <w:szCs w:val="22"/>
              </w:rPr>
              <w:t xml:space="preserve">ORIGINAL: ENGLISH </w:t>
            </w:r>
          </w:p>
        </w:tc>
        <w:tc>
          <w:tcPr>
            <w:tcW w:w="5220" w:type="dxa"/>
            <w:gridSpan w:val="3"/>
            <w:tcBorders>
              <w:top w:val="nil"/>
              <w:left w:val="nil"/>
              <w:bottom w:val="single" w:sz="24" w:space="0" w:color="auto"/>
              <w:right w:val="nil"/>
            </w:tcBorders>
          </w:tcPr>
          <w:p w:rsidR="0084008D" w:rsidRPr="007B18FE" w:rsidRDefault="0063232C" w:rsidP="0084008D">
            <w:pPr>
              <w:tabs>
                <w:tab w:val="left" w:pos="-720"/>
              </w:tabs>
              <w:suppressAutoHyphens/>
              <w:spacing w:before="120"/>
              <w:jc w:val="both"/>
              <w:rPr>
                <w:rtl/>
                <w:lang w:bidi="ar-EG"/>
              </w:rPr>
            </w:pPr>
            <w:r w:rsidRPr="007B18FE">
              <w:rPr>
                <w:b/>
                <w:bCs/>
                <w:noProof/>
                <w:sz w:val="36"/>
                <w:szCs w:val="36"/>
                <w:rtl/>
              </w:rPr>
              <w:drawing>
                <wp:inline distT="0" distB="0" distL="0" distR="0">
                  <wp:extent cx="2565400" cy="1024255"/>
                  <wp:effectExtent l="0" t="0" r="0" b="0"/>
                  <wp:docPr id="3" name="Picture 3"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ar-CMYK-black  Converted "/>
                          <pic:cNvPicPr>
                            <a:picLocks noChangeAspect="1" noChangeArrowheads="1"/>
                          </pic:cNvPicPr>
                        </pic:nvPicPr>
                        <pic:blipFill>
                          <a:blip r:embed="rId10"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565400" cy="1024255"/>
                          </a:xfrm>
                          <a:prstGeom prst="rect">
                            <a:avLst/>
                          </a:prstGeom>
                          <a:noFill/>
                          <a:ln>
                            <a:noFill/>
                          </a:ln>
                        </pic:spPr>
                      </pic:pic>
                    </a:graphicData>
                  </a:graphic>
                </wp:inline>
              </w:drawing>
            </w:r>
          </w:p>
        </w:tc>
      </w:tr>
    </w:tbl>
    <w:tbl>
      <w:tblPr>
        <w:tblStyle w:val="TableGrid"/>
        <w:bidiVisual/>
        <w:tblW w:w="9682" w:type="dxa"/>
        <w:tblInd w:w="-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682"/>
      </w:tblGrid>
      <w:tr w:rsidR="001B7AD2" w:rsidTr="001B7AD2">
        <w:tc>
          <w:tcPr>
            <w:tcW w:w="9682" w:type="dxa"/>
          </w:tcPr>
          <w:p w:rsidR="001B7AD2" w:rsidRPr="001B7AD2" w:rsidRDefault="001B7AD2" w:rsidP="00B7545A">
            <w:pPr>
              <w:pStyle w:val="meetingname"/>
              <w:bidi/>
              <w:spacing w:before="40" w:line="216" w:lineRule="auto"/>
              <w:ind w:left="173" w:right="4392" w:hanging="173"/>
              <w:jc w:val="left"/>
              <w:rPr>
                <w:rFonts w:ascii="Simplified Arabic" w:eastAsia="Malgun Gothic" w:hAnsi="Simplified Arabic" w:cs="Simplified Arabic"/>
                <w:b/>
                <w:bCs/>
                <w:snapToGrid w:val="0"/>
                <w:sz w:val="26"/>
                <w:szCs w:val="26"/>
                <w:rtl/>
              </w:rPr>
            </w:pPr>
            <w:r w:rsidRPr="001B7AD2">
              <w:rPr>
                <w:rFonts w:ascii="Simplified Arabic" w:eastAsia="Malgun Gothic" w:hAnsi="Simplified Arabic" w:cs="Simplified Arabic"/>
                <w:b/>
                <w:bCs/>
                <w:snapToGrid w:val="0"/>
                <w:sz w:val="26"/>
                <w:szCs w:val="26"/>
                <w:rtl/>
              </w:rPr>
              <w:t xml:space="preserve">مؤتمر الأطراف في </w:t>
            </w:r>
            <w:r w:rsidRPr="001B7AD2">
              <w:rPr>
                <w:rFonts w:ascii="Simplified Arabic" w:eastAsia="Malgun Gothic" w:hAnsi="Simplified Arabic" w:cs="Simplified Arabic" w:hint="cs"/>
                <w:b/>
                <w:bCs/>
                <w:snapToGrid w:val="0"/>
                <w:sz w:val="26"/>
                <w:szCs w:val="26"/>
                <w:rtl/>
              </w:rPr>
              <w:t>ال</w:t>
            </w:r>
            <w:r w:rsidRPr="001B7AD2">
              <w:rPr>
                <w:rFonts w:ascii="Simplified Arabic" w:eastAsia="Malgun Gothic" w:hAnsi="Simplified Arabic" w:cs="Simplified Arabic"/>
                <w:b/>
                <w:bCs/>
                <w:snapToGrid w:val="0"/>
                <w:sz w:val="26"/>
                <w:szCs w:val="26"/>
                <w:rtl/>
              </w:rPr>
              <w:t>اتفاقية</w:t>
            </w:r>
            <w:r w:rsidRPr="001B7AD2">
              <w:rPr>
                <w:rFonts w:ascii="Simplified Arabic" w:eastAsia="Malgun Gothic" w:hAnsi="Simplified Arabic" w:cs="Simplified Arabic" w:hint="cs"/>
                <w:b/>
                <w:bCs/>
                <w:snapToGrid w:val="0"/>
                <w:sz w:val="26"/>
                <w:szCs w:val="26"/>
                <w:rtl/>
              </w:rPr>
              <w:t xml:space="preserve"> المتعلقة</w:t>
            </w:r>
            <w:r w:rsidRPr="001B7AD2">
              <w:rPr>
                <w:rFonts w:ascii="Simplified Arabic" w:eastAsia="Malgun Gothic" w:hAnsi="Simplified Arabic" w:cs="Simplified Arabic"/>
                <w:b/>
                <w:bCs/>
                <w:snapToGrid w:val="0"/>
                <w:sz w:val="26"/>
                <w:szCs w:val="26"/>
                <w:rtl/>
              </w:rPr>
              <w:t xml:space="preserve"> </w:t>
            </w:r>
            <w:r w:rsidRPr="001B7AD2">
              <w:rPr>
                <w:rFonts w:ascii="Simplified Arabic" w:eastAsia="Malgun Gothic" w:hAnsi="Simplified Arabic" w:cs="Simplified Arabic" w:hint="cs"/>
                <w:b/>
                <w:bCs/>
                <w:snapToGrid w:val="0"/>
                <w:sz w:val="26"/>
                <w:szCs w:val="26"/>
                <w:rtl/>
              </w:rPr>
              <w:t>ب</w:t>
            </w:r>
            <w:r w:rsidRPr="001B7AD2">
              <w:rPr>
                <w:rFonts w:ascii="Simplified Arabic" w:eastAsia="Malgun Gothic" w:hAnsi="Simplified Arabic" w:cs="Simplified Arabic"/>
                <w:b/>
                <w:bCs/>
                <w:snapToGrid w:val="0"/>
                <w:sz w:val="26"/>
                <w:szCs w:val="26"/>
                <w:rtl/>
              </w:rPr>
              <w:t>التنوع البيولوجي العامل كاجتماع للأطراف في بروتوكول ناغويا بشأن الحصول على الموارد الجينية والتقاسم العادل والمنصف للمنافع الناشئة عن استخدامها</w:t>
            </w:r>
          </w:p>
          <w:p w:rsidR="001B7AD2" w:rsidRPr="002761A5" w:rsidRDefault="001B7AD2" w:rsidP="00B97F02">
            <w:pPr>
              <w:jc w:val="left"/>
              <w:rPr>
                <w:sz w:val="24"/>
                <w:rtl/>
                <w:lang w:bidi="ar-EG"/>
              </w:rPr>
            </w:pPr>
            <w:r w:rsidRPr="002761A5">
              <w:rPr>
                <w:sz w:val="24"/>
                <w:rtl/>
                <w:lang w:bidi="ar-EG"/>
              </w:rPr>
              <w:t>الاجتماع الرابع</w:t>
            </w:r>
            <w:r w:rsidR="00B7545A">
              <w:rPr>
                <w:rFonts w:hint="cs"/>
                <w:sz w:val="24"/>
                <w:rtl/>
                <w:lang w:bidi="ar-EG"/>
              </w:rPr>
              <w:t xml:space="preserve"> (الجزء </w:t>
            </w:r>
            <w:r w:rsidR="00B97F02">
              <w:rPr>
                <w:rFonts w:hint="cs"/>
                <w:sz w:val="24"/>
                <w:rtl/>
                <w:lang w:bidi="ar-EG"/>
              </w:rPr>
              <w:t>الثاني</w:t>
            </w:r>
            <w:r w:rsidR="00B7545A">
              <w:rPr>
                <w:rFonts w:hint="cs"/>
                <w:sz w:val="24"/>
                <w:rtl/>
                <w:lang w:bidi="ar-EG"/>
              </w:rPr>
              <w:t>)</w:t>
            </w:r>
          </w:p>
          <w:p w:rsidR="001B7AD2" w:rsidRPr="002761A5" w:rsidRDefault="00B97F02" w:rsidP="00B97F02">
            <w:pPr>
              <w:jc w:val="left"/>
              <w:rPr>
                <w:sz w:val="24"/>
                <w:rtl/>
                <w:lang w:bidi="ar-EG"/>
              </w:rPr>
            </w:pPr>
            <w:r>
              <w:rPr>
                <w:rFonts w:hint="cs"/>
                <w:sz w:val="24"/>
                <w:rtl/>
                <w:lang w:bidi="ar-EG"/>
              </w:rPr>
              <w:t>مونتريال، كندا</w:t>
            </w:r>
            <w:r>
              <w:rPr>
                <w:sz w:val="24"/>
                <w:rtl/>
                <w:lang w:bidi="ar-EG"/>
              </w:rPr>
              <w:t xml:space="preserve">، </w:t>
            </w:r>
            <w:r>
              <w:rPr>
                <w:rFonts w:hint="cs"/>
                <w:sz w:val="24"/>
                <w:rtl/>
                <w:lang w:bidi="ar-EG"/>
              </w:rPr>
              <w:t>7-19 ديسمبر/كانون الأول 2022</w:t>
            </w:r>
          </w:p>
          <w:p w:rsidR="001B7AD2" w:rsidRPr="002761A5" w:rsidRDefault="002761A5" w:rsidP="00B97F02">
            <w:pPr>
              <w:jc w:val="left"/>
              <w:rPr>
                <w:sz w:val="24"/>
                <w:rtl/>
                <w:lang w:bidi="ar-EG"/>
              </w:rPr>
            </w:pPr>
            <w:r w:rsidRPr="00E22C6B">
              <w:rPr>
                <w:rFonts w:hint="cs"/>
                <w:sz w:val="24"/>
                <w:rtl/>
                <w:lang w:bidi="ar-EG"/>
              </w:rPr>
              <w:t xml:space="preserve">البند </w:t>
            </w:r>
            <w:r w:rsidR="00B97F02">
              <w:rPr>
                <w:rFonts w:hint="cs"/>
                <w:sz w:val="24"/>
                <w:rtl/>
                <w:lang w:bidi="ar-EG"/>
              </w:rPr>
              <w:t>9</w:t>
            </w:r>
            <w:r>
              <w:rPr>
                <w:rFonts w:hint="cs"/>
                <w:sz w:val="24"/>
                <w:rtl/>
                <w:lang w:bidi="ar-EG"/>
              </w:rPr>
              <w:t xml:space="preserve"> من جدول الأعمال</w:t>
            </w:r>
          </w:p>
        </w:tc>
      </w:tr>
    </w:tbl>
    <w:p w:rsidR="00B7545A" w:rsidRDefault="00B97F02" w:rsidP="00B97F02">
      <w:pPr>
        <w:spacing w:before="120" w:after="120"/>
        <w:jc w:val="center"/>
        <w:rPr>
          <w:b/>
          <w:bCs/>
          <w:sz w:val="28"/>
          <w:szCs w:val="28"/>
          <w:rtl/>
          <w:lang w:bidi="ar-EG"/>
        </w:rPr>
      </w:pPr>
      <w:r>
        <w:rPr>
          <w:rFonts w:hint="cs"/>
          <w:b/>
          <w:bCs/>
          <w:sz w:val="28"/>
          <w:szCs w:val="28"/>
          <w:rtl/>
          <w:lang w:bidi="ar-EG"/>
        </w:rPr>
        <w:t>تقرير عن التقدم المحرز في تشغيل</w:t>
      </w:r>
      <w:r w:rsidR="00B7545A">
        <w:rPr>
          <w:rFonts w:hint="cs"/>
          <w:b/>
          <w:bCs/>
          <w:sz w:val="28"/>
          <w:szCs w:val="28"/>
          <w:rtl/>
          <w:lang w:bidi="ar-EG"/>
        </w:rPr>
        <w:t xml:space="preserve"> </w:t>
      </w:r>
      <w:r>
        <w:rPr>
          <w:rFonts w:hint="cs"/>
          <w:b/>
          <w:bCs/>
          <w:sz w:val="28"/>
          <w:szCs w:val="28"/>
          <w:rtl/>
          <w:lang w:bidi="ar-EG"/>
        </w:rPr>
        <w:t>غرفة تبادل المعلومات</w:t>
      </w:r>
      <w:r w:rsidR="00B7545A">
        <w:rPr>
          <w:rFonts w:hint="cs"/>
          <w:b/>
          <w:bCs/>
          <w:sz w:val="28"/>
          <w:szCs w:val="28"/>
          <w:rtl/>
          <w:lang w:bidi="ar-EG"/>
        </w:rPr>
        <w:t xml:space="preserve"> بشأن الحصول وتقاسم المنافع</w:t>
      </w:r>
    </w:p>
    <w:p w:rsidR="00E84AFA" w:rsidRDefault="00B97F02" w:rsidP="00B97F02">
      <w:pPr>
        <w:spacing w:before="120" w:after="120"/>
        <w:jc w:val="center"/>
        <w:rPr>
          <w:i/>
          <w:iCs/>
          <w:sz w:val="24"/>
          <w:rtl/>
          <w:lang w:bidi="ar-EG"/>
        </w:rPr>
      </w:pPr>
      <w:r w:rsidRPr="00B97F02">
        <w:rPr>
          <w:rFonts w:hint="cs"/>
          <w:i/>
          <w:iCs/>
          <w:sz w:val="24"/>
          <w:rtl/>
          <w:lang w:bidi="ar-EG"/>
        </w:rPr>
        <w:t>مذكرة من الأمينة التنفيذية</w:t>
      </w:r>
    </w:p>
    <w:p w:rsidR="00B97F02" w:rsidRPr="00B97F02" w:rsidRDefault="00B97F02" w:rsidP="00B97F02">
      <w:pPr>
        <w:spacing w:before="120" w:after="120"/>
        <w:jc w:val="center"/>
        <w:rPr>
          <w:b/>
          <w:bCs/>
          <w:sz w:val="24"/>
          <w:rtl/>
          <w:lang w:bidi="ar-EG"/>
        </w:rPr>
      </w:pPr>
      <w:r>
        <w:rPr>
          <w:rFonts w:hint="cs"/>
          <w:b/>
          <w:bCs/>
          <w:sz w:val="24"/>
          <w:rtl/>
          <w:lang w:bidi="ar-EG"/>
        </w:rPr>
        <w:t>أولا -</w:t>
      </w:r>
      <w:r>
        <w:rPr>
          <w:rFonts w:hint="cs"/>
          <w:b/>
          <w:bCs/>
          <w:sz w:val="24"/>
          <w:rtl/>
          <w:lang w:bidi="ar-EG"/>
        </w:rPr>
        <w:tab/>
        <w:t>مقدمة</w:t>
      </w:r>
    </w:p>
    <w:p w:rsidR="00376EDB" w:rsidRDefault="00376EDB" w:rsidP="00376EDB">
      <w:pPr>
        <w:pStyle w:val="Para1"/>
        <w:numPr>
          <w:ilvl w:val="0"/>
          <w:numId w:val="19"/>
        </w:numPr>
        <w:pBdr>
          <w:top w:val="nil"/>
          <w:left w:val="nil"/>
          <w:bottom w:val="nil"/>
          <w:right w:val="nil"/>
          <w:between w:val="nil"/>
          <w:bar w:val="nil"/>
        </w:pBdr>
        <w:bidi/>
        <w:ind w:left="0" w:firstLine="0"/>
        <w:rPr>
          <w:rStyle w:val="Hyperlink"/>
          <w:rFonts w:cs="Simplified Arabic"/>
          <w:snapToGrid/>
          <w:spacing w:val="-1"/>
          <w:kern w:val="22"/>
          <w:szCs w:val="24"/>
          <w:rtl/>
        </w:rPr>
      </w:pPr>
      <w:r>
        <w:rPr>
          <w:rFonts w:cs="Simplified Arabic" w:hint="cs"/>
          <w:szCs w:val="24"/>
          <w:rtl/>
          <w:lang w:bidi="ar-EG"/>
        </w:rPr>
        <w:t>أُ</w:t>
      </w:r>
      <w:r w:rsidRPr="00376EDB">
        <w:rPr>
          <w:rFonts w:cs="Simplified Arabic"/>
          <w:szCs w:val="24"/>
          <w:rtl/>
          <w:lang w:bidi="ar-EG"/>
        </w:rPr>
        <w:t>نشئت غرفة</w:t>
      </w:r>
      <w:r w:rsidRPr="00376EDB">
        <w:rPr>
          <w:rFonts w:cs="Simplified Arabic" w:hint="cs"/>
          <w:szCs w:val="24"/>
          <w:rtl/>
          <w:lang w:bidi="ar-EG"/>
        </w:rPr>
        <w:t xml:space="preserve"> </w:t>
      </w:r>
      <w:r w:rsidRPr="00376EDB">
        <w:rPr>
          <w:rFonts w:cs="Simplified Arabic"/>
          <w:szCs w:val="24"/>
          <w:rtl/>
          <w:lang w:bidi="ar-EG"/>
        </w:rPr>
        <w:t>تبادل المعلومات</w:t>
      </w:r>
      <w:r w:rsidRPr="00376EDB">
        <w:rPr>
          <w:rFonts w:cs="Simplified Arabic"/>
          <w:szCs w:val="24"/>
          <w:lang w:bidi="ar-EG"/>
        </w:rPr>
        <w:t xml:space="preserve"> </w:t>
      </w:r>
      <w:r w:rsidRPr="00376EDB">
        <w:rPr>
          <w:rFonts w:cs="Simplified Arabic"/>
          <w:szCs w:val="24"/>
          <w:rtl/>
          <w:lang w:bidi="ar-EG"/>
        </w:rPr>
        <w:t xml:space="preserve">بشأن الحصول وتقاسم المنافع </w:t>
      </w:r>
      <w:r w:rsidRPr="00376EDB">
        <w:rPr>
          <w:rFonts w:cs="Simplified Arabic" w:hint="cs"/>
          <w:szCs w:val="24"/>
          <w:rtl/>
          <w:lang w:bidi="ar-EG"/>
        </w:rPr>
        <w:t>بموجب المادة 14</w:t>
      </w:r>
      <w:r>
        <w:rPr>
          <w:rFonts w:cs="Simplified Arabic" w:hint="cs"/>
          <w:szCs w:val="24"/>
          <w:rtl/>
          <w:lang w:bidi="ar-EG"/>
        </w:rPr>
        <w:t>، الفقرة 1</w:t>
      </w:r>
      <w:r w:rsidRPr="00376EDB">
        <w:rPr>
          <w:rFonts w:cs="Simplified Arabic" w:hint="cs"/>
          <w:szCs w:val="24"/>
          <w:rtl/>
          <w:lang w:bidi="ar-EG"/>
        </w:rPr>
        <w:t xml:space="preserve"> من بروتوكول ناغويا كجزء من آلية غرفة تبادل المعلومات بموجب المادة 18</w:t>
      </w:r>
      <w:r>
        <w:rPr>
          <w:rFonts w:cs="Simplified Arabic" w:hint="cs"/>
          <w:szCs w:val="24"/>
          <w:rtl/>
          <w:lang w:bidi="ar-EG"/>
        </w:rPr>
        <w:t>، الفقرة 3</w:t>
      </w:r>
      <w:r w:rsidRPr="00376EDB">
        <w:rPr>
          <w:rFonts w:cs="Simplified Arabic" w:hint="cs"/>
          <w:szCs w:val="24"/>
          <w:rtl/>
          <w:lang w:bidi="ar-EG"/>
        </w:rPr>
        <w:t xml:space="preserve"> من الاتفاقية المتعلقة بالتنوع البيولوجي. وهي تهدف إلى التمكين من تبادل المعلومات ذات الصلة ب</w:t>
      </w:r>
      <w:r w:rsidRPr="00376EDB">
        <w:rPr>
          <w:rFonts w:cs="Simplified Arabic"/>
          <w:szCs w:val="24"/>
          <w:rtl/>
          <w:lang w:bidi="ar-EG"/>
        </w:rPr>
        <w:t xml:space="preserve">الحصول وتقاسم المنافع </w:t>
      </w:r>
      <w:r w:rsidRPr="00376EDB">
        <w:rPr>
          <w:rFonts w:cs="Simplified Arabic" w:hint="cs"/>
          <w:szCs w:val="24"/>
          <w:rtl/>
          <w:lang w:bidi="ar-EG"/>
        </w:rPr>
        <w:t xml:space="preserve">وتنفيذ بروتوكول ناغويا. ويمكن الوصول إلى </w:t>
      </w:r>
      <w:r w:rsidRPr="00376EDB">
        <w:rPr>
          <w:rFonts w:cs="Simplified Arabic"/>
          <w:szCs w:val="24"/>
          <w:rtl/>
          <w:lang w:bidi="ar-EG"/>
        </w:rPr>
        <w:t>غرفة</w:t>
      </w:r>
      <w:r w:rsidRPr="00376EDB">
        <w:rPr>
          <w:rFonts w:cs="Simplified Arabic" w:hint="cs"/>
          <w:szCs w:val="24"/>
          <w:rtl/>
          <w:lang w:bidi="ar-EG"/>
        </w:rPr>
        <w:t xml:space="preserve"> </w:t>
      </w:r>
      <w:r w:rsidRPr="00376EDB">
        <w:rPr>
          <w:rFonts w:cs="Simplified Arabic"/>
          <w:szCs w:val="24"/>
          <w:rtl/>
          <w:lang w:bidi="ar-EG"/>
        </w:rPr>
        <w:t>تبادل المعلومات</w:t>
      </w:r>
      <w:r w:rsidRPr="00376EDB">
        <w:rPr>
          <w:rFonts w:cs="Simplified Arabic"/>
          <w:szCs w:val="24"/>
          <w:lang w:bidi="ar-EG"/>
        </w:rPr>
        <w:t xml:space="preserve"> </w:t>
      </w:r>
      <w:r w:rsidRPr="00376EDB">
        <w:rPr>
          <w:rFonts w:cs="Simplified Arabic"/>
          <w:szCs w:val="24"/>
          <w:rtl/>
          <w:lang w:bidi="ar-EG"/>
        </w:rPr>
        <w:t>بشأن الحصول وتقاسم المنافع</w:t>
      </w:r>
      <w:r w:rsidRPr="00376EDB">
        <w:rPr>
          <w:rFonts w:cs="Simplified Arabic" w:hint="cs"/>
          <w:szCs w:val="24"/>
          <w:rtl/>
          <w:lang w:bidi="ar-EG"/>
        </w:rPr>
        <w:t xml:space="preserve"> على الإنترنت على العنوان </w:t>
      </w:r>
      <w:r>
        <w:rPr>
          <w:rFonts w:cs="Simplified Arabic" w:hint="cs"/>
          <w:szCs w:val="24"/>
          <w:rtl/>
          <w:lang w:bidi="ar-EG"/>
        </w:rPr>
        <w:t>التالي</w:t>
      </w:r>
      <w:r w:rsidRPr="00376EDB">
        <w:rPr>
          <w:rFonts w:cs="Simplified Arabic" w:hint="cs"/>
          <w:szCs w:val="24"/>
          <w:rtl/>
          <w:lang w:bidi="ar-EG"/>
        </w:rPr>
        <w:t xml:space="preserve"> </w:t>
      </w:r>
      <w:hyperlink r:id="rId11" w:history="1">
        <w:r w:rsidRPr="00376EDB">
          <w:rPr>
            <w:rStyle w:val="Hyperlink"/>
            <w:rFonts w:cs="Simplified Arabic"/>
            <w:snapToGrid/>
            <w:spacing w:val="-1"/>
            <w:kern w:val="22"/>
            <w:szCs w:val="24"/>
          </w:rPr>
          <w:t>http://absch.cbd.int</w:t>
        </w:r>
      </w:hyperlink>
      <w:r w:rsidRPr="00376EDB">
        <w:rPr>
          <w:rStyle w:val="Hyperlink"/>
          <w:rFonts w:cs="Simplified Arabic" w:hint="cs"/>
          <w:snapToGrid/>
          <w:color w:val="auto"/>
          <w:spacing w:val="-1"/>
          <w:kern w:val="22"/>
          <w:szCs w:val="24"/>
          <w:u w:val="none"/>
          <w:rtl/>
        </w:rPr>
        <w:t>.</w:t>
      </w:r>
    </w:p>
    <w:p w:rsidR="00B97F02" w:rsidRDefault="00376EDB" w:rsidP="00426E19">
      <w:pPr>
        <w:pStyle w:val="Para1"/>
        <w:numPr>
          <w:ilvl w:val="0"/>
          <w:numId w:val="19"/>
        </w:numPr>
        <w:pBdr>
          <w:top w:val="nil"/>
          <w:left w:val="nil"/>
          <w:bottom w:val="nil"/>
          <w:right w:val="nil"/>
          <w:between w:val="nil"/>
          <w:bar w:val="nil"/>
        </w:pBdr>
        <w:bidi/>
        <w:ind w:left="0" w:firstLine="0"/>
        <w:rPr>
          <w:rFonts w:ascii="Simplified Arabic" w:hAnsi="Simplified Arabic" w:cs="Simplified Arabic"/>
          <w:snapToGrid/>
          <w:spacing w:val="-1"/>
          <w:kern w:val="22"/>
          <w:sz w:val="24"/>
          <w:szCs w:val="24"/>
        </w:rPr>
      </w:pPr>
      <w:r w:rsidRPr="00376EDB">
        <w:rPr>
          <w:rStyle w:val="Hyperlink"/>
          <w:rFonts w:cs="Simplified Arabic" w:hint="cs"/>
          <w:snapToGrid/>
          <w:color w:val="000000" w:themeColor="text1"/>
          <w:spacing w:val="-1"/>
          <w:kern w:val="22"/>
          <w:szCs w:val="24"/>
          <w:u w:val="none"/>
          <w:rtl/>
          <w:lang w:bidi="ar-EG"/>
        </w:rPr>
        <w:t>و</w:t>
      </w:r>
      <w:r>
        <w:rPr>
          <w:rStyle w:val="Hyperlink"/>
          <w:rFonts w:cs="Simplified Arabic" w:hint="cs"/>
          <w:snapToGrid/>
          <w:color w:val="000000" w:themeColor="text1"/>
          <w:spacing w:val="-1"/>
          <w:kern w:val="22"/>
          <w:szCs w:val="24"/>
          <w:u w:val="none"/>
          <w:rtl/>
          <w:lang w:bidi="ar-EG"/>
        </w:rPr>
        <w:t xml:space="preserve">في اجتماعه الثالث، </w:t>
      </w:r>
      <w:r w:rsidRPr="00376EDB">
        <w:rPr>
          <w:rStyle w:val="Hyperlink"/>
          <w:rFonts w:cs="Simplified Arabic" w:hint="cs"/>
          <w:snapToGrid/>
          <w:color w:val="000000" w:themeColor="text1"/>
          <w:spacing w:val="-1"/>
          <w:kern w:val="22"/>
          <w:szCs w:val="24"/>
          <w:u w:val="none"/>
          <w:rtl/>
          <w:lang w:bidi="ar-EG"/>
        </w:rPr>
        <w:t xml:space="preserve">طلب </w:t>
      </w:r>
      <w:r w:rsidRPr="00376EDB">
        <w:rPr>
          <w:rStyle w:val="Hyperlink"/>
          <w:rFonts w:cs="Simplified Arabic"/>
          <w:snapToGrid/>
          <w:color w:val="000000" w:themeColor="text1"/>
          <w:spacing w:val="-1"/>
          <w:kern w:val="22"/>
          <w:szCs w:val="24"/>
          <w:u w:val="none"/>
          <w:rtl/>
          <w:lang w:bidi="ar-EG"/>
        </w:rPr>
        <w:t xml:space="preserve">مؤتمر الأطراف العامل كاجتماع للأطراف في </w:t>
      </w:r>
      <w:r w:rsidRPr="00376EDB">
        <w:rPr>
          <w:rStyle w:val="Hyperlink"/>
          <w:rFonts w:cs="Simplified Arabic" w:hint="cs"/>
          <w:snapToGrid/>
          <w:color w:val="000000" w:themeColor="text1"/>
          <w:spacing w:val="-1"/>
          <w:kern w:val="22"/>
          <w:szCs w:val="24"/>
          <w:u w:val="none"/>
          <w:rtl/>
          <w:lang w:bidi="ar-EG"/>
        </w:rPr>
        <w:t>ال</w:t>
      </w:r>
      <w:r w:rsidRPr="00376EDB">
        <w:rPr>
          <w:rStyle w:val="Hyperlink"/>
          <w:rFonts w:cs="Simplified Arabic"/>
          <w:snapToGrid/>
          <w:color w:val="000000" w:themeColor="text1"/>
          <w:spacing w:val="-1"/>
          <w:kern w:val="22"/>
          <w:szCs w:val="24"/>
          <w:u w:val="none"/>
          <w:rtl/>
          <w:lang w:bidi="ar-EG"/>
        </w:rPr>
        <w:t>بروتوكول</w:t>
      </w:r>
      <w:r>
        <w:rPr>
          <w:rStyle w:val="Hyperlink"/>
          <w:rFonts w:cs="Simplified Arabic" w:hint="cs"/>
          <w:snapToGrid/>
          <w:color w:val="000000" w:themeColor="text1"/>
          <w:spacing w:val="-1"/>
          <w:kern w:val="22"/>
          <w:szCs w:val="24"/>
          <w:u w:val="none"/>
          <w:rtl/>
          <w:lang w:bidi="ar-EG"/>
        </w:rPr>
        <w:t xml:space="preserve"> </w:t>
      </w:r>
      <w:r w:rsidRPr="00376EDB">
        <w:rPr>
          <w:rStyle w:val="Hyperlink"/>
          <w:rFonts w:cs="Simplified Arabic" w:hint="cs"/>
          <w:snapToGrid/>
          <w:color w:val="000000" w:themeColor="text1"/>
          <w:spacing w:val="-1"/>
          <w:kern w:val="22"/>
          <w:szCs w:val="24"/>
          <w:u w:val="none"/>
          <w:rtl/>
          <w:lang w:bidi="ar-EG"/>
        </w:rPr>
        <w:t xml:space="preserve">إلى الأمينة التنفيذية </w:t>
      </w:r>
      <w:r w:rsidRPr="00376EDB">
        <w:rPr>
          <w:rFonts w:eastAsia="Times New Roman" w:cs="Simplified Arabic" w:hint="cs"/>
          <w:kern w:val="22"/>
          <w:szCs w:val="24"/>
          <w:rtl/>
        </w:rPr>
        <w:t xml:space="preserve">مواصلة </w:t>
      </w:r>
      <w:r w:rsidR="00426E19">
        <w:rPr>
          <w:rFonts w:eastAsia="Times New Roman" w:cs="Simplified Arabic" w:hint="cs"/>
          <w:kern w:val="22"/>
          <w:szCs w:val="24"/>
          <w:rtl/>
        </w:rPr>
        <w:t>العمل بشأن</w:t>
      </w:r>
      <w:r w:rsidRPr="00376EDB">
        <w:rPr>
          <w:rFonts w:eastAsia="Times New Roman" w:cs="Simplified Arabic" w:hint="cs"/>
          <w:kern w:val="22"/>
          <w:szCs w:val="24"/>
          <w:rtl/>
        </w:rPr>
        <w:t xml:space="preserve"> </w:t>
      </w:r>
      <w:r w:rsidRPr="00376EDB">
        <w:rPr>
          <w:rFonts w:eastAsia="Times New Roman" w:cs="Simplified Arabic" w:hint="cs"/>
          <w:szCs w:val="24"/>
          <w:rtl/>
          <w:lang w:val="fr-CH" w:bidi="ar-EG"/>
        </w:rPr>
        <w:t>غرفة تبادل المعلومات بشأن الحصول وتقاسم المنافع</w:t>
      </w:r>
      <w:r w:rsidRPr="00376EDB">
        <w:rPr>
          <w:rFonts w:eastAsia="Times New Roman" w:cs="Simplified Arabic" w:hint="cs"/>
          <w:kern w:val="22"/>
          <w:szCs w:val="24"/>
          <w:rtl/>
        </w:rPr>
        <w:t xml:space="preserve"> من خلال اتباع الأهداف والأولويات لمواصلة تنفيذ</w:t>
      </w:r>
      <w:r w:rsidR="00426E19">
        <w:rPr>
          <w:rFonts w:eastAsia="Times New Roman" w:cs="Simplified Arabic" w:hint="cs"/>
          <w:kern w:val="22"/>
          <w:szCs w:val="24"/>
          <w:rtl/>
        </w:rPr>
        <w:t>ها</w:t>
      </w:r>
      <w:r w:rsidRPr="00376EDB">
        <w:rPr>
          <w:rFonts w:eastAsia="Times New Roman" w:cs="Simplified Arabic" w:hint="cs"/>
          <w:kern w:val="22"/>
          <w:szCs w:val="24"/>
          <w:rtl/>
        </w:rPr>
        <w:t xml:space="preserve"> وإدار</w:t>
      </w:r>
      <w:r w:rsidR="00426E19">
        <w:rPr>
          <w:rFonts w:eastAsia="Times New Roman" w:cs="Simplified Arabic" w:hint="cs"/>
          <w:kern w:val="22"/>
          <w:szCs w:val="24"/>
          <w:rtl/>
        </w:rPr>
        <w:t>تها</w:t>
      </w:r>
      <w:r w:rsidRPr="00376EDB">
        <w:rPr>
          <w:rFonts w:eastAsia="Times New Roman" w:cs="Simplified Arabic" w:hint="cs"/>
          <w:kern w:val="22"/>
          <w:szCs w:val="24"/>
          <w:rtl/>
        </w:rPr>
        <w:t xml:space="preserve"> الواردة في </w:t>
      </w:r>
      <w:r>
        <w:rPr>
          <w:rFonts w:eastAsia="Times New Roman" w:cs="Simplified Arabic" w:hint="cs"/>
          <w:kern w:val="22"/>
          <w:szCs w:val="24"/>
          <w:rtl/>
        </w:rPr>
        <w:t>مرفق هذا المقر</w:t>
      </w:r>
      <w:r w:rsidRPr="00376EDB">
        <w:rPr>
          <w:rFonts w:eastAsia="Times New Roman" w:cs="Simplified Arabic" w:hint="cs"/>
          <w:kern w:val="22"/>
          <w:szCs w:val="24"/>
          <w:rtl/>
        </w:rPr>
        <w:t xml:space="preserve">ر، </w:t>
      </w:r>
      <w:r w:rsidR="00426E19">
        <w:rPr>
          <w:rFonts w:eastAsia="Times New Roman" w:cs="Simplified Arabic" w:hint="cs"/>
          <w:kern w:val="22"/>
          <w:szCs w:val="24"/>
          <w:rtl/>
        </w:rPr>
        <w:t>و</w:t>
      </w:r>
      <w:r w:rsidRPr="00376EDB">
        <w:rPr>
          <w:rFonts w:eastAsia="Times New Roman" w:cs="Simplified Arabic" w:hint="cs"/>
          <w:kern w:val="22"/>
          <w:szCs w:val="24"/>
          <w:rtl/>
        </w:rPr>
        <w:t xml:space="preserve">وفقا لطرائق التشغيل والتعقيبات الواردة، خاصة تلك الخاصة بالأطراف واللجنة الاستشارية غير الرسمية لدى </w:t>
      </w:r>
      <w:r w:rsidRPr="00376EDB">
        <w:rPr>
          <w:rFonts w:eastAsia="Times New Roman" w:cs="Simplified Arabic" w:hint="cs"/>
          <w:szCs w:val="24"/>
          <w:rtl/>
          <w:lang w:val="fr-CH" w:bidi="ar-EG"/>
        </w:rPr>
        <w:t>غرفة تبادل المعلومات بشأن الحصول وتقاسم المنافع</w:t>
      </w:r>
      <w:r w:rsidRPr="00376EDB">
        <w:rPr>
          <w:rFonts w:cs="Simplified Arabic" w:hint="cs"/>
          <w:szCs w:val="24"/>
          <w:rtl/>
          <w:lang w:bidi="ar-EG"/>
        </w:rPr>
        <w:t xml:space="preserve"> (المقرّر </w:t>
      </w:r>
      <w:hyperlink r:id="rId12" w:history="1">
        <w:r>
          <w:rPr>
            <w:rStyle w:val="Hyperlink"/>
            <w:rFonts w:cs="Simplified Arabic"/>
            <w:szCs w:val="24"/>
            <w:lang w:eastAsia="en-CA"/>
          </w:rPr>
          <w:t>NP-3</w:t>
        </w:r>
        <w:r w:rsidR="004965E0">
          <w:rPr>
            <w:rStyle w:val="Hyperlink"/>
            <w:rFonts w:cs="Simplified Arabic"/>
            <w:szCs w:val="24"/>
            <w:lang w:eastAsia="en-CA"/>
          </w:rPr>
          <w:t>/</w:t>
        </w:r>
        <w:r>
          <w:rPr>
            <w:rStyle w:val="Hyperlink"/>
            <w:rFonts w:cs="Simplified Arabic"/>
            <w:szCs w:val="24"/>
            <w:lang w:eastAsia="en-CA"/>
          </w:rPr>
          <w:t>3</w:t>
        </w:r>
      </w:hyperlink>
      <w:r w:rsidRPr="00376EDB">
        <w:rPr>
          <w:rStyle w:val="Hyperlink"/>
          <w:rFonts w:cs="Simplified Arabic" w:hint="cs"/>
          <w:color w:val="auto"/>
          <w:szCs w:val="24"/>
          <w:u w:val="none"/>
          <w:rtl/>
          <w:lang w:eastAsia="en-CA"/>
        </w:rPr>
        <w:t xml:space="preserve">، </w:t>
      </w:r>
      <w:r w:rsidRPr="00376EDB">
        <w:rPr>
          <w:rStyle w:val="Hyperlink"/>
          <w:rFonts w:cs="Simplified Arabic"/>
          <w:color w:val="000000" w:themeColor="text1"/>
          <w:szCs w:val="24"/>
          <w:u w:val="none"/>
          <w:rtl/>
          <w:lang w:eastAsia="en-CA"/>
        </w:rPr>
        <w:t xml:space="preserve">الفقرة </w:t>
      </w:r>
      <w:r w:rsidR="00426E19">
        <w:rPr>
          <w:rStyle w:val="Hyperlink"/>
          <w:rFonts w:cs="Simplified Arabic" w:hint="cs"/>
          <w:color w:val="000000" w:themeColor="text1"/>
          <w:szCs w:val="24"/>
          <w:u w:val="none"/>
          <w:rtl/>
          <w:lang w:eastAsia="en-CA"/>
        </w:rPr>
        <w:t>12</w:t>
      </w:r>
      <w:r w:rsidRPr="00376EDB">
        <w:rPr>
          <w:rStyle w:val="Hyperlink"/>
          <w:rFonts w:cs="Simplified Arabic"/>
          <w:color w:val="000000" w:themeColor="text1"/>
          <w:szCs w:val="24"/>
          <w:u w:val="none"/>
          <w:rtl/>
          <w:lang w:eastAsia="en-CA"/>
        </w:rPr>
        <w:t>)</w:t>
      </w:r>
      <w:r w:rsidRPr="00376EDB">
        <w:rPr>
          <w:rStyle w:val="Hyperlink"/>
          <w:rFonts w:cs="Simplified Arabic"/>
          <w:color w:val="auto"/>
          <w:szCs w:val="24"/>
          <w:u w:val="none"/>
          <w:rtl/>
          <w:lang w:eastAsia="en-CA"/>
        </w:rPr>
        <w:t>.</w:t>
      </w:r>
    </w:p>
    <w:p w:rsidR="00376EDB" w:rsidRDefault="00376EDB" w:rsidP="00376EDB">
      <w:pPr>
        <w:pStyle w:val="Para1"/>
        <w:numPr>
          <w:ilvl w:val="0"/>
          <w:numId w:val="19"/>
        </w:numPr>
        <w:pBdr>
          <w:top w:val="nil"/>
          <w:left w:val="nil"/>
          <w:bottom w:val="nil"/>
          <w:right w:val="nil"/>
          <w:between w:val="nil"/>
          <w:bar w:val="nil"/>
        </w:pBdr>
        <w:bidi/>
        <w:ind w:left="0" w:firstLine="0"/>
        <w:rPr>
          <w:rFonts w:ascii="Simplified Arabic" w:hAnsi="Simplified Arabic" w:cs="Simplified Arabic"/>
          <w:snapToGrid/>
          <w:spacing w:val="-1"/>
          <w:kern w:val="22"/>
          <w:sz w:val="24"/>
          <w:szCs w:val="24"/>
        </w:rPr>
      </w:pPr>
      <w:r>
        <w:rPr>
          <w:rFonts w:ascii="Simplified Arabic" w:hAnsi="Simplified Arabic" w:cs="Simplified Arabic" w:hint="cs"/>
          <w:snapToGrid/>
          <w:spacing w:val="-1"/>
          <w:kern w:val="22"/>
          <w:sz w:val="24"/>
          <w:szCs w:val="24"/>
          <w:rtl/>
        </w:rPr>
        <w:t>وأنشأ مؤتمر الأطراف العامل كاجتماع للأطراف في البروتوكول اللجنة الاستشارية غير الرسمية لمساعدة الأمينة التنفيذية في تنفيذ غرفة تبادل المعلومات بشأن الحصول وتقاسم المنافع ولتقديم إرشادات تقنية فيما يتعلق بتسوية المشاكل التقنية والعمل</w:t>
      </w:r>
      <w:r w:rsidR="00426E19">
        <w:rPr>
          <w:rFonts w:ascii="Simplified Arabic" w:hAnsi="Simplified Arabic" w:cs="Simplified Arabic" w:hint="cs"/>
          <w:snapToGrid/>
          <w:spacing w:val="-1"/>
          <w:kern w:val="22"/>
          <w:sz w:val="24"/>
          <w:szCs w:val="24"/>
          <w:rtl/>
        </w:rPr>
        <w:t>ية الناشئة عن التطوير الجاري لغ</w:t>
      </w:r>
      <w:r>
        <w:rPr>
          <w:rFonts w:ascii="Simplified Arabic" w:hAnsi="Simplified Arabic" w:cs="Simplified Arabic" w:hint="cs"/>
          <w:snapToGrid/>
          <w:spacing w:val="-1"/>
          <w:kern w:val="22"/>
          <w:sz w:val="24"/>
          <w:szCs w:val="24"/>
          <w:rtl/>
        </w:rPr>
        <w:t>رفة تبادل المعلومات بشأن الحصول وتقاسم المنافع.</w:t>
      </w:r>
    </w:p>
    <w:p w:rsidR="00376EDB" w:rsidRDefault="004965E0" w:rsidP="00426E19">
      <w:pPr>
        <w:pStyle w:val="Para1"/>
        <w:numPr>
          <w:ilvl w:val="0"/>
          <w:numId w:val="19"/>
        </w:numPr>
        <w:pBdr>
          <w:top w:val="nil"/>
          <w:left w:val="nil"/>
          <w:bottom w:val="nil"/>
          <w:right w:val="nil"/>
          <w:between w:val="nil"/>
          <w:bar w:val="nil"/>
        </w:pBdr>
        <w:bidi/>
        <w:ind w:left="0" w:firstLine="0"/>
        <w:rPr>
          <w:rFonts w:ascii="Simplified Arabic" w:hAnsi="Simplified Arabic" w:cs="Simplified Arabic"/>
          <w:snapToGrid/>
          <w:spacing w:val="-1"/>
          <w:kern w:val="22"/>
          <w:sz w:val="24"/>
          <w:szCs w:val="24"/>
        </w:rPr>
      </w:pPr>
      <w:r>
        <w:rPr>
          <w:rFonts w:ascii="Simplified Arabic" w:hAnsi="Simplified Arabic" w:cs="Simplified Arabic" w:hint="cs"/>
          <w:snapToGrid/>
          <w:spacing w:val="-1"/>
          <w:kern w:val="22"/>
          <w:sz w:val="24"/>
          <w:szCs w:val="24"/>
          <w:rtl/>
        </w:rPr>
        <w:t xml:space="preserve">وفي الاجتماع الثالث للأطراف في البروتوكول، قررت الأطراف </w:t>
      </w:r>
      <w:r w:rsidRPr="004965E0">
        <w:rPr>
          <w:rFonts w:ascii="Simplified Arabic" w:eastAsia="Times New Roman" w:hAnsi="Simplified Arabic" w:cs="Simplified Arabic"/>
          <w:kern w:val="22"/>
          <w:sz w:val="24"/>
          <w:szCs w:val="24"/>
          <w:rtl/>
          <w:lang w:bidi="ar-EG"/>
        </w:rPr>
        <w:t xml:space="preserve">أن </w:t>
      </w:r>
      <w:r w:rsidRPr="004965E0">
        <w:rPr>
          <w:rFonts w:ascii="Simplified Arabic" w:eastAsia="Times New Roman" w:hAnsi="Simplified Arabic" w:cs="Simplified Arabic"/>
          <w:sz w:val="24"/>
          <w:szCs w:val="24"/>
          <w:rtl/>
          <w:lang w:val="fr-CH" w:bidi="ar-EG"/>
        </w:rPr>
        <w:t>اللجنة الاستشارية غير الرسمية ستعقد اجتماعا واحدا على الأقل</w:t>
      </w:r>
      <w:r>
        <w:rPr>
          <w:rFonts w:ascii="Simplified Arabic" w:hAnsi="Simplified Arabic" w:cs="Simplified Arabic" w:hint="cs"/>
          <w:snapToGrid/>
          <w:spacing w:val="-1"/>
          <w:kern w:val="22"/>
          <w:sz w:val="24"/>
          <w:szCs w:val="24"/>
          <w:rtl/>
        </w:rPr>
        <w:t xml:space="preserve"> في الفترة الفاصلة بين الدورات (المقرر </w:t>
      </w:r>
      <w:r w:rsidRPr="004965E0">
        <w:rPr>
          <w:snapToGrid/>
          <w:spacing w:val="-1"/>
          <w:kern w:val="22"/>
          <w:szCs w:val="22"/>
          <w:lang w:val="en-US"/>
        </w:rPr>
        <w:t>NP-3/3</w:t>
      </w:r>
      <w:r>
        <w:rPr>
          <w:rFonts w:ascii="Simplified Arabic" w:hAnsi="Simplified Arabic" w:cs="Simplified Arabic" w:hint="cs"/>
          <w:snapToGrid/>
          <w:spacing w:val="-1"/>
          <w:kern w:val="22"/>
          <w:sz w:val="24"/>
          <w:szCs w:val="24"/>
          <w:rtl/>
          <w:lang w:bidi="ar-EG"/>
        </w:rPr>
        <w:t xml:space="preserve">، الفقرة 8). </w:t>
      </w:r>
      <w:r>
        <w:rPr>
          <w:rFonts w:ascii="Simplified Arabic" w:hAnsi="Simplified Arabic" w:cs="Simplified Arabic" w:hint="cs"/>
          <w:snapToGrid/>
          <w:spacing w:val="-1"/>
          <w:kern w:val="22"/>
          <w:sz w:val="24"/>
          <w:szCs w:val="24"/>
          <w:rtl/>
        </w:rPr>
        <w:t xml:space="preserve">وبناء عليه، اجتمعت اللجنة من 2 إلى 4 ديسمبر/كانون الأول 2019، في مونتريال، كندا، وأتيح تقرير ذلك الاجتماع بوصفه الوثيقة </w:t>
      </w:r>
      <w:hyperlink r:id="rId13" w:history="1">
        <w:r w:rsidRPr="004E5DDB">
          <w:rPr>
            <w:rStyle w:val="Hyperlink"/>
            <w:snapToGrid/>
            <w:spacing w:val="-1"/>
            <w:szCs w:val="22"/>
          </w:rPr>
          <w:t>CBD/NP/ABSCH-IAC/2019/1/3</w:t>
        </w:r>
      </w:hyperlink>
      <w:r>
        <w:rPr>
          <w:rFonts w:ascii="Simplified Arabic" w:hAnsi="Simplified Arabic" w:cs="Simplified Arabic" w:hint="cs"/>
          <w:snapToGrid/>
          <w:spacing w:val="-1"/>
          <w:kern w:val="22"/>
          <w:sz w:val="24"/>
          <w:szCs w:val="24"/>
          <w:rtl/>
        </w:rPr>
        <w:t>.</w:t>
      </w:r>
    </w:p>
    <w:p w:rsidR="004965E0" w:rsidRDefault="004965E0" w:rsidP="00A32909">
      <w:pPr>
        <w:pStyle w:val="Para1"/>
        <w:numPr>
          <w:ilvl w:val="0"/>
          <w:numId w:val="19"/>
        </w:numPr>
        <w:pBdr>
          <w:top w:val="nil"/>
          <w:left w:val="nil"/>
          <w:bottom w:val="nil"/>
          <w:right w:val="nil"/>
          <w:between w:val="nil"/>
          <w:bar w:val="nil"/>
        </w:pBdr>
        <w:bidi/>
        <w:ind w:left="0" w:firstLine="0"/>
        <w:rPr>
          <w:rFonts w:cs="Simplified Arabic"/>
          <w:snapToGrid/>
          <w:spacing w:val="-1"/>
          <w:kern w:val="22"/>
          <w:sz w:val="24"/>
          <w:szCs w:val="24"/>
        </w:rPr>
      </w:pPr>
      <w:r>
        <w:rPr>
          <w:rFonts w:ascii="Simplified Arabic" w:hAnsi="Simplified Arabic" w:cs="Simplified Arabic" w:hint="cs"/>
          <w:snapToGrid/>
          <w:spacing w:val="-1"/>
          <w:kern w:val="22"/>
          <w:sz w:val="24"/>
          <w:szCs w:val="24"/>
          <w:rtl/>
        </w:rPr>
        <w:lastRenderedPageBreak/>
        <w:t xml:space="preserve">وكذلك في الاجتماع الثالث للأطراف في البروتوكول، </w:t>
      </w:r>
      <w:r w:rsidR="00A32909">
        <w:rPr>
          <w:rFonts w:ascii="Simplified Arabic" w:hAnsi="Simplified Arabic" w:cs="Simplified Arabic" w:hint="cs"/>
          <w:snapToGrid/>
          <w:spacing w:val="-1"/>
          <w:kern w:val="22"/>
          <w:sz w:val="24"/>
          <w:szCs w:val="24"/>
          <w:rtl/>
        </w:rPr>
        <w:t>صادق</w:t>
      </w:r>
      <w:r>
        <w:rPr>
          <w:rFonts w:ascii="Simplified Arabic" w:hAnsi="Simplified Arabic" w:cs="Simplified Arabic" w:hint="cs"/>
          <w:snapToGrid/>
          <w:spacing w:val="-1"/>
          <w:kern w:val="22"/>
          <w:sz w:val="24"/>
          <w:szCs w:val="24"/>
          <w:rtl/>
        </w:rPr>
        <w:t xml:space="preserve">ت الأطراف </w:t>
      </w:r>
      <w:r w:rsidR="00426E19">
        <w:rPr>
          <w:rFonts w:cs="Simplified Arabic" w:hint="cs"/>
          <w:snapToGrid/>
          <w:spacing w:val="-1"/>
          <w:kern w:val="22"/>
          <w:szCs w:val="24"/>
          <w:rtl/>
        </w:rPr>
        <w:t xml:space="preserve">في المقرر </w:t>
      </w:r>
      <w:r w:rsidR="00426E19">
        <w:rPr>
          <w:rFonts w:cs="Simplified Arabic"/>
          <w:snapToGrid/>
          <w:spacing w:val="-1"/>
          <w:kern w:val="22"/>
          <w:szCs w:val="24"/>
          <w:lang w:val="en-US"/>
        </w:rPr>
        <w:t>NP-3/3</w:t>
      </w:r>
      <w:r w:rsidR="00426E19">
        <w:rPr>
          <w:rFonts w:cs="Simplified Arabic" w:hint="cs"/>
          <w:snapToGrid/>
          <w:spacing w:val="-1"/>
          <w:kern w:val="22"/>
          <w:szCs w:val="24"/>
          <w:rtl/>
        </w:rPr>
        <w:t xml:space="preserve">، الفقرة 6، </w:t>
      </w:r>
      <w:r w:rsidR="00A32909" w:rsidRPr="00A32909">
        <w:rPr>
          <w:rFonts w:cs="Simplified Arabic" w:hint="cs"/>
          <w:snapToGrid/>
          <w:spacing w:val="-1"/>
          <w:kern w:val="22"/>
          <w:szCs w:val="24"/>
          <w:rtl/>
        </w:rPr>
        <w:t xml:space="preserve">على </w:t>
      </w:r>
      <w:r w:rsidR="00A32909" w:rsidRPr="00A32909">
        <w:rPr>
          <w:rFonts w:eastAsia="Times New Roman" w:cs="Simplified Arabic" w:hint="cs"/>
          <w:szCs w:val="24"/>
          <w:rtl/>
          <w:lang w:val="fr-CH" w:bidi="ar-EG"/>
        </w:rPr>
        <w:t xml:space="preserve">الطرائق المشتركة لتشغيل آلية غرفة تبادل المعلومات الخاصة بالاتفاقية، وغرفة تبادل معلومات السلامة الأحيائية، وغرفة تبادل المعلومات بشأن الحصول وتقاسم المنافع </w:t>
      </w:r>
      <w:r w:rsidR="00A32909" w:rsidRPr="00A32909">
        <w:rPr>
          <w:rFonts w:eastAsia="Times New Roman" w:cs="Simplified Arabic" w:hint="cs"/>
          <w:kern w:val="22"/>
          <w:szCs w:val="24"/>
          <w:rtl/>
        </w:rPr>
        <w:t>الواردة في المرفق ب</w:t>
      </w:r>
      <w:r w:rsidR="00A32909">
        <w:rPr>
          <w:rFonts w:eastAsia="Times New Roman" w:cs="Simplified Arabic" w:hint="cs"/>
          <w:kern w:val="22"/>
          <w:szCs w:val="24"/>
          <w:rtl/>
        </w:rPr>
        <w:t>المقر</w:t>
      </w:r>
      <w:r w:rsidR="00A32909" w:rsidRPr="00A32909">
        <w:rPr>
          <w:rFonts w:eastAsia="Times New Roman" w:cs="Simplified Arabic" w:hint="cs"/>
          <w:kern w:val="22"/>
          <w:szCs w:val="24"/>
          <w:rtl/>
        </w:rPr>
        <w:t xml:space="preserve">ر </w:t>
      </w:r>
      <w:hyperlink r:id="rId14" w:history="1">
        <w:r w:rsidR="00A32909" w:rsidRPr="00A32909">
          <w:rPr>
            <w:rStyle w:val="Hyperlink"/>
            <w:rFonts w:eastAsia="Times New Roman" w:cs="Simplified Arabic" w:hint="cs"/>
            <w:kern w:val="22"/>
            <w:szCs w:val="24"/>
            <w:rtl/>
          </w:rPr>
          <w:t>14/25</w:t>
        </w:r>
      </w:hyperlink>
      <w:r w:rsidR="00A32909">
        <w:rPr>
          <w:rFonts w:eastAsia="Times New Roman" w:cs="Simplified Arabic" w:hint="cs"/>
          <w:kern w:val="22"/>
          <w:szCs w:val="24"/>
          <w:rtl/>
        </w:rPr>
        <w:t xml:space="preserve"> الصادر عن مؤتمر الأطراف</w:t>
      </w:r>
      <w:r w:rsidR="00A32909" w:rsidRPr="00A32909">
        <w:rPr>
          <w:rFonts w:eastAsia="Times New Roman" w:cs="Simplified Arabic" w:hint="cs"/>
          <w:kern w:val="22"/>
          <w:szCs w:val="24"/>
          <w:rtl/>
        </w:rPr>
        <w:t xml:space="preserve">، المكملة لطرائق تشغيل </w:t>
      </w:r>
      <w:r w:rsidR="00A32909" w:rsidRPr="00A32909">
        <w:rPr>
          <w:rFonts w:eastAsia="Times New Roman" w:cs="Simplified Arabic"/>
          <w:kern w:val="22"/>
          <w:szCs w:val="24"/>
          <w:rtl/>
        </w:rPr>
        <w:t xml:space="preserve">غرفة تبادل المعلومات بشأن الحصول وتقاسم المنافع </w:t>
      </w:r>
      <w:r w:rsidR="00A32909" w:rsidRPr="00A32909">
        <w:rPr>
          <w:rFonts w:eastAsia="Times New Roman" w:cs="Simplified Arabic" w:hint="cs"/>
          <w:kern w:val="22"/>
          <w:szCs w:val="24"/>
          <w:rtl/>
        </w:rPr>
        <w:t xml:space="preserve">التي اعتمدها مؤتمر الأطراف العامل كاجتماع للأطراف في بروتوكول ناغويا في المقرّر </w:t>
      </w:r>
      <w:r w:rsidR="00650797">
        <w:fldChar w:fldCharType="begin"/>
      </w:r>
      <w:r w:rsidR="00D77D4F">
        <w:instrText>HYPERLINK "https://www.cbd.int/doc/decisions/np-mop-01/np-mop-01-dec-02-ar.pdf"</w:instrText>
      </w:r>
      <w:r w:rsidR="00650797">
        <w:fldChar w:fldCharType="separate"/>
      </w:r>
      <w:r w:rsidR="00A32909" w:rsidRPr="00A32909">
        <w:rPr>
          <w:rFonts w:eastAsia="Times New Roman" w:cs="Simplified Arabic"/>
          <w:color w:val="0000FF"/>
          <w:kern w:val="22"/>
          <w:szCs w:val="24"/>
          <w:u w:val="single"/>
        </w:rPr>
        <w:t>NP-1/2</w:t>
      </w:r>
      <w:r w:rsidR="00650797">
        <w:fldChar w:fldCharType="end"/>
      </w:r>
      <w:r w:rsidR="00A32909">
        <w:rPr>
          <w:rFonts w:cs="Simplified Arabic" w:hint="cs"/>
          <w:snapToGrid/>
          <w:spacing w:val="-1"/>
          <w:kern w:val="22"/>
          <w:sz w:val="24"/>
          <w:szCs w:val="24"/>
          <w:rtl/>
        </w:rPr>
        <w:t>.</w:t>
      </w:r>
    </w:p>
    <w:p w:rsidR="00A32909" w:rsidRDefault="00A32909" w:rsidP="00426E19">
      <w:pPr>
        <w:pStyle w:val="Para1"/>
        <w:numPr>
          <w:ilvl w:val="0"/>
          <w:numId w:val="19"/>
        </w:numPr>
        <w:pBdr>
          <w:top w:val="nil"/>
          <w:left w:val="nil"/>
          <w:bottom w:val="nil"/>
          <w:right w:val="nil"/>
          <w:between w:val="nil"/>
          <w:bar w:val="nil"/>
        </w:pBdr>
        <w:bidi/>
        <w:ind w:left="0" w:firstLine="0"/>
        <w:rPr>
          <w:rFonts w:cs="Simplified Arabic"/>
          <w:snapToGrid/>
          <w:spacing w:val="-1"/>
          <w:kern w:val="22"/>
          <w:sz w:val="24"/>
          <w:szCs w:val="24"/>
        </w:rPr>
      </w:pPr>
      <w:r>
        <w:rPr>
          <w:rFonts w:cs="Simplified Arabic" w:hint="cs"/>
          <w:snapToGrid/>
          <w:spacing w:val="-1"/>
          <w:kern w:val="22"/>
          <w:sz w:val="24"/>
          <w:szCs w:val="24"/>
          <w:rtl/>
        </w:rPr>
        <w:t>وتهدف الوثيقة الحالية إلى مساعدة الأطراف في تقييم التقدم المحرز وفي تحديد الإجراءات الممكنة لمزيد من تحسين غرفة تبادل المعلومات بشأن الحصول وتقاسم المنافع. و</w:t>
      </w:r>
      <w:r w:rsidR="00625C9C">
        <w:rPr>
          <w:rFonts w:cs="Simplified Arabic" w:hint="cs"/>
          <w:snapToGrid/>
          <w:spacing w:val="-1"/>
          <w:kern w:val="22"/>
          <w:sz w:val="24"/>
          <w:szCs w:val="24"/>
          <w:rtl/>
          <w:lang w:val="en-US" w:bidi="ar-EG"/>
        </w:rPr>
        <w:t>على هذه ال</w:t>
      </w:r>
      <w:r w:rsidR="00426E19">
        <w:rPr>
          <w:rFonts w:cs="Simplified Arabic" w:hint="cs"/>
          <w:snapToGrid/>
          <w:spacing w:val="-1"/>
          <w:kern w:val="22"/>
          <w:sz w:val="24"/>
          <w:szCs w:val="24"/>
          <w:rtl/>
          <w:lang w:val="en-US" w:bidi="ar-EG"/>
        </w:rPr>
        <w:t>خ</w:t>
      </w:r>
      <w:r w:rsidR="00625C9C">
        <w:rPr>
          <w:rFonts w:cs="Simplified Arabic" w:hint="cs"/>
          <w:snapToGrid/>
          <w:spacing w:val="-1"/>
          <w:kern w:val="22"/>
          <w:sz w:val="24"/>
          <w:szCs w:val="24"/>
          <w:rtl/>
          <w:lang w:val="en-US" w:bidi="ar-EG"/>
        </w:rPr>
        <w:t>لفية، يعرض القسم الثاني من الوثيقة التقدم المحرز في تشغيل غرفة تبادل المعلومات بشأن الحصول وتقاسم المنافع منذ الاجتماع الثالث لمؤتمر الأطراف العامل كاجتماع للأطراف في البروتوكول. ويقترح القسم الثالث الأولويات ل</w:t>
      </w:r>
      <w:r w:rsidR="00426E19">
        <w:rPr>
          <w:rFonts w:cs="Simplified Arabic" w:hint="cs"/>
          <w:snapToGrid/>
          <w:spacing w:val="-1"/>
          <w:kern w:val="22"/>
          <w:sz w:val="24"/>
          <w:szCs w:val="24"/>
          <w:rtl/>
          <w:lang w:val="en-US" w:bidi="ar-EG"/>
        </w:rPr>
        <w:t>مواصلة ا</w:t>
      </w:r>
      <w:r w:rsidR="00625C9C">
        <w:rPr>
          <w:rFonts w:cs="Simplified Arabic" w:hint="cs"/>
          <w:snapToGrid/>
          <w:spacing w:val="-1"/>
          <w:kern w:val="22"/>
          <w:sz w:val="24"/>
          <w:szCs w:val="24"/>
          <w:rtl/>
          <w:lang w:val="en-US" w:bidi="ar-EG"/>
        </w:rPr>
        <w:t>لتطوير المستقبلي والإدارة لغرفة تبادل المعلومات بشأن الحصول وتقاسم المنافع</w:t>
      </w:r>
      <w:r w:rsidR="00625C9C">
        <w:rPr>
          <w:rFonts w:cs="Simplified Arabic" w:hint="cs"/>
          <w:snapToGrid/>
          <w:spacing w:val="-1"/>
          <w:kern w:val="22"/>
          <w:sz w:val="24"/>
          <w:szCs w:val="24"/>
          <w:rtl/>
          <w:lang w:bidi="ar-EG"/>
        </w:rPr>
        <w:t>.</w:t>
      </w:r>
    </w:p>
    <w:p w:rsidR="00625C9C" w:rsidRDefault="00625C9C" w:rsidP="00A32909">
      <w:pPr>
        <w:pStyle w:val="Para1"/>
        <w:numPr>
          <w:ilvl w:val="0"/>
          <w:numId w:val="19"/>
        </w:numPr>
        <w:pBdr>
          <w:top w:val="nil"/>
          <w:left w:val="nil"/>
          <w:bottom w:val="nil"/>
          <w:right w:val="nil"/>
          <w:between w:val="nil"/>
          <w:bar w:val="nil"/>
        </w:pBdr>
        <w:bidi/>
        <w:ind w:left="0" w:firstLine="0"/>
        <w:rPr>
          <w:rFonts w:cs="Simplified Arabic"/>
          <w:snapToGrid/>
          <w:spacing w:val="-1"/>
          <w:kern w:val="22"/>
          <w:sz w:val="24"/>
          <w:szCs w:val="24"/>
        </w:rPr>
      </w:pPr>
      <w:r>
        <w:rPr>
          <w:rFonts w:cs="Simplified Arabic" w:hint="cs"/>
          <w:snapToGrid/>
          <w:spacing w:val="-1"/>
          <w:kern w:val="22"/>
          <w:sz w:val="24"/>
          <w:szCs w:val="24"/>
          <w:rtl/>
          <w:lang w:bidi="ar-EG"/>
        </w:rPr>
        <w:t xml:space="preserve">وختاما، يحتوي القسم الرابع على عناصر مقترحة لمشروع مقرر لنظر مؤتمر الأطراف </w:t>
      </w:r>
      <w:r>
        <w:rPr>
          <w:rFonts w:cs="Simplified Arabic" w:hint="cs"/>
          <w:snapToGrid/>
          <w:spacing w:val="-1"/>
          <w:kern w:val="22"/>
          <w:sz w:val="24"/>
          <w:szCs w:val="24"/>
          <w:rtl/>
          <w:lang w:val="en-US" w:bidi="ar-EG"/>
        </w:rPr>
        <w:t>العامل كاجتماع للأطراف في البروتوكول</w:t>
      </w:r>
      <w:r>
        <w:rPr>
          <w:rFonts w:cs="Simplified Arabic" w:hint="cs"/>
          <w:snapToGrid/>
          <w:spacing w:val="-1"/>
          <w:kern w:val="22"/>
          <w:sz w:val="24"/>
          <w:szCs w:val="24"/>
          <w:rtl/>
          <w:lang w:bidi="ar-EG"/>
        </w:rPr>
        <w:t xml:space="preserve"> في اجتماعه الرابع.</w:t>
      </w:r>
    </w:p>
    <w:p w:rsidR="00625C9C" w:rsidRPr="00625C9C" w:rsidRDefault="00625C9C" w:rsidP="00625C9C">
      <w:pPr>
        <w:pStyle w:val="Para1"/>
        <w:numPr>
          <w:ilvl w:val="0"/>
          <w:numId w:val="0"/>
        </w:numPr>
        <w:pBdr>
          <w:top w:val="nil"/>
          <w:left w:val="nil"/>
          <w:bottom w:val="nil"/>
          <w:right w:val="nil"/>
          <w:between w:val="nil"/>
          <w:bar w:val="nil"/>
        </w:pBdr>
        <w:tabs>
          <w:tab w:val="left" w:pos="1080"/>
        </w:tabs>
        <w:bidi/>
        <w:jc w:val="center"/>
        <w:rPr>
          <w:rFonts w:cs="Simplified Arabic"/>
          <w:b/>
          <w:bCs/>
          <w:snapToGrid/>
          <w:spacing w:val="-1"/>
          <w:kern w:val="22"/>
          <w:sz w:val="28"/>
          <w:szCs w:val="28"/>
          <w:lang w:bidi="ar-EG"/>
        </w:rPr>
      </w:pPr>
      <w:r w:rsidRPr="00625C9C">
        <w:rPr>
          <w:rFonts w:cs="Simplified Arabic" w:hint="cs"/>
          <w:b/>
          <w:bCs/>
          <w:snapToGrid/>
          <w:spacing w:val="-1"/>
          <w:kern w:val="22"/>
          <w:sz w:val="28"/>
          <w:szCs w:val="28"/>
          <w:rtl/>
        </w:rPr>
        <w:t>ثانيا -</w:t>
      </w:r>
      <w:r w:rsidRPr="00625C9C">
        <w:rPr>
          <w:rFonts w:cs="Simplified Arabic" w:hint="cs"/>
          <w:b/>
          <w:bCs/>
          <w:snapToGrid/>
          <w:spacing w:val="-1"/>
          <w:kern w:val="22"/>
          <w:sz w:val="28"/>
          <w:szCs w:val="28"/>
          <w:rtl/>
        </w:rPr>
        <w:tab/>
        <w:t xml:space="preserve">تقرير مرحلي عن تشغيل </w:t>
      </w:r>
      <w:r w:rsidRPr="00625C9C">
        <w:rPr>
          <w:rFonts w:cs="Simplified Arabic" w:hint="cs"/>
          <w:b/>
          <w:bCs/>
          <w:snapToGrid/>
          <w:spacing w:val="-1"/>
          <w:kern w:val="22"/>
          <w:sz w:val="28"/>
          <w:szCs w:val="28"/>
          <w:rtl/>
          <w:lang w:val="en-US" w:bidi="ar-EG"/>
        </w:rPr>
        <w:t>غرفة تبادل المعلومات بشأن الحصول وتقاسم المنافع</w:t>
      </w:r>
    </w:p>
    <w:p w:rsidR="00625C9C" w:rsidRPr="00625C9C" w:rsidRDefault="00625C9C" w:rsidP="00D707CD">
      <w:pPr>
        <w:pStyle w:val="Para1"/>
        <w:numPr>
          <w:ilvl w:val="0"/>
          <w:numId w:val="19"/>
        </w:numPr>
        <w:pBdr>
          <w:top w:val="nil"/>
          <w:left w:val="nil"/>
          <w:bottom w:val="nil"/>
          <w:right w:val="nil"/>
          <w:between w:val="nil"/>
          <w:bar w:val="nil"/>
        </w:pBdr>
        <w:bidi/>
        <w:ind w:left="0" w:firstLine="0"/>
        <w:rPr>
          <w:rFonts w:cs="Simplified Arabic"/>
          <w:snapToGrid/>
          <w:spacing w:val="-1"/>
          <w:kern w:val="22"/>
          <w:sz w:val="24"/>
          <w:szCs w:val="24"/>
        </w:rPr>
      </w:pPr>
      <w:r>
        <w:rPr>
          <w:rFonts w:cs="Simplified Arabic" w:hint="cs"/>
          <w:snapToGrid/>
          <w:spacing w:val="-1"/>
          <w:kern w:val="22"/>
          <w:sz w:val="24"/>
          <w:szCs w:val="24"/>
          <w:rtl/>
          <w:lang w:bidi="ar-EG"/>
        </w:rPr>
        <w:t xml:space="preserve">يقيّم القسم الحالي التقدم الذي أحرزته الأمانة والأطراف والمستخدمين الآخرين في تشغيل </w:t>
      </w:r>
      <w:r>
        <w:rPr>
          <w:rFonts w:cs="Simplified Arabic" w:hint="cs"/>
          <w:snapToGrid/>
          <w:spacing w:val="-1"/>
          <w:kern w:val="22"/>
          <w:sz w:val="24"/>
          <w:szCs w:val="24"/>
          <w:rtl/>
          <w:lang w:val="en-US" w:bidi="ar-EG"/>
        </w:rPr>
        <w:t>غرفة تبادل المعلومات بشأن الحصول وتقاسم المنافع تبعا للأهداف والأولويات الإرشادية لتنفيذ</w:t>
      </w:r>
      <w:r w:rsidR="00D707CD">
        <w:rPr>
          <w:rFonts w:cs="Simplified Arabic" w:hint="cs"/>
          <w:snapToGrid/>
          <w:spacing w:val="-1"/>
          <w:kern w:val="22"/>
          <w:sz w:val="24"/>
          <w:szCs w:val="24"/>
          <w:rtl/>
          <w:lang w:val="en-US" w:bidi="ar-EG"/>
        </w:rPr>
        <w:t>ها</w:t>
      </w:r>
      <w:r>
        <w:rPr>
          <w:rFonts w:cs="Simplified Arabic" w:hint="cs"/>
          <w:snapToGrid/>
          <w:spacing w:val="-1"/>
          <w:kern w:val="22"/>
          <w:sz w:val="24"/>
          <w:szCs w:val="24"/>
          <w:rtl/>
          <w:lang w:val="en-US" w:bidi="ar-EG"/>
        </w:rPr>
        <w:t xml:space="preserve"> في المستقبل، وفقا لطرائق التشغيل والتعقيبات المستلمة، وخاصة من الأطراف واللجنة الاستشارية غير الرسمية، منذ الاجتماع الثالث للأطراف في بروتوكول ناغويا وحسب المطلوب في المقرر </w:t>
      </w:r>
      <w:r w:rsidRPr="00625C9C">
        <w:rPr>
          <w:rFonts w:cs="Simplified Arabic"/>
          <w:snapToGrid/>
          <w:spacing w:val="-1"/>
          <w:kern w:val="22"/>
          <w:szCs w:val="22"/>
          <w:lang w:val="en-US" w:bidi="ar-EG"/>
        </w:rPr>
        <w:t>NP-3/3</w:t>
      </w:r>
      <w:r>
        <w:rPr>
          <w:rFonts w:cs="Simplified Arabic" w:hint="cs"/>
          <w:snapToGrid/>
          <w:spacing w:val="-1"/>
          <w:kern w:val="22"/>
          <w:sz w:val="24"/>
          <w:szCs w:val="24"/>
          <w:rtl/>
          <w:lang w:val="en-US" w:bidi="ar-EG"/>
        </w:rPr>
        <w:t>، الفقرة 12.</w:t>
      </w:r>
    </w:p>
    <w:p w:rsidR="00625C9C" w:rsidRPr="00A4021C" w:rsidRDefault="00625C9C" w:rsidP="00E50686">
      <w:pPr>
        <w:pBdr>
          <w:top w:val="nil"/>
          <w:left w:val="nil"/>
          <w:bottom w:val="nil"/>
          <w:right w:val="nil"/>
          <w:between w:val="nil"/>
          <w:bar w:val="nil"/>
        </w:pBdr>
        <w:shd w:val="clear" w:color="auto" w:fill="FFFFFF" w:themeFill="background1"/>
        <w:spacing w:after="120"/>
        <w:ind w:left="1080" w:hanging="1080"/>
        <w:jc w:val="left"/>
        <w:rPr>
          <w:rFonts w:ascii="Simplified Arabic" w:eastAsia="Times New Roman" w:hAnsi="Simplified Arabic"/>
          <w:b/>
          <w:bCs/>
          <w:kern w:val="22"/>
          <w:sz w:val="24"/>
          <w:rtl/>
          <w:lang w:val="en-GB"/>
        </w:rPr>
      </w:pPr>
      <w:r w:rsidRPr="00EA6B05">
        <w:rPr>
          <w:rFonts w:hint="cs"/>
          <w:b/>
          <w:bCs/>
          <w:spacing w:val="-1"/>
          <w:kern w:val="22"/>
          <w:sz w:val="24"/>
          <w:rtl/>
        </w:rPr>
        <w:t>الهدف 1.</w:t>
      </w:r>
      <w:r w:rsidR="00E50686">
        <w:rPr>
          <w:rFonts w:hint="cs"/>
          <w:b/>
          <w:bCs/>
          <w:spacing w:val="-1"/>
          <w:kern w:val="22"/>
          <w:sz w:val="24"/>
          <w:rtl/>
        </w:rPr>
        <w:tab/>
      </w:r>
      <w:r>
        <w:rPr>
          <w:rFonts w:ascii="Simplified Arabic" w:eastAsia="Times New Roman" w:hAnsi="Simplified Arabic" w:hint="cs"/>
          <w:b/>
          <w:bCs/>
          <w:kern w:val="22"/>
          <w:sz w:val="24"/>
          <w:rtl/>
          <w:lang w:val="en-GB"/>
        </w:rPr>
        <w:t>شغل</w:t>
      </w:r>
      <w:r w:rsidRPr="00A4021C">
        <w:rPr>
          <w:rFonts w:ascii="Simplified Arabic" w:eastAsia="Times New Roman" w:hAnsi="Simplified Arabic" w:hint="cs"/>
          <w:b/>
          <w:bCs/>
          <w:kern w:val="22"/>
          <w:sz w:val="24"/>
          <w:rtl/>
          <w:lang w:val="en-GB"/>
        </w:rPr>
        <w:t xml:space="preserve"> </w:t>
      </w:r>
      <w:r w:rsidRPr="00A4021C">
        <w:rPr>
          <w:rFonts w:ascii="Simplified Arabic" w:eastAsia="Times New Roman" w:hAnsi="Simplified Arabic"/>
          <w:b/>
          <w:bCs/>
          <w:kern w:val="22"/>
          <w:sz w:val="24"/>
          <w:rtl/>
          <w:lang w:val="en-GB"/>
        </w:rPr>
        <w:t xml:space="preserve">غرفة تبادل المعلومات بشأن الحصول وتقاسم المنافع </w:t>
      </w:r>
      <w:r>
        <w:rPr>
          <w:rFonts w:ascii="Simplified Arabic" w:eastAsia="Times New Roman" w:hAnsi="Simplified Arabic" w:hint="cs"/>
          <w:b/>
          <w:bCs/>
          <w:kern w:val="22"/>
          <w:sz w:val="24"/>
          <w:rtl/>
          <w:lang w:val="en-GB"/>
        </w:rPr>
        <w:t>وزيادة استخدامها</w:t>
      </w:r>
    </w:p>
    <w:p w:rsidR="00625C9C" w:rsidRPr="00EA6B05" w:rsidRDefault="00625C9C" w:rsidP="00EA6B05">
      <w:pPr>
        <w:pBdr>
          <w:top w:val="nil"/>
          <w:left w:val="nil"/>
          <w:bottom w:val="nil"/>
          <w:right w:val="nil"/>
          <w:between w:val="nil"/>
          <w:bar w:val="nil"/>
        </w:pBdr>
        <w:shd w:val="clear" w:color="auto" w:fill="FFFFFF" w:themeFill="background1"/>
        <w:spacing w:after="120"/>
        <w:jc w:val="both"/>
        <w:rPr>
          <w:rFonts w:ascii="Simplified Arabic" w:eastAsia="Times New Roman" w:hAnsi="Simplified Arabic"/>
          <w:i/>
          <w:iCs/>
          <w:kern w:val="22"/>
          <w:sz w:val="24"/>
          <w:lang w:val="en-GB"/>
        </w:rPr>
      </w:pPr>
      <w:r w:rsidRPr="00A4021C">
        <w:rPr>
          <w:rFonts w:ascii="Simplified Arabic" w:eastAsia="Times New Roman" w:hAnsi="Simplified Arabic" w:hint="cs"/>
          <w:i/>
          <w:iCs/>
          <w:kern w:val="22"/>
          <w:sz w:val="24"/>
          <w:rtl/>
          <w:lang w:val="en-GB"/>
        </w:rPr>
        <w:t>التواصل والمشاركة</w:t>
      </w:r>
    </w:p>
    <w:p w:rsidR="00625C9C" w:rsidRPr="00EA6B05" w:rsidRDefault="00EA6B05" w:rsidP="00D707CD">
      <w:pPr>
        <w:pStyle w:val="Para1"/>
        <w:numPr>
          <w:ilvl w:val="0"/>
          <w:numId w:val="19"/>
        </w:numPr>
        <w:pBdr>
          <w:top w:val="nil"/>
          <w:left w:val="nil"/>
          <w:bottom w:val="nil"/>
          <w:right w:val="nil"/>
          <w:between w:val="nil"/>
          <w:bar w:val="nil"/>
        </w:pBdr>
        <w:bidi/>
        <w:ind w:left="0" w:firstLine="0"/>
        <w:rPr>
          <w:rFonts w:ascii="Simplified Arabic" w:hAnsi="Simplified Arabic" w:cs="Simplified Arabic"/>
          <w:snapToGrid/>
          <w:spacing w:val="-1"/>
          <w:kern w:val="22"/>
          <w:sz w:val="24"/>
          <w:szCs w:val="24"/>
        </w:rPr>
      </w:pPr>
      <w:r>
        <w:rPr>
          <w:rFonts w:ascii="Simplified Arabic" w:eastAsia="Times New Roman" w:hAnsi="Simplified Arabic" w:cs="Simplified Arabic" w:hint="cs"/>
          <w:kern w:val="22"/>
          <w:sz w:val="24"/>
          <w:szCs w:val="24"/>
          <w:rtl/>
        </w:rPr>
        <w:t xml:space="preserve">شدد مؤتمر الأطراف العامل كاجتماع للأطراف في بروتوكول ناغويا من خلال مقررات عديدة تستمر في إبراز الصلة الحيوية بين غرفة تبادل المعلومات بشأن الحصول وتقاسم المنافع والتنفيذ الناجح للبروتوكول على أهمية زيادة </w:t>
      </w:r>
      <w:r w:rsidR="00D707CD">
        <w:rPr>
          <w:rFonts w:ascii="Simplified Arabic" w:eastAsia="Times New Roman" w:hAnsi="Simplified Arabic" w:cs="Simplified Arabic" w:hint="cs"/>
          <w:kern w:val="22"/>
          <w:sz w:val="24"/>
          <w:szCs w:val="24"/>
          <w:rtl/>
        </w:rPr>
        <w:t>حجم</w:t>
      </w:r>
      <w:r>
        <w:rPr>
          <w:rFonts w:ascii="Simplified Arabic" w:eastAsia="Times New Roman" w:hAnsi="Simplified Arabic" w:cs="Simplified Arabic" w:hint="cs"/>
          <w:kern w:val="22"/>
          <w:sz w:val="24"/>
          <w:szCs w:val="24"/>
          <w:rtl/>
        </w:rPr>
        <w:t xml:space="preserve"> المعلومات الواردة في غرفة تبادل المعلومات بشأن الحصول وتقاسم المنافع واستخدامها، خاصة </w:t>
      </w:r>
      <w:r w:rsidRPr="00EA6B05">
        <w:rPr>
          <w:rFonts w:ascii="Simplified Arabic" w:eastAsia="Times New Roman" w:hAnsi="Simplified Arabic" w:cs="Simplified Arabic"/>
          <w:kern w:val="22"/>
          <w:sz w:val="24"/>
          <w:szCs w:val="24"/>
          <w:rtl/>
        </w:rPr>
        <w:t xml:space="preserve">المعلومات الوطنية </w:t>
      </w:r>
      <w:r>
        <w:rPr>
          <w:rFonts w:ascii="Simplified Arabic" w:eastAsia="Times New Roman" w:hAnsi="Simplified Arabic" w:cs="Simplified Arabic" w:hint="cs"/>
          <w:kern w:val="22"/>
          <w:sz w:val="24"/>
          <w:szCs w:val="24"/>
          <w:rtl/>
        </w:rPr>
        <w:t>التي يجب أن تتيحها الأطراف وفقا للبروتوكول</w:t>
      </w:r>
      <w:r w:rsidR="00D707CD">
        <w:rPr>
          <w:rFonts w:ascii="Simplified Arabic" w:eastAsia="Times New Roman" w:hAnsi="Simplified Arabic" w:cs="Simplified Arabic" w:hint="cs"/>
          <w:kern w:val="22"/>
          <w:sz w:val="24"/>
          <w:szCs w:val="24"/>
          <w:rtl/>
        </w:rPr>
        <w:t>.</w:t>
      </w:r>
      <w:r>
        <w:rPr>
          <w:rFonts w:ascii="Simplified Arabic" w:eastAsia="Times New Roman" w:hAnsi="Simplified Arabic" w:cs="Simplified Arabic" w:hint="cs"/>
          <w:kern w:val="22"/>
          <w:sz w:val="24"/>
          <w:szCs w:val="24"/>
          <w:rtl/>
        </w:rPr>
        <w:t xml:space="preserve"> وتسلط هذه المقررات الضوء أيضا على أهمية ضمان أن جميع الأطراف </w:t>
      </w:r>
      <w:r w:rsidR="00D707CD">
        <w:rPr>
          <w:rFonts w:ascii="Simplified Arabic" w:eastAsia="Times New Roman" w:hAnsi="Simplified Arabic" w:cs="Simplified Arabic" w:hint="cs"/>
          <w:kern w:val="22"/>
          <w:sz w:val="24"/>
          <w:szCs w:val="24"/>
          <w:rtl/>
        </w:rPr>
        <w:t>ل</w:t>
      </w:r>
      <w:r>
        <w:rPr>
          <w:rFonts w:ascii="Simplified Arabic" w:eastAsia="Times New Roman" w:hAnsi="Simplified Arabic" w:cs="Simplified Arabic" w:hint="cs"/>
          <w:kern w:val="22"/>
          <w:sz w:val="24"/>
          <w:szCs w:val="24"/>
          <w:rtl/>
        </w:rPr>
        <w:t>ديها القدرة على استخدام</w:t>
      </w:r>
      <w:r w:rsidR="00D707CD">
        <w:rPr>
          <w:rFonts w:ascii="Simplified Arabic" w:eastAsia="Times New Roman" w:hAnsi="Simplified Arabic" w:cs="Simplified Arabic" w:hint="cs"/>
          <w:kern w:val="22"/>
          <w:sz w:val="24"/>
          <w:szCs w:val="24"/>
          <w:rtl/>
        </w:rPr>
        <w:t>ها</w:t>
      </w:r>
      <w:r>
        <w:rPr>
          <w:rFonts w:ascii="Simplified Arabic" w:eastAsia="Times New Roman" w:hAnsi="Simplified Arabic" w:cs="Simplified Arabic" w:hint="cs"/>
          <w:kern w:val="22"/>
          <w:sz w:val="24"/>
          <w:szCs w:val="24"/>
          <w:rtl/>
        </w:rPr>
        <w:t xml:space="preserve"> وشغلها بمعلوماتها المطلوبة.</w:t>
      </w:r>
    </w:p>
    <w:p w:rsidR="00625C9C" w:rsidRDefault="00EA6B05" w:rsidP="00D707CD">
      <w:pPr>
        <w:pStyle w:val="Para1"/>
        <w:numPr>
          <w:ilvl w:val="0"/>
          <w:numId w:val="19"/>
        </w:numPr>
        <w:pBdr>
          <w:top w:val="nil"/>
          <w:left w:val="nil"/>
          <w:bottom w:val="nil"/>
          <w:right w:val="nil"/>
          <w:between w:val="nil"/>
          <w:bar w:val="nil"/>
        </w:pBdr>
        <w:bidi/>
        <w:ind w:left="0" w:firstLine="0"/>
        <w:rPr>
          <w:rFonts w:cs="Simplified Arabic"/>
          <w:snapToGrid/>
          <w:spacing w:val="-1"/>
          <w:kern w:val="22"/>
          <w:sz w:val="24"/>
          <w:szCs w:val="24"/>
        </w:rPr>
      </w:pPr>
      <w:r>
        <w:rPr>
          <w:rFonts w:cs="Simplified Arabic" w:hint="cs"/>
          <w:snapToGrid/>
          <w:spacing w:val="-1"/>
          <w:kern w:val="22"/>
          <w:sz w:val="24"/>
          <w:szCs w:val="24"/>
          <w:rtl/>
        </w:rPr>
        <w:t>ومنذ الاجتماع الثالث لمؤتمر الأطراف العامل كاجتماع للأطراف في البروتوكول، زاد العدد الكلي للسجلات الوطنية ب</w:t>
      </w:r>
      <w:r w:rsidR="00D707CD">
        <w:rPr>
          <w:rFonts w:cs="Simplified Arabic" w:hint="cs"/>
          <w:snapToGrid/>
          <w:spacing w:val="-1"/>
          <w:kern w:val="22"/>
          <w:sz w:val="24"/>
          <w:szCs w:val="24"/>
          <w:rtl/>
        </w:rPr>
        <w:t>إ</w:t>
      </w:r>
      <w:r>
        <w:rPr>
          <w:rFonts w:cs="Simplified Arabic" w:hint="cs"/>
          <w:snapToGrid/>
          <w:spacing w:val="-1"/>
          <w:kern w:val="22"/>
          <w:sz w:val="24"/>
          <w:szCs w:val="24"/>
          <w:rtl/>
        </w:rPr>
        <w:t>طراد، على النحو الم</w:t>
      </w:r>
      <w:r w:rsidR="00D707CD">
        <w:rPr>
          <w:rFonts w:cs="Simplified Arabic" w:hint="cs"/>
          <w:snapToGrid/>
          <w:spacing w:val="-1"/>
          <w:kern w:val="22"/>
          <w:sz w:val="24"/>
          <w:szCs w:val="24"/>
          <w:rtl/>
        </w:rPr>
        <w:t>بين في الشكل 1 أدناه، وخاصة زاد عدد</w:t>
      </w:r>
      <w:r>
        <w:rPr>
          <w:rFonts w:cs="Simplified Arabic" w:hint="cs"/>
          <w:snapToGrid/>
          <w:spacing w:val="-1"/>
          <w:kern w:val="22"/>
          <w:sz w:val="24"/>
          <w:szCs w:val="24"/>
          <w:rtl/>
        </w:rPr>
        <w:t xml:space="preserve"> سجلات شهادات الامتثال المعترف بها دوليا بثلاثة أضعاف. وترجع هذه الزيادة الكبيرة في سجلات شهادات الامتثال المعترف بها دوليا أساسا إلى النشر الفعال لهذه السج</w:t>
      </w:r>
      <w:r w:rsidR="00D707CD">
        <w:rPr>
          <w:rFonts w:cs="Simplified Arabic" w:hint="cs"/>
          <w:snapToGrid/>
          <w:spacing w:val="-1"/>
          <w:kern w:val="22"/>
          <w:sz w:val="24"/>
          <w:szCs w:val="24"/>
          <w:rtl/>
        </w:rPr>
        <w:t>لا</w:t>
      </w:r>
      <w:r>
        <w:rPr>
          <w:rFonts w:cs="Simplified Arabic" w:hint="cs"/>
          <w:snapToGrid/>
          <w:spacing w:val="-1"/>
          <w:kern w:val="22"/>
          <w:sz w:val="24"/>
          <w:szCs w:val="24"/>
          <w:rtl/>
        </w:rPr>
        <w:t>ت بواسطة ثلاثة أطراف.</w:t>
      </w:r>
      <w:r>
        <w:rPr>
          <w:rStyle w:val="FootnoteReference"/>
          <w:snapToGrid/>
          <w:spacing w:val="-1"/>
          <w:kern w:val="22"/>
          <w:sz w:val="24"/>
          <w:rtl/>
        </w:rPr>
        <w:footnoteReference w:id="1"/>
      </w:r>
    </w:p>
    <w:p w:rsidR="00D941FF" w:rsidRDefault="00D941FF">
      <w:pPr>
        <w:bidi w:val="0"/>
        <w:spacing w:line="240" w:lineRule="auto"/>
        <w:jc w:val="left"/>
        <w:rPr>
          <w:rFonts w:eastAsia="Malgun Gothic"/>
          <w:spacing w:val="-1"/>
          <w:kern w:val="22"/>
          <w:sz w:val="24"/>
          <w:rtl/>
          <w:lang w:val="en-GB"/>
        </w:rPr>
      </w:pPr>
      <w:r>
        <w:rPr>
          <w:spacing w:val="-1"/>
          <w:kern w:val="22"/>
          <w:sz w:val="24"/>
          <w:rtl/>
        </w:rPr>
        <w:br w:type="page"/>
      </w:r>
    </w:p>
    <w:p w:rsidR="00625C9C" w:rsidRPr="0053788F" w:rsidRDefault="00D941FF" w:rsidP="00363CC9">
      <w:pPr>
        <w:pStyle w:val="Para1"/>
        <w:numPr>
          <w:ilvl w:val="0"/>
          <w:numId w:val="0"/>
        </w:numPr>
        <w:pBdr>
          <w:top w:val="nil"/>
          <w:left w:val="nil"/>
          <w:bottom w:val="nil"/>
          <w:right w:val="nil"/>
          <w:between w:val="nil"/>
          <w:bar w:val="nil"/>
        </w:pBdr>
        <w:bidi/>
        <w:spacing w:before="0" w:after="240" w:line="216" w:lineRule="auto"/>
        <w:rPr>
          <w:rFonts w:cs="Simplified Arabic"/>
          <w:b/>
          <w:bCs/>
          <w:snapToGrid/>
          <w:spacing w:val="-1"/>
          <w:kern w:val="22"/>
          <w:sz w:val="24"/>
          <w:szCs w:val="24"/>
          <w:rtl/>
        </w:rPr>
      </w:pPr>
      <w:r w:rsidRPr="0053788F">
        <w:rPr>
          <w:rFonts w:cs="Simplified Arabic" w:hint="cs"/>
          <w:b/>
          <w:bCs/>
          <w:snapToGrid/>
          <w:spacing w:val="-1"/>
          <w:kern w:val="22"/>
          <w:sz w:val="24"/>
          <w:szCs w:val="24"/>
          <w:rtl/>
        </w:rPr>
        <w:lastRenderedPageBreak/>
        <w:t>الشكل 1. الز</w:t>
      </w:r>
      <w:r w:rsidR="0053788F">
        <w:rPr>
          <w:rFonts w:cs="Simplified Arabic" w:hint="cs"/>
          <w:b/>
          <w:bCs/>
          <w:snapToGrid/>
          <w:spacing w:val="-1"/>
          <w:kern w:val="22"/>
          <w:sz w:val="24"/>
          <w:szCs w:val="24"/>
          <w:rtl/>
        </w:rPr>
        <w:t>ي</w:t>
      </w:r>
      <w:r w:rsidRPr="0053788F">
        <w:rPr>
          <w:rFonts w:cs="Simplified Arabic" w:hint="cs"/>
          <w:b/>
          <w:bCs/>
          <w:snapToGrid/>
          <w:spacing w:val="-1"/>
          <w:kern w:val="22"/>
          <w:sz w:val="24"/>
          <w:szCs w:val="24"/>
          <w:rtl/>
        </w:rPr>
        <w:t>ادة في عدد السجلات الوطنية المنشورة على غرفة تبادل المعلومات بشأن الحصول وتقاسم المنافع</w:t>
      </w:r>
    </w:p>
    <w:p w:rsidR="00D941FF" w:rsidRDefault="000971C0" w:rsidP="00363CC9">
      <w:pPr>
        <w:pStyle w:val="Para1"/>
        <w:numPr>
          <w:ilvl w:val="0"/>
          <w:numId w:val="0"/>
        </w:numPr>
        <w:pBdr>
          <w:top w:val="nil"/>
          <w:left w:val="nil"/>
          <w:bottom w:val="nil"/>
          <w:right w:val="nil"/>
          <w:between w:val="nil"/>
          <w:bar w:val="nil"/>
        </w:pBdr>
        <w:bidi/>
        <w:spacing w:before="0" w:line="216" w:lineRule="auto"/>
        <w:rPr>
          <w:rFonts w:cs="Simplified Arabic"/>
          <w:snapToGrid/>
          <w:spacing w:val="-1"/>
          <w:kern w:val="22"/>
          <w:sz w:val="24"/>
          <w:szCs w:val="24"/>
          <w:rtl/>
        </w:rPr>
      </w:pPr>
      <w:r w:rsidRPr="000971C0">
        <w:rPr>
          <w:rFonts w:cs="Simplified Arabic"/>
          <w:noProof/>
          <w:snapToGrid/>
          <w:spacing w:val="-1"/>
          <w:kern w:val="22"/>
          <w:sz w:val="24"/>
          <w:szCs w:val="24"/>
          <w:rtl/>
          <w:lang w:val="en-US"/>
        </w:rPr>
        <w:drawing>
          <wp:inline distT="0" distB="0" distL="0" distR="0">
            <wp:extent cx="5367459" cy="2103120"/>
            <wp:effectExtent l="19050" t="0" r="4641" b="0"/>
            <wp:docPr id="5" name="Picture 5"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Chart, line chart&#10;&#10;Description automatically generated"/>
                    <pic:cNvPicPr/>
                  </pic:nvPicPr>
                  <pic:blipFill rotWithShape="1">
                    <a:blip r:embed="rId15" cstate="print"/>
                    <a:srcRect t="13652" b="7298"/>
                    <a:stretch/>
                  </pic:blipFill>
                  <pic:spPr bwMode="auto">
                    <a:xfrm>
                      <a:off x="0" y="0"/>
                      <a:ext cx="5365369" cy="2103120"/>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p>
    <w:p w:rsidR="00D941FF" w:rsidRPr="00D707CD" w:rsidRDefault="00D707CD" w:rsidP="00D707CD">
      <w:pPr>
        <w:pStyle w:val="Para1"/>
        <w:numPr>
          <w:ilvl w:val="0"/>
          <w:numId w:val="0"/>
        </w:numPr>
        <w:pBdr>
          <w:top w:val="nil"/>
          <w:left w:val="nil"/>
          <w:bottom w:val="nil"/>
          <w:right w:val="nil"/>
          <w:between w:val="nil"/>
          <w:bar w:val="nil"/>
        </w:pBdr>
        <w:bidi/>
        <w:spacing w:before="0" w:after="240" w:line="216" w:lineRule="auto"/>
        <w:ind w:left="360"/>
        <w:rPr>
          <w:rFonts w:cs="Simplified Arabic"/>
          <w:snapToGrid/>
          <w:spacing w:val="-1"/>
          <w:kern w:val="22"/>
          <w:sz w:val="20"/>
          <w:szCs w:val="22"/>
          <w:rtl/>
          <w:lang w:val="en-US" w:bidi="ar-EG"/>
        </w:rPr>
      </w:pPr>
      <w:r w:rsidRPr="00D707CD">
        <w:rPr>
          <w:rFonts w:cs="Simplified Arabic" w:hint="cs"/>
          <w:snapToGrid/>
          <w:spacing w:val="-1"/>
          <w:kern w:val="22"/>
          <w:sz w:val="20"/>
          <w:szCs w:val="22"/>
          <w:rtl/>
        </w:rPr>
        <w:t xml:space="preserve">- </w:t>
      </w:r>
      <w:r w:rsidRPr="00D707CD">
        <w:rPr>
          <w:rFonts w:cs="Simplified Arabic"/>
          <w:snapToGrid/>
          <w:spacing w:val="-1"/>
          <w:kern w:val="22"/>
          <w:sz w:val="20"/>
          <w:szCs w:val="22"/>
          <w:lang w:val="en-US"/>
        </w:rPr>
        <w:t>MOP-1</w:t>
      </w:r>
      <w:r w:rsidRPr="00D707CD">
        <w:rPr>
          <w:rFonts w:cs="Simplified Arabic" w:hint="cs"/>
          <w:snapToGrid/>
          <w:spacing w:val="-1"/>
          <w:kern w:val="22"/>
          <w:sz w:val="20"/>
          <w:szCs w:val="22"/>
          <w:rtl/>
          <w:lang w:val="en-US" w:bidi="ar-EG"/>
        </w:rPr>
        <w:t xml:space="preserve"> الاجتماع الأول للأطراف في البروتوكول </w:t>
      </w:r>
      <w:r w:rsidRPr="00D707CD">
        <w:rPr>
          <w:rFonts w:cs="Simplified Arabic"/>
          <w:snapToGrid/>
          <w:spacing w:val="-1"/>
          <w:kern w:val="22"/>
          <w:sz w:val="20"/>
          <w:szCs w:val="22"/>
          <w:rtl/>
          <w:lang w:val="en-US" w:bidi="ar-EG"/>
        </w:rPr>
        <w:t>–</w:t>
      </w:r>
      <w:r w:rsidRPr="00D707CD">
        <w:rPr>
          <w:rFonts w:cs="Simplified Arabic" w:hint="cs"/>
          <w:snapToGrid/>
          <w:spacing w:val="-1"/>
          <w:kern w:val="22"/>
          <w:sz w:val="20"/>
          <w:szCs w:val="22"/>
          <w:rtl/>
          <w:lang w:val="en-US" w:bidi="ar-EG"/>
        </w:rPr>
        <w:t xml:space="preserve"> بدء نفاذ البروتوكول؛ </w:t>
      </w:r>
      <w:r w:rsidRPr="00D707CD">
        <w:rPr>
          <w:rFonts w:cs="Simplified Arabic"/>
          <w:snapToGrid/>
          <w:spacing w:val="-1"/>
          <w:kern w:val="22"/>
          <w:sz w:val="20"/>
          <w:szCs w:val="22"/>
          <w:lang w:val="en-US" w:bidi="ar-EG"/>
        </w:rPr>
        <w:t>MOP-2</w:t>
      </w:r>
      <w:r w:rsidRPr="00D707CD">
        <w:rPr>
          <w:rFonts w:cs="Simplified Arabic" w:hint="cs"/>
          <w:snapToGrid/>
          <w:spacing w:val="-1"/>
          <w:kern w:val="22"/>
          <w:sz w:val="20"/>
          <w:szCs w:val="22"/>
          <w:rtl/>
          <w:lang w:val="en-US" w:bidi="ar-EG"/>
        </w:rPr>
        <w:t xml:space="preserve">= الاجتماع الثاني للأطراف في البروتوكول؛ </w:t>
      </w:r>
      <w:r w:rsidRPr="00D707CD">
        <w:rPr>
          <w:rFonts w:cs="Simplified Arabic"/>
          <w:snapToGrid/>
          <w:spacing w:val="-1"/>
          <w:kern w:val="22"/>
          <w:sz w:val="20"/>
          <w:szCs w:val="22"/>
          <w:lang w:val="en-US" w:bidi="ar-EG"/>
        </w:rPr>
        <w:t>MOP-3</w:t>
      </w:r>
      <w:r w:rsidRPr="00D707CD">
        <w:rPr>
          <w:rFonts w:cs="Simplified Arabic" w:hint="cs"/>
          <w:snapToGrid/>
          <w:spacing w:val="-1"/>
          <w:kern w:val="22"/>
          <w:sz w:val="20"/>
          <w:szCs w:val="22"/>
          <w:rtl/>
          <w:lang w:val="en-US" w:bidi="ar-EG"/>
        </w:rPr>
        <w:t>= الاجتماع الثالث للأطراف في البروتوكول.</w:t>
      </w:r>
    </w:p>
    <w:p w:rsidR="00D941FF" w:rsidRDefault="00D941FF" w:rsidP="00B94928">
      <w:pPr>
        <w:pStyle w:val="Para1"/>
        <w:numPr>
          <w:ilvl w:val="0"/>
          <w:numId w:val="19"/>
        </w:numPr>
        <w:pBdr>
          <w:top w:val="nil"/>
          <w:left w:val="nil"/>
          <w:bottom w:val="nil"/>
          <w:right w:val="nil"/>
          <w:between w:val="nil"/>
          <w:bar w:val="nil"/>
        </w:pBdr>
        <w:bidi/>
        <w:ind w:left="0" w:firstLine="0"/>
        <w:rPr>
          <w:rFonts w:cs="Simplified Arabic"/>
          <w:snapToGrid/>
          <w:spacing w:val="-1"/>
          <w:kern w:val="22"/>
          <w:sz w:val="24"/>
          <w:szCs w:val="24"/>
        </w:rPr>
      </w:pPr>
      <w:r>
        <w:rPr>
          <w:rFonts w:cs="Simplified Arabic" w:hint="cs"/>
          <w:snapToGrid/>
          <w:spacing w:val="-1"/>
          <w:kern w:val="22"/>
          <w:sz w:val="24"/>
          <w:szCs w:val="24"/>
          <w:rtl/>
        </w:rPr>
        <w:t>ويبين الجدول 1 أدناه نسبة الأطراف التي نشرت سجلات وطنية حسب المنطقة. ويمكن أن نرى من هذا الجدول أن منطقة أفريقيا ومنطقة آسيا - المحيط الهادئ قد نشر</w:t>
      </w:r>
      <w:r w:rsidR="00D707CD">
        <w:rPr>
          <w:rFonts w:cs="Simplified Arabic" w:hint="cs"/>
          <w:snapToGrid/>
          <w:spacing w:val="-1"/>
          <w:kern w:val="22"/>
          <w:sz w:val="24"/>
          <w:szCs w:val="24"/>
          <w:rtl/>
        </w:rPr>
        <w:t>ا</w:t>
      </w:r>
      <w:r>
        <w:rPr>
          <w:rFonts w:cs="Simplified Arabic" w:hint="cs"/>
          <w:snapToGrid/>
          <w:spacing w:val="-1"/>
          <w:kern w:val="22"/>
          <w:sz w:val="24"/>
          <w:szCs w:val="24"/>
          <w:rtl/>
        </w:rPr>
        <w:t xml:space="preserve"> حتى اليوم سجلات وطنية أقل عن غيره</w:t>
      </w:r>
      <w:r w:rsidR="00D707CD">
        <w:rPr>
          <w:rFonts w:cs="Simplified Arabic" w:hint="cs"/>
          <w:snapToGrid/>
          <w:spacing w:val="-1"/>
          <w:kern w:val="22"/>
          <w:sz w:val="24"/>
          <w:szCs w:val="24"/>
          <w:rtl/>
        </w:rPr>
        <w:t>م</w:t>
      </w:r>
      <w:r>
        <w:rPr>
          <w:rFonts w:cs="Simplified Arabic" w:hint="cs"/>
          <w:snapToGrid/>
          <w:spacing w:val="-1"/>
          <w:kern w:val="22"/>
          <w:sz w:val="24"/>
          <w:szCs w:val="24"/>
          <w:rtl/>
        </w:rPr>
        <w:t xml:space="preserve">ا من المناطق، وخاصة فيما يتعلق بالمعلومات عن السلطات الوطنية المختصة، وتدابير وإجراءات الحصول وتقاسم المنافع، ونقاط التفتيش. ويشير الجدول كذلك إلى أن جميع المناطق بخلاف مجموعة أوروبا الغربية وبلدان أخرى، استخدم أقل من 20 في المائة من الأطراف النماذج العامة </w:t>
      </w:r>
      <w:r w:rsidR="00363CC9">
        <w:rPr>
          <w:rFonts w:cs="Simplified Arabic" w:hint="cs"/>
          <w:snapToGrid/>
          <w:spacing w:val="-1"/>
          <w:kern w:val="22"/>
          <w:sz w:val="24"/>
          <w:szCs w:val="24"/>
          <w:rtl/>
        </w:rPr>
        <w:t>لبيانات نقاط التفتيش.</w:t>
      </w:r>
      <w:r w:rsidR="00363CC9">
        <w:rPr>
          <w:rStyle w:val="FootnoteReference"/>
          <w:snapToGrid/>
          <w:spacing w:val="-1"/>
          <w:kern w:val="22"/>
          <w:sz w:val="24"/>
          <w:rtl/>
        </w:rPr>
        <w:footnoteReference w:id="2"/>
      </w:r>
      <w:r w:rsidR="00363CC9">
        <w:rPr>
          <w:rFonts w:cs="Simplified Arabic" w:hint="cs"/>
          <w:snapToGrid/>
          <w:spacing w:val="-1"/>
          <w:kern w:val="22"/>
          <w:sz w:val="24"/>
          <w:szCs w:val="24"/>
          <w:rtl/>
        </w:rPr>
        <w:t xml:space="preserve"> كما استخدم أقل من 20 في المائة من الأطراف عبر جميع المناطق فيما عدا أمريكا اللاتينية وبلدان البحر الكاريبي، النماذج العامة ل</w:t>
      </w:r>
      <w:r>
        <w:rPr>
          <w:rFonts w:cs="Simplified Arabic" w:hint="cs"/>
          <w:snapToGrid/>
          <w:spacing w:val="-1"/>
          <w:kern w:val="22"/>
          <w:sz w:val="24"/>
          <w:szCs w:val="24"/>
          <w:rtl/>
        </w:rPr>
        <w:t>شهادات الامتثال المعترف بها دوليا</w:t>
      </w:r>
      <w:r>
        <w:rPr>
          <w:rStyle w:val="FootnoteReference"/>
          <w:snapToGrid/>
          <w:spacing w:val="-1"/>
          <w:kern w:val="22"/>
          <w:sz w:val="24"/>
          <w:rtl/>
        </w:rPr>
        <w:footnoteReference w:id="3"/>
      </w:r>
      <w:r>
        <w:rPr>
          <w:rFonts w:cs="Simplified Arabic" w:hint="cs"/>
          <w:snapToGrid/>
          <w:spacing w:val="-1"/>
          <w:kern w:val="22"/>
          <w:sz w:val="24"/>
          <w:szCs w:val="24"/>
          <w:rtl/>
        </w:rPr>
        <w:t xml:space="preserve"> </w:t>
      </w:r>
      <w:r w:rsidR="00363CC9">
        <w:rPr>
          <w:rFonts w:cs="Simplified Arabic" w:hint="cs"/>
          <w:snapToGrid/>
          <w:spacing w:val="-1"/>
          <w:kern w:val="22"/>
          <w:sz w:val="24"/>
          <w:szCs w:val="24"/>
          <w:rtl/>
        </w:rPr>
        <w:t>و</w:t>
      </w:r>
      <w:r>
        <w:rPr>
          <w:rFonts w:cs="Simplified Arabic" w:hint="cs"/>
          <w:snapToGrid/>
          <w:spacing w:val="-1"/>
          <w:kern w:val="22"/>
          <w:sz w:val="24"/>
          <w:szCs w:val="24"/>
          <w:rtl/>
        </w:rPr>
        <w:t>إجراءات الحصول وتقاسم المنافع. ويعتبر الشكل العام لإجراءات الحصول وتقاسم المنافع جديدا نسبيا؛ و</w:t>
      </w:r>
      <w:r w:rsidR="00B94928">
        <w:rPr>
          <w:rFonts w:cs="Simplified Arabic" w:hint="cs"/>
          <w:snapToGrid/>
          <w:spacing w:val="-1"/>
          <w:kern w:val="22"/>
          <w:sz w:val="24"/>
          <w:szCs w:val="24"/>
          <w:rtl/>
        </w:rPr>
        <w:t>أدخل</w:t>
      </w:r>
      <w:r>
        <w:rPr>
          <w:rFonts w:cs="Simplified Arabic" w:hint="cs"/>
          <w:snapToGrid/>
          <w:spacing w:val="-1"/>
          <w:kern w:val="22"/>
          <w:sz w:val="24"/>
          <w:szCs w:val="24"/>
          <w:rtl/>
        </w:rPr>
        <w:t xml:space="preserve"> </w:t>
      </w:r>
      <w:r w:rsidR="00B94928">
        <w:rPr>
          <w:rFonts w:cs="Simplified Arabic" w:hint="cs"/>
          <w:snapToGrid/>
          <w:spacing w:val="-1"/>
          <w:kern w:val="22"/>
          <w:sz w:val="24"/>
          <w:szCs w:val="24"/>
          <w:rtl/>
        </w:rPr>
        <w:t>في</w:t>
      </w:r>
      <w:r>
        <w:rPr>
          <w:rFonts w:cs="Simplified Arabic" w:hint="cs"/>
          <w:snapToGrid/>
          <w:spacing w:val="-1"/>
          <w:kern w:val="22"/>
          <w:sz w:val="24"/>
          <w:szCs w:val="24"/>
          <w:rtl/>
        </w:rPr>
        <w:t xml:space="preserve"> غرفة تبادل المعلومات بشأن الحصول وتقاسم المنافع في عام 2018 استجابة للتعقيبات من المستخدمين الذين طلبوا إرشادات أفضل بشأن الخطوات المطلوبة للحصول على الموارد الجينية. ويساعد هذا الشكل العام على دعم وتشجيع امتثال المستخدم ورحب المستخدمون به نظرا للمعلومات العملية والصريحة التي ي</w:t>
      </w:r>
      <w:r w:rsidR="00B94928">
        <w:rPr>
          <w:rFonts w:cs="Simplified Arabic" w:hint="cs"/>
          <w:snapToGrid/>
          <w:spacing w:val="-1"/>
          <w:kern w:val="22"/>
          <w:sz w:val="24"/>
          <w:szCs w:val="24"/>
          <w:rtl/>
        </w:rPr>
        <w:t>مكن أن ي</w:t>
      </w:r>
      <w:r>
        <w:rPr>
          <w:rFonts w:cs="Simplified Arabic" w:hint="cs"/>
          <w:snapToGrid/>
          <w:spacing w:val="-1"/>
          <w:kern w:val="22"/>
          <w:sz w:val="24"/>
          <w:szCs w:val="24"/>
          <w:rtl/>
        </w:rPr>
        <w:t>قدمها بشأن الخطوات ونق</w:t>
      </w:r>
      <w:r w:rsidR="00B94928">
        <w:rPr>
          <w:rFonts w:cs="Simplified Arabic" w:hint="cs"/>
          <w:snapToGrid/>
          <w:spacing w:val="-1"/>
          <w:kern w:val="22"/>
          <w:sz w:val="24"/>
          <w:szCs w:val="24"/>
          <w:rtl/>
        </w:rPr>
        <w:t>اط ال</w:t>
      </w:r>
      <w:r>
        <w:rPr>
          <w:rFonts w:cs="Simplified Arabic" w:hint="cs"/>
          <w:snapToGrid/>
          <w:spacing w:val="-1"/>
          <w:kern w:val="22"/>
          <w:sz w:val="24"/>
          <w:szCs w:val="24"/>
          <w:rtl/>
        </w:rPr>
        <w:t>دخول والشروط المسبقة المتعلقة بالحصول على الموارد الجينية.</w:t>
      </w:r>
    </w:p>
    <w:p w:rsidR="00D941FF" w:rsidRPr="000971C0" w:rsidRDefault="00D941FF" w:rsidP="00363CC9">
      <w:pPr>
        <w:pStyle w:val="Para1"/>
        <w:numPr>
          <w:ilvl w:val="0"/>
          <w:numId w:val="0"/>
        </w:numPr>
        <w:pBdr>
          <w:top w:val="nil"/>
          <w:left w:val="nil"/>
          <w:bottom w:val="nil"/>
          <w:right w:val="nil"/>
          <w:between w:val="nil"/>
          <w:bar w:val="nil"/>
        </w:pBdr>
        <w:bidi/>
        <w:spacing w:before="0" w:line="216" w:lineRule="auto"/>
        <w:rPr>
          <w:rFonts w:cs="Simplified Arabic"/>
          <w:b/>
          <w:bCs/>
          <w:snapToGrid/>
          <w:spacing w:val="-1"/>
          <w:kern w:val="22"/>
          <w:sz w:val="24"/>
          <w:szCs w:val="24"/>
          <w:rtl/>
        </w:rPr>
      </w:pPr>
      <w:r w:rsidRPr="000971C0">
        <w:rPr>
          <w:rFonts w:cs="Simplified Arabic" w:hint="cs"/>
          <w:b/>
          <w:bCs/>
          <w:snapToGrid/>
          <w:spacing w:val="-1"/>
          <w:kern w:val="22"/>
          <w:sz w:val="24"/>
          <w:szCs w:val="24"/>
          <w:rtl/>
        </w:rPr>
        <w:t>الجدول 1. نسبة الأطراف التي نشرت سجلات وطنية، حسب المنطقة*</w:t>
      </w:r>
    </w:p>
    <w:tbl>
      <w:tblPr>
        <w:tblStyle w:val="TableGrid"/>
        <w:bidiVisual/>
        <w:tblW w:w="0" w:type="auto"/>
        <w:tblLook w:val="04A0"/>
      </w:tblPr>
      <w:tblGrid>
        <w:gridCol w:w="1366"/>
        <w:gridCol w:w="865"/>
        <w:gridCol w:w="893"/>
        <w:gridCol w:w="945"/>
        <w:gridCol w:w="923"/>
        <w:gridCol w:w="948"/>
        <w:gridCol w:w="937"/>
        <w:gridCol w:w="912"/>
        <w:gridCol w:w="920"/>
      </w:tblGrid>
      <w:tr w:rsidR="000971C0" w:rsidRPr="00C10EC9" w:rsidTr="00C10EC9">
        <w:trPr>
          <w:tblHeader/>
        </w:trPr>
        <w:tc>
          <w:tcPr>
            <w:tcW w:w="1366" w:type="dxa"/>
            <w:vAlign w:val="center"/>
          </w:tcPr>
          <w:p w:rsidR="000971C0" w:rsidRPr="00C10EC9" w:rsidRDefault="00C10EC9" w:rsidP="00C10EC9">
            <w:pPr>
              <w:pStyle w:val="Para1"/>
              <w:numPr>
                <w:ilvl w:val="0"/>
                <w:numId w:val="0"/>
              </w:numPr>
              <w:bidi/>
              <w:spacing w:before="0" w:after="0" w:line="216" w:lineRule="auto"/>
              <w:jc w:val="left"/>
              <w:rPr>
                <w:rFonts w:cs="Simplified Arabic"/>
                <w:b/>
                <w:bCs/>
                <w:snapToGrid/>
                <w:color w:val="000000" w:themeColor="text1"/>
                <w:sz w:val="20"/>
                <w:szCs w:val="22"/>
                <w:rtl/>
                <w:lang w:bidi="ar-EG"/>
              </w:rPr>
            </w:pPr>
            <w:r>
              <w:rPr>
                <w:rFonts w:cs="Simplified Arabic" w:hint="cs"/>
                <w:b/>
                <w:bCs/>
                <w:snapToGrid/>
                <w:color w:val="000000" w:themeColor="text1"/>
                <w:sz w:val="20"/>
                <w:szCs w:val="22"/>
                <w:rtl/>
              </w:rPr>
              <w:t>المنطقة</w:t>
            </w:r>
          </w:p>
        </w:tc>
        <w:tc>
          <w:tcPr>
            <w:tcW w:w="865" w:type="dxa"/>
            <w:vAlign w:val="center"/>
          </w:tcPr>
          <w:p w:rsidR="000971C0" w:rsidRPr="00C10EC9" w:rsidRDefault="000971C0" w:rsidP="00C10EC9">
            <w:pPr>
              <w:pStyle w:val="Para1"/>
              <w:numPr>
                <w:ilvl w:val="0"/>
                <w:numId w:val="0"/>
              </w:numPr>
              <w:bidi/>
              <w:spacing w:before="0" w:after="0" w:line="216" w:lineRule="auto"/>
              <w:jc w:val="left"/>
              <w:rPr>
                <w:rFonts w:cs="Simplified Arabic"/>
                <w:b/>
                <w:bCs/>
                <w:snapToGrid/>
                <w:color w:val="000000" w:themeColor="text1"/>
                <w:sz w:val="20"/>
                <w:szCs w:val="22"/>
              </w:rPr>
            </w:pPr>
            <w:r w:rsidRPr="00C10EC9">
              <w:rPr>
                <w:rFonts w:cs="Simplified Arabic"/>
                <w:b/>
                <w:bCs/>
                <w:snapToGrid/>
                <w:color w:val="000000" w:themeColor="text1"/>
                <w:sz w:val="20"/>
                <w:szCs w:val="22"/>
              </w:rPr>
              <w:t>NFP</w:t>
            </w:r>
          </w:p>
        </w:tc>
        <w:tc>
          <w:tcPr>
            <w:tcW w:w="893" w:type="dxa"/>
            <w:vAlign w:val="center"/>
          </w:tcPr>
          <w:p w:rsidR="000971C0" w:rsidRPr="00C10EC9" w:rsidRDefault="000971C0" w:rsidP="00C10EC9">
            <w:pPr>
              <w:pStyle w:val="Para1"/>
              <w:numPr>
                <w:ilvl w:val="0"/>
                <w:numId w:val="0"/>
              </w:numPr>
              <w:bidi/>
              <w:spacing w:before="0" w:after="0" w:line="216" w:lineRule="auto"/>
              <w:jc w:val="left"/>
              <w:rPr>
                <w:rFonts w:cs="Simplified Arabic"/>
                <w:b/>
                <w:bCs/>
                <w:snapToGrid/>
                <w:color w:val="000000" w:themeColor="text1"/>
                <w:sz w:val="20"/>
                <w:szCs w:val="22"/>
              </w:rPr>
            </w:pPr>
            <w:r w:rsidRPr="00C10EC9">
              <w:rPr>
                <w:rFonts w:cs="Simplified Arabic"/>
                <w:b/>
                <w:bCs/>
                <w:snapToGrid/>
                <w:color w:val="000000" w:themeColor="text1"/>
                <w:sz w:val="20"/>
                <w:szCs w:val="22"/>
              </w:rPr>
              <w:t>CNA</w:t>
            </w:r>
          </w:p>
        </w:tc>
        <w:tc>
          <w:tcPr>
            <w:tcW w:w="945" w:type="dxa"/>
            <w:vAlign w:val="center"/>
          </w:tcPr>
          <w:p w:rsidR="000971C0" w:rsidRPr="00C10EC9" w:rsidRDefault="000971C0" w:rsidP="00C10EC9">
            <w:pPr>
              <w:pStyle w:val="Para1"/>
              <w:numPr>
                <w:ilvl w:val="0"/>
                <w:numId w:val="0"/>
              </w:numPr>
              <w:bidi/>
              <w:spacing w:before="0" w:after="0" w:line="216" w:lineRule="auto"/>
              <w:jc w:val="left"/>
              <w:rPr>
                <w:rFonts w:cs="Simplified Arabic"/>
                <w:b/>
                <w:bCs/>
                <w:snapToGrid/>
                <w:color w:val="000000" w:themeColor="text1"/>
                <w:sz w:val="20"/>
                <w:szCs w:val="22"/>
              </w:rPr>
            </w:pPr>
            <w:r w:rsidRPr="00C10EC9">
              <w:rPr>
                <w:rFonts w:cs="Simplified Arabic"/>
                <w:b/>
                <w:bCs/>
                <w:snapToGrid/>
                <w:color w:val="000000" w:themeColor="text1"/>
                <w:sz w:val="20"/>
                <w:szCs w:val="22"/>
              </w:rPr>
              <w:t>MSR</w:t>
            </w:r>
          </w:p>
        </w:tc>
        <w:tc>
          <w:tcPr>
            <w:tcW w:w="923" w:type="dxa"/>
            <w:vAlign w:val="center"/>
          </w:tcPr>
          <w:p w:rsidR="000971C0" w:rsidRPr="00C10EC9" w:rsidRDefault="000971C0" w:rsidP="00C10EC9">
            <w:pPr>
              <w:pStyle w:val="Para1"/>
              <w:numPr>
                <w:ilvl w:val="0"/>
                <w:numId w:val="0"/>
              </w:numPr>
              <w:bidi/>
              <w:spacing w:before="0" w:after="0" w:line="216" w:lineRule="auto"/>
              <w:jc w:val="left"/>
              <w:rPr>
                <w:rFonts w:cs="Simplified Arabic"/>
                <w:b/>
                <w:bCs/>
                <w:snapToGrid/>
                <w:color w:val="000000" w:themeColor="text1"/>
                <w:sz w:val="20"/>
                <w:szCs w:val="22"/>
              </w:rPr>
            </w:pPr>
            <w:r w:rsidRPr="00C10EC9">
              <w:rPr>
                <w:rFonts w:cs="Simplified Arabic"/>
                <w:b/>
                <w:bCs/>
                <w:snapToGrid/>
                <w:color w:val="000000" w:themeColor="text1"/>
                <w:sz w:val="20"/>
                <w:szCs w:val="22"/>
              </w:rPr>
              <w:t>PRO</w:t>
            </w:r>
          </w:p>
        </w:tc>
        <w:tc>
          <w:tcPr>
            <w:tcW w:w="948" w:type="dxa"/>
            <w:vAlign w:val="center"/>
          </w:tcPr>
          <w:p w:rsidR="000971C0" w:rsidRPr="00C10EC9" w:rsidRDefault="000971C0" w:rsidP="00C10EC9">
            <w:pPr>
              <w:pStyle w:val="Para1"/>
              <w:numPr>
                <w:ilvl w:val="0"/>
                <w:numId w:val="0"/>
              </w:numPr>
              <w:bidi/>
              <w:spacing w:before="0" w:after="0" w:line="216" w:lineRule="auto"/>
              <w:jc w:val="left"/>
              <w:rPr>
                <w:rFonts w:cs="Simplified Arabic"/>
                <w:b/>
                <w:bCs/>
                <w:snapToGrid/>
                <w:color w:val="000000" w:themeColor="text1"/>
                <w:sz w:val="20"/>
                <w:szCs w:val="22"/>
              </w:rPr>
            </w:pPr>
            <w:r w:rsidRPr="00C10EC9">
              <w:rPr>
                <w:rFonts w:cs="Simplified Arabic"/>
                <w:b/>
                <w:bCs/>
                <w:snapToGrid/>
                <w:color w:val="000000" w:themeColor="text1"/>
                <w:sz w:val="20"/>
                <w:szCs w:val="22"/>
              </w:rPr>
              <w:t>IRCC</w:t>
            </w:r>
          </w:p>
        </w:tc>
        <w:tc>
          <w:tcPr>
            <w:tcW w:w="937" w:type="dxa"/>
            <w:vAlign w:val="center"/>
          </w:tcPr>
          <w:p w:rsidR="000971C0" w:rsidRPr="00C10EC9" w:rsidRDefault="000971C0" w:rsidP="00C10EC9">
            <w:pPr>
              <w:pStyle w:val="Para1"/>
              <w:numPr>
                <w:ilvl w:val="0"/>
                <w:numId w:val="0"/>
              </w:numPr>
              <w:bidi/>
              <w:spacing w:before="0" w:after="0" w:line="216" w:lineRule="auto"/>
              <w:jc w:val="left"/>
              <w:rPr>
                <w:rFonts w:cs="Simplified Arabic"/>
                <w:b/>
                <w:bCs/>
                <w:snapToGrid/>
                <w:color w:val="000000" w:themeColor="text1"/>
                <w:sz w:val="20"/>
                <w:szCs w:val="22"/>
              </w:rPr>
            </w:pPr>
            <w:r w:rsidRPr="00C10EC9">
              <w:rPr>
                <w:rFonts w:cs="Simplified Arabic"/>
                <w:b/>
                <w:bCs/>
                <w:snapToGrid/>
                <w:color w:val="000000" w:themeColor="text1"/>
                <w:sz w:val="20"/>
                <w:szCs w:val="22"/>
              </w:rPr>
              <w:t>NDB</w:t>
            </w:r>
          </w:p>
        </w:tc>
        <w:tc>
          <w:tcPr>
            <w:tcW w:w="912" w:type="dxa"/>
            <w:vAlign w:val="center"/>
          </w:tcPr>
          <w:p w:rsidR="000971C0" w:rsidRPr="00C10EC9" w:rsidRDefault="000971C0" w:rsidP="00C10EC9">
            <w:pPr>
              <w:pStyle w:val="Para1"/>
              <w:numPr>
                <w:ilvl w:val="0"/>
                <w:numId w:val="0"/>
              </w:numPr>
              <w:bidi/>
              <w:spacing w:before="0" w:after="0" w:line="216" w:lineRule="auto"/>
              <w:jc w:val="left"/>
              <w:rPr>
                <w:rFonts w:cs="Simplified Arabic"/>
                <w:b/>
                <w:bCs/>
                <w:snapToGrid/>
                <w:color w:val="000000" w:themeColor="text1"/>
                <w:sz w:val="20"/>
                <w:szCs w:val="22"/>
              </w:rPr>
            </w:pPr>
            <w:r w:rsidRPr="00C10EC9">
              <w:rPr>
                <w:rFonts w:cs="Simplified Arabic"/>
                <w:b/>
                <w:bCs/>
                <w:snapToGrid/>
                <w:color w:val="000000" w:themeColor="text1"/>
                <w:sz w:val="20"/>
                <w:szCs w:val="22"/>
              </w:rPr>
              <w:t>CP</w:t>
            </w:r>
          </w:p>
        </w:tc>
        <w:tc>
          <w:tcPr>
            <w:tcW w:w="920" w:type="dxa"/>
            <w:vAlign w:val="center"/>
          </w:tcPr>
          <w:p w:rsidR="000971C0" w:rsidRPr="00C10EC9" w:rsidRDefault="000971C0" w:rsidP="00C10EC9">
            <w:pPr>
              <w:pStyle w:val="Para1"/>
              <w:numPr>
                <w:ilvl w:val="0"/>
                <w:numId w:val="0"/>
              </w:numPr>
              <w:bidi/>
              <w:spacing w:before="0" w:after="0" w:line="216" w:lineRule="auto"/>
              <w:jc w:val="left"/>
              <w:rPr>
                <w:rFonts w:cs="Simplified Arabic"/>
                <w:b/>
                <w:bCs/>
                <w:snapToGrid/>
                <w:color w:val="000000" w:themeColor="text1"/>
                <w:sz w:val="20"/>
                <w:szCs w:val="22"/>
              </w:rPr>
            </w:pPr>
            <w:r w:rsidRPr="00C10EC9">
              <w:rPr>
                <w:rFonts w:cs="Simplified Arabic"/>
                <w:b/>
                <w:bCs/>
                <w:snapToGrid/>
                <w:color w:val="000000" w:themeColor="text1"/>
                <w:sz w:val="20"/>
                <w:szCs w:val="22"/>
              </w:rPr>
              <w:t>CPC</w:t>
            </w:r>
          </w:p>
        </w:tc>
      </w:tr>
      <w:tr w:rsidR="000971C0" w:rsidRPr="00C10EC9" w:rsidTr="0053788F">
        <w:trPr>
          <w:trHeight w:val="620"/>
        </w:trPr>
        <w:tc>
          <w:tcPr>
            <w:tcW w:w="1366" w:type="dxa"/>
          </w:tcPr>
          <w:p w:rsidR="000971C0" w:rsidRPr="00C10EC9" w:rsidRDefault="000971C0" w:rsidP="00C10EC9">
            <w:pPr>
              <w:pStyle w:val="Para1"/>
              <w:numPr>
                <w:ilvl w:val="0"/>
                <w:numId w:val="0"/>
              </w:numPr>
              <w:bidi/>
              <w:spacing w:before="0" w:after="0" w:line="216" w:lineRule="auto"/>
              <w:rPr>
                <w:rFonts w:cs="Simplified Arabic"/>
                <w:b/>
                <w:bCs/>
                <w:snapToGrid/>
                <w:color w:val="000000" w:themeColor="text1"/>
                <w:sz w:val="20"/>
                <w:szCs w:val="22"/>
                <w:rtl/>
              </w:rPr>
            </w:pPr>
            <w:r w:rsidRPr="00C10EC9">
              <w:rPr>
                <w:rFonts w:cs="Simplified Arabic" w:hint="cs"/>
                <w:b/>
                <w:bCs/>
                <w:snapToGrid/>
                <w:color w:val="000000" w:themeColor="text1"/>
                <w:sz w:val="20"/>
                <w:szCs w:val="22"/>
                <w:rtl/>
              </w:rPr>
              <w:t>أفريقيا</w:t>
            </w:r>
          </w:p>
          <w:p w:rsidR="000971C0" w:rsidRPr="00C10EC9" w:rsidRDefault="000971C0" w:rsidP="00C10EC9">
            <w:pPr>
              <w:pStyle w:val="Para1"/>
              <w:numPr>
                <w:ilvl w:val="0"/>
                <w:numId w:val="0"/>
              </w:numPr>
              <w:bidi/>
              <w:spacing w:before="0" w:after="0" w:line="216" w:lineRule="auto"/>
              <w:rPr>
                <w:rFonts w:cs="Simplified Arabic"/>
                <w:b/>
                <w:bCs/>
                <w:snapToGrid/>
                <w:color w:val="000000" w:themeColor="text1"/>
                <w:sz w:val="20"/>
                <w:szCs w:val="22"/>
              </w:rPr>
            </w:pPr>
            <w:r w:rsidRPr="00C10EC9">
              <w:rPr>
                <w:rFonts w:cs="Simplified Arabic" w:hint="cs"/>
                <w:b/>
                <w:bCs/>
                <w:snapToGrid/>
                <w:color w:val="000000" w:themeColor="text1"/>
                <w:sz w:val="20"/>
                <w:szCs w:val="22"/>
                <w:rtl/>
              </w:rPr>
              <w:t>(46 طرفا)</w:t>
            </w:r>
          </w:p>
        </w:tc>
        <w:tc>
          <w:tcPr>
            <w:tcW w:w="865" w:type="dxa"/>
            <w:shd w:val="clear" w:color="auto" w:fill="808080" w:themeFill="background1" w:themeFillShade="80"/>
            <w:vAlign w:val="center"/>
          </w:tcPr>
          <w:p w:rsidR="000971C0" w:rsidRPr="00C10EC9" w:rsidRDefault="000971C0" w:rsidP="0053788F">
            <w:pPr>
              <w:pStyle w:val="Para1"/>
              <w:numPr>
                <w:ilvl w:val="0"/>
                <w:numId w:val="0"/>
              </w:numPr>
              <w:bidi/>
              <w:spacing w:before="0" w:after="0" w:line="216" w:lineRule="auto"/>
              <w:jc w:val="left"/>
              <w:rPr>
                <w:rFonts w:cs="Simplified Arabic"/>
                <w:snapToGrid/>
                <w:color w:val="000000" w:themeColor="text1"/>
                <w:sz w:val="20"/>
                <w:szCs w:val="22"/>
              </w:rPr>
            </w:pPr>
            <w:r w:rsidRPr="00C10EC9">
              <w:rPr>
                <w:rFonts w:cs="Simplified Arabic"/>
                <w:snapToGrid/>
                <w:color w:val="000000" w:themeColor="text1"/>
                <w:sz w:val="20"/>
                <w:szCs w:val="22"/>
              </w:rPr>
              <w:t>100%</w:t>
            </w:r>
          </w:p>
        </w:tc>
        <w:tc>
          <w:tcPr>
            <w:tcW w:w="893" w:type="dxa"/>
            <w:shd w:val="clear" w:color="auto" w:fill="BFBFBF" w:themeFill="background1" w:themeFillShade="BF"/>
            <w:vAlign w:val="center"/>
          </w:tcPr>
          <w:p w:rsidR="000971C0" w:rsidRPr="00C10EC9" w:rsidRDefault="000971C0" w:rsidP="0053788F">
            <w:pPr>
              <w:pStyle w:val="Para1"/>
              <w:numPr>
                <w:ilvl w:val="0"/>
                <w:numId w:val="0"/>
              </w:numPr>
              <w:bidi/>
              <w:spacing w:before="0" w:after="0" w:line="216" w:lineRule="auto"/>
              <w:jc w:val="left"/>
              <w:rPr>
                <w:rFonts w:cs="Simplified Arabic"/>
                <w:snapToGrid/>
                <w:color w:val="000000" w:themeColor="text1"/>
                <w:sz w:val="20"/>
                <w:szCs w:val="22"/>
              </w:rPr>
            </w:pPr>
            <w:r w:rsidRPr="00C10EC9">
              <w:rPr>
                <w:rFonts w:cs="Simplified Arabic"/>
                <w:snapToGrid/>
                <w:color w:val="000000" w:themeColor="text1"/>
                <w:sz w:val="20"/>
                <w:szCs w:val="22"/>
              </w:rPr>
              <w:t>46%</w:t>
            </w:r>
          </w:p>
        </w:tc>
        <w:tc>
          <w:tcPr>
            <w:tcW w:w="945" w:type="dxa"/>
            <w:shd w:val="clear" w:color="auto" w:fill="BFBFBF" w:themeFill="background1" w:themeFillShade="BF"/>
            <w:vAlign w:val="center"/>
          </w:tcPr>
          <w:p w:rsidR="000971C0" w:rsidRPr="00C10EC9" w:rsidRDefault="000971C0" w:rsidP="0053788F">
            <w:pPr>
              <w:pStyle w:val="Para1"/>
              <w:numPr>
                <w:ilvl w:val="0"/>
                <w:numId w:val="0"/>
              </w:numPr>
              <w:bidi/>
              <w:spacing w:before="0" w:after="0" w:line="216" w:lineRule="auto"/>
              <w:jc w:val="left"/>
              <w:rPr>
                <w:rFonts w:cs="Simplified Arabic"/>
                <w:snapToGrid/>
                <w:color w:val="000000" w:themeColor="text1"/>
                <w:sz w:val="20"/>
                <w:szCs w:val="22"/>
              </w:rPr>
            </w:pPr>
            <w:r w:rsidRPr="00C10EC9">
              <w:rPr>
                <w:rFonts w:cs="Simplified Arabic"/>
                <w:snapToGrid/>
                <w:color w:val="000000" w:themeColor="text1"/>
                <w:sz w:val="20"/>
                <w:szCs w:val="22"/>
              </w:rPr>
              <w:t>43%</w:t>
            </w:r>
          </w:p>
        </w:tc>
        <w:tc>
          <w:tcPr>
            <w:tcW w:w="923" w:type="dxa"/>
            <w:vAlign w:val="center"/>
          </w:tcPr>
          <w:p w:rsidR="000971C0" w:rsidRPr="00C10EC9" w:rsidRDefault="000971C0" w:rsidP="0053788F">
            <w:pPr>
              <w:pStyle w:val="Para1"/>
              <w:numPr>
                <w:ilvl w:val="0"/>
                <w:numId w:val="0"/>
              </w:numPr>
              <w:pBdr>
                <w:top w:val="nil"/>
                <w:left w:val="nil"/>
                <w:bottom w:val="nil"/>
                <w:right w:val="nil"/>
                <w:between w:val="nil"/>
                <w:bar w:val="nil"/>
              </w:pBdr>
              <w:bidi/>
              <w:spacing w:before="0" w:after="0" w:line="216" w:lineRule="auto"/>
              <w:jc w:val="left"/>
              <w:rPr>
                <w:rFonts w:cs="Simplified Arabic"/>
                <w:snapToGrid/>
                <w:color w:val="000000" w:themeColor="text1"/>
                <w:sz w:val="20"/>
                <w:szCs w:val="22"/>
              </w:rPr>
            </w:pPr>
            <w:r w:rsidRPr="00C10EC9">
              <w:rPr>
                <w:rFonts w:cs="Simplified Arabic"/>
                <w:snapToGrid/>
                <w:color w:val="000000" w:themeColor="text1"/>
                <w:sz w:val="20"/>
                <w:szCs w:val="22"/>
              </w:rPr>
              <w:t>15%</w:t>
            </w:r>
          </w:p>
        </w:tc>
        <w:tc>
          <w:tcPr>
            <w:tcW w:w="948" w:type="dxa"/>
            <w:vAlign w:val="center"/>
          </w:tcPr>
          <w:p w:rsidR="000971C0" w:rsidRPr="00C10EC9" w:rsidRDefault="000971C0" w:rsidP="0053788F">
            <w:pPr>
              <w:pStyle w:val="Para1"/>
              <w:numPr>
                <w:ilvl w:val="0"/>
                <w:numId w:val="0"/>
              </w:numPr>
              <w:bidi/>
              <w:spacing w:before="0" w:after="0" w:line="216" w:lineRule="auto"/>
              <w:jc w:val="left"/>
              <w:rPr>
                <w:rFonts w:cs="Simplified Arabic"/>
                <w:snapToGrid/>
                <w:color w:val="000000" w:themeColor="text1"/>
                <w:sz w:val="20"/>
                <w:szCs w:val="22"/>
              </w:rPr>
            </w:pPr>
            <w:r w:rsidRPr="00C10EC9">
              <w:rPr>
                <w:rFonts w:cs="Simplified Arabic"/>
                <w:snapToGrid/>
                <w:color w:val="000000" w:themeColor="text1"/>
                <w:sz w:val="20"/>
                <w:szCs w:val="22"/>
              </w:rPr>
              <w:t>13%</w:t>
            </w:r>
          </w:p>
        </w:tc>
        <w:tc>
          <w:tcPr>
            <w:tcW w:w="937" w:type="dxa"/>
            <w:shd w:val="clear" w:color="auto" w:fill="D9D9D9" w:themeFill="background1" w:themeFillShade="D9"/>
            <w:vAlign w:val="center"/>
          </w:tcPr>
          <w:p w:rsidR="000971C0" w:rsidRPr="00C10EC9" w:rsidRDefault="000971C0" w:rsidP="0053788F">
            <w:pPr>
              <w:pStyle w:val="Para1"/>
              <w:numPr>
                <w:ilvl w:val="0"/>
                <w:numId w:val="0"/>
              </w:numPr>
              <w:bidi/>
              <w:spacing w:before="0" w:after="0" w:line="216" w:lineRule="auto"/>
              <w:jc w:val="left"/>
              <w:rPr>
                <w:rFonts w:cs="Simplified Arabic"/>
                <w:snapToGrid/>
                <w:color w:val="000000" w:themeColor="text1"/>
                <w:sz w:val="20"/>
                <w:szCs w:val="22"/>
              </w:rPr>
            </w:pPr>
            <w:r w:rsidRPr="00C10EC9">
              <w:rPr>
                <w:rFonts w:cs="Simplified Arabic"/>
                <w:snapToGrid/>
                <w:color w:val="000000" w:themeColor="text1"/>
                <w:sz w:val="20"/>
                <w:szCs w:val="22"/>
              </w:rPr>
              <w:t>20%</w:t>
            </w:r>
          </w:p>
        </w:tc>
        <w:tc>
          <w:tcPr>
            <w:tcW w:w="912" w:type="dxa"/>
            <w:vAlign w:val="center"/>
          </w:tcPr>
          <w:p w:rsidR="000971C0" w:rsidRPr="00C10EC9" w:rsidRDefault="000971C0" w:rsidP="0053788F">
            <w:pPr>
              <w:pStyle w:val="Para1"/>
              <w:numPr>
                <w:ilvl w:val="0"/>
                <w:numId w:val="0"/>
              </w:numPr>
              <w:bidi/>
              <w:spacing w:before="0" w:after="0" w:line="216" w:lineRule="auto"/>
              <w:jc w:val="left"/>
              <w:rPr>
                <w:rFonts w:cs="Simplified Arabic"/>
                <w:snapToGrid/>
                <w:color w:val="000000" w:themeColor="text1"/>
                <w:sz w:val="20"/>
                <w:szCs w:val="22"/>
              </w:rPr>
            </w:pPr>
            <w:r w:rsidRPr="00C10EC9">
              <w:rPr>
                <w:rFonts w:cs="Simplified Arabic"/>
                <w:snapToGrid/>
                <w:color w:val="000000" w:themeColor="text1"/>
                <w:sz w:val="20"/>
                <w:szCs w:val="22"/>
              </w:rPr>
              <w:t>1%</w:t>
            </w:r>
          </w:p>
        </w:tc>
        <w:tc>
          <w:tcPr>
            <w:tcW w:w="920" w:type="dxa"/>
            <w:vAlign w:val="center"/>
          </w:tcPr>
          <w:p w:rsidR="000971C0" w:rsidRPr="00C10EC9" w:rsidRDefault="000971C0" w:rsidP="0053788F">
            <w:pPr>
              <w:pStyle w:val="Para1"/>
              <w:numPr>
                <w:ilvl w:val="0"/>
                <w:numId w:val="0"/>
              </w:numPr>
              <w:bidi/>
              <w:spacing w:before="0" w:after="0" w:line="216" w:lineRule="auto"/>
              <w:jc w:val="left"/>
              <w:rPr>
                <w:rFonts w:cs="Simplified Arabic"/>
                <w:snapToGrid/>
                <w:color w:val="000000" w:themeColor="text1"/>
                <w:sz w:val="20"/>
                <w:szCs w:val="22"/>
              </w:rPr>
            </w:pPr>
            <w:r w:rsidRPr="00C10EC9">
              <w:rPr>
                <w:rFonts w:cs="Simplified Arabic"/>
                <w:snapToGrid/>
                <w:color w:val="000000" w:themeColor="text1"/>
                <w:sz w:val="20"/>
                <w:szCs w:val="22"/>
              </w:rPr>
              <w:t>0</w:t>
            </w:r>
          </w:p>
        </w:tc>
      </w:tr>
      <w:tr w:rsidR="000971C0" w:rsidRPr="00C10EC9" w:rsidTr="0053788F">
        <w:tc>
          <w:tcPr>
            <w:tcW w:w="1366" w:type="dxa"/>
          </w:tcPr>
          <w:p w:rsidR="000971C0" w:rsidRPr="00C10EC9" w:rsidRDefault="000971C0" w:rsidP="00B94928">
            <w:pPr>
              <w:pStyle w:val="Para1"/>
              <w:numPr>
                <w:ilvl w:val="0"/>
                <w:numId w:val="0"/>
              </w:numPr>
              <w:bidi/>
              <w:spacing w:before="0" w:after="0" w:line="216" w:lineRule="auto"/>
              <w:jc w:val="left"/>
              <w:rPr>
                <w:rFonts w:cs="Simplified Arabic"/>
                <w:b/>
                <w:bCs/>
                <w:snapToGrid/>
                <w:color w:val="000000" w:themeColor="text1"/>
                <w:sz w:val="20"/>
                <w:szCs w:val="22"/>
                <w:rtl/>
              </w:rPr>
            </w:pPr>
            <w:r w:rsidRPr="00C10EC9">
              <w:rPr>
                <w:rFonts w:cs="Simplified Arabic" w:hint="cs"/>
                <w:b/>
                <w:bCs/>
                <w:snapToGrid/>
                <w:color w:val="000000" w:themeColor="text1"/>
                <w:sz w:val="20"/>
                <w:szCs w:val="22"/>
                <w:rtl/>
              </w:rPr>
              <w:t>آسيا-</w:t>
            </w:r>
            <w:r w:rsidR="00B94928">
              <w:rPr>
                <w:rFonts w:cs="Simplified Arabic" w:hint="cs"/>
                <w:b/>
                <w:bCs/>
                <w:snapToGrid/>
                <w:color w:val="000000" w:themeColor="text1"/>
                <w:sz w:val="20"/>
                <w:szCs w:val="22"/>
                <w:rtl/>
              </w:rPr>
              <w:t xml:space="preserve"> </w:t>
            </w:r>
            <w:r w:rsidRPr="00C10EC9">
              <w:rPr>
                <w:rFonts w:cs="Simplified Arabic" w:hint="cs"/>
                <w:b/>
                <w:bCs/>
                <w:snapToGrid/>
                <w:color w:val="000000" w:themeColor="text1"/>
                <w:sz w:val="20"/>
                <w:szCs w:val="22"/>
                <w:rtl/>
              </w:rPr>
              <w:t>المحيط الهادئ</w:t>
            </w:r>
          </w:p>
          <w:p w:rsidR="00363CC9" w:rsidRPr="00C10EC9" w:rsidRDefault="000971C0" w:rsidP="002301E2">
            <w:pPr>
              <w:pStyle w:val="Para1"/>
              <w:numPr>
                <w:ilvl w:val="0"/>
                <w:numId w:val="0"/>
              </w:numPr>
              <w:bidi/>
              <w:spacing w:before="0" w:after="0" w:line="216" w:lineRule="auto"/>
              <w:rPr>
                <w:rFonts w:cs="Simplified Arabic"/>
                <w:b/>
                <w:bCs/>
                <w:snapToGrid/>
                <w:color w:val="000000" w:themeColor="text1"/>
                <w:sz w:val="20"/>
                <w:szCs w:val="22"/>
              </w:rPr>
            </w:pPr>
            <w:r w:rsidRPr="00C10EC9">
              <w:rPr>
                <w:rFonts w:cs="Simplified Arabic" w:hint="cs"/>
                <w:b/>
                <w:bCs/>
                <w:snapToGrid/>
                <w:color w:val="000000" w:themeColor="text1"/>
                <w:sz w:val="20"/>
                <w:szCs w:val="22"/>
                <w:rtl/>
              </w:rPr>
              <w:t>(40 طرفا)</w:t>
            </w:r>
          </w:p>
        </w:tc>
        <w:tc>
          <w:tcPr>
            <w:tcW w:w="865" w:type="dxa"/>
            <w:shd w:val="clear" w:color="auto" w:fill="808080" w:themeFill="background1" w:themeFillShade="80"/>
            <w:vAlign w:val="center"/>
          </w:tcPr>
          <w:p w:rsidR="000971C0" w:rsidRPr="00C10EC9" w:rsidRDefault="000971C0" w:rsidP="0053788F">
            <w:pPr>
              <w:pStyle w:val="Para1"/>
              <w:numPr>
                <w:ilvl w:val="0"/>
                <w:numId w:val="0"/>
              </w:numPr>
              <w:bidi/>
              <w:spacing w:before="0" w:after="0" w:line="216" w:lineRule="auto"/>
              <w:jc w:val="left"/>
              <w:rPr>
                <w:rFonts w:cs="Simplified Arabic"/>
                <w:snapToGrid/>
                <w:color w:val="000000" w:themeColor="text1"/>
                <w:sz w:val="20"/>
                <w:szCs w:val="22"/>
              </w:rPr>
            </w:pPr>
            <w:r w:rsidRPr="00C10EC9">
              <w:rPr>
                <w:rFonts w:cs="Simplified Arabic"/>
                <w:snapToGrid/>
                <w:color w:val="000000" w:themeColor="text1"/>
                <w:sz w:val="20"/>
                <w:szCs w:val="22"/>
              </w:rPr>
              <w:t>95%</w:t>
            </w:r>
          </w:p>
        </w:tc>
        <w:tc>
          <w:tcPr>
            <w:tcW w:w="893" w:type="dxa"/>
            <w:shd w:val="clear" w:color="auto" w:fill="D9D9D9" w:themeFill="background1" w:themeFillShade="D9"/>
            <w:vAlign w:val="center"/>
          </w:tcPr>
          <w:p w:rsidR="000971C0" w:rsidRPr="00C10EC9" w:rsidRDefault="000971C0" w:rsidP="0053788F">
            <w:pPr>
              <w:pStyle w:val="Para1"/>
              <w:numPr>
                <w:ilvl w:val="0"/>
                <w:numId w:val="0"/>
              </w:numPr>
              <w:bidi/>
              <w:spacing w:before="0" w:after="0" w:line="216" w:lineRule="auto"/>
              <w:jc w:val="left"/>
              <w:rPr>
                <w:rFonts w:cs="Simplified Arabic"/>
                <w:snapToGrid/>
                <w:color w:val="000000" w:themeColor="text1"/>
                <w:sz w:val="20"/>
                <w:szCs w:val="22"/>
              </w:rPr>
            </w:pPr>
            <w:r w:rsidRPr="00C10EC9">
              <w:rPr>
                <w:rFonts w:cs="Simplified Arabic"/>
                <w:snapToGrid/>
                <w:color w:val="000000" w:themeColor="text1"/>
                <w:sz w:val="20"/>
                <w:szCs w:val="22"/>
              </w:rPr>
              <w:t>25%</w:t>
            </w:r>
          </w:p>
        </w:tc>
        <w:tc>
          <w:tcPr>
            <w:tcW w:w="945" w:type="dxa"/>
            <w:vAlign w:val="center"/>
          </w:tcPr>
          <w:p w:rsidR="000971C0" w:rsidRPr="00C10EC9" w:rsidRDefault="000971C0" w:rsidP="0053788F">
            <w:pPr>
              <w:pStyle w:val="Para1"/>
              <w:numPr>
                <w:ilvl w:val="0"/>
                <w:numId w:val="0"/>
              </w:numPr>
              <w:bidi/>
              <w:spacing w:before="0" w:after="0" w:line="216" w:lineRule="auto"/>
              <w:jc w:val="left"/>
              <w:rPr>
                <w:rFonts w:cs="Simplified Arabic"/>
                <w:snapToGrid/>
                <w:color w:val="000000" w:themeColor="text1"/>
                <w:sz w:val="20"/>
                <w:szCs w:val="22"/>
              </w:rPr>
            </w:pPr>
            <w:r w:rsidRPr="00C10EC9">
              <w:rPr>
                <w:rFonts w:cs="Simplified Arabic"/>
                <w:snapToGrid/>
                <w:color w:val="000000" w:themeColor="text1"/>
                <w:sz w:val="20"/>
                <w:szCs w:val="22"/>
              </w:rPr>
              <w:t>18%</w:t>
            </w:r>
          </w:p>
        </w:tc>
        <w:tc>
          <w:tcPr>
            <w:tcW w:w="923" w:type="dxa"/>
            <w:vAlign w:val="center"/>
          </w:tcPr>
          <w:p w:rsidR="000971C0" w:rsidRPr="00C10EC9" w:rsidRDefault="000971C0" w:rsidP="0053788F">
            <w:pPr>
              <w:pStyle w:val="Para1"/>
              <w:numPr>
                <w:ilvl w:val="0"/>
                <w:numId w:val="0"/>
              </w:numPr>
              <w:pBdr>
                <w:top w:val="nil"/>
                <w:left w:val="nil"/>
                <w:bottom w:val="nil"/>
                <w:right w:val="nil"/>
                <w:between w:val="nil"/>
                <w:bar w:val="nil"/>
              </w:pBdr>
              <w:bidi/>
              <w:spacing w:before="0" w:after="0" w:line="216" w:lineRule="auto"/>
              <w:jc w:val="left"/>
              <w:rPr>
                <w:rFonts w:cs="Simplified Arabic"/>
                <w:snapToGrid/>
                <w:color w:val="000000" w:themeColor="text1"/>
                <w:sz w:val="20"/>
                <w:szCs w:val="22"/>
              </w:rPr>
            </w:pPr>
            <w:r w:rsidRPr="00C10EC9">
              <w:rPr>
                <w:rFonts w:cs="Simplified Arabic"/>
                <w:snapToGrid/>
                <w:color w:val="000000" w:themeColor="text1"/>
                <w:sz w:val="20"/>
                <w:szCs w:val="22"/>
              </w:rPr>
              <w:t>1%</w:t>
            </w:r>
          </w:p>
        </w:tc>
        <w:tc>
          <w:tcPr>
            <w:tcW w:w="948" w:type="dxa"/>
            <w:shd w:val="clear" w:color="auto" w:fill="FFFFFF" w:themeFill="background1"/>
            <w:vAlign w:val="center"/>
          </w:tcPr>
          <w:p w:rsidR="000971C0" w:rsidRPr="00C10EC9" w:rsidRDefault="000971C0" w:rsidP="0053788F">
            <w:pPr>
              <w:pStyle w:val="Para1"/>
              <w:numPr>
                <w:ilvl w:val="0"/>
                <w:numId w:val="0"/>
              </w:numPr>
              <w:bidi/>
              <w:spacing w:before="0" w:after="0" w:line="216" w:lineRule="auto"/>
              <w:jc w:val="left"/>
              <w:rPr>
                <w:rFonts w:cs="Simplified Arabic"/>
                <w:snapToGrid/>
                <w:color w:val="000000" w:themeColor="text1"/>
                <w:sz w:val="20"/>
                <w:szCs w:val="22"/>
              </w:rPr>
            </w:pPr>
            <w:r w:rsidRPr="00C10EC9">
              <w:rPr>
                <w:rFonts w:cs="Simplified Arabic"/>
                <w:snapToGrid/>
                <w:color w:val="000000" w:themeColor="text1"/>
                <w:sz w:val="20"/>
                <w:szCs w:val="22"/>
              </w:rPr>
              <w:t>13%</w:t>
            </w:r>
          </w:p>
        </w:tc>
        <w:tc>
          <w:tcPr>
            <w:tcW w:w="937" w:type="dxa"/>
            <w:vAlign w:val="center"/>
          </w:tcPr>
          <w:p w:rsidR="000971C0" w:rsidRPr="00C10EC9" w:rsidRDefault="000971C0" w:rsidP="0053788F">
            <w:pPr>
              <w:pStyle w:val="Para1"/>
              <w:numPr>
                <w:ilvl w:val="0"/>
                <w:numId w:val="0"/>
              </w:numPr>
              <w:bidi/>
              <w:spacing w:before="0" w:after="0" w:line="216" w:lineRule="auto"/>
              <w:jc w:val="left"/>
              <w:rPr>
                <w:rFonts w:cs="Simplified Arabic"/>
                <w:snapToGrid/>
                <w:color w:val="000000" w:themeColor="text1"/>
                <w:sz w:val="20"/>
                <w:szCs w:val="22"/>
              </w:rPr>
            </w:pPr>
            <w:r w:rsidRPr="00C10EC9">
              <w:rPr>
                <w:rFonts w:cs="Simplified Arabic"/>
                <w:snapToGrid/>
                <w:color w:val="000000" w:themeColor="text1"/>
                <w:sz w:val="20"/>
                <w:szCs w:val="22"/>
              </w:rPr>
              <w:t>15%</w:t>
            </w:r>
          </w:p>
        </w:tc>
        <w:tc>
          <w:tcPr>
            <w:tcW w:w="912" w:type="dxa"/>
            <w:vAlign w:val="center"/>
          </w:tcPr>
          <w:p w:rsidR="000971C0" w:rsidRPr="00C10EC9" w:rsidRDefault="000971C0" w:rsidP="0053788F">
            <w:pPr>
              <w:pStyle w:val="Para1"/>
              <w:numPr>
                <w:ilvl w:val="0"/>
                <w:numId w:val="0"/>
              </w:numPr>
              <w:bidi/>
              <w:spacing w:before="0" w:after="0" w:line="216" w:lineRule="auto"/>
              <w:jc w:val="left"/>
              <w:rPr>
                <w:rFonts w:cs="Simplified Arabic"/>
                <w:snapToGrid/>
                <w:color w:val="000000" w:themeColor="text1"/>
                <w:sz w:val="20"/>
                <w:szCs w:val="22"/>
              </w:rPr>
            </w:pPr>
            <w:r w:rsidRPr="00C10EC9">
              <w:rPr>
                <w:rFonts w:cs="Simplified Arabic"/>
                <w:snapToGrid/>
                <w:color w:val="000000" w:themeColor="text1"/>
                <w:sz w:val="20"/>
                <w:szCs w:val="22"/>
              </w:rPr>
              <w:t>10%</w:t>
            </w:r>
          </w:p>
        </w:tc>
        <w:tc>
          <w:tcPr>
            <w:tcW w:w="920" w:type="dxa"/>
            <w:vAlign w:val="center"/>
          </w:tcPr>
          <w:p w:rsidR="000971C0" w:rsidRPr="00C10EC9" w:rsidRDefault="000971C0" w:rsidP="0053788F">
            <w:pPr>
              <w:pStyle w:val="Para1"/>
              <w:numPr>
                <w:ilvl w:val="0"/>
                <w:numId w:val="0"/>
              </w:numPr>
              <w:bidi/>
              <w:spacing w:before="0" w:after="0" w:line="216" w:lineRule="auto"/>
              <w:jc w:val="left"/>
              <w:rPr>
                <w:rFonts w:cs="Simplified Arabic"/>
                <w:snapToGrid/>
                <w:color w:val="000000" w:themeColor="text1"/>
                <w:sz w:val="20"/>
                <w:szCs w:val="22"/>
              </w:rPr>
            </w:pPr>
            <w:r w:rsidRPr="00C10EC9">
              <w:rPr>
                <w:rFonts w:cs="Simplified Arabic"/>
                <w:snapToGrid/>
                <w:color w:val="000000" w:themeColor="text1"/>
                <w:sz w:val="20"/>
                <w:szCs w:val="22"/>
              </w:rPr>
              <w:t>1%</w:t>
            </w:r>
          </w:p>
        </w:tc>
      </w:tr>
      <w:tr w:rsidR="000971C0" w:rsidRPr="00C10EC9" w:rsidTr="0053788F">
        <w:tc>
          <w:tcPr>
            <w:tcW w:w="1366" w:type="dxa"/>
          </w:tcPr>
          <w:p w:rsidR="000971C0" w:rsidRPr="00C10EC9" w:rsidRDefault="000971C0" w:rsidP="00C10EC9">
            <w:pPr>
              <w:pStyle w:val="Para1"/>
              <w:numPr>
                <w:ilvl w:val="0"/>
                <w:numId w:val="0"/>
              </w:numPr>
              <w:bidi/>
              <w:spacing w:before="0" w:after="0" w:line="216" w:lineRule="auto"/>
              <w:rPr>
                <w:rFonts w:cs="Simplified Arabic"/>
                <w:b/>
                <w:bCs/>
                <w:snapToGrid/>
                <w:color w:val="000000" w:themeColor="text1"/>
                <w:sz w:val="20"/>
                <w:szCs w:val="22"/>
                <w:rtl/>
              </w:rPr>
            </w:pPr>
            <w:r w:rsidRPr="00C10EC9">
              <w:rPr>
                <w:rFonts w:cs="Simplified Arabic" w:hint="cs"/>
                <w:b/>
                <w:bCs/>
                <w:snapToGrid/>
                <w:color w:val="000000" w:themeColor="text1"/>
                <w:sz w:val="20"/>
                <w:szCs w:val="22"/>
                <w:rtl/>
              </w:rPr>
              <w:lastRenderedPageBreak/>
              <w:t>أوروبا الوسطى وأوروبا الشرقية</w:t>
            </w:r>
          </w:p>
          <w:p w:rsidR="00363CC9" w:rsidRPr="00C10EC9" w:rsidRDefault="000971C0" w:rsidP="00363CC9">
            <w:pPr>
              <w:pStyle w:val="Para1"/>
              <w:numPr>
                <w:ilvl w:val="0"/>
                <w:numId w:val="0"/>
              </w:numPr>
              <w:bidi/>
              <w:spacing w:before="0" w:after="0" w:line="216" w:lineRule="auto"/>
              <w:rPr>
                <w:rFonts w:cs="Simplified Arabic"/>
                <w:b/>
                <w:bCs/>
                <w:snapToGrid/>
                <w:color w:val="000000" w:themeColor="text1"/>
                <w:sz w:val="20"/>
                <w:szCs w:val="22"/>
              </w:rPr>
            </w:pPr>
            <w:r w:rsidRPr="00C10EC9">
              <w:rPr>
                <w:rFonts w:cs="Simplified Arabic" w:hint="cs"/>
                <w:b/>
                <w:bCs/>
                <w:snapToGrid/>
                <w:color w:val="000000" w:themeColor="text1"/>
                <w:sz w:val="20"/>
                <w:szCs w:val="22"/>
                <w:rtl/>
              </w:rPr>
              <w:t>(12 طرفا)</w:t>
            </w:r>
          </w:p>
        </w:tc>
        <w:tc>
          <w:tcPr>
            <w:tcW w:w="865" w:type="dxa"/>
            <w:shd w:val="clear" w:color="auto" w:fill="808080" w:themeFill="background1" w:themeFillShade="80"/>
            <w:vAlign w:val="center"/>
          </w:tcPr>
          <w:p w:rsidR="000971C0" w:rsidRPr="00C10EC9" w:rsidRDefault="000971C0" w:rsidP="0053788F">
            <w:pPr>
              <w:pStyle w:val="Para1"/>
              <w:numPr>
                <w:ilvl w:val="0"/>
                <w:numId w:val="0"/>
              </w:numPr>
              <w:bidi/>
              <w:spacing w:before="0" w:after="0" w:line="216" w:lineRule="auto"/>
              <w:jc w:val="left"/>
              <w:rPr>
                <w:rFonts w:cs="Simplified Arabic"/>
                <w:snapToGrid/>
                <w:color w:val="000000" w:themeColor="text1"/>
                <w:sz w:val="20"/>
                <w:szCs w:val="22"/>
              </w:rPr>
            </w:pPr>
            <w:r w:rsidRPr="00C10EC9">
              <w:rPr>
                <w:rFonts w:cs="Simplified Arabic"/>
                <w:snapToGrid/>
                <w:color w:val="000000" w:themeColor="text1"/>
                <w:sz w:val="20"/>
                <w:szCs w:val="22"/>
              </w:rPr>
              <w:t>100%</w:t>
            </w:r>
          </w:p>
        </w:tc>
        <w:tc>
          <w:tcPr>
            <w:tcW w:w="893" w:type="dxa"/>
            <w:shd w:val="clear" w:color="auto" w:fill="808080" w:themeFill="background1" w:themeFillShade="80"/>
            <w:vAlign w:val="center"/>
          </w:tcPr>
          <w:p w:rsidR="000971C0" w:rsidRPr="00C10EC9" w:rsidRDefault="000971C0" w:rsidP="0053788F">
            <w:pPr>
              <w:pStyle w:val="Para1"/>
              <w:numPr>
                <w:ilvl w:val="0"/>
                <w:numId w:val="0"/>
              </w:numPr>
              <w:bidi/>
              <w:spacing w:before="0" w:after="0" w:line="216" w:lineRule="auto"/>
              <w:jc w:val="left"/>
              <w:rPr>
                <w:rFonts w:cs="Simplified Arabic"/>
                <w:snapToGrid/>
                <w:color w:val="000000" w:themeColor="text1"/>
                <w:sz w:val="20"/>
                <w:szCs w:val="22"/>
              </w:rPr>
            </w:pPr>
            <w:r w:rsidRPr="00C10EC9">
              <w:rPr>
                <w:rFonts w:cs="Simplified Arabic"/>
                <w:snapToGrid/>
                <w:color w:val="000000" w:themeColor="text1"/>
                <w:sz w:val="20"/>
                <w:szCs w:val="22"/>
              </w:rPr>
              <w:t>83%</w:t>
            </w:r>
          </w:p>
        </w:tc>
        <w:tc>
          <w:tcPr>
            <w:tcW w:w="945" w:type="dxa"/>
            <w:shd w:val="clear" w:color="auto" w:fill="808080" w:themeFill="background1" w:themeFillShade="80"/>
            <w:vAlign w:val="center"/>
          </w:tcPr>
          <w:p w:rsidR="000971C0" w:rsidRPr="00C10EC9" w:rsidRDefault="000971C0" w:rsidP="0053788F">
            <w:pPr>
              <w:pStyle w:val="Para1"/>
              <w:numPr>
                <w:ilvl w:val="0"/>
                <w:numId w:val="0"/>
              </w:numPr>
              <w:bidi/>
              <w:spacing w:before="0" w:after="0" w:line="216" w:lineRule="auto"/>
              <w:jc w:val="left"/>
              <w:rPr>
                <w:rFonts w:cs="Simplified Arabic"/>
                <w:snapToGrid/>
                <w:color w:val="000000" w:themeColor="text1"/>
                <w:sz w:val="20"/>
                <w:szCs w:val="22"/>
              </w:rPr>
            </w:pPr>
            <w:r w:rsidRPr="00C10EC9">
              <w:rPr>
                <w:rFonts w:cs="Simplified Arabic"/>
                <w:snapToGrid/>
                <w:color w:val="000000" w:themeColor="text1"/>
                <w:sz w:val="20"/>
                <w:szCs w:val="22"/>
              </w:rPr>
              <w:t>83%</w:t>
            </w:r>
          </w:p>
        </w:tc>
        <w:tc>
          <w:tcPr>
            <w:tcW w:w="923" w:type="dxa"/>
            <w:vAlign w:val="center"/>
          </w:tcPr>
          <w:p w:rsidR="000971C0" w:rsidRPr="00C10EC9" w:rsidRDefault="000971C0" w:rsidP="0053788F">
            <w:pPr>
              <w:pStyle w:val="Para1"/>
              <w:numPr>
                <w:ilvl w:val="0"/>
                <w:numId w:val="0"/>
              </w:numPr>
              <w:pBdr>
                <w:top w:val="nil"/>
                <w:left w:val="nil"/>
                <w:bottom w:val="nil"/>
                <w:right w:val="nil"/>
                <w:between w:val="nil"/>
                <w:bar w:val="nil"/>
              </w:pBdr>
              <w:bidi/>
              <w:spacing w:before="0" w:after="0" w:line="216" w:lineRule="auto"/>
              <w:jc w:val="left"/>
              <w:rPr>
                <w:rFonts w:cs="Simplified Arabic"/>
                <w:snapToGrid/>
                <w:color w:val="000000" w:themeColor="text1"/>
                <w:sz w:val="20"/>
                <w:szCs w:val="22"/>
              </w:rPr>
            </w:pPr>
            <w:r w:rsidRPr="00C10EC9">
              <w:rPr>
                <w:rFonts w:cs="Simplified Arabic"/>
                <w:snapToGrid/>
                <w:color w:val="000000" w:themeColor="text1"/>
                <w:sz w:val="20"/>
                <w:szCs w:val="22"/>
              </w:rPr>
              <w:t>8%</w:t>
            </w:r>
          </w:p>
        </w:tc>
        <w:tc>
          <w:tcPr>
            <w:tcW w:w="948" w:type="dxa"/>
            <w:shd w:val="clear" w:color="auto" w:fill="FFFFFF" w:themeFill="background1"/>
            <w:vAlign w:val="center"/>
          </w:tcPr>
          <w:p w:rsidR="000971C0" w:rsidRPr="00C10EC9" w:rsidRDefault="000971C0" w:rsidP="0053788F">
            <w:pPr>
              <w:pStyle w:val="Para1"/>
              <w:numPr>
                <w:ilvl w:val="0"/>
                <w:numId w:val="0"/>
              </w:numPr>
              <w:bidi/>
              <w:spacing w:before="0" w:after="0" w:line="216" w:lineRule="auto"/>
              <w:jc w:val="left"/>
              <w:rPr>
                <w:rFonts w:cs="Simplified Arabic"/>
                <w:snapToGrid/>
                <w:color w:val="000000" w:themeColor="text1"/>
                <w:sz w:val="20"/>
                <w:szCs w:val="22"/>
              </w:rPr>
            </w:pPr>
            <w:r w:rsidRPr="00C10EC9">
              <w:rPr>
                <w:rFonts w:cs="Simplified Arabic"/>
                <w:snapToGrid/>
                <w:color w:val="000000" w:themeColor="text1"/>
                <w:sz w:val="20"/>
                <w:szCs w:val="22"/>
              </w:rPr>
              <w:t>17%</w:t>
            </w:r>
          </w:p>
        </w:tc>
        <w:tc>
          <w:tcPr>
            <w:tcW w:w="937" w:type="dxa"/>
            <w:shd w:val="clear" w:color="auto" w:fill="D9D9D9" w:themeFill="background1" w:themeFillShade="D9"/>
            <w:vAlign w:val="center"/>
          </w:tcPr>
          <w:p w:rsidR="000971C0" w:rsidRPr="00C10EC9" w:rsidRDefault="000971C0" w:rsidP="0053788F">
            <w:pPr>
              <w:pStyle w:val="Para1"/>
              <w:numPr>
                <w:ilvl w:val="0"/>
                <w:numId w:val="0"/>
              </w:numPr>
              <w:bidi/>
              <w:spacing w:before="0" w:after="0" w:line="216" w:lineRule="auto"/>
              <w:jc w:val="left"/>
              <w:rPr>
                <w:rFonts w:cs="Simplified Arabic"/>
                <w:snapToGrid/>
                <w:color w:val="000000" w:themeColor="text1"/>
                <w:sz w:val="20"/>
                <w:szCs w:val="22"/>
              </w:rPr>
            </w:pPr>
            <w:r w:rsidRPr="00C10EC9">
              <w:rPr>
                <w:rFonts w:cs="Simplified Arabic"/>
                <w:snapToGrid/>
                <w:color w:val="000000" w:themeColor="text1"/>
                <w:sz w:val="20"/>
                <w:szCs w:val="22"/>
              </w:rPr>
              <w:t>25%</w:t>
            </w:r>
          </w:p>
        </w:tc>
        <w:tc>
          <w:tcPr>
            <w:tcW w:w="912" w:type="dxa"/>
            <w:shd w:val="clear" w:color="auto" w:fill="BFBFBF" w:themeFill="background1" w:themeFillShade="BF"/>
            <w:vAlign w:val="center"/>
          </w:tcPr>
          <w:p w:rsidR="000971C0" w:rsidRPr="00C10EC9" w:rsidRDefault="000971C0" w:rsidP="0053788F">
            <w:pPr>
              <w:pStyle w:val="Para1"/>
              <w:numPr>
                <w:ilvl w:val="0"/>
                <w:numId w:val="0"/>
              </w:numPr>
              <w:bidi/>
              <w:spacing w:before="0" w:after="0" w:line="216" w:lineRule="auto"/>
              <w:jc w:val="left"/>
              <w:rPr>
                <w:rFonts w:cs="Simplified Arabic"/>
                <w:snapToGrid/>
                <w:color w:val="000000" w:themeColor="text1"/>
                <w:sz w:val="20"/>
                <w:szCs w:val="22"/>
              </w:rPr>
            </w:pPr>
            <w:r w:rsidRPr="00C10EC9">
              <w:rPr>
                <w:rFonts w:cs="Simplified Arabic"/>
                <w:snapToGrid/>
                <w:color w:val="000000" w:themeColor="text1"/>
                <w:sz w:val="20"/>
                <w:szCs w:val="22"/>
              </w:rPr>
              <w:t>58%</w:t>
            </w:r>
          </w:p>
        </w:tc>
        <w:tc>
          <w:tcPr>
            <w:tcW w:w="920" w:type="dxa"/>
            <w:vAlign w:val="center"/>
          </w:tcPr>
          <w:p w:rsidR="000971C0" w:rsidRPr="00C10EC9" w:rsidRDefault="000971C0" w:rsidP="0053788F">
            <w:pPr>
              <w:pStyle w:val="Para1"/>
              <w:numPr>
                <w:ilvl w:val="0"/>
                <w:numId w:val="0"/>
              </w:numPr>
              <w:bidi/>
              <w:spacing w:before="0" w:after="0" w:line="216" w:lineRule="auto"/>
              <w:jc w:val="left"/>
              <w:rPr>
                <w:rFonts w:cs="Simplified Arabic"/>
                <w:snapToGrid/>
                <w:color w:val="000000" w:themeColor="text1"/>
                <w:sz w:val="20"/>
                <w:szCs w:val="22"/>
              </w:rPr>
            </w:pPr>
            <w:r w:rsidRPr="00C10EC9">
              <w:rPr>
                <w:rFonts w:cs="Simplified Arabic"/>
                <w:snapToGrid/>
                <w:color w:val="000000" w:themeColor="text1"/>
                <w:sz w:val="20"/>
                <w:szCs w:val="22"/>
              </w:rPr>
              <w:t>0</w:t>
            </w:r>
          </w:p>
        </w:tc>
      </w:tr>
      <w:tr w:rsidR="000971C0" w:rsidRPr="00C10EC9" w:rsidTr="0053788F">
        <w:tc>
          <w:tcPr>
            <w:tcW w:w="1366" w:type="dxa"/>
          </w:tcPr>
          <w:p w:rsidR="00C10EC9" w:rsidRPr="00C10EC9" w:rsidRDefault="000971C0" w:rsidP="0053788F">
            <w:pPr>
              <w:pStyle w:val="Para1"/>
              <w:numPr>
                <w:ilvl w:val="0"/>
                <w:numId w:val="0"/>
              </w:numPr>
              <w:bidi/>
              <w:spacing w:before="0" w:after="0" w:line="216" w:lineRule="auto"/>
              <w:jc w:val="left"/>
              <w:rPr>
                <w:rFonts w:cs="Simplified Arabic"/>
                <w:b/>
                <w:bCs/>
                <w:snapToGrid/>
                <w:color w:val="000000" w:themeColor="text1"/>
                <w:sz w:val="20"/>
                <w:szCs w:val="22"/>
                <w:rtl/>
                <w:lang w:val="en-US" w:bidi="ar-EG"/>
              </w:rPr>
            </w:pPr>
            <w:r w:rsidRPr="00C10EC9">
              <w:rPr>
                <w:rFonts w:cs="Simplified Arabic" w:hint="cs"/>
                <w:b/>
                <w:bCs/>
                <w:snapToGrid/>
                <w:color w:val="000000" w:themeColor="text1"/>
                <w:sz w:val="20"/>
                <w:szCs w:val="22"/>
                <w:rtl/>
                <w:lang w:bidi="ar-EG"/>
              </w:rPr>
              <w:t>أمريكا اللاتينية والبحر الكاريبي (17 طرفا)</w:t>
            </w:r>
          </w:p>
        </w:tc>
        <w:tc>
          <w:tcPr>
            <w:tcW w:w="865" w:type="dxa"/>
            <w:shd w:val="clear" w:color="auto" w:fill="808080" w:themeFill="background1" w:themeFillShade="80"/>
            <w:vAlign w:val="center"/>
          </w:tcPr>
          <w:p w:rsidR="000971C0" w:rsidRPr="00C10EC9" w:rsidRDefault="000971C0" w:rsidP="0053788F">
            <w:pPr>
              <w:pStyle w:val="Para1"/>
              <w:numPr>
                <w:ilvl w:val="0"/>
                <w:numId w:val="0"/>
              </w:numPr>
              <w:bidi/>
              <w:spacing w:before="0" w:after="0" w:line="216" w:lineRule="auto"/>
              <w:jc w:val="left"/>
              <w:rPr>
                <w:rFonts w:cs="Simplified Arabic"/>
                <w:snapToGrid/>
                <w:color w:val="000000" w:themeColor="text1"/>
                <w:sz w:val="20"/>
                <w:szCs w:val="22"/>
              </w:rPr>
            </w:pPr>
            <w:r w:rsidRPr="00C10EC9">
              <w:rPr>
                <w:rFonts w:cs="Simplified Arabic"/>
                <w:snapToGrid/>
                <w:color w:val="000000" w:themeColor="text1"/>
                <w:sz w:val="20"/>
                <w:szCs w:val="22"/>
              </w:rPr>
              <w:t>89%</w:t>
            </w:r>
          </w:p>
        </w:tc>
        <w:tc>
          <w:tcPr>
            <w:tcW w:w="893" w:type="dxa"/>
            <w:shd w:val="clear" w:color="auto" w:fill="A6A6A6" w:themeFill="background1" w:themeFillShade="A6"/>
            <w:vAlign w:val="center"/>
          </w:tcPr>
          <w:p w:rsidR="000971C0" w:rsidRPr="00C10EC9" w:rsidRDefault="000971C0" w:rsidP="0053788F">
            <w:pPr>
              <w:pStyle w:val="Para1"/>
              <w:numPr>
                <w:ilvl w:val="0"/>
                <w:numId w:val="0"/>
              </w:numPr>
              <w:tabs>
                <w:tab w:val="left" w:pos="589"/>
              </w:tabs>
              <w:bidi/>
              <w:spacing w:before="0" w:after="0" w:line="216" w:lineRule="auto"/>
              <w:jc w:val="left"/>
              <w:rPr>
                <w:rFonts w:cs="Simplified Arabic"/>
                <w:snapToGrid/>
                <w:color w:val="000000" w:themeColor="text1"/>
                <w:sz w:val="20"/>
                <w:szCs w:val="22"/>
              </w:rPr>
            </w:pPr>
            <w:r w:rsidRPr="00C10EC9">
              <w:rPr>
                <w:rFonts w:cs="Simplified Arabic"/>
                <w:snapToGrid/>
                <w:color w:val="000000" w:themeColor="text1"/>
                <w:sz w:val="20"/>
                <w:szCs w:val="22"/>
              </w:rPr>
              <w:t>78%</w:t>
            </w:r>
          </w:p>
        </w:tc>
        <w:tc>
          <w:tcPr>
            <w:tcW w:w="945" w:type="dxa"/>
            <w:shd w:val="clear" w:color="auto" w:fill="BFBFBF" w:themeFill="background1" w:themeFillShade="BF"/>
            <w:vAlign w:val="center"/>
          </w:tcPr>
          <w:p w:rsidR="000971C0" w:rsidRPr="00C10EC9" w:rsidRDefault="000971C0" w:rsidP="0053788F">
            <w:pPr>
              <w:pStyle w:val="Para1"/>
              <w:numPr>
                <w:ilvl w:val="0"/>
                <w:numId w:val="0"/>
              </w:numPr>
              <w:bidi/>
              <w:spacing w:before="0" w:after="0" w:line="216" w:lineRule="auto"/>
              <w:jc w:val="left"/>
              <w:rPr>
                <w:rFonts w:cs="Simplified Arabic"/>
                <w:snapToGrid/>
                <w:color w:val="000000" w:themeColor="text1"/>
                <w:sz w:val="20"/>
                <w:szCs w:val="22"/>
              </w:rPr>
            </w:pPr>
            <w:r w:rsidRPr="00C10EC9">
              <w:rPr>
                <w:rFonts w:cs="Simplified Arabic"/>
                <w:snapToGrid/>
                <w:color w:val="000000" w:themeColor="text1"/>
                <w:sz w:val="20"/>
                <w:szCs w:val="22"/>
              </w:rPr>
              <w:t>56%</w:t>
            </w:r>
          </w:p>
        </w:tc>
        <w:tc>
          <w:tcPr>
            <w:tcW w:w="923" w:type="dxa"/>
            <w:shd w:val="clear" w:color="auto" w:fill="D9D9D9" w:themeFill="background1" w:themeFillShade="D9"/>
            <w:vAlign w:val="center"/>
          </w:tcPr>
          <w:p w:rsidR="000971C0" w:rsidRPr="00C10EC9" w:rsidRDefault="000971C0" w:rsidP="0053788F">
            <w:pPr>
              <w:pStyle w:val="Para1"/>
              <w:numPr>
                <w:ilvl w:val="0"/>
                <w:numId w:val="0"/>
              </w:numPr>
              <w:pBdr>
                <w:top w:val="nil"/>
                <w:left w:val="nil"/>
                <w:bottom w:val="nil"/>
                <w:right w:val="nil"/>
                <w:between w:val="nil"/>
                <w:bar w:val="nil"/>
              </w:pBdr>
              <w:shd w:val="clear" w:color="auto" w:fill="D9D9D9" w:themeFill="background1" w:themeFillShade="D9"/>
              <w:bidi/>
              <w:spacing w:before="0" w:after="0" w:line="216" w:lineRule="auto"/>
              <w:jc w:val="left"/>
              <w:rPr>
                <w:rFonts w:cs="Simplified Arabic"/>
                <w:snapToGrid/>
                <w:color w:val="000000" w:themeColor="text1"/>
                <w:sz w:val="20"/>
                <w:szCs w:val="22"/>
              </w:rPr>
            </w:pPr>
            <w:r w:rsidRPr="00C10EC9">
              <w:rPr>
                <w:rFonts w:cs="Simplified Arabic"/>
                <w:snapToGrid/>
                <w:color w:val="000000" w:themeColor="text1"/>
                <w:sz w:val="20"/>
                <w:szCs w:val="22"/>
              </w:rPr>
              <w:t>22%</w:t>
            </w:r>
          </w:p>
        </w:tc>
        <w:tc>
          <w:tcPr>
            <w:tcW w:w="948" w:type="dxa"/>
            <w:shd w:val="clear" w:color="auto" w:fill="A6A6A6" w:themeFill="background1" w:themeFillShade="A6"/>
            <w:vAlign w:val="center"/>
          </w:tcPr>
          <w:p w:rsidR="000971C0" w:rsidRPr="00C10EC9" w:rsidRDefault="000971C0" w:rsidP="0053788F">
            <w:pPr>
              <w:pStyle w:val="Para1"/>
              <w:numPr>
                <w:ilvl w:val="0"/>
                <w:numId w:val="0"/>
              </w:numPr>
              <w:bidi/>
              <w:spacing w:before="0" w:after="0" w:line="216" w:lineRule="auto"/>
              <w:jc w:val="left"/>
              <w:rPr>
                <w:rFonts w:cs="Simplified Arabic"/>
                <w:snapToGrid/>
                <w:color w:val="000000" w:themeColor="text1"/>
                <w:sz w:val="20"/>
                <w:szCs w:val="22"/>
              </w:rPr>
            </w:pPr>
            <w:r w:rsidRPr="00C10EC9">
              <w:rPr>
                <w:rFonts w:cs="Simplified Arabic"/>
                <w:snapToGrid/>
                <w:color w:val="000000" w:themeColor="text1"/>
                <w:sz w:val="20"/>
                <w:szCs w:val="22"/>
              </w:rPr>
              <w:t>50%</w:t>
            </w:r>
          </w:p>
        </w:tc>
        <w:tc>
          <w:tcPr>
            <w:tcW w:w="937" w:type="dxa"/>
            <w:shd w:val="clear" w:color="auto" w:fill="D9D9D9" w:themeFill="background1" w:themeFillShade="D9"/>
            <w:vAlign w:val="center"/>
          </w:tcPr>
          <w:p w:rsidR="000971C0" w:rsidRPr="00C10EC9" w:rsidRDefault="000971C0" w:rsidP="0053788F">
            <w:pPr>
              <w:pStyle w:val="Para1"/>
              <w:numPr>
                <w:ilvl w:val="0"/>
                <w:numId w:val="0"/>
              </w:numPr>
              <w:tabs>
                <w:tab w:val="left" w:pos="441"/>
              </w:tabs>
              <w:bidi/>
              <w:spacing w:before="0" w:after="0" w:line="216" w:lineRule="auto"/>
              <w:jc w:val="left"/>
              <w:rPr>
                <w:rFonts w:cs="Simplified Arabic"/>
                <w:snapToGrid/>
                <w:color w:val="000000" w:themeColor="text1"/>
                <w:sz w:val="20"/>
                <w:szCs w:val="22"/>
              </w:rPr>
            </w:pPr>
            <w:r w:rsidRPr="00C10EC9">
              <w:rPr>
                <w:rFonts w:cs="Simplified Arabic"/>
                <w:snapToGrid/>
                <w:color w:val="000000" w:themeColor="text1"/>
                <w:sz w:val="20"/>
                <w:szCs w:val="22"/>
              </w:rPr>
              <w:t>39%</w:t>
            </w:r>
          </w:p>
        </w:tc>
        <w:tc>
          <w:tcPr>
            <w:tcW w:w="912" w:type="dxa"/>
            <w:shd w:val="clear" w:color="auto" w:fill="D9D9D9" w:themeFill="background1" w:themeFillShade="D9"/>
            <w:vAlign w:val="center"/>
          </w:tcPr>
          <w:p w:rsidR="000971C0" w:rsidRPr="00C10EC9" w:rsidRDefault="000971C0" w:rsidP="0053788F">
            <w:pPr>
              <w:pStyle w:val="Para1"/>
              <w:numPr>
                <w:ilvl w:val="0"/>
                <w:numId w:val="0"/>
              </w:numPr>
              <w:bidi/>
              <w:spacing w:before="0" w:after="0" w:line="216" w:lineRule="auto"/>
              <w:jc w:val="left"/>
              <w:rPr>
                <w:rFonts w:cs="Simplified Arabic"/>
                <w:snapToGrid/>
                <w:color w:val="000000" w:themeColor="text1"/>
                <w:sz w:val="20"/>
                <w:szCs w:val="22"/>
              </w:rPr>
            </w:pPr>
            <w:r w:rsidRPr="00C10EC9">
              <w:rPr>
                <w:rFonts w:cs="Simplified Arabic"/>
                <w:snapToGrid/>
                <w:color w:val="000000" w:themeColor="text1"/>
                <w:sz w:val="20"/>
                <w:szCs w:val="22"/>
              </w:rPr>
              <w:t>22%</w:t>
            </w:r>
          </w:p>
        </w:tc>
        <w:tc>
          <w:tcPr>
            <w:tcW w:w="920" w:type="dxa"/>
            <w:vAlign w:val="center"/>
          </w:tcPr>
          <w:p w:rsidR="000971C0" w:rsidRPr="00C10EC9" w:rsidRDefault="000971C0" w:rsidP="0053788F">
            <w:pPr>
              <w:pStyle w:val="Para1"/>
              <w:numPr>
                <w:ilvl w:val="0"/>
                <w:numId w:val="0"/>
              </w:numPr>
              <w:bidi/>
              <w:spacing w:before="0" w:after="0" w:line="216" w:lineRule="auto"/>
              <w:jc w:val="left"/>
              <w:rPr>
                <w:rFonts w:cs="Simplified Arabic"/>
                <w:snapToGrid/>
                <w:color w:val="000000" w:themeColor="text1"/>
                <w:sz w:val="20"/>
                <w:szCs w:val="22"/>
              </w:rPr>
            </w:pPr>
            <w:r w:rsidRPr="00C10EC9">
              <w:rPr>
                <w:rFonts w:cs="Simplified Arabic"/>
                <w:snapToGrid/>
                <w:color w:val="000000" w:themeColor="text1"/>
                <w:sz w:val="20"/>
                <w:szCs w:val="22"/>
              </w:rPr>
              <w:t>0</w:t>
            </w:r>
          </w:p>
        </w:tc>
      </w:tr>
      <w:tr w:rsidR="000971C0" w:rsidRPr="00C10EC9" w:rsidTr="0053788F">
        <w:tc>
          <w:tcPr>
            <w:tcW w:w="1366" w:type="dxa"/>
            <w:tcBorders>
              <w:bottom w:val="single" w:sz="4" w:space="0" w:color="auto"/>
            </w:tcBorders>
          </w:tcPr>
          <w:p w:rsidR="000971C0" w:rsidRPr="00C10EC9" w:rsidRDefault="000971C0" w:rsidP="00B94928">
            <w:pPr>
              <w:pStyle w:val="Para1"/>
              <w:numPr>
                <w:ilvl w:val="0"/>
                <w:numId w:val="0"/>
              </w:numPr>
              <w:bidi/>
              <w:spacing w:before="0" w:after="0" w:line="216" w:lineRule="auto"/>
              <w:jc w:val="left"/>
              <w:rPr>
                <w:rFonts w:cs="Simplified Arabic"/>
                <w:b/>
                <w:bCs/>
                <w:snapToGrid/>
                <w:color w:val="000000" w:themeColor="text1"/>
                <w:sz w:val="20"/>
                <w:szCs w:val="22"/>
                <w:rtl/>
              </w:rPr>
            </w:pPr>
            <w:r w:rsidRPr="00C10EC9">
              <w:rPr>
                <w:rFonts w:cs="Simplified Arabic" w:hint="cs"/>
                <w:b/>
                <w:bCs/>
                <w:snapToGrid/>
                <w:color w:val="000000" w:themeColor="text1"/>
                <w:sz w:val="20"/>
                <w:szCs w:val="22"/>
                <w:rtl/>
              </w:rPr>
              <w:t>أوروبا الغربية وبلدان أخرى</w:t>
            </w:r>
          </w:p>
          <w:p w:rsidR="000971C0" w:rsidRPr="00C10EC9" w:rsidRDefault="000971C0" w:rsidP="00C10EC9">
            <w:pPr>
              <w:pStyle w:val="Para1"/>
              <w:numPr>
                <w:ilvl w:val="0"/>
                <w:numId w:val="0"/>
              </w:numPr>
              <w:bidi/>
              <w:spacing w:before="0" w:after="0" w:line="216" w:lineRule="auto"/>
              <w:rPr>
                <w:rFonts w:cs="Simplified Arabic"/>
                <w:b/>
                <w:bCs/>
                <w:snapToGrid/>
                <w:color w:val="000000" w:themeColor="text1"/>
                <w:sz w:val="20"/>
                <w:szCs w:val="22"/>
                <w:rtl/>
                <w:lang w:bidi="ar-EG"/>
              </w:rPr>
            </w:pPr>
            <w:r w:rsidRPr="00C10EC9">
              <w:rPr>
                <w:rFonts w:cs="Simplified Arabic" w:hint="cs"/>
                <w:b/>
                <w:bCs/>
                <w:snapToGrid/>
                <w:color w:val="000000" w:themeColor="text1"/>
                <w:sz w:val="20"/>
                <w:szCs w:val="22"/>
                <w:rtl/>
              </w:rPr>
              <w:t>(17 طرفا)</w:t>
            </w:r>
          </w:p>
        </w:tc>
        <w:tc>
          <w:tcPr>
            <w:tcW w:w="865" w:type="dxa"/>
            <w:tcBorders>
              <w:bottom w:val="single" w:sz="4" w:space="0" w:color="auto"/>
            </w:tcBorders>
            <w:shd w:val="clear" w:color="auto" w:fill="808080" w:themeFill="background1" w:themeFillShade="80"/>
            <w:vAlign w:val="center"/>
          </w:tcPr>
          <w:p w:rsidR="000971C0" w:rsidRPr="00C10EC9" w:rsidRDefault="000971C0" w:rsidP="0053788F">
            <w:pPr>
              <w:pStyle w:val="Para1"/>
              <w:numPr>
                <w:ilvl w:val="0"/>
                <w:numId w:val="0"/>
              </w:numPr>
              <w:bidi/>
              <w:spacing w:before="0" w:after="0" w:line="216" w:lineRule="auto"/>
              <w:jc w:val="left"/>
              <w:rPr>
                <w:rFonts w:cs="Simplified Arabic"/>
                <w:snapToGrid/>
                <w:color w:val="000000" w:themeColor="text1"/>
                <w:sz w:val="20"/>
                <w:szCs w:val="22"/>
              </w:rPr>
            </w:pPr>
            <w:r w:rsidRPr="00C10EC9">
              <w:rPr>
                <w:rFonts w:cs="Simplified Arabic"/>
                <w:snapToGrid/>
                <w:color w:val="000000" w:themeColor="text1"/>
                <w:sz w:val="20"/>
                <w:szCs w:val="22"/>
              </w:rPr>
              <w:t>100%</w:t>
            </w:r>
          </w:p>
        </w:tc>
        <w:tc>
          <w:tcPr>
            <w:tcW w:w="893" w:type="dxa"/>
            <w:tcBorders>
              <w:bottom w:val="single" w:sz="4" w:space="0" w:color="auto"/>
            </w:tcBorders>
            <w:shd w:val="clear" w:color="auto" w:fill="A6A6A6" w:themeFill="background1" w:themeFillShade="A6"/>
            <w:vAlign w:val="center"/>
          </w:tcPr>
          <w:p w:rsidR="000971C0" w:rsidRPr="00C10EC9" w:rsidRDefault="000971C0" w:rsidP="0053788F">
            <w:pPr>
              <w:pStyle w:val="Para1"/>
              <w:numPr>
                <w:ilvl w:val="0"/>
                <w:numId w:val="0"/>
              </w:numPr>
              <w:tabs>
                <w:tab w:val="left" w:pos="589"/>
              </w:tabs>
              <w:bidi/>
              <w:spacing w:before="0" w:after="0" w:line="216" w:lineRule="auto"/>
              <w:jc w:val="left"/>
              <w:rPr>
                <w:rFonts w:cs="Simplified Arabic"/>
                <w:snapToGrid/>
                <w:color w:val="000000" w:themeColor="text1"/>
                <w:sz w:val="20"/>
                <w:szCs w:val="22"/>
              </w:rPr>
            </w:pPr>
            <w:r w:rsidRPr="00C10EC9">
              <w:rPr>
                <w:rFonts w:cs="Simplified Arabic"/>
                <w:snapToGrid/>
                <w:color w:val="000000" w:themeColor="text1"/>
                <w:sz w:val="20"/>
                <w:szCs w:val="22"/>
              </w:rPr>
              <w:t>78%</w:t>
            </w:r>
          </w:p>
        </w:tc>
        <w:tc>
          <w:tcPr>
            <w:tcW w:w="945" w:type="dxa"/>
            <w:tcBorders>
              <w:bottom w:val="single" w:sz="4" w:space="0" w:color="auto"/>
            </w:tcBorders>
            <w:shd w:val="clear" w:color="auto" w:fill="808080" w:themeFill="background1" w:themeFillShade="80"/>
            <w:vAlign w:val="center"/>
          </w:tcPr>
          <w:p w:rsidR="000971C0" w:rsidRPr="00C10EC9" w:rsidRDefault="000971C0" w:rsidP="0053788F">
            <w:pPr>
              <w:pStyle w:val="Para1"/>
              <w:numPr>
                <w:ilvl w:val="0"/>
                <w:numId w:val="0"/>
              </w:numPr>
              <w:bidi/>
              <w:spacing w:before="0" w:after="0" w:line="216" w:lineRule="auto"/>
              <w:jc w:val="left"/>
              <w:rPr>
                <w:rFonts w:cs="Simplified Arabic"/>
                <w:snapToGrid/>
                <w:color w:val="000000" w:themeColor="text1"/>
                <w:sz w:val="20"/>
                <w:szCs w:val="22"/>
              </w:rPr>
            </w:pPr>
            <w:r w:rsidRPr="00C10EC9">
              <w:rPr>
                <w:rFonts w:cs="Simplified Arabic"/>
                <w:snapToGrid/>
                <w:color w:val="000000" w:themeColor="text1"/>
                <w:sz w:val="20"/>
                <w:szCs w:val="22"/>
              </w:rPr>
              <w:t>88%</w:t>
            </w:r>
          </w:p>
        </w:tc>
        <w:tc>
          <w:tcPr>
            <w:tcW w:w="923" w:type="dxa"/>
            <w:tcBorders>
              <w:bottom w:val="single" w:sz="4" w:space="0" w:color="auto"/>
            </w:tcBorders>
            <w:vAlign w:val="center"/>
          </w:tcPr>
          <w:p w:rsidR="000971C0" w:rsidRPr="00C10EC9" w:rsidRDefault="000971C0" w:rsidP="0053788F">
            <w:pPr>
              <w:pStyle w:val="Para1"/>
              <w:numPr>
                <w:ilvl w:val="0"/>
                <w:numId w:val="0"/>
              </w:numPr>
              <w:pBdr>
                <w:top w:val="nil"/>
                <w:left w:val="nil"/>
                <w:bottom w:val="nil"/>
                <w:right w:val="nil"/>
                <w:between w:val="nil"/>
                <w:bar w:val="nil"/>
              </w:pBdr>
              <w:bidi/>
              <w:spacing w:before="0" w:after="0" w:line="216" w:lineRule="auto"/>
              <w:jc w:val="left"/>
              <w:rPr>
                <w:rFonts w:cs="Simplified Arabic"/>
                <w:snapToGrid/>
                <w:color w:val="000000" w:themeColor="text1"/>
                <w:sz w:val="20"/>
                <w:szCs w:val="22"/>
              </w:rPr>
            </w:pPr>
            <w:r w:rsidRPr="00C10EC9">
              <w:rPr>
                <w:rFonts w:cs="Simplified Arabic"/>
                <w:snapToGrid/>
                <w:color w:val="000000" w:themeColor="text1"/>
                <w:sz w:val="20"/>
                <w:szCs w:val="22"/>
              </w:rPr>
              <w:t>18%</w:t>
            </w:r>
          </w:p>
        </w:tc>
        <w:tc>
          <w:tcPr>
            <w:tcW w:w="948" w:type="dxa"/>
            <w:tcBorders>
              <w:bottom w:val="single" w:sz="4" w:space="0" w:color="auto"/>
            </w:tcBorders>
            <w:shd w:val="clear" w:color="auto" w:fill="FFFFFF" w:themeFill="background1"/>
            <w:vAlign w:val="center"/>
          </w:tcPr>
          <w:p w:rsidR="000971C0" w:rsidRPr="00C10EC9" w:rsidRDefault="000971C0" w:rsidP="0053788F">
            <w:pPr>
              <w:pStyle w:val="Para1"/>
              <w:numPr>
                <w:ilvl w:val="0"/>
                <w:numId w:val="0"/>
              </w:numPr>
              <w:bidi/>
              <w:spacing w:before="0" w:after="0" w:line="216" w:lineRule="auto"/>
              <w:jc w:val="left"/>
              <w:rPr>
                <w:rFonts w:cs="Simplified Arabic"/>
                <w:snapToGrid/>
                <w:color w:val="000000" w:themeColor="text1"/>
                <w:sz w:val="20"/>
                <w:szCs w:val="22"/>
              </w:rPr>
            </w:pPr>
            <w:r w:rsidRPr="00C10EC9">
              <w:rPr>
                <w:rFonts w:cs="Simplified Arabic"/>
                <w:snapToGrid/>
                <w:color w:val="000000" w:themeColor="text1"/>
                <w:sz w:val="20"/>
                <w:szCs w:val="22"/>
              </w:rPr>
              <w:t>6%</w:t>
            </w:r>
          </w:p>
        </w:tc>
        <w:tc>
          <w:tcPr>
            <w:tcW w:w="937" w:type="dxa"/>
            <w:tcBorders>
              <w:bottom w:val="single" w:sz="4" w:space="0" w:color="auto"/>
            </w:tcBorders>
            <w:shd w:val="clear" w:color="auto" w:fill="A6A6A6" w:themeFill="background1" w:themeFillShade="A6"/>
            <w:vAlign w:val="center"/>
          </w:tcPr>
          <w:p w:rsidR="000971C0" w:rsidRPr="00C10EC9" w:rsidRDefault="000971C0" w:rsidP="0053788F">
            <w:pPr>
              <w:pStyle w:val="Para1"/>
              <w:numPr>
                <w:ilvl w:val="0"/>
                <w:numId w:val="0"/>
              </w:numPr>
              <w:tabs>
                <w:tab w:val="left" w:pos="441"/>
              </w:tabs>
              <w:bidi/>
              <w:spacing w:before="0" w:after="0" w:line="216" w:lineRule="auto"/>
              <w:jc w:val="left"/>
              <w:rPr>
                <w:rFonts w:cs="Simplified Arabic"/>
                <w:snapToGrid/>
                <w:color w:val="000000" w:themeColor="text1"/>
                <w:sz w:val="20"/>
                <w:szCs w:val="22"/>
              </w:rPr>
            </w:pPr>
            <w:r w:rsidRPr="00C10EC9">
              <w:rPr>
                <w:rFonts w:cs="Simplified Arabic"/>
                <w:snapToGrid/>
                <w:color w:val="000000" w:themeColor="text1"/>
                <w:sz w:val="20"/>
                <w:szCs w:val="22"/>
              </w:rPr>
              <w:t>76%</w:t>
            </w:r>
          </w:p>
        </w:tc>
        <w:tc>
          <w:tcPr>
            <w:tcW w:w="912" w:type="dxa"/>
            <w:tcBorders>
              <w:bottom w:val="single" w:sz="4" w:space="0" w:color="auto"/>
            </w:tcBorders>
            <w:shd w:val="clear" w:color="auto" w:fill="A6A6A6" w:themeFill="background1" w:themeFillShade="A6"/>
            <w:vAlign w:val="center"/>
          </w:tcPr>
          <w:p w:rsidR="000971C0" w:rsidRPr="00C10EC9" w:rsidRDefault="000971C0" w:rsidP="0053788F">
            <w:pPr>
              <w:pStyle w:val="Para1"/>
              <w:numPr>
                <w:ilvl w:val="0"/>
                <w:numId w:val="0"/>
              </w:numPr>
              <w:bidi/>
              <w:spacing w:before="0" w:after="0" w:line="216" w:lineRule="auto"/>
              <w:jc w:val="left"/>
              <w:rPr>
                <w:rFonts w:cs="Simplified Arabic"/>
                <w:snapToGrid/>
                <w:color w:val="000000" w:themeColor="text1"/>
                <w:sz w:val="20"/>
                <w:szCs w:val="22"/>
              </w:rPr>
            </w:pPr>
            <w:r w:rsidRPr="00C10EC9">
              <w:rPr>
                <w:rFonts w:cs="Simplified Arabic"/>
                <w:snapToGrid/>
                <w:color w:val="000000" w:themeColor="text1"/>
                <w:sz w:val="20"/>
                <w:szCs w:val="22"/>
              </w:rPr>
              <w:t>76%</w:t>
            </w:r>
          </w:p>
        </w:tc>
        <w:tc>
          <w:tcPr>
            <w:tcW w:w="920" w:type="dxa"/>
            <w:tcBorders>
              <w:bottom w:val="single" w:sz="4" w:space="0" w:color="auto"/>
            </w:tcBorders>
            <w:shd w:val="clear" w:color="auto" w:fill="D9D9D9" w:themeFill="background1" w:themeFillShade="D9"/>
            <w:vAlign w:val="center"/>
          </w:tcPr>
          <w:p w:rsidR="000971C0" w:rsidRPr="00C10EC9" w:rsidRDefault="000971C0" w:rsidP="0053788F">
            <w:pPr>
              <w:pStyle w:val="Para1"/>
              <w:numPr>
                <w:ilvl w:val="0"/>
                <w:numId w:val="0"/>
              </w:numPr>
              <w:bidi/>
              <w:spacing w:before="0" w:after="0" w:line="216" w:lineRule="auto"/>
              <w:jc w:val="left"/>
              <w:rPr>
                <w:rFonts w:cs="Simplified Arabic"/>
                <w:snapToGrid/>
                <w:color w:val="000000" w:themeColor="text1"/>
                <w:sz w:val="20"/>
                <w:szCs w:val="22"/>
              </w:rPr>
            </w:pPr>
            <w:r w:rsidRPr="00C10EC9">
              <w:rPr>
                <w:rFonts w:cs="Simplified Arabic"/>
                <w:snapToGrid/>
                <w:color w:val="000000" w:themeColor="text1"/>
                <w:sz w:val="20"/>
                <w:szCs w:val="22"/>
              </w:rPr>
              <w:t>24%</w:t>
            </w:r>
          </w:p>
        </w:tc>
      </w:tr>
      <w:tr w:rsidR="000971C0" w:rsidRPr="00C10EC9" w:rsidTr="000971C0">
        <w:tc>
          <w:tcPr>
            <w:tcW w:w="8709" w:type="dxa"/>
            <w:gridSpan w:val="9"/>
            <w:tcBorders>
              <w:left w:val="nil"/>
              <w:bottom w:val="nil"/>
              <w:right w:val="nil"/>
            </w:tcBorders>
          </w:tcPr>
          <w:p w:rsidR="000971C0" w:rsidRPr="00C10EC9" w:rsidRDefault="000971C0" w:rsidP="00C10EC9">
            <w:pPr>
              <w:pStyle w:val="Para1"/>
              <w:numPr>
                <w:ilvl w:val="0"/>
                <w:numId w:val="0"/>
              </w:numPr>
              <w:bidi/>
              <w:spacing w:before="0" w:after="0" w:line="216" w:lineRule="auto"/>
              <w:rPr>
                <w:rFonts w:cs="Simplified Arabic"/>
                <w:snapToGrid/>
                <w:color w:val="000000" w:themeColor="text1"/>
                <w:sz w:val="20"/>
                <w:szCs w:val="22"/>
              </w:rPr>
            </w:pPr>
          </w:p>
        </w:tc>
      </w:tr>
    </w:tbl>
    <w:p w:rsidR="00D941FF" w:rsidRPr="00C10EC9" w:rsidRDefault="000971C0" w:rsidP="00D64FF1">
      <w:pPr>
        <w:pStyle w:val="Para1"/>
        <w:numPr>
          <w:ilvl w:val="0"/>
          <w:numId w:val="0"/>
        </w:numPr>
        <w:pBdr>
          <w:top w:val="nil"/>
          <w:left w:val="nil"/>
          <w:bottom w:val="nil"/>
          <w:right w:val="nil"/>
          <w:between w:val="nil"/>
          <w:bar w:val="nil"/>
        </w:pBdr>
        <w:bidi/>
        <w:rPr>
          <w:rFonts w:cs="Simplified Arabic"/>
          <w:snapToGrid/>
          <w:spacing w:val="-1"/>
          <w:kern w:val="22"/>
          <w:sz w:val="20"/>
          <w:szCs w:val="22"/>
          <w:rtl/>
          <w:lang w:bidi="ar-EG"/>
        </w:rPr>
      </w:pPr>
      <w:r>
        <w:rPr>
          <w:rFonts w:cs="Simplified Arabic" w:hint="cs"/>
          <w:snapToGrid/>
          <w:spacing w:val="-1"/>
          <w:kern w:val="22"/>
          <w:sz w:val="24"/>
          <w:szCs w:val="24"/>
          <w:rtl/>
          <w:lang w:val="en-US" w:bidi="ar-EG"/>
        </w:rPr>
        <w:t xml:space="preserve">* </w:t>
      </w:r>
      <w:r w:rsidRPr="00C10EC9">
        <w:rPr>
          <w:rFonts w:cs="Simplified Arabic" w:hint="cs"/>
          <w:snapToGrid/>
          <w:spacing w:val="-1"/>
          <w:kern w:val="22"/>
          <w:sz w:val="20"/>
          <w:szCs w:val="22"/>
          <w:rtl/>
          <w:lang w:val="en-US" w:bidi="ar-EG"/>
        </w:rPr>
        <w:t xml:space="preserve">نوع السجلات المبينة: </w:t>
      </w:r>
      <w:r w:rsidRPr="00C10EC9">
        <w:rPr>
          <w:rFonts w:cs="Simplified Arabic"/>
          <w:snapToGrid/>
          <w:color w:val="000000" w:themeColor="text1"/>
          <w:sz w:val="20"/>
          <w:szCs w:val="22"/>
        </w:rPr>
        <w:t>NFP</w:t>
      </w:r>
      <w:r w:rsidRPr="00C10EC9">
        <w:rPr>
          <w:rFonts w:cs="Simplified Arabic" w:hint="cs"/>
          <w:snapToGrid/>
          <w:spacing w:val="-1"/>
          <w:kern w:val="22"/>
          <w:sz w:val="20"/>
          <w:szCs w:val="22"/>
          <w:rtl/>
          <w:lang w:val="en-US" w:bidi="ar-EG"/>
        </w:rPr>
        <w:t xml:space="preserve"> = نقطة الاتصال الوطنية؛ </w:t>
      </w:r>
      <w:r w:rsidRPr="00C10EC9">
        <w:rPr>
          <w:rFonts w:cs="Simplified Arabic"/>
          <w:snapToGrid/>
          <w:color w:val="000000" w:themeColor="text1"/>
          <w:sz w:val="20"/>
          <w:szCs w:val="22"/>
        </w:rPr>
        <w:t>CNA</w:t>
      </w:r>
      <w:r w:rsidRPr="00C10EC9">
        <w:rPr>
          <w:rFonts w:cs="Simplified Arabic" w:hint="cs"/>
          <w:snapToGrid/>
          <w:spacing w:val="-1"/>
          <w:kern w:val="22"/>
          <w:sz w:val="20"/>
          <w:szCs w:val="22"/>
          <w:rtl/>
          <w:lang w:val="en-US" w:bidi="ar-EG"/>
        </w:rPr>
        <w:t xml:space="preserve"> = السلطة الوطنية المختصة؛ </w:t>
      </w:r>
      <w:r w:rsidRPr="00C10EC9">
        <w:rPr>
          <w:rFonts w:cs="Simplified Arabic"/>
          <w:snapToGrid/>
          <w:color w:val="000000" w:themeColor="text1"/>
          <w:sz w:val="20"/>
          <w:szCs w:val="22"/>
        </w:rPr>
        <w:t>MSR</w:t>
      </w:r>
      <w:r w:rsidRPr="00C10EC9">
        <w:rPr>
          <w:rFonts w:cs="Simplified Arabic" w:hint="cs"/>
          <w:snapToGrid/>
          <w:spacing w:val="-1"/>
          <w:kern w:val="22"/>
          <w:sz w:val="20"/>
          <w:szCs w:val="22"/>
          <w:rtl/>
          <w:lang w:val="en-US" w:bidi="ar-EG"/>
        </w:rPr>
        <w:t xml:space="preserve"> = التدابير التشريعية أو الإدارية أو السياس</w:t>
      </w:r>
      <w:r w:rsidR="00D64FF1">
        <w:rPr>
          <w:rFonts w:cs="Simplified Arabic" w:hint="cs"/>
          <w:snapToGrid/>
          <w:spacing w:val="-1"/>
          <w:kern w:val="22"/>
          <w:sz w:val="20"/>
          <w:szCs w:val="22"/>
          <w:rtl/>
          <w:lang w:val="en-US" w:bidi="ar-EG"/>
        </w:rPr>
        <w:t>اتي</w:t>
      </w:r>
      <w:r w:rsidRPr="00C10EC9">
        <w:rPr>
          <w:rFonts w:cs="Simplified Arabic" w:hint="cs"/>
          <w:snapToGrid/>
          <w:spacing w:val="-1"/>
          <w:kern w:val="22"/>
          <w:sz w:val="20"/>
          <w:szCs w:val="22"/>
          <w:rtl/>
          <w:lang w:val="en-US" w:bidi="ar-EG"/>
        </w:rPr>
        <w:t>ة ("تدابير الحصول وتقاسم المنافع")؛</w:t>
      </w:r>
      <w:r w:rsidR="00C10EC9" w:rsidRPr="00C10EC9">
        <w:rPr>
          <w:rFonts w:cs="Simplified Arabic" w:hint="cs"/>
          <w:snapToGrid/>
          <w:spacing w:val="-1"/>
          <w:kern w:val="22"/>
          <w:sz w:val="20"/>
          <w:szCs w:val="22"/>
          <w:rtl/>
          <w:lang w:val="en-US" w:bidi="ar-EG"/>
        </w:rPr>
        <w:t xml:space="preserve"> </w:t>
      </w:r>
      <w:r w:rsidRPr="00C10EC9">
        <w:rPr>
          <w:rFonts w:cs="Simplified Arabic"/>
          <w:snapToGrid/>
          <w:color w:val="000000" w:themeColor="text1"/>
          <w:sz w:val="20"/>
          <w:szCs w:val="22"/>
        </w:rPr>
        <w:t>PRO</w:t>
      </w:r>
      <w:r w:rsidRPr="00C10EC9">
        <w:rPr>
          <w:rFonts w:cs="Simplified Arabic" w:hint="cs"/>
          <w:snapToGrid/>
          <w:spacing w:val="-1"/>
          <w:kern w:val="22"/>
          <w:sz w:val="20"/>
          <w:szCs w:val="22"/>
          <w:rtl/>
          <w:lang w:val="en-US" w:bidi="ar-EG"/>
        </w:rPr>
        <w:t xml:space="preserve"> </w:t>
      </w:r>
      <w:r w:rsidR="00C10EC9" w:rsidRPr="00C10EC9">
        <w:rPr>
          <w:rFonts w:cs="Simplified Arabic" w:hint="cs"/>
          <w:snapToGrid/>
          <w:spacing w:val="-1"/>
          <w:kern w:val="22"/>
          <w:sz w:val="20"/>
          <w:szCs w:val="22"/>
          <w:rtl/>
          <w:lang w:val="en-US" w:bidi="ar-EG"/>
        </w:rPr>
        <w:t xml:space="preserve">= إجراءات الحصول وتقاسم المنافع؛ </w:t>
      </w:r>
      <w:r w:rsidR="00C10EC9" w:rsidRPr="00C10EC9">
        <w:rPr>
          <w:rFonts w:cs="Simplified Arabic"/>
          <w:snapToGrid/>
          <w:color w:val="000000" w:themeColor="text1"/>
          <w:sz w:val="20"/>
          <w:szCs w:val="22"/>
        </w:rPr>
        <w:t>IRCC</w:t>
      </w:r>
      <w:r w:rsidR="00C10EC9" w:rsidRPr="00C10EC9">
        <w:rPr>
          <w:rFonts w:cs="Simplified Arabic" w:hint="cs"/>
          <w:snapToGrid/>
          <w:spacing w:val="-1"/>
          <w:kern w:val="22"/>
          <w:sz w:val="20"/>
          <w:szCs w:val="22"/>
          <w:rtl/>
          <w:lang w:val="en-US" w:bidi="ar-EG"/>
        </w:rPr>
        <w:t xml:space="preserve"> = شهادة الامتثال المعترف بها دوليا؛ </w:t>
      </w:r>
      <w:r w:rsidR="00C10EC9" w:rsidRPr="00C10EC9">
        <w:rPr>
          <w:rFonts w:cs="Simplified Arabic"/>
          <w:snapToGrid/>
          <w:color w:val="000000" w:themeColor="text1"/>
          <w:sz w:val="20"/>
          <w:szCs w:val="22"/>
        </w:rPr>
        <w:t>NDB</w:t>
      </w:r>
      <w:r w:rsidR="00C10EC9" w:rsidRPr="00C10EC9">
        <w:rPr>
          <w:rFonts w:cs="Simplified Arabic" w:hint="cs"/>
          <w:snapToGrid/>
          <w:spacing w:val="-1"/>
          <w:kern w:val="22"/>
          <w:sz w:val="20"/>
          <w:szCs w:val="22"/>
          <w:rtl/>
          <w:lang w:bidi="ar-EG"/>
        </w:rPr>
        <w:t xml:space="preserve"> = الموقع الإلكتروني الوطني أو قاعدة البيانات الوطنية؛ </w:t>
      </w:r>
      <w:r w:rsidR="00C10EC9" w:rsidRPr="00C10EC9">
        <w:rPr>
          <w:rFonts w:cs="Simplified Arabic"/>
          <w:snapToGrid/>
          <w:color w:val="000000" w:themeColor="text1"/>
          <w:sz w:val="20"/>
          <w:szCs w:val="22"/>
        </w:rPr>
        <w:t>CP</w:t>
      </w:r>
      <w:r w:rsidR="00C10EC9" w:rsidRPr="00C10EC9">
        <w:rPr>
          <w:rFonts w:cs="Simplified Arabic" w:hint="cs"/>
          <w:snapToGrid/>
          <w:spacing w:val="-1"/>
          <w:kern w:val="22"/>
          <w:sz w:val="20"/>
          <w:szCs w:val="22"/>
          <w:rtl/>
          <w:lang w:bidi="ar-EG"/>
        </w:rPr>
        <w:t xml:space="preserve"> </w:t>
      </w:r>
      <w:r w:rsidR="00C10EC9" w:rsidRPr="00C10EC9">
        <w:rPr>
          <w:rFonts w:cs="Simplified Arabic"/>
          <w:snapToGrid/>
          <w:spacing w:val="-1"/>
          <w:kern w:val="22"/>
          <w:sz w:val="20"/>
          <w:szCs w:val="22"/>
          <w:rtl/>
          <w:lang w:bidi="ar-EG"/>
        </w:rPr>
        <w:t>–</w:t>
      </w:r>
      <w:r w:rsidR="00C10EC9" w:rsidRPr="00C10EC9">
        <w:rPr>
          <w:rFonts w:cs="Simplified Arabic" w:hint="cs"/>
          <w:snapToGrid/>
          <w:spacing w:val="-1"/>
          <w:kern w:val="22"/>
          <w:sz w:val="20"/>
          <w:szCs w:val="22"/>
          <w:rtl/>
          <w:lang w:bidi="ar-EG"/>
        </w:rPr>
        <w:t xml:space="preserve"> نقطة التفتيش؛ </w:t>
      </w:r>
      <w:r w:rsidR="00C10EC9" w:rsidRPr="00C10EC9">
        <w:rPr>
          <w:rFonts w:cs="Simplified Arabic"/>
          <w:snapToGrid/>
          <w:color w:val="000000" w:themeColor="text1"/>
          <w:sz w:val="20"/>
          <w:szCs w:val="22"/>
        </w:rPr>
        <w:t>CPC</w:t>
      </w:r>
      <w:r w:rsidR="00C10EC9" w:rsidRPr="00C10EC9">
        <w:rPr>
          <w:rFonts w:cs="Simplified Arabic" w:hint="cs"/>
          <w:snapToGrid/>
          <w:spacing w:val="-1"/>
          <w:kern w:val="22"/>
          <w:sz w:val="20"/>
          <w:szCs w:val="22"/>
          <w:rtl/>
          <w:lang w:bidi="ar-EG"/>
        </w:rPr>
        <w:t xml:space="preserve"> = بيانات نقطة التفتيش.</w:t>
      </w:r>
    </w:p>
    <w:p w:rsidR="000971C0" w:rsidRDefault="000971C0" w:rsidP="00C10EC9">
      <w:pPr>
        <w:pStyle w:val="Para1"/>
        <w:numPr>
          <w:ilvl w:val="0"/>
          <w:numId w:val="0"/>
        </w:numPr>
        <w:pBdr>
          <w:top w:val="nil"/>
          <w:left w:val="nil"/>
          <w:bottom w:val="nil"/>
          <w:right w:val="nil"/>
          <w:between w:val="nil"/>
          <w:bar w:val="nil"/>
        </w:pBdr>
        <w:bidi/>
        <w:spacing w:before="0" w:after="0" w:line="216" w:lineRule="auto"/>
        <w:rPr>
          <w:rFonts w:cs="Simplified Arabic"/>
          <w:snapToGrid/>
          <w:spacing w:val="-1"/>
          <w:kern w:val="22"/>
          <w:sz w:val="24"/>
          <w:szCs w:val="24"/>
        </w:rPr>
      </w:pPr>
    </w:p>
    <w:p w:rsidR="00D941FF" w:rsidRDefault="0053788F" w:rsidP="00B94928">
      <w:pPr>
        <w:pStyle w:val="Para1"/>
        <w:numPr>
          <w:ilvl w:val="0"/>
          <w:numId w:val="19"/>
        </w:numPr>
        <w:pBdr>
          <w:top w:val="nil"/>
          <w:left w:val="nil"/>
          <w:bottom w:val="nil"/>
          <w:right w:val="nil"/>
          <w:between w:val="nil"/>
          <w:bar w:val="nil"/>
        </w:pBdr>
        <w:bidi/>
        <w:ind w:left="0" w:firstLine="0"/>
        <w:rPr>
          <w:rFonts w:cs="Simplified Arabic"/>
          <w:snapToGrid/>
          <w:spacing w:val="-1"/>
          <w:kern w:val="22"/>
          <w:sz w:val="24"/>
          <w:szCs w:val="24"/>
        </w:rPr>
      </w:pPr>
      <w:r>
        <w:rPr>
          <w:rFonts w:cs="Simplified Arabic" w:hint="cs"/>
          <w:snapToGrid/>
          <w:spacing w:val="-1"/>
          <w:kern w:val="22"/>
          <w:sz w:val="24"/>
          <w:szCs w:val="24"/>
          <w:rtl/>
        </w:rPr>
        <w:t>وبالنسبة للأطراف، فضلا عن غير الأطراف، يعتبر تعيين سلطة النشر في البلد شر</w:t>
      </w:r>
      <w:r w:rsidR="00F44313">
        <w:rPr>
          <w:rFonts w:cs="Simplified Arabic" w:hint="cs"/>
          <w:snapToGrid/>
          <w:spacing w:val="-1"/>
          <w:kern w:val="22"/>
          <w:sz w:val="24"/>
          <w:szCs w:val="24"/>
          <w:rtl/>
        </w:rPr>
        <w:t>ط</w:t>
      </w:r>
      <w:r>
        <w:rPr>
          <w:rFonts w:cs="Simplified Arabic" w:hint="cs"/>
          <w:snapToGrid/>
          <w:spacing w:val="-1"/>
          <w:kern w:val="22"/>
          <w:sz w:val="24"/>
          <w:szCs w:val="24"/>
          <w:rtl/>
        </w:rPr>
        <w:t xml:space="preserve">ا مسبقا رئيسيا لنشر المعلومات الوطنية والمشاركة في غرفة تبادل المعلومات بشأن الحصول وتقاسم المنافع. واعتبارا من نوفمبر/تشرين الثاني 2021، </w:t>
      </w:r>
      <w:r w:rsidR="00BF0A66">
        <w:rPr>
          <w:rFonts w:cs="Simplified Arabic" w:hint="cs"/>
          <w:snapToGrid/>
          <w:spacing w:val="-1"/>
          <w:kern w:val="22"/>
          <w:sz w:val="24"/>
          <w:szCs w:val="24"/>
          <w:rtl/>
        </w:rPr>
        <w:t>لم ي</w:t>
      </w:r>
      <w:r>
        <w:rPr>
          <w:rFonts w:cs="Simplified Arabic" w:hint="cs"/>
          <w:snapToGrid/>
          <w:spacing w:val="-1"/>
          <w:kern w:val="22"/>
          <w:sz w:val="24"/>
          <w:szCs w:val="24"/>
          <w:rtl/>
        </w:rPr>
        <w:t>عين 23 طرفا</w:t>
      </w:r>
      <w:r>
        <w:rPr>
          <w:rStyle w:val="FootnoteReference"/>
          <w:snapToGrid/>
          <w:spacing w:val="-1"/>
          <w:kern w:val="22"/>
          <w:sz w:val="24"/>
          <w:rtl/>
        </w:rPr>
        <w:footnoteReference w:id="4"/>
      </w:r>
      <w:r>
        <w:rPr>
          <w:rFonts w:cs="Simplified Arabic" w:hint="cs"/>
          <w:snapToGrid/>
          <w:spacing w:val="-1"/>
          <w:kern w:val="22"/>
          <w:sz w:val="24"/>
          <w:szCs w:val="24"/>
          <w:rtl/>
        </w:rPr>
        <w:t xml:space="preserve"> </w:t>
      </w:r>
      <w:r w:rsidR="00BF0A66">
        <w:rPr>
          <w:rFonts w:cs="Simplified Arabic" w:hint="cs"/>
          <w:snapToGrid/>
          <w:spacing w:val="-1"/>
          <w:kern w:val="22"/>
          <w:sz w:val="24"/>
          <w:szCs w:val="24"/>
          <w:rtl/>
        </w:rPr>
        <w:t>سلطة للنشر. وت</w:t>
      </w:r>
      <w:r w:rsidR="00B94928">
        <w:rPr>
          <w:rFonts w:cs="Simplified Arabic" w:hint="cs"/>
          <w:snapToGrid/>
          <w:spacing w:val="-1"/>
          <w:kern w:val="22"/>
          <w:sz w:val="24"/>
          <w:szCs w:val="24"/>
          <w:rtl/>
        </w:rPr>
        <w:t>ستمر</w:t>
      </w:r>
      <w:r w:rsidR="00BF0A66">
        <w:rPr>
          <w:rFonts w:cs="Simplified Arabic" w:hint="cs"/>
          <w:snapToGrid/>
          <w:spacing w:val="-1"/>
          <w:kern w:val="22"/>
          <w:sz w:val="24"/>
          <w:szCs w:val="24"/>
          <w:rtl/>
        </w:rPr>
        <w:t xml:space="preserve"> الأمانة </w:t>
      </w:r>
      <w:r w:rsidR="00B94928">
        <w:rPr>
          <w:rFonts w:cs="Simplified Arabic" w:hint="cs"/>
          <w:snapToGrid/>
          <w:spacing w:val="-1"/>
          <w:kern w:val="22"/>
          <w:sz w:val="24"/>
          <w:szCs w:val="24"/>
          <w:rtl/>
        </w:rPr>
        <w:t xml:space="preserve">في </w:t>
      </w:r>
      <w:r w:rsidR="00BF0A66">
        <w:rPr>
          <w:rFonts w:cs="Simplified Arabic" w:hint="cs"/>
          <w:snapToGrid/>
          <w:spacing w:val="-1"/>
          <w:kern w:val="22"/>
          <w:sz w:val="24"/>
          <w:szCs w:val="24"/>
          <w:rtl/>
        </w:rPr>
        <w:t>التواصل المعتاد لتشجيع تعيينات سلطة النشر</w:t>
      </w:r>
      <w:r w:rsidR="00B94928">
        <w:rPr>
          <w:rFonts w:cs="Simplified Arabic" w:hint="cs"/>
          <w:snapToGrid/>
          <w:spacing w:val="-1"/>
          <w:kern w:val="22"/>
          <w:sz w:val="24"/>
          <w:szCs w:val="24"/>
          <w:rtl/>
        </w:rPr>
        <w:t>،</w:t>
      </w:r>
      <w:r w:rsidR="00BF0A66">
        <w:rPr>
          <w:rFonts w:cs="Simplified Arabic" w:hint="cs"/>
          <w:snapToGrid/>
          <w:spacing w:val="-1"/>
          <w:kern w:val="22"/>
          <w:sz w:val="24"/>
          <w:szCs w:val="24"/>
          <w:rtl/>
        </w:rPr>
        <w:t xml:space="preserve"> وتذكير نقاط الاتصال الوطنية للحصول وتقاسم المنافع أنها قد تضطلع </w:t>
      </w:r>
      <w:r w:rsidR="00B94928">
        <w:rPr>
          <w:rFonts w:cs="Simplified Arabic" w:hint="cs"/>
          <w:snapToGrid/>
          <w:spacing w:val="-1"/>
          <w:kern w:val="22"/>
          <w:sz w:val="24"/>
          <w:szCs w:val="24"/>
          <w:rtl/>
        </w:rPr>
        <w:t>ب</w:t>
      </w:r>
      <w:r w:rsidR="00BF0A66">
        <w:rPr>
          <w:rFonts w:cs="Simplified Arabic" w:hint="cs"/>
          <w:snapToGrid/>
          <w:spacing w:val="-1"/>
          <w:kern w:val="22"/>
          <w:sz w:val="24"/>
          <w:szCs w:val="24"/>
          <w:rtl/>
        </w:rPr>
        <w:t>هذا الدور وأن تعيينات سلطة النشر يمكن القيام بها ببساطة إما باستخدام وظيفة "إدارة المستخد</w:t>
      </w:r>
      <w:r w:rsidR="007744C5">
        <w:rPr>
          <w:rFonts w:cs="Simplified Arabic" w:hint="cs"/>
          <w:snapToGrid/>
          <w:spacing w:val="-1"/>
          <w:kern w:val="22"/>
          <w:sz w:val="24"/>
          <w:szCs w:val="24"/>
          <w:rtl/>
        </w:rPr>
        <w:t>م</w:t>
      </w:r>
      <w:r w:rsidR="00BF0A66">
        <w:rPr>
          <w:rFonts w:cs="Simplified Arabic" w:hint="cs"/>
          <w:snapToGrid/>
          <w:spacing w:val="-1"/>
          <w:kern w:val="22"/>
          <w:sz w:val="24"/>
          <w:szCs w:val="24"/>
          <w:rtl/>
        </w:rPr>
        <w:t xml:space="preserve">" في قسم "التقديم" على الموقع الشبكي أو عن طريق تأكيد تفاصيل سلطة النشر مع الأمانة عن طريق البريد الإلكتروني </w:t>
      </w:r>
      <w:r w:rsidR="00BF0A66" w:rsidRPr="0001120A">
        <w:rPr>
          <w:snapToGrid/>
          <w:color w:val="000000" w:themeColor="text1"/>
          <w:szCs w:val="22"/>
        </w:rPr>
        <w:t>(</w:t>
      </w:r>
      <w:hyperlink r:id="rId16" w:history="1">
        <w:r w:rsidR="00BF0A66" w:rsidRPr="0001120A">
          <w:rPr>
            <w:rStyle w:val="Hyperlink"/>
            <w:snapToGrid/>
            <w:szCs w:val="22"/>
          </w:rPr>
          <w:t>absch@cbd.int</w:t>
        </w:r>
      </w:hyperlink>
      <w:r w:rsidR="00BF0A66" w:rsidRPr="0001120A">
        <w:rPr>
          <w:snapToGrid/>
          <w:color w:val="000000" w:themeColor="text1"/>
          <w:szCs w:val="22"/>
        </w:rPr>
        <w:t>)</w:t>
      </w:r>
      <w:r w:rsidR="00BF0A66">
        <w:rPr>
          <w:rFonts w:cs="Simplified Arabic" w:hint="cs"/>
          <w:snapToGrid/>
          <w:spacing w:val="-1"/>
          <w:kern w:val="22"/>
          <w:sz w:val="24"/>
          <w:szCs w:val="24"/>
          <w:rtl/>
        </w:rPr>
        <w:t>.</w:t>
      </w:r>
    </w:p>
    <w:p w:rsidR="00D941FF" w:rsidRDefault="00877F30" w:rsidP="006F1B2D">
      <w:pPr>
        <w:pStyle w:val="Para1"/>
        <w:numPr>
          <w:ilvl w:val="0"/>
          <w:numId w:val="19"/>
        </w:numPr>
        <w:pBdr>
          <w:top w:val="nil"/>
          <w:left w:val="nil"/>
          <w:bottom w:val="nil"/>
          <w:right w:val="nil"/>
          <w:between w:val="nil"/>
          <w:bar w:val="nil"/>
        </w:pBdr>
        <w:bidi/>
        <w:ind w:left="0" w:firstLine="0"/>
        <w:rPr>
          <w:rFonts w:cs="Simplified Arabic"/>
          <w:snapToGrid/>
          <w:spacing w:val="-1"/>
          <w:kern w:val="22"/>
          <w:sz w:val="24"/>
          <w:szCs w:val="24"/>
        </w:rPr>
      </w:pPr>
      <w:r>
        <w:rPr>
          <w:rFonts w:cs="Simplified Arabic" w:hint="cs"/>
          <w:snapToGrid/>
          <w:spacing w:val="-1"/>
          <w:kern w:val="22"/>
          <w:sz w:val="24"/>
          <w:szCs w:val="24"/>
          <w:rtl/>
          <w:lang w:val="en-US" w:bidi="ar-EG"/>
        </w:rPr>
        <w:t>كما استمر عدد السجلات المرجعية في التزايد بإطرد</w:t>
      </w:r>
      <w:r>
        <w:rPr>
          <w:rFonts w:cs="Simplified Arabic" w:hint="cs"/>
          <w:snapToGrid/>
          <w:spacing w:val="-1"/>
          <w:kern w:val="22"/>
          <w:sz w:val="24"/>
          <w:szCs w:val="24"/>
          <w:rtl/>
          <w:lang w:bidi="ar-EG"/>
        </w:rPr>
        <w:t>، خاصة السجلات بشأن البروتوكولات المجتمعية والإجراءات والقوانين العرفية، التي زادت ب</w:t>
      </w:r>
      <w:r w:rsidR="006F1B2D">
        <w:rPr>
          <w:rFonts w:cs="Simplified Arabic" w:hint="cs"/>
          <w:snapToGrid/>
          <w:spacing w:val="-1"/>
          <w:kern w:val="22"/>
          <w:sz w:val="24"/>
          <w:szCs w:val="24"/>
          <w:rtl/>
          <w:lang w:bidi="ar-EG"/>
        </w:rPr>
        <w:t xml:space="preserve">أكثر من </w:t>
      </w:r>
      <w:r>
        <w:rPr>
          <w:rFonts w:cs="Simplified Arabic" w:hint="cs"/>
          <w:snapToGrid/>
          <w:spacing w:val="-1"/>
          <w:kern w:val="22"/>
          <w:sz w:val="24"/>
          <w:szCs w:val="24"/>
          <w:rtl/>
          <w:lang w:bidi="ar-EG"/>
        </w:rPr>
        <w:t xml:space="preserve">ثلاثة أضعاف منذ نوفمبر/تشرين الثاني 2019. وقد دعم المشروع العالمي للحصول وتقاسم النمافع في مرفق البيئة العالمية التابع لليوئنديبي تطوير الكثير </w:t>
      </w:r>
      <w:r w:rsidR="00426E19">
        <w:rPr>
          <w:rFonts w:cs="Simplified Arabic" w:hint="cs"/>
          <w:snapToGrid/>
          <w:spacing w:val="-1"/>
          <w:kern w:val="22"/>
          <w:sz w:val="24"/>
          <w:szCs w:val="24"/>
          <w:rtl/>
          <w:lang w:bidi="ar-EG"/>
        </w:rPr>
        <w:t>م</w:t>
      </w:r>
      <w:r>
        <w:rPr>
          <w:rFonts w:cs="Simplified Arabic" w:hint="cs"/>
          <w:snapToGrid/>
          <w:spacing w:val="-1"/>
          <w:kern w:val="22"/>
          <w:sz w:val="24"/>
          <w:szCs w:val="24"/>
          <w:rtl/>
          <w:lang w:bidi="ar-EG"/>
        </w:rPr>
        <w:t>ن هذه البروتوكولات المجتمعية والإجراءات والقوانين العرفية. وعملت الأمانة مع المشروع العالمي للحصول وتقاسم المنافع على دعم بناء القدرات للشعوب الأصلية والمجتمعات المحلي في أحداث مثل سلسلة الحلقات الدراسية</w:t>
      </w:r>
      <w:r w:rsidR="006F1B2D">
        <w:rPr>
          <w:rFonts w:cs="Simplified Arabic" w:hint="cs"/>
          <w:snapToGrid/>
          <w:spacing w:val="-1"/>
          <w:kern w:val="22"/>
          <w:sz w:val="24"/>
          <w:szCs w:val="24"/>
          <w:rtl/>
          <w:lang w:bidi="ar-EG"/>
        </w:rPr>
        <w:t xml:space="preserve"> الشبكية</w:t>
      </w:r>
      <w:r>
        <w:rPr>
          <w:rFonts w:cs="Simplified Arabic" w:hint="cs"/>
          <w:snapToGrid/>
          <w:spacing w:val="-1"/>
          <w:kern w:val="22"/>
          <w:sz w:val="24"/>
          <w:szCs w:val="24"/>
          <w:rtl/>
          <w:lang w:bidi="ar-EG"/>
        </w:rPr>
        <w:t xml:space="preserve"> "</w:t>
      </w:r>
      <w:r w:rsidR="006F1B2D">
        <w:rPr>
          <w:rFonts w:cs="Simplified Arabic" w:hint="cs"/>
          <w:snapToGrid/>
          <w:spacing w:val="-1"/>
          <w:kern w:val="22"/>
          <w:sz w:val="24"/>
          <w:szCs w:val="24"/>
          <w:rtl/>
          <w:lang w:bidi="ar-EG"/>
        </w:rPr>
        <w:t>حم</w:t>
      </w:r>
      <w:r>
        <w:rPr>
          <w:rFonts w:cs="Simplified Arabic" w:hint="cs"/>
          <w:snapToGrid/>
          <w:spacing w:val="-1"/>
          <w:kern w:val="22"/>
          <w:sz w:val="24"/>
          <w:szCs w:val="24"/>
          <w:rtl/>
          <w:lang w:bidi="ar-EG"/>
        </w:rPr>
        <w:t>اة الطبيعة"، ال</w:t>
      </w:r>
      <w:r w:rsidR="006F1B2D">
        <w:rPr>
          <w:rFonts w:cs="Simplified Arabic" w:hint="cs"/>
          <w:snapToGrid/>
          <w:spacing w:val="-1"/>
          <w:kern w:val="22"/>
          <w:sz w:val="24"/>
          <w:szCs w:val="24"/>
          <w:rtl/>
          <w:lang w:bidi="ar-EG"/>
        </w:rPr>
        <w:t>تي عقدت ف</w:t>
      </w:r>
      <w:r>
        <w:rPr>
          <w:rFonts w:cs="Simplified Arabic" w:hint="cs"/>
          <w:snapToGrid/>
          <w:spacing w:val="-1"/>
          <w:kern w:val="22"/>
          <w:sz w:val="24"/>
          <w:szCs w:val="24"/>
          <w:rtl/>
          <w:lang w:bidi="ar-EG"/>
        </w:rPr>
        <w:t>ي أغسطس/آب 2020، وعن طريق تشجيع ودعم الشعوب الأصلية والمجتمعات المحلية وغيرهم على إتاحة المعلومات ذات الصلة في غرفة تبادل المعلومات بشأن الحصول وتقاسم المنافع.</w:t>
      </w:r>
    </w:p>
    <w:p w:rsidR="00D941FF" w:rsidRDefault="00877F30" w:rsidP="006F1B2D">
      <w:pPr>
        <w:pStyle w:val="Para1"/>
        <w:numPr>
          <w:ilvl w:val="0"/>
          <w:numId w:val="19"/>
        </w:numPr>
        <w:pBdr>
          <w:top w:val="nil"/>
          <w:left w:val="nil"/>
          <w:bottom w:val="nil"/>
          <w:right w:val="nil"/>
          <w:between w:val="nil"/>
          <w:bar w:val="nil"/>
        </w:pBdr>
        <w:bidi/>
        <w:ind w:left="0" w:firstLine="0"/>
        <w:rPr>
          <w:rFonts w:cs="Simplified Arabic"/>
          <w:snapToGrid/>
          <w:spacing w:val="-1"/>
          <w:kern w:val="22"/>
          <w:sz w:val="24"/>
          <w:szCs w:val="24"/>
        </w:rPr>
      </w:pPr>
      <w:r>
        <w:rPr>
          <w:rFonts w:cs="Simplified Arabic" w:hint="cs"/>
          <w:snapToGrid/>
          <w:spacing w:val="-1"/>
          <w:kern w:val="22"/>
          <w:sz w:val="24"/>
          <w:szCs w:val="24"/>
          <w:rtl/>
        </w:rPr>
        <w:t>و</w:t>
      </w:r>
      <w:r w:rsidR="006F1B2D">
        <w:rPr>
          <w:rFonts w:cs="Simplified Arabic" w:hint="cs"/>
          <w:snapToGrid/>
          <w:spacing w:val="-1"/>
          <w:kern w:val="22"/>
          <w:sz w:val="24"/>
          <w:szCs w:val="24"/>
          <w:rtl/>
        </w:rPr>
        <w:t>تم تشكيل</w:t>
      </w:r>
      <w:r>
        <w:rPr>
          <w:rFonts w:cs="Simplified Arabic" w:hint="cs"/>
          <w:snapToGrid/>
          <w:spacing w:val="-1"/>
          <w:kern w:val="22"/>
          <w:sz w:val="24"/>
          <w:szCs w:val="24"/>
          <w:rtl/>
        </w:rPr>
        <w:t xml:space="preserve"> غرفة تبادل المعلومات بشأن الحصول وتقاسم المنافع </w:t>
      </w:r>
      <w:r w:rsidR="006F1B2D">
        <w:rPr>
          <w:rFonts w:cs="Simplified Arabic" w:hint="cs"/>
          <w:snapToGrid/>
          <w:spacing w:val="-1"/>
          <w:kern w:val="22"/>
          <w:sz w:val="24"/>
          <w:szCs w:val="24"/>
          <w:rtl/>
        </w:rPr>
        <w:t>ل</w:t>
      </w:r>
      <w:r>
        <w:rPr>
          <w:rFonts w:cs="Simplified Arabic" w:hint="cs"/>
          <w:snapToGrid/>
          <w:spacing w:val="-1"/>
          <w:kern w:val="22"/>
          <w:sz w:val="24"/>
          <w:szCs w:val="24"/>
          <w:rtl/>
        </w:rPr>
        <w:t xml:space="preserve">استعمال خدمة </w:t>
      </w:r>
      <w:r w:rsidR="00F22329">
        <w:rPr>
          <w:rFonts w:cs="Simplified Arabic" w:hint="cs"/>
          <w:snapToGrid/>
          <w:spacing w:val="-1"/>
          <w:kern w:val="22"/>
          <w:sz w:val="24"/>
          <w:szCs w:val="24"/>
          <w:rtl/>
        </w:rPr>
        <w:t xml:space="preserve">الدراسات </w:t>
      </w:r>
      <w:r>
        <w:rPr>
          <w:rFonts w:cs="Simplified Arabic" w:hint="cs"/>
          <w:snapToGrid/>
          <w:spacing w:val="-1"/>
          <w:kern w:val="22"/>
          <w:sz w:val="24"/>
          <w:szCs w:val="24"/>
          <w:rtl/>
        </w:rPr>
        <w:t xml:space="preserve">التحليلية في الموقع الشبكي لغوغل </w:t>
      </w:r>
      <w:r w:rsidRPr="004E5DDB">
        <w:rPr>
          <w:snapToGrid/>
          <w:color w:val="000000" w:themeColor="text1"/>
          <w:szCs w:val="22"/>
        </w:rPr>
        <w:t>(</w:t>
      </w:r>
      <w:hyperlink r:id="rId17" w:history="1">
        <w:r w:rsidRPr="004E5DDB">
          <w:rPr>
            <w:rStyle w:val="Hyperlink"/>
            <w:snapToGrid/>
            <w:szCs w:val="22"/>
          </w:rPr>
          <w:t>https://analytics.google.com)</w:t>
        </w:r>
      </w:hyperlink>
      <w:r>
        <w:rPr>
          <w:rFonts w:cs="Simplified Arabic" w:hint="cs"/>
          <w:snapToGrid/>
          <w:spacing w:val="-1"/>
          <w:kern w:val="22"/>
          <w:sz w:val="24"/>
          <w:szCs w:val="24"/>
          <w:rtl/>
        </w:rPr>
        <w:t>،</w:t>
      </w:r>
      <w:r>
        <w:rPr>
          <w:rFonts w:cs="Simplified Arabic" w:hint="cs"/>
          <w:snapToGrid/>
          <w:spacing w:val="-1"/>
          <w:kern w:val="22"/>
          <w:sz w:val="24"/>
          <w:szCs w:val="24"/>
          <w:rtl/>
          <w:lang w:bidi="ar-EG"/>
        </w:rPr>
        <w:t xml:space="preserve"> التي تقدم مقاييس رئيسية وأفكار تتعلق بكيفية استخدام الموقع الشبكي. وزاد عدد زوار غرفة تبادل المعلومات بشأن الحصول وتقاسم المنافع بإطراد منذ إطلاقها، مع زيادة عدد الزوار إلى ثلاثة أضعاف كل </w:t>
      </w:r>
      <w:r>
        <w:rPr>
          <w:rFonts w:cs="Simplified Arabic" w:hint="cs"/>
          <w:snapToGrid/>
          <w:spacing w:val="-1"/>
          <w:kern w:val="22"/>
          <w:sz w:val="24"/>
          <w:szCs w:val="24"/>
          <w:rtl/>
          <w:lang w:bidi="ar-EG"/>
        </w:rPr>
        <w:lastRenderedPageBreak/>
        <w:t xml:space="preserve">سنتين منذ إطلاقها في عام 2014. وفي كل زيارة، يقضي حوالي نصف جميع الزوار أكثر من دقيقة </w:t>
      </w:r>
      <w:r w:rsidR="004C091D">
        <w:rPr>
          <w:rFonts w:cs="Simplified Arabic" w:hint="cs"/>
          <w:snapToGrid/>
          <w:spacing w:val="-1"/>
          <w:kern w:val="22"/>
          <w:sz w:val="24"/>
          <w:szCs w:val="24"/>
          <w:rtl/>
          <w:lang w:bidi="ar-EG"/>
        </w:rPr>
        <w:t xml:space="preserve">واحدة </w:t>
      </w:r>
      <w:r>
        <w:rPr>
          <w:rFonts w:cs="Simplified Arabic" w:hint="cs"/>
          <w:snapToGrid/>
          <w:spacing w:val="-1"/>
          <w:kern w:val="22"/>
          <w:sz w:val="24"/>
          <w:szCs w:val="24"/>
          <w:rtl/>
          <w:lang w:bidi="ar-EG"/>
        </w:rPr>
        <w:t>وينتقلون بين عدة صفحات للوي</w:t>
      </w:r>
      <w:r w:rsidR="002D3523">
        <w:rPr>
          <w:rFonts w:cs="Simplified Arabic" w:hint="cs"/>
          <w:snapToGrid/>
          <w:spacing w:val="-1"/>
          <w:kern w:val="22"/>
          <w:sz w:val="24"/>
          <w:szCs w:val="24"/>
          <w:rtl/>
          <w:lang w:bidi="ar-EG"/>
        </w:rPr>
        <w:t>ب</w:t>
      </w:r>
      <w:r>
        <w:rPr>
          <w:rFonts w:cs="Simplified Arabic" w:hint="cs"/>
          <w:snapToGrid/>
          <w:spacing w:val="-1"/>
          <w:kern w:val="22"/>
          <w:sz w:val="24"/>
          <w:szCs w:val="24"/>
          <w:rtl/>
          <w:lang w:bidi="ar-EG"/>
        </w:rPr>
        <w:t>.</w:t>
      </w:r>
    </w:p>
    <w:p w:rsidR="00877F30" w:rsidRDefault="002D3523" w:rsidP="004C091D">
      <w:pPr>
        <w:pStyle w:val="Para1"/>
        <w:numPr>
          <w:ilvl w:val="0"/>
          <w:numId w:val="19"/>
        </w:numPr>
        <w:pBdr>
          <w:top w:val="nil"/>
          <w:left w:val="nil"/>
          <w:bottom w:val="nil"/>
          <w:right w:val="nil"/>
          <w:between w:val="nil"/>
          <w:bar w:val="nil"/>
        </w:pBdr>
        <w:bidi/>
        <w:ind w:left="0" w:firstLine="0"/>
        <w:rPr>
          <w:rFonts w:cs="Simplified Arabic"/>
          <w:snapToGrid/>
          <w:spacing w:val="-1"/>
          <w:kern w:val="22"/>
          <w:sz w:val="24"/>
          <w:szCs w:val="24"/>
        </w:rPr>
      </w:pPr>
      <w:r>
        <w:rPr>
          <w:rFonts w:cs="Simplified Arabic" w:hint="cs"/>
          <w:snapToGrid/>
          <w:spacing w:val="-1"/>
          <w:kern w:val="22"/>
          <w:sz w:val="24"/>
          <w:szCs w:val="24"/>
          <w:rtl/>
        </w:rPr>
        <w:t>والعشرة بلدان الرئيسية التي لديها أكثر الزوار هي الولايات المتحدة الأمريكية، وفرنسا، واليابان، وألمانيا، وكندا، والبرازيل، والمملكة المتحدة لبريطانيا العظ</w:t>
      </w:r>
      <w:r w:rsidR="004C091D">
        <w:rPr>
          <w:rFonts w:cs="Simplified Arabic" w:hint="cs"/>
          <w:snapToGrid/>
          <w:spacing w:val="-1"/>
          <w:kern w:val="22"/>
          <w:sz w:val="24"/>
          <w:szCs w:val="24"/>
          <w:rtl/>
        </w:rPr>
        <w:t>م</w:t>
      </w:r>
      <w:r>
        <w:rPr>
          <w:rFonts w:cs="Simplified Arabic" w:hint="cs"/>
          <w:snapToGrid/>
          <w:spacing w:val="-1"/>
          <w:kern w:val="22"/>
          <w:sz w:val="24"/>
          <w:szCs w:val="24"/>
          <w:rtl/>
        </w:rPr>
        <w:t>ى وأيرلندا الشمالية، وجمهورية كوريا، وأيرلندا والهند.</w:t>
      </w:r>
    </w:p>
    <w:p w:rsidR="002D3523" w:rsidRDefault="002D3523" w:rsidP="004C091D">
      <w:pPr>
        <w:pStyle w:val="Para1"/>
        <w:numPr>
          <w:ilvl w:val="0"/>
          <w:numId w:val="19"/>
        </w:numPr>
        <w:pBdr>
          <w:top w:val="nil"/>
          <w:left w:val="nil"/>
          <w:bottom w:val="nil"/>
          <w:right w:val="nil"/>
          <w:between w:val="nil"/>
          <w:bar w:val="nil"/>
        </w:pBdr>
        <w:bidi/>
        <w:ind w:left="0" w:firstLine="0"/>
        <w:rPr>
          <w:rFonts w:cs="Simplified Arabic"/>
          <w:snapToGrid/>
          <w:spacing w:val="-1"/>
          <w:kern w:val="22"/>
          <w:sz w:val="24"/>
          <w:szCs w:val="24"/>
        </w:rPr>
      </w:pPr>
      <w:r>
        <w:rPr>
          <w:rFonts w:cs="Simplified Arabic" w:hint="cs"/>
          <w:snapToGrid/>
          <w:spacing w:val="-1"/>
          <w:kern w:val="22"/>
          <w:sz w:val="24"/>
          <w:szCs w:val="24"/>
          <w:rtl/>
        </w:rPr>
        <w:t xml:space="preserve">وفيما يتعلق بأنواع الأجهزة المستخدمة للوصول إلى الموقع الشبكي، تراوح عدد الزوار الذين زاروا الموقع الشبكي من جهاز محمول (هاتف خلوي أو جهاز لوحي (تابلت)) من أكثر </w:t>
      </w:r>
      <w:r w:rsidR="004C091D">
        <w:rPr>
          <w:rFonts w:cs="Simplified Arabic" w:hint="cs"/>
          <w:snapToGrid/>
          <w:spacing w:val="-1"/>
          <w:kern w:val="22"/>
          <w:sz w:val="24"/>
          <w:szCs w:val="24"/>
          <w:rtl/>
        </w:rPr>
        <w:t xml:space="preserve">جزء </w:t>
      </w:r>
      <w:r>
        <w:rPr>
          <w:rFonts w:cs="Simplified Arabic" w:hint="cs"/>
          <w:snapToGrid/>
          <w:spacing w:val="-1"/>
          <w:kern w:val="22"/>
          <w:sz w:val="24"/>
          <w:szCs w:val="24"/>
          <w:rtl/>
        </w:rPr>
        <w:t xml:space="preserve">بين 2 و10 في المائة واستخدمت الغالبية الواسعة من الزوار حاسوب مكتبي أو حاسوب محمول. غير أن عدد الزوار الذين استخدموا جهازا محمولا قد زاد إلى حوالي 15 في </w:t>
      </w:r>
      <w:r w:rsidR="007744C5">
        <w:rPr>
          <w:rFonts w:cs="Simplified Arabic" w:hint="cs"/>
          <w:snapToGrid/>
          <w:spacing w:val="-1"/>
          <w:kern w:val="22"/>
          <w:sz w:val="24"/>
          <w:szCs w:val="24"/>
          <w:rtl/>
        </w:rPr>
        <w:t>ال</w:t>
      </w:r>
      <w:r>
        <w:rPr>
          <w:rFonts w:cs="Simplified Arabic" w:hint="cs"/>
          <w:snapToGrid/>
          <w:spacing w:val="-1"/>
          <w:kern w:val="22"/>
          <w:sz w:val="24"/>
          <w:szCs w:val="24"/>
          <w:rtl/>
        </w:rPr>
        <w:t>مائة على مدى السنة الماضية (</w:t>
      </w:r>
      <w:r w:rsidR="00D6373D">
        <w:rPr>
          <w:rFonts w:cs="Simplified Arabic" w:hint="cs"/>
          <w:snapToGrid/>
          <w:spacing w:val="-1"/>
          <w:kern w:val="22"/>
          <w:sz w:val="24"/>
          <w:szCs w:val="24"/>
          <w:rtl/>
        </w:rPr>
        <w:t xml:space="preserve">من </w:t>
      </w:r>
      <w:r>
        <w:rPr>
          <w:rFonts w:cs="Simplified Arabic" w:hint="cs"/>
          <w:snapToGrid/>
          <w:spacing w:val="-1"/>
          <w:kern w:val="22"/>
          <w:sz w:val="24"/>
          <w:szCs w:val="24"/>
          <w:rtl/>
        </w:rPr>
        <w:t xml:space="preserve">يناير/كانون الثاني </w:t>
      </w:r>
      <w:r w:rsidR="00D6373D">
        <w:rPr>
          <w:rFonts w:cs="Simplified Arabic" w:hint="cs"/>
          <w:snapToGrid/>
          <w:spacing w:val="-1"/>
          <w:kern w:val="22"/>
          <w:sz w:val="24"/>
          <w:szCs w:val="24"/>
          <w:rtl/>
        </w:rPr>
        <w:t>إلى</w:t>
      </w:r>
      <w:r>
        <w:rPr>
          <w:rFonts w:cs="Simplified Arabic" w:hint="cs"/>
          <w:snapToGrid/>
          <w:spacing w:val="-1"/>
          <w:kern w:val="22"/>
          <w:sz w:val="24"/>
          <w:szCs w:val="24"/>
          <w:rtl/>
        </w:rPr>
        <w:t xml:space="preserve"> نوفمبر/تشرين الثاني 2021).</w:t>
      </w:r>
    </w:p>
    <w:p w:rsidR="0053788F" w:rsidRDefault="004C091D" w:rsidP="004C091D">
      <w:pPr>
        <w:pStyle w:val="Para1"/>
        <w:numPr>
          <w:ilvl w:val="0"/>
          <w:numId w:val="19"/>
        </w:numPr>
        <w:pBdr>
          <w:top w:val="nil"/>
          <w:left w:val="nil"/>
          <w:bottom w:val="nil"/>
          <w:right w:val="nil"/>
          <w:between w:val="nil"/>
          <w:bar w:val="nil"/>
        </w:pBdr>
        <w:bidi/>
        <w:ind w:left="0" w:firstLine="0"/>
        <w:rPr>
          <w:rFonts w:cs="Simplified Arabic"/>
          <w:snapToGrid/>
          <w:spacing w:val="-1"/>
          <w:kern w:val="22"/>
          <w:sz w:val="24"/>
          <w:szCs w:val="24"/>
        </w:rPr>
      </w:pPr>
      <w:r w:rsidRPr="002301E2">
        <w:rPr>
          <w:rFonts w:cs="Simplified Arabic" w:hint="cs"/>
          <w:snapToGrid/>
          <w:spacing w:val="-1"/>
          <w:kern w:val="22"/>
          <w:sz w:val="24"/>
          <w:szCs w:val="24"/>
          <w:rtl/>
        </w:rPr>
        <w:t>ويمكن الاطلاع على جداول</w:t>
      </w:r>
      <w:r>
        <w:rPr>
          <w:rFonts w:cs="Simplified Arabic" w:hint="cs"/>
          <w:snapToGrid/>
          <w:spacing w:val="-1"/>
          <w:kern w:val="22"/>
          <w:sz w:val="24"/>
          <w:szCs w:val="24"/>
          <w:rtl/>
        </w:rPr>
        <w:t xml:space="preserve"> إضافية تتعلق بالدراسات التحليلية للموقع الشبكي وشغل غرفة تبادل المعلومات بشأن الحصول وتقاسم المنافع، بالنسبة لكل من السجلات الوطنية والسجلات المرجعية، في المرفق الأول بالوثيقة الحالية. ويحتوي المرفق الثاني على ملخص للنقاط الرئيسية من حلقة العمل العالمية بشأن رصد الحصول وتقاسم المنافع المنعقدة في بون في عام 2019 (انظر الفقرتين 20 و21 أدناه) وتفاصيل إضافية عن استخدام شهادة الامتثال المعترف بها دوليا وبلاغات نقطة التفتيش.</w:t>
      </w:r>
    </w:p>
    <w:p w:rsidR="0053788F" w:rsidRPr="0053788F" w:rsidRDefault="0053788F" w:rsidP="0053788F">
      <w:pPr>
        <w:pStyle w:val="Para1"/>
        <w:numPr>
          <w:ilvl w:val="0"/>
          <w:numId w:val="0"/>
        </w:numPr>
        <w:pBdr>
          <w:top w:val="nil"/>
          <w:left w:val="nil"/>
          <w:bottom w:val="nil"/>
          <w:right w:val="nil"/>
          <w:between w:val="nil"/>
          <w:bar w:val="nil"/>
        </w:pBdr>
        <w:bidi/>
        <w:rPr>
          <w:rFonts w:cs="Simplified Arabic"/>
          <w:i/>
          <w:iCs/>
          <w:snapToGrid/>
          <w:spacing w:val="-1"/>
          <w:kern w:val="22"/>
          <w:sz w:val="24"/>
          <w:szCs w:val="24"/>
        </w:rPr>
      </w:pPr>
      <w:r w:rsidRPr="0053788F">
        <w:rPr>
          <w:rFonts w:cs="Simplified Arabic" w:hint="cs"/>
          <w:i/>
          <w:iCs/>
          <w:snapToGrid/>
          <w:spacing w:val="-1"/>
          <w:kern w:val="22"/>
          <w:sz w:val="24"/>
          <w:szCs w:val="24"/>
          <w:rtl/>
        </w:rPr>
        <w:t>بناء القدرات</w:t>
      </w:r>
    </w:p>
    <w:p w:rsidR="0053788F" w:rsidRDefault="004C091D" w:rsidP="004C091D">
      <w:pPr>
        <w:pStyle w:val="Para1"/>
        <w:numPr>
          <w:ilvl w:val="0"/>
          <w:numId w:val="19"/>
        </w:numPr>
        <w:pBdr>
          <w:top w:val="nil"/>
          <w:left w:val="nil"/>
          <w:bottom w:val="nil"/>
          <w:right w:val="nil"/>
          <w:between w:val="nil"/>
          <w:bar w:val="nil"/>
        </w:pBdr>
        <w:bidi/>
        <w:ind w:left="0" w:firstLine="0"/>
        <w:rPr>
          <w:rFonts w:cs="Simplified Arabic"/>
          <w:snapToGrid/>
          <w:spacing w:val="-1"/>
          <w:kern w:val="22"/>
          <w:sz w:val="24"/>
          <w:szCs w:val="24"/>
        </w:rPr>
      </w:pPr>
      <w:r>
        <w:rPr>
          <w:rFonts w:cs="Simplified Arabic" w:hint="cs"/>
          <w:snapToGrid/>
          <w:spacing w:val="-1"/>
          <w:kern w:val="22"/>
          <w:sz w:val="24"/>
          <w:szCs w:val="24"/>
          <w:rtl/>
        </w:rPr>
        <w:t>خلال فترة الإبلاغ الحالية، أجرت الأمانة 13 نشاطا إقليميا عن بعد لزيادة التوعية و</w:t>
      </w:r>
      <w:r w:rsidR="002301E2">
        <w:rPr>
          <w:rFonts w:cs="Simplified Arabic" w:hint="cs"/>
          <w:snapToGrid/>
          <w:spacing w:val="-1"/>
          <w:kern w:val="22"/>
          <w:sz w:val="24"/>
          <w:szCs w:val="24"/>
          <w:rtl/>
        </w:rPr>
        <w:t xml:space="preserve">/أو </w:t>
      </w:r>
      <w:r>
        <w:rPr>
          <w:rFonts w:cs="Simplified Arabic" w:hint="cs"/>
          <w:snapToGrid/>
          <w:spacing w:val="-1"/>
          <w:kern w:val="22"/>
          <w:sz w:val="24"/>
          <w:szCs w:val="24"/>
          <w:rtl/>
        </w:rPr>
        <w:t>بناء القدرات على استخدام غرفة تبادل المعلومات بشأن الحصول وتقاسم المنافع وشاركت في خمس</w:t>
      </w:r>
      <w:r w:rsidR="002301E2">
        <w:rPr>
          <w:rFonts w:cs="Simplified Arabic" w:hint="cs"/>
          <w:snapToGrid/>
          <w:spacing w:val="-1"/>
          <w:kern w:val="22"/>
          <w:sz w:val="24"/>
          <w:szCs w:val="24"/>
          <w:rtl/>
        </w:rPr>
        <w:t>ة</w:t>
      </w:r>
      <w:r>
        <w:rPr>
          <w:rFonts w:cs="Simplified Arabic" w:hint="cs"/>
          <w:snapToGrid/>
          <w:spacing w:val="-1"/>
          <w:kern w:val="22"/>
          <w:sz w:val="24"/>
          <w:szCs w:val="24"/>
          <w:rtl/>
        </w:rPr>
        <w:t xml:space="preserve"> تدريبات بالحضور الشخصي في حلقات عمل وأحداث أخرى ذات صلة</w:t>
      </w:r>
      <w:r w:rsidR="00172253">
        <w:rPr>
          <w:rFonts w:cs="Simplified Arabic" w:hint="cs"/>
          <w:snapToGrid/>
          <w:spacing w:val="-1"/>
          <w:kern w:val="22"/>
          <w:sz w:val="24"/>
          <w:szCs w:val="24"/>
          <w:rtl/>
        </w:rPr>
        <w:t>.</w:t>
      </w:r>
      <w:r w:rsidR="00172253">
        <w:rPr>
          <w:rStyle w:val="FootnoteReference"/>
          <w:snapToGrid/>
          <w:spacing w:val="-1"/>
          <w:kern w:val="22"/>
          <w:sz w:val="24"/>
          <w:rtl/>
        </w:rPr>
        <w:footnoteReference w:id="5"/>
      </w:r>
    </w:p>
    <w:p w:rsidR="0053788F" w:rsidRDefault="004C091D" w:rsidP="00A32909">
      <w:pPr>
        <w:pStyle w:val="Para1"/>
        <w:numPr>
          <w:ilvl w:val="0"/>
          <w:numId w:val="19"/>
        </w:numPr>
        <w:pBdr>
          <w:top w:val="nil"/>
          <w:left w:val="nil"/>
          <w:bottom w:val="nil"/>
          <w:right w:val="nil"/>
          <w:between w:val="nil"/>
          <w:bar w:val="nil"/>
        </w:pBdr>
        <w:bidi/>
        <w:ind w:left="0" w:firstLine="0"/>
        <w:rPr>
          <w:rFonts w:cs="Simplified Arabic"/>
          <w:snapToGrid/>
          <w:spacing w:val="-1"/>
          <w:kern w:val="22"/>
          <w:sz w:val="24"/>
          <w:szCs w:val="24"/>
        </w:rPr>
      </w:pPr>
      <w:r>
        <w:rPr>
          <w:rFonts w:cs="Simplified Arabic" w:hint="cs"/>
          <w:snapToGrid/>
          <w:spacing w:val="-1"/>
          <w:kern w:val="22"/>
          <w:sz w:val="24"/>
          <w:szCs w:val="24"/>
          <w:rtl/>
        </w:rPr>
        <w:t>وتم إبراز الخبرة في تفعيل الأطر الوطنية للحصول وتقاسم المنافع و</w:t>
      </w:r>
      <w:r w:rsidR="00F940C6">
        <w:rPr>
          <w:rFonts w:cs="Simplified Arabic" w:hint="cs"/>
          <w:snapToGrid/>
          <w:spacing w:val="-1"/>
          <w:kern w:val="22"/>
          <w:sz w:val="24"/>
          <w:szCs w:val="24"/>
          <w:rtl/>
        </w:rPr>
        <w:t xml:space="preserve">جعل أدوات غرفة تبادل المعلومات بشأن الحصول وتقاسم المنافع مثل شهادة الامتثال المعترف بها دوليا وبلاغات نقطة التفتيش وزيادة فهم النظام لرصد استخدام الموارد الجينية من خلال غرفة تبادل المعلومات بشأن الحصول وتقاسم المنافع، إبرازها كموضوعات مهمة لبناء القدرات وهي مذكورة في المقرر </w:t>
      </w:r>
      <w:r w:rsidR="00F940C6" w:rsidRPr="00F940C6">
        <w:rPr>
          <w:rFonts w:cs="Simplified Arabic"/>
          <w:snapToGrid/>
          <w:spacing w:val="-1"/>
          <w:kern w:val="22"/>
          <w:szCs w:val="22"/>
          <w:lang w:val="en-US"/>
        </w:rPr>
        <w:t>NP-3/3</w:t>
      </w:r>
      <w:r w:rsidR="00F940C6">
        <w:rPr>
          <w:rFonts w:cs="Simplified Arabic" w:hint="cs"/>
          <w:snapToGrid/>
          <w:spacing w:val="-1"/>
          <w:kern w:val="22"/>
          <w:sz w:val="24"/>
          <w:szCs w:val="24"/>
          <w:rtl/>
          <w:lang w:val="en-US" w:bidi="ar-EG"/>
        </w:rPr>
        <w:t>، الفقرة 11.</w:t>
      </w:r>
    </w:p>
    <w:p w:rsidR="0053788F" w:rsidRDefault="00F940C6" w:rsidP="002301E2">
      <w:pPr>
        <w:pStyle w:val="Para1"/>
        <w:numPr>
          <w:ilvl w:val="0"/>
          <w:numId w:val="19"/>
        </w:numPr>
        <w:pBdr>
          <w:top w:val="nil"/>
          <w:left w:val="nil"/>
          <w:bottom w:val="nil"/>
          <w:right w:val="nil"/>
          <w:between w:val="nil"/>
          <w:bar w:val="nil"/>
        </w:pBdr>
        <w:bidi/>
        <w:ind w:left="0" w:firstLine="0"/>
        <w:rPr>
          <w:rFonts w:cs="Simplified Arabic"/>
          <w:snapToGrid/>
          <w:spacing w:val="-1"/>
          <w:kern w:val="22"/>
          <w:sz w:val="24"/>
          <w:szCs w:val="24"/>
        </w:rPr>
      </w:pPr>
      <w:r>
        <w:rPr>
          <w:rFonts w:cs="Simplified Arabic" w:hint="cs"/>
          <w:snapToGrid/>
          <w:spacing w:val="-1"/>
          <w:kern w:val="22"/>
          <w:sz w:val="24"/>
          <w:szCs w:val="24"/>
          <w:rtl/>
        </w:rPr>
        <w:t xml:space="preserve">واستجابة لذلك، قدمت حكومتا اليابان (من خلال صندوق التنوع البيولوجي في اليابان)، والاتحاد الأوروبي، وحكومة ألمانيا (من خلال الوكالة الفيدرالية لحفظ الطبيعة) موارد </w:t>
      </w:r>
      <w:r w:rsidR="002301E2">
        <w:rPr>
          <w:rFonts w:cs="Simplified Arabic" w:hint="cs"/>
          <w:snapToGrid/>
          <w:spacing w:val="-1"/>
          <w:kern w:val="22"/>
          <w:sz w:val="24"/>
          <w:szCs w:val="24"/>
          <w:rtl/>
        </w:rPr>
        <w:t>سخية</w:t>
      </w:r>
      <w:r>
        <w:rPr>
          <w:rFonts w:cs="Simplified Arabic" w:hint="cs"/>
          <w:snapToGrid/>
          <w:spacing w:val="-1"/>
          <w:kern w:val="22"/>
          <w:sz w:val="24"/>
          <w:szCs w:val="24"/>
          <w:rtl/>
        </w:rPr>
        <w:t xml:space="preserve"> للأمانة من أجل تنظيم حلقة عمل عالمية لبناء القدرات تركز على رصد استخدام الموارد الجينية بموجب بروتوكول ناغويا. وعقدت حلقة العمل في بون، أل</w:t>
      </w:r>
      <w:r w:rsidR="002301E2">
        <w:rPr>
          <w:rFonts w:cs="Simplified Arabic" w:hint="cs"/>
          <w:snapToGrid/>
          <w:spacing w:val="-1"/>
          <w:kern w:val="22"/>
          <w:sz w:val="24"/>
          <w:szCs w:val="24"/>
          <w:rtl/>
        </w:rPr>
        <w:t>م</w:t>
      </w:r>
      <w:r>
        <w:rPr>
          <w:rFonts w:cs="Simplified Arabic" w:hint="cs"/>
          <w:snapToGrid/>
          <w:spacing w:val="-1"/>
          <w:kern w:val="22"/>
          <w:sz w:val="24"/>
          <w:szCs w:val="24"/>
          <w:rtl/>
        </w:rPr>
        <w:t>انيا، من 30 سبتمبر/أيلول إلى 2 أكتوبر/تشرين الأول 2019 وزودت ممثلي 54 بلدا، فضلا عن خبراء الحصول وتقاسم المنافع، بالفرصة لتبادل المعلومات عن التحديات والنجاحات المتعلقة برصد استخدام الموارد الجينية.</w:t>
      </w:r>
    </w:p>
    <w:p w:rsidR="0053788F" w:rsidRDefault="00B64E03" w:rsidP="002301E2">
      <w:pPr>
        <w:pStyle w:val="Para1"/>
        <w:numPr>
          <w:ilvl w:val="0"/>
          <w:numId w:val="19"/>
        </w:numPr>
        <w:pBdr>
          <w:top w:val="nil"/>
          <w:left w:val="nil"/>
          <w:bottom w:val="nil"/>
          <w:right w:val="nil"/>
          <w:between w:val="nil"/>
          <w:bar w:val="nil"/>
        </w:pBdr>
        <w:bidi/>
        <w:ind w:left="0" w:firstLine="0"/>
        <w:rPr>
          <w:rFonts w:cs="Simplified Arabic"/>
          <w:snapToGrid/>
          <w:spacing w:val="-1"/>
          <w:kern w:val="22"/>
          <w:sz w:val="24"/>
          <w:szCs w:val="24"/>
        </w:rPr>
      </w:pPr>
      <w:r>
        <w:rPr>
          <w:rFonts w:cs="Simplified Arabic" w:hint="cs"/>
          <w:snapToGrid/>
          <w:spacing w:val="-1"/>
          <w:kern w:val="22"/>
          <w:sz w:val="24"/>
          <w:szCs w:val="24"/>
          <w:rtl/>
        </w:rPr>
        <w:lastRenderedPageBreak/>
        <w:t xml:space="preserve">ويمكن الاطلاع على تقرير حلقة العمل والمعلومات ذات الصلة عن صفحة الويب للاجتماع </w:t>
      </w:r>
      <w:r w:rsidR="00650797">
        <w:fldChar w:fldCharType="begin"/>
      </w:r>
      <w:r>
        <w:instrText>HYPERLINK "https://www.cbd.int/meetings/NP-CB-WS-2019-01"</w:instrText>
      </w:r>
      <w:r w:rsidR="00650797">
        <w:fldChar w:fldCharType="separate"/>
      </w:r>
      <w:r w:rsidRPr="00F8774A">
        <w:rPr>
          <w:rStyle w:val="Hyperlink"/>
          <w:spacing w:val="-1"/>
        </w:rPr>
        <w:t>https://www.cbd.int/meetings/NP-CB-WS-2019-01</w:t>
      </w:r>
      <w:r w:rsidR="00650797">
        <w:fldChar w:fldCharType="end"/>
      </w:r>
      <w:r>
        <w:rPr>
          <w:rFonts w:cs="Simplified Arabic" w:hint="cs"/>
          <w:snapToGrid/>
          <w:spacing w:val="-1"/>
          <w:kern w:val="22"/>
          <w:sz w:val="24"/>
          <w:szCs w:val="24"/>
          <w:rtl/>
        </w:rPr>
        <w:t>. ولدعم فهم مشترك للموضوع، أعدت الأمانة، بالتعاون مع مبادرة تنمية بنا</w:t>
      </w:r>
      <w:r w:rsidR="002301E2">
        <w:rPr>
          <w:rFonts w:cs="Simplified Arabic" w:hint="cs"/>
          <w:snapToGrid/>
          <w:spacing w:val="-1"/>
          <w:kern w:val="22"/>
          <w:sz w:val="24"/>
          <w:szCs w:val="24"/>
          <w:rtl/>
        </w:rPr>
        <w:t>ء</w:t>
      </w:r>
      <w:r>
        <w:rPr>
          <w:rFonts w:cs="Simplified Arabic" w:hint="cs"/>
          <w:snapToGrid/>
          <w:spacing w:val="-1"/>
          <w:kern w:val="22"/>
          <w:sz w:val="24"/>
          <w:szCs w:val="24"/>
          <w:rtl/>
        </w:rPr>
        <w:t xml:space="preserve"> القدرات في مجال الحصول وتقاسم المنافع، شريطا قصيرا بالفيديو </w:t>
      </w:r>
      <w:r>
        <w:rPr>
          <w:rFonts w:cs="Simplified Arabic" w:hint="cs"/>
          <w:snapToGrid/>
          <w:spacing w:val="-1"/>
          <w:kern w:val="22"/>
          <w:sz w:val="24"/>
          <w:szCs w:val="24"/>
          <w:rtl/>
          <w:lang w:bidi="ar-EG"/>
        </w:rPr>
        <w:t xml:space="preserve">بالصور </w:t>
      </w:r>
      <w:r w:rsidR="002301E2">
        <w:rPr>
          <w:rFonts w:cs="Simplified Arabic" w:hint="cs"/>
          <w:snapToGrid/>
          <w:spacing w:val="-1"/>
          <w:kern w:val="22"/>
          <w:sz w:val="24"/>
          <w:szCs w:val="24"/>
          <w:rtl/>
        </w:rPr>
        <w:t>لشرح كيفية رصد الح</w:t>
      </w:r>
      <w:r>
        <w:rPr>
          <w:rFonts w:cs="Simplified Arabic" w:hint="cs"/>
          <w:snapToGrid/>
          <w:spacing w:val="-1"/>
          <w:kern w:val="22"/>
          <w:sz w:val="24"/>
          <w:szCs w:val="24"/>
          <w:rtl/>
        </w:rPr>
        <w:t xml:space="preserve">صول وتقاسم المنافع بطريقة بسيطة وعملية من خلال أعمال غرفة تبادل المعلومات بشأن الحصول وتقاسم المنافع. ويتاح الفيديو القصير </w:t>
      </w:r>
      <w:r w:rsidR="005625E5">
        <w:rPr>
          <w:rFonts w:cs="Simplified Arabic" w:hint="cs"/>
          <w:snapToGrid/>
          <w:spacing w:val="-1"/>
          <w:kern w:val="22"/>
          <w:sz w:val="24"/>
          <w:szCs w:val="24"/>
          <w:rtl/>
        </w:rPr>
        <w:t>باللغات العربية والإنجليزية والفرنسية والروسية والإسبانية على موقع غرفة تبادل المعلومات بشأن الحصول وتقاسم المنافع.</w:t>
      </w:r>
      <w:r w:rsidR="005625E5">
        <w:rPr>
          <w:rStyle w:val="FootnoteReference"/>
          <w:snapToGrid/>
          <w:spacing w:val="-1"/>
          <w:kern w:val="22"/>
          <w:sz w:val="24"/>
          <w:rtl/>
        </w:rPr>
        <w:footnoteReference w:id="6"/>
      </w:r>
    </w:p>
    <w:p w:rsidR="0053788F" w:rsidRDefault="005625E5" w:rsidP="005625E5">
      <w:pPr>
        <w:pStyle w:val="Para1"/>
        <w:numPr>
          <w:ilvl w:val="0"/>
          <w:numId w:val="19"/>
        </w:numPr>
        <w:pBdr>
          <w:top w:val="nil"/>
          <w:left w:val="nil"/>
          <w:bottom w:val="nil"/>
          <w:right w:val="nil"/>
          <w:between w:val="nil"/>
          <w:bar w:val="nil"/>
        </w:pBdr>
        <w:bidi/>
        <w:ind w:left="0" w:firstLine="0"/>
        <w:rPr>
          <w:rFonts w:cs="Simplified Arabic"/>
          <w:snapToGrid/>
          <w:spacing w:val="-1"/>
          <w:kern w:val="22"/>
          <w:sz w:val="24"/>
          <w:szCs w:val="24"/>
        </w:rPr>
      </w:pPr>
      <w:r>
        <w:rPr>
          <w:rFonts w:cs="Simplified Arabic" w:hint="cs"/>
          <w:snapToGrid/>
          <w:spacing w:val="-1"/>
          <w:kern w:val="22"/>
          <w:sz w:val="24"/>
          <w:szCs w:val="24"/>
          <w:rtl/>
        </w:rPr>
        <w:t>وتستمر الأمانة في تقديم تواصل استباقي ودعم تقني للأطراف والمستخدمين الآخرين لغرفة التبادل على استخدام غرفة تبادل المعلومات بشأن الحصول وتقاسم المنافع بنفس الطريقة التي قامت بها في الماضي. ويركز التواصل أساسا على الترحيب بالأطراف الجديدة وتزويدها بالمساعدة والمعلومات للبدء في استخدام غرفة تبادل المعلومات بشأن الحصول وتقاسم المنافع، استجابة لطلبات الدعم التقني، وتقديم التواصل المعتاد للتشجيع على نشر المعلومات، وخاصة المعلومات عن التصاريح، وتدابير وإجراءات الحصول وتقاسم المنافع، وسلطات النشر والسلطات الوطنية المختصة.</w:t>
      </w:r>
    </w:p>
    <w:p w:rsidR="0053788F" w:rsidRDefault="005625E5" w:rsidP="001175E4">
      <w:pPr>
        <w:pStyle w:val="Para1"/>
        <w:numPr>
          <w:ilvl w:val="0"/>
          <w:numId w:val="19"/>
        </w:numPr>
        <w:pBdr>
          <w:top w:val="nil"/>
          <w:left w:val="nil"/>
          <w:bottom w:val="nil"/>
          <w:right w:val="nil"/>
          <w:between w:val="nil"/>
          <w:bar w:val="nil"/>
        </w:pBdr>
        <w:bidi/>
        <w:ind w:left="0" w:firstLine="0"/>
        <w:rPr>
          <w:rFonts w:cs="Simplified Arabic"/>
          <w:snapToGrid/>
          <w:spacing w:val="-1"/>
          <w:kern w:val="22"/>
          <w:sz w:val="24"/>
          <w:szCs w:val="24"/>
        </w:rPr>
      </w:pPr>
      <w:r>
        <w:rPr>
          <w:rFonts w:cs="Simplified Arabic" w:hint="cs"/>
          <w:snapToGrid/>
          <w:spacing w:val="-1"/>
          <w:kern w:val="22"/>
          <w:sz w:val="24"/>
          <w:szCs w:val="24"/>
          <w:rtl/>
        </w:rPr>
        <w:t>ومن أجل الاستمرار في تح</w:t>
      </w:r>
      <w:r w:rsidR="001175E4">
        <w:rPr>
          <w:rFonts w:cs="Simplified Arabic" w:hint="cs"/>
          <w:snapToGrid/>
          <w:spacing w:val="-1"/>
          <w:kern w:val="22"/>
          <w:sz w:val="24"/>
          <w:szCs w:val="24"/>
          <w:rtl/>
        </w:rPr>
        <w:t>س</w:t>
      </w:r>
      <w:r>
        <w:rPr>
          <w:rFonts w:cs="Simplified Arabic" w:hint="cs"/>
          <w:snapToGrid/>
          <w:spacing w:val="-1"/>
          <w:kern w:val="22"/>
          <w:sz w:val="24"/>
          <w:szCs w:val="24"/>
          <w:rtl/>
        </w:rPr>
        <w:t xml:space="preserve">ين موارد بناء القدرات التي أعدتها الأمانة، تم بناء قاعدة نظام </w:t>
      </w:r>
      <w:r w:rsidR="001175E4">
        <w:rPr>
          <w:rFonts w:cs="Simplified Arabic" w:hint="cs"/>
          <w:snapToGrid/>
          <w:spacing w:val="-1"/>
          <w:kern w:val="22"/>
          <w:sz w:val="24"/>
          <w:szCs w:val="24"/>
          <w:rtl/>
        </w:rPr>
        <w:t xml:space="preserve">معارف </w:t>
      </w:r>
      <w:r>
        <w:rPr>
          <w:rFonts w:cs="Simplified Arabic" w:hint="cs"/>
          <w:snapToGrid/>
          <w:spacing w:val="-1"/>
          <w:kern w:val="22"/>
          <w:sz w:val="24"/>
          <w:szCs w:val="24"/>
          <w:rtl/>
        </w:rPr>
        <w:t>جديد مدفوعة بالبيانات. و</w:t>
      </w:r>
      <w:r w:rsidR="001175E4">
        <w:rPr>
          <w:rFonts w:cs="Simplified Arabic" w:hint="cs"/>
          <w:snapToGrid/>
          <w:spacing w:val="-1"/>
          <w:kern w:val="22"/>
          <w:sz w:val="24"/>
          <w:szCs w:val="24"/>
          <w:rtl/>
        </w:rPr>
        <w:t>يقدم</w:t>
      </w:r>
      <w:r>
        <w:rPr>
          <w:rFonts w:cs="Simplified Arabic" w:hint="cs"/>
          <w:snapToGrid/>
          <w:spacing w:val="-1"/>
          <w:kern w:val="22"/>
          <w:sz w:val="24"/>
          <w:szCs w:val="24"/>
          <w:rtl/>
        </w:rPr>
        <w:t xml:space="preserve"> ترحيل غرفة تبادل معلومات السلامة الأحيائية فرصة لتطوير نظام يمكن أن يقوم بتخزين هذه المعلومات بطريقة أفض</w:t>
      </w:r>
      <w:r w:rsidR="001175E4">
        <w:rPr>
          <w:rFonts w:cs="Simplified Arabic" w:hint="cs"/>
          <w:snapToGrid/>
          <w:spacing w:val="-1"/>
          <w:kern w:val="22"/>
          <w:sz w:val="24"/>
          <w:szCs w:val="24"/>
          <w:rtl/>
        </w:rPr>
        <w:t>ل</w:t>
      </w:r>
      <w:r>
        <w:rPr>
          <w:rFonts w:cs="Simplified Arabic" w:hint="cs"/>
          <w:snapToGrid/>
          <w:spacing w:val="-1"/>
          <w:kern w:val="22"/>
          <w:sz w:val="24"/>
          <w:szCs w:val="24"/>
          <w:rtl/>
        </w:rPr>
        <w:t xml:space="preserve"> حيث يمكن إعادة استخدامها، والبحث فيها، وتبويبها، وتحديثها وترجمتها على نحو فعال أكثر. ويمكن الاطلاع على مزي</w:t>
      </w:r>
      <w:r w:rsidR="001175E4">
        <w:rPr>
          <w:rFonts w:cs="Simplified Arabic" w:hint="cs"/>
          <w:snapToGrid/>
          <w:spacing w:val="-1"/>
          <w:kern w:val="22"/>
          <w:sz w:val="24"/>
          <w:szCs w:val="24"/>
          <w:rtl/>
        </w:rPr>
        <w:t>د</w:t>
      </w:r>
      <w:r>
        <w:rPr>
          <w:rFonts w:cs="Simplified Arabic" w:hint="cs"/>
          <w:snapToGrid/>
          <w:spacing w:val="-1"/>
          <w:kern w:val="22"/>
          <w:sz w:val="24"/>
          <w:szCs w:val="24"/>
          <w:rtl/>
        </w:rPr>
        <w:t xml:space="preserve"> من المعلومات عن هذا التحسين أدناه في القسم الفرعي بشأن صيانة الوظائف وتحسيناتها.</w:t>
      </w:r>
    </w:p>
    <w:p w:rsidR="0053788F" w:rsidRDefault="005625E5" w:rsidP="001175E4">
      <w:pPr>
        <w:pStyle w:val="Para1"/>
        <w:numPr>
          <w:ilvl w:val="0"/>
          <w:numId w:val="19"/>
        </w:numPr>
        <w:pBdr>
          <w:top w:val="nil"/>
          <w:left w:val="nil"/>
          <w:bottom w:val="nil"/>
          <w:right w:val="nil"/>
          <w:between w:val="nil"/>
          <w:bar w:val="nil"/>
        </w:pBdr>
        <w:bidi/>
        <w:ind w:left="0" w:firstLine="0"/>
        <w:rPr>
          <w:rFonts w:cs="Simplified Arabic"/>
          <w:snapToGrid/>
          <w:spacing w:val="-1"/>
          <w:kern w:val="22"/>
          <w:sz w:val="24"/>
          <w:szCs w:val="24"/>
        </w:rPr>
      </w:pPr>
      <w:r>
        <w:rPr>
          <w:rFonts w:cs="Simplified Arabic" w:hint="cs"/>
          <w:snapToGrid/>
          <w:spacing w:val="-1"/>
          <w:kern w:val="22"/>
          <w:sz w:val="24"/>
          <w:szCs w:val="24"/>
          <w:rtl/>
        </w:rPr>
        <w:t>ويستمر تقد</w:t>
      </w:r>
      <w:r w:rsidR="001175E4">
        <w:rPr>
          <w:rFonts w:cs="Simplified Arabic" w:hint="cs"/>
          <w:snapToGrid/>
          <w:spacing w:val="-1"/>
          <w:kern w:val="22"/>
          <w:sz w:val="24"/>
          <w:szCs w:val="24"/>
          <w:rtl/>
        </w:rPr>
        <w:t>ي</w:t>
      </w:r>
      <w:r>
        <w:rPr>
          <w:rFonts w:cs="Simplified Arabic" w:hint="cs"/>
          <w:snapToGrid/>
          <w:spacing w:val="-1"/>
          <w:kern w:val="22"/>
          <w:sz w:val="24"/>
          <w:szCs w:val="24"/>
          <w:rtl/>
        </w:rPr>
        <w:t>م التواصل والدعم التقني عن طريق الهاتف، والدرد</w:t>
      </w:r>
      <w:r w:rsidR="001175E4">
        <w:rPr>
          <w:rFonts w:cs="Simplified Arabic" w:hint="cs"/>
          <w:snapToGrid/>
          <w:spacing w:val="-1"/>
          <w:kern w:val="22"/>
          <w:sz w:val="24"/>
          <w:szCs w:val="24"/>
          <w:rtl/>
        </w:rPr>
        <w:t>ش</w:t>
      </w:r>
      <w:r>
        <w:rPr>
          <w:rFonts w:cs="Simplified Arabic" w:hint="cs"/>
          <w:snapToGrid/>
          <w:spacing w:val="-1"/>
          <w:kern w:val="22"/>
          <w:sz w:val="24"/>
          <w:szCs w:val="24"/>
          <w:rtl/>
        </w:rPr>
        <w:t>ة الحية والبريد الإلكتروني.</w:t>
      </w:r>
      <w:r w:rsidR="002F2B5A">
        <w:rPr>
          <w:rFonts w:cs="Simplified Arabic" w:hint="cs"/>
          <w:snapToGrid/>
          <w:spacing w:val="-1"/>
          <w:kern w:val="22"/>
          <w:sz w:val="24"/>
          <w:szCs w:val="24"/>
          <w:rtl/>
        </w:rPr>
        <w:t xml:space="preserve"> غير أن التأثير الإيجابي لجائحة مرض فيروس كورونا العالمي (كوفيد-19) تمثل في أنها ساعدت على جمع الزملاء </w:t>
      </w:r>
      <w:r w:rsidR="001175E4">
        <w:rPr>
          <w:rFonts w:cs="Simplified Arabic" w:hint="cs"/>
          <w:snapToGrid/>
          <w:spacing w:val="-1"/>
          <w:kern w:val="22"/>
          <w:sz w:val="24"/>
          <w:szCs w:val="24"/>
          <w:rtl/>
        </w:rPr>
        <w:t xml:space="preserve">العاملين </w:t>
      </w:r>
      <w:r w:rsidR="002F2B5A">
        <w:rPr>
          <w:rFonts w:cs="Simplified Arabic" w:hint="cs"/>
          <w:snapToGrid/>
          <w:spacing w:val="-1"/>
          <w:kern w:val="22"/>
          <w:sz w:val="24"/>
          <w:szCs w:val="24"/>
          <w:rtl/>
        </w:rPr>
        <w:t>عن بعد معا من خلال الزيادة العامة في استخدام أدوات التواصل التعاوني التي تدعم تبادل</w:t>
      </w:r>
      <w:r w:rsidR="001175E4">
        <w:rPr>
          <w:rFonts w:cs="Simplified Arabic" w:hint="cs"/>
          <w:snapToGrid/>
          <w:spacing w:val="-1"/>
          <w:kern w:val="22"/>
          <w:sz w:val="24"/>
          <w:szCs w:val="24"/>
          <w:rtl/>
        </w:rPr>
        <w:t xml:space="preserve"> ال</w:t>
      </w:r>
      <w:r w:rsidR="002F2B5A">
        <w:rPr>
          <w:rFonts w:cs="Simplified Arabic" w:hint="cs"/>
          <w:snapToGrid/>
          <w:spacing w:val="-1"/>
          <w:kern w:val="22"/>
          <w:sz w:val="24"/>
          <w:szCs w:val="24"/>
          <w:rtl/>
        </w:rPr>
        <w:t>شاشات والمؤتمرات عبر الفيديو. ومع نشر استخدام أدوات مثل زوم، وتيمز وواتس آب، أصبح من الأسهل والأكثر فعالية ت</w:t>
      </w:r>
      <w:r w:rsidR="001175E4">
        <w:rPr>
          <w:rFonts w:cs="Simplified Arabic" w:hint="cs"/>
          <w:snapToGrid/>
          <w:spacing w:val="-1"/>
          <w:kern w:val="22"/>
          <w:sz w:val="24"/>
          <w:szCs w:val="24"/>
          <w:rtl/>
        </w:rPr>
        <w:t>وفير</w:t>
      </w:r>
      <w:r w:rsidR="002F2B5A">
        <w:rPr>
          <w:rFonts w:cs="Simplified Arabic" w:hint="cs"/>
          <w:snapToGrid/>
          <w:spacing w:val="-1"/>
          <w:kern w:val="22"/>
          <w:sz w:val="24"/>
          <w:szCs w:val="24"/>
          <w:rtl/>
        </w:rPr>
        <w:t xml:space="preserve"> خدمات التواصل </w:t>
      </w:r>
      <w:r w:rsidR="001175E4">
        <w:rPr>
          <w:rFonts w:cs="Simplified Arabic" w:hint="cs"/>
          <w:snapToGrid/>
          <w:spacing w:val="-1"/>
          <w:kern w:val="22"/>
          <w:sz w:val="24"/>
          <w:szCs w:val="24"/>
          <w:rtl/>
        </w:rPr>
        <w:t xml:space="preserve">مع المستخدمين وتقديم التواصل والدعم التقني </w:t>
      </w:r>
      <w:r w:rsidR="002F2B5A">
        <w:rPr>
          <w:rFonts w:cs="Simplified Arabic" w:hint="cs"/>
          <w:snapToGrid/>
          <w:spacing w:val="-1"/>
          <w:kern w:val="22"/>
          <w:sz w:val="24"/>
          <w:szCs w:val="24"/>
          <w:rtl/>
        </w:rPr>
        <w:t>عبر الانترنت إلى مستخدمي غرفة تبادل المعلومات بشأن الحصول وتقاسم النافع.</w:t>
      </w:r>
    </w:p>
    <w:p w:rsidR="0053788F" w:rsidRPr="004F3155" w:rsidRDefault="004F3155" w:rsidP="0053788F">
      <w:pPr>
        <w:pStyle w:val="Para1"/>
        <w:numPr>
          <w:ilvl w:val="0"/>
          <w:numId w:val="0"/>
        </w:numPr>
        <w:pBdr>
          <w:top w:val="nil"/>
          <w:left w:val="nil"/>
          <w:bottom w:val="nil"/>
          <w:right w:val="nil"/>
          <w:between w:val="nil"/>
          <w:bar w:val="nil"/>
        </w:pBdr>
        <w:bidi/>
        <w:rPr>
          <w:rFonts w:cs="Simplified Arabic"/>
          <w:i/>
          <w:iCs/>
          <w:snapToGrid/>
          <w:spacing w:val="-1"/>
          <w:kern w:val="22"/>
          <w:sz w:val="24"/>
          <w:szCs w:val="24"/>
        </w:rPr>
      </w:pPr>
      <w:r w:rsidRPr="004F3155">
        <w:rPr>
          <w:rFonts w:cs="Simplified Arabic" w:hint="cs"/>
          <w:i/>
          <w:iCs/>
          <w:snapToGrid/>
          <w:spacing w:val="-1"/>
          <w:kern w:val="22"/>
          <w:sz w:val="24"/>
          <w:szCs w:val="24"/>
          <w:rtl/>
        </w:rPr>
        <w:t>التكامل والتعاون</w:t>
      </w:r>
    </w:p>
    <w:p w:rsidR="0053788F" w:rsidRDefault="002F2B5A" w:rsidP="00520E93">
      <w:pPr>
        <w:pStyle w:val="Para1"/>
        <w:numPr>
          <w:ilvl w:val="0"/>
          <w:numId w:val="19"/>
        </w:numPr>
        <w:pBdr>
          <w:top w:val="nil"/>
          <w:left w:val="nil"/>
          <w:bottom w:val="nil"/>
          <w:right w:val="nil"/>
          <w:between w:val="nil"/>
          <w:bar w:val="nil"/>
        </w:pBdr>
        <w:bidi/>
        <w:ind w:left="0" w:firstLine="0"/>
        <w:rPr>
          <w:rFonts w:cs="Simplified Arabic"/>
          <w:snapToGrid/>
          <w:spacing w:val="-1"/>
          <w:kern w:val="22"/>
          <w:sz w:val="24"/>
          <w:szCs w:val="24"/>
        </w:rPr>
      </w:pPr>
      <w:r>
        <w:rPr>
          <w:rFonts w:cs="Simplified Arabic" w:hint="cs"/>
          <w:snapToGrid/>
          <w:spacing w:val="-1"/>
          <w:kern w:val="22"/>
          <w:sz w:val="24"/>
          <w:szCs w:val="24"/>
          <w:rtl/>
        </w:rPr>
        <w:t xml:space="preserve">استمرت الأمانة في العمل على آليات التشغيل البيني، بما في ذلك من خلال تحسين الوثائق والأمثلة على استخدام </w:t>
      </w:r>
      <w:r w:rsidR="00520E93">
        <w:rPr>
          <w:rFonts w:cs="Simplified Arabic" w:hint="cs"/>
          <w:snapToGrid/>
          <w:spacing w:val="-1"/>
          <w:kern w:val="22"/>
          <w:sz w:val="24"/>
          <w:szCs w:val="24"/>
          <w:rtl/>
        </w:rPr>
        <w:t>و</w:t>
      </w:r>
      <w:r w:rsidR="001175E4">
        <w:rPr>
          <w:rFonts w:cs="Simplified Arabic" w:hint="cs"/>
          <w:snapToGrid/>
          <w:spacing w:val="-1"/>
          <w:kern w:val="22"/>
          <w:sz w:val="24"/>
          <w:szCs w:val="24"/>
          <w:rtl/>
        </w:rPr>
        <w:t>اجهة برمجة التطبيقات</w:t>
      </w:r>
      <w:r>
        <w:rPr>
          <w:rFonts w:cs="Simplified Arabic" w:hint="cs"/>
          <w:snapToGrid/>
          <w:spacing w:val="-1"/>
          <w:kern w:val="22"/>
          <w:sz w:val="24"/>
          <w:szCs w:val="24"/>
          <w:rtl/>
        </w:rPr>
        <w:t>. واستمرت الأمانة في تقديم الدعم عند الطلب إلى الأطراف وآخرين الذين</w:t>
      </w:r>
      <w:r w:rsidR="00520E93">
        <w:rPr>
          <w:rFonts w:cs="Simplified Arabic" w:hint="cs"/>
          <w:snapToGrid/>
          <w:spacing w:val="-1"/>
          <w:kern w:val="22"/>
          <w:sz w:val="24"/>
          <w:szCs w:val="24"/>
          <w:rtl/>
        </w:rPr>
        <w:t xml:space="preserve"> </w:t>
      </w:r>
      <w:r>
        <w:rPr>
          <w:rFonts w:cs="Simplified Arabic" w:hint="cs"/>
          <w:snapToGrid/>
          <w:spacing w:val="-1"/>
          <w:kern w:val="22"/>
          <w:sz w:val="24"/>
          <w:szCs w:val="24"/>
          <w:rtl/>
        </w:rPr>
        <w:t>يرغبون في استخدام هذه الآليات لتبادل معلومات غرفة تبادل المعلومات بشأن الحصول وتقاسم المنافع مع قواعد البيانات ذات الصلة، والمواقع الشبكية، ونظم التصاريح ونظم التكنولوجيا المعلوماتية ذات الصلة.</w:t>
      </w:r>
    </w:p>
    <w:p w:rsidR="0053788F" w:rsidRDefault="002F2B5A" w:rsidP="00520E93">
      <w:pPr>
        <w:pStyle w:val="Para1"/>
        <w:numPr>
          <w:ilvl w:val="0"/>
          <w:numId w:val="19"/>
        </w:numPr>
        <w:pBdr>
          <w:top w:val="nil"/>
          <w:left w:val="nil"/>
          <w:bottom w:val="nil"/>
          <w:right w:val="nil"/>
          <w:between w:val="nil"/>
          <w:bar w:val="nil"/>
        </w:pBdr>
        <w:bidi/>
        <w:ind w:left="0" w:firstLine="0"/>
        <w:rPr>
          <w:rFonts w:cs="Simplified Arabic"/>
          <w:snapToGrid/>
          <w:spacing w:val="-1"/>
          <w:kern w:val="22"/>
          <w:sz w:val="24"/>
          <w:szCs w:val="24"/>
        </w:rPr>
      </w:pPr>
      <w:r>
        <w:rPr>
          <w:rFonts w:cs="Simplified Arabic" w:hint="cs"/>
          <w:snapToGrid/>
          <w:spacing w:val="-1"/>
          <w:kern w:val="22"/>
          <w:sz w:val="24"/>
          <w:szCs w:val="24"/>
          <w:rtl/>
        </w:rPr>
        <w:t xml:space="preserve">وخلال الفترة بين الدورات الماضية، تمكنت الأمانة من خلال انتهاز </w:t>
      </w:r>
      <w:r w:rsidR="00520E93">
        <w:rPr>
          <w:rFonts w:cs="Simplified Arabic" w:hint="cs"/>
          <w:snapToGrid/>
          <w:spacing w:val="-1"/>
          <w:kern w:val="22"/>
          <w:sz w:val="24"/>
          <w:szCs w:val="24"/>
          <w:rtl/>
        </w:rPr>
        <w:t>ال</w:t>
      </w:r>
      <w:r>
        <w:rPr>
          <w:rFonts w:cs="Simplified Arabic" w:hint="cs"/>
          <w:snapToGrid/>
          <w:spacing w:val="-1"/>
          <w:kern w:val="22"/>
          <w:sz w:val="24"/>
          <w:szCs w:val="24"/>
          <w:rtl/>
        </w:rPr>
        <w:t xml:space="preserve">فرصة </w:t>
      </w:r>
      <w:r w:rsidR="00520E93">
        <w:rPr>
          <w:rFonts w:cs="Simplified Arabic" w:hint="cs"/>
          <w:snapToGrid/>
          <w:spacing w:val="-1"/>
          <w:kern w:val="22"/>
          <w:sz w:val="24"/>
          <w:szCs w:val="24"/>
          <w:rtl/>
        </w:rPr>
        <w:t>ل</w:t>
      </w:r>
      <w:r>
        <w:rPr>
          <w:rFonts w:cs="Simplified Arabic" w:hint="cs"/>
          <w:snapToGrid/>
          <w:spacing w:val="-1"/>
          <w:kern w:val="22"/>
          <w:sz w:val="24"/>
          <w:szCs w:val="24"/>
          <w:rtl/>
        </w:rPr>
        <w:t>لمشاركة في الأحداث ذات الصلة، من تقديم أنشطتين بالحضور الشخصي للتدريب</w:t>
      </w:r>
      <w:r>
        <w:rPr>
          <w:rStyle w:val="FootnoteReference"/>
          <w:snapToGrid/>
          <w:spacing w:val="-1"/>
          <w:kern w:val="22"/>
          <w:sz w:val="24"/>
          <w:rtl/>
        </w:rPr>
        <w:footnoteReference w:id="7"/>
      </w:r>
      <w:r>
        <w:rPr>
          <w:rFonts w:cs="Simplified Arabic" w:hint="cs"/>
          <w:snapToGrid/>
          <w:spacing w:val="-1"/>
          <w:kern w:val="22"/>
          <w:sz w:val="24"/>
          <w:szCs w:val="24"/>
          <w:rtl/>
        </w:rPr>
        <w:t xml:space="preserve"> تتعلق باستخدام </w:t>
      </w:r>
      <w:r w:rsidR="00520E93">
        <w:rPr>
          <w:rFonts w:cs="Simplified Arabic" w:hint="cs"/>
          <w:snapToGrid/>
          <w:spacing w:val="-1"/>
          <w:kern w:val="22"/>
          <w:sz w:val="24"/>
          <w:szCs w:val="24"/>
          <w:rtl/>
        </w:rPr>
        <w:t>واجهة برمجة التطبيقات</w:t>
      </w:r>
      <w:r>
        <w:rPr>
          <w:rFonts w:cs="Simplified Arabic" w:hint="cs"/>
          <w:snapToGrid/>
          <w:spacing w:val="-1"/>
          <w:kern w:val="22"/>
          <w:sz w:val="24"/>
          <w:szCs w:val="24"/>
          <w:rtl/>
        </w:rPr>
        <w:t xml:space="preserve"> وربط نظم التصاريح الوطنية بغرفة تبادل المعلومات بشأن الحصول وتقاسم النافع.</w:t>
      </w:r>
    </w:p>
    <w:p w:rsidR="0053788F" w:rsidRDefault="00520E93" w:rsidP="00520E93">
      <w:pPr>
        <w:pStyle w:val="Para1"/>
        <w:numPr>
          <w:ilvl w:val="0"/>
          <w:numId w:val="19"/>
        </w:numPr>
        <w:pBdr>
          <w:top w:val="nil"/>
          <w:left w:val="nil"/>
          <w:bottom w:val="nil"/>
          <w:right w:val="nil"/>
          <w:between w:val="nil"/>
          <w:bar w:val="nil"/>
        </w:pBdr>
        <w:bidi/>
        <w:ind w:left="0" w:firstLine="0"/>
        <w:rPr>
          <w:rFonts w:cs="Simplified Arabic"/>
          <w:snapToGrid/>
          <w:spacing w:val="-1"/>
          <w:kern w:val="22"/>
          <w:sz w:val="24"/>
          <w:szCs w:val="24"/>
        </w:rPr>
      </w:pPr>
      <w:r>
        <w:rPr>
          <w:rFonts w:cs="Simplified Arabic" w:hint="cs"/>
          <w:snapToGrid/>
          <w:spacing w:val="-1"/>
          <w:kern w:val="22"/>
          <w:sz w:val="24"/>
          <w:szCs w:val="24"/>
          <w:rtl/>
        </w:rPr>
        <w:t>وتستمر</w:t>
      </w:r>
      <w:r w:rsidR="0096345B">
        <w:rPr>
          <w:rFonts w:cs="Simplified Arabic" w:hint="cs"/>
          <w:snapToGrid/>
          <w:spacing w:val="-1"/>
          <w:kern w:val="22"/>
          <w:sz w:val="24"/>
          <w:szCs w:val="24"/>
          <w:rtl/>
        </w:rPr>
        <w:t xml:space="preserve"> الأمانة في تبادل الخبرة وزيادة التوعية المتعلقة بغرفة تبادل المعلومات بشأن الحصول وتقاسم المنافع عن طريق المشاركة في المناقشات واستكشاف التعاون مع المبادرات والمنظمات ذات الصلة مثل </w:t>
      </w:r>
      <w:r>
        <w:rPr>
          <w:rFonts w:cs="Simplified Arabic" w:hint="cs"/>
          <w:snapToGrid/>
          <w:spacing w:val="-1"/>
          <w:kern w:val="22"/>
          <w:sz w:val="24"/>
          <w:szCs w:val="24"/>
          <w:rtl/>
        </w:rPr>
        <w:t>النظام</w:t>
      </w:r>
      <w:r w:rsidR="0096345B">
        <w:rPr>
          <w:rFonts w:cs="Simplified Arabic" w:hint="cs"/>
          <w:snapToGrid/>
          <w:spacing w:val="-1"/>
          <w:kern w:val="22"/>
          <w:sz w:val="24"/>
          <w:szCs w:val="24"/>
          <w:rtl/>
        </w:rPr>
        <w:t xml:space="preserve"> العالمي للمعلومات التابع </w:t>
      </w:r>
      <w:r w:rsidR="0096345B">
        <w:rPr>
          <w:rFonts w:cs="Simplified Arabic" w:hint="cs"/>
          <w:snapToGrid/>
          <w:spacing w:val="-1"/>
          <w:kern w:val="22"/>
          <w:sz w:val="24"/>
          <w:szCs w:val="24"/>
          <w:rtl/>
        </w:rPr>
        <w:lastRenderedPageBreak/>
        <w:t xml:space="preserve">للمعاهدة الدولية بشأن الموارد الوراثية </w:t>
      </w:r>
      <w:r>
        <w:rPr>
          <w:rFonts w:cs="Simplified Arabic" w:hint="cs"/>
          <w:snapToGrid/>
          <w:spacing w:val="-1"/>
          <w:kern w:val="22"/>
          <w:sz w:val="24"/>
          <w:szCs w:val="24"/>
          <w:rtl/>
        </w:rPr>
        <w:t xml:space="preserve">النباتية </w:t>
      </w:r>
      <w:r w:rsidR="0096345B">
        <w:rPr>
          <w:rFonts w:cs="Simplified Arabic" w:hint="cs"/>
          <w:snapToGrid/>
          <w:spacing w:val="-1"/>
          <w:kern w:val="22"/>
          <w:sz w:val="24"/>
          <w:szCs w:val="24"/>
          <w:rtl/>
        </w:rPr>
        <w:t>للأغذية والزراعة،</w:t>
      </w:r>
      <w:r w:rsidR="0096345B">
        <w:rPr>
          <w:rStyle w:val="FootnoteReference"/>
          <w:snapToGrid/>
          <w:spacing w:val="-1"/>
          <w:kern w:val="22"/>
          <w:sz w:val="24"/>
          <w:rtl/>
        </w:rPr>
        <w:footnoteReference w:id="8"/>
      </w:r>
      <w:r w:rsidR="0096345B">
        <w:rPr>
          <w:rFonts w:cs="Simplified Arabic" w:hint="cs"/>
          <w:snapToGrid/>
          <w:spacing w:val="-1"/>
          <w:kern w:val="22"/>
          <w:sz w:val="24"/>
          <w:szCs w:val="24"/>
          <w:rtl/>
        </w:rPr>
        <w:t xml:space="preserve"> و</w:t>
      </w:r>
      <w:proofErr w:type="spellStart"/>
      <w:r w:rsidR="0096345B" w:rsidRPr="0096345B">
        <w:rPr>
          <w:rFonts w:cs="Simplified Arabic"/>
          <w:snapToGrid/>
          <w:spacing w:val="-1"/>
          <w:kern w:val="22"/>
          <w:szCs w:val="22"/>
          <w:lang w:val="en-US"/>
        </w:rPr>
        <w:t>InforMEA</w:t>
      </w:r>
      <w:proofErr w:type="spellEnd"/>
      <w:r w:rsidR="0096345B">
        <w:rPr>
          <w:rFonts w:cs="Simplified Arabic" w:hint="cs"/>
          <w:snapToGrid/>
          <w:spacing w:val="-1"/>
          <w:kern w:val="22"/>
          <w:sz w:val="24"/>
          <w:szCs w:val="24"/>
          <w:rtl/>
          <w:lang w:val="en-US" w:bidi="ar-EG"/>
        </w:rPr>
        <w:t>، وحوارات معاهدة أعالي البحار</w:t>
      </w:r>
      <w:r w:rsidR="0096345B">
        <w:rPr>
          <w:rStyle w:val="FootnoteReference"/>
          <w:snapToGrid/>
          <w:spacing w:val="-1"/>
          <w:kern w:val="22"/>
          <w:sz w:val="24"/>
          <w:rtl/>
          <w:lang w:val="en-US"/>
        </w:rPr>
        <w:footnoteReference w:id="9"/>
      </w:r>
      <w:r w:rsidR="0096345B">
        <w:rPr>
          <w:rFonts w:cs="Simplified Arabic" w:hint="cs"/>
          <w:snapToGrid/>
          <w:spacing w:val="-1"/>
          <w:kern w:val="22"/>
          <w:sz w:val="24"/>
          <w:szCs w:val="24"/>
          <w:rtl/>
          <w:lang w:val="en-US" w:bidi="ar-EG"/>
        </w:rPr>
        <w:t xml:space="preserve"> </w:t>
      </w:r>
      <w:r w:rsidR="0096345B">
        <w:rPr>
          <w:rFonts w:cs="Simplified Arabic" w:hint="cs"/>
          <w:snapToGrid/>
          <w:spacing w:val="-1"/>
          <w:kern w:val="22"/>
          <w:sz w:val="24"/>
          <w:szCs w:val="24"/>
          <w:rtl/>
        </w:rPr>
        <w:t xml:space="preserve">بالعلاقة إلى اتفاق التنوع البيولوجي في المناطق التي تتجاوز الولاية الوطنية التابع لاتفاقية الأمم المتحدة </w:t>
      </w:r>
      <w:r>
        <w:rPr>
          <w:rFonts w:cs="Simplified Arabic" w:hint="cs"/>
          <w:snapToGrid/>
          <w:spacing w:val="-1"/>
          <w:kern w:val="22"/>
          <w:sz w:val="24"/>
          <w:szCs w:val="24"/>
          <w:rtl/>
        </w:rPr>
        <w:t>ل</w:t>
      </w:r>
      <w:r w:rsidR="0096345B">
        <w:rPr>
          <w:rFonts w:cs="Simplified Arabic" w:hint="cs"/>
          <w:snapToGrid/>
          <w:spacing w:val="-1"/>
          <w:kern w:val="22"/>
          <w:sz w:val="24"/>
          <w:szCs w:val="24"/>
          <w:rtl/>
        </w:rPr>
        <w:t>قانون البحار.</w:t>
      </w:r>
    </w:p>
    <w:p w:rsidR="0053788F" w:rsidRPr="00D6373D" w:rsidRDefault="00D6373D" w:rsidP="00E50686">
      <w:pPr>
        <w:pStyle w:val="Para1"/>
        <w:numPr>
          <w:ilvl w:val="0"/>
          <w:numId w:val="0"/>
        </w:numPr>
        <w:pBdr>
          <w:top w:val="nil"/>
          <w:left w:val="nil"/>
          <w:bottom w:val="nil"/>
          <w:right w:val="nil"/>
          <w:between w:val="nil"/>
          <w:bar w:val="nil"/>
        </w:pBdr>
        <w:bidi/>
        <w:ind w:left="1080" w:hanging="1080"/>
        <w:rPr>
          <w:rFonts w:cs="Simplified Arabic"/>
          <w:b/>
          <w:bCs/>
          <w:snapToGrid/>
          <w:spacing w:val="-1"/>
          <w:kern w:val="22"/>
          <w:sz w:val="24"/>
          <w:szCs w:val="24"/>
        </w:rPr>
      </w:pPr>
      <w:r w:rsidRPr="00D6373D">
        <w:rPr>
          <w:rFonts w:ascii="Simplified Arabic" w:hAnsi="Simplified Arabic" w:cs="Simplified Arabic" w:hint="cs"/>
          <w:b/>
          <w:bCs/>
          <w:sz w:val="24"/>
          <w:szCs w:val="24"/>
          <w:rtl/>
        </w:rPr>
        <w:t xml:space="preserve">الهدف </w:t>
      </w:r>
      <w:r w:rsidR="00E50686">
        <w:rPr>
          <w:rFonts w:ascii="Simplified Arabic" w:hAnsi="Simplified Arabic" w:cs="Simplified Arabic" w:hint="cs"/>
          <w:b/>
          <w:bCs/>
          <w:sz w:val="24"/>
          <w:szCs w:val="24"/>
          <w:rtl/>
        </w:rPr>
        <w:t>2</w:t>
      </w:r>
      <w:r w:rsidRPr="00D6373D">
        <w:rPr>
          <w:rFonts w:ascii="Simplified Arabic" w:hAnsi="Simplified Arabic" w:cs="Simplified Arabic" w:hint="cs"/>
          <w:b/>
          <w:bCs/>
          <w:sz w:val="24"/>
          <w:szCs w:val="24"/>
          <w:rtl/>
        </w:rPr>
        <w:t>.</w:t>
      </w:r>
      <w:r w:rsidRPr="00D6373D">
        <w:rPr>
          <w:rFonts w:ascii="Simplified Arabic" w:hAnsi="Simplified Arabic" w:cs="Simplified Arabic"/>
          <w:b/>
          <w:bCs/>
          <w:sz w:val="24"/>
          <w:szCs w:val="24"/>
          <w:rtl/>
        </w:rPr>
        <w:tab/>
        <w:t>الترجمة والوظائف اللازمة لتشغيل غرفة تبادل المعلومات بشأن الحصول وتقاسم المنافع</w:t>
      </w:r>
      <w:r w:rsidRPr="00D6373D">
        <w:rPr>
          <w:rFonts w:ascii="Simplified Arabic" w:hAnsi="Simplified Arabic" w:cs="Simplified Arabic" w:hint="cs"/>
          <w:b/>
          <w:bCs/>
          <w:sz w:val="24"/>
          <w:szCs w:val="24"/>
          <w:rtl/>
        </w:rPr>
        <w:t xml:space="preserve"> </w:t>
      </w:r>
      <w:r w:rsidRPr="00D6373D">
        <w:rPr>
          <w:rFonts w:ascii="Simplified Arabic" w:hAnsi="Simplified Arabic" w:cs="Simplified Arabic"/>
          <w:b/>
          <w:bCs/>
          <w:sz w:val="24"/>
          <w:szCs w:val="24"/>
          <w:rtl/>
        </w:rPr>
        <w:t>باللغات الرسمية الست للأمم المتحدة</w:t>
      </w:r>
    </w:p>
    <w:p w:rsidR="0053788F" w:rsidRDefault="0096345B" w:rsidP="00520E93">
      <w:pPr>
        <w:pStyle w:val="Para1"/>
        <w:numPr>
          <w:ilvl w:val="0"/>
          <w:numId w:val="19"/>
        </w:numPr>
        <w:pBdr>
          <w:top w:val="nil"/>
          <w:left w:val="nil"/>
          <w:bottom w:val="nil"/>
          <w:right w:val="nil"/>
          <w:between w:val="nil"/>
          <w:bar w:val="nil"/>
        </w:pBdr>
        <w:bidi/>
        <w:ind w:left="0" w:firstLine="0"/>
        <w:rPr>
          <w:rFonts w:cs="Simplified Arabic"/>
          <w:snapToGrid/>
          <w:spacing w:val="-1"/>
          <w:kern w:val="22"/>
          <w:sz w:val="24"/>
          <w:szCs w:val="24"/>
        </w:rPr>
      </w:pPr>
      <w:r>
        <w:rPr>
          <w:rFonts w:cs="Simplified Arabic" w:hint="cs"/>
          <w:snapToGrid/>
          <w:spacing w:val="-1"/>
          <w:kern w:val="22"/>
          <w:sz w:val="24"/>
          <w:szCs w:val="24"/>
          <w:rtl/>
        </w:rPr>
        <w:t>اعترف مؤتمر الأطراف العامل كاجتماع للأطراف في البروتوكول، في اجتماعه الثالث، واللجنة الاستشارية غير الرسمية في غرفة تبادل المعلومات بشأن الحصول وتقاسم المنافع</w:t>
      </w:r>
      <w:r w:rsidR="000E25D4">
        <w:rPr>
          <w:rFonts w:cs="Simplified Arabic" w:hint="cs"/>
          <w:snapToGrid/>
          <w:spacing w:val="-1"/>
          <w:kern w:val="22"/>
          <w:sz w:val="24"/>
          <w:szCs w:val="24"/>
          <w:rtl/>
        </w:rPr>
        <w:t>، اعترف بأهمية ترجم</w:t>
      </w:r>
      <w:r w:rsidR="00520E93">
        <w:rPr>
          <w:rFonts w:cs="Simplified Arabic" w:hint="cs"/>
          <w:snapToGrid/>
          <w:spacing w:val="-1"/>
          <w:kern w:val="22"/>
          <w:sz w:val="24"/>
          <w:szCs w:val="24"/>
          <w:rtl/>
        </w:rPr>
        <w:t>ة</w:t>
      </w:r>
      <w:r w:rsidR="000E25D4">
        <w:rPr>
          <w:rFonts w:cs="Simplified Arabic" w:hint="cs"/>
          <w:snapToGrid/>
          <w:spacing w:val="-1"/>
          <w:kern w:val="22"/>
          <w:sz w:val="24"/>
          <w:szCs w:val="24"/>
          <w:rtl/>
        </w:rPr>
        <w:t xml:space="preserve"> النماذج العامة وجعلها متاحة باللغات الرسمية الست للأمم المتحدة. وبصفة خاصة، طلب المقرر </w:t>
      </w:r>
      <w:r w:rsidR="00650797">
        <w:rPr>
          <w:rFonts w:cs="Simplified Arabic"/>
          <w:snapToGrid/>
          <w:spacing w:val="-1"/>
          <w:kern w:val="22"/>
          <w:szCs w:val="22"/>
          <w:lang w:val="en-US"/>
        </w:rPr>
        <w:fldChar w:fldCharType="begin"/>
      </w:r>
      <w:r w:rsidR="000E25D4">
        <w:rPr>
          <w:rFonts w:cs="Simplified Arabic"/>
          <w:snapToGrid/>
          <w:spacing w:val="-1"/>
          <w:kern w:val="22"/>
          <w:szCs w:val="22"/>
          <w:lang w:val="en-US"/>
        </w:rPr>
        <w:instrText xml:space="preserve"> HYPERLINK "https://www.cbd.int/doc/decisions/np-mop-03/np-mop-03-dec-01-ar.pdf" </w:instrText>
      </w:r>
      <w:r w:rsidR="00650797">
        <w:rPr>
          <w:rFonts w:cs="Simplified Arabic"/>
          <w:snapToGrid/>
          <w:spacing w:val="-1"/>
          <w:kern w:val="22"/>
          <w:szCs w:val="22"/>
          <w:lang w:val="en-US"/>
        </w:rPr>
        <w:fldChar w:fldCharType="separate"/>
      </w:r>
      <w:r w:rsidR="000E25D4" w:rsidRPr="000E25D4">
        <w:rPr>
          <w:rStyle w:val="Hyperlink"/>
          <w:rFonts w:cs="Simplified Arabic"/>
          <w:snapToGrid/>
          <w:spacing w:val="-1"/>
          <w:kern w:val="22"/>
          <w:szCs w:val="22"/>
          <w:lang w:val="en-US"/>
        </w:rPr>
        <w:t>NP-3/1</w:t>
      </w:r>
      <w:r w:rsidR="00650797">
        <w:rPr>
          <w:rFonts w:cs="Simplified Arabic"/>
          <w:snapToGrid/>
          <w:spacing w:val="-1"/>
          <w:kern w:val="22"/>
          <w:szCs w:val="22"/>
          <w:lang w:val="en-US"/>
        </w:rPr>
        <w:fldChar w:fldCharType="end"/>
      </w:r>
      <w:r>
        <w:rPr>
          <w:rFonts w:cs="Simplified Arabic" w:hint="cs"/>
          <w:snapToGrid/>
          <w:spacing w:val="-1"/>
          <w:kern w:val="22"/>
          <w:sz w:val="24"/>
          <w:szCs w:val="24"/>
          <w:rtl/>
        </w:rPr>
        <w:t xml:space="preserve"> </w:t>
      </w:r>
      <w:r w:rsidR="000E25D4">
        <w:rPr>
          <w:rFonts w:cs="Simplified Arabic" w:hint="cs"/>
          <w:snapToGrid/>
          <w:spacing w:val="-1"/>
          <w:kern w:val="22"/>
          <w:sz w:val="24"/>
          <w:szCs w:val="24"/>
          <w:rtl/>
        </w:rPr>
        <w:t>بشأن تقييم واستعراض فعالية بروتوكول ناغويا، طلب إلى الأمينة التنفيذية أن ت</w:t>
      </w:r>
      <w:r w:rsidR="00520E93">
        <w:rPr>
          <w:rFonts w:cs="Simplified Arabic" w:hint="cs"/>
          <w:snapToGrid/>
          <w:spacing w:val="-1"/>
          <w:kern w:val="22"/>
          <w:sz w:val="24"/>
          <w:szCs w:val="24"/>
          <w:rtl/>
        </w:rPr>
        <w:t>عطي</w:t>
      </w:r>
      <w:r w:rsidR="000E25D4">
        <w:rPr>
          <w:rFonts w:cs="Simplified Arabic" w:hint="cs"/>
          <w:snapToGrid/>
          <w:spacing w:val="-1"/>
          <w:kern w:val="22"/>
          <w:sz w:val="24"/>
          <w:szCs w:val="24"/>
          <w:rtl/>
        </w:rPr>
        <w:t xml:space="preserve"> </w:t>
      </w:r>
      <w:r w:rsidR="00520E93">
        <w:rPr>
          <w:rFonts w:cs="Simplified Arabic" w:hint="cs"/>
          <w:snapToGrid/>
          <w:spacing w:val="-1"/>
          <w:kern w:val="22"/>
          <w:sz w:val="24"/>
          <w:szCs w:val="24"/>
          <w:rtl/>
        </w:rPr>
        <w:t>الأولوية ل</w:t>
      </w:r>
      <w:r w:rsidR="000E25D4">
        <w:rPr>
          <w:rFonts w:cs="Simplified Arabic" w:hint="cs"/>
          <w:snapToGrid/>
          <w:spacing w:val="-1"/>
          <w:kern w:val="22"/>
          <w:sz w:val="24"/>
          <w:szCs w:val="24"/>
          <w:rtl/>
        </w:rPr>
        <w:t>لترجمة في غرفة تبادل المعلومات بشأن الحصول وتقاسم المنافع.</w:t>
      </w:r>
    </w:p>
    <w:p w:rsidR="0053788F" w:rsidRDefault="000E25D4" w:rsidP="001E61FB">
      <w:pPr>
        <w:pStyle w:val="Para1"/>
        <w:numPr>
          <w:ilvl w:val="0"/>
          <w:numId w:val="19"/>
        </w:numPr>
        <w:pBdr>
          <w:top w:val="nil"/>
          <w:left w:val="nil"/>
          <w:bottom w:val="nil"/>
          <w:right w:val="nil"/>
          <w:between w:val="nil"/>
          <w:bar w:val="nil"/>
        </w:pBdr>
        <w:bidi/>
        <w:ind w:left="0" w:firstLine="0"/>
        <w:rPr>
          <w:rFonts w:cs="Simplified Arabic"/>
          <w:snapToGrid/>
          <w:spacing w:val="-1"/>
          <w:kern w:val="22"/>
          <w:sz w:val="24"/>
          <w:szCs w:val="24"/>
        </w:rPr>
      </w:pPr>
      <w:r>
        <w:rPr>
          <w:rFonts w:cs="Simplified Arabic" w:hint="cs"/>
          <w:snapToGrid/>
          <w:spacing w:val="-1"/>
          <w:kern w:val="22"/>
          <w:sz w:val="24"/>
          <w:szCs w:val="24"/>
          <w:rtl/>
        </w:rPr>
        <w:t>وتستمر الأمانة في العمل على ترجمة الموقع الشبكي لغرفة تبادل المعلومات بشأن الحصول وتقاسم المنافع، وت</w:t>
      </w:r>
      <w:r w:rsidR="001E61FB">
        <w:rPr>
          <w:rFonts w:cs="Simplified Arabic" w:hint="cs"/>
          <w:snapToGrid/>
          <w:spacing w:val="-1"/>
          <w:kern w:val="22"/>
          <w:sz w:val="24"/>
          <w:szCs w:val="24"/>
          <w:rtl/>
        </w:rPr>
        <w:t>ح</w:t>
      </w:r>
      <w:r>
        <w:rPr>
          <w:rFonts w:cs="Simplified Arabic" w:hint="cs"/>
          <w:snapToGrid/>
          <w:spacing w:val="-1"/>
          <w:kern w:val="22"/>
          <w:sz w:val="24"/>
          <w:szCs w:val="24"/>
          <w:rtl/>
        </w:rPr>
        <w:t>سين الآليات الموض</w:t>
      </w:r>
      <w:r w:rsidR="001E61FB">
        <w:rPr>
          <w:rFonts w:cs="Simplified Arabic" w:hint="cs"/>
          <w:snapToGrid/>
          <w:spacing w:val="-1"/>
          <w:kern w:val="22"/>
          <w:sz w:val="24"/>
          <w:szCs w:val="24"/>
          <w:rtl/>
        </w:rPr>
        <w:t>و</w:t>
      </w:r>
      <w:r>
        <w:rPr>
          <w:rFonts w:cs="Simplified Arabic" w:hint="cs"/>
          <w:snapToGrid/>
          <w:spacing w:val="-1"/>
          <w:kern w:val="22"/>
          <w:sz w:val="24"/>
          <w:szCs w:val="24"/>
          <w:rtl/>
        </w:rPr>
        <w:t>عة لتيسير ال</w:t>
      </w:r>
      <w:r w:rsidR="001E61FB">
        <w:rPr>
          <w:rFonts w:cs="Simplified Arabic" w:hint="cs"/>
          <w:snapToGrid/>
          <w:spacing w:val="-1"/>
          <w:kern w:val="22"/>
          <w:sz w:val="24"/>
          <w:szCs w:val="24"/>
          <w:rtl/>
        </w:rPr>
        <w:t>ت</w:t>
      </w:r>
      <w:r>
        <w:rPr>
          <w:rFonts w:cs="Simplified Arabic" w:hint="cs"/>
          <w:snapToGrid/>
          <w:spacing w:val="-1"/>
          <w:kern w:val="22"/>
          <w:sz w:val="24"/>
          <w:szCs w:val="24"/>
          <w:rtl/>
        </w:rPr>
        <w:t>رجمة، كأولوية عاجلة. وتم ترجمة جميع النماذج العامة مؤخرا إلى اللغات</w:t>
      </w:r>
      <w:r w:rsidR="001E61FB">
        <w:rPr>
          <w:rFonts w:cs="Simplified Arabic" w:hint="cs"/>
          <w:snapToGrid/>
          <w:spacing w:val="-1"/>
          <w:kern w:val="22"/>
          <w:sz w:val="24"/>
          <w:szCs w:val="24"/>
          <w:rtl/>
        </w:rPr>
        <w:t xml:space="preserve"> الرسمية الست للأمم المتحدة و</w:t>
      </w:r>
      <w:r>
        <w:rPr>
          <w:rFonts w:cs="Simplified Arabic" w:hint="cs"/>
          <w:snapToGrid/>
          <w:spacing w:val="-1"/>
          <w:kern w:val="22"/>
          <w:sz w:val="24"/>
          <w:szCs w:val="24"/>
          <w:rtl/>
        </w:rPr>
        <w:t>ترجمة 85 في المائة تقريبا من الموقع الشكبي إلى جميع لغات الأمم المتحدة.</w:t>
      </w:r>
    </w:p>
    <w:p w:rsidR="0053788F" w:rsidRDefault="00D6373D" w:rsidP="00E50686">
      <w:pPr>
        <w:pStyle w:val="Para1"/>
        <w:numPr>
          <w:ilvl w:val="0"/>
          <w:numId w:val="0"/>
        </w:numPr>
        <w:pBdr>
          <w:top w:val="nil"/>
          <w:left w:val="nil"/>
          <w:bottom w:val="nil"/>
          <w:right w:val="nil"/>
          <w:between w:val="nil"/>
          <w:bar w:val="nil"/>
        </w:pBdr>
        <w:bidi/>
        <w:ind w:left="1080" w:hanging="1080"/>
        <w:rPr>
          <w:rFonts w:cs="Simplified Arabic"/>
          <w:snapToGrid/>
          <w:spacing w:val="-1"/>
          <w:kern w:val="22"/>
          <w:sz w:val="24"/>
          <w:szCs w:val="24"/>
        </w:rPr>
      </w:pPr>
      <w:r w:rsidRPr="00625C91">
        <w:rPr>
          <w:rFonts w:ascii="Simplified Arabic" w:hAnsi="Simplified Arabic" w:cs="Simplified Arabic" w:hint="cs"/>
          <w:b/>
          <w:bCs/>
          <w:snapToGrid/>
          <w:kern w:val="22"/>
          <w:sz w:val="24"/>
          <w:szCs w:val="24"/>
          <w:rtl/>
          <w:lang w:val="fr-CH"/>
        </w:rPr>
        <w:t xml:space="preserve">الهدف </w:t>
      </w:r>
      <w:r w:rsidR="00E50686">
        <w:rPr>
          <w:rFonts w:ascii="Simplified Arabic" w:hAnsi="Simplified Arabic" w:cs="Simplified Arabic" w:hint="cs"/>
          <w:b/>
          <w:bCs/>
          <w:snapToGrid/>
          <w:kern w:val="22"/>
          <w:sz w:val="24"/>
          <w:szCs w:val="24"/>
          <w:rtl/>
          <w:lang w:val="fr-CH"/>
        </w:rPr>
        <w:t>3</w:t>
      </w:r>
      <w:r w:rsidRPr="00625C91">
        <w:rPr>
          <w:rFonts w:ascii="Simplified Arabic" w:hAnsi="Simplified Arabic" w:cs="Simplified Arabic" w:hint="cs"/>
          <w:b/>
          <w:bCs/>
          <w:snapToGrid/>
          <w:kern w:val="22"/>
          <w:sz w:val="24"/>
          <w:szCs w:val="24"/>
          <w:rtl/>
          <w:lang w:val="fr-CH"/>
        </w:rPr>
        <w:t>.</w:t>
      </w:r>
      <w:r w:rsidRPr="00625C91">
        <w:rPr>
          <w:rFonts w:ascii="Simplified Arabic" w:hAnsi="Simplified Arabic" w:cs="Simplified Arabic"/>
          <w:b/>
          <w:bCs/>
          <w:snapToGrid/>
          <w:kern w:val="22"/>
          <w:sz w:val="24"/>
          <w:szCs w:val="24"/>
          <w:rtl/>
          <w:lang w:val="fr-CH"/>
        </w:rPr>
        <w:tab/>
      </w:r>
      <w:r w:rsidRPr="00625C91">
        <w:rPr>
          <w:rFonts w:ascii="Simplified Arabic" w:hAnsi="Simplified Arabic" w:cs="Simplified Arabic" w:hint="cs"/>
          <w:b/>
          <w:bCs/>
          <w:snapToGrid/>
          <w:kern w:val="22"/>
          <w:sz w:val="24"/>
          <w:szCs w:val="24"/>
          <w:rtl/>
          <w:lang w:val="fr-CH"/>
        </w:rPr>
        <w:t>صيانة الوظائف وتحسينها</w:t>
      </w:r>
    </w:p>
    <w:p w:rsidR="0053788F" w:rsidRPr="001E61FB" w:rsidRDefault="001E61FB" w:rsidP="00B202D4">
      <w:pPr>
        <w:pStyle w:val="Para1"/>
        <w:numPr>
          <w:ilvl w:val="0"/>
          <w:numId w:val="19"/>
        </w:numPr>
        <w:pBdr>
          <w:top w:val="nil"/>
          <w:left w:val="nil"/>
          <w:bottom w:val="nil"/>
          <w:right w:val="nil"/>
          <w:between w:val="nil"/>
          <w:bar w:val="nil"/>
        </w:pBdr>
        <w:bidi/>
        <w:ind w:left="0" w:firstLine="0"/>
        <w:rPr>
          <w:rFonts w:cs="Simplified Arabic"/>
          <w:snapToGrid/>
          <w:spacing w:val="-1"/>
          <w:kern w:val="22"/>
          <w:sz w:val="24"/>
          <w:szCs w:val="24"/>
        </w:rPr>
      </w:pPr>
      <w:r w:rsidRPr="00B202D4">
        <w:rPr>
          <w:rFonts w:cs="Simplified Arabic" w:hint="cs"/>
          <w:snapToGrid/>
          <w:spacing w:val="-1"/>
          <w:kern w:val="22"/>
          <w:sz w:val="24"/>
          <w:szCs w:val="24"/>
          <w:rtl/>
        </w:rPr>
        <w:t>منذ الاجتماع</w:t>
      </w:r>
      <w:r w:rsidRPr="001E61FB">
        <w:rPr>
          <w:rFonts w:cs="Simplified Arabic" w:hint="cs"/>
          <w:snapToGrid/>
          <w:color w:val="FF0000"/>
          <w:spacing w:val="-1"/>
          <w:kern w:val="22"/>
          <w:sz w:val="24"/>
          <w:szCs w:val="24"/>
          <w:rtl/>
        </w:rPr>
        <w:t xml:space="preserve"> </w:t>
      </w:r>
      <w:r>
        <w:rPr>
          <w:rFonts w:ascii="Simplified Arabic" w:hAnsi="Simplified Arabic" w:cs="Simplified Arabic" w:hint="cs"/>
          <w:snapToGrid/>
          <w:spacing w:val="-1"/>
          <w:kern w:val="22"/>
          <w:sz w:val="24"/>
          <w:szCs w:val="24"/>
          <w:rtl/>
        </w:rPr>
        <w:t xml:space="preserve">الثالث لمؤتمر الأطراف العامل كاجتماع للأطراف في البروتوكول، ركز معظم </w:t>
      </w:r>
      <w:r w:rsidR="00B202D4">
        <w:rPr>
          <w:rFonts w:ascii="Simplified Arabic" w:hAnsi="Simplified Arabic" w:cs="Simplified Arabic" w:hint="cs"/>
          <w:snapToGrid/>
          <w:spacing w:val="-1"/>
          <w:kern w:val="22"/>
          <w:sz w:val="24"/>
          <w:szCs w:val="24"/>
          <w:rtl/>
        </w:rPr>
        <w:t xml:space="preserve">عمليات </w:t>
      </w:r>
      <w:r>
        <w:rPr>
          <w:rFonts w:ascii="Simplified Arabic" w:hAnsi="Simplified Arabic" w:cs="Simplified Arabic" w:hint="cs"/>
          <w:snapToGrid/>
          <w:spacing w:val="-1"/>
          <w:kern w:val="22"/>
          <w:sz w:val="24"/>
          <w:szCs w:val="24"/>
          <w:rtl/>
        </w:rPr>
        <w:t>الصيانة والتحسين على الوظائف و</w:t>
      </w:r>
      <w:r w:rsidR="00B202D4">
        <w:rPr>
          <w:rFonts w:ascii="Simplified Arabic" w:hAnsi="Simplified Arabic" w:cs="Simplified Arabic" w:hint="cs"/>
          <w:snapToGrid/>
          <w:spacing w:val="-1"/>
          <w:kern w:val="22"/>
          <w:sz w:val="24"/>
          <w:szCs w:val="24"/>
          <w:rtl/>
        </w:rPr>
        <w:t>ال</w:t>
      </w:r>
      <w:r>
        <w:rPr>
          <w:rFonts w:ascii="Simplified Arabic" w:hAnsi="Simplified Arabic" w:cs="Simplified Arabic" w:hint="cs"/>
          <w:snapToGrid/>
          <w:spacing w:val="-1"/>
          <w:kern w:val="22"/>
          <w:sz w:val="24"/>
          <w:szCs w:val="24"/>
          <w:rtl/>
        </w:rPr>
        <w:t xml:space="preserve">عناصر </w:t>
      </w:r>
      <w:r w:rsidR="00B202D4">
        <w:rPr>
          <w:rFonts w:ascii="Simplified Arabic" w:hAnsi="Simplified Arabic" w:cs="Simplified Arabic" w:hint="cs"/>
          <w:snapToGrid/>
          <w:spacing w:val="-1"/>
          <w:kern w:val="22"/>
          <w:sz w:val="24"/>
          <w:szCs w:val="24"/>
          <w:rtl/>
        </w:rPr>
        <w:t>ال</w:t>
      </w:r>
      <w:r>
        <w:rPr>
          <w:rFonts w:ascii="Simplified Arabic" w:hAnsi="Simplified Arabic" w:cs="Simplified Arabic" w:hint="cs"/>
          <w:snapToGrid/>
          <w:spacing w:val="-1"/>
          <w:kern w:val="22"/>
          <w:sz w:val="24"/>
          <w:szCs w:val="24"/>
          <w:rtl/>
        </w:rPr>
        <w:t xml:space="preserve">أخرى </w:t>
      </w:r>
      <w:r w:rsidR="00B202D4">
        <w:rPr>
          <w:rFonts w:ascii="Simplified Arabic" w:hAnsi="Simplified Arabic" w:cs="Simplified Arabic" w:hint="cs"/>
          <w:snapToGrid/>
          <w:spacing w:val="-1"/>
          <w:kern w:val="22"/>
          <w:sz w:val="24"/>
          <w:szCs w:val="24"/>
          <w:rtl/>
        </w:rPr>
        <w:t>ال</w:t>
      </w:r>
      <w:r>
        <w:rPr>
          <w:rFonts w:ascii="Simplified Arabic" w:hAnsi="Simplified Arabic" w:cs="Simplified Arabic" w:hint="cs"/>
          <w:snapToGrid/>
          <w:spacing w:val="-1"/>
          <w:kern w:val="22"/>
          <w:sz w:val="24"/>
          <w:szCs w:val="24"/>
          <w:rtl/>
        </w:rPr>
        <w:t>مشتركة في كل</w:t>
      </w:r>
      <w:r w:rsidR="00B202D4">
        <w:rPr>
          <w:rFonts w:ascii="Simplified Arabic" w:hAnsi="Simplified Arabic" w:cs="Simplified Arabic" w:hint="cs"/>
          <w:snapToGrid/>
          <w:spacing w:val="-1"/>
          <w:kern w:val="22"/>
          <w:sz w:val="24"/>
          <w:szCs w:val="24"/>
          <w:rtl/>
        </w:rPr>
        <w:t xml:space="preserve"> من</w:t>
      </w:r>
      <w:r>
        <w:rPr>
          <w:rFonts w:ascii="Simplified Arabic" w:hAnsi="Simplified Arabic" w:cs="Simplified Arabic" w:hint="cs"/>
          <w:snapToGrid/>
          <w:spacing w:val="-1"/>
          <w:kern w:val="22"/>
          <w:sz w:val="24"/>
          <w:szCs w:val="24"/>
          <w:rtl/>
        </w:rPr>
        <w:t xml:space="preserve"> غرفة تبادل المعلومات بشأن الحصول وتقاسم المنافع وغرفة تبادل معلومات السلامة الأحيائية. ويرد أدناه موجز عن ذلك.</w:t>
      </w:r>
    </w:p>
    <w:p w:rsidR="001E61FB" w:rsidRPr="001E61FB" w:rsidRDefault="001E61FB" w:rsidP="001E61FB">
      <w:pPr>
        <w:pStyle w:val="Para1"/>
        <w:numPr>
          <w:ilvl w:val="0"/>
          <w:numId w:val="0"/>
        </w:numPr>
        <w:pBdr>
          <w:top w:val="nil"/>
          <w:left w:val="nil"/>
          <w:bottom w:val="nil"/>
          <w:right w:val="nil"/>
          <w:between w:val="nil"/>
          <w:bar w:val="nil"/>
        </w:pBdr>
        <w:bidi/>
        <w:rPr>
          <w:rFonts w:cs="Simplified Arabic"/>
          <w:i/>
          <w:iCs/>
          <w:snapToGrid/>
          <w:spacing w:val="-1"/>
          <w:kern w:val="22"/>
          <w:sz w:val="24"/>
          <w:szCs w:val="24"/>
        </w:rPr>
      </w:pPr>
      <w:r w:rsidRPr="001E61FB">
        <w:rPr>
          <w:rFonts w:cs="Simplified Arabic" w:hint="cs"/>
          <w:i/>
          <w:iCs/>
          <w:snapToGrid/>
          <w:spacing w:val="-1"/>
          <w:kern w:val="22"/>
          <w:sz w:val="24"/>
          <w:szCs w:val="24"/>
          <w:rtl/>
        </w:rPr>
        <w:t>الصفحة الرئيسية</w:t>
      </w:r>
    </w:p>
    <w:p w:rsidR="0053788F" w:rsidRDefault="001E61FB" w:rsidP="00B202D4">
      <w:pPr>
        <w:pStyle w:val="Para1"/>
        <w:numPr>
          <w:ilvl w:val="0"/>
          <w:numId w:val="19"/>
        </w:numPr>
        <w:pBdr>
          <w:top w:val="nil"/>
          <w:left w:val="nil"/>
          <w:bottom w:val="nil"/>
          <w:right w:val="nil"/>
          <w:between w:val="nil"/>
          <w:bar w:val="nil"/>
        </w:pBdr>
        <w:bidi/>
        <w:ind w:left="0" w:firstLine="0"/>
        <w:rPr>
          <w:rFonts w:cs="Simplified Arabic"/>
          <w:snapToGrid/>
          <w:spacing w:val="-1"/>
          <w:kern w:val="22"/>
          <w:sz w:val="24"/>
          <w:szCs w:val="24"/>
        </w:rPr>
      </w:pPr>
      <w:r>
        <w:rPr>
          <w:rFonts w:cs="Simplified Arabic" w:hint="cs"/>
          <w:snapToGrid/>
          <w:spacing w:val="-1"/>
          <w:kern w:val="22"/>
          <w:sz w:val="24"/>
          <w:szCs w:val="24"/>
          <w:rtl/>
        </w:rPr>
        <w:t xml:space="preserve">كجزء من عملية التوافق والتكامل الأفضل لغرفة تبادل معلومات السلامة الأحيائية مع غرفة تبادل المعلومات بشأن الحصول وتقاسم المنافع، واستنادا إلى نتائج المقابلات مع المستخدمين واستبيان، أعدت صفحات حديثة أكثر وسهلة أيضا </w:t>
      </w:r>
      <w:r w:rsidR="00B202D4">
        <w:rPr>
          <w:rFonts w:cs="Simplified Arabic" w:hint="cs"/>
          <w:snapToGrid/>
          <w:spacing w:val="-1"/>
          <w:kern w:val="22"/>
          <w:sz w:val="24"/>
          <w:szCs w:val="24"/>
          <w:rtl/>
        </w:rPr>
        <w:t xml:space="preserve">لمستخدمي </w:t>
      </w:r>
      <w:r>
        <w:rPr>
          <w:rFonts w:cs="Simplified Arabic" w:hint="cs"/>
          <w:snapToGrid/>
          <w:spacing w:val="-1"/>
          <w:kern w:val="22"/>
          <w:sz w:val="24"/>
          <w:szCs w:val="24"/>
          <w:rtl/>
        </w:rPr>
        <w:t>كل من غرفتي تبادل المعلومات. وتستخدم الصفحة الرئيسية الجديدة لغرفة تبادل المعلومات بشأن الحصول وتقاسم المنافع تصميما مبسط</w:t>
      </w:r>
      <w:r w:rsidR="00B202D4">
        <w:rPr>
          <w:rFonts w:cs="Simplified Arabic" w:hint="cs"/>
          <w:snapToGrid/>
          <w:spacing w:val="-1"/>
          <w:kern w:val="22"/>
          <w:sz w:val="24"/>
          <w:szCs w:val="24"/>
          <w:rtl/>
        </w:rPr>
        <w:t>ا</w:t>
      </w:r>
      <w:r>
        <w:rPr>
          <w:rFonts w:cs="Simplified Arabic" w:hint="cs"/>
          <w:snapToGrid/>
          <w:spacing w:val="-1"/>
          <w:kern w:val="22"/>
          <w:sz w:val="24"/>
          <w:szCs w:val="24"/>
          <w:rtl/>
        </w:rPr>
        <w:t xml:space="preserve"> وتركز على السمات الرئيسية مثل الخريطة، والبلاغا</w:t>
      </w:r>
      <w:r w:rsidR="00B202D4">
        <w:rPr>
          <w:rFonts w:cs="Simplified Arabic" w:hint="cs"/>
          <w:snapToGrid/>
          <w:spacing w:val="-1"/>
          <w:kern w:val="22"/>
          <w:sz w:val="24"/>
          <w:szCs w:val="24"/>
          <w:rtl/>
        </w:rPr>
        <w:t>ت</w:t>
      </w:r>
      <w:r>
        <w:rPr>
          <w:rFonts w:cs="Simplified Arabic" w:hint="cs"/>
          <w:snapToGrid/>
          <w:spacing w:val="-1"/>
          <w:kern w:val="22"/>
          <w:sz w:val="24"/>
          <w:szCs w:val="24"/>
          <w:rtl/>
        </w:rPr>
        <w:t>، والسجلات المحدثة.</w:t>
      </w:r>
    </w:p>
    <w:p w:rsidR="001E61FB" w:rsidRPr="001E61FB" w:rsidRDefault="001E61FB" w:rsidP="001E61FB">
      <w:pPr>
        <w:pStyle w:val="Para1"/>
        <w:numPr>
          <w:ilvl w:val="0"/>
          <w:numId w:val="0"/>
        </w:numPr>
        <w:pBdr>
          <w:top w:val="nil"/>
          <w:left w:val="nil"/>
          <w:bottom w:val="nil"/>
          <w:right w:val="nil"/>
          <w:between w:val="nil"/>
          <w:bar w:val="nil"/>
        </w:pBdr>
        <w:bidi/>
        <w:rPr>
          <w:rFonts w:cs="Simplified Arabic"/>
          <w:i/>
          <w:iCs/>
          <w:snapToGrid/>
          <w:spacing w:val="-1"/>
          <w:kern w:val="22"/>
          <w:sz w:val="24"/>
          <w:szCs w:val="24"/>
        </w:rPr>
      </w:pPr>
      <w:r w:rsidRPr="001E61FB">
        <w:rPr>
          <w:rFonts w:cs="Simplified Arabic" w:hint="cs"/>
          <w:i/>
          <w:iCs/>
          <w:snapToGrid/>
          <w:spacing w:val="-1"/>
          <w:kern w:val="22"/>
          <w:sz w:val="24"/>
          <w:szCs w:val="24"/>
          <w:rtl/>
        </w:rPr>
        <w:t>النماذج العامة</w:t>
      </w:r>
    </w:p>
    <w:p w:rsidR="0053788F" w:rsidRDefault="001E61FB" w:rsidP="00B202D4">
      <w:pPr>
        <w:pStyle w:val="Para1"/>
        <w:numPr>
          <w:ilvl w:val="0"/>
          <w:numId w:val="19"/>
        </w:numPr>
        <w:pBdr>
          <w:top w:val="nil"/>
          <w:left w:val="nil"/>
          <w:bottom w:val="nil"/>
          <w:right w:val="nil"/>
          <w:between w:val="nil"/>
          <w:bar w:val="nil"/>
        </w:pBdr>
        <w:bidi/>
        <w:ind w:left="0" w:firstLine="0"/>
        <w:rPr>
          <w:rFonts w:cs="Simplified Arabic"/>
          <w:snapToGrid/>
          <w:spacing w:val="-1"/>
          <w:kern w:val="22"/>
          <w:sz w:val="24"/>
          <w:szCs w:val="24"/>
        </w:rPr>
      </w:pPr>
      <w:r>
        <w:rPr>
          <w:rFonts w:cs="Simplified Arabic" w:hint="cs"/>
          <w:snapToGrid/>
          <w:spacing w:val="-1"/>
          <w:kern w:val="22"/>
          <w:sz w:val="24"/>
          <w:szCs w:val="24"/>
          <w:rtl/>
        </w:rPr>
        <w:t xml:space="preserve">بما يتمشى مع طرائق التشغيل المشتركة والحاجة إلى </w:t>
      </w:r>
      <w:r w:rsidR="004D69BF">
        <w:rPr>
          <w:rFonts w:cs="Simplified Arabic" w:hint="cs"/>
          <w:snapToGrid/>
          <w:spacing w:val="-1"/>
          <w:kern w:val="22"/>
          <w:sz w:val="24"/>
          <w:szCs w:val="24"/>
          <w:rtl/>
        </w:rPr>
        <w:t>التوافق والتكامل بين الغرف الثلاث لتبادل المعلومات التابعة لل</w:t>
      </w:r>
      <w:r w:rsidR="00B202D4">
        <w:rPr>
          <w:rFonts w:cs="Simplified Arabic" w:hint="cs"/>
          <w:snapToGrid/>
          <w:spacing w:val="-1"/>
          <w:kern w:val="22"/>
          <w:sz w:val="24"/>
          <w:szCs w:val="24"/>
          <w:rtl/>
        </w:rPr>
        <w:t>أمان</w:t>
      </w:r>
      <w:r w:rsidR="004D69BF">
        <w:rPr>
          <w:rFonts w:cs="Simplified Arabic" w:hint="cs"/>
          <w:snapToGrid/>
          <w:spacing w:val="-1"/>
          <w:kern w:val="22"/>
          <w:sz w:val="24"/>
          <w:szCs w:val="24"/>
          <w:rtl/>
        </w:rPr>
        <w:t>ة، تم تنقيح النماذج العامة الثلاث المتبادلة من أجل التطابق الأفضل، مثل "موارد المكتبة المرئية" و"مبادرات تنمية القدرات".</w:t>
      </w:r>
    </w:p>
    <w:p w:rsidR="0053788F" w:rsidRPr="004D69BF" w:rsidRDefault="004D69BF" w:rsidP="004D69BF">
      <w:pPr>
        <w:pStyle w:val="Para1"/>
        <w:numPr>
          <w:ilvl w:val="0"/>
          <w:numId w:val="0"/>
        </w:numPr>
        <w:pBdr>
          <w:top w:val="nil"/>
          <w:left w:val="nil"/>
          <w:bottom w:val="nil"/>
          <w:right w:val="nil"/>
          <w:between w:val="nil"/>
          <w:bar w:val="nil"/>
        </w:pBdr>
        <w:bidi/>
        <w:rPr>
          <w:rFonts w:cs="Simplified Arabic"/>
          <w:i/>
          <w:iCs/>
          <w:snapToGrid/>
          <w:spacing w:val="-1"/>
          <w:kern w:val="22"/>
          <w:sz w:val="24"/>
          <w:szCs w:val="24"/>
        </w:rPr>
      </w:pPr>
      <w:r w:rsidRPr="004D69BF">
        <w:rPr>
          <w:rFonts w:cs="Simplified Arabic" w:hint="cs"/>
          <w:i/>
          <w:iCs/>
          <w:snapToGrid/>
          <w:spacing w:val="-1"/>
          <w:kern w:val="22"/>
          <w:sz w:val="24"/>
          <w:szCs w:val="24"/>
          <w:rtl/>
        </w:rPr>
        <w:t>البحث</w:t>
      </w:r>
    </w:p>
    <w:p w:rsidR="0053788F" w:rsidRDefault="004D69BF" w:rsidP="00B202D4">
      <w:pPr>
        <w:pStyle w:val="Para1"/>
        <w:numPr>
          <w:ilvl w:val="0"/>
          <w:numId w:val="19"/>
        </w:numPr>
        <w:pBdr>
          <w:top w:val="nil"/>
          <w:left w:val="nil"/>
          <w:bottom w:val="nil"/>
          <w:right w:val="nil"/>
          <w:between w:val="nil"/>
          <w:bar w:val="nil"/>
        </w:pBdr>
        <w:bidi/>
        <w:ind w:left="0" w:firstLine="0"/>
        <w:rPr>
          <w:rFonts w:cs="Simplified Arabic"/>
          <w:snapToGrid/>
          <w:spacing w:val="-1"/>
          <w:kern w:val="22"/>
          <w:sz w:val="24"/>
          <w:szCs w:val="24"/>
        </w:rPr>
      </w:pPr>
      <w:r>
        <w:rPr>
          <w:rFonts w:cs="Simplified Arabic" w:hint="cs"/>
          <w:snapToGrid/>
          <w:spacing w:val="-1"/>
          <w:kern w:val="22"/>
          <w:sz w:val="24"/>
          <w:szCs w:val="24"/>
          <w:rtl/>
        </w:rPr>
        <w:t xml:space="preserve">قامت الأمانة بتحسين طريقة تنظيم البحث ومعلومات المراجع، مما زاد سرعة البحث الحر للنصوص وفائدته وسمح </w:t>
      </w:r>
      <w:r w:rsidR="00B202D4">
        <w:rPr>
          <w:rFonts w:cs="Simplified Arabic" w:hint="cs"/>
          <w:snapToGrid/>
          <w:spacing w:val="-1"/>
          <w:kern w:val="22"/>
          <w:sz w:val="24"/>
          <w:szCs w:val="24"/>
          <w:rtl/>
        </w:rPr>
        <w:t>ب</w:t>
      </w:r>
      <w:r>
        <w:rPr>
          <w:rFonts w:cs="Simplified Arabic" w:hint="cs"/>
          <w:snapToGrid/>
          <w:spacing w:val="-1"/>
          <w:kern w:val="22"/>
          <w:sz w:val="24"/>
          <w:szCs w:val="24"/>
          <w:rtl/>
        </w:rPr>
        <w:t xml:space="preserve">طلب النتائج استنادا إلى الأهمية. وأضيف </w:t>
      </w:r>
      <w:r>
        <w:rPr>
          <w:rFonts w:cs="Simplified Arabic" w:hint="cs"/>
          <w:snapToGrid/>
          <w:spacing w:val="-1"/>
          <w:kern w:val="22"/>
          <w:sz w:val="24"/>
          <w:szCs w:val="24"/>
          <w:rtl/>
          <w:lang w:val="en-US" w:bidi="ar-EG"/>
        </w:rPr>
        <w:t>تبويب للبحث في نتائج "جميع الس</w:t>
      </w:r>
      <w:r w:rsidR="00B202D4">
        <w:rPr>
          <w:rFonts w:cs="Simplified Arabic" w:hint="cs"/>
          <w:snapToGrid/>
          <w:spacing w:val="-1"/>
          <w:kern w:val="22"/>
          <w:sz w:val="24"/>
          <w:szCs w:val="24"/>
          <w:rtl/>
          <w:lang w:val="en-US" w:bidi="ar-EG"/>
        </w:rPr>
        <w:t>ج</w:t>
      </w:r>
      <w:r>
        <w:rPr>
          <w:rFonts w:cs="Simplified Arabic" w:hint="cs"/>
          <w:snapToGrid/>
          <w:spacing w:val="-1"/>
          <w:kern w:val="22"/>
          <w:sz w:val="24"/>
          <w:szCs w:val="24"/>
          <w:rtl/>
          <w:lang w:val="en-US" w:bidi="ar-EG"/>
        </w:rPr>
        <w:t xml:space="preserve">لات" يعرض النتائج المجمعة على مدى فئات </w:t>
      </w:r>
      <w:r>
        <w:rPr>
          <w:rFonts w:cs="Simplified Arabic" w:hint="cs"/>
          <w:snapToGrid/>
          <w:spacing w:val="-1"/>
          <w:kern w:val="22"/>
          <w:sz w:val="24"/>
          <w:szCs w:val="24"/>
          <w:rtl/>
          <w:lang w:val="en-US" w:bidi="ar-EG"/>
        </w:rPr>
        <w:lastRenderedPageBreak/>
        <w:t xml:space="preserve">السجلات على نفس الصفحة، فضلا عن خاصية تسمح للمستخدمين بطباعة </w:t>
      </w:r>
      <w:r w:rsidR="00AB0C43">
        <w:rPr>
          <w:rFonts w:cs="Simplified Arabic" w:hint="cs"/>
          <w:snapToGrid/>
          <w:spacing w:val="-1"/>
          <w:kern w:val="22"/>
          <w:sz w:val="24"/>
          <w:szCs w:val="24"/>
          <w:rtl/>
          <w:lang w:val="en-US" w:bidi="ar-EG"/>
        </w:rPr>
        <w:t xml:space="preserve">السجلات </w:t>
      </w:r>
      <w:r>
        <w:rPr>
          <w:rFonts w:cs="Simplified Arabic" w:hint="cs"/>
          <w:snapToGrid/>
          <w:spacing w:val="-1"/>
          <w:kern w:val="22"/>
          <w:sz w:val="24"/>
          <w:szCs w:val="24"/>
          <w:rtl/>
          <w:lang w:val="en-US" w:bidi="ar-EG"/>
        </w:rPr>
        <w:t>و</w:t>
      </w:r>
      <w:r>
        <w:rPr>
          <w:rFonts w:cs="Simplified Arabic" w:hint="cs"/>
          <w:snapToGrid/>
          <w:spacing w:val="-1"/>
          <w:kern w:val="22"/>
          <w:sz w:val="24"/>
          <w:szCs w:val="24"/>
          <w:rtl/>
          <w:lang w:bidi="ar-EG"/>
        </w:rPr>
        <w:t>فرز</w:t>
      </w:r>
      <w:r w:rsidR="00AB0C43">
        <w:rPr>
          <w:rFonts w:cs="Simplified Arabic" w:hint="cs"/>
          <w:snapToGrid/>
          <w:spacing w:val="-1"/>
          <w:kern w:val="22"/>
          <w:sz w:val="24"/>
          <w:szCs w:val="24"/>
          <w:rtl/>
          <w:lang w:bidi="ar-EG"/>
        </w:rPr>
        <w:t>ها</w:t>
      </w:r>
      <w:r>
        <w:rPr>
          <w:rFonts w:cs="Simplified Arabic" w:hint="cs"/>
          <w:snapToGrid/>
          <w:spacing w:val="-1"/>
          <w:kern w:val="22"/>
          <w:sz w:val="24"/>
          <w:szCs w:val="24"/>
          <w:rtl/>
          <w:lang w:bidi="ar-EG"/>
        </w:rPr>
        <w:t xml:space="preserve"> و</w:t>
      </w:r>
      <w:r w:rsidR="00AB0C43">
        <w:rPr>
          <w:rFonts w:cs="Simplified Arabic" w:hint="cs"/>
          <w:snapToGrid/>
          <w:spacing w:val="-1"/>
          <w:kern w:val="22"/>
          <w:sz w:val="24"/>
          <w:szCs w:val="24"/>
          <w:rtl/>
          <w:lang w:bidi="ar-EG"/>
        </w:rPr>
        <w:t>تجميعها، وتحويلها في شكل جداول بيانات، وحفظ وتبادل نتائج البحث. وقد أدر</w:t>
      </w:r>
      <w:r w:rsidR="00B202D4">
        <w:rPr>
          <w:rFonts w:cs="Simplified Arabic" w:hint="cs"/>
          <w:snapToGrid/>
          <w:spacing w:val="-1"/>
          <w:kern w:val="22"/>
          <w:sz w:val="24"/>
          <w:szCs w:val="24"/>
          <w:rtl/>
          <w:lang w:bidi="ar-EG"/>
        </w:rPr>
        <w:t>ج</w:t>
      </w:r>
      <w:r w:rsidR="00AB0C43">
        <w:rPr>
          <w:rFonts w:cs="Simplified Arabic" w:hint="cs"/>
          <w:snapToGrid/>
          <w:spacing w:val="-1"/>
          <w:kern w:val="22"/>
          <w:sz w:val="24"/>
          <w:szCs w:val="24"/>
          <w:rtl/>
          <w:lang w:bidi="ar-EG"/>
        </w:rPr>
        <w:t xml:space="preserve">نا نظرة مصفوفة، </w:t>
      </w:r>
      <w:r w:rsidR="00B202D4">
        <w:rPr>
          <w:rFonts w:cs="Simplified Arabic" w:hint="cs"/>
          <w:snapToGrid/>
          <w:spacing w:val="-1"/>
          <w:kern w:val="22"/>
          <w:sz w:val="24"/>
          <w:szCs w:val="24"/>
          <w:rtl/>
          <w:lang w:bidi="ar-EG"/>
        </w:rPr>
        <w:t>جاري</w:t>
      </w:r>
      <w:r w:rsidR="00AB0C43">
        <w:rPr>
          <w:rFonts w:cs="Simplified Arabic" w:hint="cs"/>
          <w:snapToGrid/>
          <w:spacing w:val="-1"/>
          <w:kern w:val="22"/>
          <w:sz w:val="24"/>
          <w:szCs w:val="24"/>
          <w:rtl/>
          <w:lang w:bidi="ar-EG"/>
        </w:rPr>
        <w:t xml:space="preserve"> تحسينها، ولكن النسخة المبدئية تزود المستخدمين بإمكانيات متعددة لتوليد نتائج البحث في شكل جداول.</w:t>
      </w:r>
    </w:p>
    <w:p w:rsidR="0053788F" w:rsidRDefault="00AB0C43" w:rsidP="00B202D4">
      <w:pPr>
        <w:pStyle w:val="Para1"/>
        <w:numPr>
          <w:ilvl w:val="0"/>
          <w:numId w:val="19"/>
        </w:numPr>
        <w:pBdr>
          <w:top w:val="nil"/>
          <w:left w:val="nil"/>
          <w:bottom w:val="nil"/>
          <w:right w:val="nil"/>
          <w:between w:val="nil"/>
          <w:bar w:val="nil"/>
        </w:pBdr>
        <w:bidi/>
        <w:ind w:left="0" w:firstLine="0"/>
        <w:rPr>
          <w:rFonts w:cs="Simplified Arabic"/>
          <w:snapToGrid/>
          <w:spacing w:val="-1"/>
          <w:kern w:val="22"/>
          <w:sz w:val="24"/>
          <w:szCs w:val="24"/>
        </w:rPr>
      </w:pPr>
      <w:r>
        <w:rPr>
          <w:rFonts w:cs="Simplified Arabic" w:hint="cs"/>
          <w:snapToGrid/>
          <w:spacing w:val="-1"/>
          <w:kern w:val="22"/>
          <w:sz w:val="24"/>
          <w:szCs w:val="24"/>
          <w:rtl/>
        </w:rPr>
        <w:t xml:space="preserve">ويسمح البحث الآن بمزيد </w:t>
      </w:r>
      <w:r w:rsidR="00B202D4">
        <w:rPr>
          <w:rFonts w:cs="Simplified Arabic" w:hint="cs"/>
          <w:snapToGrid/>
          <w:spacing w:val="-1"/>
          <w:kern w:val="22"/>
          <w:sz w:val="24"/>
          <w:szCs w:val="24"/>
          <w:rtl/>
        </w:rPr>
        <w:t>من</w:t>
      </w:r>
      <w:r>
        <w:rPr>
          <w:rFonts w:cs="Simplified Arabic" w:hint="cs"/>
          <w:snapToGrid/>
          <w:spacing w:val="-1"/>
          <w:kern w:val="22"/>
          <w:sz w:val="24"/>
          <w:szCs w:val="24"/>
          <w:rtl/>
        </w:rPr>
        <w:t xml:space="preserve"> </w:t>
      </w:r>
      <w:r w:rsidR="00B202D4">
        <w:rPr>
          <w:rFonts w:cs="Simplified Arabic" w:hint="cs"/>
          <w:snapToGrid/>
          <w:spacing w:val="-1"/>
          <w:kern w:val="22"/>
          <w:sz w:val="24"/>
          <w:szCs w:val="24"/>
          <w:rtl/>
        </w:rPr>
        <w:t xml:space="preserve">تطبيق </w:t>
      </w:r>
      <w:r>
        <w:rPr>
          <w:rFonts w:cs="Simplified Arabic" w:hint="cs"/>
          <w:snapToGrid/>
          <w:spacing w:val="-1"/>
          <w:kern w:val="22"/>
          <w:sz w:val="24"/>
          <w:szCs w:val="24"/>
          <w:rtl/>
        </w:rPr>
        <w:t>"المرشحات الفرعية" الخاصة بنوع السجل</w:t>
      </w:r>
      <w:r w:rsidR="00B202D4">
        <w:rPr>
          <w:rFonts w:cs="Simplified Arabic" w:hint="cs"/>
          <w:snapToGrid/>
          <w:spacing w:val="-1"/>
          <w:kern w:val="22"/>
          <w:sz w:val="24"/>
          <w:szCs w:val="24"/>
          <w:rtl/>
        </w:rPr>
        <w:t>، مما يسمح</w:t>
      </w:r>
      <w:r>
        <w:rPr>
          <w:rFonts w:cs="Simplified Arabic" w:hint="cs"/>
          <w:snapToGrid/>
          <w:spacing w:val="-1"/>
          <w:kern w:val="22"/>
          <w:sz w:val="24"/>
          <w:szCs w:val="24"/>
          <w:rtl/>
        </w:rPr>
        <w:t xml:space="preserve"> بنتائج بحث موجهة على نحو أكبر. وبالإضافة إلى ذلك، يمكن </w:t>
      </w:r>
      <w:r>
        <w:rPr>
          <w:rFonts w:cs="Simplified Arabic" w:hint="cs"/>
          <w:snapToGrid/>
          <w:spacing w:val="-1"/>
          <w:kern w:val="22"/>
          <w:sz w:val="24"/>
          <w:szCs w:val="24"/>
          <w:rtl/>
          <w:lang w:val="en-US" w:bidi="ar-EG"/>
        </w:rPr>
        <w:t xml:space="preserve">تعطيل مرشحات البحث الفرعية السارية بشكل مؤقت أو يمكن استخدامها بطريقة سلبية أو إقصائية، مع إعطاء رقابة </w:t>
      </w:r>
      <w:r w:rsidR="00B202D4">
        <w:rPr>
          <w:rFonts w:cs="Simplified Arabic" w:hint="cs"/>
          <w:snapToGrid/>
          <w:spacing w:val="-1"/>
          <w:kern w:val="22"/>
          <w:sz w:val="24"/>
          <w:szCs w:val="24"/>
          <w:rtl/>
          <w:lang w:val="en-US" w:bidi="ar-EG"/>
        </w:rPr>
        <w:t xml:space="preserve">أكبر </w:t>
      </w:r>
      <w:r>
        <w:rPr>
          <w:rFonts w:cs="Simplified Arabic" w:hint="cs"/>
          <w:snapToGrid/>
          <w:spacing w:val="-1"/>
          <w:kern w:val="22"/>
          <w:sz w:val="24"/>
          <w:szCs w:val="24"/>
          <w:rtl/>
          <w:lang w:val="en-US" w:bidi="ar-EG"/>
        </w:rPr>
        <w:t>للمستخدمين على إيجاد المعلومات التي يحتاجون</w:t>
      </w:r>
      <w:r w:rsidR="00B202D4">
        <w:rPr>
          <w:rFonts w:cs="Simplified Arabic" w:hint="cs"/>
          <w:snapToGrid/>
          <w:spacing w:val="-1"/>
          <w:kern w:val="22"/>
          <w:sz w:val="24"/>
          <w:szCs w:val="24"/>
          <w:rtl/>
          <w:lang w:val="en-US" w:bidi="ar-EG"/>
        </w:rPr>
        <w:t xml:space="preserve"> إلي</w:t>
      </w:r>
      <w:r>
        <w:rPr>
          <w:rFonts w:cs="Simplified Arabic" w:hint="cs"/>
          <w:snapToGrid/>
          <w:spacing w:val="-1"/>
          <w:kern w:val="22"/>
          <w:sz w:val="24"/>
          <w:szCs w:val="24"/>
          <w:rtl/>
          <w:lang w:val="en-US" w:bidi="ar-EG"/>
        </w:rPr>
        <w:t xml:space="preserve">ها. واستنادا </w:t>
      </w:r>
      <w:r w:rsidR="00B202D4">
        <w:rPr>
          <w:rFonts w:cs="Simplified Arabic" w:hint="cs"/>
          <w:snapToGrid/>
          <w:spacing w:val="-1"/>
          <w:kern w:val="22"/>
          <w:sz w:val="24"/>
          <w:szCs w:val="24"/>
          <w:rtl/>
          <w:lang w:val="en-US" w:bidi="ar-EG"/>
        </w:rPr>
        <w:t xml:space="preserve">إلى </w:t>
      </w:r>
      <w:r>
        <w:rPr>
          <w:rFonts w:cs="Simplified Arabic" w:hint="cs"/>
          <w:snapToGrid/>
          <w:spacing w:val="-1"/>
          <w:kern w:val="22"/>
          <w:sz w:val="24"/>
          <w:szCs w:val="24"/>
          <w:rtl/>
          <w:lang w:val="en-US" w:bidi="ar-EG"/>
        </w:rPr>
        <w:t>مشورة من اللجنة الاستشارية غير الرسمية، تم التخطيط لعدة مرشحات إضافية وتحسينات إلى المرشحات القائمة وسيتم تنفيذها في الوقت المناسب.</w:t>
      </w:r>
    </w:p>
    <w:p w:rsidR="0053788F" w:rsidRDefault="00AB0C43" w:rsidP="00AB36F4">
      <w:pPr>
        <w:pStyle w:val="Para1"/>
        <w:numPr>
          <w:ilvl w:val="0"/>
          <w:numId w:val="19"/>
        </w:numPr>
        <w:pBdr>
          <w:top w:val="nil"/>
          <w:left w:val="nil"/>
          <w:bottom w:val="nil"/>
          <w:right w:val="nil"/>
          <w:between w:val="nil"/>
          <w:bar w:val="nil"/>
        </w:pBdr>
        <w:bidi/>
        <w:ind w:left="0" w:firstLine="0"/>
        <w:rPr>
          <w:rFonts w:cs="Simplified Arabic"/>
          <w:snapToGrid/>
          <w:spacing w:val="-1"/>
          <w:kern w:val="22"/>
          <w:sz w:val="24"/>
          <w:szCs w:val="24"/>
        </w:rPr>
      </w:pPr>
      <w:r>
        <w:rPr>
          <w:rFonts w:cs="Simplified Arabic" w:hint="cs"/>
          <w:snapToGrid/>
          <w:spacing w:val="-1"/>
          <w:kern w:val="22"/>
          <w:sz w:val="24"/>
          <w:szCs w:val="24"/>
          <w:rtl/>
        </w:rPr>
        <w:t xml:space="preserve">وأضيفت معلومات الاتصال، التي كانت مرئية فقط عند الإشارة </w:t>
      </w:r>
      <w:r w:rsidR="00B202D4">
        <w:rPr>
          <w:rFonts w:cs="Simplified Arabic" w:hint="cs"/>
          <w:snapToGrid/>
          <w:spacing w:val="-1"/>
          <w:kern w:val="22"/>
          <w:sz w:val="24"/>
          <w:szCs w:val="24"/>
          <w:rtl/>
        </w:rPr>
        <w:t>إليها في</w:t>
      </w:r>
      <w:r>
        <w:rPr>
          <w:rFonts w:cs="Simplified Arabic" w:hint="cs"/>
          <w:snapToGrid/>
          <w:spacing w:val="-1"/>
          <w:kern w:val="22"/>
          <w:sz w:val="24"/>
          <w:szCs w:val="24"/>
          <w:rtl/>
        </w:rPr>
        <w:t xml:space="preserve"> سجلات أخرى، كنوع سجل مستقل في البحث. وبالإضافة إلى ذلك، أضيف قسم حتى يمكن </w:t>
      </w:r>
      <w:r w:rsidR="005A77C6">
        <w:rPr>
          <w:rFonts w:cs="Simplified Arabic" w:hint="cs"/>
          <w:snapToGrid/>
          <w:spacing w:val="-1"/>
          <w:kern w:val="22"/>
          <w:sz w:val="24"/>
          <w:szCs w:val="24"/>
          <w:rtl/>
        </w:rPr>
        <w:t>مشاهدة أي نوع من السجلات الفردية، وسيظهر أيضا مكان الإشارة إلى ذلك السجل في سجلات أخرى لغرفة تبادل المعلومات بشأن الحصول وتقاسم المنافع. فعلى سبيل المثال، عند النظر في سجل بيانات الاتصال، ستقدم روابط إلى أي سجلات لشهادة الامتثال المعترف بها دوليا التي قد أش</w:t>
      </w:r>
      <w:r w:rsidR="00AB36F4">
        <w:rPr>
          <w:rFonts w:cs="Simplified Arabic" w:hint="cs"/>
          <w:snapToGrid/>
          <w:spacing w:val="-1"/>
          <w:kern w:val="22"/>
          <w:sz w:val="24"/>
          <w:szCs w:val="24"/>
          <w:rtl/>
        </w:rPr>
        <w:t>ير إليها في</w:t>
      </w:r>
      <w:r w:rsidR="005A77C6">
        <w:rPr>
          <w:rFonts w:cs="Simplified Arabic" w:hint="cs"/>
          <w:snapToGrid/>
          <w:spacing w:val="-1"/>
          <w:kern w:val="22"/>
          <w:sz w:val="24"/>
          <w:szCs w:val="24"/>
          <w:rtl/>
        </w:rPr>
        <w:t xml:space="preserve"> بيانات </w:t>
      </w:r>
      <w:r w:rsidR="00AB36F4">
        <w:rPr>
          <w:rFonts w:cs="Simplified Arabic" w:hint="cs"/>
          <w:snapToGrid/>
          <w:spacing w:val="-1"/>
          <w:kern w:val="22"/>
          <w:sz w:val="24"/>
          <w:szCs w:val="24"/>
          <w:rtl/>
        </w:rPr>
        <w:t xml:space="preserve">الاتصال </w:t>
      </w:r>
      <w:r w:rsidR="005A77C6">
        <w:rPr>
          <w:rFonts w:cs="Simplified Arabic" w:hint="cs"/>
          <w:snapToGrid/>
          <w:spacing w:val="-1"/>
          <w:kern w:val="22"/>
          <w:sz w:val="24"/>
          <w:szCs w:val="24"/>
          <w:rtl/>
        </w:rPr>
        <w:t>المعنية. وتستكشف الأمانة الوسائل لمنع استخدام معلومات الاتصال</w:t>
      </w:r>
      <w:r w:rsidR="00AB36F4" w:rsidRPr="00AB36F4">
        <w:rPr>
          <w:rFonts w:cs="Simplified Arabic" w:hint="cs"/>
          <w:snapToGrid/>
          <w:spacing w:val="-1"/>
          <w:kern w:val="22"/>
          <w:sz w:val="24"/>
          <w:szCs w:val="24"/>
          <w:rtl/>
        </w:rPr>
        <w:t xml:space="preserve"> </w:t>
      </w:r>
      <w:r w:rsidR="00AB36F4">
        <w:rPr>
          <w:rFonts w:cs="Simplified Arabic" w:hint="cs"/>
          <w:snapToGrid/>
          <w:spacing w:val="-1"/>
          <w:kern w:val="22"/>
          <w:sz w:val="24"/>
          <w:szCs w:val="24"/>
          <w:rtl/>
        </w:rPr>
        <w:t xml:space="preserve">للأغراض غير المقصودة مثلا </w:t>
      </w:r>
      <w:r w:rsidR="00AB36F4">
        <w:rPr>
          <w:rFonts w:cs="Simplified Arabic" w:hint="cs"/>
          <w:snapToGrid/>
          <w:spacing w:val="-1"/>
          <w:kern w:val="22"/>
          <w:sz w:val="24"/>
          <w:szCs w:val="24"/>
          <w:rtl/>
          <w:lang w:val="en-US"/>
        </w:rPr>
        <w:t>للأغراض الإقتحامية</w:t>
      </w:r>
      <w:r w:rsidR="005A77C6">
        <w:rPr>
          <w:rFonts w:cs="Simplified Arabic" w:hint="cs"/>
          <w:snapToGrid/>
          <w:spacing w:val="-1"/>
          <w:kern w:val="22"/>
          <w:sz w:val="24"/>
          <w:szCs w:val="24"/>
          <w:rtl/>
        </w:rPr>
        <w:t xml:space="preserve">، مثل البريد الإلكتروني وأرقام الهاتف، الموجودة على غرفة تبادل المعلومات بشأن الحصول وتقاسم المنفع، كما هو الحال مع غرف تبادل المعلومات والمواقع الشبكية </w:t>
      </w:r>
      <w:r w:rsidR="00AB36F4">
        <w:rPr>
          <w:rFonts w:cs="Simplified Arabic" w:hint="cs"/>
          <w:snapToGrid/>
          <w:spacing w:val="-1"/>
          <w:kern w:val="22"/>
          <w:sz w:val="24"/>
          <w:szCs w:val="24"/>
          <w:rtl/>
        </w:rPr>
        <w:t>الأخرى لاتفاقية التنوع البيولوجي</w:t>
      </w:r>
      <w:r w:rsidR="005A77C6">
        <w:rPr>
          <w:rFonts w:cs="Simplified Arabic" w:hint="cs"/>
          <w:snapToGrid/>
          <w:spacing w:val="-1"/>
          <w:kern w:val="22"/>
          <w:sz w:val="24"/>
          <w:szCs w:val="24"/>
          <w:rtl/>
          <w:lang w:val="en-US"/>
        </w:rPr>
        <w:t>.</w:t>
      </w:r>
    </w:p>
    <w:p w:rsidR="005A77C6" w:rsidRPr="005A77C6" w:rsidRDefault="00AB36F4" w:rsidP="005A77C6">
      <w:pPr>
        <w:pStyle w:val="Para1"/>
        <w:numPr>
          <w:ilvl w:val="0"/>
          <w:numId w:val="0"/>
        </w:numPr>
        <w:pBdr>
          <w:top w:val="nil"/>
          <w:left w:val="nil"/>
          <w:bottom w:val="nil"/>
          <w:right w:val="nil"/>
          <w:between w:val="nil"/>
          <w:bar w:val="nil"/>
        </w:pBdr>
        <w:bidi/>
        <w:rPr>
          <w:rFonts w:cs="Simplified Arabic"/>
          <w:i/>
          <w:iCs/>
          <w:snapToGrid/>
          <w:spacing w:val="-1"/>
          <w:kern w:val="22"/>
          <w:sz w:val="24"/>
          <w:szCs w:val="24"/>
        </w:rPr>
      </w:pPr>
      <w:r>
        <w:rPr>
          <w:rFonts w:cs="Simplified Arabic" w:hint="cs"/>
          <w:i/>
          <w:iCs/>
          <w:snapToGrid/>
          <w:spacing w:val="-1"/>
          <w:kern w:val="22"/>
          <w:sz w:val="24"/>
          <w:szCs w:val="24"/>
          <w:rtl/>
        </w:rPr>
        <w:t>ق</w:t>
      </w:r>
      <w:r w:rsidR="005A77C6" w:rsidRPr="005A77C6">
        <w:rPr>
          <w:rFonts w:cs="Simplified Arabic" w:hint="cs"/>
          <w:i/>
          <w:iCs/>
          <w:snapToGrid/>
          <w:spacing w:val="-1"/>
          <w:kern w:val="22"/>
          <w:sz w:val="24"/>
          <w:szCs w:val="24"/>
          <w:rtl/>
        </w:rPr>
        <w:t>سم التقديم</w:t>
      </w:r>
    </w:p>
    <w:p w:rsidR="0053788F" w:rsidRDefault="005A77C6" w:rsidP="005A77C6">
      <w:pPr>
        <w:pStyle w:val="Para1"/>
        <w:numPr>
          <w:ilvl w:val="0"/>
          <w:numId w:val="19"/>
        </w:numPr>
        <w:pBdr>
          <w:top w:val="nil"/>
          <w:left w:val="nil"/>
          <w:bottom w:val="nil"/>
          <w:right w:val="nil"/>
          <w:between w:val="nil"/>
          <w:bar w:val="nil"/>
        </w:pBdr>
        <w:bidi/>
        <w:ind w:left="0" w:firstLine="0"/>
        <w:rPr>
          <w:rFonts w:cs="Simplified Arabic"/>
          <w:snapToGrid/>
          <w:spacing w:val="-1"/>
          <w:kern w:val="22"/>
          <w:sz w:val="24"/>
          <w:szCs w:val="24"/>
        </w:rPr>
      </w:pPr>
      <w:r>
        <w:rPr>
          <w:rFonts w:cs="Simplified Arabic" w:hint="cs"/>
          <w:snapToGrid/>
          <w:spacing w:val="-1"/>
          <w:kern w:val="22"/>
          <w:sz w:val="24"/>
          <w:szCs w:val="24"/>
          <w:rtl/>
        </w:rPr>
        <w:t xml:space="preserve">يمكن الآن تبادل مسودات السجلات ونسخ </w:t>
      </w:r>
      <w:r w:rsidRPr="005A77C6">
        <w:rPr>
          <w:rFonts w:cs="Simplified Arabic"/>
          <w:snapToGrid/>
          <w:spacing w:val="-1"/>
          <w:kern w:val="22"/>
          <w:szCs w:val="22"/>
          <w:lang w:val="en-US"/>
        </w:rPr>
        <w:t>PDF</w:t>
      </w:r>
      <w:r>
        <w:rPr>
          <w:rFonts w:cs="Simplified Arabic" w:hint="cs"/>
          <w:snapToGrid/>
          <w:spacing w:val="-1"/>
          <w:kern w:val="22"/>
          <w:sz w:val="24"/>
          <w:szCs w:val="24"/>
          <w:rtl/>
          <w:lang w:val="en-US" w:bidi="ar-EG"/>
        </w:rPr>
        <w:t xml:space="preserve"> لمسودات السجلات. ويمكن أن تساعد هذه الخاصية في تيسير الاتصال بين مختلف المستخدمين الوطنيين خلال عملية الاستعراض والموافقة عند نشر السجلات.</w:t>
      </w:r>
    </w:p>
    <w:p w:rsidR="00AB36F4" w:rsidRPr="00AB36F4" w:rsidRDefault="00AB36F4" w:rsidP="00AB36F4">
      <w:pPr>
        <w:pStyle w:val="Para1"/>
        <w:numPr>
          <w:ilvl w:val="0"/>
          <w:numId w:val="0"/>
        </w:numPr>
        <w:pBdr>
          <w:top w:val="nil"/>
          <w:left w:val="nil"/>
          <w:bottom w:val="nil"/>
          <w:right w:val="nil"/>
          <w:between w:val="nil"/>
          <w:bar w:val="nil"/>
        </w:pBdr>
        <w:bidi/>
        <w:rPr>
          <w:rFonts w:cs="Simplified Arabic"/>
          <w:i/>
          <w:iCs/>
          <w:snapToGrid/>
          <w:spacing w:val="-1"/>
          <w:kern w:val="22"/>
          <w:sz w:val="24"/>
          <w:szCs w:val="24"/>
        </w:rPr>
      </w:pPr>
      <w:r w:rsidRPr="00AB36F4">
        <w:rPr>
          <w:rFonts w:cs="Simplified Arabic" w:hint="cs"/>
          <w:i/>
          <w:iCs/>
          <w:snapToGrid/>
          <w:spacing w:val="-1"/>
          <w:kern w:val="22"/>
          <w:sz w:val="24"/>
          <w:szCs w:val="24"/>
          <w:rtl/>
        </w:rPr>
        <w:t>المساعدة والوثائق</w:t>
      </w:r>
    </w:p>
    <w:p w:rsidR="0053788F" w:rsidRDefault="00CC55E7" w:rsidP="00CC55E7">
      <w:pPr>
        <w:pStyle w:val="Para1"/>
        <w:numPr>
          <w:ilvl w:val="0"/>
          <w:numId w:val="19"/>
        </w:numPr>
        <w:pBdr>
          <w:top w:val="nil"/>
          <w:left w:val="nil"/>
          <w:bottom w:val="nil"/>
          <w:right w:val="nil"/>
          <w:between w:val="nil"/>
          <w:bar w:val="nil"/>
        </w:pBdr>
        <w:bidi/>
        <w:ind w:left="0" w:firstLine="0"/>
        <w:rPr>
          <w:rFonts w:cs="Simplified Arabic"/>
          <w:snapToGrid/>
          <w:spacing w:val="-1"/>
          <w:kern w:val="22"/>
          <w:sz w:val="24"/>
          <w:szCs w:val="24"/>
        </w:rPr>
      </w:pPr>
      <w:r>
        <w:rPr>
          <w:rFonts w:cs="Simplified Arabic" w:hint="cs"/>
          <w:snapToGrid/>
          <w:spacing w:val="-1"/>
          <w:kern w:val="22"/>
          <w:sz w:val="24"/>
          <w:szCs w:val="24"/>
          <w:rtl/>
        </w:rPr>
        <w:t>أعدت أدوات ومواد مساعدة جديدة عديدة لمساعدة المستخدمين، وتشمل ما يلي:</w:t>
      </w:r>
    </w:p>
    <w:p w:rsidR="00CC55E7" w:rsidRPr="00B1526B" w:rsidRDefault="002C56C1" w:rsidP="00B152D9">
      <w:pPr>
        <w:pStyle w:val="Para1"/>
        <w:numPr>
          <w:ilvl w:val="0"/>
          <w:numId w:val="21"/>
        </w:numPr>
        <w:pBdr>
          <w:top w:val="nil"/>
          <w:left w:val="nil"/>
          <w:bottom w:val="nil"/>
          <w:right w:val="nil"/>
          <w:between w:val="nil"/>
          <w:bar w:val="nil"/>
        </w:pBdr>
        <w:bidi/>
        <w:ind w:left="0" w:firstLine="720"/>
        <w:rPr>
          <w:rFonts w:cs="Simplified Arabic"/>
          <w:snapToGrid/>
          <w:spacing w:val="-1"/>
          <w:kern w:val="22"/>
          <w:sz w:val="24"/>
          <w:szCs w:val="24"/>
          <w:lang w:bidi="ar-EG"/>
        </w:rPr>
      </w:pPr>
      <w:r w:rsidRPr="002C56C1">
        <w:rPr>
          <w:rFonts w:cs="Simplified Arabic" w:hint="cs"/>
          <w:i/>
          <w:iCs/>
          <w:snapToGrid/>
          <w:spacing w:val="-1"/>
          <w:kern w:val="22"/>
          <w:sz w:val="24"/>
          <w:szCs w:val="24"/>
          <w:rtl/>
          <w:lang w:bidi="ar-EG"/>
        </w:rPr>
        <w:t>جولات جديدة وموسعة على الموقع الشبكي</w:t>
      </w:r>
      <w:r>
        <w:rPr>
          <w:rFonts w:cs="Simplified Arabic" w:hint="cs"/>
          <w:snapToGrid/>
          <w:spacing w:val="-1"/>
          <w:kern w:val="22"/>
          <w:sz w:val="24"/>
          <w:szCs w:val="24"/>
          <w:rtl/>
          <w:lang w:bidi="ar-EG"/>
        </w:rPr>
        <w:t xml:space="preserve">: وهي متاحة على </w:t>
      </w:r>
      <w:r w:rsidR="003B0217">
        <w:rPr>
          <w:rFonts w:cs="Simplified Arabic" w:hint="cs"/>
          <w:snapToGrid/>
          <w:spacing w:val="-1"/>
          <w:kern w:val="22"/>
          <w:sz w:val="24"/>
          <w:szCs w:val="24"/>
          <w:rtl/>
          <w:lang w:bidi="ar-EG"/>
        </w:rPr>
        <w:t xml:space="preserve">صفحات </w:t>
      </w:r>
      <w:r w:rsidR="003B0217" w:rsidRPr="00AB36F4">
        <w:rPr>
          <w:rFonts w:cs="Simplified Arabic" w:hint="cs"/>
          <w:i/>
          <w:iCs/>
          <w:snapToGrid/>
          <w:spacing w:val="-1"/>
          <w:kern w:val="22"/>
          <w:sz w:val="24"/>
          <w:szCs w:val="24"/>
          <w:rtl/>
          <w:lang w:bidi="ar-EG"/>
        </w:rPr>
        <w:t>الموجز القطري</w:t>
      </w:r>
      <w:r>
        <w:rPr>
          <w:rFonts w:cs="Simplified Arabic" w:hint="cs"/>
          <w:snapToGrid/>
          <w:spacing w:val="-1"/>
          <w:kern w:val="22"/>
          <w:sz w:val="24"/>
          <w:szCs w:val="24"/>
          <w:rtl/>
          <w:lang w:bidi="ar-EG"/>
        </w:rPr>
        <w:t xml:space="preserve">، </w:t>
      </w:r>
      <w:r w:rsidRPr="00AB36F4">
        <w:rPr>
          <w:rFonts w:cs="Simplified Arabic" w:hint="cs"/>
          <w:i/>
          <w:iCs/>
          <w:snapToGrid/>
          <w:spacing w:val="-1"/>
          <w:kern w:val="22"/>
          <w:sz w:val="24"/>
          <w:szCs w:val="24"/>
          <w:rtl/>
          <w:lang w:bidi="ar-EG"/>
        </w:rPr>
        <w:t>و</w:t>
      </w:r>
      <w:r w:rsidR="003B0217" w:rsidRPr="00AB36F4">
        <w:rPr>
          <w:rFonts w:cs="Simplified Arabic" w:hint="cs"/>
          <w:i/>
          <w:iCs/>
          <w:snapToGrid/>
          <w:spacing w:val="-1"/>
          <w:kern w:val="22"/>
          <w:sz w:val="24"/>
          <w:szCs w:val="24"/>
          <w:rtl/>
          <w:lang w:bidi="ar-EG"/>
        </w:rPr>
        <w:t>التقديم والبحث</w:t>
      </w:r>
      <w:r w:rsidR="003B0217">
        <w:rPr>
          <w:rFonts w:cs="Simplified Arabic" w:hint="cs"/>
          <w:snapToGrid/>
          <w:spacing w:val="-1"/>
          <w:kern w:val="22"/>
          <w:sz w:val="24"/>
          <w:szCs w:val="24"/>
          <w:rtl/>
          <w:lang w:bidi="ar-EG"/>
        </w:rPr>
        <w:t xml:space="preserve"> وت</w:t>
      </w:r>
      <w:r w:rsidR="00B152D9">
        <w:rPr>
          <w:rFonts w:cs="Simplified Arabic" w:hint="cs"/>
          <w:snapToGrid/>
          <w:spacing w:val="-1"/>
          <w:kern w:val="22"/>
          <w:sz w:val="24"/>
          <w:szCs w:val="24"/>
          <w:rtl/>
          <w:lang w:bidi="ar-EG"/>
        </w:rPr>
        <w:t>وفر</w:t>
      </w:r>
      <w:r w:rsidR="003B0217">
        <w:rPr>
          <w:rFonts w:cs="Simplified Arabic" w:hint="cs"/>
          <w:snapToGrid/>
          <w:spacing w:val="-1"/>
          <w:kern w:val="22"/>
          <w:sz w:val="24"/>
          <w:szCs w:val="24"/>
          <w:rtl/>
          <w:lang w:bidi="ar-EG"/>
        </w:rPr>
        <w:t xml:space="preserve"> </w:t>
      </w:r>
      <w:r w:rsidR="00B152D9">
        <w:rPr>
          <w:rFonts w:cs="Simplified Arabic" w:hint="cs"/>
          <w:snapToGrid/>
          <w:spacing w:val="-1"/>
          <w:kern w:val="22"/>
          <w:sz w:val="24"/>
          <w:szCs w:val="24"/>
          <w:rtl/>
          <w:lang w:bidi="ar-EG"/>
        </w:rPr>
        <w:t>ال</w:t>
      </w:r>
      <w:r w:rsidR="003B0217">
        <w:rPr>
          <w:rFonts w:cs="Simplified Arabic" w:hint="cs"/>
          <w:snapToGrid/>
          <w:spacing w:val="-1"/>
          <w:kern w:val="22"/>
          <w:sz w:val="24"/>
          <w:szCs w:val="24"/>
          <w:rtl/>
          <w:lang w:bidi="ar-EG"/>
        </w:rPr>
        <w:t>تصفح لكل صفحة، مع تحديد الوظائف الرئيسية؛</w:t>
      </w:r>
    </w:p>
    <w:p w:rsidR="00B1526B" w:rsidRDefault="00B1526B" w:rsidP="00B1526B">
      <w:pPr>
        <w:pStyle w:val="Para1"/>
        <w:numPr>
          <w:ilvl w:val="0"/>
          <w:numId w:val="21"/>
        </w:numPr>
        <w:pBdr>
          <w:top w:val="nil"/>
          <w:left w:val="nil"/>
          <w:bottom w:val="nil"/>
          <w:right w:val="nil"/>
          <w:between w:val="nil"/>
          <w:bar w:val="nil"/>
        </w:pBdr>
        <w:bidi/>
        <w:ind w:left="0" w:firstLine="720"/>
        <w:rPr>
          <w:rFonts w:cs="Simplified Arabic"/>
          <w:snapToGrid/>
          <w:spacing w:val="-1"/>
          <w:kern w:val="22"/>
          <w:sz w:val="24"/>
          <w:szCs w:val="24"/>
          <w:lang w:bidi="ar-EG"/>
        </w:rPr>
      </w:pPr>
      <w:r>
        <w:rPr>
          <w:rFonts w:cs="Simplified Arabic" w:hint="cs"/>
          <w:i/>
          <w:iCs/>
          <w:snapToGrid/>
          <w:spacing w:val="-1"/>
          <w:kern w:val="22"/>
          <w:sz w:val="24"/>
          <w:szCs w:val="24"/>
          <w:rtl/>
          <w:lang w:bidi="ar-EG"/>
        </w:rPr>
        <w:t>تحسين المساعدة السياقية</w:t>
      </w:r>
      <w:r>
        <w:rPr>
          <w:rFonts w:cs="Simplified Arabic" w:hint="cs"/>
          <w:snapToGrid/>
          <w:spacing w:val="-1"/>
          <w:kern w:val="22"/>
          <w:sz w:val="24"/>
          <w:szCs w:val="24"/>
          <w:rtl/>
          <w:lang w:bidi="ar-EG"/>
        </w:rPr>
        <w:t xml:space="preserve">: </w:t>
      </w:r>
      <w:r w:rsidR="003B0217">
        <w:rPr>
          <w:rFonts w:cs="Simplified Arabic" w:hint="cs"/>
          <w:snapToGrid/>
          <w:spacing w:val="-1"/>
          <w:kern w:val="22"/>
          <w:sz w:val="24"/>
          <w:szCs w:val="24"/>
          <w:rtl/>
          <w:lang w:bidi="ar-EG"/>
        </w:rPr>
        <w:t>عن طريق الضغط على زر علامة الاستفهام على أعلى الصفحة، يمكن أن يحصل المستخدمين على مواد إرشادية محددة للصفحة التي ينظرون فيها؛</w:t>
      </w:r>
    </w:p>
    <w:p w:rsidR="00B1526B" w:rsidRDefault="00B1526B" w:rsidP="00752B64">
      <w:pPr>
        <w:pStyle w:val="Para1"/>
        <w:numPr>
          <w:ilvl w:val="0"/>
          <w:numId w:val="21"/>
        </w:numPr>
        <w:pBdr>
          <w:top w:val="nil"/>
          <w:left w:val="nil"/>
          <w:bottom w:val="nil"/>
          <w:right w:val="nil"/>
          <w:between w:val="nil"/>
          <w:bar w:val="nil"/>
        </w:pBdr>
        <w:bidi/>
        <w:ind w:left="0" w:firstLine="720"/>
        <w:rPr>
          <w:rFonts w:cs="Simplified Arabic"/>
          <w:snapToGrid/>
          <w:spacing w:val="-1"/>
          <w:kern w:val="22"/>
          <w:sz w:val="24"/>
          <w:szCs w:val="24"/>
          <w:lang w:bidi="ar-EG"/>
        </w:rPr>
      </w:pPr>
      <w:r w:rsidRPr="00B1526B">
        <w:rPr>
          <w:rFonts w:cs="Simplified Arabic" w:hint="cs"/>
          <w:i/>
          <w:iCs/>
          <w:snapToGrid/>
          <w:spacing w:val="-1"/>
          <w:kern w:val="22"/>
          <w:sz w:val="24"/>
          <w:szCs w:val="24"/>
          <w:rtl/>
          <w:lang w:bidi="ar-EG"/>
        </w:rPr>
        <w:t>قاعدة المعارف</w:t>
      </w:r>
      <w:r>
        <w:rPr>
          <w:rFonts w:cs="Simplified Arabic" w:hint="cs"/>
          <w:snapToGrid/>
          <w:spacing w:val="-1"/>
          <w:kern w:val="22"/>
          <w:sz w:val="24"/>
          <w:szCs w:val="24"/>
          <w:rtl/>
          <w:lang w:bidi="ar-EG"/>
        </w:rPr>
        <w:t xml:space="preserve">: </w:t>
      </w:r>
      <w:r w:rsidR="003B0217">
        <w:rPr>
          <w:rFonts w:cs="Simplified Arabic" w:hint="cs"/>
          <w:snapToGrid/>
          <w:spacing w:val="-1"/>
          <w:kern w:val="22"/>
          <w:sz w:val="24"/>
          <w:szCs w:val="24"/>
          <w:rtl/>
          <w:lang w:bidi="ar-EG"/>
        </w:rPr>
        <w:t>يحسن هذا القسم ويوسع القسم السابق "عن غرفة تبادل المعلومات بشأن الحصول وتقاسم المنافع" على الموقع الشبكي. وتوفر قاعدة المعارف نظاما منظما ل</w:t>
      </w:r>
      <w:r w:rsidR="00752B64">
        <w:rPr>
          <w:rFonts w:cs="Simplified Arabic" w:hint="cs"/>
          <w:snapToGrid/>
          <w:spacing w:val="-1"/>
          <w:kern w:val="22"/>
          <w:sz w:val="24"/>
          <w:szCs w:val="24"/>
          <w:rtl/>
          <w:lang w:bidi="ar-EG"/>
        </w:rPr>
        <w:t>صيانة</w:t>
      </w:r>
      <w:r w:rsidR="003B0217">
        <w:rPr>
          <w:rFonts w:cs="Simplified Arabic" w:hint="cs"/>
          <w:snapToGrid/>
          <w:spacing w:val="-1"/>
          <w:kern w:val="22"/>
          <w:sz w:val="24"/>
          <w:szCs w:val="24"/>
          <w:rtl/>
          <w:lang w:bidi="ar-EG"/>
        </w:rPr>
        <w:t xml:space="preserve"> مقالات ومعلومات المساعدة وترجمتها وتنظيمها. ويمكن أيضا تبادل هذا ال</w:t>
      </w:r>
      <w:r w:rsidR="00752B64">
        <w:rPr>
          <w:rFonts w:cs="Simplified Arabic" w:hint="cs"/>
          <w:snapToGrid/>
          <w:spacing w:val="-1"/>
          <w:kern w:val="22"/>
          <w:sz w:val="24"/>
          <w:szCs w:val="24"/>
          <w:rtl/>
          <w:lang w:bidi="ar-EG"/>
        </w:rPr>
        <w:t>نظام</w:t>
      </w:r>
      <w:r w:rsidR="003B0217">
        <w:rPr>
          <w:rFonts w:cs="Simplified Arabic" w:hint="cs"/>
          <w:snapToGrid/>
          <w:spacing w:val="-1"/>
          <w:kern w:val="22"/>
          <w:sz w:val="24"/>
          <w:szCs w:val="24"/>
          <w:rtl/>
          <w:lang w:bidi="ar-EG"/>
        </w:rPr>
        <w:t xml:space="preserve"> بسهولة ودمجه في المواقع الشبكية الأخرى وغرف تبادل المعلومات التي تديرها الأمانة.</w:t>
      </w:r>
    </w:p>
    <w:p w:rsidR="0053788F" w:rsidRPr="00E50686" w:rsidRDefault="00E50686" w:rsidP="00E50686">
      <w:pPr>
        <w:pStyle w:val="Para1"/>
        <w:numPr>
          <w:ilvl w:val="0"/>
          <w:numId w:val="0"/>
        </w:numPr>
        <w:pBdr>
          <w:top w:val="nil"/>
          <w:left w:val="nil"/>
          <w:bottom w:val="nil"/>
          <w:right w:val="nil"/>
          <w:between w:val="nil"/>
          <w:bar w:val="nil"/>
        </w:pBdr>
        <w:bidi/>
        <w:ind w:left="1080" w:hanging="1080"/>
        <w:rPr>
          <w:rFonts w:cs="Simplified Arabic"/>
          <w:b/>
          <w:bCs/>
          <w:snapToGrid/>
          <w:spacing w:val="-1"/>
          <w:kern w:val="22"/>
          <w:sz w:val="24"/>
          <w:szCs w:val="24"/>
        </w:rPr>
      </w:pPr>
      <w:r w:rsidRPr="00E50686">
        <w:rPr>
          <w:rFonts w:cs="Simplified Arabic" w:hint="cs"/>
          <w:b/>
          <w:bCs/>
          <w:snapToGrid/>
          <w:spacing w:val="-1"/>
          <w:kern w:val="22"/>
          <w:sz w:val="24"/>
          <w:szCs w:val="24"/>
          <w:rtl/>
        </w:rPr>
        <w:t>الهدف 4.</w:t>
      </w:r>
      <w:r w:rsidRPr="00E50686">
        <w:rPr>
          <w:rFonts w:cs="Simplified Arabic" w:hint="cs"/>
          <w:b/>
          <w:bCs/>
          <w:snapToGrid/>
          <w:spacing w:val="-1"/>
          <w:kern w:val="22"/>
          <w:sz w:val="24"/>
          <w:szCs w:val="24"/>
          <w:rtl/>
        </w:rPr>
        <w:tab/>
        <w:t>التكامل مع آلية غرفة تبادل المعلومات</w:t>
      </w:r>
    </w:p>
    <w:p w:rsidR="0053788F" w:rsidRDefault="005C494A" w:rsidP="00270A82">
      <w:pPr>
        <w:pStyle w:val="Para1"/>
        <w:numPr>
          <w:ilvl w:val="0"/>
          <w:numId w:val="19"/>
        </w:numPr>
        <w:pBdr>
          <w:top w:val="nil"/>
          <w:left w:val="nil"/>
          <w:bottom w:val="nil"/>
          <w:right w:val="nil"/>
          <w:between w:val="nil"/>
          <w:bar w:val="nil"/>
        </w:pBdr>
        <w:bidi/>
        <w:ind w:left="0" w:firstLine="0"/>
        <w:rPr>
          <w:rFonts w:cs="Simplified Arabic"/>
          <w:snapToGrid/>
          <w:spacing w:val="-1"/>
          <w:kern w:val="22"/>
          <w:sz w:val="24"/>
          <w:szCs w:val="24"/>
        </w:rPr>
      </w:pPr>
      <w:r w:rsidRPr="00270A82">
        <w:rPr>
          <w:rFonts w:cs="Simplified Arabic" w:hint="cs"/>
          <w:snapToGrid/>
          <w:spacing w:val="-1"/>
          <w:kern w:val="22"/>
          <w:sz w:val="24"/>
          <w:szCs w:val="24"/>
          <w:rtl/>
        </w:rPr>
        <w:t>كان التكامل يمثل</w:t>
      </w:r>
      <w:r w:rsidR="00270A82">
        <w:rPr>
          <w:rFonts w:cs="Simplified Arabic" w:hint="cs"/>
          <w:snapToGrid/>
          <w:spacing w:val="-1"/>
          <w:kern w:val="22"/>
          <w:sz w:val="24"/>
          <w:szCs w:val="24"/>
          <w:rtl/>
        </w:rPr>
        <w:t xml:space="preserve"> مجال عمل</w:t>
      </w:r>
      <w:r>
        <w:rPr>
          <w:rFonts w:cs="Simplified Arabic" w:hint="cs"/>
          <w:snapToGrid/>
          <w:spacing w:val="-1"/>
          <w:kern w:val="22"/>
          <w:sz w:val="24"/>
          <w:szCs w:val="24"/>
          <w:rtl/>
        </w:rPr>
        <w:t xml:space="preserve"> </w:t>
      </w:r>
      <w:r w:rsidR="00270A82">
        <w:rPr>
          <w:rFonts w:cs="Simplified Arabic" w:hint="cs"/>
          <w:snapToGrid/>
          <w:spacing w:val="-1"/>
          <w:kern w:val="22"/>
          <w:sz w:val="24"/>
          <w:szCs w:val="24"/>
          <w:rtl/>
        </w:rPr>
        <w:t xml:space="preserve">ذو </w:t>
      </w:r>
      <w:r>
        <w:rPr>
          <w:rFonts w:cs="Simplified Arabic" w:hint="cs"/>
          <w:snapToGrid/>
          <w:spacing w:val="-1"/>
          <w:kern w:val="22"/>
          <w:sz w:val="24"/>
          <w:szCs w:val="24"/>
          <w:rtl/>
        </w:rPr>
        <w:t>أولوية عالية على مدى الفترة الفاصلة بين الدورات الأخيرة، ليس لغرفة تبادل المعلومات بشأن الحصول وتقاسم المنافع فحسب، بل أيضا للغرف الأخرى لتبادل المعلومات التي تديرها الأمانة وسلط الضوء عليه في المقررات 14/25، و</w:t>
      </w:r>
      <w:r w:rsidRPr="005C494A">
        <w:rPr>
          <w:rFonts w:cs="Simplified Arabic"/>
          <w:snapToGrid/>
          <w:spacing w:val="-1"/>
          <w:kern w:val="22"/>
          <w:szCs w:val="22"/>
          <w:lang w:val="en-US"/>
        </w:rPr>
        <w:t>NP-3/3</w:t>
      </w:r>
      <w:r>
        <w:rPr>
          <w:rFonts w:cs="Simplified Arabic" w:hint="cs"/>
          <w:snapToGrid/>
          <w:spacing w:val="-1"/>
          <w:kern w:val="22"/>
          <w:sz w:val="24"/>
          <w:szCs w:val="24"/>
          <w:rtl/>
          <w:lang w:val="en-US" w:bidi="ar-EG"/>
        </w:rPr>
        <w:t xml:space="preserve"> و</w:t>
      </w:r>
      <w:r w:rsidR="00650797">
        <w:rPr>
          <w:rFonts w:cs="Simplified Arabic"/>
          <w:snapToGrid/>
          <w:spacing w:val="-1"/>
          <w:kern w:val="22"/>
          <w:szCs w:val="22"/>
          <w:lang w:val="en-US" w:bidi="ar-EG"/>
        </w:rPr>
        <w:fldChar w:fldCharType="begin"/>
      </w:r>
      <w:r>
        <w:rPr>
          <w:rFonts w:cs="Simplified Arabic"/>
          <w:snapToGrid/>
          <w:spacing w:val="-1"/>
          <w:kern w:val="22"/>
          <w:szCs w:val="22"/>
          <w:lang w:val="en-US" w:bidi="ar-EG"/>
        </w:rPr>
        <w:instrText xml:space="preserve"> HYPERLINK "https://www.cbd.int/doc/decisions/cp-mop-09/cp-mop-09-dec-02-ar.pdf" </w:instrText>
      </w:r>
      <w:r w:rsidR="00650797">
        <w:rPr>
          <w:rFonts w:cs="Simplified Arabic"/>
          <w:snapToGrid/>
          <w:spacing w:val="-1"/>
          <w:kern w:val="22"/>
          <w:szCs w:val="22"/>
          <w:lang w:val="en-US" w:bidi="ar-EG"/>
        </w:rPr>
        <w:fldChar w:fldCharType="separate"/>
      </w:r>
      <w:r w:rsidRPr="005C494A">
        <w:rPr>
          <w:rStyle w:val="Hyperlink"/>
          <w:rFonts w:cs="Simplified Arabic"/>
          <w:snapToGrid/>
          <w:spacing w:val="-1"/>
          <w:kern w:val="22"/>
          <w:szCs w:val="22"/>
          <w:lang w:val="en-US" w:bidi="ar-EG"/>
        </w:rPr>
        <w:t>CP-9/2</w:t>
      </w:r>
      <w:r w:rsidR="00650797">
        <w:rPr>
          <w:rFonts w:cs="Simplified Arabic"/>
          <w:snapToGrid/>
          <w:spacing w:val="-1"/>
          <w:kern w:val="22"/>
          <w:szCs w:val="22"/>
          <w:lang w:val="en-US" w:bidi="ar-EG"/>
        </w:rPr>
        <w:fldChar w:fldCharType="end"/>
      </w:r>
      <w:r>
        <w:rPr>
          <w:rFonts w:cs="Simplified Arabic" w:hint="cs"/>
          <w:snapToGrid/>
          <w:spacing w:val="-1"/>
          <w:kern w:val="22"/>
          <w:sz w:val="24"/>
          <w:szCs w:val="24"/>
          <w:rtl/>
          <w:lang w:val="en-US" w:bidi="ar-EG"/>
        </w:rPr>
        <w:t xml:space="preserve">، التي شددت على الحاجة إلى تعزير التماسك والتكامل بين آلية غرفة تبادل </w:t>
      </w:r>
      <w:r>
        <w:rPr>
          <w:rFonts w:cs="Simplified Arabic" w:hint="cs"/>
          <w:snapToGrid/>
          <w:spacing w:val="-1"/>
          <w:kern w:val="22"/>
          <w:sz w:val="24"/>
          <w:szCs w:val="24"/>
          <w:rtl/>
          <w:lang w:val="en-US" w:bidi="ar-EG"/>
        </w:rPr>
        <w:lastRenderedPageBreak/>
        <w:t>المعلومات التابعة للاتفاقية، وغرفة تبادل معلومات السلامة الأحيائية وغرفة تبادل المعلومات بشأن الحصول وتقاسم المنافع</w:t>
      </w:r>
      <w:r w:rsidR="00A60AB6">
        <w:rPr>
          <w:rFonts w:cs="Simplified Arabic" w:hint="cs"/>
          <w:snapToGrid/>
          <w:spacing w:val="-1"/>
          <w:kern w:val="22"/>
          <w:sz w:val="24"/>
          <w:szCs w:val="24"/>
          <w:rtl/>
        </w:rPr>
        <w:t xml:space="preserve"> وأيدت طرائق التشغيل المشتركة ل</w:t>
      </w:r>
      <w:r w:rsidR="00A20CEA">
        <w:rPr>
          <w:rFonts w:cs="Simplified Arabic" w:hint="cs"/>
          <w:snapToGrid/>
          <w:spacing w:val="-1"/>
          <w:kern w:val="22"/>
          <w:sz w:val="24"/>
          <w:szCs w:val="24"/>
          <w:rtl/>
        </w:rPr>
        <w:t>غرف تبادل المعلومات</w:t>
      </w:r>
      <w:r w:rsidR="00A60AB6">
        <w:rPr>
          <w:rFonts w:cs="Simplified Arabic" w:hint="cs"/>
          <w:snapToGrid/>
          <w:spacing w:val="-1"/>
          <w:kern w:val="22"/>
          <w:sz w:val="24"/>
          <w:szCs w:val="24"/>
          <w:rtl/>
        </w:rPr>
        <w:t xml:space="preserve"> الثلاث</w:t>
      </w:r>
      <w:r w:rsidR="00A20CEA">
        <w:rPr>
          <w:rFonts w:cs="Simplified Arabic" w:hint="cs"/>
          <w:snapToGrid/>
          <w:spacing w:val="-1"/>
          <w:kern w:val="22"/>
          <w:sz w:val="24"/>
          <w:szCs w:val="24"/>
          <w:rtl/>
        </w:rPr>
        <w:t>.</w:t>
      </w:r>
    </w:p>
    <w:p w:rsidR="00E50686" w:rsidRDefault="00A20CEA" w:rsidP="00270A82">
      <w:pPr>
        <w:pStyle w:val="Para1"/>
        <w:numPr>
          <w:ilvl w:val="0"/>
          <w:numId w:val="19"/>
        </w:numPr>
        <w:pBdr>
          <w:top w:val="nil"/>
          <w:left w:val="nil"/>
          <w:bottom w:val="nil"/>
          <w:right w:val="nil"/>
          <w:between w:val="nil"/>
          <w:bar w:val="nil"/>
        </w:pBdr>
        <w:bidi/>
        <w:ind w:left="0" w:firstLine="0"/>
        <w:rPr>
          <w:rFonts w:cs="Simplified Arabic"/>
          <w:snapToGrid/>
          <w:spacing w:val="-1"/>
          <w:kern w:val="22"/>
          <w:sz w:val="24"/>
          <w:szCs w:val="24"/>
        </w:rPr>
      </w:pPr>
      <w:r>
        <w:rPr>
          <w:rFonts w:cs="Simplified Arabic" w:hint="cs"/>
          <w:snapToGrid/>
          <w:spacing w:val="-1"/>
          <w:kern w:val="22"/>
          <w:sz w:val="24"/>
          <w:szCs w:val="24"/>
          <w:rtl/>
        </w:rPr>
        <w:t xml:space="preserve">وكان استكمال وإدخال ودمج </w:t>
      </w:r>
      <w:r w:rsidR="00A60AB6">
        <w:rPr>
          <w:rFonts w:cs="Simplified Arabic" w:hint="cs"/>
          <w:snapToGrid/>
          <w:spacing w:val="-1"/>
          <w:kern w:val="22"/>
          <w:sz w:val="24"/>
          <w:szCs w:val="24"/>
          <w:rtl/>
        </w:rPr>
        <w:t xml:space="preserve">غرفة تبادل معلومات السلامة الأحيائية في منصة غرفة تبادل المعلومات بشأن الحصول وتقاسم المنافع وتطابق هذين النظامين </w:t>
      </w:r>
      <w:r w:rsidR="00270A82">
        <w:rPr>
          <w:rFonts w:cs="Simplified Arabic" w:hint="cs"/>
          <w:snapToGrid/>
          <w:spacing w:val="-1"/>
          <w:kern w:val="22"/>
          <w:sz w:val="24"/>
          <w:szCs w:val="24"/>
          <w:rtl/>
        </w:rPr>
        <w:t xml:space="preserve">كان </w:t>
      </w:r>
      <w:r w:rsidR="00A60AB6">
        <w:rPr>
          <w:rFonts w:cs="Simplified Arabic" w:hint="cs"/>
          <w:snapToGrid/>
          <w:spacing w:val="-1"/>
          <w:kern w:val="22"/>
          <w:sz w:val="24"/>
          <w:szCs w:val="24"/>
          <w:rtl/>
        </w:rPr>
        <w:t xml:space="preserve">أولوية </w:t>
      </w:r>
      <w:r w:rsidR="00270A82">
        <w:rPr>
          <w:rFonts w:cs="Simplified Arabic" w:hint="cs"/>
          <w:snapToGrid/>
          <w:spacing w:val="-1"/>
          <w:kern w:val="22"/>
          <w:sz w:val="24"/>
          <w:szCs w:val="24"/>
          <w:rtl/>
        </w:rPr>
        <w:t xml:space="preserve">عالية </w:t>
      </w:r>
      <w:r w:rsidR="00A60AB6">
        <w:rPr>
          <w:rFonts w:cs="Simplified Arabic" w:hint="cs"/>
          <w:snapToGrid/>
          <w:spacing w:val="-1"/>
          <w:kern w:val="22"/>
          <w:sz w:val="24"/>
          <w:szCs w:val="24"/>
          <w:rtl/>
        </w:rPr>
        <w:t xml:space="preserve">للأمانة. ويعني </w:t>
      </w:r>
      <w:r w:rsidR="006454ED">
        <w:rPr>
          <w:rFonts w:cs="Simplified Arabic" w:hint="cs"/>
          <w:snapToGrid/>
          <w:spacing w:val="-1"/>
          <w:kern w:val="22"/>
          <w:sz w:val="24"/>
          <w:szCs w:val="24"/>
          <w:rtl/>
        </w:rPr>
        <w:t>تأثير</w:t>
      </w:r>
      <w:r w:rsidR="00A60AB6">
        <w:rPr>
          <w:rFonts w:cs="Simplified Arabic" w:hint="cs"/>
          <w:snapToGrid/>
          <w:spacing w:val="-1"/>
          <w:kern w:val="22"/>
          <w:sz w:val="24"/>
          <w:szCs w:val="24"/>
          <w:rtl/>
        </w:rPr>
        <w:t xml:space="preserve"> تحديد هذه الأولوية بشأن غرفة تبادل المعلومات بشأن الحصول وتقاسم المنافع ت</w:t>
      </w:r>
      <w:r w:rsidR="00270A82">
        <w:rPr>
          <w:rFonts w:cs="Simplified Arabic" w:hint="cs"/>
          <w:snapToGrid/>
          <w:spacing w:val="-1"/>
          <w:kern w:val="22"/>
          <w:sz w:val="24"/>
          <w:szCs w:val="24"/>
          <w:rtl/>
        </w:rPr>
        <w:t>أخ</w:t>
      </w:r>
      <w:r w:rsidR="00A60AB6">
        <w:rPr>
          <w:rFonts w:cs="Simplified Arabic" w:hint="cs"/>
          <w:snapToGrid/>
          <w:spacing w:val="-1"/>
          <w:kern w:val="22"/>
          <w:sz w:val="24"/>
          <w:szCs w:val="24"/>
          <w:rtl/>
        </w:rPr>
        <w:t>ي</w:t>
      </w:r>
      <w:r w:rsidR="00270A82">
        <w:rPr>
          <w:rFonts w:cs="Simplified Arabic" w:hint="cs"/>
          <w:snapToGrid/>
          <w:spacing w:val="-1"/>
          <w:kern w:val="22"/>
          <w:sz w:val="24"/>
          <w:szCs w:val="24"/>
          <w:rtl/>
        </w:rPr>
        <w:t>ر</w:t>
      </w:r>
      <w:r w:rsidR="00A60AB6">
        <w:rPr>
          <w:rFonts w:cs="Simplified Arabic" w:hint="cs"/>
          <w:snapToGrid/>
          <w:spacing w:val="-1"/>
          <w:kern w:val="22"/>
          <w:sz w:val="24"/>
          <w:szCs w:val="24"/>
          <w:rtl/>
        </w:rPr>
        <w:t xml:space="preserve"> بعض الأعمال المخطط لها. غير </w:t>
      </w:r>
      <w:r w:rsidR="00B300AA">
        <w:rPr>
          <w:rFonts w:cs="Simplified Arabic" w:hint="cs"/>
          <w:snapToGrid/>
          <w:spacing w:val="-1"/>
          <w:kern w:val="22"/>
          <w:sz w:val="24"/>
          <w:szCs w:val="24"/>
          <w:rtl/>
        </w:rPr>
        <w:t>أن إنجازات مهمة قد تحققت في ص</w:t>
      </w:r>
      <w:r w:rsidR="00A60AB6">
        <w:rPr>
          <w:rFonts w:cs="Simplified Arabic" w:hint="cs"/>
          <w:snapToGrid/>
          <w:spacing w:val="-1"/>
          <w:kern w:val="22"/>
          <w:sz w:val="24"/>
          <w:szCs w:val="24"/>
          <w:rtl/>
        </w:rPr>
        <w:t>ورة تحسين الوظائف واستخدام الكثير من الوظائف المشتركة ل</w:t>
      </w:r>
      <w:r w:rsidR="00270A82">
        <w:rPr>
          <w:rFonts w:cs="Simplified Arabic" w:hint="cs"/>
          <w:snapToGrid/>
          <w:spacing w:val="-1"/>
          <w:kern w:val="22"/>
          <w:sz w:val="24"/>
          <w:szCs w:val="24"/>
          <w:rtl/>
        </w:rPr>
        <w:t xml:space="preserve">غرف </w:t>
      </w:r>
      <w:r w:rsidR="00A60AB6">
        <w:rPr>
          <w:rFonts w:cs="Simplified Arabic" w:hint="cs"/>
          <w:snapToGrid/>
          <w:spacing w:val="-1"/>
          <w:kern w:val="22"/>
          <w:sz w:val="24"/>
          <w:szCs w:val="24"/>
          <w:rtl/>
        </w:rPr>
        <w:t>تبادل المعلومات. وبالإضافة إلى ذلك، زاد أيضا التعاون والتنسيق بين الوحدات المسؤولة عن تشغيل غرف تبادل المعلومات داخل الأمانة بدرجة كبيرة.</w:t>
      </w:r>
    </w:p>
    <w:p w:rsidR="00A60AB6" w:rsidRDefault="00A60AB6" w:rsidP="00A54319">
      <w:pPr>
        <w:pStyle w:val="Para1"/>
        <w:numPr>
          <w:ilvl w:val="0"/>
          <w:numId w:val="19"/>
        </w:numPr>
        <w:pBdr>
          <w:top w:val="nil"/>
          <w:left w:val="nil"/>
          <w:bottom w:val="nil"/>
          <w:right w:val="nil"/>
          <w:between w:val="nil"/>
          <w:bar w:val="nil"/>
        </w:pBdr>
        <w:bidi/>
        <w:ind w:left="0" w:firstLine="0"/>
        <w:rPr>
          <w:rFonts w:cs="Simplified Arabic"/>
          <w:snapToGrid/>
          <w:spacing w:val="-1"/>
          <w:kern w:val="22"/>
          <w:sz w:val="24"/>
          <w:szCs w:val="24"/>
        </w:rPr>
      </w:pPr>
      <w:r>
        <w:rPr>
          <w:rFonts w:cs="Simplified Arabic" w:hint="cs"/>
          <w:snapToGrid/>
          <w:spacing w:val="-1"/>
          <w:kern w:val="22"/>
          <w:sz w:val="24"/>
          <w:szCs w:val="24"/>
          <w:rtl/>
        </w:rPr>
        <w:t>وعند معالجة القضايا المتعلقة بوظائف غرفة تبادل المعلومات و</w:t>
      </w:r>
      <w:r w:rsidR="00A54319">
        <w:rPr>
          <w:rFonts w:cs="Simplified Arabic" w:hint="cs"/>
          <w:snapToGrid/>
          <w:spacing w:val="-1"/>
          <w:kern w:val="22"/>
          <w:sz w:val="24"/>
          <w:szCs w:val="24"/>
          <w:rtl/>
        </w:rPr>
        <w:t>تحسين</w:t>
      </w:r>
      <w:r>
        <w:rPr>
          <w:rFonts w:cs="Simplified Arabic" w:hint="cs"/>
          <w:snapToGrid/>
          <w:spacing w:val="-1"/>
          <w:kern w:val="22"/>
          <w:sz w:val="24"/>
          <w:szCs w:val="24"/>
          <w:rtl/>
        </w:rPr>
        <w:t xml:space="preserve"> استخدامها واتساقها، أجرت الأمانة استعراضا من ثلاثة أجزاء لخبرة استخدام المستخدم للموقع الشبكي. واشتمل هذا الاستعراض على: (أ) </w:t>
      </w:r>
      <w:r w:rsidR="00A54319">
        <w:rPr>
          <w:rFonts w:cs="Simplified Arabic" w:hint="cs"/>
          <w:snapToGrid/>
          <w:spacing w:val="-1"/>
          <w:kern w:val="22"/>
          <w:sz w:val="24"/>
          <w:szCs w:val="24"/>
          <w:rtl/>
        </w:rPr>
        <w:t>فحص</w:t>
      </w:r>
      <w:r>
        <w:rPr>
          <w:rFonts w:cs="Simplified Arabic" w:hint="cs"/>
          <w:snapToGrid/>
          <w:spacing w:val="-1"/>
          <w:kern w:val="22"/>
          <w:sz w:val="24"/>
          <w:szCs w:val="24"/>
          <w:rtl/>
        </w:rPr>
        <w:t xml:space="preserve"> </w:t>
      </w:r>
      <w:r w:rsidR="00B300AA">
        <w:rPr>
          <w:rFonts w:cs="Simplified Arabic" w:hint="cs"/>
          <w:snapToGrid/>
          <w:spacing w:val="-1"/>
          <w:kern w:val="22"/>
          <w:sz w:val="24"/>
          <w:szCs w:val="24"/>
          <w:rtl/>
        </w:rPr>
        <w:t xml:space="preserve">التواصل مع المستخدم في </w:t>
      </w:r>
      <w:r>
        <w:rPr>
          <w:rFonts w:cs="Simplified Arabic" w:hint="cs"/>
          <w:snapToGrid/>
          <w:spacing w:val="-1"/>
          <w:kern w:val="22"/>
          <w:sz w:val="24"/>
          <w:szCs w:val="24"/>
          <w:rtl/>
        </w:rPr>
        <w:t xml:space="preserve">الموقع الحالي </w:t>
      </w:r>
      <w:r w:rsidR="00B300AA">
        <w:rPr>
          <w:rFonts w:cs="Simplified Arabic" w:hint="cs"/>
          <w:snapToGrid/>
          <w:spacing w:val="-1"/>
          <w:kern w:val="22"/>
          <w:sz w:val="24"/>
          <w:szCs w:val="24"/>
          <w:rtl/>
          <w:lang w:val="en-US"/>
        </w:rPr>
        <w:t xml:space="preserve">لغرفة تبادل المعلومات، وتعقد الإجراءات وعدد الخطوات أو "النقر" اللازم لإنجاز المهام العامة؛ (ب) </w:t>
      </w:r>
      <w:r w:rsidR="00A54319">
        <w:rPr>
          <w:rFonts w:cs="Simplified Arabic" w:hint="cs"/>
          <w:snapToGrid/>
          <w:spacing w:val="-1"/>
          <w:kern w:val="22"/>
          <w:sz w:val="24"/>
          <w:szCs w:val="24"/>
          <w:rtl/>
          <w:lang w:val="en-US"/>
        </w:rPr>
        <w:t>و</w:t>
      </w:r>
      <w:r w:rsidR="00B300AA">
        <w:rPr>
          <w:rFonts w:cs="Simplified Arabic" w:hint="cs"/>
          <w:snapToGrid/>
          <w:spacing w:val="-1"/>
          <w:kern w:val="22"/>
          <w:sz w:val="24"/>
          <w:szCs w:val="24"/>
          <w:rtl/>
          <w:lang w:val="en-US"/>
        </w:rPr>
        <w:t xml:space="preserve">مقابلات مع مستخدمي غرفة تبادل المعلومات بشأن الحصول وتقاسم النافع؛ و(ج) </w:t>
      </w:r>
      <w:r w:rsidR="00B300AA">
        <w:rPr>
          <w:rFonts w:cs="Simplified Arabic" w:hint="cs"/>
          <w:snapToGrid/>
          <w:spacing w:val="-1"/>
          <w:kern w:val="22"/>
          <w:sz w:val="24"/>
          <w:szCs w:val="24"/>
          <w:rtl/>
        </w:rPr>
        <w:t>دراسة التن</w:t>
      </w:r>
      <w:r w:rsidR="00A54319">
        <w:rPr>
          <w:rFonts w:cs="Simplified Arabic" w:hint="cs"/>
          <w:snapToGrid/>
          <w:spacing w:val="-1"/>
          <w:kern w:val="22"/>
          <w:sz w:val="24"/>
          <w:szCs w:val="24"/>
          <w:rtl/>
        </w:rPr>
        <w:t>ظ</w:t>
      </w:r>
      <w:r w:rsidR="00B300AA">
        <w:rPr>
          <w:rFonts w:cs="Simplified Arabic" w:hint="cs"/>
          <w:snapToGrid/>
          <w:spacing w:val="-1"/>
          <w:kern w:val="22"/>
          <w:sz w:val="24"/>
          <w:szCs w:val="24"/>
          <w:rtl/>
        </w:rPr>
        <w:t>يم الحالي لخصائص "المساعدة" والوثائق المتاحة.</w:t>
      </w:r>
    </w:p>
    <w:p w:rsidR="0053788F" w:rsidRDefault="00B300AA" w:rsidP="00A54319">
      <w:pPr>
        <w:pStyle w:val="Para1"/>
        <w:numPr>
          <w:ilvl w:val="0"/>
          <w:numId w:val="19"/>
        </w:numPr>
        <w:pBdr>
          <w:top w:val="nil"/>
          <w:left w:val="nil"/>
          <w:bottom w:val="nil"/>
          <w:right w:val="nil"/>
          <w:between w:val="nil"/>
          <w:bar w:val="nil"/>
        </w:pBdr>
        <w:bidi/>
        <w:ind w:left="0" w:firstLine="0"/>
        <w:rPr>
          <w:rFonts w:cs="Simplified Arabic"/>
          <w:snapToGrid/>
          <w:spacing w:val="-1"/>
          <w:kern w:val="22"/>
          <w:sz w:val="24"/>
          <w:szCs w:val="24"/>
        </w:rPr>
      </w:pPr>
      <w:r>
        <w:rPr>
          <w:rFonts w:cs="Simplified Arabic" w:hint="cs"/>
          <w:snapToGrid/>
          <w:spacing w:val="-1"/>
          <w:kern w:val="22"/>
          <w:sz w:val="24"/>
          <w:szCs w:val="24"/>
          <w:rtl/>
        </w:rPr>
        <w:t xml:space="preserve">وقدم الاستعراض </w:t>
      </w:r>
      <w:r w:rsidR="00A54319">
        <w:rPr>
          <w:rFonts w:cs="Simplified Arabic" w:hint="cs"/>
          <w:snapToGrid/>
          <w:spacing w:val="-1"/>
          <w:kern w:val="22"/>
          <w:sz w:val="24"/>
          <w:szCs w:val="24"/>
          <w:rtl/>
        </w:rPr>
        <w:t>ال</w:t>
      </w:r>
      <w:r>
        <w:rPr>
          <w:rFonts w:cs="Simplified Arabic" w:hint="cs"/>
          <w:snapToGrid/>
          <w:spacing w:val="-1"/>
          <w:kern w:val="22"/>
          <w:sz w:val="24"/>
          <w:szCs w:val="24"/>
          <w:rtl/>
        </w:rPr>
        <w:t>وضوح عن الوسائل لتحسي</w:t>
      </w:r>
      <w:r w:rsidR="00A54319">
        <w:rPr>
          <w:rFonts w:cs="Simplified Arabic" w:hint="cs"/>
          <w:snapToGrid/>
          <w:spacing w:val="-1"/>
          <w:kern w:val="22"/>
          <w:sz w:val="24"/>
          <w:szCs w:val="24"/>
          <w:rtl/>
        </w:rPr>
        <w:t>ن</w:t>
      </w:r>
      <w:r>
        <w:rPr>
          <w:rFonts w:cs="Simplified Arabic" w:hint="cs"/>
          <w:snapToGrid/>
          <w:spacing w:val="-1"/>
          <w:kern w:val="22"/>
          <w:sz w:val="24"/>
          <w:szCs w:val="24"/>
          <w:rtl/>
        </w:rPr>
        <w:t xml:space="preserve"> التشغيل وصيانة الاتساق حيث واصلت الأمانة في تنفيذ ال</w:t>
      </w:r>
      <w:r w:rsidR="00A54319">
        <w:rPr>
          <w:rFonts w:cs="Simplified Arabic" w:hint="cs"/>
          <w:snapToGrid/>
          <w:spacing w:val="-1"/>
          <w:kern w:val="22"/>
          <w:sz w:val="24"/>
          <w:szCs w:val="24"/>
          <w:rtl/>
        </w:rPr>
        <w:t>ط</w:t>
      </w:r>
      <w:r>
        <w:rPr>
          <w:rFonts w:cs="Simplified Arabic" w:hint="cs"/>
          <w:snapToGrid/>
          <w:spacing w:val="-1"/>
          <w:kern w:val="22"/>
          <w:sz w:val="24"/>
          <w:szCs w:val="24"/>
          <w:rtl/>
        </w:rPr>
        <w:t>رائق المشتركة ودمج غرف تبادل المعلومات في الاتفاقية وإدارتها وتطويرها</w:t>
      </w:r>
      <w:r w:rsidR="00E50686">
        <w:rPr>
          <w:rFonts w:cs="Simplified Arabic" w:hint="cs"/>
          <w:snapToGrid/>
          <w:spacing w:val="-1"/>
          <w:kern w:val="22"/>
          <w:sz w:val="24"/>
          <w:szCs w:val="24"/>
          <w:rtl/>
        </w:rPr>
        <w:t>.</w:t>
      </w:r>
      <w:r>
        <w:rPr>
          <w:rFonts w:cs="Simplified Arabic" w:hint="cs"/>
          <w:snapToGrid/>
          <w:spacing w:val="-1"/>
          <w:kern w:val="22"/>
          <w:sz w:val="24"/>
          <w:szCs w:val="24"/>
          <w:rtl/>
        </w:rPr>
        <w:t xml:space="preserve"> وبالإضافة إلى العديد من التحسينات المذكورة أعلاه، مثل قاعدة المعارف المشتركة لتنظيم المساعدة ووثائق الم</w:t>
      </w:r>
      <w:r w:rsidR="00A54319">
        <w:rPr>
          <w:rFonts w:cs="Simplified Arabic" w:hint="cs"/>
          <w:snapToGrid/>
          <w:spacing w:val="-1"/>
          <w:kern w:val="22"/>
          <w:sz w:val="24"/>
          <w:szCs w:val="24"/>
          <w:rtl/>
        </w:rPr>
        <w:t>و</w:t>
      </w:r>
      <w:r>
        <w:rPr>
          <w:rFonts w:cs="Simplified Arabic" w:hint="cs"/>
          <w:snapToGrid/>
          <w:spacing w:val="-1"/>
          <w:kern w:val="22"/>
          <w:sz w:val="24"/>
          <w:szCs w:val="24"/>
          <w:rtl/>
        </w:rPr>
        <w:t xml:space="preserve">قع الشبكي، أجرت الأمانة تطويرا مبدئيا لإرشادات لحقيبة أدوات لتواصل </w:t>
      </w:r>
      <w:r w:rsidR="00A54319">
        <w:rPr>
          <w:rFonts w:cs="Simplified Arabic" w:hint="cs"/>
          <w:snapToGrid/>
          <w:spacing w:val="-1"/>
          <w:kern w:val="22"/>
          <w:sz w:val="24"/>
          <w:szCs w:val="24"/>
          <w:rtl/>
        </w:rPr>
        <w:t>قياسي</w:t>
      </w:r>
      <w:r>
        <w:rPr>
          <w:rFonts w:cs="Simplified Arabic" w:hint="cs"/>
          <w:snapToGrid/>
          <w:spacing w:val="-1"/>
          <w:kern w:val="22"/>
          <w:sz w:val="24"/>
          <w:szCs w:val="24"/>
          <w:rtl/>
        </w:rPr>
        <w:t xml:space="preserve"> مع مستخدم</w:t>
      </w:r>
      <w:r w:rsidR="00A54319">
        <w:rPr>
          <w:rFonts w:cs="Simplified Arabic" w:hint="cs"/>
          <w:snapToGrid/>
          <w:spacing w:val="-1"/>
          <w:kern w:val="22"/>
          <w:sz w:val="24"/>
          <w:szCs w:val="24"/>
          <w:rtl/>
        </w:rPr>
        <w:t xml:space="preserve"> </w:t>
      </w:r>
      <w:r>
        <w:rPr>
          <w:rFonts w:cs="Simplified Arabic" w:hint="cs"/>
          <w:snapToGrid/>
          <w:spacing w:val="-1"/>
          <w:kern w:val="22"/>
          <w:sz w:val="24"/>
          <w:szCs w:val="24"/>
          <w:rtl/>
        </w:rPr>
        <w:t>غرف تبادل المعلومات. وستقدم حقيبة الأدوات هذه عدة منافع، مثل التشجيع على أنماط تصميم قياس</w:t>
      </w:r>
      <w:r w:rsidR="00A54319">
        <w:rPr>
          <w:rFonts w:cs="Simplified Arabic" w:hint="cs"/>
          <w:snapToGrid/>
          <w:spacing w:val="-1"/>
          <w:kern w:val="22"/>
          <w:sz w:val="24"/>
          <w:szCs w:val="24"/>
          <w:rtl/>
        </w:rPr>
        <w:t>ية لضمان النظرة المتسقة عبر جميع الو</w:t>
      </w:r>
      <w:r>
        <w:rPr>
          <w:rFonts w:cs="Simplified Arabic" w:hint="cs"/>
          <w:snapToGrid/>
          <w:spacing w:val="-1"/>
          <w:kern w:val="22"/>
          <w:sz w:val="24"/>
          <w:szCs w:val="24"/>
          <w:rtl/>
        </w:rPr>
        <w:t>جهات ذات الصلة في الموقع الشبكي، وزيادة الفعالية عند إعداد وظائف جديدة، وتقل</w:t>
      </w:r>
      <w:r w:rsidR="00A54319">
        <w:rPr>
          <w:rFonts w:cs="Simplified Arabic" w:hint="cs"/>
          <w:snapToGrid/>
          <w:spacing w:val="-1"/>
          <w:kern w:val="22"/>
          <w:sz w:val="24"/>
          <w:szCs w:val="24"/>
          <w:rtl/>
        </w:rPr>
        <w:t>ي</w:t>
      </w:r>
      <w:r>
        <w:rPr>
          <w:rFonts w:cs="Simplified Arabic" w:hint="cs"/>
          <w:snapToGrid/>
          <w:spacing w:val="-1"/>
          <w:kern w:val="22"/>
          <w:sz w:val="24"/>
          <w:szCs w:val="24"/>
          <w:rtl/>
        </w:rPr>
        <w:t>ل النفقات المتعلقة بتطوير وصيانة التدريبات</w:t>
      </w:r>
      <w:r w:rsidR="00A54319">
        <w:rPr>
          <w:rFonts w:cs="Simplified Arabic" w:hint="cs"/>
          <w:snapToGrid/>
          <w:spacing w:val="-1"/>
          <w:kern w:val="22"/>
          <w:sz w:val="24"/>
          <w:szCs w:val="24"/>
          <w:rtl/>
        </w:rPr>
        <w:t>،</w:t>
      </w:r>
      <w:r>
        <w:rPr>
          <w:rFonts w:cs="Simplified Arabic" w:hint="cs"/>
          <w:snapToGrid/>
          <w:spacing w:val="-1"/>
          <w:kern w:val="22"/>
          <w:sz w:val="24"/>
          <w:szCs w:val="24"/>
          <w:rtl/>
        </w:rPr>
        <w:t xml:space="preserve"> وأدلة المساعدة، والوثائق والترجمة.</w:t>
      </w:r>
    </w:p>
    <w:p w:rsidR="0053788F" w:rsidRPr="00D6373D" w:rsidRDefault="00D6373D" w:rsidP="00D6373D">
      <w:pPr>
        <w:pStyle w:val="Para1"/>
        <w:numPr>
          <w:ilvl w:val="0"/>
          <w:numId w:val="0"/>
        </w:numPr>
        <w:pBdr>
          <w:top w:val="nil"/>
          <w:left w:val="nil"/>
          <w:bottom w:val="nil"/>
          <w:right w:val="nil"/>
          <w:between w:val="nil"/>
          <w:bar w:val="nil"/>
        </w:pBdr>
        <w:bidi/>
        <w:jc w:val="center"/>
        <w:rPr>
          <w:rFonts w:cs="Simplified Arabic"/>
          <w:b/>
          <w:bCs/>
          <w:snapToGrid/>
          <w:spacing w:val="-1"/>
          <w:kern w:val="22"/>
          <w:sz w:val="24"/>
          <w:szCs w:val="24"/>
        </w:rPr>
      </w:pPr>
      <w:r w:rsidRPr="00D6373D">
        <w:rPr>
          <w:rFonts w:cs="Simplified Arabic" w:hint="cs"/>
          <w:b/>
          <w:bCs/>
          <w:snapToGrid/>
          <w:spacing w:val="-1"/>
          <w:kern w:val="22"/>
          <w:sz w:val="24"/>
          <w:szCs w:val="24"/>
          <w:rtl/>
        </w:rPr>
        <w:t xml:space="preserve">ثالثا </w:t>
      </w:r>
      <w:r>
        <w:rPr>
          <w:rFonts w:cs="Simplified Arabic" w:hint="cs"/>
          <w:b/>
          <w:bCs/>
          <w:snapToGrid/>
          <w:spacing w:val="-1"/>
          <w:kern w:val="22"/>
          <w:sz w:val="24"/>
          <w:szCs w:val="24"/>
          <w:rtl/>
        </w:rPr>
        <w:t>-</w:t>
      </w:r>
      <w:r>
        <w:rPr>
          <w:rFonts w:cs="Simplified Arabic" w:hint="cs"/>
          <w:b/>
          <w:bCs/>
          <w:snapToGrid/>
          <w:spacing w:val="-1"/>
          <w:kern w:val="22"/>
          <w:sz w:val="24"/>
          <w:szCs w:val="24"/>
          <w:rtl/>
        </w:rPr>
        <w:tab/>
        <w:t>أولويات ال</w:t>
      </w:r>
      <w:r w:rsidR="00A54319">
        <w:rPr>
          <w:rFonts w:cs="Simplified Arabic" w:hint="cs"/>
          <w:b/>
          <w:bCs/>
          <w:snapToGrid/>
          <w:spacing w:val="-1"/>
          <w:kern w:val="22"/>
          <w:sz w:val="24"/>
          <w:szCs w:val="24"/>
          <w:rtl/>
        </w:rPr>
        <w:t>تطوير المستقبلي والإدارة ل</w:t>
      </w:r>
      <w:r w:rsidRPr="00D6373D">
        <w:rPr>
          <w:rFonts w:cs="Simplified Arabic" w:hint="cs"/>
          <w:b/>
          <w:bCs/>
          <w:snapToGrid/>
          <w:spacing w:val="-1"/>
          <w:kern w:val="22"/>
          <w:sz w:val="24"/>
          <w:szCs w:val="24"/>
          <w:rtl/>
        </w:rPr>
        <w:t>غرفة تبادل المعلومات بشأن الحصول وتقاسم المنافع</w:t>
      </w:r>
    </w:p>
    <w:p w:rsidR="0053788F" w:rsidRDefault="003133BA" w:rsidP="00A54319">
      <w:pPr>
        <w:pStyle w:val="Para1"/>
        <w:numPr>
          <w:ilvl w:val="0"/>
          <w:numId w:val="19"/>
        </w:numPr>
        <w:pBdr>
          <w:top w:val="nil"/>
          <w:left w:val="nil"/>
          <w:bottom w:val="nil"/>
          <w:right w:val="nil"/>
          <w:between w:val="nil"/>
          <w:bar w:val="nil"/>
        </w:pBdr>
        <w:bidi/>
        <w:ind w:left="0" w:firstLine="0"/>
        <w:rPr>
          <w:rFonts w:cs="Simplified Arabic"/>
          <w:snapToGrid/>
          <w:spacing w:val="-1"/>
          <w:kern w:val="22"/>
          <w:sz w:val="24"/>
          <w:szCs w:val="24"/>
        </w:rPr>
      </w:pPr>
      <w:r>
        <w:rPr>
          <w:rFonts w:cs="Simplified Arabic" w:hint="cs"/>
          <w:snapToGrid/>
          <w:spacing w:val="-1"/>
          <w:kern w:val="22"/>
          <w:sz w:val="24"/>
          <w:szCs w:val="24"/>
          <w:rtl/>
        </w:rPr>
        <w:t>مع استمرار تنفيذ بروتوكول ناغويا في إحراز التقدم ومع الزيادة في عدد الأطراف في البروتوكول، يجب أن تستمر غرفة تبادل المعلومات بشأن الحصول وت</w:t>
      </w:r>
      <w:r w:rsidR="00A54319">
        <w:rPr>
          <w:rFonts w:cs="Simplified Arabic" w:hint="cs"/>
          <w:snapToGrid/>
          <w:spacing w:val="-1"/>
          <w:kern w:val="22"/>
          <w:sz w:val="24"/>
          <w:szCs w:val="24"/>
          <w:rtl/>
        </w:rPr>
        <w:t>قاسم المنافع في التعلم من الخبر</w:t>
      </w:r>
      <w:r>
        <w:rPr>
          <w:rFonts w:cs="Simplified Arabic" w:hint="cs"/>
          <w:snapToGrid/>
          <w:spacing w:val="-1"/>
          <w:kern w:val="22"/>
          <w:sz w:val="24"/>
          <w:szCs w:val="24"/>
          <w:rtl/>
        </w:rPr>
        <w:t>ة العملية والتكيف مع احتياجات الأطراف والمستخدمين الآخرين. ومع اكتساب الخبرة بواسطة الأطراف في تفعيل أحكام البروتوكول، وخاصة تلك الأحكام المتعلقة برصد استخدام الموارد الجينية، على النحو الوارد تلخيصه في المرفق الثاني أدناه، سيكون من الضروري إدخال تحسينات في النماذج المشتركة وتعديلات على بعض وظائف غرفة تبادل المعلومات بشأن الحصول وتقاسم المنافع.</w:t>
      </w:r>
    </w:p>
    <w:p w:rsidR="0053788F" w:rsidRDefault="003133BA" w:rsidP="003832CC">
      <w:pPr>
        <w:pStyle w:val="Para1"/>
        <w:numPr>
          <w:ilvl w:val="0"/>
          <w:numId w:val="19"/>
        </w:numPr>
        <w:pBdr>
          <w:top w:val="nil"/>
          <w:left w:val="nil"/>
          <w:bottom w:val="nil"/>
          <w:right w:val="nil"/>
          <w:between w:val="nil"/>
          <w:bar w:val="nil"/>
        </w:pBdr>
        <w:bidi/>
        <w:ind w:left="0" w:firstLine="0"/>
        <w:rPr>
          <w:rFonts w:cs="Simplified Arabic"/>
          <w:snapToGrid/>
          <w:spacing w:val="-1"/>
          <w:kern w:val="22"/>
          <w:sz w:val="24"/>
          <w:szCs w:val="24"/>
        </w:rPr>
      </w:pPr>
      <w:r>
        <w:rPr>
          <w:rFonts w:cs="Simplified Arabic" w:hint="cs"/>
          <w:snapToGrid/>
          <w:spacing w:val="-1"/>
          <w:kern w:val="22"/>
          <w:sz w:val="24"/>
          <w:szCs w:val="24"/>
          <w:rtl/>
        </w:rPr>
        <w:t xml:space="preserve">وكانت الأحداث مثل حلقة العمل العالمية للرصد المنعقدة في </w:t>
      </w:r>
      <w:r w:rsidR="00A54319">
        <w:rPr>
          <w:rFonts w:cs="Simplified Arabic" w:hint="cs"/>
          <w:snapToGrid/>
          <w:spacing w:val="-1"/>
          <w:kern w:val="22"/>
          <w:sz w:val="24"/>
          <w:szCs w:val="24"/>
          <w:rtl/>
        </w:rPr>
        <w:t>بون</w:t>
      </w:r>
      <w:r>
        <w:rPr>
          <w:rFonts w:cs="Simplified Arabic" w:hint="cs"/>
          <w:snapToGrid/>
          <w:spacing w:val="-1"/>
          <w:kern w:val="22"/>
          <w:sz w:val="24"/>
          <w:szCs w:val="24"/>
          <w:rtl/>
        </w:rPr>
        <w:t xml:space="preserve"> في عام 2019، مفيدة بدرجة خاصة لتبادل الخبرات وسلطت الضوء على التحديات </w:t>
      </w:r>
      <w:r w:rsidR="00A54319">
        <w:rPr>
          <w:rFonts w:cs="Simplified Arabic" w:hint="cs"/>
          <w:snapToGrid/>
          <w:spacing w:val="-1"/>
          <w:kern w:val="22"/>
          <w:sz w:val="24"/>
          <w:szCs w:val="24"/>
          <w:rtl/>
        </w:rPr>
        <w:t xml:space="preserve">التي تواجه </w:t>
      </w:r>
      <w:r>
        <w:rPr>
          <w:rFonts w:cs="Simplified Arabic" w:hint="cs"/>
          <w:snapToGrid/>
          <w:spacing w:val="-1"/>
          <w:kern w:val="22"/>
          <w:sz w:val="24"/>
          <w:szCs w:val="24"/>
          <w:rtl/>
        </w:rPr>
        <w:t xml:space="preserve">تفعيل البروتوكول. وبالمثل، </w:t>
      </w:r>
      <w:r w:rsidR="003832CC">
        <w:rPr>
          <w:rFonts w:cs="Simplified Arabic" w:hint="cs"/>
          <w:snapToGrid/>
          <w:spacing w:val="-1"/>
          <w:kern w:val="22"/>
          <w:sz w:val="24"/>
          <w:szCs w:val="24"/>
          <w:rtl/>
        </w:rPr>
        <w:t xml:space="preserve">كانت </w:t>
      </w:r>
      <w:r>
        <w:rPr>
          <w:rFonts w:cs="Simplified Arabic" w:hint="cs"/>
          <w:snapToGrid/>
          <w:spacing w:val="-1"/>
          <w:kern w:val="22"/>
          <w:sz w:val="24"/>
          <w:szCs w:val="24"/>
          <w:rtl/>
        </w:rPr>
        <w:t xml:space="preserve">اللجنة الاستشارية غير الرسمية </w:t>
      </w:r>
      <w:r w:rsidR="003832CC">
        <w:rPr>
          <w:rFonts w:cs="Simplified Arabic" w:hint="cs"/>
          <w:snapToGrid/>
          <w:spacing w:val="-1"/>
          <w:kern w:val="22"/>
          <w:sz w:val="24"/>
          <w:szCs w:val="24"/>
          <w:rtl/>
        </w:rPr>
        <w:t xml:space="preserve">أساسية </w:t>
      </w:r>
      <w:r>
        <w:rPr>
          <w:rFonts w:cs="Simplified Arabic" w:hint="cs"/>
          <w:snapToGrid/>
          <w:spacing w:val="-1"/>
          <w:kern w:val="22"/>
          <w:sz w:val="24"/>
          <w:szCs w:val="24"/>
          <w:rtl/>
        </w:rPr>
        <w:t>أيضا ومثلت منتدى منتج لتقديم الإرشادات والحلول التقنية للمساعدة في التصدي للتحديات ومن الواضح أن هناك حاجة إلى الاستمرار في إجراء المناقشات لضمان أن غرفة تبادل المعلومات بشأن الحصول وتقاسم المنافع تستمر في تيسير تنفيذ البروتوكول بأفضل طريقة ممكنة.</w:t>
      </w:r>
    </w:p>
    <w:p w:rsidR="00752B64" w:rsidRPr="003133BA" w:rsidRDefault="003133BA" w:rsidP="003133BA">
      <w:pPr>
        <w:pStyle w:val="Para1"/>
        <w:numPr>
          <w:ilvl w:val="0"/>
          <w:numId w:val="19"/>
        </w:numPr>
        <w:pBdr>
          <w:top w:val="nil"/>
          <w:left w:val="nil"/>
          <w:bottom w:val="nil"/>
          <w:right w:val="nil"/>
          <w:between w:val="nil"/>
          <w:bar w:val="nil"/>
        </w:pBdr>
        <w:bidi/>
        <w:ind w:left="0" w:firstLine="0"/>
        <w:rPr>
          <w:rFonts w:cs="Simplified Arabic"/>
          <w:snapToGrid/>
          <w:spacing w:val="-1"/>
          <w:kern w:val="22"/>
          <w:sz w:val="24"/>
          <w:szCs w:val="24"/>
        </w:rPr>
      </w:pPr>
      <w:r>
        <w:rPr>
          <w:rFonts w:cs="Simplified Arabic" w:hint="cs"/>
          <w:snapToGrid/>
          <w:spacing w:val="-1"/>
          <w:kern w:val="22"/>
          <w:sz w:val="24"/>
          <w:szCs w:val="24"/>
          <w:rtl/>
        </w:rPr>
        <w:t>ومن المتوقع أن تعقد اللجنة الاستشارية غير الرسمية اجتماعا واحدا على الأقل، ومناقشات غير رسمية على الانترنت حسب الضرورة، وتقدم تقريرا عن نتائج عملها إلى مؤتمر الأطراف العامل كاجتماع للأطراف في بروتوكول ناغويا في اجتماعه الخامس.</w:t>
      </w:r>
    </w:p>
    <w:p w:rsidR="0053788F" w:rsidRDefault="003133BA" w:rsidP="003133BA">
      <w:pPr>
        <w:pStyle w:val="Para1"/>
        <w:numPr>
          <w:ilvl w:val="0"/>
          <w:numId w:val="19"/>
        </w:numPr>
        <w:pBdr>
          <w:top w:val="nil"/>
          <w:left w:val="nil"/>
          <w:bottom w:val="nil"/>
          <w:right w:val="nil"/>
          <w:between w:val="nil"/>
          <w:bar w:val="nil"/>
        </w:pBdr>
        <w:bidi/>
        <w:ind w:left="0" w:firstLine="0"/>
        <w:rPr>
          <w:rFonts w:cs="Simplified Arabic"/>
          <w:snapToGrid/>
          <w:spacing w:val="-1"/>
          <w:kern w:val="22"/>
          <w:sz w:val="24"/>
          <w:szCs w:val="24"/>
        </w:rPr>
      </w:pPr>
      <w:r>
        <w:rPr>
          <w:rFonts w:cs="Simplified Arabic" w:hint="cs"/>
          <w:snapToGrid/>
          <w:spacing w:val="-1"/>
          <w:kern w:val="22"/>
          <w:sz w:val="24"/>
          <w:szCs w:val="24"/>
          <w:rtl/>
        </w:rPr>
        <w:lastRenderedPageBreak/>
        <w:t>وتعرض أولويات التطوير المستقبل</w:t>
      </w:r>
      <w:r w:rsidR="003832CC">
        <w:rPr>
          <w:rFonts w:cs="Simplified Arabic" w:hint="cs"/>
          <w:snapToGrid/>
          <w:spacing w:val="-1"/>
          <w:kern w:val="22"/>
          <w:sz w:val="24"/>
          <w:szCs w:val="24"/>
          <w:rtl/>
        </w:rPr>
        <w:t>ي</w:t>
      </w:r>
      <w:r>
        <w:rPr>
          <w:rFonts w:cs="Simplified Arabic" w:hint="cs"/>
          <w:snapToGrid/>
          <w:spacing w:val="-1"/>
          <w:kern w:val="22"/>
          <w:sz w:val="24"/>
          <w:szCs w:val="24"/>
          <w:rtl/>
        </w:rPr>
        <w:t xml:space="preserve"> والإدارة، الواردة في المرفق بالمقرر </w:t>
      </w:r>
      <w:r w:rsidRPr="003832CC">
        <w:rPr>
          <w:rFonts w:cs="Simplified Arabic"/>
          <w:snapToGrid/>
          <w:spacing w:val="-1"/>
          <w:kern w:val="22"/>
          <w:szCs w:val="22"/>
          <w:lang w:val="en-US"/>
        </w:rPr>
        <w:t>NP-3/3</w:t>
      </w:r>
      <w:r>
        <w:rPr>
          <w:rFonts w:cs="Simplified Arabic" w:hint="cs"/>
          <w:snapToGrid/>
          <w:spacing w:val="-1"/>
          <w:kern w:val="22"/>
          <w:sz w:val="24"/>
          <w:szCs w:val="24"/>
          <w:rtl/>
          <w:lang w:val="en-US"/>
        </w:rPr>
        <w:t xml:space="preserve"> والمستنسخة في المرفق الثالث أدناه، تعرض العمل الجاري أو المهام المحددة التي تستمر في كونها ذات صلة؛ ولذلك، تدعا الأطراف إلى النظر في هذه الأولويات مرة أخرى كأساس للعمل المستقبلي.</w:t>
      </w:r>
    </w:p>
    <w:p w:rsidR="0053788F" w:rsidRPr="00D6373D" w:rsidRDefault="00D6373D" w:rsidP="00D6373D">
      <w:pPr>
        <w:pStyle w:val="Para1"/>
        <w:numPr>
          <w:ilvl w:val="0"/>
          <w:numId w:val="0"/>
        </w:numPr>
        <w:pBdr>
          <w:top w:val="nil"/>
          <w:left w:val="nil"/>
          <w:bottom w:val="nil"/>
          <w:right w:val="nil"/>
          <w:between w:val="nil"/>
          <w:bar w:val="nil"/>
        </w:pBdr>
        <w:tabs>
          <w:tab w:val="left" w:pos="1980"/>
        </w:tabs>
        <w:bidi/>
        <w:ind w:left="1980" w:right="270" w:hanging="900"/>
        <w:jc w:val="left"/>
        <w:rPr>
          <w:rFonts w:cs="Simplified Arabic"/>
          <w:b/>
          <w:bCs/>
          <w:snapToGrid/>
          <w:spacing w:val="-1"/>
          <w:kern w:val="22"/>
          <w:sz w:val="24"/>
          <w:szCs w:val="24"/>
        </w:rPr>
      </w:pPr>
      <w:r w:rsidRPr="00D6373D">
        <w:rPr>
          <w:rFonts w:cs="Simplified Arabic" w:hint="cs"/>
          <w:b/>
          <w:bCs/>
          <w:snapToGrid/>
          <w:spacing w:val="-1"/>
          <w:kern w:val="22"/>
          <w:sz w:val="24"/>
          <w:szCs w:val="24"/>
          <w:rtl/>
        </w:rPr>
        <w:t>رابعا -</w:t>
      </w:r>
      <w:r w:rsidRPr="00D6373D">
        <w:rPr>
          <w:rFonts w:cs="Simplified Arabic" w:hint="cs"/>
          <w:b/>
          <w:bCs/>
          <w:snapToGrid/>
          <w:spacing w:val="-1"/>
          <w:kern w:val="22"/>
          <w:sz w:val="24"/>
          <w:szCs w:val="24"/>
          <w:rtl/>
        </w:rPr>
        <w:tab/>
        <w:t>العناصر المقترحة لمشروع مقرر لنظر مؤتمر الأطراف العامل كاجتماع للأطراف في البروتوكول في اجتماعه الرابع</w:t>
      </w:r>
    </w:p>
    <w:p w:rsidR="0053788F" w:rsidRPr="00752B64" w:rsidRDefault="00752B64" w:rsidP="002064C5">
      <w:pPr>
        <w:pStyle w:val="Para1"/>
        <w:numPr>
          <w:ilvl w:val="0"/>
          <w:numId w:val="19"/>
        </w:numPr>
        <w:pBdr>
          <w:top w:val="nil"/>
          <w:left w:val="nil"/>
          <w:bottom w:val="nil"/>
          <w:right w:val="nil"/>
          <w:between w:val="nil"/>
          <w:bar w:val="nil"/>
        </w:pBdr>
        <w:bidi/>
        <w:ind w:left="0" w:firstLine="0"/>
        <w:rPr>
          <w:rFonts w:cs="Simplified Arabic"/>
          <w:snapToGrid/>
          <w:spacing w:val="-1"/>
          <w:kern w:val="22"/>
          <w:szCs w:val="24"/>
        </w:rPr>
      </w:pPr>
      <w:r w:rsidRPr="00752B64">
        <w:rPr>
          <w:rFonts w:cs="Simplified Arabic" w:hint="cs"/>
          <w:snapToGrid/>
          <w:spacing w:val="-1"/>
          <w:kern w:val="22"/>
          <w:szCs w:val="24"/>
          <w:rtl/>
        </w:rPr>
        <w:t>قد يرغب مؤتمر الأطراف العامل كاجتماع للأطراف في البروتوكول في النظر في مشرو</w:t>
      </w:r>
      <w:r w:rsidR="002064C5">
        <w:rPr>
          <w:rFonts w:cs="Simplified Arabic" w:hint="cs"/>
          <w:snapToGrid/>
          <w:spacing w:val="-1"/>
          <w:kern w:val="22"/>
          <w:szCs w:val="24"/>
          <w:rtl/>
        </w:rPr>
        <w:t>ع</w:t>
      </w:r>
      <w:r w:rsidRPr="00752B64">
        <w:rPr>
          <w:rFonts w:cs="Simplified Arabic" w:hint="cs"/>
          <w:snapToGrid/>
          <w:spacing w:val="-1"/>
          <w:kern w:val="22"/>
          <w:szCs w:val="24"/>
          <w:rtl/>
        </w:rPr>
        <w:t xml:space="preserve"> المقرر التالي:</w:t>
      </w:r>
    </w:p>
    <w:p w:rsidR="00752B64" w:rsidRPr="00752B64" w:rsidRDefault="00752B64" w:rsidP="00752B64">
      <w:pPr>
        <w:pStyle w:val="Para1"/>
        <w:numPr>
          <w:ilvl w:val="0"/>
          <w:numId w:val="0"/>
        </w:numPr>
        <w:pBdr>
          <w:top w:val="nil"/>
          <w:left w:val="nil"/>
          <w:bottom w:val="nil"/>
          <w:right w:val="nil"/>
          <w:between w:val="nil"/>
          <w:bar w:val="nil"/>
        </w:pBdr>
        <w:bidi/>
        <w:spacing w:before="0" w:line="216" w:lineRule="auto"/>
        <w:ind w:left="360"/>
        <w:rPr>
          <w:rFonts w:cs="Simplified Arabic"/>
          <w:i/>
          <w:iCs/>
          <w:snapToGrid/>
          <w:kern w:val="22"/>
          <w:szCs w:val="24"/>
          <w:rtl/>
          <w:lang w:bidi="ar-EG"/>
        </w:rPr>
      </w:pPr>
      <w:r w:rsidRPr="00752B64">
        <w:rPr>
          <w:rFonts w:cs="Simplified Arabic" w:hint="cs"/>
          <w:i/>
          <w:iCs/>
          <w:szCs w:val="24"/>
          <w:rtl/>
          <w:lang w:val="fr-CH" w:bidi="ar-EG"/>
        </w:rPr>
        <w:t xml:space="preserve">إن </w:t>
      </w:r>
      <w:r w:rsidRPr="00752B64">
        <w:rPr>
          <w:rFonts w:cs="Simplified Arabic" w:hint="cs"/>
          <w:i/>
          <w:iCs/>
          <w:snapToGrid/>
          <w:kern w:val="22"/>
          <w:szCs w:val="24"/>
          <w:rtl/>
        </w:rPr>
        <w:t>مؤتمر الأطراف العامل كاجتماع للأطراف في بروتوكول ناغويا</w:t>
      </w:r>
    </w:p>
    <w:p w:rsidR="00752B64" w:rsidRPr="00752B64" w:rsidRDefault="00752B64" w:rsidP="00752B64">
      <w:pPr>
        <w:pStyle w:val="Para1"/>
        <w:numPr>
          <w:ilvl w:val="1"/>
          <w:numId w:val="22"/>
        </w:numPr>
        <w:pBdr>
          <w:top w:val="nil"/>
          <w:left w:val="nil"/>
          <w:bottom w:val="nil"/>
          <w:right w:val="nil"/>
          <w:between w:val="nil"/>
          <w:bar w:val="nil"/>
        </w:pBdr>
        <w:bidi/>
        <w:spacing w:before="0" w:line="216" w:lineRule="auto"/>
        <w:ind w:left="0" w:firstLine="720"/>
        <w:rPr>
          <w:rFonts w:cs="Simplified Arabic"/>
          <w:snapToGrid/>
          <w:kern w:val="22"/>
          <w:szCs w:val="24"/>
        </w:rPr>
      </w:pPr>
      <w:r w:rsidRPr="00752B64">
        <w:rPr>
          <w:rFonts w:cs="Simplified Arabic" w:hint="cs"/>
          <w:i/>
          <w:iCs/>
          <w:szCs w:val="24"/>
          <w:rtl/>
          <w:lang w:val="fr-CH" w:bidi="ar-EG"/>
        </w:rPr>
        <w:t>يرحب</w:t>
      </w:r>
      <w:r w:rsidRPr="00752B64">
        <w:rPr>
          <w:rFonts w:cs="Simplified Arabic" w:hint="cs"/>
          <w:szCs w:val="24"/>
          <w:rtl/>
          <w:lang w:val="fr-CH" w:bidi="ar-EG"/>
        </w:rPr>
        <w:t xml:space="preserve"> بالتقدم الذي أحرزته الأمانة في </w:t>
      </w:r>
      <w:r>
        <w:rPr>
          <w:rFonts w:cs="Simplified Arabic" w:hint="cs"/>
          <w:szCs w:val="24"/>
          <w:rtl/>
          <w:lang w:val="fr-CH" w:bidi="ar-EG"/>
        </w:rPr>
        <w:t>إعداد وإدارة</w:t>
      </w:r>
      <w:r w:rsidRPr="00752B64">
        <w:rPr>
          <w:rFonts w:cs="Simplified Arabic" w:hint="cs"/>
          <w:szCs w:val="24"/>
          <w:rtl/>
          <w:lang w:val="fr-CH" w:bidi="ar-EG"/>
        </w:rPr>
        <w:t xml:space="preserve"> </w:t>
      </w:r>
      <w:r w:rsidRPr="00752B64">
        <w:rPr>
          <w:rFonts w:cs="Simplified Arabic"/>
          <w:snapToGrid/>
          <w:kern w:val="22"/>
          <w:szCs w:val="24"/>
          <w:rtl/>
        </w:rPr>
        <w:t xml:space="preserve">غرفة تبادل المعلومات بشأن الحصول وتقاسم </w:t>
      </w:r>
      <w:r w:rsidRPr="00752B64">
        <w:rPr>
          <w:rFonts w:cs="Simplified Arabic" w:hint="cs"/>
          <w:snapToGrid/>
          <w:kern w:val="22"/>
          <w:szCs w:val="24"/>
          <w:rtl/>
        </w:rPr>
        <w:t>المنافع؛</w:t>
      </w:r>
    </w:p>
    <w:p w:rsidR="00752B64" w:rsidRPr="00752B64" w:rsidRDefault="00752B64" w:rsidP="00752B64">
      <w:pPr>
        <w:pStyle w:val="Para1"/>
        <w:numPr>
          <w:ilvl w:val="1"/>
          <w:numId w:val="22"/>
        </w:numPr>
        <w:pBdr>
          <w:top w:val="nil"/>
          <w:left w:val="nil"/>
          <w:bottom w:val="nil"/>
          <w:right w:val="nil"/>
          <w:between w:val="nil"/>
          <w:bar w:val="nil"/>
        </w:pBdr>
        <w:bidi/>
        <w:spacing w:before="0" w:line="216" w:lineRule="auto"/>
        <w:ind w:left="0" w:firstLine="720"/>
        <w:rPr>
          <w:rFonts w:cs="Simplified Arabic"/>
          <w:snapToGrid/>
          <w:kern w:val="22"/>
          <w:szCs w:val="24"/>
        </w:rPr>
      </w:pPr>
      <w:r w:rsidRPr="00752B64">
        <w:rPr>
          <w:rFonts w:cs="Simplified Arabic" w:hint="cs"/>
          <w:i/>
          <w:iCs/>
          <w:szCs w:val="24"/>
          <w:rtl/>
          <w:lang w:val="fr-CH" w:bidi="ar-EG"/>
        </w:rPr>
        <w:t>يرحب</w:t>
      </w:r>
      <w:r w:rsidRPr="00752B64">
        <w:rPr>
          <w:rFonts w:cs="Simplified Arabic" w:hint="cs"/>
          <w:szCs w:val="24"/>
          <w:rtl/>
          <w:lang w:val="fr-CH" w:bidi="ar-EG"/>
        </w:rPr>
        <w:t xml:space="preserve"> بالجهود التي بذلتها الأطراف وغير الأطراف والشعوب الأصلية والمجتمعات المحلية وأصحاب المصلحة المعنيين لإتاحة المعلومات في </w:t>
      </w:r>
      <w:r w:rsidRPr="00752B64">
        <w:rPr>
          <w:rFonts w:cs="Simplified Arabic"/>
          <w:snapToGrid/>
          <w:kern w:val="22"/>
          <w:szCs w:val="24"/>
          <w:rtl/>
        </w:rPr>
        <w:t xml:space="preserve">غرفة تبادل المعلومات بشأن الحصول وتقاسم </w:t>
      </w:r>
      <w:r w:rsidRPr="00752B64">
        <w:rPr>
          <w:rFonts w:cs="Simplified Arabic" w:hint="cs"/>
          <w:snapToGrid/>
          <w:kern w:val="22"/>
          <w:szCs w:val="24"/>
          <w:rtl/>
        </w:rPr>
        <w:t>المنافع؛</w:t>
      </w:r>
    </w:p>
    <w:p w:rsidR="00752B64" w:rsidRPr="00752B64" w:rsidRDefault="00752B64" w:rsidP="001B4910">
      <w:pPr>
        <w:pStyle w:val="Para1"/>
        <w:numPr>
          <w:ilvl w:val="1"/>
          <w:numId w:val="22"/>
        </w:numPr>
        <w:pBdr>
          <w:top w:val="nil"/>
          <w:left w:val="nil"/>
          <w:bottom w:val="nil"/>
          <w:right w:val="nil"/>
          <w:between w:val="nil"/>
          <w:bar w:val="nil"/>
        </w:pBdr>
        <w:bidi/>
        <w:spacing w:before="0" w:line="216" w:lineRule="auto"/>
        <w:ind w:left="0" w:firstLine="720"/>
        <w:rPr>
          <w:rFonts w:cs="Simplified Arabic"/>
          <w:snapToGrid/>
          <w:kern w:val="22"/>
          <w:szCs w:val="24"/>
        </w:rPr>
      </w:pPr>
      <w:r>
        <w:rPr>
          <w:rFonts w:cs="Simplified Arabic" w:hint="cs"/>
          <w:i/>
          <w:iCs/>
          <w:szCs w:val="24"/>
          <w:rtl/>
          <w:lang w:val="fr-CH" w:bidi="ar-EG"/>
        </w:rPr>
        <w:t>يشير إلى</w:t>
      </w:r>
      <w:r w:rsidRPr="00752B64">
        <w:rPr>
          <w:rFonts w:cs="Simplified Arabic" w:hint="cs"/>
          <w:i/>
          <w:iCs/>
          <w:szCs w:val="24"/>
          <w:rtl/>
          <w:lang w:val="fr-CH" w:bidi="ar-EG"/>
        </w:rPr>
        <w:t xml:space="preserve"> </w:t>
      </w:r>
      <w:r w:rsidRPr="001B4910">
        <w:rPr>
          <w:rFonts w:cs="Simplified Arabic" w:hint="cs"/>
          <w:szCs w:val="24"/>
          <w:rtl/>
          <w:lang w:val="fr-CH" w:bidi="ar-EG"/>
        </w:rPr>
        <w:t xml:space="preserve">المقرر </w:t>
      </w:r>
      <w:r w:rsidRPr="00752B64">
        <w:rPr>
          <w:rFonts w:cs="Simplified Arabic"/>
          <w:iCs/>
          <w:szCs w:val="24"/>
          <w:lang w:val="en-US" w:bidi="ar-EG"/>
        </w:rPr>
        <w:t>NP-3/3</w:t>
      </w:r>
      <w:r>
        <w:rPr>
          <w:rFonts w:cs="Simplified Arabic" w:hint="cs"/>
          <w:szCs w:val="24"/>
          <w:rtl/>
          <w:lang w:val="fr-CH" w:bidi="ar-EG"/>
        </w:rPr>
        <w:t xml:space="preserve">، الفقرة 3، </w:t>
      </w:r>
      <w:r w:rsidR="001B4910">
        <w:rPr>
          <w:rFonts w:ascii="Simplified Arabic" w:hAnsi="Simplified Arabic" w:cs="Simplified Arabic" w:hint="cs"/>
          <w:b/>
          <w:sz w:val="24"/>
          <w:szCs w:val="24"/>
          <w:rtl/>
          <w:lang w:val="fr-CA"/>
        </w:rPr>
        <w:t>الذي حث فيه</w:t>
      </w:r>
      <w:r w:rsidRPr="00752B64">
        <w:rPr>
          <w:rFonts w:ascii="Simplified Arabic" w:hAnsi="Simplified Arabic" w:cs="Simplified Arabic"/>
          <w:i/>
          <w:iCs/>
          <w:sz w:val="24"/>
          <w:szCs w:val="24"/>
          <w:rtl/>
          <w:lang w:bidi="ar-EG"/>
        </w:rPr>
        <w:t xml:space="preserve"> </w:t>
      </w:r>
      <w:r w:rsidRPr="00752B64">
        <w:rPr>
          <w:rFonts w:ascii="Simplified Arabic" w:hAnsi="Simplified Arabic" w:cs="Simplified Arabic"/>
          <w:sz w:val="24"/>
          <w:szCs w:val="24"/>
          <w:rtl/>
          <w:lang w:val="fr-CH" w:bidi="ar-EG"/>
        </w:rPr>
        <w:t>الأطراف التي لم تنشر بعد جميع المعلومات الإلزامية المتاحة على الصعيد الوطني على غرفة تبادل المعلومات بشأن الحصول وتقاسم المنافع وفقا للالتزامات الواردة في المادة 14</w:t>
      </w:r>
      <w:r w:rsidR="001B4910">
        <w:rPr>
          <w:rFonts w:ascii="Simplified Arabic" w:hAnsi="Simplified Arabic" w:cs="Simplified Arabic" w:hint="cs"/>
          <w:sz w:val="24"/>
          <w:szCs w:val="24"/>
          <w:rtl/>
          <w:lang w:val="fr-CH" w:bidi="ar-EG"/>
        </w:rPr>
        <w:t>، الفقرة 2</w:t>
      </w:r>
      <w:r w:rsidRPr="00752B64">
        <w:rPr>
          <w:rFonts w:ascii="Simplified Arabic" w:hAnsi="Simplified Arabic" w:cs="Simplified Arabic"/>
          <w:sz w:val="24"/>
          <w:szCs w:val="24"/>
          <w:rtl/>
          <w:lang w:val="fr-CH" w:bidi="ar-EG"/>
        </w:rPr>
        <w:t xml:space="preserve"> من البروتوكول، على أن تقوم بذلك في أقرب وقت ممكن، باعتبار أن نشر المعلومات الإلزامية في غرفة تبادل المعلومات بشأن الحصول وتقاسم المنافع أمر ضروري لتنفيذ بروتوكول ناغويا</w:t>
      </w:r>
      <w:r w:rsidRPr="00752B64">
        <w:rPr>
          <w:rFonts w:cs="Simplified Arabic" w:hint="cs"/>
          <w:snapToGrid/>
          <w:kern w:val="22"/>
          <w:szCs w:val="24"/>
          <w:rtl/>
        </w:rPr>
        <w:t>؛</w:t>
      </w:r>
    </w:p>
    <w:p w:rsidR="00752B64" w:rsidRPr="001B4910" w:rsidRDefault="001B4910" w:rsidP="001B4910">
      <w:pPr>
        <w:pStyle w:val="Para1"/>
        <w:numPr>
          <w:ilvl w:val="1"/>
          <w:numId w:val="22"/>
        </w:numPr>
        <w:pBdr>
          <w:top w:val="nil"/>
          <w:left w:val="nil"/>
          <w:bottom w:val="nil"/>
          <w:right w:val="nil"/>
          <w:between w:val="nil"/>
          <w:bar w:val="nil"/>
        </w:pBdr>
        <w:bidi/>
        <w:spacing w:before="0" w:line="216" w:lineRule="auto"/>
        <w:ind w:left="0" w:firstLine="720"/>
        <w:rPr>
          <w:rFonts w:ascii="Simplified Arabic" w:hAnsi="Simplified Arabic" w:cs="Simplified Arabic"/>
          <w:snapToGrid/>
          <w:kern w:val="22"/>
          <w:sz w:val="24"/>
          <w:szCs w:val="24"/>
        </w:rPr>
      </w:pPr>
      <w:r>
        <w:rPr>
          <w:rFonts w:cs="Simplified Arabic" w:hint="cs"/>
          <w:i/>
          <w:iCs/>
          <w:szCs w:val="24"/>
          <w:rtl/>
          <w:lang w:val="fr-CH" w:bidi="ar-EG"/>
        </w:rPr>
        <w:t>يشير أيضا</w:t>
      </w:r>
      <w:r>
        <w:rPr>
          <w:rFonts w:cs="Simplified Arabic" w:hint="cs"/>
          <w:szCs w:val="24"/>
          <w:rtl/>
          <w:lang w:val="fr-CH" w:bidi="ar-EG"/>
        </w:rPr>
        <w:t xml:space="preserve"> إلى المقرر </w:t>
      </w:r>
      <w:r w:rsidRPr="00752B64">
        <w:rPr>
          <w:rFonts w:cs="Simplified Arabic"/>
          <w:iCs/>
          <w:szCs w:val="24"/>
          <w:lang w:val="en-US" w:bidi="ar-EG"/>
        </w:rPr>
        <w:t>NP-3/3</w:t>
      </w:r>
      <w:r>
        <w:rPr>
          <w:rFonts w:cs="Simplified Arabic" w:hint="cs"/>
          <w:szCs w:val="24"/>
          <w:rtl/>
          <w:lang w:val="fr-CH" w:bidi="ar-EG"/>
        </w:rPr>
        <w:t>، الفقرة 4،</w:t>
      </w:r>
      <w:r w:rsidRPr="001B4910">
        <w:rPr>
          <w:rFonts w:ascii="Simplified Arabic" w:hAnsi="Simplified Arabic" w:hint="cs"/>
          <w:sz w:val="24"/>
          <w:rtl/>
          <w:lang w:val="fr-CH" w:bidi="ar-EG"/>
        </w:rPr>
        <w:t xml:space="preserve"> </w:t>
      </w:r>
      <w:r w:rsidRPr="001B4910">
        <w:rPr>
          <w:rFonts w:ascii="Simplified Arabic" w:hAnsi="Simplified Arabic" w:cs="Simplified Arabic"/>
          <w:sz w:val="24"/>
          <w:szCs w:val="24"/>
          <w:rtl/>
          <w:lang w:val="fr-CH" w:bidi="ar-EG"/>
        </w:rPr>
        <w:t>الذي حث فيه الأطراف على تقديم معلومات عن إجراءاتها الوطنية بشأن الحصول وتقاسم المنافع من خلال النموذج الموحد الطوعي بشأن الإجراءات، كما هو متاح في غرفة تبادل المعلومات بشأن الحصول وتقاسم المنافع</w:t>
      </w:r>
      <w:r w:rsidR="003832CC">
        <w:rPr>
          <w:rFonts w:ascii="Simplified Arabic" w:hAnsi="Simplified Arabic" w:cs="Simplified Arabic" w:hint="cs"/>
          <w:snapToGrid/>
          <w:kern w:val="22"/>
          <w:sz w:val="24"/>
          <w:szCs w:val="24"/>
          <w:rtl/>
        </w:rPr>
        <w:t>؛</w:t>
      </w:r>
    </w:p>
    <w:p w:rsidR="00752B64" w:rsidRPr="001B4910" w:rsidRDefault="001B4910" w:rsidP="001B4910">
      <w:pPr>
        <w:pStyle w:val="Para1"/>
        <w:numPr>
          <w:ilvl w:val="1"/>
          <w:numId w:val="22"/>
        </w:numPr>
        <w:pBdr>
          <w:top w:val="nil"/>
          <w:left w:val="nil"/>
          <w:bottom w:val="nil"/>
          <w:right w:val="nil"/>
          <w:between w:val="nil"/>
          <w:bar w:val="nil"/>
        </w:pBdr>
        <w:bidi/>
        <w:spacing w:before="0" w:line="216" w:lineRule="auto"/>
        <w:ind w:left="0" w:firstLine="720"/>
        <w:rPr>
          <w:rFonts w:ascii="Simplified Arabic" w:hAnsi="Simplified Arabic" w:cs="Simplified Arabic"/>
          <w:snapToGrid/>
          <w:kern w:val="22"/>
          <w:sz w:val="24"/>
          <w:szCs w:val="24"/>
        </w:rPr>
      </w:pPr>
      <w:r>
        <w:rPr>
          <w:rFonts w:cs="Simplified Arabic" w:hint="cs"/>
          <w:i/>
          <w:iCs/>
          <w:snapToGrid/>
          <w:kern w:val="22"/>
          <w:szCs w:val="24"/>
          <w:rtl/>
          <w:lang w:bidi="ar-EG"/>
        </w:rPr>
        <w:t>يشير كذلك إلى</w:t>
      </w:r>
      <w:r>
        <w:rPr>
          <w:rFonts w:cs="Simplified Arabic" w:hint="cs"/>
          <w:snapToGrid/>
          <w:kern w:val="22"/>
          <w:szCs w:val="24"/>
          <w:rtl/>
          <w:lang w:bidi="ar-EG"/>
        </w:rPr>
        <w:t xml:space="preserve"> المقرر </w:t>
      </w:r>
      <w:r w:rsidRPr="00752B64">
        <w:rPr>
          <w:rFonts w:cs="Simplified Arabic"/>
          <w:iCs/>
          <w:szCs w:val="24"/>
          <w:lang w:val="en-US" w:bidi="ar-EG"/>
        </w:rPr>
        <w:t>NP-3/3</w:t>
      </w:r>
      <w:r>
        <w:rPr>
          <w:rFonts w:cs="Simplified Arabic" w:hint="cs"/>
          <w:szCs w:val="24"/>
          <w:rtl/>
          <w:lang w:val="fr-CH" w:bidi="ar-EG"/>
        </w:rPr>
        <w:t xml:space="preserve">، الفقرة 9، التي دعا فيه </w:t>
      </w:r>
      <w:r w:rsidRPr="001B4910">
        <w:rPr>
          <w:rFonts w:ascii="Simplified Arabic" w:eastAsia="Times New Roman" w:hAnsi="Simplified Arabic" w:cs="Simplified Arabic"/>
          <w:sz w:val="24"/>
          <w:szCs w:val="24"/>
          <w:rtl/>
          <w:lang w:val="fr-CH" w:bidi="ar-EG"/>
        </w:rPr>
        <w:t>الأطراف</w:t>
      </w:r>
      <w:r w:rsidRPr="001B4910">
        <w:rPr>
          <w:rFonts w:ascii="Simplified Arabic" w:eastAsia="Times New Roman" w:hAnsi="Simplified Arabic" w:cs="Simplified Arabic"/>
          <w:kern w:val="22"/>
          <w:sz w:val="24"/>
          <w:szCs w:val="24"/>
          <w:rtl/>
          <w:lang w:bidi="ar-EG"/>
        </w:rPr>
        <w:t xml:space="preserve"> وغير الأطراف والمنظمات ذات الصلة إلى استخدام آليات التشغيل البيني ل</w:t>
      </w:r>
      <w:r w:rsidRPr="001B4910">
        <w:rPr>
          <w:rFonts w:ascii="Simplified Arabic" w:eastAsia="Times New Roman" w:hAnsi="Simplified Arabic" w:cs="Simplified Arabic"/>
          <w:kern w:val="22"/>
          <w:sz w:val="24"/>
          <w:szCs w:val="24"/>
          <w:rtl/>
        </w:rPr>
        <w:t>غرفة تبادل المعلومات بشأن الحصول وتقاسم المنافع لتيسير تبادل المعلومات مع قواعد بياناتها ومواقعها الإلكترونية ونُظمها في مجال تكنولوجيا المعلومات ذات الصلة</w:t>
      </w:r>
      <w:r>
        <w:rPr>
          <w:rFonts w:ascii="Simplified Arabic" w:eastAsia="Times New Roman" w:hAnsi="Simplified Arabic" w:cs="Simplified Arabic" w:hint="cs"/>
          <w:kern w:val="22"/>
          <w:sz w:val="24"/>
          <w:szCs w:val="24"/>
          <w:rtl/>
        </w:rPr>
        <w:t xml:space="preserve">، والمقرر </w:t>
      </w:r>
      <w:r w:rsidRPr="00752B64">
        <w:rPr>
          <w:rFonts w:cs="Simplified Arabic"/>
          <w:iCs/>
          <w:szCs w:val="24"/>
          <w:lang w:val="en-US" w:bidi="ar-EG"/>
        </w:rPr>
        <w:t>NP-3/3</w:t>
      </w:r>
      <w:r>
        <w:rPr>
          <w:rFonts w:cs="Simplified Arabic" w:hint="cs"/>
          <w:szCs w:val="24"/>
          <w:rtl/>
          <w:lang w:val="fr-CH" w:bidi="ar-EG"/>
        </w:rPr>
        <w:t xml:space="preserve">، الفقرة 10، الذي دعا فيه </w:t>
      </w:r>
      <w:r w:rsidRPr="001B4910">
        <w:rPr>
          <w:rFonts w:ascii="Simplified Arabic" w:eastAsia="Times New Roman" w:hAnsi="Simplified Arabic" w:cs="Simplified Arabic"/>
          <w:kern w:val="22"/>
          <w:sz w:val="24"/>
          <w:szCs w:val="24"/>
          <w:rtl/>
        </w:rPr>
        <w:t>الأطراف</w:t>
      </w:r>
      <w:r w:rsidRPr="001B4910">
        <w:rPr>
          <w:rFonts w:ascii="Simplified Arabic" w:eastAsia="Times New Roman" w:hAnsi="Simplified Arabic" w:cs="Simplified Arabic"/>
          <w:kern w:val="22"/>
          <w:sz w:val="24"/>
          <w:szCs w:val="24"/>
          <w:rtl/>
          <w:lang w:bidi="ar-EG"/>
        </w:rPr>
        <w:t xml:space="preserve"> وغير الأطراف والمنظمات ذات الصلة، حسب الاقتضاء، إلى إدراج أنشطة بناء القدرات ذات الصلة ب</w:t>
      </w:r>
      <w:r w:rsidRPr="001B4910">
        <w:rPr>
          <w:rFonts w:ascii="Simplified Arabic" w:eastAsia="Times New Roman" w:hAnsi="Simplified Arabic" w:cs="Simplified Arabic"/>
          <w:kern w:val="22"/>
          <w:sz w:val="24"/>
          <w:szCs w:val="24"/>
          <w:rtl/>
        </w:rPr>
        <w:t xml:space="preserve">غرفة تبادل المعلومات بشأن الحصول وتقاسم المنافع في </w:t>
      </w:r>
      <w:r w:rsidRPr="001B4910">
        <w:rPr>
          <w:rFonts w:ascii="Simplified Arabic" w:eastAsia="Times New Roman" w:hAnsi="Simplified Arabic" w:cs="Simplified Arabic"/>
          <w:kern w:val="22"/>
          <w:sz w:val="24"/>
          <w:szCs w:val="24"/>
          <w:rtl/>
          <w:lang w:bidi="ar-EG"/>
        </w:rPr>
        <w:t>أنشطتها وخططها ومشاريعها ذات الصلة في مجال بناء القدرات بالتنسيق مع الأمينة التنفيذية</w:t>
      </w:r>
      <w:r>
        <w:rPr>
          <w:rFonts w:ascii="Simplified Arabic" w:eastAsia="Times New Roman" w:hAnsi="Simplified Arabic" w:cs="Simplified Arabic" w:hint="cs"/>
          <w:kern w:val="22"/>
          <w:sz w:val="24"/>
          <w:szCs w:val="24"/>
          <w:rtl/>
          <w:lang w:bidi="ar-EG"/>
        </w:rPr>
        <w:t xml:space="preserve">، </w:t>
      </w:r>
      <w:r>
        <w:rPr>
          <w:rFonts w:ascii="Simplified Arabic" w:eastAsia="Times New Roman" w:hAnsi="Simplified Arabic" w:cs="Simplified Arabic" w:hint="cs"/>
          <w:kern w:val="22"/>
          <w:sz w:val="24"/>
          <w:szCs w:val="24"/>
          <w:rtl/>
        </w:rPr>
        <w:t xml:space="preserve">والمقرر </w:t>
      </w:r>
      <w:r w:rsidRPr="00752B64">
        <w:rPr>
          <w:rFonts w:cs="Simplified Arabic"/>
          <w:iCs/>
          <w:szCs w:val="24"/>
          <w:lang w:val="en-US" w:bidi="ar-EG"/>
        </w:rPr>
        <w:t>NP-3/3</w:t>
      </w:r>
      <w:r>
        <w:rPr>
          <w:rFonts w:cs="Simplified Arabic" w:hint="cs"/>
          <w:szCs w:val="24"/>
          <w:rtl/>
          <w:lang w:val="fr-CH" w:bidi="ar-EG"/>
        </w:rPr>
        <w:t>، الفقرة 11، الذي دعا فيه</w:t>
      </w:r>
      <w:r w:rsidRPr="001B4910">
        <w:rPr>
          <w:rFonts w:ascii="Simplified Arabic" w:hAnsi="Simplified Arabic" w:cs="Simplified Arabic"/>
          <w:sz w:val="24"/>
          <w:szCs w:val="24"/>
          <w:rtl/>
          <w:lang w:val="fr-CH" w:bidi="ar-EG"/>
        </w:rPr>
        <w:t xml:space="preserve"> </w:t>
      </w:r>
      <w:r w:rsidRPr="001B4910">
        <w:rPr>
          <w:rFonts w:ascii="Simplified Arabic" w:eastAsia="Times New Roman" w:hAnsi="Simplified Arabic" w:cs="Simplified Arabic"/>
          <w:kern w:val="22"/>
          <w:sz w:val="24"/>
          <w:szCs w:val="24"/>
          <w:rtl/>
        </w:rPr>
        <w:t>الأطراف</w:t>
      </w:r>
      <w:r w:rsidRPr="001B4910">
        <w:rPr>
          <w:rFonts w:ascii="Simplified Arabic" w:eastAsia="Times New Roman" w:hAnsi="Simplified Arabic" w:cs="Simplified Arabic"/>
          <w:kern w:val="22"/>
          <w:sz w:val="24"/>
          <w:szCs w:val="24"/>
          <w:rtl/>
          <w:lang w:bidi="ar-EG"/>
        </w:rPr>
        <w:t xml:space="preserve"> وغير الأطراف والمنظمات الدولية ذات الصلة والمصارف الإنمائية الإقليمية والمؤسسات المالية الأخرى، حسب الاقتضاء، إلى دعم أنشطة بناء القدرات ذات الصلة ب</w:t>
      </w:r>
      <w:r w:rsidRPr="001B4910">
        <w:rPr>
          <w:rFonts w:ascii="Simplified Arabic" w:eastAsia="Times New Roman" w:hAnsi="Simplified Arabic" w:cs="Simplified Arabic"/>
          <w:kern w:val="22"/>
          <w:sz w:val="24"/>
          <w:szCs w:val="24"/>
          <w:rtl/>
        </w:rPr>
        <w:t>غرفة تبادل المعلومات بشأن الحصول وتقاسم المنافع، بما في ذلك نظام البروتوكول لرصد استخدام الموارد الجينية</w:t>
      </w:r>
      <w:r w:rsidR="00752B64" w:rsidRPr="001B4910">
        <w:rPr>
          <w:rFonts w:ascii="Simplified Arabic" w:hAnsi="Simplified Arabic" w:cs="Simplified Arabic"/>
          <w:sz w:val="24"/>
          <w:szCs w:val="24"/>
          <w:rtl/>
          <w:lang w:val="fr-CH" w:bidi="ar-EG"/>
        </w:rPr>
        <w:t>؛</w:t>
      </w:r>
    </w:p>
    <w:p w:rsidR="00752B64" w:rsidRPr="00752B64" w:rsidRDefault="00FC4DFE" w:rsidP="00FC4DFE">
      <w:pPr>
        <w:pStyle w:val="Para1"/>
        <w:numPr>
          <w:ilvl w:val="1"/>
          <w:numId w:val="22"/>
        </w:numPr>
        <w:pBdr>
          <w:top w:val="nil"/>
          <w:left w:val="nil"/>
          <w:bottom w:val="nil"/>
          <w:right w:val="nil"/>
          <w:between w:val="nil"/>
          <w:bar w:val="nil"/>
        </w:pBdr>
        <w:bidi/>
        <w:spacing w:before="0" w:line="216" w:lineRule="auto"/>
        <w:ind w:left="0" w:firstLine="720"/>
        <w:rPr>
          <w:rFonts w:cs="Simplified Arabic"/>
          <w:snapToGrid/>
          <w:kern w:val="22"/>
          <w:szCs w:val="24"/>
        </w:rPr>
      </w:pPr>
      <w:r w:rsidRPr="00FC4DFE">
        <w:rPr>
          <w:rFonts w:ascii="Simplified Arabic" w:eastAsia="Times New Roman" w:hAnsi="Simplified Arabic" w:cs="Simplified Arabic" w:hint="cs"/>
          <w:i/>
          <w:iCs/>
          <w:kern w:val="22"/>
          <w:sz w:val="24"/>
          <w:szCs w:val="24"/>
          <w:rtl/>
        </w:rPr>
        <w:t>يدعو</w:t>
      </w:r>
      <w:r>
        <w:rPr>
          <w:rFonts w:ascii="Simplified Arabic" w:eastAsia="Times New Roman" w:hAnsi="Simplified Arabic" w:cs="Simplified Arabic" w:hint="cs"/>
          <w:kern w:val="22"/>
          <w:sz w:val="24"/>
          <w:szCs w:val="24"/>
          <w:rtl/>
        </w:rPr>
        <w:t xml:space="preserve"> </w:t>
      </w:r>
      <w:r w:rsidR="001B4910" w:rsidRPr="001B4910">
        <w:rPr>
          <w:rFonts w:ascii="Simplified Arabic" w:eastAsia="Times New Roman" w:hAnsi="Simplified Arabic" w:cs="Simplified Arabic"/>
          <w:kern w:val="22"/>
          <w:sz w:val="24"/>
          <w:szCs w:val="24"/>
          <w:rtl/>
        </w:rPr>
        <w:t>الأطراف</w:t>
      </w:r>
      <w:r w:rsidR="001B4910" w:rsidRPr="001B4910">
        <w:rPr>
          <w:rFonts w:ascii="Simplified Arabic" w:eastAsia="Times New Roman" w:hAnsi="Simplified Arabic" w:cs="Simplified Arabic"/>
          <w:kern w:val="22"/>
          <w:sz w:val="24"/>
          <w:szCs w:val="24"/>
          <w:rtl/>
          <w:lang w:bidi="ar-EG"/>
        </w:rPr>
        <w:t xml:space="preserve"> وغير الأطراف والمنظمات الدولية ذات الصلة والمصارف الإنمائية الإقليمية والمؤسسات المالية الأخرى، حسب الاقتضاء، إلى دعم أنشطة بناء القدرات</w:t>
      </w:r>
      <w:r>
        <w:rPr>
          <w:rFonts w:ascii="Simplified Arabic" w:eastAsia="Times New Roman" w:hAnsi="Simplified Arabic" w:cs="Simplified Arabic" w:hint="cs"/>
          <w:kern w:val="22"/>
          <w:sz w:val="24"/>
          <w:szCs w:val="24"/>
          <w:rtl/>
          <w:lang w:bidi="ar-EG"/>
        </w:rPr>
        <w:t>، بما في ذلك تلك الأنشطة المتعلقة بوضع نظم وطنية لتصاريح الحصول وتقاسم المنافع ونظم تكنولوجيا المعلومات الأخرى ذات الصلة التي تستخدم آليات التشغيل البيني لغرفة تبادل المعلومات بشأن الحصول وتقاسم المنافع</w:t>
      </w:r>
      <w:r w:rsidR="00752B64" w:rsidRPr="00752B64">
        <w:rPr>
          <w:rFonts w:cs="Simplified Arabic" w:hint="cs"/>
          <w:snapToGrid/>
          <w:kern w:val="22"/>
          <w:szCs w:val="24"/>
          <w:rtl/>
        </w:rPr>
        <w:t>؛</w:t>
      </w:r>
    </w:p>
    <w:p w:rsidR="00625C9C" w:rsidRPr="00FC4DFE" w:rsidRDefault="00752B64" w:rsidP="003832CC">
      <w:pPr>
        <w:pStyle w:val="Para1"/>
        <w:numPr>
          <w:ilvl w:val="1"/>
          <w:numId w:val="22"/>
        </w:numPr>
        <w:pBdr>
          <w:top w:val="nil"/>
          <w:left w:val="nil"/>
          <w:bottom w:val="nil"/>
          <w:right w:val="nil"/>
          <w:between w:val="nil"/>
          <w:bar w:val="nil"/>
        </w:pBdr>
        <w:bidi/>
        <w:spacing w:before="0" w:after="0" w:line="216" w:lineRule="auto"/>
        <w:ind w:left="0" w:firstLine="720"/>
        <w:rPr>
          <w:rFonts w:cs="Simplified Arabic"/>
          <w:snapToGrid/>
          <w:kern w:val="22"/>
          <w:szCs w:val="24"/>
        </w:rPr>
      </w:pPr>
      <w:r w:rsidRPr="00FC4DFE">
        <w:rPr>
          <w:rFonts w:cs="Simplified Arabic" w:hint="cs"/>
          <w:i/>
          <w:iCs/>
          <w:snapToGrid/>
          <w:kern w:val="22"/>
          <w:szCs w:val="24"/>
          <w:rtl/>
        </w:rPr>
        <w:t>يطلب إلى</w:t>
      </w:r>
      <w:r w:rsidRPr="00752B64">
        <w:rPr>
          <w:rFonts w:cs="Simplified Arabic" w:hint="cs"/>
          <w:snapToGrid/>
          <w:kern w:val="22"/>
          <w:szCs w:val="24"/>
          <w:rtl/>
        </w:rPr>
        <w:t xml:space="preserve"> الأمينة التنفيذية مواصلة </w:t>
      </w:r>
      <w:r w:rsidR="00FC4DFE">
        <w:rPr>
          <w:rFonts w:cs="Simplified Arabic" w:hint="cs"/>
          <w:snapToGrid/>
          <w:kern w:val="22"/>
          <w:szCs w:val="24"/>
          <w:rtl/>
        </w:rPr>
        <w:t>إعداد</w:t>
      </w:r>
      <w:r w:rsidRPr="00752B64">
        <w:rPr>
          <w:rFonts w:cs="Simplified Arabic" w:hint="cs"/>
          <w:snapToGrid/>
          <w:kern w:val="22"/>
          <w:szCs w:val="24"/>
          <w:rtl/>
        </w:rPr>
        <w:t xml:space="preserve"> وإدارة </w:t>
      </w:r>
      <w:r w:rsidRPr="00752B64">
        <w:rPr>
          <w:rFonts w:cs="Simplified Arabic" w:hint="cs"/>
          <w:szCs w:val="24"/>
          <w:rtl/>
          <w:lang w:val="fr-CH" w:bidi="ar-EG"/>
        </w:rPr>
        <w:t>غرفة تبادل المعلومات بشأن الحصول وتقاسم المنافع</w:t>
      </w:r>
      <w:r w:rsidRPr="00752B64">
        <w:rPr>
          <w:rFonts w:cs="Simplified Arabic" w:hint="cs"/>
          <w:snapToGrid/>
          <w:kern w:val="22"/>
          <w:szCs w:val="24"/>
          <w:rtl/>
        </w:rPr>
        <w:t xml:space="preserve"> من خلال اتباع الأهداف والأولويات لمواصلة </w:t>
      </w:r>
      <w:r w:rsidR="003832CC">
        <w:rPr>
          <w:rFonts w:cs="Simplified Arabic" w:hint="cs"/>
          <w:snapToGrid/>
          <w:kern w:val="22"/>
          <w:szCs w:val="24"/>
          <w:rtl/>
        </w:rPr>
        <w:t>تطوير</w:t>
      </w:r>
      <w:r w:rsidRPr="00752B64">
        <w:rPr>
          <w:rFonts w:cs="Simplified Arabic" w:hint="cs"/>
          <w:snapToGrid/>
          <w:kern w:val="22"/>
          <w:szCs w:val="24"/>
          <w:rtl/>
        </w:rPr>
        <w:t xml:space="preserve"> وإدارة </w:t>
      </w:r>
      <w:r w:rsidRPr="00752B64">
        <w:rPr>
          <w:rFonts w:cs="Simplified Arabic" w:hint="cs"/>
          <w:szCs w:val="24"/>
          <w:rtl/>
          <w:lang w:val="fr-CH" w:bidi="ar-EG"/>
        </w:rPr>
        <w:t xml:space="preserve">غرفة تبادل المعلومات بشأن الحصول وتقاسم المنافع </w:t>
      </w:r>
      <w:r w:rsidRPr="00752B64">
        <w:rPr>
          <w:rFonts w:cs="Simplified Arabic" w:hint="cs"/>
          <w:snapToGrid/>
          <w:kern w:val="22"/>
          <w:szCs w:val="24"/>
          <w:rtl/>
        </w:rPr>
        <w:t xml:space="preserve">الواردة في المرفق </w:t>
      </w:r>
      <w:r w:rsidR="00FC4DFE">
        <w:rPr>
          <w:rFonts w:cs="Simplified Arabic" w:hint="cs"/>
          <w:snapToGrid/>
          <w:kern w:val="22"/>
          <w:szCs w:val="24"/>
          <w:rtl/>
        </w:rPr>
        <w:t xml:space="preserve">بالمقرر </w:t>
      </w:r>
      <w:r w:rsidR="00FC4DFE" w:rsidRPr="00752B64">
        <w:rPr>
          <w:rFonts w:cs="Simplified Arabic"/>
          <w:iCs/>
          <w:szCs w:val="24"/>
          <w:lang w:val="en-US" w:bidi="ar-EG"/>
        </w:rPr>
        <w:t>NP-3/3</w:t>
      </w:r>
      <w:r w:rsidR="00FC4DFE">
        <w:rPr>
          <w:rFonts w:cs="Simplified Arabic" w:hint="cs"/>
          <w:szCs w:val="24"/>
          <w:rtl/>
          <w:lang w:val="fr-CH" w:bidi="ar-EG"/>
        </w:rPr>
        <w:t>،</w:t>
      </w:r>
      <w:r w:rsidRPr="00752B64">
        <w:rPr>
          <w:rFonts w:cs="Simplified Arabic" w:hint="cs"/>
          <w:snapToGrid/>
          <w:kern w:val="22"/>
          <w:szCs w:val="24"/>
          <w:rtl/>
        </w:rPr>
        <w:t xml:space="preserve"> وفقا لطرائق التشغيل والتعليقات الواردة، خاصة تلك المتعلقة بالأطراف واللجنة الاستشارية غير الرسمية لدى </w:t>
      </w:r>
      <w:r w:rsidRPr="00752B64">
        <w:rPr>
          <w:rFonts w:cs="Simplified Arabic" w:hint="cs"/>
          <w:szCs w:val="24"/>
          <w:rtl/>
          <w:lang w:val="fr-CH" w:bidi="ar-EG"/>
        </w:rPr>
        <w:t>غرفة تبادل المعلومات بشأن الحصول وتقاسم المنافع</w:t>
      </w:r>
      <w:r w:rsidR="00625C9C" w:rsidRPr="00FC4DFE">
        <w:rPr>
          <w:rFonts w:cs="Simplified Arabic" w:hint="cs"/>
          <w:snapToGrid/>
          <w:spacing w:val="-1"/>
          <w:kern w:val="22"/>
          <w:szCs w:val="24"/>
          <w:rtl/>
          <w:lang w:bidi="ar-EG"/>
        </w:rPr>
        <w:t>.</w:t>
      </w:r>
    </w:p>
    <w:p w:rsidR="008F1236" w:rsidRPr="00D6373D" w:rsidRDefault="00D6373D" w:rsidP="0083554D">
      <w:pPr>
        <w:bidi w:val="0"/>
        <w:spacing w:after="120"/>
        <w:jc w:val="center"/>
        <w:rPr>
          <w:i/>
          <w:iCs/>
          <w:kern w:val="22"/>
          <w:rtl/>
        </w:rPr>
      </w:pPr>
      <w:r>
        <w:rPr>
          <w:kern w:val="22"/>
          <w:rtl/>
        </w:rPr>
        <w:br w:type="page"/>
      </w:r>
      <w:r w:rsidRPr="00D6373D">
        <w:rPr>
          <w:rFonts w:hint="cs"/>
          <w:i/>
          <w:iCs/>
          <w:kern w:val="22"/>
          <w:rtl/>
        </w:rPr>
        <w:lastRenderedPageBreak/>
        <w:t>المرفق الأول</w:t>
      </w:r>
    </w:p>
    <w:p w:rsidR="00D6373D" w:rsidRPr="00D6373D" w:rsidRDefault="00F22329" w:rsidP="0083554D">
      <w:pPr>
        <w:spacing w:after="120"/>
        <w:jc w:val="center"/>
        <w:rPr>
          <w:b/>
          <w:bCs/>
          <w:kern w:val="22"/>
          <w:rtl/>
        </w:rPr>
      </w:pPr>
      <w:r>
        <w:rPr>
          <w:rFonts w:hint="cs"/>
          <w:b/>
          <w:bCs/>
          <w:kern w:val="22"/>
          <w:rtl/>
        </w:rPr>
        <w:t>الدراسات التحليلية</w:t>
      </w:r>
      <w:r w:rsidR="00D6373D" w:rsidRPr="00D6373D">
        <w:rPr>
          <w:rFonts w:hint="cs"/>
          <w:b/>
          <w:bCs/>
          <w:kern w:val="22"/>
          <w:rtl/>
        </w:rPr>
        <w:t xml:space="preserve"> </w:t>
      </w:r>
      <w:r>
        <w:rPr>
          <w:rFonts w:hint="cs"/>
          <w:b/>
          <w:bCs/>
          <w:kern w:val="22"/>
          <w:rtl/>
        </w:rPr>
        <w:t>الرئيسية ل</w:t>
      </w:r>
      <w:r w:rsidR="00D6373D" w:rsidRPr="00D6373D">
        <w:rPr>
          <w:rFonts w:hint="cs"/>
          <w:b/>
          <w:bCs/>
          <w:kern w:val="22"/>
          <w:rtl/>
        </w:rPr>
        <w:t>لموقع الشبكي وشغل غرفة تبادل المعلومات بشأن الحصول وتقاسم المنافع</w:t>
      </w:r>
    </w:p>
    <w:p w:rsidR="00D6373D" w:rsidRDefault="0036628C" w:rsidP="0083554D">
      <w:pPr>
        <w:spacing w:after="120"/>
        <w:jc w:val="both"/>
        <w:rPr>
          <w:kern w:val="22"/>
          <w:rtl/>
        </w:rPr>
      </w:pPr>
      <w:r>
        <w:rPr>
          <w:rFonts w:hint="cs"/>
          <w:kern w:val="22"/>
          <w:rtl/>
        </w:rPr>
        <w:t>يبين الجدول 2 الزيادة في عدد السجلات الوطنية عبر الزمن. ويوزع الجدول المعلومات حسب حالة الطرف فضلا عن أنه يشير إلى العدد الكلي للأطراف في البروتوكول في نهاية كل فترة. وتظهر في الجدول 3 الزيادة في شغل مختلف السجلات المرجعية منذ عام 2015 وتظهر في الجدول 4 الإحصاءات العامة من الدراسات التحليلية لغوغل المتعلقة باستخدام غرفة تبادل المعلومات بشأن الحصول وتقاسم المنافع.</w:t>
      </w:r>
    </w:p>
    <w:p w:rsidR="0036628C" w:rsidRPr="0027416C" w:rsidRDefault="0036628C" w:rsidP="00AC030C">
      <w:pPr>
        <w:jc w:val="both"/>
        <w:rPr>
          <w:b/>
          <w:bCs/>
          <w:kern w:val="22"/>
          <w:rtl/>
        </w:rPr>
      </w:pPr>
      <w:r w:rsidRPr="0027416C">
        <w:rPr>
          <w:rFonts w:hint="cs"/>
          <w:b/>
          <w:bCs/>
          <w:kern w:val="22"/>
          <w:rtl/>
        </w:rPr>
        <w:t>الجدول 2. عدد السجلات الوطنية المنشورة في غرفة تبادل المعلومات بشأن الحصول وتقاسم المنافع</w:t>
      </w:r>
    </w:p>
    <w:tbl>
      <w:tblPr>
        <w:tblStyle w:val="TableGrid"/>
        <w:bidiVisual/>
        <w:tblW w:w="9493" w:type="dxa"/>
        <w:tblLook w:val="04A0"/>
      </w:tblPr>
      <w:tblGrid>
        <w:gridCol w:w="2988"/>
        <w:gridCol w:w="1753"/>
        <w:gridCol w:w="1188"/>
        <w:gridCol w:w="1188"/>
        <w:gridCol w:w="1188"/>
        <w:gridCol w:w="1188"/>
      </w:tblGrid>
      <w:tr w:rsidR="00D61F8C" w:rsidRPr="00F7427D" w:rsidTr="00D61F8C">
        <w:tc>
          <w:tcPr>
            <w:tcW w:w="2988" w:type="dxa"/>
          </w:tcPr>
          <w:p w:rsidR="00D61F8C" w:rsidRPr="00D61F8C" w:rsidRDefault="00D61F8C" w:rsidP="00D61F8C">
            <w:pPr>
              <w:pStyle w:val="Para1"/>
              <w:numPr>
                <w:ilvl w:val="0"/>
                <w:numId w:val="0"/>
              </w:numPr>
              <w:bidi/>
              <w:spacing w:before="60" w:after="60" w:line="216" w:lineRule="auto"/>
              <w:rPr>
                <w:rFonts w:ascii="Simplified Arabic" w:hAnsi="Simplified Arabic" w:cs="Simplified Arabic"/>
                <w:b/>
                <w:bCs/>
                <w:snapToGrid/>
                <w:szCs w:val="22"/>
                <w:lang w:val="en-US"/>
              </w:rPr>
            </w:pPr>
            <w:r w:rsidRPr="00D61F8C">
              <w:rPr>
                <w:rFonts w:ascii="Simplified Arabic" w:hAnsi="Simplified Arabic" w:cs="Simplified Arabic"/>
                <w:b/>
                <w:bCs/>
                <w:snapToGrid/>
                <w:szCs w:val="22"/>
                <w:rtl/>
              </w:rPr>
              <w:t>نوع السجل</w:t>
            </w:r>
          </w:p>
        </w:tc>
        <w:tc>
          <w:tcPr>
            <w:tcW w:w="1753" w:type="dxa"/>
          </w:tcPr>
          <w:p w:rsidR="00D61F8C" w:rsidRPr="00D61F8C" w:rsidRDefault="00D61F8C" w:rsidP="00D61F8C">
            <w:pPr>
              <w:pStyle w:val="Para1"/>
              <w:numPr>
                <w:ilvl w:val="0"/>
                <w:numId w:val="0"/>
              </w:numPr>
              <w:bidi/>
              <w:spacing w:before="60" w:after="60" w:line="216" w:lineRule="auto"/>
              <w:rPr>
                <w:rFonts w:ascii="Simplified Arabic" w:hAnsi="Simplified Arabic" w:cs="Simplified Arabic"/>
                <w:b/>
                <w:bCs/>
                <w:snapToGrid/>
                <w:szCs w:val="22"/>
              </w:rPr>
            </w:pPr>
            <w:r w:rsidRPr="00D61F8C">
              <w:rPr>
                <w:rFonts w:ascii="Simplified Arabic" w:hAnsi="Simplified Arabic" w:cs="Simplified Arabic"/>
                <w:b/>
                <w:bCs/>
                <w:snapToGrid/>
                <w:szCs w:val="22"/>
                <w:rtl/>
              </w:rPr>
              <w:t xml:space="preserve">السجلات مقدمة من </w:t>
            </w:r>
          </w:p>
        </w:tc>
        <w:tc>
          <w:tcPr>
            <w:tcW w:w="1188" w:type="dxa"/>
          </w:tcPr>
          <w:p w:rsidR="00D61F8C" w:rsidRDefault="00D61F8C" w:rsidP="00D61F8C">
            <w:pPr>
              <w:pStyle w:val="Para1"/>
              <w:numPr>
                <w:ilvl w:val="0"/>
                <w:numId w:val="0"/>
              </w:numPr>
              <w:bidi/>
              <w:spacing w:before="60" w:after="60" w:line="216" w:lineRule="auto"/>
              <w:jc w:val="center"/>
              <w:rPr>
                <w:rFonts w:ascii="Simplified Arabic" w:hAnsi="Simplified Arabic" w:cs="Simplified Arabic"/>
                <w:b/>
                <w:bCs/>
                <w:snapToGrid/>
                <w:szCs w:val="22"/>
                <w:rtl/>
                <w:lang w:val="en-US"/>
              </w:rPr>
            </w:pPr>
            <w:r>
              <w:rPr>
                <w:rFonts w:ascii="Simplified Arabic" w:hAnsi="Simplified Arabic" w:cs="Simplified Arabic" w:hint="cs"/>
                <w:b/>
                <w:bCs/>
                <w:snapToGrid/>
                <w:szCs w:val="22"/>
                <w:rtl/>
                <w:lang w:val="en-US"/>
              </w:rPr>
              <w:t>حتى نوفمبر/تشرين الثاني 2015</w:t>
            </w:r>
          </w:p>
          <w:p w:rsidR="00D61F8C" w:rsidRPr="00D61F8C" w:rsidRDefault="00D61F8C" w:rsidP="00D61F8C">
            <w:pPr>
              <w:pStyle w:val="Para1"/>
              <w:numPr>
                <w:ilvl w:val="0"/>
                <w:numId w:val="0"/>
              </w:numPr>
              <w:bidi/>
              <w:spacing w:before="60" w:after="60" w:line="216" w:lineRule="auto"/>
              <w:jc w:val="center"/>
              <w:rPr>
                <w:rFonts w:ascii="Simplified Arabic" w:hAnsi="Simplified Arabic" w:cs="Simplified Arabic"/>
                <w:b/>
                <w:bCs/>
                <w:snapToGrid/>
                <w:szCs w:val="22"/>
                <w:lang w:val="en-US"/>
              </w:rPr>
            </w:pPr>
            <w:r>
              <w:rPr>
                <w:rFonts w:ascii="Simplified Arabic" w:hAnsi="Simplified Arabic" w:cs="Simplified Arabic" w:hint="cs"/>
                <w:b/>
                <w:bCs/>
                <w:snapToGrid/>
                <w:szCs w:val="22"/>
                <w:rtl/>
                <w:lang w:val="en-US"/>
              </w:rPr>
              <w:t>69 طرفا</w:t>
            </w:r>
            <w:r>
              <w:rPr>
                <w:rStyle w:val="FootnoteReference"/>
                <w:rFonts w:ascii="Simplified Arabic" w:hAnsi="Simplified Arabic"/>
                <w:b/>
                <w:bCs/>
                <w:snapToGrid/>
                <w:rtl/>
                <w:lang w:val="en-US"/>
              </w:rPr>
              <w:footnoteReference w:id="10"/>
            </w:r>
          </w:p>
        </w:tc>
        <w:tc>
          <w:tcPr>
            <w:tcW w:w="1188" w:type="dxa"/>
          </w:tcPr>
          <w:p w:rsidR="00D61F8C" w:rsidRDefault="00D61F8C" w:rsidP="00D61F8C">
            <w:pPr>
              <w:pStyle w:val="Para1"/>
              <w:numPr>
                <w:ilvl w:val="0"/>
                <w:numId w:val="0"/>
              </w:numPr>
              <w:bidi/>
              <w:spacing w:before="60" w:after="60" w:line="216" w:lineRule="auto"/>
              <w:jc w:val="center"/>
              <w:rPr>
                <w:rFonts w:ascii="Simplified Arabic" w:hAnsi="Simplified Arabic" w:cs="Simplified Arabic"/>
                <w:b/>
                <w:bCs/>
                <w:snapToGrid/>
                <w:szCs w:val="22"/>
                <w:rtl/>
                <w:lang w:val="en-US"/>
              </w:rPr>
            </w:pPr>
            <w:r>
              <w:rPr>
                <w:rFonts w:ascii="Simplified Arabic" w:hAnsi="Simplified Arabic" w:cs="Simplified Arabic" w:hint="cs"/>
                <w:b/>
                <w:bCs/>
                <w:snapToGrid/>
                <w:szCs w:val="22"/>
                <w:rtl/>
                <w:lang w:val="en-US"/>
              </w:rPr>
              <w:t>حتى نوفمبر/تشرين الثاني 2017</w:t>
            </w:r>
          </w:p>
          <w:p w:rsidR="00D61F8C" w:rsidRPr="00D61F8C" w:rsidRDefault="00D61F8C" w:rsidP="00D61F8C">
            <w:pPr>
              <w:pStyle w:val="Para1"/>
              <w:numPr>
                <w:ilvl w:val="0"/>
                <w:numId w:val="0"/>
              </w:numPr>
              <w:bidi/>
              <w:spacing w:before="60" w:after="60" w:line="216" w:lineRule="auto"/>
              <w:jc w:val="center"/>
              <w:rPr>
                <w:rFonts w:ascii="Simplified Arabic" w:hAnsi="Simplified Arabic" w:cs="Simplified Arabic"/>
                <w:b/>
                <w:bCs/>
                <w:snapToGrid/>
                <w:szCs w:val="22"/>
                <w:lang w:bidi="ar-EG"/>
              </w:rPr>
            </w:pPr>
            <w:r>
              <w:rPr>
                <w:rFonts w:ascii="Simplified Arabic" w:hAnsi="Simplified Arabic" w:cs="Simplified Arabic" w:hint="cs"/>
                <w:b/>
                <w:bCs/>
                <w:snapToGrid/>
                <w:szCs w:val="22"/>
                <w:rtl/>
                <w:lang w:val="en-US"/>
              </w:rPr>
              <w:t>104 طرفا</w:t>
            </w:r>
          </w:p>
        </w:tc>
        <w:tc>
          <w:tcPr>
            <w:tcW w:w="1188" w:type="dxa"/>
          </w:tcPr>
          <w:p w:rsidR="00D61F8C" w:rsidRDefault="00D61F8C" w:rsidP="00D61F8C">
            <w:pPr>
              <w:pStyle w:val="Para1"/>
              <w:numPr>
                <w:ilvl w:val="0"/>
                <w:numId w:val="0"/>
              </w:numPr>
              <w:bidi/>
              <w:spacing w:before="60" w:after="60" w:line="216" w:lineRule="auto"/>
              <w:jc w:val="center"/>
              <w:rPr>
                <w:rFonts w:ascii="Simplified Arabic" w:hAnsi="Simplified Arabic" w:cs="Simplified Arabic"/>
                <w:b/>
                <w:bCs/>
                <w:snapToGrid/>
                <w:szCs w:val="22"/>
                <w:rtl/>
                <w:lang w:val="en-US"/>
              </w:rPr>
            </w:pPr>
            <w:r>
              <w:rPr>
                <w:rFonts w:ascii="Simplified Arabic" w:hAnsi="Simplified Arabic" w:cs="Simplified Arabic" w:hint="cs"/>
                <w:b/>
                <w:bCs/>
                <w:snapToGrid/>
                <w:szCs w:val="22"/>
                <w:rtl/>
                <w:lang w:val="en-US"/>
              </w:rPr>
              <w:t>حتى نوفمبر/تشرين الثاني 2019</w:t>
            </w:r>
          </w:p>
          <w:p w:rsidR="00D61F8C" w:rsidRPr="00D61F8C" w:rsidRDefault="00D61F8C" w:rsidP="00D61F8C">
            <w:pPr>
              <w:pStyle w:val="Para1"/>
              <w:numPr>
                <w:ilvl w:val="0"/>
                <w:numId w:val="0"/>
              </w:numPr>
              <w:bidi/>
              <w:spacing w:before="60" w:after="60" w:line="216" w:lineRule="auto"/>
              <w:jc w:val="center"/>
              <w:rPr>
                <w:rFonts w:ascii="Simplified Arabic" w:hAnsi="Simplified Arabic" w:cs="Simplified Arabic"/>
                <w:b/>
                <w:bCs/>
                <w:snapToGrid/>
                <w:szCs w:val="22"/>
              </w:rPr>
            </w:pPr>
            <w:r>
              <w:rPr>
                <w:rFonts w:ascii="Simplified Arabic" w:hAnsi="Simplified Arabic" w:cs="Simplified Arabic" w:hint="cs"/>
                <w:b/>
                <w:bCs/>
                <w:snapToGrid/>
                <w:szCs w:val="22"/>
                <w:rtl/>
                <w:lang w:val="en-US"/>
              </w:rPr>
              <w:t>123 طرفا</w:t>
            </w:r>
          </w:p>
        </w:tc>
        <w:tc>
          <w:tcPr>
            <w:tcW w:w="1188" w:type="dxa"/>
          </w:tcPr>
          <w:p w:rsidR="00D61F8C" w:rsidRDefault="00D61F8C" w:rsidP="00D61F8C">
            <w:pPr>
              <w:pStyle w:val="Para1"/>
              <w:numPr>
                <w:ilvl w:val="0"/>
                <w:numId w:val="0"/>
              </w:numPr>
              <w:bidi/>
              <w:spacing w:before="60" w:after="60" w:line="216" w:lineRule="auto"/>
              <w:jc w:val="center"/>
              <w:rPr>
                <w:rFonts w:ascii="Simplified Arabic" w:hAnsi="Simplified Arabic" w:cs="Simplified Arabic"/>
                <w:b/>
                <w:bCs/>
                <w:snapToGrid/>
                <w:szCs w:val="22"/>
                <w:rtl/>
                <w:lang w:val="en-US"/>
              </w:rPr>
            </w:pPr>
            <w:r>
              <w:rPr>
                <w:rFonts w:ascii="Simplified Arabic" w:hAnsi="Simplified Arabic" w:cs="Simplified Arabic" w:hint="cs"/>
                <w:b/>
                <w:bCs/>
                <w:snapToGrid/>
                <w:szCs w:val="22"/>
                <w:rtl/>
                <w:lang w:val="en-US"/>
              </w:rPr>
              <w:t>حتى نوفمبر/تشرين الثاني 2021</w:t>
            </w:r>
          </w:p>
          <w:p w:rsidR="00D61F8C" w:rsidRPr="00D61F8C" w:rsidRDefault="00D61F8C" w:rsidP="00D61F8C">
            <w:pPr>
              <w:pStyle w:val="Para1"/>
              <w:numPr>
                <w:ilvl w:val="0"/>
                <w:numId w:val="0"/>
              </w:numPr>
              <w:bidi/>
              <w:spacing w:before="60" w:after="60" w:line="216" w:lineRule="auto"/>
              <w:jc w:val="center"/>
              <w:rPr>
                <w:rFonts w:ascii="Simplified Arabic" w:hAnsi="Simplified Arabic" w:cs="Simplified Arabic"/>
                <w:b/>
                <w:bCs/>
                <w:snapToGrid/>
                <w:szCs w:val="22"/>
              </w:rPr>
            </w:pPr>
            <w:r>
              <w:rPr>
                <w:rFonts w:ascii="Simplified Arabic" w:hAnsi="Simplified Arabic" w:cs="Simplified Arabic" w:hint="cs"/>
                <w:b/>
                <w:bCs/>
                <w:snapToGrid/>
                <w:szCs w:val="22"/>
                <w:rtl/>
                <w:lang w:val="en-US"/>
              </w:rPr>
              <w:t>132 طرفا</w:t>
            </w:r>
          </w:p>
        </w:tc>
      </w:tr>
      <w:tr w:rsidR="00D61F8C" w:rsidRPr="004E5DDB" w:rsidTr="00D61F8C">
        <w:tc>
          <w:tcPr>
            <w:tcW w:w="2988" w:type="dxa"/>
            <w:vMerge w:val="restart"/>
            <w:shd w:val="clear" w:color="auto" w:fill="F2F2F2" w:themeFill="background1" w:themeFillShade="F2"/>
            <w:noWrap/>
          </w:tcPr>
          <w:p w:rsidR="00D61F8C" w:rsidRPr="004E5DDB" w:rsidRDefault="00D61F8C" w:rsidP="00D61F8C">
            <w:pPr>
              <w:pStyle w:val="Para1"/>
              <w:numPr>
                <w:ilvl w:val="0"/>
                <w:numId w:val="0"/>
              </w:numPr>
              <w:bidi/>
              <w:spacing w:before="60" w:after="60" w:line="216" w:lineRule="auto"/>
              <w:jc w:val="left"/>
              <w:rPr>
                <w:snapToGrid/>
                <w:szCs w:val="22"/>
              </w:rPr>
            </w:pPr>
            <w:r>
              <w:rPr>
                <w:rFonts w:hint="cs"/>
                <w:snapToGrid/>
                <w:szCs w:val="22"/>
                <w:rtl/>
              </w:rPr>
              <w:t>السلطة الوطنية المختصة</w:t>
            </w:r>
          </w:p>
        </w:tc>
        <w:tc>
          <w:tcPr>
            <w:tcW w:w="1753" w:type="dxa"/>
          </w:tcPr>
          <w:p w:rsidR="00D61F8C" w:rsidRPr="004E5DDB" w:rsidRDefault="00D61F8C" w:rsidP="00D61F8C">
            <w:pPr>
              <w:pStyle w:val="Para1"/>
              <w:numPr>
                <w:ilvl w:val="0"/>
                <w:numId w:val="0"/>
              </w:numPr>
              <w:bidi/>
              <w:spacing w:before="60" w:after="60" w:line="216" w:lineRule="auto"/>
              <w:rPr>
                <w:szCs w:val="22"/>
              </w:rPr>
            </w:pPr>
            <w:r>
              <w:rPr>
                <w:rFonts w:hint="cs"/>
                <w:szCs w:val="22"/>
                <w:rtl/>
              </w:rPr>
              <w:t>غير الأطراف</w:t>
            </w:r>
          </w:p>
        </w:tc>
        <w:tc>
          <w:tcPr>
            <w:tcW w:w="1188" w:type="dxa"/>
          </w:tcPr>
          <w:p w:rsidR="00D61F8C" w:rsidRPr="004E5DDB" w:rsidRDefault="00D61F8C" w:rsidP="00D61F8C">
            <w:pPr>
              <w:pStyle w:val="Para1"/>
              <w:numPr>
                <w:ilvl w:val="0"/>
                <w:numId w:val="0"/>
              </w:numPr>
              <w:spacing w:before="60" w:after="60" w:line="216" w:lineRule="auto"/>
              <w:jc w:val="right"/>
              <w:rPr>
                <w:szCs w:val="22"/>
              </w:rPr>
            </w:pPr>
            <w:r>
              <w:rPr>
                <w:szCs w:val="22"/>
              </w:rPr>
              <w:t>0</w:t>
            </w:r>
          </w:p>
        </w:tc>
        <w:tc>
          <w:tcPr>
            <w:tcW w:w="1188" w:type="dxa"/>
          </w:tcPr>
          <w:p w:rsidR="00D61F8C" w:rsidRPr="004E5DDB" w:rsidRDefault="00D61F8C" w:rsidP="00D61F8C">
            <w:pPr>
              <w:pStyle w:val="Para1"/>
              <w:numPr>
                <w:ilvl w:val="0"/>
                <w:numId w:val="0"/>
              </w:numPr>
              <w:spacing w:before="60" w:after="60" w:line="216" w:lineRule="auto"/>
              <w:jc w:val="right"/>
              <w:rPr>
                <w:szCs w:val="22"/>
              </w:rPr>
            </w:pPr>
            <w:r>
              <w:rPr>
                <w:szCs w:val="22"/>
              </w:rPr>
              <w:t>4</w:t>
            </w:r>
            <w:r w:rsidRPr="004E5DDB">
              <w:rPr>
                <w:snapToGrid/>
                <w:szCs w:val="22"/>
              </w:rPr>
              <w:t xml:space="preserve"> </w:t>
            </w:r>
          </w:p>
        </w:tc>
        <w:tc>
          <w:tcPr>
            <w:tcW w:w="1188" w:type="dxa"/>
          </w:tcPr>
          <w:p w:rsidR="00D61F8C" w:rsidRPr="004E5DDB" w:rsidRDefault="00D61F8C" w:rsidP="00D61F8C">
            <w:pPr>
              <w:pStyle w:val="Para1"/>
              <w:numPr>
                <w:ilvl w:val="0"/>
                <w:numId w:val="0"/>
              </w:numPr>
              <w:spacing w:before="60" w:after="60" w:line="216" w:lineRule="auto"/>
              <w:jc w:val="right"/>
              <w:rPr>
                <w:szCs w:val="22"/>
              </w:rPr>
            </w:pPr>
            <w:r>
              <w:rPr>
                <w:szCs w:val="22"/>
              </w:rPr>
              <w:t>3</w:t>
            </w:r>
            <w:r w:rsidRPr="004E5DDB">
              <w:rPr>
                <w:snapToGrid/>
                <w:szCs w:val="22"/>
              </w:rPr>
              <w:t xml:space="preserve"> </w:t>
            </w:r>
          </w:p>
        </w:tc>
        <w:tc>
          <w:tcPr>
            <w:tcW w:w="1188" w:type="dxa"/>
          </w:tcPr>
          <w:p w:rsidR="00D61F8C" w:rsidRPr="004E5DDB" w:rsidRDefault="00D61F8C" w:rsidP="00D61F8C">
            <w:pPr>
              <w:pStyle w:val="Para1"/>
              <w:numPr>
                <w:ilvl w:val="0"/>
                <w:numId w:val="0"/>
              </w:numPr>
              <w:spacing w:before="60" w:after="60" w:line="216" w:lineRule="auto"/>
              <w:jc w:val="right"/>
              <w:rPr>
                <w:snapToGrid/>
                <w:szCs w:val="22"/>
              </w:rPr>
            </w:pPr>
            <w:r>
              <w:rPr>
                <w:snapToGrid/>
                <w:szCs w:val="22"/>
              </w:rPr>
              <w:t>4</w:t>
            </w:r>
            <w:r w:rsidRPr="004E5DDB">
              <w:rPr>
                <w:snapToGrid/>
                <w:szCs w:val="22"/>
              </w:rPr>
              <w:t xml:space="preserve"> </w:t>
            </w:r>
          </w:p>
        </w:tc>
      </w:tr>
      <w:tr w:rsidR="00D61F8C" w:rsidRPr="004E5DDB" w:rsidTr="00D61F8C">
        <w:tc>
          <w:tcPr>
            <w:tcW w:w="2988" w:type="dxa"/>
            <w:vMerge/>
            <w:shd w:val="clear" w:color="auto" w:fill="F2F2F2" w:themeFill="background1" w:themeFillShade="F2"/>
            <w:noWrap/>
          </w:tcPr>
          <w:p w:rsidR="00D61F8C" w:rsidRPr="004E5DDB" w:rsidRDefault="00D61F8C" w:rsidP="00D61F8C">
            <w:pPr>
              <w:pStyle w:val="Para1"/>
              <w:numPr>
                <w:ilvl w:val="0"/>
                <w:numId w:val="0"/>
              </w:numPr>
              <w:bidi/>
              <w:spacing w:before="60" w:after="60" w:line="216" w:lineRule="auto"/>
              <w:jc w:val="left"/>
              <w:rPr>
                <w:snapToGrid/>
                <w:szCs w:val="22"/>
              </w:rPr>
            </w:pPr>
          </w:p>
        </w:tc>
        <w:tc>
          <w:tcPr>
            <w:tcW w:w="1753" w:type="dxa"/>
          </w:tcPr>
          <w:p w:rsidR="00D61F8C" w:rsidRPr="004E5DDB" w:rsidRDefault="00D61F8C" w:rsidP="00D61F8C">
            <w:pPr>
              <w:pStyle w:val="Para1"/>
              <w:numPr>
                <w:ilvl w:val="0"/>
                <w:numId w:val="0"/>
              </w:numPr>
              <w:bidi/>
              <w:spacing w:before="60" w:after="60" w:line="216" w:lineRule="auto"/>
              <w:rPr>
                <w:snapToGrid/>
                <w:szCs w:val="22"/>
              </w:rPr>
            </w:pPr>
            <w:r>
              <w:rPr>
                <w:rFonts w:hint="cs"/>
                <w:snapToGrid/>
                <w:szCs w:val="22"/>
                <w:rtl/>
              </w:rPr>
              <w:t>الأطراف</w:t>
            </w:r>
          </w:p>
        </w:tc>
        <w:tc>
          <w:tcPr>
            <w:tcW w:w="1188" w:type="dxa"/>
          </w:tcPr>
          <w:p w:rsidR="00D61F8C" w:rsidRPr="004E5DDB" w:rsidRDefault="00D61F8C" w:rsidP="00D61F8C">
            <w:pPr>
              <w:pStyle w:val="Para1"/>
              <w:numPr>
                <w:ilvl w:val="0"/>
                <w:numId w:val="0"/>
              </w:numPr>
              <w:spacing w:before="60" w:after="60" w:line="216" w:lineRule="auto"/>
              <w:jc w:val="right"/>
              <w:rPr>
                <w:snapToGrid/>
                <w:szCs w:val="22"/>
              </w:rPr>
            </w:pPr>
            <w:r>
              <w:rPr>
                <w:snapToGrid/>
                <w:szCs w:val="22"/>
              </w:rPr>
              <w:t>4</w:t>
            </w:r>
          </w:p>
        </w:tc>
        <w:tc>
          <w:tcPr>
            <w:tcW w:w="1188" w:type="dxa"/>
          </w:tcPr>
          <w:p w:rsidR="00D61F8C" w:rsidRPr="00EA7266" w:rsidRDefault="00D61F8C" w:rsidP="00D61F8C">
            <w:pPr>
              <w:pStyle w:val="Para1"/>
              <w:numPr>
                <w:ilvl w:val="0"/>
                <w:numId w:val="0"/>
              </w:numPr>
              <w:spacing w:before="60" w:after="60" w:line="216" w:lineRule="auto"/>
              <w:jc w:val="right"/>
              <w:rPr>
                <w:snapToGrid/>
                <w:szCs w:val="22"/>
              </w:rPr>
            </w:pPr>
            <w:r>
              <w:rPr>
                <w:snapToGrid/>
                <w:szCs w:val="22"/>
              </w:rPr>
              <w:t>23</w:t>
            </w:r>
          </w:p>
        </w:tc>
        <w:tc>
          <w:tcPr>
            <w:tcW w:w="1188" w:type="dxa"/>
          </w:tcPr>
          <w:p w:rsidR="00D61F8C" w:rsidRPr="00EA7266" w:rsidRDefault="00D61F8C" w:rsidP="00D61F8C">
            <w:pPr>
              <w:pStyle w:val="Para1"/>
              <w:numPr>
                <w:ilvl w:val="0"/>
                <w:numId w:val="0"/>
              </w:numPr>
              <w:spacing w:before="60" w:after="60" w:line="216" w:lineRule="auto"/>
              <w:jc w:val="right"/>
              <w:rPr>
                <w:snapToGrid/>
                <w:szCs w:val="22"/>
              </w:rPr>
            </w:pPr>
            <w:r>
              <w:rPr>
                <w:snapToGrid/>
                <w:szCs w:val="22"/>
              </w:rPr>
              <w:t>45</w:t>
            </w:r>
          </w:p>
        </w:tc>
        <w:tc>
          <w:tcPr>
            <w:tcW w:w="1188" w:type="dxa"/>
          </w:tcPr>
          <w:p w:rsidR="00D61F8C" w:rsidRPr="004E5DDB" w:rsidRDefault="00D61F8C" w:rsidP="00D61F8C">
            <w:pPr>
              <w:pStyle w:val="Para1"/>
              <w:numPr>
                <w:ilvl w:val="0"/>
                <w:numId w:val="0"/>
              </w:numPr>
              <w:spacing w:before="60" w:after="60" w:line="216" w:lineRule="auto"/>
              <w:jc w:val="right"/>
              <w:rPr>
                <w:snapToGrid/>
                <w:szCs w:val="22"/>
              </w:rPr>
            </w:pPr>
            <w:r>
              <w:rPr>
                <w:snapToGrid/>
                <w:szCs w:val="22"/>
              </w:rPr>
              <w:t>62</w:t>
            </w:r>
          </w:p>
        </w:tc>
      </w:tr>
      <w:tr w:rsidR="00D61F8C" w:rsidRPr="004E5DDB" w:rsidTr="00D61F8C">
        <w:tc>
          <w:tcPr>
            <w:tcW w:w="2988" w:type="dxa"/>
            <w:vMerge/>
            <w:shd w:val="clear" w:color="auto" w:fill="F2F2F2" w:themeFill="background1" w:themeFillShade="F2"/>
            <w:noWrap/>
          </w:tcPr>
          <w:p w:rsidR="00D61F8C" w:rsidRPr="004E5DDB" w:rsidRDefault="00D61F8C" w:rsidP="00D61F8C">
            <w:pPr>
              <w:pStyle w:val="Para1"/>
              <w:numPr>
                <w:ilvl w:val="0"/>
                <w:numId w:val="0"/>
              </w:numPr>
              <w:bidi/>
              <w:spacing w:before="60" w:after="60" w:line="216" w:lineRule="auto"/>
              <w:jc w:val="left"/>
              <w:rPr>
                <w:snapToGrid/>
                <w:szCs w:val="22"/>
              </w:rPr>
            </w:pPr>
          </w:p>
        </w:tc>
        <w:tc>
          <w:tcPr>
            <w:tcW w:w="1753" w:type="dxa"/>
            <w:shd w:val="clear" w:color="auto" w:fill="F2F2F2" w:themeFill="background1" w:themeFillShade="F2"/>
          </w:tcPr>
          <w:p w:rsidR="00D61F8C" w:rsidRPr="004E5DDB" w:rsidRDefault="00D61F8C" w:rsidP="00D61F8C">
            <w:pPr>
              <w:pStyle w:val="Para1"/>
              <w:numPr>
                <w:ilvl w:val="0"/>
                <w:numId w:val="0"/>
              </w:numPr>
              <w:bidi/>
              <w:spacing w:before="60" w:after="60" w:line="216" w:lineRule="auto"/>
              <w:rPr>
                <w:b/>
                <w:bCs/>
                <w:snapToGrid/>
                <w:szCs w:val="22"/>
              </w:rPr>
            </w:pPr>
            <w:r>
              <w:rPr>
                <w:rFonts w:hint="cs"/>
                <w:b/>
                <w:bCs/>
                <w:snapToGrid/>
                <w:szCs w:val="22"/>
                <w:rtl/>
              </w:rPr>
              <w:t>مجموع السجلات</w:t>
            </w:r>
          </w:p>
        </w:tc>
        <w:tc>
          <w:tcPr>
            <w:tcW w:w="1188" w:type="dxa"/>
            <w:shd w:val="clear" w:color="auto" w:fill="F2F2F2" w:themeFill="background1" w:themeFillShade="F2"/>
          </w:tcPr>
          <w:p w:rsidR="00D61F8C" w:rsidRPr="00273736" w:rsidRDefault="00D61F8C" w:rsidP="00D61F8C">
            <w:pPr>
              <w:pStyle w:val="Para1"/>
              <w:numPr>
                <w:ilvl w:val="0"/>
                <w:numId w:val="0"/>
              </w:numPr>
              <w:spacing w:before="60" w:after="60" w:line="216" w:lineRule="auto"/>
              <w:jc w:val="right"/>
              <w:rPr>
                <w:b/>
                <w:bCs/>
                <w:snapToGrid/>
                <w:szCs w:val="22"/>
              </w:rPr>
            </w:pPr>
            <w:r>
              <w:rPr>
                <w:b/>
                <w:bCs/>
                <w:snapToGrid/>
                <w:szCs w:val="22"/>
              </w:rPr>
              <w:t>7</w:t>
            </w:r>
          </w:p>
        </w:tc>
        <w:tc>
          <w:tcPr>
            <w:tcW w:w="1188" w:type="dxa"/>
            <w:shd w:val="clear" w:color="auto" w:fill="F2F2F2" w:themeFill="background1" w:themeFillShade="F2"/>
          </w:tcPr>
          <w:p w:rsidR="00D61F8C" w:rsidRPr="00273736" w:rsidRDefault="00D61F8C" w:rsidP="00D61F8C">
            <w:pPr>
              <w:pStyle w:val="Para1"/>
              <w:numPr>
                <w:ilvl w:val="0"/>
                <w:numId w:val="0"/>
              </w:numPr>
              <w:spacing w:before="60" w:after="60" w:line="216" w:lineRule="auto"/>
              <w:jc w:val="right"/>
              <w:rPr>
                <w:b/>
                <w:bCs/>
                <w:snapToGrid/>
                <w:szCs w:val="22"/>
              </w:rPr>
            </w:pPr>
            <w:r>
              <w:rPr>
                <w:b/>
                <w:bCs/>
                <w:snapToGrid/>
                <w:szCs w:val="22"/>
              </w:rPr>
              <w:t>31</w:t>
            </w:r>
          </w:p>
        </w:tc>
        <w:tc>
          <w:tcPr>
            <w:tcW w:w="1188" w:type="dxa"/>
            <w:shd w:val="clear" w:color="auto" w:fill="F2F2F2" w:themeFill="background1" w:themeFillShade="F2"/>
          </w:tcPr>
          <w:p w:rsidR="00D61F8C" w:rsidRPr="00273736" w:rsidRDefault="00D61F8C" w:rsidP="00D61F8C">
            <w:pPr>
              <w:pStyle w:val="Para1"/>
              <w:numPr>
                <w:ilvl w:val="0"/>
                <w:numId w:val="0"/>
              </w:numPr>
              <w:spacing w:before="60" w:after="60" w:line="216" w:lineRule="auto"/>
              <w:jc w:val="right"/>
              <w:rPr>
                <w:b/>
                <w:bCs/>
                <w:snapToGrid/>
                <w:szCs w:val="22"/>
              </w:rPr>
            </w:pPr>
            <w:r>
              <w:rPr>
                <w:b/>
                <w:bCs/>
                <w:snapToGrid/>
                <w:szCs w:val="22"/>
              </w:rPr>
              <w:t>62</w:t>
            </w:r>
          </w:p>
        </w:tc>
        <w:tc>
          <w:tcPr>
            <w:tcW w:w="1188" w:type="dxa"/>
            <w:shd w:val="clear" w:color="auto" w:fill="F2F2F2" w:themeFill="background1" w:themeFillShade="F2"/>
          </w:tcPr>
          <w:p w:rsidR="00D61F8C" w:rsidRPr="00273736" w:rsidRDefault="00D61F8C" w:rsidP="00D61F8C">
            <w:pPr>
              <w:pStyle w:val="Para1"/>
              <w:numPr>
                <w:ilvl w:val="0"/>
                <w:numId w:val="0"/>
              </w:numPr>
              <w:spacing w:before="60" w:after="60" w:line="216" w:lineRule="auto"/>
              <w:jc w:val="right"/>
              <w:rPr>
                <w:b/>
                <w:bCs/>
                <w:snapToGrid/>
                <w:szCs w:val="22"/>
              </w:rPr>
            </w:pPr>
            <w:r>
              <w:rPr>
                <w:b/>
                <w:bCs/>
                <w:snapToGrid/>
                <w:szCs w:val="22"/>
              </w:rPr>
              <w:t>109</w:t>
            </w:r>
          </w:p>
        </w:tc>
      </w:tr>
      <w:tr w:rsidR="00D61F8C" w:rsidRPr="004E5DDB" w:rsidTr="00D61F8C">
        <w:tc>
          <w:tcPr>
            <w:tcW w:w="2988" w:type="dxa"/>
            <w:vMerge w:val="restart"/>
            <w:shd w:val="clear" w:color="auto" w:fill="F2F2F2" w:themeFill="background1" w:themeFillShade="F2"/>
          </w:tcPr>
          <w:p w:rsidR="00D61F8C" w:rsidRPr="004E5DDB" w:rsidRDefault="00D61F8C" w:rsidP="00D64FF1">
            <w:pPr>
              <w:pStyle w:val="Para1"/>
              <w:numPr>
                <w:ilvl w:val="0"/>
                <w:numId w:val="0"/>
              </w:numPr>
              <w:bidi/>
              <w:spacing w:before="60" w:after="60" w:line="216" w:lineRule="auto"/>
              <w:jc w:val="left"/>
              <w:rPr>
                <w:snapToGrid/>
                <w:szCs w:val="22"/>
              </w:rPr>
            </w:pPr>
            <w:r>
              <w:rPr>
                <w:rFonts w:hint="cs"/>
                <w:snapToGrid/>
                <w:szCs w:val="22"/>
                <w:rtl/>
              </w:rPr>
              <w:t>التدابيرالتشريعية أو الإدارية أو السياس</w:t>
            </w:r>
            <w:r w:rsidR="00D64FF1">
              <w:rPr>
                <w:rFonts w:hint="cs"/>
                <w:snapToGrid/>
                <w:szCs w:val="22"/>
                <w:rtl/>
              </w:rPr>
              <w:t>اتي</w:t>
            </w:r>
            <w:r>
              <w:rPr>
                <w:rFonts w:hint="cs"/>
                <w:snapToGrid/>
                <w:szCs w:val="22"/>
                <w:rtl/>
              </w:rPr>
              <w:t>ة</w:t>
            </w:r>
          </w:p>
        </w:tc>
        <w:tc>
          <w:tcPr>
            <w:tcW w:w="1753" w:type="dxa"/>
          </w:tcPr>
          <w:p w:rsidR="00D61F8C" w:rsidRPr="004E5DDB" w:rsidRDefault="00D61F8C" w:rsidP="00D61F8C">
            <w:pPr>
              <w:pStyle w:val="Para1"/>
              <w:numPr>
                <w:ilvl w:val="0"/>
                <w:numId w:val="0"/>
              </w:numPr>
              <w:bidi/>
              <w:spacing w:before="60" w:after="60" w:line="216" w:lineRule="auto"/>
              <w:rPr>
                <w:szCs w:val="22"/>
              </w:rPr>
            </w:pPr>
            <w:r>
              <w:rPr>
                <w:rFonts w:hint="cs"/>
                <w:szCs w:val="22"/>
                <w:rtl/>
              </w:rPr>
              <w:t>غير الأطراف</w:t>
            </w:r>
          </w:p>
        </w:tc>
        <w:tc>
          <w:tcPr>
            <w:tcW w:w="1188" w:type="dxa"/>
          </w:tcPr>
          <w:p w:rsidR="00D61F8C" w:rsidRPr="004E5DDB" w:rsidRDefault="00D61F8C" w:rsidP="00D61F8C">
            <w:pPr>
              <w:pStyle w:val="Para1"/>
              <w:numPr>
                <w:ilvl w:val="0"/>
                <w:numId w:val="0"/>
              </w:numPr>
              <w:spacing w:before="60" w:after="60" w:line="216" w:lineRule="auto"/>
              <w:jc w:val="right"/>
              <w:rPr>
                <w:szCs w:val="22"/>
              </w:rPr>
            </w:pPr>
            <w:r>
              <w:rPr>
                <w:szCs w:val="22"/>
              </w:rPr>
              <w:t>1</w:t>
            </w:r>
          </w:p>
        </w:tc>
        <w:tc>
          <w:tcPr>
            <w:tcW w:w="1188" w:type="dxa"/>
          </w:tcPr>
          <w:p w:rsidR="00D61F8C" w:rsidRPr="004E5DDB" w:rsidRDefault="00D61F8C" w:rsidP="00D61F8C">
            <w:pPr>
              <w:pStyle w:val="Para1"/>
              <w:numPr>
                <w:ilvl w:val="0"/>
                <w:numId w:val="0"/>
              </w:numPr>
              <w:spacing w:before="60" w:after="60" w:line="216" w:lineRule="auto"/>
              <w:jc w:val="right"/>
              <w:rPr>
                <w:szCs w:val="22"/>
              </w:rPr>
            </w:pPr>
            <w:r>
              <w:rPr>
                <w:szCs w:val="22"/>
              </w:rPr>
              <w:t>15</w:t>
            </w:r>
          </w:p>
        </w:tc>
        <w:tc>
          <w:tcPr>
            <w:tcW w:w="1188" w:type="dxa"/>
          </w:tcPr>
          <w:p w:rsidR="00D61F8C" w:rsidRPr="004E5DDB" w:rsidRDefault="00D61F8C" w:rsidP="00D61F8C">
            <w:pPr>
              <w:pStyle w:val="Para1"/>
              <w:numPr>
                <w:ilvl w:val="0"/>
                <w:numId w:val="0"/>
              </w:numPr>
              <w:spacing w:before="60" w:after="60" w:line="216" w:lineRule="auto"/>
              <w:jc w:val="right"/>
              <w:rPr>
                <w:szCs w:val="22"/>
              </w:rPr>
            </w:pPr>
            <w:r>
              <w:rPr>
                <w:szCs w:val="22"/>
              </w:rPr>
              <w:t>11</w:t>
            </w:r>
          </w:p>
        </w:tc>
        <w:tc>
          <w:tcPr>
            <w:tcW w:w="1188" w:type="dxa"/>
          </w:tcPr>
          <w:p w:rsidR="00D61F8C" w:rsidRPr="004E5DDB" w:rsidRDefault="00D61F8C" w:rsidP="00D61F8C">
            <w:pPr>
              <w:pStyle w:val="Para1"/>
              <w:numPr>
                <w:ilvl w:val="0"/>
                <w:numId w:val="0"/>
              </w:numPr>
              <w:spacing w:before="60" w:after="60" w:line="216" w:lineRule="auto"/>
              <w:jc w:val="right"/>
              <w:rPr>
                <w:szCs w:val="22"/>
              </w:rPr>
            </w:pPr>
            <w:r>
              <w:rPr>
                <w:szCs w:val="22"/>
              </w:rPr>
              <w:t>11</w:t>
            </w:r>
          </w:p>
        </w:tc>
      </w:tr>
      <w:tr w:rsidR="00D61F8C" w:rsidRPr="004E5DDB" w:rsidTr="00D61F8C">
        <w:tc>
          <w:tcPr>
            <w:tcW w:w="2988" w:type="dxa"/>
            <w:vMerge/>
            <w:shd w:val="clear" w:color="auto" w:fill="F2F2F2" w:themeFill="background1" w:themeFillShade="F2"/>
          </w:tcPr>
          <w:p w:rsidR="00D61F8C" w:rsidRPr="004E5DDB" w:rsidRDefault="00D61F8C" w:rsidP="00D61F8C">
            <w:pPr>
              <w:pStyle w:val="Para1"/>
              <w:numPr>
                <w:ilvl w:val="0"/>
                <w:numId w:val="0"/>
              </w:numPr>
              <w:bidi/>
              <w:spacing w:before="60" w:after="60" w:line="216" w:lineRule="auto"/>
              <w:jc w:val="left"/>
              <w:rPr>
                <w:snapToGrid/>
                <w:szCs w:val="22"/>
              </w:rPr>
            </w:pPr>
          </w:p>
        </w:tc>
        <w:tc>
          <w:tcPr>
            <w:tcW w:w="1753" w:type="dxa"/>
          </w:tcPr>
          <w:p w:rsidR="00D61F8C" w:rsidRPr="004E5DDB" w:rsidRDefault="00D61F8C" w:rsidP="00D61F8C">
            <w:pPr>
              <w:pStyle w:val="Para1"/>
              <w:numPr>
                <w:ilvl w:val="0"/>
                <w:numId w:val="0"/>
              </w:numPr>
              <w:bidi/>
              <w:spacing w:before="60" w:after="60" w:line="216" w:lineRule="auto"/>
              <w:rPr>
                <w:snapToGrid/>
                <w:szCs w:val="22"/>
              </w:rPr>
            </w:pPr>
            <w:r>
              <w:rPr>
                <w:rFonts w:hint="cs"/>
                <w:snapToGrid/>
                <w:szCs w:val="22"/>
                <w:rtl/>
              </w:rPr>
              <w:t>الأطراف</w:t>
            </w:r>
          </w:p>
        </w:tc>
        <w:tc>
          <w:tcPr>
            <w:tcW w:w="1188" w:type="dxa"/>
          </w:tcPr>
          <w:p w:rsidR="00D61F8C" w:rsidRPr="004E5DDB" w:rsidRDefault="00D61F8C" w:rsidP="00D61F8C">
            <w:pPr>
              <w:pStyle w:val="Para1"/>
              <w:numPr>
                <w:ilvl w:val="0"/>
                <w:numId w:val="0"/>
              </w:numPr>
              <w:spacing w:before="60" w:after="60" w:line="216" w:lineRule="auto"/>
              <w:jc w:val="right"/>
              <w:rPr>
                <w:snapToGrid/>
                <w:szCs w:val="22"/>
              </w:rPr>
            </w:pPr>
            <w:r>
              <w:rPr>
                <w:snapToGrid/>
                <w:szCs w:val="22"/>
              </w:rPr>
              <w:t>4</w:t>
            </w:r>
          </w:p>
        </w:tc>
        <w:tc>
          <w:tcPr>
            <w:tcW w:w="1188" w:type="dxa"/>
          </w:tcPr>
          <w:p w:rsidR="00D61F8C" w:rsidRPr="004E5DDB" w:rsidRDefault="00D61F8C" w:rsidP="00D61F8C">
            <w:pPr>
              <w:pStyle w:val="Para1"/>
              <w:numPr>
                <w:ilvl w:val="0"/>
                <w:numId w:val="0"/>
              </w:numPr>
              <w:spacing w:before="60" w:after="60" w:line="216" w:lineRule="auto"/>
              <w:jc w:val="right"/>
              <w:rPr>
                <w:snapToGrid/>
                <w:szCs w:val="22"/>
              </w:rPr>
            </w:pPr>
            <w:r>
              <w:rPr>
                <w:snapToGrid/>
                <w:szCs w:val="22"/>
              </w:rPr>
              <w:t>46</w:t>
            </w:r>
          </w:p>
        </w:tc>
        <w:tc>
          <w:tcPr>
            <w:tcW w:w="1188" w:type="dxa"/>
          </w:tcPr>
          <w:p w:rsidR="00D61F8C" w:rsidRPr="004E5DDB" w:rsidRDefault="00D61F8C" w:rsidP="00D61F8C">
            <w:pPr>
              <w:pStyle w:val="Para1"/>
              <w:numPr>
                <w:ilvl w:val="0"/>
                <w:numId w:val="0"/>
              </w:numPr>
              <w:spacing w:before="60" w:after="60" w:line="216" w:lineRule="auto"/>
              <w:jc w:val="right"/>
              <w:rPr>
                <w:snapToGrid/>
                <w:szCs w:val="22"/>
              </w:rPr>
            </w:pPr>
            <w:r w:rsidRPr="004E5DDB">
              <w:rPr>
                <w:snapToGrid/>
                <w:szCs w:val="22"/>
              </w:rPr>
              <w:t>60</w:t>
            </w:r>
          </w:p>
        </w:tc>
        <w:tc>
          <w:tcPr>
            <w:tcW w:w="1188" w:type="dxa"/>
          </w:tcPr>
          <w:p w:rsidR="00D61F8C" w:rsidRPr="004E5DDB" w:rsidRDefault="00D61F8C" w:rsidP="00D61F8C">
            <w:pPr>
              <w:pStyle w:val="Para1"/>
              <w:numPr>
                <w:ilvl w:val="0"/>
                <w:numId w:val="0"/>
              </w:numPr>
              <w:spacing w:before="60" w:after="60" w:line="216" w:lineRule="auto"/>
              <w:jc w:val="right"/>
              <w:rPr>
                <w:snapToGrid/>
                <w:szCs w:val="22"/>
              </w:rPr>
            </w:pPr>
            <w:r>
              <w:rPr>
                <w:snapToGrid/>
                <w:szCs w:val="22"/>
              </w:rPr>
              <w:t>64</w:t>
            </w:r>
          </w:p>
        </w:tc>
      </w:tr>
      <w:tr w:rsidR="00D61F8C" w:rsidRPr="004E5DDB" w:rsidTr="00D61F8C">
        <w:tc>
          <w:tcPr>
            <w:tcW w:w="2988" w:type="dxa"/>
            <w:vMerge/>
            <w:shd w:val="clear" w:color="auto" w:fill="F2F2F2" w:themeFill="background1" w:themeFillShade="F2"/>
          </w:tcPr>
          <w:p w:rsidR="00D61F8C" w:rsidRPr="004E5DDB" w:rsidRDefault="00D61F8C" w:rsidP="00D61F8C">
            <w:pPr>
              <w:pStyle w:val="Para1"/>
              <w:numPr>
                <w:ilvl w:val="0"/>
                <w:numId w:val="0"/>
              </w:numPr>
              <w:bidi/>
              <w:spacing w:before="60" w:after="60" w:line="216" w:lineRule="auto"/>
              <w:jc w:val="left"/>
              <w:rPr>
                <w:snapToGrid/>
                <w:szCs w:val="22"/>
              </w:rPr>
            </w:pPr>
          </w:p>
        </w:tc>
        <w:tc>
          <w:tcPr>
            <w:tcW w:w="1753" w:type="dxa"/>
            <w:shd w:val="clear" w:color="auto" w:fill="F2F2F2" w:themeFill="background1" w:themeFillShade="F2"/>
          </w:tcPr>
          <w:p w:rsidR="00D61F8C" w:rsidRPr="004E5DDB" w:rsidRDefault="00D61F8C" w:rsidP="00D61F8C">
            <w:pPr>
              <w:pStyle w:val="Para1"/>
              <w:numPr>
                <w:ilvl w:val="0"/>
                <w:numId w:val="0"/>
              </w:numPr>
              <w:bidi/>
              <w:spacing w:before="60" w:after="60" w:line="216" w:lineRule="auto"/>
              <w:rPr>
                <w:b/>
                <w:bCs/>
                <w:snapToGrid/>
                <w:szCs w:val="22"/>
              </w:rPr>
            </w:pPr>
            <w:r>
              <w:rPr>
                <w:rFonts w:hint="cs"/>
                <w:b/>
                <w:bCs/>
                <w:snapToGrid/>
                <w:szCs w:val="22"/>
                <w:rtl/>
              </w:rPr>
              <w:t>مجموع السجلات</w:t>
            </w:r>
          </w:p>
        </w:tc>
        <w:tc>
          <w:tcPr>
            <w:tcW w:w="1188" w:type="dxa"/>
            <w:shd w:val="clear" w:color="auto" w:fill="F2F2F2" w:themeFill="background1" w:themeFillShade="F2"/>
          </w:tcPr>
          <w:p w:rsidR="00D61F8C" w:rsidRPr="00D77E65" w:rsidRDefault="00D61F8C" w:rsidP="00D61F8C">
            <w:pPr>
              <w:pStyle w:val="Para1"/>
              <w:numPr>
                <w:ilvl w:val="0"/>
                <w:numId w:val="0"/>
              </w:numPr>
              <w:spacing w:before="60" w:after="60" w:line="216" w:lineRule="auto"/>
              <w:jc w:val="right"/>
              <w:rPr>
                <w:b/>
                <w:bCs/>
                <w:snapToGrid/>
                <w:szCs w:val="22"/>
              </w:rPr>
            </w:pPr>
            <w:r w:rsidRPr="00F8774A">
              <w:rPr>
                <w:b/>
                <w:bCs/>
                <w:snapToGrid/>
                <w:szCs w:val="22"/>
              </w:rPr>
              <w:t>29</w:t>
            </w:r>
          </w:p>
        </w:tc>
        <w:tc>
          <w:tcPr>
            <w:tcW w:w="1188" w:type="dxa"/>
            <w:shd w:val="clear" w:color="auto" w:fill="F2F2F2" w:themeFill="background1" w:themeFillShade="F2"/>
          </w:tcPr>
          <w:p w:rsidR="00D61F8C" w:rsidRPr="00D77E65" w:rsidRDefault="00D61F8C" w:rsidP="00D61F8C">
            <w:pPr>
              <w:pStyle w:val="Para1"/>
              <w:numPr>
                <w:ilvl w:val="0"/>
                <w:numId w:val="0"/>
              </w:numPr>
              <w:spacing w:before="60" w:after="60" w:line="216" w:lineRule="auto"/>
              <w:jc w:val="right"/>
              <w:rPr>
                <w:b/>
                <w:bCs/>
                <w:snapToGrid/>
                <w:szCs w:val="22"/>
              </w:rPr>
            </w:pPr>
            <w:r>
              <w:rPr>
                <w:b/>
                <w:bCs/>
                <w:snapToGrid/>
                <w:szCs w:val="22"/>
              </w:rPr>
              <w:t>220</w:t>
            </w:r>
          </w:p>
        </w:tc>
        <w:tc>
          <w:tcPr>
            <w:tcW w:w="1188" w:type="dxa"/>
            <w:shd w:val="clear" w:color="auto" w:fill="F2F2F2" w:themeFill="background1" w:themeFillShade="F2"/>
          </w:tcPr>
          <w:p w:rsidR="00D61F8C" w:rsidRPr="00273736" w:rsidRDefault="00D61F8C" w:rsidP="00D61F8C">
            <w:pPr>
              <w:pStyle w:val="Para1"/>
              <w:numPr>
                <w:ilvl w:val="0"/>
                <w:numId w:val="0"/>
              </w:numPr>
              <w:spacing w:before="60" w:after="60" w:line="216" w:lineRule="auto"/>
              <w:jc w:val="right"/>
              <w:rPr>
                <w:b/>
                <w:bCs/>
                <w:snapToGrid/>
                <w:szCs w:val="22"/>
              </w:rPr>
            </w:pPr>
            <w:r>
              <w:rPr>
                <w:b/>
                <w:bCs/>
                <w:snapToGrid/>
                <w:szCs w:val="22"/>
              </w:rPr>
              <w:t>283</w:t>
            </w:r>
          </w:p>
        </w:tc>
        <w:tc>
          <w:tcPr>
            <w:tcW w:w="1188" w:type="dxa"/>
            <w:shd w:val="clear" w:color="auto" w:fill="F2F2F2" w:themeFill="background1" w:themeFillShade="F2"/>
          </w:tcPr>
          <w:p w:rsidR="00D61F8C" w:rsidRPr="00273736" w:rsidRDefault="00D61F8C" w:rsidP="00D61F8C">
            <w:pPr>
              <w:pStyle w:val="Para1"/>
              <w:numPr>
                <w:ilvl w:val="0"/>
                <w:numId w:val="0"/>
              </w:numPr>
              <w:spacing w:before="60" w:after="60" w:line="216" w:lineRule="auto"/>
              <w:jc w:val="right"/>
              <w:rPr>
                <w:b/>
                <w:bCs/>
                <w:snapToGrid/>
                <w:szCs w:val="22"/>
              </w:rPr>
            </w:pPr>
            <w:r>
              <w:rPr>
                <w:b/>
                <w:bCs/>
                <w:snapToGrid/>
                <w:szCs w:val="22"/>
              </w:rPr>
              <w:t>353</w:t>
            </w:r>
          </w:p>
        </w:tc>
      </w:tr>
      <w:tr w:rsidR="0027416C" w:rsidRPr="004E5DDB" w:rsidTr="00D61F8C">
        <w:tc>
          <w:tcPr>
            <w:tcW w:w="2988" w:type="dxa"/>
            <w:vMerge w:val="restart"/>
            <w:shd w:val="clear" w:color="auto" w:fill="F2F2F2" w:themeFill="background1" w:themeFillShade="F2"/>
          </w:tcPr>
          <w:p w:rsidR="0027416C" w:rsidRPr="004E5DDB" w:rsidRDefault="0027416C" w:rsidP="00D61F8C">
            <w:pPr>
              <w:pStyle w:val="Para1"/>
              <w:numPr>
                <w:ilvl w:val="0"/>
                <w:numId w:val="0"/>
              </w:numPr>
              <w:bidi/>
              <w:spacing w:before="60" w:after="60" w:line="216" w:lineRule="auto"/>
              <w:jc w:val="left"/>
              <w:rPr>
                <w:snapToGrid/>
                <w:szCs w:val="22"/>
              </w:rPr>
            </w:pPr>
            <w:r>
              <w:rPr>
                <w:rFonts w:hint="cs"/>
                <w:snapToGrid/>
                <w:szCs w:val="22"/>
                <w:rtl/>
              </w:rPr>
              <w:t>إجراءات الحصول وتقاسم المنافع</w:t>
            </w:r>
          </w:p>
        </w:tc>
        <w:tc>
          <w:tcPr>
            <w:tcW w:w="1753" w:type="dxa"/>
          </w:tcPr>
          <w:p w:rsidR="0027416C" w:rsidRPr="004E5DDB" w:rsidRDefault="0027416C" w:rsidP="00D61F8C">
            <w:pPr>
              <w:pStyle w:val="Para1"/>
              <w:numPr>
                <w:ilvl w:val="0"/>
                <w:numId w:val="0"/>
              </w:numPr>
              <w:bidi/>
              <w:spacing w:before="60" w:after="60" w:line="216" w:lineRule="auto"/>
              <w:rPr>
                <w:szCs w:val="22"/>
              </w:rPr>
            </w:pPr>
            <w:r>
              <w:rPr>
                <w:rFonts w:hint="cs"/>
                <w:szCs w:val="22"/>
                <w:rtl/>
              </w:rPr>
              <w:t>غير الأطراف</w:t>
            </w:r>
          </w:p>
        </w:tc>
        <w:tc>
          <w:tcPr>
            <w:tcW w:w="1188" w:type="dxa"/>
          </w:tcPr>
          <w:p w:rsidR="0027416C" w:rsidRPr="004E5DDB" w:rsidRDefault="0027416C" w:rsidP="0027416C">
            <w:pPr>
              <w:pStyle w:val="Para1"/>
              <w:numPr>
                <w:ilvl w:val="0"/>
                <w:numId w:val="0"/>
              </w:numPr>
              <w:bidi/>
              <w:spacing w:before="60" w:after="60" w:line="216" w:lineRule="auto"/>
              <w:jc w:val="left"/>
              <w:rPr>
                <w:szCs w:val="22"/>
              </w:rPr>
            </w:pPr>
            <w:r>
              <w:rPr>
                <w:rFonts w:hint="cs"/>
                <w:szCs w:val="22"/>
                <w:rtl/>
              </w:rPr>
              <w:t>غير متوافر</w:t>
            </w:r>
          </w:p>
        </w:tc>
        <w:tc>
          <w:tcPr>
            <w:tcW w:w="1188" w:type="dxa"/>
          </w:tcPr>
          <w:p w:rsidR="0027416C" w:rsidRDefault="0027416C">
            <w:r w:rsidRPr="00B05A7A">
              <w:rPr>
                <w:rFonts w:hint="cs"/>
                <w:szCs w:val="22"/>
                <w:rtl/>
              </w:rPr>
              <w:t>غير متوافر</w:t>
            </w:r>
          </w:p>
        </w:tc>
        <w:tc>
          <w:tcPr>
            <w:tcW w:w="1188" w:type="dxa"/>
          </w:tcPr>
          <w:p w:rsidR="0027416C" w:rsidRPr="004E5DDB" w:rsidRDefault="0027416C" w:rsidP="00D61F8C">
            <w:pPr>
              <w:pStyle w:val="Para1"/>
              <w:numPr>
                <w:ilvl w:val="0"/>
                <w:numId w:val="0"/>
              </w:numPr>
              <w:spacing w:before="60" w:after="60" w:line="216" w:lineRule="auto"/>
              <w:jc w:val="right"/>
              <w:rPr>
                <w:szCs w:val="22"/>
              </w:rPr>
            </w:pPr>
            <w:r w:rsidRPr="004E5DDB">
              <w:rPr>
                <w:szCs w:val="22"/>
              </w:rPr>
              <w:t>1</w:t>
            </w:r>
          </w:p>
        </w:tc>
        <w:tc>
          <w:tcPr>
            <w:tcW w:w="1188" w:type="dxa"/>
          </w:tcPr>
          <w:p w:rsidR="0027416C" w:rsidRPr="004E5DDB" w:rsidRDefault="0027416C" w:rsidP="00D61F8C">
            <w:pPr>
              <w:pStyle w:val="Para1"/>
              <w:numPr>
                <w:ilvl w:val="0"/>
                <w:numId w:val="0"/>
              </w:numPr>
              <w:spacing w:before="60" w:after="60" w:line="216" w:lineRule="auto"/>
              <w:jc w:val="right"/>
              <w:rPr>
                <w:szCs w:val="22"/>
              </w:rPr>
            </w:pPr>
            <w:r w:rsidRPr="004E5DDB">
              <w:rPr>
                <w:szCs w:val="22"/>
              </w:rPr>
              <w:t>1</w:t>
            </w:r>
          </w:p>
        </w:tc>
      </w:tr>
      <w:tr w:rsidR="0027416C" w:rsidRPr="004E5DDB" w:rsidTr="00D61F8C">
        <w:tc>
          <w:tcPr>
            <w:tcW w:w="2988" w:type="dxa"/>
            <w:vMerge/>
            <w:shd w:val="clear" w:color="auto" w:fill="F2F2F2" w:themeFill="background1" w:themeFillShade="F2"/>
          </w:tcPr>
          <w:p w:rsidR="0027416C" w:rsidRPr="004E5DDB" w:rsidRDefault="0027416C" w:rsidP="00D61F8C">
            <w:pPr>
              <w:pStyle w:val="Para1"/>
              <w:numPr>
                <w:ilvl w:val="0"/>
                <w:numId w:val="0"/>
              </w:numPr>
              <w:bidi/>
              <w:spacing w:before="60" w:after="60" w:line="216" w:lineRule="auto"/>
              <w:jc w:val="left"/>
              <w:rPr>
                <w:snapToGrid/>
                <w:szCs w:val="22"/>
              </w:rPr>
            </w:pPr>
          </w:p>
        </w:tc>
        <w:tc>
          <w:tcPr>
            <w:tcW w:w="1753" w:type="dxa"/>
          </w:tcPr>
          <w:p w:rsidR="0027416C" w:rsidRPr="004E5DDB" w:rsidRDefault="0027416C" w:rsidP="00D61F8C">
            <w:pPr>
              <w:pStyle w:val="Para1"/>
              <w:numPr>
                <w:ilvl w:val="0"/>
                <w:numId w:val="0"/>
              </w:numPr>
              <w:bidi/>
              <w:spacing w:before="60" w:after="60" w:line="216" w:lineRule="auto"/>
              <w:rPr>
                <w:snapToGrid/>
                <w:szCs w:val="22"/>
              </w:rPr>
            </w:pPr>
            <w:r>
              <w:rPr>
                <w:rFonts w:hint="cs"/>
                <w:snapToGrid/>
                <w:szCs w:val="22"/>
                <w:rtl/>
              </w:rPr>
              <w:t>الأطراف</w:t>
            </w:r>
          </w:p>
        </w:tc>
        <w:tc>
          <w:tcPr>
            <w:tcW w:w="1188" w:type="dxa"/>
          </w:tcPr>
          <w:p w:rsidR="0027416C" w:rsidRDefault="0027416C">
            <w:r w:rsidRPr="00D050C1">
              <w:rPr>
                <w:rFonts w:hint="cs"/>
                <w:szCs w:val="22"/>
                <w:rtl/>
              </w:rPr>
              <w:t>غير متوافر</w:t>
            </w:r>
          </w:p>
        </w:tc>
        <w:tc>
          <w:tcPr>
            <w:tcW w:w="1188" w:type="dxa"/>
          </w:tcPr>
          <w:p w:rsidR="0027416C" w:rsidRDefault="0027416C">
            <w:r w:rsidRPr="00B05A7A">
              <w:rPr>
                <w:rFonts w:hint="cs"/>
                <w:szCs w:val="22"/>
                <w:rtl/>
              </w:rPr>
              <w:t>غير متوافر</w:t>
            </w:r>
          </w:p>
        </w:tc>
        <w:tc>
          <w:tcPr>
            <w:tcW w:w="1188" w:type="dxa"/>
          </w:tcPr>
          <w:p w:rsidR="0027416C" w:rsidRPr="004E5DDB" w:rsidRDefault="0027416C" w:rsidP="00D61F8C">
            <w:pPr>
              <w:pStyle w:val="Para1"/>
              <w:numPr>
                <w:ilvl w:val="0"/>
                <w:numId w:val="0"/>
              </w:numPr>
              <w:spacing w:before="60" w:after="60" w:line="216" w:lineRule="auto"/>
              <w:jc w:val="right"/>
              <w:rPr>
                <w:snapToGrid/>
                <w:szCs w:val="22"/>
              </w:rPr>
            </w:pPr>
            <w:r>
              <w:rPr>
                <w:snapToGrid/>
                <w:szCs w:val="22"/>
              </w:rPr>
              <w:t>4</w:t>
            </w:r>
          </w:p>
        </w:tc>
        <w:tc>
          <w:tcPr>
            <w:tcW w:w="1188" w:type="dxa"/>
          </w:tcPr>
          <w:p w:rsidR="0027416C" w:rsidRPr="004E5DDB" w:rsidRDefault="0027416C" w:rsidP="00D61F8C">
            <w:pPr>
              <w:pStyle w:val="Para1"/>
              <w:numPr>
                <w:ilvl w:val="0"/>
                <w:numId w:val="0"/>
              </w:numPr>
              <w:spacing w:before="60" w:after="60" w:line="216" w:lineRule="auto"/>
              <w:jc w:val="right"/>
              <w:rPr>
                <w:snapToGrid/>
                <w:szCs w:val="22"/>
              </w:rPr>
            </w:pPr>
            <w:r w:rsidRPr="004E5DDB">
              <w:rPr>
                <w:snapToGrid/>
                <w:szCs w:val="22"/>
              </w:rPr>
              <w:t>17</w:t>
            </w:r>
          </w:p>
        </w:tc>
      </w:tr>
      <w:tr w:rsidR="0027416C" w:rsidRPr="004E5DDB" w:rsidTr="00D61F8C">
        <w:tc>
          <w:tcPr>
            <w:tcW w:w="2988" w:type="dxa"/>
            <w:vMerge/>
            <w:shd w:val="clear" w:color="auto" w:fill="F2F2F2" w:themeFill="background1" w:themeFillShade="F2"/>
          </w:tcPr>
          <w:p w:rsidR="0027416C" w:rsidRPr="004E5DDB" w:rsidRDefault="0027416C" w:rsidP="00D61F8C">
            <w:pPr>
              <w:pStyle w:val="Para1"/>
              <w:numPr>
                <w:ilvl w:val="0"/>
                <w:numId w:val="0"/>
              </w:numPr>
              <w:bidi/>
              <w:spacing w:before="60" w:after="60" w:line="216" w:lineRule="auto"/>
              <w:jc w:val="left"/>
              <w:rPr>
                <w:snapToGrid/>
                <w:szCs w:val="22"/>
              </w:rPr>
            </w:pPr>
          </w:p>
        </w:tc>
        <w:tc>
          <w:tcPr>
            <w:tcW w:w="1753" w:type="dxa"/>
            <w:shd w:val="clear" w:color="auto" w:fill="F2F2F2" w:themeFill="background1" w:themeFillShade="F2"/>
          </w:tcPr>
          <w:p w:rsidR="0027416C" w:rsidRPr="004E5DDB" w:rsidRDefault="0027416C" w:rsidP="00D61F8C">
            <w:pPr>
              <w:pStyle w:val="Para1"/>
              <w:numPr>
                <w:ilvl w:val="0"/>
                <w:numId w:val="0"/>
              </w:numPr>
              <w:bidi/>
              <w:spacing w:before="60" w:after="60" w:line="216" w:lineRule="auto"/>
              <w:rPr>
                <w:b/>
                <w:bCs/>
                <w:snapToGrid/>
                <w:szCs w:val="22"/>
              </w:rPr>
            </w:pPr>
            <w:r>
              <w:rPr>
                <w:rFonts w:hint="cs"/>
                <w:b/>
                <w:bCs/>
                <w:snapToGrid/>
                <w:szCs w:val="22"/>
                <w:rtl/>
              </w:rPr>
              <w:t>مجموع السجلات</w:t>
            </w:r>
          </w:p>
        </w:tc>
        <w:tc>
          <w:tcPr>
            <w:tcW w:w="1188" w:type="dxa"/>
            <w:shd w:val="clear" w:color="auto" w:fill="F2F2F2" w:themeFill="background1" w:themeFillShade="F2"/>
          </w:tcPr>
          <w:p w:rsidR="0027416C" w:rsidRDefault="0027416C">
            <w:r w:rsidRPr="00D050C1">
              <w:rPr>
                <w:rFonts w:hint="cs"/>
                <w:szCs w:val="22"/>
                <w:rtl/>
              </w:rPr>
              <w:t>غير متوافر</w:t>
            </w:r>
          </w:p>
        </w:tc>
        <w:tc>
          <w:tcPr>
            <w:tcW w:w="1188" w:type="dxa"/>
            <w:shd w:val="clear" w:color="auto" w:fill="F2F2F2" w:themeFill="background1" w:themeFillShade="F2"/>
          </w:tcPr>
          <w:p w:rsidR="0027416C" w:rsidRDefault="0027416C">
            <w:r w:rsidRPr="00B05A7A">
              <w:rPr>
                <w:rFonts w:hint="cs"/>
                <w:szCs w:val="22"/>
                <w:rtl/>
              </w:rPr>
              <w:t>غير متوافر</w:t>
            </w:r>
          </w:p>
        </w:tc>
        <w:tc>
          <w:tcPr>
            <w:tcW w:w="1188" w:type="dxa"/>
            <w:shd w:val="clear" w:color="auto" w:fill="F2F2F2" w:themeFill="background1" w:themeFillShade="F2"/>
          </w:tcPr>
          <w:p w:rsidR="0027416C" w:rsidRPr="00347DEF" w:rsidRDefault="0027416C" w:rsidP="00D61F8C">
            <w:pPr>
              <w:pStyle w:val="Para1"/>
              <w:numPr>
                <w:ilvl w:val="0"/>
                <w:numId w:val="0"/>
              </w:numPr>
              <w:spacing w:before="60" w:after="60" w:line="216" w:lineRule="auto"/>
              <w:jc w:val="right"/>
              <w:rPr>
                <w:b/>
                <w:bCs/>
                <w:snapToGrid/>
                <w:szCs w:val="22"/>
              </w:rPr>
            </w:pPr>
            <w:r>
              <w:rPr>
                <w:b/>
                <w:bCs/>
                <w:snapToGrid/>
                <w:szCs w:val="22"/>
              </w:rPr>
              <w:t>5</w:t>
            </w:r>
          </w:p>
        </w:tc>
        <w:tc>
          <w:tcPr>
            <w:tcW w:w="1188" w:type="dxa"/>
            <w:shd w:val="clear" w:color="auto" w:fill="F2F2F2" w:themeFill="background1" w:themeFillShade="F2"/>
          </w:tcPr>
          <w:p w:rsidR="0027416C" w:rsidRPr="00347DEF" w:rsidRDefault="0027416C" w:rsidP="00D61F8C">
            <w:pPr>
              <w:pStyle w:val="Para1"/>
              <w:numPr>
                <w:ilvl w:val="0"/>
                <w:numId w:val="0"/>
              </w:numPr>
              <w:spacing w:before="60" w:after="60" w:line="216" w:lineRule="auto"/>
              <w:jc w:val="right"/>
              <w:rPr>
                <w:b/>
                <w:bCs/>
                <w:snapToGrid/>
                <w:szCs w:val="22"/>
              </w:rPr>
            </w:pPr>
            <w:r w:rsidRPr="00347DEF">
              <w:rPr>
                <w:b/>
                <w:bCs/>
                <w:snapToGrid/>
                <w:szCs w:val="22"/>
              </w:rPr>
              <w:t>22</w:t>
            </w:r>
          </w:p>
        </w:tc>
      </w:tr>
      <w:tr w:rsidR="00D61F8C" w:rsidRPr="004E5DDB" w:rsidTr="00D61F8C">
        <w:tc>
          <w:tcPr>
            <w:tcW w:w="2988" w:type="dxa"/>
            <w:vMerge w:val="restart"/>
            <w:shd w:val="clear" w:color="auto" w:fill="F2F2F2" w:themeFill="background1" w:themeFillShade="F2"/>
          </w:tcPr>
          <w:p w:rsidR="00D61F8C" w:rsidRPr="004E5DDB" w:rsidRDefault="00D61F8C" w:rsidP="00D61F8C">
            <w:pPr>
              <w:pStyle w:val="Para1"/>
              <w:numPr>
                <w:ilvl w:val="0"/>
                <w:numId w:val="0"/>
              </w:numPr>
              <w:bidi/>
              <w:spacing w:before="60" w:after="60" w:line="216" w:lineRule="auto"/>
              <w:jc w:val="left"/>
              <w:rPr>
                <w:snapToGrid/>
                <w:szCs w:val="22"/>
              </w:rPr>
            </w:pPr>
            <w:r>
              <w:rPr>
                <w:rFonts w:hint="cs"/>
                <w:snapToGrid/>
                <w:szCs w:val="22"/>
                <w:rtl/>
              </w:rPr>
              <w:t>شهادة الامتثال المعترف بها دوليا</w:t>
            </w:r>
          </w:p>
        </w:tc>
        <w:tc>
          <w:tcPr>
            <w:tcW w:w="1753" w:type="dxa"/>
          </w:tcPr>
          <w:p w:rsidR="00D61F8C" w:rsidRPr="004E5DDB" w:rsidRDefault="00D61F8C" w:rsidP="00D61F8C">
            <w:pPr>
              <w:pStyle w:val="Para1"/>
              <w:numPr>
                <w:ilvl w:val="0"/>
                <w:numId w:val="0"/>
              </w:numPr>
              <w:bidi/>
              <w:spacing w:before="60" w:after="60" w:line="216" w:lineRule="auto"/>
              <w:rPr>
                <w:szCs w:val="22"/>
              </w:rPr>
            </w:pPr>
            <w:r>
              <w:rPr>
                <w:rFonts w:hint="cs"/>
                <w:szCs w:val="22"/>
                <w:rtl/>
              </w:rPr>
              <w:t>غير الأطراف</w:t>
            </w:r>
          </w:p>
        </w:tc>
        <w:tc>
          <w:tcPr>
            <w:tcW w:w="1188" w:type="dxa"/>
          </w:tcPr>
          <w:p w:rsidR="00D61F8C" w:rsidRPr="004E5DDB" w:rsidRDefault="00D61F8C" w:rsidP="00D61F8C">
            <w:pPr>
              <w:pStyle w:val="Para1"/>
              <w:numPr>
                <w:ilvl w:val="0"/>
                <w:numId w:val="0"/>
              </w:numPr>
              <w:spacing w:before="60" w:after="60" w:line="216" w:lineRule="auto"/>
              <w:jc w:val="right"/>
              <w:rPr>
                <w:szCs w:val="22"/>
              </w:rPr>
            </w:pPr>
            <w:r w:rsidRPr="004E5DDB">
              <w:rPr>
                <w:szCs w:val="22"/>
              </w:rPr>
              <w:t>0</w:t>
            </w:r>
          </w:p>
        </w:tc>
        <w:tc>
          <w:tcPr>
            <w:tcW w:w="1188" w:type="dxa"/>
          </w:tcPr>
          <w:p w:rsidR="00D61F8C" w:rsidRPr="004E5DDB" w:rsidRDefault="00D61F8C" w:rsidP="00D61F8C">
            <w:pPr>
              <w:pStyle w:val="Para1"/>
              <w:numPr>
                <w:ilvl w:val="0"/>
                <w:numId w:val="0"/>
              </w:numPr>
              <w:spacing w:before="60" w:after="60" w:line="216" w:lineRule="auto"/>
              <w:jc w:val="right"/>
              <w:rPr>
                <w:szCs w:val="22"/>
              </w:rPr>
            </w:pPr>
            <w:r w:rsidRPr="004E5DDB">
              <w:rPr>
                <w:szCs w:val="22"/>
              </w:rPr>
              <w:t>0</w:t>
            </w:r>
          </w:p>
        </w:tc>
        <w:tc>
          <w:tcPr>
            <w:tcW w:w="1188" w:type="dxa"/>
          </w:tcPr>
          <w:p w:rsidR="00D61F8C" w:rsidRPr="00273736" w:rsidRDefault="00D61F8C" w:rsidP="00D61F8C">
            <w:pPr>
              <w:pStyle w:val="Para1"/>
              <w:numPr>
                <w:ilvl w:val="0"/>
                <w:numId w:val="0"/>
              </w:numPr>
              <w:spacing w:before="60" w:after="60" w:line="216" w:lineRule="auto"/>
              <w:jc w:val="right"/>
              <w:rPr>
                <w:szCs w:val="22"/>
              </w:rPr>
            </w:pPr>
            <w:r>
              <w:rPr>
                <w:szCs w:val="22"/>
              </w:rPr>
              <w:t>0</w:t>
            </w:r>
          </w:p>
        </w:tc>
        <w:tc>
          <w:tcPr>
            <w:tcW w:w="1188" w:type="dxa"/>
          </w:tcPr>
          <w:p w:rsidR="00D61F8C" w:rsidRPr="00273736" w:rsidRDefault="00D61F8C" w:rsidP="00D61F8C">
            <w:pPr>
              <w:pStyle w:val="Para1"/>
              <w:numPr>
                <w:ilvl w:val="0"/>
                <w:numId w:val="0"/>
              </w:numPr>
              <w:spacing w:before="60" w:after="60" w:line="216" w:lineRule="auto"/>
              <w:jc w:val="right"/>
              <w:rPr>
                <w:szCs w:val="22"/>
              </w:rPr>
            </w:pPr>
            <w:r w:rsidRPr="00273736">
              <w:rPr>
                <w:szCs w:val="22"/>
              </w:rPr>
              <w:t>0</w:t>
            </w:r>
          </w:p>
        </w:tc>
      </w:tr>
      <w:tr w:rsidR="00D61F8C" w:rsidRPr="004E5DDB" w:rsidTr="00D61F8C">
        <w:tc>
          <w:tcPr>
            <w:tcW w:w="2988" w:type="dxa"/>
            <w:vMerge/>
            <w:shd w:val="clear" w:color="auto" w:fill="F2F2F2" w:themeFill="background1" w:themeFillShade="F2"/>
          </w:tcPr>
          <w:p w:rsidR="00D61F8C" w:rsidRPr="004E5DDB" w:rsidRDefault="00D61F8C" w:rsidP="00D61F8C">
            <w:pPr>
              <w:pStyle w:val="Para1"/>
              <w:numPr>
                <w:ilvl w:val="0"/>
                <w:numId w:val="0"/>
              </w:numPr>
              <w:bidi/>
              <w:spacing w:before="60" w:after="60" w:line="216" w:lineRule="auto"/>
              <w:jc w:val="left"/>
              <w:rPr>
                <w:snapToGrid/>
                <w:szCs w:val="22"/>
              </w:rPr>
            </w:pPr>
          </w:p>
        </w:tc>
        <w:tc>
          <w:tcPr>
            <w:tcW w:w="1753" w:type="dxa"/>
          </w:tcPr>
          <w:p w:rsidR="00D61F8C" w:rsidRPr="004E5DDB" w:rsidRDefault="00D61F8C" w:rsidP="00D61F8C">
            <w:pPr>
              <w:pStyle w:val="Para1"/>
              <w:numPr>
                <w:ilvl w:val="0"/>
                <w:numId w:val="0"/>
              </w:numPr>
              <w:bidi/>
              <w:spacing w:before="60" w:after="60" w:line="216" w:lineRule="auto"/>
              <w:rPr>
                <w:snapToGrid/>
                <w:szCs w:val="22"/>
              </w:rPr>
            </w:pPr>
            <w:r>
              <w:rPr>
                <w:rFonts w:hint="cs"/>
                <w:snapToGrid/>
                <w:szCs w:val="22"/>
                <w:rtl/>
              </w:rPr>
              <w:t>الأطراف</w:t>
            </w:r>
          </w:p>
        </w:tc>
        <w:tc>
          <w:tcPr>
            <w:tcW w:w="1188" w:type="dxa"/>
          </w:tcPr>
          <w:p w:rsidR="00D61F8C" w:rsidRPr="004E5DDB" w:rsidRDefault="00D61F8C" w:rsidP="00D61F8C">
            <w:pPr>
              <w:pStyle w:val="Para1"/>
              <w:numPr>
                <w:ilvl w:val="0"/>
                <w:numId w:val="0"/>
              </w:numPr>
              <w:spacing w:before="60" w:after="60" w:line="216" w:lineRule="auto"/>
              <w:jc w:val="right"/>
              <w:rPr>
                <w:snapToGrid/>
                <w:szCs w:val="22"/>
              </w:rPr>
            </w:pPr>
            <w:r>
              <w:rPr>
                <w:snapToGrid/>
                <w:szCs w:val="22"/>
              </w:rPr>
              <w:t>1</w:t>
            </w:r>
          </w:p>
        </w:tc>
        <w:tc>
          <w:tcPr>
            <w:tcW w:w="1188" w:type="dxa"/>
          </w:tcPr>
          <w:p w:rsidR="00D61F8C" w:rsidRPr="004E5DDB" w:rsidRDefault="00D61F8C" w:rsidP="00D61F8C">
            <w:pPr>
              <w:pStyle w:val="Para1"/>
              <w:numPr>
                <w:ilvl w:val="0"/>
                <w:numId w:val="0"/>
              </w:numPr>
              <w:spacing w:before="60" w:after="60" w:line="216" w:lineRule="auto"/>
              <w:jc w:val="right"/>
              <w:rPr>
                <w:snapToGrid/>
                <w:szCs w:val="22"/>
              </w:rPr>
            </w:pPr>
            <w:r>
              <w:rPr>
                <w:snapToGrid/>
                <w:szCs w:val="22"/>
              </w:rPr>
              <w:t>10</w:t>
            </w:r>
          </w:p>
        </w:tc>
        <w:tc>
          <w:tcPr>
            <w:tcW w:w="1188" w:type="dxa"/>
          </w:tcPr>
          <w:p w:rsidR="00D61F8C" w:rsidRPr="004E5DDB" w:rsidRDefault="00D61F8C" w:rsidP="00D61F8C">
            <w:pPr>
              <w:pStyle w:val="Para1"/>
              <w:numPr>
                <w:ilvl w:val="0"/>
                <w:numId w:val="0"/>
              </w:numPr>
              <w:spacing w:before="60" w:after="60" w:line="216" w:lineRule="auto"/>
              <w:jc w:val="right"/>
              <w:rPr>
                <w:snapToGrid/>
                <w:szCs w:val="22"/>
              </w:rPr>
            </w:pPr>
            <w:r>
              <w:rPr>
                <w:snapToGrid/>
                <w:szCs w:val="22"/>
              </w:rPr>
              <w:t>19</w:t>
            </w:r>
          </w:p>
        </w:tc>
        <w:tc>
          <w:tcPr>
            <w:tcW w:w="1188" w:type="dxa"/>
          </w:tcPr>
          <w:p w:rsidR="00D61F8C" w:rsidRPr="00F8774A" w:rsidRDefault="00D61F8C" w:rsidP="00D61F8C">
            <w:pPr>
              <w:pStyle w:val="Para1"/>
              <w:numPr>
                <w:ilvl w:val="0"/>
                <w:numId w:val="0"/>
              </w:numPr>
              <w:spacing w:before="60" w:after="60" w:line="216" w:lineRule="auto"/>
              <w:jc w:val="right"/>
              <w:rPr>
                <w:snapToGrid/>
                <w:szCs w:val="22"/>
              </w:rPr>
            </w:pPr>
            <w:r w:rsidRPr="00F8774A">
              <w:rPr>
                <w:snapToGrid/>
                <w:szCs w:val="22"/>
              </w:rPr>
              <w:t>25</w:t>
            </w:r>
          </w:p>
        </w:tc>
      </w:tr>
      <w:tr w:rsidR="00D61F8C" w:rsidRPr="004E5DDB" w:rsidTr="00D61F8C">
        <w:tc>
          <w:tcPr>
            <w:tcW w:w="2988" w:type="dxa"/>
            <w:vMerge/>
            <w:shd w:val="clear" w:color="auto" w:fill="F2F2F2" w:themeFill="background1" w:themeFillShade="F2"/>
          </w:tcPr>
          <w:p w:rsidR="00D61F8C" w:rsidRPr="004E5DDB" w:rsidRDefault="00D61F8C" w:rsidP="00D61F8C">
            <w:pPr>
              <w:pStyle w:val="Para1"/>
              <w:numPr>
                <w:ilvl w:val="0"/>
                <w:numId w:val="0"/>
              </w:numPr>
              <w:bidi/>
              <w:spacing w:before="60" w:after="60" w:line="216" w:lineRule="auto"/>
              <w:jc w:val="left"/>
              <w:rPr>
                <w:snapToGrid/>
                <w:szCs w:val="22"/>
              </w:rPr>
            </w:pPr>
          </w:p>
        </w:tc>
        <w:tc>
          <w:tcPr>
            <w:tcW w:w="1753" w:type="dxa"/>
            <w:shd w:val="clear" w:color="auto" w:fill="F2F2F2" w:themeFill="background1" w:themeFillShade="F2"/>
          </w:tcPr>
          <w:p w:rsidR="00D61F8C" w:rsidRPr="004E5DDB" w:rsidRDefault="00D61F8C" w:rsidP="00D61F8C">
            <w:pPr>
              <w:pStyle w:val="Para1"/>
              <w:numPr>
                <w:ilvl w:val="0"/>
                <w:numId w:val="0"/>
              </w:numPr>
              <w:bidi/>
              <w:spacing w:before="60" w:after="60" w:line="216" w:lineRule="auto"/>
              <w:rPr>
                <w:b/>
                <w:bCs/>
                <w:snapToGrid/>
                <w:szCs w:val="22"/>
              </w:rPr>
            </w:pPr>
            <w:r>
              <w:rPr>
                <w:rFonts w:hint="cs"/>
                <w:b/>
                <w:bCs/>
                <w:snapToGrid/>
                <w:szCs w:val="22"/>
                <w:rtl/>
              </w:rPr>
              <w:t>مجموع السجلات</w:t>
            </w:r>
          </w:p>
        </w:tc>
        <w:tc>
          <w:tcPr>
            <w:tcW w:w="1188" w:type="dxa"/>
            <w:shd w:val="clear" w:color="auto" w:fill="F2F2F2" w:themeFill="background1" w:themeFillShade="F2"/>
          </w:tcPr>
          <w:p w:rsidR="00D61F8C" w:rsidRPr="00347DEF" w:rsidRDefault="00D61F8C" w:rsidP="00D61F8C">
            <w:pPr>
              <w:pStyle w:val="Para1"/>
              <w:numPr>
                <w:ilvl w:val="0"/>
                <w:numId w:val="0"/>
              </w:numPr>
              <w:spacing w:before="60" w:after="60" w:line="216" w:lineRule="auto"/>
              <w:jc w:val="right"/>
              <w:rPr>
                <w:b/>
                <w:bCs/>
                <w:snapToGrid/>
                <w:szCs w:val="22"/>
              </w:rPr>
            </w:pPr>
            <w:r>
              <w:rPr>
                <w:b/>
                <w:bCs/>
                <w:snapToGrid/>
                <w:szCs w:val="22"/>
              </w:rPr>
              <w:t>1</w:t>
            </w:r>
          </w:p>
        </w:tc>
        <w:tc>
          <w:tcPr>
            <w:tcW w:w="1188" w:type="dxa"/>
            <w:shd w:val="clear" w:color="auto" w:fill="F2F2F2" w:themeFill="background1" w:themeFillShade="F2"/>
          </w:tcPr>
          <w:p w:rsidR="00D61F8C" w:rsidRPr="00347DEF" w:rsidRDefault="00D61F8C" w:rsidP="00D61F8C">
            <w:pPr>
              <w:pStyle w:val="Para1"/>
              <w:numPr>
                <w:ilvl w:val="0"/>
                <w:numId w:val="0"/>
              </w:numPr>
              <w:spacing w:before="60" w:after="60" w:line="216" w:lineRule="auto"/>
              <w:jc w:val="right"/>
              <w:rPr>
                <w:b/>
                <w:bCs/>
                <w:snapToGrid/>
                <w:szCs w:val="22"/>
              </w:rPr>
            </w:pPr>
            <w:r>
              <w:rPr>
                <w:b/>
                <w:bCs/>
                <w:snapToGrid/>
                <w:szCs w:val="22"/>
              </w:rPr>
              <w:t>114</w:t>
            </w:r>
          </w:p>
        </w:tc>
        <w:tc>
          <w:tcPr>
            <w:tcW w:w="1188" w:type="dxa"/>
            <w:shd w:val="clear" w:color="auto" w:fill="F2F2F2" w:themeFill="background1" w:themeFillShade="F2"/>
          </w:tcPr>
          <w:p w:rsidR="00D61F8C" w:rsidRPr="00347DEF" w:rsidRDefault="00D61F8C" w:rsidP="00D61F8C">
            <w:pPr>
              <w:pStyle w:val="Para1"/>
              <w:numPr>
                <w:ilvl w:val="0"/>
                <w:numId w:val="0"/>
              </w:numPr>
              <w:spacing w:before="60" w:after="60" w:line="216" w:lineRule="auto"/>
              <w:jc w:val="right"/>
              <w:rPr>
                <w:b/>
                <w:bCs/>
                <w:snapToGrid/>
                <w:szCs w:val="22"/>
              </w:rPr>
            </w:pPr>
            <w:r>
              <w:rPr>
                <w:b/>
                <w:bCs/>
                <w:snapToGrid/>
                <w:szCs w:val="22"/>
              </w:rPr>
              <w:t>1 114</w:t>
            </w:r>
          </w:p>
        </w:tc>
        <w:tc>
          <w:tcPr>
            <w:tcW w:w="1188" w:type="dxa"/>
            <w:shd w:val="clear" w:color="auto" w:fill="F2F2F2" w:themeFill="background1" w:themeFillShade="F2"/>
          </w:tcPr>
          <w:p w:rsidR="00D61F8C" w:rsidRPr="00F8774A" w:rsidRDefault="00D61F8C" w:rsidP="00D61F8C">
            <w:pPr>
              <w:pStyle w:val="Para1"/>
              <w:numPr>
                <w:ilvl w:val="0"/>
                <w:numId w:val="0"/>
              </w:numPr>
              <w:spacing w:before="60" w:after="60" w:line="216" w:lineRule="auto"/>
              <w:jc w:val="right"/>
              <w:rPr>
                <w:b/>
                <w:bCs/>
                <w:snapToGrid/>
                <w:szCs w:val="22"/>
              </w:rPr>
            </w:pPr>
            <w:r w:rsidRPr="00F8774A">
              <w:rPr>
                <w:b/>
                <w:bCs/>
                <w:snapToGrid/>
                <w:szCs w:val="22"/>
              </w:rPr>
              <w:t>3 180</w:t>
            </w:r>
          </w:p>
        </w:tc>
      </w:tr>
      <w:tr w:rsidR="00D61F8C" w:rsidRPr="004E5DDB" w:rsidTr="00D61F8C">
        <w:tc>
          <w:tcPr>
            <w:tcW w:w="2988" w:type="dxa"/>
            <w:vMerge w:val="restart"/>
            <w:shd w:val="clear" w:color="auto" w:fill="F2F2F2" w:themeFill="background1" w:themeFillShade="F2"/>
          </w:tcPr>
          <w:p w:rsidR="00D61F8C" w:rsidRPr="004E5DDB" w:rsidRDefault="00D61F8C" w:rsidP="00D61F8C">
            <w:pPr>
              <w:pStyle w:val="Para1"/>
              <w:numPr>
                <w:ilvl w:val="0"/>
                <w:numId w:val="0"/>
              </w:numPr>
              <w:bidi/>
              <w:spacing w:before="60" w:after="60" w:line="216" w:lineRule="auto"/>
              <w:jc w:val="left"/>
              <w:rPr>
                <w:snapToGrid/>
                <w:szCs w:val="22"/>
              </w:rPr>
            </w:pPr>
            <w:r>
              <w:rPr>
                <w:rFonts w:hint="cs"/>
                <w:snapToGrid/>
                <w:szCs w:val="22"/>
                <w:rtl/>
              </w:rPr>
              <w:t>الموقع الشبكي الوطنية أو قاعدة البيانات الوطنية</w:t>
            </w:r>
          </w:p>
        </w:tc>
        <w:tc>
          <w:tcPr>
            <w:tcW w:w="1753" w:type="dxa"/>
          </w:tcPr>
          <w:p w:rsidR="00D61F8C" w:rsidRPr="004E5DDB" w:rsidRDefault="00D61F8C" w:rsidP="00D61F8C">
            <w:pPr>
              <w:pStyle w:val="Para1"/>
              <w:numPr>
                <w:ilvl w:val="0"/>
                <w:numId w:val="0"/>
              </w:numPr>
              <w:bidi/>
              <w:spacing w:before="60" w:after="60" w:line="216" w:lineRule="auto"/>
              <w:rPr>
                <w:szCs w:val="22"/>
              </w:rPr>
            </w:pPr>
            <w:r>
              <w:rPr>
                <w:rFonts w:hint="cs"/>
                <w:szCs w:val="22"/>
                <w:rtl/>
              </w:rPr>
              <w:t>غير الأطراف</w:t>
            </w:r>
          </w:p>
        </w:tc>
        <w:tc>
          <w:tcPr>
            <w:tcW w:w="1188" w:type="dxa"/>
          </w:tcPr>
          <w:p w:rsidR="00D61F8C" w:rsidRPr="004E5DDB" w:rsidRDefault="00D61F8C" w:rsidP="00D61F8C">
            <w:pPr>
              <w:pStyle w:val="Para1"/>
              <w:numPr>
                <w:ilvl w:val="0"/>
                <w:numId w:val="0"/>
              </w:numPr>
              <w:spacing w:before="60" w:after="60" w:line="216" w:lineRule="auto"/>
              <w:jc w:val="right"/>
              <w:rPr>
                <w:szCs w:val="22"/>
              </w:rPr>
            </w:pPr>
            <w:r>
              <w:rPr>
                <w:szCs w:val="22"/>
              </w:rPr>
              <w:t>1</w:t>
            </w:r>
          </w:p>
        </w:tc>
        <w:tc>
          <w:tcPr>
            <w:tcW w:w="1188" w:type="dxa"/>
          </w:tcPr>
          <w:p w:rsidR="00D61F8C" w:rsidRPr="004E5DDB" w:rsidRDefault="00D61F8C" w:rsidP="00D61F8C">
            <w:pPr>
              <w:pStyle w:val="Para1"/>
              <w:numPr>
                <w:ilvl w:val="0"/>
                <w:numId w:val="0"/>
              </w:numPr>
              <w:spacing w:before="60" w:after="60" w:line="216" w:lineRule="auto"/>
              <w:jc w:val="right"/>
              <w:rPr>
                <w:szCs w:val="22"/>
              </w:rPr>
            </w:pPr>
            <w:r>
              <w:rPr>
                <w:szCs w:val="22"/>
              </w:rPr>
              <w:t>1</w:t>
            </w:r>
          </w:p>
        </w:tc>
        <w:tc>
          <w:tcPr>
            <w:tcW w:w="1188" w:type="dxa"/>
          </w:tcPr>
          <w:p w:rsidR="00D61F8C" w:rsidRPr="004E5DDB" w:rsidRDefault="00D61F8C" w:rsidP="00D61F8C">
            <w:pPr>
              <w:pStyle w:val="Para1"/>
              <w:numPr>
                <w:ilvl w:val="0"/>
                <w:numId w:val="0"/>
              </w:numPr>
              <w:spacing w:before="60" w:after="60" w:line="216" w:lineRule="auto"/>
              <w:jc w:val="right"/>
              <w:rPr>
                <w:szCs w:val="22"/>
              </w:rPr>
            </w:pPr>
            <w:r w:rsidRPr="004E5DDB">
              <w:rPr>
                <w:szCs w:val="22"/>
              </w:rPr>
              <w:t>2</w:t>
            </w:r>
          </w:p>
        </w:tc>
        <w:tc>
          <w:tcPr>
            <w:tcW w:w="1188" w:type="dxa"/>
          </w:tcPr>
          <w:p w:rsidR="00D61F8C" w:rsidRPr="00A53F4B" w:rsidRDefault="00D61F8C" w:rsidP="00D61F8C">
            <w:pPr>
              <w:pStyle w:val="Para1"/>
              <w:numPr>
                <w:ilvl w:val="0"/>
                <w:numId w:val="0"/>
              </w:numPr>
              <w:spacing w:before="60" w:after="60" w:line="216" w:lineRule="auto"/>
              <w:jc w:val="right"/>
              <w:rPr>
                <w:szCs w:val="22"/>
              </w:rPr>
            </w:pPr>
            <w:r w:rsidRPr="00A53F4B">
              <w:rPr>
                <w:szCs w:val="22"/>
              </w:rPr>
              <w:t>3</w:t>
            </w:r>
          </w:p>
        </w:tc>
      </w:tr>
      <w:tr w:rsidR="00D61F8C" w:rsidRPr="004E5DDB" w:rsidTr="00D61F8C">
        <w:tc>
          <w:tcPr>
            <w:tcW w:w="2988" w:type="dxa"/>
            <w:vMerge/>
            <w:shd w:val="clear" w:color="auto" w:fill="F2F2F2" w:themeFill="background1" w:themeFillShade="F2"/>
          </w:tcPr>
          <w:p w:rsidR="00D61F8C" w:rsidRPr="004E5DDB" w:rsidRDefault="00D61F8C" w:rsidP="00D61F8C">
            <w:pPr>
              <w:pStyle w:val="Para1"/>
              <w:numPr>
                <w:ilvl w:val="0"/>
                <w:numId w:val="0"/>
              </w:numPr>
              <w:bidi/>
              <w:spacing w:before="60" w:after="60" w:line="216" w:lineRule="auto"/>
              <w:jc w:val="left"/>
              <w:rPr>
                <w:snapToGrid/>
                <w:szCs w:val="22"/>
              </w:rPr>
            </w:pPr>
          </w:p>
        </w:tc>
        <w:tc>
          <w:tcPr>
            <w:tcW w:w="1753" w:type="dxa"/>
          </w:tcPr>
          <w:p w:rsidR="00D61F8C" w:rsidRPr="004E5DDB" w:rsidRDefault="00D61F8C" w:rsidP="00D61F8C">
            <w:pPr>
              <w:pStyle w:val="Para1"/>
              <w:numPr>
                <w:ilvl w:val="0"/>
                <w:numId w:val="0"/>
              </w:numPr>
              <w:bidi/>
              <w:spacing w:before="60" w:after="60" w:line="216" w:lineRule="auto"/>
              <w:rPr>
                <w:snapToGrid/>
                <w:szCs w:val="22"/>
              </w:rPr>
            </w:pPr>
            <w:r>
              <w:rPr>
                <w:rFonts w:hint="cs"/>
                <w:snapToGrid/>
                <w:szCs w:val="22"/>
                <w:rtl/>
              </w:rPr>
              <w:t>الأطراف</w:t>
            </w:r>
          </w:p>
        </w:tc>
        <w:tc>
          <w:tcPr>
            <w:tcW w:w="1188" w:type="dxa"/>
          </w:tcPr>
          <w:p w:rsidR="00D61F8C" w:rsidRPr="004E5DDB" w:rsidRDefault="00D61F8C" w:rsidP="00D61F8C">
            <w:pPr>
              <w:pStyle w:val="Para1"/>
              <w:numPr>
                <w:ilvl w:val="0"/>
                <w:numId w:val="0"/>
              </w:numPr>
              <w:spacing w:before="60" w:after="60" w:line="216" w:lineRule="auto"/>
              <w:jc w:val="right"/>
              <w:rPr>
                <w:snapToGrid/>
                <w:szCs w:val="22"/>
              </w:rPr>
            </w:pPr>
            <w:r>
              <w:rPr>
                <w:snapToGrid/>
                <w:szCs w:val="22"/>
              </w:rPr>
              <w:t>4</w:t>
            </w:r>
          </w:p>
        </w:tc>
        <w:tc>
          <w:tcPr>
            <w:tcW w:w="1188" w:type="dxa"/>
          </w:tcPr>
          <w:p w:rsidR="00D61F8C" w:rsidRPr="004E5DDB" w:rsidRDefault="00D61F8C" w:rsidP="00D61F8C">
            <w:pPr>
              <w:pStyle w:val="Para1"/>
              <w:numPr>
                <w:ilvl w:val="0"/>
                <w:numId w:val="0"/>
              </w:numPr>
              <w:spacing w:before="60" w:after="60" w:line="216" w:lineRule="auto"/>
              <w:jc w:val="right"/>
              <w:rPr>
                <w:snapToGrid/>
                <w:szCs w:val="22"/>
              </w:rPr>
            </w:pPr>
            <w:r>
              <w:rPr>
                <w:snapToGrid/>
                <w:szCs w:val="22"/>
              </w:rPr>
              <w:t>18</w:t>
            </w:r>
          </w:p>
        </w:tc>
        <w:tc>
          <w:tcPr>
            <w:tcW w:w="1188" w:type="dxa"/>
          </w:tcPr>
          <w:p w:rsidR="00D61F8C" w:rsidRPr="004E5DDB" w:rsidRDefault="00D61F8C" w:rsidP="00D61F8C">
            <w:pPr>
              <w:pStyle w:val="Para1"/>
              <w:numPr>
                <w:ilvl w:val="0"/>
                <w:numId w:val="0"/>
              </w:numPr>
              <w:spacing w:before="60" w:after="60" w:line="216" w:lineRule="auto"/>
              <w:jc w:val="right"/>
              <w:rPr>
                <w:snapToGrid/>
                <w:szCs w:val="22"/>
              </w:rPr>
            </w:pPr>
            <w:r>
              <w:rPr>
                <w:snapToGrid/>
                <w:szCs w:val="22"/>
              </w:rPr>
              <w:t>28</w:t>
            </w:r>
          </w:p>
        </w:tc>
        <w:tc>
          <w:tcPr>
            <w:tcW w:w="1188" w:type="dxa"/>
          </w:tcPr>
          <w:p w:rsidR="00D61F8C" w:rsidRPr="00A53F4B" w:rsidRDefault="00D61F8C" w:rsidP="00D61F8C">
            <w:pPr>
              <w:pStyle w:val="Para1"/>
              <w:numPr>
                <w:ilvl w:val="0"/>
                <w:numId w:val="0"/>
              </w:numPr>
              <w:spacing w:before="60" w:after="60" w:line="216" w:lineRule="auto"/>
              <w:jc w:val="right"/>
              <w:rPr>
                <w:snapToGrid/>
                <w:szCs w:val="22"/>
              </w:rPr>
            </w:pPr>
            <w:r w:rsidRPr="00A53F4B">
              <w:rPr>
                <w:snapToGrid/>
                <w:szCs w:val="22"/>
              </w:rPr>
              <w:t>40</w:t>
            </w:r>
          </w:p>
        </w:tc>
      </w:tr>
      <w:tr w:rsidR="00D61F8C" w:rsidRPr="004E5DDB" w:rsidTr="00D61F8C">
        <w:tc>
          <w:tcPr>
            <w:tcW w:w="2988" w:type="dxa"/>
            <w:vMerge/>
            <w:shd w:val="clear" w:color="auto" w:fill="F2F2F2" w:themeFill="background1" w:themeFillShade="F2"/>
          </w:tcPr>
          <w:p w:rsidR="00D61F8C" w:rsidRPr="004E5DDB" w:rsidRDefault="00D61F8C" w:rsidP="00D61F8C">
            <w:pPr>
              <w:pStyle w:val="Para1"/>
              <w:numPr>
                <w:ilvl w:val="0"/>
                <w:numId w:val="0"/>
              </w:numPr>
              <w:bidi/>
              <w:spacing w:before="60" w:after="60" w:line="216" w:lineRule="auto"/>
              <w:jc w:val="left"/>
              <w:rPr>
                <w:snapToGrid/>
                <w:szCs w:val="22"/>
              </w:rPr>
            </w:pPr>
          </w:p>
        </w:tc>
        <w:tc>
          <w:tcPr>
            <w:tcW w:w="1753" w:type="dxa"/>
            <w:shd w:val="clear" w:color="auto" w:fill="F2F2F2" w:themeFill="background1" w:themeFillShade="F2"/>
          </w:tcPr>
          <w:p w:rsidR="00D61F8C" w:rsidRPr="004E5DDB" w:rsidRDefault="00D61F8C" w:rsidP="00D61F8C">
            <w:pPr>
              <w:pStyle w:val="Para1"/>
              <w:numPr>
                <w:ilvl w:val="0"/>
                <w:numId w:val="0"/>
              </w:numPr>
              <w:bidi/>
              <w:spacing w:before="60" w:after="60" w:line="216" w:lineRule="auto"/>
              <w:rPr>
                <w:b/>
                <w:bCs/>
                <w:snapToGrid/>
                <w:szCs w:val="22"/>
              </w:rPr>
            </w:pPr>
            <w:r>
              <w:rPr>
                <w:rFonts w:hint="cs"/>
                <w:b/>
                <w:bCs/>
                <w:snapToGrid/>
                <w:szCs w:val="22"/>
                <w:rtl/>
              </w:rPr>
              <w:t>مجموع السجلات</w:t>
            </w:r>
          </w:p>
        </w:tc>
        <w:tc>
          <w:tcPr>
            <w:tcW w:w="1188" w:type="dxa"/>
            <w:shd w:val="clear" w:color="auto" w:fill="F2F2F2" w:themeFill="background1" w:themeFillShade="F2"/>
          </w:tcPr>
          <w:p w:rsidR="00D61F8C" w:rsidRPr="00347DEF" w:rsidRDefault="00D61F8C" w:rsidP="00D61F8C">
            <w:pPr>
              <w:pStyle w:val="Para1"/>
              <w:numPr>
                <w:ilvl w:val="0"/>
                <w:numId w:val="0"/>
              </w:numPr>
              <w:spacing w:before="60" w:after="60" w:line="216" w:lineRule="auto"/>
              <w:jc w:val="right"/>
              <w:rPr>
                <w:b/>
                <w:bCs/>
                <w:snapToGrid/>
                <w:szCs w:val="22"/>
              </w:rPr>
            </w:pPr>
            <w:r>
              <w:rPr>
                <w:b/>
                <w:bCs/>
                <w:snapToGrid/>
                <w:szCs w:val="22"/>
              </w:rPr>
              <w:t>5</w:t>
            </w:r>
          </w:p>
        </w:tc>
        <w:tc>
          <w:tcPr>
            <w:tcW w:w="1188" w:type="dxa"/>
            <w:shd w:val="clear" w:color="auto" w:fill="F2F2F2" w:themeFill="background1" w:themeFillShade="F2"/>
          </w:tcPr>
          <w:p w:rsidR="00D61F8C" w:rsidRPr="00347DEF" w:rsidRDefault="00D61F8C" w:rsidP="00D61F8C">
            <w:pPr>
              <w:pStyle w:val="Para1"/>
              <w:numPr>
                <w:ilvl w:val="0"/>
                <w:numId w:val="0"/>
              </w:numPr>
              <w:spacing w:before="60" w:after="60" w:line="216" w:lineRule="auto"/>
              <w:jc w:val="right"/>
              <w:rPr>
                <w:b/>
                <w:bCs/>
                <w:snapToGrid/>
                <w:szCs w:val="22"/>
              </w:rPr>
            </w:pPr>
            <w:r>
              <w:rPr>
                <w:b/>
                <w:bCs/>
                <w:snapToGrid/>
                <w:szCs w:val="22"/>
              </w:rPr>
              <w:t>24</w:t>
            </w:r>
          </w:p>
        </w:tc>
        <w:tc>
          <w:tcPr>
            <w:tcW w:w="1188" w:type="dxa"/>
            <w:shd w:val="clear" w:color="auto" w:fill="F2F2F2" w:themeFill="background1" w:themeFillShade="F2"/>
          </w:tcPr>
          <w:p w:rsidR="00D61F8C" w:rsidRPr="00347DEF" w:rsidRDefault="00D61F8C" w:rsidP="00D61F8C">
            <w:pPr>
              <w:pStyle w:val="Para1"/>
              <w:numPr>
                <w:ilvl w:val="0"/>
                <w:numId w:val="0"/>
              </w:numPr>
              <w:spacing w:before="60" w:after="60" w:line="216" w:lineRule="auto"/>
              <w:jc w:val="right"/>
              <w:rPr>
                <w:b/>
                <w:bCs/>
                <w:snapToGrid/>
                <w:szCs w:val="22"/>
              </w:rPr>
            </w:pPr>
            <w:r>
              <w:rPr>
                <w:b/>
                <w:bCs/>
                <w:snapToGrid/>
                <w:szCs w:val="22"/>
              </w:rPr>
              <w:t>40</w:t>
            </w:r>
          </w:p>
        </w:tc>
        <w:tc>
          <w:tcPr>
            <w:tcW w:w="1188" w:type="dxa"/>
            <w:shd w:val="clear" w:color="auto" w:fill="F2F2F2" w:themeFill="background1" w:themeFillShade="F2"/>
          </w:tcPr>
          <w:p w:rsidR="00D61F8C" w:rsidRPr="00A53F4B" w:rsidRDefault="00D61F8C" w:rsidP="00D61F8C">
            <w:pPr>
              <w:pStyle w:val="Para1"/>
              <w:numPr>
                <w:ilvl w:val="0"/>
                <w:numId w:val="0"/>
              </w:numPr>
              <w:spacing w:before="60" w:after="60" w:line="216" w:lineRule="auto"/>
              <w:jc w:val="right"/>
              <w:rPr>
                <w:b/>
                <w:bCs/>
                <w:snapToGrid/>
                <w:szCs w:val="22"/>
              </w:rPr>
            </w:pPr>
            <w:r w:rsidRPr="00A53F4B">
              <w:rPr>
                <w:b/>
                <w:bCs/>
                <w:snapToGrid/>
                <w:szCs w:val="22"/>
              </w:rPr>
              <w:t>54</w:t>
            </w:r>
          </w:p>
        </w:tc>
      </w:tr>
      <w:tr w:rsidR="00D61F8C" w:rsidRPr="004E5DDB" w:rsidTr="00D61F8C">
        <w:tc>
          <w:tcPr>
            <w:tcW w:w="2988" w:type="dxa"/>
            <w:vMerge w:val="restart"/>
            <w:shd w:val="clear" w:color="auto" w:fill="F2F2F2" w:themeFill="background1" w:themeFillShade="F2"/>
          </w:tcPr>
          <w:p w:rsidR="00D61F8C" w:rsidRPr="004E5DDB" w:rsidRDefault="00D61F8C" w:rsidP="00D61F8C">
            <w:pPr>
              <w:pStyle w:val="Para1"/>
              <w:numPr>
                <w:ilvl w:val="0"/>
                <w:numId w:val="0"/>
              </w:numPr>
              <w:bidi/>
              <w:spacing w:before="60" w:after="60" w:line="216" w:lineRule="auto"/>
              <w:jc w:val="left"/>
              <w:rPr>
                <w:snapToGrid/>
                <w:szCs w:val="22"/>
              </w:rPr>
            </w:pPr>
            <w:r>
              <w:rPr>
                <w:rFonts w:hint="cs"/>
                <w:snapToGrid/>
                <w:szCs w:val="22"/>
                <w:rtl/>
              </w:rPr>
              <w:t>نقطة التفتيش</w:t>
            </w:r>
          </w:p>
        </w:tc>
        <w:tc>
          <w:tcPr>
            <w:tcW w:w="1753" w:type="dxa"/>
          </w:tcPr>
          <w:p w:rsidR="00D61F8C" w:rsidRPr="004E5DDB" w:rsidRDefault="00D61F8C" w:rsidP="00D61F8C">
            <w:pPr>
              <w:pStyle w:val="Para1"/>
              <w:numPr>
                <w:ilvl w:val="0"/>
                <w:numId w:val="0"/>
              </w:numPr>
              <w:bidi/>
              <w:spacing w:before="60" w:after="60" w:line="216" w:lineRule="auto"/>
              <w:rPr>
                <w:szCs w:val="22"/>
              </w:rPr>
            </w:pPr>
            <w:r>
              <w:rPr>
                <w:rFonts w:hint="cs"/>
                <w:szCs w:val="22"/>
                <w:rtl/>
              </w:rPr>
              <w:t>غير الأطراف</w:t>
            </w:r>
          </w:p>
        </w:tc>
        <w:tc>
          <w:tcPr>
            <w:tcW w:w="1188" w:type="dxa"/>
          </w:tcPr>
          <w:p w:rsidR="00D61F8C" w:rsidRPr="004E5DDB" w:rsidRDefault="00D61F8C" w:rsidP="00D61F8C">
            <w:pPr>
              <w:pStyle w:val="Para1"/>
              <w:numPr>
                <w:ilvl w:val="0"/>
                <w:numId w:val="0"/>
              </w:numPr>
              <w:spacing w:before="60" w:after="60" w:line="216" w:lineRule="auto"/>
              <w:jc w:val="right"/>
              <w:rPr>
                <w:szCs w:val="22"/>
              </w:rPr>
            </w:pPr>
            <w:r w:rsidRPr="004E5DDB">
              <w:rPr>
                <w:szCs w:val="22"/>
              </w:rPr>
              <w:t>0</w:t>
            </w:r>
          </w:p>
        </w:tc>
        <w:tc>
          <w:tcPr>
            <w:tcW w:w="1188" w:type="dxa"/>
          </w:tcPr>
          <w:p w:rsidR="00D61F8C" w:rsidRPr="004E5DDB" w:rsidRDefault="00D61F8C" w:rsidP="00D61F8C">
            <w:pPr>
              <w:pStyle w:val="Para1"/>
              <w:numPr>
                <w:ilvl w:val="0"/>
                <w:numId w:val="0"/>
              </w:numPr>
              <w:spacing w:before="60" w:after="60" w:line="216" w:lineRule="auto"/>
              <w:jc w:val="right"/>
              <w:rPr>
                <w:szCs w:val="22"/>
              </w:rPr>
            </w:pPr>
            <w:r w:rsidRPr="004E5DDB">
              <w:rPr>
                <w:szCs w:val="22"/>
              </w:rPr>
              <w:t>0</w:t>
            </w:r>
          </w:p>
        </w:tc>
        <w:tc>
          <w:tcPr>
            <w:tcW w:w="1188" w:type="dxa"/>
          </w:tcPr>
          <w:p w:rsidR="00D61F8C" w:rsidRPr="004E5DDB" w:rsidRDefault="00D61F8C" w:rsidP="00D61F8C">
            <w:pPr>
              <w:pStyle w:val="Para1"/>
              <w:numPr>
                <w:ilvl w:val="0"/>
                <w:numId w:val="0"/>
              </w:numPr>
              <w:spacing w:before="60" w:after="60" w:line="216" w:lineRule="auto"/>
              <w:jc w:val="right"/>
              <w:rPr>
                <w:szCs w:val="22"/>
              </w:rPr>
            </w:pPr>
            <w:r w:rsidRPr="004E5DDB">
              <w:rPr>
                <w:szCs w:val="22"/>
              </w:rPr>
              <w:t>1</w:t>
            </w:r>
          </w:p>
        </w:tc>
        <w:tc>
          <w:tcPr>
            <w:tcW w:w="1188" w:type="dxa"/>
          </w:tcPr>
          <w:p w:rsidR="00D61F8C" w:rsidRPr="00A53F4B" w:rsidRDefault="00D61F8C" w:rsidP="00D61F8C">
            <w:pPr>
              <w:pStyle w:val="Para1"/>
              <w:numPr>
                <w:ilvl w:val="0"/>
                <w:numId w:val="0"/>
              </w:numPr>
              <w:spacing w:before="60" w:after="60" w:line="216" w:lineRule="auto"/>
              <w:jc w:val="right"/>
              <w:rPr>
                <w:szCs w:val="22"/>
              </w:rPr>
            </w:pPr>
            <w:r w:rsidRPr="00A53F4B">
              <w:rPr>
                <w:szCs w:val="22"/>
              </w:rPr>
              <w:t>3</w:t>
            </w:r>
          </w:p>
        </w:tc>
      </w:tr>
      <w:tr w:rsidR="00D61F8C" w:rsidRPr="004E5DDB" w:rsidTr="00D61F8C">
        <w:tc>
          <w:tcPr>
            <w:tcW w:w="2988" w:type="dxa"/>
            <w:vMerge/>
            <w:shd w:val="clear" w:color="auto" w:fill="F2F2F2" w:themeFill="background1" w:themeFillShade="F2"/>
          </w:tcPr>
          <w:p w:rsidR="00D61F8C" w:rsidRPr="004E5DDB" w:rsidRDefault="00D61F8C" w:rsidP="00D61F8C">
            <w:pPr>
              <w:pStyle w:val="Para1"/>
              <w:numPr>
                <w:ilvl w:val="0"/>
                <w:numId w:val="0"/>
              </w:numPr>
              <w:bidi/>
              <w:spacing w:before="60" w:after="60" w:line="216" w:lineRule="auto"/>
              <w:jc w:val="left"/>
              <w:rPr>
                <w:snapToGrid/>
                <w:szCs w:val="22"/>
              </w:rPr>
            </w:pPr>
          </w:p>
        </w:tc>
        <w:tc>
          <w:tcPr>
            <w:tcW w:w="1753" w:type="dxa"/>
          </w:tcPr>
          <w:p w:rsidR="00D61F8C" w:rsidRPr="004E5DDB" w:rsidRDefault="00D61F8C" w:rsidP="00D61F8C">
            <w:pPr>
              <w:pStyle w:val="Para1"/>
              <w:numPr>
                <w:ilvl w:val="0"/>
                <w:numId w:val="0"/>
              </w:numPr>
              <w:bidi/>
              <w:spacing w:before="60" w:after="60" w:line="216" w:lineRule="auto"/>
              <w:rPr>
                <w:snapToGrid/>
                <w:szCs w:val="22"/>
              </w:rPr>
            </w:pPr>
            <w:r>
              <w:rPr>
                <w:rFonts w:hint="cs"/>
                <w:snapToGrid/>
                <w:szCs w:val="22"/>
                <w:rtl/>
              </w:rPr>
              <w:t>الأطراف</w:t>
            </w:r>
          </w:p>
        </w:tc>
        <w:tc>
          <w:tcPr>
            <w:tcW w:w="1188" w:type="dxa"/>
          </w:tcPr>
          <w:p w:rsidR="00D61F8C" w:rsidRPr="004E5DDB" w:rsidRDefault="00D61F8C" w:rsidP="00D61F8C">
            <w:pPr>
              <w:pStyle w:val="Para1"/>
              <w:numPr>
                <w:ilvl w:val="0"/>
                <w:numId w:val="0"/>
              </w:numPr>
              <w:spacing w:before="60" w:after="60" w:line="216" w:lineRule="auto"/>
              <w:jc w:val="right"/>
              <w:rPr>
                <w:snapToGrid/>
                <w:szCs w:val="22"/>
              </w:rPr>
            </w:pPr>
            <w:r>
              <w:rPr>
                <w:snapToGrid/>
                <w:szCs w:val="22"/>
              </w:rPr>
              <w:t>2</w:t>
            </w:r>
          </w:p>
        </w:tc>
        <w:tc>
          <w:tcPr>
            <w:tcW w:w="1188" w:type="dxa"/>
          </w:tcPr>
          <w:p w:rsidR="00D61F8C" w:rsidRPr="004E5DDB" w:rsidRDefault="00D61F8C" w:rsidP="00D61F8C">
            <w:pPr>
              <w:pStyle w:val="Para1"/>
              <w:numPr>
                <w:ilvl w:val="0"/>
                <w:numId w:val="0"/>
              </w:numPr>
              <w:spacing w:before="60" w:after="60" w:line="216" w:lineRule="auto"/>
              <w:jc w:val="right"/>
              <w:rPr>
                <w:snapToGrid/>
                <w:szCs w:val="22"/>
              </w:rPr>
            </w:pPr>
            <w:r>
              <w:rPr>
                <w:snapToGrid/>
                <w:szCs w:val="22"/>
              </w:rPr>
              <w:t>15</w:t>
            </w:r>
          </w:p>
        </w:tc>
        <w:tc>
          <w:tcPr>
            <w:tcW w:w="1188" w:type="dxa"/>
          </w:tcPr>
          <w:p w:rsidR="00D61F8C" w:rsidRPr="004E5DDB" w:rsidRDefault="00D61F8C" w:rsidP="00D61F8C">
            <w:pPr>
              <w:pStyle w:val="Para1"/>
              <w:numPr>
                <w:ilvl w:val="0"/>
                <w:numId w:val="0"/>
              </w:numPr>
              <w:spacing w:before="60" w:after="60" w:line="216" w:lineRule="auto"/>
              <w:jc w:val="right"/>
              <w:rPr>
                <w:snapToGrid/>
                <w:szCs w:val="22"/>
              </w:rPr>
            </w:pPr>
            <w:r>
              <w:rPr>
                <w:snapToGrid/>
                <w:szCs w:val="22"/>
              </w:rPr>
              <w:t>20</w:t>
            </w:r>
          </w:p>
        </w:tc>
        <w:tc>
          <w:tcPr>
            <w:tcW w:w="1188" w:type="dxa"/>
          </w:tcPr>
          <w:p w:rsidR="00D61F8C" w:rsidRPr="00A53F4B" w:rsidRDefault="00D61F8C" w:rsidP="00D61F8C">
            <w:pPr>
              <w:pStyle w:val="Para1"/>
              <w:numPr>
                <w:ilvl w:val="0"/>
                <w:numId w:val="0"/>
              </w:numPr>
              <w:spacing w:before="60" w:after="60" w:line="216" w:lineRule="auto"/>
              <w:jc w:val="right"/>
              <w:rPr>
                <w:snapToGrid/>
                <w:szCs w:val="22"/>
              </w:rPr>
            </w:pPr>
            <w:r w:rsidRPr="00A53F4B">
              <w:rPr>
                <w:snapToGrid/>
                <w:szCs w:val="22"/>
              </w:rPr>
              <w:t>32</w:t>
            </w:r>
          </w:p>
        </w:tc>
      </w:tr>
      <w:tr w:rsidR="00D61F8C" w:rsidRPr="004E5DDB" w:rsidTr="00D61F8C">
        <w:tc>
          <w:tcPr>
            <w:tcW w:w="2988" w:type="dxa"/>
            <w:vMerge/>
            <w:shd w:val="clear" w:color="auto" w:fill="F2F2F2" w:themeFill="background1" w:themeFillShade="F2"/>
          </w:tcPr>
          <w:p w:rsidR="00D61F8C" w:rsidRPr="004E5DDB" w:rsidRDefault="00D61F8C" w:rsidP="00D61F8C">
            <w:pPr>
              <w:pStyle w:val="Para1"/>
              <w:numPr>
                <w:ilvl w:val="0"/>
                <w:numId w:val="0"/>
              </w:numPr>
              <w:bidi/>
              <w:spacing w:before="60" w:after="60" w:line="216" w:lineRule="auto"/>
              <w:jc w:val="left"/>
              <w:rPr>
                <w:snapToGrid/>
                <w:szCs w:val="22"/>
              </w:rPr>
            </w:pPr>
          </w:p>
        </w:tc>
        <w:tc>
          <w:tcPr>
            <w:tcW w:w="1753" w:type="dxa"/>
            <w:shd w:val="clear" w:color="auto" w:fill="F2F2F2" w:themeFill="background1" w:themeFillShade="F2"/>
          </w:tcPr>
          <w:p w:rsidR="00D61F8C" w:rsidRPr="004E5DDB" w:rsidRDefault="00D61F8C" w:rsidP="00D61F8C">
            <w:pPr>
              <w:pStyle w:val="Para1"/>
              <w:numPr>
                <w:ilvl w:val="0"/>
                <w:numId w:val="0"/>
              </w:numPr>
              <w:bidi/>
              <w:spacing w:before="60" w:after="60" w:line="216" w:lineRule="auto"/>
              <w:rPr>
                <w:b/>
                <w:bCs/>
                <w:snapToGrid/>
                <w:szCs w:val="22"/>
              </w:rPr>
            </w:pPr>
            <w:r>
              <w:rPr>
                <w:rFonts w:hint="cs"/>
                <w:b/>
                <w:bCs/>
                <w:snapToGrid/>
                <w:szCs w:val="22"/>
                <w:rtl/>
              </w:rPr>
              <w:t>مجموع السجلات</w:t>
            </w:r>
          </w:p>
        </w:tc>
        <w:tc>
          <w:tcPr>
            <w:tcW w:w="1188" w:type="dxa"/>
            <w:shd w:val="clear" w:color="auto" w:fill="F2F2F2" w:themeFill="background1" w:themeFillShade="F2"/>
          </w:tcPr>
          <w:p w:rsidR="00D61F8C" w:rsidRPr="00347DEF" w:rsidRDefault="00D61F8C" w:rsidP="00D61F8C">
            <w:pPr>
              <w:pStyle w:val="Para1"/>
              <w:numPr>
                <w:ilvl w:val="0"/>
                <w:numId w:val="0"/>
              </w:numPr>
              <w:spacing w:before="60" w:after="60" w:line="216" w:lineRule="auto"/>
              <w:jc w:val="right"/>
              <w:rPr>
                <w:b/>
                <w:bCs/>
                <w:snapToGrid/>
                <w:szCs w:val="22"/>
              </w:rPr>
            </w:pPr>
            <w:r>
              <w:rPr>
                <w:b/>
                <w:bCs/>
                <w:snapToGrid/>
                <w:szCs w:val="22"/>
              </w:rPr>
              <w:t>4</w:t>
            </w:r>
          </w:p>
        </w:tc>
        <w:tc>
          <w:tcPr>
            <w:tcW w:w="1188" w:type="dxa"/>
            <w:shd w:val="clear" w:color="auto" w:fill="F2F2F2" w:themeFill="background1" w:themeFillShade="F2"/>
          </w:tcPr>
          <w:p w:rsidR="00D61F8C" w:rsidRPr="00347DEF" w:rsidRDefault="00D61F8C" w:rsidP="00D61F8C">
            <w:pPr>
              <w:pStyle w:val="Para1"/>
              <w:numPr>
                <w:ilvl w:val="0"/>
                <w:numId w:val="0"/>
              </w:numPr>
              <w:spacing w:before="60" w:after="60" w:line="216" w:lineRule="auto"/>
              <w:jc w:val="right"/>
              <w:rPr>
                <w:b/>
                <w:bCs/>
                <w:snapToGrid/>
                <w:szCs w:val="22"/>
              </w:rPr>
            </w:pPr>
            <w:r>
              <w:rPr>
                <w:b/>
                <w:bCs/>
                <w:snapToGrid/>
                <w:szCs w:val="22"/>
              </w:rPr>
              <w:t>37</w:t>
            </w:r>
          </w:p>
        </w:tc>
        <w:tc>
          <w:tcPr>
            <w:tcW w:w="1188" w:type="dxa"/>
            <w:shd w:val="clear" w:color="auto" w:fill="F2F2F2" w:themeFill="background1" w:themeFillShade="F2"/>
          </w:tcPr>
          <w:p w:rsidR="00D61F8C" w:rsidRPr="00347DEF" w:rsidRDefault="00D61F8C" w:rsidP="00D61F8C">
            <w:pPr>
              <w:pStyle w:val="Para1"/>
              <w:numPr>
                <w:ilvl w:val="0"/>
                <w:numId w:val="0"/>
              </w:numPr>
              <w:spacing w:before="60" w:after="60" w:line="216" w:lineRule="auto"/>
              <w:jc w:val="right"/>
              <w:rPr>
                <w:b/>
                <w:bCs/>
                <w:snapToGrid/>
                <w:szCs w:val="22"/>
              </w:rPr>
            </w:pPr>
            <w:r>
              <w:rPr>
                <w:b/>
                <w:bCs/>
                <w:snapToGrid/>
                <w:szCs w:val="22"/>
              </w:rPr>
              <w:t>49</w:t>
            </w:r>
          </w:p>
        </w:tc>
        <w:tc>
          <w:tcPr>
            <w:tcW w:w="1188" w:type="dxa"/>
            <w:shd w:val="clear" w:color="auto" w:fill="F2F2F2" w:themeFill="background1" w:themeFillShade="F2"/>
          </w:tcPr>
          <w:p w:rsidR="00D61F8C" w:rsidRPr="00A53F4B" w:rsidRDefault="00D61F8C" w:rsidP="00D61F8C">
            <w:pPr>
              <w:pStyle w:val="Para1"/>
              <w:numPr>
                <w:ilvl w:val="0"/>
                <w:numId w:val="0"/>
              </w:numPr>
              <w:spacing w:before="60" w:after="60" w:line="216" w:lineRule="auto"/>
              <w:jc w:val="right"/>
              <w:rPr>
                <w:b/>
                <w:bCs/>
                <w:snapToGrid/>
                <w:szCs w:val="22"/>
              </w:rPr>
            </w:pPr>
            <w:r w:rsidRPr="00A53F4B">
              <w:rPr>
                <w:b/>
                <w:bCs/>
                <w:snapToGrid/>
                <w:szCs w:val="22"/>
              </w:rPr>
              <w:t>72</w:t>
            </w:r>
          </w:p>
        </w:tc>
      </w:tr>
      <w:tr w:rsidR="00D61F8C" w:rsidRPr="004E5DDB" w:rsidTr="00D61F8C">
        <w:tc>
          <w:tcPr>
            <w:tcW w:w="2988" w:type="dxa"/>
            <w:vMerge w:val="restart"/>
            <w:shd w:val="clear" w:color="auto" w:fill="F2F2F2" w:themeFill="background1" w:themeFillShade="F2"/>
          </w:tcPr>
          <w:p w:rsidR="00D61F8C" w:rsidRPr="004E5DDB" w:rsidRDefault="00D61F8C" w:rsidP="00D61F8C">
            <w:pPr>
              <w:pStyle w:val="Para1"/>
              <w:numPr>
                <w:ilvl w:val="0"/>
                <w:numId w:val="0"/>
              </w:numPr>
              <w:bidi/>
              <w:spacing w:before="60" w:after="60" w:line="216" w:lineRule="auto"/>
              <w:jc w:val="left"/>
              <w:rPr>
                <w:szCs w:val="22"/>
              </w:rPr>
            </w:pPr>
            <w:r>
              <w:rPr>
                <w:rFonts w:hint="cs"/>
                <w:szCs w:val="22"/>
                <w:rtl/>
              </w:rPr>
              <w:t>بلاغات نقطة التفتيش</w:t>
            </w:r>
            <w:r>
              <w:rPr>
                <w:rStyle w:val="FootnoteReference"/>
                <w:rtl/>
              </w:rPr>
              <w:footnoteReference w:id="11"/>
            </w:r>
          </w:p>
        </w:tc>
        <w:tc>
          <w:tcPr>
            <w:tcW w:w="1753" w:type="dxa"/>
          </w:tcPr>
          <w:p w:rsidR="00D61F8C" w:rsidRPr="004E5DDB" w:rsidRDefault="00D61F8C" w:rsidP="00D61F8C">
            <w:pPr>
              <w:pStyle w:val="Para1"/>
              <w:numPr>
                <w:ilvl w:val="0"/>
                <w:numId w:val="0"/>
              </w:numPr>
              <w:bidi/>
              <w:spacing w:before="60" w:after="60" w:line="216" w:lineRule="auto"/>
              <w:rPr>
                <w:szCs w:val="22"/>
              </w:rPr>
            </w:pPr>
            <w:r>
              <w:rPr>
                <w:rFonts w:hint="cs"/>
                <w:szCs w:val="22"/>
                <w:rtl/>
              </w:rPr>
              <w:t>غير الأطراف</w:t>
            </w:r>
          </w:p>
        </w:tc>
        <w:tc>
          <w:tcPr>
            <w:tcW w:w="1188" w:type="dxa"/>
          </w:tcPr>
          <w:p w:rsidR="00D61F8C" w:rsidRPr="004E5DDB" w:rsidRDefault="00D61F8C" w:rsidP="00D61F8C">
            <w:pPr>
              <w:pStyle w:val="Para1"/>
              <w:numPr>
                <w:ilvl w:val="0"/>
                <w:numId w:val="0"/>
              </w:numPr>
              <w:spacing w:before="60" w:after="60" w:line="216" w:lineRule="auto"/>
              <w:jc w:val="right"/>
              <w:rPr>
                <w:szCs w:val="22"/>
              </w:rPr>
            </w:pPr>
            <w:r w:rsidRPr="004E5DDB">
              <w:rPr>
                <w:szCs w:val="22"/>
              </w:rPr>
              <w:t>0</w:t>
            </w:r>
          </w:p>
        </w:tc>
        <w:tc>
          <w:tcPr>
            <w:tcW w:w="1188" w:type="dxa"/>
          </w:tcPr>
          <w:p w:rsidR="00D61F8C" w:rsidRPr="004E5DDB" w:rsidRDefault="00D61F8C" w:rsidP="00D61F8C">
            <w:pPr>
              <w:pStyle w:val="Para1"/>
              <w:numPr>
                <w:ilvl w:val="0"/>
                <w:numId w:val="0"/>
              </w:numPr>
              <w:spacing w:before="60" w:after="60" w:line="216" w:lineRule="auto"/>
              <w:jc w:val="right"/>
              <w:rPr>
                <w:szCs w:val="22"/>
              </w:rPr>
            </w:pPr>
            <w:r w:rsidRPr="004E5DDB">
              <w:rPr>
                <w:szCs w:val="22"/>
              </w:rPr>
              <w:t>0</w:t>
            </w:r>
          </w:p>
        </w:tc>
        <w:tc>
          <w:tcPr>
            <w:tcW w:w="1188" w:type="dxa"/>
          </w:tcPr>
          <w:p w:rsidR="00D61F8C" w:rsidRPr="004E5DDB" w:rsidRDefault="00D61F8C" w:rsidP="00D61F8C">
            <w:pPr>
              <w:pStyle w:val="Para1"/>
              <w:numPr>
                <w:ilvl w:val="0"/>
                <w:numId w:val="0"/>
              </w:numPr>
              <w:spacing w:before="60" w:after="60" w:line="216" w:lineRule="auto"/>
              <w:jc w:val="right"/>
              <w:rPr>
                <w:szCs w:val="22"/>
              </w:rPr>
            </w:pPr>
            <w:r w:rsidRPr="004E5DDB">
              <w:rPr>
                <w:szCs w:val="22"/>
              </w:rPr>
              <w:t>0</w:t>
            </w:r>
          </w:p>
        </w:tc>
        <w:tc>
          <w:tcPr>
            <w:tcW w:w="1188" w:type="dxa"/>
          </w:tcPr>
          <w:p w:rsidR="00D61F8C" w:rsidRPr="00A53F4B" w:rsidRDefault="00D61F8C" w:rsidP="00D61F8C">
            <w:pPr>
              <w:pStyle w:val="Para1"/>
              <w:numPr>
                <w:ilvl w:val="0"/>
                <w:numId w:val="0"/>
              </w:numPr>
              <w:spacing w:before="60" w:after="60" w:line="216" w:lineRule="auto"/>
              <w:jc w:val="right"/>
              <w:rPr>
                <w:szCs w:val="22"/>
              </w:rPr>
            </w:pPr>
            <w:r w:rsidRPr="00A53F4B">
              <w:rPr>
                <w:szCs w:val="22"/>
              </w:rPr>
              <w:t>0</w:t>
            </w:r>
          </w:p>
        </w:tc>
      </w:tr>
      <w:tr w:rsidR="00D61F8C" w:rsidRPr="004E5DDB" w:rsidTr="00D61F8C">
        <w:tc>
          <w:tcPr>
            <w:tcW w:w="2988" w:type="dxa"/>
            <w:vMerge/>
            <w:shd w:val="clear" w:color="auto" w:fill="F2F2F2" w:themeFill="background1" w:themeFillShade="F2"/>
          </w:tcPr>
          <w:p w:rsidR="00D61F8C" w:rsidRPr="004E5DDB" w:rsidRDefault="00D61F8C" w:rsidP="00D61F8C">
            <w:pPr>
              <w:pStyle w:val="Para1"/>
              <w:numPr>
                <w:ilvl w:val="0"/>
                <w:numId w:val="0"/>
              </w:numPr>
              <w:spacing w:before="60" w:after="60" w:line="216" w:lineRule="auto"/>
              <w:rPr>
                <w:snapToGrid/>
                <w:szCs w:val="22"/>
              </w:rPr>
            </w:pPr>
          </w:p>
        </w:tc>
        <w:tc>
          <w:tcPr>
            <w:tcW w:w="1753" w:type="dxa"/>
          </w:tcPr>
          <w:p w:rsidR="00D61F8C" w:rsidRPr="004E5DDB" w:rsidRDefault="00D61F8C" w:rsidP="00D61F8C">
            <w:pPr>
              <w:pStyle w:val="Para1"/>
              <w:numPr>
                <w:ilvl w:val="0"/>
                <w:numId w:val="0"/>
              </w:numPr>
              <w:bidi/>
              <w:spacing w:before="60" w:after="60" w:line="216" w:lineRule="auto"/>
              <w:rPr>
                <w:snapToGrid/>
                <w:szCs w:val="22"/>
              </w:rPr>
            </w:pPr>
            <w:r>
              <w:rPr>
                <w:rFonts w:hint="cs"/>
                <w:snapToGrid/>
                <w:szCs w:val="22"/>
                <w:rtl/>
              </w:rPr>
              <w:t>الأطراف</w:t>
            </w:r>
          </w:p>
        </w:tc>
        <w:tc>
          <w:tcPr>
            <w:tcW w:w="1188" w:type="dxa"/>
          </w:tcPr>
          <w:p w:rsidR="00D61F8C" w:rsidRPr="004E5DDB" w:rsidRDefault="00D61F8C" w:rsidP="00D61F8C">
            <w:pPr>
              <w:pStyle w:val="Para1"/>
              <w:numPr>
                <w:ilvl w:val="0"/>
                <w:numId w:val="0"/>
              </w:numPr>
              <w:spacing w:before="60" w:after="60" w:line="216" w:lineRule="auto"/>
              <w:jc w:val="right"/>
              <w:rPr>
                <w:szCs w:val="22"/>
              </w:rPr>
            </w:pPr>
            <w:r w:rsidRPr="004E5DDB">
              <w:rPr>
                <w:snapToGrid/>
                <w:szCs w:val="22"/>
              </w:rPr>
              <w:t>0</w:t>
            </w:r>
          </w:p>
        </w:tc>
        <w:tc>
          <w:tcPr>
            <w:tcW w:w="1188" w:type="dxa"/>
          </w:tcPr>
          <w:p w:rsidR="00D61F8C" w:rsidRPr="004E5DDB" w:rsidRDefault="00D61F8C" w:rsidP="00D61F8C">
            <w:pPr>
              <w:pStyle w:val="Para1"/>
              <w:numPr>
                <w:ilvl w:val="0"/>
                <w:numId w:val="0"/>
              </w:numPr>
              <w:spacing w:before="60" w:after="60" w:line="216" w:lineRule="auto"/>
              <w:jc w:val="right"/>
              <w:rPr>
                <w:szCs w:val="22"/>
              </w:rPr>
            </w:pPr>
            <w:r w:rsidRPr="004E5DDB">
              <w:rPr>
                <w:snapToGrid/>
                <w:szCs w:val="22"/>
              </w:rPr>
              <w:t>0</w:t>
            </w:r>
          </w:p>
        </w:tc>
        <w:tc>
          <w:tcPr>
            <w:tcW w:w="1188" w:type="dxa"/>
          </w:tcPr>
          <w:p w:rsidR="00D61F8C" w:rsidRPr="004E5DDB" w:rsidRDefault="00D61F8C" w:rsidP="00D61F8C">
            <w:pPr>
              <w:pStyle w:val="Para1"/>
              <w:numPr>
                <w:ilvl w:val="0"/>
                <w:numId w:val="0"/>
              </w:numPr>
              <w:spacing w:before="60" w:after="60" w:line="216" w:lineRule="auto"/>
              <w:jc w:val="right"/>
              <w:rPr>
                <w:szCs w:val="22"/>
              </w:rPr>
            </w:pPr>
            <w:r>
              <w:rPr>
                <w:snapToGrid/>
                <w:szCs w:val="22"/>
              </w:rPr>
              <w:t>3</w:t>
            </w:r>
          </w:p>
        </w:tc>
        <w:tc>
          <w:tcPr>
            <w:tcW w:w="1188" w:type="dxa"/>
          </w:tcPr>
          <w:p w:rsidR="00D61F8C" w:rsidRPr="00F8774A" w:rsidRDefault="00D61F8C" w:rsidP="00D61F8C">
            <w:pPr>
              <w:pStyle w:val="Para1"/>
              <w:numPr>
                <w:ilvl w:val="0"/>
                <w:numId w:val="0"/>
              </w:numPr>
              <w:spacing w:before="60" w:after="60" w:line="216" w:lineRule="auto"/>
              <w:jc w:val="right"/>
              <w:rPr>
                <w:szCs w:val="22"/>
              </w:rPr>
            </w:pPr>
            <w:r w:rsidRPr="00F8774A">
              <w:rPr>
                <w:snapToGrid/>
                <w:szCs w:val="22"/>
              </w:rPr>
              <w:t>5</w:t>
            </w:r>
          </w:p>
        </w:tc>
      </w:tr>
      <w:tr w:rsidR="00D61F8C" w:rsidRPr="00C946D0" w:rsidTr="00D61F8C">
        <w:tc>
          <w:tcPr>
            <w:tcW w:w="2988" w:type="dxa"/>
            <w:vMerge/>
            <w:shd w:val="clear" w:color="auto" w:fill="F2F2F2" w:themeFill="background1" w:themeFillShade="F2"/>
          </w:tcPr>
          <w:p w:rsidR="00D61F8C" w:rsidRPr="004E5DDB" w:rsidRDefault="00D61F8C" w:rsidP="00D61F8C">
            <w:pPr>
              <w:pStyle w:val="Para1"/>
              <w:numPr>
                <w:ilvl w:val="0"/>
                <w:numId w:val="0"/>
              </w:numPr>
              <w:spacing w:before="60" w:after="60" w:line="216" w:lineRule="auto"/>
              <w:rPr>
                <w:snapToGrid/>
                <w:szCs w:val="22"/>
              </w:rPr>
            </w:pPr>
          </w:p>
        </w:tc>
        <w:tc>
          <w:tcPr>
            <w:tcW w:w="1753" w:type="dxa"/>
            <w:shd w:val="clear" w:color="auto" w:fill="F2F2F2" w:themeFill="background1" w:themeFillShade="F2"/>
          </w:tcPr>
          <w:p w:rsidR="00D61F8C" w:rsidRPr="004E5DDB" w:rsidRDefault="00D61F8C" w:rsidP="00D61F8C">
            <w:pPr>
              <w:pStyle w:val="Para1"/>
              <w:numPr>
                <w:ilvl w:val="0"/>
                <w:numId w:val="0"/>
              </w:numPr>
              <w:bidi/>
              <w:spacing w:before="60" w:after="60" w:line="216" w:lineRule="auto"/>
              <w:rPr>
                <w:b/>
                <w:bCs/>
                <w:snapToGrid/>
                <w:szCs w:val="22"/>
              </w:rPr>
            </w:pPr>
            <w:r>
              <w:rPr>
                <w:rFonts w:hint="cs"/>
                <w:b/>
                <w:bCs/>
                <w:snapToGrid/>
                <w:szCs w:val="22"/>
                <w:rtl/>
              </w:rPr>
              <w:t>مجموع السجلات</w:t>
            </w:r>
          </w:p>
        </w:tc>
        <w:tc>
          <w:tcPr>
            <w:tcW w:w="1188" w:type="dxa"/>
            <w:shd w:val="clear" w:color="auto" w:fill="F2F2F2" w:themeFill="background1" w:themeFillShade="F2"/>
          </w:tcPr>
          <w:p w:rsidR="00D61F8C" w:rsidRPr="00347DEF" w:rsidRDefault="00D61F8C" w:rsidP="00D61F8C">
            <w:pPr>
              <w:pStyle w:val="Para1"/>
              <w:numPr>
                <w:ilvl w:val="0"/>
                <w:numId w:val="0"/>
              </w:numPr>
              <w:spacing w:before="60" w:after="60" w:line="216" w:lineRule="auto"/>
              <w:jc w:val="right"/>
              <w:rPr>
                <w:b/>
                <w:bCs/>
                <w:szCs w:val="22"/>
              </w:rPr>
            </w:pPr>
            <w:r w:rsidRPr="00347DEF">
              <w:rPr>
                <w:b/>
                <w:bCs/>
                <w:snapToGrid/>
                <w:szCs w:val="22"/>
              </w:rPr>
              <w:t>0</w:t>
            </w:r>
          </w:p>
        </w:tc>
        <w:tc>
          <w:tcPr>
            <w:tcW w:w="1188" w:type="dxa"/>
            <w:shd w:val="clear" w:color="auto" w:fill="F2F2F2" w:themeFill="background1" w:themeFillShade="F2"/>
          </w:tcPr>
          <w:p w:rsidR="00D61F8C" w:rsidRPr="00347DEF" w:rsidRDefault="00D61F8C" w:rsidP="00D61F8C">
            <w:pPr>
              <w:pStyle w:val="Para1"/>
              <w:numPr>
                <w:ilvl w:val="0"/>
                <w:numId w:val="0"/>
              </w:numPr>
              <w:spacing w:before="60" w:after="60" w:line="216" w:lineRule="auto"/>
              <w:jc w:val="right"/>
              <w:rPr>
                <w:b/>
                <w:bCs/>
                <w:szCs w:val="22"/>
              </w:rPr>
            </w:pPr>
            <w:r w:rsidRPr="00347DEF">
              <w:rPr>
                <w:b/>
                <w:bCs/>
                <w:snapToGrid/>
                <w:szCs w:val="22"/>
              </w:rPr>
              <w:t>0</w:t>
            </w:r>
          </w:p>
        </w:tc>
        <w:tc>
          <w:tcPr>
            <w:tcW w:w="1188" w:type="dxa"/>
            <w:shd w:val="clear" w:color="auto" w:fill="F2F2F2" w:themeFill="background1" w:themeFillShade="F2"/>
          </w:tcPr>
          <w:p w:rsidR="00D61F8C" w:rsidRPr="00347DEF" w:rsidRDefault="00D61F8C" w:rsidP="00D61F8C">
            <w:pPr>
              <w:pStyle w:val="Para1"/>
              <w:numPr>
                <w:ilvl w:val="0"/>
                <w:numId w:val="0"/>
              </w:numPr>
              <w:spacing w:before="60" w:after="60" w:line="216" w:lineRule="auto"/>
              <w:jc w:val="right"/>
              <w:rPr>
                <w:b/>
                <w:bCs/>
                <w:szCs w:val="22"/>
              </w:rPr>
            </w:pPr>
            <w:r>
              <w:rPr>
                <w:b/>
                <w:bCs/>
                <w:snapToGrid/>
                <w:szCs w:val="22"/>
              </w:rPr>
              <w:t>13</w:t>
            </w:r>
          </w:p>
        </w:tc>
        <w:tc>
          <w:tcPr>
            <w:tcW w:w="1188" w:type="dxa"/>
            <w:shd w:val="clear" w:color="auto" w:fill="F2F2F2" w:themeFill="background1" w:themeFillShade="F2"/>
          </w:tcPr>
          <w:p w:rsidR="00D61F8C" w:rsidRPr="00F8774A" w:rsidRDefault="00D61F8C" w:rsidP="00D61F8C">
            <w:pPr>
              <w:pStyle w:val="Para1"/>
              <w:numPr>
                <w:ilvl w:val="0"/>
                <w:numId w:val="0"/>
              </w:numPr>
              <w:spacing w:before="60" w:after="60" w:line="216" w:lineRule="auto"/>
              <w:jc w:val="right"/>
              <w:rPr>
                <w:b/>
                <w:bCs/>
                <w:snapToGrid/>
                <w:szCs w:val="22"/>
              </w:rPr>
            </w:pPr>
            <w:r w:rsidRPr="00F8774A">
              <w:rPr>
                <w:b/>
                <w:bCs/>
                <w:snapToGrid/>
                <w:szCs w:val="22"/>
              </w:rPr>
              <w:t>49</w:t>
            </w:r>
          </w:p>
        </w:tc>
      </w:tr>
    </w:tbl>
    <w:p w:rsidR="0036628C" w:rsidRDefault="0036628C" w:rsidP="0036628C">
      <w:pPr>
        <w:jc w:val="both"/>
        <w:rPr>
          <w:kern w:val="22"/>
          <w:sz w:val="22"/>
          <w:szCs w:val="22"/>
          <w:rtl/>
        </w:rPr>
      </w:pPr>
    </w:p>
    <w:p w:rsidR="00D61F8C" w:rsidRPr="0027416C" w:rsidRDefault="0027416C" w:rsidP="0036628C">
      <w:pPr>
        <w:jc w:val="both"/>
        <w:rPr>
          <w:b/>
          <w:bCs/>
          <w:kern w:val="22"/>
          <w:sz w:val="24"/>
          <w:rtl/>
        </w:rPr>
      </w:pPr>
      <w:r w:rsidRPr="0027416C">
        <w:rPr>
          <w:rFonts w:hint="cs"/>
          <w:b/>
          <w:bCs/>
          <w:kern w:val="22"/>
          <w:sz w:val="24"/>
          <w:rtl/>
        </w:rPr>
        <w:lastRenderedPageBreak/>
        <w:t>الجدول 3. عدد السجلات المرجعية المنشورة في غرفة تبادل المعلوات بشأن الحصول وتقاسم المنافع</w:t>
      </w:r>
    </w:p>
    <w:tbl>
      <w:tblPr>
        <w:tblStyle w:val="TableGrid"/>
        <w:bidiVisual/>
        <w:tblW w:w="0" w:type="auto"/>
        <w:tblLook w:val="04A0"/>
      </w:tblPr>
      <w:tblGrid>
        <w:gridCol w:w="4675"/>
        <w:gridCol w:w="1188"/>
        <w:gridCol w:w="1188"/>
        <w:gridCol w:w="1188"/>
        <w:gridCol w:w="1188"/>
      </w:tblGrid>
      <w:tr w:rsidR="0027416C" w:rsidRPr="000C67C4" w:rsidTr="0027416C">
        <w:tc>
          <w:tcPr>
            <w:tcW w:w="4675" w:type="dxa"/>
          </w:tcPr>
          <w:p w:rsidR="0027416C" w:rsidRPr="0027416C" w:rsidRDefault="0027416C" w:rsidP="0027416C">
            <w:pPr>
              <w:pStyle w:val="Para1"/>
              <w:numPr>
                <w:ilvl w:val="0"/>
                <w:numId w:val="0"/>
              </w:numPr>
              <w:bidi/>
              <w:rPr>
                <w:rFonts w:ascii="Simplified Arabic" w:hAnsi="Simplified Arabic" w:cs="Simplified Arabic"/>
                <w:b/>
                <w:bCs/>
                <w:snapToGrid/>
                <w:szCs w:val="22"/>
              </w:rPr>
            </w:pPr>
            <w:r w:rsidRPr="0027416C">
              <w:rPr>
                <w:rFonts w:ascii="Simplified Arabic" w:hAnsi="Simplified Arabic" w:cs="Simplified Arabic"/>
                <w:b/>
                <w:bCs/>
                <w:snapToGrid/>
                <w:szCs w:val="22"/>
                <w:rtl/>
              </w:rPr>
              <w:t>نوع السجل</w:t>
            </w:r>
          </w:p>
        </w:tc>
        <w:tc>
          <w:tcPr>
            <w:tcW w:w="1170" w:type="dxa"/>
          </w:tcPr>
          <w:p w:rsidR="0027416C" w:rsidRPr="00D61F8C" w:rsidRDefault="0027416C" w:rsidP="0027416C">
            <w:pPr>
              <w:pStyle w:val="Para1"/>
              <w:numPr>
                <w:ilvl w:val="0"/>
                <w:numId w:val="0"/>
              </w:numPr>
              <w:bidi/>
              <w:spacing w:before="60" w:after="60" w:line="216" w:lineRule="auto"/>
              <w:jc w:val="center"/>
              <w:rPr>
                <w:rFonts w:ascii="Simplified Arabic" w:hAnsi="Simplified Arabic" w:cs="Simplified Arabic"/>
                <w:b/>
                <w:bCs/>
                <w:snapToGrid/>
                <w:szCs w:val="22"/>
                <w:lang w:val="en-US"/>
              </w:rPr>
            </w:pPr>
            <w:r>
              <w:rPr>
                <w:rFonts w:ascii="Simplified Arabic" w:hAnsi="Simplified Arabic" w:cs="Simplified Arabic" w:hint="cs"/>
                <w:b/>
                <w:bCs/>
                <w:snapToGrid/>
                <w:szCs w:val="22"/>
                <w:rtl/>
                <w:lang w:val="en-US"/>
              </w:rPr>
              <w:t>حتى نوفمبر/تشرين الثاني 2015</w:t>
            </w:r>
          </w:p>
        </w:tc>
        <w:tc>
          <w:tcPr>
            <w:tcW w:w="1145" w:type="dxa"/>
          </w:tcPr>
          <w:p w:rsidR="0027416C" w:rsidRPr="0027416C" w:rsidRDefault="0027416C" w:rsidP="0027416C">
            <w:pPr>
              <w:pStyle w:val="Para1"/>
              <w:numPr>
                <w:ilvl w:val="0"/>
                <w:numId w:val="0"/>
              </w:numPr>
              <w:bidi/>
              <w:spacing w:before="60" w:after="60" w:line="216" w:lineRule="auto"/>
              <w:jc w:val="center"/>
              <w:rPr>
                <w:rFonts w:ascii="Simplified Arabic" w:hAnsi="Simplified Arabic" w:cs="Simplified Arabic"/>
                <w:b/>
                <w:bCs/>
                <w:snapToGrid/>
                <w:szCs w:val="22"/>
                <w:lang w:val="en-US"/>
              </w:rPr>
            </w:pPr>
            <w:r>
              <w:rPr>
                <w:rFonts w:ascii="Simplified Arabic" w:hAnsi="Simplified Arabic" w:cs="Simplified Arabic" w:hint="cs"/>
                <w:b/>
                <w:bCs/>
                <w:snapToGrid/>
                <w:szCs w:val="22"/>
                <w:rtl/>
                <w:lang w:val="en-US"/>
              </w:rPr>
              <w:t>حتى نوفمبر/تشرين الثاني 2017</w:t>
            </w:r>
          </w:p>
        </w:tc>
        <w:tc>
          <w:tcPr>
            <w:tcW w:w="1170" w:type="dxa"/>
          </w:tcPr>
          <w:p w:rsidR="0027416C" w:rsidRPr="0027416C" w:rsidRDefault="0027416C" w:rsidP="0027416C">
            <w:pPr>
              <w:pStyle w:val="Para1"/>
              <w:numPr>
                <w:ilvl w:val="0"/>
                <w:numId w:val="0"/>
              </w:numPr>
              <w:bidi/>
              <w:spacing w:before="60" w:after="60" w:line="216" w:lineRule="auto"/>
              <w:jc w:val="center"/>
              <w:rPr>
                <w:rFonts w:ascii="Simplified Arabic" w:hAnsi="Simplified Arabic" w:cs="Simplified Arabic"/>
                <w:b/>
                <w:bCs/>
                <w:snapToGrid/>
                <w:szCs w:val="22"/>
                <w:lang w:val="en-US"/>
              </w:rPr>
            </w:pPr>
            <w:r>
              <w:rPr>
                <w:rFonts w:ascii="Simplified Arabic" w:hAnsi="Simplified Arabic" w:cs="Simplified Arabic" w:hint="cs"/>
                <w:b/>
                <w:bCs/>
                <w:snapToGrid/>
                <w:szCs w:val="22"/>
                <w:rtl/>
                <w:lang w:val="en-US"/>
              </w:rPr>
              <w:t>حتى نوفمبر/تشرين الثاني 2019</w:t>
            </w:r>
          </w:p>
        </w:tc>
        <w:tc>
          <w:tcPr>
            <w:tcW w:w="1170" w:type="dxa"/>
          </w:tcPr>
          <w:p w:rsidR="0027416C" w:rsidRPr="0027416C" w:rsidRDefault="0027416C" w:rsidP="0027416C">
            <w:pPr>
              <w:pStyle w:val="Para1"/>
              <w:numPr>
                <w:ilvl w:val="0"/>
                <w:numId w:val="0"/>
              </w:numPr>
              <w:bidi/>
              <w:spacing w:before="60" w:after="60" w:line="216" w:lineRule="auto"/>
              <w:jc w:val="center"/>
              <w:rPr>
                <w:rFonts w:ascii="Simplified Arabic" w:hAnsi="Simplified Arabic" w:cs="Simplified Arabic"/>
                <w:b/>
                <w:bCs/>
                <w:snapToGrid/>
                <w:szCs w:val="22"/>
                <w:lang w:val="en-US"/>
              </w:rPr>
            </w:pPr>
            <w:r>
              <w:rPr>
                <w:rFonts w:ascii="Simplified Arabic" w:hAnsi="Simplified Arabic" w:cs="Simplified Arabic" w:hint="cs"/>
                <w:b/>
                <w:bCs/>
                <w:snapToGrid/>
                <w:szCs w:val="22"/>
                <w:rtl/>
                <w:lang w:val="en-US"/>
              </w:rPr>
              <w:t>حتى نوفمبر/تشرين الثاني 2021</w:t>
            </w:r>
          </w:p>
        </w:tc>
      </w:tr>
      <w:tr w:rsidR="0027416C" w:rsidRPr="000C67C4" w:rsidTr="0027416C">
        <w:tc>
          <w:tcPr>
            <w:tcW w:w="4675" w:type="dxa"/>
          </w:tcPr>
          <w:p w:rsidR="0027416C" w:rsidRPr="0027416C" w:rsidRDefault="0027416C" w:rsidP="0027416C">
            <w:pPr>
              <w:pStyle w:val="Para1"/>
              <w:numPr>
                <w:ilvl w:val="0"/>
                <w:numId w:val="0"/>
              </w:numPr>
              <w:bidi/>
              <w:rPr>
                <w:rFonts w:ascii="Simplified Arabic" w:hAnsi="Simplified Arabic" w:cs="Simplified Arabic"/>
                <w:snapToGrid/>
                <w:szCs w:val="22"/>
                <w:rtl/>
                <w:lang w:bidi="ar-EG"/>
              </w:rPr>
            </w:pPr>
            <w:r w:rsidRPr="0027416C">
              <w:rPr>
                <w:rFonts w:ascii="Simplified Arabic" w:hAnsi="Simplified Arabic" w:cs="Simplified Arabic"/>
                <w:snapToGrid/>
                <w:szCs w:val="22"/>
                <w:rtl/>
                <w:lang w:bidi="ar-EG"/>
              </w:rPr>
              <w:t>بروتوكولات مجتمعية وإجراءات وقوانين عرفية</w:t>
            </w:r>
          </w:p>
        </w:tc>
        <w:tc>
          <w:tcPr>
            <w:tcW w:w="1170" w:type="dxa"/>
          </w:tcPr>
          <w:p w:rsidR="0027416C" w:rsidRPr="000C67C4" w:rsidRDefault="0027416C" w:rsidP="0027416C">
            <w:pPr>
              <w:pStyle w:val="Para1"/>
              <w:numPr>
                <w:ilvl w:val="0"/>
                <w:numId w:val="0"/>
              </w:numPr>
              <w:jc w:val="right"/>
              <w:rPr>
                <w:snapToGrid/>
                <w:szCs w:val="22"/>
              </w:rPr>
            </w:pPr>
            <w:r w:rsidRPr="000C67C4">
              <w:rPr>
                <w:snapToGrid/>
                <w:szCs w:val="22"/>
              </w:rPr>
              <w:t>0</w:t>
            </w:r>
          </w:p>
        </w:tc>
        <w:tc>
          <w:tcPr>
            <w:tcW w:w="1145" w:type="dxa"/>
          </w:tcPr>
          <w:p w:rsidR="0027416C" w:rsidRPr="000C67C4" w:rsidRDefault="0027416C" w:rsidP="0027416C">
            <w:pPr>
              <w:pStyle w:val="Para1"/>
              <w:numPr>
                <w:ilvl w:val="0"/>
                <w:numId w:val="0"/>
              </w:numPr>
              <w:jc w:val="right"/>
              <w:rPr>
                <w:snapToGrid/>
                <w:szCs w:val="22"/>
              </w:rPr>
            </w:pPr>
            <w:r w:rsidRPr="000C67C4">
              <w:rPr>
                <w:snapToGrid/>
                <w:szCs w:val="22"/>
              </w:rPr>
              <w:t>2</w:t>
            </w:r>
          </w:p>
        </w:tc>
        <w:tc>
          <w:tcPr>
            <w:tcW w:w="1170" w:type="dxa"/>
          </w:tcPr>
          <w:p w:rsidR="0027416C" w:rsidRPr="000C67C4" w:rsidRDefault="0027416C" w:rsidP="0027416C">
            <w:pPr>
              <w:pStyle w:val="Para1"/>
              <w:numPr>
                <w:ilvl w:val="0"/>
                <w:numId w:val="0"/>
              </w:numPr>
              <w:jc w:val="right"/>
              <w:rPr>
                <w:snapToGrid/>
                <w:szCs w:val="22"/>
              </w:rPr>
            </w:pPr>
            <w:r w:rsidRPr="000C67C4">
              <w:rPr>
                <w:snapToGrid/>
                <w:szCs w:val="22"/>
              </w:rPr>
              <w:t>10</w:t>
            </w:r>
          </w:p>
        </w:tc>
        <w:tc>
          <w:tcPr>
            <w:tcW w:w="1170" w:type="dxa"/>
          </w:tcPr>
          <w:p w:rsidR="0027416C" w:rsidRPr="000C67C4" w:rsidRDefault="0027416C" w:rsidP="0027416C">
            <w:pPr>
              <w:pStyle w:val="Para1"/>
              <w:numPr>
                <w:ilvl w:val="0"/>
                <w:numId w:val="0"/>
              </w:numPr>
              <w:jc w:val="right"/>
              <w:rPr>
                <w:snapToGrid/>
                <w:szCs w:val="22"/>
              </w:rPr>
            </w:pPr>
            <w:r w:rsidRPr="000C67C4">
              <w:rPr>
                <w:snapToGrid/>
                <w:szCs w:val="22"/>
              </w:rPr>
              <w:t>32</w:t>
            </w:r>
          </w:p>
        </w:tc>
      </w:tr>
      <w:tr w:rsidR="0027416C" w:rsidRPr="000C67C4" w:rsidTr="0027416C">
        <w:tc>
          <w:tcPr>
            <w:tcW w:w="4675" w:type="dxa"/>
          </w:tcPr>
          <w:p w:rsidR="0027416C" w:rsidRPr="0027416C" w:rsidRDefault="0027416C" w:rsidP="0027416C">
            <w:pPr>
              <w:pStyle w:val="Para1"/>
              <w:numPr>
                <w:ilvl w:val="0"/>
                <w:numId w:val="0"/>
              </w:numPr>
              <w:bidi/>
              <w:rPr>
                <w:rFonts w:ascii="Simplified Arabic" w:hAnsi="Simplified Arabic" w:cs="Simplified Arabic"/>
                <w:snapToGrid/>
                <w:szCs w:val="22"/>
                <w:rtl/>
                <w:lang w:val="en-US" w:bidi="ar-EG"/>
              </w:rPr>
            </w:pPr>
            <w:r w:rsidRPr="0027416C">
              <w:rPr>
                <w:rFonts w:ascii="Simplified Arabic" w:hAnsi="Simplified Arabic" w:cs="Simplified Arabic"/>
                <w:snapToGrid/>
                <w:szCs w:val="22"/>
                <w:rtl/>
                <w:lang w:val="en-US" w:bidi="ar-EG"/>
              </w:rPr>
              <w:t>نصوص تعاقدية نموذجية، مدونات السلوك، إرشادات، أفضل الممارسات و/أو المعايير</w:t>
            </w:r>
          </w:p>
        </w:tc>
        <w:tc>
          <w:tcPr>
            <w:tcW w:w="1170" w:type="dxa"/>
          </w:tcPr>
          <w:p w:rsidR="0027416C" w:rsidRPr="000C67C4" w:rsidRDefault="0027416C" w:rsidP="0027416C">
            <w:pPr>
              <w:pStyle w:val="Para1"/>
              <w:numPr>
                <w:ilvl w:val="0"/>
                <w:numId w:val="0"/>
              </w:numPr>
              <w:jc w:val="right"/>
              <w:rPr>
                <w:snapToGrid/>
                <w:szCs w:val="22"/>
              </w:rPr>
            </w:pPr>
            <w:r w:rsidRPr="000C67C4">
              <w:rPr>
                <w:snapToGrid/>
                <w:szCs w:val="22"/>
              </w:rPr>
              <w:t>1</w:t>
            </w:r>
          </w:p>
        </w:tc>
        <w:tc>
          <w:tcPr>
            <w:tcW w:w="1145" w:type="dxa"/>
          </w:tcPr>
          <w:p w:rsidR="0027416C" w:rsidRPr="000C67C4" w:rsidRDefault="0027416C" w:rsidP="0027416C">
            <w:pPr>
              <w:pStyle w:val="Para1"/>
              <w:numPr>
                <w:ilvl w:val="0"/>
                <w:numId w:val="0"/>
              </w:numPr>
              <w:jc w:val="right"/>
              <w:rPr>
                <w:snapToGrid/>
                <w:szCs w:val="22"/>
              </w:rPr>
            </w:pPr>
            <w:r w:rsidRPr="000C67C4">
              <w:rPr>
                <w:snapToGrid/>
                <w:szCs w:val="22"/>
              </w:rPr>
              <w:t>26</w:t>
            </w:r>
          </w:p>
        </w:tc>
        <w:tc>
          <w:tcPr>
            <w:tcW w:w="1170" w:type="dxa"/>
          </w:tcPr>
          <w:p w:rsidR="0027416C" w:rsidRPr="000C67C4" w:rsidRDefault="0027416C" w:rsidP="0027416C">
            <w:pPr>
              <w:pStyle w:val="Para1"/>
              <w:numPr>
                <w:ilvl w:val="0"/>
                <w:numId w:val="0"/>
              </w:numPr>
              <w:jc w:val="right"/>
              <w:rPr>
                <w:snapToGrid/>
                <w:szCs w:val="22"/>
              </w:rPr>
            </w:pPr>
            <w:r w:rsidRPr="000C67C4">
              <w:rPr>
                <w:snapToGrid/>
                <w:szCs w:val="22"/>
              </w:rPr>
              <w:t>29</w:t>
            </w:r>
          </w:p>
        </w:tc>
        <w:tc>
          <w:tcPr>
            <w:tcW w:w="1170" w:type="dxa"/>
          </w:tcPr>
          <w:p w:rsidR="0027416C" w:rsidRPr="000C67C4" w:rsidRDefault="0027416C" w:rsidP="0027416C">
            <w:pPr>
              <w:pStyle w:val="Para1"/>
              <w:numPr>
                <w:ilvl w:val="0"/>
                <w:numId w:val="0"/>
              </w:numPr>
              <w:jc w:val="right"/>
              <w:rPr>
                <w:snapToGrid/>
                <w:szCs w:val="22"/>
              </w:rPr>
            </w:pPr>
            <w:r w:rsidRPr="000C67C4">
              <w:rPr>
                <w:snapToGrid/>
                <w:szCs w:val="22"/>
              </w:rPr>
              <w:t>31</w:t>
            </w:r>
          </w:p>
        </w:tc>
      </w:tr>
      <w:tr w:rsidR="0027416C" w:rsidRPr="000C67C4" w:rsidTr="0027416C">
        <w:tc>
          <w:tcPr>
            <w:tcW w:w="4675" w:type="dxa"/>
          </w:tcPr>
          <w:p w:rsidR="0027416C" w:rsidRPr="0027416C" w:rsidRDefault="0027416C" w:rsidP="0027416C">
            <w:pPr>
              <w:pStyle w:val="Para1"/>
              <w:numPr>
                <w:ilvl w:val="0"/>
                <w:numId w:val="0"/>
              </w:numPr>
              <w:bidi/>
              <w:rPr>
                <w:rFonts w:ascii="Simplified Arabic" w:hAnsi="Simplified Arabic" w:cs="Simplified Arabic"/>
                <w:snapToGrid/>
                <w:szCs w:val="22"/>
                <w:rtl/>
                <w:lang w:val="en-US" w:bidi="ar-EG"/>
              </w:rPr>
            </w:pPr>
            <w:r w:rsidRPr="0027416C">
              <w:rPr>
                <w:rFonts w:ascii="Simplified Arabic" w:hAnsi="Simplified Arabic" w:cs="Simplified Arabic"/>
                <w:snapToGrid/>
                <w:szCs w:val="22"/>
                <w:rtl/>
                <w:lang w:val="en-US" w:bidi="ar-EG"/>
              </w:rPr>
              <w:t>مبادرات بناء القدرات</w:t>
            </w:r>
          </w:p>
        </w:tc>
        <w:tc>
          <w:tcPr>
            <w:tcW w:w="1170" w:type="dxa"/>
          </w:tcPr>
          <w:p w:rsidR="0027416C" w:rsidRPr="000C67C4" w:rsidRDefault="0027416C" w:rsidP="0027416C">
            <w:pPr>
              <w:pStyle w:val="Para1"/>
              <w:numPr>
                <w:ilvl w:val="0"/>
                <w:numId w:val="0"/>
              </w:numPr>
              <w:jc w:val="right"/>
              <w:rPr>
                <w:snapToGrid/>
                <w:szCs w:val="22"/>
              </w:rPr>
            </w:pPr>
            <w:r w:rsidRPr="000C67C4">
              <w:rPr>
                <w:snapToGrid/>
                <w:szCs w:val="22"/>
              </w:rPr>
              <w:t>0</w:t>
            </w:r>
          </w:p>
        </w:tc>
        <w:tc>
          <w:tcPr>
            <w:tcW w:w="1145" w:type="dxa"/>
          </w:tcPr>
          <w:p w:rsidR="0027416C" w:rsidRPr="000C67C4" w:rsidRDefault="0027416C" w:rsidP="0027416C">
            <w:pPr>
              <w:pStyle w:val="Para1"/>
              <w:numPr>
                <w:ilvl w:val="0"/>
                <w:numId w:val="0"/>
              </w:numPr>
              <w:jc w:val="right"/>
              <w:rPr>
                <w:snapToGrid/>
                <w:szCs w:val="22"/>
              </w:rPr>
            </w:pPr>
            <w:r w:rsidRPr="000C67C4">
              <w:rPr>
                <w:snapToGrid/>
                <w:szCs w:val="22"/>
              </w:rPr>
              <w:t>36</w:t>
            </w:r>
          </w:p>
        </w:tc>
        <w:tc>
          <w:tcPr>
            <w:tcW w:w="1170" w:type="dxa"/>
          </w:tcPr>
          <w:p w:rsidR="0027416C" w:rsidRPr="000C67C4" w:rsidRDefault="0027416C" w:rsidP="0027416C">
            <w:pPr>
              <w:pStyle w:val="Para1"/>
              <w:numPr>
                <w:ilvl w:val="0"/>
                <w:numId w:val="0"/>
              </w:numPr>
              <w:jc w:val="right"/>
              <w:rPr>
                <w:snapToGrid/>
                <w:szCs w:val="22"/>
              </w:rPr>
            </w:pPr>
            <w:r w:rsidRPr="000C67C4">
              <w:rPr>
                <w:snapToGrid/>
                <w:szCs w:val="22"/>
              </w:rPr>
              <w:t>73</w:t>
            </w:r>
          </w:p>
        </w:tc>
        <w:tc>
          <w:tcPr>
            <w:tcW w:w="1170" w:type="dxa"/>
          </w:tcPr>
          <w:p w:rsidR="0027416C" w:rsidRPr="000C67C4" w:rsidRDefault="0027416C" w:rsidP="0027416C">
            <w:pPr>
              <w:pStyle w:val="Para1"/>
              <w:numPr>
                <w:ilvl w:val="0"/>
                <w:numId w:val="0"/>
              </w:numPr>
              <w:jc w:val="right"/>
              <w:rPr>
                <w:snapToGrid/>
                <w:szCs w:val="22"/>
              </w:rPr>
            </w:pPr>
            <w:r w:rsidRPr="000C67C4">
              <w:rPr>
                <w:snapToGrid/>
                <w:szCs w:val="22"/>
              </w:rPr>
              <w:t>94</w:t>
            </w:r>
          </w:p>
        </w:tc>
      </w:tr>
      <w:tr w:rsidR="0027416C" w:rsidRPr="000C67C4" w:rsidTr="0027416C">
        <w:tc>
          <w:tcPr>
            <w:tcW w:w="4675" w:type="dxa"/>
          </w:tcPr>
          <w:p w:rsidR="0027416C" w:rsidRPr="0027416C" w:rsidRDefault="0027416C" w:rsidP="0027416C">
            <w:pPr>
              <w:pStyle w:val="Para1"/>
              <w:numPr>
                <w:ilvl w:val="0"/>
                <w:numId w:val="0"/>
              </w:numPr>
              <w:bidi/>
              <w:rPr>
                <w:rFonts w:ascii="Simplified Arabic" w:hAnsi="Simplified Arabic" w:cs="Simplified Arabic"/>
                <w:snapToGrid/>
                <w:szCs w:val="22"/>
                <w:rtl/>
                <w:lang w:val="en-US" w:bidi="ar-EG"/>
              </w:rPr>
            </w:pPr>
            <w:r w:rsidRPr="0027416C">
              <w:rPr>
                <w:rFonts w:ascii="Simplified Arabic" w:hAnsi="Simplified Arabic" w:cs="Simplified Arabic"/>
                <w:snapToGrid/>
                <w:szCs w:val="22"/>
                <w:rtl/>
                <w:lang w:val="en-US" w:bidi="ar-EG"/>
              </w:rPr>
              <w:t>موارد مكتبية مرئية (بما في ذلك مواد زيادة التوعية وبناء القدرات)</w:t>
            </w:r>
          </w:p>
        </w:tc>
        <w:tc>
          <w:tcPr>
            <w:tcW w:w="1170" w:type="dxa"/>
          </w:tcPr>
          <w:p w:rsidR="0027416C" w:rsidRPr="000C67C4" w:rsidRDefault="0027416C" w:rsidP="0027416C">
            <w:pPr>
              <w:pStyle w:val="Para1"/>
              <w:numPr>
                <w:ilvl w:val="0"/>
                <w:numId w:val="0"/>
              </w:numPr>
              <w:jc w:val="right"/>
              <w:rPr>
                <w:snapToGrid/>
                <w:szCs w:val="22"/>
              </w:rPr>
            </w:pPr>
            <w:r>
              <w:rPr>
                <w:snapToGrid/>
                <w:szCs w:val="22"/>
              </w:rPr>
              <w:t>24</w:t>
            </w:r>
          </w:p>
        </w:tc>
        <w:tc>
          <w:tcPr>
            <w:tcW w:w="1145" w:type="dxa"/>
          </w:tcPr>
          <w:p w:rsidR="0027416C" w:rsidRPr="000C67C4" w:rsidRDefault="0027416C" w:rsidP="0027416C">
            <w:pPr>
              <w:pStyle w:val="Para1"/>
              <w:numPr>
                <w:ilvl w:val="0"/>
                <w:numId w:val="0"/>
              </w:numPr>
              <w:jc w:val="right"/>
              <w:rPr>
                <w:snapToGrid/>
                <w:szCs w:val="22"/>
              </w:rPr>
            </w:pPr>
            <w:r w:rsidRPr="000C67C4">
              <w:rPr>
                <w:snapToGrid/>
                <w:szCs w:val="22"/>
              </w:rPr>
              <w:t>43</w:t>
            </w:r>
          </w:p>
        </w:tc>
        <w:tc>
          <w:tcPr>
            <w:tcW w:w="1170" w:type="dxa"/>
          </w:tcPr>
          <w:p w:rsidR="0027416C" w:rsidRPr="000C67C4" w:rsidRDefault="0027416C" w:rsidP="0027416C">
            <w:pPr>
              <w:pStyle w:val="Para1"/>
              <w:numPr>
                <w:ilvl w:val="0"/>
                <w:numId w:val="0"/>
              </w:numPr>
              <w:jc w:val="right"/>
              <w:rPr>
                <w:snapToGrid/>
                <w:szCs w:val="22"/>
              </w:rPr>
            </w:pPr>
            <w:r w:rsidRPr="000C67C4">
              <w:rPr>
                <w:snapToGrid/>
                <w:szCs w:val="22"/>
              </w:rPr>
              <w:t>100</w:t>
            </w:r>
          </w:p>
        </w:tc>
        <w:tc>
          <w:tcPr>
            <w:tcW w:w="1170" w:type="dxa"/>
          </w:tcPr>
          <w:p w:rsidR="0027416C" w:rsidRPr="000C67C4" w:rsidRDefault="0027416C" w:rsidP="0027416C">
            <w:pPr>
              <w:pStyle w:val="Para1"/>
              <w:numPr>
                <w:ilvl w:val="0"/>
                <w:numId w:val="0"/>
              </w:numPr>
              <w:jc w:val="right"/>
              <w:rPr>
                <w:snapToGrid/>
                <w:szCs w:val="22"/>
              </w:rPr>
            </w:pPr>
            <w:r w:rsidRPr="000C67C4">
              <w:rPr>
                <w:snapToGrid/>
                <w:szCs w:val="22"/>
              </w:rPr>
              <w:t>120</w:t>
            </w:r>
          </w:p>
        </w:tc>
      </w:tr>
      <w:tr w:rsidR="0027416C" w:rsidRPr="004E5DDB" w:rsidTr="0027416C">
        <w:tc>
          <w:tcPr>
            <w:tcW w:w="4675" w:type="dxa"/>
          </w:tcPr>
          <w:p w:rsidR="0027416C" w:rsidRPr="0027416C" w:rsidRDefault="0027416C" w:rsidP="0027416C">
            <w:pPr>
              <w:pStyle w:val="Para1"/>
              <w:numPr>
                <w:ilvl w:val="0"/>
                <w:numId w:val="0"/>
              </w:numPr>
              <w:bidi/>
              <w:rPr>
                <w:rFonts w:ascii="Simplified Arabic" w:hAnsi="Simplified Arabic" w:cs="Simplified Arabic"/>
                <w:szCs w:val="22"/>
                <w:rtl/>
                <w:lang w:val="en-US" w:bidi="ar-EG"/>
              </w:rPr>
            </w:pPr>
            <w:r w:rsidRPr="0027416C">
              <w:rPr>
                <w:rFonts w:ascii="Simplified Arabic" w:hAnsi="Simplified Arabic" w:cs="Simplified Arabic"/>
                <w:szCs w:val="22"/>
                <w:rtl/>
                <w:lang w:val="en-US" w:bidi="ar-EG"/>
              </w:rPr>
              <w:t>إعلانات غرفة تبادل المعلومات بشأن الحصول وتقاسم المنافع</w:t>
            </w:r>
          </w:p>
        </w:tc>
        <w:tc>
          <w:tcPr>
            <w:tcW w:w="1170" w:type="dxa"/>
          </w:tcPr>
          <w:p w:rsidR="0027416C" w:rsidRPr="000C67C4" w:rsidRDefault="0027416C" w:rsidP="0027416C">
            <w:pPr>
              <w:pStyle w:val="Para1"/>
              <w:numPr>
                <w:ilvl w:val="0"/>
                <w:numId w:val="0"/>
              </w:numPr>
              <w:jc w:val="right"/>
              <w:rPr>
                <w:snapToGrid/>
                <w:szCs w:val="22"/>
              </w:rPr>
            </w:pPr>
            <w:r w:rsidRPr="000C67C4">
              <w:rPr>
                <w:snapToGrid/>
                <w:szCs w:val="22"/>
              </w:rPr>
              <w:t>-</w:t>
            </w:r>
          </w:p>
        </w:tc>
        <w:tc>
          <w:tcPr>
            <w:tcW w:w="1145" w:type="dxa"/>
          </w:tcPr>
          <w:p w:rsidR="0027416C" w:rsidRPr="000C67C4" w:rsidRDefault="0027416C" w:rsidP="0027416C">
            <w:pPr>
              <w:pStyle w:val="Para1"/>
              <w:numPr>
                <w:ilvl w:val="0"/>
                <w:numId w:val="0"/>
              </w:numPr>
              <w:jc w:val="right"/>
              <w:rPr>
                <w:snapToGrid/>
                <w:szCs w:val="22"/>
              </w:rPr>
            </w:pPr>
            <w:r w:rsidRPr="000C67C4">
              <w:rPr>
                <w:snapToGrid/>
                <w:szCs w:val="22"/>
              </w:rPr>
              <w:t>-</w:t>
            </w:r>
          </w:p>
        </w:tc>
        <w:tc>
          <w:tcPr>
            <w:tcW w:w="1170" w:type="dxa"/>
          </w:tcPr>
          <w:p w:rsidR="0027416C" w:rsidRPr="000C67C4" w:rsidRDefault="0027416C" w:rsidP="0027416C">
            <w:pPr>
              <w:pStyle w:val="Para1"/>
              <w:numPr>
                <w:ilvl w:val="0"/>
                <w:numId w:val="0"/>
              </w:numPr>
              <w:jc w:val="right"/>
              <w:rPr>
                <w:snapToGrid/>
                <w:szCs w:val="22"/>
              </w:rPr>
            </w:pPr>
            <w:r w:rsidRPr="000C67C4">
              <w:rPr>
                <w:snapToGrid/>
                <w:szCs w:val="22"/>
              </w:rPr>
              <w:t>4</w:t>
            </w:r>
          </w:p>
        </w:tc>
        <w:tc>
          <w:tcPr>
            <w:tcW w:w="1170" w:type="dxa"/>
          </w:tcPr>
          <w:p w:rsidR="0027416C" w:rsidRPr="004E5DDB" w:rsidRDefault="0027416C" w:rsidP="0027416C">
            <w:pPr>
              <w:pStyle w:val="Para1"/>
              <w:numPr>
                <w:ilvl w:val="0"/>
                <w:numId w:val="0"/>
              </w:numPr>
              <w:jc w:val="right"/>
              <w:rPr>
                <w:snapToGrid/>
                <w:szCs w:val="22"/>
              </w:rPr>
            </w:pPr>
            <w:r w:rsidRPr="000C67C4">
              <w:rPr>
                <w:snapToGrid/>
                <w:szCs w:val="22"/>
              </w:rPr>
              <w:t>28</w:t>
            </w:r>
          </w:p>
        </w:tc>
      </w:tr>
    </w:tbl>
    <w:p w:rsidR="0027416C" w:rsidRDefault="0027416C" w:rsidP="0036628C">
      <w:pPr>
        <w:jc w:val="both"/>
        <w:rPr>
          <w:kern w:val="22"/>
          <w:sz w:val="22"/>
          <w:szCs w:val="22"/>
          <w:rtl/>
        </w:rPr>
      </w:pPr>
    </w:p>
    <w:p w:rsidR="00D61F8C" w:rsidRDefault="00D61F8C" w:rsidP="0036628C">
      <w:pPr>
        <w:jc w:val="both"/>
        <w:rPr>
          <w:kern w:val="22"/>
          <w:sz w:val="22"/>
          <w:szCs w:val="22"/>
          <w:rtl/>
        </w:rPr>
      </w:pPr>
    </w:p>
    <w:p w:rsidR="0027416C" w:rsidRPr="0027416C" w:rsidRDefault="0027416C" w:rsidP="0036628C">
      <w:pPr>
        <w:jc w:val="both"/>
        <w:rPr>
          <w:b/>
          <w:bCs/>
          <w:kern w:val="22"/>
          <w:sz w:val="24"/>
          <w:rtl/>
        </w:rPr>
      </w:pPr>
      <w:r w:rsidRPr="0027416C">
        <w:rPr>
          <w:rFonts w:hint="cs"/>
          <w:b/>
          <w:bCs/>
          <w:kern w:val="22"/>
          <w:sz w:val="24"/>
          <w:rtl/>
        </w:rPr>
        <w:t>الجدول 4. إحصاءات من الدراسات التحليلية لغوغل المتعلقة باستخدام غرفة تبادل المعلومات بشأن الحصول وتقاسم المنافع</w:t>
      </w:r>
    </w:p>
    <w:tbl>
      <w:tblPr>
        <w:tblStyle w:val="TableGrid"/>
        <w:bidiVisual/>
        <w:tblW w:w="9445" w:type="dxa"/>
        <w:tblLook w:val="04A0"/>
      </w:tblPr>
      <w:tblGrid>
        <w:gridCol w:w="4534"/>
        <w:gridCol w:w="1221"/>
        <w:gridCol w:w="1266"/>
        <w:gridCol w:w="1200"/>
        <w:gridCol w:w="1224"/>
      </w:tblGrid>
      <w:tr w:rsidR="0027416C" w:rsidRPr="004E5DDB" w:rsidTr="0027416C">
        <w:tc>
          <w:tcPr>
            <w:tcW w:w="4534" w:type="dxa"/>
          </w:tcPr>
          <w:p w:rsidR="0027416C" w:rsidRPr="004E5DDB" w:rsidRDefault="0027416C" w:rsidP="0027416C">
            <w:pPr>
              <w:pStyle w:val="Para1"/>
              <w:numPr>
                <w:ilvl w:val="0"/>
                <w:numId w:val="0"/>
              </w:numPr>
              <w:bidi/>
              <w:rPr>
                <w:b/>
                <w:bCs/>
                <w:snapToGrid/>
                <w:szCs w:val="22"/>
              </w:rPr>
            </w:pPr>
            <w:r>
              <w:rPr>
                <w:rFonts w:hint="cs"/>
                <w:b/>
                <w:bCs/>
                <w:snapToGrid/>
                <w:szCs w:val="22"/>
                <w:rtl/>
              </w:rPr>
              <w:t>الدراسات التحليلية لغوغل</w:t>
            </w:r>
          </w:p>
        </w:tc>
        <w:tc>
          <w:tcPr>
            <w:tcW w:w="1221" w:type="dxa"/>
          </w:tcPr>
          <w:p w:rsidR="0027416C" w:rsidRPr="00D61F8C" w:rsidRDefault="0027416C" w:rsidP="001E61FB">
            <w:pPr>
              <w:pStyle w:val="Para1"/>
              <w:numPr>
                <w:ilvl w:val="0"/>
                <w:numId w:val="0"/>
              </w:numPr>
              <w:bidi/>
              <w:spacing w:before="60" w:after="60" w:line="216" w:lineRule="auto"/>
              <w:jc w:val="center"/>
              <w:rPr>
                <w:rFonts w:ascii="Simplified Arabic" w:hAnsi="Simplified Arabic" w:cs="Simplified Arabic"/>
                <w:b/>
                <w:bCs/>
                <w:snapToGrid/>
                <w:szCs w:val="22"/>
                <w:lang w:val="en-US"/>
              </w:rPr>
            </w:pPr>
            <w:r>
              <w:rPr>
                <w:rFonts w:ascii="Simplified Arabic" w:hAnsi="Simplified Arabic" w:cs="Simplified Arabic" w:hint="cs"/>
                <w:b/>
                <w:bCs/>
                <w:snapToGrid/>
                <w:szCs w:val="22"/>
                <w:rtl/>
                <w:lang w:val="en-US"/>
              </w:rPr>
              <w:t>حتى نوفمبر/تشرين الثاني 2015</w:t>
            </w:r>
          </w:p>
        </w:tc>
        <w:tc>
          <w:tcPr>
            <w:tcW w:w="1266" w:type="dxa"/>
          </w:tcPr>
          <w:p w:rsidR="0027416C" w:rsidRPr="0027416C" w:rsidRDefault="0027416C" w:rsidP="001E61FB">
            <w:pPr>
              <w:pStyle w:val="Para1"/>
              <w:numPr>
                <w:ilvl w:val="0"/>
                <w:numId w:val="0"/>
              </w:numPr>
              <w:bidi/>
              <w:spacing w:before="60" w:after="60" w:line="216" w:lineRule="auto"/>
              <w:jc w:val="center"/>
              <w:rPr>
                <w:rFonts w:ascii="Simplified Arabic" w:hAnsi="Simplified Arabic" w:cs="Simplified Arabic"/>
                <w:b/>
                <w:bCs/>
                <w:snapToGrid/>
                <w:szCs w:val="22"/>
                <w:lang w:val="en-US"/>
              </w:rPr>
            </w:pPr>
            <w:r>
              <w:rPr>
                <w:rFonts w:ascii="Simplified Arabic" w:hAnsi="Simplified Arabic" w:cs="Simplified Arabic" w:hint="cs"/>
                <w:b/>
                <w:bCs/>
                <w:snapToGrid/>
                <w:szCs w:val="22"/>
                <w:rtl/>
                <w:lang w:val="en-US"/>
              </w:rPr>
              <w:t>حتى نوفمبر/تشرين الثاني 2017</w:t>
            </w:r>
          </w:p>
        </w:tc>
        <w:tc>
          <w:tcPr>
            <w:tcW w:w="1200" w:type="dxa"/>
          </w:tcPr>
          <w:p w:rsidR="0027416C" w:rsidRPr="0027416C" w:rsidRDefault="0027416C" w:rsidP="001E61FB">
            <w:pPr>
              <w:pStyle w:val="Para1"/>
              <w:numPr>
                <w:ilvl w:val="0"/>
                <w:numId w:val="0"/>
              </w:numPr>
              <w:bidi/>
              <w:spacing w:before="60" w:after="60" w:line="216" w:lineRule="auto"/>
              <w:jc w:val="center"/>
              <w:rPr>
                <w:rFonts w:ascii="Simplified Arabic" w:hAnsi="Simplified Arabic" w:cs="Simplified Arabic"/>
                <w:b/>
                <w:bCs/>
                <w:snapToGrid/>
                <w:szCs w:val="22"/>
                <w:lang w:val="en-US"/>
              </w:rPr>
            </w:pPr>
            <w:r>
              <w:rPr>
                <w:rFonts w:ascii="Simplified Arabic" w:hAnsi="Simplified Arabic" w:cs="Simplified Arabic" w:hint="cs"/>
                <w:b/>
                <w:bCs/>
                <w:snapToGrid/>
                <w:szCs w:val="22"/>
                <w:rtl/>
                <w:lang w:val="en-US"/>
              </w:rPr>
              <w:t>حتى نوفمبر/تشرين الثاني 2019</w:t>
            </w:r>
          </w:p>
        </w:tc>
        <w:tc>
          <w:tcPr>
            <w:tcW w:w="1224" w:type="dxa"/>
          </w:tcPr>
          <w:p w:rsidR="0027416C" w:rsidRPr="0027416C" w:rsidRDefault="0027416C" w:rsidP="001E61FB">
            <w:pPr>
              <w:pStyle w:val="Para1"/>
              <w:numPr>
                <w:ilvl w:val="0"/>
                <w:numId w:val="0"/>
              </w:numPr>
              <w:bidi/>
              <w:spacing w:before="60" w:after="60" w:line="216" w:lineRule="auto"/>
              <w:jc w:val="center"/>
              <w:rPr>
                <w:rFonts w:ascii="Simplified Arabic" w:hAnsi="Simplified Arabic" w:cs="Simplified Arabic"/>
                <w:b/>
                <w:bCs/>
                <w:snapToGrid/>
                <w:szCs w:val="22"/>
                <w:lang w:val="en-US"/>
              </w:rPr>
            </w:pPr>
            <w:r>
              <w:rPr>
                <w:rFonts w:ascii="Simplified Arabic" w:hAnsi="Simplified Arabic" w:cs="Simplified Arabic" w:hint="cs"/>
                <w:b/>
                <w:bCs/>
                <w:snapToGrid/>
                <w:szCs w:val="22"/>
                <w:rtl/>
                <w:lang w:val="en-US"/>
              </w:rPr>
              <w:t>حتى نوفمبر/تشرين الثاني 2021</w:t>
            </w:r>
          </w:p>
        </w:tc>
      </w:tr>
      <w:tr w:rsidR="0027416C" w:rsidRPr="004E5DDB" w:rsidTr="0027416C">
        <w:tc>
          <w:tcPr>
            <w:tcW w:w="4534" w:type="dxa"/>
          </w:tcPr>
          <w:p w:rsidR="0027416C" w:rsidRPr="0027416C" w:rsidRDefault="005A0F76" w:rsidP="00B152D9">
            <w:pPr>
              <w:pStyle w:val="Para1"/>
              <w:numPr>
                <w:ilvl w:val="0"/>
                <w:numId w:val="0"/>
              </w:numPr>
              <w:bidi/>
              <w:rPr>
                <w:snapToGrid/>
                <w:szCs w:val="22"/>
                <w:rtl/>
                <w:lang w:val="en-US" w:bidi="ar-EG"/>
              </w:rPr>
            </w:pPr>
            <w:r>
              <w:rPr>
                <w:rFonts w:hint="cs"/>
                <w:snapToGrid/>
                <w:szCs w:val="22"/>
                <w:rtl/>
                <w:lang w:val="en-US" w:bidi="ar-EG"/>
              </w:rPr>
              <w:t xml:space="preserve">زائرين </w:t>
            </w:r>
            <w:r w:rsidR="00B152D9">
              <w:rPr>
                <w:rFonts w:hint="cs"/>
                <w:snapToGrid/>
                <w:szCs w:val="22"/>
                <w:rtl/>
                <w:lang w:val="en-US" w:bidi="ar-EG"/>
              </w:rPr>
              <w:t>من نوع خاص</w:t>
            </w:r>
            <w:r>
              <w:rPr>
                <w:rFonts w:hint="cs"/>
                <w:snapToGrid/>
                <w:szCs w:val="22"/>
                <w:rtl/>
                <w:lang w:val="en-US" w:bidi="ar-EG"/>
              </w:rPr>
              <w:t xml:space="preserve"> (مستخدمين)</w:t>
            </w:r>
          </w:p>
        </w:tc>
        <w:tc>
          <w:tcPr>
            <w:tcW w:w="1221" w:type="dxa"/>
          </w:tcPr>
          <w:p w:rsidR="0027416C" w:rsidRPr="004E5DDB" w:rsidRDefault="0027416C" w:rsidP="0027416C">
            <w:pPr>
              <w:pStyle w:val="Para1"/>
              <w:numPr>
                <w:ilvl w:val="0"/>
                <w:numId w:val="0"/>
              </w:numPr>
              <w:jc w:val="right"/>
              <w:rPr>
                <w:snapToGrid/>
                <w:szCs w:val="22"/>
              </w:rPr>
            </w:pPr>
            <w:r w:rsidRPr="004E5DDB">
              <w:rPr>
                <w:snapToGrid/>
                <w:szCs w:val="22"/>
              </w:rPr>
              <w:t>11 669</w:t>
            </w:r>
          </w:p>
        </w:tc>
        <w:tc>
          <w:tcPr>
            <w:tcW w:w="1266" w:type="dxa"/>
          </w:tcPr>
          <w:p w:rsidR="0027416C" w:rsidRPr="004E5DDB" w:rsidRDefault="0027416C" w:rsidP="0027416C">
            <w:pPr>
              <w:pStyle w:val="Para1"/>
              <w:numPr>
                <w:ilvl w:val="0"/>
                <w:numId w:val="0"/>
              </w:numPr>
              <w:jc w:val="right"/>
              <w:rPr>
                <w:snapToGrid/>
                <w:szCs w:val="22"/>
              </w:rPr>
            </w:pPr>
            <w:r w:rsidRPr="004E5DDB">
              <w:rPr>
                <w:snapToGrid/>
                <w:szCs w:val="22"/>
              </w:rPr>
              <w:t>43 772</w:t>
            </w:r>
          </w:p>
        </w:tc>
        <w:tc>
          <w:tcPr>
            <w:tcW w:w="1200" w:type="dxa"/>
          </w:tcPr>
          <w:p w:rsidR="0027416C" w:rsidRPr="004E5DDB" w:rsidRDefault="0027416C" w:rsidP="0027416C">
            <w:pPr>
              <w:pStyle w:val="Para1"/>
              <w:numPr>
                <w:ilvl w:val="0"/>
                <w:numId w:val="0"/>
              </w:numPr>
              <w:jc w:val="right"/>
              <w:rPr>
                <w:snapToGrid/>
                <w:szCs w:val="22"/>
              </w:rPr>
            </w:pPr>
            <w:r w:rsidRPr="004E5DDB">
              <w:rPr>
                <w:snapToGrid/>
                <w:szCs w:val="22"/>
              </w:rPr>
              <w:t>149 598</w:t>
            </w:r>
          </w:p>
        </w:tc>
        <w:tc>
          <w:tcPr>
            <w:tcW w:w="1224" w:type="dxa"/>
          </w:tcPr>
          <w:p w:rsidR="0027416C" w:rsidRPr="004E5DDB" w:rsidRDefault="0027416C" w:rsidP="0027416C">
            <w:pPr>
              <w:pStyle w:val="Para1"/>
              <w:numPr>
                <w:ilvl w:val="0"/>
                <w:numId w:val="0"/>
              </w:numPr>
              <w:jc w:val="right"/>
              <w:rPr>
                <w:snapToGrid/>
                <w:szCs w:val="22"/>
              </w:rPr>
            </w:pPr>
            <w:r w:rsidRPr="004E5DDB">
              <w:rPr>
                <w:snapToGrid/>
                <w:szCs w:val="22"/>
              </w:rPr>
              <w:t>384 811</w:t>
            </w:r>
          </w:p>
        </w:tc>
      </w:tr>
      <w:tr w:rsidR="0027416C" w:rsidRPr="004E5DDB" w:rsidTr="0027416C">
        <w:tc>
          <w:tcPr>
            <w:tcW w:w="4534" w:type="dxa"/>
          </w:tcPr>
          <w:p w:rsidR="0027416C" w:rsidRPr="0027416C" w:rsidRDefault="005A0F76" w:rsidP="0027416C">
            <w:pPr>
              <w:pStyle w:val="Para1"/>
              <w:numPr>
                <w:ilvl w:val="0"/>
                <w:numId w:val="0"/>
              </w:numPr>
              <w:bidi/>
              <w:rPr>
                <w:szCs w:val="22"/>
                <w:rtl/>
                <w:lang w:val="en-US" w:bidi="ar-EG"/>
              </w:rPr>
            </w:pPr>
            <w:r>
              <w:rPr>
                <w:rFonts w:hint="cs"/>
                <w:szCs w:val="22"/>
                <w:rtl/>
                <w:lang w:val="en-US" w:bidi="ar-EG"/>
              </w:rPr>
              <w:t>مشاهدات الصفحة</w:t>
            </w:r>
          </w:p>
        </w:tc>
        <w:tc>
          <w:tcPr>
            <w:tcW w:w="1221" w:type="dxa"/>
          </w:tcPr>
          <w:p w:rsidR="0027416C" w:rsidRPr="004E5DDB" w:rsidRDefault="0027416C" w:rsidP="0027416C">
            <w:pPr>
              <w:pStyle w:val="Para1"/>
              <w:numPr>
                <w:ilvl w:val="0"/>
                <w:numId w:val="0"/>
              </w:numPr>
              <w:jc w:val="right"/>
              <w:rPr>
                <w:snapToGrid/>
                <w:szCs w:val="22"/>
              </w:rPr>
            </w:pPr>
            <w:r w:rsidRPr="004E5DDB">
              <w:rPr>
                <w:snapToGrid/>
                <w:szCs w:val="22"/>
              </w:rPr>
              <w:t>106 658</w:t>
            </w:r>
          </w:p>
        </w:tc>
        <w:tc>
          <w:tcPr>
            <w:tcW w:w="1266" w:type="dxa"/>
          </w:tcPr>
          <w:p w:rsidR="0027416C" w:rsidRPr="004E5DDB" w:rsidRDefault="0027416C" w:rsidP="0027416C">
            <w:pPr>
              <w:pStyle w:val="Para1"/>
              <w:numPr>
                <w:ilvl w:val="0"/>
                <w:numId w:val="0"/>
              </w:numPr>
              <w:jc w:val="right"/>
              <w:rPr>
                <w:snapToGrid/>
                <w:szCs w:val="22"/>
              </w:rPr>
            </w:pPr>
            <w:r w:rsidRPr="004E5DDB">
              <w:rPr>
                <w:snapToGrid/>
                <w:szCs w:val="22"/>
              </w:rPr>
              <w:t>394 698</w:t>
            </w:r>
          </w:p>
        </w:tc>
        <w:tc>
          <w:tcPr>
            <w:tcW w:w="1200" w:type="dxa"/>
          </w:tcPr>
          <w:p w:rsidR="0027416C" w:rsidRPr="004E5DDB" w:rsidRDefault="0027416C" w:rsidP="0027416C">
            <w:pPr>
              <w:pStyle w:val="Para1"/>
              <w:numPr>
                <w:ilvl w:val="0"/>
                <w:numId w:val="0"/>
              </w:numPr>
              <w:jc w:val="right"/>
              <w:rPr>
                <w:snapToGrid/>
                <w:szCs w:val="22"/>
              </w:rPr>
            </w:pPr>
            <w:r w:rsidRPr="004E5DDB">
              <w:rPr>
                <w:snapToGrid/>
                <w:szCs w:val="22"/>
              </w:rPr>
              <w:t>880 766</w:t>
            </w:r>
          </w:p>
        </w:tc>
        <w:tc>
          <w:tcPr>
            <w:tcW w:w="1224" w:type="dxa"/>
          </w:tcPr>
          <w:p w:rsidR="0027416C" w:rsidRPr="004E5DDB" w:rsidRDefault="0027416C" w:rsidP="0027416C">
            <w:pPr>
              <w:pStyle w:val="Para1"/>
              <w:numPr>
                <w:ilvl w:val="0"/>
                <w:numId w:val="0"/>
              </w:numPr>
              <w:jc w:val="right"/>
              <w:rPr>
                <w:snapToGrid/>
                <w:szCs w:val="22"/>
              </w:rPr>
            </w:pPr>
            <w:r w:rsidRPr="004E5DDB">
              <w:rPr>
                <w:snapToGrid/>
                <w:szCs w:val="22"/>
              </w:rPr>
              <w:t>1 432 490</w:t>
            </w:r>
          </w:p>
        </w:tc>
      </w:tr>
      <w:tr w:rsidR="0027416C" w:rsidRPr="004E5DDB" w:rsidTr="0027416C">
        <w:tc>
          <w:tcPr>
            <w:tcW w:w="4534" w:type="dxa"/>
          </w:tcPr>
          <w:p w:rsidR="0027416C" w:rsidRPr="0027416C" w:rsidRDefault="005A0F76" w:rsidP="0027416C">
            <w:pPr>
              <w:pStyle w:val="Para1"/>
              <w:numPr>
                <w:ilvl w:val="0"/>
                <w:numId w:val="0"/>
              </w:numPr>
              <w:bidi/>
              <w:rPr>
                <w:snapToGrid/>
                <w:szCs w:val="22"/>
                <w:rtl/>
                <w:lang w:val="en-US" w:bidi="ar-EG"/>
              </w:rPr>
            </w:pPr>
            <w:r>
              <w:rPr>
                <w:rFonts w:hint="cs"/>
                <w:snapToGrid/>
                <w:szCs w:val="22"/>
                <w:rtl/>
                <w:lang w:val="en-US" w:bidi="ar-EG"/>
              </w:rPr>
              <w:t>الجلسات</w:t>
            </w:r>
          </w:p>
        </w:tc>
        <w:tc>
          <w:tcPr>
            <w:tcW w:w="1221" w:type="dxa"/>
          </w:tcPr>
          <w:p w:rsidR="0027416C" w:rsidRPr="004E5DDB" w:rsidRDefault="0027416C" w:rsidP="0027416C">
            <w:pPr>
              <w:pStyle w:val="Para1"/>
              <w:numPr>
                <w:ilvl w:val="0"/>
                <w:numId w:val="0"/>
              </w:numPr>
              <w:jc w:val="right"/>
              <w:rPr>
                <w:snapToGrid/>
                <w:szCs w:val="22"/>
              </w:rPr>
            </w:pPr>
            <w:r w:rsidRPr="004E5DDB">
              <w:rPr>
                <w:snapToGrid/>
                <w:szCs w:val="22"/>
              </w:rPr>
              <w:t>29 581</w:t>
            </w:r>
          </w:p>
        </w:tc>
        <w:tc>
          <w:tcPr>
            <w:tcW w:w="1266" w:type="dxa"/>
          </w:tcPr>
          <w:p w:rsidR="0027416C" w:rsidRPr="004E5DDB" w:rsidRDefault="0027416C" w:rsidP="0027416C">
            <w:pPr>
              <w:pStyle w:val="Para1"/>
              <w:numPr>
                <w:ilvl w:val="0"/>
                <w:numId w:val="0"/>
              </w:numPr>
              <w:jc w:val="right"/>
              <w:rPr>
                <w:snapToGrid/>
                <w:szCs w:val="22"/>
              </w:rPr>
            </w:pPr>
            <w:r w:rsidRPr="004E5DDB">
              <w:rPr>
                <w:snapToGrid/>
                <w:szCs w:val="22"/>
              </w:rPr>
              <w:t>116 746</w:t>
            </w:r>
          </w:p>
        </w:tc>
        <w:tc>
          <w:tcPr>
            <w:tcW w:w="1200" w:type="dxa"/>
          </w:tcPr>
          <w:p w:rsidR="0027416C" w:rsidRPr="004E5DDB" w:rsidRDefault="0027416C" w:rsidP="0027416C">
            <w:pPr>
              <w:pStyle w:val="Para1"/>
              <w:numPr>
                <w:ilvl w:val="0"/>
                <w:numId w:val="0"/>
              </w:numPr>
              <w:jc w:val="right"/>
              <w:rPr>
                <w:snapToGrid/>
                <w:szCs w:val="22"/>
              </w:rPr>
            </w:pPr>
            <w:r w:rsidRPr="004E5DDB">
              <w:rPr>
                <w:snapToGrid/>
                <w:szCs w:val="22"/>
              </w:rPr>
              <w:t>291 581</w:t>
            </w:r>
          </w:p>
        </w:tc>
        <w:tc>
          <w:tcPr>
            <w:tcW w:w="1224" w:type="dxa"/>
          </w:tcPr>
          <w:p w:rsidR="0027416C" w:rsidRPr="004E5DDB" w:rsidRDefault="0027416C" w:rsidP="0027416C">
            <w:pPr>
              <w:pStyle w:val="Para1"/>
              <w:numPr>
                <w:ilvl w:val="0"/>
                <w:numId w:val="0"/>
              </w:numPr>
              <w:jc w:val="right"/>
              <w:rPr>
                <w:snapToGrid/>
                <w:szCs w:val="22"/>
              </w:rPr>
            </w:pPr>
            <w:r w:rsidRPr="004E5DDB">
              <w:rPr>
                <w:snapToGrid/>
                <w:szCs w:val="22"/>
              </w:rPr>
              <w:t>591 874</w:t>
            </w:r>
          </w:p>
        </w:tc>
      </w:tr>
      <w:tr w:rsidR="0027416C" w:rsidRPr="004E5DDB" w:rsidTr="0027416C">
        <w:tc>
          <w:tcPr>
            <w:tcW w:w="4534" w:type="dxa"/>
          </w:tcPr>
          <w:p w:rsidR="0027416C" w:rsidRPr="0027416C" w:rsidRDefault="005A0F76" w:rsidP="0027416C">
            <w:pPr>
              <w:pStyle w:val="Para1"/>
              <w:numPr>
                <w:ilvl w:val="0"/>
                <w:numId w:val="0"/>
              </w:numPr>
              <w:bidi/>
              <w:rPr>
                <w:snapToGrid/>
                <w:szCs w:val="22"/>
                <w:rtl/>
                <w:lang w:val="en-US" w:bidi="ar-EG"/>
              </w:rPr>
            </w:pPr>
            <w:r>
              <w:rPr>
                <w:rFonts w:hint="cs"/>
                <w:snapToGrid/>
                <w:szCs w:val="22"/>
                <w:rtl/>
                <w:lang w:val="en-US" w:bidi="ar-EG"/>
              </w:rPr>
              <w:t>متوسط مدة الجلسة (بالدقائق)</w:t>
            </w:r>
          </w:p>
        </w:tc>
        <w:tc>
          <w:tcPr>
            <w:tcW w:w="1221" w:type="dxa"/>
          </w:tcPr>
          <w:p w:rsidR="0027416C" w:rsidRPr="004E5DDB" w:rsidRDefault="0027416C" w:rsidP="0027416C">
            <w:pPr>
              <w:pStyle w:val="Para1"/>
              <w:numPr>
                <w:ilvl w:val="0"/>
                <w:numId w:val="0"/>
              </w:numPr>
              <w:jc w:val="right"/>
              <w:rPr>
                <w:snapToGrid/>
                <w:szCs w:val="22"/>
              </w:rPr>
            </w:pPr>
            <w:r w:rsidRPr="004E5DDB">
              <w:rPr>
                <w:snapToGrid/>
                <w:szCs w:val="22"/>
              </w:rPr>
              <w:t>6.10</w:t>
            </w:r>
          </w:p>
        </w:tc>
        <w:tc>
          <w:tcPr>
            <w:tcW w:w="1266" w:type="dxa"/>
          </w:tcPr>
          <w:p w:rsidR="0027416C" w:rsidRPr="004E5DDB" w:rsidRDefault="0027416C" w:rsidP="0027416C">
            <w:pPr>
              <w:pStyle w:val="Para1"/>
              <w:numPr>
                <w:ilvl w:val="0"/>
                <w:numId w:val="0"/>
              </w:numPr>
              <w:jc w:val="right"/>
              <w:rPr>
                <w:snapToGrid/>
                <w:szCs w:val="22"/>
              </w:rPr>
            </w:pPr>
            <w:r w:rsidRPr="004E5DDB">
              <w:rPr>
                <w:snapToGrid/>
                <w:szCs w:val="22"/>
              </w:rPr>
              <w:t>5.30</w:t>
            </w:r>
          </w:p>
        </w:tc>
        <w:tc>
          <w:tcPr>
            <w:tcW w:w="1200" w:type="dxa"/>
          </w:tcPr>
          <w:p w:rsidR="0027416C" w:rsidRPr="004E5DDB" w:rsidRDefault="0027416C" w:rsidP="0027416C">
            <w:pPr>
              <w:pStyle w:val="Para1"/>
              <w:numPr>
                <w:ilvl w:val="0"/>
                <w:numId w:val="0"/>
              </w:numPr>
              <w:jc w:val="right"/>
              <w:rPr>
                <w:snapToGrid/>
                <w:szCs w:val="22"/>
              </w:rPr>
            </w:pPr>
            <w:r w:rsidRPr="004E5DDB">
              <w:rPr>
                <w:snapToGrid/>
                <w:szCs w:val="22"/>
              </w:rPr>
              <w:t>4.17</w:t>
            </w:r>
          </w:p>
        </w:tc>
        <w:tc>
          <w:tcPr>
            <w:tcW w:w="1224" w:type="dxa"/>
          </w:tcPr>
          <w:p w:rsidR="0027416C" w:rsidRPr="004E5DDB" w:rsidRDefault="0027416C" w:rsidP="0027416C">
            <w:pPr>
              <w:pStyle w:val="Para1"/>
              <w:numPr>
                <w:ilvl w:val="0"/>
                <w:numId w:val="0"/>
              </w:numPr>
              <w:jc w:val="right"/>
              <w:rPr>
                <w:snapToGrid/>
                <w:szCs w:val="22"/>
              </w:rPr>
            </w:pPr>
            <w:r w:rsidRPr="004E5DDB">
              <w:rPr>
                <w:snapToGrid/>
                <w:szCs w:val="22"/>
              </w:rPr>
              <w:t>2.42</w:t>
            </w:r>
          </w:p>
        </w:tc>
      </w:tr>
      <w:tr w:rsidR="0027416C" w:rsidRPr="004E5DDB" w:rsidTr="0027416C">
        <w:tc>
          <w:tcPr>
            <w:tcW w:w="4534" w:type="dxa"/>
          </w:tcPr>
          <w:p w:rsidR="0027416C" w:rsidRPr="0027416C" w:rsidRDefault="005A0F76" w:rsidP="0027416C">
            <w:pPr>
              <w:pStyle w:val="Para1"/>
              <w:numPr>
                <w:ilvl w:val="0"/>
                <w:numId w:val="0"/>
              </w:numPr>
              <w:bidi/>
              <w:rPr>
                <w:snapToGrid/>
                <w:szCs w:val="22"/>
                <w:rtl/>
                <w:lang w:val="en-US" w:bidi="ar-EG"/>
              </w:rPr>
            </w:pPr>
            <w:r>
              <w:rPr>
                <w:rFonts w:hint="cs"/>
                <w:snapToGrid/>
                <w:szCs w:val="22"/>
                <w:rtl/>
                <w:lang w:val="en-US" w:bidi="ar-EG"/>
              </w:rPr>
              <w:t>مشاهدات الصفحة في المتوسط في كل جلسة</w:t>
            </w:r>
          </w:p>
        </w:tc>
        <w:tc>
          <w:tcPr>
            <w:tcW w:w="1221" w:type="dxa"/>
          </w:tcPr>
          <w:p w:rsidR="0027416C" w:rsidRPr="004E5DDB" w:rsidRDefault="0027416C" w:rsidP="0027416C">
            <w:pPr>
              <w:pStyle w:val="Para1"/>
              <w:numPr>
                <w:ilvl w:val="0"/>
                <w:numId w:val="0"/>
              </w:numPr>
              <w:jc w:val="right"/>
              <w:rPr>
                <w:snapToGrid/>
                <w:szCs w:val="22"/>
              </w:rPr>
            </w:pPr>
            <w:r w:rsidRPr="004E5DDB">
              <w:rPr>
                <w:snapToGrid/>
                <w:szCs w:val="22"/>
              </w:rPr>
              <w:t>3.61</w:t>
            </w:r>
          </w:p>
        </w:tc>
        <w:tc>
          <w:tcPr>
            <w:tcW w:w="1266" w:type="dxa"/>
          </w:tcPr>
          <w:p w:rsidR="0027416C" w:rsidRPr="004E5DDB" w:rsidRDefault="0027416C" w:rsidP="0027416C">
            <w:pPr>
              <w:pStyle w:val="Para1"/>
              <w:numPr>
                <w:ilvl w:val="0"/>
                <w:numId w:val="0"/>
              </w:numPr>
              <w:jc w:val="right"/>
              <w:rPr>
                <w:snapToGrid/>
                <w:szCs w:val="22"/>
              </w:rPr>
            </w:pPr>
            <w:r w:rsidRPr="004E5DDB">
              <w:rPr>
                <w:snapToGrid/>
                <w:szCs w:val="22"/>
              </w:rPr>
              <w:t>3.38</w:t>
            </w:r>
          </w:p>
        </w:tc>
        <w:tc>
          <w:tcPr>
            <w:tcW w:w="1200" w:type="dxa"/>
          </w:tcPr>
          <w:p w:rsidR="0027416C" w:rsidRPr="004E5DDB" w:rsidRDefault="0027416C" w:rsidP="0027416C">
            <w:pPr>
              <w:pStyle w:val="Para1"/>
              <w:numPr>
                <w:ilvl w:val="0"/>
                <w:numId w:val="0"/>
              </w:numPr>
              <w:jc w:val="right"/>
              <w:rPr>
                <w:snapToGrid/>
                <w:szCs w:val="22"/>
              </w:rPr>
            </w:pPr>
            <w:r w:rsidRPr="004E5DDB">
              <w:rPr>
                <w:snapToGrid/>
                <w:szCs w:val="22"/>
              </w:rPr>
              <w:t>3.02</w:t>
            </w:r>
          </w:p>
        </w:tc>
        <w:tc>
          <w:tcPr>
            <w:tcW w:w="1224" w:type="dxa"/>
          </w:tcPr>
          <w:p w:rsidR="0027416C" w:rsidRPr="004E5DDB" w:rsidRDefault="0027416C" w:rsidP="0027416C">
            <w:pPr>
              <w:pStyle w:val="Para1"/>
              <w:numPr>
                <w:ilvl w:val="0"/>
                <w:numId w:val="0"/>
              </w:numPr>
              <w:jc w:val="right"/>
              <w:rPr>
                <w:snapToGrid/>
                <w:szCs w:val="22"/>
              </w:rPr>
            </w:pPr>
            <w:r w:rsidRPr="004E5DDB">
              <w:rPr>
                <w:snapToGrid/>
                <w:szCs w:val="22"/>
              </w:rPr>
              <w:t>2.36</w:t>
            </w:r>
          </w:p>
        </w:tc>
      </w:tr>
      <w:tr w:rsidR="0027416C" w:rsidRPr="004E5DDB" w:rsidTr="0027416C">
        <w:tc>
          <w:tcPr>
            <w:tcW w:w="4534" w:type="dxa"/>
          </w:tcPr>
          <w:p w:rsidR="0027416C" w:rsidRPr="0027416C" w:rsidRDefault="0027416C" w:rsidP="005A0F76">
            <w:pPr>
              <w:pStyle w:val="Para1"/>
              <w:numPr>
                <w:ilvl w:val="0"/>
                <w:numId w:val="0"/>
              </w:numPr>
              <w:bidi/>
              <w:rPr>
                <w:szCs w:val="22"/>
                <w:rtl/>
                <w:lang w:val="en-US" w:bidi="ar-EG"/>
              </w:rPr>
            </w:pPr>
            <w:r>
              <w:rPr>
                <w:rFonts w:hint="cs"/>
                <w:szCs w:val="22"/>
                <w:rtl/>
                <w:lang w:val="en-US" w:bidi="ar-EG"/>
              </w:rPr>
              <w:t>معدل ال</w:t>
            </w:r>
            <w:r w:rsidR="005A0F76">
              <w:rPr>
                <w:rFonts w:hint="cs"/>
                <w:szCs w:val="22"/>
                <w:rtl/>
                <w:lang w:val="en-US" w:bidi="ar-EG"/>
              </w:rPr>
              <w:t>ا</w:t>
            </w:r>
            <w:r>
              <w:rPr>
                <w:rFonts w:hint="cs"/>
                <w:szCs w:val="22"/>
                <w:rtl/>
                <w:lang w:val="en-US" w:bidi="ar-EG"/>
              </w:rPr>
              <w:t>رتداد</w:t>
            </w:r>
          </w:p>
        </w:tc>
        <w:tc>
          <w:tcPr>
            <w:tcW w:w="1221" w:type="dxa"/>
          </w:tcPr>
          <w:p w:rsidR="0027416C" w:rsidRPr="006B5765" w:rsidRDefault="0027416C" w:rsidP="0027416C">
            <w:pPr>
              <w:pStyle w:val="Para1"/>
              <w:numPr>
                <w:ilvl w:val="0"/>
                <w:numId w:val="0"/>
              </w:numPr>
              <w:jc w:val="center"/>
              <w:rPr>
                <w:snapToGrid/>
                <w:szCs w:val="22"/>
              </w:rPr>
            </w:pPr>
            <w:r w:rsidRPr="006B5765">
              <w:rPr>
                <w:snapToGrid/>
                <w:szCs w:val="22"/>
              </w:rPr>
              <w:t>60.53%</w:t>
            </w:r>
          </w:p>
        </w:tc>
        <w:tc>
          <w:tcPr>
            <w:tcW w:w="1266" w:type="dxa"/>
          </w:tcPr>
          <w:p w:rsidR="0027416C" w:rsidRPr="006B5765" w:rsidRDefault="0027416C" w:rsidP="0027416C">
            <w:pPr>
              <w:pStyle w:val="Para1"/>
              <w:numPr>
                <w:ilvl w:val="0"/>
                <w:numId w:val="0"/>
              </w:numPr>
              <w:jc w:val="center"/>
              <w:rPr>
                <w:snapToGrid/>
                <w:szCs w:val="22"/>
              </w:rPr>
            </w:pPr>
            <w:r w:rsidRPr="006B5765">
              <w:rPr>
                <w:snapToGrid/>
                <w:szCs w:val="22"/>
              </w:rPr>
              <w:t>54.28%</w:t>
            </w:r>
          </w:p>
        </w:tc>
        <w:tc>
          <w:tcPr>
            <w:tcW w:w="1200" w:type="dxa"/>
          </w:tcPr>
          <w:p w:rsidR="0027416C" w:rsidRPr="006B5765" w:rsidRDefault="0027416C" w:rsidP="0027416C">
            <w:pPr>
              <w:pStyle w:val="Para1"/>
              <w:numPr>
                <w:ilvl w:val="0"/>
                <w:numId w:val="0"/>
              </w:numPr>
              <w:jc w:val="center"/>
              <w:rPr>
                <w:snapToGrid/>
                <w:szCs w:val="22"/>
              </w:rPr>
            </w:pPr>
            <w:r w:rsidRPr="006B5765">
              <w:rPr>
                <w:snapToGrid/>
                <w:szCs w:val="22"/>
              </w:rPr>
              <w:t>58.63%</w:t>
            </w:r>
          </w:p>
        </w:tc>
        <w:tc>
          <w:tcPr>
            <w:tcW w:w="1224" w:type="dxa"/>
          </w:tcPr>
          <w:p w:rsidR="0027416C" w:rsidRPr="006B5765" w:rsidRDefault="0027416C" w:rsidP="0027416C">
            <w:pPr>
              <w:pStyle w:val="Para1"/>
              <w:numPr>
                <w:ilvl w:val="0"/>
                <w:numId w:val="0"/>
              </w:numPr>
              <w:jc w:val="center"/>
              <w:rPr>
                <w:snapToGrid/>
                <w:szCs w:val="22"/>
              </w:rPr>
            </w:pPr>
            <w:r w:rsidRPr="006B5765">
              <w:rPr>
                <w:snapToGrid/>
                <w:szCs w:val="22"/>
              </w:rPr>
              <w:t>69.36%</w:t>
            </w:r>
          </w:p>
        </w:tc>
      </w:tr>
    </w:tbl>
    <w:p w:rsidR="0027416C" w:rsidRDefault="0027416C" w:rsidP="0036628C">
      <w:pPr>
        <w:jc w:val="both"/>
        <w:rPr>
          <w:kern w:val="22"/>
          <w:sz w:val="22"/>
          <w:szCs w:val="22"/>
          <w:rtl/>
        </w:rPr>
      </w:pPr>
    </w:p>
    <w:p w:rsidR="005A0F76" w:rsidRDefault="005A0F76">
      <w:pPr>
        <w:bidi w:val="0"/>
        <w:spacing w:line="240" w:lineRule="auto"/>
        <w:jc w:val="left"/>
        <w:rPr>
          <w:kern w:val="22"/>
          <w:sz w:val="22"/>
          <w:szCs w:val="22"/>
          <w:rtl/>
        </w:rPr>
      </w:pPr>
      <w:r>
        <w:rPr>
          <w:kern w:val="22"/>
          <w:sz w:val="22"/>
          <w:szCs w:val="22"/>
          <w:rtl/>
        </w:rPr>
        <w:br w:type="page"/>
      </w:r>
    </w:p>
    <w:p w:rsidR="0027416C" w:rsidRPr="005A0F76" w:rsidRDefault="005A0F76" w:rsidP="005A0F76">
      <w:pPr>
        <w:spacing w:after="120"/>
        <w:jc w:val="center"/>
        <w:rPr>
          <w:i/>
          <w:iCs/>
          <w:kern w:val="22"/>
          <w:sz w:val="22"/>
          <w:rtl/>
        </w:rPr>
      </w:pPr>
      <w:r w:rsidRPr="005A0F76">
        <w:rPr>
          <w:rFonts w:hint="cs"/>
          <w:i/>
          <w:iCs/>
          <w:kern w:val="22"/>
          <w:sz w:val="22"/>
          <w:rtl/>
        </w:rPr>
        <w:lastRenderedPageBreak/>
        <w:t>المرفق الثاني</w:t>
      </w:r>
    </w:p>
    <w:p w:rsidR="005A0F76" w:rsidRPr="005A0F76" w:rsidRDefault="005A0F76" w:rsidP="009D6C4C">
      <w:pPr>
        <w:spacing w:after="240"/>
        <w:ind w:left="1800" w:right="1440" w:hanging="360"/>
        <w:jc w:val="left"/>
        <w:rPr>
          <w:rFonts w:hint="cs"/>
          <w:b/>
          <w:bCs/>
          <w:kern w:val="22"/>
          <w:sz w:val="28"/>
          <w:szCs w:val="28"/>
          <w:rtl/>
          <w:lang w:bidi="ar-EG"/>
        </w:rPr>
      </w:pPr>
      <w:r w:rsidRPr="005A0F76">
        <w:rPr>
          <w:rFonts w:hint="cs"/>
          <w:b/>
          <w:bCs/>
          <w:kern w:val="22"/>
          <w:sz w:val="28"/>
          <w:szCs w:val="28"/>
          <w:rtl/>
        </w:rPr>
        <w:t>الخبرة المكتسبة ذات الصلة برصد استخدام الموارد الجينية، بما في ذلك شهادة الامتثال المعترف بها دوليا وبلاغات نقطة ال</w:t>
      </w:r>
      <w:r w:rsidR="0054462B">
        <w:rPr>
          <w:rFonts w:hint="cs"/>
          <w:b/>
          <w:bCs/>
          <w:kern w:val="22"/>
          <w:sz w:val="28"/>
          <w:szCs w:val="28"/>
          <w:rtl/>
        </w:rPr>
        <w:t>تفتيش</w:t>
      </w:r>
      <w:r w:rsidRPr="005A0F76">
        <w:rPr>
          <w:rFonts w:hint="cs"/>
          <w:b/>
          <w:bCs/>
          <w:kern w:val="22"/>
          <w:sz w:val="28"/>
          <w:szCs w:val="28"/>
          <w:rtl/>
        </w:rPr>
        <w:t xml:space="preserve"> المتاحة من خلال غرفة تبادل المعلومات بشأن الحصول وتقاسم المنافع</w:t>
      </w:r>
    </w:p>
    <w:p w:rsidR="005A0F76" w:rsidRPr="0083554D" w:rsidRDefault="0083554D" w:rsidP="0083554D">
      <w:pPr>
        <w:spacing w:after="120"/>
        <w:jc w:val="both"/>
        <w:rPr>
          <w:b/>
          <w:bCs/>
          <w:kern w:val="22"/>
          <w:sz w:val="22"/>
          <w:rtl/>
          <w:lang w:bidi="ar-EG"/>
        </w:rPr>
      </w:pPr>
      <w:r w:rsidRPr="00B152D9">
        <w:rPr>
          <w:rFonts w:hint="cs"/>
          <w:b/>
          <w:bCs/>
          <w:kern w:val="22"/>
          <w:sz w:val="22"/>
          <w:rtl/>
          <w:lang w:bidi="ar-EG"/>
        </w:rPr>
        <w:t>حلقة العمل العالمية لبناء القدرات</w:t>
      </w:r>
      <w:r w:rsidRPr="0083554D">
        <w:rPr>
          <w:rFonts w:hint="cs"/>
          <w:b/>
          <w:bCs/>
          <w:kern w:val="22"/>
          <w:sz w:val="22"/>
          <w:rtl/>
          <w:lang w:bidi="ar-EG"/>
        </w:rPr>
        <w:t xml:space="preserve"> في مجال رصد واستخدام الموارد الجينية بموجب بروتوكول ناغويا</w:t>
      </w:r>
    </w:p>
    <w:p w:rsidR="0083554D" w:rsidRDefault="00A04296" w:rsidP="00D64FF1">
      <w:pPr>
        <w:spacing w:after="120"/>
        <w:jc w:val="both"/>
        <w:rPr>
          <w:kern w:val="22"/>
          <w:sz w:val="22"/>
          <w:rtl/>
          <w:lang w:bidi="ar-EG"/>
        </w:rPr>
      </w:pPr>
      <w:r>
        <w:rPr>
          <w:rFonts w:hint="cs"/>
          <w:kern w:val="22"/>
          <w:sz w:val="22"/>
          <w:rtl/>
          <w:lang w:bidi="ar-EG"/>
        </w:rPr>
        <w:t xml:space="preserve">تم إبراز أهمية بناء القدرات لنظام البروتوكول لرصد استخدام الموارد الجينية تحديدا في المقرر </w:t>
      </w:r>
      <w:r>
        <w:rPr>
          <w:kern w:val="22"/>
          <w:sz w:val="22"/>
          <w:lang w:bidi="ar-EG"/>
        </w:rPr>
        <w:t>NP-3/1</w:t>
      </w:r>
      <w:r>
        <w:rPr>
          <w:rFonts w:hint="cs"/>
          <w:kern w:val="22"/>
          <w:sz w:val="22"/>
          <w:rtl/>
          <w:lang w:bidi="ar-EG"/>
        </w:rPr>
        <w:t>، الفقرة 21(ج)</w:t>
      </w:r>
      <w:r w:rsidR="00B152D9">
        <w:rPr>
          <w:rFonts w:hint="cs"/>
          <w:kern w:val="22"/>
          <w:sz w:val="22"/>
          <w:rtl/>
          <w:lang w:bidi="ar-EG"/>
        </w:rPr>
        <w:t>،</w:t>
      </w:r>
      <w:r>
        <w:rPr>
          <w:rFonts w:hint="cs"/>
          <w:kern w:val="22"/>
          <w:sz w:val="22"/>
          <w:rtl/>
          <w:lang w:bidi="ar-EG"/>
        </w:rPr>
        <w:t xml:space="preserve"> والمقرر </w:t>
      </w:r>
      <w:r>
        <w:rPr>
          <w:kern w:val="22"/>
          <w:sz w:val="22"/>
          <w:lang w:bidi="ar-EG"/>
        </w:rPr>
        <w:t>NP-3/3</w:t>
      </w:r>
      <w:r>
        <w:rPr>
          <w:rFonts w:hint="cs"/>
          <w:kern w:val="22"/>
          <w:sz w:val="22"/>
          <w:rtl/>
          <w:lang w:bidi="ar-EG"/>
        </w:rPr>
        <w:t xml:space="preserve">، الفقرة 11. </w:t>
      </w:r>
      <w:r w:rsidR="00B152D9">
        <w:rPr>
          <w:rFonts w:hint="cs"/>
          <w:kern w:val="22"/>
          <w:sz w:val="22"/>
          <w:rtl/>
          <w:lang w:bidi="ar-EG"/>
        </w:rPr>
        <w:t>و</w:t>
      </w:r>
      <w:r>
        <w:rPr>
          <w:rFonts w:hint="cs"/>
          <w:kern w:val="22"/>
          <w:sz w:val="22"/>
          <w:rtl/>
          <w:lang w:bidi="ar-EG"/>
        </w:rPr>
        <w:t xml:space="preserve">من أجل تنمية القدرات </w:t>
      </w:r>
      <w:r w:rsidR="00D64FF1">
        <w:rPr>
          <w:rFonts w:hint="cs"/>
          <w:kern w:val="22"/>
          <w:sz w:val="22"/>
          <w:rtl/>
          <w:lang w:bidi="ar-EG"/>
        </w:rPr>
        <w:t xml:space="preserve">في مجال </w:t>
      </w:r>
      <w:r>
        <w:rPr>
          <w:rFonts w:hint="cs"/>
          <w:kern w:val="22"/>
          <w:sz w:val="22"/>
          <w:rtl/>
          <w:lang w:bidi="ar-EG"/>
        </w:rPr>
        <w:t>هذا الموضوع، نظمت الأمانة حلقة العمل العالمية لبناء القدرات في مجال رصد واستخدام الموارد الجينية بموجب بروتوكول ناغويا، التي عقدت في بون في الفترة من 30 سبتمبر/أيلول إلى 2 أكتوبر/تشرين الأول 201</w:t>
      </w:r>
      <w:r w:rsidR="00D64FF1">
        <w:rPr>
          <w:rFonts w:hint="cs"/>
          <w:kern w:val="22"/>
          <w:sz w:val="22"/>
          <w:rtl/>
          <w:lang w:bidi="ar-EG"/>
        </w:rPr>
        <w:t xml:space="preserve">9. </w:t>
      </w:r>
      <w:r>
        <w:rPr>
          <w:rFonts w:hint="cs"/>
          <w:kern w:val="22"/>
          <w:sz w:val="22"/>
          <w:rtl/>
          <w:lang w:bidi="ar-EG"/>
        </w:rPr>
        <w:t>وسلط المرفق الأول بتقرير حلقة العمل الضوء على النتائج والرسائل الرئيسية التي أبرزت مستوى الخبرة الحالي، والتحديات التي تواجه الأطراف، والمتعلقة بنظام رصد استخدام الموارد الجينية بموجب البروتوكول. وفيما يلي ملخص للنقاط الرئيسية من هذا التقرير</w:t>
      </w:r>
      <w:r w:rsidR="00D64FF1">
        <w:rPr>
          <w:rFonts w:hint="cs"/>
          <w:kern w:val="22"/>
          <w:sz w:val="22"/>
          <w:rtl/>
          <w:lang w:bidi="ar-EG"/>
        </w:rPr>
        <w:t>:</w:t>
      </w:r>
    </w:p>
    <w:p w:rsidR="00A04296" w:rsidRPr="00D64FF1" w:rsidRDefault="00D64FF1" w:rsidP="00D64FF1">
      <w:pPr>
        <w:pStyle w:val="ListParagraph"/>
        <w:numPr>
          <w:ilvl w:val="0"/>
          <w:numId w:val="23"/>
        </w:numPr>
        <w:bidi/>
        <w:spacing w:after="120"/>
        <w:ind w:left="0" w:firstLine="720"/>
        <w:rPr>
          <w:rFonts w:cs="Simplified Arabic"/>
          <w:kern w:val="22"/>
          <w:lang w:bidi="ar-EG"/>
        </w:rPr>
      </w:pPr>
      <w:r>
        <w:rPr>
          <w:rFonts w:cs="Simplified Arabic" w:hint="cs"/>
          <w:kern w:val="22"/>
          <w:rtl/>
          <w:lang w:bidi="ar-EG"/>
        </w:rPr>
        <w:t>عدم وجود</w:t>
      </w:r>
      <w:r w:rsidR="00A04296" w:rsidRPr="00D64FF1">
        <w:rPr>
          <w:rFonts w:cs="Simplified Arabic" w:hint="cs"/>
          <w:kern w:val="22"/>
          <w:rtl/>
          <w:lang w:bidi="ar-EG"/>
        </w:rPr>
        <w:t xml:space="preserve"> </w:t>
      </w:r>
      <w:r w:rsidRPr="00D64FF1">
        <w:rPr>
          <w:rFonts w:cs="Simplified Arabic" w:hint="cs"/>
          <w:kern w:val="22"/>
          <w:rtl/>
          <w:lang w:bidi="ar-EG"/>
        </w:rPr>
        <w:t xml:space="preserve">فهم </w:t>
      </w:r>
      <w:r>
        <w:rPr>
          <w:rFonts w:cs="Simplified Arabic" w:hint="cs"/>
          <w:kern w:val="22"/>
          <w:rtl/>
          <w:lang w:bidi="ar-EG"/>
        </w:rPr>
        <w:t xml:space="preserve">في </w:t>
      </w:r>
      <w:r w:rsidR="00A04296" w:rsidRPr="00D64FF1">
        <w:rPr>
          <w:rFonts w:cs="Simplified Arabic" w:hint="cs"/>
          <w:kern w:val="22"/>
          <w:rtl/>
          <w:lang w:bidi="ar-EG"/>
        </w:rPr>
        <w:t xml:space="preserve">الكثير من البلدان </w:t>
      </w:r>
      <w:r>
        <w:rPr>
          <w:rFonts w:cs="Simplified Arabic" w:hint="cs"/>
          <w:kern w:val="22"/>
          <w:rtl/>
          <w:lang w:bidi="ar-EG"/>
        </w:rPr>
        <w:t>ل</w:t>
      </w:r>
      <w:r w:rsidR="00A04296" w:rsidRPr="00D64FF1">
        <w:rPr>
          <w:rFonts w:cs="Simplified Arabic" w:hint="cs"/>
          <w:kern w:val="22"/>
          <w:rtl/>
          <w:lang w:bidi="ar-EG"/>
        </w:rPr>
        <w:t>نظام البروتوكول لرصد استخدام الموارد الجينية؛</w:t>
      </w:r>
    </w:p>
    <w:p w:rsidR="00A04296" w:rsidRPr="00D64FF1" w:rsidRDefault="00A04296" w:rsidP="00D64FF1">
      <w:pPr>
        <w:pStyle w:val="ListParagraph"/>
        <w:numPr>
          <w:ilvl w:val="0"/>
          <w:numId w:val="23"/>
        </w:numPr>
        <w:bidi/>
        <w:spacing w:after="120"/>
        <w:ind w:left="0" w:firstLine="720"/>
        <w:rPr>
          <w:rFonts w:cs="Simplified Arabic"/>
          <w:kern w:val="22"/>
          <w:lang w:bidi="ar-EG"/>
        </w:rPr>
      </w:pPr>
      <w:r w:rsidRPr="00D64FF1">
        <w:rPr>
          <w:rFonts w:cs="Simplified Arabic" w:hint="cs"/>
          <w:kern w:val="22"/>
          <w:rtl/>
          <w:lang w:bidi="ar-EG"/>
        </w:rPr>
        <w:t>ما زال الكثير من البلدان في المراحل المبكرة لإنشاء نظم</w:t>
      </w:r>
      <w:r w:rsidR="00D64FF1">
        <w:rPr>
          <w:rFonts w:cs="Simplified Arabic" w:hint="cs"/>
          <w:kern w:val="22"/>
          <w:rtl/>
          <w:lang w:bidi="ar-EG"/>
        </w:rPr>
        <w:t xml:space="preserve"> تشغيلية للحصول وتقاسم المنافع ولا يوجد لديها</w:t>
      </w:r>
      <w:r w:rsidRPr="00D64FF1">
        <w:rPr>
          <w:rFonts w:cs="Simplified Arabic" w:hint="cs"/>
          <w:kern w:val="22"/>
          <w:rtl/>
          <w:lang w:bidi="ar-EG"/>
        </w:rPr>
        <w:t xml:space="preserve"> القدرات الضرورية والموارد المالية لتفعيل البروتوكول؛</w:t>
      </w:r>
    </w:p>
    <w:p w:rsidR="00A04296" w:rsidRPr="00D64FF1" w:rsidRDefault="00A04296" w:rsidP="00A04296">
      <w:pPr>
        <w:pStyle w:val="ListParagraph"/>
        <w:numPr>
          <w:ilvl w:val="0"/>
          <w:numId w:val="23"/>
        </w:numPr>
        <w:bidi/>
        <w:spacing w:after="120"/>
        <w:ind w:left="0" w:firstLine="720"/>
        <w:rPr>
          <w:rFonts w:cs="Simplified Arabic"/>
          <w:kern w:val="22"/>
          <w:lang w:bidi="ar-EG"/>
        </w:rPr>
      </w:pPr>
      <w:r w:rsidRPr="00D64FF1">
        <w:rPr>
          <w:rFonts w:cs="Simplified Arabic" w:hint="cs"/>
          <w:kern w:val="22"/>
          <w:rtl/>
          <w:lang w:bidi="ar-EG"/>
        </w:rPr>
        <w:t>يواجه بعض البلدان مشاكل تتعلق بالتواصل الداخلي، والتنسيق والقدرات لنشر وصيانه السجلات الحديثة على غرفة تبادل المعلومات بشأن الحصول وتقاسم المنافع؛</w:t>
      </w:r>
    </w:p>
    <w:p w:rsidR="00A04296" w:rsidRPr="00D64FF1" w:rsidRDefault="00CA51F4" w:rsidP="00CA51F4">
      <w:pPr>
        <w:pStyle w:val="ListParagraph"/>
        <w:numPr>
          <w:ilvl w:val="0"/>
          <w:numId w:val="23"/>
        </w:numPr>
        <w:bidi/>
        <w:spacing w:after="120"/>
        <w:ind w:left="0" w:firstLine="720"/>
        <w:rPr>
          <w:rFonts w:cs="Simplified Arabic"/>
          <w:kern w:val="22"/>
          <w:lang w:bidi="ar-EG"/>
        </w:rPr>
      </w:pPr>
      <w:r>
        <w:rPr>
          <w:rFonts w:cs="Simplified Arabic" w:hint="cs"/>
          <w:kern w:val="22"/>
          <w:rtl/>
          <w:lang w:bidi="ar-EG"/>
        </w:rPr>
        <w:t>عدم وجود</w:t>
      </w:r>
      <w:r w:rsidR="00A04296" w:rsidRPr="00D64FF1">
        <w:rPr>
          <w:rFonts w:cs="Simplified Arabic" w:hint="cs"/>
          <w:kern w:val="22"/>
          <w:rtl/>
          <w:lang w:bidi="ar-EG"/>
        </w:rPr>
        <w:t xml:space="preserve"> فهم </w:t>
      </w:r>
      <w:r>
        <w:rPr>
          <w:rFonts w:cs="Simplified Arabic" w:hint="cs"/>
          <w:kern w:val="22"/>
          <w:rtl/>
          <w:lang w:bidi="ar-EG"/>
        </w:rPr>
        <w:t>ل</w:t>
      </w:r>
      <w:r w:rsidR="00A04296" w:rsidRPr="00D64FF1">
        <w:rPr>
          <w:rFonts w:cs="Simplified Arabic" w:hint="cs"/>
          <w:kern w:val="22"/>
          <w:rtl/>
          <w:lang w:bidi="ar-EG"/>
        </w:rPr>
        <w:t>ما يمكن</w:t>
      </w:r>
      <w:r>
        <w:rPr>
          <w:rFonts w:cs="Simplified Arabic" w:hint="cs"/>
          <w:kern w:val="22"/>
          <w:rtl/>
          <w:lang w:bidi="ar-EG"/>
        </w:rPr>
        <w:t xml:space="preserve"> </w:t>
      </w:r>
      <w:r w:rsidR="00A04296" w:rsidRPr="00D64FF1">
        <w:rPr>
          <w:rFonts w:cs="Simplified Arabic" w:hint="cs"/>
          <w:kern w:val="22"/>
          <w:rtl/>
          <w:lang w:bidi="ar-EG"/>
        </w:rPr>
        <w:t xml:space="preserve">اعتباره تصريحا </w:t>
      </w:r>
      <w:r w:rsidR="00A04296" w:rsidRPr="00D64FF1">
        <w:rPr>
          <w:rFonts w:cs="Simplified Arabic" w:hint="cs"/>
          <w:kern w:val="22"/>
          <w:rtl/>
          <w:lang w:val="en-US" w:bidi="ar-EG"/>
        </w:rPr>
        <w:t>بالضبط في سياق الحصول وتقاسم المنافع و</w:t>
      </w:r>
      <w:r w:rsidR="006E2FEE" w:rsidRPr="00D64FF1">
        <w:rPr>
          <w:rFonts w:cs="Simplified Arabic" w:hint="cs"/>
          <w:kern w:val="22"/>
          <w:rtl/>
          <w:lang w:val="en-US" w:bidi="ar-EG"/>
        </w:rPr>
        <w:t>إذا كان ينبغي نشر المعلومات ووقت نشرها في غرفة تباد</w:t>
      </w:r>
      <w:r>
        <w:rPr>
          <w:rFonts w:cs="Simplified Arabic" w:hint="cs"/>
          <w:kern w:val="22"/>
          <w:rtl/>
          <w:lang w:val="en-US" w:bidi="ar-EG"/>
        </w:rPr>
        <w:t>ل</w:t>
      </w:r>
      <w:r w:rsidR="006E2FEE" w:rsidRPr="00D64FF1">
        <w:rPr>
          <w:rFonts w:cs="Simplified Arabic" w:hint="cs"/>
          <w:kern w:val="22"/>
          <w:rtl/>
          <w:lang w:val="en-US" w:bidi="ar-EG"/>
        </w:rPr>
        <w:t xml:space="preserve"> المعلومات بشأن الحصول وتقاسم المنافع على أنها شهادات امتثال معترف بها دوليا؛</w:t>
      </w:r>
    </w:p>
    <w:p w:rsidR="006E2FEE" w:rsidRPr="00D64FF1" w:rsidRDefault="006E2FEE" w:rsidP="006E2FEE">
      <w:pPr>
        <w:pStyle w:val="ListParagraph"/>
        <w:bidi/>
        <w:spacing w:after="120"/>
        <w:ind w:left="0" w:firstLine="720"/>
        <w:rPr>
          <w:rFonts w:cs="Simplified Arabic"/>
          <w:kern w:val="22"/>
          <w:rtl/>
          <w:lang w:bidi="ar-EG"/>
        </w:rPr>
      </w:pPr>
      <w:r w:rsidRPr="00D64FF1">
        <w:rPr>
          <w:rFonts w:cs="Simplified Arabic" w:hint="cs"/>
          <w:kern w:val="22"/>
          <w:rtl/>
          <w:lang w:bidi="ar-EG"/>
        </w:rPr>
        <w:t>(</w:t>
      </w:r>
      <w:r w:rsidRPr="00D64FF1">
        <w:rPr>
          <w:rFonts w:cs="Simplified Arabic"/>
          <w:kern w:val="22"/>
          <w:rtl/>
          <w:lang w:bidi="ar-EG"/>
        </w:rPr>
        <w:t>ھ</w:t>
      </w:r>
      <w:r w:rsidRPr="00D64FF1">
        <w:rPr>
          <w:rFonts w:cs="Simplified Arabic" w:hint="cs"/>
          <w:kern w:val="22"/>
          <w:rtl/>
          <w:lang w:bidi="ar-EG"/>
        </w:rPr>
        <w:t>)</w:t>
      </w:r>
      <w:r w:rsidRPr="00D64FF1">
        <w:rPr>
          <w:rFonts w:cs="Simplified Arabic" w:hint="cs"/>
          <w:kern w:val="22"/>
          <w:rtl/>
          <w:lang w:bidi="ar-EG"/>
        </w:rPr>
        <w:tab/>
        <w:t>التحديات المتعلقة بالقدرات والوقت اللازم لجعل المعلومات متاحة منع بعض الأطراف من نشر المعلومات؛</w:t>
      </w:r>
    </w:p>
    <w:p w:rsidR="006E2FEE" w:rsidRPr="00D64FF1" w:rsidRDefault="006E2FEE" w:rsidP="00CA51F4">
      <w:pPr>
        <w:pStyle w:val="ListParagraph"/>
        <w:bidi/>
        <w:spacing w:after="120"/>
        <w:ind w:left="0" w:firstLine="720"/>
        <w:rPr>
          <w:rFonts w:cs="Simplified Arabic"/>
          <w:kern w:val="22"/>
          <w:rtl/>
          <w:lang w:bidi="ar-EG"/>
        </w:rPr>
      </w:pPr>
      <w:r w:rsidRPr="00D64FF1">
        <w:rPr>
          <w:rFonts w:cs="Simplified Arabic" w:hint="cs"/>
          <w:kern w:val="22"/>
          <w:rtl/>
          <w:lang w:bidi="ar-EG"/>
        </w:rPr>
        <w:t>(و)</w:t>
      </w:r>
      <w:r w:rsidRPr="00D64FF1">
        <w:rPr>
          <w:rFonts w:cs="Simplified Arabic" w:hint="cs"/>
          <w:kern w:val="22"/>
          <w:rtl/>
          <w:lang w:bidi="ar-EG"/>
        </w:rPr>
        <w:tab/>
        <w:t xml:space="preserve">خلال المناقشات بشأن التصاريح والإجراءات، </w:t>
      </w:r>
      <w:r w:rsidR="00CA51F4">
        <w:rPr>
          <w:rFonts w:cs="Simplified Arabic" w:hint="cs"/>
          <w:kern w:val="22"/>
          <w:rtl/>
          <w:lang w:bidi="ar-EG"/>
        </w:rPr>
        <w:t>كان</w:t>
      </w:r>
      <w:r w:rsidRPr="00D64FF1">
        <w:rPr>
          <w:rFonts w:cs="Simplified Arabic" w:hint="cs"/>
          <w:kern w:val="22"/>
          <w:rtl/>
          <w:lang w:bidi="ar-EG"/>
        </w:rPr>
        <w:t xml:space="preserve"> من الواضح أن استخدام قواعد البيانات الإلكترونية ونظم تكنولوجيا المعلومات لإصدار التراخيص وإدارتها سيكون مرغوبا بدرجة عالية. وأعرب الكثير من البلدان عن الاهتمام في إعداد نظم إلكترونية للتصاري</w:t>
      </w:r>
      <w:r w:rsidR="00CA51F4">
        <w:rPr>
          <w:rFonts w:cs="Simplified Arabic" w:hint="cs"/>
          <w:kern w:val="22"/>
          <w:rtl/>
          <w:lang w:bidi="ar-EG"/>
        </w:rPr>
        <w:t>ح</w:t>
      </w:r>
      <w:r w:rsidRPr="00D64FF1">
        <w:rPr>
          <w:rFonts w:cs="Simplified Arabic" w:hint="cs"/>
          <w:kern w:val="22"/>
          <w:rtl/>
          <w:lang w:bidi="ar-EG"/>
        </w:rPr>
        <w:t>؛</w:t>
      </w:r>
    </w:p>
    <w:p w:rsidR="006E2FEE" w:rsidRPr="00D64FF1" w:rsidRDefault="006E2FEE" w:rsidP="006E2FEE">
      <w:pPr>
        <w:pStyle w:val="ListParagraph"/>
        <w:bidi/>
        <w:spacing w:after="120"/>
        <w:ind w:left="0" w:firstLine="720"/>
        <w:rPr>
          <w:rFonts w:cs="Simplified Arabic"/>
          <w:kern w:val="22"/>
          <w:rtl/>
          <w:lang w:bidi="ar-EG"/>
        </w:rPr>
      </w:pPr>
      <w:r w:rsidRPr="00D64FF1">
        <w:rPr>
          <w:rFonts w:cs="Simplified Arabic" w:hint="cs"/>
          <w:kern w:val="22"/>
          <w:rtl/>
          <w:lang w:bidi="ar-EG"/>
        </w:rPr>
        <w:t>(ز)</w:t>
      </w:r>
      <w:r w:rsidRPr="00D64FF1">
        <w:rPr>
          <w:rFonts w:cs="Simplified Arabic" w:hint="cs"/>
          <w:kern w:val="22"/>
          <w:rtl/>
          <w:lang w:bidi="ar-EG"/>
        </w:rPr>
        <w:tab/>
        <w:t>هناك نقص في الفهم بخصوص دور ووظيفة نقاط التفتيش وبلاغات نقطة التفتيش في نظم الرصد، وعدم وجود الموارد والقدرات لإنشاء نقاط التفتيش.</w:t>
      </w:r>
    </w:p>
    <w:p w:rsidR="006E2FEE" w:rsidRPr="00D64FF1" w:rsidRDefault="006E2FEE" w:rsidP="006E2FEE">
      <w:pPr>
        <w:spacing w:after="120"/>
        <w:rPr>
          <w:kern w:val="22"/>
          <w:sz w:val="22"/>
          <w:rtl/>
          <w:lang w:bidi="ar-EG"/>
        </w:rPr>
      </w:pPr>
      <w:r w:rsidRPr="00D64FF1">
        <w:rPr>
          <w:rFonts w:hint="cs"/>
          <w:kern w:val="22"/>
          <w:sz w:val="22"/>
          <w:rtl/>
          <w:lang w:bidi="ar-EG"/>
        </w:rPr>
        <w:t xml:space="preserve">ويتاح التقرير الكامل وكذلك عروض قطرية تفصيلية عديدة من حلقة العمل على الموقع الشبكي للاجتماع على الرابط التالي: </w:t>
      </w:r>
      <w:r w:rsidR="00650797" w:rsidRPr="00D64FF1">
        <w:rPr>
          <w:sz w:val="22"/>
        </w:rPr>
        <w:fldChar w:fldCharType="begin"/>
      </w:r>
      <w:r w:rsidRPr="00D64FF1">
        <w:rPr>
          <w:sz w:val="22"/>
        </w:rPr>
        <w:instrText>HYPERLINK "https://www.cbd.int/meetings/NP-CB-WS-2019-01"</w:instrText>
      </w:r>
      <w:r w:rsidR="00650797" w:rsidRPr="00D64FF1">
        <w:rPr>
          <w:sz w:val="22"/>
        </w:rPr>
        <w:fldChar w:fldCharType="separate"/>
      </w:r>
      <w:r w:rsidRPr="00D64FF1">
        <w:rPr>
          <w:rStyle w:val="Hyperlink"/>
          <w:sz w:val="22"/>
        </w:rPr>
        <w:t>https://www.cbd.int/meetings/NP-CB-WS-2019-01</w:t>
      </w:r>
      <w:r w:rsidR="00650797" w:rsidRPr="00D64FF1">
        <w:rPr>
          <w:sz w:val="22"/>
        </w:rPr>
        <w:fldChar w:fldCharType="end"/>
      </w:r>
      <w:r w:rsidRPr="00D64FF1">
        <w:rPr>
          <w:rFonts w:hint="cs"/>
          <w:kern w:val="22"/>
          <w:sz w:val="22"/>
          <w:rtl/>
          <w:lang w:bidi="ar-EG"/>
        </w:rPr>
        <w:t>.</w:t>
      </w:r>
    </w:p>
    <w:p w:rsidR="005A0F76" w:rsidRPr="00D64FF1" w:rsidRDefault="0083554D" w:rsidP="005A0F76">
      <w:pPr>
        <w:spacing w:after="120"/>
        <w:jc w:val="both"/>
        <w:rPr>
          <w:b/>
          <w:bCs/>
          <w:kern w:val="22"/>
          <w:sz w:val="22"/>
          <w:rtl/>
          <w:lang w:bidi="ar-EG"/>
        </w:rPr>
      </w:pPr>
      <w:r w:rsidRPr="00D64FF1">
        <w:rPr>
          <w:rFonts w:hint="cs"/>
          <w:b/>
          <w:bCs/>
          <w:kern w:val="22"/>
          <w:sz w:val="22"/>
          <w:rtl/>
          <w:lang w:bidi="ar-EG"/>
        </w:rPr>
        <w:t>تحليل شهادات الامتثال المعترف بها دوليا وبلاغات نقطة التفتيش المتاحة من خلال غرفة تبادل المعلومات بشأن الحصول وتقاسم المنافع</w:t>
      </w:r>
    </w:p>
    <w:p w:rsidR="0083554D" w:rsidRPr="00D64FF1" w:rsidRDefault="006E2FEE" w:rsidP="00CA51F4">
      <w:pPr>
        <w:spacing w:after="120"/>
        <w:jc w:val="both"/>
        <w:rPr>
          <w:kern w:val="22"/>
          <w:sz w:val="22"/>
          <w:rtl/>
          <w:lang w:bidi="ar-EG"/>
        </w:rPr>
      </w:pPr>
      <w:r w:rsidRPr="00D64FF1">
        <w:rPr>
          <w:rFonts w:hint="cs"/>
          <w:kern w:val="22"/>
          <w:sz w:val="22"/>
          <w:rtl/>
          <w:lang w:bidi="ar-EG"/>
        </w:rPr>
        <w:t xml:space="preserve">تلعب شهادات الامتثال المعترف بها دوليا وبلاغات نقطة التفتيش في غرفة تبادل المعلومات بشأن الحصول وتقاسم المنافع أدوارا رئيسية في نظام البروتوكول لتيسير رصد استخدام الموارد الجينية خارج بلد المقدم. وعلى مدى الفترة المشمولة بالتقرير </w:t>
      </w:r>
      <w:r w:rsidR="00CA51F4" w:rsidRPr="00D64FF1">
        <w:rPr>
          <w:rFonts w:hint="cs"/>
          <w:kern w:val="22"/>
          <w:sz w:val="22"/>
          <w:rtl/>
          <w:lang w:bidi="ar-EG"/>
        </w:rPr>
        <w:lastRenderedPageBreak/>
        <w:t xml:space="preserve">السابقة </w:t>
      </w:r>
      <w:r w:rsidRPr="00D64FF1">
        <w:rPr>
          <w:rFonts w:hint="cs"/>
          <w:kern w:val="22"/>
          <w:sz w:val="22"/>
          <w:rtl/>
          <w:lang w:bidi="ar-EG"/>
        </w:rPr>
        <w:t xml:space="preserve">استخدمت أطراف قليلة فقط هذه الأدوات؛ نظرا للأهمية التي تلعبها في تنفيذ البروتوكول، ويرد أدناه تجميع </w:t>
      </w:r>
      <w:r w:rsidR="00CA51F4">
        <w:rPr>
          <w:rFonts w:hint="cs"/>
          <w:kern w:val="22"/>
          <w:sz w:val="22"/>
          <w:rtl/>
          <w:lang w:bidi="ar-EG"/>
        </w:rPr>
        <w:t>ل</w:t>
      </w:r>
      <w:r w:rsidRPr="00D64FF1">
        <w:rPr>
          <w:rFonts w:hint="cs"/>
          <w:kern w:val="22"/>
          <w:sz w:val="22"/>
          <w:rtl/>
          <w:lang w:bidi="ar-EG"/>
        </w:rPr>
        <w:t>معلومات إضافية عن استخدام هذه الأدوات.</w:t>
      </w:r>
    </w:p>
    <w:p w:rsidR="0083554D" w:rsidRPr="00D64FF1" w:rsidRDefault="0083554D" w:rsidP="00CA51F4">
      <w:pPr>
        <w:spacing w:after="120"/>
        <w:jc w:val="both"/>
        <w:rPr>
          <w:i/>
          <w:iCs/>
          <w:kern w:val="22"/>
          <w:sz w:val="22"/>
          <w:rtl/>
          <w:lang w:bidi="ar-EG"/>
        </w:rPr>
      </w:pPr>
      <w:r w:rsidRPr="00D64FF1">
        <w:rPr>
          <w:rFonts w:hint="cs"/>
          <w:i/>
          <w:iCs/>
          <w:kern w:val="22"/>
          <w:sz w:val="22"/>
          <w:rtl/>
          <w:lang w:bidi="ar-EG"/>
        </w:rPr>
        <w:t>شهادات الامتثال المعترف بها دوليا</w:t>
      </w:r>
    </w:p>
    <w:p w:rsidR="0083554D" w:rsidRPr="00D64FF1" w:rsidRDefault="00765A8E" w:rsidP="00CA51F4">
      <w:pPr>
        <w:spacing w:after="120"/>
        <w:jc w:val="both"/>
        <w:rPr>
          <w:kern w:val="22"/>
          <w:sz w:val="22"/>
          <w:rtl/>
          <w:lang w:bidi="ar-EG"/>
        </w:rPr>
      </w:pPr>
      <w:r w:rsidRPr="00D64FF1">
        <w:rPr>
          <w:rFonts w:hint="cs"/>
          <w:kern w:val="22"/>
          <w:sz w:val="22"/>
          <w:rtl/>
          <w:lang w:bidi="ar-EG"/>
        </w:rPr>
        <w:t xml:space="preserve">اعتبارا من نوفمبر/تشرين الثاني 2021، تم نشر </w:t>
      </w:r>
      <w:r w:rsidRPr="00D64FF1">
        <w:rPr>
          <w:kern w:val="22"/>
          <w:sz w:val="22"/>
          <w:lang w:bidi="ar-EG"/>
        </w:rPr>
        <w:t>3,180</w:t>
      </w:r>
      <w:r w:rsidRPr="00D64FF1">
        <w:rPr>
          <w:rFonts w:hint="cs"/>
          <w:kern w:val="22"/>
          <w:sz w:val="22"/>
          <w:rtl/>
          <w:lang w:bidi="ar-EG"/>
        </w:rPr>
        <w:t xml:space="preserve"> شهادة امتثال معترف بها دوليا في غرفة تبادل المعلومات بشأن الحصول وتقاسم المنافع بواسطة 25 طرفا، على الرغم من أن 56 </w:t>
      </w:r>
      <w:r w:rsidR="00CA51F4">
        <w:rPr>
          <w:rFonts w:hint="cs"/>
          <w:kern w:val="22"/>
          <w:sz w:val="22"/>
          <w:rtl/>
          <w:lang w:bidi="ar-EG"/>
        </w:rPr>
        <w:t>بلد</w:t>
      </w:r>
      <w:r w:rsidRPr="00D64FF1">
        <w:rPr>
          <w:rFonts w:hint="cs"/>
          <w:kern w:val="22"/>
          <w:sz w:val="22"/>
          <w:rtl/>
          <w:lang w:bidi="ar-EG"/>
        </w:rPr>
        <w:t>ا على الأقل قد أشار في تقاري</w:t>
      </w:r>
      <w:r w:rsidR="00CA51F4">
        <w:rPr>
          <w:rFonts w:hint="cs"/>
          <w:kern w:val="22"/>
          <w:sz w:val="22"/>
          <w:rtl/>
          <w:lang w:bidi="ar-EG"/>
        </w:rPr>
        <w:t>ر</w:t>
      </w:r>
      <w:r w:rsidRPr="00D64FF1">
        <w:rPr>
          <w:rFonts w:hint="cs"/>
          <w:kern w:val="22"/>
          <w:sz w:val="22"/>
          <w:rtl/>
          <w:lang w:bidi="ar-EG"/>
        </w:rPr>
        <w:t>ها الوطنية المؤقتة أن الحصول على الموارد الجينية يخضع للموافقة المسبقة ع</w:t>
      </w:r>
      <w:r w:rsidR="00CA51F4">
        <w:rPr>
          <w:rFonts w:hint="cs"/>
          <w:kern w:val="22"/>
          <w:sz w:val="22"/>
          <w:rtl/>
          <w:lang w:bidi="ar-EG"/>
        </w:rPr>
        <w:t xml:space="preserve">ن علم وبالتالي قد يتطلب تقديم </w:t>
      </w:r>
      <w:r w:rsidRPr="00D64FF1">
        <w:rPr>
          <w:rFonts w:hint="cs"/>
          <w:kern w:val="22"/>
          <w:sz w:val="22"/>
          <w:rtl/>
          <w:lang w:bidi="ar-EG"/>
        </w:rPr>
        <w:t>معلومات، إن وجدت، ع</w:t>
      </w:r>
      <w:r w:rsidR="00CA51F4">
        <w:rPr>
          <w:rFonts w:hint="cs"/>
          <w:kern w:val="22"/>
          <w:sz w:val="22"/>
          <w:rtl/>
          <w:lang w:bidi="ar-EG"/>
        </w:rPr>
        <w:t>ن</w:t>
      </w:r>
      <w:r w:rsidRPr="00D64FF1">
        <w:rPr>
          <w:rFonts w:hint="cs"/>
          <w:kern w:val="22"/>
          <w:sz w:val="22"/>
          <w:rtl/>
          <w:lang w:bidi="ar-EG"/>
        </w:rPr>
        <w:t xml:space="preserve"> تصاريحها للحصول وتقاسم المنافع، أو ما يعادلها، في غرفة تبادل المعلومات بشأن الحصول وتقاسم المنافع. غير أنه من بين تلك الأطراف </w:t>
      </w:r>
      <w:r w:rsidR="00CA51F4">
        <w:rPr>
          <w:rFonts w:hint="cs"/>
          <w:kern w:val="22"/>
          <w:sz w:val="22"/>
          <w:rtl/>
          <w:lang w:bidi="ar-EG"/>
        </w:rPr>
        <w:t>الخمسة و</w:t>
      </w:r>
      <w:r w:rsidRPr="00D64FF1">
        <w:rPr>
          <w:rFonts w:hint="cs"/>
          <w:kern w:val="22"/>
          <w:sz w:val="22"/>
          <w:rtl/>
          <w:lang w:bidi="ar-EG"/>
        </w:rPr>
        <w:t xml:space="preserve">العشرين، </w:t>
      </w:r>
      <w:r w:rsidR="00CA51F4">
        <w:rPr>
          <w:rFonts w:hint="cs"/>
          <w:kern w:val="22"/>
          <w:sz w:val="22"/>
          <w:rtl/>
          <w:lang w:bidi="ar-EG"/>
        </w:rPr>
        <w:t>ن</w:t>
      </w:r>
      <w:r w:rsidRPr="00D64FF1">
        <w:rPr>
          <w:rFonts w:hint="cs"/>
          <w:kern w:val="22"/>
          <w:sz w:val="22"/>
          <w:rtl/>
          <w:lang w:bidi="ar-EG"/>
        </w:rPr>
        <w:t>شر خمسة أطراف أكثر من 90 في المائة من جميع شهادات الامتثال المعترف بها دوليا،</w:t>
      </w:r>
      <w:r w:rsidRPr="00D64FF1">
        <w:rPr>
          <w:rStyle w:val="FootnoteReference"/>
          <w:kern w:val="22"/>
          <w:sz w:val="22"/>
          <w:rtl/>
        </w:rPr>
        <w:footnoteReference w:id="12"/>
      </w:r>
      <w:r w:rsidR="008035D0" w:rsidRPr="00D64FF1">
        <w:rPr>
          <w:rFonts w:hint="cs"/>
          <w:kern w:val="22"/>
          <w:sz w:val="22"/>
          <w:rtl/>
          <w:lang w:bidi="ar-EG"/>
        </w:rPr>
        <w:t xml:space="preserve"> ونشر بلد واحد 70 في المائة من جميع شهادات الامتثال المعترف بها دوليا.</w:t>
      </w:r>
    </w:p>
    <w:p w:rsidR="008035D0" w:rsidRPr="00D64FF1" w:rsidRDefault="008035D0" w:rsidP="00174B11">
      <w:pPr>
        <w:spacing w:after="120"/>
        <w:jc w:val="both"/>
        <w:rPr>
          <w:kern w:val="22"/>
          <w:sz w:val="22"/>
          <w:rtl/>
          <w:lang w:bidi="ar-EG"/>
        </w:rPr>
      </w:pPr>
      <w:r w:rsidRPr="00D64FF1">
        <w:rPr>
          <w:rFonts w:hint="cs"/>
          <w:kern w:val="22"/>
          <w:sz w:val="22"/>
          <w:rtl/>
          <w:lang w:bidi="ar-EG"/>
        </w:rPr>
        <w:t xml:space="preserve">وفيما يتعلق بموضوع شهادات الامتثال المعترف بها دوليا، </w:t>
      </w:r>
      <w:r w:rsidR="00D40F4A" w:rsidRPr="00D64FF1">
        <w:rPr>
          <w:rFonts w:hint="cs"/>
          <w:kern w:val="22"/>
          <w:sz w:val="22"/>
          <w:rtl/>
          <w:lang w:bidi="ar-EG"/>
        </w:rPr>
        <w:t xml:space="preserve">التي تعتبر هذه المعلومات غير سرية، تشكل النباتات ما نسبته 54 في المائة من الموضوع، يليها الكائنات المجهرية بنسبة 15 في المائة، والحيوانات بنسبة 10 في المائة، والأنواع البرية بنسبة 3 في المائة والفطريات بنسبة 1 في المائة. وأشارت سبع شهادات امتثال معترف بها دوليا أن الموضوع يتعلق بالمعارف التقليدية المرتبطة بالموارد الجينية. وكان الموضوع سريا في </w:t>
      </w:r>
      <w:r w:rsidR="00174B11">
        <w:rPr>
          <w:rFonts w:hint="cs"/>
          <w:kern w:val="22"/>
          <w:sz w:val="22"/>
          <w:rtl/>
          <w:lang w:bidi="ar-EG"/>
        </w:rPr>
        <w:t>3</w:t>
      </w:r>
      <w:r w:rsidR="00D40F4A" w:rsidRPr="00D64FF1">
        <w:rPr>
          <w:rFonts w:hint="cs"/>
          <w:kern w:val="22"/>
          <w:sz w:val="22"/>
          <w:rtl/>
          <w:lang w:bidi="ar-EG"/>
        </w:rPr>
        <w:t>8 في المائة من جميع شهادات الامتثال المعترف بها دوليا.</w:t>
      </w:r>
    </w:p>
    <w:p w:rsidR="00D40F4A" w:rsidRPr="00D64FF1" w:rsidRDefault="00D40F4A" w:rsidP="00D40F4A">
      <w:pPr>
        <w:spacing w:after="120"/>
        <w:jc w:val="both"/>
        <w:rPr>
          <w:kern w:val="22"/>
          <w:sz w:val="22"/>
          <w:rtl/>
          <w:lang w:bidi="ar-EG"/>
        </w:rPr>
      </w:pPr>
      <w:r w:rsidRPr="00D64FF1">
        <w:rPr>
          <w:rFonts w:hint="cs"/>
          <w:kern w:val="22"/>
          <w:sz w:val="22"/>
          <w:rtl/>
          <w:lang w:bidi="ar-EG"/>
        </w:rPr>
        <w:t>وفيما يتعلق بنوع الاستخدام المسموح به، ظل ذلك سريا في 38 في المائة من الحالات، وسمح ما نسبته 32 في المائة بالاستخدام التجاري، وسمح 30 في المائة بالاستخدام غير التجاري.</w:t>
      </w:r>
    </w:p>
    <w:p w:rsidR="00D40F4A" w:rsidRPr="00D64FF1" w:rsidRDefault="00D40F4A" w:rsidP="00D40F4A">
      <w:pPr>
        <w:spacing w:after="120"/>
        <w:jc w:val="both"/>
        <w:rPr>
          <w:kern w:val="22"/>
          <w:sz w:val="22"/>
          <w:rtl/>
          <w:lang w:bidi="ar-EG"/>
        </w:rPr>
      </w:pPr>
      <w:r w:rsidRPr="00D64FF1">
        <w:rPr>
          <w:rFonts w:hint="cs"/>
          <w:kern w:val="22"/>
          <w:sz w:val="22"/>
          <w:rtl/>
          <w:lang w:bidi="ar-EG"/>
        </w:rPr>
        <w:t>وأبقى حوالي 32 في المائة من شهادات الامتثال المعترف بها دوليا المعلومات سرية عن المستخدم (الكيان الذي منح الموافقة المسبقة عن علم). وفي جميع الحالات التي كان المستخدم فيها سريا، كان الموضوع وأنواع الاستخدام المسموح بها سرية أيضا.</w:t>
      </w:r>
    </w:p>
    <w:p w:rsidR="00D40F4A" w:rsidRPr="00D64FF1" w:rsidRDefault="00D40F4A" w:rsidP="00174B11">
      <w:pPr>
        <w:spacing w:after="120"/>
        <w:jc w:val="both"/>
        <w:rPr>
          <w:kern w:val="22"/>
          <w:sz w:val="22"/>
          <w:rtl/>
          <w:lang w:bidi="ar-EG"/>
        </w:rPr>
      </w:pPr>
      <w:r w:rsidRPr="00D64FF1">
        <w:rPr>
          <w:rFonts w:hint="cs"/>
          <w:kern w:val="22"/>
          <w:sz w:val="22"/>
          <w:rtl/>
          <w:lang w:bidi="ar-EG"/>
        </w:rPr>
        <w:t>ومن الحالات التي كان المستخدم معروفا فيها، كان كبار المستخدمين من بلجيكا، وفرنسا، وألمانيا، والهند، واليابان، وكينيا، وهولندا، وبنما، وبيرو، وجمهورية كوريا، وجنوب أفريقيا، وسويسرا، والمملكة المتح</w:t>
      </w:r>
      <w:r w:rsidR="00174B11">
        <w:rPr>
          <w:rFonts w:hint="cs"/>
          <w:kern w:val="22"/>
          <w:sz w:val="22"/>
          <w:rtl/>
          <w:lang w:bidi="ar-EG"/>
        </w:rPr>
        <w:t>د</w:t>
      </w:r>
      <w:r w:rsidRPr="00D64FF1">
        <w:rPr>
          <w:rFonts w:hint="cs"/>
          <w:kern w:val="22"/>
          <w:sz w:val="22"/>
          <w:rtl/>
          <w:lang w:bidi="ar-EG"/>
        </w:rPr>
        <w:t>ة والولايات المتحدة الأمريكية. غير أنه في جميع شهادات الامتثال المعترف بها دوليا التي كان المستخدم معروفا فيها، قد يعتبر</w:t>
      </w:r>
      <w:r w:rsidR="00174B11">
        <w:rPr>
          <w:rFonts w:hint="cs"/>
          <w:kern w:val="22"/>
          <w:sz w:val="22"/>
          <w:rtl/>
          <w:lang w:bidi="ar-EG"/>
        </w:rPr>
        <w:t xml:space="preserve"> حوالي</w:t>
      </w:r>
      <w:r w:rsidRPr="00D64FF1">
        <w:rPr>
          <w:rFonts w:hint="cs"/>
          <w:kern w:val="22"/>
          <w:sz w:val="22"/>
          <w:rtl/>
          <w:lang w:bidi="ar-EG"/>
        </w:rPr>
        <w:t xml:space="preserve"> 86 في المائة </w:t>
      </w:r>
      <w:r w:rsidR="00273E4B" w:rsidRPr="00D64FF1">
        <w:rPr>
          <w:rFonts w:hint="cs"/>
          <w:kern w:val="22"/>
          <w:sz w:val="22"/>
          <w:rtl/>
          <w:lang w:bidi="ar-EG"/>
        </w:rPr>
        <w:t>منها "داخلية"، بمعن</w:t>
      </w:r>
      <w:r w:rsidR="00174B11">
        <w:rPr>
          <w:rFonts w:hint="cs"/>
          <w:kern w:val="22"/>
          <w:sz w:val="22"/>
          <w:rtl/>
          <w:lang w:bidi="ar-EG"/>
        </w:rPr>
        <w:t>ى</w:t>
      </w:r>
      <w:r w:rsidR="00273E4B" w:rsidRPr="00D64FF1">
        <w:rPr>
          <w:rFonts w:hint="cs"/>
          <w:kern w:val="22"/>
          <w:sz w:val="22"/>
          <w:rtl/>
          <w:lang w:bidi="ar-EG"/>
        </w:rPr>
        <w:t xml:space="preserve"> أن الموافقة المسبقة عن علم قد منحت إلى مستخدم يستعمل الموارد الجينية داخل الولاية القضائية للجهة التي نشرت شهادة الامتثال المعترف بها دوليا.</w:t>
      </w:r>
    </w:p>
    <w:p w:rsidR="00273E4B" w:rsidRPr="00D64FF1" w:rsidRDefault="00273E4B" w:rsidP="00273E4B">
      <w:pPr>
        <w:spacing w:after="120"/>
        <w:jc w:val="both"/>
        <w:rPr>
          <w:kern w:val="22"/>
          <w:sz w:val="22"/>
          <w:rtl/>
          <w:lang w:bidi="ar-EG"/>
        </w:rPr>
      </w:pPr>
      <w:r w:rsidRPr="00D64FF1">
        <w:rPr>
          <w:rFonts w:hint="cs"/>
          <w:kern w:val="22"/>
          <w:sz w:val="22"/>
          <w:rtl/>
          <w:lang w:bidi="ar-EG"/>
        </w:rPr>
        <w:t>وإذا فحصنا 14 في المائة من الحالات التي لم يكن فيها المستخدم أو المستخدمين سريين وكانوا "من الخارج" أو "دوليين"، بمعنى أن المستخدم والمقدم كانوا من بلدان مختلفة، كان أكبر البلدان العشرة التي جاء منها المستخدمون هي ألمانيا (65)، والولايات المتحدة الأمريكية (46)، وفرنسا (27)، والمملكة المتحدة (19)، وبلجيكا (17)، واليابان (14)، وسويسرا (10)، وجمهورية كوريا (10)، وهولندا (8) وإسبانيا (7). وهناك 10 شهادات امتثال "جماعية" معترف بها دوليا تشمل مستخدمين من بلدين أو أكثر.</w:t>
      </w:r>
    </w:p>
    <w:p w:rsidR="00273E4B" w:rsidRPr="00D64FF1" w:rsidRDefault="00273E4B" w:rsidP="00273E4B">
      <w:pPr>
        <w:spacing w:after="120"/>
        <w:jc w:val="both"/>
        <w:rPr>
          <w:kern w:val="22"/>
          <w:sz w:val="22"/>
          <w:lang w:bidi="ar-EG"/>
        </w:rPr>
      </w:pPr>
      <w:r w:rsidRPr="00D64FF1">
        <w:rPr>
          <w:rFonts w:hint="cs"/>
          <w:kern w:val="22"/>
          <w:sz w:val="22"/>
          <w:rtl/>
          <w:lang w:bidi="ar-EG"/>
        </w:rPr>
        <w:t>وأخيرا، يشير ما نسبته 8 في المائة من شهادات الامتثال المعترف بها دوليا إلى أن تصاريح الحصول وتقاسم المنافع المرتبطة بها قد انتهى مفعولها.</w:t>
      </w:r>
    </w:p>
    <w:p w:rsidR="0083554D" w:rsidRPr="00D64FF1" w:rsidRDefault="0083554D" w:rsidP="00174B11">
      <w:pPr>
        <w:keepNext/>
        <w:spacing w:after="120"/>
        <w:jc w:val="both"/>
        <w:rPr>
          <w:i/>
          <w:iCs/>
          <w:kern w:val="22"/>
          <w:sz w:val="22"/>
          <w:rtl/>
          <w:lang w:bidi="ar-EG"/>
        </w:rPr>
      </w:pPr>
      <w:r w:rsidRPr="00D64FF1">
        <w:rPr>
          <w:rFonts w:hint="cs"/>
          <w:i/>
          <w:iCs/>
          <w:kern w:val="22"/>
          <w:sz w:val="22"/>
          <w:rtl/>
          <w:lang w:bidi="ar-EG"/>
        </w:rPr>
        <w:lastRenderedPageBreak/>
        <w:t>بلاغات نقطة التفتيش</w:t>
      </w:r>
    </w:p>
    <w:p w:rsidR="0083554D" w:rsidRPr="00D64FF1" w:rsidRDefault="00273E4B" w:rsidP="005A0F76">
      <w:pPr>
        <w:spacing w:after="120"/>
        <w:jc w:val="both"/>
        <w:rPr>
          <w:kern w:val="22"/>
          <w:sz w:val="22"/>
          <w:rtl/>
          <w:lang w:bidi="ar-EG"/>
        </w:rPr>
      </w:pPr>
      <w:r w:rsidRPr="00D64FF1">
        <w:rPr>
          <w:rFonts w:hint="cs"/>
          <w:kern w:val="22"/>
          <w:sz w:val="22"/>
          <w:rtl/>
          <w:lang w:bidi="ar-EG"/>
        </w:rPr>
        <w:t>اعتبارا من نوفمبر/تشرين الثاني 2021، نشر خمسة أطراف</w:t>
      </w:r>
      <w:r w:rsidRPr="00D64FF1">
        <w:rPr>
          <w:rStyle w:val="FootnoteReference"/>
          <w:kern w:val="22"/>
          <w:sz w:val="22"/>
          <w:rtl/>
        </w:rPr>
        <w:footnoteReference w:id="13"/>
      </w:r>
      <w:r w:rsidR="00D81737" w:rsidRPr="00D64FF1">
        <w:rPr>
          <w:rFonts w:hint="cs"/>
          <w:kern w:val="22"/>
          <w:sz w:val="22"/>
          <w:rtl/>
          <w:lang w:bidi="ar-EG"/>
        </w:rPr>
        <w:t xml:space="preserve"> 49 من بلاغات نقطة التفتيش.</w:t>
      </w:r>
    </w:p>
    <w:p w:rsidR="00D81737" w:rsidRPr="00D64FF1" w:rsidRDefault="00D81737" w:rsidP="00D81737">
      <w:pPr>
        <w:spacing w:after="120"/>
        <w:jc w:val="both"/>
        <w:rPr>
          <w:kern w:val="22"/>
          <w:sz w:val="22"/>
          <w:rtl/>
          <w:lang w:bidi="ar-EG"/>
        </w:rPr>
      </w:pPr>
      <w:r w:rsidRPr="00D64FF1">
        <w:rPr>
          <w:rFonts w:hint="cs"/>
          <w:kern w:val="22"/>
          <w:sz w:val="22"/>
          <w:rtl/>
          <w:lang w:bidi="ar-EG"/>
        </w:rPr>
        <w:t>وكانت أكثر البلدان المقدمة المحددة في بلاغات نقطة التفتيش، من حيث ترتيب حدوثها، هي فرنسا، وفييت نام، وإسبانيا، وجنوب أفريقيا، وإندونيسيا، وجمهورية لاو الديمقراطية الشعبية، وبنن، والكاميرون، وإكوادور، واليونان، وكينيا، وملاوي، والمكسيك، وموزامبيق، وسويسرا، وأوغندا وزامبيا.</w:t>
      </w:r>
    </w:p>
    <w:p w:rsidR="00D81737" w:rsidRPr="00D64FF1" w:rsidRDefault="00D81737" w:rsidP="00174B11">
      <w:pPr>
        <w:spacing w:after="120"/>
        <w:jc w:val="both"/>
        <w:rPr>
          <w:kern w:val="22"/>
          <w:sz w:val="22"/>
          <w:rtl/>
          <w:lang w:bidi="ar-EG"/>
        </w:rPr>
      </w:pPr>
      <w:r w:rsidRPr="00D64FF1">
        <w:rPr>
          <w:rFonts w:hint="cs"/>
          <w:kern w:val="22"/>
          <w:sz w:val="22"/>
          <w:rtl/>
          <w:lang w:bidi="ar-EG"/>
        </w:rPr>
        <w:t>وتم نشر معظم بلاغات نقطة التفتيش بدون الإشارة إلى شهاد</w:t>
      </w:r>
      <w:r w:rsidR="00174B11">
        <w:rPr>
          <w:rFonts w:hint="cs"/>
          <w:kern w:val="22"/>
          <w:sz w:val="22"/>
          <w:rtl/>
          <w:lang w:bidi="ar-EG"/>
        </w:rPr>
        <w:t>ة ا</w:t>
      </w:r>
      <w:r w:rsidRPr="00D64FF1">
        <w:rPr>
          <w:rFonts w:hint="cs"/>
          <w:kern w:val="22"/>
          <w:sz w:val="22"/>
          <w:rtl/>
          <w:lang w:bidi="ar-EG"/>
        </w:rPr>
        <w:t>مت</w:t>
      </w:r>
      <w:r w:rsidR="00174B11">
        <w:rPr>
          <w:rFonts w:hint="cs"/>
          <w:kern w:val="22"/>
          <w:sz w:val="22"/>
          <w:rtl/>
          <w:lang w:bidi="ar-EG"/>
        </w:rPr>
        <w:t xml:space="preserve">ثال </w:t>
      </w:r>
      <w:r w:rsidRPr="00D64FF1">
        <w:rPr>
          <w:rFonts w:hint="cs"/>
          <w:kern w:val="22"/>
          <w:sz w:val="22"/>
          <w:rtl/>
          <w:lang w:bidi="ar-EG"/>
        </w:rPr>
        <w:t xml:space="preserve">معترف بها دوليا، مما قد يشير إلى أن بعض الأطراف </w:t>
      </w:r>
      <w:r w:rsidR="00174B11">
        <w:rPr>
          <w:rFonts w:hint="cs"/>
          <w:kern w:val="22"/>
          <w:sz w:val="22"/>
          <w:rtl/>
          <w:lang w:bidi="ar-EG"/>
        </w:rPr>
        <w:t>قد أ</w:t>
      </w:r>
      <w:r w:rsidRPr="00D64FF1">
        <w:rPr>
          <w:rFonts w:hint="cs"/>
          <w:kern w:val="22"/>
          <w:sz w:val="22"/>
          <w:rtl/>
          <w:lang w:bidi="ar-EG"/>
        </w:rPr>
        <w:t>صدر</w:t>
      </w:r>
      <w:r w:rsidR="00174B11">
        <w:rPr>
          <w:rFonts w:hint="cs"/>
          <w:kern w:val="22"/>
          <w:sz w:val="22"/>
          <w:rtl/>
          <w:lang w:bidi="ar-EG"/>
        </w:rPr>
        <w:t>ت</w:t>
      </w:r>
      <w:r w:rsidRPr="00D64FF1">
        <w:rPr>
          <w:rFonts w:hint="cs"/>
          <w:kern w:val="22"/>
          <w:sz w:val="22"/>
          <w:rtl/>
          <w:lang w:bidi="ar-EG"/>
        </w:rPr>
        <w:t xml:space="preserve"> تصاريح، أو ما يعادلها، ولكنها لم تتيحها بعد من خلال غرفة تبادل المعلومات بشأن الحصول وتقاسم المنافع </w:t>
      </w:r>
      <w:r w:rsidR="000B638F" w:rsidRPr="00D64FF1">
        <w:rPr>
          <w:rFonts w:hint="cs"/>
          <w:kern w:val="22"/>
          <w:sz w:val="22"/>
          <w:rtl/>
          <w:lang w:bidi="ar-EG"/>
        </w:rPr>
        <w:t>كشهادات امتثال معترف بها دوليا.</w:t>
      </w:r>
      <w:r w:rsidR="00174B11">
        <w:rPr>
          <w:rFonts w:hint="cs"/>
          <w:kern w:val="22"/>
          <w:sz w:val="22"/>
          <w:rtl/>
          <w:lang w:bidi="ar-EG"/>
        </w:rPr>
        <w:t xml:space="preserve"> </w:t>
      </w:r>
      <w:r w:rsidRPr="00D64FF1">
        <w:rPr>
          <w:rFonts w:hint="cs"/>
          <w:kern w:val="22"/>
          <w:sz w:val="22"/>
          <w:rtl/>
          <w:lang w:bidi="ar-EG"/>
        </w:rPr>
        <w:t>وا</w:t>
      </w:r>
      <w:r w:rsidR="000B638F" w:rsidRPr="00D64FF1">
        <w:rPr>
          <w:rFonts w:hint="cs"/>
          <w:kern w:val="22"/>
          <w:sz w:val="22"/>
          <w:rtl/>
          <w:lang w:bidi="ar-EG"/>
        </w:rPr>
        <w:t>ش</w:t>
      </w:r>
      <w:r w:rsidRPr="00D64FF1">
        <w:rPr>
          <w:rFonts w:hint="cs"/>
          <w:kern w:val="22"/>
          <w:sz w:val="22"/>
          <w:rtl/>
          <w:lang w:bidi="ar-EG"/>
        </w:rPr>
        <w:t>تمل 12 من بلاغات نقطة التفتيش فقط على معلومات عن شهادة امتثال معترف بها دوليا.</w:t>
      </w:r>
    </w:p>
    <w:p w:rsidR="005A0F76" w:rsidRDefault="005A0F76">
      <w:pPr>
        <w:bidi w:val="0"/>
        <w:spacing w:line="240" w:lineRule="auto"/>
        <w:jc w:val="left"/>
        <w:rPr>
          <w:kern w:val="22"/>
          <w:sz w:val="22"/>
          <w:rtl/>
        </w:rPr>
      </w:pPr>
      <w:r>
        <w:rPr>
          <w:kern w:val="22"/>
          <w:sz w:val="22"/>
          <w:rtl/>
        </w:rPr>
        <w:br w:type="page"/>
      </w:r>
    </w:p>
    <w:p w:rsidR="005A0F76" w:rsidRPr="005A0F76" w:rsidRDefault="005A0F76" w:rsidP="005A0F76">
      <w:pPr>
        <w:spacing w:after="120"/>
        <w:jc w:val="center"/>
        <w:rPr>
          <w:i/>
          <w:iCs/>
          <w:kern w:val="22"/>
          <w:sz w:val="22"/>
          <w:rtl/>
        </w:rPr>
      </w:pPr>
      <w:r w:rsidRPr="005A0F76">
        <w:rPr>
          <w:rFonts w:hint="cs"/>
          <w:i/>
          <w:iCs/>
          <w:kern w:val="22"/>
          <w:sz w:val="22"/>
          <w:rtl/>
        </w:rPr>
        <w:lastRenderedPageBreak/>
        <w:t>المرفق الثالث</w:t>
      </w:r>
    </w:p>
    <w:p w:rsidR="005A0F76" w:rsidRPr="005A0F76" w:rsidRDefault="005A0F76" w:rsidP="005A0F76">
      <w:pPr>
        <w:spacing w:after="120"/>
        <w:ind w:left="1710" w:right="1350" w:hanging="360"/>
        <w:jc w:val="center"/>
        <w:rPr>
          <w:b/>
          <w:bCs/>
          <w:kern w:val="22"/>
          <w:sz w:val="28"/>
          <w:szCs w:val="28"/>
          <w:rtl/>
        </w:rPr>
      </w:pPr>
      <w:r w:rsidRPr="005A0F76">
        <w:rPr>
          <w:rFonts w:hint="cs"/>
          <w:b/>
          <w:bCs/>
          <w:kern w:val="22"/>
          <w:sz w:val="28"/>
          <w:szCs w:val="28"/>
          <w:rtl/>
        </w:rPr>
        <w:t>الأهداف والأولويات للتطوير والإدارة المستقبلية لغرفة تبادل المعلومات بشأن الحصول وتقاسم المنافع بواسطة الأمانة</w:t>
      </w:r>
      <w:r w:rsidR="00DF2F74">
        <w:rPr>
          <w:rStyle w:val="FootnoteReference"/>
          <w:b/>
          <w:bCs/>
          <w:kern w:val="22"/>
          <w:sz w:val="28"/>
          <w:rtl/>
        </w:rPr>
        <w:footnoteReference w:id="14"/>
      </w:r>
    </w:p>
    <w:p w:rsidR="005A0F76" w:rsidRPr="00A4021C" w:rsidRDefault="005A0F76" w:rsidP="005A0F76">
      <w:pPr>
        <w:pBdr>
          <w:top w:val="nil"/>
          <w:left w:val="nil"/>
          <w:bottom w:val="nil"/>
          <w:right w:val="nil"/>
          <w:between w:val="nil"/>
          <w:bar w:val="nil"/>
        </w:pBdr>
        <w:shd w:val="clear" w:color="auto" w:fill="FFFFFF" w:themeFill="background1"/>
        <w:spacing w:after="120"/>
        <w:ind w:left="1080" w:hanging="1080"/>
        <w:jc w:val="left"/>
        <w:rPr>
          <w:rFonts w:ascii="Simplified Arabic" w:eastAsia="Times New Roman" w:hAnsi="Simplified Arabic"/>
          <w:b/>
          <w:bCs/>
          <w:kern w:val="22"/>
          <w:sz w:val="24"/>
          <w:rtl/>
          <w:lang w:val="en-GB"/>
        </w:rPr>
      </w:pPr>
      <w:r w:rsidRPr="00A4021C">
        <w:rPr>
          <w:rFonts w:ascii="Simplified Arabic" w:eastAsia="Times New Roman" w:hAnsi="Simplified Arabic" w:hint="cs"/>
          <w:b/>
          <w:bCs/>
          <w:kern w:val="22"/>
          <w:sz w:val="24"/>
          <w:rtl/>
          <w:lang w:val="en-GB"/>
        </w:rPr>
        <w:t>الهدف 1-</w:t>
      </w:r>
      <w:r w:rsidRPr="00A4021C">
        <w:rPr>
          <w:rFonts w:ascii="Simplified Arabic" w:eastAsia="Times New Roman" w:hAnsi="Simplified Arabic"/>
          <w:b/>
          <w:bCs/>
          <w:kern w:val="22"/>
          <w:sz w:val="24"/>
          <w:rtl/>
          <w:lang w:val="en-GB"/>
        </w:rPr>
        <w:tab/>
      </w:r>
      <w:r>
        <w:rPr>
          <w:rFonts w:ascii="Simplified Arabic" w:eastAsia="Times New Roman" w:hAnsi="Simplified Arabic" w:hint="cs"/>
          <w:b/>
          <w:bCs/>
          <w:kern w:val="22"/>
          <w:sz w:val="24"/>
          <w:rtl/>
          <w:lang w:val="en-GB"/>
        </w:rPr>
        <w:t>شغل</w:t>
      </w:r>
      <w:r w:rsidRPr="00A4021C">
        <w:rPr>
          <w:rFonts w:ascii="Simplified Arabic" w:eastAsia="Times New Roman" w:hAnsi="Simplified Arabic" w:hint="cs"/>
          <w:b/>
          <w:bCs/>
          <w:kern w:val="22"/>
          <w:sz w:val="24"/>
          <w:rtl/>
          <w:lang w:val="en-GB"/>
        </w:rPr>
        <w:t xml:space="preserve"> </w:t>
      </w:r>
      <w:r w:rsidRPr="00A4021C">
        <w:rPr>
          <w:rFonts w:ascii="Simplified Arabic" w:eastAsia="Times New Roman" w:hAnsi="Simplified Arabic"/>
          <w:b/>
          <w:bCs/>
          <w:kern w:val="22"/>
          <w:sz w:val="24"/>
          <w:rtl/>
          <w:lang w:val="en-GB"/>
        </w:rPr>
        <w:t xml:space="preserve">غرفة تبادل المعلومات بشأن الحصول وتقاسم المنافع </w:t>
      </w:r>
      <w:r>
        <w:rPr>
          <w:rFonts w:ascii="Simplified Arabic" w:eastAsia="Times New Roman" w:hAnsi="Simplified Arabic" w:hint="cs"/>
          <w:b/>
          <w:bCs/>
          <w:kern w:val="22"/>
          <w:sz w:val="24"/>
          <w:rtl/>
          <w:lang w:val="en-GB"/>
        </w:rPr>
        <w:t>وزيادة استخدامها</w:t>
      </w:r>
    </w:p>
    <w:p w:rsidR="005A0F76" w:rsidRPr="00A4021C" w:rsidRDefault="005A0F76" w:rsidP="005A0F76">
      <w:pPr>
        <w:pBdr>
          <w:top w:val="nil"/>
          <w:left w:val="nil"/>
          <w:bottom w:val="nil"/>
          <w:right w:val="nil"/>
          <w:between w:val="nil"/>
          <w:bar w:val="nil"/>
        </w:pBdr>
        <w:shd w:val="clear" w:color="auto" w:fill="FFFFFF" w:themeFill="background1"/>
        <w:spacing w:after="120"/>
        <w:jc w:val="both"/>
        <w:rPr>
          <w:rFonts w:ascii="Simplified Arabic" w:eastAsia="Times New Roman" w:hAnsi="Simplified Arabic"/>
          <w:i/>
          <w:iCs/>
          <w:kern w:val="22"/>
          <w:sz w:val="24"/>
          <w:rtl/>
          <w:lang w:val="en-GB"/>
        </w:rPr>
      </w:pPr>
      <w:r w:rsidRPr="00A4021C">
        <w:rPr>
          <w:rFonts w:ascii="Simplified Arabic" w:eastAsia="Times New Roman" w:hAnsi="Simplified Arabic" w:hint="cs"/>
          <w:i/>
          <w:iCs/>
          <w:kern w:val="22"/>
          <w:sz w:val="24"/>
          <w:rtl/>
          <w:lang w:val="en-GB"/>
        </w:rPr>
        <w:t>التواصل والمشاركة</w:t>
      </w:r>
    </w:p>
    <w:p w:rsidR="005A0F76" w:rsidRPr="00A4021C" w:rsidRDefault="005A0F76" w:rsidP="005A0F76">
      <w:pPr>
        <w:pBdr>
          <w:top w:val="nil"/>
          <w:left w:val="nil"/>
          <w:bottom w:val="nil"/>
          <w:right w:val="nil"/>
          <w:between w:val="nil"/>
          <w:bar w:val="nil"/>
        </w:pBdr>
        <w:shd w:val="clear" w:color="auto" w:fill="FFFFFF" w:themeFill="background1"/>
        <w:spacing w:after="120"/>
        <w:ind w:firstLine="720"/>
        <w:jc w:val="both"/>
        <w:rPr>
          <w:rFonts w:ascii="Simplified Arabic" w:eastAsia="Times New Roman" w:hAnsi="Simplified Arabic"/>
          <w:kern w:val="22"/>
          <w:sz w:val="24"/>
          <w:rtl/>
          <w:lang w:val="en-GB"/>
        </w:rPr>
      </w:pPr>
      <w:r w:rsidRPr="00A4021C">
        <w:rPr>
          <w:rFonts w:ascii="Simplified Arabic" w:eastAsia="Times New Roman" w:hAnsi="Simplified Arabic" w:hint="cs"/>
          <w:kern w:val="22"/>
          <w:sz w:val="24"/>
          <w:rtl/>
          <w:lang w:val="en-GB"/>
        </w:rPr>
        <w:t>(أ)</w:t>
      </w:r>
      <w:r w:rsidRPr="00A4021C">
        <w:rPr>
          <w:rFonts w:ascii="Simplified Arabic" w:eastAsia="Times New Roman" w:hAnsi="Simplified Arabic"/>
          <w:kern w:val="22"/>
          <w:sz w:val="24"/>
          <w:rtl/>
          <w:lang w:val="en-GB"/>
        </w:rPr>
        <w:tab/>
      </w:r>
      <w:r w:rsidRPr="00A4021C">
        <w:rPr>
          <w:rFonts w:ascii="Simplified Arabic" w:eastAsia="Times New Roman" w:hAnsi="Simplified Arabic" w:hint="cs"/>
          <w:kern w:val="22"/>
          <w:sz w:val="24"/>
          <w:rtl/>
          <w:lang w:val="en-GB"/>
        </w:rPr>
        <w:t>ضمان أن يعيّن كل طرف هيئة النشر الخاصة به؛</w:t>
      </w:r>
    </w:p>
    <w:p w:rsidR="005A0F76" w:rsidRPr="00A4021C" w:rsidRDefault="005A0F76" w:rsidP="005A0F76">
      <w:pPr>
        <w:pBdr>
          <w:top w:val="nil"/>
          <w:left w:val="nil"/>
          <w:bottom w:val="nil"/>
          <w:right w:val="nil"/>
          <w:between w:val="nil"/>
          <w:bar w:val="nil"/>
        </w:pBdr>
        <w:shd w:val="clear" w:color="auto" w:fill="FFFFFF" w:themeFill="background1"/>
        <w:spacing w:after="120"/>
        <w:ind w:firstLine="720"/>
        <w:jc w:val="both"/>
        <w:rPr>
          <w:rFonts w:ascii="Simplified Arabic" w:eastAsia="Times New Roman" w:hAnsi="Simplified Arabic"/>
          <w:snapToGrid w:val="0"/>
          <w:kern w:val="0"/>
          <w:sz w:val="24"/>
          <w:rtl/>
          <w:lang w:val="en-CA" w:bidi="ar-EG"/>
        </w:rPr>
      </w:pPr>
      <w:r w:rsidRPr="00A4021C">
        <w:rPr>
          <w:rFonts w:ascii="Simplified Arabic" w:eastAsia="Times New Roman" w:hAnsi="Simplified Arabic" w:hint="cs"/>
          <w:kern w:val="22"/>
          <w:sz w:val="24"/>
          <w:rtl/>
          <w:lang w:val="en-GB"/>
        </w:rPr>
        <w:t>(ب)</w:t>
      </w:r>
      <w:r w:rsidRPr="00A4021C">
        <w:rPr>
          <w:rFonts w:ascii="Simplified Arabic" w:eastAsia="Times New Roman" w:hAnsi="Simplified Arabic"/>
          <w:kern w:val="22"/>
          <w:sz w:val="24"/>
          <w:rtl/>
          <w:lang w:val="en-GB"/>
        </w:rPr>
        <w:tab/>
      </w:r>
      <w:r w:rsidRPr="00A4021C">
        <w:rPr>
          <w:rFonts w:ascii="Simplified Arabic" w:eastAsia="Times New Roman" w:hAnsi="Simplified Arabic" w:hint="cs"/>
          <w:kern w:val="22"/>
          <w:sz w:val="24"/>
          <w:rtl/>
          <w:lang w:val="en-GB"/>
        </w:rPr>
        <w:t>تشجيع ومساعدة نشر جميع المعلومات الوطنية المتاحة، وخاصة السلطات الوطنية المختصة</w:t>
      </w:r>
      <w:r>
        <w:rPr>
          <w:rFonts w:ascii="Simplified Arabic" w:eastAsia="Times New Roman" w:hAnsi="Simplified Arabic" w:hint="cs"/>
          <w:kern w:val="22"/>
          <w:sz w:val="24"/>
          <w:rtl/>
          <w:lang w:val="en-GB"/>
        </w:rPr>
        <w:t>،</w:t>
      </w:r>
      <w:r w:rsidRPr="00A4021C">
        <w:rPr>
          <w:rFonts w:ascii="Simplified Arabic" w:eastAsia="Times New Roman" w:hAnsi="Simplified Arabic" w:hint="cs"/>
          <w:kern w:val="22"/>
          <w:sz w:val="24"/>
          <w:rtl/>
          <w:lang w:val="en-GB"/>
        </w:rPr>
        <w:t xml:space="preserve"> وتدابير </w:t>
      </w:r>
      <w:r>
        <w:rPr>
          <w:rFonts w:ascii="Simplified Arabic" w:eastAsia="Times New Roman" w:hAnsi="Simplified Arabic" w:hint="cs"/>
          <w:kern w:val="22"/>
          <w:sz w:val="24"/>
          <w:rtl/>
          <w:lang w:val="en-GB"/>
        </w:rPr>
        <w:t>الحصول وتقاسم</w:t>
      </w:r>
      <w:r w:rsidRPr="00A4021C">
        <w:rPr>
          <w:rFonts w:ascii="Simplified Arabic" w:eastAsia="Times New Roman" w:hAnsi="Simplified Arabic" w:hint="cs"/>
          <w:kern w:val="22"/>
          <w:sz w:val="24"/>
          <w:rtl/>
          <w:lang w:val="en-GB"/>
        </w:rPr>
        <w:t xml:space="preserve"> المنافع</w:t>
      </w:r>
      <w:r>
        <w:rPr>
          <w:rFonts w:ascii="Simplified Arabic" w:eastAsia="Times New Roman" w:hAnsi="Simplified Arabic" w:hint="cs"/>
          <w:kern w:val="22"/>
          <w:sz w:val="24"/>
          <w:rtl/>
          <w:lang w:val="en-GB"/>
        </w:rPr>
        <w:t>،</w:t>
      </w:r>
      <w:r w:rsidRPr="00A4021C">
        <w:rPr>
          <w:rFonts w:ascii="Simplified Arabic" w:eastAsia="Times New Roman" w:hAnsi="Simplified Arabic" w:hint="cs"/>
          <w:kern w:val="22"/>
          <w:sz w:val="24"/>
          <w:rtl/>
          <w:lang w:val="en-GB"/>
        </w:rPr>
        <w:t xml:space="preserve"> وإجراءات </w:t>
      </w:r>
      <w:r w:rsidRPr="00A4021C">
        <w:rPr>
          <w:rFonts w:ascii="Simplified Arabic" w:eastAsia="Times New Roman" w:hAnsi="Simplified Arabic"/>
          <w:kern w:val="22"/>
          <w:sz w:val="24"/>
          <w:rtl/>
          <w:lang w:val="en-GB"/>
        </w:rPr>
        <w:t>الحصول وتقاسم المنافع</w:t>
      </w:r>
      <w:r w:rsidRPr="00A4021C">
        <w:rPr>
          <w:rFonts w:ascii="Simplified Arabic" w:eastAsia="Times New Roman" w:hAnsi="Simplified Arabic" w:hint="cs"/>
          <w:kern w:val="22"/>
          <w:sz w:val="24"/>
          <w:rtl/>
          <w:lang w:val="en-GB"/>
        </w:rPr>
        <w:t xml:space="preserve">، </w:t>
      </w:r>
      <w:r w:rsidRPr="00A4021C">
        <w:rPr>
          <w:rFonts w:ascii="Simplified Arabic" w:eastAsia="Times New Roman" w:hAnsi="Simplified Arabic" w:hint="cs"/>
          <w:snapToGrid w:val="0"/>
          <w:kern w:val="0"/>
          <w:sz w:val="24"/>
          <w:rtl/>
          <w:lang w:val="en-CA"/>
        </w:rPr>
        <w:t>و</w:t>
      </w:r>
      <w:r w:rsidRPr="00A4021C">
        <w:rPr>
          <w:rFonts w:ascii="Simplified Arabic" w:eastAsia="Times New Roman" w:hAnsi="Simplified Arabic"/>
          <w:snapToGrid w:val="0"/>
          <w:kern w:val="0"/>
          <w:sz w:val="24"/>
          <w:rtl/>
          <w:lang w:val="en-CA" w:bidi="ar-EG"/>
        </w:rPr>
        <w:t>شهاد</w:t>
      </w:r>
      <w:r w:rsidRPr="00A4021C">
        <w:rPr>
          <w:rFonts w:ascii="Simplified Arabic" w:eastAsia="Times New Roman" w:hAnsi="Simplified Arabic" w:hint="cs"/>
          <w:snapToGrid w:val="0"/>
          <w:kern w:val="0"/>
          <w:sz w:val="24"/>
          <w:rtl/>
          <w:lang w:val="en-CA" w:bidi="ar-EG"/>
        </w:rPr>
        <w:t>ات</w:t>
      </w:r>
      <w:r w:rsidRPr="00A4021C">
        <w:rPr>
          <w:rFonts w:ascii="Simplified Arabic" w:eastAsia="Times New Roman" w:hAnsi="Simplified Arabic"/>
          <w:snapToGrid w:val="0"/>
          <w:kern w:val="0"/>
          <w:sz w:val="24"/>
          <w:rtl/>
          <w:lang w:val="en-CA" w:bidi="ar-EG"/>
        </w:rPr>
        <w:t xml:space="preserve"> الامتثال المعترف بها دوليا</w:t>
      </w:r>
      <w:r w:rsidRPr="00A4021C">
        <w:rPr>
          <w:rFonts w:ascii="Simplified Arabic" w:eastAsia="Times New Roman" w:hAnsi="Simplified Arabic" w:hint="cs"/>
          <w:snapToGrid w:val="0"/>
          <w:kern w:val="0"/>
          <w:sz w:val="24"/>
          <w:rtl/>
          <w:lang w:val="en-CA" w:bidi="ar-EG"/>
        </w:rPr>
        <w:t>، حسب الضرورة؛</w:t>
      </w:r>
    </w:p>
    <w:p w:rsidR="005A0F76" w:rsidRPr="00A4021C" w:rsidRDefault="005A0F76" w:rsidP="005A0F76">
      <w:pPr>
        <w:pBdr>
          <w:top w:val="nil"/>
          <w:left w:val="nil"/>
          <w:bottom w:val="nil"/>
          <w:right w:val="nil"/>
          <w:between w:val="nil"/>
          <w:bar w:val="nil"/>
        </w:pBdr>
        <w:shd w:val="clear" w:color="auto" w:fill="FFFFFF" w:themeFill="background1"/>
        <w:spacing w:after="120"/>
        <w:ind w:firstLine="720"/>
        <w:jc w:val="both"/>
        <w:rPr>
          <w:rFonts w:ascii="Simplified Arabic" w:eastAsia="Times New Roman" w:hAnsi="Simplified Arabic"/>
          <w:kern w:val="22"/>
          <w:sz w:val="24"/>
          <w:rtl/>
          <w:lang w:val="en-GB"/>
        </w:rPr>
      </w:pPr>
      <w:r w:rsidRPr="00A4021C">
        <w:rPr>
          <w:rFonts w:ascii="Simplified Arabic" w:eastAsia="Times New Roman" w:hAnsi="Simplified Arabic" w:hint="cs"/>
          <w:kern w:val="22"/>
          <w:sz w:val="24"/>
          <w:rtl/>
          <w:lang w:val="en-GB"/>
        </w:rPr>
        <w:t>(ج)</w:t>
      </w:r>
      <w:r w:rsidRPr="00A4021C">
        <w:rPr>
          <w:rFonts w:ascii="Simplified Arabic" w:eastAsia="Times New Roman" w:hAnsi="Simplified Arabic"/>
          <w:kern w:val="22"/>
          <w:sz w:val="24"/>
          <w:rtl/>
          <w:lang w:val="en-GB"/>
        </w:rPr>
        <w:tab/>
      </w:r>
      <w:r w:rsidRPr="00A4021C">
        <w:rPr>
          <w:rFonts w:ascii="Simplified Arabic" w:eastAsia="Times New Roman" w:hAnsi="Simplified Arabic" w:hint="cs"/>
          <w:kern w:val="22"/>
          <w:sz w:val="24"/>
          <w:rtl/>
          <w:lang w:val="en-GB"/>
        </w:rPr>
        <w:t>التواصل مع الشعوب الأصلية والمجتمعات المحلية و</w:t>
      </w:r>
      <w:r w:rsidRPr="00A4021C">
        <w:rPr>
          <w:rFonts w:ascii="Simplified Arabic" w:eastAsia="Times New Roman" w:hAnsi="Simplified Arabic" w:hint="cs"/>
          <w:kern w:val="22"/>
          <w:sz w:val="24"/>
          <w:rtl/>
          <w:lang w:val="en-GB" w:bidi="ar-EG"/>
        </w:rPr>
        <w:t xml:space="preserve">غيرها من الجهات </w:t>
      </w:r>
      <w:r w:rsidRPr="00A4021C">
        <w:rPr>
          <w:rFonts w:ascii="Simplified Arabic" w:eastAsia="Times New Roman" w:hAnsi="Simplified Arabic" w:hint="cs"/>
          <w:kern w:val="22"/>
          <w:sz w:val="24"/>
          <w:rtl/>
          <w:lang w:val="en-GB"/>
        </w:rPr>
        <w:t>صاحبة المصلحة والمنظمات لتشجيع تقديم السجلات المرجعية؛</w:t>
      </w:r>
    </w:p>
    <w:p w:rsidR="005A0F76" w:rsidRPr="00A4021C" w:rsidRDefault="005A0F76" w:rsidP="005A0F76">
      <w:pPr>
        <w:pBdr>
          <w:top w:val="nil"/>
          <w:left w:val="nil"/>
          <w:bottom w:val="nil"/>
          <w:right w:val="nil"/>
          <w:between w:val="nil"/>
          <w:bar w:val="nil"/>
        </w:pBdr>
        <w:shd w:val="clear" w:color="auto" w:fill="FFFFFF" w:themeFill="background1"/>
        <w:spacing w:after="120"/>
        <w:ind w:firstLine="720"/>
        <w:jc w:val="both"/>
        <w:rPr>
          <w:rFonts w:ascii="Simplified Arabic" w:eastAsia="Times New Roman" w:hAnsi="Simplified Arabic"/>
          <w:kern w:val="22"/>
          <w:sz w:val="24"/>
          <w:rtl/>
          <w:lang w:val="en-GB"/>
        </w:rPr>
      </w:pPr>
      <w:r w:rsidRPr="00A4021C">
        <w:rPr>
          <w:rFonts w:ascii="Simplified Arabic" w:eastAsia="Times New Roman" w:hAnsi="Simplified Arabic" w:hint="cs"/>
          <w:kern w:val="22"/>
          <w:sz w:val="24"/>
          <w:rtl/>
          <w:lang w:val="en-GB"/>
        </w:rPr>
        <w:t>(د)</w:t>
      </w:r>
      <w:r w:rsidRPr="00A4021C">
        <w:rPr>
          <w:rFonts w:ascii="Simplified Arabic" w:eastAsia="Times New Roman" w:hAnsi="Simplified Arabic"/>
          <w:kern w:val="22"/>
          <w:sz w:val="24"/>
          <w:rtl/>
          <w:lang w:val="en-GB"/>
        </w:rPr>
        <w:tab/>
      </w:r>
      <w:r w:rsidRPr="00A4021C">
        <w:rPr>
          <w:rFonts w:ascii="Simplified Arabic" w:eastAsia="Times New Roman" w:hAnsi="Simplified Arabic" w:hint="cs"/>
          <w:kern w:val="22"/>
          <w:sz w:val="24"/>
          <w:rtl/>
          <w:lang w:val="en-GB"/>
        </w:rPr>
        <w:t xml:space="preserve">توفير إعلانات منتظمة من قبل </w:t>
      </w:r>
      <w:r w:rsidRPr="00A4021C">
        <w:rPr>
          <w:rFonts w:ascii="Simplified Arabic" w:eastAsia="Times New Roman" w:hAnsi="Simplified Arabic" w:hint="cs"/>
          <w:snapToGrid w:val="0"/>
          <w:kern w:val="0"/>
          <w:sz w:val="24"/>
          <w:rtl/>
          <w:lang w:val="fr-CH" w:bidi="ar-EG"/>
        </w:rPr>
        <w:t xml:space="preserve">غرفة تبادل المعلومات بشأن الحصول وتقاسم المنافع </w:t>
      </w:r>
      <w:r w:rsidRPr="00A4021C">
        <w:rPr>
          <w:rFonts w:ascii="Simplified Arabic" w:eastAsia="Times New Roman" w:hAnsi="Simplified Arabic" w:hint="cs"/>
          <w:kern w:val="22"/>
          <w:sz w:val="24"/>
          <w:rtl/>
          <w:lang w:val="en-GB"/>
        </w:rPr>
        <w:t xml:space="preserve">بشأن المستجدات والتغييرات </w:t>
      </w:r>
      <w:r>
        <w:rPr>
          <w:rFonts w:ascii="Simplified Arabic" w:eastAsia="Times New Roman" w:hAnsi="Simplified Arabic" w:hint="cs"/>
          <w:kern w:val="22"/>
          <w:sz w:val="24"/>
          <w:rtl/>
          <w:lang w:val="en-GB"/>
        </w:rPr>
        <w:t>بالإضافة إلى</w:t>
      </w:r>
      <w:r w:rsidRPr="00A4021C">
        <w:rPr>
          <w:rFonts w:ascii="Simplified Arabic" w:eastAsia="Times New Roman" w:hAnsi="Simplified Arabic" w:hint="cs"/>
          <w:kern w:val="22"/>
          <w:sz w:val="24"/>
          <w:rtl/>
          <w:lang w:val="en-GB"/>
        </w:rPr>
        <w:t xml:space="preserve"> المعلومات ذات الصلة بمستخدمي </w:t>
      </w:r>
      <w:r w:rsidRPr="00A4021C">
        <w:rPr>
          <w:rFonts w:ascii="Simplified Arabic" w:eastAsia="Times New Roman" w:hAnsi="Simplified Arabic" w:hint="cs"/>
          <w:snapToGrid w:val="0"/>
          <w:kern w:val="0"/>
          <w:sz w:val="24"/>
          <w:rtl/>
          <w:lang w:val="fr-CH" w:bidi="ar-EG"/>
        </w:rPr>
        <w:t>غرفة تبادل المعلومات بشأن الحصول وتقاسم المنافع</w:t>
      </w:r>
      <w:r>
        <w:rPr>
          <w:rFonts w:ascii="Simplified Arabic" w:eastAsia="Times New Roman" w:hAnsi="Simplified Arabic" w:hint="cs"/>
          <w:snapToGrid w:val="0"/>
          <w:kern w:val="0"/>
          <w:sz w:val="24"/>
          <w:rtl/>
          <w:lang w:val="fr-CH" w:bidi="ar-EG"/>
        </w:rPr>
        <w:t xml:space="preserve">، </w:t>
      </w:r>
      <w:r>
        <w:rPr>
          <w:rFonts w:ascii="Arial" w:hAnsi="Arial" w:cs="Arial" w:hint="cs"/>
          <w:color w:val="222222"/>
          <w:rtl/>
        </w:rPr>
        <w:t>لا سيما</w:t>
      </w:r>
      <w:r>
        <w:rPr>
          <w:rFonts w:ascii="Arial" w:hAnsi="Arial" w:cs="Arial"/>
          <w:color w:val="222222"/>
          <w:rtl/>
        </w:rPr>
        <w:t xml:space="preserve"> جهات الاتصال الوطنية وسلطات النشر والمستخدمين </w:t>
      </w:r>
      <w:r>
        <w:rPr>
          <w:rFonts w:ascii="Arial" w:hAnsi="Arial" w:cs="Arial" w:hint="cs"/>
          <w:color w:val="222222"/>
          <w:rtl/>
        </w:rPr>
        <w:t xml:space="preserve">الوطنيين </w:t>
      </w:r>
      <w:r>
        <w:rPr>
          <w:rFonts w:ascii="Arial" w:hAnsi="Arial" w:cs="Arial"/>
          <w:color w:val="222222"/>
          <w:rtl/>
        </w:rPr>
        <w:t>المصرح لهم بذلك</w:t>
      </w:r>
      <w:r>
        <w:rPr>
          <w:rFonts w:ascii="Simplified Arabic" w:eastAsia="Times New Roman" w:hAnsi="Simplified Arabic" w:hint="cs"/>
          <w:kern w:val="22"/>
          <w:sz w:val="24"/>
          <w:rtl/>
          <w:lang w:val="en-GB"/>
        </w:rPr>
        <w:t>؛</w:t>
      </w:r>
    </w:p>
    <w:p w:rsidR="005A0F76" w:rsidRPr="00A4021C" w:rsidRDefault="005A0F76" w:rsidP="005A0F76">
      <w:pPr>
        <w:pBdr>
          <w:top w:val="nil"/>
          <w:left w:val="nil"/>
          <w:bottom w:val="nil"/>
          <w:right w:val="nil"/>
          <w:between w:val="nil"/>
          <w:bar w:val="nil"/>
        </w:pBdr>
        <w:shd w:val="clear" w:color="auto" w:fill="FFFFFF" w:themeFill="background1"/>
        <w:spacing w:after="120"/>
        <w:jc w:val="both"/>
        <w:rPr>
          <w:rFonts w:ascii="Simplified Arabic" w:eastAsia="Times New Roman" w:hAnsi="Simplified Arabic"/>
          <w:i/>
          <w:iCs/>
          <w:kern w:val="22"/>
          <w:sz w:val="24"/>
          <w:rtl/>
          <w:lang w:val="en-GB"/>
        </w:rPr>
      </w:pPr>
      <w:r w:rsidRPr="00A4021C">
        <w:rPr>
          <w:rFonts w:ascii="Simplified Arabic" w:eastAsia="Times New Roman" w:hAnsi="Simplified Arabic" w:hint="cs"/>
          <w:i/>
          <w:iCs/>
          <w:kern w:val="22"/>
          <w:sz w:val="24"/>
          <w:rtl/>
          <w:lang w:val="en-GB"/>
        </w:rPr>
        <w:t>بناء القدرات</w:t>
      </w:r>
    </w:p>
    <w:p w:rsidR="005A0F76" w:rsidRPr="00A4021C" w:rsidRDefault="005A0F76" w:rsidP="005A0F76">
      <w:pPr>
        <w:pBdr>
          <w:top w:val="nil"/>
          <w:left w:val="nil"/>
          <w:bottom w:val="nil"/>
          <w:right w:val="nil"/>
          <w:between w:val="nil"/>
          <w:bar w:val="nil"/>
        </w:pBdr>
        <w:shd w:val="clear" w:color="auto" w:fill="FFFFFF" w:themeFill="background1"/>
        <w:spacing w:after="120"/>
        <w:ind w:firstLine="720"/>
        <w:jc w:val="both"/>
        <w:rPr>
          <w:rFonts w:ascii="Simplified Arabic" w:eastAsia="Times New Roman" w:hAnsi="Simplified Arabic"/>
          <w:kern w:val="22"/>
          <w:sz w:val="24"/>
          <w:rtl/>
          <w:lang w:val="en-GB"/>
        </w:rPr>
      </w:pPr>
      <w:r w:rsidRPr="00A4021C">
        <w:rPr>
          <w:rFonts w:ascii="Simplified Arabic" w:eastAsia="Times New Roman" w:hAnsi="Simplified Arabic" w:hint="cs"/>
          <w:kern w:val="22"/>
          <w:sz w:val="24"/>
          <w:rtl/>
          <w:lang w:val="en-GB"/>
        </w:rPr>
        <w:t>(أ)</w:t>
      </w:r>
      <w:r w:rsidRPr="00A4021C">
        <w:rPr>
          <w:rFonts w:ascii="Simplified Arabic" w:eastAsia="Times New Roman" w:hAnsi="Simplified Arabic"/>
          <w:kern w:val="22"/>
          <w:sz w:val="24"/>
          <w:rtl/>
          <w:lang w:val="en-GB"/>
        </w:rPr>
        <w:tab/>
        <w:t>نشر موارد بناء القدرات في غرفة تبادل المعلومات بشأن الحصول وتقاسم المنافع</w:t>
      </w:r>
      <w:r>
        <w:rPr>
          <w:rFonts w:ascii="Simplified Arabic" w:eastAsia="Times New Roman" w:hAnsi="Simplified Arabic" w:hint="cs"/>
          <w:kern w:val="22"/>
          <w:sz w:val="24"/>
          <w:rtl/>
          <w:lang w:val="en-GB"/>
        </w:rPr>
        <w:t xml:space="preserve"> وتشجيع استخدامها</w:t>
      </w:r>
      <w:r w:rsidRPr="00A4021C">
        <w:rPr>
          <w:rFonts w:ascii="Simplified Arabic" w:eastAsia="Times New Roman" w:hAnsi="Simplified Arabic"/>
          <w:kern w:val="22"/>
          <w:sz w:val="24"/>
          <w:rtl/>
          <w:lang w:val="en-GB"/>
        </w:rPr>
        <w:t xml:space="preserve">، بما في ذلك </w:t>
      </w:r>
      <w:r w:rsidRPr="00D04637">
        <w:rPr>
          <w:rFonts w:ascii="Simplified Arabic" w:eastAsia="Times New Roman" w:hAnsi="Simplified Arabic"/>
          <w:kern w:val="22"/>
          <w:sz w:val="24"/>
          <w:rtl/>
          <w:lang w:val="en-GB"/>
        </w:rPr>
        <w:t>وحدة التعلم الإلكتروني والأدلة التدريجية</w:t>
      </w:r>
      <w:r w:rsidRPr="00A4021C">
        <w:rPr>
          <w:rFonts w:ascii="Simplified Arabic" w:eastAsia="Times New Roman" w:hAnsi="Simplified Arabic" w:hint="cs"/>
          <w:kern w:val="22"/>
          <w:sz w:val="24"/>
          <w:rtl/>
          <w:lang w:val="en-GB"/>
        </w:rPr>
        <w:t>؛</w:t>
      </w:r>
    </w:p>
    <w:p w:rsidR="005A0F76" w:rsidRPr="00A4021C" w:rsidRDefault="005A0F76" w:rsidP="005A0F76">
      <w:pPr>
        <w:pBdr>
          <w:top w:val="nil"/>
          <w:left w:val="nil"/>
          <w:bottom w:val="nil"/>
          <w:right w:val="nil"/>
          <w:between w:val="nil"/>
          <w:bar w:val="nil"/>
        </w:pBdr>
        <w:shd w:val="clear" w:color="auto" w:fill="FFFFFF" w:themeFill="background1"/>
        <w:spacing w:after="120"/>
        <w:ind w:firstLine="720"/>
        <w:jc w:val="both"/>
        <w:rPr>
          <w:rFonts w:ascii="Simplified Arabic" w:eastAsia="Times New Roman" w:hAnsi="Simplified Arabic"/>
          <w:kern w:val="22"/>
          <w:sz w:val="24"/>
          <w:rtl/>
          <w:lang w:val="en-GB"/>
        </w:rPr>
      </w:pPr>
      <w:r w:rsidRPr="00A4021C">
        <w:rPr>
          <w:rFonts w:ascii="Simplified Arabic" w:eastAsia="Times New Roman" w:hAnsi="Simplified Arabic" w:hint="cs"/>
          <w:kern w:val="22"/>
          <w:sz w:val="24"/>
          <w:rtl/>
          <w:lang w:val="en-GB"/>
        </w:rPr>
        <w:t>(ب)</w:t>
      </w:r>
      <w:r w:rsidRPr="00A4021C">
        <w:rPr>
          <w:rFonts w:ascii="Simplified Arabic" w:eastAsia="Times New Roman" w:hAnsi="Simplified Arabic"/>
          <w:kern w:val="22"/>
          <w:sz w:val="24"/>
          <w:rtl/>
          <w:lang w:val="en-GB"/>
        </w:rPr>
        <w:tab/>
        <w:t>ترجمة موارد بناء القدرات</w:t>
      </w:r>
      <w:r>
        <w:rPr>
          <w:rFonts w:ascii="Simplified Arabic" w:eastAsia="Times New Roman" w:hAnsi="Simplified Arabic" w:hint="cs"/>
          <w:kern w:val="22"/>
          <w:sz w:val="24"/>
          <w:rtl/>
          <w:lang w:val="en-GB"/>
        </w:rPr>
        <w:t xml:space="preserve"> التي وضعتها الأمينة التنفيذية ل</w:t>
      </w:r>
      <w:r w:rsidRPr="00A4021C">
        <w:rPr>
          <w:rFonts w:ascii="Simplified Arabic" w:eastAsia="Times New Roman" w:hAnsi="Simplified Arabic"/>
          <w:kern w:val="22"/>
          <w:sz w:val="24"/>
          <w:rtl/>
          <w:lang w:val="en-GB"/>
        </w:rPr>
        <w:t>غرفة تبادل المعلومات بشأن الحصول وتقاسم المنافع وإتاحتها بجميع اللغات الرسمية للأمم المتحدة</w:t>
      </w:r>
      <w:r w:rsidRPr="00A4021C">
        <w:rPr>
          <w:rFonts w:ascii="Simplified Arabic" w:eastAsia="Times New Roman" w:hAnsi="Simplified Arabic" w:hint="cs"/>
          <w:kern w:val="22"/>
          <w:sz w:val="24"/>
          <w:rtl/>
          <w:lang w:val="en-GB"/>
        </w:rPr>
        <w:t>؛</w:t>
      </w:r>
    </w:p>
    <w:p w:rsidR="005A0F76" w:rsidRPr="00A4021C" w:rsidRDefault="005A0F76" w:rsidP="005A0F76">
      <w:pPr>
        <w:pBdr>
          <w:top w:val="nil"/>
          <w:left w:val="nil"/>
          <w:bottom w:val="nil"/>
          <w:right w:val="nil"/>
          <w:between w:val="nil"/>
          <w:bar w:val="nil"/>
        </w:pBdr>
        <w:shd w:val="clear" w:color="auto" w:fill="FFFFFF" w:themeFill="background1"/>
        <w:spacing w:after="120"/>
        <w:ind w:firstLine="720"/>
        <w:jc w:val="both"/>
        <w:rPr>
          <w:rFonts w:ascii="Simplified Arabic" w:eastAsia="Times New Roman" w:hAnsi="Simplified Arabic"/>
          <w:kern w:val="22"/>
          <w:sz w:val="24"/>
          <w:rtl/>
          <w:lang w:val="en-GB"/>
        </w:rPr>
      </w:pPr>
      <w:r w:rsidRPr="00A4021C">
        <w:rPr>
          <w:rFonts w:ascii="Simplified Arabic" w:eastAsia="Times New Roman" w:hAnsi="Simplified Arabic" w:hint="cs"/>
          <w:kern w:val="22"/>
          <w:sz w:val="24"/>
          <w:rtl/>
          <w:lang w:val="en-GB"/>
        </w:rPr>
        <w:t>(ج)</w:t>
      </w:r>
      <w:r w:rsidRPr="00A4021C">
        <w:rPr>
          <w:rFonts w:ascii="Simplified Arabic" w:eastAsia="Times New Roman" w:hAnsi="Simplified Arabic"/>
          <w:kern w:val="22"/>
          <w:sz w:val="24"/>
          <w:rtl/>
          <w:lang w:val="en-GB"/>
        </w:rPr>
        <w:tab/>
        <w:t>الاستمرار في توفير التدريب وجها لوجه (</w:t>
      </w:r>
      <w:r w:rsidRPr="00A4021C">
        <w:rPr>
          <w:rFonts w:ascii="Simplified Arabic" w:eastAsia="Times New Roman" w:hAnsi="Simplified Arabic" w:hint="cs"/>
          <w:kern w:val="22"/>
          <w:sz w:val="24"/>
          <w:rtl/>
          <w:lang w:val="en-GB"/>
        </w:rPr>
        <w:t>رهنا بتوافر</w:t>
      </w:r>
      <w:r w:rsidRPr="00A4021C">
        <w:rPr>
          <w:rFonts w:ascii="Simplified Arabic" w:eastAsia="Times New Roman" w:hAnsi="Simplified Arabic"/>
          <w:kern w:val="22"/>
          <w:sz w:val="24"/>
          <w:rtl/>
          <w:lang w:val="en-GB"/>
        </w:rPr>
        <w:t xml:space="preserve"> </w:t>
      </w:r>
      <w:r w:rsidRPr="00A4021C">
        <w:rPr>
          <w:rFonts w:ascii="Simplified Arabic" w:eastAsia="Times New Roman" w:hAnsi="Simplified Arabic" w:hint="cs"/>
          <w:kern w:val="22"/>
          <w:sz w:val="24"/>
          <w:rtl/>
          <w:lang w:val="en-GB"/>
        </w:rPr>
        <w:t>ا</w:t>
      </w:r>
      <w:r w:rsidRPr="00A4021C">
        <w:rPr>
          <w:rFonts w:ascii="Simplified Arabic" w:eastAsia="Times New Roman" w:hAnsi="Simplified Arabic"/>
          <w:kern w:val="22"/>
          <w:sz w:val="24"/>
          <w:rtl/>
          <w:lang w:val="en-GB"/>
        </w:rPr>
        <w:t>لتمويل)، بالإضافة إلى التدريب عن ب</w:t>
      </w:r>
      <w:r w:rsidRPr="00A4021C">
        <w:rPr>
          <w:rFonts w:ascii="Simplified Arabic" w:eastAsia="Times New Roman" w:hAnsi="Simplified Arabic" w:hint="cs"/>
          <w:kern w:val="22"/>
          <w:sz w:val="24"/>
          <w:rtl/>
          <w:lang w:val="en-GB"/>
        </w:rPr>
        <w:t>ُ</w:t>
      </w:r>
      <w:r w:rsidRPr="00A4021C">
        <w:rPr>
          <w:rFonts w:ascii="Simplified Arabic" w:eastAsia="Times New Roman" w:hAnsi="Simplified Arabic"/>
          <w:kern w:val="22"/>
          <w:sz w:val="24"/>
          <w:rtl/>
          <w:lang w:val="en-GB"/>
        </w:rPr>
        <w:t xml:space="preserve">عد عند الطلب، </w:t>
      </w:r>
      <w:r w:rsidRPr="00A4021C">
        <w:rPr>
          <w:rFonts w:ascii="Simplified Arabic" w:eastAsia="Times New Roman" w:hAnsi="Simplified Arabic" w:hint="cs"/>
          <w:kern w:val="22"/>
          <w:sz w:val="24"/>
          <w:rtl/>
          <w:lang w:val="en-GB"/>
        </w:rPr>
        <w:t>و</w:t>
      </w:r>
      <w:r w:rsidRPr="00A4021C">
        <w:rPr>
          <w:rFonts w:ascii="Simplified Arabic" w:eastAsia="Times New Roman" w:hAnsi="Simplified Arabic"/>
          <w:kern w:val="22"/>
          <w:sz w:val="24"/>
          <w:rtl/>
          <w:lang w:val="en-GB"/>
        </w:rPr>
        <w:t>حسب الحاجة</w:t>
      </w:r>
      <w:r w:rsidRPr="00A4021C">
        <w:rPr>
          <w:rFonts w:ascii="Simplified Arabic" w:eastAsia="Times New Roman" w:hAnsi="Simplified Arabic" w:hint="cs"/>
          <w:kern w:val="22"/>
          <w:sz w:val="24"/>
          <w:rtl/>
          <w:lang w:val="en-GB"/>
        </w:rPr>
        <w:t>؛</w:t>
      </w:r>
    </w:p>
    <w:p w:rsidR="005A0F76" w:rsidRPr="00A4021C" w:rsidRDefault="005A0F76" w:rsidP="005A0F76">
      <w:pPr>
        <w:pBdr>
          <w:top w:val="nil"/>
          <w:left w:val="nil"/>
          <w:bottom w:val="nil"/>
          <w:right w:val="nil"/>
          <w:between w:val="nil"/>
          <w:bar w:val="nil"/>
        </w:pBdr>
        <w:shd w:val="clear" w:color="auto" w:fill="FFFFFF" w:themeFill="background1"/>
        <w:spacing w:after="120"/>
        <w:ind w:firstLine="720"/>
        <w:jc w:val="both"/>
        <w:rPr>
          <w:rFonts w:ascii="Simplified Arabic" w:eastAsia="Times New Roman" w:hAnsi="Simplified Arabic"/>
          <w:kern w:val="22"/>
          <w:sz w:val="24"/>
          <w:rtl/>
          <w:lang w:val="en-GB"/>
        </w:rPr>
      </w:pPr>
      <w:r w:rsidRPr="00A4021C">
        <w:rPr>
          <w:rFonts w:ascii="Simplified Arabic" w:eastAsia="Times New Roman" w:hAnsi="Simplified Arabic" w:hint="cs"/>
          <w:kern w:val="22"/>
          <w:sz w:val="24"/>
          <w:rtl/>
          <w:lang w:val="en-GB"/>
        </w:rPr>
        <w:t>(د)</w:t>
      </w:r>
      <w:r w:rsidRPr="00A4021C">
        <w:rPr>
          <w:rFonts w:ascii="Simplified Arabic" w:eastAsia="Times New Roman" w:hAnsi="Simplified Arabic"/>
          <w:kern w:val="22"/>
          <w:sz w:val="24"/>
          <w:rtl/>
          <w:lang w:val="en-GB"/>
        </w:rPr>
        <w:tab/>
        <w:t xml:space="preserve">التعاون مع الشركاء </w:t>
      </w:r>
      <w:r>
        <w:rPr>
          <w:rFonts w:ascii="Simplified Arabic" w:eastAsia="Times New Roman" w:hAnsi="Simplified Arabic" w:hint="cs"/>
          <w:kern w:val="22"/>
          <w:sz w:val="24"/>
          <w:rtl/>
          <w:lang w:val="en-GB"/>
        </w:rPr>
        <w:t>القائمين على إعداد</w:t>
      </w:r>
      <w:r w:rsidRPr="00A4021C">
        <w:rPr>
          <w:rFonts w:ascii="Simplified Arabic" w:eastAsia="Times New Roman" w:hAnsi="Simplified Arabic"/>
          <w:kern w:val="22"/>
          <w:sz w:val="24"/>
          <w:rtl/>
          <w:lang w:val="en-GB"/>
        </w:rPr>
        <w:t xml:space="preserve"> مشاريع بناء القدرات </w:t>
      </w:r>
      <w:r>
        <w:rPr>
          <w:rFonts w:ascii="Simplified Arabic" w:eastAsia="Times New Roman" w:hAnsi="Simplified Arabic" w:hint="cs"/>
          <w:kern w:val="22"/>
          <w:sz w:val="24"/>
          <w:rtl/>
          <w:lang w:val="en-GB"/>
        </w:rPr>
        <w:t>لكفالة</w:t>
      </w:r>
      <w:r w:rsidRPr="00A4021C">
        <w:rPr>
          <w:rFonts w:ascii="Simplified Arabic" w:eastAsia="Times New Roman" w:hAnsi="Simplified Arabic"/>
          <w:kern w:val="22"/>
          <w:sz w:val="24"/>
          <w:rtl/>
          <w:lang w:val="en-GB"/>
        </w:rPr>
        <w:t xml:space="preserve"> </w:t>
      </w:r>
      <w:r w:rsidRPr="00A4021C">
        <w:rPr>
          <w:rFonts w:ascii="Simplified Arabic" w:eastAsia="Times New Roman" w:hAnsi="Simplified Arabic" w:hint="cs"/>
          <w:kern w:val="22"/>
          <w:sz w:val="24"/>
          <w:rtl/>
          <w:lang w:val="en-GB"/>
        </w:rPr>
        <w:t>أنها</w:t>
      </w:r>
      <w:r w:rsidRPr="00A4021C">
        <w:rPr>
          <w:rFonts w:ascii="Simplified Arabic" w:eastAsia="Times New Roman" w:hAnsi="Simplified Arabic"/>
          <w:kern w:val="22"/>
          <w:sz w:val="24"/>
          <w:rtl/>
          <w:lang w:val="en-GB"/>
        </w:rPr>
        <w:t xml:space="preserve"> </w:t>
      </w:r>
      <w:r w:rsidRPr="00A4021C">
        <w:rPr>
          <w:rFonts w:ascii="Simplified Arabic" w:eastAsia="Times New Roman" w:hAnsi="Simplified Arabic" w:hint="cs"/>
          <w:kern w:val="22"/>
          <w:sz w:val="24"/>
          <w:rtl/>
          <w:lang w:val="en-GB"/>
        </w:rPr>
        <w:t xml:space="preserve">تتضمن </w:t>
      </w:r>
      <w:r w:rsidRPr="00A4021C">
        <w:rPr>
          <w:rFonts w:ascii="Simplified Arabic" w:eastAsia="Times New Roman" w:hAnsi="Simplified Arabic"/>
          <w:kern w:val="22"/>
          <w:sz w:val="24"/>
          <w:rtl/>
          <w:lang w:val="en-GB"/>
        </w:rPr>
        <w:t xml:space="preserve">أنشطة ذات صلة </w:t>
      </w:r>
      <w:r w:rsidRPr="00A4021C">
        <w:rPr>
          <w:rFonts w:ascii="Simplified Arabic" w:eastAsia="Times New Roman" w:hAnsi="Simplified Arabic" w:hint="cs"/>
          <w:kern w:val="22"/>
          <w:sz w:val="24"/>
          <w:rtl/>
          <w:lang w:val="en-GB"/>
        </w:rPr>
        <w:t>ب</w:t>
      </w:r>
      <w:r w:rsidRPr="00A4021C">
        <w:rPr>
          <w:rFonts w:ascii="Simplified Arabic" w:eastAsia="Times New Roman" w:hAnsi="Simplified Arabic"/>
          <w:kern w:val="22"/>
          <w:sz w:val="24"/>
          <w:rtl/>
          <w:lang w:val="en-GB"/>
        </w:rPr>
        <w:t>دعم وتشجيع استخدام غرفة تبادل المعلومات بشأن الحصول وتقاسم المنافع</w:t>
      </w:r>
      <w:r w:rsidRPr="00A4021C">
        <w:rPr>
          <w:rFonts w:ascii="Simplified Arabic" w:eastAsia="Times New Roman" w:hAnsi="Simplified Arabic" w:hint="cs"/>
          <w:kern w:val="22"/>
          <w:sz w:val="24"/>
          <w:rtl/>
          <w:lang w:val="en-GB"/>
        </w:rPr>
        <w:t>؛</w:t>
      </w:r>
    </w:p>
    <w:p w:rsidR="005A0F76" w:rsidRPr="00A4021C" w:rsidRDefault="005A0F76" w:rsidP="005A0F76">
      <w:pPr>
        <w:pBdr>
          <w:top w:val="nil"/>
          <w:left w:val="nil"/>
          <w:bottom w:val="nil"/>
          <w:right w:val="nil"/>
          <w:between w:val="nil"/>
          <w:bar w:val="nil"/>
        </w:pBdr>
        <w:shd w:val="clear" w:color="auto" w:fill="FFFFFF" w:themeFill="background1"/>
        <w:spacing w:after="120"/>
        <w:ind w:firstLine="720"/>
        <w:jc w:val="both"/>
        <w:rPr>
          <w:rFonts w:ascii="Simplified Arabic" w:eastAsia="Times New Roman" w:hAnsi="Simplified Arabic"/>
          <w:kern w:val="22"/>
          <w:sz w:val="24"/>
          <w:rtl/>
          <w:lang w:val="en-GB"/>
        </w:rPr>
      </w:pPr>
      <w:r w:rsidRPr="00A4021C">
        <w:rPr>
          <w:rFonts w:ascii="Simplified Arabic" w:eastAsia="Times New Roman" w:hAnsi="Simplified Arabic" w:hint="cs"/>
          <w:kern w:val="22"/>
          <w:sz w:val="24"/>
          <w:rtl/>
          <w:lang w:val="en-GB"/>
        </w:rPr>
        <w:t>(هـ)</w:t>
      </w:r>
      <w:r w:rsidRPr="00A4021C">
        <w:rPr>
          <w:rFonts w:ascii="Simplified Arabic" w:eastAsia="Times New Roman" w:hAnsi="Simplified Arabic"/>
          <w:kern w:val="22"/>
          <w:sz w:val="24"/>
          <w:rtl/>
          <w:lang w:val="en-GB"/>
        </w:rPr>
        <w:tab/>
      </w:r>
      <w:r>
        <w:rPr>
          <w:rFonts w:ascii="Simplified Arabic" w:eastAsia="Times New Roman" w:hAnsi="Simplified Arabic" w:hint="cs"/>
          <w:kern w:val="22"/>
          <w:sz w:val="24"/>
          <w:rtl/>
          <w:lang w:val="en-GB"/>
        </w:rPr>
        <w:t xml:space="preserve">زيادة </w:t>
      </w:r>
      <w:r w:rsidRPr="00A4021C">
        <w:rPr>
          <w:rFonts w:ascii="Simplified Arabic" w:eastAsia="Times New Roman" w:hAnsi="Simplified Arabic"/>
          <w:kern w:val="22"/>
          <w:sz w:val="24"/>
          <w:rtl/>
          <w:lang w:val="en-GB"/>
        </w:rPr>
        <w:t xml:space="preserve">التوعية بغرفة تبادل المعلومات بشأن الحصول وتقاسم المنافع بين الشعوب الأصلية والمجتمعات المحلية </w:t>
      </w:r>
      <w:r>
        <w:rPr>
          <w:rFonts w:ascii="Simplified Arabic" w:eastAsia="Times New Roman" w:hAnsi="Simplified Arabic" w:hint="cs"/>
          <w:kern w:val="22"/>
          <w:sz w:val="24"/>
          <w:rtl/>
          <w:lang w:val="en-GB"/>
        </w:rPr>
        <w:t>وأصحاب المصلحة الآخرين</w:t>
      </w:r>
      <w:r w:rsidRPr="00A4021C">
        <w:rPr>
          <w:rFonts w:ascii="Simplified Arabic" w:eastAsia="Times New Roman" w:hAnsi="Simplified Arabic"/>
          <w:kern w:val="22"/>
          <w:sz w:val="24"/>
          <w:rtl/>
          <w:lang w:val="en-GB"/>
        </w:rPr>
        <w:t>، مثل دوائر الأعمال وال</w:t>
      </w:r>
      <w:r w:rsidRPr="00A4021C">
        <w:rPr>
          <w:rFonts w:ascii="Simplified Arabic" w:eastAsia="Times New Roman" w:hAnsi="Simplified Arabic" w:hint="cs"/>
          <w:kern w:val="22"/>
          <w:sz w:val="24"/>
          <w:rtl/>
          <w:lang w:val="en-GB"/>
        </w:rPr>
        <w:t>أوساط</w:t>
      </w:r>
      <w:r w:rsidRPr="00A4021C">
        <w:rPr>
          <w:rFonts w:ascii="Simplified Arabic" w:eastAsia="Times New Roman" w:hAnsi="Simplified Arabic"/>
          <w:kern w:val="22"/>
          <w:sz w:val="24"/>
          <w:rtl/>
          <w:lang w:val="en-GB"/>
        </w:rPr>
        <w:t xml:space="preserve"> العلمية</w:t>
      </w:r>
      <w:r w:rsidRPr="00A4021C">
        <w:rPr>
          <w:rFonts w:ascii="Simplified Arabic" w:eastAsia="Times New Roman" w:hAnsi="Simplified Arabic" w:hint="cs"/>
          <w:kern w:val="22"/>
          <w:sz w:val="24"/>
          <w:rtl/>
          <w:lang w:val="en-GB"/>
        </w:rPr>
        <w:t>؛</w:t>
      </w:r>
    </w:p>
    <w:p w:rsidR="005A0F76" w:rsidRPr="00A4021C" w:rsidRDefault="005A0F76" w:rsidP="005A0F76">
      <w:pPr>
        <w:pBdr>
          <w:top w:val="nil"/>
          <w:left w:val="nil"/>
          <w:bottom w:val="nil"/>
          <w:right w:val="nil"/>
          <w:between w:val="nil"/>
          <w:bar w:val="nil"/>
        </w:pBdr>
        <w:shd w:val="clear" w:color="auto" w:fill="FFFFFF" w:themeFill="background1"/>
        <w:spacing w:after="120"/>
        <w:ind w:firstLine="720"/>
        <w:jc w:val="both"/>
        <w:rPr>
          <w:rFonts w:ascii="Simplified Arabic" w:eastAsia="Times New Roman" w:hAnsi="Simplified Arabic"/>
          <w:kern w:val="22"/>
          <w:sz w:val="24"/>
          <w:rtl/>
          <w:lang w:val="en-GB"/>
        </w:rPr>
      </w:pPr>
      <w:r w:rsidRPr="00A4021C">
        <w:rPr>
          <w:rFonts w:ascii="Simplified Arabic" w:eastAsia="Times New Roman" w:hAnsi="Simplified Arabic" w:hint="cs"/>
          <w:kern w:val="22"/>
          <w:sz w:val="24"/>
          <w:rtl/>
          <w:lang w:val="en-GB"/>
        </w:rPr>
        <w:t>(و)</w:t>
      </w:r>
      <w:r w:rsidRPr="00A4021C">
        <w:rPr>
          <w:rFonts w:ascii="Simplified Arabic" w:eastAsia="Times New Roman" w:hAnsi="Simplified Arabic"/>
          <w:kern w:val="22"/>
          <w:sz w:val="24"/>
          <w:rtl/>
          <w:lang w:val="en-GB"/>
        </w:rPr>
        <w:tab/>
      </w:r>
      <w:r>
        <w:rPr>
          <w:rFonts w:ascii="Simplified Arabic" w:eastAsia="Times New Roman" w:hAnsi="Simplified Arabic" w:hint="cs"/>
          <w:kern w:val="22"/>
          <w:sz w:val="24"/>
          <w:rtl/>
          <w:lang w:val="en-GB"/>
        </w:rPr>
        <w:t xml:space="preserve">زيادة التوعية </w:t>
      </w:r>
      <w:r w:rsidRPr="00A4021C">
        <w:rPr>
          <w:rFonts w:ascii="Simplified Arabic" w:eastAsia="Times New Roman" w:hAnsi="Simplified Arabic"/>
          <w:kern w:val="22"/>
          <w:sz w:val="24"/>
          <w:rtl/>
          <w:lang w:val="en-GB"/>
        </w:rPr>
        <w:t xml:space="preserve">بغرفة تبادل المعلومات بشأن الحصول وتقاسم المنافع </w:t>
      </w:r>
      <w:r w:rsidRPr="00A4021C">
        <w:rPr>
          <w:rFonts w:ascii="Simplified Arabic" w:eastAsia="Times New Roman" w:hAnsi="Simplified Arabic" w:hint="cs"/>
          <w:kern w:val="22"/>
          <w:sz w:val="24"/>
          <w:rtl/>
          <w:lang w:val="en-GB"/>
        </w:rPr>
        <w:t xml:space="preserve">في </w:t>
      </w:r>
      <w:r>
        <w:rPr>
          <w:rFonts w:ascii="Simplified Arabic" w:eastAsia="Times New Roman" w:hAnsi="Simplified Arabic" w:hint="cs"/>
          <w:kern w:val="22"/>
          <w:sz w:val="24"/>
          <w:rtl/>
          <w:lang w:val="en-GB"/>
        </w:rPr>
        <w:t>المنتديات</w:t>
      </w:r>
      <w:r w:rsidRPr="00A4021C">
        <w:rPr>
          <w:rFonts w:ascii="Simplified Arabic" w:eastAsia="Times New Roman" w:hAnsi="Simplified Arabic" w:hint="cs"/>
          <w:kern w:val="22"/>
          <w:sz w:val="24"/>
          <w:rtl/>
          <w:lang w:val="en-GB"/>
        </w:rPr>
        <w:t xml:space="preserve"> الدولية المعنية التي تتناول </w:t>
      </w:r>
      <w:r>
        <w:rPr>
          <w:rFonts w:ascii="Simplified Arabic" w:eastAsia="Times New Roman" w:hAnsi="Simplified Arabic" w:hint="cs"/>
          <w:kern w:val="22"/>
          <w:sz w:val="24"/>
          <w:rtl/>
          <w:lang w:val="en-GB"/>
        </w:rPr>
        <w:t>القضايا</w:t>
      </w:r>
      <w:r w:rsidRPr="00A4021C">
        <w:rPr>
          <w:rFonts w:ascii="Simplified Arabic" w:eastAsia="Times New Roman" w:hAnsi="Simplified Arabic" w:hint="cs"/>
          <w:kern w:val="22"/>
          <w:sz w:val="24"/>
          <w:rtl/>
          <w:lang w:val="en-GB"/>
        </w:rPr>
        <w:t xml:space="preserve"> المتعلقة </w:t>
      </w:r>
      <w:r w:rsidRPr="00A4021C">
        <w:rPr>
          <w:rFonts w:ascii="Simplified Arabic" w:eastAsia="Times New Roman" w:hAnsi="Simplified Arabic"/>
          <w:kern w:val="22"/>
          <w:sz w:val="24"/>
          <w:rtl/>
          <w:lang w:val="en-GB"/>
        </w:rPr>
        <w:t>بغرفة تبادل المعلومات بشأن الحصول وتقاسم المنافع</w:t>
      </w:r>
      <w:r w:rsidRPr="00A4021C">
        <w:rPr>
          <w:rFonts w:ascii="Simplified Arabic" w:eastAsia="Times New Roman" w:hAnsi="Simplified Arabic" w:hint="cs"/>
          <w:kern w:val="22"/>
          <w:sz w:val="24"/>
          <w:rtl/>
          <w:lang w:val="en-GB"/>
        </w:rPr>
        <w:t>؛</w:t>
      </w:r>
    </w:p>
    <w:p w:rsidR="005A0F76" w:rsidRPr="00A4021C" w:rsidRDefault="005A0F76" w:rsidP="005A0F76">
      <w:pPr>
        <w:pBdr>
          <w:top w:val="nil"/>
          <w:left w:val="nil"/>
          <w:bottom w:val="nil"/>
          <w:right w:val="nil"/>
          <w:between w:val="nil"/>
          <w:bar w:val="nil"/>
        </w:pBdr>
        <w:shd w:val="clear" w:color="auto" w:fill="FFFFFF" w:themeFill="background1"/>
        <w:spacing w:after="120"/>
        <w:jc w:val="both"/>
        <w:rPr>
          <w:rFonts w:ascii="Simplified Arabic" w:eastAsia="Times New Roman" w:hAnsi="Simplified Arabic"/>
          <w:i/>
          <w:iCs/>
          <w:kern w:val="22"/>
          <w:sz w:val="24"/>
          <w:rtl/>
          <w:lang w:val="en-GB"/>
        </w:rPr>
      </w:pPr>
      <w:r w:rsidRPr="00A4021C">
        <w:rPr>
          <w:rFonts w:ascii="Simplified Arabic" w:eastAsia="Times New Roman" w:hAnsi="Simplified Arabic" w:hint="cs"/>
          <w:i/>
          <w:iCs/>
          <w:kern w:val="22"/>
          <w:sz w:val="24"/>
          <w:rtl/>
          <w:lang w:val="en-GB"/>
        </w:rPr>
        <w:t>التشغيل البيني والتعاون</w:t>
      </w:r>
    </w:p>
    <w:p w:rsidR="005A0F76" w:rsidRPr="00A4021C" w:rsidRDefault="005A0F76" w:rsidP="005A0F76">
      <w:pPr>
        <w:pBdr>
          <w:top w:val="nil"/>
          <w:left w:val="nil"/>
          <w:bottom w:val="nil"/>
          <w:right w:val="nil"/>
          <w:between w:val="nil"/>
          <w:bar w:val="nil"/>
        </w:pBdr>
        <w:shd w:val="clear" w:color="auto" w:fill="FFFFFF" w:themeFill="background1"/>
        <w:spacing w:after="120"/>
        <w:ind w:firstLine="720"/>
        <w:jc w:val="both"/>
        <w:rPr>
          <w:rFonts w:ascii="Simplified Arabic" w:eastAsia="Times New Roman" w:hAnsi="Simplified Arabic"/>
          <w:kern w:val="22"/>
          <w:sz w:val="24"/>
          <w:rtl/>
          <w:lang w:val="en-GB"/>
        </w:rPr>
      </w:pPr>
      <w:r w:rsidRPr="00A4021C">
        <w:rPr>
          <w:rFonts w:ascii="Simplified Arabic" w:eastAsia="Times New Roman" w:hAnsi="Simplified Arabic" w:hint="cs"/>
          <w:kern w:val="22"/>
          <w:sz w:val="24"/>
          <w:rtl/>
          <w:lang w:val="en-GB"/>
        </w:rPr>
        <w:t>(أ)</w:t>
      </w:r>
      <w:r w:rsidRPr="00A4021C">
        <w:rPr>
          <w:rFonts w:ascii="Simplified Arabic" w:eastAsia="Times New Roman" w:hAnsi="Simplified Arabic"/>
          <w:kern w:val="22"/>
          <w:sz w:val="24"/>
          <w:rtl/>
          <w:lang w:val="en-GB"/>
        </w:rPr>
        <w:tab/>
      </w:r>
      <w:r w:rsidRPr="00A4021C">
        <w:rPr>
          <w:rFonts w:ascii="Simplified Arabic" w:eastAsia="Times New Roman" w:hAnsi="Simplified Arabic" w:hint="cs"/>
          <w:kern w:val="22"/>
          <w:sz w:val="24"/>
          <w:rtl/>
          <w:lang w:val="en-GB"/>
        </w:rPr>
        <w:t xml:space="preserve">مواصلة </w:t>
      </w:r>
      <w:r>
        <w:rPr>
          <w:rFonts w:ascii="Simplified Arabic" w:eastAsia="Times New Roman" w:hAnsi="Simplified Arabic" w:hint="cs"/>
          <w:kern w:val="22"/>
          <w:sz w:val="24"/>
          <w:rtl/>
          <w:lang w:val="en-GB"/>
        </w:rPr>
        <w:t xml:space="preserve">زيادة </w:t>
      </w:r>
      <w:r w:rsidRPr="00A4021C">
        <w:rPr>
          <w:rFonts w:ascii="Simplified Arabic" w:eastAsia="Times New Roman" w:hAnsi="Simplified Arabic" w:hint="cs"/>
          <w:kern w:val="22"/>
          <w:sz w:val="24"/>
          <w:rtl/>
          <w:lang w:val="en-GB"/>
        </w:rPr>
        <w:t xml:space="preserve">التوعية ودعم بناء القدرات فيما </w:t>
      </w:r>
      <w:r>
        <w:rPr>
          <w:rFonts w:ascii="Simplified Arabic" w:eastAsia="Times New Roman" w:hAnsi="Simplified Arabic" w:hint="cs"/>
          <w:kern w:val="22"/>
          <w:sz w:val="24"/>
          <w:rtl/>
          <w:lang w:val="en-GB"/>
        </w:rPr>
        <w:t>يتعلق</w:t>
      </w:r>
      <w:r w:rsidRPr="00A4021C">
        <w:rPr>
          <w:rFonts w:ascii="Simplified Arabic" w:eastAsia="Times New Roman" w:hAnsi="Simplified Arabic" w:hint="cs"/>
          <w:kern w:val="22"/>
          <w:sz w:val="24"/>
          <w:rtl/>
          <w:lang w:val="en-GB"/>
        </w:rPr>
        <w:t xml:space="preserve"> </w:t>
      </w:r>
      <w:r>
        <w:rPr>
          <w:rFonts w:ascii="Simplified Arabic" w:eastAsia="Times New Roman" w:hAnsi="Simplified Arabic" w:hint="cs"/>
          <w:kern w:val="22"/>
          <w:sz w:val="24"/>
          <w:rtl/>
          <w:lang w:val="en-GB"/>
        </w:rPr>
        <w:t>ب</w:t>
      </w:r>
      <w:r w:rsidRPr="00A4021C">
        <w:rPr>
          <w:rFonts w:ascii="Simplified Arabic" w:eastAsia="Times New Roman" w:hAnsi="Simplified Arabic" w:hint="cs"/>
          <w:kern w:val="22"/>
          <w:sz w:val="24"/>
          <w:rtl/>
          <w:lang w:val="en-GB"/>
        </w:rPr>
        <w:t>استخدام آليات التشغيل البيني مثل واجهة برمجة التطبيقات</w:t>
      </w:r>
      <w:r>
        <w:rPr>
          <w:rFonts w:ascii="Simplified Arabic" w:eastAsia="Times New Roman" w:hAnsi="Simplified Arabic" w:hint="cs"/>
          <w:kern w:val="22"/>
          <w:sz w:val="24"/>
          <w:rtl/>
          <w:lang w:val="en-GB"/>
        </w:rPr>
        <w:t xml:space="preserve"> بما في ذلك عن طريق توفير الوثائق ذات الصلة، مثل الدروس المستفادة والأمثلة</w:t>
      </w:r>
      <w:r w:rsidRPr="00A4021C">
        <w:rPr>
          <w:rFonts w:ascii="Simplified Arabic" w:eastAsia="Times New Roman" w:hAnsi="Simplified Arabic" w:hint="cs"/>
          <w:kern w:val="22"/>
          <w:sz w:val="24"/>
          <w:rtl/>
          <w:lang w:val="en-GB"/>
        </w:rPr>
        <w:t>؛</w:t>
      </w:r>
    </w:p>
    <w:p w:rsidR="005A0F76" w:rsidRDefault="005A0F76" w:rsidP="005A0F76">
      <w:pPr>
        <w:pBdr>
          <w:top w:val="nil"/>
          <w:left w:val="nil"/>
          <w:bottom w:val="nil"/>
          <w:right w:val="nil"/>
          <w:between w:val="nil"/>
          <w:bar w:val="nil"/>
        </w:pBdr>
        <w:shd w:val="clear" w:color="auto" w:fill="FFFFFF" w:themeFill="background1"/>
        <w:spacing w:after="120"/>
        <w:ind w:firstLine="720"/>
        <w:jc w:val="both"/>
        <w:rPr>
          <w:rFonts w:ascii="Simplified Arabic" w:eastAsia="Times New Roman" w:hAnsi="Simplified Arabic"/>
          <w:kern w:val="22"/>
          <w:sz w:val="24"/>
          <w:rtl/>
          <w:lang w:val="en-GB"/>
        </w:rPr>
      </w:pPr>
      <w:r w:rsidRPr="00A4021C">
        <w:rPr>
          <w:rFonts w:ascii="Simplified Arabic" w:eastAsia="Times New Roman" w:hAnsi="Simplified Arabic" w:hint="cs"/>
          <w:kern w:val="22"/>
          <w:sz w:val="24"/>
          <w:rtl/>
          <w:lang w:val="en-GB"/>
        </w:rPr>
        <w:t>(ب)</w:t>
      </w:r>
      <w:r w:rsidRPr="00A4021C">
        <w:rPr>
          <w:rFonts w:ascii="Simplified Arabic" w:eastAsia="Times New Roman" w:hAnsi="Simplified Arabic"/>
          <w:kern w:val="22"/>
          <w:sz w:val="24"/>
          <w:rtl/>
          <w:lang w:val="en-GB"/>
        </w:rPr>
        <w:tab/>
      </w:r>
      <w:r>
        <w:rPr>
          <w:rFonts w:ascii="Simplified Arabic" w:eastAsia="Times New Roman" w:hAnsi="Simplified Arabic" w:hint="cs"/>
          <w:kern w:val="22"/>
          <w:sz w:val="24"/>
          <w:rtl/>
          <w:lang w:val="en-GB"/>
        </w:rPr>
        <w:t>تيسير</w:t>
      </w:r>
      <w:r w:rsidRPr="00A4021C">
        <w:rPr>
          <w:rFonts w:ascii="Simplified Arabic" w:eastAsia="Times New Roman" w:hAnsi="Simplified Arabic" w:hint="cs"/>
          <w:kern w:val="22"/>
          <w:sz w:val="24"/>
          <w:rtl/>
          <w:lang w:val="en-GB"/>
        </w:rPr>
        <w:t xml:space="preserve"> تبادل المعلومات مع قواعد البيانات والنُظم الوطنية ذات الصلة؛</w:t>
      </w:r>
    </w:p>
    <w:p w:rsidR="005A0F76" w:rsidRDefault="005A0F76" w:rsidP="005A0F76">
      <w:pPr>
        <w:pBdr>
          <w:top w:val="nil"/>
          <w:left w:val="nil"/>
          <w:bottom w:val="nil"/>
          <w:right w:val="nil"/>
          <w:between w:val="nil"/>
          <w:bar w:val="nil"/>
        </w:pBdr>
        <w:shd w:val="clear" w:color="auto" w:fill="FFFFFF" w:themeFill="background1"/>
        <w:spacing w:after="120"/>
        <w:ind w:firstLine="720"/>
        <w:jc w:val="both"/>
        <w:rPr>
          <w:rFonts w:ascii="Simplified Arabic" w:hAnsi="Simplified Arabic"/>
          <w:color w:val="222222"/>
        </w:rPr>
      </w:pPr>
      <w:r>
        <w:rPr>
          <w:rFonts w:ascii="Simplified Arabic" w:eastAsia="Times New Roman" w:hAnsi="Simplified Arabic" w:hint="cs"/>
          <w:kern w:val="22"/>
          <w:sz w:val="24"/>
          <w:rtl/>
          <w:lang w:val="en-GB"/>
        </w:rPr>
        <w:lastRenderedPageBreak/>
        <w:t>(ج)</w:t>
      </w:r>
      <w:r>
        <w:rPr>
          <w:rFonts w:ascii="Simplified Arabic" w:eastAsia="Times New Roman" w:hAnsi="Simplified Arabic" w:hint="cs"/>
          <w:kern w:val="22"/>
          <w:sz w:val="24"/>
          <w:rtl/>
          <w:lang w:val="en-GB"/>
        </w:rPr>
        <w:tab/>
      </w:r>
      <w:r>
        <w:rPr>
          <w:rFonts w:ascii="Simplified Arabic" w:hAnsi="Simplified Arabic" w:hint="cs"/>
          <w:color w:val="222222"/>
          <w:rtl/>
        </w:rPr>
        <w:t xml:space="preserve">استكشاف </w:t>
      </w:r>
      <w:r>
        <w:rPr>
          <w:rFonts w:hint="cs"/>
          <w:rtl/>
          <w:lang w:bidi="ar-EG"/>
        </w:rPr>
        <w:t>الكيفية التي يمكن بها</w:t>
      </w:r>
      <w:r w:rsidRPr="005142D1">
        <w:rPr>
          <w:rFonts w:hint="cs"/>
          <w:rtl/>
          <w:lang w:bidi="ar-EG"/>
        </w:rPr>
        <w:t xml:space="preserve"> استخدام أداة</w:t>
      </w:r>
      <w:r w:rsidRPr="005142D1">
        <w:rPr>
          <w:rFonts w:hint="cs"/>
          <w:lang w:bidi="ar-EG"/>
        </w:rPr>
        <w:t xml:space="preserve"> </w:t>
      </w:r>
      <w:proofErr w:type="spellStart"/>
      <w:r w:rsidRPr="00564AB8">
        <w:rPr>
          <w:rFonts w:hint="cs"/>
          <w:sz w:val="22"/>
          <w:szCs w:val="22"/>
          <w:lang w:bidi="ar-EG"/>
        </w:rPr>
        <w:t>Bioland</w:t>
      </w:r>
      <w:proofErr w:type="spellEnd"/>
      <w:r w:rsidRPr="005142D1">
        <w:rPr>
          <w:rFonts w:hint="cs"/>
          <w:lang w:bidi="ar-EG"/>
        </w:rPr>
        <w:t xml:space="preserve"> </w:t>
      </w:r>
      <w:r w:rsidRPr="005142D1">
        <w:rPr>
          <w:rFonts w:hint="cs"/>
          <w:rtl/>
          <w:lang w:bidi="ar-EG"/>
        </w:rPr>
        <w:t xml:space="preserve">لآليات غرفة تبادل المعلومات الوطنية لتيسير تبادل المعلومات المتعلقة </w:t>
      </w:r>
      <w:r w:rsidRPr="00EB1D49">
        <w:rPr>
          <w:rFonts w:ascii="Simplified Arabic" w:hAnsi="Simplified Arabic"/>
          <w:color w:val="222222"/>
          <w:rtl/>
        </w:rPr>
        <w:t>بالحصول وتقاسم المنافع؛</w:t>
      </w:r>
    </w:p>
    <w:p w:rsidR="005A0F76" w:rsidRPr="00A4021C" w:rsidRDefault="005A0F76" w:rsidP="005A0F76">
      <w:pPr>
        <w:pBdr>
          <w:top w:val="nil"/>
          <w:left w:val="nil"/>
          <w:bottom w:val="nil"/>
          <w:right w:val="nil"/>
          <w:between w:val="nil"/>
          <w:bar w:val="nil"/>
        </w:pBdr>
        <w:shd w:val="clear" w:color="auto" w:fill="FFFFFF" w:themeFill="background1"/>
        <w:spacing w:after="120"/>
        <w:ind w:firstLine="720"/>
        <w:jc w:val="both"/>
        <w:rPr>
          <w:rFonts w:ascii="Simplified Arabic" w:eastAsia="Times New Roman" w:hAnsi="Simplified Arabic"/>
          <w:snapToGrid w:val="0"/>
          <w:kern w:val="0"/>
          <w:sz w:val="26"/>
          <w:szCs w:val="26"/>
          <w:rtl/>
          <w:lang w:val="en-CA"/>
        </w:rPr>
      </w:pPr>
      <w:r w:rsidRPr="00A4021C">
        <w:rPr>
          <w:rFonts w:ascii="Simplified Arabic" w:eastAsia="Times New Roman" w:hAnsi="Simplified Arabic" w:hint="cs"/>
          <w:kern w:val="22"/>
          <w:sz w:val="24"/>
          <w:rtl/>
          <w:lang w:val="en-GB"/>
        </w:rPr>
        <w:t>(</w:t>
      </w:r>
      <w:r>
        <w:rPr>
          <w:rFonts w:ascii="Simplified Arabic" w:eastAsia="Times New Roman" w:hAnsi="Simplified Arabic" w:hint="cs"/>
          <w:kern w:val="22"/>
          <w:sz w:val="24"/>
          <w:rtl/>
          <w:lang w:val="en-GB"/>
        </w:rPr>
        <w:t>د</w:t>
      </w:r>
      <w:r w:rsidRPr="00A4021C">
        <w:rPr>
          <w:rFonts w:ascii="Simplified Arabic" w:eastAsia="Times New Roman" w:hAnsi="Simplified Arabic" w:hint="cs"/>
          <w:kern w:val="22"/>
          <w:sz w:val="24"/>
          <w:rtl/>
          <w:lang w:val="en-GB"/>
        </w:rPr>
        <w:t>)</w:t>
      </w:r>
      <w:r w:rsidRPr="00A4021C">
        <w:rPr>
          <w:rFonts w:ascii="Simplified Arabic" w:eastAsia="Times New Roman" w:hAnsi="Simplified Arabic"/>
          <w:kern w:val="22"/>
          <w:sz w:val="24"/>
          <w:rtl/>
          <w:lang w:val="en-GB"/>
        </w:rPr>
        <w:tab/>
      </w:r>
      <w:r w:rsidRPr="00A4021C">
        <w:rPr>
          <w:rFonts w:ascii="Simplified Arabic" w:eastAsia="Times New Roman" w:hAnsi="Simplified Arabic" w:hint="cs"/>
          <w:kern w:val="22"/>
          <w:sz w:val="24"/>
          <w:rtl/>
          <w:lang w:val="en-GB"/>
        </w:rPr>
        <w:t xml:space="preserve">مواصلة التعاون مع الصكوك والمبادرات ذات الصلة (مثل </w:t>
      </w:r>
      <w:r w:rsidRPr="00A4021C">
        <w:rPr>
          <w:rFonts w:ascii="Simplified Arabic" w:eastAsia="Times New Roman" w:hAnsi="Simplified Arabic"/>
          <w:kern w:val="22"/>
          <w:sz w:val="24"/>
          <w:rtl/>
          <w:lang w:val="en-GB"/>
        </w:rPr>
        <w:t>المعاهدة الدولية بشأن الموارد الوراثية النباتية للأغذية والزراعة</w:t>
      </w:r>
      <w:r w:rsidRPr="00A4021C">
        <w:rPr>
          <w:rFonts w:ascii="Simplified Arabic" w:eastAsia="Times New Roman" w:hAnsi="Simplified Arabic" w:hint="cs"/>
          <w:kern w:val="22"/>
          <w:sz w:val="24"/>
          <w:rtl/>
          <w:lang w:val="en-GB"/>
        </w:rPr>
        <w:t xml:space="preserve"> </w:t>
      </w:r>
      <w:r w:rsidRPr="00A4021C">
        <w:rPr>
          <w:rFonts w:ascii="Simplified Arabic" w:eastAsia="Times New Roman" w:hAnsi="Simplified Arabic"/>
          <w:kern w:val="22"/>
          <w:sz w:val="24"/>
          <w:rtl/>
          <w:lang w:val="en-GB"/>
        </w:rPr>
        <w:t>–</w:t>
      </w:r>
      <w:r w:rsidRPr="00A4021C">
        <w:rPr>
          <w:rFonts w:ascii="Simplified Arabic" w:eastAsia="Times New Roman" w:hAnsi="Simplified Arabic" w:hint="cs"/>
          <w:kern w:val="22"/>
          <w:sz w:val="24"/>
          <w:rtl/>
          <w:lang w:val="en-GB"/>
        </w:rPr>
        <w:t xml:space="preserve"> </w:t>
      </w:r>
      <w:r w:rsidRPr="00A4021C">
        <w:rPr>
          <w:rFonts w:ascii="Simplified Arabic" w:eastAsia="Times New Roman" w:hAnsi="Simplified Arabic" w:hint="cs"/>
          <w:kern w:val="22"/>
          <w:sz w:val="24"/>
          <w:rtl/>
          <w:lang w:val="en-GB" w:bidi="ar-EG"/>
        </w:rPr>
        <w:t>نظام المعلومات العالمي، و</w:t>
      </w:r>
      <w:r w:rsidRPr="00A4021C">
        <w:rPr>
          <w:rFonts w:ascii="Simplified Arabic" w:eastAsia="Times New Roman" w:hAnsi="Simplified Arabic"/>
          <w:snapToGrid w:val="0"/>
          <w:kern w:val="22"/>
          <w:sz w:val="24"/>
          <w:rtl/>
          <w:lang w:val="en-GB"/>
        </w:rPr>
        <w:t>بوابة</w:t>
      </w:r>
      <w:r w:rsidRPr="00A4021C">
        <w:rPr>
          <w:rFonts w:ascii="Simplified Arabic" w:eastAsia="Times New Roman" w:hAnsi="Simplified Arabic"/>
          <w:snapToGrid w:val="0"/>
          <w:kern w:val="0"/>
          <w:sz w:val="24"/>
          <w:rtl/>
          <w:lang w:val="en-CA"/>
        </w:rPr>
        <w:t xml:space="preserve"> الأمم المتحدة للمعلومات المتعلقة بالاتفاقات البيئية المتعددة الأطراف</w:t>
      </w:r>
      <w:r w:rsidRPr="00A4021C">
        <w:rPr>
          <w:rFonts w:ascii="Simplified Arabic" w:eastAsia="Times New Roman" w:hAnsi="Simplified Arabic" w:hint="cs"/>
          <w:snapToGrid w:val="0"/>
          <w:kern w:val="0"/>
          <w:sz w:val="26"/>
          <w:szCs w:val="26"/>
          <w:rtl/>
          <w:lang w:val="en-CA"/>
        </w:rPr>
        <w:t xml:space="preserve"> </w:t>
      </w:r>
      <w:r w:rsidRPr="005A0F76">
        <w:rPr>
          <w:rFonts w:eastAsia="Times New Roman" w:cs="Times New Roman"/>
          <w:snapToGrid w:val="0"/>
          <w:kern w:val="0"/>
          <w:sz w:val="22"/>
          <w:szCs w:val="22"/>
          <w:rtl/>
          <w:lang w:val="en-CA"/>
        </w:rPr>
        <w:t>(</w:t>
      </w:r>
      <w:proofErr w:type="spellStart"/>
      <w:r w:rsidRPr="005A0F76">
        <w:rPr>
          <w:rFonts w:eastAsia="Times New Roman" w:cs="Times New Roman"/>
          <w:snapToGrid w:val="0"/>
          <w:kern w:val="22"/>
          <w:sz w:val="22"/>
          <w:szCs w:val="22"/>
          <w:lang w:val="en-GB"/>
        </w:rPr>
        <w:t>InforMEA</w:t>
      </w:r>
      <w:proofErr w:type="spellEnd"/>
      <w:r w:rsidRPr="005A0F76">
        <w:rPr>
          <w:rFonts w:eastAsia="Times New Roman" w:cs="Times New Roman"/>
          <w:snapToGrid w:val="0"/>
          <w:kern w:val="0"/>
          <w:sz w:val="22"/>
          <w:szCs w:val="22"/>
          <w:rtl/>
          <w:lang w:val="en-CA"/>
        </w:rPr>
        <w:t>)</w:t>
      </w:r>
      <w:r w:rsidRPr="00A4021C">
        <w:rPr>
          <w:rFonts w:ascii="Simplified Arabic" w:eastAsia="Times New Roman" w:hAnsi="Simplified Arabic" w:hint="cs"/>
          <w:snapToGrid w:val="0"/>
          <w:kern w:val="0"/>
          <w:sz w:val="24"/>
          <w:rtl/>
          <w:lang w:val="en-CA"/>
        </w:rPr>
        <w:t>، و</w:t>
      </w:r>
      <w:r>
        <w:rPr>
          <w:rFonts w:ascii="Simplified Arabic" w:eastAsia="Times New Roman" w:hAnsi="Simplified Arabic"/>
          <w:snapToGrid w:val="0"/>
          <w:kern w:val="0"/>
          <w:sz w:val="24"/>
          <w:rtl/>
          <w:lang w:val="en-CA"/>
        </w:rPr>
        <w:t xml:space="preserve">الاتحاد العالمي </w:t>
      </w:r>
      <w:r w:rsidRPr="00A4021C">
        <w:rPr>
          <w:rFonts w:ascii="Simplified Arabic" w:eastAsia="Times New Roman" w:hAnsi="Simplified Arabic"/>
          <w:snapToGrid w:val="0"/>
          <w:kern w:val="0"/>
          <w:sz w:val="24"/>
          <w:rtl/>
          <w:lang w:val="en-CA"/>
        </w:rPr>
        <w:t xml:space="preserve">لمجموعات </w:t>
      </w:r>
      <w:r>
        <w:rPr>
          <w:rFonts w:ascii="Simplified Arabic" w:eastAsia="Times New Roman" w:hAnsi="Simplified Arabic" w:hint="cs"/>
          <w:snapToGrid w:val="0"/>
          <w:kern w:val="0"/>
          <w:sz w:val="24"/>
          <w:rtl/>
          <w:lang w:val="en-CA"/>
        </w:rPr>
        <w:t>المستنبتات</w:t>
      </w:r>
      <w:r w:rsidRPr="00A4021C">
        <w:rPr>
          <w:rFonts w:ascii="Simplified Arabic" w:eastAsia="Times New Roman" w:hAnsi="Simplified Arabic" w:hint="cs"/>
          <w:snapToGrid w:val="0"/>
          <w:kern w:val="0"/>
          <w:sz w:val="24"/>
          <w:rtl/>
          <w:lang w:val="en-CA"/>
        </w:rPr>
        <w:t>)؛</w:t>
      </w:r>
    </w:p>
    <w:p w:rsidR="005A0F76" w:rsidRPr="00A4021C" w:rsidRDefault="005A0F76" w:rsidP="005A0F76">
      <w:pPr>
        <w:pBdr>
          <w:top w:val="nil"/>
          <w:left w:val="nil"/>
          <w:bottom w:val="nil"/>
          <w:right w:val="nil"/>
          <w:between w:val="nil"/>
          <w:bar w:val="nil"/>
        </w:pBdr>
        <w:shd w:val="clear" w:color="auto" w:fill="FFFFFF" w:themeFill="background1"/>
        <w:spacing w:after="120"/>
        <w:ind w:left="1080" w:hanging="1080"/>
        <w:jc w:val="both"/>
        <w:rPr>
          <w:rFonts w:ascii="Simplified Arabic" w:eastAsia="Times New Roman" w:hAnsi="Simplified Arabic"/>
          <w:b/>
          <w:bCs/>
          <w:kern w:val="22"/>
          <w:sz w:val="24"/>
          <w:rtl/>
          <w:lang w:val="en-GB"/>
        </w:rPr>
      </w:pPr>
      <w:r w:rsidRPr="00A4021C">
        <w:rPr>
          <w:rFonts w:ascii="Simplified Arabic" w:eastAsia="Times New Roman" w:hAnsi="Simplified Arabic" w:hint="cs"/>
          <w:b/>
          <w:bCs/>
          <w:kern w:val="22"/>
          <w:sz w:val="24"/>
          <w:rtl/>
          <w:lang w:val="en-GB"/>
        </w:rPr>
        <w:t>الهدف 2-</w:t>
      </w:r>
      <w:r w:rsidRPr="00A4021C">
        <w:rPr>
          <w:rFonts w:ascii="Simplified Arabic" w:eastAsia="Times New Roman" w:hAnsi="Simplified Arabic"/>
          <w:b/>
          <w:bCs/>
          <w:kern w:val="22"/>
          <w:sz w:val="24"/>
          <w:rtl/>
          <w:lang w:val="en-GB"/>
        </w:rPr>
        <w:tab/>
        <w:t>الترجمة والوظائف اللازمة لتشغيل غرفة تبادل المعلومات بشأن الحصول وتقاسم المنافع</w:t>
      </w:r>
      <w:r w:rsidRPr="00A4021C">
        <w:rPr>
          <w:rFonts w:ascii="Simplified Arabic" w:eastAsia="Times New Roman" w:hAnsi="Simplified Arabic" w:hint="cs"/>
          <w:b/>
          <w:bCs/>
          <w:kern w:val="22"/>
          <w:sz w:val="24"/>
          <w:rtl/>
          <w:lang w:val="en-GB"/>
        </w:rPr>
        <w:t xml:space="preserve"> </w:t>
      </w:r>
      <w:r w:rsidRPr="00A4021C">
        <w:rPr>
          <w:rFonts w:ascii="Simplified Arabic" w:eastAsia="Times New Roman" w:hAnsi="Simplified Arabic"/>
          <w:b/>
          <w:bCs/>
          <w:kern w:val="22"/>
          <w:sz w:val="24"/>
          <w:rtl/>
          <w:lang w:val="en-GB"/>
        </w:rPr>
        <w:t>باللغات الرسمية الست للأمم المتحدة</w:t>
      </w:r>
    </w:p>
    <w:p w:rsidR="005A0F76" w:rsidRPr="00A4021C" w:rsidRDefault="005A0F76" w:rsidP="005A0F76">
      <w:pPr>
        <w:pBdr>
          <w:top w:val="nil"/>
          <w:left w:val="nil"/>
          <w:bottom w:val="nil"/>
          <w:right w:val="nil"/>
          <w:between w:val="nil"/>
          <w:bar w:val="nil"/>
        </w:pBdr>
        <w:shd w:val="clear" w:color="auto" w:fill="FFFFFF" w:themeFill="background1"/>
        <w:spacing w:after="120"/>
        <w:ind w:firstLine="720"/>
        <w:jc w:val="both"/>
        <w:rPr>
          <w:rFonts w:ascii="Simplified Arabic" w:eastAsia="Times New Roman" w:hAnsi="Simplified Arabic"/>
          <w:kern w:val="22"/>
          <w:sz w:val="24"/>
          <w:rtl/>
          <w:lang w:val="fr-CH"/>
        </w:rPr>
      </w:pPr>
      <w:r w:rsidRPr="00A4021C">
        <w:rPr>
          <w:rFonts w:ascii="Simplified Arabic" w:eastAsia="Times New Roman" w:hAnsi="Simplified Arabic" w:hint="cs"/>
          <w:kern w:val="22"/>
          <w:sz w:val="24"/>
          <w:rtl/>
          <w:lang w:val="fr-CH"/>
        </w:rPr>
        <w:t>(أ)</w:t>
      </w:r>
      <w:r w:rsidRPr="00A4021C">
        <w:rPr>
          <w:rFonts w:ascii="Simplified Arabic" w:eastAsia="Times New Roman" w:hAnsi="Simplified Arabic"/>
          <w:kern w:val="22"/>
          <w:sz w:val="24"/>
          <w:rtl/>
          <w:lang w:val="fr-CH"/>
        </w:rPr>
        <w:tab/>
        <w:t xml:space="preserve">مواصلة ترجمة غرفة </w:t>
      </w:r>
      <w:r>
        <w:rPr>
          <w:rFonts w:ascii="Simplified Arabic" w:eastAsia="Times New Roman" w:hAnsi="Simplified Arabic"/>
          <w:kern w:val="22"/>
          <w:sz w:val="24"/>
          <w:rtl/>
          <w:lang w:val="fr-CH"/>
        </w:rPr>
        <w:t>تبادل المعلومات بشأن الحصول</w:t>
      </w:r>
      <w:r w:rsidRPr="00A4021C">
        <w:rPr>
          <w:rFonts w:ascii="Simplified Arabic" w:eastAsia="Times New Roman" w:hAnsi="Simplified Arabic"/>
          <w:kern w:val="22"/>
          <w:sz w:val="24"/>
          <w:rtl/>
          <w:lang w:val="fr-CH"/>
        </w:rPr>
        <w:t xml:space="preserve"> وتقاسم المنافع كأولوية قصوى</w:t>
      </w:r>
      <w:r w:rsidRPr="00A4021C">
        <w:rPr>
          <w:rFonts w:ascii="Simplified Arabic" w:eastAsia="Times New Roman" w:hAnsi="Simplified Arabic" w:hint="cs"/>
          <w:kern w:val="22"/>
          <w:sz w:val="24"/>
          <w:rtl/>
          <w:lang w:val="fr-CH"/>
        </w:rPr>
        <w:t>؛</w:t>
      </w:r>
    </w:p>
    <w:p w:rsidR="005A0F76" w:rsidRPr="00A4021C" w:rsidRDefault="005A0F76" w:rsidP="005A0F76">
      <w:pPr>
        <w:pBdr>
          <w:top w:val="nil"/>
          <w:left w:val="nil"/>
          <w:bottom w:val="nil"/>
          <w:right w:val="nil"/>
          <w:between w:val="nil"/>
          <w:bar w:val="nil"/>
        </w:pBdr>
        <w:shd w:val="clear" w:color="auto" w:fill="FFFFFF" w:themeFill="background1"/>
        <w:spacing w:after="120"/>
        <w:ind w:firstLine="720"/>
        <w:jc w:val="both"/>
        <w:rPr>
          <w:rFonts w:ascii="Simplified Arabic" w:eastAsia="Times New Roman" w:hAnsi="Simplified Arabic"/>
          <w:kern w:val="22"/>
          <w:sz w:val="24"/>
          <w:rtl/>
          <w:lang w:val="fr-CH"/>
        </w:rPr>
      </w:pPr>
      <w:r w:rsidRPr="00A4021C">
        <w:rPr>
          <w:rFonts w:ascii="Simplified Arabic" w:eastAsia="Times New Roman" w:hAnsi="Simplified Arabic" w:hint="cs"/>
          <w:kern w:val="22"/>
          <w:sz w:val="24"/>
          <w:rtl/>
          <w:lang w:val="fr-CH"/>
        </w:rPr>
        <w:t>(ب)</w:t>
      </w:r>
      <w:r w:rsidRPr="00A4021C">
        <w:rPr>
          <w:rFonts w:ascii="Simplified Arabic" w:eastAsia="Times New Roman" w:hAnsi="Simplified Arabic"/>
          <w:kern w:val="22"/>
          <w:sz w:val="24"/>
          <w:rtl/>
          <w:lang w:val="fr-CH"/>
        </w:rPr>
        <w:tab/>
      </w:r>
      <w:r>
        <w:rPr>
          <w:rFonts w:ascii="Simplified Arabic" w:eastAsia="Times New Roman" w:hAnsi="Simplified Arabic" w:hint="cs"/>
          <w:kern w:val="22"/>
          <w:sz w:val="24"/>
          <w:rtl/>
          <w:lang w:val="fr-CH"/>
        </w:rPr>
        <w:t>كفالة</w:t>
      </w:r>
      <w:r w:rsidRPr="00A4021C">
        <w:rPr>
          <w:rFonts w:ascii="Simplified Arabic" w:eastAsia="Times New Roman" w:hAnsi="Simplified Arabic"/>
          <w:kern w:val="22"/>
          <w:sz w:val="24"/>
          <w:rtl/>
          <w:lang w:val="fr-CH"/>
        </w:rPr>
        <w:t xml:space="preserve"> أن</w:t>
      </w:r>
      <w:r>
        <w:rPr>
          <w:rFonts w:ascii="Simplified Arabic" w:eastAsia="Times New Roman" w:hAnsi="Simplified Arabic" w:hint="cs"/>
          <w:kern w:val="22"/>
          <w:sz w:val="24"/>
          <w:rtl/>
          <w:lang w:val="fr-CH"/>
        </w:rPr>
        <w:t xml:space="preserve"> تبقى</w:t>
      </w:r>
      <w:r w:rsidRPr="00A4021C">
        <w:rPr>
          <w:rFonts w:ascii="Simplified Arabic" w:eastAsia="Times New Roman" w:hAnsi="Simplified Arabic"/>
          <w:kern w:val="22"/>
          <w:sz w:val="24"/>
          <w:rtl/>
          <w:lang w:val="fr-CH"/>
        </w:rPr>
        <w:t xml:space="preserve"> الآليات والإجراءات ال</w:t>
      </w:r>
      <w:r w:rsidRPr="00A4021C">
        <w:rPr>
          <w:rFonts w:ascii="Simplified Arabic" w:eastAsia="Times New Roman" w:hAnsi="Simplified Arabic" w:hint="cs"/>
          <w:kern w:val="22"/>
          <w:sz w:val="24"/>
          <w:rtl/>
          <w:lang w:val="fr-CH"/>
        </w:rPr>
        <w:t>موحدة</w:t>
      </w:r>
      <w:r w:rsidRPr="00A4021C">
        <w:rPr>
          <w:rFonts w:ascii="Simplified Arabic" w:eastAsia="Times New Roman" w:hAnsi="Simplified Arabic"/>
          <w:kern w:val="22"/>
          <w:sz w:val="24"/>
          <w:rtl/>
          <w:lang w:val="fr-CH"/>
        </w:rPr>
        <w:t xml:space="preserve"> سارية </w:t>
      </w:r>
      <w:r>
        <w:rPr>
          <w:rFonts w:ascii="Simplified Arabic" w:eastAsia="Times New Roman" w:hAnsi="Simplified Arabic" w:hint="cs"/>
          <w:kern w:val="22"/>
          <w:sz w:val="24"/>
          <w:rtl/>
          <w:lang w:val="fr-CH"/>
        </w:rPr>
        <w:t>للتمكين من</w:t>
      </w:r>
      <w:r w:rsidRPr="00A4021C">
        <w:rPr>
          <w:rFonts w:ascii="Simplified Arabic" w:eastAsia="Times New Roman" w:hAnsi="Simplified Arabic"/>
          <w:kern w:val="22"/>
          <w:sz w:val="24"/>
          <w:rtl/>
          <w:lang w:val="fr-CH"/>
        </w:rPr>
        <w:t xml:space="preserve"> متابعة ترجمة الموا</w:t>
      </w:r>
      <w:r>
        <w:rPr>
          <w:rFonts w:ascii="Simplified Arabic" w:eastAsia="Times New Roman" w:hAnsi="Simplified Arabic"/>
          <w:kern w:val="22"/>
          <w:sz w:val="24"/>
          <w:rtl/>
          <w:lang w:val="fr-CH"/>
        </w:rPr>
        <w:t>قع الإلكترونية في الوقت المناسب</w:t>
      </w:r>
      <w:r>
        <w:rPr>
          <w:rFonts w:ascii="Simplified Arabic" w:eastAsia="Times New Roman" w:hAnsi="Simplified Arabic" w:hint="cs"/>
          <w:kern w:val="22"/>
          <w:sz w:val="24"/>
          <w:rtl/>
          <w:lang w:val="fr-CH"/>
        </w:rPr>
        <w:t>؛</w:t>
      </w:r>
    </w:p>
    <w:p w:rsidR="005A0F76" w:rsidRPr="00A4021C" w:rsidRDefault="005A0F76" w:rsidP="005A0F76">
      <w:pPr>
        <w:pBdr>
          <w:top w:val="nil"/>
          <w:left w:val="nil"/>
          <w:bottom w:val="nil"/>
          <w:right w:val="nil"/>
          <w:between w:val="nil"/>
          <w:bar w:val="nil"/>
        </w:pBdr>
        <w:shd w:val="clear" w:color="auto" w:fill="FFFFFF" w:themeFill="background1"/>
        <w:spacing w:after="120"/>
        <w:ind w:left="1080" w:hanging="1080"/>
        <w:jc w:val="both"/>
        <w:rPr>
          <w:rFonts w:ascii="Simplified Arabic" w:eastAsia="Times New Roman" w:hAnsi="Simplified Arabic"/>
          <w:b/>
          <w:bCs/>
          <w:kern w:val="22"/>
          <w:sz w:val="24"/>
          <w:rtl/>
          <w:lang w:val="en-GB"/>
        </w:rPr>
      </w:pPr>
      <w:r w:rsidRPr="00A4021C">
        <w:rPr>
          <w:rFonts w:ascii="Simplified Arabic" w:eastAsia="Times New Roman" w:hAnsi="Simplified Arabic" w:hint="cs"/>
          <w:b/>
          <w:bCs/>
          <w:kern w:val="22"/>
          <w:sz w:val="24"/>
          <w:rtl/>
          <w:lang w:val="en-GB"/>
        </w:rPr>
        <w:t>الهدف 3-</w:t>
      </w:r>
      <w:r w:rsidRPr="00A4021C">
        <w:rPr>
          <w:rFonts w:ascii="Simplified Arabic" w:eastAsia="Times New Roman" w:hAnsi="Simplified Arabic"/>
          <w:b/>
          <w:bCs/>
          <w:kern w:val="22"/>
          <w:sz w:val="24"/>
          <w:rtl/>
          <w:lang w:val="en-GB"/>
        </w:rPr>
        <w:tab/>
      </w:r>
      <w:r w:rsidRPr="00A4021C">
        <w:rPr>
          <w:rFonts w:ascii="Simplified Arabic" w:eastAsia="Times New Roman" w:hAnsi="Simplified Arabic" w:hint="cs"/>
          <w:b/>
          <w:bCs/>
          <w:kern w:val="22"/>
          <w:sz w:val="24"/>
          <w:rtl/>
          <w:lang w:val="en-GB"/>
        </w:rPr>
        <w:t>صيانة الوظائف وتحسينها</w:t>
      </w:r>
    </w:p>
    <w:p w:rsidR="005A0F76" w:rsidRPr="00A4021C" w:rsidRDefault="005A0F76" w:rsidP="005A0F76">
      <w:pPr>
        <w:pBdr>
          <w:top w:val="nil"/>
          <w:left w:val="nil"/>
          <w:bottom w:val="nil"/>
          <w:right w:val="nil"/>
          <w:between w:val="nil"/>
          <w:bar w:val="nil"/>
        </w:pBdr>
        <w:shd w:val="clear" w:color="auto" w:fill="FFFFFF" w:themeFill="background1"/>
        <w:spacing w:after="120"/>
        <w:ind w:firstLine="720"/>
        <w:jc w:val="both"/>
        <w:rPr>
          <w:rFonts w:ascii="Simplified Arabic" w:eastAsia="Times New Roman" w:hAnsi="Simplified Arabic"/>
          <w:kern w:val="22"/>
          <w:sz w:val="24"/>
          <w:rtl/>
          <w:lang w:val="fr-CH"/>
        </w:rPr>
      </w:pPr>
      <w:r w:rsidRPr="00A4021C">
        <w:rPr>
          <w:rFonts w:ascii="Simplified Arabic" w:eastAsia="Times New Roman" w:hAnsi="Simplified Arabic" w:hint="cs"/>
          <w:kern w:val="22"/>
          <w:sz w:val="24"/>
          <w:rtl/>
          <w:lang w:val="fr-CH"/>
        </w:rPr>
        <w:t>(أ)</w:t>
      </w:r>
      <w:r w:rsidRPr="00A4021C">
        <w:rPr>
          <w:rFonts w:ascii="Simplified Arabic" w:eastAsia="Times New Roman" w:hAnsi="Simplified Arabic"/>
          <w:kern w:val="22"/>
          <w:sz w:val="24"/>
          <w:rtl/>
          <w:lang w:val="fr-CH"/>
        </w:rPr>
        <w:tab/>
      </w:r>
      <w:r>
        <w:rPr>
          <w:rFonts w:ascii="Simplified Arabic" w:eastAsia="Times New Roman" w:hAnsi="Simplified Arabic" w:hint="cs"/>
          <w:kern w:val="22"/>
          <w:sz w:val="24"/>
          <w:rtl/>
          <w:lang w:val="fr-CH"/>
        </w:rPr>
        <w:t>صيانة</w:t>
      </w:r>
      <w:r w:rsidRPr="00A4021C">
        <w:rPr>
          <w:rFonts w:ascii="Simplified Arabic" w:eastAsia="Times New Roman" w:hAnsi="Simplified Arabic"/>
          <w:kern w:val="22"/>
          <w:sz w:val="24"/>
          <w:rtl/>
          <w:lang w:val="fr-CH"/>
        </w:rPr>
        <w:t xml:space="preserve"> الوظائف</w:t>
      </w:r>
      <w:r w:rsidRPr="00A4021C">
        <w:rPr>
          <w:rFonts w:ascii="Simplified Arabic" w:eastAsia="Times New Roman" w:hAnsi="Simplified Arabic" w:hint="cs"/>
          <w:kern w:val="22"/>
          <w:sz w:val="24"/>
          <w:rtl/>
          <w:lang w:val="fr-CH"/>
        </w:rPr>
        <w:t xml:space="preserve"> </w:t>
      </w:r>
      <w:r w:rsidRPr="00A4021C">
        <w:rPr>
          <w:rFonts w:ascii="Simplified Arabic" w:eastAsia="Times New Roman" w:hAnsi="Simplified Arabic"/>
          <w:kern w:val="22"/>
          <w:sz w:val="24"/>
          <w:rtl/>
          <w:lang w:val="fr-CH"/>
        </w:rPr>
        <w:t>وتحسين</w:t>
      </w:r>
      <w:r w:rsidRPr="00A4021C">
        <w:rPr>
          <w:rFonts w:ascii="Simplified Arabic" w:eastAsia="Times New Roman" w:hAnsi="Simplified Arabic" w:hint="cs"/>
          <w:kern w:val="22"/>
          <w:sz w:val="24"/>
          <w:rtl/>
          <w:lang w:val="fr-CH"/>
        </w:rPr>
        <w:t>ها</w:t>
      </w:r>
      <w:r w:rsidRPr="00A4021C">
        <w:rPr>
          <w:rFonts w:ascii="Simplified Arabic" w:eastAsia="Times New Roman" w:hAnsi="Simplified Arabic"/>
          <w:kern w:val="22"/>
          <w:sz w:val="24"/>
          <w:rtl/>
          <w:lang w:val="fr-CH"/>
        </w:rPr>
        <w:t xml:space="preserve"> و</w:t>
      </w:r>
      <w:r w:rsidRPr="00A4021C">
        <w:rPr>
          <w:rFonts w:ascii="Simplified Arabic" w:eastAsia="Times New Roman" w:hAnsi="Simplified Arabic" w:hint="cs"/>
          <w:kern w:val="22"/>
          <w:sz w:val="24"/>
          <w:rtl/>
          <w:lang w:val="fr-CH"/>
        </w:rPr>
        <w:t xml:space="preserve">الانتهاء من </w:t>
      </w:r>
      <w:r w:rsidRPr="00A4021C">
        <w:rPr>
          <w:rFonts w:ascii="Simplified Arabic" w:eastAsia="Times New Roman" w:hAnsi="Simplified Arabic"/>
          <w:kern w:val="22"/>
          <w:sz w:val="24"/>
          <w:rtl/>
          <w:lang w:val="fr-CH"/>
        </w:rPr>
        <w:t>القضايا المتبقية</w:t>
      </w:r>
      <w:r w:rsidRPr="00A4021C">
        <w:rPr>
          <w:rFonts w:ascii="Simplified Arabic" w:eastAsia="Times New Roman" w:hAnsi="Simplified Arabic" w:hint="cs"/>
          <w:kern w:val="22"/>
          <w:sz w:val="24"/>
          <w:rtl/>
          <w:lang w:val="fr-CH"/>
        </w:rPr>
        <w:t>؛</w:t>
      </w:r>
    </w:p>
    <w:p w:rsidR="005A0F76" w:rsidRPr="00A4021C" w:rsidRDefault="005A0F76" w:rsidP="005A0F76">
      <w:pPr>
        <w:pBdr>
          <w:top w:val="nil"/>
          <w:left w:val="nil"/>
          <w:bottom w:val="nil"/>
          <w:right w:val="nil"/>
          <w:between w:val="nil"/>
          <w:bar w:val="nil"/>
        </w:pBdr>
        <w:shd w:val="clear" w:color="auto" w:fill="FFFFFF" w:themeFill="background1"/>
        <w:spacing w:after="120"/>
        <w:ind w:firstLine="720"/>
        <w:jc w:val="both"/>
        <w:rPr>
          <w:rFonts w:ascii="Simplified Arabic" w:eastAsia="Times New Roman" w:hAnsi="Simplified Arabic"/>
          <w:kern w:val="22"/>
          <w:sz w:val="24"/>
          <w:rtl/>
          <w:lang w:val="fr-CH"/>
        </w:rPr>
      </w:pPr>
      <w:r w:rsidRPr="00A4021C">
        <w:rPr>
          <w:rFonts w:ascii="Simplified Arabic" w:eastAsia="Times New Roman" w:hAnsi="Simplified Arabic" w:hint="cs"/>
          <w:kern w:val="22"/>
          <w:sz w:val="24"/>
          <w:rtl/>
          <w:lang w:val="fr-CH"/>
        </w:rPr>
        <w:t>(ب)</w:t>
      </w:r>
      <w:r w:rsidRPr="00A4021C">
        <w:rPr>
          <w:rFonts w:ascii="Simplified Arabic" w:eastAsia="Times New Roman" w:hAnsi="Simplified Arabic"/>
          <w:kern w:val="22"/>
          <w:sz w:val="24"/>
          <w:rtl/>
          <w:lang w:val="fr-CH"/>
        </w:rPr>
        <w:tab/>
      </w:r>
      <w:r w:rsidRPr="00A4021C">
        <w:rPr>
          <w:rFonts w:ascii="Simplified Arabic" w:eastAsia="Times New Roman" w:hAnsi="Simplified Arabic" w:hint="cs"/>
          <w:kern w:val="22"/>
          <w:sz w:val="24"/>
          <w:rtl/>
          <w:lang w:val="fr-CH"/>
        </w:rPr>
        <w:t>وضع الص</w:t>
      </w:r>
      <w:bookmarkStart w:id="0" w:name="_GoBack"/>
      <w:bookmarkEnd w:id="0"/>
      <w:r w:rsidRPr="00A4021C">
        <w:rPr>
          <w:rFonts w:ascii="Simplified Arabic" w:eastAsia="Times New Roman" w:hAnsi="Simplified Arabic" w:hint="cs"/>
          <w:kern w:val="22"/>
          <w:sz w:val="24"/>
          <w:rtl/>
          <w:lang w:val="fr-CH"/>
        </w:rPr>
        <w:t>يغة النهائية</w:t>
      </w:r>
      <w:r w:rsidRPr="00A4021C">
        <w:rPr>
          <w:rFonts w:ascii="Simplified Arabic" w:eastAsia="Times New Roman" w:hAnsi="Simplified Arabic"/>
          <w:kern w:val="22"/>
          <w:sz w:val="24"/>
          <w:rtl/>
          <w:lang w:val="fr-CH"/>
        </w:rPr>
        <w:t xml:space="preserve"> </w:t>
      </w:r>
      <w:r w:rsidRPr="00A4021C">
        <w:rPr>
          <w:rFonts w:ascii="Simplified Arabic" w:eastAsia="Times New Roman" w:hAnsi="Simplified Arabic" w:hint="cs"/>
          <w:kern w:val="22"/>
          <w:sz w:val="24"/>
          <w:rtl/>
          <w:lang w:val="fr-CH"/>
        </w:rPr>
        <w:t>ل</w:t>
      </w:r>
      <w:r w:rsidRPr="00A4021C">
        <w:rPr>
          <w:rFonts w:ascii="Simplified Arabic" w:eastAsia="Times New Roman" w:hAnsi="Simplified Arabic"/>
          <w:kern w:val="22"/>
          <w:sz w:val="24"/>
          <w:rtl/>
          <w:lang w:val="fr-CH"/>
        </w:rPr>
        <w:t>وثائق واجهة برمجة التطبيقات</w:t>
      </w:r>
      <w:r>
        <w:rPr>
          <w:rFonts w:ascii="Simplified Arabic" w:eastAsia="Times New Roman" w:hAnsi="Simplified Arabic" w:hint="cs"/>
          <w:kern w:val="22"/>
          <w:sz w:val="24"/>
          <w:rtl/>
          <w:lang w:val="fr-CH"/>
        </w:rPr>
        <w:t>،</w:t>
      </w:r>
      <w:r w:rsidRPr="00A4021C">
        <w:rPr>
          <w:rFonts w:ascii="Simplified Arabic" w:eastAsia="Times New Roman" w:hAnsi="Simplified Arabic" w:hint="cs"/>
          <w:kern w:val="22"/>
          <w:sz w:val="24"/>
          <w:rtl/>
          <w:lang w:val="fr-CH"/>
        </w:rPr>
        <w:t xml:space="preserve"> وهي</w:t>
      </w:r>
      <w:r w:rsidRPr="00A4021C">
        <w:rPr>
          <w:rFonts w:ascii="Simplified Arabic" w:eastAsia="Times New Roman" w:hAnsi="Simplified Arabic"/>
          <w:kern w:val="22"/>
          <w:sz w:val="24"/>
          <w:rtl/>
          <w:lang w:val="fr-CH"/>
        </w:rPr>
        <w:t xml:space="preserve"> الآلية الرئيسية للتشغيل ال</w:t>
      </w:r>
      <w:r w:rsidRPr="00A4021C">
        <w:rPr>
          <w:rFonts w:ascii="Simplified Arabic" w:eastAsia="Times New Roman" w:hAnsi="Simplified Arabic" w:hint="cs"/>
          <w:kern w:val="22"/>
          <w:sz w:val="24"/>
          <w:rtl/>
          <w:lang w:val="fr-CH"/>
        </w:rPr>
        <w:t>بيني؛</w:t>
      </w:r>
    </w:p>
    <w:p w:rsidR="005A0F76" w:rsidRPr="00A4021C" w:rsidRDefault="005A0F76" w:rsidP="005A0F76">
      <w:pPr>
        <w:pBdr>
          <w:top w:val="nil"/>
          <w:left w:val="nil"/>
          <w:bottom w:val="nil"/>
          <w:right w:val="nil"/>
          <w:between w:val="nil"/>
          <w:bar w:val="nil"/>
        </w:pBdr>
        <w:shd w:val="clear" w:color="auto" w:fill="FFFFFF" w:themeFill="background1"/>
        <w:spacing w:after="120"/>
        <w:ind w:firstLine="720"/>
        <w:jc w:val="both"/>
        <w:rPr>
          <w:rFonts w:ascii="Simplified Arabic" w:eastAsia="Times New Roman" w:hAnsi="Simplified Arabic"/>
          <w:kern w:val="22"/>
          <w:sz w:val="24"/>
          <w:rtl/>
          <w:lang w:val="fr-CH"/>
        </w:rPr>
      </w:pPr>
      <w:r w:rsidRPr="00A4021C">
        <w:rPr>
          <w:rFonts w:ascii="Simplified Arabic" w:eastAsia="Times New Roman" w:hAnsi="Simplified Arabic" w:hint="cs"/>
          <w:kern w:val="22"/>
          <w:sz w:val="24"/>
          <w:rtl/>
          <w:lang w:val="fr-CH"/>
        </w:rPr>
        <w:t>(ج)</w:t>
      </w:r>
      <w:r w:rsidRPr="00A4021C">
        <w:rPr>
          <w:rFonts w:ascii="Simplified Arabic" w:eastAsia="Times New Roman" w:hAnsi="Simplified Arabic"/>
          <w:kern w:val="22"/>
          <w:sz w:val="24"/>
          <w:rtl/>
          <w:lang w:val="fr-CH"/>
        </w:rPr>
        <w:tab/>
        <w:t xml:space="preserve">تحسين وظيفة البحث من أجل فرز السجلات وتجميعها، وكذلك استكشاف المعلومات المنشورة وتحليلها وتقديمها بطرق مفيدة، بما في ذلك المعلومات </w:t>
      </w:r>
      <w:r>
        <w:rPr>
          <w:rFonts w:ascii="Simplified Arabic" w:eastAsia="Times New Roman" w:hAnsi="Simplified Arabic"/>
          <w:kern w:val="22"/>
          <w:sz w:val="24"/>
          <w:rtl/>
          <w:lang w:val="fr-CH"/>
        </w:rPr>
        <w:t>المتعلقة ببناء القدرات</w:t>
      </w:r>
      <w:r>
        <w:rPr>
          <w:rFonts w:ascii="Simplified Arabic" w:eastAsia="Times New Roman" w:hAnsi="Simplified Arabic" w:hint="cs"/>
          <w:kern w:val="22"/>
          <w:sz w:val="24"/>
          <w:rtl/>
          <w:lang w:val="fr-CH"/>
        </w:rPr>
        <w:t xml:space="preserve"> والاستفادة من </w:t>
      </w:r>
      <w:r w:rsidRPr="00A4021C">
        <w:rPr>
          <w:rFonts w:ascii="Simplified Arabic" w:eastAsia="Times New Roman" w:hAnsi="Simplified Arabic"/>
          <w:kern w:val="22"/>
          <w:sz w:val="24"/>
          <w:rtl/>
          <w:lang w:val="fr-CH"/>
        </w:rPr>
        <w:t>الخرائط والمخططات والرسوم البيانية، حسب الاقتضاء</w:t>
      </w:r>
      <w:r w:rsidRPr="00A4021C">
        <w:rPr>
          <w:rFonts w:ascii="Simplified Arabic" w:eastAsia="Times New Roman" w:hAnsi="Simplified Arabic" w:hint="cs"/>
          <w:kern w:val="22"/>
          <w:sz w:val="24"/>
          <w:rtl/>
          <w:lang w:val="fr-CH"/>
        </w:rPr>
        <w:t>؛</w:t>
      </w:r>
    </w:p>
    <w:p w:rsidR="005A0F76" w:rsidRPr="00A4021C" w:rsidRDefault="005A0F76" w:rsidP="005A0F76">
      <w:pPr>
        <w:pBdr>
          <w:top w:val="nil"/>
          <w:left w:val="nil"/>
          <w:bottom w:val="nil"/>
          <w:right w:val="nil"/>
          <w:between w:val="nil"/>
          <w:bar w:val="nil"/>
        </w:pBdr>
        <w:shd w:val="clear" w:color="auto" w:fill="FFFFFF" w:themeFill="background1"/>
        <w:spacing w:after="120"/>
        <w:ind w:firstLine="720"/>
        <w:jc w:val="both"/>
        <w:rPr>
          <w:rFonts w:ascii="Simplified Arabic" w:eastAsia="Times New Roman" w:hAnsi="Simplified Arabic"/>
          <w:kern w:val="22"/>
          <w:sz w:val="24"/>
          <w:rtl/>
          <w:lang w:val="fr-CH"/>
        </w:rPr>
      </w:pPr>
      <w:r w:rsidRPr="00A4021C">
        <w:rPr>
          <w:rFonts w:ascii="Simplified Arabic" w:eastAsia="Times New Roman" w:hAnsi="Simplified Arabic" w:hint="cs"/>
          <w:kern w:val="22"/>
          <w:sz w:val="24"/>
          <w:rtl/>
          <w:lang w:val="fr-CH"/>
        </w:rPr>
        <w:t>(د)</w:t>
      </w:r>
      <w:r w:rsidRPr="00A4021C">
        <w:rPr>
          <w:rFonts w:ascii="Simplified Arabic" w:eastAsia="Times New Roman" w:hAnsi="Simplified Arabic"/>
          <w:kern w:val="22"/>
          <w:sz w:val="24"/>
          <w:rtl/>
          <w:lang w:val="fr-CH"/>
        </w:rPr>
        <w:tab/>
        <w:t>تحسين إدارة المفردات الشائعة (</w:t>
      </w:r>
      <w:r w:rsidRPr="00D04637">
        <w:rPr>
          <w:rFonts w:ascii="Simplified Arabic" w:eastAsia="Times New Roman" w:hAnsi="Simplified Arabic"/>
          <w:kern w:val="22"/>
          <w:sz w:val="24"/>
          <w:rtl/>
          <w:lang w:val="fr-CH"/>
        </w:rPr>
        <w:t>المكنز</w:t>
      </w:r>
      <w:r w:rsidRPr="00A4021C">
        <w:rPr>
          <w:rFonts w:ascii="Simplified Arabic" w:eastAsia="Times New Roman" w:hAnsi="Simplified Arabic"/>
          <w:kern w:val="22"/>
          <w:sz w:val="24"/>
          <w:rtl/>
          <w:lang w:val="fr-CH"/>
        </w:rPr>
        <w:t>)، بما في ذلك كيفية وضع علامات على المعل</w:t>
      </w:r>
      <w:r w:rsidRPr="00A4021C">
        <w:rPr>
          <w:rFonts w:ascii="Simplified Arabic" w:eastAsia="Times New Roman" w:hAnsi="Simplified Arabic" w:hint="cs"/>
          <w:kern w:val="22"/>
          <w:sz w:val="24"/>
          <w:rtl/>
          <w:lang w:val="fr-CH"/>
        </w:rPr>
        <w:t>و</w:t>
      </w:r>
      <w:r w:rsidRPr="00A4021C">
        <w:rPr>
          <w:rFonts w:ascii="Simplified Arabic" w:eastAsia="Times New Roman" w:hAnsi="Simplified Arabic"/>
          <w:kern w:val="22"/>
          <w:sz w:val="24"/>
          <w:rtl/>
          <w:lang w:val="fr-CH"/>
        </w:rPr>
        <w:t>مات ب</w:t>
      </w:r>
      <w:r w:rsidRPr="00A4021C">
        <w:rPr>
          <w:rFonts w:ascii="Simplified Arabic" w:eastAsia="Times New Roman" w:hAnsi="Simplified Arabic" w:hint="cs"/>
          <w:kern w:val="22"/>
          <w:sz w:val="24"/>
          <w:rtl/>
          <w:lang w:val="fr-CH"/>
        </w:rPr>
        <w:t xml:space="preserve">واسطة </w:t>
      </w:r>
      <w:r w:rsidRPr="00A4021C">
        <w:rPr>
          <w:rFonts w:ascii="Simplified Arabic" w:eastAsia="Times New Roman" w:hAnsi="Simplified Arabic"/>
          <w:kern w:val="22"/>
          <w:sz w:val="24"/>
          <w:rtl/>
          <w:lang w:val="fr-CH"/>
        </w:rPr>
        <w:t>الكلمات الرئيسية لتحسين استرجاع المعلومات</w:t>
      </w:r>
      <w:r w:rsidRPr="00A4021C">
        <w:rPr>
          <w:rFonts w:ascii="Simplified Arabic" w:eastAsia="Times New Roman" w:hAnsi="Simplified Arabic" w:hint="cs"/>
          <w:kern w:val="22"/>
          <w:sz w:val="24"/>
          <w:rtl/>
          <w:lang w:val="fr-CH"/>
        </w:rPr>
        <w:t>؛</w:t>
      </w:r>
    </w:p>
    <w:p w:rsidR="005A0F76" w:rsidRPr="00A4021C" w:rsidRDefault="005A0F76" w:rsidP="005A0F76">
      <w:pPr>
        <w:pBdr>
          <w:top w:val="nil"/>
          <w:left w:val="nil"/>
          <w:bottom w:val="nil"/>
          <w:right w:val="nil"/>
          <w:between w:val="nil"/>
          <w:bar w:val="nil"/>
        </w:pBdr>
        <w:shd w:val="clear" w:color="auto" w:fill="FFFFFF" w:themeFill="background1"/>
        <w:spacing w:after="120"/>
        <w:ind w:firstLine="720"/>
        <w:jc w:val="both"/>
        <w:rPr>
          <w:rFonts w:ascii="Simplified Arabic" w:eastAsia="Times New Roman" w:hAnsi="Simplified Arabic"/>
          <w:kern w:val="22"/>
          <w:sz w:val="24"/>
          <w:rtl/>
          <w:lang w:val="fr-CH"/>
        </w:rPr>
      </w:pPr>
      <w:r w:rsidRPr="00A4021C">
        <w:rPr>
          <w:rFonts w:ascii="Simplified Arabic" w:eastAsia="Times New Roman" w:hAnsi="Simplified Arabic" w:hint="cs"/>
          <w:kern w:val="22"/>
          <w:sz w:val="24"/>
          <w:rtl/>
          <w:lang w:val="fr-CH"/>
        </w:rPr>
        <w:t>(هـ)</w:t>
      </w:r>
      <w:r w:rsidRPr="00A4021C">
        <w:rPr>
          <w:rFonts w:ascii="Simplified Arabic" w:eastAsia="Times New Roman" w:hAnsi="Simplified Arabic"/>
          <w:kern w:val="22"/>
          <w:sz w:val="24"/>
          <w:rtl/>
          <w:lang w:val="fr-CH"/>
        </w:rPr>
        <w:tab/>
        <w:t xml:space="preserve">تحسين تحليلات </w:t>
      </w:r>
      <w:r w:rsidRPr="00A4021C">
        <w:rPr>
          <w:rFonts w:ascii="Simplified Arabic" w:eastAsia="Times New Roman" w:hAnsi="Simplified Arabic" w:hint="cs"/>
          <w:kern w:val="22"/>
          <w:sz w:val="24"/>
          <w:rtl/>
          <w:lang w:val="fr-CH"/>
        </w:rPr>
        <w:t>ال</w:t>
      </w:r>
      <w:r w:rsidRPr="00A4021C">
        <w:rPr>
          <w:rFonts w:ascii="Simplified Arabic" w:eastAsia="Times New Roman" w:hAnsi="Simplified Arabic"/>
          <w:kern w:val="22"/>
          <w:sz w:val="24"/>
          <w:rtl/>
          <w:lang w:val="fr-CH"/>
        </w:rPr>
        <w:t>موقع ال</w:t>
      </w:r>
      <w:r w:rsidRPr="00A4021C">
        <w:rPr>
          <w:rFonts w:ascii="Simplified Arabic" w:eastAsia="Times New Roman" w:hAnsi="Simplified Arabic" w:hint="cs"/>
          <w:kern w:val="22"/>
          <w:sz w:val="24"/>
          <w:rtl/>
          <w:lang w:val="fr-CH"/>
        </w:rPr>
        <w:t>إلكتروني</w:t>
      </w:r>
      <w:r w:rsidRPr="00A4021C">
        <w:rPr>
          <w:rFonts w:ascii="Simplified Arabic" w:eastAsia="Times New Roman" w:hAnsi="Simplified Arabic"/>
          <w:kern w:val="22"/>
          <w:sz w:val="24"/>
          <w:rtl/>
          <w:lang w:val="fr-CH"/>
        </w:rPr>
        <w:t xml:space="preserve"> ل</w:t>
      </w:r>
      <w:r w:rsidRPr="00A4021C">
        <w:rPr>
          <w:rFonts w:ascii="Simplified Arabic" w:eastAsia="Times New Roman" w:hAnsi="Simplified Arabic" w:hint="cs"/>
          <w:kern w:val="22"/>
          <w:sz w:val="24"/>
          <w:rtl/>
          <w:lang w:val="fr-CH"/>
        </w:rPr>
        <w:t>يت</w:t>
      </w:r>
      <w:r w:rsidRPr="00A4021C">
        <w:rPr>
          <w:rFonts w:ascii="Simplified Arabic" w:eastAsia="Times New Roman" w:hAnsi="Simplified Arabic"/>
          <w:kern w:val="22"/>
          <w:sz w:val="24"/>
          <w:rtl/>
          <w:lang w:val="fr-CH"/>
        </w:rPr>
        <w:t xml:space="preserve">ضمن تتبع التنزيلات </w:t>
      </w:r>
      <w:r>
        <w:rPr>
          <w:rFonts w:ascii="Simplified Arabic" w:eastAsia="Times New Roman" w:hAnsi="Simplified Arabic" w:hint="cs"/>
          <w:kern w:val="22"/>
          <w:sz w:val="24"/>
          <w:rtl/>
          <w:lang w:val="fr-CH"/>
        </w:rPr>
        <w:t>والآراء</w:t>
      </w:r>
      <w:r w:rsidRPr="00A4021C">
        <w:rPr>
          <w:rFonts w:ascii="Simplified Arabic" w:eastAsia="Times New Roman" w:hAnsi="Simplified Arabic"/>
          <w:kern w:val="22"/>
          <w:sz w:val="24"/>
          <w:rtl/>
          <w:lang w:val="fr-CH"/>
        </w:rPr>
        <w:t xml:space="preserve"> للسجلات الفردية والملفات المرفقة بها وتزويد المستخدمين ال</w:t>
      </w:r>
      <w:r w:rsidRPr="00A4021C">
        <w:rPr>
          <w:rFonts w:ascii="Simplified Arabic" w:eastAsia="Times New Roman" w:hAnsi="Simplified Arabic" w:hint="cs"/>
          <w:kern w:val="22"/>
          <w:sz w:val="24"/>
          <w:rtl/>
          <w:lang w:val="fr-CH"/>
        </w:rPr>
        <w:t>وطنيين</w:t>
      </w:r>
      <w:r w:rsidRPr="00A4021C">
        <w:rPr>
          <w:rFonts w:ascii="Simplified Arabic" w:eastAsia="Times New Roman" w:hAnsi="Simplified Arabic"/>
          <w:kern w:val="22"/>
          <w:sz w:val="24"/>
          <w:rtl/>
          <w:lang w:val="fr-CH"/>
        </w:rPr>
        <w:t xml:space="preserve"> بالتحليلات والمعلومات ذات الصلة</w:t>
      </w:r>
      <w:r w:rsidRPr="00A4021C">
        <w:rPr>
          <w:rFonts w:ascii="Simplified Arabic" w:eastAsia="Times New Roman" w:hAnsi="Simplified Arabic" w:hint="cs"/>
          <w:kern w:val="22"/>
          <w:sz w:val="24"/>
          <w:rtl/>
          <w:lang w:val="fr-CH"/>
        </w:rPr>
        <w:t>؛</w:t>
      </w:r>
    </w:p>
    <w:p w:rsidR="005A0F76" w:rsidRPr="00A4021C" w:rsidRDefault="005A0F76" w:rsidP="005A0F76">
      <w:pPr>
        <w:pBdr>
          <w:top w:val="nil"/>
          <w:left w:val="nil"/>
          <w:bottom w:val="nil"/>
          <w:right w:val="nil"/>
          <w:between w:val="nil"/>
          <w:bar w:val="nil"/>
        </w:pBdr>
        <w:shd w:val="clear" w:color="auto" w:fill="FFFFFF" w:themeFill="background1"/>
        <w:spacing w:after="120"/>
        <w:ind w:firstLine="720"/>
        <w:jc w:val="both"/>
        <w:rPr>
          <w:rFonts w:ascii="Simplified Arabic" w:eastAsia="Times New Roman" w:hAnsi="Simplified Arabic"/>
          <w:kern w:val="22"/>
          <w:sz w:val="24"/>
          <w:rtl/>
          <w:lang w:val="fr-CH"/>
        </w:rPr>
      </w:pPr>
      <w:r w:rsidRPr="00A4021C">
        <w:rPr>
          <w:rFonts w:ascii="Simplified Arabic" w:eastAsia="Times New Roman" w:hAnsi="Simplified Arabic" w:hint="cs"/>
          <w:kern w:val="22"/>
          <w:sz w:val="24"/>
          <w:rtl/>
          <w:lang w:val="fr-CH"/>
        </w:rPr>
        <w:t>(و)</w:t>
      </w:r>
      <w:r w:rsidRPr="00A4021C">
        <w:rPr>
          <w:rFonts w:ascii="Simplified Arabic" w:eastAsia="Times New Roman" w:hAnsi="Simplified Arabic"/>
          <w:kern w:val="22"/>
          <w:sz w:val="24"/>
          <w:rtl/>
          <w:lang w:val="fr-CH"/>
        </w:rPr>
        <w:tab/>
        <w:t>تحسين ال</w:t>
      </w:r>
      <w:r w:rsidRPr="00A4021C">
        <w:rPr>
          <w:rFonts w:ascii="Simplified Arabic" w:eastAsia="Times New Roman" w:hAnsi="Simplified Arabic" w:hint="cs"/>
          <w:kern w:val="22"/>
          <w:sz w:val="24"/>
          <w:rtl/>
          <w:lang w:val="fr-CH"/>
        </w:rPr>
        <w:t>وظائف</w:t>
      </w:r>
      <w:r w:rsidRPr="00A4021C">
        <w:rPr>
          <w:rFonts w:ascii="Simplified Arabic" w:eastAsia="Times New Roman" w:hAnsi="Simplified Arabic"/>
          <w:kern w:val="22"/>
          <w:sz w:val="24"/>
          <w:rtl/>
          <w:lang w:val="fr-CH"/>
        </w:rPr>
        <w:t xml:space="preserve"> للسماح بالتحديث </w:t>
      </w:r>
      <w:r>
        <w:rPr>
          <w:rFonts w:ascii="Simplified Arabic" w:eastAsia="Times New Roman" w:hAnsi="Simplified Arabic" w:hint="cs"/>
          <w:kern w:val="22"/>
          <w:sz w:val="24"/>
          <w:rtl/>
          <w:lang w:val="fr-CH"/>
        </w:rPr>
        <w:t>اليسير</w:t>
      </w:r>
      <w:r w:rsidRPr="00A4021C">
        <w:rPr>
          <w:rFonts w:ascii="Simplified Arabic" w:eastAsia="Times New Roman" w:hAnsi="Simplified Arabic"/>
          <w:kern w:val="22"/>
          <w:sz w:val="24"/>
          <w:rtl/>
          <w:lang w:val="fr-CH"/>
        </w:rPr>
        <w:t xml:space="preserve"> للسجلات التي تتضمن مراجع لإصدارات أقدم من السجلات</w:t>
      </w:r>
      <w:r w:rsidRPr="00A4021C">
        <w:rPr>
          <w:rFonts w:ascii="Simplified Arabic" w:eastAsia="Times New Roman" w:hAnsi="Simplified Arabic" w:hint="cs"/>
          <w:kern w:val="22"/>
          <w:sz w:val="24"/>
          <w:rtl/>
          <w:lang w:val="fr-CH"/>
        </w:rPr>
        <w:t>؛</w:t>
      </w:r>
    </w:p>
    <w:p w:rsidR="005A0F76" w:rsidRPr="00A4021C" w:rsidRDefault="005A0F76" w:rsidP="005A0F76">
      <w:pPr>
        <w:pBdr>
          <w:top w:val="nil"/>
          <w:left w:val="nil"/>
          <w:bottom w:val="nil"/>
          <w:right w:val="nil"/>
          <w:between w:val="nil"/>
          <w:bar w:val="nil"/>
        </w:pBdr>
        <w:shd w:val="clear" w:color="auto" w:fill="FFFFFF" w:themeFill="background1"/>
        <w:spacing w:after="120"/>
        <w:ind w:left="1080" w:hanging="1080"/>
        <w:jc w:val="both"/>
        <w:rPr>
          <w:rFonts w:ascii="Simplified Arabic" w:eastAsia="Times New Roman" w:hAnsi="Simplified Arabic"/>
          <w:b/>
          <w:bCs/>
          <w:kern w:val="22"/>
          <w:sz w:val="24"/>
          <w:rtl/>
          <w:lang w:val="en-GB"/>
        </w:rPr>
      </w:pPr>
      <w:r w:rsidRPr="00A4021C">
        <w:rPr>
          <w:rFonts w:ascii="Simplified Arabic" w:eastAsia="Times New Roman" w:hAnsi="Simplified Arabic" w:hint="cs"/>
          <w:b/>
          <w:bCs/>
          <w:kern w:val="22"/>
          <w:sz w:val="24"/>
          <w:rtl/>
          <w:lang w:val="en-GB"/>
        </w:rPr>
        <w:t>الهدف 4-</w:t>
      </w:r>
      <w:r w:rsidRPr="00A4021C">
        <w:rPr>
          <w:rFonts w:ascii="Simplified Arabic" w:eastAsia="Times New Roman" w:hAnsi="Simplified Arabic"/>
          <w:b/>
          <w:bCs/>
          <w:kern w:val="22"/>
          <w:sz w:val="24"/>
          <w:rtl/>
          <w:lang w:val="en-GB"/>
        </w:rPr>
        <w:tab/>
      </w:r>
      <w:r w:rsidRPr="00A4021C">
        <w:rPr>
          <w:rFonts w:ascii="Simplified Arabic" w:eastAsia="Times New Roman" w:hAnsi="Simplified Arabic" w:hint="cs"/>
          <w:b/>
          <w:bCs/>
          <w:kern w:val="22"/>
          <w:sz w:val="24"/>
          <w:rtl/>
          <w:lang w:val="en-GB"/>
        </w:rPr>
        <w:t>التكامل مع آلية غرفة تبادل المعلومات</w:t>
      </w:r>
    </w:p>
    <w:p w:rsidR="005A0F76" w:rsidRPr="00A4021C" w:rsidRDefault="005A0F76" w:rsidP="005A0F76">
      <w:pPr>
        <w:pBdr>
          <w:top w:val="nil"/>
          <w:left w:val="nil"/>
          <w:bottom w:val="nil"/>
          <w:right w:val="nil"/>
          <w:between w:val="nil"/>
          <w:bar w:val="nil"/>
        </w:pBdr>
        <w:shd w:val="clear" w:color="auto" w:fill="FFFFFF" w:themeFill="background1"/>
        <w:spacing w:after="120"/>
        <w:ind w:firstLine="720"/>
        <w:jc w:val="both"/>
        <w:rPr>
          <w:rFonts w:ascii="Simplified Arabic" w:eastAsia="Times New Roman" w:hAnsi="Simplified Arabic"/>
          <w:kern w:val="22"/>
          <w:sz w:val="24"/>
          <w:rtl/>
          <w:lang w:val="fr-CH"/>
        </w:rPr>
      </w:pPr>
      <w:r w:rsidRPr="00A4021C">
        <w:rPr>
          <w:rFonts w:ascii="Simplified Arabic" w:eastAsia="Times New Roman" w:hAnsi="Simplified Arabic" w:hint="cs"/>
          <w:kern w:val="22"/>
          <w:sz w:val="24"/>
          <w:rtl/>
          <w:lang w:val="fr-CH"/>
        </w:rPr>
        <w:t>(أ)</w:t>
      </w:r>
      <w:r w:rsidRPr="00A4021C">
        <w:rPr>
          <w:rFonts w:ascii="Simplified Arabic" w:eastAsia="Times New Roman" w:hAnsi="Simplified Arabic"/>
          <w:kern w:val="22"/>
          <w:sz w:val="24"/>
          <w:rtl/>
          <w:lang w:val="fr-CH"/>
        </w:rPr>
        <w:tab/>
      </w:r>
      <w:r w:rsidRPr="00A4021C">
        <w:rPr>
          <w:rFonts w:ascii="Simplified Arabic" w:eastAsia="Times New Roman" w:hAnsi="Simplified Arabic" w:hint="cs"/>
          <w:kern w:val="22"/>
          <w:sz w:val="24"/>
          <w:rtl/>
          <w:lang w:val="fr-CH"/>
        </w:rPr>
        <w:t>موا</w:t>
      </w:r>
      <w:r>
        <w:rPr>
          <w:rFonts w:ascii="Simplified Arabic" w:eastAsia="Times New Roman" w:hAnsi="Simplified Arabic" w:hint="cs"/>
          <w:kern w:val="22"/>
          <w:sz w:val="24"/>
          <w:rtl/>
          <w:lang w:val="fr-CH"/>
        </w:rPr>
        <w:t>صلة دعم تنفيذ استراتيجية الويب في ا</w:t>
      </w:r>
      <w:r w:rsidRPr="00A4021C">
        <w:rPr>
          <w:rFonts w:ascii="Simplified Arabic" w:eastAsia="Times New Roman" w:hAnsi="Simplified Arabic" w:hint="cs"/>
          <w:kern w:val="22"/>
          <w:sz w:val="24"/>
          <w:rtl/>
          <w:lang w:val="fr-CH"/>
        </w:rPr>
        <w:t>لاتفاقية المتعلقة بالتنوع البيولوجي؛</w:t>
      </w:r>
    </w:p>
    <w:p w:rsidR="005A0F76" w:rsidRPr="00A4021C" w:rsidRDefault="005A0F76" w:rsidP="005A0F76">
      <w:pPr>
        <w:pBdr>
          <w:top w:val="nil"/>
          <w:left w:val="nil"/>
          <w:bottom w:val="nil"/>
          <w:right w:val="nil"/>
          <w:between w:val="nil"/>
          <w:bar w:val="nil"/>
        </w:pBdr>
        <w:shd w:val="clear" w:color="auto" w:fill="FFFFFF" w:themeFill="background1"/>
        <w:spacing w:after="120"/>
        <w:ind w:firstLine="720"/>
        <w:jc w:val="both"/>
        <w:rPr>
          <w:rFonts w:ascii="Simplified Arabic" w:eastAsia="Times New Roman" w:hAnsi="Simplified Arabic"/>
          <w:kern w:val="22"/>
          <w:sz w:val="24"/>
          <w:rtl/>
          <w:lang w:val="fr-CH"/>
        </w:rPr>
      </w:pPr>
      <w:r w:rsidRPr="00A4021C">
        <w:rPr>
          <w:rFonts w:ascii="Simplified Arabic" w:eastAsia="Times New Roman" w:hAnsi="Simplified Arabic" w:hint="cs"/>
          <w:kern w:val="22"/>
          <w:sz w:val="24"/>
          <w:rtl/>
          <w:lang w:val="fr-CH"/>
        </w:rPr>
        <w:t>(ب)</w:t>
      </w:r>
      <w:r w:rsidRPr="00A4021C">
        <w:rPr>
          <w:rFonts w:ascii="Simplified Arabic" w:eastAsia="Times New Roman" w:hAnsi="Simplified Arabic"/>
          <w:kern w:val="22"/>
          <w:sz w:val="24"/>
          <w:rtl/>
          <w:lang w:val="fr-CH"/>
        </w:rPr>
        <w:tab/>
        <w:t>دعم دمج غرفة تبادل المعلومات المركزية للاتفاقية وغرفة تبادل معلومات السلامة الأحيائية مع غرفة تبادل المعلومات بشأن الحصول وتقاسم المنافع في إطار منصة واحدة من أجل ضمان</w:t>
      </w:r>
      <w:r>
        <w:rPr>
          <w:rFonts w:ascii="Simplified Arabic" w:eastAsia="Times New Roman" w:hAnsi="Simplified Arabic" w:hint="cs"/>
          <w:kern w:val="22"/>
          <w:sz w:val="24"/>
          <w:rtl/>
          <w:lang w:val="fr-CH"/>
        </w:rPr>
        <w:t xml:space="preserve"> اتباع</w:t>
      </w:r>
      <w:r w:rsidRPr="00A4021C">
        <w:rPr>
          <w:rFonts w:ascii="Simplified Arabic" w:eastAsia="Times New Roman" w:hAnsi="Simplified Arabic"/>
          <w:kern w:val="22"/>
          <w:sz w:val="24"/>
          <w:rtl/>
          <w:lang w:val="fr-CH"/>
        </w:rPr>
        <w:t xml:space="preserve"> نهج منسق لت</w:t>
      </w:r>
      <w:r w:rsidRPr="00A4021C">
        <w:rPr>
          <w:rFonts w:ascii="Simplified Arabic" w:eastAsia="Times New Roman" w:hAnsi="Simplified Arabic" w:hint="cs"/>
          <w:kern w:val="22"/>
          <w:sz w:val="24"/>
          <w:rtl/>
          <w:lang w:val="fr-CH"/>
        </w:rPr>
        <w:t xml:space="preserve">طوير </w:t>
      </w:r>
      <w:r w:rsidRPr="00A4021C">
        <w:rPr>
          <w:rFonts w:ascii="Simplified Arabic" w:eastAsia="Times New Roman" w:hAnsi="Simplified Arabic"/>
          <w:kern w:val="22"/>
          <w:sz w:val="24"/>
          <w:rtl/>
          <w:lang w:val="fr-CH"/>
        </w:rPr>
        <w:t>الويب والبنية التحتية</w:t>
      </w:r>
      <w:r>
        <w:rPr>
          <w:rFonts w:ascii="Simplified Arabic" w:eastAsia="Times New Roman" w:hAnsi="Simplified Arabic"/>
          <w:kern w:val="22"/>
          <w:sz w:val="24"/>
          <w:rtl/>
          <w:lang w:val="fr-CH"/>
        </w:rPr>
        <w:t xml:space="preserve"> لتكنولوجيا المعلومات ذات الصلة</w:t>
      </w:r>
      <w:r>
        <w:rPr>
          <w:rFonts w:ascii="Simplified Arabic" w:eastAsia="Times New Roman" w:hAnsi="Simplified Arabic" w:hint="cs"/>
          <w:kern w:val="22"/>
          <w:sz w:val="24"/>
          <w:rtl/>
          <w:lang w:val="fr-CH"/>
        </w:rPr>
        <w:t>.</w:t>
      </w:r>
    </w:p>
    <w:p w:rsidR="005A0F76" w:rsidRPr="005A0F76" w:rsidRDefault="005A0F76" w:rsidP="00564AB8">
      <w:pPr>
        <w:jc w:val="both"/>
        <w:rPr>
          <w:kern w:val="22"/>
          <w:sz w:val="22"/>
          <w:rtl/>
        </w:rPr>
      </w:pPr>
    </w:p>
    <w:p w:rsidR="00000169" w:rsidRDefault="00EC1983" w:rsidP="00EC1983">
      <w:pPr>
        <w:spacing w:after="120"/>
        <w:jc w:val="center"/>
        <w:rPr>
          <w:sz w:val="24"/>
          <w:rtl/>
          <w:lang w:bidi="ar-EG"/>
        </w:rPr>
      </w:pPr>
      <w:r>
        <w:rPr>
          <w:rFonts w:hint="cs"/>
          <w:sz w:val="24"/>
          <w:rtl/>
          <w:lang w:bidi="ar-EG"/>
        </w:rPr>
        <w:t>______________</w:t>
      </w:r>
    </w:p>
    <w:sectPr w:rsidR="00000169" w:rsidSect="00A67E43">
      <w:headerReference w:type="even" r:id="rId18"/>
      <w:headerReference w:type="default" r:id="rId19"/>
      <w:pgSz w:w="12240" w:h="15840" w:code="1"/>
      <w:pgMar w:top="1022" w:right="1440" w:bottom="1022" w:left="1440" w:header="461" w:footer="720"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73EF3" w:rsidRDefault="00A73EF3">
      <w:r>
        <w:separator/>
      </w:r>
    </w:p>
  </w:endnote>
  <w:endnote w:type="continuationSeparator" w:id="0">
    <w:p w:rsidR="00A73EF3" w:rsidRDefault="00A73EF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Simplified Arabic">
    <w:panose1 w:val="02020603050405020304"/>
    <w:charset w:val="00"/>
    <w:family w:val="roman"/>
    <w:pitch w:val="variable"/>
    <w:sig w:usb0="00002003" w:usb1="80000000" w:usb2="00000008" w:usb3="00000000" w:csb0="00000041" w:csb1="00000000"/>
  </w:font>
  <w:font w:name="Symbol">
    <w:panose1 w:val="05050102010706020507"/>
    <w:charset w:val="02"/>
    <w:family w:val="roman"/>
    <w:pitch w:val="variable"/>
    <w:sig w:usb0="00000000" w:usb1="10000000" w:usb2="00000000" w:usb3="00000000" w:csb0="80000000" w:csb1="00000000"/>
  </w:font>
  <w:font w:name="YouYuan">
    <w:altName w:val="Microsoft YaHei"/>
    <w:charset w:val="86"/>
    <w:family w:val="modern"/>
    <w:pitch w:val="fixed"/>
    <w:sig w:usb0="00000000" w:usb1="080E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G Times Bold">
    <w:altName w:val="Arial"/>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Times New Roman Bold">
    <w:altName w:val="Times New Roman"/>
    <w:panose1 w:val="02020803070505020304"/>
    <w:charset w:val="00"/>
    <w:family w:val="roman"/>
    <w:notTrueType/>
    <w:pitch w:val="default"/>
    <w:sig w:usb0="00000000" w:usb1="00000000" w:usb2="00000000" w:usb3="00000000" w:csb0="00000000" w:csb1="00000000"/>
  </w:font>
  <w:font w:name="PMingLiU">
    <w:altName w:val="新細明體"/>
    <w:panose1 w:val="02010601000101010101"/>
    <w:charset w:val="88"/>
    <w:family w:val="auto"/>
    <w:notTrueType/>
    <w:pitch w:val="variable"/>
    <w:sig w:usb0="00000001" w:usb1="08080000" w:usb2="00000010" w:usb3="00000000" w:csb0="00100000" w:csb1="00000000"/>
  </w:font>
  <w:font w:name="Univers">
    <w:altName w:val="Arial"/>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Batang">
    <w:altName w:val="바탕"/>
    <w:panose1 w:val="02030600000101010101"/>
    <w:charset w:val="81"/>
    <w:family w:val="auto"/>
    <w:notTrueType/>
    <w:pitch w:val="fixed"/>
    <w:sig w:usb0="00000001" w:usb1="09060000" w:usb2="00000010" w:usb3="00000000" w:csb0="00080000"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A00002BF" w:usb1="68C7FCFB" w:usb2="00000010" w:usb3="00000000" w:csb0="0002009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Angsana New">
    <w:panose1 w:val="02020603050405020304"/>
    <w:charset w:val="DE"/>
    <w:family w:val="roman"/>
    <w:notTrueType/>
    <w:pitch w:val="variable"/>
    <w:sig w:usb0="01000001" w:usb1="00000000" w:usb2="00000000" w:usb3="00000000" w:csb0="0001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73EF3" w:rsidRDefault="00A73EF3">
      <w:r>
        <w:separator/>
      </w:r>
    </w:p>
  </w:footnote>
  <w:footnote w:type="continuationSeparator" w:id="0">
    <w:p w:rsidR="00A73EF3" w:rsidRDefault="00A73EF3">
      <w:r>
        <w:continuationSeparator/>
      </w:r>
    </w:p>
  </w:footnote>
  <w:footnote w:id="1">
    <w:p w:rsidR="00B152D9" w:rsidRDefault="00B152D9">
      <w:pPr>
        <w:pStyle w:val="FootnoteText"/>
        <w:rPr>
          <w:lang w:bidi="ar-EG"/>
        </w:rPr>
      </w:pPr>
      <w:r>
        <w:rPr>
          <w:rStyle w:val="FootnoteReference"/>
        </w:rPr>
        <w:footnoteRef/>
      </w:r>
      <w:r>
        <w:rPr>
          <w:rtl/>
        </w:rPr>
        <w:t xml:space="preserve"> </w:t>
      </w:r>
      <w:r w:rsidRPr="00BF0A66">
        <w:rPr>
          <w:rFonts w:hint="cs"/>
          <w:szCs w:val="20"/>
          <w:rtl/>
          <w:lang w:bidi="ar-EG"/>
        </w:rPr>
        <w:t>البلدان الثلاثة الأكثر نشرا لشهادات الامتثال المعترف بها دوليا هي الهند وفرنسا وإسبانيا.</w:t>
      </w:r>
    </w:p>
  </w:footnote>
  <w:footnote w:id="2">
    <w:p w:rsidR="00B152D9" w:rsidRDefault="00B152D9">
      <w:pPr>
        <w:pStyle w:val="FootnoteText"/>
        <w:rPr>
          <w:lang w:bidi="ar-EG"/>
        </w:rPr>
      </w:pPr>
      <w:r>
        <w:rPr>
          <w:rStyle w:val="FootnoteReference"/>
        </w:rPr>
        <w:footnoteRef/>
      </w:r>
      <w:r>
        <w:rPr>
          <w:rtl/>
        </w:rPr>
        <w:t xml:space="preserve"> </w:t>
      </w:r>
      <w:r w:rsidRPr="00BF0A66">
        <w:rPr>
          <w:rFonts w:hint="cs"/>
          <w:szCs w:val="20"/>
          <w:rtl/>
        </w:rPr>
        <w:t xml:space="preserve">قد تعتمد </w:t>
      </w:r>
      <w:r w:rsidRPr="00BF0A66">
        <w:rPr>
          <w:rFonts w:hint="cs"/>
          <w:szCs w:val="20"/>
          <w:rtl/>
          <w:lang w:bidi="ar-EG"/>
        </w:rPr>
        <w:t>إتاحة المعلومات المجمعة من نقاط التفتيش مثلا على التقدم المحرز في البلد في تنفيذ البروتوكول، و/أو مستوى استخدام الموارد الجينية في ذلك البلد.</w:t>
      </w:r>
    </w:p>
  </w:footnote>
  <w:footnote w:id="3">
    <w:p w:rsidR="00B152D9" w:rsidRDefault="00B152D9" w:rsidP="00B94928">
      <w:pPr>
        <w:pStyle w:val="FootnoteText"/>
      </w:pPr>
      <w:r>
        <w:rPr>
          <w:rStyle w:val="FootnoteReference"/>
        </w:rPr>
        <w:footnoteRef/>
      </w:r>
      <w:r>
        <w:rPr>
          <w:rtl/>
        </w:rPr>
        <w:t xml:space="preserve"> </w:t>
      </w:r>
      <w:r w:rsidRPr="00BF0A66">
        <w:rPr>
          <w:rFonts w:hint="cs"/>
          <w:szCs w:val="20"/>
          <w:rtl/>
        </w:rPr>
        <w:t>ي</w:t>
      </w:r>
      <w:r>
        <w:rPr>
          <w:rFonts w:hint="cs"/>
          <w:szCs w:val="20"/>
          <w:rtl/>
        </w:rPr>
        <w:t>نبغي</w:t>
      </w:r>
      <w:r w:rsidRPr="00BF0A66">
        <w:rPr>
          <w:rFonts w:hint="cs"/>
          <w:szCs w:val="20"/>
          <w:rtl/>
        </w:rPr>
        <w:t xml:space="preserve"> </w:t>
      </w:r>
      <w:r>
        <w:rPr>
          <w:rFonts w:hint="cs"/>
          <w:szCs w:val="20"/>
          <w:rtl/>
        </w:rPr>
        <w:t>أن تنشر</w:t>
      </w:r>
      <w:r w:rsidRPr="00BF0A66">
        <w:rPr>
          <w:rFonts w:hint="cs"/>
          <w:szCs w:val="20"/>
          <w:rtl/>
        </w:rPr>
        <w:t xml:space="preserve"> الأطراف شهادة الامتثال المعترف بها دوليا أو ما يعادلها عند توافرها. ولا تشير </w:t>
      </w:r>
      <w:r>
        <w:rPr>
          <w:rFonts w:hint="cs"/>
          <w:szCs w:val="20"/>
          <w:rtl/>
        </w:rPr>
        <w:t xml:space="preserve">بالضرورة </w:t>
      </w:r>
      <w:r w:rsidRPr="00BF0A66">
        <w:rPr>
          <w:rFonts w:hint="cs"/>
          <w:szCs w:val="20"/>
          <w:rtl/>
        </w:rPr>
        <w:t xml:space="preserve">حقيقة أن أي طرف لم ينشر شهادة الامتثال المعترف بها دوليا إلى عدم الامتثال للبروتوكول أو إلى نظم غير فعالة للحصول وتقاسم المنافع. فعلى سبيل المثال، قد لا يصدر الطرف </w:t>
      </w:r>
      <w:r>
        <w:rPr>
          <w:rFonts w:hint="cs"/>
          <w:szCs w:val="20"/>
          <w:rtl/>
        </w:rPr>
        <w:t xml:space="preserve">بعد </w:t>
      </w:r>
      <w:r w:rsidRPr="00BF0A66">
        <w:rPr>
          <w:rFonts w:hint="cs"/>
          <w:szCs w:val="20"/>
          <w:rtl/>
        </w:rPr>
        <w:t>أي تصاريح للحصول وتقاسم المنافع، أو قد يقرر الطرف أن الحصول على موارده الجينية لا يخضع للموافقة المسبقة عن علم أو الشروط المتفق عليها بصورة متبادلة وبالتالي لا يقتضي إصدار تصريح للحصول وتقاسم المنافع.</w:t>
      </w:r>
    </w:p>
  </w:footnote>
  <w:footnote w:id="4">
    <w:p w:rsidR="00B152D9" w:rsidRPr="00363CC9" w:rsidRDefault="00B152D9" w:rsidP="00363CC9">
      <w:pPr>
        <w:pStyle w:val="FootnoteText"/>
        <w:rPr>
          <w:rFonts w:ascii="Simplified Arabic" w:hAnsi="Simplified Arabic"/>
          <w:szCs w:val="20"/>
        </w:rPr>
      </w:pPr>
      <w:r>
        <w:rPr>
          <w:rStyle w:val="FootnoteReference"/>
        </w:rPr>
        <w:footnoteRef/>
      </w:r>
      <w:r>
        <w:rPr>
          <w:rtl/>
        </w:rPr>
        <w:t xml:space="preserve"> </w:t>
      </w:r>
      <w:r>
        <w:rPr>
          <w:rFonts w:ascii="Simplified Arabic" w:hAnsi="Simplified Arabic" w:hint="cs"/>
          <w:szCs w:val="20"/>
          <w:rtl/>
        </w:rPr>
        <w:t>الأطراف التي لم تعين سلطة النشر هي: أفغانستان، وتشاد، واليونان، وكيريباتي، ولبنان، ولكسمبرغ، وجزر مارشال، وموريشيوس، ومنغوليا، والجبل الأسود، ونيبال، ونيكاراغوا، وعمان، وبلاو، ورومانيا، والمملكة العربية السعودية، وجزر سليمان، والجمهورية العربية السورية، وتونغا، وتونس، وتركمانستان، وتوفالو وجمهورية تنزانيا التمتحدة.</w:t>
      </w:r>
    </w:p>
  </w:footnote>
  <w:footnote w:id="5">
    <w:p w:rsidR="00B152D9" w:rsidRPr="00172253" w:rsidRDefault="00B152D9" w:rsidP="00B64E03">
      <w:pPr>
        <w:pStyle w:val="FootnoteText"/>
        <w:rPr>
          <w:szCs w:val="20"/>
          <w:rtl/>
        </w:rPr>
      </w:pPr>
      <w:r>
        <w:rPr>
          <w:rStyle w:val="FootnoteReference"/>
        </w:rPr>
        <w:footnoteRef/>
      </w:r>
      <w:r>
        <w:rPr>
          <w:rtl/>
        </w:rPr>
        <w:t xml:space="preserve"> </w:t>
      </w:r>
      <w:r>
        <w:rPr>
          <w:rFonts w:hint="cs"/>
          <w:szCs w:val="20"/>
          <w:rtl/>
        </w:rPr>
        <w:t>حلقة العمل بشأن غرفة تبادل المعلومات بشأن الحصول وتقاسم المنافع المنعقدة على هامش الاجتماع الثالث للأطراف في البروتوكول (مصر، نوفمبر/تشرين الثاني 2018)؛ وحلقة العمل عن جمعية الممارسة بشأن بروتوكول ناغويا بشأن الحصول وتقاسم المنافع للبلدان الأوروببة، ورابطة الدول المستقلة، والبلدان العربية والآسيوية (تركيا، أبريل/نيسان 2019)؛ وحلقة العمل الأفريقية الثانية عشر بشأن الحصول وتقاسم المنافع (جنوب أفريقيا، سبتمبر/أيلول 2019)؛ والتدريب على التشغيل البيني لغرفة تبادل المعلومات بشأن الحصول وتقاسمالمنافع في الهند (ديسمبر/كانون الأول 2018) وكينيا (أكتوبر/تشرين الأول 2019).</w:t>
      </w:r>
    </w:p>
  </w:footnote>
  <w:footnote w:id="6">
    <w:p w:rsidR="00B152D9" w:rsidRDefault="00B152D9">
      <w:pPr>
        <w:pStyle w:val="FootnoteText"/>
        <w:rPr>
          <w:lang w:bidi="ar-EG"/>
        </w:rPr>
      </w:pPr>
      <w:r>
        <w:rPr>
          <w:rStyle w:val="FootnoteReference"/>
        </w:rPr>
        <w:footnoteRef/>
      </w:r>
      <w:r>
        <w:rPr>
          <w:rtl/>
        </w:rPr>
        <w:t xml:space="preserve"> </w:t>
      </w:r>
      <w:hyperlink r:id="rId1" w:history="1">
        <w:r w:rsidRPr="005625E5">
          <w:rPr>
            <w:rStyle w:val="Hyperlink"/>
            <w:rFonts w:eastAsia="Calibri"/>
            <w:kern w:val="18"/>
            <w:sz w:val="18"/>
            <w:szCs w:val="18"/>
            <w:lang w:val="en-GB"/>
          </w:rPr>
          <w:t>https://absch.cbd.int/database/VLR/ABSCH-VLR-SCBD-240572</w:t>
        </w:r>
      </w:hyperlink>
    </w:p>
  </w:footnote>
  <w:footnote w:id="7">
    <w:p w:rsidR="00B152D9" w:rsidRDefault="00B152D9">
      <w:pPr>
        <w:pStyle w:val="FootnoteText"/>
        <w:rPr>
          <w:lang w:bidi="ar-EG"/>
        </w:rPr>
      </w:pPr>
      <w:r>
        <w:rPr>
          <w:rStyle w:val="FootnoteReference"/>
        </w:rPr>
        <w:footnoteRef/>
      </w:r>
      <w:r>
        <w:rPr>
          <w:rtl/>
        </w:rPr>
        <w:t xml:space="preserve"> </w:t>
      </w:r>
      <w:r>
        <w:rPr>
          <w:rFonts w:hint="cs"/>
          <w:rtl/>
          <w:lang w:bidi="ar-EG"/>
        </w:rPr>
        <w:t>التدريب على التشغيل البيني لغرفة تبادل المعلومات بشأن الحصول وتقاسم المنافع في الهند (ديسمبر/كانون الأول 2018) وكينيا (أكتوبر/تشرين الأول 2019).</w:t>
      </w:r>
    </w:p>
  </w:footnote>
  <w:footnote w:id="8">
    <w:p w:rsidR="00B152D9" w:rsidRDefault="00B152D9" w:rsidP="0096345B">
      <w:pPr>
        <w:pStyle w:val="FootnoteText"/>
        <w:rPr>
          <w:lang w:bidi="ar-EG"/>
        </w:rPr>
      </w:pPr>
      <w:r>
        <w:rPr>
          <w:rStyle w:val="FootnoteReference"/>
        </w:rPr>
        <w:footnoteRef/>
      </w:r>
      <w:r>
        <w:rPr>
          <w:rtl/>
        </w:rPr>
        <w:t xml:space="preserve"> </w:t>
      </w:r>
      <w:r>
        <w:rPr>
          <w:rFonts w:hint="cs"/>
          <w:rtl/>
          <w:lang w:bidi="ar-EG"/>
        </w:rPr>
        <w:t>قدمت الأمانة غرفة تبادل المعلومات بشأن الحصول وتقاسم المنافع في الاجتماع الرابع للجنة الاستشارية العلمية بشأن النظام العالمي للمعلومات، المنعقدة في 20 و21 أبريل/نيسان 2021، وشاركت في ذلك الاجتماع.</w:t>
      </w:r>
    </w:p>
  </w:footnote>
  <w:footnote w:id="9">
    <w:p w:rsidR="00B152D9" w:rsidRDefault="00B152D9">
      <w:pPr>
        <w:pStyle w:val="FootnoteText"/>
        <w:rPr>
          <w:lang w:bidi="ar-EG"/>
        </w:rPr>
      </w:pPr>
      <w:r>
        <w:rPr>
          <w:rStyle w:val="FootnoteReference"/>
        </w:rPr>
        <w:footnoteRef/>
      </w:r>
      <w:r>
        <w:rPr>
          <w:rtl/>
        </w:rPr>
        <w:t xml:space="preserve"> </w:t>
      </w:r>
      <w:r>
        <w:rPr>
          <w:rFonts w:hint="cs"/>
          <w:rtl/>
          <w:lang w:bidi="ar-EG"/>
        </w:rPr>
        <w:t>قدمت الأمانة الخبرة المتعلقة بغرفة تبادل المعلومات بشأن الحصول وتقاسم المنافع وشاركت في الدورة المنعقدة عن بعد يومي 20 و21 أكتوبر/تشرين الأول 2021.</w:t>
      </w:r>
    </w:p>
  </w:footnote>
  <w:footnote w:id="10">
    <w:p w:rsidR="00B152D9" w:rsidRDefault="00B152D9">
      <w:pPr>
        <w:pStyle w:val="FootnoteText"/>
      </w:pPr>
      <w:r>
        <w:rPr>
          <w:rStyle w:val="FootnoteReference"/>
        </w:rPr>
        <w:footnoteRef/>
      </w:r>
      <w:r>
        <w:rPr>
          <w:rtl/>
        </w:rPr>
        <w:t xml:space="preserve"> </w:t>
      </w:r>
      <w:r w:rsidRPr="00D61F8C">
        <w:rPr>
          <w:rFonts w:hint="cs"/>
          <w:szCs w:val="20"/>
          <w:rtl/>
        </w:rPr>
        <w:t>العدد الإجمالي للأطراف في البروتوكول.</w:t>
      </w:r>
    </w:p>
  </w:footnote>
  <w:footnote w:id="11">
    <w:p w:rsidR="00B152D9" w:rsidRDefault="00B152D9" w:rsidP="00B152D9">
      <w:pPr>
        <w:pStyle w:val="FootnoteText"/>
        <w:rPr>
          <w:lang w:bidi="ar-EG"/>
        </w:rPr>
      </w:pPr>
      <w:r>
        <w:rPr>
          <w:rStyle w:val="FootnoteReference"/>
        </w:rPr>
        <w:footnoteRef/>
      </w:r>
      <w:r>
        <w:rPr>
          <w:rtl/>
        </w:rPr>
        <w:t xml:space="preserve"> </w:t>
      </w:r>
      <w:r>
        <w:rPr>
          <w:rFonts w:hint="cs"/>
          <w:rtl/>
          <w:lang w:bidi="ar-EG"/>
        </w:rPr>
        <w:t>تستبعد أعداد بلاغات نقطة التفتيش في نوفمبر/تشرين الثاني 2021 بلدا إضافيا نشر بلاغا "داخليا" لنقطة التفتيش يتعلق باستخدام موارده الجينية.</w:t>
      </w:r>
    </w:p>
  </w:footnote>
  <w:footnote w:id="12">
    <w:p w:rsidR="00B152D9" w:rsidRPr="00765A8E" w:rsidRDefault="00B152D9" w:rsidP="00174B11">
      <w:pPr>
        <w:pStyle w:val="FootnoteText"/>
        <w:rPr>
          <w:szCs w:val="20"/>
          <w:rtl/>
          <w:lang w:bidi="ar-EG"/>
        </w:rPr>
      </w:pPr>
      <w:r>
        <w:rPr>
          <w:rStyle w:val="FootnoteReference"/>
        </w:rPr>
        <w:footnoteRef/>
      </w:r>
      <w:r>
        <w:rPr>
          <w:rtl/>
        </w:rPr>
        <w:t xml:space="preserve"> </w:t>
      </w:r>
      <w:r w:rsidRPr="00DF2F74">
        <w:rPr>
          <w:sz w:val="18"/>
          <w:szCs w:val="20"/>
          <w:rtl/>
          <w:lang w:bidi="ar-EG"/>
        </w:rPr>
        <w:t xml:space="preserve">اعتبارا </w:t>
      </w:r>
      <w:r w:rsidRPr="00DF2F74">
        <w:rPr>
          <w:sz w:val="18"/>
          <w:szCs w:val="20"/>
          <w:rtl/>
          <w:lang w:bidi="ar-EG"/>
        </w:rPr>
        <w:t>من نوفمبر/تشرين الثاني 2021، كانت أك</w:t>
      </w:r>
      <w:r w:rsidR="00174B11" w:rsidRPr="00DF2F74">
        <w:rPr>
          <w:rFonts w:hint="cs"/>
          <w:sz w:val="18"/>
          <w:szCs w:val="20"/>
          <w:rtl/>
          <w:lang w:bidi="ar-EG"/>
        </w:rPr>
        <w:t>ب</w:t>
      </w:r>
      <w:r w:rsidRPr="00DF2F74">
        <w:rPr>
          <w:sz w:val="18"/>
          <w:szCs w:val="20"/>
          <w:rtl/>
          <w:lang w:bidi="ar-EG"/>
        </w:rPr>
        <w:t>ر الأطراف الخمسة التي نشرت شهادات الامتثال المعترف بها دوليا هي الهند (</w:t>
      </w:r>
      <w:r w:rsidRPr="00DF2F74">
        <w:rPr>
          <w:sz w:val="18"/>
          <w:szCs w:val="20"/>
          <w:lang w:bidi="ar-EG"/>
        </w:rPr>
        <w:t>2,226</w:t>
      </w:r>
      <w:r w:rsidRPr="00DF2F74">
        <w:rPr>
          <w:sz w:val="18"/>
          <w:szCs w:val="20"/>
          <w:rtl/>
          <w:lang w:bidi="ar-EG"/>
        </w:rPr>
        <w:t xml:space="preserve"> شهادة)، وفرنسا (</w:t>
      </w:r>
      <w:r w:rsidRPr="00DF2F74">
        <w:rPr>
          <w:sz w:val="18"/>
          <w:szCs w:val="20"/>
          <w:lang w:bidi="ar-EG"/>
        </w:rPr>
        <w:t>498</w:t>
      </w:r>
      <w:r w:rsidRPr="00DF2F74">
        <w:rPr>
          <w:sz w:val="18"/>
          <w:szCs w:val="20"/>
          <w:rtl/>
          <w:lang w:bidi="ar-EG"/>
        </w:rPr>
        <w:t xml:space="preserve">)، وإسبانيا </w:t>
      </w:r>
      <w:r w:rsidRPr="00DF2F74">
        <w:rPr>
          <w:sz w:val="18"/>
          <w:szCs w:val="20"/>
          <w:lang w:bidi="ar-EG"/>
        </w:rPr>
        <w:t>109)</w:t>
      </w:r>
      <w:r w:rsidRPr="00DF2F74">
        <w:rPr>
          <w:sz w:val="18"/>
          <w:szCs w:val="20"/>
          <w:rtl/>
          <w:lang w:bidi="ar-EG"/>
        </w:rPr>
        <w:t xml:space="preserve">)، وكينيا </w:t>
      </w:r>
      <w:r w:rsidRPr="00DF2F74">
        <w:rPr>
          <w:sz w:val="18"/>
          <w:szCs w:val="20"/>
          <w:lang w:bidi="ar-EG"/>
        </w:rPr>
        <w:t>(78)</w:t>
      </w:r>
      <w:r w:rsidRPr="00DF2F74">
        <w:rPr>
          <w:sz w:val="18"/>
          <w:szCs w:val="20"/>
          <w:rtl/>
          <w:lang w:bidi="ar-EG"/>
        </w:rPr>
        <w:t xml:space="preserve"> وجنوب أفريقيا </w:t>
      </w:r>
      <w:r w:rsidRPr="00DF2F74">
        <w:rPr>
          <w:sz w:val="18"/>
          <w:szCs w:val="20"/>
          <w:lang w:bidi="ar-EG"/>
        </w:rPr>
        <w:t>38)</w:t>
      </w:r>
      <w:r w:rsidRPr="00DF2F74">
        <w:rPr>
          <w:sz w:val="18"/>
          <w:szCs w:val="20"/>
          <w:rtl/>
          <w:lang w:bidi="ar-EG"/>
        </w:rPr>
        <w:t>).</w:t>
      </w:r>
    </w:p>
  </w:footnote>
  <w:footnote w:id="13">
    <w:p w:rsidR="00B152D9" w:rsidRPr="00DF2F74" w:rsidRDefault="00B152D9" w:rsidP="00113AD1">
      <w:pPr>
        <w:pStyle w:val="FootnoteText"/>
        <w:rPr>
          <w:sz w:val="18"/>
          <w:szCs w:val="20"/>
          <w:lang w:bidi="ar-EG"/>
        </w:rPr>
      </w:pPr>
      <w:r>
        <w:rPr>
          <w:rStyle w:val="FootnoteReference"/>
        </w:rPr>
        <w:footnoteRef/>
      </w:r>
      <w:r>
        <w:rPr>
          <w:rtl/>
        </w:rPr>
        <w:t xml:space="preserve"> </w:t>
      </w:r>
      <w:r w:rsidRPr="00DF2F74">
        <w:rPr>
          <w:rFonts w:hint="cs"/>
          <w:sz w:val="18"/>
          <w:szCs w:val="20"/>
          <w:rtl/>
          <w:lang w:bidi="ar-EG"/>
        </w:rPr>
        <w:t xml:space="preserve">هذه الأطراف هي الدانمرك (6)، وألمانيا (28)، واليابان (5)، وهولندا (5)، والمملكة المتحدة (5). ونشر بلد إضافي بلاغ نقطة التفتيش "داخلي" </w:t>
      </w:r>
      <w:r w:rsidR="00113AD1" w:rsidRPr="00DF2F74">
        <w:rPr>
          <w:rFonts w:hint="cs"/>
          <w:sz w:val="18"/>
          <w:szCs w:val="20"/>
          <w:rtl/>
          <w:lang w:bidi="ar-EG"/>
        </w:rPr>
        <w:t>يتعلق</w:t>
      </w:r>
      <w:r w:rsidRPr="00DF2F74">
        <w:rPr>
          <w:rFonts w:hint="cs"/>
          <w:sz w:val="18"/>
          <w:szCs w:val="20"/>
          <w:rtl/>
          <w:lang w:bidi="ar-EG"/>
        </w:rPr>
        <w:t xml:space="preserve"> </w:t>
      </w:r>
      <w:r w:rsidR="00113AD1" w:rsidRPr="00DF2F74">
        <w:rPr>
          <w:rFonts w:hint="cs"/>
          <w:sz w:val="18"/>
          <w:szCs w:val="20"/>
          <w:rtl/>
          <w:lang w:bidi="ar-EG"/>
        </w:rPr>
        <w:t>ب</w:t>
      </w:r>
      <w:r w:rsidRPr="00DF2F74">
        <w:rPr>
          <w:rFonts w:hint="cs"/>
          <w:sz w:val="18"/>
          <w:szCs w:val="20"/>
          <w:rtl/>
          <w:lang w:bidi="ar-EG"/>
        </w:rPr>
        <w:t xml:space="preserve">استخدام موارده الجينية الخاصة به (أي بلد المستخدم وبلد المقدم هما نفس البلد). وتم مناقشة هذه الحالة لإصدار بلاغ نقطة التفتيش الداخلي بواسطة اللجنة الاستشارية غير الرسمية وأوصى بعدم إصدار بلاغ نقطة التفتيش في </w:t>
      </w:r>
      <w:r w:rsidR="00113AD1" w:rsidRPr="00DF2F74">
        <w:rPr>
          <w:rFonts w:hint="cs"/>
          <w:sz w:val="18"/>
          <w:szCs w:val="20"/>
          <w:rtl/>
          <w:lang w:bidi="ar-EG"/>
        </w:rPr>
        <w:t>تلك</w:t>
      </w:r>
      <w:r w:rsidRPr="00DF2F74">
        <w:rPr>
          <w:rFonts w:hint="cs"/>
          <w:sz w:val="18"/>
          <w:szCs w:val="20"/>
          <w:rtl/>
          <w:lang w:bidi="ar-EG"/>
        </w:rPr>
        <w:t xml:space="preserve"> الحالات، ولذلك لم تدرج أنواع السجلات هذه في التحليل.</w:t>
      </w:r>
    </w:p>
  </w:footnote>
  <w:footnote w:id="14">
    <w:p w:rsidR="00DF2F74" w:rsidRDefault="00DF2F74">
      <w:pPr>
        <w:pStyle w:val="FootnoteText"/>
        <w:rPr>
          <w:rFonts w:hint="cs"/>
          <w:rtl/>
          <w:lang w:bidi="ar-EG"/>
        </w:rPr>
      </w:pPr>
      <w:r>
        <w:rPr>
          <w:rStyle w:val="FootnoteReference"/>
        </w:rPr>
        <w:footnoteRef/>
      </w:r>
      <w:r>
        <w:rPr>
          <w:rtl/>
        </w:rPr>
        <w:t xml:space="preserve"> </w:t>
      </w:r>
      <w:r w:rsidRPr="00DF2F74">
        <w:rPr>
          <w:rFonts w:hint="cs"/>
          <w:sz w:val="18"/>
          <w:szCs w:val="20"/>
          <w:rtl/>
          <w:lang w:bidi="ar-EG"/>
        </w:rPr>
        <w:t xml:space="preserve">مستنسخ من المقرر </w:t>
      </w:r>
      <w:r w:rsidRPr="00DF2F74">
        <w:rPr>
          <w:sz w:val="18"/>
          <w:szCs w:val="20"/>
          <w:lang w:bidi="ar-EG"/>
        </w:rPr>
        <w:t>NP-3/3</w:t>
      </w:r>
      <w:r w:rsidRPr="00DF2F74">
        <w:rPr>
          <w:rFonts w:hint="cs"/>
          <w:sz w:val="18"/>
          <w:szCs w:val="20"/>
          <w:rtl/>
          <w:lang w:bidi="ar-EG"/>
        </w:rPr>
        <w:t>، المرفق.</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52D9" w:rsidRDefault="00B152D9" w:rsidP="0053788F">
    <w:pPr>
      <w:kinsoku w:val="0"/>
      <w:overflowPunct w:val="0"/>
      <w:autoSpaceDE w:val="0"/>
      <w:autoSpaceDN w:val="0"/>
      <w:bidi w:val="0"/>
      <w:adjustRightInd w:val="0"/>
      <w:snapToGrid w:val="0"/>
      <w:jc w:val="right"/>
      <w:rPr>
        <w:snapToGrid w:val="0"/>
        <w:kern w:val="22"/>
        <w:szCs w:val="22"/>
      </w:rPr>
    </w:pPr>
    <w:r w:rsidRPr="001B7AD2">
      <w:rPr>
        <w:snapToGrid w:val="0"/>
        <w:kern w:val="22"/>
        <w:sz w:val="22"/>
        <w:szCs w:val="22"/>
      </w:rPr>
      <w:t>CBD/NP/MOP/</w:t>
    </w:r>
    <w:r>
      <w:rPr>
        <w:snapToGrid w:val="0"/>
        <w:kern w:val="22"/>
        <w:sz w:val="22"/>
        <w:szCs w:val="22"/>
      </w:rPr>
      <w:t>4/6</w:t>
    </w:r>
  </w:p>
  <w:p w:rsidR="00B152D9" w:rsidRPr="00084BB4" w:rsidRDefault="00B152D9" w:rsidP="001B7AD2">
    <w:pPr>
      <w:tabs>
        <w:tab w:val="left" w:pos="6379"/>
      </w:tabs>
      <w:bidi w:val="0"/>
      <w:ind w:left="6804"/>
      <w:jc w:val="right"/>
      <w:rPr>
        <w:sz w:val="22"/>
        <w:szCs w:val="22"/>
      </w:rPr>
    </w:pPr>
    <w:r w:rsidRPr="00BF5722">
      <w:rPr>
        <w:sz w:val="22"/>
        <w:szCs w:val="22"/>
      </w:rPr>
      <w:t xml:space="preserve">Page </w:t>
    </w:r>
    <w:r w:rsidR="00650797" w:rsidRPr="00BF5722">
      <w:rPr>
        <w:sz w:val="22"/>
        <w:szCs w:val="22"/>
      </w:rPr>
      <w:fldChar w:fldCharType="begin"/>
    </w:r>
    <w:r w:rsidRPr="00BF5722">
      <w:rPr>
        <w:sz w:val="22"/>
        <w:szCs w:val="22"/>
      </w:rPr>
      <w:instrText xml:space="preserve">PAGE  </w:instrText>
    </w:r>
    <w:r w:rsidR="00650797" w:rsidRPr="00BF5722">
      <w:rPr>
        <w:sz w:val="22"/>
        <w:szCs w:val="22"/>
      </w:rPr>
      <w:fldChar w:fldCharType="separate"/>
    </w:r>
    <w:r w:rsidR="00DF2F74">
      <w:rPr>
        <w:noProof/>
        <w:sz w:val="22"/>
        <w:szCs w:val="22"/>
      </w:rPr>
      <w:t>16</w:t>
    </w:r>
    <w:r w:rsidR="00650797" w:rsidRPr="00BF5722">
      <w:rPr>
        <w:sz w:val="22"/>
        <w:szCs w:val="22"/>
      </w:rPr>
      <w:fldChar w:fldCharType="end"/>
    </w:r>
  </w:p>
  <w:p w:rsidR="00B152D9" w:rsidRPr="00FF65D5" w:rsidRDefault="00B152D9" w:rsidP="00E84AFA">
    <w:pPr>
      <w:pStyle w:val="Header"/>
      <w:bidi w:val="0"/>
      <w:jc w:val="right"/>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52D9" w:rsidRDefault="00B152D9" w:rsidP="0053788F">
    <w:pPr>
      <w:kinsoku w:val="0"/>
      <w:overflowPunct w:val="0"/>
      <w:autoSpaceDE w:val="0"/>
      <w:autoSpaceDN w:val="0"/>
      <w:bidi w:val="0"/>
      <w:adjustRightInd w:val="0"/>
      <w:snapToGrid w:val="0"/>
      <w:rPr>
        <w:snapToGrid w:val="0"/>
        <w:kern w:val="22"/>
        <w:szCs w:val="22"/>
      </w:rPr>
    </w:pPr>
    <w:r w:rsidRPr="001B7AD2">
      <w:rPr>
        <w:snapToGrid w:val="0"/>
        <w:kern w:val="22"/>
        <w:sz w:val="22"/>
        <w:szCs w:val="22"/>
      </w:rPr>
      <w:t>CBD/NP/MOP/</w:t>
    </w:r>
    <w:r>
      <w:rPr>
        <w:snapToGrid w:val="0"/>
        <w:kern w:val="22"/>
        <w:sz w:val="22"/>
        <w:szCs w:val="22"/>
      </w:rPr>
      <w:t>4/6</w:t>
    </w:r>
  </w:p>
  <w:p w:rsidR="00B152D9" w:rsidRPr="00084BB4" w:rsidRDefault="00B152D9" w:rsidP="001B7AD2">
    <w:pPr>
      <w:tabs>
        <w:tab w:val="left" w:pos="6379"/>
      </w:tabs>
      <w:bidi w:val="0"/>
      <w:jc w:val="left"/>
      <w:rPr>
        <w:sz w:val="22"/>
        <w:szCs w:val="22"/>
      </w:rPr>
    </w:pPr>
    <w:r w:rsidRPr="00BF5722">
      <w:rPr>
        <w:sz w:val="22"/>
        <w:szCs w:val="22"/>
      </w:rPr>
      <w:t xml:space="preserve">Page </w:t>
    </w:r>
    <w:r w:rsidR="00650797" w:rsidRPr="00BF5722">
      <w:rPr>
        <w:sz w:val="22"/>
        <w:szCs w:val="22"/>
      </w:rPr>
      <w:fldChar w:fldCharType="begin"/>
    </w:r>
    <w:r w:rsidRPr="00BF5722">
      <w:rPr>
        <w:sz w:val="22"/>
        <w:szCs w:val="22"/>
      </w:rPr>
      <w:instrText xml:space="preserve">PAGE  </w:instrText>
    </w:r>
    <w:r w:rsidR="00650797" w:rsidRPr="00BF5722">
      <w:rPr>
        <w:sz w:val="22"/>
        <w:szCs w:val="22"/>
      </w:rPr>
      <w:fldChar w:fldCharType="separate"/>
    </w:r>
    <w:r w:rsidR="00DF2F74">
      <w:rPr>
        <w:noProof/>
        <w:sz w:val="22"/>
        <w:szCs w:val="22"/>
      </w:rPr>
      <w:t>17</w:t>
    </w:r>
    <w:r w:rsidR="00650797" w:rsidRPr="00BF5722">
      <w:rPr>
        <w:sz w:val="22"/>
        <w:szCs w:val="22"/>
      </w:rPr>
      <w:fldChar w:fldCharType="end"/>
    </w:r>
  </w:p>
  <w:p w:rsidR="00B152D9" w:rsidRDefault="00B152D9" w:rsidP="006564BB">
    <w:pPr>
      <w:pStyle w:val="Header"/>
      <w:jc w:val="right"/>
      <w:rPr>
        <w:lang w:bidi="ar-EG"/>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3"/>
    <w:multiLevelType w:val="multilevel"/>
    <w:tmpl w:val="B3A668B2"/>
    <w:lvl w:ilvl="0">
      <w:start w:val="1"/>
      <w:numFmt w:val="decimal"/>
      <w:lvlText w:val="%1)"/>
      <w:lvlJc w:val="left"/>
      <w:pPr>
        <w:tabs>
          <w:tab w:val="num" w:pos="360"/>
        </w:tabs>
        <w:ind w:left="360" w:hanging="360"/>
      </w:pPr>
      <w:rPr>
        <w:rFonts w:hint="default"/>
      </w:rPr>
    </w:lvl>
    <w:lvl w:ilvl="1">
      <w:start w:val="1"/>
      <w:numFmt w:val="lowerLetter"/>
      <w:pStyle w:val="Style1"/>
      <w:lvlText w:val="(%2)"/>
      <w:lvlJc w:val="left"/>
      <w:pPr>
        <w:tabs>
          <w:tab w:val="num" w:pos="1080"/>
        </w:tabs>
        <w:ind w:left="0" w:firstLine="72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nsid w:val="176D7572"/>
    <w:multiLevelType w:val="hybridMultilevel"/>
    <w:tmpl w:val="3EE0AA72"/>
    <w:lvl w:ilvl="0" w:tplc="F8D0E3D6">
      <w:start w:val="1"/>
      <w:numFmt w:val="decimal"/>
      <w:lvlText w:val="%1-"/>
      <w:lvlJc w:val="left"/>
      <w:pPr>
        <w:ind w:left="720" w:hanging="360"/>
      </w:pPr>
      <w:rPr>
        <w:rFonts w:hint="default"/>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859376B"/>
    <w:multiLevelType w:val="singleLevel"/>
    <w:tmpl w:val="35D0F268"/>
    <w:lvl w:ilvl="0">
      <w:start w:val="1"/>
      <w:numFmt w:val="decimal"/>
      <w:pStyle w:val="Paraa"/>
      <w:lvlText w:val="%1."/>
      <w:lvlJc w:val="left"/>
      <w:pPr>
        <w:tabs>
          <w:tab w:val="num" w:pos="4860"/>
        </w:tabs>
        <w:ind w:left="4500" w:firstLine="0"/>
      </w:pPr>
    </w:lvl>
  </w:abstractNum>
  <w:abstractNum w:abstractNumId="3">
    <w:nsid w:val="1C7C7CAB"/>
    <w:multiLevelType w:val="hybridMultilevel"/>
    <w:tmpl w:val="0D5AAF42"/>
    <w:lvl w:ilvl="0" w:tplc="AD620B84">
      <w:start w:val="1"/>
      <w:numFmt w:val="decimal"/>
      <w:lvlText w:val="%1"/>
      <w:lvlJc w:val="left"/>
      <w:pPr>
        <w:ind w:left="720" w:hanging="360"/>
      </w:pPr>
      <w:rPr>
        <w:rFonts w:hint="default"/>
        <w:b w:val="0"/>
        <w:bCs w:val="0"/>
        <w:i w:val="0"/>
        <w:iCs w:val="0"/>
        <w:sz w:val="18"/>
        <w:szCs w:val="1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1D160CF8"/>
    <w:multiLevelType w:val="singleLevel"/>
    <w:tmpl w:val="2B6AEDDA"/>
    <w:lvl w:ilvl="0">
      <w:start w:val="3"/>
      <w:numFmt w:val="decimal"/>
      <w:pStyle w:val="Heading-plain"/>
      <w:lvlText w:val="3.%1 "/>
      <w:legacy w:legacy="1" w:legacySpace="0" w:legacyIndent="283"/>
      <w:lvlJc w:val="left"/>
      <w:pPr>
        <w:ind w:left="283" w:hanging="283"/>
      </w:pPr>
      <w:rPr>
        <w:rFonts w:ascii="Courier" w:hAnsi="Courier" w:hint="default"/>
        <w:b w:val="0"/>
        <w:i w:val="0"/>
        <w:sz w:val="20"/>
        <w:u w:val="none"/>
      </w:rPr>
    </w:lvl>
  </w:abstractNum>
  <w:abstractNum w:abstractNumId="5">
    <w:nsid w:val="1EC643BF"/>
    <w:multiLevelType w:val="hybridMultilevel"/>
    <w:tmpl w:val="9F7499D0"/>
    <w:lvl w:ilvl="0" w:tplc="73202C5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EDB318A"/>
    <w:multiLevelType w:val="hybridMultilevel"/>
    <w:tmpl w:val="0A28F526"/>
    <w:lvl w:ilvl="0" w:tplc="FFFFFFFF">
      <w:start w:val="1"/>
      <w:numFmt w:val="lowerLetter"/>
      <w:pStyle w:val="headingdecisionsectionmultiline"/>
      <w:lvlText w:val="(%1)"/>
      <w:lvlJc w:val="left"/>
      <w:pPr>
        <w:tabs>
          <w:tab w:val="num" w:pos="720"/>
        </w:tabs>
        <w:ind w:left="720" w:hanging="720"/>
      </w:pPr>
      <w:rPr>
        <w:rFonts w:ascii="Times New Roman" w:hAnsi="Times New Roman" w:hint="default"/>
        <w:b w:val="0"/>
        <w:i/>
        <w:sz w:val="22"/>
      </w:r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7">
    <w:nsid w:val="393E4284"/>
    <w:multiLevelType w:val="hybridMultilevel"/>
    <w:tmpl w:val="629A047A"/>
    <w:lvl w:ilvl="0" w:tplc="F65E1578">
      <w:start w:val="1"/>
      <w:numFmt w:val="decimal"/>
      <w:lvlText w:val="%1-"/>
      <w:lvlJc w:val="left"/>
      <w:pPr>
        <w:ind w:left="1440" w:hanging="360"/>
      </w:pPr>
      <w:rPr>
        <w:rFonts w:ascii="Simplified Arabic" w:hAnsi="Simplified Arabic" w:cs="Simplified Arabic" w:hint="default"/>
        <w:b w:val="0"/>
        <w:i w:val="0"/>
        <w:sz w:val="24"/>
        <w:szCs w:val="24"/>
        <w:lang w:bidi="ar-EG"/>
      </w:rPr>
    </w:lvl>
    <w:lvl w:ilvl="1" w:tplc="F65E1578">
      <w:start w:val="1"/>
      <w:numFmt w:val="decimal"/>
      <w:lvlText w:val="%2-"/>
      <w:lvlJc w:val="left"/>
      <w:pPr>
        <w:ind w:left="2160" w:hanging="360"/>
      </w:pPr>
      <w:rPr>
        <w:rFonts w:ascii="Simplified Arabic" w:hAnsi="Simplified Arabic" w:cs="Simplified Arabic" w:hint="default"/>
        <w:b w:val="0"/>
        <w:i w:val="0"/>
        <w:sz w:val="24"/>
        <w:szCs w:val="24"/>
        <w:lang w:bidi="ar-EG"/>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nsid w:val="3CA410CD"/>
    <w:multiLevelType w:val="hybridMultilevel"/>
    <w:tmpl w:val="FA427772"/>
    <w:lvl w:ilvl="0" w:tplc="ACDAC4DC">
      <w:start w:val="1"/>
      <w:numFmt w:val="decimal"/>
      <w:pStyle w:val="CBD-Para"/>
      <w:lvlText w:val="%1."/>
      <w:lvlJc w:val="left"/>
      <w:pPr>
        <w:tabs>
          <w:tab w:val="num" w:pos="720"/>
        </w:tabs>
        <w:ind w:left="0" w:firstLine="0"/>
      </w:pPr>
      <w:rPr>
        <w:b w:val="0"/>
      </w:rPr>
    </w:lvl>
    <w:lvl w:ilvl="1" w:tplc="040C0003">
      <w:start w:val="1"/>
      <w:numFmt w:val="lowerLetter"/>
      <w:lvlText w:val="(%2)"/>
      <w:lvlJc w:val="left"/>
      <w:pPr>
        <w:ind w:left="1080" w:hanging="360"/>
      </w:pPr>
    </w:lvl>
    <w:lvl w:ilvl="2" w:tplc="040C0005">
      <w:start w:val="1"/>
      <w:numFmt w:val="lowerLetter"/>
      <w:lvlText w:val="(%3)"/>
      <w:lvlJc w:val="left"/>
      <w:pPr>
        <w:tabs>
          <w:tab w:val="num" w:pos="1980"/>
        </w:tabs>
        <w:ind w:left="1980" w:hanging="360"/>
      </w:pPr>
    </w:lvl>
    <w:lvl w:ilvl="3" w:tplc="040C0001">
      <w:start w:val="1"/>
      <w:numFmt w:val="decimal"/>
      <w:lvlText w:val="%4."/>
      <w:lvlJc w:val="left"/>
      <w:pPr>
        <w:tabs>
          <w:tab w:val="num" w:pos="2520"/>
        </w:tabs>
        <w:ind w:left="2520" w:hanging="360"/>
      </w:pPr>
    </w:lvl>
    <w:lvl w:ilvl="4" w:tplc="040C0003">
      <w:start w:val="1"/>
      <w:numFmt w:val="lowerLetter"/>
      <w:lvlText w:val="%5."/>
      <w:lvlJc w:val="left"/>
      <w:pPr>
        <w:tabs>
          <w:tab w:val="num" w:pos="3240"/>
        </w:tabs>
        <w:ind w:left="3240" w:hanging="360"/>
      </w:pPr>
    </w:lvl>
    <w:lvl w:ilvl="5" w:tplc="040C0005">
      <w:start w:val="1"/>
      <w:numFmt w:val="lowerRoman"/>
      <w:lvlText w:val="%6."/>
      <w:lvlJc w:val="right"/>
      <w:pPr>
        <w:tabs>
          <w:tab w:val="num" w:pos="3960"/>
        </w:tabs>
        <w:ind w:left="3960" w:hanging="180"/>
      </w:pPr>
    </w:lvl>
    <w:lvl w:ilvl="6" w:tplc="040C0001">
      <w:start w:val="1"/>
      <w:numFmt w:val="decimal"/>
      <w:lvlText w:val="%7."/>
      <w:lvlJc w:val="left"/>
      <w:pPr>
        <w:tabs>
          <w:tab w:val="num" w:pos="4680"/>
        </w:tabs>
        <w:ind w:left="4680" w:hanging="360"/>
      </w:pPr>
    </w:lvl>
    <w:lvl w:ilvl="7" w:tplc="040C0003">
      <w:start w:val="1"/>
      <w:numFmt w:val="lowerLetter"/>
      <w:lvlText w:val="%8."/>
      <w:lvlJc w:val="left"/>
      <w:pPr>
        <w:tabs>
          <w:tab w:val="num" w:pos="5400"/>
        </w:tabs>
        <w:ind w:left="5400" w:hanging="360"/>
      </w:pPr>
    </w:lvl>
    <w:lvl w:ilvl="8" w:tplc="040C0005">
      <w:start w:val="1"/>
      <w:numFmt w:val="lowerRoman"/>
      <w:lvlText w:val="%9."/>
      <w:lvlJc w:val="right"/>
      <w:pPr>
        <w:tabs>
          <w:tab w:val="num" w:pos="6120"/>
        </w:tabs>
        <w:ind w:left="6120" w:hanging="180"/>
      </w:pPr>
    </w:lvl>
  </w:abstractNum>
  <w:abstractNum w:abstractNumId="9">
    <w:nsid w:val="3CE43C91"/>
    <w:multiLevelType w:val="singleLevel"/>
    <w:tmpl w:val="FC70F878"/>
    <w:lvl w:ilvl="0">
      <w:start w:val="1"/>
      <w:numFmt w:val="decimal"/>
      <w:pStyle w:val="Para3"/>
      <w:lvlText w:val="%1."/>
      <w:lvlJc w:val="left"/>
      <w:pPr>
        <w:tabs>
          <w:tab w:val="num" w:pos="360"/>
        </w:tabs>
        <w:ind w:left="0" w:firstLine="0"/>
      </w:pPr>
    </w:lvl>
  </w:abstractNum>
  <w:abstractNum w:abstractNumId="10">
    <w:nsid w:val="43D047D8"/>
    <w:multiLevelType w:val="hybridMultilevel"/>
    <w:tmpl w:val="EB0A657C"/>
    <w:lvl w:ilvl="0" w:tplc="CEF64824">
      <w:start w:val="1"/>
      <w:numFmt w:val="arabicAbjad"/>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4CC7FBB"/>
    <w:multiLevelType w:val="hybridMultilevel"/>
    <w:tmpl w:val="CF50C32E"/>
    <w:lvl w:ilvl="0" w:tplc="00C85602">
      <w:start w:val="1"/>
      <w:numFmt w:val="lowerLetter"/>
      <w:pStyle w:val="BodyText21"/>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2">
    <w:nsid w:val="45980B54"/>
    <w:multiLevelType w:val="hybridMultilevel"/>
    <w:tmpl w:val="6BCCDE44"/>
    <w:lvl w:ilvl="0" w:tplc="FFFFFFFF">
      <w:start w:val="1"/>
      <w:numFmt w:val="decimal"/>
      <w:lvlText w:val="%1-"/>
      <w:lvlJc w:val="left"/>
      <w:pPr>
        <w:ind w:left="360" w:hanging="360"/>
      </w:pPr>
      <w:rPr>
        <w:rFonts w:hint="default"/>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nsid w:val="48E4287B"/>
    <w:multiLevelType w:val="multilevel"/>
    <w:tmpl w:val="B8A0609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2"/>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4AA27E4E"/>
    <w:multiLevelType w:val="hybridMultilevel"/>
    <w:tmpl w:val="AFEEA9C2"/>
    <w:lvl w:ilvl="0" w:tplc="66401D68">
      <w:start w:val="1"/>
      <w:numFmt w:val="decimal"/>
      <w:lvlText w:val="%1-"/>
      <w:lvlJc w:val="left"/>
      <w:pPr>
        <w:ind w:left="360" w:hanging="360"/>
      </w:pPr>
      <w:rPr>
        <w:rFonts w:hint="default"/>
        <w:i w:val="0"/>
        <w:iCs w:val="0"/>
        <w:sz w:val="24"/>
      </w:rPr>
    </w:lvl>
    <w:lvl w:ilvl="1" w:tplc="9A9862B6" w:tentative="1">
      <w:start w:val="1"/>
      <w:numFmt w:val="lowerLetter"/>
      <w:lvlText w:val="%2."/>
      <w:lvlJc w:val="left"/>
      <w:pPr>
        <w:ind w:left="1440" w:hanging="360"/>
      </w:pPr>
    </w:lvl>
    <w:lvl w:ilvl="2" w:tplc="7CB2307E" w:tentative="1">
      <w:start w:val="1"/>
      <w:numFmt w:val="lowerRoman"/>
      <w:lvlText w:val="%3."/>
      <w:lvlJc w:val="right"/>
      <w:pPr>
        <w:ind w:left="2160" w:hanging="180"/>
      </w:pPr>
    </w:lvl>
    <w:lvl w:ilvl="3" w:tplc="A4EC9410" w:tentative="1">
      <w:start w:val="1"/>
      <w:numFmt w:val="decimal"/>
      <w:lvlText w:val="%4."/>
      <w:lvlJc w:val="left"/>
      <w:pPr>
        <w:ind w:left="2880" w:hanging="360"/>
      </w:pPr>
    </w:lvl>
    <w:lvl w:ilvl="4" w:tplc="9D7C21FC" w:tentative="1">
      <w:start w:val="1"/>
      <w:numFmt w:val="lowerLetter"/>
      <w:lvlText w:val="%5."/>
      <w:lvlJc w:val="left"/>
      <w:pPr>
        <w:ind w:left="3600" w:hanging="360"/>
      </w:pPr>
    </w:lvl>
    <w:lvl w:ilvl="5" w:tplc="3D0EACF0" w:tentative="1">
      <w:start w:val="1"/>
      <w:numFmt w:val="lowerRoman"/>
      <w:lvlText w:val="%6."/>
      <w:lvlJc w:val="right"/>
      <w:pPr>
        <w:ind w:left="4320" w:hanging="180"/>
      </w:pPr>
    </w:lvl>
    <w:lvl w:ilvl="6" w:tplc="0016947E" w:tentative="1">
      <w:start w:val="1"/>
      <w:numFmt w:val="decimal"/>
      <w:lvlText w:val="%7."/>
      <w:lvlJc w:val="left"/>
      <w:pPr>
        <w:ind w:left="5040" w:hanging="360"/>
      </w:pPr>
    </w:lvl>
    <w:lvl w:ilvl="7" w:tplc="502C0692" w:tentative="1">
      <w:start w:val="1"/>
      <w:numFmt w:val="lowerLetter"/>
      <w:lvlText w:val="%8."/>
      <w:lvlJc w:val="left"/>
      <w:pPr>
        <w:ind w:left="5760" w:hanging="360"/>
      </w:pPr>
    </w:lvl>
    <w:lvl w:ilvl="8" w:tplc="68BEC052" w:tentative="1">
      <w:start w:val="1"/>
      <w:numFmt w:val="lowerRoman"/>
      <w:lvlText w:val="%9."/>
      <w:lvlJc w:val="right"/>
      <w:pPr>
        <w:ind w:left="6480" w:hanging="180"/>
      </w:pPr>
    </w:lvl>
  </w:abstractNum>
  <w:abstractNum w:abstractNumId="15">
    <w:nsid w:val="4BF37F68"/>
    <w:multiLevelType w:val="hybridMultilevel"/>
    <w:tmpl w:val="59687ACA"/>
    <w:lvl w:ilvl="0" w:tplc="FDD43410">
      <w:start w:val="1"/>
      <w:numFmt w:val="decimal"/>
      <w:lvlText w:val="%1-"/>
      <w:lvlJc w:val="left"/>
      <w:pPr>
        <w:tabs>
          <w:tab w:val="num" w:pos="720"/>
        </w:tabs>
        <w:ind w:left="0" w:firstLine="0"/>
      </w:pPr>
      <w:rPr>
        <w:rFonts w:hint="default"/>
        <w:i w:val="0"/>
        <w:iCs w:val="0"/>
      </w:rPr>
    </w:lvl>
    <w:lvl w:ilvl="1" w:tplc="04090019">
      <w:start w:val="1"/>
      <w:numFmt w:val="arabicAbjad"/>
      <w:lvlText w:val="%2."/>
      <w:lvlJc w:val="left"/>
      <w:pPr>
        <w:tabs>
          <w:tab w:val="num" w:pos="1440"/>
        </w:tabs>
        <w:ind w:left="1440" w:hanging="360"/>
      </w:pPr>
      <w:rPr>
        <w:rFonts w:hint="default"/>
      </w:rPr>
    </w:lvl>
    <w:lvl w:ilvl="2" w:tplc="0409001B">
      <w:start w:val="22"/>
      <w:numFmt w:val="bullet"/>
      <w:lvlText w:val="-"/>
      <w:lvlJc w:val="left"/>
      <w:pPr>
        <w:tabs>
          <w:tab w:val="num" w:pos="2700"/>
        </w:tabs>
        <w:ind w:left="2700" w:hanging="720"/>
      </w:pPr>
      <w:rPr>
        <w:rFonts w:ascii="Times New Roman" w:eastAsia="YouYuan" w:hAnsi="Times New Roman" w:cs="Simplified Arabic" w:hint="default"/>
      </w:r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4E0442B4"/>
    <w:multiLevelType w:val="multilevel"/>
    <w:tmpl w:val="A5FA0138"/>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7">
    <w:nsid w:val="5A6510BA"/>
    <w:multiLevelType w:val="hybridMultilevel"/>
    <w:tmpl w:val="D292A848"/>
    <w:lvl w:ilvl="0" w:tplc="040C0001">
      <w:start w:val="1"/>
      <w:numFmt w:val="decimal"/>
      <w:lvlText w:val="%1-"/>
      <w:lvlJc w:val="left"/>
      <w:pPr>
        <w:ind w:left="1080" w:hanging="360"/>
      </w:pPr>
      <w:rPr>
        <w:rFonts w:hint="default"/>
      </w:rPr>
    </w:lvl>
    <w:lvl w:ilvl="1" w:tplc="040C0003" w:tentative="1">
      <w:start w:val="1"/>
      <w:numFmt w:val="lowerLetter"/>
      <w:lvlText w:val="%2."/>
      <w:lvlJc w:val="left"/>
      <w:pPr>
        <w:ind w:left="1800" w:hanging="360"/>
      </w:pPr>
    </w:lvl>
    <w:lvl w:ilvl="2" w:tplc="040C0005" w:tentative="1">
      <w:start w:val="1"/>
      <w:numFmt w:val="lowerRoman"/>
      <w:lvlText w:val="%3."/>
      <w:lvlJc w:val="right"/>
      <w:pPr>
        <w:ind w:left="2520" w:hanging="180"/>
      </w:pPr>
    </w:lvl>
    <w:lvl w:ilvl="3" w:tplc="040C0001" w:tentative="1">
      <w:start w:val="1"/>
      <w:numFmt w:val="decimal"/>
      <w:lvlText w:val="%4."/>
      <w:lvlJc w:val="left"/>
      <w:pPr>
        <w:ind w:left="3240" w:hanging="360"/>
      </w:pPr>
    </w:lvl>
    <w:lvl w:ilvl="4" w:tplc="040C0003" w:tentative="1">
      <w:start w:val="1"/>
      <w:numFmt w:val="lowerLetter"/>
      <w:lvlText w:val="%5."/>
      <w:lvlJc w:val="left"/>
      <w:pPr>
        <w:ind w:left="3960" w:hanging="360"/>
      </w:pPr>
    </w:lvl>
    <w:lvl w:ilvl="5" w:tplc="040C0005" w:tentative="1">
      <w:start w:val="1"/>
      <w:numFmt w:val="lowerRoman"/>
      <w:lvlText w:val="%6."/>
      <w:lvlJc w:val="right"/>
      <w:pPr>
        <w:ind w:left="4680" w:hanging="180"/>
      </w:pPr>
    </w:lvl>
    <w:lvl w:ilvl="6" w:tplc="040C0001" w:tentative="1">
      <w:start w:val="1"/>
      <w:numFmt w:val="decimal"/>
      <w:lvlText w:val="%7."/>
      <w:lvlJc w:val="left"/>
      <w:pPr>
        <w:ind w:left="5400" w:hanging="360"/>
      </w:pPr>
    </w:lvl>
    <w:lvl w:ilvl="7" w:tplc="040C0003" w:tentative="1">
      <w:start w:val="1"/>
      <w:numFmt w:val="lowerLetter"/>
      <w:lvlText w:val="%8."/>
      <w:lvlJc w:val="left"/>
      <w:pPr>
        <w:ind w:left="6120" w:hanging="360"/>
      </w:pPr>
    </w:lvl>
    <w:lvl w:ilvl="8" w:tplc="040C0005" w:tentative="1">
      <w:start w:val="1"/>
      <w:numFmt w:val="lowerRoman"/>
      <w:lvlText w:val="%9."/>
      <w:lvlJc w:val="right"/>
      <w:pPr>
        <w:ind w:left="6840" w:hanging="180"/>
      </w:pPr>
    </w:lvl>
  </w:abstractNum>
  <w:abstractNum w:abstractNumId="18">
    <w:nsid w:val="65357F78"/>
    <w:multiLevelType w:val="hybridMultilevel"/>
    <w:tmpl w:val="E59652FE"/>
    <w:lvl w:ilvl="0" w:tplc="87CC21A8">
      <w:start w:val="1"/>
      <w:numFmt w:val="decimal"/>
      <w:pStyle w:val="Paraofficial"/>
      <w:lvlText w:val="%1."/>
      <w:lvlJc w:val="left"/>
      <w:pPr>
        <w:tabs>
          <w:tab w:val="num" w:pos="1080"/>
        </w:tabs>
        <w:ind w:left="0" w:firstLine="720"/>
      </w:pPr>
      <w:rPr>
        <w:rFonts w:hint="default"/>
      </w:rPr>
    </w:lvl>
    <w:lvl w:ilvl="1" w:tplc="AC6668B8" w:tentative="1">
      <w:start w:val="1"/>
      <w:numFmt w:val="lowerLetter"/>
      <w:lvlText w:val="%2."/>
      <w:lvlJc w:val="left"/>
      <w:pPr>
        <w:tabs>
          <w:tab w:val="num" w:pos="2160"/>
        </w:tabs>
        <w:ind w:left="2160" w:hanging="360"/>
      </w:pPr>
    </w:lvl>
    <w:lvl w:ilvl="2" w:tplc="D2ACCED2" w:tentative="1">
      <w:start w:val="1"/>
      <w:numFmt w:val="lowerRoman"/>
      <w:lvlText w:val="%3."/>
      <w:lvlJc w:val="right"/>
      <w:pPr>
        <w:tabs>
          <w:tab w:val="num" w:pos="2880"/>
        </w:tabs>
        <w:ind w:left="2880" w:hanging="180"/>
      </w:pPr>
    </w:lvl>
    <w:lvl w:ilvl="3" w:tplc="EDD6B408" w:tentative="1">
      <w:start w:val="1"/>
      <w:numFmt w:val="decimal"/>
      <w:lvlText w:val="%4."/>
      <w:lvlJc w:val="left"/>
      <w:pPr>
        <w:tabs>
          <w:tab w:val="num" w:pos="3600"/>
        </w:tabs>
        <w:ind w:left="3600" w:hanging="360"/>
      </w:pPr>
    </w:lvl>
    <w:lvl w:ilvl="4" w:tplc="352ADEE4" w:tentative="1">
      <w:start w:val="1"/>
      <w:numFmt w:val="lowerLetter"/>
      <w:lvlText w:val="%5."/>
      <w:lvlJc w:val="left"/>
      <w:pPr>
        <w:tabs>
          <w:tab w:val="num" w:pos="4320"/>
        </w:tabs>
        <w:ind w:left="4320" w:hanging="360"/>
      </w:pPr>
    </w:lvl>
    <w:lvl w:ilvl="5" w:tplc="53C07CFA" w:tentative="1">
      <w:start w:val="1"/>
      <w:numFmt w:val="lowerRoman"/>
      <w:lvlText w:val="%6."/>
      <w:lvlJc w:val="right"/>
      <w:pPr>
        <w:tabs>
          <w:tab w:val="num" w:pos="5040"/>
        </w:tabs>
        <w:ind w:left="5040" w:hanging="180"/>
      </w:pPr>
    </w:lvl>
    <w:lvl w:ilvl="6" w:tplc="E8C46012" w:tentative="1">
      <w:start w:val="1"/>
      <w:numFmt w:val="decimal"/>
      <w:lvlText w:val="%7."/>
      <w:lvlJc w:val="left"/>
      <w:pPr>
        <w:tabs>
          <w:tab w:val="num" w:pos="5760"/>
        </w:tabs>
        <w:ind w:left="5760" w:hanging="360"/>
      </w:pPr>
    </w:lvl>
    <w:lvl w:ilvl="7" w:tplc="F2E6E0C0" w:tentative="1">
      <w:start w:val="1"/>
      <w:numFmt w:val="lowerLetter"/>
      <w:lvlText w:val="%8."/>
      <w:lvlJc w:val="left"/>
      <w:pPr>
        <w:tabs>
          <w:tab w:val="num" w:pos="6480"/>
        </w:tabs>
        <w:ind w:left="6480" w:hanging="360"/>
      </w:pPr>
    </w:lvl>
    <w:lvl w:ilvl="8" w:tplc="D382D5B6" w:tentative="1">
      <w:start w:val="1"/>
      <w:numFmt w:val="lowerRoman"/>
      <w:lvlText w:val="%9."/>
      <w:lvlJc w:val="right"/>
      <w:pPr>
        <w:tabs>
          <w:tab w:val="num" w:pos="7200"/>
        </w:tabs>
        <w:ind w:left="7200" w:hanging="180"/>
      </w:pPr>
    </w:lvl>
  </w:abstractNum>
  <w:abstractNum w:abstractNumId="19">
    <w:nsid w:val="6ED82968"/>
    <w:multiLevelType w:val="hybridMultilevel"/>
    <w:tmpl w:val="FE162F2C"/>
    <w:lvl w:ilvl="0" w:tplc="7442743C">
      <w:start w:val="1"/>
      <w:numFmt w:val="bullet"/>
      <w:pStyle w:val="CBD-Doc"/>
      <w:lvlText w:val=""/>
      <w:lvlJc w:val="left"/>
      <w:pPr>
        <w:tabs>
          <w:tab w:val="num" w:pos="567"/>
        </w:tabs>
        <w:ind w:left="567" w:hanging="567"/>
      </w:pPr>
      <w:rPr>
        <w:rFonts w:ascii="Symbol" w:hAnsi="Symbol" w:hint="default"/>
      </w:rPr>
    </w:lvl>
    <w:lvl w:ilvl="1" w:tplc="04090019" w:tentative="1">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0">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1">
    <w:nsid w:val="703F6992"/>
    <w:multiLevelType w:val="hybridMultilevel"/>
    <w:tmpl w:val="8116A68C"/>
    <w:lvl w:ilvl="0" w:tplc="CEF64824">
      <w:start w:val="1"/>
      <w:numFmt w:val="arabicAbjad"/>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738760B6"/>
    <w:multiLevelType w:val="hybridMultilevel"/>
    <w:tmpl w:val="A594C2B0"/>
    <w:lvl w:ilvl="0" w:tplc="DF624DFA">
      <w:start w:val="1"/>
      <w:numFmt w:val="decimal"/>
      <w:lvlText w:val="%1-"/>
      <w:lvlJc w:val="left"/>
      <w:pPr>
        <w:ind w:left="1080" w:hanging="720"/>
      </w:pPr>
      <w:rPr>
        <w:rFonts w:ascii="Simplified Arabic" w:hAnsi="Simplified Arabic" w:hint="default"/>
        <w:color w:val="auto"/>
        <w:sz w:val="26"/>
        <w:u w:val="none"/>
      </w:rPr>
    </w:lvl>
    <w:lvl w:ilvl="1" w:tplc="526EB016">
      <w:start w:val="1"/>
      <w:numFmt w:val="decimal"/>
      <w:lvlText w:val="%2-"/>
      <w:lvlJc w:val="left"/>
      <w:pPr>
        <w:ind w:left="2520" w:hanging="144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5"/>
  </w:num>
  <w:num w:numId="2">
    <w:abstractNumId w:val="20"/>
  </w:num>
  <w:num w:numId="3">
    <w:abstractNumId w:val="16"/>
  </w:num>
  <w:num w:numId="4">
    <w:abstractNumId w:val="2"/>
  </w:num>
  <w:num w:numId="5">
    <w:abstractNumId w:val="4"/>
  </w:num>
  <w:num w:numId="6">
    <w:abstractNumId w:val="6"/>
  </w:num>
  <w:num w:numId="7">
    <w:abstractNumId w:val="11"/>
  </w:num>
  <w:num w:numId="8">
    <w:abstractNumId w:val="13"/>
  </w:num>
  <w:num w:numId="9">
    <w:abstractNumId w:val="9"/>
  </w:num>
  <w:num w:numId="10">
    <w:abstractNumId w:val="0"/>
  </w:num>
  <w:num w:numId="11">
    <w:abstractNumId w:val="5"/>
  </w:num>
  <w:num w:numId="12">
    <w:abstractNumId w:val="1"/>
  </w:num>
  <w:num w:numId="13">
    <w:abstractNumId w:val="14"/>
  </w:num>
  <w:num w:numId="14">
    <w:abstractNumId w:val="12"/>
  </w:num>
  <w:num w:numId="15">
    <w:abstractNumId w:val="17"/>
  </w:num>
  <w:num w:numId="16">
    <w:abstractNumId w:val="19"/>
  </w:num>
  <w:num w:numId="17">
    <w:abstractNumId w:val="8"/>
  </w:num>
  <w:num w:numId="18">
    <w:abstractNumId w:val="3"/>
  </w:num>
  <w:num w:numId="19">
    <w:abstractNumId w:val="22"/>
  </w:num>
  <w:num w:numId="20">
    <w:abstractNumId w:val="18"/>
  </w:num>
  <w:num w:numId="21">
    <w:abstractNumId w:val="21"/>
  </w:num>
  <w:num w:numId="22">
    <w:abstractNumId w:val="7"/>
  </w:num>
  <w:num w:numId="23">
    <w:abstractNumId w:val="10"/>
  </w:num>
  <w:numIdMacAtCleanup w:val="1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activeWritingStyle w:appName="MSWord" w:lang="ar-SA" w:vendorID="64" w:dllVersion="6" w:nlCheck="1" w:checkStyle="0"/>
  <w:activeWritingStyle w:appName="MSWord" w:lang="en-GB" w:vendorID="64" w:dllVersion="6" w:nlCheck="1" w:checkStyle="1"/>
  <w:activeWritingStyle w:appName="MSWord" w:lang="ar-EG" w:vendorID="64" w:dllVersion="6" w:nlCheck="1" w:checkStyle="0"/>
  <w:activeWritingStyle w:appName="MSWord" w:lang="ar-SA" w:vendorID="64" w:dllVersion="0" w:nlCheck="1" w:checkStyle="0"/>
  <w:activeWritingStyle w:appName="MSWord" w:lang="ar-EG" w:vendorID="64" w:dllVersion="0" w:nlCheck="1" w:checkStyle="0"/>
  <w:activeWritingStyle w:appName="MSWord" w:lang="ar-LY" w:vendorID="64" w:dllVersion="0" w:nlCheck="1" w:checkStyle="0"/>
  <w:activeWritingStyle w:appName="MSWord" w:lang="en-US" w:vendorID="64" w:dllVersion="0" w:nlCheck="1" w:checkStyle="0"/>
  <w:activeWritingStyle w:appName="MSWord" w:lang="en-GB" w:vendorID="64" w:dllVersion="0" w:nlCheck="1" w:checkStyle="0"/>
  <w:activeWritingStyle w:appName="MSWord" w:lang="fr-CA" w:vendorID="64" w:dllVersion="0" w:nlCheck="1" w:checkStyle="0"/>
  <w:activeWritingStyle w:appName="MSWord" w:lang="fr-CA" w:vendorID="64" w:dllVersion="6" w:nlCheck="1" w:checkStyle="1"/>
  <w:activeWritingStyle w:appName="MSWord" w:lang="en-US" w:vendorID="64" w:dllVersion="6" w:nlCheck="1" w:checkStyle="1"/>
  <w:activeWritingStyle w:appName="MSWord" w:lang="en-CA" w:vendorID="64" w:dllVersion="6" w:nlCheck="1" w:checkStyle="1"/>
  <w:activeWritingStyle w:appName="MSWord" w:lang="fr-CA" w:vendorID="64" w:dllVersion="131078" w:nlCheck="1" w:checkStyle="1"/>
  <w:activeWritingStyle w:appName="MSWord" w:lang="en-US" w:vendorID="64" w:dllVersion="131078" w:nlCheck="1" w:checkStyle="1"/>
  <w:activeWritingStyle w:appName="MSWord" w:lang="en-GB" w:vendorID="64" w:dllVersion="131078" w:nlCheck="1" w:checkStyle="1"/>
  <w:proofState w:spelling="clean" w:grammar="clean"/>
  <w:stylePaneFormatFilter w:val="3F01"/>
  <w:defaultTabStop w:val="720"/>
  <w:evenAndOddHeaders/>
  <w:noPunctuationKerning/>
  <w:characterSpacingControl w:val="doNotCompress"/>
  <w:hdrShapeDefaults>
    <o:shapedefaults v:ext="edit" spidmax="28674"/>
  </w:hdrShapeDefaults>
  <w:footnotePr>
    <w:footnote w:id="-1"/>
    <w:footnote w:id="0"/>
  </w:footnotePr>
  <w:endnotePr>
    <w:endnote w:id="-1"/>
    <w:endnote w:id="0"/>
  </w:endnotePr>
  <w:compat>
    <w:applyBreakingRules/>
  </w:compat>
  <w:rsids>
    <w:rsidRoot w:val="00C43324"/>
    <w:rsid w:val="00000127"/>
    <w:rsid w:val="00000169"/>
    <w:rsid w:val="00001033"/>
    <w:rsid w:val="00001335"/>
    <w:rsid w:val="00001FD1"/>
    <w:rsid w:val="000039B6"/>
    <w:rsid w:val="00004C90"/>
    <w:rsid w:val="00004CF5"/>
    <w:rsid w:val="00004E02"/>
    <w:rsid w:val="00004F1B"/>
    <w:rsid w:val="000056A7"/>
    <w:rsid w:val="00005C6B"/>
    <w:rsid w:val="00006287"/>
    <w:rsid w:val="0000629F"/>
    <w:rsid w:val="00006B3C"/>
    <w:rsid w:val="00007338"/>
    <w:rsid w:val="0000770F"/>
    <w:rsid w:val="00007E58"/>
    <w:rsid w:val="000108AF"/>
    <w:rsid w:val="00010F2A"/>
    <w:rsid w:val="00010F2C"/>
    <w:rsid w:val="00012150"/>
    <w:rsid w:val="000132C9"/>
    <w:rsid w:val="000144D3"/>
    <w:rsid w:val="00014C62"/>
    <w:rsid w:val="00014DC6"/>
    <w:rsid w:val="00015DC4"/>
    <w:rsid w:val="00016B4E"/>
    <w:rsid w:val="00017621"/>
    <w:rsid w:val="00017D1A"/>
    <w:rsid w:val="000213DE"/>
    <w:rsid w:val="00022D4B"/>
    <w:rsid w:val="00022FBA"/>
    <w:rsid w:val="00023967"/>
    <w:rsid w:val="00024250"/>
    <w:rsid w:val="0002474B"/>
    <w:rsid w:val="0002523A"/>
    <w:rsid w:val="00025BA9"/>
    <w:rsid w:val="00025E2A"/>
    <w:rsid w:val="0002642B"/>
    <w:rsid w:val="00027140"/>
    <w:rsid w:val="000272C6"/>
    <w:rsid w:val="00027F72"/>
    <w:rsid w:val="000300D1"/>
    <w:rsid w:val="00030485"/>
    <w:rsid w:val="00030985"/>
    <w:rsid w:val="00030C8C"/>
    <w:rsid w:val="0003135B"/>
    <w:rsid w:val="00031468"/>
    <w:rsid w:val="00031FBE"/>
    <w:rsid w:val="000326E4"/>
    <w:rsid w:val="00032F0B"/>
    <w:rsid w:val="00033F9A"/>
    <w:rsid w:val="00034043"/>
    <w:rsid w:val="00036F64"/>
    <w:rsid w:val="0003718B"/>
    <w:rsid w:val="000408ED"/>
    <w:rsid w:val="00040A75"/>
    <w:rsid w:val="00040FA5"/>
    <w:rsid w:val="00041FD9"/>
    <w:rsid w:val="00042C91"/>
    <w:rsid w:val="000439EA"/>
    <w:rsid w:val="00043D1B"/>
    <w:rsid w:val="00043DB8"/>
    <w:rsid w:val="00044AAF"/>
    <w:rsid w:val="00044EB4"/>
    <w:rsid w:val="0004504F"/>
    <w:rsid w:val="00045E3C"/>
    <w:rsid w:val="00046170"/>
    <w:rsid w:val="000518A5"/>
    <w:rsid w:val="000518AA"/>
    <w:rsid w:val="00051A6E"/>
    <w:rsid w:val="00051E7A"/>
    <w:rsid w:val="00052817"/>
    <w:rsid w:val="00053725"/>
    <w:rsid w:val="0005429D"/>
    <w:rsid w:val="0005468E"/>
    <w:rsid w:val="000555C6"/>
    <w:rsid w:val="00056818"/>
    <w:rsid w:val="000569D7"/>
    <w:rsid w:val="00056B97"/>
    <w:rsid w:val="00057214"/>
    <w:rsid w:val="00057C94"/>
    <w:rsid w:val="00060817"/>
    <w:rsid w:val="00060B86"/>
    <w:rsid w:val="00060E6E"/>
    <w:rsid w:val="0006113B"/>
    <w:rsid w:val="00061240"/>
    <w:rsid w:val="00061387"/>
    <w:rsid w:val="0006179B"/>
    <w:rsid w:val="000617F5"/>
    <w:rsid w:val="00061A70"/>
    <w:rsid w:val="00061F32"/>
    <w:rsid w:val="00062717"/>
    <w:rsid w:val="00062CBF"/>
    <w:rsid w:val="0006356C"/>
    <w:rsid w:val="00064142"/>
    <w:rsid w:val="00064701"/>
    <w:rsid w:val="000647C5"/>
    <w:rsid w:val="00065187"/>
    <w:rsid w:val="000659D4"/>
    <w:rsid w:val="00065D74"/>
    <w:rsid w:val="00065EAD"/>
    <w:rsid w:val="00066168"/>
    <w:rsid w:val="000673FE"/>
    <w:rsid w:val="00070763"/>
    <w:rsid w:val="00071AA3"/>
    <w:rsid w:val="00072556"/>
    <w:rsid w:val="000730AE"/>
    <w:rsid w:val="0007477C"/>
    <w:rsid w:val="000748F0"/>
    <w:rsid w:val="00074A52"/>
    <w:rsid w:val="00075A8A"/>
    <w:rsid w:val="000770F3"/>
    <w:rsid w:val="000777DF"/>
    <w:rsid w:val="00077DAB"/>
    <w:rsid w:val="0008009F"/>
    <w:rsid w:val="00080B30"/>
    <w:rsid w:val="00081999"/>
    <w:rsid w:val="00081C91"/>
    <w:rsid w:val="00082827"/>
    <w:rsid w:val="000839A2"/>
    <w:rsid w:val="00083B68"/>
    <w:rsid w:val="00084BB4"/>
    <w:rsid w:val="00085341"/>
    <w:rsid w:val="000867EE"/>
    <w:rsid w:val="00086ADE"/>
    <w:rsid w:val="00087182"/>
    <w:rsid w:val="0008758D"/>
    <w:rsid w:val="00087C19"/>
    <w:rsid w:val="000904A8"/>
    <w:rsid w:val="000910F2"/>
    <w:rsid w:val="000916BE"/>
    <w:rsid w:val="00091948"/>
    <w:rsid w:val="00092667"/>
    <w:rsid w:val="0009290C"/>
    <w:rsid w:val="00093731"/>
    <w:rsid w:val="00093760"/>
    <w:rsid w:val="00093F2D"/>
    <w:rsid w:val="00093F48"/>
    <w:rsid w:val="00094391"/>
    <w:rsid w:val="00094D7F"/>
    <w:rsid w:val="0009508F"/>
    <w:rsid w:val="00095854"/>
    <w:rsid w:val="00096F83"/>
    <w:rsid w:val="00097021"/>
    <w:rsid w:val="000971C0"/>
    <w:rsid w:val="00097777"/>
    <w:rsid w:val="000A043F"/>
    <w:rsid w:val="000A05B7"/>
    <w:rsid w:val="000A0836"/>
    <w:rsid w:val="000A0B70"/>
    <w:rsid w:val="000A10E4"/>
    <w:rsid w:val="000A1281"/>
    <w:rsid w:val="000A151F"/>
    <w:rsid w:val="000A1E30"/>
    <w:rsid w:val="000A2405"/>
    <w:rsid w:val="000A5234"/>
    <w:rsid w:val="000A52DA"/>
    <w:rsid w:val="000A5398"/>
    <w:rsid w:val="000A5B08"/>
    <w:rsid w:val="000A792D"/>
    <w:rsid w:val="000B013A"/>
    <w:rsid w:val="000B0213"/>
    <w:rsid w:val="000B100E"/>
    <w:rsid w:val="000B1447"/>
    <w:rsid w:val="000B1E95"/>
    <w:rsid w:val="000B2606"/>
    <w:rsid w:val="000B2B0C"/>
    <w:rsid w:val="000B2C63"/>
    <w:rsid w:val="000B3249"/>
    <w:rsid w:val="000B3997"/>
    <w:rsid w:val="000B4102"/>
    <w:rsid w:val="000B4309"/>
    <w:rsid w:val="000B4E04"/>
    <w:rsid w:val="000B5A15"/>
    <w:rsid w:val="000B5A66"/>
    <w:rsid w:val="000B5A77"/>
    <w:rsid w:val="000B5AFF"/>
    <w:rsid w:val="000B638F"/>
    <w:rsid w:val="000B731D"/>
    <w:rsid w:val="000B737A"/>
    <w:rsid w:val="000B7D90"/>
    <w:rsid w:val="000C1221"/>
    <w:rsid w:val="000C1320"/>
    <w:rsid w:val="000C14D0"/>
    <w:rsid w:val="000C1FF3"/>
    <w:rsid w:val="000C2493"/>
    <w:rsid w:val="000C2729"/>
    <w:rsid w:val="000C2D35"/>
    <w:rsid w:val="000C2D6E"/>
    <w:rsid w:val="000C2F26"/>
    <w:rsid w:val="000C381A"/>
    <w:rsid w:val="000C3D18"/>
    <w:rsid w:val="000C4896"/>
    <w:rsid w:val="000C48B3"/>
    <w:rsid w:val="000C50D0"/>
    <w:rsid w:val="000C5662"/>
    <w:rsid w:val="000C697A"/>
    <w:rsid w:val="000C6F97"/>
    <w:rsid w:val="000D09E6"/>
    <w:rsid w:val="000D0AC3"/>
    <w:rsid w:val="000D0E3C"/>
    <w:rsid w:val="000D19AB"/>
    <w:rsid w:val="000D1FD4"/>
    <w:rsid w:val="000D2896"/>
    <w:rsid w:val="000D3079"/>
    <w:rsid w:val="000D481D"/>
    <w:rsid w:val="000D48C6"/>
    <w:rsid w:val="000D4B21"/>
    <w:rsid w:val="000D6011"/>
    <w:rsid w:val="000D707B"/>
    <w:rsid w:val="000D7849"/>
    <w:rsid w:val="000E01B6"/>
    <w:rsid w:val="000E01D6"/>
    <w:rsid w:val="000E1BBD"/>
    <w:rsid w:val="000E1BD9"/>
    <w:rsid w:val="000E25D4"/>
    <w:rsid w:val="000E272A"/>
    <w:rsid w:val="000E2BE2"/>
    <w:rsid w:val="000E3556"/>
    <w:rsid w:val="000E3599"/>
    <w:rsid w:val="000E35EF"/>
    <w:rsid w:val="000E409E"/>
    <w:rsid w:val="000E49AD"/>
    <w:rsid w:val="000E4FE4"/>
    <w:rsid w:val="000E4FE5"/>
    <w:rsid w:val="000E5105"/>
    <w:rsid w:val="000E5220"/>
    <w:rsid w:val="000E52C8"/>
    <w:rsid w:val="000E556E"/>
    <w:rsid w:val="000E581E"/>
    <w:rsid w:val="000E5C64"/>
    <w:rsid w:val="000E6574"/>
    <w:rsid w:val="000E665E"/>
    <w:rsid w:val="000F0C9E"/>
    <w:rsid w:val="000F18DF"/>
    <w:rsid w:val="000F22B2"/>
    <w:rsid w:val="000F235F"/>
    <w:rsid w:val="000F25C9"/>
    <w:rsid w:val="000F29B8"/>
    <w:rsid w:val="000F3794"/>
    <w:rsid w:val="000F3E31"/>
    <w:rsid w:val="000F4052"/>
    <w:rsid w:val="000F52D5"/>
    <w:rsid w:val="000F5748"/>
    <w:rsid w:val="000F58C1"/>
    <w:rsid w:val="000F5B3D"/>
    <w:rsid w:val="000F6A7F"/>
    <w:rsid w:val="000F7C9C"/>
    <w:rsid w:val="001000A9"/>
    <w:rsid w:val="001000B0"/>
    <w:rsid w:val="00100D01"/>
    <w:rsid w:val="00102599"/>
    <w:rsid w:val="00103222"/>
    <w:rsid w:val="001039B3"/>
    <w:rsid w:val="00103AE0"/>
    <w:rsid w:val="00104FF1"/>
    <w:rsid w:val="001061E2"/>
    <w:rsid w:val="00106EDC"/>
    <w:rsid w:val="0010717E"/>
    <w:rsid w:val="0010734B"/>
    <w:rsid w:val="00107AB9"/>
    <w:rsid w:val="00107C58"/>
    <w:rsid w:val="00107E92"/>
    <w:rsid w:val="0011079D"/>
    <w:rsid w:val="00110E2E"/>
    <w:rsid w:val="001112C6"/>
    <w:rsid w:val="0011130E"/>
    <w:rsid w:val="00111693"/>
    <w:rsid w:val="00111839"/>
    <w:rsid w:val="0011229F"/>
    <w:rsid w:val="00112A0C"/>
    <w:rsid w:val="00112AC9"/>
    <w:rsid w:val="00113131"/>
    <w:rsid w:val="00113889"/>
    <w:rsid w:val="00113AD1"/>
    <w:rsid w:val="00113B9E"/>
    <w:rsid w:val="00113C4A"/>
    <w:rsid w:val="00114272"/>
    <w:rsid w:val="0011477C"/>
    <w:rsid w:val="00115994"/>
    <w:rsid w:val="00117321"/>
    <w:rsid w:val="001175E4"/>
    <w:rsid w:val="0011791F"/>
    <w:rsid w:val="00117DE2"/>
    <w:rsid w:val="0012044D"/>
    <w:rsid w:val="001207B2"/>
    <w:rsid w:val="0012117C"/>
    <w:rsid w:val="00121BA8"/>
    <w:rsid w:val="00121E3A"/>
    <w:rsid w:val="00122BDE"/>
    <w:rsid w:val="001243B6"/>
    <w:rsid w:val="00126DCB"/>
    <w:rsid w:val="001306C4"/>
    <w:rsid w:val="00130D85"/>
    <w:rsid w:val="00131C2E"/>
    <w:rsid w:val="00131F83"/>
    <w:rsid w:val="00132236"/>
    <w:rsid w:val="00132C04"/>
    <w:rsid w:val="001333F6"/>
    <w:rsid w:val="001344FD"/>
    <w:rsid w:val="001359E9"/>
    <w:rsid w:val="00136622"/>
    <w:rsid w:val="00136BDC"/>
    <w:rsid w:val="001376BF"/>
    <w:rsid w:val="0014028D"/>
    <w:rsid w:val="00140964"/>
    <w:rsid w:val="00141238"/>
    <w:rsid w:val="0014128C"/>
    <w:rsid w:val="00141B5B"/>
    <w:rsid w:val="00141DCF"/>
    <w:rsid w:val="00142099"/>
    <w:rsid w:val="0014267A"/>
    <w:rsid w:val="00142CE1"/>
    <w:rsid w:val="00143020"/>
    <w:rsid w:val="00143185"/>
    <w:rsid w:val="001433E8"/>
    <w:rsid w:val="001438E4"/>
    <w:rsid w:val="00143E61"/>
    <w:rsid w:val="00144281"/>
    <w:rsid w:val="00144511"/>
    <w:rsid w:val="00144673"/>
    <w:rsid w:val="0014606A"/>
    <w:rsid w:val="00146A70"/>
    <w:rsid w:val="00146C0B"/>
    <w:rsid w:val="0014701D"/>
    <w:rsid w:val="001525AD"/>
    <w:rsid w:val="00152FDC"/>
    <w:rsid w:val="00153A4B"/>
    <w:rsid w:val="00153D62"/>
    <w:rsid w:val="00153EB0"/>
    <w:rsid w:val="001545AB"/>
    <w:rsid w:val="0015460F"/>
    <w:rsid w:val="00154685"/>
    <w:rsid w:val="00155463"/>
    <w:rsid w:val="0015592B"/>
    <w:rsid w:val="00157889"/>
    <w:rsid w:val="00161C76"/>
    <w:rsid w:val="00162099"/>
    <w:rsid w:val="001635E6"/>
    <w:rsid w:val="00163E06"/>
    <w:rsid w:val="00163EB7"/>
    <w:rsid w:val="00164A8A"/>
    <w:rsid w:val="0016566C"/>
    <w:rsid w:val="0016621D"/>
    <w:rsid w:val="001665D3"/>
    <w:rsid w:val="001676FE"/>
    <w:rsid w:val="0017009A"/>
    <w:rsid w:val="00171A91"/>
    <w:rsid w:val="00172253"/>
    <w:rsid w:val="001728CF"/>
    <w:rsid w:val="00172E73"/>
    <w:rsid w:val="00172EF1"/>
    <w:rsid w:val="00173FC2"/>
    <w:rsid w:val="00174678"/>
    <w:rsid w:val="00174B11"/>
    <w:rsid w:val="00174D54"/>
    <w:rsid w:val="00176011"/>
    <w:rsid w:val="0017757C"/>
    <w:rsid w:val="00177826"/>
    <w:rsid w:val="00181A29"/>
    <w:rsid w:val="00181C37"/>
    <w:rsid w:val="00182117"/>
    <w:rsid w:val="00183609"/>
    <w:rsid w:val="00183A60"/>
    <w:rsid w:val="00184104"/>
    <w:rsid w:val="0018508B"/>
    <w:rsid w:val="00185DC3"/>
    <w:rsid w:val="00186275"/>
    <w:rsid w:val="00186890"/>
    <w:rsid w:val="00187013"/>
    <w:rsid w:val="001904F0"/>
    <w:rsid w:val="001905D4"/>
    <w:rsid w:val="001909DB"/>
    <w:rsid w:val="001910DD"/>
    <w:rsid w:val="001910F3"/>
    <w:rsid w:val="0019279D"/>
    <w:rsid w:val="0019349C"/>
    <w:rsid w:val="00194B47"/>
    <w:rsid w:val="00195913"/>
    <w:rsid w:val="001961BF"/>
    <w:rsid w:val="001964E7"/>
    <w:rsid w:val="001A0740"/>
    <w:rsid w:val="001A0BB5"/>
    <w:rsid w:val="001A0CAB"/>
    <w:rsid w:val="001A1396"/>
    <w:rsid w:val="001A2111"/>
    <w:rsid w:val="001A3186"/>
    <w:rsid w:val="001A3254"/>
    <w:rsid w:val="001A46DB"/>
    <w:rsid w:val="001A54D5"/>
    <w:rsid w:val="001A5503"/>
    <w:rsid w:val="001A7344"/>
    <w:rsid w:val="001A79A3"/>
    <w:rsid w:val="001B2191"/>
    <w:rsid w:val="001B2595"/>
    <w:rsid w:val="001B3654"/>
    <w:rsid w:val="001B404D"/>
    <w:rsid w:val="001B4262"/>
    <w:rsid w:val="001B4910"/>
    <w:rsid w:val="001B4E40"/>
    <w:rsid w:val="001B6250"/>
    <w:rsid w:val="001B6976"/>
    <w:rsid w:val="001B6F23"/>
    <w:rsid w:val="001B7AD2"/>
    <w:rsid w:val="001B7F92"/>
    <w:rsid w:val="001C0AA6"/>
    <w:rsid w:val="001C141E"/>
    <w:rsid w:val="001C17FA"/>
    <w:rsid w:val="001C200E"/>
    <w:rsid w:val="001C2717"/>
    <w:rsid w:val="001C3E5F"/>
    <w:rsid w:val="001C44E3"/>
    <w:rsid w:val="001C52BF"/>
    <w:rsid w:val="001C544F"/>
    <w:rsid w:val="001C5805"/>
    <w:rsid w:val="001C597D"/>
    <w:rsid w:val="001C5AEE"/>
    <w:rsid w:val="001C6CFD"/>
    <w:rsid w:val="001C73DA"/>
    <w:rsid w:val="001C7779"/>
    <w:rsid w:val="001C7861"/>
    <w:rsid w:val="001C7F36"/>
    <w:rsid w:val="001D0DF6"/>
    <w:rsid w:val="001D1B8A"/>
    <w:rsid w:val="001D38BC"/>
    <w:rsid w:val="001D3924"/>
    <w:rsid w:val="001D45C6"/>
    <w:rsid w:val="001D5907"/>
    <w:rsid w:val="001D6114"/>
    <w:rsid w:val="001D6EAC"/>
    <w:rsid w:val="001D7ADB"/>
    <w:rsid w:val="001E0710"/>
    <w:rsid w:val="001E1B00"/>
    <w:rsid w:val="001E3194"/>
    <w:rsid w:val="001E3856"/>
    <w:rsid w:val="001E3954"/>
    <w:rsid w:val="001E3A23"/>
    <w:rsid w:val="001E3DC9"/>
    <w:rsid w:val="001E3E34"/>
    <w:rsid w:val="001E4CB7"/>
    <w:rsid w:val="001E6145"/>
    <w:rsid w:val="001E61FB"/>
    <w:rsid w:val="001E6B1E"/>
    <w:rsid w:val="001E6E2F"/>
    <w:rsid w:val="001E720C"/>
    <w:rsid w:val="001E755B"/>
    <w:rsid w:val="001E7599"/>
    <w:rsid w:val="001F05BB"/>
    <w:rsid w:val="001F116D"/>
    <w:rsid w:val="001F1F7A"/>
    <w:rsid w:val="001F202D"/>
    <w:rsid w:val="001F2AC6"/>
    <w:rsid w:val="001F3337"/>
    <w:rsid w:val="001F3917"/>
    <w:rsid w:val="001F4CA8"/>
    <w:rsid w:val="001F550E"/>
    <w:rsid w:val="001F6492"/>
    <w:rsid w:val="001F655A"/>
    <w:rsid w:val="001F6B4D"/>
    <w:rsid w:val="001F6F44"/>
    <w:rsid w:val="001F7070"/>
    <w:rsid w:val="001F70BC"/>
    <w:rsid w:val="001F7699"/>
    <w:rsid w:val="001F7E62"/>
    <w:rsid w:val="00200285"/>
    <w:rsid w:val="002008DD"/>
    <w:rsid w:val="00201846"/>
    <w:rsid w:val="00201A08"/>
    <w:rsid w:val="002021E7"/>
    <w:rsid w:val="00202230"/>
    <w:rsid w:val="0020291E"/>
    <w:rsid w:val="00202A7D"/>
    <w:rsid w:val="0020597A"/>
    <w:rsid w:val="00205B7B"/>
    <w:rsid w:val="002064C5"/>
    <w:rsid w:val="0020663F"/>
    <w:rsid w:val="0020679B"/>
    <w:rsid w:val="00206C65"/>
    <w:rsid w:val="00206CD5"/>
    <w:rsid w:val="0020757C"/>
    <w:rsid w:val="002075E7"/>
    <w:rsid w:val="00207B78"/>
    <w:rsid w:val="00210A54"/>
    <w:rsid w:val="00211782"/>
    <w:rsid w:val="002121FE"/>
    <w:rsid w:val="00212288"/>
    <w:rsid w:val="00213677"/>
    <w:rsid w:val="00213CC6"/>
    <w:rsid w:val="00214074"/>
    <w:rsid w:val="002149F2"/>
    <w:rsid w:val="00215698"/>
    <w:rsid w:val="00215B52"/>
    <w:rsid w:val="00215CDC"/>
    <w:rsid w:val="00216892"/>
    <w:rsid w:val="00216CC5"/>
    <w:rsid w:val="00216D4D"/>
    <w:rsid w:val="00217152"/>
    <w:rsid w:val="0021743C"/>
    <w:rsid w:val="0022077F"/>
    <w:rsid w:val="002207FF"/>
    <w:rsid w:val="0022129C"/>
    <w:rsid w:val="002214C4"/>
    <w:rsid w:val="002224DB"/>
    <w:rsid w:val="00222D10"/>
    <w:rsid w:val="002237BC"/>
    <w:rsid w:val="00224D4B"/>
    <w:rsid w:val="00224DE9"/>
    <w:rsid w:val="00224E4C"/>
    <w:rsid w:val="0022666F"/>
    <w:rsid w:val="00227E29"/>
    <w:rsid w:val="002301E2"/>
    <w:rsid w:val="00230B45"/>
    <w:rsid w:val="00231510"/>
    <w:rsid w:val="00232086"/>
    <w:rsid w:val="002328A5"/>
    <w:rsid w:val="00232DEC"/>
    <w:rsid w:val="00233232"/>
    <w:rsid w:val="002366DF"/>
    <w:rsid w:val="0024021E"/>
    <w:rsid w:val="0024076D"/>
    <w:rsid w:val="00240788"/>
    <w:rsid w:val="00241753"/>
    <w:rsid w:val="00241D35"/>
    <w:rsid w:val="00241E46"/>
    <w:rsid w:val="0024247E"/>
    <w:rsid w:val="002425E8"/>
    <w:rsid w:val="00243625"/>
    <w:rsid w:val="00243BEB"/>
    <w:rsid w:val="00244971"/>
    <w:rsid w:val="0024513B"/>
    <w:rsid w:val="0024691E"/>
    <w:rsid w:val="00247059"/>
    <w:rsid w:val="002475E9"/>
    <w:rsid w:val="00250021"/>
    <w:rsid w:val="002511E1"/>
    <w:rsid w:val="002512B0"/>
    <w:rsid w:val="0025133F"/>
    <w:rsid w:val="00251EC6"/>
    <w:rsid w:val="00252BBD"/>
    <w:rsid w:val="0025370D"/>
    <w:rsid w:val="00253A09"/>
    <w:rsid w:val="00253F95"/>
    <w:rsid w:val="0025456E"/>
    <w:rsid w:val="00255450"/>
    <w:rsid w:val="00255635"/>
    <w:rsid w:val="00255A49"/>
    <w:rsid w:val="002568AD"/>
    <w:rsid w:val="002576AB"/>
    <w:rsid w:val="0025791B"/>
    <w:rsid w:val="00260E72"/>
    <w:rsid w:val="00261832"/>
    <w:rsid w:val="002622E7"/>
    <w:rsid w:val="00262590"/>
    <w:rsid w:val="00262988"/>
    <w:rsid w:val="00262C67"/>
    <w:rsid w:val="002632E2"/>
    <w:rsid w:val="00264564"/>
    <w:rsid w:val="002658A1"/>
    <w:rsid w:val="00265A5D"/>
    <w:rsid w:val="00265BBA"/>
    <w:rsid w:val="00267D60"/>
    <w:rsid w:val="00267DD1"/>
    <w:rsid w:val="00270A82"/>
    <w:rsid w:val="00270F95"/>
    <w:rsid w:val="00271024"/>
    <w:rsid w:val="002716C5"/>
    <w:rsid w:val="00272866"/>
    <w:rsid w:val="00272959"/>
    <w:rsid w:val="00272DEB"/>
    <w:rsid w:val="0027387D"/>
    <w:rsid w:val="00273A8B"/>
    <w:rsid w:val="00273E4B"/>
    <w:rsid w:val="00273E98"/>
    <w:rsid w:val="0027416C"/>
    <w:rsid w:val="00275585"/>
    <w:rsid w:val="00275B93"/>
    <w:rsid w:val="002761A5"/>
    <w:rsid w:val="00276ADD"/>
    <w:rsid w:val="00276E61"/>
    <w:rsid w:val="0027728D"/>
    <w:rsid w:val="002805CE"/>
    <w:rsid w:val="002807C8"/>
    <w:rsid w:val="002813E7"/>
    <w:rsid w:val="002821E0"/>
    <w:rsid w:val="00282461"/>
    <w:rsid w:val="00282D8E"/>
    <w:rsid w:val="00282EC5"/>
    <w:rsid w:val="00283D43"/>
    <w:rsid w:val="00285E6A"/>
    <w:rsid w:val="00286812"/>
    <w:rsid w:val="00286ED1"/>
    <w:rsid w:val="00287EAE"/>
    <w:rsid w:val="00287F71"/>
    <w:rsid w:val="00290527"/>
    <w:rsid w:val="00290B5C"/>
    <w:rsid w:val="0029356F"/>
    <w:rsid w:val="00293A63"/>
    <w:rsid w:val="00294864"/>
    <w:rsid w:val="00296069"/>
    <w:rsid w:val="002A04CE"/>
    <w:rsid w:val="002A15DE"/>
    <w:rsid w:val="002A202D"/>
    <w:rsid w:val="002A265B"/>
    <w:rsid w:val="002A27D4"/>
    <w:rsid w:val="002A28DA"/>
    <w:rsid w:val="002A2E4B"/>
    <w:rsid w:val="002A397D"/>
    <w:rsid w:val="002A434B"/>
    <w:rsid w:val="002A4553"/>
    <w:rsid w:val="002A4572"/>
    <w:rsid w:val="002A4D72"/>
    <w:rsid w:val="002A6240"/>
    <w:rsid w:val="002A646F"/>
    <w:rsid w:val="002A6E58"/>
    <w:rsid w:val="002A7996"/>
    <w:rsid w:val="002B1D05"/>
    <w:rsid w:val="002B1DAE"/>
    <w:rsid w:val="002B27BE"/>
    <w:rsid w:val="002B2CD5"/>
    <w:rsid w:val="002B2EB6"/>
    <w:rsid w:val="002B31AF"/>
    <w:rsid w:val="002B3414"/>
    <w:rsid w:val="002B415A"/>
    <w:rsid w:val="002B4C56"/>
    <w:rsid w:val="002B55B8"/>
    <w:rsid w:val="002B6431"/>
    <w:rsid w:val="002B6A2F"/>
    <w:rsid w:val="002B6AE5"/>
    <w:rsid w:val="002C0932"/>
    <w:rsid w:val="002C0EA1"/>
    <w:rsid w:val="002C12CA"/>
    <w:rsid w:val="002C31CB"/>
    <w:rsid w:val="002C34CE"/>
    <w:rsid w:val="002C3CE2"/>
    <w:rsid w:val="002C4F7A"/>
    <w:rsid w:val="002C56C1"/>
    <w:rsid w:val="002C5A7E"/>
    <w:rsid w:val="002C62C6"/>
    <w:rsid w:val="002C7811"/>
    <w:rsid w:val="002D04AA"/>
    <w:rsid w:val="002D0B34"/>
    <w:rsid w:val="002D0C4E"/>
    <w:rsid w:val="002D1ADE"/>
    <w:rsid w:val="002D1DB4"/>
    <w:rsid w:val="002D2302"/>
    <w:rsid w:val="002D24DC"/>
    <w:rsid w:val="002D25F5"/>
    <w:rsid w:val="002D2E56"/>
    <w:rsid w:val="002D2F37"/>
    <w:rsid w:val="002D3523"/>
    <w:rsid w:val="002D3EE9"/>
    <w:rsid w:val="002D4279"/>
    <w:rsid w:val="002D4A9A"/>
    <w:rsid w:val="002D56EB"/>
    <w:rsid w:val="002D58DB"/>
    <w:rsid w:val="002D5C13"/>
    <w:rsid w:val="002D5C2C"/>
    <w:rsid w:val="002D6006"/>
    <w:rsid w:val="002D677E"/>
    <w:rsid w:val="002D7DA9"/>
    <w:rsid w:val="002E060F"/>
    <w:rsid w:val="002E0C4A"/>
    <w:rsid w:val="002E0D57"/>
    <w:rsid w:val="002E2443"/>
    <w:rsid w:val="002E2B45"/>
    <w:rsid w:val="002E32D6"/>
    <w:rsid w:val="002E3856"/>
    <w:rsid w:val="002E4241"/>
    <w:rsid w:val="002E5922"/>
    <w:rsid w:val="002E5BAA"/>
    <w:rsid w:val="002E6312"/>
    <w:rsid w:val="002E7661"/>
    <w:rsid w:val="002E78F5"/>
    <w:rsid w:val="002E7CA8"/>
    <w:rsid w:val="002E7ED3"/>
    <w:rsid w:val="002F0261"/>
    <w:rsid w:val="002F05DD"/>
    <w:rsid w:val="002F08B1"/>
    <w:rsid w:val="002F159D"/>
    <w:rsid w:val="002F159E"/>
    <w:rsid w:val="002F16AC"/>
    <w:rsid w:val="002F1744"/>
    <w:rsid w:val="002F216E"/>
    <w:rsid w:val="002F28BF"/>
    <w:rsid w:val="002F2B5A"/>
    <w:rsid w:val="002F437F"/>
    <w:rsid w:val="002F43D3"/>
    <w:rsid w:val="002F4DB8"/>
    <w:rsid w:val="002F51C1"/>
    <w:rsid w:val="002F6084"/>
    <w:rsid w:val="002F7451"/>
    <w:rsid w:val="0030012E"/>
    <w:rsid w:val="00300A5B"/>
    <w:rsid w:val="00300E35"/>
    <w:rsid w:val="003020FD"/>
    <w:rsid w:val="003025BD"/>
    <w:rsid w:val="0030394A"/>
    <w:rsid w:val="00304043"/>
    <w:rsid w:val="003047D0"/>
    <w:rsid w:val="00304D26"/>
    <w:rsid w:val="00305C4A"/>
    <w:rsid w:val="00306C34"/>
    <w:rsid w:val="003071F4"/>
    <w:rsid w:val="00310720"/>
    <w:rsid w:val="003111B5"/>
    <w:rsid w:val="0031246C"/>
    <w:rsid w:val="003133BA"/>
    <w:rsid w:val="00313667"/>
    <w:rsid w:val="00314132"/>
    <w:rsid w:val="00315839"/>
    <w:rsid w:val="00315923"/>
    <w:rsid w:val="00315BDA"/>
    <w:rsid w:val="00315EBE"/>
    <w:rsid w:val="00316F74"/>
    <w:rsid w:val="003171A8"/>
    <w:rsid w:val="003178D1"/>
    <w:rsid w:val="00317B24"/>
    <w:rsid w:val="00317E03"/>
    <w:rsid w:val="003212F2"/>
    <w:rsid w:val="00321CA7"/>
    <w:rsid w:val="00321CE0"/>
    <w:rsid w:val="00322217"/>
    <w:rsid w:val="0032335B"/>
    <w:rsid w:val="00323ECE"/>
    <w:rsid w:val="00324257"/>
    <w:rsid w:val="00324745"/>
    <w:rsid w:val="003248EA"/>
    <w:rsid w:val="003251A2"/>
    <w:rsid w:val="003251E7"/>
    <w:rsid w:val="0032547E"/>
    <w:rsid w:val="003254C4"/>
    <w:rsid w:val="00325CF6"/>
    <w:rsid w:val="003275D9"/>
    <w:rsid w:val="00327D06"/>
    <w:rsid w:val="00330071"/>
    <w:rsid w:val="003301CD"/>
    <w:rsid w:val="00330382"/>
    <w:rsid w:val="003303D8"/>
    <w:rsid w:val="00331001"/>
    <w:rsid w:val="003310BF"/>
    <w:rsid w:val="00331259"/>
    <w:rsid w:val="00332568"/>
    <w:rsid w:val="003333B4"/>
    <w:rsid w:val="00334735"/>
    <w:rsid w:val="003358B3"/>
    <w:rsid w:val="00335CA2"/>
    <w:rsid w:val="00336150"/>
    <w:rsid w:val="00336B26"/>
    <w:rsid w:val="00336BDF"/>
    <w:rsid w:val="00336E1A"/>
    <w:rsid w:val="0033739A"/>
    <w:rsid w:val="00337739"/>
    <w:rsid w:val="00337F61"/>
    <w:rsid w:val="00340341"/>
    <w:rsid w:val="003417CB"/>
    <w:rsid w:val="00341981"/>
    <w:rsid w:val="00341F3B"/>
    <w:rsid w:val="00342299"/>
    <w:rsid w:val="00342BEA"/>
    <w:rsid w:val="00342E1F"/>
    <w:rsid w:val="00343736"/>
    <w:rsid w:val="00343AED"/>
    <w:rsid w:val="00343F2A"/>
    <w:rsid w:val="00344090"/>
    <w:rsid w:val="00345C3F"/>
    <w:rsid w:val="00346218"/>
    <w:rsid w:val="00346B08"/>
    <w:rsid w:val="0034745D"/>
    <w:rsid w:val="00347D0B"/>
    <w:rsid w:val="00350FAA"/>
    <w:rsid w:val="00351B41"/>
    <w:rsid w:val="00351E54"/>
    <w:rsid w:val="003520FE"/>
    <w:rsid w:val="003522D7"/>
    <w:rsid w:val="00352FE0"/>
    <w:rsid w:val="00353BAB"/>
    <w:rsid w:val="0035440C"/>
    <w:rsid w:val="00354666"/>
    <w:rsid w:val="00354669"/>
    <w:rsid w:val="00354700"/>
    <w:rsid w:val="003548FB"/>
    <w:rsid w:val="00356878"/>
    <w:rsid w:val="00357070"/>
    <w:rsid w:val="003603BF"/>
    <w:rsid w:val="00360460"/>
    <w:rsid w:val="00360528"/>
    <w:rsid w:val="003609D8"/>
    <w:rsid w:val="00361B24"/>
    <w:rsid w:val="00361ED7"/>
    <w:rsid w:val="003624B5"/>
    <w:rsid w:val="00363CC9"/>
    <w:rsid w:val="00363EE4"/>
    <w:rsid w:val="003640F5"/>
    <w:rsid w:val="0036472E"/>
    <w:rsid w:val="003651A1"/>
    <w:rsid w:val="00365BCC"/>
    <w:rsid w:val="0036628C"/>
    <w:rsid w:val="00366563"/>
    <w:rsid w:val="00367700"/>
    <w:rsid w:val="00367DD4"/>
    <w:rsid w:val="00370760"/>
    <w:rsid w:val="00370973"/>
    <w:rsid w:val="0037101B"/>
    <w:rsid w:val="003714DD"/>
    <w:rsid w:val="003716DC"/>
    <w:rsid w:val="00371A32"/>
    <w:rsid w:val="00371CCD"/>
    <w:rsid w:val="00372ACA"/>
    <w:rsid w:val="00373250"/>
    <w:rsid w:val="0037331F"/>
    <w:rsid w:val="00373912"/>
    <w:rsid w:val="00373951"/>
    <w:rsid w:val="003746B2"/>
    <w:rsid w:val="00374733"/>
    <w:rsid w:val="0037507E"/>
    <w:rsid w:val="00375E6A"/>
    <w:rsid w:val="003766F1"/>
    <w:rsid w:val="003768D9"/>
    <w:rsid w:val="00376D5B"/>
    <w:rsid w:val="00376EDB"/>
    <w:rsid w:val="003772BD"/>
    <w:rsid w:val="0037789A"/>
    <w:rsid w:val="003801E4"/>
    <w:rsid w:val="003806BF"/>
    <w:rsid w:val="003806D2"/>
    <w:rsid w:val="00380E2B"/>
    <w:rsid w:val="00381C5F"/>
    <w:rsid w:val="0038201D"/>
    <w:rsid w:val="0038206B"/>
    <w:rsid w:val="00382C4D"/>
    <w:rsid w:val="003831FF"/>
    <w:rsid w:val="003832CC"/>
    <w:rsid w:val="0038449B"/>
    <w:rsid w:val="003848BF"/>
    <w:rsid w:val="00384CAD"/>
    <w:rsid w:val="00386220"/>
    <w:rsid w:val="00386A9E"/>
    <w:rsid w:val="00387245"/>
    <w:rsid w:val="003872C8"/>
    <w:rsid w:val="00387782"/>
    <w:rsid w:val="00387932"/>
    <w:rsid w:val="00387C63"/>
    <w:rsid w:val="00390045"/>
    <w:rsid w:val="00390E97"/>
    <w:rsid w:val="00390F4A"/>
    <w:rsid w:val="0039135A"/>
    <w:rsid w:val="003922FA"/>
    <w:rsid w:val="0039297B"/>
    <w:rsid w:val="0039388E"/>
    <w:rsid w:val="00393B97"/>
    <w:rsid w:val="00394948"/>
    <w:rsid w:val="00395560"/>
    <w:rsid w:val="00395C47"/>
    <w:rsid w:val="00396FD1"/>
    <w:rsid w:val="003971F2"/>
    <w:rsid w:val="0039794F"/>
    <w:rsid w:val="003A0CE0"/>
    <w:rsid w:val="003A11EE"/>
    <w:rsid w:val="003A1ADA"/>
    <w:rsid w:val="003A20AF"/>
    <w:rsid w:val="003A2B97"/>
    <w:rsid w:val="003A4CFA"/>
    <w:rsid w:val="003A4DF0"/>
    <w:rsid w:val="003A76B3"/>
    <w:rsid w:val="003A7759"/>
    <w:rsid w:val="003A7A87"/>
    <w:rsid w:val="003A7B25"/>
    <w:rsid w:val="003A7B4A"/>
    <w:rsid w:val="003A7D34"/>
    <w:rsid w:val="003B0217"/>
    <w:rsid w:val="003B185C"/>
    <w:rsid w:val="003B2F19"/>
    <w:rsid w:val="003B3906"/>
    <w:rsid w:val="003B3CB4"/>
    <w:rsid w:val="003B478A"/>
    <w:rsid w:val="003B5981"/>
    <w:rsid w:val="003B6F3C"/>
    <w:rsid w:val="003B70E0"/>
    <w:rsid w:val="003B720E"/>
    <w:rsid w:val="003B7B9D"/>
    <w:rsid w:val="003C043D"/>
    <w:rsid w:val="003C134B"/>
    <w:rsid w:val="003C13F1"/>
    <w:rsid w:val="003C3739"/>
    <w:rsid w:val="003C3963"/>
    <w:rsid w:val="003C457F"/>
    <w:rsid w:val="003C45A3"/>
    <w:rsid w:val="003C4A7A"/>
    <w:rsid w:val="003C5470"/>
    <w:rsid w:val="003C6972"/>
    <w:rsid w:val="003C7075"/>
    <w:rsid w:val="003C7BFB"/>
    <w:rsid w:val="003D04D7"/>
    <w:rsid w:val="003D04FD"/>
    <w:rsid w:val="003D1B5F"/>
    <w:rsid w:val="003D2A39"/>
    <w:rsid w:val="003D2EBE"/>
    <w:rsid w:val="003D3614"/>
    <w:rsid w:val="003D3F82"/>
    <w:rsid w:val="003D441B"/>
    <w:rsid w:val="003D5276"/>
    <w:rsid w:val="003D5D71"/>
    <w:rsid w:val="003D761D"/>
    <w:rsid w:val="003D7970"/>
    <w:rsid w:val="003D7C78"/>
    <w:rsid w:val="003E045F"/>
    <w:rsid w:val="003E094E"/>
    <w:rsid w:val="003E0966"/>
    <w:rsid w:val="003E0D3E"/>
    <w:rsid w:val="003E0EE3"/>
    <w:rsid w:val="003E1D48"/>
    <w:rsid w:val="003E34A3"/>
    <w:rsid w:val="003E3FA9"/>
    <w:rsid w:val="003E6B08"/>
    <w:rsid w:val="003E6E21"/>
    <w:rsid w:val="003F01F9"/>
    <w:rsid w:val="003F07D6"/>
    <w:rsid w:val="003F2297"/>
    <w:rsid w:val="003F2531"/>
    <w:rsid w:val="003F31CF"/>
    <w:rsid w:val="003F3EE1"/>
    <w:rsid w:val="003F4577"/>
    <w:rsid w:val="003F49B2"/>
    <w:rsid w:val="003F50A1"/>
    <w:rsid w:val="003F5384"/>
    <w:rsid w:val="003F5BEB"/>
    <w:rsid w:val="003F7000"/>
    <w:rsid w:val="003F756C"/>
    <w:rsid w:val="003F772D"/>
    <w:rsid w:val="00401E19"/>
    <w:rsid w:val="00401FD8"/>
    <w:rsid w:val="004020F7"/>
    <w:rsid w:val="004028EE"/>
    <w:rsid w:val="00402C43"/>
    <w:rsid w:val="00402FAA"/>
    <w:rsid w:val="00403853"/>
    <w:rsid w:val="00404461"/>
    <w:rsid w:val="004045A7"/>
    <w:rsid w:val="00406AB0"/>
    <w:rsid w:val="00406CB2"/>
    <w:rsid w:val="00407375"/>
    <w:rsid w:val="004077DC"/>
    <w:rsid w:val="00410699"/>
    <w:rsid w:val="00410CA7"/>
    <w:rsid w:val="004110AD"/>
    <w:rsid w:val="0041136A"/>
    <w:rsid w:val="0041177C"/>
    <w:rsid w:val="004121B1"/>
    <w:rsid w:val="0041306B"/>
    <w:rsid w:val="004133F6"/>
    <w:rsid w:val="004145EB"/>
    <w:rsid w:val="00415BCE"/>
    <w:rsid w:val="00416071"/>
    <w:rsid w:val="0041654F"/>
    <w:rsid w:val="00416A13"/>
    <w:rsid w:val="00416BB7"/>
    <w:rsid w:val="00417A26"/>
    <w:rsid w:val="00417A9D"/>
    <w:rsid w:val="00417EC1"/>
    <w:rsid w:val="00417ED8"/>
    <w:rsid w:val="00417FA5"/>
    <w:rsid w:val="00420252"/>
    <w:rsid w:val="004204F8"/>
    <w:rsid w:val="0042055C"/>
    <w:rsid w:val="00420C8B"/>
    <w:rsid w:val="00422D6F"/>
    <w:rsid w:val="0042356D"/>
    <w:rsid w:val="004245C1"/>
    <w:rsid w:val="00424615"/>
    <w:rsid w:val="00426E19"/>
    <w:rsid w:val="004270E9"/>
    <w:rsid w:val="00427BA5"/>
    <w:rsid w:val="00430902"/>
    <w:rsid w:val="00431C8C"/>
    <w:rsid w:val="00432F9B"/>
    <w:rsid w:val="0043311F"/>
    <w:rsid w:val="00433B07"/>
    <w:rsid w:val="00434855"/>
    <w:rsid w:val="00435749"/>
    <w:rsid w:val="0043576C"/>
    <w:rsid w:val="00435795"/>
    <w:rsid w:val="00436043"/>
    <w:rsid w:val="0043692B"/>
    <w:rsid w:val="0043785F"/>
    <w:rsid w:val="00437B06"/>
    <w:rsid w:val="00437E3E"/>
    <w:rsid w:val="00441A69"/>
    <w:rsid w:val="00441DFC"/>
    <w:rsid w:val="00441ECA"/>
    <w:rsid w:val="00442BF4"/>
    <w:rsid w:val="00443524"/>
    <w:rsid w:val="004439CE"/>
    <w:rsid w:val="00444EE2"/>
    <w:rsid w:val="00447582"/>
    <w:rsid w:val="004478A7"/>
    <w:rsid w:val="00447A3D"/>
    <w:rsid w:val="00447ABC"/>
    <w:rsid w:val="00450394"/>
    <w:rsid w:val="00450820"/>
    <w:rsid w:val="00450E94"/>
    <w:rsid w:val="00451562"/>
    <w:rsid w:val="00451C96"/>
    <w:rsid w:val="00453D3B"/>
    <w:rsid w:val="004551A3"/>
    <w:rsid w:val="00455334"/>
    <w:rsid w:val="0045566E"/>
    <w:rsid w:val="004558A4"/>
    <w:rsid w:val="0045611A"/>
    <w:rsid w:val="0045712F"/>
    <w:rsid w:val="004600CC"/>
    <w:rsid w:val="00461F46"/>
    <w:rsid w:val="004628F6"/>
    <w:rsid w:val="0046512E"/>
    <w:rsid w:val="00465D31"/>
    <w:rsid w:val="00466102"/>
    <w:rsid w:val="00466704"/>
    <w:rsid w:val="0046688C"/>
    <w:rsid w:val="00467DA2"/>
    <w:rsid w:val="00470406"/>
    <w:rsid w:val="00471A29"/>
    <w:rsid w:val="004721F1"/>
    <w:rsid w:val="00473190"/>
    <w:rsid w:val="004735A1"/>
    <w:rsid w:val="0047425F"/>
    <w:rsid w:val="00476054"/>
    <w:rsid w:val="0047672D"/>
    <w:rsid w:val="00476CE3"/>
    <w:rsid w:val="00477286"/>
    <w:rsid w:val="004778A2"/>
    <w:rsid w:val="0048049E"/>
    <w:rsid w:val="00480D07"/>
    <w:rsid w:val="004811E4"/>
    <w:rsid w:val="00482299"/>
    <w:rsid w:val="0048277D"/>
    <w:rsid w:val="004841A0"/>
    <w:rsid w:val="004841BC"/>
    <w:rsid w:val="00484BF4"/>
    <w:rsid w:val="004855E6"/>
    <w:rsid w:val="00486A22"/>
    <w:rsid w:val="0049054D"/>
    <w:rsid w:val="00490728"/>
    <w:rsid w:val="0049363B"/>
    <w:rsid w:val="00493925"/>
    <w:rsid w:val="00493DE0"/>
    <w:rsid w:val="00494130"/>
    <w:rsid w:val="0049415A"/>
    <w:rsid w:val="004944FB"/>
    <w:rsid w:val="004965E0"/>
    <w:rsid w:val="00497003"/>
    <w:rsid w:val="004A1056"/>
    <w:rsid w:val="004A1BB2"/>
    <w:rsid w:val="004A1BBF"/>
    <w:rsid w:val="004A1C73"/>
    <w:rsid w:val="004A1F4E"/>
    <w:rsid w:val="004A208D"/>
    <w:rsid w:val="004A21DC"/>
    <w:rsid w:val="004A2776"/>
    <w:rsid w:val="004A38B2"/>
    <w:rsid w:val="004A42BB"/>
    <w:rsid w:val="004A5072"/>
    <w:rsid w:val="004A5D09"/>
    <w:rsid w:val="004A6386"/>
    <w:rsid w:val="004A72AE"/>
    <w:rsid w:val="004B03D0"/>
    <w:rsid w:val="004B0ADB"/>
    <w:rsid w:val="004B1245"/>
    <w:rsid w:val="004B12E3"/>
    <w:rsid w:val="004B2501"/>
    <w:rsid w:val="004B4C87"/>
    <w:rsid w:val="004B5873"/>
    <w:rsid w:val="004B5C58"/>
    <w:rsid w:val="004B7A5F"/>
    <w:rsid w:val="004C0749"/>
    <w:rsid w:val="004C091D"/>
    <w:rsid w:val="004C0B19"/>
    <w:rsid w:val="004C0B31"/>
    <w:rsid w:val="004C127E"/>
    <w:rsid w:val="004C1D41"/>
    <w:rsid w:val="004C22AD"/>
    <w:rsid w:val="004C24EA"/>
    <w:rsid w:val="004C2C25"/>
    <w:rsid w:val="004C37AF"/>
    <w:rsid w:val="004C3A7B"/>
    <w:rsid w:val="004C3AFD"/>
    <w:rsid w:val="004C40F7"/>
    <w:rsid w:val="004C52C8"/>
    <w:rsid w:val="004C56FF"/>
    <w:rsid w:val="004C59E0"/>
    <w:rsid w:val="004C6548"/>
    <w:rsid w:val="004C6651"/>
    <w:rsid w:val="004C6D68"/>
    <w:rsid w:val="004C77CA"/>
    <w:rsid w:val="004C7AB6"/>
    <w:rsid w:val="004D0C18"/>
    <w:rsid w:val="004D13BD"/>
    <w:rsid w:val="004D1A2D"/>
    <w:rsid w:val="004D1F1D"/>
    <w:rsid w:val="004D1F2D"/>
    <w:rsid w:val="004D277D"/>
    <w:rsid w:val="004D2A41"/>
    <w:rsid w:val="004D3A13"/>
    <w:rsid w:val="004D4037"/>
    <w:rsid w:val="004D4737"/>
    <w:rsid w:val="004D56ED"/>
    <w:rsid w:val="004D5802"/>
    <w:rsid w:val="004D6104"/>
    <w:rsid w:val="004D69BF"/>
    <w:rsid w:val="004D7F08"/>
    <w:rsid w:val="004E0161"/>
    <w:rsid w:val="004E01DB"/>
    <w:rsid w:val="004E04BB"/>
    <w:rsid w:val="004E0EB8"/>
    <w:rsid w:val="004E11A7"/>
    <w:rsid w:val="004E20B4"/>
    <w:rsid w:val="004E2929"/>
    <w:rsid w:val="004E348C"/>
    <w:rsid w:val="004E4D36"/>
    <w:rsid w:val="004E6BDC"/>
    <w:rsid w:val="004E70BC"/>
    <w:rsid w:val="004E735F"/>
    <w:rsid w:val="004F0DD1"/>
    <w:rsid w:val="004F163F"/>
    <w:rsid w:val="004F1B86"/>
    <w:rsid w:val="004F1F24"/>
    <w:rsid w:val="004F203A"/>
    <w:rsid w:val="004F212B"/>
    <w:rsid w:val="004F25C6"/>
    <w:rsid w:val="004F2F7E"/>
    <w:rsid w:val="004F2FDC"/>
    <w:rsid w:val="004F3155"/>
    <w:rsid w:val="004F38C4"/>
    <w:rsid w:val="004F3E33"/>
    <w:rsid w:val="004F43F5"/>
    <w:rsid w:val="004F6133"/>
    <w:rsid w:val="004F6CAD"/>
    <w:rsid w:val="004F7065"/>
    <w:rsid w:val="004F7666"/>
    <w:rsid w:val="005004BC"/>
    <w:rsid w:val="00500A15"/>
    <w:rsid w:val="00500CDD"/>
    <w:rsid w:val="00500D9D"/>
    <w:rsid w:val="00503554"/>
    <w:rsid w:val="005038A9"/>
    <w:rsid w:val="00504179"/>
    <w:rsid w:val="00505533"/>
    <w:rsid w:val="00505A4A"/>
    <w:rsid w:val="00506AF8"/>
    <w:rsid w:val="00506CE5"/>
    <w:rsid w:val="00506FFB"/>
    <w:rsid w:val="005070C0"/>
    <w:rsid w:val="00511F69"/>
    <w:rsid w:val="00513171"/>
    <w:rsid w:val="00514D49"/>
    <w:rsid w:val="00515742"/>
    <w:rsid w:val="00516315"/>
    <w:rsid w:val="0051707D"/>
    <w:rsid w:val="00517422"/>
    <w:rsid w:val="00520153"/>
    <w:rsid w:val="0052027B"/>
    <w:rsid w:val="0052075C"/>
    <w:rsid w:val="0052091F"/>
    <w:rsid w:val="00520DF4"/>
    <w:rsid w:val="00520E93"/>
    <w:rsid w:val="00521EBE"/>
    <w:rsid w:val="00522231"/>
    <w:rsid w:val="005225B9"/>
    <w:rsid w:val="00523006"/>
    <w:rsid w:val="00523170"/>
    <w:rsid w:val="00524D8A"/>
    <w:rsid w:val="00525218"/>
    <w:rsid w:val="00525C68"/>
    <w:rsid w:val="005261FF"/>
    <w:rsid w:val="00527119"/>
    <w:rsid w:val="005271EA"/>
    <w:rsid w:val="005274FE"/>
    <w:rsid w:val="00527AB0"/>
    <w:rsid w:val="00527BCB"/>
    <w:rsid w:val="00530275"/>
    <w:rsid w:val="0053036B"/>
    <w:rsid w:val="0053062B"/>
    <w:rsid w:val="005306E4"/>
    <w:rsid w:val="0053157E"/>
    <w:rsid w:val="00531B33"/>
    <w:rsid w:val="00531E0F"/>
    <w:rsid w:val="005320B7"/>
    <w:rsid w:val="005320DC"/>
    <w:rsid w:val="005323AB"/>
    <w:rsid w:val="00532ECD"/>
    <w:rsid w:val="005331D8"/>
    <w:rsid w:val="005332A0"/>
    <w:rsid w:val="005337A9"/>
    <w:rsid w:val="005337BD"/>
    <w:rsid w:val="00534418"/>
    <w:rsid w:val="0053449E"/>
    <w:rsid w:val="00534B16"/>
    <w:rsid w:val="00534D8C"/>
    <w:rsid w:val="005350A9"/>
    <w:rsid w:val="005351D7"/>
    <w:rsid w:val="005357F9"/>
    <w:rsid w:val="00535A29"/>
    <w:rsid w:val="00535D28"/>
    <w:rsid w:val="005367FF"/>
    <w:rsid w:val="0053788F"/>
    <w:rsid w:val="00540A17"/>
    <w:rsid w:val="00541297"/>
    <w:rsid w:val="00541374"/>
    <w:rsid w:val="0054142A"/>
    <w:rsid w:val="00541B98"/>
    <w:rsid w:val="00542381"/>
    <w:rsid w:val="00542760"/>
    <w:rsid w:val="00542DC7"/>
    <w:rsid w:val="00542E76"/>
    <w:rsid w:val="00543517"/>
    <w:rsid w:val="005440E3"/>
    <w:rsid w:val="0054462B"/>
    <w:rsid w:val="00545633"/>
    <w:rsid w:val="00545F1B"/>
    <w:rsid w:val="00546407"/>
    <w:rsid w:val="00546C2A"/>
    <w:rsid w:val="0054725C"/>
    <w:rsid w:val="00547964"/>
    <w:rsid w:val="00547D38"/>
    <w:rsid w:val="00547F2E"/>
    <w:rsid w:val="005509F2"/>
    <w:rsid w:val="0055147D"/>
    <w:rsid w:val="00551B6D"/>
    <w:rsid w:val="00551C85"/>
    <w:rsid w:val="00552447"/>
    <w:rsid w:val="00553725"/>
    <w:rsid w:val="00553751"/>
    <w:rsid w:val="0055396D"/>
    <w:rsid w:val="00555095"/>
    <w:rsid w:val="00555503"/>
    <w:rsid w:val="005557D3"/>
    <w:rsid w:val="00555890"/>
    <w:rsid w:val="00555AFE"/>
    <w:rsid w:val="00557177"/>
    <w:rsid w:val="00557B75"/>
    <w:rsid w:val="00560613"/>
    <w:rsid w:val="00560C14"/>
    <w:rsid w:val="00560F23"/>
    <w:rsid w:val="00561CA6"/>
    <w:rsid w:val="0056205E"/>
    <w:rsid w:val="005625E5"/>
    <w:rsid w:val="0056262A"/>
    <w:rsid w:val="005628AE"/>
    <w:rsid w:val="00562B54"/>
    <w:rsid w:val="00562D09"/>
    <w:rsid w:val="0056319B"/>
    <w:rsid w:val="005635A5"/>
    <w:rsid w:val="005636DA"/>
    <w:rsid w:val="00564206"/>
    <w:rsid w:val="00564AB8"/>
    <w:rsid w:val="00566439"/>
    <w:rsid w:val="00566E46"/>
    <w:rsid w:val="00570B3F"/>
    <w:rsid w:val="00570FBD"/>
    <w:rsid w:val="00571734"/>
    <w:rsid w:val="00572023"/>
    <w:rsid w:val="00572E1B"/>
    <w:rsid w:val="00573895"/>
    <w:rsid w:val="00573EC7"/>
    <w:rsid w:val="005748DD"/>
    <w:rsid w:val="0057497F"/>
    <w:rsid w:val="00574D73"/>
    <w:rsid w:val="0057591D"/>
    <w:rsid w:val="00575C3C"/>
    <w:rsid w:val="00575D10"/>
    <w:rsid w:val="0057655E"/>
    <w:rsid w:val="005770DB"/>
    <w:rsid w:val="0057768F"/>
    <w:rsid w:val="00580193"/>
    <w:rsid w:val="005808B2"/>
    <w:rsid w:val="0058126D"/>
    <w:rsid w:val="0058132E"/>
    <w:rsid w:val="00581C93"/>
    <w:rsid w:val="005823AC"/>
    <w:rsid w:val="00582916"/>
    <w:rsid w:val="00582B19"/>
    <w:rsid w:val="0058362F"/>
    <w:rsid w:val="0058522E"/>
    <w:rsid w:val="00585F65"/>
    <w:rsid w:val="00585F6F"/>
    <w:rsid w:val="005861A7"/>
    <w:rsid w:val="00586FD3"/>
    <w:rsid w:val="00587151"/>
    <w:rsid w:val="00587B3A"/>
    <w:rsid w:val="005915B8"/>
    <w:rsid w:val="005917A8"/>
    <w:rsid w:val="00591E00"/>
    <w:rsid w:val="00592408"/>
    <w:rsid w:val="005924C0"/>
    <w:rsid w:val="00594444"/>
    <w:rsid w:val="005954CB"/>
    <w:rsid w:val="00595C2F"/>
    <w:rsid w:val="00596432"/>
    <w:rsid w:val="00597F8F"/>
    <w:rsid w:val="005A0F76"/>
    <w:rsid w:val="005A21F7"/>
    <w:rsid w:val="005A2AC9"/>
    <w:rsid w:val="005A32DA"/>
    <w:rsid w:val="005A55BF"/>
    <w:rsid w:val="005A5EE4"/>
    <w:rsid w:val="005A6062"/>
    <w:rsid w:val="005A77C6"/>
    <w:rsid w:val="005A7E4D"/>
    <w:rsid w:val="005B04EE"/>
    <w:rsid w:val="005B0779"/>
    <w:rsid w:val="005B1249"/>
    <w:rsid w:val="005B1600"/>
    <w:rsid w:val="005B227B"/>
    <w:rsid w:val="005B2354"/>
    <w:rsid w:val="005B3181"/>
    <w:rsid w:val="005B3696"/>
    <w:rsid w:val="005B5D67"/>
    <w:rsid w:val="005B5E97"/>
    <w:rsid w:val="005B6241"/>
    <w:rsid w:val="005B6918"/>
    <w:rsid w:val="005B6990"/>
    <w:rsid w:val="005B6D78"/>
    <w:rsid w:val="005B76E4"/>
    <w:rsid w:val="005C02D6"/>
    <w:rsid w:val="005C034F"/>
    <w:rsid w:val="005C0EE0"/>
    <w:rsid w:val="005C1EE2"/>
    <w:rsid w:val="005C2E03"/>
    <w:rsid w:val="005C494A"/>
    <w:rsid w:val="005C4E86"/>
    <w:rsid w:val="005C5746"/>
    <w:rsid w:val="005C5788"/>
    <w:rsid w:val="005C5820"/>
    <w:rsid w:val="005C7011"/>
    <w:rsid w:val="005C758F"/>
    <w:rsid w:val="005C7653"/>
    <w:rsid w:val="005D190B"/>
    <w:rsid w:val="005D279B"/>
    <w:rsid w:val="005D2D20"/>
    <w:rsid w:val="005D306F"/>
    <w:rsid w:val="005D390E"/>
    <w:rsid w:val="005D5664"/>
    <w:rsid w:val="005D5986"/>
    <w:rsid w:val="005D6865"/>
    <w:rsid w:val="005D69C3"/>
    <w:rsid w:val="005D6BF8"/>
    <w:rsid w:val="005D7453"/>
    <w:rsid w:val="005D763F"/>
    <w:rsid w:val="005D781D"/>
    <w:rsid w:val="005D785F"/>
    <w:rsid w:val="005E0433"/>
    <w:rsid w:val="005E0DF3"/>
    <w:rsid w:val="005E134F"/>
    <w:rsid w:val="005E1986"/>
    <w:rsid w:val="005E2240"/>
    <w:rsid w:val="005E2FBF"/>
    <w:rsid w:val="005E40C4"/>
    <w:rsid w:val="005E425C"/>
    <w:rsid w:val="005E4C7A"/>
    <w:rsid w:val="005E4F2C"/>
    <w:rsid w:val="005E542B"/>
    <w:rsid w:val="005E6BCA"/>
    <w:rsid w:val="005E6E1D"/>
    <w:rsid w:val="005E71E0"/>
    <w:rsid w:val="005F003B"/>
    <w:rsid w:val="005F055E"/>
    <w:rsid w:val="005F0560"/>
    <w:rsid w:val="005F085F"/>
    <w:rsid w:val="005F0A23"/>
    <w:rsid w:val="005F16BB"/>
    <w:rsid w:val="005F1FFD"/>
    <w:rsid w:val="005F21DD"/>
    <w:rsid w:val="005F2FA4"/>
    <w:rsid w:val="005F3277"/>
    <w:rsid w:val="005F3620"/>
    <w:rsid w:val="005F398A"/>
    <w:rsid w:val="005F4087"/>
    <w:rsid w:val="005F41B8"/>
    <w:rsid w:val="005F4335"/>
    <w:rsid w:val="005F46F7"/>
    <w:rsid w:val="005F648D"/>
    <w:rsid w:val="005F6C79"/>
    <w:rsid w:val="005F6E9F"/>
    <w:rsid w:val="00600A04"/>
    <w:rsid w:val="00600F43"/>
    <w:rsid w:val="00601E8C"/>
    <w:rsid w:val="006023CC"/>
    <w:rsid w:val="006028CF"/>
    <w:rsid w:val="00602A31"/>
    <w:rsid w:val="006057FC"/>
    <w:rsid w:val="00605AE5"/>
    <w:rsid w:val="00605CFA"/>
    <w:rsid w:val="00606A59"/>
    <w:rsid w:val="00606E77"/>
    <w:rsid w:val="006070FC"/>
    <w:rsid w:val="00607997"/>
    <w:rsid w:val="00607A30"/>
    <w:rsid w:val="006101C7"/>
    <w:rsid w:val="00610E00"/>
    <w:rsid w:val="00611359"/>
    <w:rsid w:val="00611426"/>
    <w:rsid w:val="006116CB"/>
    <w:rsid w:val="006118CF"/>
    <w:rsid w:val="00611B0E"/>
    <w:rsid w:val="006136BD"/>
    <w:rsid w:val="00613908"/>
    <w:rsid w:val="00613CA1"/>
    <w:rsid w:val="00613F1D"/>
    <w:rsid w:val="006144E5"/>
    <w:rsid w:val="006153C5"/>
    <w:rsid w:val="00615F18"/>
    <w:rsid w:val="0061761A"/>
    <w:rsid w:val="00617826"/>
    <w:rsid w:val="00617AD9"/>
    <w:rsid w:val="00617C91"/>
    <w:rsid w:val="00617D2B"/>
    <w:rsid w:val="006202E3"/>
    <w:rsid w:val="0062046E"/>
    <w:rsid w:val="00620BD2"/>
    <w:rsid w:val="00620E8E"/>
    <w:rsid w:val="0062102A"/>
    <w:rsid w:val="00621034"/>
    <w:rsid w:val="00621474"/>
    <w:rsid w:val="006223E5"/>
    <w:rsid w:val="00622BE7"/>
    <w:rsid w:val="0062345E"/>
    <w:rsid w:val="006239B3"/>
    <w:rsid w:val="006250E3"/>
    <w:rsid w:val="00625C9C"/>
    <w:rsid w:val="00626010"/>
    <w:rsid w:val="00626859"/>
    <w:rsid w:val="00626A3C"/>
    <w:rsid w:val="00626A9A"/>
    <w:rsid w:val="00627F09"/>
    <w:rsid w:val="0063116C"/>
    <w:rsid w:val="0063222E"/>
    <w:rsid w:val="0063232C"/>
    <w:rsid w:val="00632835"/>
    <w:rsid w:val="00633814"/>
    <w:rsid w:val="00633E08"/>
    <w:rsid w:val="00633EF9"/>
    <w:rsid w:val="00633F21"/>
    <w:rsid w:val="006340DC"/>
    <w:rsid w:val="00634507"/>
    <w:rsid w:val="00634666"/>
    <w:rsid w:val="0063476C"/>
    <w:rsid w:val="0063545A"/>
    <w:rsid w:val="006358CC"/>
    <w:rsid w:val="00636120"/>
    <w:rsid w:val="006361B8"/>
    <w:rsid w:val="0063638D"/>
    <w:rsid w:val="006363D4"/>
    <w:rsid w:val="00636454"/>
    <w:rsid w:val="00636513"/>
    <w:rsid w:val="006365D6"/>
    <w:rsid w:val="00636790"/>
    <w:rsid w:val="00636850"/>
    <w:rsid w:val="00637CEE"/>
    <w:rsid w:val="00637F18"/>
    <w:rsid w:val="00640A6B"/>
    <w:rsid w:val="0064126B"/>
    <w:rsid w:val="0064255F"/>
    <w:rsid w:val="00642C40"/>
    <w:rsid w:val="0064373A"/>
    <w:rsid w:val="006449B4"/>
    <w:rsid w:val="00644D62"/>
    <w:rsid w:val="006454C3"/>
    <w:rsid w:val="006454ED"/>
    <w:rsid w:val="00647BF8"/>
    <w:rsid w:val="0065031D"/>
    <w:rsid w:val="00650797"/>
    <w:rsid w:val="00650F1E"/>
    <w:rsid w:val="00651417"/>
    <w:rsid w:val="00651850"/>
    <w:rsid w:val="00654CD5"/>
    <w:rsid w:val="00654E4E"/>
    <w:rsid w:val="00655149"/>
    <w:rsid w:val="00655156"/>
    <w:rsid w:val="00655636"/>
    <w:rsid w:val="00655D9A"/>
    <w:rsid w:val="006564BB"/>
    <w:rsid w:val="00657305"/>
    <w:rsid w:val="00657572"/>
    <w:rsid w:val="00657838"/>
    <w:rsid w:val="00657DB1"/>
    <w:rsid w:val="00660C7F"/>
    <w:rsid w:val="00660FF1"/>
    <w:rsid w:val="0066189D"/>
    <w:rsid w:val="00661C36"/>
    <w:rsid w:val="006623EF"/>
    <w:rsid w:val="00662C90"/>
    <w:rsid w:val="0066409F"/>
    <w:rsid w:val="0066467C"/>
    <w:rsid w:val="00664B08"/>
    <w:rsid w:val="00664E83"/>
    <w:rsid w:val="00664F99"/>
    <w:rsid w:val="0066582C"/>
    <w:rsid w:val="00666C8B"/>
    <w:rsid w:val="006674E2"/>
    <w:rsid w:val="00667971"/>
    <w:rsid w:val="00670D20"/>
    <w:rsid w:val="006717CD"/>
    <w:rsid w:val="0067257C"/>
    <w:rsid w:val="006734AA"/>
    <w:rsid w:val="006759DC"/>
    <w:rsid w:val="00675BEB"/>
    <w:rsid w:val="00675CAA"/>
    <w:rsid w:val="00675D31"/>
    <w:rsid w:val="00676BB1"/>
    <w:rsid w:val="00676D5B"/>
    <w:rsid w:val="00677004"/>
    <w:rsid w:val="006804BA"/>
    <w:rsid w:val="006804FA"/>
    <w:rsid w:val="006809FF"/>
    <w:rsid w:val="00680B31"/>
    <w:rsid w:val="00681A64"/>
    <w:rsid w:val="006824ED"/>
    <w:rsid w:val="00682527"/>
    <w:rsid w:val="00682817"/>
    <w:rsid w:val="00682DE7"/>
    <w:rsid w:val="0068346D"/>
    <w:rsid w:val="00683754"/>
    <w:rsid w:val="00684BA2"/>
    <w:rsid w:val="0068618B"/>
    <w:rsid w:val="00686A1B"/>
    <w:rsid w:val="00686BCA"/>
    <w:rsid w:val="00687E20"/>
    <w:rsid w:val="00690E8E"/>
    <w:rsid w:val="006910A3"/>
    <w:rsid w:val="006910D5"/>
    <w:rsid w:val="0069125C"/>
    <w:rsid w:val="006914D2"/>
    <w:rsid w:val="006914F4"/>
    <w:rsid w:val="006920C8"/>
    <w:rsid w:val="0069215E"/>
    <w:rsid w:val="006929A3"/>
    <w:rsid w:val="00693478"/>
    <w:rsid w:val="006937F8"/>
    <w:rsid w:val="006939FA"/>
    <w:rsid w:val="00693AD2"/>
    <w:rsid w:val="006956CA"/>
    <w:rsid w:val="0069581B"/>
    <w:rsid w:val="00695A16"/>
    <w:rsid w:val="00695B12"/>
    <w:rsid w:val="00696AEE"/>
    <w:rsid w:val="00696F25"/>
    <w:rsid w:val="006973A6"/>
    <w:rsid w:val="00697664"/>
    <w:rsid w:val="006A0C03"/>
    <w:rsid w:val="006A11EE"/>
    <w:rsid w:val="006A1472"/>
    <w:rsid w:val="006A1B7B"/>
    <w:rsid w:val="006A1CC5"/>
    <w:rsid w:val="006A3052"/>
    <w:rsid w:val="006A361E"/>
    <w:rsid w:val="006A378F"/>
    <w:rsid w:val="006A3C6A"/>
    <w:rsid w:val="006A4423"/>
    <w:rsid w:val="006A46BB"/>
    <w:rsid w:val="006A4DF4"/>
    <w:rsid w:val="006A4E34"/>
    <w:rsid w:val="006A5520"/>
    <w:rsid w:val="006A567A"/>
    <w:rsid w:val="006A5804"/>
    <w:rsid w:val="006A6D3B"/>
    <w:rsid w:val="006A7CAB"/>
    <w:rsid w:val="006A7D68"/>
    <w:rsid w:val="006A7FC3"/>
    <w:rsid w:val="006B05F4"/>
    <w:rsid w:val="006B06D2"/>
    <w:rsid w:val="006B103D"/>
    <w:rsid w:val="006B1A90"/>
    <w:rsid w:val="006B1E79"/>
    <w:rsid w:val="006B2DA8"/>
    <w:rsid w:val="006B46CD"/>
    <w:rsid w:val="006B511B"/>
    <w:rsid w:val="006B58B9"/>
    <w:rsid w:val="006B5F59"/>
    <w:rsid w:val="006B606D"/>
    <w:rsid w:val="006B6CAE"/>
    <w:rsid w:val="006B6F47"/>
    <w:rsid w:val="006B738D"/>
    <w:rsid w:val="006B75D1"/>
    <w:rsid w:val="006B7628"/>
    <w:rsid w:val="006B7C72"/>
    <w:rsid w:val="006C0B9E"/>
    <w:rsid w:val="006C0E3D"/>
    <w:rsid w:val="006C16B4"/>
    <w:rsid w:val="006C20A5"/>
    <w:rsid w:val="006C2A77"/>
    <w:rsid w:val="006C2D57"/>
    <w:rsid w:val="006C3788"/>
    <w:rsid w:val="006C3D8A"/>
    <w:rsid w:val="006C41C2"/>
    <w:rsid w:val="006C43A3"/>
    <w:rsid w:val="006C46D8"/>
    <w:rsid w:val="006C4F6A"/>
    <w:rsid w:val="006C5519"/>
    <w:rsid w:val="006C67D8"/>
    <w:rsid w:val="006C75ED"/>
    <w:rsid w:val="006C7DC4"/>
    <w:rsid w:val="006C7F65"/>
    <w:rsid w:val="006D0340"/>
    <w:rsid w:val="006D04ED"/>
    <w:rsid w:val="006D08CD"/>
    <w:rsid w:val="006D1288"/>
    <w:rsid w:val="006D29B4"/>
    <w:rsid w:val="006D2EEA"/>
    <w:rsid w:val="006D39AF"/>
    <w:rsid w:val="006D5A94"/>
    <w:rsid w:val="006D76B6"/>
    <w:rsid w:val="006D788D"/>
    <w:rsid w:val="006E046A"/>
    <w:rsid w:val="006E099B"/>
    <w:rsid w:val="006E0DAE"/>
    <w:rsid w:val="006E2B7F"/>
    <w:rsid w:val="006E2D0A"/>
    <w:rsid w:val="006E2FEE"/>
    <w:rsid w:val="006E3861"/>
    <w:rsid w:val="006E3F37"/>
    <w:rsid w:val="006E4105"/>
    <w:rsid w:val="006E594A"/>
    <w:rsid w:val="006E641E"/>
    <w:rsid w:val="006E6E41"/>
    <w:rsid w:val="006E724A"/>
    <w:rsid w:val="006F0D58"/>
    <w:rsid w:val="006F15FF"/>
    <w:rsid w:val="006F18B4"/>
    <w:rsid w:val="006F1B2D"/>
    <w:rsid w:val="006F355B"/>
    <w:rsid w:val="006F3ADE"/>
    <w:rsid w:val="006F3F38"/>
    <w:rsid w:val="006F4365"/>
    <w:rsid w:val="006F4E14"/>
    <w:rsid w:val="006F53AD"/>
    <w:rsid w:val="006F581D"/>
    <w:rsid w:val="006F6AC1"/>
    <w:rsid w:val="006F7839"/>
    <w:rsid w:val="006F7E05"/>
    <w:rsid w:val="006F7F87"/>
    <w:rsid w:val="00700E94"/>
    <w:rsid w:val="007011BE"/>
    <w:rsid w:val="007015CC"/>
    <w:rsid w:val="00701747"/>
    <w:rsid w:val="00701DB0"/>
    <w:rsid w:val="00701F58"/>
    <w:rsid w:val="00702460"/>
    <w:rsid w:val="00703042"/>
    <w:rsid w:val="007037C0"/>
    <w:rsid w:val="007041C0"/>
    <w:rsid w:val="007044AA"/>
    <w:rsid w:val="00705275"/>
    <w:rsid w:val="00705DC4"/>
    <w:rsid w:val="007068A4"/>
    <w:rsid w:val="00706BB7"/>
    <w:rsid w:val="00707A3A"/>
    <w:rsid w:val="00710309"/>
    <w:rsid w:val="007104E5"/>
    <w:rsid w:val="007106BB"/>
    <w:rsid w:val="00710ECE"/>
    <w:rsid w:val="007111AD"/>
    <w:rsid w:val="007120D7"/>
    <w:rsid w:val="00712187"/>
    <w:rsid w:val="0071224A"/>
    <w:rsid w:val="00713338"/>
    <w:rsid w:val="00713991"/>
    <w:rsid w:val="00713C9E"/>
    <w:rsid w:val="00716C5A"/>
    <w:rsid w:val="00716C67"/>
    <w:rsid w:val="0071705C"/>
    <w:rsid w:val="0071792F"/>
    <w:rsid w:val="00717A79"/>
    <w:rsid w:val="00720BEC"/>
    <w:rsid w:val="00721C44"/>
    <w:rsid w:val="00721FB9"/>
    <w:rsid w:val="00721FD9"/>
    <w:rsid w:val="00722755"/>
    <w:rsid w:val="00722815"/>
    <w:rsid w:val="00723282"/>
    <w:rsid w:val="007238CF"/>
    <w:rsid w:val="0072431F"/>
    <w:rsid w:val="007244BA"/>
    <w:rsid w:val="00725D13"/>
    <w:rsid w:val="00726286"/>
    <w:rsid w:val="00726C25"/>
    <w:rsid w:val="00727B22"/>
    <w:rsid w:val="00727E5C"/>
    <w:rsid w:val="0073049F"/>
    <w:rsid w:val="0073052F"/>
    <w:rsid w:val="00730DB8"/>
    <w:rsid w:val="00731E0E"/>
    <w:rsid w:val="007330F9"/>
    <w:rsid w:val="0073343B"/>
    <w:rsid w:val="00733EA0"/>
    <w:rsid w:val="00734817"/>
    <w:rsid w:val="00735007"/>
    <w:rsid w:val="00736D0A"/>
    <w:rsid w:val="007375F2"/>
    <w:rsid w:val="007378D5"/>
    <w:rsid w:val="007408CC"/>
    <w:rsid w:val="00740FE2"/>
    <w:rsid w:val="0074129A"/>
    <w:rsid w:val="00741922"/>
    <w:rsid w:val="0074225A"/>
    <w:rsid w:val="00742493"/>
    <w:rsid w:val="00742FB0"/>
    <w:rsid w:val="0074311E"/>
    <w:rsid w:val="0074349F"/>
    <w:rsid w:val="00744B30"/>
    <w:rsid w:val="007455B0"/>
    <w:rsid w:val="00745A26"/>
    <w:rsid w:val="00747C1B"/>
    <w:rsid w:val="007511D1"/>
    <w:rsid w:val="007512F6"/>
    <w:rsid w:val="00751E35"/>
    <w:rsid w:val="0075239D"/>
    <w:rsid w:val="00752B64"/>
    <w:rsid w:val="00753383"/>
    <w:rsid w:val="00753787"/>
    <w:rsid w:val="00753A7F"/>
    <w:rsid w:val="00753DFA"/>
    <w:rsid w:val="00754A65"/>
    <w:rsid w:val="007573CA"/>
    <w:rsid w:val="00757A12"/>
    <w:rsid w:val="00760415"/>
    <w:rsid w:val="0076054F"/>
    <w:rsid w:val="00760BF7"/>
    <w:rsid w:val="00761094"/>
    <w:rsid w:val="007615AC"/>
    <w:rsid w:val="00761D42"/>
    <w:rsid w:val="007625B1"/>
    <w:rsid w:val="007626F4"/>
    <w:rsid w:val="00764624"/>
    <w:rsid w:val="0076467C"/>
    <w:rsid w:val="00764FA1"/>
    <w:rsid w:val="00765445"/>
    <w:rsid w:val="00765497"/>
    <w:rsid w:val="00765A8E"/>
    <w:rsid w:val="00765C3B"/>
    <w:rsid w:val="00766380"/>
    <w:rsid w:val="00766BBE"/>
    <w:rsid w:val="00767306"/>
    <w:rsid w:val="007676BA"/>
    <w:rsid w:val="00767945"/>
    <w:rsid w:val="00770D45"/>
    <w:rsid w:val="00770FD7"/>
    <w:rsid w:val="00772494"/>
    <w:rsid w:val="00772BB2"/>
    <w:rsid w:val="00773F15"/>
    <w:rsid w:val="007744C5"/>
    <w:rsid w:val="00774798"/>
    <w:rsid w:val="007751F1"/>
    <w:rsid w:val="007766E0"/>
    <w:rsid w:val="007769D9"/>
    <w:rsid w:val="00776AA8"/>
    <w:rsid w:val="00777F69"/>
    <w:rsid w:val="0078083B"/>
    <w:rsid w:val="0078175C"/>
    <w:rsid w:val="00781924"/>
    <w:rsid w:val="00781BA5"/>
    <w:rsid w:val="007825AD"/>
    <w:rsid w:val="00782CD8"/>
    <w:rsid w:val="00783446"/>
    <w:rsid w:val="007838AE"/>
    <w:rsid w:val="007839AA"/>
    <w:rsid w:val="00783F51"/>
    <w:rsid w:val="007856D8"/>
    <w:rsid w:val="007868C9"/>
    <w:rsid w:val="00790103"/>
    <w:rsid w:val="00791161"/>
    <w:rsid w:val="0079167A"/>
    <w:rsid w:val="007918DB"/>
    <w:rsid w:val="00791BC9"/>
    <w:rsid w:val="00791C8B"/>
    <w:rsid w:val="007920D4"/>
    <w:rsid w:val="007920F1"/>
    <w:rsid w:val="007923D0"/>
    <w:rsid w:val="00793655"/>
    <w:rsid w:val="007938C7"/>
    <w:rsid w:val="00793992"/>
    <w:rsid w:val="00793A5D"/>
    <w:rsid w:val="007942BD"/>
    <w:rsid w:val="00794CD2"/>
    <w:rsid w:val="007950AA"/>
    <w:rsid w:val="00795A3F"/>
    <w:rsid w:val="0079627E"/>
    <w:rsid w:val="0079691F"/>
    <w:rsid w:val="00797592"/>
    <w:rsid w:val="007A0010"/>
    <w:rsid w:val="007A022B"/>
    <w:rsid w:val="007A0C57"/>
    <w:rsid w:val="007A0E6A"/>
    <w:rsid w:val="007A17A7"/>
    <w:rsid w:val="007A1DB7"/>
    <w:rsid w:val="007A29BC"/>
    <w:rsid w:val="007A2D70"/>
    <w:rsid w:val="007A309A"/>
    <w:rsid w:val="007A4569"/>
    <w:rsid w:val="007A51D3"/>
    <w:rsid w:val="007A65A5"/>
    <w:rsid w:val="007A7736"/>
    <w:rsid w:val="007B0324"/>
    <w:rsid w:val="007B1468"/>
    <w:rsid w:val="007B18FE"/>
    <w:rsid w:val="007B1B01"/>
    <w:rsid w:val="007B1C85"/>
    <w:rsid w:val="007B28E1"/>
    <w:rsid w:val="007B328F"/>
    <w:rsid w:val="007B459A"/>
    <w:rsid w:val="007B4A0F"/>
    <w:rsid w:val="007B5BDD"/>
    <w:rsid w:val="007B5FB0"/>
    <w:rsid w:val="007B626B"/>
    <w:rsid w:val="007B636E"/>
    <w:rsid w:val="007B6678"/>
    <w:rsid w:val="007B6F0C"/>
    <w:rsid w:val="007C0025"/>
    <w:rsid w:val="007C024C"/>
    <w:rsid w:val="007C0774"/>
    <w:rsid w:val="007C118D"/>
    <w:rsid w:val="007C1448"/>
    <w:rsid w:val="007C146E"/>
    <w:rsid w:val="007C1A3B"/>
    <w:rsid w:val="007C1E2F"/>
    <w:rsid w:val="007C235C"/>
    <w:rsid w:val="007C2F1F"/>
    <w:rsid w:val="007C2F5B"/>
    <w:rsid w:val="007C4936"/>
    <w:rsid w:val="007C5506"/>
    <w:rsid w:val="007C5DC9"/>
    <w:rsid w:val="007C606C"/>
    <w:rsid w:val="007C6226"/>
    <w:rsid w:val="007C6A48"/>
    <w:rsid w:val="007C6F88"/>
    <w:rsid w:val="007C709C"/>
    <w:rsid w:val="007D0D78"/>
    <w:rsid w:val="007D0DC2"/>
    <w:rsid w:val="007D11B4"/>
    <w:rsid w:val="007D1727"/>
    <w:rsid w:val="007D1A23"/>
    <w:rsid w:val="007D216E"/>
    <w:rsid w:val="007D286D"/>
    <w:rsid w:val="007D2F4F"/>
    <w:rsid w:val="007D34AF"/>
    <w:rsid w:val="007D34DE"/>
    <w:rsid w:val="007D3882"/>
    <w:rsid w:val="007D431E"/>
    <w:rsid w:val="007D557B"/>
    <w:rsid w:val="007D68CD"/>
    <w:rsid w:val="007D7559"/>
    <w:rsid w:val="007D7670"/>
    <w:rsid w:val="007E05D3"/>
    <w:rsid w:val="007E144C"/>
    <w:rsid w:val="007E185E"/>
    <w:rsid w:val="007E2CDD"/>
    <w:rsid w:val="007E2F69"/>
    <w:rsid w:val="007E343D"/>
    <w:rsid w:val="007E38BF"/>
    <w:rsid w:val="007E3EA3"/>
    <w:rsid w:val="007E4AF6"/>
    <w:rsid w:val="007E5B09"/>
    <w:rsid w:val="007E6D33"/>
    <w:rsid w:val="007E6FF5"/>
    <w:rsid w:val="007E7778"/>
    <w:rsid w:val="007E79E2"/>
    <w:rsid w:val="007E7C24"/>
    <w:rsid w:val="007F0C58"/>
    <w:rsid w:val="007F16FC"/>
    <w:rsid w:val="007F1D55"/>
    <w:rsid w:val="007F33E9"/>
    <w:rsid w:val="007F41DC"/>
    <w:rsid w:val="007F45A1"/>
    <w:rsid w:val="007F463E"/>
    <w:rsid w:val="007F546C"/>
    <w:rsid w:val="007F6AD1"/>
    <w:rsid w:val="007F6CB8"/>
    <w:rsid w:val="00800631"/>
    <w:rsid w:val="00800855"/>
    <w:rsid w:val="00801A74"/>
    <w:rsid w:val="00801EA4"/>
    <w:rsid w:val="008022A3"/>
    <w:rsid w:val="008029CF"/>
    <w:rsid w:val="008035D0"/>
    <w:rsid w:val="00803A5C"/>
    <w:rsid w:val="00803C3F"/>
    <w:rsid w:val="00804099"/>
    <w:rsid w:val="008049E8"/>
    <w:rsid w:val="00805E75"/>
    <w:rsid w:val="0080705F"/>
    <w:rsid w:val="00807316"/>
    <w:rsid w:val="0080756F"/>
    <w:rsid w:val="00807E98"/>
    <w:rsid w:val="0081046F"/>
    <w:rsid w:val="00810796"/>
    <w:rsid w:val="00810D20"/>
    <w:rsid w:val="00811FB7"/>
    <w:rsid w:val="00812A12"/>
    <w:rsid w:val="00813F7D"/>
    <w:rsid w:val="00815B06"/>
    <w:rsid w:val="00816915"/>
    <w:rsid w:val="00817CC5"/>
    <w:rsid w:val="00821023"/>
    <w:rsid w:val="00821416"/>
    <w:rsid w:val="0082141E"/>
    <w:rsid w:val="00822CC6"/>
    <w:rsid w:val="00824266"/>
    <w:rsid w:val="00824577"/>
    <w:rsid w:val="0082465E"/>
    <w:rsid w:val="00827C2E"/>
    <w:rsid w:val="00827D97"/>
    <w:rsid w:val="00831048"/>
    <w:rsid w:val="00831E5F"/>
    <w:rsid w:val="008320A8"/>
    <w:rsid w:val="00832633"/>
    <w:rsid w:val="0083266C"/>
    <w:rsid w:val="00833243"/>
    <w:rsid w:val="008333C6"/>
    <w:rsid w:val="008339F2"/>
    <w:rsid w:val="00833F4A"/>
    <w:rsid w:val="008345AA"/>
    <w:rsid w:val="0083477C"/>
    <w:rsid w:val="0083520B"/>
    <w:rsid w:val="0083554D"/>
    <w:rsid w:val="00835689"/>
    <w:rsid w:val="008357D3"/>
    <w:rsid w:val="00836253"/>
    <w:rsid w:val="0083630F"/>
    <w:rsid w:val="00836E03"/>
    <w:rsid w:val="008371AE"/>
    <w:rsid w:val="008374D3"/>
    <w:rsid w:val="0084008D"/>
    <w:rsid w:val="008413D2"/>
    <w:rsid w:val="00844A7E"/>
    <w:rsid w:val="00844B7C"/>
    <w:rsid w:val="00845373"/>
    <w:rsid w:val="008455D3"/>
    <w:rsid w:val="008457DB"/>
    <w:rsid w:val="00845A54"/>
    <w:rsid w:val="00846227"/>
    <w:rsid w:val="00846604"/>
    <w:rsid w:val="00846A1F"/>
    <w:rsid w:val="00847640"/>
    <w:rsid w:val="008509B5"/>
    <w:rsid w:val="00850CB7"/>
    <w:rsid w:val="00851C45"/>
    <w:rsid w:val="0085230C"/>
    <w:rsid w:val="00852A87"/>
    <w:rsid w:val="00852B33"/>
    <w:rsid w:val="00852E08"/>
    <w:rsid w:val="00853E85"/>
    <w:rsid w:val="008549DD"/>
    <w:rsid w:val="008553E8"/>
    <w:rsid w:val="008565ED"/>
    <w:rsid w:val="00856699"/>
    <w:rsid w:val="00857785"/>
    <w:rsid w:val="00857B39"/>
    <w:rsid w:val="00857CEF"/>
    <w:rsid w:val="008607E2"/>
    <w:rsid w:val="00860B13"/>
    <w:rsid w:val="0086158A"/>
    <w:rsid w:val="00862D3B"/>
    <w:rsid w:val="008632EF"/>
    <w:rsid w:val="00863DCB"/>
    <w:rsid w:val="008640D0"/>
    <w:rsid w:val="00864A73"/>
    <w:rsid w:val="00864D82"/>
    <w:rsid w:val="00865A3E"/>
    <w:rsid w:val="00865CF9"/>
    <w:rsid w:val="0086622F"/>
    <w:rsid w:val="00866443"/>
    <w:rsid w:val="00867103"/>
    <w:rsid w:val="008715BA"/>
    <w:rsid w:val="008716AE"/>
    <w:rsid w:val="00871820"/>
    <w:rsid w:val="0087196F"/>
    <w:rsid w:val="00871FE9"/>
    <w:rsid w:val="00872311"/>
    <w:rsid w:val="0087255E"/>
    <w:rsid w:val="008727C1"/>
    <w:rsid w:val="008729ED"/>
    <w:rsid w:val="00872B30"/>
    <w:rsid w:val="00873411"/>
    <w:rsid w:val="0087589E"/>
    <w:rsid w:val="008759A8"/>
    <w:rsid w:val="00875A6B"/>
    <w:rsid w:val="008773E0"/>
    <w:rsid w:val="00877F30"/>
    <w:rsid w:val="008806FA"/>
    <w:rsid w:val="00882035"/>
    <w:rsid w:val="00882448"/>
    <w:rsid w:val="0088267B"/>
    <w:rsid w:val="00882DF9"/>
    <w:rsid w:val="0088306A"/>
    <w:rsid w:val="008848E0"/>
    <w:rsid w:val="00884A8B"/>
    <w:rsid w:val="00885E02"/>
    <w:rsid w:val="00885E43"/>
    <w:rsid w:val="008877D4"/>
    <w:rsid w:val="00887A7A"/>
    <w:rsid w:val="00887CE0"/>
    <w:rsid w:val="00887F66"/>
    <w:rsid w:val="00890358"/>
    <w:rsid w:val="0089060A"/>
    <w:rsid w:val="008908BA"/>
    <w:rsid w:val="00890D58"/>
    <w:rsid w:val="00892319"/>
    <w:rsid w:val="00892A49"/>
    <w:rsid w:val="00893570"/>
    <w:rsid w:val="00894128"/>
    <w:rsid w:val="00894CC9"/>
    <w:rsid w:val="008957C5"/>
    <w:rsid w:val="0089619F"/>
    <w:rsid w:val="00896904"/>
    <w:rsid w:val="008969B5"/>
    <w:rsid w:val="00896FF3"/>
    <w:rsid w:val="0089745F"/>
    <w:rsid w:val="00897C87"/>
    <w:rsid w:val="008A0FE9"/>
    <w:rsid w:val="008A2282"/>
    <w:rsid w:val="008A2476"/>
    <w:rsid w:val="008A2844"/>
    <w:rsid w:val="008A371D"/>
    <w:rsid w:val="008A38E7"/>
    <w:rsid w:val="008A43A4"/>
    <w:rsid w:val="008A5089"/>
    <w:rsid w:val="008A5BB6"/>
    <w:rsid w:val="008A60E0"/>
    <w:rsid w:val="008A6268"/>
    <w:rsid w:val="008A62DD"/>
    <w:rsid w:val="008A6B5A"/>
    <w:rsid w:val="008A7FBF"/>
    <w:rsid w:val="008B0B22"/>
    <w:rsid w:val="008B12F7"/>
    <w:rsid w:val="008B1D90"/>
    <w:rsid w:val="008B1E37"/>
    <w:rsid w:val="008B2182"/>
    <w:rsid w:val="008B2437"/>
    <w:rsid w:val="008B2B0B"/>
    <w:rsid w:val="008B32BC"/>
    <w:rsid w:val="008B4849"/>
    <w:rsid w:val="008B4DFA"/>
    <w:rsid w:val="008B5EAB"/>
    <w:rsid w:val="008B69CC"/>
    <w:rsid w:val="008B7452"/>
    <w:rsid w:val="008B797F"/>
    <w:rsid w:val="008C0B3B"/>
    <w:rsid w:val="008C0C2A"/>
    <w:rsid w:val="008C0DAB"/>
    <w:rsid w:val="008C27D2"/>
    <w:rsid w:val="008C30B7"/>
    <w:rsid w:val="008C4651"/>
    <w:rsid w:val="008C4E37"/>
    <w:rsid w:val="008C556F"/>
    <w:rsid w:val="008C5901"/>
    <w:rsid w:val="008C5DF1"/>
    <w:rsid w:val="008C60BF"/>
    <w:rsid w:val="008C68A0"/>
    <w:rsid w:val="008C6A55"/>
    <w:rsid w:val="008C6BD6"/>
    <w:rsid w:val="008C6E84"/>
    <w:rsid w:val="008C70C3"/>
    <w:rsid w:val="008D20D2"/>
    <w:rsid w:val="008D2129"/>
    <w:rsid w:val="008D24E1"/>
    <w:rsid w:val="008D2728"/>
    <w:rsid w:val="008D2C1A"/>
    <w:rsid w:val="008D2C65"/>
    <w:rsid w:val="008D358C"/>
    <w:rsid w:val="008D3677"/>
    <w:rsid w:val="008D47CA"/>
    <w:rsid w:val="008D4A15"/>
    <w:rsid w:val="008D4EFD"/>
    <w:rsid w:val="008D5C27"/>
    <w:rsid w:val="008D6135"/>
    <w:rsid w:val="008D65A3"/>
    <w:rsid w:val="008D6ABB"/>
    <w:rsid w:val="008D7C15"/>
    <w:rsid w:val="008E0168"/>
    <w:rsid w:val="008E0654"/>
    <w:rsid w:val="008E124F"/>
    <w:rsid w:val="008E1790"/>
    <w:rsid w:val="008E1845"/>
    <w:rsid w:val="008E1877"/>
    <w:rsid w:val="008E2ABE"/>
    <w:rsid w:val="008E2BC9"/>
    <w:rsid w:val="008E4BC9"/>
    <w:rsid w:val="008E5A97"/>
    <w:rsid w:val="008E5C2F"/>
    <w:rsid w:val="008E62BE"/>
    <w:rsid w:val="008E68C0"/>
    <w:rsid w:val="008E7181"/>
    <w:rsid w:val="008F0A4B"/>
    <w:rsid w:val="008F1236"/>
    <w:rsid w:val="008F19C9"/>
    <w:rsid w:val="008F1D4D"/>
    <w:rsid w:val="008F2729"/>
    <w:rsid w:val="008F2893"/>
    <w:rsid w:val="008F2ABE"/>
    <w:rsid w:val="008F3083"/>
    <w:rsid w:val="008F356C"/>
    <w:rsid w:val="008F4111"/>
    <w:rsid w:val="008F4364"/>
    <w:rsid w:val="008F4879"/>
    <w:rsid w:val="008F4BE5"/>
    <w:rsid w:val="008F50CA"/>
    <w:rsid w:val="008F70E3"/>
    <w:rsid w:val="008F772C"/>
    <w:rsid w:val="008F77CB"/>
    <w:rsid w:val="009002CD"/>
    <w:rsid w:val="00901027"/>
    <w:rsid w:val="00901150"/>
    <w:rsid w:val="009015E3"/>
    <w:rsid w:val="00901B99"/>
    <w:rsid w:val="00902036"/>
    <w:rsid w:val="0090330C"/>
    <w:rsid w:val="00903D27"/>
    <w:rsid w:val="00905EC8"/>
    <w:rsid w:val="00907897"/>
    <w:rsid w:val="0090797C"/>
    <w:rsid w:val="00907CAD"/>
    <w:rsid w:val="009107C4"/>
    <w:rsid w:val="00910864"/>
    <w:rsid w:val="00910D80"/>
    <w:rsid w:val="0091120C"/>
    <w:rsid w:val="009112CE"/>
    <w:rsid w:val="00912FC1"/>
    <w:rsid w:val="0091308E"/>
    <w:rsid w:val="009130C4"/>
    <w:rsid w:val="00914011"/>
    <w:rsid w:val="00914511"/>
    <w:rsid w:val="009145D5"/>
    <w:rsid w:val="00914D37"/>
    <w:rsid w:val="009154B0"/>
    <w:rsid w:val="0091569E"/>
    <w:rsid w:val="00915906"/>
    <w:rsid w:val="00915A1C"/>
    <w:rsid w:val="00915E67"/>
    <w:rsid w:val="00916035"/>
    <w:rsid w:val="00917792"/>
    <w:rsid w:val="0092009D"/>
    <w:rsid w:val="00920EBB"/>
    <w:rsid w:val="00921B02"/>
    <w:rsid w:val="00922486"/>
    <w:rsid w:val="009226FE"/>
    <w:rsid w:val="009227DF"/>
    <w:rsid w:val="009228EE"/>
    <w:rsid w:val="0092291B"/>
    <w:rsid w:val="00923A23"/>
    <w:rsid w:val="0092478F"/>
    <w:rsid w:val="0092495C"/>
    <w:rsid w:val="00924C39"/>
    <w:rsid w:val="00925A12"/>
    <w:rsid w:val="009262D9"/>
    <w:rsid w:val="0093026E"/>
    <w:rsid w:val="009303D4"/>
    <w:rsid w:val="009316F2"/>
    <w:rsid w:val="00932A6B"/>
    <w:rsid w:val="00932C34"/>
    <w:rsid w:val="00932E96"/>
    <w:rsid w:val="00932F6D"/>
    <w:rsid w:val="00933333"/>
    <w:rsid w:val="00934EEE"/>
    <w:rsid w:val="0093601D"/>
    <w:rsid w:val="0093674B"/>
    <w:rsid w:val="00936F68"/>
    <w:rsid w:val="00937A7E"/>
    <w:rsid w:val="00940E96"/>
    <w:rsid w:val="00940FB9"/>
    <w:rsid w:val="00942D4B"/>
    <w:rsid w:val="00943872"/>
    <w:rsid w:val="009438A6"/>
    <w:rsid w:val="00943FF9"/>
    <w:rsid w:val="00944341"/>
    <w:rsid w:val="0094473F"/>
    <w:rsid w:val="00945F77"/>
    <w:rsid w:val="00946032"/>
    <w:rsid w:val="00946EE9"/>
    <w:rsid w:val="0094702A"/>
    <w:rsid w:val="00947C8C"/>
    <w:rsid w:val="00947EEB"/>
    <w:rsid w:val="009500CA"/>
    <w:rsid w:val="00950A1B"/>
    <w:rsid w:val="00950BFB"/>
    <w:rsid w:val="00951A1A"/>
    <w:rsid w:val="00951AE4"/>
    <w:rsid w:val="00951C12"/>
    <w:rsid w:val="00952267"/>
    <w:rsid w:val="00953627"/>
    <w:rsid w:val="0095392D"/>
    <w:rsid w:val="00954348"/>
    <w:rsid w:val="00956487"/>
    <w:rsid w:val="0095798B"/>
    <w:rsid w:val="009604FC"/>
    <w:rsid w:val="009612EA"/>
    <w:rsid w:val="009616DC"/>
    <w:rsid w:val="0096205E"/>
    <w:rsid w:val="009626A7"/>
    <w:rsid w:val="009628B7"/>
    <w:rsid w:val="0096345B"/>
    <w:rsid w:val="009634D7"/>
    <w:rsid w:val="0096393E"/>
    <w:rsid w:val="00964CEF"/>
    <w:rsid w:val="00964DA0"/>
    <w:rsid w:val="00964F77"/>
    <w:rsid w:val="009655F8"/>
    <w:rsid w:val="009670F5"/>
    <w:rsid w:val="00967804"/>
    <w:rsid w:val="00967F7F"/>
    <w:rsid w:val="00971F53"/>
    <w:rsid w:val="009726D7"/>
    <w:rsid w:val="00972869"/>
    <w:rsid w:val="0097291C"/>
    <w:rsid w:val="00973C36"/>
    <w:rsid w:val="0097453F"/>
    <w:rsid w:val="00974E56"/>
    <w:rsid w:val="00975064"/>
    <w:rsid w:val="009752C7"/>
    <w:rsid w:val="0097564A"/>
    <w:rsid w:val="0097577F"/>
    <w:rsid w:val="00976098"/>
    <w:rsid w:val="009773A6"/>
    <w:rsid w:val="009774F7"/>
    <w:rsid w:val="009776AF"/>
    <w:rsid w:val="0097779F"/>
    <w:rsid w:val="00977BBF"/>
    <w:rsid w:val="009812D6"/>
    <w:rsid w:val="00982E4B"/>
    <w:rsid w:val="00983CC9"/>
    <w:rsid w:val="00984258"/>
    <w:rsid w:val="00984468"/>
    <w:rsid w:val="0098475C"/>
    <w:rsid w:val="009853C6"/>
    <w:rsid w:val="00985602"/>
    <w:rsid w:val="00985F79"/>
    <w:rsid w:val="00986FE3"/>
    <w:rsid w:val="0098756C"/>
    <w:rsid w:val="009875C2"/>
    <w:rsid w:val="009904A7"/>
    <w:rsid w:val="00990C8A"/>
    <w:rsid w:val="00991243"/>
    <w:rsid w:val="009912AC"/>
    <w:rsid w:val="00993786"/>
    <w:rsid w:val="00993B35"/>
    <w:rsid w:val="0099422B"/>
    <w:rsid w:val="00994D8D"/>
    <w:rsid w:val="00995682"/>
    <w:rsid w:val="009957E4"/>
    <w:rsid w:val="0099663F"/>
    <w:rsid w:val="00996AD0"/>
    <w:rsid w:val="00996FB2"/>
    <w:rsid w:val="009979C7"/>
    <w:rsid w:val="00997A3B"/>
    <w:rsid w:val="00997B50"/>
    <w:rsid w:val="009A1183"/>
    <w:rsid w:val="009A1786"/>
    <w:rsid w:val="009A2A7E"/>
    <w:rsid w:val="009A37D9"/>
    <w:rsid w:val="009A4925"/>
    <w:rsid w:val="009A54AE"/>
    <w:rsid w:val="009A5830"/>
    <w:rsid w:val="009A5ED6"/>
    <w:rsid w:val="009A6315"/>
    <w:rsid w:val="009A7F11"/>
    <w:rsid w:val="009A7F67"/>
    <w:rsid w:val="009B0312"/>
    <w:rsid w:val="009B0344"/>
    <w:rsid w:val="009B05C9"/>
    <w:rsid w:val="009B1316"/>
    <w:rsid w:val="009B226F"/>
    <w:rsid w:val="009B2288"/>
    <w:rsid w:val="009B22DE"/>
    <w:rsid w:val="009B286C"/>
    <w:rsid w:val="009B4263"/>
    <w:rsid w:val="009B4412"/>
    <w:rsid w:val="009B468C"/>
    <w:rsid w:val="009B49DE"/>
    <w:rsid w:val="009B4DBE"/>
    <w:rsid w:val="009B6BD8"/>
    <w:rsid w:val="009B7154"/>
    <w:rsid w:val="009B7464"/>
    <w:rsid w:val="009B7897"/>
    <w:rsid w:val="009C0272"/>
    <w:rsid w:val="009C0AEF"/>
    <w:rsid w:val="009C136A"/>
    <w:rsid w:val="009C1741"/>
    <w:rsid w:val="009C35A4"/>
    <w:rsid w:val="009C4E65"/>
    <w:rsid w:val="009C5DE4"/>
    <w:rsid w:val="009C64B5"/>
    <w:rsid w:val="009C68CD"/>
    <w:rsid w:val="009C696D"/>
    <w:rsid w:val="009C6A6C"/>
    <w:rsid w:val="009C6CEB"/>
    <w:rsid w:val="009C7083"/>
    <w:rsid w:val="009D0094"/>
    <w:rsid w:val="009D0FF6"/>
    <w:rsid w:val="009D160B"/>
    <w:rsid w:val="009D1CC4"/>
    <w:rsid w:val="009D23B4"/>
    <w:rsid w:val="009D2410"/>
    <w:rsid w:val="009D388A"/>
    <w:rsid w:val="009D47F8"/>
    <w:rsid w:val="009D493B"/>
    <w:rsid w:val="009D5BF2"/>
    <w:rsid w:val="009D6C4C"/>
    <w:rsid w:val="009D760C"/>
    <w:rsid w:val="009D7ECD"/>
    <w:rsid w:val="009E142E"/>
    <w:rsid w:val="009E1B43"/>
    <w:rsid w:val="009E25EE"/>
    <w:rsid w:val="009E597C"/>
    <w:rsid w:val="009E6426"/>
    <w:rsid w:val="009E6849"/>
    <w:rsid w:val="009E6DBE"/>
    <w:rsid w:val="009E72D4"/>
    <w:rsid w:val="009E72DF"/>
    <w:rsid w:val="009E79C0"/>
    <w:rsid w:val="009F0CC4"/>
    <w:rsid w:val="009F0D64"/>
    <w:rsid w:val="009F1C99"/>
    <w:rsid w:val="009F25A5"/>
    <w:rsid w:val="009F2807"/>
    <w:rsid w:val="009F2916"/>
    <w:rsid w:val="009F3836"/>
    <w:rsid w:val="009F3A0F"/>
    <w:rsid w:val="009F431A"/>
    <w:rsid w:val="009F4373"/>
    <w:rsid w:val="009F46B0"/>
    <w:rsid w:val="009F5034"/>
    <w:rsid w:val="009F548F"/>
    <w:rsid w:val="009F6AB0"/>
    <w:rsid w:val="009F6C51"/>
    <w:rsid w:val="009F719C"/>
    <w:rsid w:val="00A00050"/>
    <w:rsid w:val="00A001C3"/>
    <w:rsid w:val="00A01961"/>
    <w:rsid w:val="00A02017"/>
    <w:rsid w:val="00A0229F"/>
    <w:rsid w:val="00A02DA7"/>
    <w:rsid w:val="00A02FDD"/>
    <w:rsid w:val="00A036A4"/>
    <w:rsid w:val="00A03C66"/>
    <w:rsid w:val="00A04266"/>
    <w:rsid w:val="00A04296"/>
    <w:rsid w:val="00A0436C"/>
    <w:rsid w:val="00A04618"/>
    <w:rsid w:val="00A04DF3"/>
    <w:rsid w:val="00A056B1"/>
    <w:rsid w:val="00A05B93"/>
    <w:rsid w:val="00A05BC4"/>
    <w:rsid w:val="00A06111"/>
    <w:rsid w:val="00A064E4"/>
    <w:rsid w:val="00A0662B"/>
    <w:rsid w:val="00A06695"/>
    <w:rsid w:val="00A06E86"/>
    <w:rsid w:val="00A074C8"/>
    <w:rsid w:val="00A07A38"/>
    <w:rsid w:val="00A10222"/>
    <w:rsid w:val="00A10639"/>
    <w:rsid w:val="00A1071F"/>
    <w:rsid w:val="00A10C68"/>
    <w:rsid w:val="00A11D6C"/>
    <w:rsid w:val="00A12E0A"/>
    <w:rsid w:val="00A139E1"/>
    <w:rsid w:val="00A14390"/>
    <w:rsid w:val="00A144BB"/>
    <w:rsid w:val="00A1474B"/>
    <w:rsid w:val="00A14B6E"/>
    <w:rsid w:val="00A15FCB"/>
    <w:rsid w:val="00A16310"/>
    <w:rsid w:val="00A16901"/>
    <w:rsid w:val="00A17A06"/>
    <w:rsid w:val="00A17D2C"/>
    <w:rsid w:val="00A206CA"/>
    <w:rsid w:val="00A20CEA"/>
    <w:rsid w:val="00A225D5"/>
    <w:rsid w:val="00A23828"/>
    <w:rsid w:val="00A23ADB"/>
    <w:rsid w:val="00A23DA3"/>
    <w:rsid w:val="00A242C1"/>
    <w:rsid w:val="00A2497A"/>
    <w:rsid w:val="00A24C37"/>
    <w:rsid w:val="00A25294"/>
    <w:rsid w:val="00A25892"/>
    <w:rsid w:val="00A25ED4"/>
    <w:rsid w:val="00A260F1"/>
    <w:rsid w:val="00A2778B"/>
    <w:rsid w:val="00A27FEF"/>
    <w:rsid w:val="00A3088A"/>
    <w:rsid w:val="00A31F81"/>
    <w:rsid w:val="00A32909"/>
    <w:rsid w:val="00A337A2"/>
    <w:rsid w:val="00A339D1"/>
    <w:rsid w:val="00A344F3"/>
    <w:rsid w:val="00A34D97"/>
    <w:rsid w:val="00A40AAB"/>
    <w:rsid w:val="00A41E7A"/>
    <w:rsid w:val="00A424F9"/>
    <w:rsid w:val="00A4274F"/>
    <w:rsid w:val="00A42F45"/>
    <w:rsid w:val="00A43A8C"/>
    <w:rsid w:val="00A45191"/>
    <w:rsid w:val="00A45629"/>
    <w:rsid w:val="00A45A55"/>
    <w:rsid w:val="00A45DF2"/>
    <w:rsid w:val="00A508D2"/>
    <w:rsid w:val="00A515AE"/>
    <w:rsid w:val="00A51ADB"/>
    <w:rsid w:val="00A539A6"/>
    <w:rsid w:val="00A54319"/>
    <w:rsid w:val="00A54A29"/>
    <w:rsid w:val="00A550AF"/>
    <w:rsid w:val="00A5548B"/>
    <w:rsid w:val="00A560C7"/>
    <w:rsid w:val="00A5614D"/>
    <w:rsid w:val="00A57A44"/>
    <w:rsid w:val="00A6049D"/>
    <w:rsid w:val="00A6088C"/>
    <w:rsid w:val="00A60AB6"/>
    <w:rsid w:val="00A61349"/>
    <w:rsid w:val="00A616C8"/>
    <w:rsid w:val="00A61E12"/>
    <w:rsid w:val="00A62240"/>
    <w:rsid w:val="00A62321"/>
    <w:rsid w:val="00A62402"/>
    <w:rsid w:val="00A62968"/>
    <w:rsid w:val="00A633F1"/>
    <w:rsid w:val="00A635FE"/>
    <w:rsid w:val="00A636BC"/>
    <w:rsid w:val="00A64AE9"/>
    <w:rsid w:val="00A64C77"/>
    <w:rsid w:val="00A65085"/>
    <w:rsid w:val="00A65A02"/>
    <w:rsid w:val="00A65A44"/>
    <w:rsid w:val="00A668C5"/>
    <w:rsid w:val="00A668DA"/>
    <w:rsid w:val="00A6690D"/>
    <w:rsid w:val="00A66C37"/>
    <w:rsid w:val="00A66FCE"/>
    <w:rsid w:val="00A67E43"/>
    <w:rsid w:val="00A67F5F"/>
    <w:rsid w:val="00A73073"/>
    <w:rsid w:val="00A73B61"/>
    <w:rsid w:val="00A73EF3"/>
    <w:rsid w:val="00A74D8D"/>
    <w:rsid w:val="00A74FF9"/>
    <w:rsid w:val="00A752CB"/>
    <w:rsid w:val="00A76AAE"/>
    <w:rsid w:val="00A76C7F"/>
    <w:rsid w:val="00A77B69"/>
    <w:rsid w:val="00A80AF4"/>
    <w:rsid w:val="00A80E3D"/>
    <w:rsid w:val="00A820B4"/>
    <w:rsid w:val="00A821A0"/>
    <w:rsid w:val="00A835C5"/>
    <w:rsid w:val="00A83A71"/>
    <w:rsid w:val="00A83DEC"/>
    <w:rsid w:val="00A848D6"/>
    <w:rsid w:val="00A84A4D"/>
    <w:rsid w:val="00A85122"/>
    <w:rsid w:val="00A852C6"/>
    <w:rsid w:val="00A85E84"/>
    <w:rsid w:val="00A861B7"/>
    <w:rsid w:val="00A86A2D"/>
    <w:rsid w:val="00A87A7E"/>
    <w:rsid w:val="00A87D35"/>
    <w:rsid w:val="00A87E56"/>
    <w:rsid w:val="00A87E6D"/>
    <w:rsid w:val="00A908CB"/>
    <w:rsid w:val="00A9271E"/>
    <w:rsid w:val="00A92843"/>
    <w:rsid w:val="00A93BA9"/>
    <w:rsid w:val="00A94753"/>
    <w:rsid w:val="00A95F9C"/>
    <w:rsid w:val="00A9673A"/>
    <w:rsid w:val="00A96BFE"/>
    <w:rsid w:val="00A96F8D"/>
    <w:rsid w:val="00A97AC6"/>
    <w:rsid w:val="00AA0030"/>
    <w:rsid w:val="00AA084E"/>
    <w:rsid w:val="00AA1252"/>
    <w:rsid w:val="00AA2DDC"/>
    <w:rsid w:val="00AA34FC"/>
    <w:rsid w:val="00AA39C4"/>
    <w:rsid w:val="00AA3CD6"/>
    <w:rsid w:val="00AA3CF9"/>
    <w:rsid w:val="00AA3F45"/>
    <w:rsid w:val="00AA42EA"/>
    <w:rsid w:val="00AA6AE4"/>
    <w:rsid w:val="00AA6BCD"/>
    <w:rsid w:val="00AA7638"/>
    <w:rsid w:val="00AA7AE3"/>
    <w:rsid w:val="00AB0556"/>
    <w:rsid w:val="00AB0C15"/>
    <w:rsid w:val="00AB0C43"/>
    <w:rsid w:val="00AB1088"/>
    <w:rsid w:val="00AB2C44"/>
    <w:rsid w:val="00AB2D57"/>
    <w:rsid w:val="00AB3041"/>
    <w:rsid w:val="00AB3072"/>
    <w:rsid w:val="00AB36F4"/>
    <w:rsid w:val="00AB3BA4"/>
    <w:rsid w:val="00AB3C7A"/>
    <w:rsid w:val="00AB4809"/>
    <w:rsid w:val="00AB50C1"/>
    <w:rsid w:val="00AB5BB1"/>
    <w:rsid w:val="00AB6591"/>
    <w:rsid w:val="00AB6F43"/>
    <w:rsid w:val="00AB79DE"/>
    <w:rsid w:val="00AB7CC8"/>
    <w:rsid w:val="00AB7DCF"/>
    <w:rsid w:val="00AC01DD"/>
    <w:rsid w:val="00AC030C"/>
    <w:rsid w:val="00AC0800"/>
    <w:rsid w:val="00AC09D5"/>
    <w:rsid w:val="00AC0F5A"/>
    <w:rsid w:val="00AC146B"/>
    <w:rsid w:val="00AC24B8"/>
    <w:rsid w:val="00AC2C4D"/>
    <w:rsid w:val="00AC3058"/>
    <w:rsid w:val="00AC32BE"/>
    <w:rsid w:val="00AC3C6E"/>
    <w:rsid w:val="00AC4A28"/>
    <w:rsid w:val="00AC4F17"/>
    <w:rsid w:val="00AC4F67"/>
    <w:rsid w:val="00AC4FB9"/>
    <w:rsid w:val="00AC6E0A"/>
    <w:rsid w:val="00AC6E2F"/>
    <w:rsid w:val="00AC6E71"/>
    <w:rsid w:val="00AC6F91"/>
    <w:rsid w:val="00AC788F"/>
    <w:rsid w:val="00AC7E94"/>
    <w:rsid w:val="00AD07B4"/>
    <w:rsid w:val="00AD08A7"/>
    <w:rsid w:val="00AD0B82"/>
    <w:rsid w:val="00AD0F0F"/>
    <w:rsid w:val="00AD1C61"/>
    <w:rsid w:val="00AD3523"/>
    <w:rsid w:val="00AD387D"/>
    <w:rsid w:val="00AD4CA8"/>
    <w:rsid w:val="00AD5181"/>
    <w:rsid w:val="00AD575E"/>
    <w:rsid w:val="00AD6038"/>
    <w:rsid w:val="00AD6BFB"/>
    <w:rsid w:val="00AD79D2"/>
    <w:rsid w:val="00AE0763"/>
    <w:rsid w:val="00AE0F43"/>
    <w:rsid w:val="00AE19CA"/>
    <w:rsid w:val="00AE22E7"/>
    <w:rsid w:val="00AE2B65"/>
    <w:rsid w:val="00AE3024"/>
    <w:rsid w:val="00AE358E"/>
    <w:rsid w:val="00AE3668"/>
    <w:rsid w:val="00AE3BFC"/>
    <w:rsid w:val="00AE4283"/>
    <w:rsid w:val="00AE46E6"/>
    <w:rsid w:val="00AE4A63"/>
    <w:rsid w:val="00AE6A20"/>
    <w:rsid w:val="00AE6B05"/>
    <w:rsid w:val="00AF2703"/>
    <w:rsid w:val="00AF418B"/>
    <w:rsid w:val="00AF4405"/>
    <w:rsid w:val="00AF4A9C"/>
    <w:rsid w:val="00AF561A"/>
    <w:rsid w:val="00AF5A6F"/>
    <w:rsid w:val="00AF5F36"/>
    <w:rsid w:val="00AF64C7"/>
    <w:rsid w:val="00AF6774"/>
    <w:rsid w:val="00AF6FDC"/>
    <w:rsid w:val="00AF7172"/>
    <w:rsid w:val="00AF7B86"/>
    <w:rsid w:val="00B00F3C"/>
    <w:rsid w:val="00B01A2F"/>
    <w:rsid w:val="00B01CC0"/>
    <w:rsid w:val="00B023B6"/>
    <w:rsid w:val="00B027A0"/>
    <w:rsid w:val="00B02F5D"/>
    <w:rsid w:val="00B04982"/>
    <w:rsid w:val="00B04A9B"/>
    <w:rsid w:val="00B04DB2"/>
    <w:rsid w:val="00B0541C"/>
    <w:rsid w:val="00B10C28"/>
    <w:rsid w:val="00B11996"/>
    <w:rsid w:val="00B1227E"/>
    <w:rsid w:val="00B122E6"/>
    <w:rsid w:val="00B12475"/>
    <w:rsid w:val="00B148D3"/>
    <w:rsid w:val="00B14CC6"/>
    <w:rsid w:val="00B15012"/>
    <w:rsid w:val="00B150E8"/>
    <w:rsid w:val="00B15240"/>
    <w:rsid w:val="00B1526B"/>
    <w:rsid w:val="00B152D9"/>
    <w:rsid w:val="00B16BDB"/>
    <w:rsid w:val="00B1708F"/>
    <w:rsid w:val="00B17855"/>
    <w:rsid w:val="00B17CD4"/>
    <w:rsid w:val="00B202D4"/>
    <w:rsid w:val="00B20FF1"/>
    <w:rsid w:val="00B2119D"/>
    <w:rsid w:val="00B2138F"/>
    <w:rsid w:val="00B21692"/>
    <w:rsid w:val="00B22459"/>
    <w:rsid w:val="00B2249A"/>
    <w:rsid w:val="00B239FA"/>
    <w:rsid w:val="00B23AA0"/>
    <w:rsid w:val="00B23E0B"/>
    <w:rsid w:val="00B245FB"/>
    <w:rsid w:val="00B255FA"/>
    <w:rsid w:val="00B25D06"/>
    <w:rsid w:val="00B260DA"/>
    <w:rsid w:val="00B2684A"/>
    <w:rsid w:val="00B272A6"/>
    <w:rsid w:val="00B27A65"/>
    <w:rsid w:val="00B300AA"/>
    <w:rsid w:val="00B30A63"/>
    <w:rsid w:val="00B31ED0"/>
    <w:rsid w:val="00B32453"/>
    <w:rsid w:val="00B32D36"/>
    <w:rsid w:val="00B33142"/>
    <w:rsid w:val="00B337E0"/>
    <w:rsid w:val="00B344FC"/>
    <w:rsid w:val="00B3462B"/>
    <w:rsid w:val="00B356F2"/>
    <w:rsid w:val="00B36CE3"/>
    <w:rsid w:val="00B37E0D"/>
    <w:rsid w:val="00B4018C"/>
    <w:rsid w:val="00B40845"/>
    <w:rsid w:val="00B40928"/>
    <w:rsid w:val="00B40EDC"/>
    <w:rsid w:val="00B413C8"/>
    <w:rsid w:val="00B4416B"/>
    <w:rsid w:val="00B467EE"/>
    <w:rsid w:val="00B4752D"/>
    <w:rsid w:val="00B50667"/>
    <w:rsid w:val="00B508BF"/>
    <w:rsid w:val="00B51252"/>
    <w:rsid w:val="00B51ACF"/>
    <w:rsid w:val="00B539AB"/>
    <w:rsid w:val="00B547C7"/>
    <w:rsid w:val="00B54885"/>
    <w:rsid w:val="00B54DE2"/>
    <w:rsid w:val="00B54F25"/>
    <w:rsid w:val="00B55BBE"/>
    <w:rsid w:val="00B55DB0"/>
    <w:rsid w:val="00B603E8"/>
    <w:rsid w:val="00B6070D"/>
    <w:rsid w:val="00B60D9D"/>
    <w:rsid w:val="00B616BB"/>
    <w:rsid w:val="00B627AB"/>
    <w:rsid w:val="00B62DE3"/>
    <w:rsid w:val="00B62DFA"/>
    <w:rsid w:val="00B63C39"/>
    <w:rsid w:val="00B64E03"/>
    <w:rsid w:val="00B66615"/>
    <w:rsid w:val="00B66AC7"/>
    <w:rsid w:val="00B66FE7"/>
    <w:rsid w:val="00B674F4"/>
    <w:rsid w:val="00B67707"/>
    <w:rsid w:val="00B706E4"/>
    <w:rsid w:val="00B709E7"/>
    <w:rsid w:val="00B70C21"/>
    <w:rsid w:val="00B71B4A"/>
    <w:rsid w:val="00B71CD3"/>
    <w:rsid w:val="00B72259"/>
    <w:rsid w:val="00B72373"/>
    <w:rsid w:val="00B73ADB"/>
    <w:rsid w:val="00B752A4"/>
    <w:rsid w:val="00B7545A"/>
    <w:rsid w:val="00B76090"/>
    <w:rsid w:val="00B76685"/>
    <w:rsid w:val="00B7677A"/>
    <w:rsid w:val="00B76F01"/>
    <w:rsid w:val="00B80183"/>
    <w:rsid w:val="00B804C3"/>
    <w:rsid w:val="00B804F7"/>
    <w:rsid w:val="00B80784"/>
    <w:rsid w:val="00B80FDC"/>
    <w:rsid w:val="00B8105C"/>
    <w:rsid w:val="00B8392C"/>
    <w:rsid w:val="00B83BE8"/>
    <w:rsid w:val="00B83C11"/>
    <w:rsid w:val="00B83D5E"/>
    <w:rsid w:val="00B83F3D"/>
    <w:rsid w:val="00B84776"/>
    <w:rsid w:val="00B84CAC"/>
    <w:rsid w:val="00B85B87"/>
    <w:rsid w:val="00B86849"/>
    <w:rsid w:val="00B8725F"/>
    <w:rsid w:val="00B9127F"/>
    <w:rsid w:val="00B913FD"/>
    <w:rsid w:val="00B924E9"/>
    <w:rsid w:val="00B9459B"/>
    <w:rsid w:val="00B94928"/>
    <w:rsid w:val="00B949EA"/>
    <w:rsid w:val="00B95563"/>
    <w:rsid w:val="00B9587A"/>
    <w:rsid w:val="00B95A93"/>
    <w:rsid w:val="00B95B54"/>
    <w:rsid w:val="00B9625E"/>
    <w:rsid w:val="00B962F7"/>
    <w:rsid w:val="00B96A95"/>
    <w:rsid w:val="00B96F81"/>
    <w:rsid w:val="00B9751B"/>
    <w:rsid w:val="00B97F02"/>
    <w:rsid w:val="00B97F34"/>
    <w:rsid w:val="00BA07F2"/>
    <w:rsid w:val="00BA1CF3"/>
    <w:rsid w:val="00BA223C"/>
    <w:rsid w:val="00BA2582"/>
    <w:rsid w:val="00BA3B9F"/>
    <w:rsid w:val="00BA4843"/>
    <w:rsid w:val="00BA4D13"/>
    <w:rsid w:val="00BA5640"/>
    <w:rsid w:val="00BA5CC7"/>
    <w:rsid w:val="00BA677B"/>
    <w:rsid w:val="00BA6A2B"/>
    <w:rsid w:val="00BA6B9E"/>
    <w:rsid w:val="00BA72F9"/>
    <w:rsid w:val="00BA789C"/>
    <w:rsid w:val="00BA7A0D"/>
    <w:rsid w:val="00BB007B"/>
    <w:rsid w:val="00BB0D19"/>
    <w:rsid w:val="00BB2488"/>
    <w:rsid w:val="00BB27DD"/>
    <w:rsid w:val="00BB2A84"/>
    <w:rsid w:val="00BB2BF2"/>
    <w:rsid w:val="00BB2CD2"/>
    <w:rsid w:val="00BB39B4"/>
    <w:rsid w:val="00BB6738"/>
    <w:rsid w:val="00BB73F5"/>
    <w:rsid w:val="00BB74DA"/>
    <w:rsid w:val="00BB7581"/>
    <w:rsid w:val="00BB78BD"/>
    <w:rsid w:val="00BB7974"/>
    <w:rsid w:val="00BC0948"/>
    <w:rsid w:val="00BC184F"/>
    <w:rsid w:val="00BC1AAA"/>
    <w:rsid w:val="00BC1FA2"/>
    <w:rsid w:val="00BC3ABB"/>
    <w:rsid w:val="00BC41E9"/>
    <w:rsid w:val="00BC43F3"/>
    <w:rsid w:val="00BC48B3"/>
    <w:rsid w:val="00BC5D3A"/>
    <w:rsid w:val="00BC6927"/>
    <w:rsid w:val="00BD00DD"/>
    <w:rsid w:val="00BD08FF"/>
    <w:rsid w:val="00BD090C"/>
    <w:rsid w:val="00BD0DAD"/>
    <w:rsid w:val="00BD22D1"/>
    <w:rsid w:val="00BD237A"/>
    <w:rsid w:val="00BD24EF"/>
    <w:rsid w:val="00BD281F"/>
    <w:rsid w:val="00BD28FB"/>
    <w:rsid w:val="00BD3320"/>
    <w:rsid w:val="00BD4A43"/>
    <w:rsid w:val="00BD4F73"/>
    <w:rsid w:val="00BD4F7F"/>
    <w:rsid w:val="00BD51A8"/>
    <w:rsid w:val="00BD57E9"/>
    <w:rsid w:val="00BD5A54"/>
    <w:rsid w:val="00BD5B57"/>
    <w:rsid w:val="00BD5D75"/>
    <w:rsid w:val="00BD5FB4"/>
    <w:rsid w:val="00BD631D"/>
    <w:rsid w:val="00BD70AC"/>
    <w:rsid w:val="00BD7138"/>
    <w:rsid w:val="00BE07A4"/>
    <w:rsid w:val="00BE2759"/>
    <w:rsid w:val="00BE2F1E"/>
    <w:rsid w:val="00BE345F"/>
    <w:rsid w:val="00BE422C"/>
    <w:rsid w:val="00BE5947"/>
    <w:rsid w:val="00BE5A9E"/>
    <w:rsid w:val="00BE7BA7"/>
    <w:rsid w:val="00BF0580"/>
    <w:rsid w:val="00BF0A66"/>
    <w:rsid w:val="00BF20B6"/>
    <w:rsid w:val="00BF343A"/>
    <w:rsid w:val="00BF4255"/>
    <w:rsid w:val="00BF7661"/>
    <w:rsid w:val="00C0001D"/>
    <w:rsid w:val="00C004CE"/>
    <w:rsid w:val="00C00FB8"/>
    <w:rsid w:val="00C0141B"/>
    <w:rsid w:val="00C01CDB"/>
    <w:rsid w:val="00C01CF4"/>
    <w:rsid w:val="00C02347"/>
    <w:rsid w:val="00C0338B"/>
    <w:rsid w:val="00C0349F"/>
    <w:rsid w:val="00C040C7"/>
    <w:rsid w:val="00C042CD"/>
    <w:rsid w:val="00C06970"/>
    <w:rsid w:val="00C06A4F"/>
    <w:rsid w:val="00C10131"/>
    <w:rsid w:val="00C10EC9"/>
    <w:rsid w:val="00C11A05"/>
    <w:rsid w:val="00C11F46"/>
    <w:rsid w:val="00C1301E"/>
    <w:rsid w:val="00C14A84"/>
    <w:rsid w:val="00C152E3"/>
    <w:rsid w:val="00C15562"/>
    <w:rsid w:val="00C15F5D"/>
    <w:rsid w:val="00C16B90"/>
    <w:rsid w:val="00C1709A"/>
    <w:rsid w:val="00C20312"/>
    <w:rsid w:val="00C218CA"/>
    <w:rsid w:val="00C21BCA"/>
    <w:rsid w:val="00C2223C"/>
    <w:rsid w:val="00C222A6"/>
    <w:rsid w:val="00C229B5"/>
    <w:rsid w:val="00C23049"/>
    <w:rsid w:val="00C235C4"/>
    <w:rsid w:val="00C23699"/>
    <w:rsid w:val="00C23884"/>
    <w:rsid w:val="00C24AE8"/>
    <w:rsid w:val="00C258EB"/>
    <w:rsid w:val="00C2658C"/>
    <w:rsid w:val="00C2751D"/>
    <w:rsid w:val="00C30037"/>
    <w:rsid w:val="00C300BE"/>
    <w:rsid w:val="00C302B5"/>
    <w:rsid w:val="00C307F3"/>
    <w:rsid w:val="00C30E74"/>
    <w:rsid w:val="00C31A19"/>
    <w:rsid w:val="00C31D4A"/>
    <w:rsid w:val="00C32D20"/>
    <w:rsid w:val="00C338A3"/>
    <w:rsid w:val="00C3400D"/>
    <w:rsid w:val="00C3402E"/>
    <w:rsid w:val="00C36EDE"/>
    <w:rsid w:val="00C3748C"/>
    <w:rsid w:val="00C37E0F"/>
    <w:rsid w:val="00C37E32"/>
    <w:rsid w:val="00C400AF"/>
    <w:rsid w:val="00C4011A"/>
    <w:rsid w:val="00C40199"/>
    <w:rsid w:val="00C403B6"/>
    <w:rsid w:val="00C41A74"/>
    <w:rsid w:val="00C42173"/>
    <w:rsid w:val="00C42478"/>
    <w:rsid w:val="00C431B3"/>
    <w:rsid w:val="00C43324"/>
    <w:rsid w:val="00C4344F"/>
    <w:rsid w:val="00C44949"/>
    <w:rsid w:val="00C45499"/>
    <w:rsid w:val="00C45A66"/>
    <w:rsid w:val="00C4637A"/>
    <w:rsid w:val="00C469BA"/>
    <w:rsid w:val="00C4794B"/>
    <w:rsid w:val="00C47ED4"/>
    <w:rsid w:val="00C47F38"/>
    <w:rsid w:val="00C5001B"/>
    <w:rsid w:val="00C50416"/>
    <w:rsid w:val="00C50ADE"/>
    <w:rsid w:val="00C5111A"/>
    <w:rsid w:val="00C5176E"/>
    <w:rsid w:val="00C53D94"/>
    <w:rsid w:val="00C53FC8"/>
    <w:rsid w:val="00C573AF"/>
    <w:rsid w:val="00C6075D"/>
    <w:rsid w:val="00C61A32"/>
    <w:rsid w:val="00C61A4C"/>
    <w:rsid w:val="00C61ED4"/>
    <w:rsid w:val="00C632C5"/>
    <w:rsid w:val="00C63508"/>
    <w:rsid w:val="00C63CB1"/>
    <w:rsid w:val="00C6434C"/>
    <w:rsid w:val="00C64ACB"/>
    <w:rsid w:val="00C64CC5"/>
    <w:rsid w:val="00C6599E"/>
    <w:rsid w:val="00C663C3"/>
    <w:rsid w:val="00C66406"/>
    <w:rsid w:val="00C67655"/>
    <w:rsid w:val="00C723A0"/>
    <w:rsid w:val="00C72A0C"/>
    <w:rsid w:val="00C72A83"/>
    <w:rsid w:val="00C736C4"/>
    <w:rsid w:val="00C73B71"/>
    <w:rsid w:val="00C74B76"/>
    <w:rsid w:val="00C74CC2"/>
    <w:rsid w:val="00C752F8"/>
    <w:rsid w:val="00C76AA4"/>
    <w:rsid w:val="00C76E3C"/>
    <w:rsid w:val="00C777B5"/>
    <w:rsid w:val="00C77F35"/>
    <w:rsid w:val="00C8006D"/>
    <w:rsid w:val="00C80204"/>
    <w:rsid w:val="00C80331"/>
    <w:rsid w:val="00C81541"/>
    <w:rsid w:val="00C81CBA"/>
    <w:rsid w:val="00C83309"/>
    <w:rsid w:val="00C83AC9"/>
    <w:rsid w:val="00C85144"/>
    <w:rsid w:val="00C8657B"/>
    <w:rsid w:val="00C86862"/>
    <w:rsid w:val="00C86997"/>
    <w:rsid w:val="00C870BA"/>
    <w:rsid w:val="00C8758A"/>
    <w:rsid w:val="00C8772F"/>
    <w:rsid w:val="00C90B5F"/>
    <w:rsid w:val="00C92693"/>
    <w:rsid w:val="00C92705"/>
    <w:rsid w:val="00C944C5"/>
    <w:rsid w:val="00C9485C"/>
    <w:rsid w:val="00C94D87"/>
    <w:rsid w:val="00C95AEC"/>
    <w:rsid w:val="00C95BAC"/>
    <w:rsid w:val="00C95EAD"/>
    <w:rsid w:val="00C978B3"/>
    <w:rsid w:val="00CA01BA"/>
    <w:rsid w:val="00CA07AC"/>
    <w:rsid w:val="00CA0E11"/>
    <w:rsid w:val="00CA1233"/>
    <w:rsid w:val="00CA1381"/>
    <w:rsid w:val="00CA138E"/>
    <w:rsid w:val="00CA1D6F"/>
    <w:rsid w:val="00CA2B94"/>
    <w:rsid w:val="00CA31F3"/>
    <w:rsid w:val="00CA3458"/>
    <w:rsid w:val="00CA459C"/>
    <w:rsid w:val="00CA4B8A"/>
    <w:rsid w:val="00CA4EA0"/>
    <w:rsid w:val="00CA51F4"/>
    <w:rsid w:val="00CA53E4"/>
    <w:rsid w:val="00CA5424"/>
    <w:rsid w:val="00CA589B"/>
    <w:rsid w:val="00CA5A16"/>
    <w:rsid w:val="00CA6283"/>
    <w:rsid w:val="00CA6686"/>
    <w:rsid w:val="00CA7160"/>
    <w:rsid w:val="00CB0ADE"/>
    <w:rsid w:val="00CB18A2"/>
    <w:rsid w:val="00CB23B5"/>
    <w:rsid w:val="00CB2BB2"/>
    <w:rsid w:val="00CB2D77"/>
    <w:rsid w:val="00CB46D9"/>
    <w:rsid w:val="00CB4B32"/>
    <w:rsid w:val="00CB799F"/>
    <w:rsid w:val="00CC0F76"/>
    <w:rsid w:val="00CC2F0C"/>
    <w:rsid w:val="00CC30DA"/>
    <w:rsid w:val="00CC329F"/>
    <w:rsid w:val="00CC3748"/>
    <w:rsid w:val="00CC3987"/>
    <w:rsid w:val="00CC4C1A"/>
    <w:rsid w:val="00CC55E7"/>
    <w:rsid w:val="00CC5730"/>
    <w:rsid w:val="00CC60B5"/>
    <w:rsid w:val="00CC7356"/>
    <w:rsid w:val="00CC7630"/>
    <w:rsid w:val="00CD0506"/>
    <w:rsid w:val="00CD087F"/>
    <w:rsid w:val="00CD0FAA"/>
    <w:rsid w:val="00CD1250"/>
    <w:rsid w:val="00CD202C"/>
    <w:rsid w:val="00CD22E5"/>
    <w:rsid w:val="00CD3F51"/>
    <w:rsid w:val="00CD492B"/>
    <w:rsid w:val="00CD4AF8"/>
    <w:rsid w:val="00CD53AC"/>
    <w:rsid w:val="00CD5620"/>
    <w:rsid w:val="00CD5E44"/>
    <w:rsid w:val="00CD6083"/>
    <w:rsid w:val="00CD6526"/>
    <w:rsid w:val="00CD6AC4"/>
    <w:rsid w:val="00CD714B"/>
    <w:rsid w:val="00CD7986"/>
    <w:rsid w:val="00CE05F2"/>
    <w:rsid w:val="00CE092E"/>
    <w:rsid w:val="00CE0A5E"/>
    <w:rsid w:val="00CE10B9"/>
    <w:rsid w:val="00CE2182"/>
    <w:rsid w:val="00CE30CA"/>
    <w:rsid w:val="00CE368E"/>
    <w:rsid w:val="00CE4BF1"/>
    <w:rsid w:val="00CE4DB9"/>
    <w:rsid w:val="00CE516A"/>
    <w:rsid w:val="00CE5AAD"/>
    <w:rsid w:val="00CE6104"/>
    <w:rsid w:val="00CE7064"/>
    <w:rsid w:val="00CE7E55"/>
    <w:rsid w:val="00CF0019"/>
    <w:rsid w:val="00CF005D"/>
    <w:rsid w:val="00CF0A27"/>
    <w:rsid w:val="00CF14D1"/>
    <w:rsid w:val="00CF1AF0"/>
    <w:rsid w:val="00CF4024"/>
    <w:rsid w:val="00CF42FF"/>
    <w:rsid w:val="00CF7A59"/>
    <w:rsid w:val="00CF7B99"/>
    <w:rsid w:val="00D00E19"/>
    <w:rsid w:val="00D00FCD"/>
    <w:rsid w:val="00D01327"/>
    <w:rsid w:val="00D03651"/>
    <w:rsid w:val="00D03B79"/>
    <w:rsid w:val="00D048E3"/>
    <w:rsid w:val="00D058D9"/>
    <w:rsid w:val="00D068FF"/>
    <w:rsid w:val="00D06C96"/>
    <w:rsid w:val="00D07A2D"/>
    <w:rsid w:val="00D07E10"/>
    <w:rsid w:val="00D07EF3"/>
    <w:rsid w:val="00D10114"/>
    <w:rsid w:val="00D112A7"/>
    <w:rsid w:val="00D11B6D"/>
    <w:rsid w:val="00D12EB0"/>
    <w:rsid w:val="00D13665"/>
    <w:rsid w:val="00D1385F"/>
    <w:rsid w:val="00D13C3A"/>
    <w:rsid w:val="00D14742"/>
    <w:rsid w:val="00D14EEF"/>
    <w:rsid w:val="00D15490"/>
    <w:rsid w:val="00D15501"/>
    <w:rsid w:val="00D1678E"/>
    <w:rsid w:val="00D1737F"/>
    <w:rsid w:val="00D20D6F"/>
    <w:rsid w:val="00D2118D"/>
    <w:rsid w:val="00D2132A"/>
    <w:rsid w:val="00D21BE9"/>
    <w:rsid w:val="00D22E58"/>
    <w:rsid w:val="00D24133"/>
    <w:rsid w:val="00D24964"/>
    <w:rsid w:val="00D250BB"/>
    <w:rsid w:val="00D261DF"/>
    <w:rsid w:val="00D26A76"/>
    <w:rsid w:val="00D27330"/>
    <w:rsid w:val="00D277D6"/>
    <w:rsid w:val="00D277E6"/>
    <w:rsid w:val="00D3049D"/>
    <w:rsid w:val="00D309CB"/>
    <w:rsid w:val="00D31337"/>
    <w:rsid w:val="00D32117"/>
    <w:rsid w:val="00D32AB4"/>
    <w:rsid w:val="00D33167"/>
    <w:rsid w:val="00D331A7"/>
    <w:rsid w:val="00D33899"/>
    <w:rsid w:val="00D33C32"/>
    <w:rsid w:val="00D352C6"/>
    <w:rsid w:val="00D35CB3"/>
    <w:rsid w:val="00D36F40"/>
    <w:rsid w:val="00D37816"/>
    <w:rsid w:val="00D37D64"/>
    <w:rsid w:val="00D40476"/>
    <w:rsid w:val="00D40F4A"/>
    <w:rsid w:val="00D41350"/>
    <w:rsid w:val="00D41CD4"/>
    <w:rsid w:val="00D428A8"/>
    <w:rsid w:val="00D430D9"/>
    <w:rsid w:val="00D43268"/>
    <w:rsid w:val="00D43569"/>
    <w:rsid w:val="00D450DE"/>
    <w:rsid w:val="00D452C9"/>
    <w:rsid w:val="00D458F7"/>
    <w:rsid w:val="00D45B34"/>
    <w:rsid w:val="00D45E68"/>
    <w:rsid w:val="00D45EB9"/>
    <w:rsid w:val="00D46880"/>
    <w:rsid w:val="00D46988"/>
    <w:rsid w:val="00D46DBE"/>
    <w:rsid w:val="00D473B6"/>
    <w:rsid w:val="00D479F2"/>
    <w:rsid w:val="00D47B07"/>
    <w:rsid w:val="00D50A9A"/>
    <w:rsid w:val="00D51E9A"/>
    <w:rsid w:val="00D521AE"/>
    <w:rsid w:val="00D5262F"/>
    <w:rsid w:val="00D5391C"/>
    <w:rsid w:val="00D55B3C"/>
    <w:rsid w:val="00D561DD"/>
    <w:rsid w:val="00D56DC0"/>
    <w:rsid w:val="00D571AA"/>
    <w:rsid w:val="00D57723"/>
    <w:rsid w:val="00D57D25"/>
    <w:rsid w:val="00D57EA4"/>
    <w:rsid w:val="00D60BC7"/>
    <w:rsid w:val="00D60C27"/>
    <w:rsid w:val="00D6165D"/>
    <w:rsid w:val="00D61A30"/>
    <w:rsid w:val="00D61F8C"/>
    <w:rsid w:val="00D62079"/>
    <w:rsid w:val="00D62817"/>
    <w:rsid w:val="00D6373D"/>
    <w:rsid w:val="00D638F3"/>
    <w:rsid w:val="00D63DBF"/>
    <w:rsid w:val="00D63F45"/>
    <w:rsid w:val="00D64FF1"/>
    <w:rsid w:val="00D6656B"/>
    <w:rsid w:val="00D66CAF"/>
    <w:rsid w:val="00D66DD5"/>
    <w:rsid w:val="00D6718C"/>
    <w:rsid w:val="00D67361"/>
    <w:rsid w:val="00D67FE1"/>
    <w:rsid w:val="00D700A7"/>
    <w:rsid w:val="00D704C1"/>
    <w:rsid w:val="00D707CD"/>
    <w:rsid w:val="00D70AF7"/>
    <w:rsid w:val="00D73C91"/>
    <w:rsid w:val="00D74AC8"/>
    <w:rsid w:val="00D74E57"/>
    <w:rsid w:val="00D76711"/>
    <w:rsid w:val="00D76B4C"/>
    <w:rsid w:val="00D77D4F"/>
    <w:rsid w:val="00D80BBA"/>
    <w:rsid w:val="00D80C0C"/>
    <w:rsid w:val="00D80C53"/>
    <w:rsid w:val="00D81737"/>
    <w:rsid w:val="00D81E1B"/>
    <w:rsid w:val="00D82F1A"/>
    <w:rsid w:val="00D83203"/>
    <w:rsid w:val="00D836CA"/>
    <w:rsid w:val="00D83A23"/>
    <w:rsid w:val="00D84449"/>
    <w:rsid w:val="00D8474F"/>
    <w:rsid w:val="00D84CEB"/>
    <w:rsid w:val="00D8558E"/>
    <w:rsid w:val="00D858D3"/>
    <w:rsid w:val="00D862C6"/>
    <w:rsid w:val="00D8723F"/>
    <w:rsid w:val="00D8775D"/>
    <w:rsid w:val="00D9034F"/>
    <w:rsid w:val="00D90703"/>
    <w:rsid w:val="00D912A8"/>
    <w:rsid w:val="00D925AF"/>
    <w:rsid w:val="00D92C81"/>
    <w:rsid w:val="00D93C78"/>
    <w:rsid w:val="00D941FF"/>
    <w:rsid w:val="00D947D5"/>
    <w:rsid w:val="00D94842"/>
    <w:rsid w:val="00D953DB"/>
    <w:rsid w:val="00D95605"/>
    <w:rsid w:val="00D95C71"/>
    <w:rsid w:val="00D95EBD"/>
    <w:rsid w:val="00D96306"/>
    <w:rsid w:val="00D96C17"/>
    <w:rsid w:val="00D97B37"/>
    <w:rsid w:val="00DA0ADB"/>
    <w:rsid w:val="00DA113D"/>
    <w:rsid w:val="00DA15A0"/>
    <w:rsid w:val="00DA3094"/>
    <w:rsid w:val="00DA3B9C"/>
    <w:rsid w:val="00DA5CC9"/>
    <w:rsid w:val="00DA7130"/>
    <w:rsid w:val="00DA7C01"/>
    <w:rsid w:val="00DB002A"/>
    <w:rsid w:val="00DB01C0"/>
    <w:rsid w:val="00DB0634"/>
    <w:rsid w:val="00DB07A6"/>
    <w:rsid w:val="00DB0811"/>
    <w:rsid w:val="00DB11C2"/>
    <w:rsid w:val="00DB2980"/>
    <w:rsid w:val="00DB2EB8"/>
    <w:rsid w:val="00DB4CA1"/>
    <w:rsid w:val="00DB5003"/>
    <w:rsid w:val="00DB64C6"/>
    <w:rsid w:val="00DC09C1"/>
    <w:rsid w:val="00DC2200"/>
    <w:rsid w:val="00DC2864"/>
    <w:rsid w:val="00DC2C97"/>
    <w:rsid w:val="00DC3292"/>
    <w:rsid w:val="00DC45F1"/>
    <w:rsid w:val="00DC4F36"/>
    <w:rsid w:val="00DC5194"/>
    <w:rsid w:val="00DC706F"/>
    <w:rsid w:val="00DD0DCD"/>
    <w:rsid w:val="00DD0F7D"/>
    <w:rsid w:val="00DD1751"/>
    <w:rsid w:val="00DD198F"/>
    <w:rsid w:val="00DD1E41"/>
    <w:rsid w:val="00DD22A8"/>
    <w:rsid w:val="00DD23FD"/>
    <w:rsid w:val="00DD2E07"/>
    <w:rsid w:val="00DD5487"/>
    <w:rsid w:val="00DD5AF0"/>
    <w:rsid w:val="00DD5E9D"/>
    <w:rsid w:val="00DD6E2A"/>
    <w:rsid w:val="00DD7765"/>
    <w:rsid w:val="00DD7BEF"/>
    <w:rsid w:val="00DE0712"/>
    <w:rsid w:val="00DE0DEF"/>
    <w:rsid w:val="00DE18D1"/>
    <w:rsid w:val="00DE21CA"/>
    <w:rsid w:val="00DE3C86"/>
    <w:rsid w:val="00DE4EA3"/>
    <w:rsid w:val="00DE501C"/>
    <w:rsid w:val="00DE6907"/>
    <w:rsid w:val="00DE6B42"/>
    <w:rsid w:val="00DE70CB"/>
    <w:rsid w:val="00DE7E6C"/>
    <w:rsid w:val="00DF1D98"/>
    <w:rsid w:val="00DF28E6"/>
    <w:rsid w:val="00DF29E7"/>
    <w:rsid w:val="00DF2F74"/>
    <w:rsid w:val="00DF36E6"/>
    <w:rsid w:val="00DF3EFA"/>
    <w:rsid w:val="00DF4FEC"/>
    <w:rsid w:val="00DF6625"/>
    <w:rsid w:val="00DF66B3"/>
    <w:rsid w:val="00DF768C"/>
    <w:rsid w:val="00DF7A16"/>
    <w:rsid w:val="00DF7F9B"/>
    <w:rsid w:val="00E004C8"/>
    <w:rsid w:val="00E00A4F"/>
    <w:rsid w:val="00E00EB1"/>
    <w:rsid w:val="00E0173F"/>
    <w:rsid w:val="00E03226"/>
    <w:rsid w:val="00E0375D"/>
    <w:rsid w:val="00E03D56"/>
    <w:rsid w:val="00E04D09"/>
    <w:rsid w:val="00E052C5"/>
    <w:rsid w:val="00E0539D"/>
    <w:rsid w:val="00E061D4"/>
    <w:rsid w:val="00E06C04"/>
    <w:rsid w:val="00E06EC1"/>
    <w:rsid w:val="00E071EE"/>
    <w:rsid w:val="00E07D8F"/>
    <w:rsid w:val="00E10982"/>
    <w:rsid w:val="00E111F4"/>
    <w:rsid w:val="00E1163F"/>
    <w:rsid w:val="00E120D6"/>
    <w:rsid w:val="00E12AC1"/>
    <w:rsid w:val="00E13A01"/>
    <w:rsid w:val="00E15079"/>
    <w:rsid w:val="00E1562C"/>
    <w:rsid w:val="00E15AD0"/>
    <w:rsid w:val="00E15F71"/>
    <w:rsid w:val="00E161BA"/>
    <w:rsid w:val="00E17556"/>
    <w:rsid w:val="00E179D9"/>
    <w:rsid w:val="00E17F3B"/>
    <w:rsid w:val="00E202DC"/>
    <w:rsid w:val="00E20A11"/>
    <w:rsid w:val="00E20A33"/>
    <w:rsid w:val="00E20A83"/>
    <w:rsid w:val="00E20C1B"/>
    <w:rsid w:val="00E21B0E"/>
    <w:rsid w:val="00E21E2F"/>
    <w:rsid w:val="00E222A9"/>
    <w:rsid w:val="00E22B81"/>
    <w:rsid w:val="00E22C6B"/>
    <w:rsid w:val="00E2379A"/>
    <w:rsid w:val="00E23967"/>
    <w:rsid w:val="00E23B6B"/>
    <w:rsid w:val="00E23DF7"/>
    <w:rsid w:val="00E23F29"/>
    <w:rsid w:val="00E2446F"/>
    <w:rsid w:val="00E24BBB"/>
    <w:rsid w:val="00E25FCC"/>
    <w:rsid w:val="00E26156"/>
    <w:rsid w:val="00E266E3"/>
    <w:rsid w:val="00E2677E"/>
    <w:rsid w:val="00E26789"/>
    <w:rsid w:val="00E276AD"/>
    <w:rsid w:val="00E27D83"/>
    <w:rsid w:val="00E305DA"/>
    <w:rsid w:val="00E3074C"/>
    <w:rsid w:val="00E34C11"/>
    <w:rsid w:val="00E34FF5"/>
    <w:rsid w:val="00E3646F"/>
    <w:rsid w:val="00E372C5"/>
    <w:rsid w:val="00E37BCF"/>
    <w:rsid w:val="00E407F6"/>
    <w:rsid w:val="00E40B02"/>
    <w:rsid w:val="00E41135"/>
    <w:rsid w:val="00E41374"/>
    <w:rsid w:val="00E4210F"/>
    <w:rsid w:val="00E43580"/>
    <w:rsid w:val="00E435BC"/>
    <w:rsid w:val="00E440E5"/>
    <w:rsid w:val="00E4439E"/>
    <w:rsid w:val="00E447C0"/>
    <w:rsid w:val="00E449DC"/>
    <w:rsid w:val="00E45BC4"/>
    <w:rsid w:val="00E4668C"/>
    <w:rsid w:val="00E46709"/>
    <w:rsid w:val="00E47487"/>
    <w:rsid w:val="00E47953"/>
    <w:rsid w:val="00E47CD4"/>
    <w:rsid w:val="00E50686"/>
    <w:rsid w:val="00E516A4"/>
    <w:rsid w:val="00E5199E"/>
    <w:rsid w:val="00E5248D"/>
    <w:rsid w:val="00E538F3"/>
    <w:rsid w:val="00E554ED"/>
    <w:rsid w:val="00E559E0"/>
    <w:rsid w:val="00E55B10"/>
    <w:rsid w:val="00E55FBD"/>
    <w:rsid w:val="00E563E5"/>
    <w:rsid w:val="00E567FD"/>
    <w:rsid w:val="00E56F8D"/>
    <w:rsid w:val="00E57627"/>
    <w:rsid w:val="00E6034A"/>
    <w:rsid w:val="00E60AC0"/>
    <w:rsid w:val="00E61B89"/>
    <w:rsid w:val="00E61D89"/>
    <w:rsid w:val="00E62014"/>
    <w:rsid w:val="00E63321"/>
    <w:rsid w:val="00E63D54"/>
    <w:rsid w:val="00E64A6E"/>
    <w:rsid w:val="00E65301"/>
    <w:rsid w:val="00E65307"/>
    <w:rsid w:val="00E655EB"/>
    <w:rsid w:val="00E658AF"/>
    <w:rsid w:val="00E659A2"/>
    <w:rsid w:val="00E65E44"/>
    <w:rsid w:val="00E66B9E"/>
    <w:rsid w:val="00E66D1C"/>
    <w:rsid w:val="00E67E00"/>
    <w:rsid w:val="00E70EE2"/>
    <w:rsid w:val="00E70F0D"/>
    <w:rsid w:val="00E71021"/>
    <w:rsid w:val="00E721F0"/>
    <w:rsid w:val="00E72741"/>
    <w:rsid w:val="00E74513"/>
    <w:rsid w:val="00E7549A"/>
    <w:rsid w:val="00E75D14"/>
    <w:rsid w:val="00E75FF8"/>
    <w:rsid w:val="00E760C0"/>
    <w:rsid w:val="00E76A20"/>
    <w:rsid w:val="00E77F64"/>
    <w:rsid w:val="00E807D2"/>
    <w:rsid w:val="00E80B06"/>
    <w:rsid w:val="00E81340"/>
    <w:rsid w:val="00E81434"/>
    <w:rsid w:val="00E81473"/>
    <w:rsid w:val="00E81F5F"/>
    <w:rsid w:val="00E838CA"/>
    <w:rsid w:val="00E83B8F"/>
    <w:rsid w:val="00E84AFA"/>
    <w:rsid w:val="00E84D8E"/>
    <w:rsid w:val="00E85644"/>
    <w:rsid w:val="00E85AAA"/>
    <w:rsid w:val="00E86489"/>
    <w:rsid w:val="00E86576"/>
    <w:rsid w:val="00E87524"/>
    <w:rsid w:val="00E87560"/>
    <w:rsid w:val="00E901AC"/>
    <w:rsid w:val="00E925E5"/>
    <w:rsid w:val="00E92719"/>
    <w:rsid w:val="00E9274E"/>
    <w:rsid w:val="00E94DC1"/>
    <w:rsid w:val="00E9563B"/>
    <w:rsid w:val="00E9569F"/>
    <w:rsid w:val="00E97362"/>
    <w:rsid w:val="00E97C80"/>
    <w:rsid w:val="00E97CA0"/>
    <w:rsid w:val="00EA0348"/>
    <w:rsid w:val="00EA06AD"/>
    <w:rsid w:val="00EA0CDC"/>
    <w:rsid w:val="00EA15A2"/>
    <w:rsid w:val="00EA1813"/>
    <w:rsid w:val="00EA19B2"/>
    <w:rsid w:val="00EA1ACE"/>
    <w:rsid w:val="00EA2B2A"/>
    <w:rsid w:val="00EA3062"/>
    <w:rsid w:val="00EA3BFC"/>
    <w:rsid w:val="00EA3E64"/>
    <w:rsid w:val="00EA433E"/>
    <w:rsid w:val="00EA4537"/>
    <w:rsid w:val="00EA51CE"/>
    <w:rsid w:val="00EA56FE"/>
    <w:rsid w:val="00EA5BA9"/>
    <w:rsid w:val="00EA60A0"/>
    <w:rsid w:val="00EA64B0"/>
    <w:rsid w:val="00EA64BD"/>
    <w:rsid w:val="00EA6B05"/>
    <w:rsid w:val="00EA6D45"/>
    <w:rsid w:val="00EB0639"/>
    <w:rsid w:val="00EB06EA"/>
    <w:rsid w:val="00EB09B2"/>
    <w:rsid w:val="00EB0B22"/>
    <w:rsid w:val="00EB202A"/>
    <w:rsid w:val="00EB207E"/>
    <w:rsid w:val="00EB2256"/>
    <w:rsid w:val="00EB57A1"/>
    <w:rsid w:val="00EB5B50"/>
    <w:rsid w:val="00EB5FB2"/>
    <w:rsid w:val="00EB7F58"/>
    <w:rsid w:val="00EC05F1"/>
    <w:rsid w:val="00EC0B61"/>
    <w:rsid w:val="00EC118F"/>
    <w:rsid w:val="00EC1983"/>
    <w:rsid w:val="00EC1FC4"/>
    <w:rsid w:val="00EC2CA6"/>
    <w:rsid w:val="00EC4475"/>
    <w:rsid w:val="00EC5C39"/>
    <w:rsid w:val="00EC5F8F"/>
    <w:rsid w:val="00EC62BC"/>
    <w:rsid w:val="00EC63CC"/>
    <w:rsid w:val="00EC64AF"/>
    <w:rsid w:val="00EC657C"/>
    <w:rsid w:val="00EC757F"/>
    <w:rsid w:val="00EC76F9"/>
    <w:rsid w:val="00EC7DEE"/>
    <w:rsid w:val="00ED0CFA"/>
    <w:rsid w:val="00ED1DEB"/>
    <w:rsid w:val="00ED2210"/>
    <w:rsid w:val="00ED2871"/>
    <w:rsid w:val="00ED36AB"/>
    <w:rsid w:val="00ED3C72"/>
    <w:rsid w:val="00ED50FA"/>
    <w:rsid w:val="00ED64A4"/>
    <w:rsid w:val="00ED69DA"/>
    <w:rsid w:val="00ED7E6E"/>
    <w:rsid w:val="00EE04CC"/>
    <w:rsid w:val="00EE0CA4"/>
    <w:rsid w:val="00EE0D66"/>
    <w:rsid w:val="00EE13C2"/>
    <w:rsid w:val="00EE2CDD"/>
    <w:rsid w:val="00EE2CE1"/>
    <w:rsid w:val="00EE394C"/>
    <w:rsid w:val="00EE3AF8"/>
    <w:rsid w:val="00EE4F67"/>
    <w:rsid w:val="00EE554D"/>
    <w:rsid w:val="00EE5790"/>
    <w:rsid w:val="00EE5A1F"/>
    <w:rsid w:val="00EE5AA8"/>
    <w:rsid w:val="00EE656D"/>
    <w:rsid w:val="00EE65F8"/>
    <w:rsid w:val="00EE7000"/>
    <w:rsid w:val="00EE747A"/>
    <w:rsid w:val="00EE79F7"/>
    <w:rsid w:val="00EE7B95"/>
    <w:rsid w:val="00EE7C02"/>
    <w:rsid w:val="00EF0BBB"/>
    <w:rsid w:val="00EF17AD"/>
    <w:rsid w:val="00EF1A85"/>
    <w:rsid w:val="00EF1B96"/>
    <w:rsid w:val="00EF1F36"/>
    <w:rsid w:val="00EF2292"/>
    <w:rsid w:val="00EF39E8"/>
    <w:rsid w:val="00EF5D60"/>
    <w:rsid w:val="00F00607"/>
    <w:rsid w:val="00F00994"/>
    <w:rsid w:val="00F00A5E"/>
    <w:rsid w:val="00F00F55"/>
    <w:rsid w:val="00F0268A"/>
    <w:rsid w:val="00F02B5E"/>
    <w:rsid w:val="00F0348B"/>
    <w:rsid w:val="00F03A3E"/>
    <w:rsid w:val="00F0427D"/>
    <w:rsid w:val="00F04396"/>
    <w:rsid w:val="00F048C3"/>
    <w:rsid w:val="00F04A1B"/>
    <w:rsid w:val="00F04D50"/>
    <w:rsid w:val="00F0555F"/>
    <w:rsid w:val="00F05950"/>
    <w:rsid w:val="00F05BA0"/>
    <w:rsid w:val="00F05EA1"/>
    <w:rsid w:val="00F05FBF"/>
    <w:rsid w:val="00F0607F"/>
    <w:rsid w:val="00F073B0"/>
    <w:rsid w:val="00F073B1"/>
    <w:rsid w:val="00F07442"/>
    <w:rsid w:val="00F108F8"/>
    <w:rsid w:val="00F10AEB"/>
    <w:rsid w:val="00F11125"/>
    <w:rsid w:val="00F11CAB"/>
    <w:rsid w:val="00F1244E"/>
    <w:rsid w:val="00F12796"/>
    <w:rsid w:val="00F13D3D"/>
    <w:rsid w:val="00F14DA8"/>
    <w:rsid w:val="00F15003"/>
    <w:rsid w:val="00F152FD"/>
    <w:rsid w:val="00F156EE"/>
    <w:rsid w:val="00F161D5"/>
    <w:rsid w:val="00F16D1C"/>
    <w:rsid w:val="00F1781C"/>
    <w:rsid w:val="00F17821"/>
    <w:rsid w:val="00F17FAD"/>
    <w:rsid w:val="00F2019D"/>
    <w:rsid w:val="00F203BD"/>
    <w:rsid w:val="00F20BB5"/>
    <w:rsid w:val="00F22329"/>
    <w:rsid w:val="00F223B6"/>
    <w:rsid w:val="00F22787"/>
    <w:rsid w:val="00F22FE6"/>
    <w:rsid w:val="00F233D4"/>
    <w:rsid w:val="00F234DD"/>
    <w:rsid w:val="00F23A73"/>
    <w:rsid w:val="00F24B7F"/>
    <w:rsid w:val="00F2576F"/>
    <w:rsid w:val="00F25D61"/>
    <w:rsid w:val="00F26AAD"/>
    <w:rsid w:val="00F26C47"/>
    <w:rsid w:val="00F2709D"/>
    <w:rsid w:val="00F27E53"/>
    <w:rsid w:val="00F30930"/>
    <w:rsid w:val="00F30C05"/>
    <w:rsid w:val="00F320DB"/>
    <w:rsid w:val="00F32102"/>
    <w:rsid w:val="00F32130"/>
    <w:rsid w:val="00F3298B"/>
    <w:rsid w:val="00F32AEB"/>
    <w:rsid w:val="00F34131"/>
    <w:rsid w:val="00F3428D"/>
    <w:rsid w:val="00F34628"/>
    <w:rsid w:val="00F34ED7"/>
    <w:rsid w:val="00F3601B"/>
    <w:rsid w:val="00F36DF1"/>
    <w:rsid w:val="00F37A3D"/>
    <w:rsid w:val="00F4130E"/>
    <w:rsid w:val="00F42B03"/>
    <w:rsid w:val="00F43D6E"/>
    <w:rsid w:val="00F44313"/>
    <w:rsid w:val="00F4501D"/>
    <w:rsid w:val="00F45087"/>
    <w:rsid w:val="00F454B3"/>
    <w:rsid w:val="00F459CC"/>
    <w:rsid w:val="00F463EF"/>
    <w:rsid w:val="00F47F88"/>
    <w:rsid w:val="00F50978"/>
    <w:rsid w:val="00F52307"/>
    <w:rsid w:val="00F529DC"/>
    <w:rsid w:val="00F5301E"/>
    <w:rsid w:val="00F53CBD"/>
    <w:rsid w:val="00F5696B"/>
    <w:rsid w:val="00F56A94"/>
    <w:rsid w:val="00F602DA"/>
    <w:rsid w:val="00F61BCC"/>
    <w:rsid w:val="00F61CE3"/>
    <w:rsid w:val="00F61DE3"/>
    <w:rsid w:val="00F6227C"/>
    <w:rsid w:val="00F6277A"/>
    <w:rsid w:val="00F62E8A"/>
    <w:rsid w:val="00F64F97"/>
    <w:rsid w:val="00F65706"/>
    <w:rsid w:val="00F65B19"/>
    <w:rsid w:val="00F661CD"/>
    <w:rsid w:val="00F6636A"/>
    <w:rsid w:val="00F67A34"/>
    <w:rsid w:val="00F707A5"/>
    <w:rsid w:val="00F70916"/>
    <w:rsid w:val="00F70A87"/>
    <w:rsid w:val="00F71A16"/>
    <w:rsid w:val="00F71DF2"/>
    <w:rsid w:val="00F725CA"/>
    <w:rsid w:val="00F74D3B"/>
    <w:rsid w:val="00F74DB7"/>
    <w:rsid w:val="00F755EA"/>
    <w:rsid w:val="00F7561F"/>
    <w:rsid w:val="00F75E50"/>
    <w:rsid w:val="00F764BE"/>
    <w:rsid w:val="00F76878"/>
    <w:rsid w:val="00F76E7C"/>
    <w:rsid w:val="00F77231"/>
    <w:rsid w:val="00F776C0"/>
    <w:rsid w:val="00F77F82"/>
    <w:rsid w:val="00F801FE"/>
    <w:rsid w:val="00F81530"/>
    <w:rsid w:val="00F81952"/>
    <w:rsid w:val="00F81D6B"/>
    <w:rsid w:val="00F81E1D"/>
    <w:rsid w:val="00F82018"/>
    <w:rsid w:val="00F8288C"/>
    <w:rsid w:val="00F82B31"/>
    <w:rsid w:val="00F82C78"/>
    <w:rsid w:val="00F82FEF"/>
    <w:rsid w:val="00F84313"/>
    <w:rsid w:val="00F8561D"/>
    <w:rsid w:val="00F86D94"/>
    <w:rsid w:val="00F903A2"/>
    <w:rsid w:val="00F904EB"/>
    <w:rsid w:val="00F90BB7"/>
    <w:rsid w:val="00F91D7A"/>
    <w:rsid w:val="00F934CC"/>
    <w:rsid w:val="00F937BC"/>
    <w:rsid w:val="00F940C6"/>
    <w:rsid w:val="00F944ED"/>
    <w:rsid w:val="00F946A2"/>
    <w:rsid w:val="00F94812"/>
    <w:rsid w:val="00F95620"/>
    <w:rsid w:val="00F95A94"/>
    <w:rsid w:val="00F95B41"/>
    <w:rsid w:val="00F96117"/>
    <w:rsid w:val="00F97290"/>
    <w:rsid w:val="00F97AE6"/>
    <w:rsid w:val="00F97E0B"/>
    <w:rsid w:val="00F97FB4"/>
    <w:rsid w:val="00FA1761"/>
    <w:rsid w:val="00FA2247"/>
    <w:rsid w:val="00FA2337"/>
    <w:rsid w:val="00FA315A"/>
    <w:rsid w:val="00FA3F63"/>
    <w:rsid w:val="00FA4709"/>
    <w:rsid w:val="00FA4BC0"/>
    <w:rsid w:val="00FA6745"/>
    <w:rsid w:val="00FA7A59"/>
    <w:rsid w:val="00FA7EC9"/>
    <w:rsid w:val="00FB01FA"/>
    <w:rsid w:val="00FB028F"/>
    <w:rsid w:val="00FB0A30"/>
    <w:rsid w:val="00FB2F05"/>
    <w:rsid w:val="00FB2FD0"/>
    <w:rsid w:val="00FB49D1"/>
    <w:rsid w:val="00FB5FFC"/>
    <w:rsid w:val="00FB6857"/>
    <w:rsid w:val="00FB6FD7"/>
    <w:rsid w:val="00FB7627"/>
    <w:rsid w:val="00FB7695"/>
    <w:rsid w:val="00FB7840"/>
    <w:rsid w:val="00FC00BA"/>
    <w:rsid w:val="00FC079A"/>
    <w:rsid w:val="00FC16DC"/>
    <w:rsid w:val="00FC2ABB"/>
    <w:rsid w:val="00FC2F30"/>
    <w:rsid w:val="00FC3B65"/>
    <w:rsid w:val="00FC41AE"/>
    <w:rsid w:val="00FC4DFE"/>
    <w:rsid w:val="00FC5B5D"/>
    <w:rsid w:val="00FC6316"/>
    <w:rsid w:val="00FC67FC"/>
    <w:rsid w:val="00FC6BBB"/>
    <w:rsid w:val="00FC6D0D"/>
    <w:rsid w:val="00FC784A"/>
    <w:rsid w:val="00FD008D"/>
    <w:rsid w:val="00FD04D0"/>
    <w:rsid w:val="00FD150A"/>
    <w:rsid w:val="00FD151B"/>
    <w:rsid w:val="00FD1FCA"/>
    <w:rsid w:val="00FD28AA"/>
    <w:rsid w:val="00FD2D54"/>
    <w:rsid w:val="00FD32C5"/>
    <w:rsid w:val="00FD5A62"/>
    <w:rsid w:val="00FD5FE1"/>
    <w:rsid w:val="00FD6627"/>
    <w:rsid w:val="00FD7B27"/>
    <w:rsid w:val="00FE07E3"/>
    <w:rsid w:val="00FE12B5"/>
    <w:rsid w:val="00FE149A"/>
    <w:rsid w:val="00FE17D2"/>
    <w:rsid w:val="00FE1F1A"/>
    <w:rsid w:val="00FE2D8D"/>
    <w:rsid w:val="00FE2E99"/>
    <w:rsid w:val="00FE2F1F"/>
    <w:rsid w:val="00FE43E8"/>
    <w:rsid w:val="00FE5279"/>
    <w:rsid w:val="00FE5788"/>
    <w:rsid w:val="00FE737A"/>
    <w:rsid w:val="00FE7A3D"/>
    <w:rsid w:val="00FF1911"/>
    <w:rsid w:val="00FF1D5F"/>
    <w:rsid w:val="00FF2557"/>
    <w:rsid w:val="00FF33EB"/>
    <w:rsid w:val="00FF3A02"/>
    <w:rsid w:val="00FF4E89"/>
    <w:rsid w:val="00FF4FC6"/>
    <w:rsid w:val="00FF65D5"/>
    <w:rsid w:val="00FF67E8"/>
    <w:rsid w:val="00FF6EAA"/>
    <w:rsid w:val="00FF716C"/>
    <w:rsid w:val="00FF72BB"/>
    <w:rsid w:val="00FF7439"/>
    <w:rsid w:val="00FF76CF"/>
    <w:rsid w:val="00FF794F"/>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86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CA" w:eastAsia="en-CA"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qFormat="1"/>
    <w:lsdException w:name="heading 5" w:semiHidden="0" w:unhideWhenUsed="0" w:qFormat="1"/>
    <w:lsdException w:name="heading 6" w:qFormat="1"/>
    <w:lsdException w:name="heading 7" w:qFormat="1"/>
    <w:lsdException w:name="heading 8" w:qFormat="1"/>
    <w:lsdException w:name="heading 9" w:qFormat="1"/>
    <w:lsdException w:name="toc 1" w:qFormat="1"/>
    <w:lsdException w:name="toc 2" w:qFormat="1"/>
    <w:lsdException w:name="toc 3" w:qFormat="1"/>
    <w:lsdException w:name="footnote text" w:uiPriority="99" w:qFormat="1"/>
    <w:lsdException w:name="caption" w:uiPriority="35" w:qFormat="1"/>
    <w:lsdException w:name="footnote reference" w:qFormat="1"/>
    <w:lsdException w:name="List Number" w:semiHidden="0" w:unhideWhenUsed="0"/>
    <w:lsdException w:name="List 4" w:semiHidden="0" w:unhideWhenUsed="0"/>
    <w:lsdException w:name="List 5" w:semiHidden="0" w:unhideWhenUsed="0"/>
    <w:lsdException w:name="Title" w:semiHidden="0" w:uiPriority="10" w:unhideWhenUsed="0" w:qFormat="1"/>
    <w:lsdException w:name="Subtitle" w:semiHidden="0" w:uiPriority="11" w:unhideWhenUsed="0" w:qFormat="1"/>
    <w:lsdException w:name="Salutation" w:semiHidden="0" w:unhideWhenUsed="0"/>
    <w:lsdException w:name="Date" w:semiHidden="0" w:unhideWhenUsed="0"/>
    <w:lsdException w:name="Body Text First Indent" w:semiHidden="0" w:unhideWhenUsed="0"/>
    <w:lsdException w:name="Strong" w:semiHidden="0" w:uiPriority="22" w:unhideWhenUsed="0" w:qFormat="1"/>
    <w:lsdException w:name="Emphasis" w:semiHidden="0" w:uiPriority="20" w:unhideWhenUsed="0" w:qFormat="1"/>
    <w:lsdException w:name="Plain Text" w:uiPriority="99"/>
    <w:lsdException w:name="Normal (Web)" w:uiPriority="99"/>
    <w:lsdException w:name="Normal Table" w:semiHidden="0" w:unhideWhenUsed="0"/>
    <w:lsdException w:name="annotation subject" w:uiPriority="99"/>
    <w:lsdException w:name="No List" w:uiPriority="99"/>
    <w:lsdException w:name="Table Subtle 1" w:semiHidden="0" w:unhideWhenUsed="0"/>
    <w:lsdException w:name="Table Web 2" w:semiHidden="0" w:unhideWhenUsed="0"/>
    <w:lsdException w:name="Table Web 3" w:semiHidden="0" w:unhideWhenUsed="0"/>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3324"/>
    <w:pPr>
      <w:bidi/>
      <w:spacing w:line="216" w:lineRule="auto"/>
      <w:jc w:val="lowKashida"/>
    </w:pPr>
    <w:rPr>
      <w:rFonts w:eastAsia="YouYuan" w:cs="Simplified Arabic"/>
      <w:kern w:val="2"/>
      <w:szCs w:val="24"/>
      <w:lang w:val="en-US" w:eastAsia="en-US"/>
    </w:rPr>
  </w:style>
  <w:style w:type="paragraph" w:styleId="Heading1">
    <w:name w:val="heading 1"/>
    <w:basedOn w:val="Normal"/>
    <w:next w:val="Normal"/>
    <w:link w:val="Heading1Char"/>
    <w:qFormat/>
    <w:rsid w:val="005C034F"/>
    <w:pPr>
      <w:keepNext/>
      <w:spacing w:before="240" w:after="60"/>
      <w:outlineLvl w:val="0"/>
    </w:pPr>
    <w:rPr>
      <w:rFonts w:ascii="Cambria" w:eastAsia="Times New Roman" w:hAnsi="Cambria" w:cs="Times New Roman"/>
      <w:b/>
      <w:bCs/>
      <w:kern w:val="32"/>
      <w:sz w:val="32"/>
      <w:szCs w:val="32"/>
    </w:rPr>
  </w:style>
  <w:style w:type="paragraph" w:styleId="Heading2">
    <w:name w:val="heading 2"/>
    <w:basedOn w:val="Normal"/>
    <w:next w:val="Normal"/>
    <w:link w:val="Heading2Char"/>
    <w:qFormat/>
    <w:rsid w:val="0008758D"/>
    <w:pPr>
      <w:keepNext/>
      <w:spacing w:before="360" w:after="120"/>
      <w:jc w:val="center"/>
      <w:outlineLvl w:val="1"/>
    </w:pPr>
    <w:rPr>
      <w:rFonts w:ascii="CG Times Bold" w:eastAsia="Times New Roman" w:hAnsi="CG Times Bold" w:cs="Times New Roman"/>
      <w:b/>
      <w:bCs/>
      <w:sz w:val="24"/>
      <w:lang w:val="fr-CA"/>
    </w:rPr>
  </w:style>
  <w:style w:type="paragraph" w:styleId="Heading3">
    <w:name w:val="heading 3"/>
    <w:basedOn w:val="Normal"/>
    <w:next w:val="Normal"/>
    <w:link w:val="Heading3Char"/>
    <w:qFormat/>
    <w:rsid w:val="0008758D"/>
    <w:pPr>
      <w:keepNext/>
      <w:spacing w:before="240" w:after="120" w:line="211" w:lineRule="auto"/>
      <w:jc w:val="center"/>
      <w:outlineLvl w:val="2"/>
    </w:pPr>
    <w:rPr>
      <w:rFonts w:eastAsia="Times New Roman" w:cs="Times New Roman"/>
      <w:sz w:val="24"/>
      <w:lang w:val="fr-CA"/>
    </w:rPr>
  </w:style>
  <w:style w:type="paragraph" w:styleId="Heading4">
    <w:name w:val="heading 4"/>
    <w:basedOn w:val="Normal"/>
    <w:next w:val="Normal"/>
    <w:link w:val="Heading4Char"/>
    <w:unhideWhenUsed/>
    <w:qFormat/>
    <w:rsid w:val="005C034F"/>
    <w:pPr>
      <w:keepNext/>
      <w:spacing w:before="240" w:after="60"/>
      <w:outlineLvl w:val="3"/>
    </w:pPr>
    <w:rPr>
      <w:rFonts w:ascii="Calibri" w:eastAsia="Times New Roman" w:hAnsi="Calibri" w:cs="Times New Roman"/>
      <w:b/>
      <w:bCs/>
      <w:sz w:val="28"/>
      <w:szCs w:val="28"/>
    </w:rPr>
  </w:style>
  <w:style w:type="paragraph" w:styleId="Heading5">
    <w:name w:val="heading 5"/>
    <w:basedOn w:val="Normal"/>
    <w:next w:val="Normal"/>
    <w:link w:val="Heading5Char"/>
    <w:qFormat/>
    <w:rsid w:val="0008758D"/>
    <w:pPr>
      <w:keepNext/>
      <w:spacing w:before="120" w:after="120" w:line="240" w:lineRule="auto"/>
      <w:jc w:val="left"/>
      <w:outlineLvl w:val="4"/>
    </w:pPr>
    <w:rPr>
      <w:rFonts w:ascii="Times New Roman Bold" w:eastAsia="PMingLiU" w:hAnsi="Times New Roman Bold"/>
      <w:b/>
      <w:bCs/>
      <w:spacing w:val="-2"/>
      <w:kern w:val="0"/>
      <w:sz w:val="22"/>
      <w:lang w:eastAsia="ar-SA"/>
    </w:rPr>
  </w:style>
  <w:style w:type="paragraph" w:styleId="Heading6">
    <w:name w:val="heading 6"/>
    <w:basedOn w:val="Normal"/>
    <w:next w:val="Normal"/>
    <w:link w:val="Heading6Char"/>
    <w:qFormat/>
    <w:rsid w:val="00AC4FB9"/>
    <w:pPr>
      <w:keepNext/>
      <w:bidi w:val="0"/>
      <w:spacing w:before="120" w:after="240" w:line="240" w:lineRule="exact"/>
      <w:ind w:left="720"/>
      <w:jc w:val="both"/>
      <w:outlineLvl w:val="5"/>
    </w:pPr>
    <w:rPr>
      <w:rFonts w:eastAsia="Times New Roman" w:cs="Times New Roman"/>
      <w:kern w:val="0"/>
      <w:sz w:val="22"/>
      <w:u w:val="single"/>
      <w:lang w:val="en-GB"/>
    </w:rPr>
  </w:style>
  <w:style w:type="paragraph" w:styleId="Heading7">
    <w:name w:val="heading 7"/>
    <w:basedOn w:val="Normal"/>
    <w:next w:val="Normal"/>
    <w:link w:val="Heading7Char"/>
    <w:qFormat/>
    <w:rsid w:val="00AC4FB9"/>
    <w:pPr>
      <w:keepNext/>
      <w:bidi w:val="0"/>
      <w:spacing w:before="120" w:after="120" w:line="240" w:lineRule="auto"/>
      <w:jc w:val="right"/>
      <w:outlineLvl w:val="6"/>
    </w:pPr>
    <w:rPr>
      <w:rFonts w:ascii="Univers" w:eastAsia="Times New Roman" w:hAnsi="Univers" w:cs="Times New Roman"/>
      <w:b/>
      <w:kern w:val="0"/>
      <w:sz w:val="28"/>
      <w:lang w:val="en-GB"/>
    </w:rPr>
  </w:style>
  <w:style w:type="paragraph" w:styleId="Heading8">
    <w:name w:val="heading 8"/>
    <w:basedOn w:val="Normal"/>
    <w:next w:val="Normal"/>
    <w:link w:val="Heading8Char"/>
    <w:qFormat/>
    <w:rsid w:val="00AC4FB9"/>
    <w:pPr>
      <w:keepNext/>
      <w:bidi w:val="0"/>
      <w:spacing w:before="120" w:after="120" w:line="240" w:lineRule="auto"/>
      <w:jc w:val="right"/>
      <w:outlineLvl w:val="7"/>
    </w:pPr>
    <w:rPr>
      <w:rFonts w:ascii="Univers" w:eastAsia="Times New Roman" w:hAnsi="Univers" w:cs="Times New Roman"/>
      <w:b/>
      <w:kern w:val="0"/>
      <w:sz w:val="32"/>
      <w:lang w:val="en-GB"/>
    </w:rPr>
  </w:style>
  <w:style w:type="paragraph" w:styleId="Heading9">
    <w:name w:val="heading 9"/>
    <w:basedOn w:val="Normal"/>
    <w:next w:val="Normal"/>
    <w:link w:val="Heading9Char"/>
    <w:qFormat/>
    <w:rsid w:val="00AC4FB9"/>
    <w:pPr>
      <w:keepNext/>
      <w:bidi w:val="0"/>
      <w:spacing w:before="100" w:beforeAutospacing="1" w:after="120" w:line="240" w:lineRule="auto"/>
      <w:jc w:val="both"/>
      <w:outlineLvl w:val="8"/>
    </w:pPr>
    <w:rPr>
      <w:rFonts w:eastAsia="Times New Roman" w:cs="Times New Roman"/>
      <w:i/>
      <w:iCs/>
      <w:kern w:val="0"/>
      <w:sz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DD22A8"/>
    <w:pPr>
      <w:tabs>
        <w:tab w:val="center" w:pos="4320"/>
        <w:tab w:val="right" w:pos="8640"/>
      </w:tabs>
    </w:pPr>
  </w:style>
  <w:style w:type="paragraph" w:styleId="Footer">
    <w:name w:val="footer"/>
    <w:basedOn w:val="Normal"/>
    <w:link w:val="FooterChar"/>
    <w:rsid w:val="00DD22A8"/>
    <w:pPr>
      <w:tabs>
        <w:tab w:val="center" w:pos="4320"/>
        <w:tab w:val="right" w:pos="8640"/>
      </w:tabs>
    </w:p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08758D"/>
    <w:pPr>
      <w:jc w:val="both"/>
    </w:pPr>
    <w:rPr>
      <w:rFonts w:eastAsia="PMingLiU"/>
      <w:kern w:val="0"/>
      <w:szCs w:val="22"/>
      <w:lang w:eastAsia="ar-SA"/>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qFormat/>
    <w:rsid w:val="0008758D"/>
    <w:rPr>
      <w:rFonts w:cs="Simplified Arabic"/>
      <w:szCs w:val="24"/>
      <w:vertAlign w:val="superscript"/>
      <w:lang w:bidi="ar-EG"/>
    </w:rPr>
  </w:style>
  <w:style w:type="paragraph" w:styleId="BalloonText">
    <w:name w:val="Balloon Text"/>
    <w:basedOn w:val="Normal"/>
    <w:link w:val="BalloonTextChar"/>
    <w:uiPriority w:val="99"/>
    <w:semiHidden/>
    <w:rsid w:val="008022A3"/>
    <w:rPr>
      <w:rFonts w:ascii="Tahoma" w:hAnsi="Tahoma" w:cs="Tahoma"/>
      <w:sz w:val="16"/>
      <w:szCs w:val="16"/>
    </w:rPr>
  </w:style>
  <w:style w:type="paragraph" w:customStyle="1" w:styleId="Activity">
    <w:name w:val="Activity"/>
    <w:basedOn w:val="Normal"/>
    <w:rsid w:val="0025133F"/>
    <w:pPr>
      <w:keepNext/>
      <w:numPr>
        <w:ilvl w:val="1"/>
        <w:numId w:val="2"/>
      </w:numPr>
      <w:tabs>
        <w:tab w:val="clear" w:pos="1440"/>
        <w:tab w:val="left" w:pos="720"/>
      </w:tabs>
      <w:autoSpaceDE w:val="0"/>
      <w:autoSpaceDN w:val="0"/>
      <w:bidi w:val="0"/>
      <w:spacing w:before="120" w:after="120"/>
      <w:jc w:val="both"/>
    </w:pPr>
    <w:rPr>
      <w:rFonts w:eastAsia="Times New Roman" w:cs="Times New Roman"/>
      <w:b/>
      <w:bCs/>
      <w:kern w:val="0"/>
      <w:sz w:val="22"/>
      <w:szCs w:val="18"/>
      <w:lang w:val="en-GB"/>
    </w:rPr>
  </w:style>
  <w:style w:type="character" w:styleId="Hyperlink">
    <w:name w:val="Hyperlink"/>
    <w:rsid w:val="00CD4AF8"/>
    <w:rPr>
      <w:color w:val="0000FF"/>
      <w:u w:val="single"/>
    </w:rPr>
  </w:style>
  <w:style w:type="character" w:styleId="PageNumber">
    <w:name w:val="page number"/>
    <w:rsid w:val="00531E0F"/>
    <w:rPr>
      <w:rFonts w:ascii="Times New Roman" w:hAnsi="Times New Roman"/>
      <w:sz w:val="22"/>
    </w:rPr>
  </w:style>
  <w:style w:type="character" w:customStyle="1" w:styleId="Heading1Char">
    <w:name w:val="Heading 1 Char"/>
    <w:link w:val="Heading1"/>
    <w:rsid w:val="005C034F"/>
    <w:rPr>
      <w:rFonts w:ascii="Cambria" w:eastAsia="Times New Roman" w:hAnsi="Cambria" w:cs="Times New Roman"/>
      <w:b/>
      <w:bCs/>
      <w:kern w:val="32"/>
      <w:sz w:val="32"/>
      <w:szCs w:val="32"/>
      <w:lang w:val="en-US" w:eastAsia="en-US"/>
    </w:rPr>
  </w:style>
  <w:style w:type="character" w:customStyle="1" w:styleId="Heading4Char">
    <w:name w:val="Heading 4 Char"/>
    <w:link w:val="Heading4"/>
    <w:rsid w:val="005C034F"/>
    <w:rPr>
      <w:rFonts w:ascii="Calibri" w:eastAsia="Times New Roman" w:hAnsi="Calibri" w:cs="Arial"/>
      <w:b/>
      <w:bCs/>
      <w:kern w:val="2"/>
      <w:sz w:val="28"/>
      <w:szCs w:val="28"/>
      <w:lang w:val="en-US" w:eastAsia="en-US"/>
    </w:rPr>
  </w:style>
  <w:style w:type="paragraph" w:customStyle="1" w:styleId="Para1">
    <w:name w:val="Para1"/>
    <w:basedOn w:val="Normal"/>
    <w:link w:val="Para1Char"/>
    <w:rsid w:val="005C034F"/>
    <w:pPr>
      <w:numPr>
        <w:numId w:val="3"/>
      </w:numPr>
      <w:bidi w:val="0"/>
      <w:spacing w:before="120" w:after="120" w:line="240" w:lineRule="auto"/>
      <w:jc w:val="both"/>
    </w:pPr>
    <w:rPr>
      <w:rFonts w:eastAsia="Malgun Gothic" w:cs="Times New Roman"/>
      <w:snapToGrid w:val="0"/>
      <w:kern w:val="0"/>
      <w:sz w:val="22"/>
      <w:szCs w:val="18"/>
      <w:lang w:val="en-GB"/>
    </w:rPr>
  </w:style>
  <w:style w:type="paragraph" w:styleId="ListParagraph">
    <w:name w:val="List Paragraph"/>
    <w:basedOn w:val="Normal"/>
    <w:uiPriority w:val="34"/>
    <w:qFormat/>
    <w:rsid w:val="005C034F"/>
    <w:pPr>
      <w:bidi w:val="0"/>
      <w:spacing w:line="240" w:lineRule="auto"/>
      <w:ind w:left="720"/>
      <w:jc w:val="both"/>
    </w:pPr>
    <w:rPr>
      <w:rFonts w:eastAsia="Malgun Gothic" w:cs="Times New Roman"/>
      <w:kern w:val="0"/>
      <w:sz w:val="22"/>
      <w:lang w:val="en-GB"/>
    </w:rPr>
  </w:style>
  <w:style w:type="paragraph" w:styleId="BodyText2">
    <w:name w:val="Body Text 2"/>
    <w:basedOn w:val="Normal"/>
    <w:link w:val="BodyText2Char"/>
    <w:rsid w:val="007B636E"/>
    <w:pPr>
      <w:tabs>
        <w:tab w:val="left" w:pos="-1440"/>
        <w:tab w:val="left" w:pos="-720"/>
        <w:tab w:val="left" w:pos="0"/>
        <w:tab w:val="left" w:pos="720"/>
        <w:tab w:val="right" w:pos="1080"/>
        <w:tab w:val="left" w:pos="1440"/>
      </w:tabs>
      <w:suppressAutoHyphens/>
      <w:bidi w:val="0"/>
      <w:spacing w:after="120" w:line="288" w:lineRule="auto"/>
      <w:ind w:left="2160" w:hanging="2160"/>
      <w:jc w:val="both"/>
    </w:pPr>
    <w:rPr>
      <w:rFonts w:eastAsia="Malgun Gothic" w:cs="Times New Roman"/>
      <w:kern w:val="0"/>
      <w:sz w:val="22"/>
      <w:lang w:val="en-GB"/>
    </w:rPr>
  </w:style>
  <w:style w:type="character" w:customStyle="1" w:styleId="BodyText2Char">
    <w:name w:val="Body Text 2 Char"/>
    <w:link w:val="BodyText2"/>
    <w:rsid w:val="007B636E"/>
    <w:rPr>
      <w:rFonts w:eastAsia="Malgun Gothic"/>
      <w:sz w:val="22"/>
      <w:szCs w:val="24"/>
      <w:lang w:val="en-GB" w:eastAsia="en-US"/>
    </w:rPr>
  </w:style>
  <w:style w:type="character" w:customStyle="1" w:styleId="Para1Char">
    <w:name w:val="Para1 Char"/>
    <w:link w:val="Para1"/>
    <w:uiPriority w:val="99"/>
    <w:locked/>
    <w:rsid w:val="007B636E"/>
    <w:rPr>
      <w:rFonts w:eastAsia="Malgun Gothic"/>
      <w:snapToGrid w:val="0"/>
      <w:sz w:val="22"/>
      <w:szCs w:val="18"/>
      <w:lang w:val="en-GB" w:eastAsia="en-US"/>
    </w:rPr>
  </w:style>
  <w:style w:type="character" w:customStyle="1" w:styleId="apple-converted-space">
    <w:name w:val="apple-converted-space"/>
    <w:rsid w:val="004C0B19"/>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uiPriority w:val="99"/>
    <w:rsid w:val="003609D8"/>
    <w:rPr>
      <w:rFonts w:eastAsia="PMingLiU" w:cs="Simplified Arabic"/>
      <w:szCs w:val="22"/>
      <w:lang w:val="en-US" w:eastAsia="ar-SA"/>
    </w:rPr>
  </w:style>
  <w:style w:type="character" w:customStyle="1" w:styleId="UnresolvedMention1">
    <w:name w:val="Unresolved Mention1"/>
    <w:basedOn w:val="DefaultParagraphFont"/>
    <w:uiPriority w:val="99"/>
    <w:semiHidden/>
    <w:unhideWhenUsed/>
    <w:rsid w:val="00E5199E"/>
    <w:rPr>
      <w:color w:val="605E5C"/>
      <w:shd w:val="clear" w:color="auto" w:fill="E1DFDD"/>
    </w:rPr>
  </w:style>
  <w:style w:type="paragraph" w:customStyle="1" w:styleId="Default">
    <w:name w:val="Default"/>
    <w:rsid w:val="00866443"/>
    <w:pPr>
      <w:autoSpaceDE w:val="0"/>
      <w:autoSpaceDN w:val="0"/>
      <w:adjustRightInd w:val="0"/>
    </w:pPr>
    <w:rPr>
      <w:color w:val="000000"/>
      <w:sz w:val="24"/>
      <w:szCs w:val="24"/>
      <w:lang w:eastAsia="en-US"/>
    </w:rPr>
  </w:style>
  <w:style w:type="character" w:customStyle="1" w:styleId="Heading6Char">
    <w:name w:val="Heading 6 Char"/>
    <w:basedOn w:val="DefaultParagraphFont"/>
    <w:link w:val="Heading6"/>
    <w:rsid w:val="00AC4FB9"/>
    <w:rPr>
      <w:sz w:val="22"/>
      <w:szCs w:val="24"/>
      <w:u w:val="single"/>
      <w:lang w:val="en-GB" w:eastAsia="en-US"/>
    </w:rPr>
  </w:style>
  <w:style w:type="character" w:customStyle="1" w:styleId="Heading7Char">
    <w:name w:val="Heading 7 Char"/>
    <w:basedOn w:val="DefaultParagraphFont"/>
    <w:link w:val="Heading7"/>
    <w:rsid w:val="00AC4FB9"/>
    <w:rPr>
      <w:rFonts w:ascii="Univers" w:hAnsi="Univers"/>
      <w:b/>
      <w:sz w:val="28"/>
      <w:szCs w:val="24"/>
      <w:lang w:val="en-GB" w:eastAsia="en-US"/>
    </w:rPr>
  </w:style>
  <w:style w:type="character" w:customStyle="1" w:styleId="Heading8Char">
    <w:name w:val="Heading 8 Char"/>
    <w:basedOn w:val="DefaultParagraphFont"/>
    <w:link w:val="Heading8"/>
    <w:rsid w:val="00AC4FB9"/>
    <w:rPr>
      <w:rFonts w:ascii="Univers" w:hAnsi="Univers"/>
      <w:b/>
      <w:sz w:val="32"/>
      <w:szCs w:val="24"/>
      <w:lang w:val="en-GB" w:eastAsia="en-US"/>
    </w:rPr>
  </w:style>
  <w:style w:type="character" w:customStyle="1" w:styleId="Heading9Char">
    <w:name w:val="Heading 9 Char"/>
    <w:basedOn w:val="DefaultParagraphFont"/>
    <w:link w:val="Heading9"/>
    <w:rsid w:val="00AC4FB9"/>
    <w:rPr>
      <w:i/>
      <w:iCs/>
      <w:sz w:val="22"/>
      <w:szCs w:val="24"/>
      <w:lang w:val="en-GB" w:eastAsia="en-US"/>
    </w:rPr>
  </w:style>
  <w:style w:type="character" w:customStyle="1" w:styleId="Heading2Char">
    <w:name w:val="Heading 2 Char"/>
    <w:link w:val="Heading2"/>
    <w:rsid w:val="00AC4FB9"/>
    <w:rPr>
      <w:rFonts w:ascii="CG Times Bold" w:hAnsi="CG Times Bold"/>
      <w:b/>
      <w:bCs/>
      <w:kern w:val="2"/>
      <w:sz w:val="24"/>
      <w:szCs w:val="24"/>
      <w:lang w:val="fr-CA" w:eastAsia="en-US"/>
    </w:rPr>
  </w:style>
  <w:style w:type="character" w:customStyle="1" w:styleId="Heading3Char">
    <w:name w:val="Heading 3 Char"/>
    <w:link w:val="Heading3"/>
    <w:rsid w:val="00AC4FB9"/>
    <w:rPr>
      <w:kern w:val="2"/>
      <w:sz w:val="24"/>
      <w:szCs w:val="24"/>
      <w:lang w:val="fr-CA" w:eastAsia="en-US"/>
    </w:rPr>
  </w:style>
  <w:style w:type="character" w:customStyle="1" w:styleId="Heading5Char">
    <w:name w:val="Heading 5 Char"/>
    <w:link w:val="Heading5"/>
    <w:rsid w:val="00AC4FB9"/>
    <w:rPr>
      <w:rFonts w:ascii="Times New Roman Bold" w:eastAsia="PMingLiU" w:hAnsi="Times New Roman Bold" w:cs="Simplified Arabic"/>
      <w:b/>
      <w:bCs/>
      <w:spacing w:val="-2"/>
      <w:sz w:val="22"/>
      <w:szCs w:val="24"/>
      <w:lang w:val="en-US" w:eastAsia="ar-SA"/>
    </w:rPr>
  </w:style>
  <w:style w:type="paragraph" w:customStyle="1" w:styleId="CharCharCharCharCharCharCharCharChar">
    <w:name w:val="Char Char Char Char Char Char Char Char Char"/>
    <w:basedOn w:val="Normal"/>
    <w:rsid w:val="00AC4FB9"/>
    <w:pPr>
      <w:widowControl w:val="0"/>
      <w:bidi w:val="0"/>
      <w:adjustRightInd w:val="0"/>
      <w:spacing w:before="120" w:after="120" w:line="360" w:lineRule="atLeast"/>
      <w:jc w:val="both"/>
      <w:textAlignment w:val="baseline"/>
    </w:pPr>
    <w:rPr>
      <w:rFonts w:ascii="Arial" w:eastAsia="Batang" w:hAnsi="Arial" w:cs="Arial"/>
      <w:kern w:val="0"/>
      <w:sz w:val="22"/>
      <w:szCs w:val="20"/>
      <w:lang w:val="pl-PL" w:eastAsia="pl-PL"/>
    </w:rPr>
  </w:style>
  <w:style w:type="paragraph" w:styleId="BodyText">
    <w:name w:val="Body Text"/>
    <w:basedOn w:val="Normal"/>
    <w:link w:val="BodyTextChar"/>
    <w:rsid w:val="00AC4FB9"/>
    <w:pPr>
      <w:tabs>
        <w:tab w:val="left" w:pos="720"/>
      </w:tabs>
      <w:bidi w:val="0"/>
      <w:spacing w:before="120" w:after="120" w:line="240" w:lineRule="auto"/>
      <w:ind w:firstLine="720"/>
      <w:jc w:val="both"/>
    </w:pPr>
    <w:rPr>
      <w:rFonts w:eastAsia="Times New Roman" w:cs="Times New Roman"/>
      <w:iCs/>
      <w:kern w:val="0"/>
      <w:sz w:val="22"/>
      <w:lang w:val="en-GB"/>
    </w:rPr>
  </w:style>
  <w:style w:type="character" w:customStyle="1" w:styleId="BodyTextChar">
    <w:name w:val="Body Text Char"/>
    <w:basedOn w:val="DefaultParagraphFont"/>
    <w:link w:val="BodyText"/>
    <w:rsid w:val="00AC4FB9"/>
    <w:rPr>
      <w:iCs/>
      <w:sz w:val="22"/>
      <w:szCs w:val="24"/>
      <w:lang w:val="en-GB" w:eastAsia="en-US"/>
    </w:rPr>
  </w:style>
  <w:style w:type="paragraph" w:customStyle="1" w:styleId="Paraa">
    <w:name w:val="Para (a)"/>
    <w:basedOn w:val="Normal"/>
    <w:rsid w:val="00AC4FB9"/>
    <w:pPr>
      <w:numPr>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bidi w:val="0"/>
      <w:spacing w:before="120" w:after="120" w:line="240" w:lineRule="auto"/>
      <w:jc w:val="both"/>
      <w:outlineLvl w:val="1"/>
    </w:pPr>
    <w:rPr>
      <w:rFonts w:eastAsia="Times New Roman" w:cs="Times New Roman"/>
      <w:kern w:val="0"/>
      <w:sz w:val="22"/>
      <w:lang w:val="en-GB"/>
    </w:rPr>
  </w:style>
  <w:style w:type="paragraph" w:styleId="Title">
    <w:name w:val="Title"/>
    <w:basedOn w:val="Normal"/>
    <w:link w:val="TitleChar"/>
    <w:uiPriority w:val="10"/>
    <w:qFormat/>
    <w:rsid w:val="00AC4FB9"/>
    <w:pPr>
      <w:keepNext/>
      <w:bidi w:val="0"/>
      <w:spacing w:before="240" w:after="120" w:line="240" w:lineRule="auto"/>
      <w:jc w:val="center"/>
      <w:outlineLvl w:val="0"/>
    </w:pPr>
    <w:rPr>
      <w:rFonts w:eastAsia="Times New Roman" w:cs="Arial"/>
      <w:b/>
      <w:bCs/>
      <w:caps/>
      <w:kern w:val="28"/>
      <w:sz w:val="22"/>
      <w:szCs w:val="32"/>
      <w:lang w:val="en-GB"/>
    </w:rPr>
  </w:style>
  <w:style w:type="character" w:customStyle="1" w:styleId="TitleChar">
    <w:name w:val="Title Char"/>
    <w:basedOn w:val="DefaultParagraphFont"/>
    <w:link w:val="Title"/>
    <w:uiPriority w:val="10"/>
    <w:rsid w:val="00AC4FB9"/>
    <w:rPr>
      <w:rFonts w:cs="Arial"/>
      <w:b/>
      <w:bCs/>
      <w:caps/>
      <w:kern w:val="28"/>
      <w:sz w:val="22"/>
      <w:szCs w:val="32"/>
      <w:lang w:val="en-GB" w:eastAsia="en-US"/>
    </w:rPr>
  </w:style>
  <w:style w:type="character" w:customStyle="1" w:styleId="FooterChar">
    <w:name w:val="Footer Char"/>
    <w:link w:val="Footer"/>
    <w:rsid w:val="00AC4FB9"/>
    <w:rPr>
      <w:rFonts w:eastAsia="YouYuan" w:cs="Simplified Arabic"/>
      <w:kern w:val="2"/>
      <w:szCs w:val="24"/>
      <w:lang w:val="en-US" w:eastAsia="en-US"/>
    </w:rPr>
  </w:style>
  <w:style w:type="character" w:customStyle="1" w:styleId="HeaderChar">
    <w:name w:val="Header Char"/>
    <w:link w:val="Header"/>
    <w:rsid w:val="00AC4FB9"/>
    <w:rPr>
      <w:rFonts w:eastAsia="YouYuan" w:cs="Simplified Arabic"/>
      <w:kern w:val="2"/>
      <w:szCs w:val="24"/>
      <w:lang w:val="en-US" w:eastAsia="en-US"/>
    </w:rPr>
  </w:style>
  <w:style w:type="paragraph" w:styleId="BodyTextIndent">
    <w:name w:val="Body Text Indent"/>
    <w:basedOn w:val="Normal"/>
    <w:link w:val="BodyTextIndentChar"/>
    <w:rsid w:val="00AC4FB9"/>
    <w:pPr>
      <w:bidi w:val="0"/>
      <w:spacing w:before="120" w:after="120" w:line="240" w:lineRule="auto"/>
      <w:ind w:left="1440" w:hanging="720"/>
      <w:jc w:val="both"/>
    </w:pPr>
    <w:rPr>
      <w:rFonts w:eastAsia="Times New Roman" w:cs="Times New Roman"/>
      <w:kern w:val="0"/>
      <w:sz w:val="22"/>
      <w:lang w:val="en-GB"/>
    </w:rPr>
  </w:style>
  <w:style w:type="character" w:customStyle="1" w:styleId="BodyTextIndentChar">
    <w:name w:val="Body Text Indent Char"/>
    <w:basedOn w:val="DefaultParagraphFont"/>
    <w:link w:val="BodyTextIndent"/>
    <w:rsid w:val="00AC4FB9"/>
    <w:rPr>
      <w:sz w:val="22"/>
      <w:szCs w:val="24"/>
      <w:lang w:val="en-GB" w:eastAsia="en-US"/>
    </w:rPr>
  </w:style>
  <w:style w:type="paragraph" w:styleId="BodyTextIndent2">
    <w:name w:val="Body Text Indent 2"/>
    <w:basedOn w:val="Normal"/>
    <w:link w:val="BodyTextIndent2Char"/>
    <w:rsid w:val="00AC4FB9"/>
    <w:pPr>
      <w:bidi w:val="0"/>
      <w:spacing w:before="120" w:after="120" w:line="240" w:lineRule="auto"/>
      <w:ind w:left="720"/>
      <w:jc w:val="both"/>
    </w:pPr>
    <w:rPr>
      <w:rFonts w:eastAsia="Times New Roman" w:cs="Times New Roman"/>
      <w:kern w:val="0"/>
      <w:sz w:val="22"/>
      <w:lang w:val="en-GB"/>
    </w:rPr>
  </w:style>
  <w:style w:type="character" w:customStyle="1" w:styleId="BodyTextIndent2Char">
    <w:name w:val="Body Text Indent 2 Char"/>
    <w:basedOn w:val="DefaultParagraphFont"/>
    <w:link w:val="BodyTextIndent2"/>
    <w:rsid w:val="00AC4FB9"/>
    <w:rPr>
      <w:sz w:val="22"/>
      <w:szCs w:val="24"/>
      <w:lang w:val="en-GB" w:eastAsia="en-US"/>
    </w:rPr>
  </w:style>
  <w:style w:type="character" w:styleId="CommentReference">
    <w:name w:val="annotation reference"/>
    <w:rsid w:val="00AC4FB9"/>
    <w:rPr>
      <w:sz w:val="16"/>
      <w:szCs w:val="16"/>
    </w:rPr>
  </w:style>
  <w:style w:type="paragraph" w:styleId="CommentText">
    <w:name w:val="annotation text"/>
    <w:basedOn w:val="Normal"/>
    <w:link w:val="CommentTextChar"/>
    <w:rsid w:val="00AC4FB9"/>
    <w:pPr>
      <w:bidi w:val="0"/>
      <w:spacing w:before="120" w:after="120" w:line="240" w:lineRule="auto"/>
      <w:jc w:val="both"/>
    </w:pPr>
    <w:rPr>
      <w:rFonts w:eastAsia="Times New Roman" w:cs="Times New Roman"/>
      <w:kern w:val="0"/>
      <w:lang w:val="en-GB"/>
    </w:rPr>
  </w:style>
  <w:style w:type="character" w:customStyle="1" w:styleId="CommentTextChar">
    <w:name w:val="Comment Text Char"/>
    <w:basedOn w:val="DefaultParagraphFont"/>
    <w:link w:val="CommentText"/>
    <w:rsid w:val="00AC4FB9"/>
    <w:rPr>
      <w:szCs w:val="24"/>
      <w:lang w:val="en-GB" w:eastAsia="en-US"/>
    </w:rPr>
  </w:style>
  <w:style w:type="paragraph" w:customStyle="1" w:styleId="Cornernotation">
    <w:name w:val="Corner notation"/>
    <w:basedOn w:val="Normal"/>
    <w:rsid w:val="00AC4FB9"/>
    <w:pPr>
      <w:bidi w:val="0"/>
      <w:spacing w:before="120" w:after="120" w:line="240" w:lineRule="auto"/>
      <w:ind w:left="284" w:right="4398" w:hanging="284"/>
      <w:jc w:val="both"/>
    </w:pPr>
    <w:rPr>
      <w:rFonts w:eastAsia="Times New Roman" w:cs="Times New Roman"/>
      <w:kern w:val="0"/>
      <w:sz w:val="22"/>
      <w:lang w:val="en-GB"/>
    </w:rPr>
  </w:style>
  <w:style w:type="paragraph" w:customStyle="1" w:styleId="Document1">
    <w:name w:val="Document 1"/>
    <w:basedOn w:val="Normal"/>
    <w:next w:val="Normal"/>
    <w:rsid w:val="00AC4FB9"/>
    <w:pPr>
      <w:suppressAutoHyphens/>
      <w:bidi w:val="0"/>
      <w:spacing w:before="120" w:after="120" w:line="240" w:lineRule="exact"/>
      <w:jc w:val="both"/>
    </w:pPr>
    <w:rPr>
      <w:rFonts w:ascii="Courier" w:eastAsia="Times New Roman" w:hAnsi="Courier" w:cs="Times New Roman"/>
      <w:kern w:val="0"/>
      <w:szCs w:val="20"/>
      <w:lang w:val="en-GB"/>
    </w:rPr>
  </w:style>
  <w:style w:type="paragraph" w:customStyle="1" w:styleId="Head2">
    <w:name w:val="Head2"/>
    <w:basedOn w:val="Normal"/>
    <w:rsid w:val="00AC4FB9"/>
    <w:pPr>
      <w:keepNext/>
      <w:bidi w:val="0"/>
      <w:spacing w:before="120" w:after="120" w:line="240" w:lineRule="atLeast"/>
      <w:jc w:val="center"/>
    </w:pPr>
    <w:rPr>
      <w:rFonts w:ascii="Courier" w:eastAsia="Times New Roman" w:hAnsi="Courier" w:cs="Times New Roman"/>
      <w:kern w:val="0"/>
      <w:szCs w:val="20"/>
      <w:lang w:val="en-GB"/>
    </w:rPr>
  </w:style>
  <w:style w:type="paragraph" w:customStyle="1" w:styleId="HEAD-2lines">
    <w:name w:val="HEAD-2lines"/>
    <w:basedOn w:val="Heading2"/>
    <w:rsid w:val="00AC4FB9"/>
    <w:pPr>
      <w:tabs>
        <w:tab w:val="left" w:pos="475"/>
      </w:tabs>
      <w:bidi w:val="0"/>
      <w:spacing w:before="120" w:line="240" w:lineRule="exact"/>
      <w:ind w:left="1944" w:right="864" w:hanging="1080"/>
    </w:pPr>
    <w:rPr>
      <w:rFonts w:ascii="Courier" w:hAnsi="Courier"/>
      <w:iCs/>
      <w:kern w:val="0"/>
      <w:sz w:val="20"/>
      <w:szCs w:val="20"/>
      <w:lang w:val="en-GB"/>
    </w:rPr>
  </w:style>
  <w:style w:type="paragraph" w:customStyle="1" w:styleId="HEADING">
    <w:name w:val="HEADING"/>
    <w:basedOn w:val="Normal"/>
    <w:rsid w:val="00AC4FB9"/>
    <w:pPr>
      <w:keepNext/>
      <w:tabs>
        <w:tab w:val="left" w:pos="426"/>
      </w:tabs>
      <w:bidi w:val="0"/>
      <w:spacing w:before="120" w:after="120" w:line="240" w:lineRule="auto"/>
      <w:jc w:val="center"/>
    </w:pPr>
    <w:rPr>
      <w:rFonts w:ascii="Times New Roman Bold" w:eastAsia="Times New Roman" w:hAnsi="Times New Roman Bold" w:cs="Times New Roman"/>
      <w:b/>
      <w:bCs/>
      <w:caps/>
      <w:kern w:val="0"/>
      <w:sz w:val="22"/>
      <w:lang w:val="en-GB"/>
    </w:rPr>
  </w:style>
  <w:style w:type="paragraph" w:customStyle="1" w:styleId="Heading2-center">
    <w:name w:val="Heading 2-center"/>
    <w:basedOn w:val="Heading2"/>
    <w:rsid w:val="00AC4FB9"/>
    <w:pPr>
      <w:tabs>
        <w:tab w:val="left" w:pos="475"/>
        <w:tab w:val="left" w:pos="720"/>
        <w:tab w:val="num" w:pos="1004"/>
      </w:tabs>
      <w:bidi w:val="0"/>
      <w:spacing w:before="0" w:after="240" w:line="240" w:lineRule="exact"/>
      <w:ind w:left="1004" w:hanging="360"/>
    </w:pPr>
    <w:rPr>
      <w:rFonts w:ascii="Times New Roman" w:hAnsi="Times New Roman"/>
      <w:b w:val="0"/>
      <w:bCs w:val="0"/>
      <w:i/>
      <w:kern w:val="0"/>
      <w:sz w:val="22"/>
      <w:u w:val="single"/>
      <w:lang w:val="en-GB"/>
    </w:rPr>
  </w:style>
  <w:style w:type="paragraph" w:customStyle="1" w:styleId="Heading4indent">
    <w:name w:val="Heading 4 indent"/>
    <w:basedOn w:val="Heading4"/>
    <w:rsid w:val="00AC4FB9"/>
    <w:pPr>
      <w:bidi w:val="0"/>
      <w:spacing w:before="120" w:after="120" w:line="240" w:lineRule="auto"/>
      <w:ind w:left="720"/>
      <w:jc w:val="both"/>
    </w:pPr>
    <w:rPr>
      <w:rFonts w:ascii="Times New Roman" w:eastAsia="Arial Unicode MS" w:hAnsi="Times New Roman"/>
      <w:i/>
      <w:iCs/>
      <w:kern w:val="0"/>
      <w:sz w:val="22"/>
      <w:szCs w:val="24"/>
      <w:lang w:val="en-GB"/>
    </w:rPr>
  </w:style>
  <w:style w:type="paragraph" w:customStyle="1" w:styleId="para2">
    <w:name w:val="para2"/>
    <w:basedOn w:val="Normal"/>
    <w:rsid w:val="00AC4FB9"/>
    <w:pPr>
      <w:numPr>
        <w:ilvl w:val="3"/>
        <w:numId w:val="8"/>
      </w:numPr>
      <w:tabs>
        <w:tab w:val="clear" w:pos="2160"/>
      </w:tabs>
      <w:bidi w:val="0"/>
      <w:spacing w:before="120" w:after="120" w:line="240" w:lineRule="auto"/>
      <w:ind w:left="0" w:firstLine="0"/>
      <w:jc w:val="both"/>
    </w:pPr>
    <w:rPr>
      <w:rFonts w:eastAsia="Times New Roman" w:cs="Times New Roman"/>
      <w:kern w:val="0"/>
      <w:sz w:val="22"/>
      <w:szCs w:val="20"/>
      <w:lang w:val="en-GB"/>
    </w:rPr>
  </w:style>
  <w:style w:type="paragraph" w:customStyle="1" w:styleId="Para3">
    <w:name w:val="Para3"/>
    <w:basedOn w:val="Normal"/>
    <w:rsid w:val="00AC4FB9"/>
    <w:pPr>
      <w:numPr>
        <w:numId w:val="9"/>
      </w:numPr>
      <w:tabs>
        <w:tab w:val="clear" w:pos="360"/>
        <w:tab w:val="left" w:pos="1980"/>
      </w:tabs>
      <w:bidi w:val="0"/>
      <w:spacing w:before="80" w:after="80" w:line="240" w:lineRule="auto"/>
      <w:jc w:val="both"/>
    </w:pPr>
    <w:rPr>
      <w:rFonts w:eastAsia="Times New Roman" w:cs="Times New Roman"/>
      <w:kern w:val="0"/>
      <w:sz w:val="22"/>
      <w:szCs w:val="20"/>
      <w:lang w:val="en-GB"/>
    </w:rPr>
  </w:style>
  <w:style w:type="paragraph" w:customStyle="1" w:styleId="para4">
    <w:name w:val="para4"/>
    <w:basedOn w:val="Normal"/>
    <w:rsid w:val="00AC4FB9"/>
    <w:pPr>
      <w:tabs>
        <w:tab w:val="num" w:pos="2160"/>
      </w:tabs>
      <w:overflowPunct w:val="0"/>
      <w:autoSpaceDE w:val="0"/>
      <w:autoSpaceDN w:val="0"/>
      <w:bidi w:val="0"/>
      <w:adjustRightInd w:val="0"/>
      <w:spacing w:before="120" w:after="120" w:line="240" w:lineRule="atLeast"/>
      <w:ind w:left="2160" w:hanging="720"/>
      <w:jc w:val="both"/>
      <w:textAlignment w:val="baseline"/>
    </w:pPr>
    <w:rPr>
      <w:rFonts w:ascii="Courier" w:eastAsia="Times New Roman" w:hAnsi="Courier" w:cs="Times New Roman"/>
      <w:color w:val="000000"/>
      <w:kern w:val="0"/>
      <w:szCs w:val="20"/>
      <w:lang w:val="en-GB"/>
    </w:rPr>
  </w:style>
  <w:style w:type="paragraph" w:customStyle="1" w:styleId="Paranum">
    <w:name w:val="Paranum"/>
    <w:basedOn w:val="Para1"/>
    <w:rsid w:val="00AC4FB9"/>
    <w:pPr>
      <w:numPr>
        <w:numId w:val="0"/>
      </w:numPr>
      <w:tabs>
        <w:tab w:val="num" w:pos="360"/>
      </w:tabs>
      <w:spacing w:line="240" w:lineRule="exact"/>
    </w:pPr>
    <w:rPr>
      <w:rFonts w:eastAsia="Times New Roman"/>
      <w:snapToGrid/>
      <w:szCs w:val="20"/>
      <w:lang w:val="en-US"/>
    </w:rPr>
  </w:style>
  <w:style w:type="paragraph" w:styleId="PlainText">
    <w:name w:val="Plain Text"/>
    <w:basedOn w:val="Normal"/>
    <w:link w:val="PlainTextChar"/>
    <w:uiPriority w:val="99"/>
    <w:rsid w:val="00AC4FB9"/>
    <w:pPr>
      <w:bidi w:val="0"/>
      <w:spacing w:before="120" w:after="120" w:line="240" w:lineRule="auto"/>
      <w:jc w:val="both"/>
    </w:pPr>
    <w:rPr>
      <w:rFonts w:ascii="Courier New" w:eastAsia="Times New Roman" w:hAnsi="Courier New" w:cs="Times New Roman"/>
      <w:kern w:val="0"/>
      <w:szCs w:val="20"/>
      <w:lang w:val="en-GB"/>
    </w:rPr>
  </w:style>
  <w:style w:type="character" w:customStyle="1" w:styleId="PlainTextChar">
    <w:name w:val="Plain Text Char"/>
    <w:basedOn w:val="DefaultParagraphFont"/>
    <w:link w:val="PlainText"/>
    <w:uiPriority w:val="99"/>
    <w:rsid w:val="00AC4FB9"/>
    <w:rPr>
      <w:rFonts w:ascii="Courier New" w:hAnsi="Courier New"/>
      <w:lang w:val="en-GB" w:eastAsia="en-US"/>
    </w:rPr>
  </w:style>
  <w:style w:type="paragraph" w:styleId="BodyText3">
    <w:name w:val="Body Text 3"/>
    <w:basedOn w:val="Normal"/>
    <w:link w:val="BodyText3Char"/>
    <w:rsid w:val="00AC4FB9"/>
    <w:pPr>
      <w:bidi w:val="0"/>
      <w:spacing w:before="120" w:after="120" w:line="240" w:lineRule="auto"/>
      <w:jc w:val="both"/>
    </w:pPr>
    <w:rPr>
      <w:rFonts w:eastAsia="Times New Roman" w:cs="Times New Roman"/>
      <w:iCs/>
      <w:kern w:val="0"/>
      <w:sz w:val="22"/>
      <w:lang w:val="en-GB"/>
    </w:rPr>
  </w:style>
  <w:style w:type="character" w:customStyle="1" w:styleId="BodyText3Char">
    <w:name w:val="Body Text 3 Char"/>
    <w:basedOn w:val="DefaultParagraphFont"/>
    <w:link w:val="BodyText3"/>
    <w:rsid w:val="00AC4FB9"/>
    <w:rPr>
      <w:iCs/>
      <w:sz w:val="22"/>
      <w:szCs w:val="24"/>
      <w:lang w:val="en-GB" w:eastAsia="en-US"/>
    </w:rPr>
  </w:style>
  <w:style w:type="paragraph" w:styleId="NormalWeb">
    <w:name w:val="Normal (Web)"/>
    <w:basedOn w:val="Normal"/>
    <w:uiPriority w:val="99"/>
    <w:rsid w:val="00AC4FB9"/>
    <w:pPr>
      <w:bidi w:val="0"/>
      <w:spacing w:before="100" w:beforeAutospacing="1" w:after="100" w:afterAutospacing="1" w:line="240" w:lineRule="auto"/>
      <w:jc w:val="both"/>
    </w:pPr>
    <w:rPr>
      <w:rFonts w:ascii="Arial Unicode MS" w:eastAsia="Arial Unicode MS" w:hAnsi="Arial Unicode MS" w:cs="Arial Unicode MS"/>
      <w:color w:val="000000"/>
      <w:kern w:val="0"/>
      <w:sz w:val="22"/>
      <w:lang w:val="en-GB"/>
    </w:rPr>
  </w:style>
  <w:style w:type="paragraph" w:customStyle="1" w:styleId="BodyText21">
    <w:name w:val="Body Text 21"/>
    <w:basedOn w:val="Normal"/>
    <w:rsid w:val="00AC4FB9"/>
    <w:pPr>
      <w:numPr>
        <w:numId w:val="7"/>
      </w:numPr>
      <w:tabs>
        <w:tab w:val="clear" w:pos="1080"/>
      </w:tabs>
      <w:bidi w:val="0"/>
      <w:spacing w:before="120" w:after="120" w:line="240" w:lineRule="auto"/>
      <w:ind w:left="0" w:firstLine="0"/>
      <w:jc w:val="both"/>
    </w:pPr>
    <w:rPr>
      <w:rFonts w:eastAsia="Times New Roman" w:cs="Times New Roman"/>
      <w:kern w:val="0"/>
      <w:sz w:val="22"/>
      <w:szCs w:val="20"/>
      <w:lang w:val="en-GB"/>
    </w:rPr>
  </w:style>
  <w:style w:type="paragraph" w:customStyle="1" w:styleId="Heading-plainbold">
    <w:name w:val="Heading-plain bold"/>
    <w:basedOn w:val="BodyText"/>
    <w:rsid w:val="00AC4FB9"/>
    <w:pPr>
      <w:ind w:firstLine="0"/>
      <w:jc w:val="center"/>
    </w:pPr>
    <w:rPr>
      <w:b/>
      <w:bCs/>
      <w:i/>
      <w:iCs w:val="0"/>
    </w:rPr>
  </w:style>
  <w:style w:type="paragraph" w:customStyle="1" w:styleId="Para20">
    <w:name w:val="Para2"/>
    <w:basedOn w:val="BodyText"/>
    <w:rsid w:val="00AC4FB9"/>
    <w:pPr>
      <w:autoSpaceDE w:val="0"/>
      <w:autoSpaceDN w:val="0"/>
    </w:pPr>
  </w:style>
  <w:style w:type="paragraph" w:customStyle="1" w:styleId="Heading1multiline">
    <w:name w:val="Heading 1 (multiline)"/>
    <w:basedOn w:val="Heading1"/>
    <w:rsid w:val="00AC4FB9"/>
    <w:pPr>
      <w:tabs>
        <w:tab w:val="left" w:pos="720"/>
      </w:tabs>
      <w:bidi w:val="0"/>
      <w:spacing w:after="120" w:line="240" w:lineRule="auto"/>
      <w:ind w:left="1843" w:right="996" w:hanging="567"/>
      <w:jc w:val="left"/>
    </w:pPr>
    <w:rPr>
      <w:rFonts w:ascii="Times New Roman" w:hAnsi="Times New Roman"/>
      <w:bCs w:val="0"/>
      <w:caps/>
      <w:kern w:val="0"/>
      <w:sz w:val="22"/>
      <w:szCs w:val="24"/>
      <w:lang w:val="en-GB"/>
    </w:rPr>
  </w:style>
  <w:style w:type="paragraph" w:customStyle="1" w:styleId="Heading-plainitalic">
    <w:name w:val="Heading-plain italic"/>
    <w:basedOn w:val="Heading-plainbold"/>
    <w:rsid w:val="00AC4FB9"/>
    <w:rPr>
      <w:b w:val="0"/>
      <w:bCs w:val="0"/>
    </w:rPr>
  </w:style>
  <w:style w:type="character" w:customStyle="1" w:styleId="BalloonTextChar">
    <w:name w:val="Balloon Text Char"/>
    <w:link w:val="BalloonText"/>
    <w:uiPriority w:val="99"/>
    <w:semiHidden/>
    <w:rsid w:val="00AC4FB9"/>
    <w:rPr>
      <w:rFonts w:ascii="Tahoma" w:eastAsia="YouYuan" w:hAnsi="Tahoma" w:cs="Tahoma"/>
      <w:kern w:val="2"/>
      <w:sz w:val="16"/>
      <w:szCs w:val="16"/>
      <w:lang w:val="en-US" w:eastAsia="en-US"/>
    </w:rPr>
  </w:style>
  <w:style w:type="paragraph" w:styleId="BodyTextIndent3">
    <w:name w:val="Body Text Indent 3"/>
    <w:basedOn w:val="Normal"/>
    <w:link w:val="BodyTextIndent3Char"/>
    <w:rsid w:val="00AC4FB9"/>
    <w:pPr>
      <w:bidi w:val="0"/>
      <w:spacing w:before="120" w:after="120" w:line="240" w:lineRule="auto"/>
      <w:ind w:left="720" w:right="720"/>
      <w:jc w:val="both"/>
    </w:pPr>
    <w:rPr>
      <w:rFonts w:eastAsia="Times New Roman" w:cs="Times New Roman"/>
      <w:bCs/>
      <w:kern w:val="0"/>
      <w:sz w:val="22"/>
      <w:lang w:val="en-GB"/>
    </w:rPr>
  </w:style>
  <w:style w:type="character" w:customStyle="1" w:styleId="BodyTextIndent3Char">
    <w:name w:val="Body Text Indent 3 Char"/>
    <w:basedOn w:val="DefaultParagraphFont"/>
    <w:link w:val="BodyTextIndent3"/>
    <w:rsid w:val="00AC4FB9"/>
    <w:rPr>
      <w:bCs/>
      <w:sz w:val="22"/>
      <w:szCs w:val="24"/>
      <w:lang w:val="en-GB" w:eastAsia="en-US"/>
    </w:rPr>
  </w:style>
  <w:style w:type="paragraph" w:customStyle="1" w:styleId="bodytextnoindent">
    <w:name w:val="body text (no indent)"/>
    <w:basedOn w:val="Normal"/>
    <w:rsid w:val="00AC4FB9"/>
    <w:pPr>
      <w:bidi w:val="0"/>
      <w:spacing w:before="120" w:after="120" w:line="240" w:lineRule="auto"/>
      <w:jc w:val="both"/>
    </w:pPr>
    <w:rPr>
      <w:rFonts w:eastAsia="Times New Roman" w:cs="Times New Roman"/>
      <w:kern w:val="0"/>
      <w:sz w:val="22"/>
      <w:lang w:val="en-GB"/>
    </w:rPr>
  </w:style>
  <w:style w:type="paragraph" w:customStyle="1" w:styleId="Bodytextitalic">
    <w:name w:val="Body text italic"/>
    <w:basedOn w:val="BodyText"/>
    <w:rsid w:val="00AC4FB9"/>
    <w:rPr>
      <w:i/>
      <w:iCs w:val="0"/>
    </w:rPr>
  </w:style>
  <w:style w:type="character" w:customStyle="1" w:styleId="BulletList">
    <w:name w:val="Bullet List"/>
    <w:rsid w:val="00AC4FB9"/>
  </w:style>
  <w:style w:type="paragraph" w:customStyle="1" w:styleId="Diagram">
    <w:name w:val="Diagram"/>
    <w:basedOn w:val="Normal"/>
    <w:rsid w:val="00AC4FB9"/>
    <w:pPr>
      <w:bidi w:val="0"/>
      <w:spacing w:before="120" w:after="120" w:line="240" w:lineRule="auto"/>
      <w:jc w:val="both"/>
    </w:pPr>
    <w:rPr>
      <w:rFonts w:eastAsia="Times New Roman" w:cs="Times New Roman"/>
      <w:b/>
      <w:i/>
      <w:kern w:val="0"/>
      <w:sz w:val="22"/>
      <w:lang w:val="en-CA"/>
    </w:rPr>
  </w:style>
  <w:style w:type="character" w:customStyle="1" w:styleId="endnoterefe">
    <w:name w:val="endnote refe"/>
    <w:rsid w:val="00AC4FB9"/>
    <w:rPr>
      <w:rFonts w:ascii="Courier New" w:hAnsi="Courier New"/>
      <w:noProof w:val="0"/>
      <w:sz w:val="20"/>
      <w:vertAlign w:val="superscript"/>
      <w:lang w:val="en-US"/>
    </w:rPr>
  </w:style>
  <w:style w:type="character" w:styleId="FollowedHyperlink">
    <w:name w:val="FollowedHyperlink"/>
    <w:rsid w:val="00AC4FB9"/>
    <w:rPr>
      <w:color w:val="800080"/>
      <w:u w:val="single"/>
    </w:rPr>
  </w:style>
  <w:style w:type="paragraph" w:customStyle="1" w:styleId="FOOTNOTETEX">
    <w:name w:val="FOOTNOTE TEX"/>
    <w:rsid w:val="00AC4FB9"/>
    <w:pPr>
      <w:widowControl w:val="0"/>
      <w:tabs>
        <w:tab w:val="left" w:pos="-720"/>
      </w:tabs>
      <w:suppressAutoHyphens/>
    </w:pPr>
    <w:rPr>
      <w:lang w:val="en-US" w:eastAsia="en-US"/>
    </w:rPr>
  </w:style>
  <w:style w:type="paragraph" w:customStyle="1" w:styleId="Heading0">
    <w:name w:val="Heading"/>
    <w:basedOn w:val="Heading1"/>
    <w:next w:val="Normal"/>
    <w:rsid w:val="00AC4FB9"/>
    <w:pPr>
      <w:tabs>
        <w:tab w:val="left" w:pos="720"/>
      </w:tabs>
      <w:bidi w:val="0"/>
      <w:spacing w:after="120" w:line="240" w:lineRule="auto"/>
      <w:jc w:val="center"/>
    </w:pPr>
    <w:rPr>
      <w:rFonts w:ascii="Times New Roman" w:hAnsi="Times New Roman"/>
      <w:bCs w:val="0"/>
      <w:caps/>
      <w:kern w:val="0"/>
      <w:sz w:val="22"/>
      <w:szCs w:val="24"/>
      <w:lang w:val="en-GB"/>
    </w:rPr>
  </w:style>
  <w:style w:type="paragraph" w:customStyle="1" w:styleId="Heading-plain">
    <w:name w:val="Heading - plain"/>
    <w:basedOn w:val="Heading2"/>
    <w:next w:val="BodyText"/>
    <w:rsid w:val="00AC4FB9"/>
    <w:pPr>
      <w:numPr>
        <w:numId w:val="5"/>
      </w:numPr>
      <w:tabs>
        <w:tab w:val="left" w:pos="720"/>
      </w:tabs>
      <w:bidi w:val="0"/>
      <w:spacing w:before="120" w:line="240" w:lineRule="auto"/>
      <w:ind w:left="0" w:firstLine="0"/>
    </w:pPr>
    <w:rPr>
      <w:rFonts w:ascii="Times New Roman" w:hAnsi="Times New Roman"/>
      <w:b w:val="0"/>
      <w:bCs w:val="0"/>
      <w:i/>
      <w:kern w:val="0"/>
      <w:sz w:val="22"/>
      <w:lang w:val="en-GB"/>
    </w:rPr>
  </w:style>
  <w:style w:type="paragraph" w:customStyle="1" w:styleId="HEADINGNOTFORTOC">
    <w:name w:val="HEADING (NOT FOR TOC)"/>
    <w:basedOn w:val="Heading1"/>
    <w:next w:val="Heading2"/>
    <w:rsid w:val="00AC4FB9"/>
    <w:pPr>
      <w:tabs>
        <w:tab w:val="left" w:pos="720"/>
      </w:tabs>
      <w:bidi w:val="0"/>
      <w:spacing w:after="120" w:line="240" w:lineRule="auto"/>
      <w:jc w:val="center"/>
    </w:pPr>
    <w:rPr>
      <w:rFonts w:ascii="Times New Roman" w:hAnsi="Times New Roman"/>
      <w:kern w:val="0"/>
      <w:sz w:val="22"/>
      <w:szCs w:val="24"/>
      <w:lang w:val="en-GB"/>
    </w:rPr>
  </w:style>
  <w:style w:type="paragraph" w:customStyle="1" w:styleId="Heading1centred">
    <w:name w:val="Heading 1 (centred)"/>
    <w:basedOn w:val="Heading1"/>
    <w:next w:val="Para1"/>
    <w:rsid w:val="00AC4FB9"/>
    <w:pPr>
      <w:tabs>
        <w:tab w:val="left" w:pos="720"/>
      </w:tabs>
      <w:bidi w:val="0"/>
      <w:spacing w:after="120" w:line="240" w:lineRule="auto"/>
      <w:ind w:right="403"/>
      <w:jc w:val="center"/>
    </w:pPr>
    <w:rPr>
      <w:rFonts w:ascii="Times New Roman" w:hAnsi="Times New Roman"/>
      <w:bCs w:val="0"/>
      <w:caps/>
      <w:kern w:val="0"/>
      <w:sz w:val="22"/>
      <w:szCs w:val="24"/>
      <w:lang w:val="en-GB"/>
    </w:rPr>
  </w:style>
  <w:style w:type="paragraph" w:customStyle="1" w:styleId="Heading1longmultiline">
    <w:name w:val="Heading 1 (long multiline)"/>
    <w:basedOn w:val="Heading1"/>
    <w:rsid w:val="00AC4FB9"/>
    <w:pPr>
      <w:tabs>
        <w:tab w:val="left" w:pos="720"/>
      </w:tabs>
      <w:bidi w:val="0"/>
      <w:spacing w:after="120" w:line="240" w:lineRule="auto"/>
      <w:ind w:left="1843" w:hanging="1134"/>
      <w:jc w:val="left"/>
    </w:pPr>
    <w:rPr>
      <w:rFonts w:ascii="Times New Roman" w:hAnsi="Times New Roman"/>
      <w:bCs w:val="0"/>
      <w:caps/>
      <w:kern w:val="0"/>
      <w:sz w:val="22"/>
      <w:szCs w:val="24"/>
      <w:lang w:val="en-GB"/>
    </w:rPr>
  </w:style>
  <w:style w:type="paragraph" w:customStyle="1" w:styleId="Heading2-lines">
    <w:name w:val="Heading 2 - lines"/>
    <w:basedOn w:val="Normal"/>
    <w:next w:val="Para1"/>
    <w:rsid w:val="00AC4FB9"/>
    <w:pPr>
      <w:keepNext/>
      <w:bidi w:val="0"/>
      <w:spacing w:before="240" w:after="60" w:line="240" w:lineRule="auto"/>
      <w:ind w:left="1418" w:right="713" w:hanging="709"/>
      <w:jc w:val="center"/>
    </w:pPr>
    <w:rPr>
      <w:rFonts w:eastAsia="Times New Roman" w:cs="Times New Roman"/>
      <w:b/>
      <w:bCs/>
      <w:kern w:val="0"/>
      <w:sz w:val="22"/>
      <w:szCs w:val="28"/>
      <w:lang w:val="en-GB"/>
    </w:rPr>
  </w:style>
  <w:style w:type="paragraph" w:customStyle="1" w:styleId="Heading2-oneline">
    <w:name w:val="Heading 2 - one line"/>
    <w:basedOn w:val="Normal"/>
    <w:rsid w:val="00AC4FB9"/>
    <w:pPr>
      <w:keepNext/>
      <w:keepLines/>
      <w:bidi w:val="0"/>
      <w:spacing w:before="120" w:after="120" w:line="240" w:lineRule="auto"/>
      <w:ind w:right="6"/>
      <w:jc w:val="center"/>
    </w:pPr>
    <w:rPr>
      <w:rFonts w:eastAsia="Times New Roman" w:cs="Times New Roman"/>
      <w:i/>
      <w:kern w:val="0"/>
      <w:sz w:val="22"/>
      <w:lang w:val="en-GB"/>
    </w:rPr>
  </w:style>
  <w:style w:type="paragraph" w:customStyle="1" w:styleId="Heading2GTI">
    <w:name w:val="Heading 2 (GTI)"/>
    <w:basedOn w:val="Heading5"/>
    <w:rsid w:val="00AC4FB9"/>
    <w:pPr>
      <w:numPr>
        <w:ilvl w:val="4"/>
      </w:numPr>
      <w:tabs>
        <w:tab w:val="num" w:pos="720"/>
      </w:tabs>
      <w:bidi w:val="0"/>
      <w:ind w:left="720" w:hanging="720"/>
      <w:jc w:val="both"/>
    </w:pPr>
    <w:rPr>
      <w:rFonts w:ascii="Times New Roman" w:eastAsia="Times New Roman" w:hAnsi="Times New Roman" w:cs="Times New Roman"/>
      <w:b w:val="0"/>
      <w:i/>
      <w:spacing w:val="0"/>
      <w:szCs w:val="26"/>
      <w:lang w:val="en-CA" w:eastAsia="en-US"/>
    </w:rPr>
  </w:style>
  <w:style w:type="paragraph" w:customStyle="1" w:styleId="Heading2multiline">
    <w:name w:val="Heading 2 (multiline)"/>
    <w:basedOn w:val="Heading1"/>
    <w:next w:val="Para1"/>
    <w:rsid w:val="00AC4FB9"/>
    <w:pPr>
      <w:tabs>
        <w:tab w:val="left" w:pos="720"/>
      </w:tabs>
      <w:bidi w:val="0"/>
      <w:spacing w:before="120" w:after="120" w:line="240" w:lineRule="auto"/>
      <w:ind w:left="1843" w:right="998" w:hanging="567"/>
      <w:jc w:val="left"/>
    </w:pPr>
    <w:rPr>
      <w:rFonts w:ascii="Times New Roman" w:hAnsi="Times New Roman"/>
      <w:bCs w:val="0"/>
      <w:i/>
      <w:iCs/>
      <w:kern w:val="0"/>
      <w:sz w:val="22"/>
      <w:szCs w:val="24"/>
      <w:lang w:val="en-GB"/>
    </w:rPr>
  </w:style>
  <w:style w:type="paragraph" w:customStyle="1" w:styleId="Heading2longmultiline">
    <w:name w:val="Heading 2 (long multiline)"/>
    <w:basedOn w:val="Heading2multiline"/>
    <w:rsid w:val="00AC4FB9"/>
    <w:pPr>
      <w:ind w:left="2127" w:hanging="1276"/>
    </w:pPr>
  </w:style>
  <w:style w:type="paragraph" w:customStyle="1" w:styleId="Heading3multiline">
    <w:name w:val="Heading 3 (multiline)"/>
    <w:basedOn w:val="Heading3"/>
    <w:next w:val="Para1"/>
    <w:rsid w:val="00AC4FB9"/>
    <w:pPr>
      <w:tabs>
        <w:tab w:val="left" w:pos="567"/>
      </w:tabs>
      <w:bidi w:val="0"/>
      <w:spacing w:before="120" w:line="240" w:lineRule="auto"/>
      <w:ind w:left="1418" w:hanging="425"/>
      <w:jc w:val="left"/>
    </w:pPr>
    <w:rPr>
      <w:i/>
      <w:iCs/>
      <w:kern w:val="0"/>
      <w:sz w:val="22"/>
      <w:lang w:val="en-GB"/>
    </w:rPr>
  </w:style>
  <w:style w:type="paragraph" w:customStyle="1" w:styleId="headingdecisionsectionmultiline">
    <w:name w:val="heading decision section multiline"/>
    <w:basedOn w:val="Heading-plain"/>
    <w:rsid w:val="00AC4FB9"/>
    <w:pPr>
      <w:numPr>
        <w:numId w:val="6"/>
      </w:numPr>
      <w:tabs>
        <w:tab w:val="left" w:pos="720"/>
      </w:tabs>
      <w:ind w:left="1724" w:right="720" w:hanging="284"/>
      <w:jc w:val="left"/>
    </w:pPr>
  </w:style>
  <w:style w:type="paragraph" w:customStyle="1" w:styleId="headingdecisionsectiononeline">
    <w:name w:val="heading decision section one line"/>
    <w:basedOn w:val="Heading-plain"/>
    <w:rsid w:val="00AC4FB9"/>
  </w:style>
  <w:style w:type="paragraph" w:customStyle="1" w:styleId="Heading40">
    <w:name w:val="Heading4"/>
    <w:basedOn w:val="Normal"/>
    <w:rsid w:val="00AC4FB9"/>
    <w:pPr>
      <w:tabs>
        <w:tab w:val="num" w:pos="720"/>
      </w:tabs>
      <w:bidi w:val="0"/>
      <w:spacing w:before="120" w:after="120" w:line="240" w:lineRule="auto"/>
      <w:ind w:left="720" w:hanging="720"/>
      <w:jc w:val="both"/>
    </w:pPr>
    <w:rPr>
      <w:rFonts w:eastAsia="Times New Roman" w:cs="Times New Roman"/>
      <w:b/>
      <w:i/>
      <w:iCs/>
      <w:kern w:val="0"/>
      <w:sz w:val="22"/>
      <w:lang w:val="en-GB"/>
    </w:rPr>
  </w:style>
  <w:style w:type="paragraph" w:customStyle="1" w:styleId="Heading-plain0">
    <w:name w:val="Heading-plain"/>
    <w:basedOn w:val="Normal"/>
    <w:rsid w:val="00AC4FB9"/>
    <w:pPr>
      <w:bidi w:val="0"/>
      <w:spacing w:before="120" w:after="120" w:line="240" w:lineRule="auto"/>
      <w:jc w:val="center"/>
      <w:outlineLvl w:val="0"/>
    </w:pPr>
    <w:rPr>
      <w:rFonts w:eastAsia="Times New Roman" w:cs="Times New Roman"/>
      <w:i/>
      <w:iCs/>
      <w:kern w:val="0"/>
      <w:sz w:val="22"/>
      <w:lang w:val="en-GB"/>
    </w:rPr>
  </w:style>
  <w:style w:type="character" w:customStyle="1" w:styleId="Hyperlink1">
    <w:name w:val="Hyperlink1"/>
    <w:rsid w:val="00AC4FB9"/>
  </w:style>
  <w:style w:type="paragraph" w:styleId="List2">
    <w:name w:val="List 2"/>
    <w:basedOn w:val="Normal"/>
    <w:rsid w:val="00AC4FB9"/>
    <w:pPr>
      <w:bidi w:val="0"/>
      <w:spacing w:before="60" w:after="60" w:line="240" w:lineRule="auto"/>
      <w:ind w:left="714" w:hanging="357"/>
      <w:jc w:val="both"/>
    </w:pPr>
    <w:rPr>
      <w:rFonts w:eastAsia="Times New Roman" w:cs="Times New Roman"/>
      <w:kern w:val="0"/>
      <w:sz w:val="22"/>
      <w:lang w:val="en-GB"/>
    </w:rPr>
  </w:style>
  <w:style w:type="paragraph" w:styleId="List3">
    <w:name w:val="List 3"/>
    <w:basedOn w:val="Normal"/>
    <w:rsid w:val="00AC4FB9"/>
    <w:pPr>
      <w:bidi w:val="0"/>
      <w:spacing w:before="60" w:after="60" w:line="240" w:lineRule="auto"/>
      <w:ind w:left="1077" w:hanging="357"/>
      <w:jc w:val="both"/>
    </w:pPr>
    <w:rPr>
      <w:rFonts w:ascii="Courier" w:eastAsia="Times New Roman" w:hAnsi="Courier" w:cs="Times New Roman"/>
      <w:kern w:val="0"/>
      <w:lang w:val="en-GB"/>
    </w:rPr>
  </w:style>
  <w:style w:type="paragraph" w:customStyle="1" w:styleId="Para1alternative">
    <w:name w:val="Para1 (alternative)"/>
    <w:basedOn w:val="Normal"/>
    <w:rsid w:val="00AC4FB9"/>
    <w:pPr>
      <w:bidi w:val="0"/>
      <w:spacing w:before="240" w:after="120" w:line="240" w:lineRule="auto"/>
      <w:jc w:val="both"/>
    </w:pPr>
    <w:rPr>
      <w:rFonts w:eastAsia="MS Mincho" w:cs="Times New Roman"/>
      <w:snapToGrid w:val="0"/>
      <w:kern w:val="0"/>
      <w:sz w:val="22"/>
      <w:szCs w:val="18"/>
      <w:lang w:val="en-GB"/>
    </w:rPr>
  </w:style>
  <w:style w:type="paragraph" w:customStyle="1" w:styleId="Para-decision">
    <w:name w:val="Para-decision"/>
    <w:basedOn w:val="Normal"/>
    <w:rsid w:val="00AC4FB9"/>
    <w:pPr>
      <w:tabs>
        <w:tab w:val="left" w:pos="-1440"/>
        <w:tab w:val="left" w:pos="-720"/>
        <w:tab w:val="left" w:pos="0"/>
        <w:tab w:val="left" w:pos="720"/>
        <w:tab w:val="left" w:pos="1440"/>
      </w:tabs>
      <w:suppressAutoHyphens/>
      <w:overflowPunct w:val="0"/>
      <w:autoSpaceDE w:val="0"/>
      <w:autoSpaceDN w:val="0"/>
      <w:bidi w:val="0"/>
      <w:adjustRightInd w:val="0"/>
      <w:spacing w:before="120" w:after="240" w:line="240" w:lineRule="exact"/>
      <w:ind w:firstLine="720"/>
      <w:jc w:val="left"/>
      <w:textAlignment w:val="baseline"/>
    </w:pPr>
    <w:rPr>
      <w:rFonts w:ascii="Courier" w:eastAsia="Times New Roman" w:hAnsi="Courier" w:cs="Times New Roman"/>
      <w:color w:val="000000"/>
      <w:kern w:val="0"/>
      <w:szCs w:val="20"/>
      <w:lang w:val="en-GB"/>
    </w:rPr>
  </w:style>
  <w:style w:type="character" w:customStyle="1" w:styleId="PersonalComposeStyle">
    <w:name w:val="Personal Compose Style"/>
    <w:rsid w:val="00AC4FB9"/>
    <w:rPr>
      <w:rFonts w:ascii="Arial" w:hAnsi="Arial" w:cs="Arial"/>
      <w:color w:val="auto"/>
      <w:sz w:val="20"/>
    </w:rPr>
  </w:style>
  <w:style w:type="character" w:customStyle="1" w:styleId="PersonalReplyStyle">
    <w:name w:val="Personal Reply Style"/>
    <w:rsid w:val="00AC4FB9"/>
    <w:rPr>
      <w:rFonts w:ascii="Arial" w:hAnsi="Arial" w:cs="Arial"/>
      <w:color w:val="auto"/>
      <w:sz w:val="20"/>
    </w:rPr>
  </w:style>
  <w:style w:type="paragraph" w:customStyle="1" w:styleId="Style1">
    <w:name w:val="Style1"/>
    <w:basedOn w:val="BodyText2"/>
    <w:qFormat/>
    <w:rsid w:val="00AC4FB9"/>
    <w:pPr>
      <w:numPr>
        <w:ilvl w:val="1"/>
        <w:numId w:val="10"/>
      </w:numPr>
      <w:spacing w:before="120" w:line="240" w:lineRule="auto"/>
    </w:pPr>
    <w:rPr>
      <w:rFonts w:eastAsia="Times New Roman"/>
      <w:szCs w:val="20"/>
    </w:rPr>
  </w:style>
  <w:style w:type="paragraph" w:customStyle="1" w:styleId="subhead">
    <w:name w:val="subhead"/>
    <w:basedOn w:val="Normal"/>
    <w:next w:val="Para1"/>
    <w:rsid w:val="00AC4FB9"/>
    <w:pPr>
      <w:bidi w:val="0"/>
      <w:spacing w:before="120" w:after="120" w:line="240" w:lineRule="auto"/>
      <w:jc w:val="center"/>
    </w:pPr>
    <w:rPr>
      <w:rFonts w:eastAsia="Times New Roman" w:cs="Times New Roman"/>
      <w:i/>
      <w:kern w:val="0"/>
      <w:sz w:val="22"/>
      <w:szCs w:val="20"/>
      <w:lang w:val="en-GB"/>
    </w:rPr>
  </w:style>
  <w:style w:type="paragraph" w:customStyle="1" w:styleId="Subhead1">
    <w:name w:val="Subhead1"/>
    <w:basedOn w:val="Normal"/>
    <w:rsid w:val="00AC4FB9"/>
    <w:pPr>
      <w:tabs>
        <w:tab w:val="left" w:pos="-1440"/>
        <w:tab w:val="left" w:pos="-720"/>
        <w:tab w:val="left" w:pos="0"/>
        <w:tab w:val="left" w:pos="1440"/>
        <w:tab w:val="right" w:leader="dot" w:pos="6293"/>
        <w:tab w:val="left" w:pos="6480"/>
        <w:tab w:val="left" w:pos="6703"/>
        <w:tab w:val="left" w:pos="8640"/>
      </w:tabs>
      <w:suppressAutoHyphens/>
      <w:overflowPunct w:val="0"/>
      <w:autoSpaceDE w:val="0"/>
      <w:autoSpaceDN w:val="0"/>
      <w:bidi w:val="0"/>
      <w:adjustRightInd w:val="0"/>
      <w:spacing w:before="120" w:after="240" w:line="240" w:lineRule="exact"/>
      <w:ind w:left="1355" w:right="607" w:hanging="720"/>
      <w:jc w:val="left"/>
      <w:textAlignment w:val="baseline"/>
    </w:pPr>
    <w:rPr>
      <w:rFonts w:ascii="Courier" w:eastAsia="Times New Roman" w:hAnsi="Courier" w:cs="Times New Roman"/>
      <w:kern w:val="0"/>
      <w:szCs w:val="20"/>
      <w:lang w:val="en-GB"/>
    </w:rPr>
  </w:style>
  <w:style w:type="paragraph" w:styleId="Subtitle">
    <w:name w:val="Subtitle"/>
    <w:basedOn w:val="Normal"/>
    <w:link w:val="SubtitleChar"/>
    <w:uiPriority w:val="11"/>
    <w:qFormat/>
    <w:rsid w:val="00AC4FB9"/>
    <w:pPr>
      <w:tabs>
        <w:tab w:val="center" w:pos="9214"/>
      </w:tabs>
      <w:bidi w:val="0"/>
      <w:spacing w:before="120" w:after="120" w:line="240" w:lineRule="auto"/>
      <w:jc w:val="both"/>
    </w:pPr>
    <w:rPr>
      <w:rFonts w:eastAsia="Times New Roman" w:cs="Times New Roman"/>
      <w:i/>
      <w:iCs/>
      <w:kern w:val="0"/>
      <w:sz w:val="22"/>
      <w:szCs w:val="20"/>
      <w:lang w:val="en-GB"/>
    </w:rPr>
  </w:style>
  <w:style w:type="character" w:customStyle="1" w:styleId="SubtitleChar">
    <w:name w:val="Subtitle Char"/>
    <w:basedOn w:val="DefaultParagraphFont"/>
    <w:link w:val="Subtitle"/>
    <w:uiPriority w:val="11"/>
    <w:rsid w:val="00AC4FB9"/>
    <w:rPr>
      <w:i/>
      <w:iCs/>
      <w:sz w:val="22"/>
      <w:lang w:val="en-GB" w:eastAsia="en-US"/>
    </w:rPr>
  </w:style>
  <w:style w:type="paragraph" w:customStyle="1" w:styleId="Title-secondary">
    <w:name w:val="Title - secondary"/>
    <w:basedOn w:val="Title"/>
    <w:next w:val="Heading2"/>
    <w:rsid w:val="00AC4FB9"/>
    <w:pPr>
      <w:spacing w:before="120"/>
    </w:pPr>
    <w:rPr>
      <w:caps w:val="0"/>
    </w:rPr>
  </w:style>
  <w:style w:type="paragraph" w:customStyle="1" w:styleId="Title-body">
    <w:name w:val="Title-body"/>
    <w:basedOn w:val="Normal"/>
    <w:rsid w:val="00AC4FB9"/>
    <w:pPr>
      <w:tabs>
        <w:tab w:val="right" w:pos="6095"/>
      </w:tabs>
      <w:bidi w:val="0"/>
      <w:spacing w:before="120" w:after="120" w:line="240" w:lineRule="auto"/>
      <w:jc w:val="center"/>
    </w:pPr>
    <w:rPr>
      <w:rFonts w:eastAsia="Times New Roman" w:cs="Times New Roman"/>
      <w:smallCaps/>
      <w:kern w:val="0"/>
      <w:sz w:val="22"/>
      <w:lang w:val="en-GB"/>
    </w:rPr>
  </w:style>
  <w:style w:type="character" w:customStyle="1" w:styleId="underline">
    <w:name w:val="underline"/>
    <w:rsid w:val="00AC4FB9"/>
    <w:rPr>
      <w:rFonts w:ascii="Courier" w:hAnsi="Courier"/>
      <w:sz w:val="20"/>
      <w:u w:val="single"/>
    </w:rPr>
  </w:style>
  <w:style w:type="paragraph" w:customStyle="1" w:styleId="xl27">
    <w:name w:val="xl27"/>
    <w:basedOn w:val="Normal"/>
    <w:rsid w:val="00AC4FB9"/>
    <w:pPr>
      <w:pBdr>
        <w:left w:val="single" w:sz="8" w:space="0" w:color="auto"/>
      </w:pBdr>
      <w:bidi w:val="0"/>
      <w:spacing w:before="100" w:beforeAutospacing="1" w:after="100" w:afterAutospacing="1" w:line="240" w:lineRule="auto"/>
      <w:jc w:val="left"/>
    </w:pPr>
    <w:rPr>
      <w:rFonts w:eastAsia="Arial Unicode MS" w:cs="Times New Roman"/>
      <w:b/>
      <w:bCs/>
      <w:kern w:val="0"/>
      <w:sz w:val="22"/>
      <w:szCs w:val="22"/>
    </w:rPr>
  </w:style>
  <w:style w:type="paragraph" w:customStyle="1" w:styleId="recordinput">
    <w:name w:val="recordinput"/>
    <w:basedOn w:val="Normal"/>
    <w:rsid w:val="00AC4FB9"/>
    <w:pPr>
      <w:bidi w:val="0"/>
      <w:spacing w:before="100" w:beforeAutospacing="1" w:after="100" w:afterAutospacing="1" w:line="240" w:lineRule="auto"/>
      <w:jc w:val="left"/>
    </w:pPr>
    <w:rPr>
      <w:rFonts w:ascii="Verdana" w:eastAsia="Arial Unicode MS" w:hAnsi="Verdana" w:cs="Arial Unicode MS"/>
      <w:kern w:val="0"/>
      <w:sz w:val="16"/>
      <w:szCs w:val="16"/>
    </w:rPr>
  </w:style>
  <w:style w:type="paragraph" w:customStyle="1" w:styleId="recordlabel">
    <w:name w:val="recordlabel"/>
    <w:basedOn w:val="Normal"/>
    <w:rsid w:val="00AC4FB9"/>
    <w:pPr>
      <w:pBdr>
        <w:bottom w:val="single" w:sz="6" w:space="0" w:color="FFFFFF"/>
      </w:pBdr>
      <w:bidi w:val="0"/>
      <w:spacing w:before="100" w:beforeAutospacing="1" w:after="100" w:afterAutospacing="1" w:line="240" w:lineRule="auto"/>
      <w:jc w:val="left"/>
      <w:textAlignment w:val="top"/>
    </w:pPr>
    <w:rPr>
      <w:rFonts w:ascii="Verdana" w:eastAsia="Arial Unicode MS" w:hAnsi="Verdana" w:cs="Arial Unicode MS"/>
      <w:b/>
      <w:bCs/>
      <w:color w:val="000000"/>
      <w:kern w:val="0"/>
      <w:sz w:val="16"/>
      <w:szCs w:val="16"/>
    </w:rPr>
  </w:style>
  <w:style w:type="paragraph" w:customStyle="1" w:styleId="recorddata">
    <w:name w:val="recorddata"/>
    <w:basedOn w:val="Normal"/>
    <w:rsid w:val="00AC4FB9"/>
    <w:pPr>
      <w:pBdr>
        <w:bottom w:val="single" w:sz="6" w:space="0" w:color="FFFFFF"/>
      </w:pBdr>
      <w:bidi w:val="0"/>
      <w:spacing w:before="100" w:beforeAutospacing="1" w:after="100" w:afterAutospacing="1" w:line="240" w:lineRule="auto"/>
      <w:jc w:val="left"/>
      <w:textAlignment w:val="top"/>
    </w:pPr>
    <w:rPr>
      <w:rFonts w:ascii="Verdana" w:eastAsia="Arial Unicode MS" w:hAnsi="Verdana" w:cs="Arial Unicode MS"/>
      <w:kern w:val="0"/>
      <w:sz w:val="16"/>
      <w:szCs w:val="16"/>
    </w:rPr>
  </w:style>
  <w:style w:type="paragraph" w:customStyle="1" w:styleId="recordinfo">
    <w:name w:val="recordinfo"/>
    <w:basedOn w:val="Normal"/>
    <w:rsid w:val="00AC4FB9"/>
    <w:pPr>
      <w:bidi w:val="0"/>
      <w:spacing w:before="100" w:beforeAutospacing="1" w:after="100" w:afterAutospacing="1" w:line="240" w:lineRule="auto"/>
      <w:jc w:val="left"/>
    </w:pPr>
    <w:rPr>
      <w:rFonts w:ascii="Verdana" w:eastAsia="Arial Unicode MS" w:hAnsi="Verdana" w:cs="Arial Unicode MS"/>
      <w:kern w:val="0"/>
      <w:sz w:val="16"/>
      <w:szCs w:val="16"/>
    </w:rPr>
  </w:style>
  <w:style w:type="paragraph" w:customStyle="1" w:styleId="recordhilite">
    <w:name w:val="recordhilite"/>
    <w:basedOn w:val="Normal"/>
    <w:rsid w:val="00AC4FB9"/>
    <w:pPr>
      <w:shd w:val="clear" w:color="auto" w:fill="DDDDDD"/>
      <w:bidi w:val="0"/>
      <w:spacing w:before="100" w:beforeAutospacing="1" w:after="100" w:afterAutospacing="1" w:line="240" w:lineRule="auto"/>
      <w:jc w:val="left"/>
    </w:pPr>
    <w:rPr>
      <w:rFonts w:ascii="Verdana" w:eastAsia="Arial Unicode MS" w:hAnsi="Verdana" w:cs="Arial Unicode MS"/>
      <w:b/>
      <w:bCs/>
      <w:kern w:val="0"/>
      <w:sz w:val="16"/>
      <w:szCs w:val="16"/>
    </w:rPr>
  </w:style>
  <w:style w:type="paragraph" w:customStyle="1" w:styleId="recordlabel2">
    <w:name w:val="recordlabel2"/>
    <w:basedOn w:val="Normal"/>
    <w:rsid w:val="00AC4FB9"/>
    <w:pPr>
      <w:pBdr>
        <w:bottom w:val="single" w:sz="6" w:space="0" w:color="FFFFFF"/>
      </w:pBdr>
      <w:shd w:val="clear" w:color="auto" w:fill="CECF9C"/>
      <w:bidi w:val="0"/>
      <w:spacing w:before="100" w:beforeAutospacing="1" w:after="100" w:afterAutospacing="1" w:line="240" w:lineRule="auto"/>
      <w:jc w:val="left"/>
    </w:pPr>
    <w:rPr>
      <w:rFonts w:ascii="Verdana" w:eastAsia="Arial Unicode MS" w:hAnsi="Verdana" w:cs="Arial Unicode MS"/>
      <w:b/>
      <w:bCs/>
      <w:color w:val="000000"/>
      <w:kern w:val="0"/>
      <w:sz w:val="16"/>
      <w:szCs w:val="16"/>
    </w:rPr>
  </w:style>
  <w:style w:type="paragraph" w:customStyle="1" w:styleId="recorddata2">
    <w:name w:val="recorddata2"/>
    <w:basedOn w:val="Normal"/>
    <w:rsid w:val="00AC4FB9"/>
    <w:pPr>
      <w:pBdr>
        <w:bottom w:val="single" w:sz="6" w:space="0" w:color="FFFFFF"/>
      </w:pBdr>
      <w:shd w:val="clear" w:color="auto" w:fill="F0F0F0"/>
      <w:bidi w:val="0"/>
      <w:spacing w:before="100" w:beforeAutospacing="1" w:after="100" w:afterAutospacing="1" w:line="240" w:lineRule="auto"/>
      <w:jc w:val="left"/>
    </w:pPr>
    <w:rPr>
      <w:rFonts w:ascii="Verdana" w:eastAsia="Arial Unicode MS" w:hAnsi="Verdana" w:cs="Arial Unicode MS"/>
      <w:kern w:val="0"/>
      <w:sz w:val="16"/>
      <w:szCs w:val="16"/>
    </w:rPr>
  </w:style>
  <w:style w:type="paragraph" w:customStyle="1" w:styleId="recordsectionbox">
    <w:name w:val="recordsectionbox"/>
    <w:basedOn w:val="Normal"/>
    <w:rsid w:val="00AC4FB9"/>
    <w:pPr>
      <w:shd w:val="clear" w:color="auto" w:fill="EFEFDF"/>
      <w:bidi w:val="0"/>
      <w:spacing w:before="100" w:beforeAutospacing="1" w:after="100" w:afterAutospacing="1" w:line="240" w:lineRule="auto"/>
      <w:jc w:val="left"/>
    </w:pPr>
    <w:rPr>
      <w:rFonts w:ascii="Verdana" w:eastAsia="Arial Unicode MS" w:hAnsi="Verdana" w:cs="Arial Unicode MS"/>
      <w:b/>
      <w:bCs/>
      <w:color w:val="000000"/>
      <w:kern w:val="0"/>
      <w:sz w:val="18"/>
      <w:szCs w:val="18"/>
    </w:rPr>
  </w:style>
  <w:style w:type="paragraph" w:customStyle="1" w:styleId="recordsectionsepbox">
    <w:name w:val="recordsectionsepbox"/>
    <w:basedOn w:val="Normal"/>
    <w:rsid w:val="00AC4FB9"/>
    <w:pPr>
      <w:shd w:val="clear" w:color="auto" w:fill="EFEFDF"/>
      <w:bidi w:val="0"/>
      <w:spacing w:before="100" w:beforeAutospacing="1" w:after="100" w:afterAutospacing="1" w:line="240" w:lineRule="auto"/>
      <w:jc w:val="left"/>
    </w:pPr>
    <w:rPr>
      <w:rFonts w:ascii="Arial Unicode MS" w:eastAsia="Arial Unicode MS" w:hAnsi="Arial Unicode MS" w:cs="Arial Unicode MS"/>
      <w:kern w:val="0"/>
      <w:sz w:val="24"/>
    </w:rPr>
  </w:style>
  <w:style w:type="paragraph" w:customStyle="1" w:styleId="recordinputbox">
    <w:name w:val="recordinputbox"/>
    <w:basedOn w:val="Normal"/>
    <w:rsid w:val="00AC4FB9"/>
    <w:pPr>
      <w:bidi w:val="0"/>
      <w:spacing w:before="100" w:beforeAutospacing="1" w:after="100" w:afterAutospacing="1" w:line="240" w:lineRule="auto"/>
      <w:jc w:val="left"/>
    </w:pPr>
    <w:rPr>
      <w:rFonts w:ascii="Verdana" w:eastAsia="Arial Unicode MS" w:hAnsi="Verdana" w:cs="Arial Unicode MS"/>
      <w:kern w:val="0"/>
      <w:sz w:val="16"/>
      <w:szCs w:val="16"/>
    </w:rPr>
  </w:style>
  <w:style w:type="paragraph" w:customStyle="1" w:styleId="recordlabelbox">
    <w:name w:val="recordlabelbox"/>
    <w:basedOn w:val="Normal"/>
    <w:rsid w:val="00AC4FB9"/>
    <w:pPr>
      <w:shd w:val="clear" w:color="auto" w:fill="EFEFDF"/>
      <w:bidi w:val="0"/>
      <w:spacing w:before="100" w:beforeAutospacing="1" w:after="100" w:afterAutospacing="1" w:line="240" w:lineRule="auto"/>
      <w:jc w:val="left"/>
    </w:pPr>
    <w:rPr>
      <w:rFonts w:ascii="Verdana" w:eastAsia="Arial Unicode MS" w:hAnsi="Verdana" w:cs="Arial Unicode MS"/>
      <w:kern w:val="0"/>
      <w:sz w:val="16"/>
      <w:szCs w:val="16"/>
    </w:rPr>
  </w:style>
  <w:style w:type="paragraph" w:customStyle="1" w:styleId="recorddatabox">
    <w:name w:val="recorddatabox"/>
    <w:basedOn w:val="Normal"/>
    <w:rsid w:val="00AC4FB9"/>
    <w:pPr>
      <w:shd w:val="clear" w:color="auto" w:fill="EFEFDF"/>
      <w:bidi w:val="0"/>
      <w:spacing w:before="100" w:beforeAutospacing="1" w:after="100" w:afterAutospacing="1" w:line="240" w:lineRule="auto"/>
      <w:jc w:val="left"/>
    </w:pPr>
    <w:rPr>
      <w:rFonts w:ascii="Verdana" w:eastAsia="Arial Unicode MS" w:hAnsi="Verdana" w:cs="Arial Unicode MS"/>
      <w:kern w:val="0"/>
      <w:sz w:val="16"/>
      <w:szCs w:val="16"/>
    </w:rPr>
  </w:style>
  <w:style w:type="paragraph" w:customStyle="1" w:styleId="recordinfobox">
    <w:name w:val="recordinfobox"/>
    <w:basedOn w:val="Normal"/>
    <w:rsid w:val="00AC4FB9"/>
    <w:pPr>
      <w:shd w:val="clear" w:color="auto" w:fill="EFEFDF"/>
      <w:bidi w:val="0"/>
      <w:spacing w:before="100" w:beforeAutospacing="1" w:after="100" w:afterAutospacing="1" w:line="240" w:lineRule="auto"/>
      <w:jc w:val="left"/>
    </w:pPr>
    <w:rPr>
      <w:rFonts w:ascii="Verdana" w:eastAsia="Arial Unicode MS" w:hAnsi="Verdana" w:cs="Arial Unicode MS"/>
      <w:i/>
      <w:iCs/>
      <w:kern w:val="0"/>
      <w:sz w:val="16"/>
      <w:szCs w:val="16"/>
    </w:rPr>
  </w:style>
  <w:style w:type="paragraph" w:customStyle="1" w:styleId="resultdata">
    <w:name w:val="resultdata"/>
    <w:basedOn w:val="Normal"/>
    <w:rsid w:val="00AC4FB9"/>
    <w:pPr>
      <w:bidi w:val="0"/>
      <w:spacing w:before="100" w:beforeAutospacing="1" w:after="100" w:afterAutospacing="1" w:line="240" w:lineRule="auto"/>
      <w:jc w:val="left"/>
    </w:pPr>
    <w:rPr>
      <w:rFonts w:ascii="Verdana" w:eastAsia="Arial Unicode MS" w:hAnsi="Verdana" w:cs="Arial Unicode MS"/>
      <w:kern w:val="0"/>
      <w:sz w:val="16"/>
      <w:szCs w:val="16"/>
    </w:rPr>
  </w:style>
  <w:style w:type="paragraph" w:customStyle="1" w:styleId="small">
    <w:name w:val="small"/>
    <w:basedOn w:val="Normal"/>
    <w:rsid w:val="00AC4FB9"/>
    <w:pPr>
      <w:bidi w:val="0"/>
      <w:spacing w:before="100" w:beforeAutospacing="1" w:after="100" w:afterAutospacing="1" w:line="240" w:lineRule="auto"/>
      <w:jc w:val="left"/>
    </w:pPr>
    <w:rPr>
      <w:rFonts w:ascii="Verdana" w:eastAsia="Arial Unicode MS" w:hAnsi="Verdana" w:cs="Arial Unicode MS"/>
      <w:kern w:val="0"/>
      <w:sz w:val="14"/>
      <w:szCs w:val="14"/>
    </w:rPr>
  </w:style>
  <w:style w:type="paragraph" w:customStyle="1" w:styleId="smalltext">
    <w:name w:val="smalltext"/>
    <w:basedOn w:val="Normal"/>
    <w:rsid w:val="00AC4FB9"/>
    <w:pPr>
      <w:bidi w:val="0"/>
      <w:spacing w:before="100" w:beforeAutospacing="1" w:after="100" w:afterAutospacing="1" w:line="240" w:lineRule="auto"/>
      <w:jc w:val="left"/>
    </w:pPr>
    <w:rPr>
      <w:rFonts w:ascii="Verdana" w:eastAsia="Arial Unicode MS" w:hAnsi="Verdana" w:cs="Arial Unicode MS"/>
      <w:kern w:val="0"/>
      <w:sz w:val="14"/>
      <w:szCs w:val="14"/>
    </w:rPr>
  </w:style>
  <w:style w:type="paragraph" w:customStyle="1" w:styleId="largetext">
    <w:name w:val="largetext"/>
    <w:basedOn w:val="Normal"/>
    <w:rsid w:val="00AC4FB9"/>
    <w:pPr>
      <w:bidi w:val="0"/>
      <w:spacing w:before="100" w:beforeAutospacing="1" w:after="100" w:afterAutospacing="1" w:line="240" w:lineRule="auto"/>
      <w:jc w:val="left"/>
    </w:pPr>
    <w:rPr>
      <w:rFonts w:ascii="Verdana" w:eastAsia="Arial Unicode MS" w:hAnsi="Verdana" w:cs="Arial Unicode MS"/>
      <w:kern w:val="0"/>
      <w:sz w:val="18"/>
      <w:szCs w:val="18"/>
    </w:rPr>
  </w:style>
  <w:style w:type="paragraph" w:customStyle="1" w:styleId="section">
    <w:name w:val="section"/>
    <w:basedOn w:val="Normal"/>
    <w:rsid w:val="00AC4FB9"/>
    <w:pPr>
      <w:bidi w:val="0"/>
      <w:spacing w:before="100" w:beforeAutospacing="1" w:after="100" w:afterAutospacing="1" w:line="240" w:lineRule="auto"/>
      <w:jc w:val="left"/>
    </w:pPr>
    <w:rPr>
      <w:rFonts w:ascii="Verdana" w:eastAsia="Arial Unicode MS" w:hAnsi="Verdana" w:cs="Arial Unicode MS"/>
      <w:color w:val="000000"/>
      <w:kern w:val="0"/>
      <w:szCs w:val="20"/>
    </w:rPr>
  </w:style>
  <w:style w:type="paragraph" w:customStyle="1" w:styleId="subsection">
    <w:name w:val="subsection"/>
    <w:basedOn w:val="Normal"/>
    <w:rsid w:val="00AC4FB9"/>
    <w:pPr>
      <w:bidi w:val="0"/>
      <w:spacing w:before="100" w:beforeAutospacing="1" w:after="100" w:afterAutospacing="1" w:line="240" w:lineRule="auto"/>
      <w:jc w:val="left"/>
    </w:pPr>
    <w:rPr>
      <w:rFonts w:ascii="Verdana" w:eastAsia="Arial Unicode MS" w:hAnsi="Verdana" w:cs="Arial Unicode MS"/>
      <w:color w:val="000000"/>
      <w:kern w:val="0"/>
      <w:sz w:val="18"/>
      <w:szCs w:val="18"/>
    </w:rPr>
  </w:style>
  <w:style w:type="paragraph" w:customStyle="1" w:styleId="itemtitle">
    <w:name w:val="itemtitle"/>
    <w:basedOn w:val="Normal"/>
    <w:rsid w:val="00AC4FB9"/>
    <w:pPr>
      <w:bidi w:val="0"/>
      <w:spacing w:before="100" w:beforeAutospacing="1" w:after="100" w:afterAutospacing="1" w:line="240" w:lineRule="auto"/>
      <w:jc w:val="left"/>
    </w:pPr>
    <w:rPr>
      <w:rFonts w:ascii="Verdana" w:eastAsia="Arial Unicode MS" w:hAnsi="Verdana" w:cs="Arial Unicode MS"/>
      <w:b/>
      <w:bCs/>
      <w:kern w:val="0"/>
      <w:sz w:val="16"/>
      <w:szCs w:val="16"/>
    </w:rPr>
  </w:style>
  <w:style w:type="paragraph" w:customStyle="1" w:styleId="box">
    <w:name w:val="box"/>
    <w:basedOn w:val="Normal"/>
    <w:rsid w:val="00AC4FB9"/>
    <w:pPr>
      <w:shd w:val="clear" w:color="auto" w:fill="EFEFDF"/>
      <w:bidi w:val="0"/>
      <w:spacing w:before="100" w:beforeAutospacing="1" w:after="100" w:afterAutospacing="1" w:line="240" w:lineRule="auto"/>
      <w:jc w:val="left"/>
    </w:pPr>
    <w:rPr>
      <w:rFonts w:ascii="Arial Unicode MS" w:eastAsia="Arial Unicode MS" w:hAnsi="Arial Unicode MS" w:cs="Arial Unicode MS"/>
      <w:kern w:val="0"/>
      <w:sz w:val="15"/>
      <w:szCs w:val="15"/>
    </w:rPr>
  </w:style>
  <w:style w:type="paragraph" w:customStyle="1" w:styleId="rightboxtitle">
    <w:name w:val="rightboxtitle"/>
    <w:basedOn w:val="Normal"/>
    <w:rsid w:val="00AC4FB9"/>
    <w:pPr>
      <w:bidi w:val="0"/>
      <w:spacing w:before="100" w:beforeAutospacing="1" w:after="100" w:afterAutospacing="1" w:line="240" w:lineRule="auto"/>
      <w:jc w:val="left"/>
    </w:pPr>
    <w:rPr>
      <w:rFonts w:ascii="Arial Unicode MS" w:eastAsia="Arial Unicode MS" w:hAnsi="Arial Unicode MS" w:cs="Arial Unicode MS"/>
      <w:b/>
      <w:bCs/>
      <w:kern w:val="0"/>
      <w:sz w:val="16"/>
      <w:szCs w:val="16"/>
    </w:rPr>
  </w:style>
  <w:style w:type="paragraph" w:customStyle="1" w:styleId="rightboxsection">
    <w:name w:val="rightboxsection"/>
    <w:basedOn w:val="Normal"/>
    <w:rsid w:val="00AC4FB9"/>
    <w:pPr>
      <w:bidi w:val="0"/>
      <w:spacing w:before="100" w:beforeAutospacing="1" w:after="100" w:afterAutospacing="1" w:line="240" w:lineRule="auto"/>
      <w:jc w:val="center"/>
    </w:pPr>
    <w:rPr>
      <w:rFonts w:ascii="Arial Unicode MS" w:eastAsia="Arial Unicode MS" w:hAnsi="Arial Unicode MS" w:cs="Arial Unicode MS"/>
      <w:i/>
      <w:iCs/>
      <w:kern w:val="0"/>
      <w:sz w:val="16"/>
      <w:szCs w:val="16"/>
    </w:rPr>
  </w:style>
  <w:style w:type="paragraph" w:customStyle="1" w:styleId="rightbox">
    <w:name w:val="rightbox"/>
    <w:basedOn w:val="Normal"/>
    <w:rsid w:val="00AC4FB9"/>
    <w:pPr>
      <w:bidi w:val="0"/>
      <w:spacing w:before="100" w:beforeAutospacing="1" w:after="100" w:afterAutospacing="1" w:line="240" w:lineRule="auto"/>
      <w:jc w:val="left"/>
    </w:pPr>
    <w:rPr>
      <w:rFonts w:ascii="Arial Unicode MS" w:eastAsia="Arial Unicode MS" w:hAnsi="Arial Unicode MS" w:cs="Arial Unicode MS"/>
      <w:kern w:val="0"/>
      <w:sz w:val="14"/>
      <w:szCs w:val="14"/>
    </w:rPr>
  </w:style>
  <w:style w:type="paragraph" w:customStyle="1" w:styleId="homesectionbody">
    <w:name w:val="homesectionbody"/>
    <w:basedOn w:val="Normal"/>
    <w:rsid w:val="00AC4FB9"/>
    <w:pPr>
      <w:pBdr>
        <w:left w:val="single" w:sz="6" w:space="3" w:color="CCCCCC"/>
        <w:bottom w:val="single" w:sz="6" w:space="2" w:color="CCCCCC"/>
        <w:right w:val="single" w:sz="6" w:space="3" w:color="CCCCCC"/>
      </w:pBdr>
      <w:bidi w:val="0"/>
      <w:spacing w:before="100" w:beforeAutospacing="1" w:after="100" w:afterAutospacing="1" w:line="240" w:lineRule="auto"/>
      <w:jc w:val="left"/>
      <w:textAlignment w:val="top"/>
    </w:pPr>
    <w:rPr>
      <w:rFonts w:ascii="Verdana" w:eastAsia="Arial Unicode MS" w:hAnsi="Verdana" w:cs="Arial Unicode MS"/>
      <w:color w:val="000000"/>
      <w:kern w:val="0"/>
      <w:sz w:val="14"/>
      <w:szCs w:val="14"/>
    </w:rPr>
  </w:style>
  <w:style w:type="paragraph" w:customStyle="1" w:styleId="cmsboxdashed">
    <w:name w:val="cms_box_dashed"/>
    <w:basedOn w:val="Normal"/>
    <w:rsid w:val="00AC4FB9"/>
    <w:pPr>
      <w:pBdr>
        <w:top w:val="dashed" w:sz="6" w:space="6" w:color="C0C0C0"/>
        <w:left w:val="dashed" w:sz="6" w:space="6" w:color="C0C0C0"/>
        <w:bottom w:val="dashed" w:sz="6" w:space="6" w:color="C0C0C0"/>
        <w:right w:val="dashed" w:sz="6" w:space="6" w:color="C0C0C0"/>
      </w:pBdr>
      <w:shd w:val="clear" w:color="auto" w:fill="F8F8F8"/>
      <w:bidi w:val="0"/>
      <w:spacing w:before="100" w:beforeAutospacing="1" w:after="100" w:afterAutospacing="1" w:line="240" w:lineRule="auto"/>
      <w:jc w:val="left"/>
    </w:pPr>
    <w:rPr>
      <w:rFonts w:ascii="Arial Unicode MS" w:eastAsia="Arial Unicode MS" w:hAnsi="Arial Unicode MS" w:cs="Arial Unicode MS"/>
      <w:kern w:val="0"/>
      <w:sz w:val="24"/>
    </w:rPr>
  </w:style>
  <w:style w:type="paragraph" w:customStyle="1" w:styleId="cmsmenufont">
    <w:name w:val="cms_menu_font"/>
    <w:basedOn w:val="Normal"/>
    <w:rsid w:val="00AC4FB9"/>
    <w:pPr>
      <w:bidi w:val="0"/>
      <w:spacing w:before="100" w:beforeAutospacing="1" w:after="100" w:afterAutospacing="1" w:line="240" w:lineRule="auto"/>
      <w:jc w:val="left"/>
    </w:pPr>
    <w:rPr>
      <w:rFonts w:ascii="Verdana" w:eastAsia="Arial Unicode MS" w:hAnsi="Verdana" w:cs="Arial Unicode MS"/>
      <w:kern w:val="0"/>
      <w:sz w:val="16"/>
      <w:szCs w:val="16"/>
    </w:rPr>
  </w:style>
  <w:style w:type="paragraph" w:customStyle="1" w:styleId="cmsmenuitem">
    <w:name w:val="cms_menu_item"/>
    <w:basedOn w:val="Normal"/>
    <w:rsid w:val="00AC4FB9"/>
    <w:pPr>
      <w:pBdr>
        <w:bottom w:val="single" w:sz="6" w:space="0" w:color="FFFFFF"/>
      </w:pBdr>
      <w:shd w:val="clear" w:color="auto" w:fill="BDC7C7"/>
      <w:bidi w:val="0"/>
      <w:spacing w:before="100" w:beforeAutospacing="1" w:after="100" w:afterAutospacing="1" w:line="240" w:lineRule="auto"/>
      <w:jc w:val="left"/>
    </w:pPr>
    <w:rPr>
      <w:rFonts w:ascii="Verdana" w:eastAsia="Arial Unicode MS" w:hAnsi="Verdana" w:cs="Arial Unicode MS"/>
      <w:b/>
      <w:bCs/>
      <w:color w:val="FFFFFF"/>
      <w:kern w:val="0"/>
      <w:sz w:val="15"/>
      <w:szCs w:val="15"/>
    </w:rPr>
  </w:style>
  <w:style w:type="paragraph" w:customStyle="1" w:styleId="cmsmenusubitem">
    <w:name w:val="cms_menu_subitem"/>
    <w:basedOn w:val="Normal"/>
    <w:rsid w:val="00AC4FB9"/>
    <w:pPr>
      <w:pBdr>
        <w:bottom w:val="single" w:sz="6" w:space="3" w:color="FFFFFF"/>
      </w:pBdr>
      <w:shd w:val="clear" w:color="auto" w:fill="EEEBE2"/>
      <w:bidi w:val="0"/>
      <w:spacing w:before="100" w:beforeAutospacing="1" w:after="100" w:afterAutospacing="1" w:line="240" w:lineRule="auto"/>
      <w:jc w:val="left"/>
    </w:pPr>
    <w:rPr>
      <w:rFonts w:ascii="Verdana" w:eastAsia="Arial Unicode MS" w:hAnsi="Verdana" w:cs="Arial Unicode MS"/>
      <w:color w:val="303030"/>
      <w:kern w:val="0"/>
      <w:sz w:val="15"/>
      <w:szCs w:val="15"/>
    </w:rPr>
  </w:style>
  <w:style w:type="paragraph" w:customStyle="1" w:styleId="cmsbuttonsmall">
    <w:name w:val="cms_button_small"/>
    <w:basedOn w:val="Normal"/>
    <w:rsid w:val="00AC4FB9"/>
    <w:pPr>
      <w:bidi w:val="0"/>
      <w:spacing w:before="100" w:beforeAutospacing="1" w:after="100" w:afterAutospacing="1" w:line="240" w:lineRule="auto"/>
      <w:jc w:val="left"/>
    </w:pPr>
    <w:rPr>
      <w:rFonts w:ascii="Tahoma" w:eastAsia="Arial Unicode MS" w:hAnsi="Tahoma" w:cs="Tahoma"/>
      <w:kern w:val="0"/>
      <w:sz w:val="14"/>
      <w:szCs w:val="14"/>
    </w:rPr>
  </w:style>
  <w:style w:type="paragraph" w:customStyle="1" w:styleId="cmsformsection">
    <w:name w:val="cms_form_section"/>
    <w:basedOn w:val="Normal"/>
    <w:rsid w:val="00AC4FB9"/>
    <w:pPr>
      <w:shd w:val="clear" w:color="auto" w:fill="DCDCDC"/>
      <w:bidi w:val="0"/>
      <w:spacing w:before="100" w:beforeAutospacing="1" w:after="60" w:line="240" w:lineRule="auto"/>
      <w:jc w:val="left"/>
    </w:pPr>
    <w:rPr>
      <w:rFonts w:ascii="Arial Unicode MS" w:eastAsia="Arial Unicode MS" w:hAnsi="Arial Unicode MS" w:cs="Arial Unicode MS"/>
      <w:b/>
      <w:bCs/>
      <w:kern w:val="0"/>
      <w:sz w:val="24"/>
    </w:rPr>
  </w:style>
  <w:style w:type="paragraph" w:customStyle="1" w:styleId="skin-titledbox-title">
    <w:name w:val="skin-titledbox-title"/>
    <w:basedOn w:val="Normal"/>
    <w:rsid w:val="00AC4FB9"/>
    <w:pPr>
      <w:pBdr>
        <w:top w:val="single" w:sz="6" w:space="3" w:color="C0C0C0"/>
        <w:left w:val="single" w:sz="6" w:space="6" w:color="C0C0C0"/>
        <w:bottom w:val="single" w:sz="6" w:space="3" w:color="C0C0C0"/>
        <w:right w:val="single" w:sz="6" w:space="6" w:color="C0C0C0"/>
      </w:pBdr>
      <w:shd w:val="clear" w:color="auto" w:fill="DCDCDD"/>
      <w:bidi w:val="0"/>
      <w:spacing w:before="100" w:beforeAutospacing="1" w:after="30" w:line="240" w:lineRule="auto"/>
      <w:jc w:val="left"/>
    </w:pPr>
    <w:rPr>
      <w:rFonts w:ascii="Verdana" w:eastAsia="Arial Unicode MS" w:hAnsi="Verdana" w:cs="Arial Unicode MS"/>
      <w:b/>
      <w:bCs/>
      <w:caps/>
      <w:color w:val="333333"/>
      <w:kern w:val="0"/>
      <w:sz w:val="15"/>
      <w:szCs w:val="15"/>
    </w:rPr>
  </w:style>
  <w:style w:type="paragraph" w:customStyle="1" w:styleId="skin-titledbox-content">
    <w:name w:val="skin-titledbox-content"/>
    <w:basedOn w:val="Normal"/>
    <w:rsid w:val="00AC4FB9"/>
    <w:pPr>
      <w:pBdr>
        <w:top w:val="single" w:sz="6" w:space="6" w:color="C0C0C0"/>
        <w:left w:val="single" w:sz="6" w:space="6" w:color="C0C0C0"/>
        <w:bottom w:val="single" w:sz="6" w:space="6" w:color="C0C0C0"/>
        <w:right w:val="single" w:sz="6" w:space="6" w:color="C0C0C0"/>
      </w:pBdr>
      <w:shd w:val="clear" w:color="auto" w:fill="F6F4E6"/>
      <w:bidi w:val="0"/>
      <w:spacing w:before="100" w:beforeAutospacing="1" w:after="240" w:line="240" w:lineRule="auto"/>
      <w:jc w:val="left"/>
    </w:pPr>
    <w:rPr>
      <w:rFonts w:ascii="Arial Unicode MS" w:eastAsia="Arial Unicode MS" w:hAnsi="Arial Unicode MS" w:cs="Arial Unicode MS"/>
      <w:kern w:val="0"/>
      <w:sz w:val="24"/>
    </w:rPr>
  </w:style>
  <w:style w:type="paragraph" w:customStyle="1" w:styleId="hcell">
    <w:name w:val="hcell"/>
    <w:basedOn w:val="Normal"/>
    <w:rsid w:val="00AC4FB9"/>
    <w:pPr>
      <w:bidi w:val="0"/>
      <w:spacing w:before="100" w:beforeAutospacing="1" w:after="100" w:afterAutospacing="1" w:line="240" w:lineRule="atLeast"/>
      <w:jc w:val="left"/>
    </w:pPr>
    <w:rPr>
      <w:rFonts w:ascii="Verdana" w:eastAsia="Arial Unicode MS" w:hAnsi="Verdana" w:cs="Arial Unicode MS"/>
      <w:color w:val="333333"/>
      <w:kern w:val="0"/>
      <w:sz w:val="17"/>
      <w:szCs w:val="17"/>
    </w:rPr>
  </w:style>
  <w:style w:type="paragraph" w:customStyle="1" w:styleId="fheader">
    <w:name w:val="fheader"/>
    <w:basedOn w:val="Normal"/>
    <w:rsid w:val="00AC4FB9"/>
    <w:pPr>
      <w:shd w:val="clear" w:color="auto" w:fill="C0C0C4"/>
      <w:bidi w:val="0"/>
      <w:spacing w:before="100" w:beforeAutospacing="1" w:after="100" w:afterAutospacing="1" w:line="240" w:lineRule="auto"/>
      <w:jc w:val="left"/>
    </w:pPr>
    <w:rPr>
      <w:rFonts w:ascii="Arial Unicode MS" w:eastAsia="Arial Unicode MS" w:hAnsi="Arial Unicode MS" w:cs="Arial Unicode MS"/>
      <w:kern w:val="0"/>
      <w:sz w:val="24"/>
    </w:rPr>
  </w:style>
  <w:style w:type="paragraph" w:customStyle="1" w:styleId="fcell">
    <w:name w:val="fcell"/>
    <w:basedOn w:val="Normal"/>
    <w:rsid w:val="00AC4FB9"/>
    <w:pPr>
      <w:shd w:val="clear" w:color="auto" w:fill="F0F0F0"/>
      <w:bidi w:val="0"/>
      <w:spacing w:before="100" w:beforeAutospacing="1" w:after="100" w:afterAutospacing="1" w:line="240" w:lineRule="auto"/>
      <w:jc w:val="left"/>
    </w:pPr>
    <w:rPr>
      <w:rFonts w:ascii="Arial Unicode MS" w:eastAsia="Arial Unicode MS" w:hAnsi="Arial Unicode MS" w:cs="Arial Unicode MS"/>
      <w:kern w:val="0"/>
      <w:sz w:val="24"/>
    </w:rPr>
  </w:style>
  <w:style w:type="paragraph" w:customStyle="1" w:styleId="fcell2">
    <w:name w:val="fcell2"/>
    <w:basedOn w:val="Normal"/>
    <w:rsid w:val="00AC4FB9"/>
    <w:pPr>
      <w:shd w:val="clear" w:color="auto" w:fill="E0E0E0"/>
      <w:bidi w:val="0"/>
      <w:spacing w:before="100" w:beforeAutospacing="1" w:after="100" w:afterAutospacing="1" w:line="240" w:lineRule="auto"/>
      <w:jc w:val="left"/>
    </w:pPr>
    <w:rPr>
      <w:rFonts w:ascii="Arial Unicode MS" w:eastAsia="Arial Unicode MS" w:hAnsi="Arial Unicode MS" w:cs="Arial Unicode MS"/>
      <w:kern w:val="0"/>
      <w:sz w:val="24"/>
    </w:rPr>
  </w:style>
  <w:style w:type="paragraph" w:customStyle="1" w:styleId="cmsdesignbox">
    <w:name w:val="cms_designbox"/>
    <w:basedOn w:val="Normal"/>
    <w:rsid w:val="00AC4FB9"/>
    <w:pPr>
      <w:pBdr>
        <w:top w:val="dotted" w:sz="6" w:space="2" w:color="669CC6"/>
        <w:left w:val="dotted" w:sz="6" w:space="2" w:color="669CC6"/>
        <w:bottom w:val="dotted" w:sz="6" w:space="2" w:color="669CC6"/>
        <w:right w:val="dotted" w:sz="6" w:space="2" w:color="669CC6"/>
      </w:pBdr>
      <w:bidi w:val="0"/>
      <w:spacing w:before="100" w:beforeAutospacing="1" w:after="100" w:afterAutospacing="1" w:line="240" w:lineRule="auto"/>
      <w:ind w:left="30" w:right="30"/>
      <w:jc w:val="left"/>
    </w:pPr>
    <w:rPr>
      <w:rFonts w:ascii="Arial Unicode MS" w:eastAsia="Arial Unicode MS" w:hAnsi="Arial Unicode MS" w:cs="Arial Unicode MS"/>
      <w:kern w:val="0"/>
      <w:sz w:val="24"/>
    </w:rPr>
  </w:style>
  <w:style w:type="paragraph" w:customStyle="1" w:styleId="cmsdrop">
    <w:name w:val="cmsdrop"/>
    <w:basedOn w:val="Normal"/>
    <w:rsid w:val="00AC4FB9"/>
    <w:pPr>
      <w:pBdr>
        <w:top w:val="single" w:sz="24" w:space="0" w:color="FFFFFF"/>
        <w:bottom w:val="single" w:sz="24" w:space="0" w:color="FFFFFF"/>
      </w:pBdr>
      <w:shd w:val="clear" w:color="auto" w:fill="E0E0E0"/>
      <w:bidi w:val="0"/>
      <w:spacing w:before="100" w:beforeAutospacing="1" w:after="100" w:afterAutospacing="1" w:line="15" w:lineRule="atLeast"/>
      <w:jc w:val="left"/>
    </w:pPr>
    <w:rPr>
      <w:rFonts w:ascii="Arial Unicode MS" w:eastAsia="Arial Unicode MS" w:hAnsi="Arial Unicode MS" w:cs="Arial Unicode MS"/>
      <w:kern w:val="0"/>
      <w:sz w:val="2"/>
      <w:szCs w:val="2"/>
    </w:rPr>
  </w:style>
  <w:style w:type="paragraph" w:customStyle="1" w:styleId="herror">
    <w:name w:val="herror"/>
    <w:basedOn w:val="Normal"/>
    <w:rsid w:val="00AC4FB9"/>
    <w:pPr>
      <w:bidi w:val="0"/>
      <w:spacing w:before="100" w:beforeAutospacing="1" w:after="100" w:afterAutospacing="1" w:line="260" w:lineRule="atLeast"/>
      <w:jc w:val="left"/>
    </w:pPr>
    <w:rPr>
      <w:rFonts w:ascii="Verdana" w:eastAsia="Arial Unicode MS" w:hAnsi="Verdana" w:cs="Arial Unicode MS"/>
      <w:b/>
      <w:bCs/>
      <w:color w:val="C00000"/>
      <w:kern w:val="0"/>
      <w:sz w:val="17"/>
      <w:szCs w:val="17"/>
    </w:rPr>
  </w:style>
  <w:style w:type="paragraph" w:customStyle="1" w:styleId="xbutton">
    <w:name w:val="xbutton"/>
    <w:basedOn w:val="Normal"/>
    <w:rsid w:val="00AC4FB9"/>
    <w:pPr>
      <w:bidi w:val="0"/>
      <w:spacing w:before="45" w:after="100" w:afterAutospacing="1" w:line="240" w:lineRule="auto"/>
      <w:jc w:val="left"/>
    </w:pPr>
    <w:rPr>
      <w:rFonts w:ascii="Arial" w:eastAsia="Arial Unicode MS" w:hAnsi="Arial" w:cs="Arial"/>
      <w:b/>
      <w:bCs/>
      <w:color w:val="005197"/>
      <w:kern w:val="0"/>
      <w:sz w:val="17"/>
      <w:szCs w:val="17"/>
    </w:rPr>
  </w:style>
  <w:style w:type="character" w:customStyle="1" w:styleId="CharChar3">
    <w:name w:val="Char Char3"/>
    <w:rsid w:val="00AC4FB9"/>
    <w:rPr>
      <w:rFonts w:ascii="Courier" w:hAnsi="Courier"/>
      <w:lang w:val="en-GB" w:eastAsia="en-US" w:bidi="ar-SA"/>
    </w:rPr>
  </w:style>
  <w:style w:type="paragraph" w:customStyle="1" w:styleId="para10">
    <w:name w:val="para1"/>
    <w:basedOn w:val="Normal"/>
    <w:rsid w:val="00AC4FB9"/>
    <w:pPr>
      <w:bidi w:val="0"/>
      <w:spacing w:before="100" w:beforeAutospacing="1" w:after="100" w:afterAutospacing="1" w:line="240" w:lineRule="auto"/>
      <w:jc w:val="left"/>
    </w:pPr>
    <w:rPr>
      <w:rFonts w:eastAsia="Times New Roman" w:cs="Times New Roman"/>
      <w:kern w:val="0"/>
      <w:sz w:val="24"/>
    </w:rPr>
  </w:style>
  <w:style w:type="paragraph" w:customStyle="1" w:styleId="StyleBodyTextItalicBlack">
    <w:name w:val="Style Body Text + Italic Black"/>
    <w:basedOn w:val="BodyText"/>
    <w:rsid w:val="00AC4FB9"/>
    <w:rPr>
      <w:i/>
      <w:color w:val="000000"/>
    </w:rPr>
  </w:style>
  <w:style w:type="paragraph" w:styleId="CommentSubject">
    <w:name w:val="annotation subject"/>
    <w:basedOn w:val="CommentText"/>
    <w:next w:val="CommentText"/>
    <w:link w:val="CommentSubjectChar"/>
    <w:uiPriority w:val="99"/>
    <w:rsid w:val="00AC4FB9"/>
    <w:rPr>
      <w:b/>
      <w:bCs/>
      <w:szCs w:val="20"/>
    </w:rPr>
  </w:style>
  <w:style w:type="character" w:customStyle="1" w:styleId="CommentSubjectChar">
    <w:name w:val="Comment Subject Char"/>
    <w:basedOn w:val="CommentTextChar"/>
    <w:link w:val="CommentSubject"/>
    <w:uiPriority w:val="99"/>
    <w:rsid w:val="00AC4FB9"/>
    <w:rPr>
      <w:b/>
      <w:bCs/>
      <w:szCs w:val="24"/>
      <w:lang w:val="en-GB" w:eastAsia="en-US"/>
    </w:rPr>
  </w:style>
  <w:style w:type="paragraph" w:customStyle="1" w:styleId="ColorfulList-Accent11">
    <w:name w:val="Colorful List - Accent 11"/>
    <w:basedOn w:val="Normal"/>
    <w:uiPriority w:val="34"/>
    <w:qFormat/>
    <w:rsid w:val="00AC4FB9"/>
    <w:pPr>
      <w:bidi w:val="0"/>
      <w:spacing w:before="120" w:after="120" w:line="240" w:lineRule="auto"/>
      <w:ind w:left="720"/>
      <w:contextualSpacing/>
      <w:jc w:val="left"/>
    </w:pPr>
    <w:rPr>
      <w:rFonts w:eastAsia="Times New Roman" w:cs="Times New Roman"/>
      <w:kern w:val="0"/>
      <w:sz w:val="24"/>
      <w:lang w:val="en-CA" w:eastAsia="en-CA"/>
    </w:rPr>
  </w:style>
  <w:style w:type="numbering" w:customStyle="1" w:styleId="NoList1">
    <w:name w:val="No List1"/>
    <w:next w:val="NoList"/>
    <w:uiPriority w:val="99"/>
    <w:semiHidden/>
    <w:unhideWhenUsed/>
    <w:rsid w:val="00AC4FB9"/>
  </w:style>
  <w:style w:type="paragraph" w:customStyle="1" w:styleId="xl69">
    <w:name w:val="xl69"/>
    <w:basedOn w:val="Normal"/>
    <w:rsid w:val="00AC4FB9"/>
    <w:pPr>
      <w:pBdr>
        <w:top w:val="single" w:sz="4" w:space="0" w:color="auto"/>
        <w:left w:val="single" w:sz="4" w:space="0" w:color="auto"/>
        <w:right w:val="single" w:sz="4" w:space="0" w:color="auto"/>
      </w:pBdr>
      <w:bidi w:val="0"/>
      <w:spacing w:before="100" w:beforeAutospacing="1" w:after="100" w:afterAutospacing="1" w:line="240" w:lineRule="auto"/>
      <w:jc w:val="right"/>
      <w:textAlignment w:val="top"/>
    </w:pPr>
    <w:rPr>
      <w:rFonts w:eastAsia="Times New Roman" w:cs="Times New Roman"/>
      <w:b/>
      <w:bCs/>
      <w:kern w:val="0"/>
      <w:sz w:val="16"/>
      <w:szCs w:val="16"/>
      <w:lang w:val="en-CA" w:eastAsia="en-CA"/>
    </w:rPr>
  </w:style>
  <w:style w:type="paragraph" w:customStyle="1" w:styleId="xl70">
    <w:name w:val="xl70"/>
    <w:basedOn w:val="Normal"/>
    <w:rsid w:val="00AC4FB9"/>
    <w:pPr>
      <w:pBdr>
        <w:top w:val="single" w:sz="4" w:space="0" w:color="auto"/>
        <w:left w:val="single" w:sz="4" w:space="0" w:color="auto"/>
      </w:pBdr>
      <w:bidi w:val="0"/>
      <w:spacing w:before="100" w:beforeAutospacing="1" w:after="100" w:afterAutospacing="1" w:line="240" w:lineRule="auto"/>
      <w:jc w:val="left"/>
    </w:pPr>
    <w:rPr>
      <w:rFonts w:eastAsia="Times New Roman" w:cs="Times New Roman"/>
      <w:b/>
      <w:bCs/>
      <w:kern w:val="0"/>
      <w:sz w:val="16"/>
      <w:szCs w:val="16"/>
      <w:lang w:val="en-CA" w:eastAsia="en-CA"/>
    </w:rPr>
  </w:style>
  <w:style w:type="paragraph" w:customStyle="1" w:styleId="xl71">
    <w:name w:val="xl71"/>
    <w:basedOn w:val="Normal"/>
    <w:rsid w:val="00AC4FB9"/>
    <w:pPr>
      <w:pBdr>
        <w:top w:val="single" w:sz="4" w:space="0" w:color="auto"/>
        <w:left w:val="single" w:sz="4" w:space="0" w:color="auto"/>
        <w:right w:val="single" w:sz="4" w:space="0" w:color="auto"/>
      </w:pBdr>
      <w:bidi w:val="0"/>
      <w:spacing w:before="100" w:beforeAutospacing="1" w:after="100" w:afterAutospacing="1" w:line="240" w:lineRule="auto"/>
      <w:jc w:val="center"/>
    </w:pPr>
    <w:rPr>
      <w:rFonts w:eastAsia="Times New Roman" w:cs="Times New Roman"/>
      <w:b/>
      <w:bCs/>
      <w:kern w:val="0"/>
      <w:sz w:val="16"/>
      <w:szCs w:val="16"/>
      <w:lang w:val="en-CA" w:eastAsia="en-CA"/>
    </w:rPr>
  </w:style>
  <w:style w:type="paragraph" w:customStyle="1" w:styleId="xl72">
    <w:name w:val="xl72"/>
    <w:basedOn w:val="Normal"/>
    <w:rsid w:val="00AC4FB9"/>
    <w:pPr>
      <w:pBdr>
        <w:top w:val="single" w:sz="4" w:space="0" w:color="auto"/>
        <w:right w:val="single" w:sz="4" w:space="0" w:color="auto"/>
      </w:pBdr>
      <w:bidi w:val="0"/>
      <w:spacing w:before="100" w:beforeAutospacing="1" w:after="100" w:afterAutospacing="1" w:line="240" w:lineRule="auto"/>
      <w:jc w:val="left"/>
    </w:pPr>
    <w:rPr>
      <w:rFonts w:eastAsia="Times New Roman" w:cs="Times New Roman"/>
      <w:b/>
      <w:bCs/>
      <w:kern w:val="0"/>
      <w:sz w:val="16"/>
      <w:szCs w:val="16"/>
      <w:lang w:val="en-CA" w:eastAsia="en-CA"/>
    </w:rPr>
  </w:style>
  <w:style w:type="paragraph" w:customStyle="1" w:styleId="xl73">
    <w:name w:val="xl73"/>
    <w:basedOn w:val="Normal"/>
    <w:rsid w:val="00AC4FB9"/>
    <w:pPr>
      <w:pBdr>
        <w:top w:val="single" w:sz="4" w:space="0" w:color="auto"/>
        <w:left w:val="single" w:sz="4" w:space="0" w:color="auto"/>
      </w:pBdr>
      <w:bidi w:val="0"/>
      <w:spacing w:before="100" w:beforeAutospacing="1" w:after="100" w:afterAutospacing="1" w:line="240" w:lineRule="auto"/>
      <w:jc w:val="left"/>
    </w:pPr>
    <w:rPr>
      <w:rFonts w:eastAsia="Times New Roman" w:cs="Times New Roman"/>
      <w:b/>
      <w:bCs/>
      <w:kern w:val="0"/>
      <w:sz w:val="16"/>
      <w:szCs w:val="16"/>
      <w:lang w:val="en-CA" w:eastAsia="en-CA"/>
    </w:rPr>
  </w:style>
  <w:style w:type="paragraph" w:customStyle="1" w:styleId="xl74">
    <w:name w:val="xl74"/>
    <w:basedOn w:val="Normal"/>
    <w:rsid w:val="00AC4FB9"/>
    <w:pPr>
      <w:pBdr>
        <w:left w:val="single" w:sz="4" w:space="0" w:color="auto"/>
      </w:pBdr>
      <w:bidi w:val="0"/>
      <w:spacing w:before="100" w:beforeAutospacing="1" w:after="100" w:afterAutospacing="1" w:line="240" w:lineRule="auto"/>
      <w:jc w:val="left"/>
    </w:pPr>
    <w:rPr>
      <w:rFonts w:eastAsia="Times New Roman" w:cs="Times New Roman"/>
      <w:b/>
      <w:bCs/>
      <w:kern w:val="0"/>
      <w:sz w:val="16"/>
      <w:szCs w:val="16"/>
      <w:lang w:val="en-CA" w:eastAsia="en-CA"/>
    </w:rPr>
  </w:style>
  <w:style w:type="paragraph" w:customStyle="1" w:styleId="xl75">
    <w:name w:val="xl75"/>
    <w:basedOn w:val="Normal"/>
    <w:rsid w:val="00AC4FB9"/>
    <w:pPr>
      <w:pBdr>
        <w:left w:val="single" w:sz="4" w:space="0" w:color="auto"/>
      </w:pBdr>
      <w:bidi w:val="0"/>
      <w:spacing w:before="100" w:beforeAutospacing="1" w:after="100" w:afterAutospacing="1" w:line="240" w:lineRule="auto"/>
      <w:jc w:val="center"/>
    </w:pPr>
    <w:rPr>
      <w:rFonts w:eastAsia="Times New Roman" w:cs="Times New Roman"/>
      <w:b/>
      <w:bCs/>
      <w:kern w:val="0"/>
      <w:sz w:val="16"/>
      <w:szCs w:val="16"/>
      <w:lang w:val="en-CA" w:eastAsia="en-CA"/>
    </w:rPr>
  </w:style>
  <w:style w:type="paragraph" w:customStyle="1" w:styleId="xl76">
    <w:name w:val="xl76"/>
    <w:basedOn w:val="Normal"/>
    <w:rsid w:val="00AC4FB9"/>
    <w:pPr>
      <w:pBdr>
        <w:left w:val="single" w:sz="4" w:space="0" w:color="auto"/>
        <w:right w:val="single" w:sz="4" w:space="0" w:color="auto"/>
      </w:pBdr>
      <w:bidi w:val="0"/>
      <w:spacing w:before="100" w:beforeAutospacing="1" w:after="100" w:afterAutospacing="1" w:line="240" w:lineRule="auto"/>
      <w:jc w:val="center"/>
    </w:pPr>
    <w:rPr>
      <w:rFonts w:eastAsia="Times New Roman" w:cs="Times New Roman"/>
      <w:b/>
      <w:bCs/>
      <w:kern w:val="0"/>
      <w:sz w:val="16"/>
      <w:szCs w:val="16"/>
      <w:lang w:val="en-CA" w:eastAsia="en-CA"/>
    </w:rPr>
  </w:style>
  <w:style w:type="paragraph" w:customStyle="1" w:styleId="xl77">
    <w:name w:val="xl77"/>
    <w:basedOn w:val="Normal"/>
    <w:rsid w:val="00AC4FB9"/>
    <w:pPr>
      <w:pBdr>
        <w:right w:val="single" w:sz="4" w:space="0" w:color="auto"/>
      </w:pBdr>
      <w:bidi w:val="0"/>
      <w:spacing w:before="100" w:beforeAutospacing="1" w:after="100" w:afterAutospacing="1" w:line="240" w:lineRule="auto"/>
      <w:jc w:val="center"/>
    </w:pPr>
    <w:rPr>
      <w:rFonts w:eastAsia="Times New Roman" w:cs="Times New Roman"/>
      <w:b/>
      <w:bCs/>
      <w:kern w:val="0"/>
      <w:sz w:val="16"/>
      <w:szCs w:val="16"/>
      <w:lang w:val="en-CA" w:eastAsia="en-CA"/>
    </w:rPr>
  </w:style>
  <w:style w:type="paragraph" w:customStyle="1" w:styleId="xl78">
    <w:name w:val="xl78"/>
    <w:basedOn w:val="Normal"/>
    <w:rsid w:val="00AC4FB9"/>
    <w:pPr>
      <w:pBdr>
        <w:left w:val="single" w:sz="4" w:space="0" w:color="auto"/>
      </w:pBdr>
      <w:bidi w:val="0"/>
      <w:spacing w:before="100" w:beforeAutospacing="1" w:after="100" w:afterAutospacing="1" w:line="240" w:lineRule="auto"/>
      <w:jc w:val="center"/>
    </w:pPr>
    <w:rPr>
      <w:rFonts w:eastAsia="Times New Roman" w:cs="Times New Roman"/>
      <w:b/>
      <w:bCs/>
      <w:kern w:val="0"/>
      <w:sz w:val="16"/>
      <w:szCs w:val="16"/>
      <w:lang w:val="en-CA" w:eastAsia="en-CA"/>
    </w:rPr>
  </w:style>
  <w:style w:type="paragraph" w:customStyle="1" w:styleId="xl79">
    <w:name w:val="xl79"/>
    <w:basedOn w:val="Normal"/>
    <w:rsid w:val="00AC4FB9"/>
    <w:pPr>
      <w:pBdr>
        <w:left w:val="single" w:sz="4" w:space="0" w:color="auto"/>
        <w:right w:val="single" w:sz="4" w:space="0" w:color="auto"/>
      </w:pBdr>
      <w:bidi w:val="0"/>
      <w:spacing w:before="100" w:beforeAutospacing="1" w:after="100" w:afterAutospacing="1" w:line="240" w:lineRule="auto"/>
      <w:jc w:val="left"/>
    </w:pPr>
    <w:rPr>
      <w:rFonts w:eastAsia="Times New Roman" w:cs="Times New Roman"/>
      <w:b/>
      <w:bCs/>
      <w:kern w:val="0"/>
      <w:sz w:val="16"/>
      <w:szCs w:val="16"/>
      <w:lang w:val="en-CA" w:eastAsia="en-CA"/>
    </w:rPr>
  </w:style>
  <w:style w:type="paragraph" w:customStyle="1" w:styleId="xl80">
    <w:name w:val="xl80"/>
    <w:basedOn w:val="Normal"/>
    <w:rsid w:val="00AC4FB9"/>
    <w:pPr>
      <w:pBdr>
        <w:right w:val="single" w:sz="4" w:space="0" w:color="auto"/>
      </w:pBdr>
      <w:bidi w:val="0"/>
      <w:spacing w:before="100" w:beforeAutospacing="1" w:after="100" w:afterAutospacing="1" w:line="240" w:lineRule="auto"/>
      <w:jc w:val="center"/>
    </w:pPr>
    <w:rPr>
      <w:rFonts w:eastAsia="Times New Roman" w:cs="Times New Roman"/>
      <w:b/>
      <w:bCs/>
      <w:kern w:val="0"/>
      <w:sz w:val="16"/>
      <w:szCs w:val="16"/>
      <w:lang w:val="en-CA" w:eastAsia="en-CA"/>
    </w:rPr>
  </w:style>
  <w:style w:type="paragraph" w:customStyle="1" w:styleId="xl81">
    <w:name w:val="xl81"/>
    <w:basedOn w:val="Normal"/>
    <w:rsid w:val="00AC4FB9"/>
    <w:pPr>
      <w:pBdr>
        <w:left w:val="single" w:sz="4" w:space="0" w:color="auto"/>
      </w:pBdr>
      <w:bidi w:val="0"/>
      <w:spacing w:before="100" w:beforeAutospacing="1" w:after="100" w:afterAutospacing="1" w:line="240" w:lineRule="auto"/>
      <w:jc w:val="center"/>
    </w:pPr>
    <w:rPr>
      <w:rFonts w:eastAsia="Times New Roman" w:cs="Times New Roman"/>
      <w:b/>
      <w:bCs/>
      <w:kern w:val="0"/>
      <w:sz w:val="16"/>
      <w:szCs w:val="16"/>
      <w:lang w:val="en-CA" w:eastAsia="en-CA"/>
    </w:rPr>
  </w:style>
  <w:style w:type="paragraph" w:customStyle="1" w:styleId="xl82">
    <w:name w:val="xl82"/>
    <w:basedOn w:val="Normal"/>
    <w:rsid w:val="00AC4FB9"/>
    <w:pPr>
      <w:pBdr>
        <w:right w:val="single" w:sz="4" w:space="0" w:color="auto"/>
      </w:pBdr>
      <w:bidi w:val="0"/>
      <w:spacing w:before="100" w:beforeAutospacing="1" w:after="100" w:afterAutospacing="1" w:line="240" w:lineRule="auto"/>
      <w:jc w:val="center"/>
    </w:pPr>
    <w:rPr>
      <w:rFonts w:eastAsia="Times New Roman" w:cs="Times New Roman"/>
      <w:b/>
      <w:bCs/>
      <w:kern w:val="0"/>
      <w:sz w:val="16"/>
      <w:szCs w:val="16"/>
      <w:lang w:val="en-CA" w:eastAsia="en-CA"/>
    </w:rPr>
  </w:style>
  <w:style w:type="paragraph" w:customStyle="1" w:styleId="xl83">
    <w:name w:val="xl83"/>
    <w:basedOn w:val="Normal"/>
    <w:rsid w:val="00AC4FB9"/>
    <w:pPr>
      <w:pBdr>
        <w:left w:val="single" w:sz="4" w:space="0" w:color="auto"/>
        <w:bottom w:val="single" w:sz="4" w:space="0" w:color="auto"/>
        <w:right w:val="single" w:sz="4" w:space="0" w:color="auto"/>
      </w:pBdr>
      <w:bidi w:val="0"/>
      <w:spacing w:before="100" w:beforeAutospacing="1" w:after="100" w:afterAutospacing="1" w:line="240" w:lineRule="auto"/>
      <w:jc w:val="left"/>
    </w:pPr>
    <w:rPr>
      <w:rFonts w:eastAsia="Times New Roman" w:cs="Times New Roman"/>
      <w:b/>
      <w:bCs/>
      <w:kern w:val="0"/>
      <w:sz w:val="16"/>
      <w:szCs w:val="16"/>
      <w:lang w:val="en-CA" w:eastAsia="en-CA"/>
    </w:rPr>
  </w:style>
  <w:style w:type="paragraph" w:customStyle="1" w:styleId="xl84">
    <w:name w:val="xl84"/>
    <w:basedOn w:val="Normal"/>
    <w:rsid w:val="00AC4FB9"/>
    <w:pPr>
      <w:pBdr>
        <w:left w:val="single" w:sz="4" w:space="0" w:color="auto"/>
        <w:bottom w:val="single" w:sz="4" w:space="0" w:color="auto"/>
      </w:pBdr>
      <w:bidi w:val="0"/>
      <w:spacing w:before="100" w:beforeAutospacing="1" w:after="100" w:afterAutospacing="1" w:line="240" w:lineRule="auto"/>
      <w:jc w:val="center"/>
    </w:pPr>
    <w:rPr>
      <w:rFonts w:eastAsia="Times New Roman" w:cs="Times New Roman"/>
      <w:b/>
      <w:bCs/>
      <w:kern w:val="0"/>
      <w:sz w:val="16"/>
      <w:szCs w:val="16"/>
      <w:lang w:val="en-CA" w:eastAsia="en-CA"/>
    </w:rPr>
  </w:style>
  <w:style w:type="paragraph" w:customStyle="1" w:styleId="xl85">
    <w:name w:val="xl85"/>
    <w:basedOn w:val="Normal"/>
    <w:rsid w:val="00AC4FB9"/>
    <w:pPr>
      <w:pBdr>
        <w:left w:val="single" w:sz="4" w:space="0" w:color="auto"/>
        <w:bottom w:val="single" w:sz="4" w:space="0" w:color="auto"/>
        <w:right w:val="single" w:sz="4" w:space="0" w:color="auto"/>
      </w:pBdr>
      <w:bidi w:val="0"/>
      <w:spacing w:before="100" w:beforeAutospacing="1" w:after="100" w:afterAutospacing="1" w:line="240" w:lineRule="auto"/>
      <w:jc w:val="center"/>
    </w:pPr>
    <w:rPr>
      <w:rFonts w:eastAsia="Times New Roman" w:cs="Times New Roman"/>
      <w:b/>
      <w:bCs/>
      <w:kern w:val="0"/>
      <w:sz w:val="16"/>
      <w:szCs w:val="16"/>
      <w:lang w:val="en-CA" w:eastAsia="en-CA"/>
    </w:rPr>
  </w:style>
  <w:style w:type="paragraph" w:customStyle="1" w:styleId="xl86">
    <w:name w:val="xl86"/>
    <w:basedOn w:val="Normal"/>
    <w:rsid w:val="00AC4FB9"/>
    <w:pPr>
      <w:pBdr>
        <w:bottom w:val="single" w:sz="4" w:space="0" w:color="auto"/>
        <w:right w:val="single" w:sz="4" w:space="0" w:color="auto"/>
      </w:pBdr>
      <w:bidi w:val="0"/>
      <w:spacing w:before="100" w:beforeAutospacing="1" w:after="100" w:afterAutospacing="1" w:line="240" w:lineRule="auto"/>
      <w:jc w:val="center"/>
    </w:pPr>
    <w:rPr>
      <w:rFonts w:eastAsia="Times New Roman" w:cs="Times New Roman"/>
      <w:b/>
      <w:bCs/>
      <w:kern w:val="0"/>
      <w:sz w:val="16"/>
      <w:szCs w:val="16"/>
      <w:lang w:val="en-CA" w:eastAsia="en-CA"/>
    </w:rPr>
  </w:style>
  <w:style w:type="paragraph" w:customStyle="1" w:styleId="xl87">
    <w:name w:val="xl87"/>
    <w:basedOn w:val="Normal"/>
    <w:rsid w:val="00AC4FB9"/>
    <w:pPr>
      <w:pBdr>
        <w:left w:val="single" w:sz="4" w:space="0" w:color="auto"/>
        <w:bottom w:val="single" w:sz="4" w:space="0" w:color="auto"/>
      </w:pBdr>
      <w:bidi w:val="0"/>
      <w:spacing w:before="100" w:beforeAutospacing="1" w:after="100" w:afterAutospacing="1" w:line="240" w:lineRule="auto"/>
      <w:jc w:val="center"/>
    </w:pPr>
    <w:rPr>
      <w:rFonts w:eastAsia="Times New Roman" w:cs="Times New Roman"/>
      <w:b/>
      <w:bCs/>
      <w:kern w:val="0"/>
      <w:sz w:val="16"/>
      <w:szCs w:val="16"/>
      <w:lang w:val="en-CA" w:eastAsia="en-CA"/>
    </w:rPr>
  </w:style>
  <w:style w:type="paragraph" w:customStyle="1" w:styleId="xl88">
    <w:name w:val="xl88"/>
    <w:basedOn w:val="Normal"/>
    <w:rsid w:val="00AC4FB9"/>
    <w:pPr>
      <w:bidi w:val="0"/>
      <w:spacing w:before="100" w:beforeAutospacing="1" w:after="100" w:afterAutospacing="1" w:line="240" w:lineRule="auto"/>
      <w:jc w:val="left"/>
    </w:pPr>
    <w:rPr>
      <w:rFonts w:ascii="Arial" w:eastAsia="Times New Roman" w:hAnsi="Arial" w:cs="Arial"/>
      <w:color w:val="FF0000"/>
      <w:kern w:val="0"/>
      <w:sz w:val="24"/>
      <w:lang w:val="en-CA" w:eastAsia="en-CA"/>
    </w:rPr>
  </w:style>
  <w:style w:type="paragraph" w:customStyle="1" w:styleId="xl89">
    <w:name w:val="xl89"/>
    <w:basedOn w:val="Normal"/>
    <w:rsid w:val="00AC4FB9"/>
    <w:pPr>
      <w:bidi w:val="0"/>
      <w:spacing w:before="100" w:beforeAutospacing="1" w:after="100" w:afterAutospacing="1" w:line="240" w:lineRule="auto"/>
      <w:jc w:val="left"/>
    </w:pPr>
    <w:rPr>
      <w:rFonts w:ascii="Arial" w:eastAsia="Times New Roman" w:hAnsi="Arial" w:cs="Arial"/>
      <w:b/>
      <w:bCs/>
      <w:kern w:val="0"/>
      <w:sz w:val="24"/>
      <w:lang w:val="en-CA" w:eastAsia="en-CA"/>
    </w:rPr>
  </w:style>
  <w:style w:type="paragraph" w:customStyle="1" w:styleId="xl90">
    <w:name w:val="xl90"/>
    <w:basedOn w:val="Normal"/>
    <w:rsid w:val="00AC4FB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textAlignment w:val="top"/>
    </w:pPr>
    <w:rPr>
      <w:rFonts w:eastAsia="Times New Roman" w:cs="Times New Roman"/>
      <w:kern w:val="0"/>
      <w:sz w:val="16"/>
      <w:szCs w:val="16"/>
      <w:lang w:val="en-CA" w:eastAsia="en-CA"/>
    </w:rPr>
  </w:style>
  <w:style w:type="paragraph" w:customStyle="1" w:styleId="xl91">
    <w:name w:val="xl91"/>
    <w:basedOn w:val="Normal"/>
    <w:rsid w:val="00AC4FB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textAlignment w:val="top"/>
    </w:pPr>
    <w:rPr>
      <w:rFonts w:eastAsia="Times New Roman" w:cs="Times New Roman"/>
      <w:kern w:val="0"/>
      <w:sz w:val="16"/>
      <w:szCs w:val="16"/>
      <w:lang w:val="en-CA" w:eastAsia="en-CA"/>
    </w:rPr>
  </w:style>
  <w:style w:type="paragraph" w:customStyle="1" w:styleId="xl92">
    <w:name w:val="xl92"/>
    <w:basedOn w:val="Normal"/>
    <w:rsid w:val="00AC4FB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textAlignment w:val="top"/>
    </w:pPr>
    <w:rPr>
      <w:rFonts w:eastAsia="Times New Roman" w:cs="Times New Roman"/>
      <w:kern w:val="0"/>
      <w:sz w:val="16"/>
      <w:szCs w:val="16"/>
      <w:lang w:val="en-CA" w:eastAsia="en-CA"/>
    </w:rPr>
  </w:style>
  <w:style w:type="paragraph" w:customStyle="1" w:styleId="xl93">
    <w:name w:val="xl93"/>
    <w:basedOn w:val="Normal"/>
    <w:rsid w:val="00AC4FB9"/>
    <w:pPr>
      <w:bidi w:val="0"/>
      <w:spacing w:before="100" w:beforeAutospacing="1" w:after="100" w:afterAutospacing="1" w:line="240" w:lineRule="auto"/>
      <w:jc w:val="left"/>
      <w:textAlignment w:val="top"/>
    </w:pPr>
    <w:rPr>
      <w:rFonts w:eastAsia="Times New Roman" w:cs="Times New Roman"/>
      <w:kern w:val="0"/>
      <w:sz w:val="16"/>
      <w:szCs w:val="16"/>
      <w:lang w:val="en-CA" w:eastAsia="en-CA"/>
    </w:rPr>
  </w:style>
  <w:style w:type="paragraph" w:customStyle="1" w:styleId="xl94">
    <w:name w:val="xl94"/>
    <w:basedOn w:val="Normal"/>
    <w:rsid w:val="00AC4FB9"/>
    <w:pPr>
      <w:pBdr>
        <w:top w:val="single" w:sz="4" w:space="0" w:color="auto"/>
        <w:bottom w:val="single" w:sz="4" w:space="0" w:color="auto"/>
      </w:pBdr>
      <w:bidi w:val="0"/>
      <w:spacing w:before="100" w:beforeAutospacing="1" w:after="100" w:afterAutospacing="1" w:line="240" w:lineRule="auto"/>
      <w:jc w:val="left"/>
      <w:textAlignment w:val="top"/>
    </w:pPr>
    <w:rPr>
      <w:rFonts w:eastAsia="Times New Roman" w:cs="Times New Roman"/>
      <w:kern w:val="0"/>
      <w:sz w:val="16"/>
      <w:szCs w:val="16"/>
      <w:lang w:val="en-CA" w:eastAsia="en-CA"/>
    </w:rPr>
  </w:style>
  <w:style w:type="paragraph" w:customStyle="1" w:styleId="xl95">
    <w:name w:val="xl95"/>
    <w:basedOn w:val="Normal"/>
    <w:rsid w:val="00AC4FB9"/>
    <w:pPr>
      <w:pBdr>
        <w:top w:val="single" w:sz="4" w:space="0" w:color="auto"/>
        <w:bottom w:val="single" w:sz="4" w:space="0" w:color="auto"/>
      </w:pBdr>
      <w:bidi w:val="0"/>
      <w:spacing w:before="100" w:beforeAutospacing="1" w:after="100" w:afterAutospacing="1" w:line="240" w:lineRule="auto"/>
      <w:jc w:val="left"/>
      <w:textAlignment w:val="top"/>
    </w:pPr>
    <w:rPr>
      <w:rFonts w:eastAsia="Times New Roman" w:cs="Times New Roman"/>
      <w:b/>
      <w:bCs/>
      <w:kern w:val="0"/>
      <w:sz w:val="16"/>
      <w:szCs w:val="16"/>
      <w:lang w:val="en-CA" w:eastAsia="en-CA"/>
    </w:rPr>
  </w:style>
  <w:style w:type="paragraph" w:customStyle="1" w:styleId="xl96">
    <w:name w:val="xl96"/>
    <w:basedOn w:val="Normal"/>
    <w:rsid w:val="00AC4FB9"/>
    <w:pPr>
      <w:pBdr>
        <w:top w:val="single" w:sz="4" w:space="0" w:color="auto"/>
        <w:bottom w:val="single" w:sz="4" w:space="0" w:color="auto"/>
      </w:pBdr>
      <w:bidi w:val="0"/>
      <w:spacing w:before="100" w:beforeAutospacing="1" w:after="100" w:afterAutospacing="1" w:line="240" w:lineRule="auto"/>
      <w:jc w:val="left"/>
      <w:textAlignment w:val="top"/>
    </w:pPr>
    <w:rPr>
      <w:rFonts w:eastAsia="Times New Roman" w:cs="Times New Roman"/>
      <w:kern w:val="0"/>
      <w:sz w:val="16"/>
      <w:szCs w:val="16"/>
      <w:lang w:val="en-CA" w:eastAsia="en-CA"/>
    </w:rPr>
  </w:style>
  <w:style w:type="paragraph" w:customStyle="1" w:styleId="xl97">
    <w:name w:val="xl97"/>
    <w:basedOn w:val="Normal"/>
    <w:rsid w:val="00AC4FB9"/>
    <w:pPr>
      <w:pBdr>
        <w:top w:val="single" w:sz="4" w:space="0" w:color="auto"/>
        <w:bottom w:val="single" w:sz="4" w:space="0" w:color="auto"/>
      </w:pBdr>
      <w:bidi w:val="0"/>
      <w:spacing w:before="100" w:beforeAutospacing="1" w:after="100" w:afterAutospacing="1" w:line="240" w:lineRule="auto"/>
      <w:jc w:val="left"/>
      <w:textAlignment w:val="top"/>
    </w:pPr>
    <w:rPr>
      <w:rFonts w:eastAsia="Times New Roman" w:cs="Times New Roman"/>
      <w:kern w:val="0"/>
      <w:sz w:val="16"/>
      <w:szCs w:val="16"/>
      <w:lang w:val="en-CA" w:eastAsia="en-CA"/>
    </w:rPr>
  </w:style>
  <w:style w:type="paragraph" w:customStyle="1" w:styleId="xl98">
    <w:name w:val="xl98"/>
    <w:basedOn w:val="Normal"/>
    <w:rsid w:val="00AC4FB9"/>
    <w:pPr>
      <w:pBdr>
        <w:top w:val="single" w:sz="4" w:space="0" w:color="auto"/>
        <w:bottom w:val="single" w:sz="4" w:space="0" w:color="auto"/>
      </w:pBdr>
      <w:bidi w:val="0"/>
      <w:spacing w:before="100" w:beforeAutospacing="1" w:after="100" w:afterAutospacing="1" w:line="240" w:lineRule="auto"/>
      <w:jc w:val="left"/>
      <w:textAlignment w:val="top"/>
    </w:pPr>
    <w:rPr>
      <w:rFonts w:eastAsia="Times New Roman" w:cs="Times New Roman"/>
      <w:kern w:val="0"/>
      <w:sz w:val="16"/>
      <w:szCs w:val="16"/>
      <w:lang w:val="en-CA" w:eastAsia="en-CA"/>
    </w:rPr>
  </w:style>
  <w:style w:type="paragraph" w:customStyle="1" w:styleId="xl99">
    <w:name w:val="xl99"/>
    <w:basedOn w:val="Normal"/>
    <w:rsid w:val="00AC4FB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textAlignment w:val="top"/>
    </w:pPr>
    <w:rPr>
      <w:rFonts w:eastAsia="Times New Roman" w:cs="Times New Roman"/>
      <w:b/>
      <w:bCs/>
      <w:kern w:val="0"/>
      <w:sz w:val="16"/>
      <w:szCs w:val="16"/>
      <w:lang w:val="en-CA" w:eastAsia="en-CA"/>
    </w:rPr>
  </w:style>
  <w:style w:type="paragraph" w:customStyle="1" w:styleId="xl100">
    <w:name w:val="xl100"/>
    <w:basedOn w:val="Normal"/>
    <w:rsid w:val="00AC4FB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textAlignment w:val="top"/>
    </w:pPr>
    <w:rPr>
      <w:rFonts w:eastAsia="Times New Roman" w:cs="Times New Roman"/>
      <w:b/>
      <w:bCs/>
      <w:kern w:val="0"/>
      <w:sz w:val="16"/>
      <w:szCs w:val="16"/>
      <w:lang w:val="en-CA" w:eastAsia="en-CA"/>
    </w:rPr>
  </w:style>
  <w:style w:type="paragraph" w:customStyle="1" w:styleId="xl101">
    <w:name w:val="xl101"/>
    <w:basedOn w:val="Normal"/>
    <w:rsid w:val="00AC4FB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textAlignment w:val="top"/>
    </w:pPr>
    <w:rPr>
      <w:rFonts w:eastAsia="Times New Roman" w:cs="Times New Roman"/>
      <w:b/>
      <w:bCs/>
      <w:kern w:val="0"/>
      <w:sz w:val="16"/>
      <w:szCs w:val="16"/>
      <w:lang w:val="en-CA" w:eastAsia="en-CA"/>
    </w:rPr>
  </w:style>
  <w:style w:type="paragraph" w:customStyle="1" w:styleId="xl102">
    <w:name w:val="xl102"/>
    <w:basedOn w:val="Normal"/>
    <w:rsid w:val="00AC4FB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pPr>
    <w:rPr>
      <w:rFonts w:eastAsia="Times New Roman" w:cs="Times New Roman"/>
      <w:kern w:val="0"/>
      <w:sz w:val="16"/>
      <w:szCs w:val="16"/>
      <w:lang w:val="en-CA" w:eastAsia="en-CA"/>
    </w:rPr>
  </w:style>
  <w:style w:type="numbering" w:customStyle="1" w:styleId="NoList2">
    <w:name w:val="No List2"/>
    <w:next w:val="NoList"/>
    <w:uiPriority w:val="99"/>
    <w:semiHidden/>
    <w:unhideWhenUsed/>
    <w:rsid w:val="00AC4FB9"/>
  </w:style>
  <w:style w:type="numbering" w:customStyle="1" w:styleId="NoList3">
    <w:name w:val="No List3"/>
    <w:next w:val="NoList"/>
    <w:uiPriority w:val="99"/>
    <w:semiHidden/>
    <w:unhideWhenUsed/>
    <w:rsid w:val="00AC4FB9"/>
  </w:style>
  <w:style w:type="paragraph" w:customStyle="1" w:styleId="ColorfulShading-Accent11">
    <w:name w:val="Colorful Shading - Accent 11"/>
    <w:hidden/>
    <w:uiPriority w:val="99"/>
    <w:semiHidden/>
    <w:rsid w:val="00AC4FB9"/>
    <w:rPr>
      <w:sz w:val="22"/>
      <w:szCs w:val="24"/>
      <w:lang w:val="en-GB" w:eastAsia="en-US"/>
    </w:rPr>
  </w:style>
  <w:style w:type="paragraph" w:customStyle="1" w:styleId="xl135">
    <w:name w:val="xl135"/>
    <w:basedOn w:val="Normal"/>
    <w:rsid w:val="00AC4FB9"/>
    <w:pPr>
      <w:bidi w:val="0"/>
      <w:spacing w:before="100" w:beforeAutospacing="1" w:after="100" w:afterAutospacing="1" w:line="240" w:lineRule="auto"/>
      <w:jc w:val="left"/>
    </w:pPr>
    <w:rPr>
      <w:rFonts w:ascii="Arial" w:eastAsia="Times New Roman" w:hAnsi="Arial" w:cs="Arial"/>
      <w:kern w:val="0"/>
      <w:sz w:val="24"/>
      <w:lang w:val="en-CA" w:eastAsia="en-CA"/>
    </w:rPr>
  </w:style>
  <w:style w:type="paragraph" w:customStyle="1" w:styleId="xl136">
    <w:name w:val="xl136"/>
    <w:basedOn w:val="Normal"/>
    <w:rsid w:val="00AC4FB9"/>
    <w:pPr>
      <w:bidi w:val="0"/>
      <w:spacing w:before="100" w:beforeAutospacing="1" w:after="100" w:afterAutospacing="1" w:line="240" w:lineRule="auto"/>
      <w:jc w:val="left"/>
    </w:pPr>
    <w:rPr>
      <w:rFonts w:ascii="Arial" w:eastAsia="Times New Roman" w:hAnsi="Arial" w:cs="Arial"/>
      <w:kern w:val="0"/>
      <w:sz w:val="24"/>
      <w:lang w:val="en-CA" w:eastAsia="en-CA"/>
    </w:rPr>
  </w:style>
  <w:style w:type="paragraph" w:customStyle="1" w:styleId="xl137">
    <w:name w:val="xl137"/>
    <w:basedOn w:val="Normal"/>
    <w:rsid w:val="00AC4FB9"/>
    <w:pPr>
      <w:bidi w:val="0"/>
      <w:spacing w:before="100" w:beforeAutospacing="1" w:after="100" w:afterAutospacing="1" w:line="240" w:lineRule="auto"/>
      <w:jc w:val="left"/>
    </w:pPr>
    <w:rPr>
      <w:rFonts w:ascii="Arial" w:eastAsia="Times New Roman" w:hAnsi="Arial" w:cs="Arial"/>
      <w:b/>
      <w:bCs/>
      <w:kern w:val="0"/>
      <w:sz w:val="24"/>
      <w:lang w:val="en-CA" w:eastAsia="en-CA"/>
    </w:rPr>
  </w:style>
  <w:style w:type="paragraph" w:customStyle="1" w:styleId="xl138">
    <w:name w:val="xl138"/>
    <w:basedOn w:val="Normal"/>
    <w:rsid w:val="00AC4FB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textAlignment w:val="top"/>
    </w:pPr>
    <w:rPr>
      <w:rFonts w:eastAsia="Times New Roman" w:cs="Times New Roman"/>
      <w:kern w:val="0"/>
      <w:sz w:val="16"/>
      <w:szCs w:val="16"/>
      <w:lang w:val="en-CA" w:eastAsia="en-CA"/>
    </w:rPr>
  </w:style>
  <w:style w:type="paragraph" w:customStyle="1" w:styleId="xl139">
    <w:name w:val="xl139"/>
    <w:basedOn w:val="Normal"/>
    <w:rsid w:val="00AC4FB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textAlignment w:val="top"/>
    </w:pPr>
    <w:rPr>
      <w:rFonts w:eastAsia="Times New Roman" w:cs="Times New Roman"/>
      <w:kern w:val="0"/>
      <w:sz w:val="16"/>
      <w:szCs w:val="16"/>
      <w:lang w:val="en-CA" w:eastAsia="en-CA"/>
    </w:rPr>
  </w:style>
  <w:style w:type="paragraph" w:customStyle="1" w:styleId="xl140">
    <w:name w:val="xl140"/>
    <w:basedOn w:val="Normal"/>
    <w:rsid w:val="00AC4FB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textAlignment w:val="top"/>
    </w:pPr>
    <w:rPr>
      <w:rFonts w:eastAsia="Times New Roman" w:cs="Times New Roman"/>
      <w:kern w:val="0"/>
      <w:sz w:val="16"/>
      <w:szCs w:val="16"/>
      <w:lang w:val="en-CA" w:eastAsia="en-CA"/>
    </w:rPr>
  </w:style>
  <w:style w:type="paragraph" w:customStyle="1" w:styleId="xl141">
    <w:name w:val="xl141"/>
    <w:basedOn w:val="Normal"/>
    <w:rsid w:val="00AC4FB9"/>
    <w:pPr>
      <w:bidi w:val="0"/>
      <w:spacing w:before="100" w:beforeAutospacing="1" w:after="100" w:afterAutospacing="1" w:line="240" w:lineRule="auto"/>
      <w:jc w:val="left"/>
    </w:pPr>
    <w:rPr>
      <w:rFonts w:ascii="Arial" w:eastAsia="Times New Roman" w:hAnsi="Arial" w:cs="Arial"/>
      <w:b/>
      <w:bCs/>
      <w:color w:val="FF0000"/>
      <w:kern w:val="0"/>
      <w:sz w:val="24"/>
      <w:lang w:val="en-CA" w:eastAsia="en-CA"/>
    </w:rPr>
  </w:style>
  <w:style w:type="paragraph" w:customStyle="1" w:styleId="xl142">
    <w:name w:val="xl142"/>
    <w:basedOn w:val="Normal"/>
    <w:rsid w:val="00AC4FB9"/>
    <w:pPr>
      <w:bidi w:val="0"/>
      <w:spacing w:before="100" w:beforeAutospacing="1" w:after="100" w:afterAutospacing="1" w:line="240" w:lineRule="auto"/>
      <w:jc w:val="left"/>
    </w:pPr>
    <w:rPr>
      <w:rFonts w:ascii="Arial" w:eastAsia="Times New Roman" w:hAnsi="Arial" w:cs="Arial"/>
      <w:color w:val="FF0000"/>
      <w:kern w:val="0"/>
      <w:sz w:val="24"/>
      <w:lang w:val="en-CA" w:eastAsia="en-CA"/>
    </w:rPr>
  </w:style>
  <w:style w:type="paragraph" w:customStyle="1" w:styleId="xl143">
    <w:name w:val="xl143"/>
    <w:basedOn w:val="Normal"/>
    <w:rsid w:val="00AC4FB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pPr>
    <w:rPr>
      <w:rFonts w:eastAsia="Times New Roman" w:cs="Times New Roman"/>
      <w:kern w:val="0"/>
      <w:sz w:val="16"/>
      <w:szCs w:val="16"/>
      <w:lang w:val="en-CA" w:eastAsia="en-CA"/>
    </w:rPr>
  </w:style>
  <w:style w:type="paragraph" w:customStyle="1" w:styleId="xl144">
    <w:name w:val="xl144"/>
    <w:basedOn w:val="Normal"/>
    <w:rsid w:val="00AC4FB9"/>
    <w:pPr>
      <w:bidi w:val="0"/>
      <w:spacing w:before="100" w:beforeAutospacing="1" w:after="100" w:afterAutospacing="1" w:line="240" w:lineRule="auto"/>
      <w:jc w:val="left"/>
      <w:textAlignment w:val="top"/>
    </w:pPr>
    <w:rPr>
      <w:rFonts w:eastAsia="Times New Roman" w:cs="Times New Roman"/>
      <w:kern w:val="0"/>
      <w:sz w:val="16"/>
      <w:szCs w:val="16"/>
      <w:lang w:val="en-CA" w:eastAsia="en-CA"/>
    </w:rPr>
  </w:style>
  <w:style w:type="paragraph" w:customStyle="1" w:styleId="xl145">
    <w:name w:val="xl145"/>
    <w:basedOn w:val="Normal"/>
    <w:rsid w:val="00AC4FB9"/>
    <w:pPr>
      <w:pBdr>
        <w:top w:val="single" w:sz="4" w:space="0" w:color="auto"/>
        <w:bottom w:val="single" w:sz="4" w:space="0" w:color="auto"/>
      </w:pBdr>
      <w:bidi w:val="0"/>
      <w:spacing w:before="100" w:beforeAutospacing="1" w:after="100" w:afterAutospacing="1" w:line="240" w:lineRule="auto"/>
      <w:jc w:val="left"/>
      <w:textAlignment w:val="top"/>
    </w:pPr>
    <w:rPr>
      <w:rFonts w:eastAsia="Times New Roman" w:cs="Times New Roman"/>
      <w:kern w:val="0"/>
      <w:sz w:val="16"/>
      <w:szCs w:val="16"/>
      <w:lang w:val="en-CA" w:eastAsia="en-CA"/>
    </w:rPr>
  </w:style>
  <w:style w:type="paragraph" w:customStyle="1" w:styleId="xl146">
    <w:name w:val="xl146"/>
    <w:basedOn w:val="Normal"/>
    <w:rsid w:val="00AC4FB9"/>
    <w:pPr>
      <w:pBdr>
        <w:top w:val="single" w:sz="4" w:space="0" w:color="auto"/>
        <w:bottom w:val="single" w:sz="4" w:space="0" w:color="auto"/>
      </w:pBdr>
      <w:bidi w:val="0"/>
      <w:spacing w:before="100" w:beforeAutospacing="1" w:after="100" w:afterAutospacing="1" w:line="240" w:lineRule="auto"/>
      <w:jc w:val="left"/>
      <w:textAlignment w:val="top"/>
    </w:pPr>
    <w:rPr>
      <w:rFonts w:eastAsia="Times New Roman" w:cs="Times New Roman"/>
      <w:kern w:val="0"/>
      <w:sz w:val="16"/>
      <w:szCs w:val="16"/>
      <w:lang w:val="en-CA" w:eastAsia="en-CA"/>
    </w:rPr>
  </w:style>
  <w:style w:type="paragraph" w:customStyle="1" w:styleId="xl147">
    <w:name w:val="xl147"/>
    <w:basedOn w:val="Normal"/>
    <w:rsid w:val="00AC4FB9"/>
    <w:pPr>
      <w:pBdr>
        <w:top w:val="single" w:sz="4" w:space="0" w:color="auto"/>
        <w:bottom w:val="single" w:sz="4" w:space="0" w:color="auto"/>
      </w:pBdr>
      <w:bidi w:val="0"/>
      <w:spacing w:before="100" w:beforeAutospacing="1" w:after="100" w:afterAutospacing="1" w:line="240" w:lineRule="auto"/>
      <w:jc w:val="left"/>
      <w:textAlignment w:val="top"/>
    </w:pPr>
    <w:rPr>
      <w:rFonts w:eastAsia="Times New Roman" w:cs="Times New Roman"/>
      <w:kern w:val="0"/>
      <w:sz w:val="16"/>
      <w:szCs w:val="16"/>
      <w:lang w:val="en-CA" w:eastAsia="en-CA"/>
    </w:rPr>
  </w:style>
  <w:style w:type="paragraph" w:customStyle="1" w:styleId="xl148">
    <w:name w:val="xl148"/>
    <w:basedOn w:val="Normal"/>
    <w:rsid w:val="00AC4FB9"/>
    <w:pPr>
      <w:pBdr>
        <w:top w:val="single" w:sz="4" w:space="0" w:color="auto"/>
        <w:bottom w:val="single" w:sz="4" w:space="0" w:color="auto"/>
      </w:pBdr>
      <w:bidi w:val="0"/>
      <w:spacing w:before="100" w:beforeAutospacing="1" w:after="100" w:afterAutospacing="1" w:line="240" w:lineRule="auto"/>
      <w:jc w:val="left"/>
      <w:textAlignment w:val="top"/>
    </w:pPr>
    <w:rPr>
      <w:rFonts w:eastAsia="Times New Roman" w:cs="Times New Roman"/>
      <w:kern w:val="0"/>
      <w:sz w:val="16"/>
      <w:szCs w:val="16"/>
      <w:lang w:val="en-CA" w:eastAsia="en-CA"/>
    </w:rPr>
  </w:style>
  <w:style w:type="paragraph" w:customStyle="1" w:styleId="xl149">
    <w:name w:val="xl149"/>
    <w:basedOn w:val="Normal"/>
    <w:rsid w:val="00AC4FB9"/>
    <w:pPr>
      <w:pBdr>
        <w:top w:val="single" w:sz="4" w:space="0" w:color="auto"/>
        <w:left w:val="single" w:sz="4" w:space="0" w:color="auto"/>
        <w:right w:val="single" w:sz="4" w:space="0" w:color="auto"/>
      </w:pBdr>
      <w:bidi w:val="0"/>
      <w:spacing w:before="100" w:beforeAutospacing="1" w:after="100" w:afterAutospacing="1" w:line="240" w:lineRule="auto"/>
      <w:jc w:val="right"/>
      <w:textAlignment w:val="top"/>
    </w:pPr>
    <w:rPr>
      <w:rFonts w:eastAsia="Times New Roman" w:cs="Times New Roman"/>
      <w:kern w:val="0"/>
      <w:sz w:val="16"/>
      <w:szCs w:val="16"/>
      <w:lang w:val="en-CA" w:eastAsia="en-CA"/>
    </w:rPr>
  </w:style>
  <w:style w:type="paragraph" w:customStyle="1" w:styleId="xl150">
    <w:name w:val="xl150"/>
    <w:basedOn w:val="Normal"/>
    <w:rsid w:val="00AC4FB9"/>
    <w:pPr>
      <w:pBdr>
        <w:top w:val="single" w:sz="4" w:space="0" w:color="auto"/>
        <w:left w:val="single" w:sz="4" w:space="0" w:color="auto"/>
      </w:pBdr>
      <w:bidi w:val="0"/>
      <w:spacing w:before="100" w:beforeAutospacing="1" w:after="100" w:afterAutospacing="1" w:line="240" w:lineRule="auto"/>
      <w:jc w:val="left"/>
    </w:pPr>
    <w:rPr>
      <w:rFonts w:eastAsia="Times New Roman" w:cs="Times New Roman"/>
      <w:kern w:val="0"/>
      <w:sz w:val="16"/>
      <w:szCs w:val="16"/>
      <w:lang w:val="en-CA" w:eastAsia="en-CA"/>
    </w:rPr>
  </w:style>
  <w:style w:type="paragraph" w:customStyle="1" w:styleId="xl151">
    <w:name w:val="xl151"/>
    <w:basedOn w:val="Normal"/>
    <w:rsid w:val="00AC4FB9"/>
    <w:pPr>
      <w:pBdr>
        <w:top w:val="single" w:sz="4" w:space="0" w:color="auto"/>
        <w:left w:val="single" w:sz="4" w:space="0" w:color="auto"/>
        <w:right w:val="single" w:sz="4" w:space="0" w:color="auto"/>
      </w:pBdr>
      <w:bidi w:val="0"/>
      <w:spacing w:before="100" w:beforeAutospacing="1" w:after="100" w:afterAutospacing="1" w:line="240" w:lineRule="auto"/>
      <w:jc w:val="center"/>
    </w:pPr>
    <w:rPr>
      <w:rFonts w:eastAsia="Times New Roman" w:cs="Times New Roman"/>
      <w:kern w:val="0"/>
      <w:sz w:val="16"/>
      <w:szCs w:val="16"/>
      <w:lang w:val="en-CA" w:eastAsia="en-CA"/>
    </w:rPr>
  </w:style>
  <w:style w:type="paragraph" w:customStyle="1" w:styleId="xl152">
    <w:name w:val="xl152"/>
    <w:basedOn w:val="Normal"/>
    <w:rsid w:val="00AC4FB9"/>
    <w:pPr>
      <w:pBdr>
        <w:top w:val="single" w:sz="4" w:space="0" w:color="auto"/>
        <w:right w:val="single" w:sz="4" w:space="0" w:color="auto"/>
      </w:pBdr>
      <w:bidi w:val="0"/>
      <w:spacing w:before="100" w:beforeAutospacing="1" w:after="100" w:afterAutospacing="1" w:line="240" w:lineRule="auto"/>
      <w:jc w:val="left"/>
    </w:pPr>
    <w:rPr>
      <w:rFonts w:eastAsia="Times New Roman" w:cs="Times New Roman"/>
      <w:kern w:val="0"/>
      <w:sz w:val="16"/>
      <w:szCs w:val="16"/>
      <w:lang w:val="en-CA" w:eastAsia="en-CA"/>
    </w:rPr>
  </w:style>
  <w:style w:type="paragraph" w:customStyle="1" w:styleId="xl153">
    <w:name w:val="xl153"/>
    <w:basedOn w:val="Normal"/>
    <w:rsid w:val="00AC4FB9"/>
    <w:pPr>
      <w:pBdr>
        <w:left w:val="single" w:sz="4" w:space="0" w:color="auto"/>
      </w:pBdr>
      <w:bidi w:val="0"/>
      <w:spacing w:before="100" w:beforeAutospacing="1" w:after="100" w:afterAutospacing="1" w:line="240" w:lineRule="auto"/>
      <w:jc w:val="left"/>
    </w:pPr>
    <w:rPr>
      <w:rFonts w:eastAsia="Times New Roman" w:cs="Times New Roman"/>
      <w:kern w:val="0"/>
      <w:sz w:val="16"/>
      <w:szCs w:val="16"/>
      <w:lang w:val="en-CA" w:eastAsia="en-CA"/>
    </w:rPr>
  </w:style>
  <w:style w:type="paragraph" w:customStyle="1" w:styleId="xl154">
    <w:name w:val="xl154"/>
    <w:basedOn w:val="Normal"/>
    <w:rsid w:val="00AC4FB9"/>
    <w:pPr>
      <w:pBdr>
        <w:left w:val="single" w:sz="4" w:space="0" w:color="auto"/>
      </w:pBdr>
      <w:bidi w:val="0"/>
      <w:spacing w:before="100" w:beforeAutospacing="1" w:after="100" w:afterAutospacing="1" w:line="240" w:lineRule="auto"/>
      <w:jc w:val="center"/>
    </w:pPr>
    <w:rPr>
      <w:rFonts w:eastAsia="Times New Roman" w:cs="Times New Roman"/>
      <w:kern w:val="0"/>
      <w:sz w:val="16"/>
      <w:szCs w:val="16"/>
      <w:lang w:val="en-CA" w:eastAsia="en-CA"/>
    </w:rPr>
  </w:style>
  <w:style w:type="paragraph" w:customStyle="1" w:styleId="xl155">
    <w:name w:val="xl155"/>
    <w:basedOn w:val="Normal"/>
    <w:rsid w:val="00AC4FB9"/>
    <w:pPr>
      <w:pBdr>
        <w:left w:val="single" w:sz="4" w:space="0" w:color="auto"/>
        <w:right w:val="single" w:sz="4" w:space="0" w:color="auto"/>
      </w:pBdr>
      <w:bidi w:val="0"/>
      <w:spacing w:before="100" w:beforeAutospacing="1" w:after="100" w:afterAutospacing="1" w:line="240" w:lineRule="auto"/>
      <w:jc w:val="center"/>
    </w:pPr>
    <w:rPr>
      <w:rFonts w:eastAsia="Times New Roman" w:cs="Times New Roman"/>
      <w:kern w:val="0"/>
      <w:sz w:val="16"/>
      <w:szCs w:val="16"/>
      <w:lang w:val="en-CA" w:eastAsia="en-CA"/>
    </w:rPr>
  </w:style>
  <w:style w:type="paragraph" w:customStyle="1" w:styleId="xl156">
    <w:name w:val="xl156"/>
    <w:basedOn w:val="Normal"/>
    <w:rsid w:val="00AC4FB9"/>
    <w:pPr>
      <w:pBdr>
        <w:right w:val="single" w:sz="4" w:space="0" w:color="auto"/>
      </w:pBdr>
      <w:bidi w:val="0"/>
      <w:spacing w:before="100" w:beforeAutospacing="1" w:after="100" w:afterAutospacing="1" w:line="240" w:lineRule="auto"/>
      <w:jc w:val="center"/>
    </w:pPr>
    <w:rPr>
      <w:rFonts w:eastAsia="Times New Roman" w:cs="Times New Roman"/>
      <w:kern w:val="0"/>
      <w:sz w:val="16"/>
      <w:szCs w:val="16"/>
      <w:lang w:val="en-CA" w:eastAsia="en-CA"/>
    </w:rPr>
  </w:style>
  <w:style w:type="paragraph" w:customStyle="1" w:styleId="xl157">
    <w:name w:val="xl157"/>
    <w:basedOn w:val="Normal"/>
    <w:rsid w:val="00AC4FB9"/>
    <w:pPr>
      <w:pBdr>
        <w:left w:val="single" w:sz="4" w:space="0" w:color="auto"/>
        <w:right w:val="single" w:sz="4" w:space="0" w:color="auto"/>
      </w:pBdr>
      <w:bidi w:val="0"/>
      <w:spacing w:before="100" w:beforeAutospacing="1" w:after="100" w:afterAutospacing="1" w:line="240" w:lineRule="auto"/>
      <w:jc w:val="left"/>
    </w:pPr>
    <w:rPr>
      <w:rFonts w:eastAsia="Times New Roman" w:cs="Times New Roman"/>
      <w:kern w:val="0"/>
      <w:sz w:val="16"/>
      <w:szCs w:val="16"/>
      <w:lang w:val="en-CA" w:eastAsia="en-CA"/>
    </w:rPr>
  </w:style>
  <w:style w:type="paragraph" w:customStyle="1" w:styleId="xl158">
    <w:name w:val="xl158"/>
    <w:basedOn w:val="Normal"/>
    <w:rsid w:val="00AC4FB9"/>
    <w:pPr>
      <w:pBdr>
        <w:left w:val="single" w:sz="4" w:space="0" w:color="auto"/>
      </w:pBdr>
      <w:bidi w:val="0"/>
      <w:spacing w:before="100" w:beforeAutospacing="1" w:after="100" w:afterAutospacing="1" w:line="240" w:lineRule="auto"/>
      <w:jc w:val="center"/>
    </w:pPr>
    <w:rPr>
      <w:rFonts w:eastAsia="Times New Roman" w:cs="Times New Roman"/>
      <w:kern w:val="0"/>
      <w:sz w:val="16"/>
      <w:szCs w:val="16"/>
      <w:lang w:val="en-CA" w:eastAsia="en-CA"/>
    </w:rPr>
  </w:style>
  <w:style w:type="paragraph" w:customStyle="1" w:styleId="xl159">
    <w:name w:val="xl159"/>
    <w:basedOn w:val="Normal"/>
    <w:rsid w:val="00AC4FB9"/>
    <w:pPr>
      <w:pBdr>
        <w:right w:val="single" w:sz="4" w:space="0" w:color="auto"/>
      </w:pBdr>
      <w:bidi w:val="0"/>
      <w:spacing w:before="100" w:beforeAutospacing="1" w:after="100" w:afterAutospacing="1" w:line="240" w:lineRule="auto"/>
      <w:jc w:val="center"/>
    </w:pPr>
    <w:rPr>
      <w:rFonts w:eastAsia="Times New Roman" w:cs="Times New Roman"/>
      <w:kern w:val="0"/>
      <w:sz w:val="16"/>
      <w:szCs w:val="16"/>
      <w:lang w:val="en-CA" w:eastAsia="en-CA"/>
    </w:rPr>
  </w:style>
  <w:style w:type="paragraph" w:customStyle="1" w:styleId="xl160">
    <w:name w:val="xl160"/>
    <w:basedOn w:val="Normal"/>
    <w:rsid w:val="00AC4FB9"/>
    <w:pPr>
      <w:pBdr>
        <w:right w:val="single" w:sz="4" w:space="0" w:color="auto"/>
      </w:pBdr>
      <w:bidi w:val="0"/>
      <w:spacing w:before="100" w:beforeAutospacing="1" w:after="100" w:afterAutospacing="1" w:line="240" w:lineRule="auto"/>
      <w:jc w:val="center"/>
    </w:pPr>
    <w:rPr>
      <w:rFonts w:eastAsia="Times New Roman" w:cs="Times New Roman"/>
      <w:kern w:val="0"/>
      <w:sz w:val="16"/>
      <w:szCs w:val="16"/>
      <w:lang w:val="en-CA" w:eastAsia="en-CA"/>
    </w:rPr>
  </w:style>
  <w:style w:type="paragraph" w:customStyle="1" w:styleId="xl161">
    <w:name w:val="xl161"/>
    <w:basedOn w:val="Normal"/>
    <w:rsid w:val="00AC4FB9"/>
    <w:pPr>
      <w:pBdr>
        <w:left w:val="single" w:sz="4" w:space="0" w:color="auto"/>
        <w:bottom w:val="single" w:sz="4" w:space="0" w:color="auto"/>
        <w:right w:val="single" w:sz="4" w:space="0" w:color="auto"/>
      </w:pBdr>
      <w:bidi w:val="0"/>
      <w:spacing w:before="100" w:beforeAutospacing="1" w:after="100" w:afterAutospacing="1" w:line="240" w:lineRule="auto"/>
      <w:jc w:val="left"/>
    </w:pPr>
    <w:rPr>
      <w:rFonts w:eastAsia="Times New Roman" w:cs="Times New Roman"/>
      <w:kern w:val="0"/>
      <w:sz w:val="16"/>
      <w:szCs w:val="16"/>
      <w:lang w:val="en-CA" w:eastAsia="en-CA"/>
    </w:rPr>
  </w:style>
  <w:style w:type="paragraph" w:customStyle="1" w:styleId="xl162">
    <w:name w:val="xl162"/>
    <w:basedOn w:val="Normal"/>
    <w:rsid w:val="00AC4FB9"/>
    <w:pPr>
      <w:pBdr>
        <w:left w:val="single" w:sz="4" w:space="0" w:color="auto"/>
        <w:bottom w:val="single" w:sz="4" w:space="0" w:color="auto"/>
      </w:pBdr>
      <w:bidi w:val="0"/>
      <w:spacing w:before="100" w:beforeAutospacing="1" w:after="100" w:afterAutospacing="1" w:line="240" w:lineRule="auto"/>
      <w:jc w:val="center"/>
    </w:pPr>
    <w:rPr>
      <w:rFonts w:eastAsia="Times New Roman" w:cs="Times New Roman"/>
      <w:kern w:val="0"/>
      <w:sz w:val="16"/>
      <w:szCs w:val="16"/>
      <w:lang w:val="en-CA" w:eastAsia="en-CA"/>
    </w:rPr>
  </w:style>
  <w:style w:type="paragraph" w:customStyle="1" w:styleId="xl163">
    <w:name w:val="xl163"/>
    <w:basedOn w:val="Normal"/>
    <w:rsid w:val="00AC4FB9"/>
    <w:pPr>
      <w:pBdr>
        <w:left w:val="single" w:sz="4" w:space="0" w:color="auto"/>
        <w:bottom w:val="single" w:sz="4" w:space="0" w:color="auto"/>
        <w:right w:val="single" w:sz="4" w:space="0" w:color="auto"/>
      </w:pBdr>
      <w:bidi w:val="0"/>
      <w:spacing w:before="100" w:beforeAutospacing="1" w:after="100" w:afterAutospacing="1" w:line="240" w:lineRule="auto"/>
      <w:jc w:val="center"/>
    </w:pPr>
    <w:rPr>
      <w:rFonts w:eastAsia="Times New Roman" w:cs="Times New Roman"/>
      <w:kern w:val="0"/>
      <w:sz w:val="16"/>
      <w:szCs w:val="16"/>
      <w:lang w:val="en-CA" w:eastAsia="en-CA"/>
    </w:rPr>
  </w:style>
  <w:style w:type="paragraph" w:customStyle="1" w:styleId="xl164">
    <w:name w:val="xl164"/>
    <w:basedOn w:val="Normal"/>
    <w:rsid w:val="00AC4FB9"/>
    <w:pPr>
      <w:pBdr>
        <w:bottom w:val="single" w:sz="4" w:space="0" w:color="auto"/>
        <w:right w:val="single" w:sz="4" w:space="0" w:color="auto"/>
      </w:pBdr>
      <w:bidi w:val="0"/>
      <w:spacing w:before="100" w:beforeAutospacing="1" w:after="100" w:afterAutospacing="1" w:line="240" w:lineRule="auto"/>
      <w:jc w:val="center"/>
    </w:pPr>
    <w:rPr>
      <w:rFonts w:eastAsia="Times New Roman" w:cs="Times New Roman"/>
      <w:kern w:val="0"/>
      <w:sz w:val="16"/>
      <w:szCs w:val="16"/>
      <w:lang w:val="en-CA" w:eastAsia="en-CA"/>
    </w:rPr>
  </w:style>
  <w:style w:type="paragraph" w:customStyle="1" w:styleId="xl165">
    <w:name w:val="xl165"/>
    <w:basedOn w:val="Normal"/>
    <w:rsid w:val="00AC4FB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textAlignment w:val="top"/>
    </w:pPr>
    <w:rPr>
      <w:rFonts w:eastAsia="Times New Roman" w:cs="Times New Roman"/>
      <w:kern w:val="0"/>
      <w:sz w:val="16"/>
      <w:szCs w:val="16"/>
      <w:lang w:val="en-CA" w:eastAsia="en-CA"/>
    </w:rPr>
  </w:style>
  <w:style w:type="paragraph" w:customStyle="1" w:styleId="xl166">
    <w:name w:val="xl166"/>
    <w:basedOn w:val="Normal"/>
    <w:rsid w:val="00AC4FB9"/>
    <w:pPr>
      <w:pBdr>
        <w:left w:val="single" w:sz="4" w:space="0" w:color="auto"/>
      </w:pBdr>
      <w:bidi w:val="0"/>
      <w:spacing w:before="100" w:beforeAutospacing="1" w:after="100" w:afterAutospacing="1" w:line="240" w:lineRule="auto"/>
      <w:jc w:val="center"/>
    </w:pPr>
    <w:rPr>
      <w:rFonts w:eastAsia="Times New Roman" w:cs="Times New Roman"/>
      <w:kern w:val="0"/>
      <w:sz w:val="16"/>
      <w:szCs w:val="16"/>
    </w:rPr>
  </w:style>
  <w:style w:type="paragraph" w:customStyle="1" w:styleId="xl167">
    <w:name w:val="xl167"/>
    <w:basedOn w:val="Normal"/>
    <w:rsid w:val="00AC4FB9"/>
    <w:pPr>
      <w:pBdr>
        <w:left w:val="single" w:sz="4" w:space="0" w:color="auto"/>
        <w:right w:val="single" w:sz="4" w:space="0" w:color="auto"/>
      </w:pBdr>
      <w:bidi w:val="0"/>
      <w:spacing w:before="100" w:beforeAutospacing="1" w:after="100" w:afterAutospacing="1" w:line="240" w:lineRule="auto"/>
      <w:jc w:val="center"/>
    </w:pPr>
    <w:rPr>
      <w:rFonts w:eastAsia="Times New Roman" w:cs="Times New Roman"/>
      <w:kern w:val="0"/>
      <w:sz w:val="16"/>
      <w:szCs w:val="16"/>
    </w:rPr>
  </w:style>
  <w:style w:type="paragraph" w:customStyle="1" w:styleId="xl168">
    <w:name w:val="xl168"/>
    <w:basedOn w:val="Normal"/>
    <w:rsid w:val="00AC4FB9"/>
    <w:pPr>
      <w:pBdr>
        <w:right w:val="single" w:sz="4" w:space="0" w:color="auto"/>
      </w:pBdr>
      <w:bidi w:val="0"/>
      <w:spacing w:before="100" w:beforeAutospacing="1" w:after="100" w:afterAutospacing="1" w:line="240" w:lineRule="auto"/>
      <w:jc w:val="center"/>
    </w:pPr>
    <w:rPr>
      <w:rFonts w:eastAsia="Times New Roman" w:cs="Times New Roman"/>
      <w:kern w:val="0"/>
      <w:sz w:val="16"/>
      <w:szCs w:val="16"/>
    </w:rPr>
  </w:style>
  <w:style w:type="paragraph" w:customStyle="1" w:styleId="xl169">
    <w:name w:val="xl169"/>
    <w:basedOn w:val="Normal"/>
    <w:rsid w:val="00AC4FB9"/>
    <w:pPr>
      <w:pBdr>
        <w:right w:val="single" w:sz="4" w:space="0" w:color="auto"/>
      </w:pBdr>
      <w:bidi w:val="0"/>
      <w:spacing w:before="100" w:beforeAutospacing="1" w:after="100" w:afterAutospacing="1" w:line="240" w:lineRule="auto"/>
      <w:jc w:val="center"/>
    </w:pPr>
    <w:rPr>
      <w:rFonts w:eastAsia="Times New Roman" w:cs="Times New Roman"/>
      <w:kern w:val="0"/>
      <w:sz w:val="16"/>
      <w:szCs w:val="16"/>
    </w:rPr>
  </w:style>
  <w:style w:type="paragraph" w:customStyle="1" w:styleId="xl170">
    <w:name w:val="xl170"/>
    <w:basedOn w:val="Normal"/>
    <w:rsid w:val="00AC4FB9"/>
    <w:pPr>
      <w:pBdr>
        <w:left w:val="single" w:sz="4" w:space="0" w:color="auto"/>
        <w:bottom w:val="single" w:sz="4" w:space="0" w:color="auto"/>
        <w:right w:val="single" w:sz="4" w:space="0" w:color="auto"/>
      </w:pBdr>
      <w:bidi w:val="0"/>
      <w:spacing w:before="100" w:beforeAutospacing="1" w:after="100" w:afterAutospacing="1" w:line="240" w:lineRule="auto"/>
      <w:jc w:val="left"/>
    </w:pPr>
    <w:rPr>
      <w:rFonts w:eastAsia="Times New Roman" w:cs="Times New Roman"/>
      <w:kern w:val="0"/>
      <w:sz w:val="16"/>
      <w:szCs w:val="16"/>
    </w:rPr>
  </w:style>
  <w:style w:type="paragraph" w:customStyle="1" w:styleId="xl171">
    <w:name w:val="xl171"/>
    <w:basedOn w:val="Normal"/>
    <w:rsid w:val="00AC4FB9"/>
    <w:pPr>
      <w:pBdr>
        <w:left w:val="single" w:sz="4" w:space="0" w:color="auto"/>
        <w:bottom w:val="single" w:sz="4" w:space="0" w:color="auto"/>
      </w:pBdr>
      <w:bidi w:val="0"/>
      <w:spacing w:before="100" w:beforeAutospacing="1" w:after="100" w:afterAutospacing="1" w:line="240" w:lineRule="auto"/>
      <w:jc w:val="center"/>
    </w:pPr>
    <w:rPr>
      <w:rFonts w:eastAsia="Times New Roman" w:cs="Times New Roman"/>
      <w:kern w:val="0"/>
      <w:sz w:val="16"/>
      <w:szCs w:val="16"/>
    </w:rPr>
  </w:style>
  <w:style w:type="paragraph" w:customStyle="1" w:styleId="xl172">
    <w:name w:val="xl172"/>
    <w:basedOn w:val="Normal"/>
    <w:rsid w:val="00AC4FB9"/>
    <w:pPr>
      <w:pBdr>
        <w:left w:val="single" w:sz="4" w:space="0" w:color="auto"/>
        <w:bottom w:val="single" w:sz="4" w:space="0" w:color="auto"/>
        <w:right w:val="single" w:sz="4" w:space="0" w:color="auto"/>
      </w:pBdr>
      <w:bidi w:val="0"/>
      <w:spacing w:before="100" w:beforeAutospacing="1" w:after="100" w:afterAutospacing="1" w:line="240" w:lineRule="auto"/>
      <w:jc w:val="center"/>
    </w:pPr>
    <w:rPr>
      <w:rFonts w:eastAsia="Times New Roman" w:cs="Times New Roman"/>
      <w:kern w:val="0"/>
      <w:sz w:val="16"/>
      <w:szCs w:val="16"/>
    </w:rPr>
  </w:style>
  <w:style w:type="paragraph" w:customStyle="1" w:styleId="xl173">
    <w:name w:val="xl173"/>
    <w:basedOn w:val="Normal"/>
    <w:rsid w:val="00AC4FB9"/>
    <w:pPr>
      <w:pBdr>
        <w:left w:val="single" w:sz="4" w:space="0" w:color="auto"/>
        <w:bottom w:val="single" w:sz="4" w:space="0" w:color="auto"/>
        <w:right w:val="single" w:sz="4" w:space="0" w:color="auto"/>
      </w:pBdr>
      <w:bidi w:val="0"/>
      <w:spacing w:before="100" w:beforeAutospacing="1" w:after="100" w:afterAutospacing="1" w:line="240" w:lineRule="auto"/>
      <w:jc w:val="center"/>
    </w:pPr>
    <w:rPr>
      <w:rFonts w:eastAsia="Times New Roman" w:cs="Times New Roman"/>
      <w:kern w:val="0"/>
      <w:sz w:val="16"/>
      <w:szCs w:val="16"/>
    </w:rPr>
  </w:style>
  <w:style w:type="paragraph" w:customStyle="1" w:styleId="xl174">
    <w:name w:val="xl174"/>
    <w:basedOn w:val="Normal"/>
    <w:rsid w:val="00AC4FB9"/>
    <w:pPr>
      <w:pBdr>
        <w:left w:val="single" w:sz="4" w:space="0" w:color="auto"/>
        <w:right w:val="single" w:sz="4" w:space="0" w:color="auto"/>
      </w:pBdr>
      <w:bidi w:val="0"/>
      <w:spacing w:before="100" w:beforeAutospacing="1" w:after="100" w:afterAutospacing="1" w:line="240" w:lineRule="auto"/>
      <w:jc w:val="center"/>
    </w:pPr>
    <w:rPr>
      <w:rFonts w:eastAsia="Times New Roman" w:cs="Times New Roman"/>
      <w:kern w:val="0"/>
      <w:sz w:val="16"/>
      <w:szCs w:val="16"/>
    </w:rPr>
  </w:style>
  <w:style w:type="paragraph" w:customStyle="1" w:styleId="xl175">
    <w:name w:val="xl175"/>
    <w:basedOn w:val="Normal"/>
    <w:rsid w:val="00AC4FB9"/>
    <w:pPr>
      <w:pBdr>
        <w:bottom w:val="single" w:sz="4" w:space="0" w:color="auto"/>
        <w:right w:val="single" w:sz="4" w:space="0" w:color="auto"/>
      </w:pBdr>
      <w:bidi w:val="0"/>
      <w:spacing w:before="100" w:beforeAutospacing="1" w:after="100" w:afterAutospacing="1" w:line="240" w:lineRule="auto"/>
      <w:jc w:val="center"/>
    </w:pPr>
    <w:rPr>
      <w:rFonts w:eastAsia="Times New Roman" w:cs="Times New Roman"/>
      <w:kern w:val="0"/>
      <w:sz w:val="16"/>
      <w:szCs w:val="16"/>
    </w:rPr>
  </w:style>
  <w:style w:type="paragraph" w:customStyle="1" w:styleId="xl176">
    <w:name w:val="xl176"/>
    <w:basedOn w:val="Normal"/>
    <w:rsid w:val="00AC4FB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textAlignment w:val="top"/>
    </w:pPr>
    <w:rPr>
      <w:rFonts w:eastAsia="Times New Roman" w:cs="Times New Roman"/>
      <w:kern w:val="0"/>
      <w:sz w:val="16"/>
      <w:szCs w:val="16"/>
    </w:rPr>
  </w:style>
  <w:style w:type="paragraph" w:customStyle="1" w:styleId="xl177">
    <w:name w:val="xl177"/>
    <w:basedOn w:val="Normal"/>
    <w:rsid w:val="00AC4FB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textAlignment w:val="top"/>
    </w:pPr>
    <w:rPr>
      <w:rFonts w:eastAsia="Times New Roman" w:cs="Times New Roman"/>
      <w:kern w:val="0"/>
      <w:sz w:val="16"/>
      <w:szCs w:val="16"/>
    </w:rPr>
  </w:style>
  <w:style w:type="paragraph" w:customStyle="1" w:styleId="xl178">
    <w:name w:val="xl178"/>
    <w:basedOn w:val="Normal"/>
    <w:rsid w:val="00AC4FB9"/>
    <w:pPr>
      <w:bidi w:val="0"/>
      <w:spacing w:before="100" w:beforeAutospacing="1" w:after="100" w:afterAutospacing="1" w:line="240" w:lineRule="auto"/>
      <w:jc w:val="left"/>
      <w:textAlignment w:val="top"/>
    </w:pPr>
    <w:rPr>
      <w:rFonts w:ascii="Arial" w:eastAsia="Times New Roman" w:hAnsi="Arial" w:cs="Arial"/>
      <w:kern w:val="0"/>
      <w:sz w:val="24"/>
    </w:rPr>
  </w:style>
  <w:style w:type="table" w:styleId="TableGrid">
    <w:name w:val="Table Grid"/>
    <w:basedOn w:val="TableNormal"/>
    <w:uiPriority w:val="59"/>
    <w:rsid w:val="00AC4FB9"/>
    <w:rPr>
      <w:lang w:val="en-US"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79">
    <w:name w:val="xl179"/>
    <w:basedOn w:val="Normal"/>
    <w:rsid w:val="00AC4FB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pPr>
    <w:rPr>
      <w:rFonts w:ascii="Arial" w:eastAsia="Times New Roman" w:hAnsi="Arial" w:cs="Arial"/>
      <w:kern w:val="0"/>
      <w:sz w:val="24"/>
    </w:rPr>
  </w:style>
  <w:style w:type="paragraph" w:customStyle="1" w:styleId="xl180">
    <w:name w:val="xl180"/>
    <w:basedOn w:val="Normal"/>
    <w:rsid w:val="00AC4FB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textAlignment w:val="top"/>
    </w:pPr>
    <w:rPr>
      <w:rFonts w:eastAsia="Times New Roman" w:cs="Times New Roman"/>
      <w:b/>
      <w:bCs/>
      <w:color w:val="00B050"/>
      <w:kern w:val="0"/>
      <w:sz w:val="16"/>
      <w:szCs w:val="16"/>
    </w:rPr>
  </w:style>
  <w:style w:type="paragraph" w:customStyle="1" w:styleId="xl181">
    <w:name w:val="xl181"/>
    <w:basedOn w:val="Normal"/>
    <w:rsid w:val="00AC4FB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textAlignment w:val="top"/>
    </w:pPr>
    <w:rPr>
      <w:rFonts w:eastAsia="Times New Roman" w:cs="Times New Roman"/>
      <w:kern w:val="0"/>
      <w:sz w:val="16"/>
      <w:szCs w:val="16"/>
    </w:rPr>
  </w:style>
  <w:style w:type="paragraph" w:customStyle="1" w:styleId="xl182">
    <w:name w:val="xl182"/>
    <w:basedOn w:val="Normal"/>
    <w:rsid w:val="00AC4FB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textAlignment w:val="top"/>
    </w:pPr>
    <w:rPr>
      <w:rFonts w:eastAsia="Times New Roman" w:cs="Times New Roman"/>
      <w:color w:val="FF0000"/>
      <w:kern w:val="0"/>
      <w:sz w:val="16"/>
      <w:szCs w:val="16"/>
    </w:rPr>
  </w:style>
  <w:style w:type="paragraph" w:customStyle="1" w:styleId="xl183">
    <w:name w:val="xl183"/>
    <w:basedOn w:val="Normal"/>
    <w:rsid w:val="00AC4FB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textAlignment w:val="top"/>
    </w:pPr>
    <w:rPr>
      <w:rFonts w:eastAsia="Times New Roman" w:cs="Times New Roman"/>
      <w:b/>
      <w:bCs/>
      <w:color w:val="0070C0"/>
      <w:kern w:val="0"/>
      <w:sz w:val="16"/>
      <w:szCs w:val="16"/>
    </w:rPr>
  </w:style>
  <w:style w:type="paragraph" w:customStyle="1" w:styleId="xl184">
    <w:name w:val="xl184"/>
    <w:basedOn w:val="Normal"/>
    <w:rsid w:val="00AC4FB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textAlignment w:val="top"/>
    </w:pPr>
    <w:rPr>
      <w:rFonts w:eastAsia="Times New Roman" w:cs="Times New Roman"/>
      <w:b/>
      <w:bCs/>
      <w:color w:val="00B050"/>
      <w:kern w:val="0"/>
      <w:sz w:val="16"/>
      <w:szCs w:val="16"/>
    </w:rPr>
  </w:style>
  <w:style w:type="paragraph" w:customStyle="1" w:styleId="xl185">
    <w:name w:val="xl185"/>
    <w:basedOn w:val="Normal"/>
    <w:rsid w:val="00AC4FB9"/>
    <w:pPr>
      <w:pBdr>
        <w:top w:val="single" w:sz="4" w:space="0" w:color="auto"/>
        <w:left w:val="single" w:sz="4" w:space="0" w:color="auto"/>
        <w:bottom w:val="single" w:sz="4" w:space="0" w:color="auto"/>
        <w:right w:val="single" w:sz="4" w:space="0" w:color="auto"/>
      </w:pBdr>
      <w:shd w:val="clear" w:color="000000" w:fill="FFFF00"/>
      <w:bidi w:val="0"/>
      <w:spacing w:before="100" w:beforeAutospacing="1" w:after="100" w:afterAutospacing="1" w:line="240" w:lineRule="auto"/>
      <w:jc w:val="left"/>
      <w:textAlignment w:val="top"/>
    </w:pPr>
    <w:rPr>
      <w:rFonts w:eastAsia="Times New Roman" w:cs="Times New Roman"/>
      <w:kern w:val="0"/>
      <w:sz w:val="16"/>
      <w:szCs w:val="16"/>
    </w:rPr>
  </w:style>
  <w:style w:type="paragraph" w:customStyle="1" w:styleId="ColorfulShading-Accent12">
    <w:name w:val="Colorful Shading - Accent 12"/>
    <w:hidden/>
    <w:uiPriority w:val="99"/>
    <w:semiHidden/>
    <w:rsid w:val="00AC4FB9"/>
    <w:rPr>
      <w:sz w:val="22"/>
      <w:szCs w:val="24"/>
      <w:lang w:val="en-GB" w:eastAsia="en-US"/>
    </w:rPr>
  </w:style>
  <w:style w:type="paragraph" w:customStyle="1" w:styleId="H1">
    <w:name w:val="_ H_1"/>
    <w:basedOn w:val="Normal"/>
    <w:next w:val="SingleTxt"/>
    <w:rsid w:val="00AC4FB9"/>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bidi w:val="0"/>
      <w:spacing w:before="120" w:after="120" w:line="270" w:lineRule="exact"/>
      <w:ind w:left="1267" w:right="1267" w:hanging="1267"/>
      <w:jc w:val="left"/>
      <w:outlineLvl w:val="0"/>
    </w:pPr>
    <w:rPr>
      <w:rFonts w:eastAsia="Calibri" w:cs="Times New Roman"/>
      <w:b/>
      <w:spacing w:val="4"/>
      <w:w w:val="103"/>
      <w:kern w:val="14"/>
      <w:sz w:val="24"/>
      <w:szCs w:val="20"/>
      <w:lang w:val="en-GB"/>
    </w:rPr>
  </w:style>
  <w:style w:type="paragraph" w:customStyle="1" w:styleId="HCh">
    <w:name w:val="_ H _Ch"/>
    <w:basedOn w:val="H1"/>
    <w:next w:val="SingleTxt"/>
    <w:rsid w:val="00AC4FB9"/>
    <w:pPr>
      <w:spacing w:line="300" w:lineRule="exact"/>
      <w:ind w:left="0" w:right="0" w:firstLine="0"/>
    </w:pPr>
    <w:rPr>
      <w:spacing w:val="-2"/>
      <w:sz w:val="28"/>
    </w:rPr>
  </w:style>
  <w:style w:type="paragraph" w:customStyle="1" w:styleId="H23">
    <w:name w:val="_ H_2/3"/>
    <w:basedOn w:val="Normal"/>
    <w:next w:val="SingleTxt"/>
    <w:rsid w:val="00AC4FB9"/>
    <w:pPr>
      <w:suppressAutoHyphens/>
      <w:bidi w:val="0"/>
      <w:spacing w:before="120" w:after="120" w:line="240" w:lineRule="exact"/>
      <w:jc w:val="left"/>
      <w:outlineLvl w:val="1"/>
    </w:pPr>
    <w:rPr>
      <w:rFonts w:eastAsia="Calibri" w:cs="Times New Roman"/>
      <w:b/>
      <w:spacing w:val="4"/>
      <w:w w:val="103"/>
      <w:kern w:val="14"/>
      <w:szCs w:val="20"/>
    </w:rPr>
  </w:style>
  <w:style w:type="paragraph" w:customStyle="1" w:styleId="SingleTxt">
    <w:name w:val="__Single Txt"/>
    <w:basedOn w:val="Normal"/>
    <w:rsid w:val="00AC4FB9"/>
    <w:pPr>
      <w:tabs>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bidi w:val="0"/>
      <w:spacing w:before="120" w:after="120" w:line="240" w:lineRule="atLeast"/>
      <w:ind w:left="1267" w:right="1267"/>
      <w:jc w:val="both"/>
    </w:pPr>
    <w:rPr>
      <w:rFonts w:eastAsia="Calibri" w:cs="Times New Roman"/>
      <w:spacing w:val="4"/>
      <w:w w:val="103"/>
      <w:kern w:val="14"/>
      <w:szCs w:val="20"/>
      <w:lang w:val="en-GB"/>
    </w:rPr>
  </w:style>
  <w:style w:type="paragraph" w:customStyle="1" w:styleId="H56">
    <w:name w:val="_ H_5/6"/>
    <w:basedOn w:val="Normal"/>
    <w:next w:val="Normal"/>
    <w:rsid w:val="00AC4FB9"/>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bidi w:val="0"/>
      <w:spacing w:before="120" w:after="120" w:line="240" w:lineRule="exact"/>
      <w:ind w:left="1267" w:right="1267" w:hanging="1267"/>
      <w:jc w:val="left"/>
      <w:outlineLvl w:val="4"/>
    </w:pPr>
    <w:rPr>
      <w:rFonts w:eastAsia="Calibri" w:cs="Times New Roman"/>
      <w:spacing w:val="4"/>
      <w:w w:val="103"/>
      <w:kern w:val="14"/>
      <w:szCs w:val="20"/>
      <w:lang w:val="en-GB"/>
    </w:rPr>
  </w:style>
  <w:style w:type="paragraph" w:customStyle="1" w:styleId="H4">
    <w:name w:val="_ H_4"/>
    <w:basedOn w:val="Normal"/>
    <w:next w:val="Normal"/>
    <w:rsid w:val="00AC4FB9"/>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bidi w:val="0"/>
      <w:spacing w:before="120" w:after="120" w:line="240" w:lineRule="exact"/>
      <w:ind w:left="1267" w:right="1267" w:hanging="1267"/>
      <w:jc w:val="left"/>
      <w:outlineLvl w:val="3"/>
    </w:pPr>
    <w:rPr>
      <w:rFonts w:eastAsia="Calibri" w:cs="Times New Roman"/>
      <w:i/>
      <w:spacing w:val="3"/>
      <w:w w:val="103"/>
      <w:kern w:val="14"/>
      <w:szCs w:val="20"/>
      <w:lang w:val="en-GB"/>
    </w:rPr>
  </w:style>
  <w:style w:type="paragraph" w:customStyle="1" w:styleId="ColorfulList-Accent12">
    <w:name w:val="Colorful List - Accent 12"/>
    <w:basedOn w:val="Normal"/>
    <w:uiPriority w:val="34"/>
    <w:qFormat/>
    <w:rsid w:val="00AC4FB9"/>
    <w:pPr>
      <w:bidi w:val="0"/>
      <w:spacing w:before="120" w:after="120" w:line="240" w:lineRule="auto"/>
      <w:ind w:left="720"/>
      <w:jc w:val="both"/>
    </w:pPr>
    <w:rPr>
      <w:rFonts w:eastAsia="Times New Roman" w:cs="Times New Roman"/>
      <w:kern w:val="0"/>
      <w:sz w:val="22"/>
      <w:lang w:val="en-GB"/>
    </w:rPr>
  </w:style>
  <w:style w:type="paragraph" w:customStyle="1" w:styleId="Body">
    <w:name w:val="Body"/>
    <w:rsid w:val="00AC4FB9"/>
    <w:pPr>
      <w:pBdr>
        <w:top w:val="nil"/>
        <w:left w:val="nil"/>
        <w:bottom w:val="nil"/>
        <w:right w:val="nil"/>
        <w:between w:val="nil"/>
        <w:bar w:val="nil"/>
      </w:pBdr>
    </w:pPr>
    <w:rPr>
      <w:rFonts w:ascii="Calibri" w:eastAsia="Calibri" w:hAnsi="Calibri" w:cs="Calibri"/>
      <w:color w:val="000000"/>
      <w:sz w:val="22"/>
      <w:szCs w:val="22"/>
      <w:u w:color="000000"/>
      <w:bdr w:val="nil"/>
      <w:lang w:val="de-DE" w:eastAsia="en-US"/>
    </w:rPr>
  </w:style>
  <w:style w:type="paragraph" w:customStyle="1" w:styleId="CM1">
    <w:name w:val="CM1"/>
    <w:basedOn w:val="Default"/>
    <w:next w:val="Default"/>
    <w:uiPriority w:val="99"/>
    <w:rsid w:val="00AC4FB9"/>
    <w:pPr>
      <w:widowControl w:val="0"/>
    </w:pPr>
    <w:rPr>
      <w:rFonts w:eastAsia="MS Mincho"/>
      <w:color w:val="auto"/>
      <w:lang w:val="en-GB" w:eastAsia="zh-CN"/>
    </w:rPr>
  </w:style>
  <w:style w:type="paragraph" w:customStyle="1" w:styleId="Para11">
    <w:name w:val="Para 1"/>
    <w:basedOn w:val="Normal"/>
    <w:autoRedefine/>
    <w:rsid w:val="00AC4FB9"/>
    <w:pPr>
      <w:suppressLineNumbers/>
      <w:tabs>
        <w:tab w:val="right" w:pos="851"/>
        <w:tab w:val="left" w:pos="1287"/>
        <w:tab w:val="left" w:pos="2693"/>
        <w:tab w:val="left" w:pos="3182"/>
        <w:tab w:val="left" w:pos="3658"/>
        <w:tab w:val="left" w:pos="4133"/>
        <w:tab w:val="left" w:pos="4622"/>
        <w:tab w:val="left" w:pos="5098"/>
        <w:tab w:val="left" w:pos="5573"/>
        <w:tab w:val="left" w:pos="6048"/>
      </w:tabs>
      <w:suppressAutoHyphens/>
      <w:bidi w:val="0"/>
      <w:spacing w:before="120" w:after="120" w:line="240" w:lineRule="auto"/>
      <w:ind w:left="851"/>
      <w:jc w:val="both"/>
    </w:pPr>
    <w:rPr>
      <w:rFonts w:eastAsia="SimSun" w:cs="Times New Roman"/>
      <w:snapToGrid w:val="0"/>
      <w:kern w:val="22"/>
      <w:sz w:val="22"/>
      <w:szCs w:val="22"/>
      <w:lang w:val="en-GB" w:eastAsia="zh-CN"/>
    </w:rPr>
  </w:style>
  <w:style w:type="character" w:styleId="Strong">
    <w:name w:val="Strong"/>
    <w:uiPriority w:val="22"/>
    <w:qFormat/>
    <w:rsid w:val="00AC4FB9"/>
    <w:rPr>
      <w:b/>
      <w:bCs/>
    </w:rPr>
  </w:style>
  <w:style w:type="paragraph" w:styleId="Revision">
    <w:name w:val="Revision"/>
    <w:hidden/>
    <w:uiPriority w:val="99"/>
    <w:semiHidden/>
    <w:rsid w:val="00AC4FB9"/>
    <w:rPr>
      <w:sz w:val="22"/>
      <w:szCs w:val="24"/>
      <w:lang w:val="en-GB" w:eastAsia="en-US"/>
    </w:rPr>
  </w:style>
  <w:style w:type="paragraph" w:customStyle="1" w:styleId="xl65">
    <w:name w:val="xl65"/>
    <w:basedOn w:val="Normal"/>
    <w:rsid w:val="00AC4FB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eastAsia="Times New Roman" w:cs="Times New Roman"/>
      <w:b/>
      <w:bCs/>
      <w:kern w:val="0"/>
      <w:sz w:val="18"/>
      <w:szCs w:val="18"/>
      <w:lang w:val="en-CA" w:eastAsia="en-CA"/>
    </w:rPr>
  </w:style>
  <w:style w:type="paragraph" w:customStyle="1" w:styleId="xl66">
    <w:name w:val="xl66"/>
    <w:basedOn w:val="Normal"/>
    <w:rsid w:val="00AC4FB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eastAsia="Times New Roman" w:cs="Times New Roman"/>
      <w:b/>
      <w:bCs/>
      <w:kern w:val="0"/>
      <w:sz w:val="18"/>
      <w:szCs w:val="18"/>
      <w:lang w:val="en-CA" w:eastAsia="en-CA"/>
    </w:rPr>
  </w:style>
  <w:style w:type="paragraph" w:customStyle="1" w:styleId="xl67">
    <w:name w:val="xl67"/>
    <w:basedOn w:val="Normal"/>
    <w:rsid w:val="00AC4FB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eastAsia="Times New Roman" w:cs="Times New Roman"/>
      <w:b/>
      <w:bCs/>
      <w:kern w:val="0"/>
      <w:sz w:val="18"/>
      <w:szCs w:val="18"/>
      <w:lang w:val="en-CA" w:eastAsia="en-CA"/>
    </w:rPr>
  </w:style>
  <w:style w:type="paragraph" w:customStyle="1" w:styleId="xl68">
    <w:name w:val="xl68"/>
    <w:basedOn w:val="Normal"/>
    <w:rsid w:val="00AC4FB9"/>
    <w:pPr>
      <w:bidi w:val="0"/>
      <w:spacing w:before="100" w:beforeAutospacing="1" w:after="100" w:afterAutospacing="1" w:line="240" w:lineRule="auto"/>
      <w:jc w:val="left"/>
      <w:textAlignment w:val="center"/>
    </w:pPr>
    <w:rPr>
      <w:rFonts w:eastAsia="Times New Roman" w:cs="Times New Roman"/>
      <w:kern w:val="0"/>
      <w:sz w:val="18"/>
      <w:szCs w:val="18"/>
      <w:lang w:val="en-CA" w:eastAsia="en-CA"/>
    </w:rPr>
  </w:style>
  <w:style w:type="paragraph" w:customStyle="1" w:styleId="xl63">
    <w:name w:val="xl63"/>
    <w:basedOn w:val="Normal"/>
    <w:rsid w:val="00AC4FB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textAlignment w:val="center"/>
    </w:pPr>
    <w:rPr>
      <w:rFonts w:eastAsia="Times New Roman" w:cs="Times New Roman"/>
      <w:b/>
      <w:bCs/>
      <w:kern w:val="0"/>
      <w:sz w:val="24"/>
      <w:lang w:val="en-CA" w:eastAsia="en-CA"/>
    </w:rPr>
  </w:style>
  <w:style w:type="paragraph" w:customStyle="1" w:styleId="xl64">
    <w:name w:val="xl64"/>
    <w:basedOn w:val="Normal"/>
    <w:rsid w:val="00AC4FB9"/>
    <w:pPr>
      <w:bidi w:val="0"/>
      <w:spacing w:before="100" w:beforeAutospacing="1" w:after="100" w:afterAutospacing="1" w:line="240" w:lineRule="auto"/>
      <w:jc w:val="left"/>
      <w:textAlignment w:val="center"/>
    </w:pPr>
    <w:rPr>
      <w:rFonts w:eastAsia="Times New Roman" w:cs="Times New Roman"/>
      <w:kern w:val="0"/>
      <w:sz w:val="24"/>
      <w:lang w:val="en-CA" w:eastAsia="en-CA"/>
    </w:rPr>
  </w:style>
  <w:style w:type="character" w:customStyle="1" w:styleId="preferred">
    <w:name w:val="preferred"/>
    <w:rsid w:val="00EB09B2"/>
  </w:style>
  <w:style w:type="character" w:styleId="Emphasis">
    <w:name w:val="Emphasis"/>
    <w:uiPriority w:val="20"/>
    <w:qFormat/>
    <w:rsid w:val="00EB09B2"/>
    <w:rPr>
      <w:i/>
      <w:iCs/>
    </w:rPr>
  </w:style>
  <w:style w:type="character" w:customStyle="1" w:styleId="shorttext">
    <w:name w:val="short_text"/>
    <w:rsid w:val="00EB09B2"/>
  </w:style>
  <w:style w:type="paragraph" w:styleId="TOCHeading">
    <w:name w:val="TOC Heading"/>
    <w:basedOn w:val="Heading1"/>
    <w:next w:val="Normal"/>
    <w:uiPriority w:val="39"/>
    <w:semiHidden/>
    <w:unhideWhenUsed/>
    <w:qFormat/>
    <w:rsid w:val="00EB09B2"/>
    <w:pPr>
      <w:keepLines/>
      <w:bidi w:val="0"/>
      <w:spacing w:before="480" w:after="0" w:line="276" w:lineRule="auto"/>
      <w:jc w:val="left"/>
      <w:outlineLvl w:val="9"/>
    </w:pPr>
    <w:rPr>
      <w:rFonts w:asciiTheme="majorHAnsi" w:eastAsiaTheme="majorEastAsia" w:hAnsiTheme="majorHAnsi" w:cstheme="majorBidi"/>
      <w:color w:val="2F5496" w:themeColor="accent1" w:themeShade="BF"/>
      <w:kern w:val="0"/>
      <w:sz w:val="28"/>
      <w:szCs w:val="28"/>
    </w:rPr>
  </w:style>
  <w:style w:type="paragraph" w:styleId="TOC2">
    <w:name w:val="toc 2"/>
    <w:basedOn w:val="Normal"/>
    <w:next w:val="Normal"/>
    <w:autoRedefine/>
    <w:qFormat/>
    <w:rsid w:val="00EB09B2"/>
    <w:pPr>
      <w:spacing w:after="100"/>
      <w:ind w:left="200"/>
    </w:pPr>
    <w:rPr>
      <w:lang w:bidi="ar-EG"/>
    </w:rPr>
  </w:style>
  <w:style w:type="paragraph" w:styleId="TOC1">
    <w:name w:val="toc 1"/>
    <w:basedOn w:val="Normal"/>
    <w:next w:val="Normal"/>
    <w:autoRedefine/>
    <w:unhideWhenUsed/>
    <w:qFormat/>
    <w:rsid w:val="00EB09B2"/>
    <w:pPr>
      <w:tabs>
        <w:tab w:val="left" w:pos="1080"/>
        <w:tab w:val="right" w:leader="dot" w:pos="9090"/>
      </w:tabs>
      <w:spacing w:after="100"/>
      <w:ind w:left="1080" w:right="1350" w:hanging="1080"/>
      <w:jc w:val="left"/>
    </w:pPr>
    <w:rPr>
      <w:rFonts w:ascii="Simplified Arabic" w:eastAsiaTheme="minorEastAsia" w:hAnsi="Simplified Arabic" w:cstheme="minorBidi"/>
      <w:kern w:val="0"/>
      <w:sz w:val="24"/>
      <w:szCs w:val="22"/>
    </w:rPr>
  </w:style>
  <w:style w:type="paragraph" w:styleId="TOC3">
    <w:name w:val="toc 3"/>
    <w:basedOn w:val="Normal"/>
    <w:next w:val="Normal"/>
    <w:autoRedefine/>
    <w:unhideWhenUsed/>
    <w:qFormat/>
    <w:rsid w:val="00EB09B2"/>
    <w:pPr>
      <w:bidi w:val="0"/>
      <w:spacing w:after="100" w:line="276" w:lineRule="auto"/>
      <w:ind w:left="440"/>
      <w:jc w:val="left"/>
    </w:pPr>
    <w:rPr>
      <w:rFonts w:asciiTheme="minorHAnsi" w:eastAsiaTheme="minorEastAsia" w:hAnsiTheme="minorHAnsi" w:cstheme="minorBidi"/>
      <w:kern w:val="0"/>
      <w:sz w:val="22"/>
      <w:szCs w:val="22"/>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rsid w:val="00B255FA"/>
    <w:pPr>
      <w:bidi w:val="0"/>
      <w:spacing w:line="240" w:lineRule="exact"/>
      <w:jc w:val="both"/>
    </w:pPr>
    <w:rPr>
      <w:rFonts w:eastAsia="Times New Roman"/>
      <w:kern w:val="0"/>
      <w:vertAlign w:val="superscript"/>
      <w:lang w:val="en-CA" w:eastAsia="en-CA" w:bidi="ar-EG"/>
    </w:rPr>
  </w:style>
  <w:style w:type="paragraph" w:customStyle="1" w:styleId="recommendationheader">
    <w:name w:val="recommendation header"/>
    <w:basedOn w:val="Heading2"/>
    <w:qFormat/>
    <w:rsid w:val="008F1236"/>
    <w:pPr>
      <w:tabs>
        <w:tab w:val="left" w:pos="720"/>
      </w:tabs>
      <w:bidi w:val="0"/>
      <w:spacing w:before="120" w:line="240" w:lineRule="auto"/>
    </w:pPr>
    <w:rPr>
      <w:rFonts w:ascii="Times New Roman" w:hAnsi="Times New Roman"/>
      <w:iCs/>
      <w:kern w:val="0"/>
      <w:sz w:val="22"/>
      <w:lang w:val="en-GB"/>
    </w:rPr>
  </w:style>
  <w:style w:type="paragraph" w:customStyle="1" w:styleId="Item">
    <w:name w:val="Item"/>
    <w:basedOn w:val="Normal"/>
    <w:qFormat/>
    <w:rsid w:val="008F1236"/>
    <w:pPr>
      <w:keepNext/>
      <w:bidi w:val="0"/>
      <w:spacing w:before="240" w:after="120" w:line="240" w:lineRule="auto"/>
      <w:ind w:left="720" w:hanging="720"/>
      <w:jc w:val="center"/>
    </w:pPr>
    <w:rPr>
      <w:rFonts w:eastAsia="Times New Roman" w:cs="Times New Roman"/>
      <w:b/>
      <w:kern w:val="22"/>
      <w:sz w:val="22"/>
      <w:lang w:val="en-GB"/>
    </w:rPr>
  </w:style>
  <w:style w:type="paragraph" w:styleId="NoSpacing">
    <w:name w:val="No Spacing"/>
    <w:link w:val="NoSpacingChar"/>
    <w:uiPriority w:val="1"/>
    <w:qFormat/>
    <w:rsid w:val="008F1236"/>
    <w:rPr>
      <w:rFonts w:ascii="Calibri" w:eastAsia="Calibri" w:hAnsi="Calibri"/>
      <w:sz w:val="22"/>
      <w:szCs w:val="22"/>
      <w:lang w:val="en-US" w:eastAsia="en-US"/>
    </w:rPr>
  </w:style>
  <w:style w:type="character" w:customStyle="1" w:styleId="NoSpacingChar">
    <w:name w:val="No Spacing Char"/>
    <w:basedOn w:val="DefaultParagraphFont"/>
    <w:link w:val="NoSpacing"/>
    <w:uiPriority w:val="1"/>
    <w:rsid w:val="008F1236"/>
    <w:rPr>
      <w:rFonts w:ascii="Calibri" w:eastAsia="Calibri" w:hAnsi="Calibri"/>
      <w:sz w:val="22"/>
      <w:szCs w:val="22"/>
      <w:lang w:val="en-US" w:eastAsia="en-US"/>
    </w:rPr>
  </w:style>
  <w:style w:type="character" w:styleId="PlaceholderText">
    <w:name w:val="Placeholder Text"/>
    <w:basedOn w:val="DefaultParagraphFont"/>
    <w:uiPriority w:val="99"/>
    <w:rsid w:val="008F1236"/>
    <w:rPr>
      <w:color w:val="808080"/>
    </w:rPr>
  </w:style>
  <w:style w:type="paragraph" w:customStyle="1" w:styleId="decision">
    <w:name w:val="decision"/>
    <w:basedOn w:val="Normal"/>
    <w:qFormat/>
    <w:rsid w:val="008F1236"/>
    <w:pPr>
      <w:keepNext/>
      <w:bidi w:val="0"/>
      <w:spacing w:line="240" w:lineRule="auto"/>
      <w:jc w:val="center"/>
    </w:pPr>
    <w:rPr>
      <w:rFonts w:ascii="Times New Roman Bold" w:eastAsia="Malgun Gothic" w:hAnsi="Times New Roman Bold" w:cs="Times New Roman"/>
      <w:b/>
      <w:kern w:val="0"/>
      <w:sz w:val="22"/>
      <w:lang w:val="en-GB"/>
    </w:rPr>
  </w:style>
  <w:style w:type="table" w:customStyle="1" w:styleId="TableGrid1">
    <w:name w:val="Table Grid1"/>
    <w:basedOn w:val="TableNormal"/>
    <w:next w:val="TableGrid"/>
    <w:uiPriority w:val="59"/>
    <w:rsid w:val="008F1236"/>
    <w:rPr>
      <w:rFonts w:asciiTheme="minorHAnsi" w:eastAsiaTheme="minorEastAsia" w:hAnsiTheme="minorHAnsi" w:cstheme="minorBidi"/>
      <w:sz w:val="24"/>
      <w:szCs w:val="24"/>
      <w:lang w:val="fr-CA"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stTable6Colorful1">
    <w:name w:val="List Table 6 Colorful1"/>
    <w:basedOn w:val="TableNormal"/>
    <w:uiPriority w:val="51"/>
    <w:rsid w:val="008F1236"/>
    <w:rPr>
      <w:rFonts w:asciiTheme="minorHAnsi" w:eastAsiaTheme="minorEastAsia" w:hAnsiTheme="minorHAnsi" w:cstheme="minorBidi"/>
      <w:color w:val="000000" w:themeColor="text1"/>
      <w:sz w:val="24"/>
      <w:szCs w:val="24"/>
      <w:lang w:val="fr-CA" w:eastAsia="en-US"/>
    </w:rPr>
    <w:tblPr>
      <w:tblStyleRowBandSize w:val="1"/>
      <w:tblStyleColBandSize w:val="1"/>
      <w:tblInd w:w="0" w:type="dxa"/>
      <w:tblBorders>
        <w:top w:val="single" w:sz="4" w:space="0" w:color="000000" w:themeColor="text1"/>
        <w:bottom w:val="single" w:sz="4" w:space="0" w:color="000000" w:themeColor="text1"/>
      </w:tblBorders>
      <w:tblCellMar>
        <w:top w:w="0" w:type="dxa"/>
        <w:left w:w="108" w:type="dxa"/>
        <w:bottom w:w="0" w:type="dxa"/>
        <w:right w:w="108" w:type="dxa"/>
      </w:tblCellMar>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reference">
    <w:name w:val="reference"/>
    <w:basedOn w:val="Heading9"/>
    <w:qFormat/>
    <w:rsid w:val="008F1236"/>
    <w:rPr>
      <w:i w:val="0"/>
      <w:sz w:val="18"/>
    </w:rPr>
  </w:style>
  <w:style w:type="paragraph" w:styleId="Caption">
    <w:name w:val="caption"/>
    <w:basedOn w:val="Normal"/>
    <w:next w:val="Normal"/>
    <w:uiPriority w:val="35"/>
    <w:unhideWhenUsed/>
    <w:qFormat/>
    <w:rsid w:val="008F1236"/>
    <w:pPr>
      <w:keepNext/>
      <w:keepLines/>
      <w:bidi w:val="0"/>
      <w:spacing w:after="200" w:line="240" w:lineRule="auto"/>
      <w:jc w:val="both"/>
    </w:pPr>
    <w:rPr>
      <w:rFonts w:eastAsia="Times New Roman" w:cs="Times New Roman"/>
      <w:b/>
      <w:iCs/>
      <w:kern w:val="0"/>
      <w:sz w:val="22"/>
      <w:szCs w:val="18"/>
      <w:lang w:val="en-GB"/>
    </w:rPr>
  </w:style>
  <w:style w:type="paragraph" w:customStyle="1" w:styleId="CBD-Doc">
    <w:name w:val="CBD-Doc"/>
    <w:basedOn w:val="Normal"/>
    <w:rsid w:val="008F1236"/>
    <w:pPr>
      <w:keepLines/>
      <w:numPr>
        <w:numId w:val="16"/>
      </w:numPr>
      <w:bidi w:val="0"/>
      <w:spacing w:after="120" w:line="240" w:lineRule="auto"/>
      <w:jc w:val="both"/>
    </w:pPr>
    <w:rPr>
      <w:rFonts w:eastAsia="Times New Roman" w:cs="Angsana New"/>
      <w:kern w:val="0"/>
      <w:sz w:val="22"/>
      <w:lang w:val="en-GB"/>
    </w:rPr>
  </w:style>
  <w:style w:type="paragraph" w:customStyle="1" w:styleId="CBD-Doc-Type">
    <w:name w:val="CBD-Doc-Type"/>
    <w:basedOn w:val="Normal"/>
    <w:rsid w:val="008F1236"/>
    <w:pPr>
      <w:keepLines/>
      <w:bidi w:val="0"/>
      <w:spacing w:before="240" w:after="120" w:line="240" w:lineRule="auto"/>
      <w:jc w:val="both"/>
    </w:pPr>
    <w:rPr>
      <w:rFonts w:eastAsia="Times New Roman" w:cs="Angsana New"/>
      <w:b/>
      <w:i/>
      <w:kern w:val="0"/>
      <w:sz w:val="24"/>
      <w:lang w:val="en-GB"/>
    </w:rPr>
  </w:style>
  <w:style w:type="paragraph" w:customStyle="1" w:styleId="CBD-Para">
    <w:name w:val="CBD-Para"/>
    <w:basedOn w:val="Normal"/>
    <w:link w:val="CBD-ParaCharChar"/>
    <w:uiPriority w:val="99"/>
    <w:rsid w:val="008F1236"/>
    <w:pPr>
      <w:keepLines/>
      <w:numPr>
        <w:numId w:val="17"/>
      </w:numPr>
      <w:bidi w:val="0"/>
      <w:spacing w:before="120" w:after="120" w:line="240" w:lineRule="auto"/>
      <w:jc w:val="both"/>
    </w:pPr>
    <w:rPr>
      <w:rFonts w:eastAsia="Times New Roman" w:cs="Times New Roman"/>
      <w:kern w:val="0"/>
      <w:sz w:val="22"/>
      <w:szCs w:val="22"/>
    </w:rPr>
  </w:style>
  <w:style w:type="character" w:customStyle="1" w:styleId="CBD-ParaCharChar">
    <w:name w:val="CBD-Para Char Char"/>
    <w:link w:val="CBD-Para"/>
    <w:uiPriority w:val="99"/>
    <w:locked/>
    <w:rsid w:val="008F1236"/>
    <w:rPr>
      <w:sz w:val="22"/>
      <w:szCs w:val="22"/>
      <w:lang w:val="en-US" w:eastAsia="en-US"/>
    </w:rPr>
  </w:style>
  <w:style w:type="character" w:styleId="EndnoteReference">
    <w:name w:val="endnote reference"/>
    <w:rsid w:val="008F1236"/>
    <w:rPr>
      <w:vertAlign w:val="superscript"/>
    </w:rPr>
  </w:style>
  <w:style w:type="paragraph" w:styleId="EndnoteText">
    <w:name w:val="endnote text"/>
    <w:basedOn w:val="Normal"/>
    <w:link w:val="EndnoteTextChar"/>
    <w:rsid w:val="008F1236"/>
    <w:pPr>
      <w:widowControl w:val="0"/>
      <w:tabs>
        <w:tab w:val="left" w:pos="-720"/>
      </w:tabs>
      <w:suppressAutoHyphens/>
      <w:bidi w:val="0"/>
      <w:spacing w:line="240" w:lineRule="auto"/>
      <w:jc w:val="both"/>
    </w:pPr>
    <w:rPr>
      <w:rFonts w:ascii="Courier New" w:eastAsia="Times New Roman" w:hAnsi="Courier New" w:cs="Times New Roman"/>
      <w:kern w:val="0"/>
      <w:sz w:val="22"/>
      <w:lang w:val="en-GB"/>
    </w:rPr>
  </w:style>
  <w:style w:type="character" w:customStyle="1" w:styleId="EndnoteTextChar">
    <w:name w:val="Endnote Text Char"/>
    <w:basedOn w:val="DefaultParagraphFont"/>
    <w:link w:val="EndnoteText"/>
    <w:rsid w:val="008F1236"/>
    <w:rPr>
      <w:rFonts w:ascii="Courier New" w:hAnsi="Courier New"/>
      <w:sz w:val="22"/>
      <w:szCs w:val="24"/>
      <w:lang w:val="en-GB" w:eastAsia="en-US"/>
    </w:rPr>
  </w:style>
  <w:style w:type="paragraph" w:customStyle="1" w:styleId="heading2notforTOC">
    <w:name w:val="heading 2 not for TOC"/>
    <w:basedOn w:val="Heading3"/>
    <w:rsid w:val="008F1236"/>
    <w:pPr>
      <w:tabs>
        <w:tab w:val="left" w:pos="567"/>
      </w:tabs>
      <w:bidi w:val="0"/>
      <w:spacing w:before="120" w:line="240" w:lineRule="auto"/>
    </w:pPr>
    <w:rPr>
      <w:i/>
      <w:iCs/>
      <w:kern w:val="0"/>
      <w:sz w:val="22"/>
      <w:lang w:val="en-GB"/>
    </w:rPr>
  </w:style>
  <w:style w:type="paragraph" w:customStyle="1" w:styleId="meetingname">
    <w:name w:val="meeting name"/>
    <w:basedOn w:val="Normal"/>
    <w:qFormat/>
    <w:rsid w:val="008F1236"/>
    <w:pPr>
      <w:bidi w:val="0"/>
      <w:spacing w:line="240" w:lineRule="auto"/>
      <w:ind w:left="142" w:right="4218" w:hanging="142"/>
      <w:jc w:val="both"/>
    </w:pPr>
    <w:rPr>
      <w:rFonts w:eastAsia="Times New Roman" w:cs="Times New Roman"/>
      <w:caps/>
      <w:kern w:val="0"/>
      <w:sz w:val="22"/>
      <w:szCs w:val="22"/>
      <w:lang w:val="en-GB"/>
    </w:rPr>
  </w:style>
  <w:style w:type="paragraph" w:customStyle="1" w:styleId="Quotationtextindented">
    <w:name w:val="Quotation text (indented)"/>
    <w:basedOn w:val="Normal"/>
    <w:qFormat/>
    <w:rsid w:val="008F1236"/>
    <w:pPr>
      <w:bidi w:val="0"/>
      <w:spacing w:before="120" w:after="120" w:line="240" w:lineRule="auto"/>
      <w:ind w:left="720" w:right="720"/>
      <w:jc w:val="both"/>
    </w:pPr>
    <w:rPr>
      <w:rFonts w:eastAsia="Times New Roman" w:cs="Times New Roman"/>
      <w:bCs/>
      <w:kern w:val="0"/>
      <w:sz w:val="22"/>
      <w:lang w:val="en-GB"/>
    </w:rPr>
  </w:style>
  <w:style w:type="paragraph" w:customStyle="1" w:styleId="recommendationheaderlong">
    <w:name w:val="recommendation header long"/>
    <w:basedOn w:val="Heading2longmultiline"/>
    <w:qFormat/>
    <w:rsid w:val="008F1236"/>
  </w:style>
  <w:style w:type="character" w:customStyle="1" w:styleId="StyleFootnoteReferenceNounderline">
    <w:name w:val="Style Footnote Reference + No underline"/>
    <w:rsid w:val="008F1236"/>
    <w:rPr>
      <w:sz w:val="18"/>
      <w:u w:val="none"/>
      <w:vertAlign w:val="baseline"/>
    </w:rPr>
  </w:style>
  <w:style w:type="paragraph" w:customStyle="1" w:styleId="tabletitle">
    <w:name w:val="table title"/>
    <w:basedOn w:val="Heading2"/>
    <w:qFormat/>
    <w:rsid w:val="008F1236"/>
    <w:pPr>
      <w:tabs>
        <w:tab w:val="left" w:pos="720"/>
      </w:tabs>
      <w:bidi w:val="0"/>
      <w:spacing w:before="120" w:line="240" w:lineRule="auto"/>
      <w:jc w:val="left"/>
      <w:outlineLvl w:val="9"/>
    </w:pPr>
    <w:rPr>
      <w:rFonts w:ascii="Times New Roman" w:hAnsi="Times New Roman"/>
      <w:i/>
      <w:iCs/>
      <w:kern w:val="0"/>
      <w:sz w:val="22"/>
      <w:lang w:val="en-GB"/>
    </w:rPr>
  </w:style>
  <w:style w:type="paragraph" w:styleId="TOAHeading">
    <w:name w:val="toa heading"/>
    <w:basedOn w:val="Normal"/>
    <w:next w:val="Normal"/>
    <w:rsid w:val="008F1236"/>
    <w:pPr>
      <w:bidi w:val="0"/>
      <w:spacing w:before="120" w:line="240" w:lineRule="auto"/>
      <w:jc w:val="both"/>
    </w:pPr>
    <w:rPr>
      <w:rFonts w:eastAsia="Times New Roman" w:cs="Arial"/>
      <w:b/>
      <w:bCs/>
      <w:kern w:val="0"/>
      <w:sz w:val="24"/>
      <w:lang w:val="en-GB"/>
    </w:rPr>
  </w:style>
  <w:style w:type="paragraph" w:styleId="TOC4">
    <w:name w:val="toc 4"/>
    <w:basedOn w:val="Normal"/>
    <w:next w:val="Normal"/>
    <w:autoRedefine/>
    <w:rsid w:val="008F1236"/>
    <w:pPr>
      <w:bidi w:val="0"/>
      <w:spacing w:before="120" w:after="120" w:line="240" w:lineRule="auto"/>
      <w:ind w:left="660"/>
      <w:jc w:val="left"/>
    </w:pPr>
    <w:rPr>
      <w:rFonts w:eastAsia="Times New Roman" w:cs="Times New Roman"/>
      <w:kern w:val="0"/>
      <w:sz w:val="22"/>
      <w:lang w:val="en-GB"/>
    </w:rPr>
  </w:style>
  <w:style w:type="paragraph" w:styleId="TOC5">
    <w:name w:val="toc 5"/>
    <w:basedOn w:val="Normal"/>
    <w:next w:val="Normal"/>
    <w:autoRedefine/>
    <w:rsid w:val="008F1236"/>
    <w:pPr>
      <w:bidi w:val="0"/>
      <w:spacing w:before="120" w:after="120" w:line="240" w:lineRule="auto"/>
      <w:ind w:left="880"/>
      <w:jc w:val="left"/>
    </w:pPr>
    <w:rPr>
      <w:rFonts w:eastAsia="Times New Roman" w:cs="Times New Roman"/>
      <w:kern w:val="0"/>
      <w:sz w:val="22"/>
      <w:lang w:val="en-GB"/>
    </w:rPr>
  </w:style>
  <w:style w:type="paragraph" w:styleId="TOC6">
    <w:name w:val="toc 6"/>
    <w:basedOn w:val="Normal"/>
    <w:next w:val="Normal"/>
    <w:autoRedefine/>
    <w:rsid w:val="008F1236"/>
    <w:pPr>
      <w:bidi w:val="0"/>
      <w:spacing w:before="120" w:after="120" w:line="240" w:lineRule="auto"/>
      <w:ind w:left="1100"/>
      <w:jc w:val="left"/>
    </w:pPr>
    <w:rPr>
      <w:rFonts w:eastAsia="Times New Roman" w:cs="Times New Roman"/>
      <w:kern w:val="0"/>
      <w:sz w:val="22"/>
      <w:lang w:val="en-GB"/>
    </w:rPr>
  </w:style>
  <w:style w:type="paragraph" w:styleId="TOC7">
    <w:name w:val="toc 7"/>
    <w:basedOn w:val="Normal"/>
    <w:next w:val="Normal"/>
    <w:autoRedefine/>
    <w:rsid w:val="008F1236"/>
    <w:pPr>
      <w:bidi w:val="0"/>
      <w:spacing w:before="120" w:after="120" w:line="240" w:lineRule="auto"/>
      <w:ind w:left="1320"/>
      <w:jc w:val="left"/>
    </w:pPr>
    <w:rPr>
      <w:rFonts w:eastAsia="Times New Roman" w:cs="Times New Roman"/>
      <w:kern w:val="0"/>
      <w:sz w:val="22"/>
      <w:lang w:val="en-GB"/>
    </w:rPr>
  </w:style>
  <w:style w:type="paragraph" w:styleId="TOC8">
    <w:name w:val="toc 8"/>
    <w:basedOn w:val="Normal"/>
    <w:next w:val="Normal"/>
    <w:autoRedefine/>
    <w:rsid w:val="008F1236"/>
    <w:pPr>
      <w:bidi w:val="0"/>
      <w:spacing w:before="120" w:after="120" w:line="240" w:lineRule="auto"/>
      <w:ind w:left="1540"/>
      <w:jc w:val="left"/>
    </w:pPr>
    <w:rPr>
      <w:rFonts w:eastAsia="Times New Roman" w:cs="Times New Roman"/>
      <w:kern w:val="0"/>
      <w:sz w:val="22"/>
      <w:lang w:val="en-GB"/>
    </w:rPr>
  </w:style>
  <w:style w:type="paragraph" w:styleId="TOC9">
    <w:name w:val="toc 9"/>
    <w:basedOn w:val="Normal"/>
    <w:next w:val="Normal"/>
    <w:autoRedefine/>
    <w:rsid w:val="008F1236"/>
    <w:pPr>
      <w:bidi w:val="0"/>
      <w:spacing w:before="120" w:after="120" w:line="240" w:lineRule="auto"/>
      <w:ind w:left="1760"/>
      <w:jc w:val="left"/>
    </w:pPr>
    <w:rPr>
      <w:rFonts w:eastAsia="Times New Roman" w:cs="Times New Roman"/>
      <w:kern w:val="0"/>
      <w:sz w:val="22"/>
      <w:lang w:val="en-GB"/>
    </w:rPr>
  </w:style>
  <w:style w:type="character" w:customStyle="1" w:styleId="UnresolvedMention2">
    <w:name w:val="Unresolved Mention2"/>
    <w:basedOn w:val="DefaultParagraphFont"/>
    <w:uiPriority w:val="99"/>
    <w:semiHidden/>
    <w:unhideWhenUsed/>
    <w:rsid w:val="008F1236"/>
    <w:rPr>
      <w:color w:val="605E5C"/>
      <w:shd w:val="clear" w:color="auto" w:fill="E1DFDD"/>
    </w:rPr>
  </w:style>
  <w:style w:type="character" w:customStyle="1" w:styleId="markedcontent">
    <w:name w:val="markedcontent"/>
    <w:basedOn w:val="DefaultParagraphFont"/>
    <w:rsid w:val="008F1236"/>
  </w:style>
  <w:style w:type="paragraph" w:customStyle="1" w:styleId="paragraph">
    <w:name w:val="paragraph"/>
    <w:basedOn w:val="Normal"/>
    <w:rsid w:val="008F1236"/>
    <w:pPr>
      <w:bidi w:val="0"/>
      <w:spacing w:before="100" w:beforeAutospacing="1" w:after="100" w:afterAutospacing="1" w:line="240" w:lineRule="auto"/>
      <w:jc w:val="left"/>
    </w:pPr>
    <w:rPr>
      <w:rFonts w:eastAsia="Times New Roman" w:cs="Times New Roman"/>
      <w:kern w:val="0"/>
      <w:sz w:val="24"/>
      <w:lang w:eastAsia="zh-CN"/>
    </w:rPr>
  </w:style>
  <w:style w:type="character" w:customStyle="1" w:styleId="normaltextrun">
    <w:name w:val="normaltextrun"/>
    <w:basedOn w:val="DefaultParagraphFont"/>
    <w:rsid w:val="008F1236"/>
  </w:style>
  <w:style w:type="character" w:customStyle="1" w:styleId="eop">
    <w:name w:val="eop"/>
    <w:basedOn w:val="DefaultParagraphFont"/>
    <w:rsid w:val="008F1236"/>
  </w:style>
  <w:style w:type="character" w:customStyle="1" w:styleId="tabchar">
    <w:name w:val="tabchar"/>
    <w:basedOn w:val="DefaultParagraphFont"/>
    <w:rsid w:val="008F1236"/>
  </w:style>
  <w:style w:type="character" w:customStyle="1" w:styleId="scxw217952631">
    <w:name w:val="scxw217952631"/>
    <w:basedOn w:val="DefaultParagraphFont"/>
    <w:rsid w:val="008F1236"/>
  </w:style>
  <w:style w:type="paragraph" w:customStyle="1" w:styleId="Paraofficial">
    <w:name w:val="Para official"/>
    <w:basedOn w:val="Normal"/>
    <w:rsid w:val="00D61F8C"/>
    <w:pPr>
      <w:framePr w:hSpace="187" w:vSpace="187" w:wrap="notBeside" w:vAnchor="text" w:hAnchor="text" w:y="1"/>
      <w:numPr>
        <w:numId w:val="20"/>
      </w:numPr>
      <w:bidi w:val="0"/>
      <w:spacing w:before="240" w:after="240" w:line="240" w:lineRule="auto"/>
      <w:jc w:val="left"/>
    </w:pPr>
    <w:rPr>
      <w:rFonts w:eastAsia="Times New Roman" w:cs="Times New Roman"/>
      <w:kern w:val="0"/>
      <w:sz w:val="24"/>
      <w:szCs w:val="20"/>
      <w:lang w:val="en-CA"/>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cbd.int/doc/c/2e6b/49f0/ffbdbf357279935de9f9b1e1/np-absch-iac-2019-01-03-en.pdf"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cbd.int/doc/decisions/np-mop-03/np-mop-03-dec-03-ar.pdf" TargetMode="External"/><Relationship Id="rId17" Type="http://schemas.openxmlformats.org/officeDocument/2006/relationships/hyperlink" Target="https://analytics.google.com/" TargetMode="External"/><Relationship Id="rId2" Type="http://schemas.openxmlformats.org/officeDocument/2006/relationships/numbering" Target="numbering.xml"/><Relationship Id="rId16" Type="http://schemas.openxmlformats.org/officeDocument/2006/relationships/hyperlink" Target="mailto:absch@cbd.int"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absch.cbd.int" TargetMode="External"/><Relationship Id="rId5" Type="http://schemas.openxmlformats.org/officeDocument/2006/relationships/webSettings" Target="webSettings.xml"/><Relationship Id="rId15" Type="http://schemas.openxmlformats.org/officeDocument/2006/relationships/image" Target="media/image4.png"/><Relationship Id="rId10" Type="http://schemas.openxmlformats.org/officeDocument/2006/relationships/image" Target="media/image3.png"/><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yperlink" Target="https://www.cbd.int/doc/decisions/cop-14/cop-14-dec-25-ar.pdf"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absch.cbd.int/database/VLR/ABSCH-VLR-SCBD-24057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D7165ED-ACFE-42D2-9CFF-8BE62BDA6F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1789</TotalTime>
  <Pages>17</Pages>
  <Words>5605</Words>
  <Characters>31950</Characters>
  <Application>Microsoft Office Word</Application>
  <DocSecurity>0</DocSecurity>
  <Lines>266</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37481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SCBD</dc:creator>
  <cp:lastModifiedBy>ShawkiMostafa/MahaLabib</cp:lastModifiedBy>
  <cp:revision>26</cp:revision>
  <cp:lastPrinted>2018-11-11T19:42:00Z</cp:lastPrinted>
  <dcterms:created xsi:type="dcterms:W3CDTF">2022-08-01T15:28:00Z</dcterms:created>
  <dcterms:modified xsi:type="dcterms:W3CDTF">2022-08-04T14:19:00Z</dcterms:modified>
</cp:coreProperties>
</file>