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EA442C" w14:paraId="12A8969E" w14:textId="77777777" w:rsidTr="00B53987">
        <w:trPr>
          <w:trHeight w:val="851"/>
        </w:trPr>
        <w:tc>
          <w:tcPr>
            <w:tcW w:w="465" w:type="pct"/>
            <w:tcBorders>
              <w:bottom w:val="single" w:sz="8" w:space="0" w:color="auto"/>
            </w:tcBorders>
            <w:vAlign w:val="bottom"/>
          </w:tcPr>
          <w:p w14:paraId="46237E83" w14:textId="77777777" w:rsidR="00A96B21" w:rsidRPr="00550DCE" w:rsidRDefault="00A96B21" w:rsidP="00B53987">
            <w:pPr>
              <w:spacing w:after="120"/>
              <w:jc w:val="left"/>
            </w:pPr>
            <w:bookmarkStart w:id="0" w:name="_Hlk137651738"/>
            <w:r w:rsidRPr="00550DCE">
              <w:rPr>
                <w:noProof/>
              </w:rPr>
              <w:drawing>
                <wp:inline distT="0" distB="0" distL="0" distR="0" wp14:anchorId="4C1604AD" wp14:editId="03BE378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AB93E6E" w14:textId="77777777" w:rsidR="00A96B21" w:rsidRPr="00550DCE" w:rsidRDefault="00A96B21" w:rsidP="00B53987">
            <w:pPr>
              <w:spacing w:after="120"/>
              <w:jc w:val="left"/>
            </w:pPr>
            <w:r w:rsidRPr="00D17E67">
              <w:rPr>
                <w:noProof/>
              </w:rPr>
              <w:drawing>
                <wp:inline distT="0" distB="0" distL="0" distR="0" wp14:anchorId="3365890B" wp14:editId="594731A7">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F9CEFCF" w14:textId="1D81CDA0" w:rsidR="00A96B21" w:rsidRPr="00D17E67" w:rsidRDefault="00A96B21" w:rsidP="00184909">
            <w:pPr>
              <w:spacing w:after="120"/>
              <w:ind w:left="2021"/>
              <w:jc w:val="right"/>
              <w:rPr>
                <w:szCs w:val="22"/>
              </w:rPr>
            </w:pPr>
            <w:r w:rsidRPr="003D3F00">
              <w:rPr>
                <w:sz w:val="40"/>
                <w:szCs w:val="40"/>
              </w:rPr>
              <w:t>CBD</w:t>
            </w:r>
            <w:r w:rsidRPr="00D17E67">
              <w:rPr>
                <w:szCs w:val="22"/>
              </w:rPr>
              <w:t>/</w:t>
            </w:r>
            <w:r w:rsidR="003E0A26" w:rsidRPr="003D3F00">
              <w:rPr>
                <w:szCs w:val="22"/>
              </w:rPr>
              <w:t>SBI</w:t>
            </w:r>
            <w:r w:rsidR="003E0A26" w:rsidRPr="00D17E67">
              <w:rPr>
                <w:szCs w:val="22"/>
              </w:rPr>
              <w:t>/4/</w:t>
            </w:r>
            <w:r w:rsidR="00301415" w:rsidRPr="00D17E67">
              <w:rPr>
                <w:szCs w:val="22"/>
              </w:rPr>
              <w:t>6</w:t>
            </w:r>
          </w:p>
        </w:tc>
      </w:tr>
      <w:tr w:rsidR="00A96B21" w:rsidRPr="00EA442C" w14:paraId="2D97EE22" w14:textId="77777777" w:rsidTr="00B53987">
        <w:tc>
          <w:tcPr>
            <w:tcW w:w="2297" w:type="pct"/>
            <w:gridSpan w:val="2"/>
            <w:tcBorders>
              <w:top w:val="single" w:sz="8" w:space="0" w:color="auto"/>
              <w:bottom w:val="single" w:sz="12" w:space="0" w:color="auto"/>
            </w:tcBorders>
          </w:tcPr>
          <w:p w14:paraId="68A6EAA3" w14:textId="77777777" w:rsidR="00A96B21" w:rsidRPr="00550DCE" w:rsidRDefault="00A96B21" w:rsidP="00B53987">
            <w:pPr>
              <w:pStyle w:val="Cornernotation"/>
              <w:suppressLineNumbers/>
              <w:suppressAutoHyphens/>
              <w:spacing w:before="120" w:after="120"/>
              <w:ind w:left="0" w:right="0" w:firstLine="0"/>
            </w:pPr>
            <w:r w:rsidRPr="00550DCE">
              <w:rPr>
                <w:b w:val="0"/>
                <w:bCs/>
                <w:noProof/>
              </w:rPr>
              <w:drawing>
                <wp:inline distT="0" distB="0" distL="0" distR="0" wp14:anchorId="1B48B886" wp14:editId="4FDBB2E3">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668454BE" w14:textId="77777777" w:rsidR="00A96B21" w:rsidRPr="003D3F00" w:rsidRDefault="00A96B21" w:rsidP="003C6F10">
            <w:pPr>
              <w:ind w:left="2584"/>
              <w:rPr>
                <w:sz w:val="22"/>
                <w:szCs w:val="22"/>
              </w:rPr>
            </w:pPr>
            <w:r w:rsidRPr="00D17E67">
              <w:rPr>
                <w:sz w:val="22"/>
                <w:szCs w:val="22"/>
              </w:rPr>
              <w:t>Distr.: General</w:t>
            </w:r>
          </w:p>
          <w:p w14:paraId="7DB3DB94" w14:textId="7B8EA752" w:rsidR="00A96B21" w:rsidRPr="00D17E67" w:rsidRDefault="00D17E67" w:rsidP="003C6F10">
            <w:pPr>
              <w:ind w:left="2584"/>
              <w:rPr>
                <w:sz w:val="22"/>
                <w:szCs w:val="22"/>
              </w:rPr>
            </w:pPr>
            <w:r w:rsidRPr="00D17E67">
              <w:rPr>
                <w:sz w:val="22"/>
                <w:szCs w:val="22"/>
              </w:rPr>
              <w:t xml:space="preserve">19 April </w:t>
            </w:r>
            <w:r w:rsidR="00A96B21" w:rsidRPr="00D17E67">
              <w:rPr>
                <w:sz w:val="22"/>
                <w:szCs w:val="22"/>
              </w:rPr>
              <w:t>202</w:t>
            </w:r>
            <w:r w:rsidR="0092346F" w:rsidRPr="00D17E67">
              <w:rPr>
                <w:sz w:val="22"/>
                <w:szCs w:val="22"/>
              </w:rPr>
              <w:t>4</w:t>
            </w:r>
          </w:p>
          <w:p w14:paraId="77FBC5CE" w14:textId="77777777" w:rsidR="00A96B21" w:rsidRPr="00D17E67" w:rsidRDefault="00A96B21" w:rsidP="003C6F10">
            <w:pPr>
              <w:ind w:left="2584"/>
              <w:rPr>
                <w:sz w:val="22"/>
                <w:szCs w:val="22"/>
              </w:rPr>
            </w:pPr>
          </w:p>
          <w:p w14:paraId="10E07895" w14:textId="77777777" w:rsidR="00A96B21" w:rsidRPr="00D17E67" w:rsidRDefault="00A96B21" w:rsidP="003C6F10">
            <w:pPr>
              <w:ind w:left="2584"/>
              <w:rPr>
                <w:sz w:val="22"/>
                <w:szCs w:val="22"/>
              </w:rPr>
            </w:pPr>
            <w:r w:rsidRPr="00D17E67">
              <w:rPr>
                <w:sz w:val="22"/>
                <w:szCs w:val="22"/>
              </w:rPr>
              <w:t>Original: English</w:t>
            </w:r>
          </w:p>
          <w:p w14:paraId="0E7EB2A4" w14:textId="77777777" w:rsidR="00A96B21" w:rsidRPr="00D17E67" w:rsidRDefault="00A96B21" w:rsidP="00B53987"/>
        </w:tc>
      </w:tr>
    </w:tbl>
    <w:p w14:paraId="38975CCD" w14:textId="77777777" w:rsidR="00874541" w:rsidRDefault="003E0A26" w:rsidP="00A96B21">
      <w:pPr>
        <w:pStyle w:val="Cornernotation"/>
        <w:rPr>
          <w:bCs/>
        </w:rPr>
      </w:pPr>
      <w:r>
        <w:rPr>
          <w:bCs/>
        </w:rPr>
        <w:t>Subsidiary Body on Implementation</w:t>
      </w:r>
    </w:p>
    <w:p w14:paraId="21D00522"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4461A8F7" w14:textId="77777777" w:rsidR="00A96B21" w:rsidRPr="00D17E67" w:rsidRDefault="003E0A26" w:rsidP="00A96B21">
      <w:pPr>
        <w:pStyle w:val="Venuedate"/>
        <w:rPr>
          <w:lang w:val="en-CA"/>
        </w:rPr>
      </w:pPr>
      <w:r>
        <w:rPr>
          <w:lang w:val="en-CA"/>
        </w:rPr>
        <w:t>Nairobi</w:t>
      </w:r>
      <w:r w:rsidR="00A96B21" w:rsidRPr="00935461">
        <w:rPr>
          <w:lang w:val="en-CA"/>
        </w:rPr>
        <w:t xml:space="preserve">, </w:t>
      </w:r>
      <w:r>
        <w:rPr>
          <w:lang w:val="en-CA"/>
        </w:rPr>
        <w:t xml:space="preserve">21–29 </w:t>
      </w:r>
      <w:r w:rsidRPr="00D17E67">
        <w:rPr>
          <w:lang w:val="en-CA"/>
        </w:rPr>
        <w:t>May 202</w:t>
      </w:r>
      <w:r w:rsidR="0089575F" w:rsidRPr="00D17E67">
        <w:rPr>
          <w:lang w:val="en-CA"/>
        </w:rPr>
        <w:t>4</w:t>
      </w:r>
    </w:p>
    <w:p w14:paraId="719BEDBC" w14:textId="2AB5E76E" w:rsidR="00A96B21" w:rsidRPr="00D17E67" w:rsidRDefault="00A96B21" w:rsidP="00A96B21">
      <w:pPr>
        <w:pStyle w:val="Cornernotation-Item"/>
        <w:rPr>
          <w:b w:val="0"/>
          <w:bCs w:val="0"/>
        </w:rPr>
      </w:pPr>
      <w:r w:rsidRPr="00D17E67">
        <w:rPr>
          <w:b w:val="0"/>
          <w:bCs w:val="0"/>
        </w:rPr>
        <w:t xml:space="preserve">Item </w:t>
      </w:r>
      <w:r w:rsidR="00D31BE6" w:rsidRPr="00D17E67">
        <w:rPr>
          <w:b w:val="0"/>
          <w:bCs w:val="0"/>
        </w:rPr>
        <w:t xml:space="preserve">4 </w:t>
      </w:r>
      <w:r w:rsidR="00AB7898" w:rsidRPr="00D17E67">
        <w:rPr>
          <w:b w:val="0"/>
          <w:bCs w:val="0"/>
        </w:rPr>
        <w:t>(b)</w:t>
      </w:r>
      <w:r w:rsidRPr="00D17E67">
        <w:rPr>
          <w:b w:val="0"/>
          <w:bCs w:val="0"/>
        </w:rPr>
        <w:t xml:space="preserve"> of the provisional agenda</w:t>
      </w:r>
      <w:r w:rsidRPr="003D3F00">
        <w:rPr>
          <w:rStyle w:val="FootnoteReference"/>
          <w:b w:val="0"/>
          <w:bCs w:val="0"/>
        </w:rPr>
        <w:footnoteReference w:customMarkFollows="1" w:id="1"/>
        <w:t>*</w:t>
      </w:r>
    </w:p>
    <w:p w14:paraId="05FC359E" w14:textId="2FA515C3" w:rsidR="00A96B21" w:rsidRDefault="00786412" w:rsidP="003D3F00">
      <w:pPr>
        <w:pStyle w:val="Cornernotation-Item"/>
        <w:ind w:left="0" w:right="4398" w:firstLine="0"/>
      </w:pPr>
      <w:r>
        <w:t>Resource mobilization and financial mechanism: f</w:t>
      </w:r>
      <w:r w:rsidR="00AB7898" w:rsidRPr="00D17E67">
        <w:t>inancial mechanism</w:t>
      </w:r>
    </w:p>
    <w:bookmarkEnd w:id="0"/>
    <w:p w14:paraId="37A1ACAA" w14:textId="488DC7DC" w:rsidR="00A96B21" w:rsidRDefault="00000000" w:rsidP="00A96B21">
      <w:pPr>
        <w:pStyle w:val="Title"/>
        <w:rPr>
          <w:rFonts w:hint="eastAsia"/>
        </w:rPr>
      </w:pPr>
      <w:sdt>
        <w:sdtPr>
          <w:alias w:val="Title"/>
          <w:tag w:val=""/>
          <w:id w:val="-1975355689"/>
          <w:placeholder>
            <w:docPart w:val="AE4689214C6146D6B651441A998F6915"/>
          </w:placeholder>
          <w:dataBinding w:prefixMappings="xmlns:ns0='http://purl.org/dc/elements/1.1/' xmlns:ns1='http://schemas.openxmlformats.org/package/2006/metadata/core-properties' " w:xpath="/ns1:coreProperties[1]/ns0:title[1]" w:storeItemID="{6C3C8BC8-F283-45AE-878A-BAB7291924A1}"/>
          <w:text/>
        </w:sdtPr>
        <w:sdtContent>
          <w:r w:rsidR="00E6179B">
            <w:t>Financial mechanism</w:t>
          </w:r>
        </w:sdtContent>
      </w:sdt>
    </w:p>
    <w:p w14:paraId="5069CD6C"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05FA9602" w14:textId="0113D60D" w:rsidR="00FA18C9" w:rsidRDefault="00AB7898" w:rsidP="007C77BC">
      <w:pPr>
        <w:pStyle w:val="Heading1"/>
      </w:pPr>
      <w:r>
        <w:t>Introduction</w:t>
      </w:r>
    </w:p>
    <w:p w14:paraId="3E92102A" w14:textId="552B67DD" w:rsidR="00BC73F0" w:rsidRPr="007A6FE3" w:rsidRDefault="00F67EC6" w:rsidP="00D17E67">
      <w:pPr>
        <w:pStyle w:val="Para1"/>
      </w:pPr>
      <w:r>
        <w:t>By</w:t>
      </w:r>
      <w:r w:rsidR="00AB7898" w:rsidRPr="00BC73F0">
        <w:t xml:space="preserve"> its decision </w:t>
      </w:r>
      <w:hyperlink r:id="rId13" w:history="1">
        <w:r w:rsidR="00AB7898" w:rsidRPr="003D3F00">
          <w:rPr>
            <w:rStyle w:val="Hyperlink"/>
            <w:sz w:val="22"/>
          </w:rPr>
          <w:t>15/15</w:t>
        </w:r>
      </w:hyperlink>
      <w:r w:rsidR="00AB7898" w:rsidRPr="007A6FE3">
        <w:t xml:space="preserve">, the Conference of the Parties </w:t>
      </w:r>
      <w:r w:rsidR="00C92644" w:rsidRPr="007A6FE3">
        <w:t xml:space="preserve">provided guidance to the </w:t>
      </w:r>
      <w:r w:rsidR="00C92644" w:rsidRPr="003D3F00">
        <w:t>Global Environment Facility</w:t>
      </w:r>
      <w:r w:rsidR="00C92644" w:rsidRPr="007A6FE3">
        <w:t xml:space="preserve"> (</w:t>
      </w:r>
      <w:r w:rsidR="00C92644" w:rsidRPr="003D3F00">
        <w:t>GEF</w:t>
      </w:r>
      <w:r w:rsidR="00C92644" w:rsidRPr="007A6FE3">
        <w:t xml:space="preserve">) and requested </w:t>
      </w:r>
      <w:r w:rsidR="00C92644" w:rsidRPr="003D3F00">
        <w:t>GEF</w:t>
      </w:r>
      <w:r w:rsidR="00C92644" w:rsidRPr="007A6FE3">
        <w:t xml:space="preserve"> to establish a </w:t>
      </w:r>
      <w:r w:rsidR="000F4A5A" w:rsidRPr="007A6FE3">
        <w:t>dedicated</w:t>
      </w:r>
      <w:r w:rsidR="00C92644" w:rsidRPr="007A6FE3">
        <w:t xml:space="preserve"> fund to support the implementation of the </w:t>
      </w:r>
      <w:r w:rsidR="00C92644" w:rsidRPr="003D3F00">
        <w:t>Kunming-Montreal Global Biodiversity Framework</w:t>
      </w:r>
      <w:r w:rsidR="00C92644" w:rsidRPr="007A6FE3">
        <w:t xml:space="preserve">. In the same decision, the Conference of the Parties </w:t>
      </w:r>
      <w:r w:rsidR="00AB7898" w:rsidRPr="007A6FE3">
        <w:t>requested the Subsidiary Body on Implementation at its fourth meeting to prepare</w:t>
      </w:r>
      <w:r w:rsidR="00AB7898" w:rsidRPr="007A6FE3">
        <w:rPr>
          <w:iCs/>
        </w:rPr>
        <w:t xml:space="preserve"> proposals for a draft four-year outcome-oriented framework of programme priorities for the implementation of the Convention and its Protocols </w:t>
      </w:r>
      <w:r w:rsidR="00870291" w:rsidRPr="007A6FE3">
        <w:rPr>
          <w:iCs/>
        </w:rPr>
        <w:t xml:space="preserve">during </w:t>
      </w:r>
      <w:r w:rsidR="00AB7898" w:rsidRPr="007A6FE3">
        <w:rPr>
          <w:iCs/>
        </w:rPr>
        <w:t xml:space="preserve">the ninth replenishment </w:t>
      </w:r>
      <w:r w:rsidR="00EC1EE8" w:rsidRPr="007A6FE3">
        <w:rPr>
          <w:iCs/>
        </w:rPr>
        <w:t xml:space="preserve">period </w:t>
      </w:r>
      <w:r w:rsidR="00AB7898" w:rsidRPr="007A6FE3">
        <w:rPr>
          <w:iCs/>
        </w:rPr>
        <w:t xml:space="preserve">of </w:t>
      </w:r>
      <w:r w:rsidR="00AB7898" w:rsidRPr="003D3F00">
        <w:rPr>
          <w:iCs/>
        </w:rPr>
        <w:t xml:space="preserve">the </w:t>
      </w:r>
      <w:r w:rsidR="00870291" w:rsidRPr="003D3F00">
        <w:rPr>
          <w:iCs/>
        </w:rPr>
        <w:t>GEF</w:t>
      </w:r>
      <w:r w:rsidR="00870291" w:rsidRPr="007A6FE3">
        <w:rPr>
          <w:iCs/>
        </w:rPr>
        <w:t xml:space="preserve"> </w:t>
      </w:r>
      <w:r w:rsidR="00AB7898" w:rsidRPr="003D3F00">
        <w:rPr>
          <w:iCs/>
        </w:rPr>
        <w:t>Trust Fund</w:t>
      </w:r>
      <w:r w:rsidR="00AB7898" w:rsidRPr="007A6FE3">
        <w:rPr>
          <w:iCs/>
        </w:rPr>
        <w:t xml:space="preserve"> for </w:t>
      </w:r>
      <w:r w:rsidR="00BC73F0" w:rsidRPr="007A6FE3">
        <w:rPr>
          <w:iCs/>
        </w:rPr>
        <w:t xml:space="preserve">the </w:t>
      </w:r>
      <w:r w:rsidR="00AB7898" w:rsidRPr="007A6FE3">
        <w:rPr>
          <w:iCs/>
        </w:rPr>
        <w:t xml:space="preserve">consideration </w:t>
      </w:r>
      <w:r w:rsidR="00BC73F0" w:rsidRPr="007A6FE3">
        <w:rPr>
          <w:iCs/>
        </w:rPr>
        <w:t>of</w:t>
      </w:r>
      <w:r w:rsidR="00AB7898" w:rsidRPr="007A6FE3">
        <w:rPr>
          <w:iCs/>
        </w:rPr>
        <w:t xml:space="preserve"> the Conference of the Parties at its sixteenth meeting</w:t>
      </w:r>
      <w:r w:rsidR="00C2354A" w:rsidRPr="007A6FE3">
        <w:t>.</w:t>
      </w:r>
      <w:r w:rsidR="00BC73F0" w:rsidRPr="007A6FE3">
        <w:t xml:space="preserve"> </w:t>
      </w:r>
      <w:r w:rsidR="00C92644" w:rsidRPr="007A6FE3">
        <w:t>T</w:t>
      </w:r>
      <w:r w:rsidR="00AB7898" w:rsidRPr="007A6FE3">
        <w:t xml:space="preserve">he Conference of the Parties </w:t>
      </w:r>
      <w:r w:rsidR="00C92644" w:rsidRPr="007A6FE3">
        <w:t xml:space="preserve">also </w:t>
      </w:r>
      <w:r w:rsidR="00AB7898" w:rsidRPr="007A6FE3">
        <w:t xml:space="preserve">adopted terms of reference for </w:t>
      </w:r>
      <w:r w:rsidR="00BC73F0" w:rsidRPr="007A6FE3">
        <w:t xml:space="preserve">an </w:t>
      </w:r>
      <w:r w:rsidR="00AB7898" w:rsidRPr="007A6FE3">
        <w:t xml:space="preserve">assessment of </w:t>
      </w:r>
      <w:r w:rsidR="00870291" w:rsidRPr="007A6FE3">
        <w:t xml:space="preserve">the </w:t>
      </w:r>
      <w:r w:rsidR="00AB7898" w:rsidRPr="007A6FE3">
        <w:t>fund</w:t>
      </w:r>
      <w:r w:rsidR="00870291" w:rsidRPr="007A6FE3">
        <w:t xml:space="preserve">ing needs of eligible countries </w:t>
      </w:r>
      <w:r w:rsidR="00BC73F0" w:rsidRPr="007A6FE3">
        <w:t>in</w:t>
      </w:r>
      <w:r w:rsidR="00870291" w:rsidRPr="007A6FE3">
        <w:t xml:space="preserve"> the </w:t>
      </w:r>
      <w:r w:rsidR="00AB7898" w:rsidRPr="007A6FE3">
        <w:t xml:space="preserve">ninth replenishment period of </w:t>
      </w:r>
      <w:r w:rsidR="00870291" w:rsidRPr="003D3F00">
        <w:t>GEF</w:t>
      </w:r>
      <w:r w:rsidR="00870291" w:rsidRPr="007A6FE3">
        <w:t xml:space="preserve"> and a </w:t>
      </w:r>
      <w:r w:rsidR="00AB7898" w:rsidRPr="007A6FE3">
        <w:t>review of the effectiveness of the financial mechanism.</w:t>
      </w:r>
      <w:r w:rsidR="00BC73F0" w:rsidRPr="007A6FE3">
        <w:t xml:space="preserve"> </w:t>
      </w:r>
    </w:p>
    <w:p w14:paraId="6A72C673" w14:textId="77777777" w:rsidR="00B61A73" w:rsidRDefault="00360E8D" w:rsidP="00D17E67">
      <w:pPr>
        <w:pStyle w:val="Para1"/>
      </w:pPr>
      <w:r w:rsidRPr="007A6FE3">
        <w:rPr>
          <w:lang w:val="en-US"/>
        </w:rPr>
        <w:t>The present note has been prepared to assist the Subsidiary Body on Implementation in its consideration of these and related matters.</w:t>
      </w:r>
      <w:r>
        <w:rPr>
          <w:lang w:val="en-US"/>
        </w:rPr>
        <w:t xml:space="preserve"> </w:t>
      </w:r>
      <w:r w:rsidR="00AB7898" w:rsidRPr="007A7E0B">
        <w:rPr>
          <w:lang w:val="en-US"/>
        </w:rPr>
        <w:t xml:space="preserve">Section </w:t>
      </w:r>
      <w:r w:rsidR="00AB7898" w:rsidRPr="00D17E67">
        <w:rPr>
          <w:lang w:val="en-US"/>
        </w:rPr>
        <w:t>II</w:t>
      </w:r>
      <w:r w:rsidR="00AB7898" w:rsidRPr="007A7E0B">
        <w:rPr>
          <w:lang w:val="en-US"/>
        </w:rPr>
        <w:t xml:space="preserve"> </w:t>
      </w:r>
      <w:r w:rsidR="009F1EA7">
        <w:rPr>
          <w:lang w:val="en-US"/>
        </w:rPr>
        <w:t xml:space="preserve">of the </w:t>
      </w:r>
      <w:r w:rsidR="009F1EA7" w:rsidRPr="00213874">
        <w:rPr>
          <w:lang w:val="en-US"/>
        </w:rPr>
        <w:t xml:space="preserve">note </w:t>
      </w:r>
      <w:r w:rsidR="00575F4A">
        <w:rPr>
          <w:lang w:val="en-US"/>
        </w:rPr>
        <w:t>contains an introduction to</w:t>
      </w:r>
      <w:r w:rsidR="00AB7898" w:rsidRPr="00213874">
        <w:rPr>
          <w:lang w:val="en-US"/>
        </w:rPr>
        <w:t xml:space="preserve"> the</w:t>
      </w:r>
      <w:r w:rsidR="00AB7898" w:rsidRPr="00640C77">
        <w:rPr>
          <w:lang w:val="en-US"/>
        </w:rPr>
        <w:t xml:space="preserve"> preliminary report of </w:t>
      </w:r>
      <w:r w:rsidR="00AB7898" w:rsidRPr="003D3F00">
        <w:rPr>
          <w:lang w:val="en-US"/>
        </w:rPr>
        <w:t xml:space="preserve">the </w:t>
      </w:r>
      <w:r w:rsidR="00EC1EE8" w:rsidRPr="003D3F00">
        <w:rPr>
          <w:lang w:val="en-US"/>
        </w:rPr>
        <w:t>GEF</w:t>
      </w:r>
      <w:r w:rsidR="00EC1EE8" w:rsidRPr="00640C77">
        <w:rPr>
          <w:lang w:val="en-US"/>
        </w:rPr>
        <w:t xml:space="preserve"> </w:t>
      </w:r>
      <w:r w:rsidR="00AB7898" w:rsidRPr="00640C77">
        <w:rPr>
          <w:lang w:val="en-US"/>
        </w:rPr>
        <w:t xml:space="preserve">Council </w:t>
      </w:r>
      <w:r w:rsidR="00AB7898" w:rsidRPr="00640C77">
        <w:t xml:space="preserve">and </w:t>
      </w:r>
      <w:r w:rsidR="0084113C">
        <w:t xml:space="preserve">the </w:t>
      </w:r>
      <w:r w:rsidR="00AB7898" w:rsidRPr="00640C77">
        <w:t xml:space="preserve">establishment of the Global Biodiversity Framework Fund. </w:t>
      </w:r>
      <w:r w:rsidR="00276C1B">
        <w:t xml:space="preserve">Section III contains information relevant to the </w:t>
      </w:r>
      <w:r w:rsidR="00AB7898" w:rsidRPr="00640C77">
        <w:t>Protocols</w:t>
      </w:r>
      <w:r w:rsidR="0071641D" w:rsidRPr="0071641D">
        <w:t xml:space="preserve"> </w:t>
      </w:r>
      <w:r w:rsidR="00D33C40">
        <w:t>to the Convention</w:t>
      </w:r>
      <w:r w:rsidR="00AB7898" w:rsidRPr="00640C77">
        <w:t xml:space="preserve">. </w:t>
      </w:r>
      <w:r w:rsidR="00D33C40">
        <w:t>T</w:t>
      </w:r>
      <w:r w:rsidR="00C92644" w:rsidRPr="00640C77">
        <w:t xml:space="preserve">he four-year outcome-oriented framework of biodiversity programming priorities for the ninth replenishment of </w:t>
      </w:r>
      <w:r w:rsidR="00C92644" w:rsidRPr="003D3F00">
        <w:t>GEF</w:t>
      </w:r>
      <w:r w:rsidR="00D33C40" w:rsidRPr="00D33C40">
        <w:t xml:space="preserve"> </w:t>
      </w:r>
      <w:r w:rsidR="009D2C1C">
        <w:t>is addressed in s</w:t>
      </w:r>
      <w:r w:rsidR="00D33C40" w:rsidRPr="00640C77">
        <w:t>ection IV</w:t>
      </w:r>
      <w:r w:rsidR="00C92644" w:rsidRPr="00640C77">
        <w:t xml:space="preserve">. </w:t>
      </w:r>
      <w:r w:rsidR="009D2C1C">
        <w:t>T</w:t>
      </w:r>
      <w:r w:rsidR="00AB7898" w:rsidRPr="00640C77">
        <w:t>he assessment of funding needs and the review of the effectiveness of the financial mechanism</w:t>
      </w:r>
      <w:r w:rsidR="00FC46CF">
        <w:t xml:space="preserve"> are addressed in sections V and VI</w:t>
      </w:r>
      <w:r w:rsidR="00AB7898" w:rsidRPr="00640C77">
        <w:t>, respectively. Section</w:t>
      </w:r>
      <w:r w:rsidR="00F63146">
        <w:t>s</w:t>
      </w:r>
      <w:r w:rsidR="00AB7898" w:rsidRPr="00640C77">
        <w:t xml:space="preserve"> VII</w:t>
      </w:r>
      <w:r w:rsidR="00F63146">
        <w:t xml:space="preserve"> and VIII</w:t>
      </w:r>
      <w:r w:rsidR="00AB7898" w:rsidRPr="00640C77">
        <w:t xml:space="preserve"> </w:t>
      </w:r>
      <w:r w:rsidR="006D7FD7">
        <w:t>contain, respectively, information relevant to</w:t>
      </w:r>
      <w:r w:rsidR="00AB7898" w:rsidRPr="00640C77">
        <w:t xml:space="preserve"> additional guidance to </w:t>
      </w:r>
      <w:r w:rsidR="00AB7898" w:rsidRPr="003D3F00">
        <w:t>GEF</w:t>
      </w:r>
      <w:r w:rsidR="00AB7898" w:rsidRPr="00640C77">
        <w:t xml:space="preserve"> </w:t>
      </w:r>
      <w:r w:rsidR="00E01736">
        <w:t>and information concerning</w:t>
      </w:r>
      <w:r w:rsidR="00BC73F0" w:rsidRPr="00640C77">
        <w:t xml:space="preserve"> programmatic synergies with </w:t>
      </w:r>
      <w:r w:rsidR="00AB7898" w:rsidRPr="00640C77">
        <w:t>biodiversity-related conventions</w:t>
      </w:r>
      <w:r w:rsidR="00150351">
        <w:t>.</w:t>
      </w:r>
      <w:r w:rsidR="00AB7898" w:rsidRPr="00640C77">
        <w:t xml:space="preserve"> </w:t>
      </w:r>
      <w:r w:rsidR="00150351">
        <w:t>S</w:t>
      </w:r>
      <w:r w:rsidR="00AB7898" w:rsidRPr="00640C77">
        <w:t xml:space="preserve">ection IX </w:t>
      </w:r>
      <w:r w:rsidR="00150351">
        <w:t>contains</w:t>
      </w:r>
      <w:r w:rsidR="00BC73F0" w:rsidRPr="00640C77">
        <w:t xml:space="preserve"> </w:t>
      </w:r>
      <w:r w:rsidR="00AB7898" w:rsidRPr="00640C77">
        <w:t xml:space="preserve">elements of a </w:t>
      </w:r>
      <w:r w:rsidR="00BC73F0" w:rsidRPr="00640C77">
        <w:t xml:space="preserve">draft </w:t>
      </w:r>
      <w:r w:rsidR="00AB7898" w:rsidRPr="00640C77">
        <w:t>recommendation.</w:t>
      </w:r>
      <w:r w:rsidR="007A7E0B" w:rsidRPr="00640C77">
        <w:t xml:space="preserve"> </w:t>
      </w:r>
    </w:p>
    <w:p w14:paraId="21D07289" w14:textId="2654616D" w:rsidR="00AB7898" w:rsidRDefault="00B61A73" w:rsidP="00D17E67">
      <w:pPr>
        <w:pStyle w:val="Para1"/>
      </w:pPr>
      <w:r>
        <w:t>T</w:t>
      </w:r>
      <w:r w:rsidR="00F23EE9">
        <w:t xml:space="preserve">he </w:t>
      </w:r>
      <w:r w:rsidR="00AB7898" w:rsidRPr="00640C77">
        <w:t xml:space="preserve">preliminary report of </w:t>
      </w:r>
      <w:r w:rsidR="00AB7898" w:rsidRPr="003D3F00">
        <w:t xml:space="preserve">the </w:t>
      </w:r>
      <w:r w:rsidR="007A7E0B" w:rsidRPr="003D3F00">
        <w:t>GEF</w:t>
      </w:r>
      <w:r w:rsidR="007A7E0B" w:rsidRPr="00640C77">
        <w:t xml:space="preserve"> </w:t>
      </w:r>
      <w:r w:rsidR="00AB7898" w:rsidRPr="00640C77">
        <w:t>Council to the Conference of the Parties at its sixteenth meeting</w:t>
      </w:r>
      <w:r w:rsidR="00D0201F">
        <w:t>, submitted</w:t>
      </w:r>
      <w:r w:rsidR="00F23EE9" w:rsidRPr="00F23EE9">
        <w:t xml:space="preserve"> </w:t>
      </w:r>
      <w:r w:rsidR="00D0201F">
        <w:t>by the Council p</w:t>
      </w:r>
      <w:r w:rsidR="00F23EE9" w:rsidRPr="00640C77">
        <w:t xml:space="preserve">ursuant to decisions </w:t>
      </w:r>
      <w:hyperlink r:id="rId14" w:history="1">
        <w:r w:rsidR="00F23EE9" w:rsidRPr="003D3F00">
          <w:rPr>
            <w:rStyle w:val="Hyperlink"/>
            <w:sz w:val="22"/>
          </w:rPr>
          <w:t>III/8</w:t>
        </w:r>
      </w:hyperlink>
      <w:r w:rsidR="00F23EE9" w:rsidRPr="00640C77">
        <w:t xml:space="preserve"> (annex, para. 3), </w:t>
      </w:r>
      <w:hyperlink r:id="rId15" w:history="1">
        <w:r w:rsidR="00F23EE9" w:rsidRPr="003D3F00">
          <w:rPr>
            <w:rStyle w:val="Hyperlink"/>
            <w:sz w:val="22"/>
          </w:rPr>
          <w:t>XII/30</w:t>
        </w:r>
      </w:hyperlink>
      <w:r w:rsidR="00F23EE9" w:rsidRPr="00640C77">
        <w:t xml:space="preserve"> (para. 8</w:t>
      </w:r>
      <w:r w:rsidR="00842E61">
        <w:t xml:space="preserve"> </w:t>
      </w:r>
      <w:r w:rsidR="00F23EE9" w:rsidRPr="00640C77">
        <w:t>(e)) and 15/15 (para. 3)</w:t>
      </w:r>
      <w:r w:rsidR="004769DA">
        <w:t xml:space="preserve">, is </w:t>
      </w:r>
      <w:r w:rsidR="002B4A85">
        <w:t>contained</w:t>
      </w:r>
      <w:r w:rsidR="004769DA">
        <w:t xml:space="preserve"> in</w:t>
      </w:r>
      <w:r w:rsidRPr="00B61A73">
        <w:t xml:space="preserve"> </w:t>
      </w:r>
      <w:r w:rsidR="004769DA">
        <w:t>d</w:t>
      </w:r>
      <w:r w:rsidRPr="00640C77">
        <w:t xml:space="preserve">ocument </w:t>
      </w:r>
      <w:r w:rsidRPr="003D3F00">
        <w:t>CBD</w:t>
      </w:r>
      <w:r w:rsidRPr="00640C77">
        <w:t>/</w:t>
      </w:r>
      <w:r w:rsidRPr="003D3F00">
        <w:t>SBI</w:t>
      </w:r>
      <w:r w:rsidRPr="00640C77">
        <w:t>/4/6/Add.1</w:t>
      </w:r>
      <w:r w:rsidR="002B4A85">
        <w:t>.</w:t>
      </w:r>
    </w:p>
    <w:p w14:paraId="20E368AD" w14:textId="2880B8FB" w:rsidR="00E6179B" w:rsidRPr="003D3F00" w:rsidRDefault="00AB7898" w:rsidP="00AB7898">
      <w:pPr>
        <w:pStyle w:val="Heading1"/>
      </w:pPr>
      <w:r w:rsidRPr="003D3F00">
        <w:rPr>
          <w:iCs/>
          <w:lang w:val="en-GB"/>
        </w:rPr>
        <w:lastRenderedPageBreak/>
        <w:t>Global Environment Facility</w:t>
      </w:r>
    </w:p>
    <w:p w14:paraId="4F336853" w14:textId="7D9B175A" w:rsidR="00E6179B" w:rsidRPr="00F003E8" w:rsidRDefault="00AB7898" w:rsidP="00D17E67">
      <w:pPr>
        <w:pStyle w:val="Para1"/>
      </w:pPr>
      <w:r w:rsidRPr="00F003E8">
        <w:rPr>
          <w:lang w:val="en-US"/>
        </w:rPr>
        <w:t xml:space="preserve">Since the fifteenth meeting of the Conference of the Parties, </w:t>
      </w:r>
      <w:r w:rsidRPr="003D3F00">
        <w:rPr>
          <w:lang w:val="en-US"/>
        </w:rPr>
        <w:t xml:space="preserve">the </w:t>
      </w:r>
      <w:r w:rsidR="007A7E0B" w:rsidRPr="003D3F00">
        <w:rPr>
          <w:lang w:val="en-US"/>
        </w:rPr>
        <w:t>GEF</w:t>
      </w:r>
      <w:r w:rsidR="007A7E0B" w:rsidRPr="00F003E8">
        <w:rPr>
          <w:lang w:val="en-US"/>
        </w:rPr>
        <w:t xml:space="preserve"> </w:t>
      </w:r>
      <w:r w:rsidRPr="00F003E8">
        <w:rPr>
          <w:lang w:val="en-US"/>
        </w:rPr>
        <w:t xml:space="preserve">Council </w:t>
      </w:r>
      <w:r w:rsidR="007A7E0B" w:rsidRPr="00F003E8">
        <w:rPr>
          <w:lang w:val="en-US"/>
        </w:rPr>
        <w:t>held its 64th, 65th and 66th meetings (</w:t>
      </w:r>
      <w:r w:rsidRPr="00F003E8">
        <w:rPr>
          <w:lang w:val="en-US"/>
        </w:rPr>
        <w:t xml:space="preserve">June </w:t>
      </w:r>
      <w:r w:rsidR="00AF3C80" w:rsidRPr="00F003E8">
        <w:rPr>
          <w:lang w:val="en-US"/>
        </w:rPr>
        <w:t>and</w:t>
      </w:r>
      <w:r w:rsidRPr="00F003E8">
        <w:rPr>
          <w:lang w:val="en-US"/>
        </w:rPr>
        <w:t xml:space="preserve"> October 2023 and February 2024</w:t>
      </w:r>
      <w:r w:rsidR="00AF3C80" w:rsidRPr="00F003E8">
        <w:rPr>
          <w:lang w:val="en-US"/>
        </w:rPr>
        <w:t>)</w:t>
      </w:r>
      <w:r w:rsidRPr="00F003E8">
        <w:rPr>
          <w:lang w:val="en-US"/>
        </w:rPr>
        <w:t>, approved the two largest</w:t>
      </w:r>
      <w:r w:rsidRPr="003D3F00">
        <w:rPr>
          <w:lang w:val="en-US"/>
        </w:rPr>
        <w:t xml:space="preserve"> work programme</w:t>
      </w:r>
      <w:r w:rsidRPr="00F003E8">
        <w:rPr>
          <w:lang w:val="en-US"/>
        </w:rPr>
        <w:t>s in its history and established the Global Biodiversity Framework Fund. The seventh</w:t>
      </w:r>
      <w:r w:rsidRPr="00AB7898">
        <w:rPr>
          <w:lang w:val="en-US"/>
        </w:rPr>
        <w:t xml:space="preserve"> </w:t>
      </w:r>
      <w:r w:rsidR="00AF3C80" w:rsidRPr="003D3F00">
        <w:rPr>
          <w:lang w:val="en-US"/>
        </w:rPr>
        <w:t>GEF</w:t>
      </w:r>
      <w:r w:rsidR="00AF3C80" w:rsidRPr="00F003E8">
        <w:rPr>
          <w:lang w:val="en-US"/>
        </w:rPr>
        <w:t xml:space="preserve"> </w:t>
      </w:r>
      <w:r w:rsidRPr="00F003E8">
        <w:rPr>
          <w:lang w:val="en-US"/>
        </w:rPr>
        <w:t>Assembly</w:t>
      </w:r>
      <w:r w:rsidR="00FA11FF" w:rsidRPr="00F003E8">
        <w:rPr>
          <w:lang w:val="en-US"/>
        </w:rPr>
        <w:t>,</w:t>
      </w:r>
      <w:r w:rsidRPr="00F003E8">
        <w:rPr>
          <w:lang w:val="en-US"/>
        </w:rPr>
        <w:t xml:space="preserve"> held in August 2023</w:t>
      </w:r>
      <w:r w:rsidR="00FA11FF" w:rsidRPr="00F003E8">
        <w:rPr>
          <w:lang w:val="en-US"/>
        </w:rPr>
        <w:t>,</w:t>
      </w:r>
      <w:r w:rsidRPr="00F003E8">
        <w:rPr>
          <w:lang w:val="en-US"/>
        </w:rPr>
        <w:t xml:space="preserve"> ratified the establishment of the Fund. The first meeting of the Global Biodiversity Framework </w:t>
      </w:r>
      <w:r w:rsidRPr="003D3F00">
        <w:rPr>
          <w:lang w:val="en-US"/>
        </w:rPr>
        <w:t xml:space="preserve">Fund </w:t>
      </w:r>
      <w:r w:rsidRPr="00F003E8">
        <w:rPr>
          <w:lang w:val="en-US"/>
        </w:rPr>
        <w:t>Council was held in February 2024</w:t>
      </w:r>
      <w:r w:rsidR="00E6179B" w:rsidRPr="00F003E8">
        <w:t>.</w:t>
      </w:r>
    </w:p>
    <w:p w14:paraId="6E23BD0A" w14:textId="123DE7EC" w:rsidR="00E6179B" w:rsidRDefault="00E6179B" w:rsidP="00E6179B">
      <w:pPr>
        <w:pStyle w:val="Heading2"/>
      </w:pPr>
      <w:r>
        <w:t>A.</w:t>
      </w:r>
      <w:r>
        <w:tab/>
      </w:r>
      <w:r w:rsidR="00AB7898" w:rsidRPr="00AB7898">
        <w:t xml:space="preserve">Preliminary report of the </w:t>
      </w:r>
      <w:r w:rsidR="00AB7898" w:rsidRPr="00867BA0">
        <w:t xml:space="preserve">Council of </w:t>
      </w:r>
      <w:r w:rsidR="00D4293F">
        <w:t xml:space="preserve">the </w:t>
      </w:r>
      <w:r w:rsidR="00AB7898" w:rsidRPr="003D3F00">
        <w:t>Global Environment Facility</w:t>
      </w:r>
      <w:r w:rsidR="00AB7898" w:rsidRPr="00867BA0">
        <w:t xml:space="preserve"> to the sixteenth meeting of the Conference of the Parties</w:t>
      </w:r>
    </w:p>
    <w:p w14:paraId="7425F689" w14:textId="6632078B" w:rsidR="00E6179B" w:rsidRDefault="00AB7898" w:rsidP="00D17E67">
      <w:pPr>
        <w:pStyle w:val="Para1"/>
      </w:pPr>
      <w:r w:rsidRPr="00F16F6F">
        <w:rPr>
          <w:lang w:val="en-US"/>
        </w:rPr>
        <w:t xml:space="preserve">The </w:t>
      </w:r>
      <w:r w:rsidR="00AF3C80" w:rsidRPr="003D3F00">
        <w:rPr>
          <w:lang w:val="en-US"/>
        </w:rPr>
        <w:t>GEF</w:t>
      </w:r>
      <w:r w:rsidR="00AF3C80" w:rsidRPr="00F16F6F">
        <w:rPr>
          <w:lang w:val="en-US"/>
        </w:rPr>
        <w:t xml:space="preserve"> </w:t>
      </w:r>
      <w:r w:rsidRPr="00F16F6F">
        <w:rPr>
          <w:lang w:val="en-US"/>
        </w:rPr>
        <w:t>Council</w:t>
      </w:r>
      <w:r w:rsidR="001A1F6C" w:rsidRPr="00F16F6F">
        <w:rPr>
          <w:lang w:val="en-US"/>
        </w:rPr>
        <w:t>’s preliminary report</w:t>
      </w:r>
      <w:r w:rsidRPr="00F16F6F">
        <w:rPr>
          <w:lang w:val="en-US"/>
        </w:rPr>
        <w:t xml:space="preserve"> provides information on </w:t>
      </w:r>
      <w:r w:rsidR="00AF3C80" w:rsidRPr="003D3F00">
        <w:rPr>
          <w:lang w:val="en-US"/>
        </w:rPr>
        <w:t>GEF</w:t>
      </w:r>
      <w:r w:rsidR="00AF3C80" w:rsidRPr="00F16F6F">
        <w:rPr>
          <w:lang w:val="en-US"/>
        </w:rPr>
        <w:t xml:space="preserve"> activities from</w:t>
      </w:r>
      <w:r w:rsidRPr="00F16F6F">
        <w:rPr>
          <w:lang w:val="en-US"/>
        </w:rPr>
        <w:t xml:space="preserve"> 1 January 2022 to 29 February 2024, </w:t>
      </w:r>
      <w:r w:rsidR="00AF3C80" w:rsidRPr="00F16F6F">
        <w:rPr>
          <w:lang w:val="en-US"/>
        </w:rPr>
        <w:t xml:space="preserve">being </w:t>
      </w:r>
      <w:r w:rsidRPr="00F16F6F">
        <w:rPr>
          <w:lang w:val="en-US"/>
        </w:rPr>
        <w:t>the</w:t>
      </w:r>
      <w:r w:rsidRPr="003D3F00">
        <w:rPr>
          <w:lang w:val="en-US"/>
        </w:rPr>
        <w:t xml:space="preserve"> last 6 months</w:t>
      </w:r>
      <w:r w:rsidRPr="00F16F6F">
        <w:rPr>
          <w:lang w:val="en-US"/>
        </w:rPr>
        <w:t xml:space="preserve"> of the seventh replenishment and first 20 months of the eighth </w:t>
      </w:r>
      <w:r w:rsidRPr="00714BF3">
        <w:rPr>
          <w:lang w:val="en-US"/>
        </w:rPr>
        <w:t>replenishment period</w:t>
      </w:r>
      <w:r w:rsidR="00DB63B3" w:rsidRPr="00714BF3">
        <w:rPr>
          <w:lang w:val="en-US"/>
        </w:rPr>
        <w:t>s</w:t>
      </w:r>
      <w:r w:rsidRPr="00714BF3">
        <w:rPr>
          <w:lang w:val="en-US"/>
        </w:rPr>
        <w:t>. The report summarizes programming under the biodiversity focal area, including biodiversity and multi focal area projects and integrated programmes</w:t>
      </w:r>
      <w:r w:rsidRPr="003D3F00">
        <w:rPr>
          <w:lang w:val="en-US"/>
        </w:rPr>
        <w:t>, and</w:t>
      </w:r>
      <w:r w:rsidRPr="00714BF3">
        <w:rPr>
          <w:lang w:val="en-US"/>
        </w:rPr>
        <w:t xml:space="preserve"> how their </w:t>
      </w:r>
      <w:r w:rsidR="00DB63B3" w:rsidRPr="00714BF3">
        <w:rPr>
          <w:lang w:val="en-US"/>
        </w:rPr>
        <w:t xml:space="preserve">expected </w:t>
      </w:r>
      <w:r w:rsidRPr="00714BF3">
        <w:rPr>
          <w:lang w:val="en-US"/>
        </w:rPr>
        <w:t xml:space="preserve">outcomes contribute to the targets of the </w:t>
      </w:r>
      <w:r w:rsidRPr="003D3F00">
        <w:rPr>
          <w:lang w:val="en-US"/>
        </w:rPr>
        <w:t>Kunming-Montreal Global Biodiversity Framework</w:t>
      </w:r>
      <w:r w:rsidRPr="00714BF3">
        <w:rPr>
          <w:lang w:val="en-US"/>
        </w:rPr>
        <w:t>. It also provides information on how other focal areas and programmes</w:t>
      </w:r>
      <w:r w:rsidRPr="00714BF3">
        <w:t xml:space="preserve"> </w:t>
      </w:r>
      <w:r w:rsidRPr="00714BF3">
        <w:rPr>
          <w:lang w:val="en-US"/>
        </w:rPr>
        <w:t xml:space="preserve">contribute to </w:t>
      </w:r>
      <w:r w:rsidR="00AF3C80" w:rsidRPr="00714BF3">
        <w:rPr>
          <w:lang w:val="en-US"/>
        </w:rPr>
        <w:t xml:space="preserve">the </w:t>
      </w:r>
      <w:r w:rsidRPr="00714BF3">
        <w:rPr>
          <w:lang w:val="en-US"/>
        </w:rPr>
        <w:t xml:space="preserve">targets. The report indicates that 60 </w:t>
      </w:r>
      <w:r w:rsidRPr="003D3F00">
        <w:rPr>
          <w:lang w:val="en-US"/>
        </w:rPr>
        <w:t>per</w:t>
      </w:r>
      <w:r w:rsidR="001537C6" w:rsidRPr="003D3F00">
        <w:rPr>
          <w:lang w:val="en-US"/>
        </w:rPr>
        <w:t xml:space="preserve"> </w:t>
      </w:r>
      <w:r w:rsidRPr="003D3F00">
        <w:rPr>
          <w:lang w:val="en-US"/>
        </w:rPr>
        <w:t>cent</w:t>
      </w:r>
      <w:r w:rsidRPr="00714BF3">
        <w:rPr>
          <w:lang w:val="en-US"/>
        </w:rPr>
        <w:t xml:space="preserve"> of the biodiversity resources </w:t>
      </w:r>
      <w:r w:rsidR="00AF3C80" w:rsidRPr="00714BF3">
        <w:rPr>
          <w:lang w:val="en-US"/>
        </w:rPr>
        <w:t xml:space="preserve">of the </w:t>
      </w:r>
      <w:r w:rsidR="00C92644" w:rsidRPr="00714BF3">
        <w:rPr>
          <w:lang w:val="en-US"/>
        </w:rPr>
        <w:t>eighth</w:t>
      </w:r>
      <w:r w:rsidR="00AF3C80" w:rsidRPr="00714BF3">
        <w:rPr>
          <w:lang w:val="en-US"/>
        </w:rPr>
        <w:t xml:space="preserve"> replenishment </w:t>
      </w:r>
      <w:r w:rsidRPr="00714BF3">
        <w:rPr>
          <w:lang w:val="en-US"/>
        </w:rPr>
        <w:t xml:space="preserve">have been programmed in </w:t>
      </w:r>
      <w:r w:rsidR="00AF3C80" w:rsidRPr="00714BF3">
        <w:rPr>
          <w:lang w:val="en-US"/>
        </w:rPr>
        <w:t xml:space="preserve">its </w:t>
      </w:r>
      <w:r w:rsidRPr="00714BF3">
        <w:rPr>
          <w:lang w:val="en-US"/>
        </w:rPr>
        <w:t>first 20 months</w:t>
      </w:r>
      <w:r w:rsidR="00DB63B3" w:rsidRPr="00714BF3">
        <w:rPr>
          <w:lang w:val="en-US"/>
        </w:rPr>
        <w:t>, comprising</w:t>
      </w:r>
      <w:r w:rsidRPr="00714BF3">
        <w:rPr>
          <w:lang w:val="en-US"/>
        </w:rPr>
        <w:t xml:space="preserve"> 91 </w:t>
      </w:r>
      <w:r w:rsidRPr="003D3F00">
        <w:rPr>
          <w:lang w:val="en-US"/>
        </w:rPr>
        <w:t>per</w:t>
      </w:r>
      <w:r w:rsidR="001537C6" w:rsidRPr="003D3F00">
        <w:rPr>
          <w:lang w:val="en-US"/>
        </w:rPr>
        <w:t xml:space="preserve"> </w:t>
      </w:r>
      <w:r w:rsidRPr="003D3F00">
        <w:rPr>
          <w:lang w:val="en-US"/>
        </w:rPr>
        <w:t>cent</w:t>
      </w:r>
      <w:r w:rsidRPr="00714BF3">
        <w:rPr>
          <w:lang w:val="en-US"/>
        </w:rPr>
        <w:t xml:space="preserve"> of the resources allocated for integrated programming </w:t>
      </w:r>
      <w:r w:rsidR="00DB63B3" w:rsidRPr="00714BF3">
        <w:rPr>
          <w:lang w:val="en-US"/>
        </w:rPr>
        <w:t xml:space="preserve">and </w:t>
      </w:r>
      <w:r w:rsidRPr="00714BF3">
        <w:rPr>
          <w:lang w:val="en-US"/>
        </w:rPr>
        <w:t xml:space="preserve">25 </w:t>
      </w:r>
      <w:r w:rsidRPr="003D3F00">
        <w:rPr>
          <w:lang w:val="en-US"/>
        </w:rPr>
        <w:t>per</w:t>
      </w:r>
      <w:r w:rsidR="001537C6" w:rsidRPr="003D3F00">
        <w:rPr>
          <w:lang w:val="en-US"/>
        </w:rPr>
        <w:t xml:space="preserve"> </w:t>
      </w:r>
      <w:r w:rsidRPr="003D3F00">
        <w:rPr>
          <w:lang w:val="en-US"/>
        </w:rPr>
        <w:t>cent</w:t>
      </w:r>
      <w:r w:rsidRPr="00714BF3">
        <w:rPr>
          <w:lang w:val="en-US"/>
        </w:rPr>
        <w:t xml:space="preserve"> of country allocations under the System for Transparent Allocation of Resources. </w:t>
      </w:r>
      <w:r w:rsidR="00DB63B3" w:rsidRPr="00714BF3">
        <w:rPr>
          <w:lang w:val="en-US"/>
        </w:rPr>
        <w:t>It</w:t>
      </w:r>
      <w:r w:rsidRPr="00714BF3">
        <w:rPr>
          <w:lang w:val="en-US"/>
        </w:rPr>
        <w:t xml:space="preserve"> summarizes how </w:t>
      </w:r>
      <w:r w:rsidRPr="003D3F00">
        <w:rPr>
          <w:lang w:val="en-US"/>
        </w:rPr>
        <w:t>GEF</w:t>
      </w:r>
      <w:r w:rsidRPr="00714BF3">
        <w:rPr>
          <w:lang w:val="en-US"/>
        </w:rPr>
        <w:t xml:space="preserve"> has responded to guidance </w:t>
      </w:r>
      <w:r w:rsidR="00DB63B3" w:rsidRPr="00714BF3">
        <w:rPr>
          <w:lang w:val="en-US"/>
        </w:rPr>
        <w:t>of</w:t>
      </w:r>
      <w:r w:rsidRPr="00714BF3">
        <w:rPr>
          <w:lang w:val="en-US"/>
        </w:rPr>
        <w:t xml:space="preserve"> the Conference of the Parties</w:t>
      </w:r>
      <w:r w:rsidR="00DB63B3" w:rsidRPr="00714BF3">
        <w:rPr>
          <w:lang w:val="en-US"/>
        </w:rPr>
        <w:t xml:space="preserve"> and </w:t>
      </w:r>
      <w:r w:rsidRPr="00714BF3">
        <w:rPr>
          <w:lang w:val="en-US"/>
        </w:rPr>
        <w:t xml:space="preserve">provides information </w:t>
      </w:r>
      <w:r w:rsidR="00DB63B3" w:rsidRPr="00714BF3">
        <w:rPr>
          <w:lang w:val="en-US"/>
        </w:rPr>
        <w:t>on</w:t>
      </w:r>
      <w:r w:rsidRPr="00714BF3">
        <w:rPr>
          <w:lang w:val="en-US"/>
        </w:rPr>
        <w:t xml:space="preserve"> portfolio management and </w:t>
      </w:r>
      <w:r w:rsidR="006E1647" w:rsidRPr="00714BF3">
        <w:rPr>
          <w:lang w:val="en-US"/>
        </w:rPr>
        <w:t xml:space="preserve">on </w:t>
      </w:r>
      <w:r w:rsidRPr="00714BF3">
        <w:rPr>
          <w:lang w:val="en-US"/>
        </w:rPr>
        <w:t xml:space="preserve">activities of </w:t>
      </w:r>
      <w:r w:rsidRPr="003D3F00">
        <w:rPr>
          <w:lang w:val="en-US"/>
        </w:rPr>
        <w:t xml:space="preserve">the </w:t>
      </w:r>
      <w:r w:rsidR="00DB63B3" w:rsidRPr="003D3F00">
        <w:rPr>
          <w:lang w:val="en-US"/>
        </w:rPr>
        <w:t>GEF</w:t>
      </w:r>
      <w:r w:rsidR="00DB63B3" w:rsidRPr="00714BF3">
        <w:rPr>
          <w:lang w:val="en-US"/>
        </w:rPr>
        <w:t xml:space="preserve"> </w:t>
      </w:r>
      <w:r w:rsidRPr="00714BF3">
        <w:rPr>
          <w:lang w:val="en-US"/>
        </w:rPr>
        <w:t>Independent Evaluation Office.</w:t>
      </w:r>
      <w:r w:rsidR="00757809" w:rsidRPr="00714BF3">
        <w:rPr>
          <w:lang w:val="en-US"/>
        </w:rPr>
        <w:t xml:space="preserve"> In addition, it reports on the Global Biodiversity Framework Fund, including its initial programming of projects.</w:t>
      </w:r>
    </w:p>
    <w:p w14:paraId="3BB404E3" w14:textId="0B33FE6E" w:rsidR="00AB7898" w:rsidRDefault="00F57043" w:rsidP="00AB7898">
      <w:pPr>
        <w:pStyle w:val="Heading2"/>
      </w:pPr>
      <w:r>
        <w:t>B</w:t>
      </w:r>
      <w:r w:rsidR="00AB7898">
        <w:t>.</w:t>
      </w:r>
      <w:r w:rsidR="00AB7898">
        <w:tab/>
      </w:r>
      <w:r w:rsidRPr="00F57043">
        <w:t>Global Biodiversity Framework Fund</w:t>
      </w:r>
    </w:p>
    <w:p w14:paraId="042C3A08" w14:textId="38CDB5AA" w:rsidR="00AB7898" w:rsidRDefault="00F57043" w:rsidP="00D17E67">
      <w:pPr>
        <w:pStyle w:val="Para1"/>
      </w:pPr>
      <w:r w:rsidRPr="00F57043">
        <w:t xml:space="preserve">In its </w:t>
      </w:r>
      <w:r w:rsidRPr="000C097D">
        <w:t>decision 15/15</w:t>
      </w:r>
      <w:r w:rsidR="00DB63B3" w:rsidRPr="000C097D">
        <w:t xml:space="preserve"> (para. 19)</w:t>
      </w:r>
      <w:r w:rsidRPr="000C097D">
        <w:t xml:space="preserve">, the Conference of the Parties recognized the urgency to increase international biodiversity finance and to establish a dedicated and accessible fund in 2023 for the </w:t>
      </w:r>
      <w:r w:rsidRPr="003D3F00">
        <w:t>Kunming-Montreal Global Biodiversity Framework</w:t>
      </w:r>
      <w:r w:rsidRPr="000C097D">
        <w:t xml:space="preserve"> that can quickly mobilize and disburse new and additional resources from all sources, commensurate with the ambition of the Framework and, in paragraphs 20 to 27 of its decision, requested </w:t>
      </w:r>
      <w:r w:rsidR="00FA11FF" w:rsidRPr="003D3F00">
        <w:t>GEF</w:t>
      </w:r>
      <w:r w:rsidRPr="000C097D">
        <w:t xml:space="preserve"> to establish and give effect to such a dedicated and accessible fund.</w:t>
      </w:r>
      <w:r w:rsidRPr="000C097D">
        <w:rPr>
          <w:vertAlign w:val="superscript"/>
        </w:rPr>
        <w:footnoteReference w:id="2"/>
      </w:r>
    </w:p>
    <w:p w14:paraId="2FBAF5E9" w14:textId="6A12BB3B" w:rsidR="00AB7898" w:rsidRPr="000004E5" w:rsidRDefault="00F57043" w:rsidP="00D17E67">
      <w:pPr>
        <w:pStyle w:val="Para1"/>
      </w:pPr>
      <w:r w:rsidRPr="000C097D">
        <w:t>In response and as recorded in its preliminary report</w:t>
      </w:r>
      <w:r w:rsidR="00C92644" w:rsidRPr="000C097D">
        <w:t xml:space="preserve"> and set out below</w:t>
      </w:r>
      <w:r w:rsidRPr="000C097D">
        <w:t xml:space="preserve">, </w:t>
      </w:r>
      <w:r w:rsidR="0099525A" w:rsidRPr="003D3F00">
        <w:t>GEF</w:t>
      </w:r>
      <w:r w:rsidRPr="000C097D">
        <w:t xml:space="preserve"> has designed, established and operationalized the Global Biodiversity Framework </w:t>
      </w:r>
      <w:r w:rsidRPr="003D3F00">
        <w:t xml:space="preserve">Fund </w:t>
      </w:r>
      <w:r w:rsidRPr="000C097D">
        <w:t xml:space="preserve">in a rapid manner, addressing each of the requests of the Conference of the </w:t>
      </w:r>
      <w:r w:rsidRPr="000004E5">
        <w:t>Parties in decision 15/15, namely</w:t>
      </w:r>
      <w:r w:rsidR="00AB7898" w:rsidRPr="000004E5">
        <w:t>:</w:t>
      </w:r>
    </w:p>
    <w:p w14:paraId="3278BD8B" w14:textId="2707644D" w:rsidR="00AB7898" w:rsidRPr="000004E5" w:rsidRDefault="00F57043" w:rsidP="003D3F00">
      <w:pPr>
        <w:pStyle w:val="Para2"/>
        <w:numPr>
          <w:ilvl w:val="0"/>
          <w:numId w:val="24"/>
        </w:numPr>
        <w:ind w:left="567" w:firstLine="564"/>
      </w:pPr>
      <w:bookmarkStart w:id="1" w:name="_Hlk164290034"/>
      <w:r w:rsidRPr="000004E5">
        <w:rPr>
          <w:lang w:val="en-GB"/>
        </w:rPr>
        <w:t xml:space="preserve">Establishment of the special trust fund to support the implementation of the </w:t>
      </w:r>
      <w:r w:rsidRPr="003D3F00">
        <w:rPr>
          <w:lang w:val="en-GB"/>
        </w:rPr>
        <w:t>Kunming-Montreal Global Biodiversity Framework</w:t>
      </w:r>
      <w:r w:rsidRPr="000004E5">
        <w:rPr>
          <w:lang w:val="en-GB"/>
        </w:rPr>
        <w:t xml:space="preserve"> in 2023 (addressing para. 20);</w:t>
      </w:r>
    </w:p>
    <w:bookmarkEnd w:id="1"/>
    <w:p w14:paraId="619FA993" w14:textId="18F250A7" w:rsidR="00F57043" w:rsidRPr="000004E5" w:rsidRDefault="00F57043" w:rsidP="003D3F00">
      <w:pPr>
        <w:pStyle w:val="Para2"/>
        <w:numPr>
          <w:ilvl w:val="0"/>
          <w:numId w:val="24"/>
        </w:numPr>
        <w:ind w:left="567" w:firstLine="564"/>
      </w:pPr>
      <w:r w:rsidRPr="000004E5">
        <w:rPr>
          <w:lang w:val="en-GB"/>
        </w:rPr>
        <w:t>Council approval and Assembly ratification of the Global Biodiversity Framework Fund, with its own equitable governing body (addressing paras. 21 and 24);</w:t>
      </w:r>
    </w:p>
    <w:p w14:paraId="230CD2EA" w14:textId="41838465" w:rsidR="00F57043" w:rsidRDefault="00F57043" w:rsidP="003D3F00">
      <w:pPr>
        <w:pStyle w:val="Para2"/>
        <w:numPr>
          <w:ilvl w:val="0"/>
          <w:numId w:val="24"/>
        </w:numPr>
        <w:ind w:left="567" w:firstLine="564"/>
      </w:pPr>
      <w:r w:rsidRPr="000004E5">
        <w:t xml:space="preserve">Institutional and governance arrangements to receive financing from all sources, in addition to </w:t>
      </w:r>
      <w:r w:rsidRPr="003D3F00">
        <w:t>official development assistance</w:t>
      </w:r>
      <w:r w:rsidRPr="000004E5">
        <w:t xml:space="preserve"> (addressing para</w:t>
      </w:r>
      <w:r w:rsidRPr="00F57043">
        <w:t>. 22)</w:t>
      </w:r>
      <w:r>
        <w:t>;</w:t>
      </w:r>
    </w:p>
    <w:p w14:paraId="6D7AEEBB" w14:textId="0093560B" w:rsidR="00F57043" w:rsidRPr="00793DE0" w:rsidRDefault="00F57043" w:rsidP="003D3F00">
      <w:pPr>
        <w:pStyle w:val="Para2"/>
        <w:numPr>
          <w:ilvl w:val="0"/>
          <w:numId w:val="24"/>
        </w:numPr>
        <w:ind w:left="567" w:firstLine="564"/>
      </w:pPr>
      <w:r w:rsidRPr="00F57043">
        <w:t xml:space="preserve">A simple and effective application and </w:t>
      </w:r>
      <w:r w:rsidRPr="00793DE0">
        <w:t xml:space="preserve">approval process, providing easy and efficient access to resources of the Global Biodiversity Framework </w:t>
      </w:r>
      <w:r w:rsidRPr="003D3F00">
        <w:t xml:space="preserve">Fund </w:t>
      </w:r>
      <w:r w:rsidRPr="00793DE0">
        <w:t>(addressing para. 23);</w:t>
      </w:r>
    </w:p>
    <w:p w14:paraId="2F589D51" w14:textId="57A67CED" w:rsidR="00F57043" w:rsidRPr="00793DE0" w:rsidRDefault="00F57043" w:rsidP="003D3F00">
      <w:pPr>
        <w:pStyle w:val="Para2"/>
        <w:numPr>
          <w:ilvl w:val="0"/>
          <w:numId w:val="24"/>
        </w:numPr>
        <w:ind w:left="567" w:firstLine="564"/>
      </w:pPr>
      <w:r w:rsidRPr="00793DE0">
        <w:t>Engagement with all multilateral development banks and other international financial institutions (addressing para. 26);</w:t>
      </w:r>
    </w:p>
    <w:p w14:paraId="291363B8" w14:textId="6B0157FF" w:rsidR="00F57043" w:rsidRPr="006766F1" w:rsidRDefault="00F57043" w:rsidP="003D3F00">
      <w:pPr>
        <w:pStyle w:val="Para2"/>
        <w:numPr>
          <w:ilvl w:val="0"/>
          <w:numId w:val="24"/>
        </w:numPr>
        <w:ind w:left="567" w:firstLine="564"/>
      </w:pPr>
      <w:r w:rsidRPr="00793DE0">
        <w:t>A report on the progress in establishing</w:t>
      </w:r>
      <w:r w:rsidRPr="003D3F00">
        <w:t>, and</w:t>
      </w:r>
      <w:r w:rsidRPr="00793DE0">
        <w:t xml:space="preserve"> on the operations and performance of, the Global </w:t>
      </w:r>
      <w:r w:rsidRPr="006766F1">
        <w:t xml:space="preserve">Biodiversity Framework </w:t>
      </w:r>
      <w:r w:rsidRPr="003D3F00">
        <w:t xml:space="preserve">Fund </w:t>
      </w:r>
      <w:r w:rsidRPr="006766F1">
        <w:t>(addressing para. 26).</w:t>
      </w:r>
    </w:p>
    <w:p w14:paraId="5915FCAF" w14:textId="617488B1" w:rsidR="00914932" w:rsidRPr="006766F1" w:rsidRDefault="00971C1A" w:rsidP="00D17E67">
      <w:pPr>
        <w:pStyle w:val="Para1"/>
      </w:pPr>
      <w:r w:rsidRPr="006766F1">
        <w:lastRenderedPageBreak/>
        <w:t xml:space="preserve">Throughout the process, the Secretariat has worked closely with </w:t>
      </w:r>
      <w:r w:rsidRPr="003D3F00">
        <w:t>the GEF</w:t>
      </w:r>
      <w:r w:rsidRPr="006766F1">
        <w:t xml:space="preserve"> Secretariat and its Chief Executive Officer</w:t>
      </w:r>
      <w:r w:rsidR="00B640AF" w:rsidRPr="006766F1">
        <w:t xml:space="preserve"> </w:t>
      </w:r>
      <w:r w:rsidRPr="006766F1">
        <w:t xml:space="preserve">on the establishment of the Fund, participating in consultations with Council members and stakeholders and the meetings of </w:t>
      </w:r>
      <w:r w:rsidRPr="003D3F00">
        <w:t>the GEF</w:t>
      </w:r>
      <w:r w:rsidRPr="006766F1">
        <w:t xml:space="preserve"> Council and Assembly.</w:t>
      </w:r>
    </w:p>
    <w:p w14:paraId="5AEBD652" w14:textId="082ACC0B" w:rsidR="00F57043" w:rsidRPr="00A753CA" w:rsidRDefault="00F57043" w:rsidP="00D17E67">
      <w:pPr>
        <w:pStyle w:val="Para1"/>
      </w:pPr>
      <w:r w:rsidRPr="00F57043">
        <w:t xml:space="preserve">At its 64th meeting, held in Brasilia from 26 </w:t>
      </w:r>
      <w:r w:rsidR="0099525A">
        <w:t xml:space="preserve">to </w:t>
      </w:r>
      <w:r w:rsidRPr="00F57043">
        <w:t xml:space="preserve">29 June </w:t>
      </w:r>
      <w:r w:rsidRPr="00213874">
        <w:t xml:space="preserve">2023, </w:t>
      </w:r>
      <w:r w:rsidRPr="003D3F00">
        <w:t>the GEF</w:t>
      </w:r>
      <w:r w:rsidRPr="00213874">
        <w:t xml:space="preserve"> Council approved the Establishment of a New </w:t>
      </w:r>
      <w:r w:rsidRPr="003D3F00">
        <w:t>Trust Fund: T</w:t>
      </w:r>
      <w:r w:rsidRPr="00213874">
        <w:t xml:space="preserve">he Global Biodiversity Framework </w:t>
      </w:r>
      <w:r w:rsidRPr="003D3F00">
        <w:t xml:space="preserve">Fund </w:t>
      </w:r>
      <w:r w:rsidRPr="00213874">
        <w:t xml:space="preserve">(decision 09/2023), as well as the Programming Directions for the Global Biodiversity Framework </w:t>
      </w:r>
      <w:r w:rsidRPr="003D3F00">
        <w:t xml:space="preserve">Fund </w:t>
      </w:r>
      <w:r w:rsidRPr="00213874">
        <w:t>(decision</w:t>
      </w:r>
      <w:r w:rsidRPr="00A753CA">
        <w:t xml:space="preserve"> 10/2023).</w:t>
      </w:r>
      <w:r w:rsidR="0051306C">
        <w:rPr>
          <w:rStyle w:val="FootnoteReference"/>
        </w:rPr>
        <w:footnoteReference w:id="3"/>
      </w:r>
      <w:r w:rsidRPr="00A753CA">
        <w:t xml:space="preserve"> The seventh </w:t>
      </w:r>
      <w:r w:rsidRPr="003D3F00">
        <w:t>GEF</w:t>
      </w:r>
      <w:r w:rsidRPr="00A753CA">
        <w:t xml:space="preserve"> Assembly, held in Vancouver from 22</w:t>
      </w:r>
      <w:r w:rsidR="0099525A" w:rsidRPr="00A753CA">
        <w:t xml:space="preserve"> to </w:t>
      </w:r>
      <w:r w:rsidRPr="00A753CA">
        <w:t>25 August 2023, endorsed the establishment of the Fund.</w:t>
      </w:r>
    </w:p>
    <w:p w14:paraId="08C0B19F" w14:textId="56F3EE53" w:rsidR="00F57043" w:rsidRPr="00C92644" w:rsidRDefault="00F57043" w:rsidP="00D17E67">
      <w:pPr>
        <w:pStyle w:val="Para1"/>
      </w:pPr>
      <w:r w:rsidRPr="00A753CA">
        <w:t xml:space="preserve">In its decision </w:t>
      </w:r>
      <w:r w:rsidR="00F515F6" w:rsidRPr="003D3F00">
        <w:t>09/2023</w:t>
      </w:r>
      <w:r w:rsidRPr="00A753CA">
        <w:t xml:space="preserve">, </w:t>
      </w:r>
      <w:r w:rsidRPr="003D3F00">
        <w:t>the GEF</w:t>
      </w:r>
      <w:r w:rsidRPr="00A753CA">
        <w:t xml:space="preserve"> Council invited the </w:t>
      </w:r>
      <w:r w:rsidRPr="003D3F00">
        <w:t>World Bank</w:t>
      </w:r>
      <w:r w:rsidRPr="00A753CA">
        <w:t xml:space="preserve"> to </w:t>
      </w:r>
      <w:r w:rsidR="00653729" w:rsidRPr="00A753CA">
        <w:t>serve</w:t>
      </w:r>
      <w:r w:rsidRPr="00A753CA">
        <w:t xml:space="preserve"> as </w:t>
      </w:r>
      <w:r w:rsidR="00653729" w:rsidRPr="00A753CA">
        <w:t xml:space="preserve">the </w:t>
      </w:r>
      <w:r w:rsidRPr="00A753CA">
        <w:t>Trustee</w:t>
      </w:r>
      <w:r w:rsidRPr="00F57043">
        <w:t xml:space="preserve"> </w:t>
      </w:r>
      <w:r w:rsidR="00653729">
        <w:t>of the</w:t>
      </w:r>
      <w:r w:rsidRPr="00F57043">
        <w:t xml:space="preserve"> Fund. Initial capitalization was received from Canada and the United Kingdom </w:t>
      </w:r>
      <w:r w:rsidR="00E73A27">
        <w:t xml:space="preserve">of Great Britain and Northern Ireland </w:t>
      </w:r>
      <w:r w:rsidRPr="00F57043">
        <w:t xml:space="preserve">and further </w:t>
      </w:r>
      <w:r w:rsidRPr="00C92644">
        <w:t>contributions have been received from Germany, Japan, Luxembourg and Spain.</w:t>
      </w:r>
      <w:r w:rsidR="00971C1A" w:rsidRPr="00C92644">
        <w:t xml:space="preserve"> </w:t>
      </w:r>
      <w:r w:rsidR="00971C1A" w:rsidRPr="00FC7F11">
        <w:t>Contributions to date amount to</w:t>
      </w:r>
      <w:r w:rsidR="00971C1A" w:rsidRPr="00C92644">
        <w:t xml:space="preserve"> </w:t>
      </w:r>
      <w:r w:rsidR="00C92644" w:rsidRPr="00FC7F11">
        <w:t xml:space="preserve">236 </w:t>
      </w:r>
      <w:r w:rsidR="00971C1A" w:rsidRPr="00FC7F11">
        <w:t>million</w:t>
      </w:r>
      <w:r w:rsidR="00971C1A" w:rsidRPr="00C92644">
        <w:t xml:space="preserve"> </w:t>
      </w:r>
      <w:r w:rsidR="00971C1A" w:rsidRPr="00FC7F11">
        <w:t>United States dollars</w:t>
      </w:r>
      <w:r w:rsidR="00B640AF" w:rsidRPr="00FC7F11">
        <w:t>. T</w:t>
      </w:r>
      <w:r w:rsidR="00971C1A" w:rsidRPr="00FC7F11">
        <w:t xml:space="preserve">he Acting Executive Secretary </w:t>
      </w:r>
      <w:r w:rsidR="00B640AF" w:rsidRPr="00FC7F11">
        <w:t xml:space="preserve">and </w:t>
      </w:r>
      <w:r w:rsidR="007B54D9">
        <w:t xml:space="preserve">the </w:t>
      </w:r>
      <w:r w:rsidR="007B54D9" w:rsidRPr="006766F1">
        <w:t xml:space="preserve">Chief </w:t>
      </w:r>
      <w:r w:rsidR="007B54D9" w:rsidRPr="00B57508">
        <w:t>Executive Officer</w:t>
      </w:r>
      <w:r w:rsidR="007B54D9" w:rsidRPr="003D3F00">
        <w:t xml:space="preserve"> of </w:t>
      </w:r>
      <w:r w:rsidR="00B640AF" w:rsidRPr="003D3F00">
        <w:t>GEF</w:t>
      </w:r>
      <w:r w:rsidR="00B640AF" w:rsidRPr="00B57508">
        <w:t xml:space="preserve"> </w:t>
      </w:r>
      <w:r w:rsidR="00971C1A" w:rsidRPr="00B57508">
        <w:t>have called</w:t>
      </w:r>
      <w:r w:rsidR="00971C1A" w:rsidRPr="00FC7F11">
        <w:t xml:space="preserve"> for additional contributions</w:t>
      </w:r>
      <w:r w:rsidR="005B552E" w:rsidRPr="00FC7F11">
        <w:t>,</w:t>
      </w:r>
      <w:r w:rsidR="00971C1A" w:rsidRPr="00FC7F11">
        <w:t xml:space="preserve"> commensurate with decisions 15/4 and 15/7 of the Conference of the Parties.</w:t>
      </w:r>
    </w:p>
    <w:p w14:paraId="34E903F1" w14:textId="659DE4AA" w:rsidR="00F57043" w:rsidRPr="00DB12B2" w:rsidRDefault="00F57043" w:rsidP="00D17E67">
      <w:pPr>
        <w:pStyle w:val="Para1"/>
      </w:pPr>
      <w:r w:rsidRPr="00B57508">
        <w:t xml:space="preserve">The </w:t>
      </w:r>
      <w:r w:rsidRPr="003D3F00">
        <w:t>GEF</w:t>
      </w:r>
      <w:r w:rsidRPr="00B57508">
        <w:t xml:space="preserve"> Council meets as the Council </w:t>
      </w:r>
      <w:r w:rsidR="005B552E" w:rsidRPr="00B57508">
        <w:t>of</w:t>
      </w:r>
      <w:r w:rsidRPr="00B57508">
        <w:t xml:space="preserve"> the Global Biodiversity Framework Fund, with 16 Members from developing countries,</w:t>
      </w:r>
      <w:r w:rsidRPr="003D3F00">
        <w:t xml:space="preserve"> </w:t>
      </w:r>
      <w:r w:rsidR="00466F2D">
        <w:t>14</w:t>
      </w:r>
      <w:r w:rsidR="00466F2D" w:rsidRPr="003D3F00">
        <w:t xml:space="preserve"> </w:t>
      </w:r>
      <w:r w:rsidRPr="003D3F00">
        <w:t>f</w:t>
      </w:r>
      <w:r w:rsidRPr="00B57508">
        <w:t xml:space="preserve">rom </w:t>
      </w:r>
      <w:r w:rsidRPr="00C26C81">
        <w:t>developed countries and</w:t>
      </w:r>
      <w:r w:rsidRPr="003D3F00">
        <w:t xml:space="preserve"> </w:t>
      </w:r>
      <w:r w:rsidR="00B5266C" w:rsidRPr="003D3F00">
        <w:t>two</w:t>
      </w:r>
      <w:r w:rsidRPr="003D3F00">
        <w:t xml:space="preserve"> f</w:t>
      </w:r>
      <w:r w:rsidRPr="00C26C81">
        <w:t xml:space="preserve">rom the countries of </w:t>
      </w:r>
      <w:r w:rsidR="00B57508" w:rsidRPr="00C26C81">
        <w:t>C</w:t>
      </w:r>
      <w:r w:rsidRPr="00C26C81">
        <w:t xml:space="preserve">entral and </w:t>
      </w:r>
      <w:r w:rsidR="00B57508" w:rsidRPr="003D3F00">
        <w:t>E</w:t>
      </w:r>
      <w:r w:rsidRPr="003D3F00">
        <w:t>astern Europe</w:t>
      </w:r>
      <w:r w:rsidRPr="00C26C81">
        <w:t xml:space="preserve"> and the former Soviet Union. Observers </w:t>
      </w:r>
      <w:r w:rsidR="0099525A" w:rsidRPr="00C26C81">
        <w:t>from</w:t>
      </w:r>
      <w:r w:rsidR="0099525A" w:rsidRPr="00B57508">
        <w:t xml:space="preserve"> the</w:t>
      </w:r>
      <w:r w:rsidRPr="00B57508">
        <w:t xml:space="preserve"> private sector</w:t>
      </w:r>
      <w:r w:rsidR="0099525A" w:rsidRPr="00B57508">
        <w:t>,</w:t>
      </w:r>
      <w:r w:rsidRPr="00B57508">
        <w:t xml:space="preserve"> philanthropic </w:t>
      </w:r>
      <w:r w:rsidR="00A8198C">
        <w:t xml:space="preserve">conservation </w:t>
      </w:r>
      <w:r w:rsidRPr="00B57508">
        <w:t>organizations</w:t>
      </w:r>
      <w:r w:rsidR="0099525A" w:rsidRPr="00B57508">
        <w:t>,</w:t>
      </w:r>
      <w:r w:rsidRPr="00B57508">
        <w:t xml:space="preserve"> </w:t>
      </w:r>
      <w:r w:rsidRPr="003D3F00">
        <w:t>indigenous people</w:t>
      </w:r>
      <w:r w:rsidRPr="00B57508">
        <w:t>s and local communities</w:t>
      </w:r>
      <w:r w:rsidR="0099525A" w:rsidRPr="00B57508">
        <w:t xml:space="preserve">, </w:t>
      </w:r>
      <w:r w:rsidRPr="00B57508">
        <w:t>women and youth</w:t>
      </w:r>
      <w:r w:rsidR="0099525A" w:rsidRPr="00B57508">
        <w:t xml:space="preserve"> are invited to attend the Council meetings, in each case with </w:t>
      </w:r>
      <w:r w:rsidRPr="00B57508">
        <w:t xml:space="preserve">two </w:t>
      </w:r>
      <w:r w:rsidR="0099525A" w:rsidRPr="00B57508">
        <w:t xml:space="preserve">representatives to provide </w:t>
      </w:r>
      <w:r w:rsidRPr="00B57508">
        <w:t xml:space="preserve">a balance between developing and </w:t>
      </w:r>
      <w:r w:rsidRPr="00DB12B2">
        <w:t>developed countries, as well as regional and gender balance.</w:t>
      </w:r>
    </w:p>
    <w:p w14:paraId="3C6967D2" w14:textId="48AC959C" w:rsidR="00F57043" w:rsidRPr="009B2E93" w:rsidRDefault="00F57043" w:rsidP="00D17E67">
      <w:pPr>
        <w:pStyle w:val="Para1"/>
      </w:pPr>
      <w:r w:rsidRPr="00DB12B2">
        <w:t xml:space="preserve">The first meeting of the Global Biodiversity Framework </w:t>
      </w:r>
      <w:r w:rsidRPr="003D3F00">
        <w:t xml:space="preserve">Fund </w:t>
      </w:r>
      <w:r w:rsidRPr="00DB12B2">
        <w:t xml:space="preserve">Council was held in </w:t>
      </w:r>
      <w:r w:rsidRPr="003D3F00">
        <w:t>Washington, D</w:t>
      </w:r>
      <w:r w:rsidR="00EB56CD" w:rsidRPr="003D3F00">
        <w:t>.</w:t>
      </w:r>
      <w:r w:rsidRPr="003D3F00">
        <w:t>C</w:t>
      </w:r>
      <w:r w:rsidR="00EB56CD" w:rsidRPr="007922C0">
        <w:t>.</w:t>
      </w:r>
      <w:r w:rsidRPr="007922C0">
        <w:t xml:space="preserve"> from 8</w:t>
      </w:r>
      <w:r w:rsidR="004E6EDA" w:rsidRPr="007922C0">
        <w:t xml:space="preserve"> to </w:t>
      </w:r>
      <w:r w:rsidRPr="007922C0">
        <w:t xml:space="preserve">9 February 2024. In its decision </w:t>
      </w:r>
      <w:r w:rsidRPr="003D3F00">
        <w:t>GBFF</w:t>
      </w:r>
      <w:r w:rsidRPr="007922C0">
        <w:t xml:space="preserve"> 1/2024, the Council approved the </w:t>
      </w:r>
      <w:r w:rsidRPr="003D3F00">
        <w:t>Policy</w:t>
      </w:r>
      <w:r w:rsidRPr="007922C0">
        <w:t xml:space="preserve"> on Allocation of Resources for the Global Biodiversity Framework Fund, including that 25</w:t>
      </w:r>
      <w:r w:rsidR="007922C0" w:rsidRPr="003D3F00">
        <w:t xml:space="preserve"> per cent</w:t>
      </w:r>
      <w:r w:rsidRPr="007922C0">
        <w:t xml:space="preserve"> </w:t>
      </w:r>
      <w:r w:rsidRPr="00F9438E">
        <w:t xml:space="preserve">of the Fund’s resources is to be programmed through International Finance Institutions that are </w:t>
      </w:r>
      <w:r w:rsidRPr="003D3F00">
        <w:t>GEF</w:t>
      </w:r>
      <w:r w:rsidRPr="00F9438E">
        <w:t xml:space="preserve"> agencies. In </w:t>
      </w:r>
      <w:r w:rsidR="000729AF" w:rsidRPr="00F9438E">
        <w:t xml:space="preserve">the same </w:t>
      </w:r>
      <w:r w:rsidRPr="00F9438E">
        <w:t>decision, the Council also set out two targets for the Fund’s portfolio: (a) 36</w:t>
      </w:r>
      <w:r w:rsidR="00B014E1" w:rsidRPr="003D3F00">
        <w:t xml:space="preserve"> </w:t>
      </w:r>
      <w:r w:rsidR="00B014E1" w:rsidRPr="00271468">
        <w:t>per cent</w:t>
      </w:r>
      <w:r w:rsidR="00E56CA2" w:rsidRPr="00271468">
        <w:t xml:space="preserve"> </w:t>
      </w:r>
      <w:r w:rsidR="00271468" w:rsidRPr="00E90C26">
        <w:t xml:space="preserve">plus </w:t>
      </w:r>
      <w:r w:rsidRPr="00271468">
        <w:t>3</w:t>
      </w:r>
      <w:r w:rsidR="00B014E1" w:rsidRPr="00271468">
        <w:t xml:space="preserve"> per cent</w:t>
      </w:r>
      <w:r w:rsidRPr="00F9438E">
        <w:t xml:space="preserve"> of the total </w:t>
      </w:r>
      <w:r w:rsidRPr="003D3F00">
        <w:t xml:space="preserve">Fund </w:t>
      </w:r>
      <w:r w:rsidRPr="00F9438E">
        <w:t xml:space="preserve">resources are allocated </w:t>
      </w:r>
      <w:r w:rsidRPr="003D3F00">
        <w:t>to least developed countries</w:t>
      </w:r>
      <w:r w:rsidRPr="00F9438E">
        <w:t xml:space="preserve"> and </w:t>
      </w:r>
      <w:r w:rsidRPr="003D3F00">
        <w:t>small island developing States</w:t>
      </w:r>
      <w:r w:rsidRPr="00F9438E">
        <w:t>; the 3</w:t>
      </w:r>
      <w:r w:rsidR="00315E9F" w:rsidRPr="003D3F00">
        <w:t xml:space="preserve"> per cent</w:t>
      </w:r>
      <w:r w:rsidRPr="00F9438E">
        <w:t xml:space="preserve"> portion will be reviewed after</w:t>
      </w:r>
      <w:r w:rsidRPr="003D3F00">
        <w:t xml:space="preserve"> 3 y</w:t>
      </w:r>
      <w:r w:rsidRPr="00F9438E">
        <w:t>ears of the date of the fund ratification at the Assembly</w:t>
      </w:r>
      <w:r w:rsidR="004E6EDA" w:rsidRPr="00F9438E">
        <w:t xml:space="preserve"> (i</w:t>
      </w:r>
      <w:r w:rsidRPr="00F9438E">
        <w:t>f unused, the 3</w:t>
      </w:r>
      <w:r w:rsidR="00315E9F" w:rsidRPr="003D3F00">
        <w:t xml:space="preserve"> per cent</w:t>
      </w:r>
      <w:r w:rsidRPr="00F9438E">
        <w:t xml:space="preserve"> will be reprogrammed to other countries</w:t>
      </w:r>
      <w:r w:rsidR="004E6EDA" w:rsidRPr="00F9438E">
        <w:t>)</w:t>
      </w:r>
      <w:r w:rsidR="004E6EDA" w:rsidRPr="003D3F00">
        <w:t>, and</w:t>
      </w:r>
      <w:r w:rsidRPr="00F9438E">
        <w:t xml:space="preserve"> (b) </w:t>
      </w:r>
      <w:r w:rsidR="00F9438E" w:rsidRPr="00F9438E">
        <w:t>a</w:t>
      </w:r>
      <w:r w:rsidRPr="00F9438E">
        <w:t>n aspirational programming share of 20</w:t>
      </w:r>
      <w:r w:rsidR="00F9438E" w:rsidRPr="003D3F00">
        <w:t xml:space="preserve"> per cent</w:t>
      </w:r>
      <w:r w:rsidRPr="00F9438E">
        <w:t xml:space="preserve"> at the portfolio level by 2030 from the total amount of resources allocated under the </w:t>
      </w:r>
      <w:r w:rsidRPr="003D3F00">
        <w:t xml:space="preserve">Fund </w:t>
      </w:r>
      <w:r w:rsidRPr="00F9438E">
        <w:t xml:space="preserve">is to support actions by </w:t>
      </w:r>
      <w:r w:rsidRPr="003D3F00">
        <w:t>indigenous people</w:t>
      </w:r>
      <w:r w:rsidRPr="00F9438E">
        <w:t xml:space="preserve">s and local communities for the conservation, restoration, sustainable </w:t>
      </w:r>
      <w:r w:rsidRPr="009B2E93">
        <w:t>use and management of biodiversity.</w:t>
      </w:r>
    </w:p>
    <w:p w14:paraId="0A8C14F7" w14:textId="1032ABD7" w:rsidR="00F57043" w:rsidRDefault="00980FEA" w:rsidP="00D17E67">
      <w:pPr>
        <w:pStyle w:val="Para1"/>
      </w:pPr>
      <w:r w:rsidRPr="009B2E93">
        <w:t xml:space="preserve">In its decision </w:t>
      </w:r>
      <w:r w:rsidRPr="003D3F00">
        <w:t>GBFF</w:t>
      </w:r>
      <w:r w:rsidRPr="009B2E93">
        <w:t xml:space="preserve"> 2/2024, the Council approved the Global Biodiversity Framework </w:t>
      </w:r>
      <w:r w:rsidRPr="003D3F00">
        <w:t xml:space="preserve">Fund </w:t>
      </w:r>
      <w:r w:rsidRPr="009B2E93">
        <w:t xml:space="preserve">Project Cycle </w:t>
      </w:r>
      <w:r w:rsidRPr="003D3F00">
        <w:t>Policy</w:t>
      </w:r>
      <w:r w:rsidRPr="009B2E93">
        <w:t xml:space="preserve"> and delegated authority to </w:t>
      </w:r>
      <w:r w:rsidRPr="003D3F00">
        <w:t>the GEF</w:t>
      </w:r>
      <w:r w:rsidRPr="009B2E93">
        <w:t xml:space="preserve"> </w:t>
      </w:r>
      <w:bookmarkStart w:id="2" w:name="_Hlk164378141"/>
      <w:r w:rsidRPr="009B2E93">
        <w:t xml:space="preserve">Chief Executive Officer </w:t>
      </w:r>
      <w:bookmarkEnd w:id="2"/>
      <w:r w:rsidRPr="009B2E93">
        <w:t>to approve projects up to</w:t>
      </w:r>
      <w:r w:rsidRPr="003D3F00">
        <w:t xml:space="preserve"> $</w:t>
      </w:r>
      <w:r w:rsidRPr="009B2E93">
        <w:t xml:space="preserve"> 5 million. The single project modality</w:t>
      </w:r>
      <w:r w:rsidR="003E0526">
        <w:t>,</w:t>
      </w:r>
      <w:r w:rsidRPr="009B2E93">
        <w:t xml:space="preserve"> namely “</w:t>
      </w:r>
      <w:r w:rsidRPr="003D3F00">
        <w:t>GBF</w:t>
      </w:r>
      <w:r w:rsidRPr="009B2E93">
        <w:t xml:space="preserve"> </w:t>
      </w:r>
      <w:r w:rsidRPr="003D3F00">
        <w:t xml:space="preserve">Fund </w:t>
      </w:r>
      <w:r w:rsidRPr="009B2E93">
        <w:t>Project”</w:t>
      </w:r>
      <w:r w:rsidR="001F261E">
        <w:t>,</w:t>
      </w:r>
      <w:r w:rsidRPr="009B2E93">
        <w:t xml:space="preserve"> includes</w:t>
      </w:r>
      <w:r w:rsidRPr="003D3F00">
        <w:t>: GEF</w:t>
      </w:r>
      <w:r w:rsidRPr="009B2E93">
        <w:t xml:space="preserve"> Secretariat (through </w:t>
      </w:r>
      <w:r w:rsidRPr="003D3F00">
        <w:t xml:space="preserve">the </w:t>
      </w:r>
      <w:r w:rsidR="009B2E93" w:rsidRPr="009B2E93">
        <w:t xml:space="preserve">Chief Executive </w:t>
      </w:r>
      <w:r w:rsidR="009B2E93" w:rsidRPr="001108FB">
        <w:t>Officer</w:t>
      </w:r>
      <w:r w:rsidRPr="001108FB">
        <w:t>) approves a simplified Project Preparation Grant</w:t>
      </w:r>
      <w:r w:rsidR="00291CB4">
        <w:t xml:space="preserve"> request</w:t>
      </w:r>
      <w:r w:rsidRPr="001108FB">
        <w:t>; agencies prepare the project document within</w:t>
      </w:r>
      <w:r w:rsidRPr="003D3F00">
        <w:t xml:space="preserve"> 9 months</w:t>
      </w:r>
      <w:r w:rsidRPr="001108FB">
        <w:t xml:space="preserve"> of </w:t>
      </w:r>
      <w:r w:rsidR="001108FB" w:rsidRPr="001108FB">
        <w:t xml:space="preserve">Project Preparation Grant </w:t>
      </w:r>
      <w:r w:rsidRPr="001108FB">
        <w:t xml:space="preserve">approval; fully prepared projects </w:t>
      </w:r>
      <w:r w:rsidR="00291CB4">
        <w:t xml:space="preserve">(above </w:t>
      </w:r>
      <w:r w:rsidR="00291CB4" w:rsidRPr="00291CB4">
        <w:t>$ 5 million</w:t>
      </w:r>
      <w:r w:rsidR="00291CB4">
        <w:t xml:space="preserve">) </w:t>
      </w:r>
      <w:r w:rsidRPr="001108FB">
        <w:t xml:space="preserve">will be presented to Council for approval as part of formal </w:t>
      </w:r>
      <w:r w:rsidR="001108FB" w:rsidRPr="001108FB">
        <w:t>w</w:t>
      </w:r>
      <w:r w:rsidRPr="001108FB">
        <w:t xml:space="preserve">ork </w:t>
      </w:r>
      <w:r w:rsidR="001108FB" w:rsidRPr="003D3F00">
        <w:t>p</w:t>
      </w:r>
      <w:r w:rsidRPr="003D3F00">
        <w:t>rogram</w:t>
      </w:r>
      <w:r w:rsidR="001108FB" w:rsidRPr="003D3F00">
        <w:t>me</w:t>
      </w:r>
      <w:r w:rsidRPr="003D3F00">
        <w:t>s</w:t>
      </w:r>
      <w:r w:rsidRPr="001108FB">
        <w:t>; project implementation starts with first disbursement.</w:t>
      </w:r>
    </w:p>
    <w:p w14:paraId="4A119D2E" w14:textId="1FF45A9D" w:rsidR="003036F9" w:rsidRPr="0020227B" w:rsidRDefault="003036F9" w:rsidP="00D17E67">
      <w:pPr>
        <w:pStyle w:val="Para1"/>
      </w:pPr>
      <w:r w:rsidRPr="00F57043">
        <w:t xml:space="preserve">The </w:t>
      </w:r>
      <w:r>
        <w:t xml:space="preserve">Council of the </w:t>
      </w:r>
      <w:r w:rsidRPr="00F57043">
        <w:t xml:space="preserve">Global Biodiversity </w:t>
      </w:r>
      <w:r w:rsidRPr="00C05A6E">
        <w:t xml:space="preserve">Framework </w:t>
      </w:r>
      <w:r w:rsidRPr="003D3F00">
        <w:t xml:space="preserve">Fund </w:t>
      </w:r>
      <w:r w:rsidRPr="00C05A6E">
        <w:t xml:space="preserve">may establish an advisory group or advisory groups, which may include without limitation non-sovereign participants, for the purpose of providing advice and recommendations to the Council. The Council </w:t>
      </w:r>
      <w:r w:rsidRPr="003400B0">
        <w:t xml:space="preserve">will establish an auxiliary body, which will include representatives of Global Biodiversity Framework </w:t>
      </w:r>
      <w:r w:rsidRPr="003D3F00">
        <w:t xml:space="preserve">Fund </w:t>
      </w:r>
      <w:r w:rsidRPr="003400B0">
        <w:t>Participants which</w:t>
      </w:r>
      <w:r w:rsidRPr="00F57043">
        <w:t xml:space="preserve"> are </w:t>
      </w:r>
      <w:r w:rsidRPr="008E33FC">
        <w:t xml:space="preserve">developing countries with areas of particular importance for biodiversity and ecosystem functions </w:t>
      </w:r>
      <w:r w:rsidRPr="0020227B">
        <w:t xml:space="preserve">and services, for the purpose of providing advice and recommendations to the Council. </w:t>
      </w:r>
      <w:r w:rsidR="001F261E" w:rsidRPr="0020227B">
        <w:t xml:space="preserve">The establishment </w:t>
      </w:r>
      <w:r w:rsidR="0020227B">
        <w:t xml:space="preserve">of the auxiliary body and an advisory group </w:t>
      </w:r>
      <w:r w:rsidRPr="0020227B">
        <w:t>will be addressed by the Council at its second meeting</w:t>
      </w:r>
      <w:r w:rsidR="007516BE" w:rsidRPr="0020227B">
        <w:t>,</w:t>
      </w:r>
      <w:r w:rsidRPr="0020227B">
        <w:t xml:space="preserve"> in June 2024.</w:t>
      </w:r>
    </w:p>
    <w:p w14:paraId="37F9C4C5" w14:textId="417255FE" w:rsidR="003036F9" w:rsidRPr="00EE39DE" w:rsidRDefault="003036F9" w:rsidP="00D17E67">
      <w:pPr>
        <w:pStyle w:val="Para1"/>
      </w:pPr>
      <w:r w:rsidRPr="008E33FC">
        <w:lastRenderedPageBreak/>
        <w:t xml:space="preserve">The </w:t>
      </w:r>
      <w:r w:rsidRPr="003D3F00">
        <w:t xml:space="preserve">Fund </w:t>
      </w:r>
      <w:r w:rsidRPr="00EE39DE">
        <w:t xml:space="preserve">is now operational and a first set of four project preparation grants was approved by </w:t>
      </w:r>
      <w:r w:rsidRPr="003D3F00">
        <w:t xml:space="preserve">the </w:t>
      </w:r>
      <w:r w:rsidR="008E33FC" w:rsidRPr="00EE39DE">
        <w:t xml:space="preserve">Chief Executive Officer </w:t>
      </w:r>
      <w:r w:rsidRPr="00EE39DE">
        <w:t>in March 2024.</w:t>
      </w:r>
    </w:p>
    <w:p w14:paraId="5182414B" w14:textId="7D6954E4" w:rsidR="00980FEA" w:rsidRPr="00EE39DE" w:rsidRDefault="00980FEA" w:rsidP="00D17E67">
      <w:pPr>
        <w:pStyle w:val="Para1"/>
      </w:pPr>
      <w:r w:rsidRPr="00EE39DE">
        <w:t xml:space="preserve">The Subsidiary Body is expected to take note of the progress made by </w:t>
      </w:r>
      <w:r w:rsidR="004E6EDA" w:rsidRPr="003D3F00">
        <w:t>GEF</w:t>
      </w:r>
      <w:r w:rsidRPr="00EE39DE">
        <w:t xml:space="preserve"> in operationalizing the Global Biodiversity Framework </w:t>
      </w:r>
      <w:r w:rsidRPr="003D3F00">
        <w:t xml:space="preserve">Fund </w:t>
      </w:r>
      <w:r w:rsidRPr="00EE39DE">
        <w:t>and provide recommendations for consideration by the Conference of the Parties at its sixteenth meeting and for any intersessional work by the Executive Secretary.</w:t>
      </w:r>
    </w:p>
    <w:p w14:paraId="31E4BCA0" w14:textId="3BBD3C83" w:rsidR="00AB7898" w:rsidRDefault="00980FEA" w:rsidP="00AB7898">
      <w:pPr>
        <w:pStyle w:val="Heading1"/>
      </w:pPr>
      <w:r w:rsidRPr="00980FEA">
        <w:t>Financial mechanism under the Protocols</w:t>
      </w:r>
    </w:p>
    <w:p w14:paraId="5BD8182B" w14:textId="32C7AA24" w:rsidR="00AB7898" w:rsidRDefault="00AB7898" w:rsidP="00AB7898">
      <w:pPr>
        <w:pStyle w:val="Heading2"/>
      </w:pPr>
      <w:r>
        <w:t>A.</w:t>
      </w:r>
      <w:r>
        <w:tab/>
      </w:r>
      <w:r w:rsidR="00980FEA" w:rsidRPr="00980FEA">
        <w:t>Cartagena Protocol on Biosafety</w:t>
      </w:r>
    </w:p>
    <w:p w14:paraId="0C240A6F" w14:textId="5C0E74BE" w:rsidR="00AB7898" w:rsidRDefault="00980FEA" w:rsidP="00D17E67">
      <w:pPr>
        <w:pStyle w:val="Para1"/>
      </w:pPr>
      <w:r w:rsidRPr="00980FEA">
        <w:t xml:space="preserve">In its </w:t>
      </w:r>
      <w:r w:rsidRPr="00EF76D8">
        <w:t xml:space="preserve">decision </w:t>
      </w:r>
      <w:r w:rsidRPr="003D3F00">
        <w:t>CP</w:t>
      </w:r>
      <w:r w:rsidRPr="00EF76D8">
        <w:t xml:space="preserve">-10/6, the Conference of the Parties serving as the meeting of the Parties to the </w:t>
      </w:r>
      <w:r w:rsidR="009C07D6" w:rsidRPr="00EF76D8">
        <w:t xml:space="preserve">Cartagena </w:t>
      </w:r>
      <w:r w:rsidRPr="00EF76D8">
        <w:t>Protocol requested</w:t>
      </w:r>
      <w:r w:rsidRPr="00980FEA">
        <w:t xml:space="preserve"> the Executive Secretary to analyse the effectiveness of the financial mechanism for the implementation of the Cartagena Protocol in the sixth review of the effectiveness of the financial mechanism, while considering the relevance and process of creating </w:t>
      </w:r>
      <w:r w:rsidRPr="00EF76D8">
        <w:t xml:space="preserve">a </w:t>
      </w:r>
      <w:r w:rsidRPr="003D3F00">
        <w:t>stand</w:t>
      </w:r>
      <w:r w:rsidR="00EF76D8" w:rsidRPr="003D3F00">
        <w:t>-</w:t>
      </w:r>
      <w:r w:rsidRPr="003D3F00">
        <w:t>alone</w:t>
      </w:r>
      <w:r w:rsidRPr="00980FEA">
        <w:t xml:space="preserve"> window for biosafety, for consideration by the Conference of the Parties serving as the meeting of the Parties to the Cartagena Protocol at its eleventh meeting (para</w:t>
      </w:r>
      <w:r w:rsidR="00EF76D8">
        <w:t>.</w:t>
      </w:r>
      <w:r w:rsidRPr="00980FEA">
        <w:t xml:space="preserve"> 7(b)). This request has been referred to the independent evaluator for the sixth review of the effectiveness of the financial mechanism</w:t>
      </w:r>
      <w:r w:rsidR="00E031C7" w:rsidRPr="00E031C7">
        <w:t xml:space="preserve"> and </w:t>
      </w:r>
      <w:r w:rsidR="00B615CE">
        <w:t xml:space="preserve">the actions requested </w:t>
      </w:r>
      <w:r w:rsidR="00E031C7" w:rsidRPr="00B615CE">
        <w:t>form a part of</w:t>
      </w:r>
      <w:r w:rsidR="00E031C7" w:rsidRPr="00E031C7">
        <w:t xml:space="preserve"> th</w:t>
      </w:r>
      <w:r w:rsidR="00E031C7">
        <w:t>at</w:t>
      </w:r>
      <w:r w:rsidR="00E031C7" w:rsidRPr="00E031C7">
        <w:t xml:space="preserve"> review </w:t>
      </w:r>
      <w:r w:rsidR="00E031C7">
        <w:t>(</w:t>
      </w:r>
      <w:r w:rsidR="00E031C7" w:rsidRPr="00E031C7">
        <w:t>see sect</w:t>
      </w:r>
      <w:r w:rsidR="00EF76D8">
        <w:t>.</w:t>
      </w:r>
      <w:r w:rsidR="00E031C7" w:rsidRPr="00D17E67">
        <w:t xml:space="preserve"> VI</w:t>
      </w:r>
      <w:r w:rsidR="00E031C7">
        <w:t>)</w:t>
      </w:r>
      <w:r w:rsidRPr="00980FEA">
        <w:t>.</w:t>
      </w:r>
    </w:p>
    <w:p w14:paraId="5DB0EB83" w14:textId="63B0E769" w:rsidR="00AB7898" w:rsidRPr="005C5A79" w:rsidRDefault="00980FEA" w:rsidP="00D17E67">
      <w:pPr>
        <w:pStyle w:val="Para1"/>
      </w:pPr>
      <w:r w:rsidRPr="00980FEA">
        <w:t xml:space="preserve">According to the </w:t>
      </w:r>
      <w:r w:rsidRPr="005C5A79">
        <w:t xml:space="preserve">preliminary report of </w:t>
      </w:r>
      <w:r w:rsidRPr="003D3F00">
        <w:t xml:space="preserve">the </w:t>
      </w:r>
      <w:r w:rsidR="00EF56C3" w:rsidRPr="003D3F00">
        <w:t>GEF</w:t>
      </w:r>
      <w:r w:rsidR="00EF56C3" w:rsidRPr="005C5A79">
        <w:t xml:space="preserve"> </w:t>
      </w:r>
      <w:r w:rsidRPr="005C5A79">
        <w:t xml:space="preserve">Council, no project proposals were received from eligible countries to support implementation of the Cartagena Protocol during the reporting period. The Subsidiary Body on Implementation may wish to consider encouraging relevant Parties to the Cartagena Protocol to proactively access the notional allocation available for the Cartagena Protocol under the programming directions of the eighth replenishment of </w:t>
      </w:r>
      <w:r w:rsidR="00EF56C3" w:rsidRPr="003D3F00">
        <w:t>GEF</w:t>
      </w:r>
      <w:r w:rsidRPr="005C5A79">
        <w:t>.</w:t>
      </w:r>
    </w:p>
    <w:p w14:paraId="265B62F3" w14:textId="23E267CD" w:rsidR="00980FEA" w:rsidRPr="00B9198C" w:rsidRDefault="00980FEA" w:rsidP="00980FEA">
      <w:pPr>
        <w:pStyle w:val="Heading2"/>
      </w:pPr>
      <w:r>
        <w:t>B.</w:t>
      </w:r>
      <w:r>
        <w:tab/>
      </w:r>
      <w:r w:rsidRPr="00980FEA">
        <w:t xml:space="preserve">Nagoya Protocol </w:t>
      </w:r>
      <w:r w:rsidRPr="00B9198C">
        <w:t>on Access and Benefit-sharing</w:t>
      </w:r>
    </w:p>
    <w:p w14:paraId="1AEFD833" w14:textId="1D7B13D3" w:rsidR="00980FEA" w:rsidRPr="007F35AD" w:rsidRDefault="00980FEA" w:rsidP="00D17E67">
      <w:pPr>
        <w:pStyle w:val="Para1"/>
      </w:pPr>
      <w:r w:rsidRPr="00B9198C">
        <w:t xml:space="preserve">In its decision </w:t>
      </w:r>
      <w:r w:rsidRPr="003D3F00">
        <w:t>NP</w:t>
      </w:r>
      <w:r w:rsidRPr="00B9198C">
        <w:t>-4/8</w:t>
      </w:r>
      <w:r w:rsidR="005C5A79" w:rsidRPr="00B9198C">
        <w:t> </w:t>
      </w:r>
      <w:r w:rsidRPr="00B9198C">
        <w:t>A, the Conference of the Parties serving as the meeting of the Parties to the Nagoya Protocol invited Parties to the Protocol to participate actively in the sixth review of the effectiveness of the financial mechanism (para. 9)</w:t>
      </w:r>
      <w:r w:rsidRPr="003D3F00">
        <w:t>, and</w:t>
      </w:r>
      <w:r w:rsidRPr="00B9198C">
        <w:t xml:space="preserve"> requested the Executive Secretary, subject to the availability of resources, in the context of the sixth review, to collect views and information from eligible Parties on their experiences and lessons learned in </w:t>
      </w:r>
      <w:r w:rsidRPr="003D3F00">
        <w:t>accessing</w:t>
      </w:r>
      <w:r w:rsidRPr="00B9198C">
        <w:t xml:space="preserve"> and utilizing funds from the financial mechanism for the implementation of the Nagoya Protocol, including information on challenges and </w:t>
      </w:r>
      <w:r w:rsidR="00A34F3C">
        <w:t xml:space="preserve">their </w:t>
      </w:r>
      <w:r w:rsidRPr="00B9198C">
        <w:t xml:space="preserve">underlying reasons </w:t>
      </w:r>
      <w:r w:rsidRPr="003D3F00">
        <w:t>to access</w:t>
      </w:r>
      <w:r w:rsidRPr="00B9198C">
        <w:t xml:space="preserve"> and utilize </w:t>
      </w:r>
      <w:r w:rsidR="00EF56C3" w:rsidRPr="003D3F00">
        <w:t>GEF</w:t>
      </w:r>
      <w:r w:rsidRPr="00B9198C">
        <w:t xml:space="preserve"> funds and on possible barriers to regional collaboration (para. 10). This request has been referred to the independent evaluator for the sixth review of the effectiveness of the financial mechanism</w:t>
      </w:r>
      <w:r w:rsidR="00EF56C3" w:rsidRPr="00B9198C">
        <w:t xml:space="preserve"> </w:t>
      </w:r>
      <w:r w:rsidR="00B077E7" w:rsidRPr="00B9198C">
        <w:t xml:space="preserve">and </w:t>
      </w:r>
      <w:r w:rsidR="00B615CE">
        <w:t xml:space="preserve">the actions requested </w:t>
      </w:r>
      <w:r w:rsidR="00BD3715" w:rsidRPr="00B9198C">
        <w:t xml:space="preserve">will </w:t>
      </w:r>
      <w:r w:rsidR="00BD3715" w:rsidRPr="006B1AE9">
        <w:t>be</w:t>
      </w:r>
      <w:r w:rsidR="00B077E7" w:rsidRPr="006B1AE9">
        <w:t xml:space="preserve"> carried out</w:t>
      </w:r>
      <w:r w:rsidR="00B077E7" w:rsidRPr="00B9198C">
        <w:t xml:space="preserve"> as part of the </w:t>
      </w:r>
      <w:r w:rsidR="00E031C7" w:rsidRPr="00B9198C">
        <w:t xml:space="preserve">review </w:t>
      </w:r>
      <w:r w:rsidR="00EF56C3" w:rsidRPr="00B9198C">
        <w:t>(</w:t>
      </w:r>
      <w:bookmarkStart w:id="3" w:name="_Hlk164425428"/>
      <w:r w:rsidR="00EF56C3" w:rsidRPr="007F35AD">
        <w:t>see sect</w:t>
      </w:r>
      <w:r w:rsidR="00B9198C" w:rsidRPr="007F35AD">
        <w:t>.</w:t>
      </w:r>
      <w:r w:rsidR="00EF56C3" w:rsidRPr="007F35AD">
        <w:t xml:space="preserve"> V</w:t>
      </w:r>
      <w:r w:rsidR="00B077E7" w:rsidRPr="007F35AD">
        <w:t>I</w:t>
      </w:r>
      <w:bookmarkEnd w:id="3"/>
      <w:r w:rsidR="00EF56C3" w:rsidRPr="007F35AD">
        <w:t>)</w:t>
      </w:r>
      <w:r w:rsidRPr="007F35AD">
        <w:t>.</w:t>
      </w:r>
    </w:p>
    <w:p w14:paraId="0A00F608" w14:textId="39682ED6" w:rsidR="00980FEA" w:rsidRDefault="00980FEA" w:rsidP="00D17E67">
      <w:pPr>
        <w:pStyle w:val="Para1"/>
      </w:pPr>
      <w:r w:rsidRPr="007F35AD">
        <w:t xml:space="preserve">According to the preliminary report of </w:t>
      </w:r>
      <w:r w:rsidRPr="003D3F00">
        <w:t xml:space="preserve">the </w:t>
      </w:r>
      <w:r w:rsidR="00EF56C3" w:rsidRPr="003D3F00">
        <w:t>GEF</w:t>
      </w:r>
      <w:r w:rsidR="00EF56C3" w:rsidRPr="007F35AD">
        <w:t xml:space="preserve"> </w:t>
      </w:r>
      <w:r w:rsidRPr="007F35AD">
        <w:t xml:space="preserve">Council, two project proposals have been processed by </w:t>
      </w:r>
      <w:r w:rsidR="00EF56C3" w:rsidRPr="003D3F00">
        <w:t>GEF</w:t>
      </w:r>
      <w:r w:rsidRPr="007F35AD">
        <w:t xml:space="preserve"> to support national implementation and associated </w:t>
      </w:r>
      <w:r w:rsidRPr="003D3F00">
        <w:t>capacity</w:t>
      </w:r>
      <w:r w:rsidR="00B9198C" w:rsidRPr="003D3F00">
        <w:t>-</w:t>
      </w:r>
      <w:r w:rsidRPr="003D3F00">
        <w:t>building</w:t>
      </w:r>
      <w:r w:rsidRPr="007F35AD">
        <w:t>, namely, “</w:t>
      </w:r>
      <w:r w:rsidR="00335376">
        <w:t>O</w:t>
      </w:r>
      <w:r w:rsidRPr="007F35AD">
        <w:t xml:space="preserve">perationalizing the Nagoya Protocol access and </w:t>
      </w:r>
      <w:r w:rsidRPr="003D3F00">
        <w:t>benefit</w:t>
      </w:r>
      <w:r w:rsidR="007F35AD" w:rsidRPr="003D3F00">
        <w:t>-</w:t>
      </w:r>
      <w:r w:rsidRPr="003D3F00">
        <w:t>sharing</w:t>
      </w:r>
      <w:r w:rsidRPr="007F35AD">
        <w:t xml:space="preserve"> and traditional knowledge regime in Burkina Faso” and “</w:t>
      </w:r>
      <w:r w:rsidR="00335376">
        <w:t>E</w:t>
      </w:r>
      <w:r w:rsidRPr="007F35AD">
        <w:t xml:space="preserve">mpowering </w:t>
      </w:r>
      <w:r w:rsidRPr="003D3F00">
        <w:t>indigenous people</w:t>
      </w:r>
      <w:r w:rsidRPr="007F35AD">
        <w:t>s and local communities to manage biodiversity data and information as a strategy to conserve their territories, safeguard traditional knowledge</w:t>
      </w:r>
      <w:r w:rsidRPr="003D3F00">
        <w:t>, and</w:t>
      </w:r>
      <w:r w:rsidRPr="007F35AD">
        <w:t xml:space="preserve"> promote integrated biodiversity management” in Brazil.</w:t>
      </w:r>
      <w:r w:rsidR="00BD3715" w:rsidRPr="007F35AD">
        <w:t xml:space="preserve"> </w:t>
      </w:r>
      <w:r w:rsidRPr="007F35AD">
        <w:t>The</w:t>
      </w:r>
      <w:r w:rsidRPr="00980FEA">
        <w:t xml:space="preserve"> Subsidiary Body may wish to consider encouraging relevant Parties to the Nagoya Protocol to expand the utilization of the notional allocation for the </w:t>
      </w:r>
      <w:r w:rsidRPr="007F35AD">
        <w:t xml:space="preserve">implementation of the Nagoya Protocol available in the programming directions of the eighth replenishment of the </w:t>
      </w:r>
      <w:r w:rsidRPr="003D3F00">
        <w:t>Global Environment Facility</w:t>
      </w:r>
      <w:r w:rsidRPr="007F35AD">
        <w:t>.</w:t>
      </w:r>
    </w:p>
    <w:p w14:paraId="19B49EB2" w14:textId="32CF13F4" w:rsidR="003036F9" w:rsidRDefault="007E4100" w:rsidP="003036F9">
      <w:pPr>
        <w:pStyle w:val="Heading1"/>
      </w:pPr>
      <w:r>
        <w:t>Four-year</w:t>
      </w:r>
      <w:r w:rsidRPr="00054D6B">
        <w:t xml:space="preserve"> </w:t>
      </w:r>
      <w:r w:rsidR="003036F9" w:rsidRPr="00054D6B">
        <w:t>outcome-oriented framework of programm</w:t>
      </w:r>
      <w:r w:rsidR="00F45062">
        <w:t>e</w:t>
      </w:r>
      <w:r w:rsidR="003036F9" w:rsidRPr="00054D6B">
        <w:t xml:space="preserve"> </w:t>
      </w:r>
      <w:r w:rsidR="003036F9" w:rsidRPr="0025584A">
        <w:t xml:space="preserve">priorities for the ninth replenishment period of </w:t>
      </w:r>
      <w:r w:rsidR="003036F9" w:rsidRPr="003D3F00">
        <w:t xml:space="preserve">the </w:t>
      </w:r>
      <w:r w:rsidR="0025584A" w:rsidRPr="0025584A">
        <w:t xml:space="preserve">Global Environment Facility </w:t>
      </w:r>
      <w:r w:rsidR="003036F9" w:rsidRPr="003D3F00">
        <w:t>Trust Fund</w:t>
      </w:r>
      <w:r>
        <w:t xml:space="preserve"> </w:t>
      </w:r>
      <w:r w:rsidRPr="007E4100">
        <w:t>(July 2026 to June 2030)</w:t>
      </w:r>
    </w:p>
    <w:p w14:paraId="4138CB03" w14:textId="31FD812A" w:rsidR="003036F9" w:rsidRDefault="003036F9" w:rsidP="00D17E67">
      <w:pPr>
        <w:pStyle w:val="Para1"/>
      </w:pPr>
      <w:r w:rsidRPr="00054D6B">
        <w:t xml:space="preserve">At its fifteenth meeting, the Conference of the Parties adopted a four-year outcome-oriented framework of programme priorities </w:t>
      </w:r>
      <w:r w:rsidRPr="00F434A1">
        <w:t xml:space="preserve">of the </w:t>
      </w:r>
      <w:r w:rsidRPr="003D3F00">
        <w:t>Convention on Biological Diversity</w:t>
      </w:r>
      <w:r w:rsidRPr="00F434A1">
        <w:t xml:space="preserve"> for the eighth </w:t>
      </w:r>
      <w:r w:rsidRPr="00F434A1">
        <w:lastRenderedPageBreak/>
        <w:t xml:space="preserve">replenishment period of </w:t>
      </w:r>
      <w:r w:rsidRPr="003D3F00">
        <w:t>GEF</w:t>
      </w:r>
      <w:r w:rsidRPr="00F434A1">
        <w:t xml:space="preserve">, aligned with the </w:t>
      </w:r>
      <w:r w:rsidRPr="003D3F00">
        <w:t>Kunming-Montreal Global Biodiversity Framework</w:t>
      </w:r>
      <w:r w:rsidRPr="00F434A1">
        <w:t>.</w:t>
      </w:r>
      <w:r w:rsidR="00F67EC6">
        <w:rPr>
          <w:rStyle w:val="FootnoteReference"/>
        </w:rPr>
        <w:footnoteReference w:id="4"/>
      </w:r>
      <w:r w:rsidRPr="00F434A1">
        <w:t xml:space="preserve"> The framework</w:t>
      </w:r>
      <w:r w:rsidRPr="00054D6B">
        <w:t xml:space="preserve"> of programme priorities was developed on the basis of a recommendation of the Subsidiary Body on Implementation at its third meeting</w:t>
      </w:r>
      <w:r w:rsidR="00F434A1">
        <w:t>,</w:t>
      </w:r>
      <w:r w:rsidRPr="00054D6B">
        <w:t xml:space="preserve"> prepared in the </w:t>
      </w:r>
      <w:r w:rsidRPr="00F434A1">
        <w:t xml:space="preserve">light of </w:t>
      </w:r>
      <w:r w:rsidR="00F67EC6">
        <w:t>its</w:t>
      </w:r>
      <w:r w:rsidRPr="00F434A1">
        <w:t xml:space="preserve"> consideration of documents </w:t>
      </w:r>
      <w:r w:rsidRPr="003D3F00">
        <w:t>CBD</w:t>
      </w:r>
      <w:r w:rsidRPr="00F434A1">
        <w:t>/</w:t>
      </w:r>
      <w:r w:rsidRPr="003D3F00">
        <w:t>SBI</w:t>
      </w:r>
      <w:r w:rsidRPr="00F434A1">
        <w:t xml:space="preserve">/3/6 and </w:t>
      </w:r>
      <w:r w:rsidRPr="003D3F00">
        <w:t>CBD</w:t>
      </w:r>
      <w:r w:rsidRPr="00F434A1">
        <w:t>/</w:t>
      </w:r>
      <w:r w:rsidRPr="003D3F00">
        <w:t>SBI</w:t>
      </w:r>
      <w:r w:rsidRPr="00F434A1">
        <w:t>/3/6/Add.4</w:t>
      </w:r>
      <w:r w:rsidR="00545CEC" w:rsidRPr="00545CEC">
        <w:t xml:space="preserve">, including </w:t>
      </w:r>
      <w:r w:rsidR="00F67EC6">
        <w:t xml:space="preserve">information </w:t>
      </w:r>
      <w:r w:rsidR="00545CEC" w:rsidRPr="00545CEC">
        <w:t>on previous frameworks</w:t>
      </w:r>
      <w:r w:rsidRPr="00F434A1">
        <w:t>.</w:t>
      </w:r>
    </w:p>
    <w:p w14:paraId="3AD0FC58" w14:textId="6551082A" w:rsidR="003036F9" w:rsidRPr="00EF78D6" w:rsidRDefault="003036F9" w:rsidP="00D17E67">
      <w:pPr>
        <w:pStyle w:val="Para1"/>
      </w:pPr>
      <w:r w:rsidRPr="00054D6B">
        <w:t>The Secretariat has further examined the four previous frameworks of programm</w:t>
      </w:r>
      <w:r w:rsidR="00F207C1">
        <w:t>e</w:t>
      </w:r>
      <w:r w:rsidRPr="00054D6B">
        <w:t xml:space="preserve"> priorities</w:t>
      </w:r>
      <w:r>
        <w:t xml:space="preserve"> and</w:t>
      </w:r>
      <w:r w:rsidRPr="00054D6B">
        <w:t xml:space="preserve"> how </w:t>
      </w:r>
      <w:r w:rsidRPr="003D3F00">
        <w:t>GEF</w:t>
      </w:r>
      <w:r w:rsidRPr="00054D6B">
        <w:t xml:space="preserve"> responded to them and </w:t>
      </w:r>
      <w:r w:rsidR="00D62831">
        <w:t xml:space="preserve">will </w:t>
      </w:r>
      <w:r w:rsidRPr="00054D6B">
        <w:t>provide an analysis</w:t>
      </w:r>
      <w:r w:rsidR="00D4293F">
        <w:t xml:space="preserve"> of this</w:t>
      </w:r>
      <w:r w:rsidRPr="00054D6B">
        <w:t xml:space="preserve"> in the information </w:t>
      </w:r>
      <w:r w:rsidRPr="003D3F00">
        <w:t>document CBD/SBI/4/INF/</w:t>
      </w:r>
      <w:r w:rsidR="0035649B" w:rsidRPr="003D3F00">
        <w:t>18</w:t>
      </w:r>
      <w:r w:rsidRPr="003D3F00">
        <w:t>. In its</w:t>
      </w:r>
      <w:r w:rsidRPr="00054D6B">
        <w:t xml:space="preserve"> preliminary </w:t>
      </w:r>
      <w:r w:rsidRPr="00EF78D6">
        <w:t xml:space="preserve">report, </w:t>
      </w:r>
      <w:r w:rsidRPr="003D3F00">
        <w:t>GEF</w:t>
      </w:r>
      <w:r w:rsidRPr="00EF78D6">
        <w:t xml:space="preserve"> has outlined its responses to the framework of programme priorities adopted by the Conference of the Parties at its fifteenth meeting.</w:t>
      </w:r>
    </w:p>
    <w:p w14:paraId="7E6D9607" w14:textId="7E37553E" w:rsidR="003036F9" w:rsidRPr="007D63D1" w:rsidRDefault="00865C0F" w:rsidP="00D17E67">
      <w:pPr>
        <w:pStyle w:val="Para1"/>
      </w:pPr>
      <w:r w:rsidRPr="00E62BDF">
        <w:t>Informed by</w:t>
      </w:r>
      <w:r w:rsidR="003036F9" w:rsidRPr="00E62BDF">
        <w:t xml:space="preserve"> consideration</w:t>
      </w:r>
      <w:r w:rsidR="00764C9E" w:rsidRPr="00E62BDF">
        <w:t xml:space="preserve"> of these</w:t>
      </w:r>
      <w:r w:rsidR="003036F9" w:rsidRPr="00054D6B">
        <w:t>, a draft proposal for a four-year outcome-oriented framework of biodiversity programm</w:t>
      </w:r>
      <w:r w:rsidR="00F45062">
        <w:t>e</w:t>
      </w:r>
      <w:r w:rsidR="003036F9" w:rsidRPr="00054D6B">
        <w:t xml:space="preserve"> priorities </w:t>
      </w:r>
      <w:r w:rsidR="00764C9E">
        <w:t xml:space="preserve">for the ninth replenishment period </w:t>
      </w:r>
      <w:r w:rsidR="00545CEC">
        <w:t xml:space="preserve">of GEF </w:t>
      </w:r>
      <w:r w:rsidR="003036F9" w:rsidRPr="00054D6B">
        <w:t xml:space="preserve">is provided in the annex </w:t>
      </w:r>
      <w:r w:rsidR="003036F9">
        <w:t>to</w:t>
      </w:r>
      <w:r w:rsidR="003036F9" w:rsidRPr="00054D6B">
        <w:t xml:space="preserve"> the draft decision contained in section </w:t>
      </w:r>
      <w:r w:rsidR="003036F9" w:rsidRPr="00D17E67">
        <w:t>IX</w:t>
      </w:r>
      <w:r w:rsidR="003036F9" w:rsidRPr="00054D6B">
        <w:t xml:space="preserve"> of the present note. The proposal is </w:t>
      </w:r>
      <w:r w:rsidR="00764C9E">
        <w:t>based</w:t>
      </w:r>
      <w:r w:rsidR="00764C9E" w:rsidRPr="00054D6B">
        <w:t xml:space="preserve"> </w:t>
      </w:r>
      <w:r w:rsidR="003036F9">
        <w:t xml:space="preserve">on </w:t>
      </w:r>
      <w:r w:rsidR="003036F9" w:rsidRPr="00054D6B">
        <w:t xml:space="preserve">and </w:t>
      </w:r>
      <w:r w:rsidR="003036F9" w:rsidRPr="007D63D1">
        <w:t xml:space="preserve">builds upon the </w:t>
      </w:r>
      <w:r w:rsidR="00764C9E">
        <w:t>current</w:t>
      </w:r>
      <w:r w:rsidR="00764C9E" w:rsidRPr="007D63D1">
        <w:t xml:space="preserve"> </w:t>
      </w:r>
      <w:r w:rsidR="003036F9" w:rsidRPr="007D63D1">
        <w:t>four-year framework of biodiversity programm</w:t>
      </w:r>
      <w:r w:rsidR="00F207C1">
        <w:t>e</w:t>
      </w:r>
      <w:r w:rsidR="003036F9" w:rsidRPr="007D63D1">
        <w:t xml:space="preserve"> priorities</w:t>
      </w:r>
      <w:r w:rsidR="00764C9E">
        <w:t xml:space="preserve"> for the eighth replenishment period</w:t>
      </w:r>
      <w:r w:rsidR="00DF1025">
        <w:t>,</w:t>
      </w:r>
      <w:r w:rsidR="00764C9E">
        <w:t xml:space="preserve"> 2022</w:t>
      </w:r>
      <w:r w:rsidR="0002711C">
        <w:t xml:space="preserve"> to </w:t>
      </w:r>
      <w:r w:rsidR="00764C9E">
        <w:t>2026</w:t>
      </w:r>
      <w:r w:rsidR="003036F9" w:rsidRPr="007D63D1">
        <w:t xml:space="preserve">, taking account of </w:t>
      </w:r>
      <w:r w:rsidR="00DF1025">
        <w:t xml:space="preserve">the fact </w:t>
      </w:r>
      <w:r w:rsidR="003036F9" w:rsidRPr="007D63D1">
        <w:t xml:space="preserve">that </w:t>
      </w:r>
      <w:r w:rsidR="00DF1025">
        <w:t>this</w:t>
      </w:r>
      <w:r w:rsidR="003036F9" w:rsidRPr="007D63D1">
        <w:t xml:space="preserve"> was prepared </w:t>
      </w:r>
      <w:r w:rsidR="003036F9" w:rsidRPr="00E62BDF">
        <w:t xml:space="preserve">and adopted </w:t>
      </w:r>
      <w:r w:rsidR="002C5D38" w:rsidRPr="00E62BDF">
        <w:t>so recently</w:t>
      </w:r>
      <w:r w:rsidR="00E62BDF">
        <w:t xml:space="preserve"> and </w:t>
      </w:r>
      <w:r w:rsidR="0020227B">
        <w:t>the continued relevance of the guidance it provides</w:t>
      </w:r>
      <w:r w:rsidR="003036F9" w:rsidRPr="007D63D1">
        <w:t>. The Subsidiary Body may wish to consider this proposal in developing its recommendation to the Conference of the Parties at its sixteenth meeting.</w:t>
      </w:r>
    </w:p>
    <w:p w14:paraId="4A909FC3" w14:textId="00044635" w:rsidR="00AB7898" w:rsidRPr="00170904" w:rsidRDefault="00980FEA" w:rsidP="00AB7898">
      <w:pPr>
        <w:pStyle w:val="Heading1"/>
      </w:pPr>
      <w:r w:rsidRPr="00170904">
        <w:t xml:space="preserve">Estimated funding and investment needs over the ninth replenishment </w:t>
      </w:r>
      <w:r w:rsidR="00DF1025">
        <w:t xml:space="preserve">period </w:t>
      </w:r>
      <w:r w:rsidRPr="00170904">
        <w:t xml:space="preserve">of the </w:t>
      </w:r>
      <w:r w:rsidRPr="003D3F00">
        <w:t>Global Environment Facility</w:t>
      </w:r>
      <w:r w:rsidR="00733F10">
        <w:t xml:space="preserve"> Trust Fund</w:t>
      </w:r>
    </w:p>
    <w:p w14:paraId="294DD95A" w14:textId="02E977C5" w:rsidR="00AB7898" w:rsidRDefault="00054D6B" w:rsidP="00D17E67">
      <w:pPr>
        <w:pStyle w:val="Para1"/>
      </w:pPr>
      <w:r w:rsidRPr="00054D6B">
        <w:t xml:space="preserve">In its decision 15/15, the Conference of the Parties adopted the terms of reference for a full assessment of the funds necessary to assist developing countries and countries with economies in transition in </w:t>
      </w:r>
      <w:r w:rsidRPr="00100C4A">
        <w:t xml:space="preserve">fulfilling their commitments under the Convention and its Protocols for the ninth replenishment period of </w:t>
      </w:r>
      <w:r w:rsidR="00DE6683" w:rsidRPr="003D3F00">
        <w:t>GEF</w:t>
      </w:r>
      <w:r w:rsidRPr="00100C4A">
        <w:t>, as contained in annex III to that decision (para.</w:t>
      </w:r>
      <w:r w:rsidRPr="003D3F00">
        <w:t xml:space="preserve"> 13) </w:t>
      </w:r>
      <w:r w:rsidRPr="00100C4A">
        <w:t>and requested the Executive Secretary to ensure completion of the assessment in time for consideration by the Subsidiary Body on Implementation</w:t>
      </w:r>
      <w:r w:rsidRPr="003D3F00">
        <w:t>, and</w:t>
      </w:r>
      <w:r w:rsidRPr="00100C4A">
        <w:t xml:space="preserve"> subsequently by the Conference of the Parties at its sixteenth meeting (para. 14)</w:t>
      </w:r>
      <w:r w:rsidR="00AB7898" w:rsidRPr="00100C4A">
        <w:t>.</w:t>
      </w:r>
    </w:p>
    <w:p w14:paraId="2D011326" w14:textId="3F061FEB" w:rsidR="00054D6B" w:rsidRDefault="00054D6B" w:rsidP="00D17E67">
      <w:pPr>
        <w:pStyle w:val="Para1"/>
      </w:pPr>
      <w:r w:rsidRPr="00736611">
        <w:t xml:space="preserve">The timely implementation of </w:t>
      </w:r>
      <w:r w:rsidR="003036F9" w:rsidRPr="00736611">
        <w:t>this decision</w:t>
      </w:r>
      <w:r w:rsidRPr="00736611">
        <w:t xml:space="preserve"> is subject to the timely availability of budgetary resources</w:t>
      </w:r>
      <w:r w:rsidRPr="003D3F00">
        <w:t>, and</w:t>
      </w:r>
      <w:r w:rsidRPr="00736611">
        <w:t xml:space="preserve"> the reliance on voluntary contributions does not provide necessary certainty of timeliness.</w:t>
      </w:r>
      <w:r w:rsidRPr="003D3F00">
        <w:t xml:space="preserve"> </w:t>
      </w:r>
      <w:r w:rsidR="00100C4A" w:rsidRPr="003D3F00">
        <w:t xml:space="preserve">Owing </w:t>
      </w:r>
      <w:r w:rsidRPr="003D3F00">
        <w:t>to</w:t>
      </w:r>
      <w:r w:rsidRPr="00736611">
        <w:t xml:space="preserve"> the lack of voluntary contributions for this purpose, there has been limited progress in the implementation of these</w:t>
      </w:r>
      <w:r w:rsidRPr="00054D6B">
        <w:t xml:space="preserve"> terms of reference.</w:t>
      </w:r>
      <w:r w:rsidR="00AD13FD">
        <w:t xml:space="preserve"> </w:t>
      </w:r>
    </w:p>
    <w:p w14:paraId="38B5D7BE" w14:textId="06481B72" w:rsidR="00054D6B" w:rsidRDefault="00054D6B" w:rsidP="00D17E67">
      <w:pPr>
        <w:pStyle w:val="Para1"/>
      </w:pPr>
      <w:r w:rsidRPr="00054D6B">
        <w:t xml:space="preserve">Also in its decision 15/15, the Conference of the Parties invited developing country Parties and Parties with economies in transition to identify related national funding priorities, including nationally prioritized funding needs that could be considered as eligible for funding under the financial mechanism specifically for the period July 2026 to June </w:t>
      </w:r>
      <w:r w:rsidRPr="00D17E67">
        <w:t>2030, and</w:t>
      </w:r>
      <w:r w:rsidRPr="00054D6B">
        <w:t xml:space="preserve"> submit the results to the Executive Secretary for inclusion in the funding needs assessment (para. 15). </w:t>
      </w:r>
    </w:p>
    <w:p w14:paraId="5F0F0F96" w14:textId="2A4D6303" w:rsidR="00054D6B" w:rsidRPr="00065E39" w:rsidRDefault="00054D6B" w:rsidP="00D17E67">
      <w:pPr>
        <w:pStyle w:val="Para1"/>
      </w:pPr>
      <w:r w:rsidRPr="00054D6B">
        <w:t xml:space="preserve">However, national funding priorities and nationally prioritized funding needs are mostly determined through national biodiversity strategies and action plans and associated national biodiversity finance plans. At present, the Secretariat has received eight submissions of national biodiversity strategies </w:t>
      </w:r>
      <w:r w:rsidRPr="00E4670F">
        <w:t xml:space="preserve">and action plans, revised and updated aligned with the </w:t>
      </w:r>
      <w:r w:rsidRPr="003D3F00">
        <w:t>Kunming-Montreal Global Biodiversity Framework</w:t>
      </w:r>
      <w:r w:rsidRPr="00E4670F">
        <w:t>. Only one of these is from a country eligible for support through the financial mechanism</w:t>
      </w:r>
      <w:r w:rsidR="00EF56C3" w:rsidRPr="003D3F00">
        <w:t>,</w:t>
      </w:r>
      <w:r w:rsidRPr="003D3F00">
        <w:t xml:space="preserve"> and</w:t>
      </w:r>
      <w:r w:rsidRPr="00E4670F">
        <w:t xml:space="preserve"> that submission does not contain information on funding priorities or prioritized funding needs. </w:t>
      </w:r>
      <w:r w:rsidR="00EF56C3" w:rsidRPr="00E4670F">
        <w:t>M</w:t>
      </w:r>
      <w:r w:rsidRPr="00E4670F">
        <w:t>ost eligible countries will only be able to make meaningful submissions on national funding priorities, including nationally prioritized funding needs, after they have revised and updated their national biodiversity strategies and action plans</w:t>
      </w:r>
      <w:r w:rsidRPr="00054D6B">
        <w:t xml:space="preserve"> in line with the Framework, which are </w:t>
      </w:r>
      <w:r w:rsidRPr="00065E39">
        <w:t>expected to be submitted by the sixteenth meeting of the Conference of the Parties.</w:t>
      </w:r>
    </w:p>
    <w:p w14:paraId="5065537D" w14:textId="02296D16" w:rsidR="00054D6B" w:rsidRPr="00601400" w:rsidRDefault="00054D6B" w:rsidP="00D17E67">
      <w:pPr>
        <w:pStyle w:val="Para1"/>
      </w:pPr>
      <w:r w:rsidRPr="003D3F00">
        <w:t xml:space="preserve">In </w:t>
      </w:r>
      <w:r w:rsidR="00065E39" w:rsidRPr="003D3F00">
        <w:t xml:space="preserve">the </w:t>
      </w:r>
      <w:r w:rsidRPr="003D3F00">
        <w:t>light of</w:t>
      </w:r>
      <w:r w:rsidRPr="00065E39">
        <w:t xml:space="preserve"> th</w:t>
      </w:r>
      <w:r w:rsidR="00065E39" w:rsidRPr="00065E39">
        <w:t>e above</w:t>
      </w:r>
      <w:r w:rsidRPr="00065E39">
        <w:t xml:space="preserve"> and considering the timing of the replenishment negotiations, which will commence early in 2025, it is proposed that an ongoing online collection of national funding </w:t>
      </w:r>
      <w:r w:rsidRPr="00065E39">
        <w:lastRenderedPageBreak/>
        <w:t xml:space="preserve">priorities, including nationally prioritized funding needs that could be considered as eligible for funding under the financial mechanism for the period July 2026 to June 2030, could be undertaken and the results periodically transmitted to </w:t>
      </w:r>
      <w:r w:rsidRPr="003D3F00">
        <w:t>GEF</w:t>
      </w:r>
      <w:r w:rsidRPr="00065E39">
        <w:t xml:space="preserve">. </w:t>
      </w:r>
      <w:r w:rsidR="003036F9" w:rsidRPr="00065E39">
        <w:t xml:space="preserve">A questionnaire survey has been prepared by the </w:t>
      </w:r>
      <w:r w:rsidR="003036F9" w:rsidRPr="00564D2C">
        <w:t xml:space="preserve">Secretariat </w:t>
      </w:r>
      <w:r w:rsidR="00733F10">
        <w:t>for</w:t>
      </w:r>
      <w:r w:rsidR="003036F9" w:rsidRPr="00564D2C">
        <w:t xml:space="preserve"> thi</w:t>
      </w:r>
      <w:r w:rsidR="00733F10">
        <w:t>s purpose</w:t>
      </w:r>
      <w:r w:rsidR="003036F9" w:rsidRPr="00564D2C">
        <w:t xml:space="preserve">. This will be </w:t>
      </w:r>
      <w:r w:rsidR="00733F10">
        <w:t>launched</w:t>
      </w:r>
      <w:r w:rsidR="005077A8">
        <w:t xml:space="preserve"> </w:t>
      </w:r>
      <w:r w:rsidR="003036F9" w:rsidRPr="00564D2C">
        <w:t xml:space="preserve">through a notification and the results will be compiled, </w:t>
      </w:r>
      <w:r w:rsidR="003036F9" w:rsidRPr="003D3F00">
        <w:t>analyz</w:t>
      </w:r>
      <w:r w:rsidR="003036F9" w:rsidRPr="00564D2C">
        <w:t xml:space="preserve">ed and provided in a pre-session document for the consideration of the Conference of the Parties at its sixteenth meeting. It is envisaged that further updates will be transmitted to </w:t>
      </w:r>
      <w:r w:rsidR="003036F9" w:rsidRPr="003D3F00">
        <w:t>the GEF</w:t>
      </w:r>
      <w:r w:rsidR="003036F9" w:rsidRPr="00564D2C">
        <w:t xml:space="preserve"> </w:t>
      </w:r>
      <w:r w:rsidR="000276A0">
        <w:t>S</w:t>
      </w:r>
      <w:r w:rsidR="003036F9" w:rsidRPr="00564D2C">
        <w:t xml:space="preserve">ecretariat </w:t>
      </w:r>
      <w:r w:rsidR="003036F9" w:rsidRPr="00426C94">
        <w:t xml:space="preserve">periodically after that. </w:t>
      </w:r>
      <w:r w:rsidRPr="00426C94">
        <w:t xml:space="preserve">Further information, including the questionnaire survey prepared by the Secretariat, is provided in the information document </w:t>
      </w:r>
      <w:r w:rsidRPr="003D3F00">
        <w:t>CBD</w:t>
      </w:r>
      <w:r w:rsidRPr="00426C94">
        <w:t>/</w:t>
      </w:r>
      <w:r w:rsidRPr="003D3F00">
        <w:t>SBI</w:t>
      </w:r>
      <w:r w:rsidRPr="00426C94">
        <w:t>/</w:t>
      </w:r>
      <w:r w:rsidR="006904F9" w:rsidRPr="00426C94">
        <w:t>4/</w:t>
      </w:r>
      <w:r w:rsidRPr="003D3F00">
        <w:t>INF</w:t>
      </w:r>
      <w:r w:rsidRPr="00426C94">
        <w:t>/</w:t>
      </w:r>
      <w:r w:rsidR="00601400" w:rsidRPr="003D3F00">
        <w:t>16</w:t>
      </w:r>
      <w:r w:rsidRPr="00426C94">
        <w:t>.</w:t>
      </w:r>
    </w:p>
    <w:p w14:paraId="3C291F92" w14:textId="5B322F08" w:rsidR="00054D6B" w:rsidRPr="00601400" w:rsidRDefault="00054D6B" w:rsidP="00D17E67">
      <w:pPr>
        <w:pStyle w:val="Para1"/>
      </w:pPr>
      <w:r w:rsidRPr="00601400">
        <w:t>Taking account of the past exercises of conducting the funding needs assessments, the Subsidiary Body may wish to consider the challenges, practical opportunities and ways forward in conducting assessment</w:t>
      </w:r>
      <w:r w:rsidR="00EF56C3" w:rsidRPr="00601400">
        <w:t>s</w:t>
      </w:r>
      <w:r w:rsidRPr="00601400">
        <w:t xml:space="preserve"> of the funds necessary to assist developing countries and countries with economies in transition in fulfilling their commitments under the Convention and its Protocols for the ninth and subsequent replenishment periods of </w:t>
      </w:r>
      <w:r w:rsidRPr="003D3F00">
        <w:t>GEF</w:t>
      </w:r>
      <w:r w:rsidRPr="00601400">
        <w:t>.</w:t>
      </w:r>
    </w:p>
    <w:p w14:paraId="2C690DCF" w14:textId="30A1E763" w:rsidR="00AB7898" w:rsidRDefault="00054D6B" w:rsidP="00AB7898">
      <w:pPr>
        <w:pStyle w:val="Heading1"/>
      </w:pPr>
      <w:r w:rsidRPr="00054D6B">
        <w:t>Sixth review of the effectiveness of the financial mechanism</w:t>
      </w:r>
    </w:p>
    <w:p w14:paraId="55437FE9" w14:textId="6A498AF5" w:rsidR="00AB7898" w:rsidRDefault="00054D6B" w:rsidP="00D17E67">
      <w:pPr>
        <w:pStyle w:val="Para1"/>
      </w:pPr>
      <w:r w:rsidRPr="00054D6B">
        <w:t xml:space="preserve">In </w:t>
      </w:r>
      <w:r w:rsidR="005A4C4A" w:rsidRPr="00054D6B">
        <w:t>paragraph 17</w:t>
      </w:r>
      <w:r w:rsidR="00DB577D">
        <w:t xml:space="preserve"> </w:t>
      </w:r>
      <w:r w:rsidR="005A4C4A">
        <w:t xml:space="preserve">of </w:t>
      </w:r>
      <w:r w:rsidRPr="00054D6B">
        <w:t xml:space="preserve">its decision 15/15, the Conference of the Parties adopted the terms of reference for the sixth quadrennial review of the effectiveness of the financial mechanism contained in annex </w:t>
      </w:r>
      <w:r w:rsidRPr="00D17E67">
        <w:t>IV</w:t>
      </w:r>
      <w:r w:rsidRPr="00054D6B">
        <w:t xml:space="preserve"> to that </w:t>
      </w:r>
      <w:r w:rsidRPr="005A4C4A">
        <w:t>decision</w:t>
      </w:r>
      <w:r w:rsidRPr="003D3F00">
        <w:t>, and</w:t>
      </w:r>
      <w:r w:rsidRPr="005A4C4A">
        <w:t xml:space="preserve"> requested</w:t>
      </w:r>
      <w:r w:rsidRPr="00054D6B">
        <w:t xml:space="preserve"> the Executive Secretary to ensure that the report on the review is made available </w:t>
      </w:r>
      <w:r w:rsidRPr="00891D2A">
        <w:t>three months</w:t>
      </w:r>
      <w:r w:rsidRPr="00054D6B">
        <w:t xml:space="preserve"> prior to the sixteenth meeting of the Conference of the Parties.</w:t>
      </w:r>
    </w:p>
    <w:p w14:paraId="5A0AE4FB" w14:textId="10B58413" w:rsidR="00054D6B" w:rsidRPr="00FC7F11" w:rsidRDefault="00DF1025" w:rsidP="00D17E67">
      <w:pPr>
        <w:pStyle w:val="Para1"/>
      </w:pPr>
      <w:r>
        <w:t>The t</w:t>
      </w:r>
      <w:r w:rsidR="00054D6B" w:rsidRPr="00054D6B">
        <w:t xml:space="preserve">imely </w:t>
      </w:r>
      <w:r w:rsidR="00054D6B" w:rsidRPr="009253B2">
        <w:t xml:space="preserve">implementation of </w:t>
      </w:r>
      <w:r>
        <w:t>this decision</w:t>
      </w:r>
      <w:r w:rsidR="00054D6B" w:rsidRPr="009253B2">
        <w:t xml:space="preserve"> is subject to the timely availability of budgetary resources</w:t>
      </w:r>
      <w:r>
        <w:t>,</w:t>
      </w:r>
      <w:r w:rsidR="00054D6B" w:rsidRPr="003D3F00">
        <w:t xml:space="preserve"> and</w:t>
      </w:r>
      <w:r w:rsidR="00054D6B" w:rsidRPr="009253B2">
        <w:t xml:space="preserve"> the reliance on voluntary contributions does not provide necessary certainty of timeliness.</w:t>
      </w:r>
      <w:r w:rsidR="00054D6B" w:rsidRPr="003D3F00">
        <w:t xml:space="preserve"> </w:t>
      </w:r>
      <w:r w:rsidR="009253B2" w:rsidRPr="003D3F00">
        <w:t xml:space="preserve">Owing </w:t>
      </w:r>
      <w:r w:rsidR="00054D6B" w:rsidRPr="003D3F00">
        <w:t>to</w:t>
      </w:r>
      <w:r w:rsidR="00054D6B" w:rsidRPr="009253B2">
        <w:t xml:space="preserve"> the </w:t>
      </w:r>
      <w:r>
        <w:t>lack</w:t>
      </w:r>
      <w:r w:rsidRPr="009253B2">
        <w:t xml:space="preserve"> </w:t>
      </w:r>
      <w:r w:rsidR="00054D6B" w:rsidRPr="009253B2">
        <w:t xml:space="preserve">of voluntary contributions </w:t>
      </w:r>
      <w:r>
        <w:t>for this purpose</w:t>
      </w:r>
      <w:r w:rsidR="00054D6B" w:rsidRPr="00054D6B">
        <w:t xml:space="preserve">, the </w:t>
      </w:r>
      <w:r w:rsidR="0015710E">
        <w:t xml:space="preserve">Acting </w:t>
      </w:r>
      <w:r w:rsidR="00054D6B" w:rsidRPr="00054D6B">
        <w:t xml:space="preserve">Executive Secretary has now allocated resources from the core budget to enable </w:t>
      </w:r>
      <w:r w:rsidR="00B24DD0">
        <w:t>a</w:t>
      </w:r>
      <w:r w:rsidR="00054D6B" w:rsidRPr="00054D6B">
        <w:t xml:space="preserve"> review</w:t>
      </w:r>
      <w:r w:rsidR="00B24DD0">
        <w:t xml:space="preserve">. </w:t>
      </w:r>
      <w:r w:rsidR="00B24DD0" w:rsidRPr="00B24DD0">
        <w:t xml:space="preserve">Given that the resources allocated are significantly less than the amount set out in the voluntary budget, the scope of the review </w:t>
      </w:r>
      <w:r w:rsidR="00B24DD0" w:rsidRPr="00FC7F11">
        <w:t>will necessarily be</w:t>
      </w:r>
      <w:r w:rsidR="0015710E" w:rsidRPr="00FC7F11">
        <w:t xml:space="preserve"> limited</w:t>
      </w:r>
      <w:r w:rsidR="00054D6B" w:rsidRPr="00FC7F11">
        <w:t>.</w:t>
      </w:r>
    </w:p>
    <w:p w14:paraId="2AADAE82" w14:textId="78BC9849" w:rsidR="00054D6B" w:rsidRDefault="00054D6B" w:rsidP="00D17E67">
      <w:pPr>
        <w:pStyle w:val="Para1"/>
      </w:pPr>
      <w:r w:rsidRPr="00971C1A">
        <w:t>The</w:t>
      </w:r>
      <w:r w:rsidRPr="00054D6B">
        <w:t xml:space="preserve"> recruitment of an independent evaluator through a consultancy contract</w:t>
      </w:r>
      <w:r w:rsidR="00914932">
        <w:t>,</w:t>
      </w:r>
      <w:r w:rsidR="00914932" w:rsidRPr="00914932">
        <w:t xml:space="preserve"> in accordance with United Nations rules and regulations,</w:t>
      </w:r>
      <w:r w:rsidRPr="00054D6B">
        <w:t xml:space="preserve"> was completed in March 2024. The methodology that will be </w:t>
      </w:r>
      <w:r w:rsidRPr="00426C94">
        <w:t>followed</w:t>
      </w:r>
      <w:r w:rsidR="00320211">
        <w:t xml:space="preserve"> by the evaluator</w:t>
      </w:r>
      <w:r w:rsidRPr="00426C94">
        <w:t xml:space="preserve">, consistent with the terms of reference, </w:t>
      </w:r>
      <w:r w:rsidR="00DB577D">
        <w:t>will be</w:t>
      </w:r>
      <w:r w:rsidR="00DB577D" w:rsidRPr="00426C94">
        <w:t xml:space="preserve"> </w:t>
      </w:r>
      <w:r w:rsidRPr="00426C94">
        <w:t xml:space="preserve">provided in an information document, </w:t>
      </w:r>
      <w:r w:rsidRPr="003D3F00">
        <w:t>CBD</w:t>
      </w:r>
      <w:r w:rsidRPr="00426C94">
        <w:t>/</w:t>
      </w:r>
      <w:r w:rsidRPr="003D3F00">
        <w:t>SBI</w:t>
      </w:r>
      <w:r w:rsidRPr="00426C94">
        <w:t>/4/</w:t>
      </w:r>
      <w:r w:rsidRPr="003D3F00">
        <w:t>INF</w:t>
      </w:r>
      <w:r w:rsidRPr="00426C94">
        <w:t>/</w:t>
      </w:r>
      <w:r w:rsidR="003108C6" w:rsidRPr="003D3F00">
        <w:t>17</w:t>
      </w:r>
      <w:r w:rsidRPr="00426C94">
        <w:t>. As part</w:t>
      </w:r>
      <w:r w:rsidRPr="00054D6B">
        <w:t xml:space="preserve"> of the methodology, the independent evaluator will conduct meetings and </w:t>
      </w:r>
      <w:r w:rsidRPr="005F1D43">
        <w:t xml:space="preserve">interviews </w:t>
      </w:r>
      <w:r w:rsidR="006904F9" w:rsidRPr="005F1D43">
        <w:t>at</w:t>
      </w:r>
      <w:r w:rsidRPr="005F1D43">
        <w:t xml:space="preserve"> the intersessional meetings of the Convention to collect information</w:t>
      </w:r>
      <w:r w:rsidRPr="003D3F00">
        <w:t>, and</w:t>
      </w:r>
      <w:r w:rsidRPr="005F1D43">
        <w:t xml:space="preserve"> a questionnaire survey will be conducted.</w:t>
      </w:r>
      <w:r w:rsidR="00152D7C" w:rsidRPr="005F1D43">
        <w:t xml:space="preserve"> </w:t>
      </w:r>
      <w:r w:rsidRPr="005F1D43">
        <w:t xml:space="preserve">The independent evaluator will also </w:t>
      </w:r>
      <w:r w:rsidRPr="003D3F00">
        <w:t>draw upon</w:t>
      </w:r>
      <w:r w:rsidRPr="005F1D43">
        <w:t xml:space="preserve"> the evaluation results of relevant evaluation processes, including those of the </w:t>
      </w:r>
      <w:r w:rsidR="00DB577D">
        <w:t xml:space="preserve">GEF </w:t>
      </w:r>
      <w:r w:rsidRPr="005F1D43">
        <w:t xml:space="preserve">Independent Evaluation Office. Among other studies, the Multilateral </w:t>
      </w:r>
      <w:r w:rsidRPr="003D3F00">
        <w:t>Organi</w:t>
      </w:r>
      <w:r w:rsidR="005F1D43" w:rsidRPr="003D3F00">
        <w:t>z</w:t>
      </w:r>
      <w:r w:rsidRPr="003D3F00">
        <w:t>ation</w:t>
      </w:r>
      <w:r w:rsidRPr="005F1D43">
        <w:t xml:space="preserve"> Performance Assessment Network published its 201</w:t>
      </w:r>
      <w:r w:rsidRPr="003D3F00">
        <w:t>7</w:t>
      </w:r>
      <w:r w:rsidR="005F1D43" w:rsidRPr="003D3F00">
        <w:t>–</w:t>
      </w:r>
      <w:r w:rsidRPr="003D3F00">
        <w:t>2</w:t>
      </w:r>
      <w:r w:rsidRPr="005F1D43">
        <w:t xml:space="preserve">018 assessment of </w:t>
      </w:r>
      <w:r w:rsidR="00152D7C" w:rsidRPr="003D3F00">
        <w:t>GEF</w:t>
      </w:r>
      <w:r w:rsidRPr="005F1D43">
        <w:t xml:space="preserve"> in 2019.</w:t>
      </w:r>
      <w:r w:rsidR="00C7585B" w:rsidRPr="005F1D43">
        <w:rPr>
          <w:rStyle w:val="FootnoteReference"/>
        </w:rPr>
        <w:footnoteReference w:id="5"/>
      </w:r>
      <w:r w:rsidR="00C7585B">
        <w:t xml:space="preserve"> </w:t>
      </w:r>
    </w:p>
    <w:p w14:paraId="3E494E4C" w14:textId="0C93234A" w:rsidR="00054D6B" w:rsidRDefault="00AD13FD" w:rsidP="00D17E67">
      <w:pPr>
        <w:pStyle w:val="Para1"/>
      </w:pPr>
      <w:r w:rsidRPr="00AD13FD">
        <w:t xml:space="preserve">The report </w:t>
      </w:r>
      <w:r w:rsidR="00286A5E">
        <w:t xml:space="preserve">on the review </w:t>
      </w:r>
      <w:r w:rsidRPr="00AD13FD">
        <w:t>will be provided in a presession document for the consideration o</w:t>
      </w:r>
      <w:r w:rsidR="00152D7C">
        <w:t>f</w:t>
      </w:r>
      <w:r w:rsidRPr="00AD13FD">
        <w:t xml:space="preserve"> the Conference of the Parties at its sixteenth meeting.</w:t>
      </w:r>
      <w:r>
        <w:t xml:space="preserve"> </w:t>
      </w:r>
      <w:r w:rsidR="00054D6B" w:rsidRPr="00054D6B">
        <w:t>The Subsidiary Body may wish to encourage Parties to respond proactively to requests of the evaluator</w:t>
      </w:r>
      <w:r w:rsidR="00054D6B">
        <w:t>.</w:t>
      </w:r>
    </w:p>
    <w:p w14:paraId="2C7A7E6A" w14:textId="3531AE02" w:rsidR="00AB7898" w:rsidRDefault="0044652E" w:rsidP="00AB7898">
      <w:pPr>
        <w:pStyle w:val="Heading1"/>
      </w:pPr>
      <w:r w:rsidRPr="0044652E">
        <w:t xml:space="preserve">Additional guidance </w:t>
      </w:r>
      <w:r w:rsidRPr="002C61FD">
        <w:t xml:space="preserve">to the </w:t>
      </w:r>
      <w:r w:rsidRPr="003D3F00">
        <w:t>Global Environment Facility</w:t>
      </w:r>
    </w:p>
    <w:p w14:paraId="0F071890" w14:textId="77777777" w:rsidR="00D04589" w:rsidRPr="00603545" w:rsidRDefault="00B24DD0" w:rsidP="00D17E67">
      <w:pPr>
        <w:pStyle w:val="Para1"/>
      </w:pPr>
      <w:r w:rsidRPr="00741D30">
        <w:t xml:space="preserve">The consolidated </w:t>
      </w:r>
      <w:r w:rsidRPr="00603545">
        <w:t xml:space="preserve">previous guidance to </w:t>
      </w:r>
      <w:r w:rsidRPr="003D3F00">
        <w:t>GEF</w:t>
      </w:r>
      <w:r w:rsidRPr="00603545">
        <w:t xml:space="preserve"> adopted by the Conference of the Parties at its fifteenth meeting is contained in annex II to its decision 15/15.</w:t>
      </w:r>
    </w:p>
    <w:p w14:paraId="725068B8" w14:textId="6CE7ADE5" w:rsidR="00AB7898" w:rsidRPr="00603545" w:rsidRDefault="0044652E" w:rsidP="00D17E67">
      <w:pPr>
        <w:pStyle w:val="Para1"/>
      </w:pPr>
      <w:r w:rsidRPr="00603545">
        <w:t xml:space="preserve">Work conducted under the auspices of the </w:t>
      </w:r>
      <w:r w:rsidRPr="003D3F00">
        <w:t>Subsidiary Body on Scientific, Technical and Technological Advice</w:t>
      </w:r>
      <w:r w:rsidRPr="00603545">
        <w:t xml:space="preserve"> has considered scientific and technical needs to support the implementation of the </w:t>
      </w:r>
      <w:r w:rsidRPr="003D3F00">
        <w:t>Kunming-Montreal Global Biodiversity Framework</w:t>
      </w:r>
      <w:r w:rsidRPr="00603545">
        <w:t xml:space="preserve">, including gaps in </w:t>
      </w:r>
      <w:r w:rsidR="00262A8C" w:rsidRPr="00603545">
        <w:t xml:space="preserve">relevant </w:t>
      </w:r>
      <w:r w:rsidRPr="00603545">
        <w:t>tools and guidance developed under the Convention (</w:t>
      </w:r>
      <w:r w:rsidRPr="003D3F00">
        <w:t>CBD</w:t>
      </w:r>
      <w:r w:rsidRPr="00603545">
        <w:t>/</w:t>
      </w:r>
      <w:r w:rsidRPr="003D3F00">
        <w:t>SBSTTA</w:t>
      </w:r>
      <w:r w:rsidRPr="00603545">
        <w:t>/26/3)</w:t>
      </w:r>
      <w:r w:rsidR="00AB7898" w:rsidRPr="00603545">
        <w:t>.</w:t>
      </w:r>
    </w:p>
    <w:p w14:paraId="75C64E15" w14:textId="690A80D4" w:rsidR="0044652E" w:rsidRPr="00ED497E" w:rsidRDefault="0044652E" w:rsidP="00D17E67">
      <w:pPr>
        <w:pStyle w:val="Para1"/>
      </w:pPr>
      <w:r w:rsidRPr="0044652E">
        <w:lastRenderedPageBreak/>
        <w:t xml:space="preserve">In the analysis contained in </w:t>
      </w:r>
      <w:r w:rsidRPr="00426C94">
        <w:t xml:space="preserve">information document </w:t>
      </w:r>
      <w:r w:rsidRPr="003D3F00">
        <w:t>CBD</w:t>
      </w:r>
      <w:r w:rsidRPr="00426C94">
        <w:t>/</w:t>
      </w:r>
      <w:r w:rsidRPr="003D3F00">
        <w:t>SBI</w:t>
      </w:r>
      <w:r w:rsidRPr="00426C94">
        <w:t>/4/</w:t>
      </w:r>
      <w:r w:rsidRPr="003D3F00">
        <w:t>INF</w:t>
      </w:r>
      <w:r w:rsidRPr="00426C94">
        <w:t>/</w:t>
      </w:r>
      <w:r w:rsidR="005D6BEC" w:rsidRPr="00426C94">
        <w:t>18</w:t>
      </w:r>
      <w:r w:rsidRPr="00426C94">
        <w:t>, it is</w:t>
      </w:r>
      <w:r w:rsidRPr="0044652E">
        <w:t xml:space="preserve"> also evident that there are gaps in the provision of guidance to </w:t>
      </w:r>
      <w:r w:rsidRPr="003D3F00">
        <w:t>GEF</w:t>
      </w:r>
      <w:r w:rsidRPr="0044652E">
        <w:t xml:space="preserve"> with respect to the implementation of some aspects of the Framework, including several of its targets.</w:t>
      </w:r>
      <w:r w:rsidR="00262A8C">
        <w:t xml:space="preserve"> T</w:t>
      </w:r>
      <w:r w:rsidR="00741D30" w:rsidRPr="00741D30">
        <w:t xml:space="preserve">argets that have not been dealt with previously in any depth, include </w:t>
      </w:r>
      <w:r w:rsidR="006A6B05">
        <w:t>T</w:t>
      </w:r>
      <w:r w:rsidR="00741D30" w:rsidRPr="00741D30">
        <w:t xml:space="preserve">arget 1 (spatial planning and management of all areas), </w:t>
      </w:r>
      <w:r w:rsidR="006A6B05">
        <w:t>T</w:t>
      </w:r>
      <w:r w:rsidR="00741D30" w:rsidRPr="00741D30">
        <w:t>arget 2 (</w:t>
      </w:r>
      <w:r w:rsidR="00741D30" w:rsidRPr="007F75CE">
        <w:t>restoration of at least 30</w:t>
      </w:r>
      <w:r w:rsidR="006A6B05" w:rsidRPr="003D3F00">
        <w:t xml:space="preserve"> per cent</w:t>
      </w:r>
      <w:r w:rsidR="00741D30" w:rsidRPr="007F75CE">
        <w:t xml:space="preserve"> of degraded ecosystems), </w:t>
      </w:r>
      <w:r w:rsidR="006A6B05" w:rsidRPr="007F75CE">
        <w:t>T</w:t>
      </w:r>
      <w:r w:rsidR="00741D30" w:rsidRPr="007F75CE">
        <w:t>arget 7 (at least 50</w:t>
      </w:r>
      <w:r w:rsidR="006A6B05" w:rsidRPr="003D3F00">
        <w:t xml:space="preserve"> per cent</w:t>
      </w:r>
      <w:r w:rsidR="00741D30" w:rsidRPr="007F75CE">
        <w:t xml:space="preserve"> reduction in excess nutrients lost to the environment and in the risk of pesticides and highly hazardous chemicals</w:t>
      </w:r>
      <w:r w:rsidR="00741D30" w:rsidRPr="003D3F00">
        <w:t>, and</w:t>
      </w:r>
      <w:r w:rsidR="00741D30" w:rsidRPr="007F75CE">
        <w:t xml:space="preserve"> elimination of plastic pollution), </w:t>
      </w:r>
      <w:r w:rsidR="007F75CE" w:rsidRPr="007F75CE">
        <w:t>T</w:t>
      </w:r>
      <w:r w:rsidR="00741D30" w:rsidRPr="007F75CE">
        <w:t xml:space="preserve">arget 9 (sustainable management and use of wild species to benefit people), </w:t>
      </w:r>
      <w:r w:rsidR="007F75CE" w:rsidRPr="007F75CE">
        <w:t>T</w:t>
      </w:r>
      <w:r w:rsidR="00741D30" w:rsidRPr="007F75CE">
        <w:t xml:space="preserve">arget 11 (regulating services restoration and enhancement), </w:t>
      </w:r>
      <w:r w:rsidR="007F75CE" w:rsidRPr="007F75CE">
        <w:t>T</w:t>
      </w:r>
      <w:r w:rsidR="00741D30" w:rsidRPr="007F75CE">
        <w:t>arget 16 (enabling of sustainable consumption choices, reduction of global footprint of consumption</w:t>
      </w:r>
      <w:r w:rsidR="00741D30" w:rsidRPr="003D3F00">
        <w:t>, and</w:t>
      </w:r>
      <w:r w:rsidR="00741D30" w:rsidRPr="007F75CE">
        <w:t xml:space="preserve"> halving of global food waste) and </w:t>
      </w:r>
      <w:r w:rsidR="007F75CE" w:rsidRPr="007F75CE">
        <w:t>T</w:t>
      </w:r>
      <w:r w:rsidR="00741D30" w:rsidRPr="007F75CE">
        <w:t xml:space="preserve">arget 22 (ensuring participation in decision-making and access to justice and </w:t>
      </w:r>
      <w:r w:rsidR="00741D30" w:rsidRPr="00ED497E">
        <w:t>information related to biodiversity for all).</w:t>
      </w:r>
    </w:p>
    <w:p w14:paraId="5C5469A2" w14:textId="70B32047" w:rsidR="00741D30" w:rsidRPr="00ED497E" w:rsidRDefault="00741D30" w:rsidP="00D17E67">
      <w:pPr>
        <w:pStyle w:val="Para1"/>
      </w:pPr>
      <w:r w:rsidRPr="00ED497E">
        <w:t xml:space="preserve">Such gaps could be addressed in additional guidance to </w:t>
      </w:r>
      <w:r w:rsidRPr="003D3F00">
        <w:t>GEF</w:t>
      </w:r>
      <w:r w:rsidR="00D04589" w:rsidRPr="00ED497E">
        <w:t xml:space="preserve"> or </w:t>
      </w:r>
      <w:r w:rsidRPr="00ED497E">
        <w:t xml:space="preserve">could </w:t>
      </w:r>
      <w:r w:rsidR="00D04589" w:rsidRPr="00ED497E">
        <w:t>complement</w:t>
      </w:r>
      <w:r w:rsidRPr="00ED497E">
        <w:t xml:space="preserve"> the four-year outcome-oriented framework of programme priorities, </w:t>
      </w:r>
      <w:r w:rsidRPr="003D3F00">
        <w:t>for example b</w:t>
      </w:r>
      <w:r w:rsidRPr="00ED497E">
        <w:t xml:space="preserve">y defining strategic </w:t>
      </w:r>
      <w:r w:rsidR="00F148AF" w:rsidRPr="00ED497E">
        <w:t xml:space="preserve">outcomes </w:t>
      </w:r>
      <w:r w:rsidRPr="00ED497E">
        <w:t xml:space="preserve">to fill gaps in support to some of the targets; ensure alignment of the quantitative targets of </w:t>
      </w:r>
      <w:r w:rsidRPr="003D3F00">
        <w:t>GEF</w:t>
      </w:r>
      <w:r w:rsidRPr="00ED497E">
        <w:t xml:space="preserve"> with quantitative aspects of targets of the Framework; expand opportunities for </w:t>
      </w:r>
      <w:r w:rsidRPr="003D3F00">
        <w:t>GEF</w:t>
      </w:r>
      <w:r w:rsidRPr="00ED497E">
        <w:t xml:space="preserve"> to support targets of the Framework through its integrated programming and other focal areas</w:t>
      </w:r>
      <w:r w:rsidR="005325F2">
        <w:t>, and</w:t>
      </w:r>
      <w:r w:rsidRPr="00ED497E">
        <w:t>; support the who</w:t>
      </w:r>
      <w:r w:rsidRPr="003D3F00">
        <w:t>le</w:t>
      </w:r>
      <w:r w:rsidR="00ED497E" w:rsidRPr="003D3F00">
        <w:t>-</w:t>
      </w:r>
      <w:r w:rsidRPr="003D3F00">
        <w:t>of</w:t>
      </w:r>
      <w:r w:rsidR="00ED497E" w:rsidRPr="003D3F00">
        <w:t>-</w:t>
      </w:r>
      <w:r w:rsidRPr="003D3F00">
        <w:t>government</w:t>
      </w:r>
      <w:r w:rsidRPr="00ED497E">
        <w:t xml:space="preserve"> and who</w:t>
      </w:r>
      <w:r w:rsidRPr="003D3F00">
        <w:t>le</w:t>
      </w:r>
      <w:r w:rsidR="00ED497E" w:rsidRPr="003D3F00">
        <w:t>-</w:t>
      </w:r>
      <w:r w:rsidRPr="003D3F00">
        <w:t>of</w:t>
      </w:r>
      <w:r w:rsidR="00ED497E" w:rsidRPr="003D3F00">
        <w:t>-</w:t>
      </w:r>
      <w:r w:rsidRPr="003D3F00">
        <w:t>society</w:t>
      </w:r>
      <w:r w:rsidRPr="00ED497E">
        <w:t xml:space="preserve"> approach and the mainstreaming objectives of the Framework.</w:t>
      </w:r>
    </w:p>
    <w:p w14:paraId="761C5E1C" w14:textId="1AD018CD" w:rsidR="00AB7898" w:rsidRDefault="00741D30" w:rsidP="00AB7898">
      <w:pPr>
        <w:pStyle w:val="Heading1"/>
      </w:pPr>
      <w:r w:rsidRPr="00741D30">
        <w:t>Programm</w:t>
      </w:r>
      <w:r w:rsidR="0002711C">
        <w:t>atic</w:t>
      </w:r>
      <w:r w:rsidRPr="00741D30">
        <w:t xml:space="preserve"> synergies among biodiversity-related conventions</w:t>
      </w:r>
    </w:p>
    <w:p w14:paraId="39535202" w14:textId="00FCD6E3" w:rsidR="00AB7898" w:rsidRDefault="00741D30" w:rsidP="00D17E67">
      <w:pPr>
        <w:pStyle w:val="Para1"/>
      </w:pPr>
      <w:r w:rsidRPr="00741D30">
        <w:t xml:space="preserve">In its decision 15/15 </w:t>
      </w:r>
      <w:r w:rsidR="00262A8C">
        <w:t>(</w:t>
      </w:r>
      <w:r w:rsidRPr="00741D30">
        <w:t>para</w:t>
      </w:r>
      <w:r w:rsidR="00262A8C">
        <w:t>.</w:t>
      </w:r>
      <w:r w:rsidRPr="00741D30">
        <w:t xml:space="preserve"> 16</w:t>
      </w:r>
      <w:r w:rsidR="00262A8C" w:rsidRPr="00FF71A0">
        <w:t>)</w:t>
      </w:r>
      <w:r w:rsidRPr="00FF71A0">
        <w:t>, the Conference of the Parties invited the governing bodies of the various biodiversity-related conventions, further to paragraphs 2,</w:t>
      </w:r>
      <w:r w:rsidRPr="003D3F00">
        <w:t xml:space="preserve"> 3 a</w:t>
      </w:r>
      <w:r w:rsidRPr="00FF71A0">
        <w:t>nd</w:t>
      </w:r>
      <w:r w:rsidRPr="003D3F00">
        <w:t xml:space="preserve"> 4 o</w:t>
      </w:r>
      <w:r w:rsidRPr="00FF71A0">
        <w:t xml:space="preserve">f </w:t>
      </w:r>
      <w:r w:rsidR="00286A5E">
        <w:t xml:space="preserve">its </w:t>
      </w:r>
      <w:r w:rsidRPr="00FF71A0">
        <w:t xml:space="preserve">decision </w:t>
      </w:r>
      <w:r w:rsidRPr="003D3F00">
        <w:t>X</w:t>
      </w:r>
      <w:r w:rsidRPr="00FF71A0">
        <w:t>II/3</w:t>
      </w:r>
      <w:r w:rsidRPr="003D3F00">
        <w:t>0, and</w:t>
      </w:r>
      <w:r w:rsidRPr="00FF71A0">
        <w:t xml:space="preserve"> paragraph 10 of </w:t>
      </w:r>
      <w:r w:rsidR="00286A5E">
        <w:t xml:space="preserve">its </w:t>
      </w:r>
      <w:r w:rsidRPr="00FF71A0">
        <w:t xml:space="preserve">decision </w:t>
      </w:r>
      <w:r w:rsidRPr="003D3F00">
        <w:t>X</w:t>
      </w:r>
      <w:r w:rsidRPr="00FF71A0">
        <w:t xml:space="preserve">III/21, to repeat the exercise described therein for the development of strategic guidance for the ninth replenishment of the </w:t>
      </w:r>
      <w:r w:rsidRPr="003D3F00">
        <w:t>Global Environment Facility</w:t>
      </w:r>
      <w:r w:rsidRPr="00FF71A0">
        <w:t xml:space="preserve"> in time for consideration by the Conference of the Parties at its sixteenth meeting</w:t>
      </w:r>
      <w:r w:rsidR="00AB7898" w:rsidRPr="00FF71A0">
        <w:t>.</w:t>
      </w:r>
    </w:p>
    <w:p w14:paraId="2818D065" w14:textId="5C85D09F" w:rsidR="00741D30" w:rsidRDefault="00741D30" w:rsidP="00D17E67">
      <w:pPr>
        <w:pStyle w:val="Para1"/>
      </w:pPr>
      <w:r w:rsidRPr="00741D30">
        <w:t xml:space="preserve">At its fourteenth </w:t>
      </w:r>
      <w:r w:rsidRPr="008B6244">
        <w:t>meeting, the Conference of the Parties to the Convention on the Conservation of Migratory Species of Wild Animals adopted it</w:t>
      </w:r>
      <w:r w:rsidRPr="003D3F00">
        <w:t>s Resolution</w:t>
      </w:r>
      <w:r w:rsidRPr="008B6244">
        <w:t xml:space="preserve"> 10.25 (R</w:t>
      </w:r>
      <w:r w:rsidRPr="003D3F00">
        <w:t>ev.COP</w:t>
      </w:r>
      <w:r w:rsidRPr="008B6244">
        <w:t xml:space="preserve">14) concerning enhancing engagement with </w:t>
      </w:r>
      <w:r w:rsidR="00D9366A" w:rsidRPr="003D3F00">
        <w:t>GEF</w:t>
      </w:r>
      <w:r w:rsidRPr="008B6244">
        <w:t>.</w:t>
      </w:r>
      <w:r w:rsidRPr="00741D30">
        <w:t xml:space="preserve"> In its resolution</w:t>
      </w:r>
      <w:r w:rsidRPr="00693AB7">
        <w:t xml:space="preserve">, the Conference of the Parties requested the Executive Secretary to provide the elements of advice as developed by the Standing Committee in time to be considered at meetings of the </w:t>
      </w:r>
      <w:r w:rsidRPr="003D3F00">
        <w:t>Conference of the Parties to the Convention on Biological Diversity</w:t>
      </w:r>
      <w:r w:rsidRPr="00693AB7">
        <w:t xml:space="preserve"> so that they may be referred on to </w:t>
      </w:r>
      <w:r w:rsidRPr="003D3F00">
        <w:t>GEF</w:t>
      </w:r>
      <w:r w:rsidRPr="00693AB7">
        <w:t xml:space="preserve"> through the </w:t>
      </w:r>
      <w:r w:rsidRPr="003D3F00">
        <w:t>Conference of the Parties to the Convention on Biological Diversity</w:t>
      </w:r>
      <w:r w:rsidRPr="00693AB7">
        <w:t xml:space="preserve"> (para. 6). The Conference of the Parties also invited </w:t>
      </w:r>
      <w:r w:rsidRPr="003D3F00">
        <w:t xml:space="preserve">the </w:t>
      </w:r>
      <w:r w:rsidR="0043656D" w:rsidRPr="003D3F00">
        <w:t>GEF</w:t>
      </w:r>
      <w:r w:rsidR="0043656D" w:rsidRPr="00693AB7">
        <w:t xml:space="preserve"> </w:t>
      </w:r>
      <w:r w:rsidRPr="00693AB7">
        <w:t>Secretariat to participate in the follow-up to th</w:t>
      </w:r>
      <w:r w:rsidRPr="003D3F00">
        <w:t xml:space="preserve">e </w:t>
      </w:r>
      <w:r w:rsidR="00693AB7" w:rsidRPr="00693AB7">
        <w:t>r</w:t>
      </w:r>
      <w:r w:rsidR="00693AB7" w:rsidRPr="003D3F00">
        <w:t>esolution</w:t>
      </w:r>
      <w:r w:rsidR="00693AB7" w:rsidRPr="00693AB7">
        <w:t xml:space="preserve"> </w:t>
      </w:r>
      <w:r w:rsidRPr="00693AB7">
        <w:t>through discussions with</w:t>
      </w:r>
      <w:r w:rsidR="00D9366A" w:rsidRPr="00693AB7">
        <w:t xml:space="preserve"> the Convention</w:t>
      </w:r>
      <w:r w:rsidRPr="00693AB7">
        <w:t xml:space="preserve"> </w:t>
      </w:r>
      <w:r w:rsidR="00D9366A" w:rsidRPr="00693AB7">
        <w:t>s</w:t>
      </w:r>
      <w:r w:rsidRPr="00693AB7">
        <w:t xml:space="preserve">ecretariat and by other appropriate means, including exploration of all opportunities to enhance </w:t>
      </w:r>
      <w:r w:rsidRPr="003D3F00">
        <w:t>GEF</w:t>
      </w:r>
      <w:r w:rsidRPr="00693AB7">
        <w:t xml:space="preserve"> support to countries for activities relevant to the implementation of the Convention (para. 7).</w:t>
      </w:r>
    </w:p>
    <w:p w14:paraId="1FE2E310" w14:textId="02E87378" w:rsidR="00741D30" w:rsidRDefault="00741D30" w:rsidP="00D17E67">
      <w:pPr>
        <w:pStyle w:val="Para1"/>
      </w:pPr>
      <w:r w:rsidRPr="00741D30">
        <w:t>At its tenth session, in its resolution 13/2023</w:t>
      </w:r>
      <w:r w:rsidR="0020111A">
        <w:t xml:space="preserve"> </w:t>
      </w:r>
      <w:r w:rsidR="0020111A" w:rsidRPr="0020111A">
        <w:t>(para. 8)</w:t>
      </w:r>
      <w:r w:rsidRPr="00741D30">
        <w:t xml:space="preserve">, the Governing Body </w:t>
      </w:r>
      <w:r w:rsidR="00FC683E">
        <w:t xml:space="preserve">of the </w:t>
      </w:r>
      <w:r w:rsidRPr="00741D30">
        <w:t xml:space="preserve">International Treaty on Plant Genetic Resources for Food and Agriculture requested the Funding Committee to assess the efficiency and practicality of providing further strategic guidance </w:t>
      </w:r>
      <w:r w:rsidR="00286A5E">
        <w:t>in</w:t>
      </w:r>
      <w:r w:rsidRPr="00741D30">
        <w:t xml:space="preserve"> this area and, if appropriate, to develop, with the support of the Secretariat, elements of advice concerning the funding of the </w:t>
      </w:r>
      <w:r w:rsidRPr="000729EF">
        <w:t xml:space="preserve">objectives and priorities of the Treaty, consistent with the mandates of </w:t>
      </w:r>
      <w:r w:rsidR="00D9366A" w:rsidRPr="003D3F00">
        <w:t>GEF</w:t>
      </w:r>
      <w:r w:rsidRPr="003D3F00">
        <w:t>, and</w:t>
      </w:r>
      <w:r w:rsidRPr="000729EF">
        <w:t xml:space="preserve"> requested the Secretary to transmit the elements of advice, if developed, to the </w:t>
      </w:r>
      <w:r w:rsidRPr="003D3F00">
        <w:t>Conference of the Parties to the Convention on Biological Diversity</w:t>
      </w:r>
      <w:r w:rsidRPr="000729EF">
        <w:t xml:space="preserve"> at its sixteenth meeting, consistent with decision 15/15.</w:t>
      </w:r>
      <w:r w:rsidR="00FC683E" w:rsidRPr="000729EF">
        <w:rPr>
          <w:rStyle w:val="FootnoteReference"/>
        </w:rPr>
        <w:footnoteReference w:id="6"/>
      </w:r>
    </w:p>
    <w:p w14:paraId="1319C21A" w14:textId="71E8CC86" w:rsidR="00741D30" w:rsidRDefault="001C3BAA" w:rsidP="00D17E67">
      <w:pPr>
        <w:pStyle w:val="Para1"/>
      </w:pPr>
      <w:r w:rsidRPr="000729EF">
        <w:t xml:space="preserve">The </w:t>
      </w:r>
      <w:r w:rsidRPr="003D3F00">
        <w:t>Kunming-Montreal Global Biodiversity Framework</w:t>
      </w:r>
      <w:r w:rsidRPr="000729EF">
        <w:t xml:space="preserve"> addresses the importance of synergies with</w:t>
      </w:r>
      <w:r w:rsidRPr="003D3F00">
        <w:t>, and</w:t>
      </w:r>
      <w:r w:rsidRPr="000729EF">
        <w:t xml:space="preserve"> the contributions to its objectives from, biodiversity-related conventions and other relevant multilateral agreements and organizations</w:t>
      </w:r>
      <w:r w:rsidR="0002711C">
        <w:t>;</w:t>
      </w:r>
      <w:r w:rsidRPr="003D3F00">
        <w:rPr>
          <w:rStyle w:val="FootnoteReference"/>
        </w:rPr>
        <w:footnoteReference w:id="7"/>
      </w:r>
      <w:r w:rsidRPr="000729EF">
        <w:t xml:space="preserve"> as does its monitoring framework through relevant indicators. </w:t>
      </w:r>
      <w:r w:rsidR="00741D30" w:rsidRPr="000729EF">
        <w:t>The four-year outcome-oriented framework</w:t>
      </w:r>
      <w:r w:rsidR="00741D30" w:rsidRPr="00741D30">
        <w:t xml:space="preserve"> </w:t>
      </w:r>
      <w:r w:rsidR="00741D30" w:rsidRPr="007B7D40">
        <w:t xml:space="preserve">of programme priorities of the </w:t>
      </w:r>
      <w:r w:rsidR="00741D30" w:rsidRPr="003D3F00">
        <w:lastRenderedPageBreak/>
        <w:t>Convention</w:t>
      </w:r>
      <w:r w:rsidR="00741D30" w:rsidRPr="007B7D40">
        <w:t xml:space="preserve"> for the eighth replenishment period</w:t>
      </w:r>
      <w:r w:rsidR="00D9366A" w:rsidRPr="007B7D40">
        <w:t xml:space="preserve"> of</w:t>
      </w:r>
      <w:r w:rsidR="00741D30" w:rsidRPr="007B7D40">
        <w:t xml:space="preserve"> </w:t>
      </w:r>
      <w:r w:rsidR="00D9366A" w:rsidRPr="003D3F00">
        <w:t>GEF</w:t>
      </w:r>
      <w:r w:rsidR="00741D30" w:rsidRPr="007B7D40">
        <w:t xml:space="preserve">, aligned with the Framework, </w:t>
      </w:r>
      <w:r w:rsidR="00581921">
        <w:t>addresses</w:t>
      </w:r>
      <w:r w:rsidR="00741D30" w:rsidRPr="007B7D40">
        <w:t xml:space="preserve"> the importance </w:t>
      </w:r>
      <w:r w:rsidR="00F45062">
        <w:t>attached</w:t>
      </w:r>
      <w:r w:rsidR="00D9366A" w:rsidRPr="007B7D40">
        <w:t xml:space="preserve"> </w:t>
      </w:r>
      <w:r w:rsidR="00741D30" w:rsidRPr="007B7D40">
        <w:t>to the biodiversity-related conventions</w:t>
      </w:r>
      <w:r w:rsidR="00581921">
        <w:t xml:space="preserve"> in the Framework</w:t>
      </w:r>
      <w:r w:rsidR="00F45062">
        <w:t xml:space="preserve"> and reflects</w:t>
      </w:r>
      <w:r w:rsidR="00741D30" w:rsidRPr="007B7D40">
        <w:t xml:space="preserve"> the strategic advice received from </w:t>
      </w:r>
      <w:r w:rsidR="00581921">
        <w:t>these conventions</w:t>
      </w:r>
      <w:r w:rsidR="00741D30" w:rsidRPr="007B7D40">
        <w:t xml:space="preserve">. The proposal for the </w:t>
      </w:r>
      <w:r w:rsidR="00F45062">
        <w:t xml:space="preserve">four-year </w:t>
      </w:r>
      <w:r w:rsidR="00741D30" w:rsidRPr="007B7D40">
        <w:t>framework of programm</w:t>
      </w:r>
      <w:r w:rsidR="00F45062">
        <w:t>e</w:t>
      </w:r>
      <w:r w:rsidR="00741D30" w:rsidRPr="007B7D40">
        <w:t xml:space="preserve"> priorities for the ninth replenishment </w:t>
      </w:r>
      <w:r w:rsidR="00424608">
        <w:t xml:space="preserve">period </w:t>
      </w:r>
      <w:r w:rsidR="00741D30" w:rsidRPr="007B7D40">
        <w:t>contained in the annex to the draft decision in the</w:t>
      </w:r>
      <w:r w:rsidR="00741D30" w:rsidRPr="00741D30">
        <w:t xml:space="preserve"> present note retains those aspects of its predecessor. Any further elements of advice from biodiversity-related conventions to contribute to the development of strategic guidance for the ninth replenishment could </w:t>
      </w:r>
      <w:r w:rsidR="00301415">
        <w:t xml:space="preserve">also </w:t>
      </w:r>
      <w:r w:rsidR="00741D30" w:rsidRPr="00741D30">
        <w:t>be considered by the Conference of the Parties at its sixteenth meeting.</w:t>
      </w:r>
    </w:p>
    <w:p w14:paraId="6735D711" w14:textId="0AFB299E" w:rsidR="00741D30" w:rsidRPr="00BB48A1" w:rsidRDefault="00741D30" w:rsidP="00D17E67">
      <w:pPr>
        <w:pStyle w:val="Para1"/>
      </w:pPr>
      <w:r w:rsidRPr="00741D30">
        <w:t xml:space="preserve">In addition, the Secretariat </w:t>
      </w:r>
      <w:r w:rsidR="00424608">
        <w:t>intends to</w:t>
      </w:r>
      <w:r w:rsidR="00424608" w:rsidRPr="00741D30">
        <w:t xml:space="preserve"> </w:t>
      </w:r>
      <w:r w:rsidRPr="00741D30">
        <w:t xml:space="preserve">maintain the practice it established during the negotiation of the eighth replenishment by inviting views from the secretariats of biodiversity-related conventions and other relevant multilateral environmental agreements, when providing its review and inputs to the relevant documents </w:t>
      </w:r>
      <w:r w:rsidRPr="006725E6">
        <w:t xml:space="preserve">prepared by </w:t>
      </w:r>
      <w:r w:rsidRPr="003D3F00">
        <w:t>GEF</w:t>
      </w:r>
      <w:r w:rsidRPr="006725E6">
        <w:t xml:space="preserve"> Secretariat for the </w:t>
      </w:r>
      <w:r w:rsidRPr="00BB48A1">
        <w:t>replenishment negotiations.</w:t>
      </w:r>
    </w:p>
    <w:p w14:paraId="0A02C74A" w14:textId="77777777" w:rsidR="0088310E" w:rsidRDefault="00741D30" w:rsidP="00D17E67">
      <w:pPr>
        <w:pStyle w:val="Para1"/>
        <w:sectPr w:rsidR="0088310E" w:rsidSect="0017115E">
          <w:headerReference w:type="even" r:id="rId16"/>
          <w:headerReference w:type="default" r:id="rId17"/>
          <w:footerReference w:type="even" r:id="rId18"/>
          <w:footerReference w:type="default" r:id="rId19"/>
          <w:footnotePr>
            <w:numRestart w:val="eachSect"/>
          </w:footnotePr>
          <w:pgSz w:w="12240" w:h="15840"/>
          <w:pgMar w:top="1134" w:right="1440" w:bottom="1134" w:left="1440" w:header="709" w:footer="709" w:gutter="0"/>
          <w:cols w:space="708"/>
          <w:titlePg/>
          <w:docGrid w:linePitch="360"/>
        </w:sectPr>
      </w:pPr>
      <w:r w:rsidRPr="00BB48A1">
        <w:t xml:space="preserve">Relevant to this matter, the Secretariat has conducted an analysis of the synergies between the strategies of biodiversity-related conventions and the </w:t>
      </w:r>
      <w:r w:rsidRPr="003D3F00">
        <w:t>Kunming-Montreal Global Biodiversity Framework</w:t>
      </w:r>
      <w:r w:rsidRPr="00BB48A1">
        <w:t xml:space="preserve"> and of ways to enhance programmatic synergies among the conventions </w:t>
      </w:r>
      <w:r w:rsidRPr="00D90FA3">
        <w:t>(</w:t>
      </w:r>
      <w:r w:rsidRPr="003D3F00">
        <w:t>CBD</w:t>
      </w:r>
      <w:r w:rsidRPr="00D90FA3">
        <w:t>/</w:t>
      </w:r>
      <w:r w:rsidRPr="003D3F00">
        <w:t>SBI</w:t>
      </w:r>
      <w:r w:rsidRPr="00D90FA3">
        <w:t>/4/</w:t>
      </w:r>
      <w:r w:rsidR="002E4566" w:rsidRPr="00D90FA3">
        <w:t>INF/19</w:t>
      </w:r>
      <w:r w:rsidRPr="00D90FA3">
        <w:t>). The</w:t>
      </w:r>
      <w:r w:rsidRPr="00BB48A1">
        <w:t xml:space="preserve"> Bern III Conference (</w:t>
      </w:r>
      <w:r w:rsidRPr="003D3F00">
        <w:t>CBD</w:t>
      </w:r>
      <w:r w:rsidRPr="00BB48A1">
        <w:t>/</w:t>
      </w:r>
      <w:r w:rsidRPr="003D3F00">
        <w:t>SBI</w:t>
      </w:r>
      <w:r w:rsidRPr="00BB48A1">
        <w:t xml:space="preserve">/4/10 and </w:t>
      </w:r>
      <w:r w:rsidRPr="003D3F00">
        <w:t>CBD</w:t>
      </w:r>
      <w:r w:rsidRPr="00BB48A1">
        <w:t>/</w:t>
      </w:r>
      <w:r w:rsidRPr="003D3F00">
        <w:t>SBI</w:t>
      </w:r>
      <w:r w:rsidRPr="00BB48A1">
        <w:t>/4/</w:t>
      </w:r>
      <w:r w:rsidRPr="003D3F00">
        <w:t>INF</w:t>
      </w:r>
      <w:r w:rsidR="00BB48A1" w:rsidRPr="00BB48A1">
        <w:t>/15)</w:t>
      </w:r>
      <w:r w:rsidR="00BB48A1" w:rsidRPr="00741D30">
        <w:t xml:space="preserve"> </w:t>
      </w:r>
      <w:r w:rsidRPr="00741D30">
        <w:t xml:space="preserve">has also served to identify opportunities </w:t>
      </w:r>
      <w:r w:rsidR="00DE6683">
        <w:t xml:space="preserve">for synergies </w:t>
      </w:r>
      <w:r w:rsidRPr="00741D30">
        <w:t xml:space="preserve">with these </w:t>
      </w:r>
      <w:r w:rsidRPr="006467B0">
        <w:t xml:space="preserve">and other multilateral environmental agreements towards the targets of the Framework. For instance, </w:t>
      </w:r>
      <w:r w:rsidR="00D83ECE" w:rsidRPr="006467B0">
        <w:t>T</w:t>
      </w:r>
      <w:r w:rsidRPr="006467B0">
        <w:t>arget</w:t>
      </w:r>
      <w:r w:rsidRPr="003D3F00">
        <w:t xml:space="preserve"> 7 c</w:t>
      </w:r>
      <w:r w:rsidRPr="006467B0">
        <w:t xml:space="preserve">an be supported by the chemicals and waste conventions, including the </w:t>
      </w:r>
      <w:r w:rsidRPr="003D3F00">
        <w:t>Minamata Convention on Mercury</w:t>
      </w:r>
      <w:r w:rsidRPr="006467B0">
        <w:t xml:space="preserve"> and the </w:t>
      </w:r>
      <w:r w:rsidRPr="003D3F00">
        <w:t>Stockholm Convention on Persistent Organic Pollutants</w:t>
      </w:r>
      <w:r w:rsidR="00301415" w:rsidRPr="006467B0">
        <w:t xml:space="preserve">, </w:t>
      </w:r>
      <w:r w:rsidRPr="006467B0">
        <w:t xml:space="preserve">both supported by </w:t>
      </w:r>
      <w:r w:rsidRPr="003D3F00">
        <w:t>GEF</w:t>
      </w:r>
      <w:r w:rsidRPr="006467B0">
        <w:t>.</w:t>
      </w:r>
    </w:p>
    <w:p w14:paraId="198D624F" w14:textId="5CD26FD1" w:rsidR="00AB7898" w:rsidRDefault="00741D30" w:rsidP="00AB7898">
      <w:pPr>
        <w:pStyle w:val="Heading1"/>
      </w:pPr>
      <w:r w:rsidRPr="00741D30">
        <w:t>Recommendations</w:t>
      </w:r>
    </w:p>
    <w:p w14:paraId="60012320" w14:textId="3EF23D20" w:rsidR="00AB7898" w:rsidRDefault="00436167" w:rsidP="00D17E67">
      <w:pPr>
        <w:pStyle w:val="Para1"/>
      </w:pPr>
      <w:r>
        <w:t xml:space="preserve">The </w:t>
      </w:r>
      <w:r w:rsidRPr="00436167">
        <w:t xml:space="preserve">Subsidiary Body may wish to adopt a recommendation </w:t>
      </w:r>
      <w:r>
        <w:t xml:space="preserve">along </w:t>
      </w:r>
      <w:r w:rsidRPr="00436167">
        <w:t xml:space="preserve">the lines set out below, </w:t>
      </w:r>
      <w:r>
        <w:t>b</w:t>
      </w:r>
      <w:r w:rsidRPr="00436167">
        <w:t xml:space="preserve">earing in mind that </w:t>
      </w:r>
      <w:r>
        <w:t>a</w:t>
      </w:r>
      <w:r w:rsidR="00440A87" w:rsidRPr="00440A87">
        <w:t xml:space="preserve">dditional elements of a draft decision will be provided in a working document </w:t>
      </w:r>
      <w:r w:rsidRPr="00436167">
        <w:t xml:space="preserve">for the consideration of the Conference of the Parties at its sixteenth meeting and the meetings of the Parties to the Protocols </w:t>
      </w:r>
      <w:r w:rsidRPr="003D3F00">
        <w:t xml:space="preserve">in </w:t>
      </w:r>
      <w:r w:rsidR="00BA5F3F" w:rsidRPr="003D3F00">
        <w:t xml:space="preserve">the </w:t>
      </w:r>
      <w:r w:rsidRPr="003D3F00">
        <w:t>light of</w:t>
      </w:r>
      <w:r w:rsidRPr="00BA5F3F">
        <w:t xml:space="preserve"> the</w:t>
      </w:r>
      <w:r>
        <w:t xml:space="preserve"> assessment of </w:t>
      </w:r>
      <w:r w:rsidR="00440A87" w:rsidRPr="00440A87">
        <w:t>funding needs and the evaluation of the effectiveness of the financial mechanism.</w:t>
      </w:r>
    </w:p>
    <w:p w14:paraId="759CE72E" w14:textId="4AD9A8EB" w:rsidR="00134F7B" w:rsidRDefault="00134F7B" w:rsidP="003D3F00">
      <w:pPr>
        <w:pStyle w:val="Para1"/>
        <w:numPr>
          <w:ilvl w:val="0"/>
          <w:numId w:val="0"/>
        </w:numPr>
        <w:tabs>
          <w:tab w:val="clear" w:pos="1134"/>
          <w:tab w:val="left" w:pos="1701"/>
        </w:tabs>
        <w:ind w:left="567" w:firstLine="567"/>
      </w:pPr>
      <w:r w:rsidRPr="003D3F00">
        <w:rPr>
          <w:i/>
          <w:iCs/>
        </w:rPr>
        <w:t>The Subsidiary Body on Implementation</w:t>
      </w:r>
      <w:r w:rsidR="00BA5F3F">
        <w:t>,</w:t>
      </w:r>
    </w:p>
    <w:p w14:paraId="257B3E98" w14:textId="27141C79" w:rsidR="00436167" w:rsidRDefault="00436167" w:rsidP="003D3F00">
      <w:pPr>
        <w:pStyle w:val="Para1"/>
        <w:numPr>
          <w:ilvl w:val="0"/>
          <w:numId w:val="0"/>
        </w:numPr>
        <w:tabs>
          <w:tab w:val="clear" w:pos="1134"/>
          <w:tab w:val="left" w:pos="1701"/>
        </w:tabs>
        <w:ind w:left="567" w:firstLine="567"/>
      </w:pPr>
      <w:r w:rsidRPr="00436167">
        <w:rPr>
          <w:bCs/>
          <w:i/>
        </w:rPr>
        <w:t>Recalling</w:t>
      </w:r>
      <w:r w:rsidRPr="00436167">
        <w:rPr>
          <w:bCs/>
        </w:rPr>
        <w:t xml:space="preserve"> paragraph 15 of </w:t>
      </w:r>
      <w:r w:rsidRPr="00E56CA2">
        <w:rPr>
          <w:bCs/>
        </w:rPr>
        <w:t xml:space="preserve">decision </w:t>
      </w:r>
      <w:r w:rsidRPr="00E90C26">
        <w:rPr>
          <w:bCs/>
        </w:rPr>
        <w:t>15/15</w:t>
      </w:r>
      <w:r w:rsidR="00E56CA2" w:rsidRPr="00E56CA2">
        <w:rPr>
          <w:bCs/>
        </w:rPr>
        <w:t xml:space="preserve"> of 19 December 2022</w:t>
      </w:r>
      <w:r w:rsidRPr="00E56CA2">
        <w:rPr>
          <w:bCs/>
        </w:rPr>
        <w:t xml:space="preserve">, by which the Conference of the Parties invited </w:t>
      </w:r>
      <w:r w:rsidRPr="00E56CA2">
        <w:t>developing country Parties and Parties with economies</w:t>
      </w:r>
      <w:r w:rsidRPr="00436167">
        <w:t xml:space="preserve"> in transition to identify related national funding priorities, including nationally prioritized funding needs that could be considered as eligible for funding under the financial mechanism specifically for the period July 2026 to June </w:t>
      </w:r>
      <w:r w:rsidRPr="00D17E67">
        <w:t>2030, and</w:t>
      </w:r>
      <w:r w:rsidRPr="00436167">
        <w:t xml:space="preserve"> submit the results to the Executive Secretary for inclusion in the funding needs assessment</w:t>
      </w:r>
      <w:r>
        <w:t>,</w:t>
      </w:r>
    </w:p>
    <w:p w14:paraId="5F410B73" w14:textId="3199008A" w:rsidR="00436167" w:rsidRDefault="00436167" w:rsidP="003D3F00">
      <w:pPr>
        <w:pStyle w:val="Para1"/>
        <w:numPr>
          <w:ilvl w:val="0"/>
          <w:numId w:val="0"/>
        </w:numPr>
        <w:tabs>
          <w:tab w:val="clear" w:pos="1134"/>
          <w:tab w:val="left" w:pos="1701"/>
        </w:tabs>
        <w:ind w:left="567" w:firstLine="567"/>
      </w:pPr>
      <w:r>
        <w:rPr>
          <w:i/>
          <w:iCs/>
        </w:rPr>
        <w:t>Recognizing</w:t>
      </w:r>
      <w:r w:rsidRPr="00436167">
        <w:t xml:space="preserve"> that most recipient countries are still in the process of updating their national biodiversity </w:t>
      </w:r>
      <w:r w:rsidRPr="00CB0013">
        <w:t>strategies and action plan</w:t>
      </w:r>
      <w:r w:rsidRPr="003D3F00">
        <w:t>s</w:t>
      </w:r>
      <w:r w:rsidR="00CB0013" w:rsidRPr="003D3F00">
        <w:t>,</w:t>
      </w:r>
      <w:r w:rsidRPr="003D3F00">
        <w:t xml:space="preserve"> as well as</w:t>
      </w:r>
      <w:r w:rsidRPr="00CB0013">
        <w:t xml:space="preserve"> developing national biodiversity finance plans</w:t>
      </w:r>
      <w:r w:rsidRPr="003D3F00">
        <w:t xml:space="preserve"> and</w:t>
      </w:r>
      <w:r w:rsidRPr="00CB0013">
        <w:t xml:space="preserve"> robust funding needs assessments should build upon the funding priorities identified out of national planning processes,</w:t>
      </w:r>
    </w:p>
    <w:p w14:paraId="5066FF02" w14:textId="22261334" w:rsidR="00436167" w:rsidRPr="00494646" w:rsidRDefault="00436167" w:rsidP="003D3F00">
      <w:pPr>
        <w:pStyle w:val="Para1"/>
        <w:numPr>
          <w:ilvl w:val="0"/>
          <w:numId w:val="0"/>
        </w:numPr>
        <w:tabs>
          <w:tab w:val="clear" w:pos="1134"/>
          <w:tab w:val="left" w:pos="1701"/>
        </w:tabs>
        <w:ind w:left="567" w:firstLine="567"/>
      </w:pPr>
      <w:r w:rsidRPr="00436167">
        <w:rPr>
          <w:i/>
          <w:iCs/>
        </w:rPr>
        <w:t>Not</w:t>
      </w:r>
      <w:r>
        <w:rPr>
          <w:i/>
          <w:iCs/>
        </w:rPr>
        <w:t>ing</w:t>
      </w:r>
      <w:r w:rsidRPr="00436167">
        <w:t xml:space="preserve"> the lack of voluntary contributions to finance the implementation of the terms of reference for a full assessment of the </w:t>
      </w:r>
      <w:r w:rsidRPr="00CB0013">
        <w:t xml:space="preserve">amount of funds needed for the implementation of the Convention and its Protocols for the ninth replenishment period of the </w:t>
      </w:r>
      <w:r w:rsidRPr="003D3F00">
        <w:t>Global Environment Facility</w:t>
      </w:r>
      <w:r w:rsidRPr="00CB0013">
        <w:t xml:space="preserve"> </w:t>
      </w:r>
      <w:r w:rsidRPr="003D3F00">
        <w:t>Trust Fund</w:t>
      </w:r>
      <w:r w:rsidRPr="00CB0013">
        <w:t xml:space="preserve"> set out in annex III to </w:t>
      </w:r>
      <w:r w:rsidRPr="00494646">
        <w:t>decision 15/15,</w:t>
      </w:r>
    </w:p>
    <w:p w14:paraId="4E1EBDDB" w14:textId="0E0D0B68" w:rsidR="00E01399" w:rsidRDefault="00E01399" w:rsidP="003D3F00">
      <w:pPr>
        <w:pStyle w:val="Para1"/>
        <w:numPr>
          <w:ilvl w:val="0"/>
          <w:numId w:val="0"/>
        </w:numPr>
        <w:tabs>
          <w:tab w:val="clear" w:pos="1134"/>
          <w:tab w:val="left" w:pos="1701"/>
        </w:tabs>
        <w:ind w:left="567" w:firstLine="567"/>
      </w:pPr>
      <w:r w:rsidRPr="00494646">
        <w:rPr>
          <w:i/>
          <w:iCs/>
        </w:rPr>
        <w:t>Taking note</w:t>
      </w:r>
      <w:r w:rsidRPr="00494646">
        <w:t xml:space="preserve"> of the report by the Secretariat provided in document </w:t>
      </w:r>
      <w:r w:rsidRPr="003D3F00">
        <w:t>CBD</w:t>
      </w:r>
      <w:r w:rsidRPr="00494646">
        <w:t>/</w:t>
      </w:r>
      <w:r w:rsidRPr="003D3F00">
        <w:t>SBI</w:t>
      </w:r>
      <w:r w:rsidRPr="00494646">
        <w:t>/4/6 and the information contained therein,</w:t>
      </w:r>
    </w:p>
    <w:p w14:paraId="3E1FDB24" w14:textId="55B681C0" w:rsidR="00134F7B" w:rsidRPr="002E4A2E" w:rsidRDefault="00833BC6" w:rsidP="003D3F00">
      <w:pPr>
        <w:pStyle w:val="Para1"/>
        <w:numPr>
          <w:ilvl w:val="0"/>
          <w:numId w:val="0"/>
        </w:numPr>
        <w:tabs>
          <w:tab w:val="clear" w:pos="1134"/>
          <w:tab w:val="left" w:pos="1701"/>
        </w:tabs>
        <w:ind w:left="567" w:firstLine="567"/>
      </w:pPr>
      <w:r>
        <w:t>1.</w:t>
      </w:r>
      <w:r>
        <w:tab/>
      </w:r>
      <w:r w:rsidR="00134F7B" w:rsidRPr="002E4A2E">
        <w:rPr>
          <w:i/>
          <w:iCs/>
        </w:rPr>
        <w:t>Notes with appreciation</w:t>
      </w:r>
      <w:r w:rsidR="00134F7B" w:rsidRPr="002E4A2E">
        <w:t xml:space="preserve"> the preliminary report of the Council of the </w:t>
      </w:r>
      <w:r w:rsidR="00134F7B" w:rsidRPr="003D3F00">
        <w:t>Global Environment Facility</w:t>
      </w:r>
      <w:r w:rsidR="00134F7B" w:rsidRPr="002E4A2E">
        <w:t xml:space="preserve"> to the sixteenth meeting of the Conference of the Parties,</w:t>
      </w:r>
      <w:r w:rsidR="00134F7B" w:rsidRPr="002E4A2E">
        <w:rPr>
          <w:rStyle w:val="FootnoteReference"/>
        </w:rPr>
        <w:footnoteReference w:id="8"/>
      </w:r>
      <w:r w:rsidR="00134F7B" w:rsidRPr="002E4A2E">
        <w:t xml:space="preserve"> which includes a </w:t>
      </w:r>
      <w:r w:rsidR="00134F7B" w:rsidRPr="002E4A2E">
        <w:lastRenderedPageBreak/>
        <w:t xml:space="preserve">table of </w:t>
      </w:r>
      <w:r w:rsidR="00882AAA">
        <w:t>its</w:t>
      </w:r>
      <w:r w:rsidR="00882AAA" w:rsidRPr="002E4A2E">
        <w:t xml:space="preserve"> </w:t>
      </w:r>
      <w:r w:rsidR="00134F7B" w:rsidRPr="002E4A2E">
        <w:t>responses to the guidance from the Conference of the Parties at its fifteenth meeting by its decision 15/15</w:t>
      </w:r>
      <w:r w:rsidR="00D96CF9" w:rsidRPr="002E4A2E">
        <w:t>;</w:t>
      </w:r>
    </w:p>
    <w:p w14:paraId="3095B820" w14:textId="187D47EC" w:rsidR="00D96CF9" w:rsidRPr="00D96CF9" w:rsidRDefault="00833BC6" w:rsidP="003D3F00">
      <w:pPr>
        <w:pStyle w:val="Para1"/>
        <w:numPr>
          <w:ilvl w:val="0"/>
          <w:numId w:val="0"/>
        </w:numPr>
        <w:tabs>
          <w:tab w:val="clear" w:pos="1134"/>
          <w:tab w:val="left" w:pos="1701"/>
        </w:tabs>
        <w:ind w:left="567" w:firstLine="567"/>
      </w:pPr>
      <w:r w:rsidRPr="002E4A2E">
        <w:t>2.</w:t>
      </w:r>
      <w:r w:rsidRPr="002E4A2E">
        <w:tab/>
      </w:r>
      <w:r w:rsidR="00D96CF9" w:rsidRPr="002E4A2E">
        <w:rPr>
          <w:i/>
          <w:iCs/>
        </w:rPr>
        <w:t>Also notes with appreciation</w:t>
      </w:r>
      <w:r w:rsidR="00D96CF9" w:rsidRPr="002E4A2E">
        <w:t xml:space="preserve"> the rapid support from the </w:t>
      </w:r>
      <w:r w:rsidR="00D96CF9" w:rsidRPr="003D3F00">
        <w:t>Global Environment Facility</w:t>
      </w:r>
      <w:r w:rsidR="00D96CF9" w:rsidRPr="002E4A2E">
        <w:t xml:space="preserve"> to the revision and updating of national biodiversity strategies and action plan</w:t>
      </w:r>
      <w:r w:rsidR="00D96CF9" w:rsidRPr="003D3F00">
        <w:t>s</w:t>
      </w:r>
      <w:r w:rsidR="002E4A2E" w:rsidRPr="003D3F00">
        <w:t>,</w:t>
      </w:r>
      <w:r w:rsidR="00D96CF9" w:rsidRPr="003D3F00">
        <w:t xml:space="preserve"> as well as</w:t>
      </w:r>
      <w:r w:rsidR="00D96CF9" w:rsidRPr="002E4A2E">
        <w:t xml:space="preserve"> biodiversity finance plans aligned with the </w:t>
      </w:r>
      <w:r w:rsidR="00D96CF9" w:rsidRPr="003D3F00">
        <w:t>Kunming-Montreal Global Biodiversity Framework, and</w:t>
      </w:r>
      <w:r w:rsidR="00D96CF9" w:rsidRPr="002E4A2E">
        <w:t xml:space="preserve"> </w:t>
      </w:r>
      <w:r w:rsidR="00D96CF9" w:rsidRPr="003D3F00">
        <w:t>urges</w:t>
      </w:r>
      <w:r w:rsidR="00D96CF9" w:rsidRPr="002E4A2E">
        <w:t xml:space="preserve"> the recipient Parties to expedite the implementation of the </w:t>
      </w:r>
      <w:r w:rsidR="00D96CF9" w:rsidRPr="003D3F00">
        <w:t>Global Environment Facility</w:t>
      </w:r>
      <w:r w:rsidR="00D96CF9" w:rsidRPr="002E4A2E">
        <w:t xml:space="preserve"> financed enabling activity projects;</w:t>
      </w:r>
    </w:p>
    <w:p w14:paraId="2623DB8D" w14:textId="61759EDC" w:rsidR="00D96CF9" w:rsidRPr="00695E8C" w:rsidRDefault="00833BC6" w:rsidP="003D3F00">
      <w:pPr>
        <w:pStyle w:val="Para1"/>
        <w:numPr>
          <w:ilvl w:val="0"/>
          <w:numId w:val="0"/>
        </w:numPr>
        <w:tabs>
          <w:tab w:val="clear" w:pos="1134"/>
          <w:tab w:val="left" w:pos="1701"/>
        </w:tabs>
        <w:ind w:left="567" w:firstLine="567"/>
      </w:pPr>
      <w:r w:rsidRPr="00D96CF9">
        <w:t>3.</w:t>
      </w:r>
      <w:r w:rsidRPr="00D96CF9">
        <w:tab/>
      </w:r>
      <w:r w:rsidR="00D96CF9" w:rsidRPr="00695E8C">
        <w:rPr>
          <w:i/>
          <w:iCs/>
        </w:rPr>
        <w:t xml:space="preserve">Further </w:t>
      </w:r>
      <w:r w:rsidR="00E01399" w:rsidRPr="00695E8C">
        <w:rPr>
          <w:i/>
          <w:iCs/>
        </w:rPr>
        <w:t>notes</w:t>
      </w:r>
      <w:r w:rsidR="00D96CF9" w:rsidRPr="00695E8C">
        <w:rPr>
          <w:i/>
          <w:iCs/>
        </w:rPr>
        <w:t xml:space="preserve"> with appreciation </w:t>
      </w:r>
      <w:r w:rsidR="00D96CF9" w:rsidRPr="00695E8C">
        <w:t>the speed</w:t>
      </w:r>
      <w:r w:rsidR="00D96CF9" w:rsidRPr="00695E8C">
        <w:rPr>
          <w:i/>
          <w:iCs/>
        </w:rPr>
        <w:t xml:space="preserve"> </w:t>
      </w:r>
      <w:r w:rsidR="00D96CF9" w:rsidRPr="00695E8C">
        <w:t xml:space="preserve">of delivery of the integrated programming that has reached over 90 </w:t>
      </w:r>
      <w:r w:rsidR="00D96CF9" w:rsidRPr="003D3F00">
        <w:t>per</w:t>
      </w:r>
      <w:r w:rsidR="00695E8C" w:rsidRPr="003D3F00">
        <w:t xml:space="preserve"> </w:t>
      </w:r>
      <w:r w:rsidR="00D96CF9" w:rsidRPr="003D3F00">
        <w:t>cent</w:t>
      </w:r>
      <w:r w:rsidR="00D96CF9" w:rsidRPr="00695E8C">
        <w:t xml:space="preserve"> of resource usage;</w:t>
      </w:r>
    </w:p>
    <w:p w14:paraId="28FDD4E9" w14:textId="0B4CAFF4" w:rsidR="00D96CF9" w:rsidRPr="00D96CF9" w:rsidRDefault="00833BC6" w:rsidP="003D3F00">
      <w:pPr>
        <w:pStyle w:val="Para1"/>
        <w:numPr>
          <w:ilvl w:val="0"/>
          <w:numId w:val="0"/>
        </w:numPr>
        <w:tabs>
          <w:tab w:val="clear" w:pos="1134"/>
          <w:tab w:val="left" w:pos="1701"/>
        </w:tabs>
        <w:ind w:left="567" w:firstLine="567"/>
      </w:pPr>
      <w:r w:rsidRPr="00695E8C">
        <w:t>4.</w:t>
      </w:r>
      <w:r w:rsidRPr="00695E8C">
        <w:tab/>
      </w:r>
      <w:r w:rsidR="00D96CF9" w:rsidRPr="00695E8C">
        <w:rPr>
          <w:i/>
          <w:iCs/>
        </w:rPr>
        <w:t>Encourages</w:t>
      </w:r>
      <w:r w:rsidR="00D96CF9" w:rsidRPr="00695E8C">
        <w:t xml:space="preserve"> </w:t>
      </w:r>
      <w:r w:rsidR="00436167" w:rsidRPr="00695E8C">
        <w:t>eligible</w:t>
      </w:r>
      <w:r w:rsidR="00D96CF9" w:rsidRPr="00695E8C">
        <w:t xml:space="preserve"> Parties to the Convention and its Protocols to accelerate their use of their country allocations made available under the System for Transparent Allocation of Resources;</w:t>
      </w:r>
    </w:p>
    <w:p w14:paraId="59185480" w14:textId="71FB39BB" w:rsidR="00D96CF9" w:rsidRPr="00D96CF9" w:rsidRDefault="00833BC6" w:rsidP="003D3F00">
      <w:pPr>
        <w:pStyle w:val="Para1"/>
        <w:numPr>
          <w:ilvl w:val="0"/>
          <w:numId w:val="0"/>
        </w:numPr>
        <w:tabs>
          <w:tab w:val="clear" w:pos="1134"/>
          <w:tab w:val="left" w:pos="1701"/>
        </w:tabs>
        <w:ind w:left="567" w:firstLine="567"/>
      </w:pPr>
      <w:r w:rsidRPr="00D96CF9">
        <w:t>5.</w:t>
      </w:r>
      <w:r w:rsidRPr="00D96CF9">
        <w:tab/>
      </w:r>
      <w:r w:rsidR="00D96CF9" w:rsidRPr="00D17E67">
        <w:rPr>
          <w:i/>
          <w:iCs/>
        </w:rPr>
        <w:t>Encourages</w:t>
      </w:r>
      <w:r w:rsidR="00D96CF9" w:rsidRPr="00D96CF9">
        <w:t xml:space="preserve"> </w:t>
      </w:r>
      <w:r w:rsidR="00D15D83">
        <w:t>eligible</w:t>
      </w:r>
      <w:r w:rsidR="00D96CF9" w:rsidRPr="00D96CF9">
        <w:t xml:space="preserve"> Parties to the Cartagena Protocol on Biosafety and the Nagoya Protocol </w:t>
      </w:r>
      <w:r w:rsidR="00D96CF9" w:rsidRPr="001800FA">
        <w:t xml:space="preserve">on </w:t>
      </w:r>
      <w:r w:rsidR="00695E8C" w:rsidRPr="001800FA">
        <w:t>A</w:t>
      </w:r>
      <w:r w:rsidR="00D96CF9" w:rsidRPr="001800FA">
        <w:t xml:space="preserve">ccess to </w:t>
      </w:r>
      <w:r w:rsidR="00695E8C" w:rsidRPr="001800FA">
        <w:t>G</w:t>
      </w:r>
      <w:r w:rsidR="00D96CF9" w:rsidRPr="001800FA">
        <w:t xml:space="preserve">enetic </w:t>
      </w:r>
      <w:r w:rsidR="00695E8C" w:rsidRPr="001800FA">
        <w:t>R</w:t>
      </w:r>
      <w:r w:rsidR="00D96CF9" w:rsidRPr="001800FA">
        <w:t xml:space="preserve">esources and the </w:t>
      </w:r>
      <w:r w:rsidR="00695E8C" w:rsidRPr="001800FA">
        <w:t>F</w:t>
      </w:r>
      <w:r w:rsidR="00D96CF9" w:rsidRPr="001800FA">
        <w:t xml:space="preserve">air and </w:t>
      </w:r>
      <w:r w:rsidR="00695E8C" w:rsidRPr="001800FA">
        <w:t>E</w:t>
      </w:r>
      <w:r w:rsidR="00D96CF9" w:rsidRPr="001800FA">
        <w:t xml:space="preserve">quitable </w:t>
      </w:r>
      <w:r w:rsidR="00695E8C" w:rsidRPr="001800FA">
        <w:t>S</w:t>
      </w:r>
      <w:r w:rsidR="00D96CF9" w:rsidRPr="001800FA">
        <w:t xml:space="preserve">haring of </w:t>
      </w:r>
      <w:r w:rsidR="00695E8C" w:rsidRPr="001800FA">
        <w:t>B</w:t>
      </w:r>
      <w:r w:rsidR="00D96CF9" w:rsidRPr="001800FA">
        <w:t xml:space="preserve">enefits </w:t>
      </w:r>
      <w:r w:rsidR="00695E8C" w:rsidRPr="001800FA">
        <w:t>A</w:t>
      </w:r>
      <w:r w:rsidR="00D96CF9" w:rsidRPr="001800FA">
        <w:t xml:space="preserve">rising from their </w:t>
      </w:r>
      <w:r w:rsidR="00695E8C" w:rsidRPr="001800FA">
        <w:t>U</w:t>
      </w:r>
      <w:r w:rsidR="00D96CF9" w:rsidRPr="001800FA">
        <w:t xml:space="preserve">tilization to take note of the relevant information of </w:t>
      </w:r>
      <w:r w:rsidR="00D96CF9" w:rsidRPr="003D3F00">
        <w:t xml:space="preserve">the </w:t>
      </w:r>
      <w:r w:rsidR="00D96CF9" w:rsidRPr="001800FA">
        <w:t xml:space="preserve">preliminary report </w:t>
      </w:r>
      <w:r w:rsidR="001800FA" w:rsidRPr="001800FA">
        <w:t xml:space="preserve">of the Global Environment Facility </w:t>
      </w:r>
      <w:r w:rsidR="00D96CF9" w:rsidRPr="001800FA">
        <w:t xml:space="preserve">when submitting project proposals for consideration and approval by </w:t>
      </w:r>
      <w:r w:rsidR="00D96CF9" w:rsidRPr="003D3F00">
        <w:t xml:space="preserve">the </w:t>
      </w:r>
      <w:r w:rsidR="001800FA" w:rsidRPr="001800FA">
        <w:t>Facility</w:t>
      </w:r>
      <w:r w:rsidR="00D96CF9" w:rsidRPr="001800FA">
        <w:t>;</w:t>
      </w:r>
    </w:p>
    <w:p w14:paraId="47DE997E" w14:textId="4BD43F18" w:rsidR="00E01399" w:rsidRPr="00FC7F11" w:rsidRDefault="00833BC6" w:rsidP="003D3F00">
      <w:pPr>
        <w:pStyle w:val="Para1"/>
        <w:numPr>
          <w:ilvl w:val="0"/>
          <w:numId w:val="0"/>
        </w:numPr>
        <w:tabs>
          <w:tab w:val="clear" w:pos="1134"/>
          <w:tab w:val="left" w:pos="1701"/>
        </w:tabs>
        <w:ind w:left="567" w:firstLine="567"/>
      </w:pPr>
      <w:r w:rsidRPr="00FC7F11">
        <w:t>6.</w:t>
      </w:r>
      <w:r w:rsidRPr="00FC7F11">
        <w:tab/>
      </w:r>
      <w:r w:rsidR="00D15D83" w:rsidRPr="00D17E67">
        <w:rPr>
          <w:i/>
          <w:iCs/>
        </w:rPr>
        <w:t>Invites</w:t>
      </w:r>
      <w:r w:rsidR="00E01399" w:rsidRPr="00FC7F11">
        <w:t xml:space="preserve"> </w:t>
      </w:r>
      <w:r w:rsidR="00D15D83" w:rsidRPr="00FC7F11">
        <w:t xml:space="preserve">eligible Parties to contribute to </w:t>
      </w:r>
      <w:r w:rsidR="00E01399" w:rsidRPr="00FC7F11">
        <w:t xml:space="preserve">the </w:t>
      </w:r>
      <w:r w:rsidR="00D15D83" w:rsidRPr="00FC7F11">
        <w:t xml:space="preserve">survey of </w:t>
      </w:r>
      <w:r w:rsidR="00E01399" w:rsidRPr="00FC7F11">
        <w:t xml:space="preserve">national funding priorities and needs </w:t>
      </w:r>
      <w:r w:rsidR="00882AAA">
        <w:t xml:space="preserve">being </w:t>
      </w:r>
      <w:r w:rsidR="00D15D83" w:rsidRPr="00FC7F11">
        <w:t>prepared by the Secretariat</w:t>
      </w:r>
      <w:r w:rsidR="00E01399" w:rsidRPr="00997CDD">
        <w:t>;</w:t>
      </w:r>
    </w:p>
    <w:p w14:paraId="36E48A21" w14:textId="28855290" w:rsidR="00D96CF9" w:rsidRPr="00461434" w:rsidRDefault="00833BC6" w:rsidP="003D3F00">
      <w:pPr>
        <w:pStyle w:val="Para1"/>
        <w:numPr>
          <w:ilvl w:val="0"/>
          <w:numId w:val="0"/>
        </w:numPr>
        <w:tabs>
          <w:tab w:val="clear" w:pos="1134"/>
          <w:tab w:val="left" w:pos="1701"/>
        </w:tabs>
        <w:ind w:left="567" w:firstLine="567"/>
      </w:pPr>
      <w:r w:rsidRPr="00461434">
        <w:t>7.</w:t>
      </w:r>
      <w:r w:rsidRPr="00461434">
        <w:tab/>
      </w:r>
      <w:r w:rsidR="00B074DA">
        <w:rPr>
          <w:i/>
          <w:iCs/>
        </w:rPr>
        <w:t>I</w:t>
      </w:r>
      <w:r w:rsidR="00D15D83" w:rsidRPr="00D17E67">
        <w:rPr>
          <w:i/>
          <w:iCs/>
        </w:rPr>
        <w:t>nvites</w:t>
      </w:r>
      <w:r w:rsidR="00461434" w:rsidRPr="00461434">
        <w:t xml:space="preserve"> </w:t>
      </w:r>
      <w:r w:rsidR="00D15D83">
        <w:t xml:space="preserve">Parties to </w:t>
      </w:r>
      <w:r w:rsidR="00D15D83" w:rsidRPr="00D15D83">
        <w:t xml:space="preserve">participate in the evaluation process </w:t>
      </w:r>
      <w:r w:rsidR="00D15D83">
        <w:t>being conducted by</w:t>
      </w:r>
      <w:r w:rsidR="00461434" w:rsidRPr="00461434">
        <w:t xml:space="preserve"> the independent evaluator recruited by the Executive Secretary to implement the terms of reference for the sixth review of the effectiveness of the financial mechanism</w:t>
      </w:r>
      <w:r w:rsidR="00973211">
        <w:t>;</w:t>
      </w:r>
    </w:p>
    <w:p w14:paraId="286B8869" w14:textId="60E296E9" w:rsidR="003E60ED" w:rsidRPr="00E031C7" w:rsidRDefault="00833BC6" w:rsidP="003D3F00">
      <w:pPr>
        <w:pStyle w:val="Para1"/>
        <w:numPr>
          <w:ilvl w:val="0"/>
          <w:numId w:val="0"/>
        </w:numPr>
        <w:tabs>
          <w:tab w:val="clear" w:pos="1134"/>
          <w:tab w:val="left" w:pos="1701"/>
        </w:tabs>
        <w:ind w:left="567" w:firstLine="567"/>
      </w:pPr>
      <w:r w:rsidRPr="00E031C7">
        <w:t>8.</w:t>
      </w:r>
      <w:r w:rsidRPr="00E031C7">
        <w:tab/>
      </w:r>
      <w:r w:rsidR="003E60ED" w:rsidRPr="00D17E67">
        <w:rPr>
          <w:i/>
          <w:iCs/>
        </w:rPr>
        <w:t xml:space="preserve">Requests </w:t>
      </w:r>
      <w:r w:rsidR="003E60ED" w:rsidRPr="00D96CF9">
        <w:t>the Executive Secretary</w:t>
      </w:r>
      <w:r w:rsidR="003E60ED">
        <w:t xml:space="preserve"> to</w:t>
      </w:r>
      <w:r w:rsidR="007972C4">
        <w:t>:</w:t>
      </w:r>
    </w:p>
    <w:p w14:paraId="204EDA45" w14:textId="1DBD25CC" w:rsidR="003E60ED" w:rsidRDefault="00833BC6" w:rsidP="003D3F00">
      <w:pPr>
        <w:pStyle w:val="Para2"/>
        <w:ind w:firstLine="564"/>
      </w:pPr>
      <w:r>
        <w:t>(a)</w:t>
      </w:r>
      <w:r>
        <w:tab/>
      </w:r>
      <w:r w:rsidR="003E60ED">
        <w:t>Present the outcomes of the funding needs survey</w:t>
      </w:r>
      <w:r w:rsidR="003E60ED" w:rsidRPr="003E60ED">
        <w:t xml:space="preserve"> for consideration by the Conference of the Parties at its sixteenth meeting</w:t>
      </w:r>
      <w:r w:rsidR="00E031C7">
        <w:t xml:space="preserve">, </w:t>
      </w:r>
      <w:r w:rsidR="00E031C7" w:rsidRPr="00E031C7">
        <w:t>the Conference of the Parties serving as the meeting of the Parties to the Cartagena Protocol at its eleventh meeting and the Conference of the Parties serving as the meeting of the Parties to the Nagoya Protocol at its fifth meeting</w:t>
      </w:r>
      <w:r w:rsidR="003E60ED">
        <w:t>;</w:t>
      </w:r>
    </w:p>
    <w:p w14:paraId="49BF1911" w14:textId="00901749" w:rsidR="003E60ED" w:rsidRPr="00EE33D5" w:rsidRDefault="00833BC6" w:rsidP="003D3F00">
      <w:pPr>
        <w:pStyle w:val="Para2"/>
        <w:ind w:firstLine="564"/>
      </w:pPr>
      <w:r>
        <w:t>(b)</w:t>
      </w:r>
      <w:r>
        <w:tab/>
      </w:r>
      <w:r w:rsidR="003E60ED">
        <w:t xml:space="preserve">Present the report of the independent evaluator on the effectiveness of the financial mechanism </w:t>
      </w:r>
      <w:r w:rsidR="003E60ED" w:rsidRPr="003E60ED">
        <w:t>for consideration by the Conference of the Parties at its sixteenth meeting</w:t>
      </w:r>
      <w:r w:rsidR="00E031C7">
        <w:t>,</w:t>
      </w:r>
      <w:r w:rsidR="00E031C7" w:rsidRPr="00E031C7">
        <w:t xml:space="preserve"> the Conference of the Parties serving as the meeting of the Parties to the Cartagena Protocol at its eleventh meeting</w:t>
      </w:r>
      <w:r w:rsidR="00E031C7">
        <w:t xml:space="preserve"> and </w:t>
      </w:r>
      <w:r w:rsidR="00E031C7" w:rsidRPr="00E031C7">
        <w:t xml:space="preserve">the Conference of the Parties serving as the meeting of the Parties to the Nagoya Protocol </w:t>
      </w:r>
      <w:r w:rsidR="00E031C7">
        <w:t>at its fifth meeting</w:t>
      </w:r>
      <w:r w:rsidR="003E60ED" w:rsidRPr="00EE33D5">
        <w:t>;</w:t>
      </w:r>
    </w:p>
    <w:p w14:paraId="3D3698AB" w14:textId="4DDCBC11" w:rsidR="003E60ED" w:rsidRPr="0093627A" w:rsidRDefault="00833BC6" w:rsidP="003D3F00">
      <w:pPr>
        <w:pStyle w:val="Para2"/>
        <w:ind w:firstLine="564"/>
        <w:rPr>
          <w:bCs/>
          <w:lang w:val="en-GB"/>
        </w:rPr>
      </w:pPr>
      <w:r w:rsidRPr="00EE33D5">
        <w:rPr>
          <w:bCs/>
          <w:lang w:val="en-GB"/>
        </w:rPr>
        <w:t>(c)</w:t>
      </w:r>
      <w:r w:rsidRPr="00EE33D5">
        <w:rPr>
          <w:bCs/>
          <w:lang w:val="en-GB"/>
        </w:rPr>
        <w:tab/>
      </w:r>
      <w:r w:rsidR="003E60ED" w:rsidRPr="00EE33D5">
        <w:rPr>
          <w:lang w:val="en-GB"/>
        </w:rPr>
        <w:t xml:space="preserve">Incorporate the information provided by the </w:t>
      </w:r>
      <w:r w:rsidR="003E60ED" w:rsidRPr="003D3F00">
        <w:rPr>
          <w:lang w:val="en-GB"/>
        </w:rPr>
        <w:t>Global Environment Facility</w:t>
      </w:r>
      <w:r w:rsidR="003E60ED" w:rsidRPr="00EE33D5">
        <w:rPr>
          <w:lang w:val="en-GB"/>
        </w:rPr>
        <w:t xml:space="preserve"> through its final report in the relevant documentation to be prepared </w:t>
      </w:r>
      <w:bookmarkStart w:id="6" w:name="_Hlk164423986"/>
      <w:r w:rsidR="003E60ED" w:rsidRPr="00EE33D5">
        <w:rPr>
          <w:lang w:val="en-GB"/>
        </w:rPr>
        <w:t>for consideration by the Conference of the Parties at its sixteenth meeting</w:t>
      </w:r>
      <w:bookmarkEnd w:id="6"/>
      <w:r w:rsidR="003E60ED" w:rsidRPr="00EE33D5">
        <w:rPr>
          <w:lang w:val="en-GB"/>
        </w:rPr>
        <w:t xml:space="preserve"> and to collaborate with the </w:t>
      </w:r>
      <w:r w:rsidR="003E60ED" w:rsidRPr="003D3F00">
        <w:rPr>
          <w:lang w:val="en-GB"/>
        </w:rPr>
        <w:t>Global Environment Facility</w:t>
      </w:r>
      <w:r w:rsidR="003E60ED" w:rsidRPr="00EE33D5">
        <w:rPr>
          <w:lang w:val="en-GB"/>
        </w:rPr>
        <w:t xml:space="preserve"> to identify potential issues and areas requiring the attention of the Conference of the Parties at its sixteenth meeting</w:t>
      </w:r>
      <w:r w:rsidR="00973211" w:rsidRPr="00EE33D5">
        <w:rPr>
          <w:lang w:val="en-GB"/>
        </w:rPr>
        <w:t>;</w:t>
      </w:r>
    </w:p>
    <w:p w14:paraId="6707C2CF" w14:textId="480D8A79" w:rsidR="0093627A" w:rsidRPr="00FC7F11" w:rsidRDefault="00833BC6" w:rsidP="003D3F00">
      <w:pPr>
        <w:pStyle w:val="Para1"/>
        <w:numPr>
          <w:ilvl w:val="0"/>
          <w:numId w:val="0"/>
        </w:numPr>
        <w:tabs>
          <w:tab w:val="clear" w:pos="1134"/>
          <w:tab w:val="left" w:pos="1701"/>
        </w:tabs>
        <w:ind w:left="567" w:firstLine="567"/>
      </w:pPr>
      <w:r>
        <w:t>9</w:t>
      </w:r>
      <w:r w:rsidRPr="00FC7F11">
        <w:t>.</w:t>
      </w:r>
      <w:r w:rsidRPr="00FC7F11">
        <w:tab/>
      </w:r>
      <w:r w:rsidR="004E71C1">
        <w:rPr>
          <w:i/>
          <w:iCs/>
        </w:rPr>
        <w:t>Also</w:t>
      </w:r>
      <w:r w:rsidR="004E71C1" w:rsidRPr="00D17E67">
        <w:rPr>
          <w:i/>
          <w:iCs/>
        </w:rPr>
        <w:t xml:space="preserve"> </w:t>
      </w:r>
      <w:r w:rsidR="003E60ED" w:rsidRPr="00D17E67">
        <w:rPr>
          <w:i/>
          <w:iCs/>
        </w:rPr>
        <w:t>r</w:t>
      </w:r>
      <w:r w:rsidR="0093627A" w:rsidRPr="00D17E67">
        <w:rPr>
          <w:i/>
          <w:iCs/>
        </w:rPr>
        <w:t>equests</w:t>
      </w:r>
      <w:r w:rsidR="0093627A" w:rsidRPr="00FC7F11">
        <w:t xml:space="preserve"> the Executive Secretary to develop, for consideration </w:t>
      </w:r>
      <w:r w:rsidR="004E71C1">
        <w:t>by</w:t>
      </w:r>
      <w:r w:rsidR="004E71C1" w:rsidRPr="00FC7F11">
        <w:t xml:space="preserve"> </w:t>
      </w:r>
      <w:r w:rsidR="0093627A" w:rsidRPr="00FC7F11">
        <w:t xml:space="preserve">the Conference of the Parties at its sixteenth meeting, elements of guidance to support the implementation of those targets of the </w:t>
      </w:r>
      <w:r w:rsidR="0093627A" w:rsidRPr="004E71C1">
        <w:t xml:space="preserve">Framework that have not been covered specifically or comprehensively in any previous guidance to the </w:t>
      </w:r>
      <w:r w:rsidR="0093627A" w:rsidRPr="003D3F00">
        <w:t>Global Environment Facility</w:t>
      </w:r>
      <w:r w:rsidR="0093627A" w:rsidRPr="004E71C1">
        <w:t xml:space="preserve">, including </w:t>
      </w:r>
      <w:r w:rsidR="004E71C1" w:rsidRPr="004E71C1">
        <w:t>T</w:t>
      </w:r>
      <w:r w:rsidR="0093627A" w:rsidRPr="004E71C1">
        <w:t>argets 1, 2, 7, 9, 11, 1</w:t>
      </w:r>
      <w:r w:rsidR="0093627A" w:rsidRPr="003D3F00">
        <w:t>6, and</w:t>
      </w:r>
      <w:r w:rsidR="0093627A" w:rsidRPr="004E71C1">
        <w:t xml:space="preserve"> 22</w:t>
      </w:r>
      <w:r w:rsidR="00973211" w:rsidRPr="004E71C1">
        <w:t>;</w:t>
      </w:r>
    </w:p>
    <w:p w14:paraId="0ED8CABD" w14:textId="252ECDA8" w:rsidR="00461434" w:rsidRDefault="00833BC6" w:rsidP="003D3F00">
      <w:pPr>
        <w:pStyle w:val="Para1"/>
        <w:numPr>
          <w:ilvl w:val="0"/>
          <w:numId w:val="0"/>
        </w:numPr>
        <w:tabs>
          <w:tab w:val="clear" w:pos="1134"/>
          <w:tab w:val="left" w:pos="1701"/>
        </w:tabs>
        <w:ind w:left="567" w:firstLine="567"/>
      </w:pPr>
      <w:r w:rsidRPr="003D3F00">
        <w:rPr>
          <w:iCs/>
        </w:rPr>
        <w:t>10.</w:t>
      </w:r>
      <w:r>
        <w:rPr>
          <w:i/>
        </w:rPr>
        <w:tab/>
      </w:r>
      <w:r w:rsidR="00461434" w:rsidRPr="00461434">
        <w:rPr>
          <w:i/>
        </w:rPr>
        <w:t>Recommends</w:t>
      </w:r>
      <w:r w:rsidR="00461434" w:rsidRPr="00461434">
        <w:t xml:space="preserve"> that the Conference of the Parties at its sixteenth meeting adopt a decision along the </w:t>
      </w:r>
      <w:r w:rsidR="00461434" w:rsidRPr="00461434">
        <w:rPr>
          <w:bCs/>
        </w:rPr>
        <w:t>following</w:t>
      </w:r>
      <w:r w:rsidR="00461434" w:rsidRPr="00461434">
        <w:t xml:space="preserve"> lines:</w:t>
      </w:r>
      <w:r w:rsidR="00461434" w:rsidRPr="00461434">
        <w:rPr>
          <w:bCs/>
          <w:vertAlign w:val="superscript"/>
        </w:rPr>
        <w:footnoteReference w:id="9"/>
      </w:r>
    </w:p>
    <w:p w14:paraId="48BB16FC" w14:textId="22AEB296" w:rsidR="00E30C11" w:rsidRPr="003D3F00" w:rsidRDefault="00E30C11" w:rsidP="003D3F00">
      <w:pPr>
        <w:pStyle w:val="Para1"/>
        <w:numPr>
          <w:ilvl w:val="0"/>
          <w:numId w:val="0"/>
        </w:numPr>
        <w:ind w:left="1134" w:firstLine="567"/>
        <w:rPr>
          <w:i/>
          <w:iCs/>
        </w:rPr>
      </w:pPr>
      <w:r w:rsidRPr="003D3F00">
        <w:rPr>
          <w:i/>
          <w:iCs/>
        </w:rPr>
        <w:t>The Conference of the Parties,</w:t>
      </w:r>
    </w:p>
    <w:p w14:paraId="15784D6C" w14:textId="16BEC672" w:rsidR="00E30C11" w:rsidRDefault="00E30C11" w:rsidP="003D3F00">
      <w:pPr>
        <w:pStyle w:val="Para1"/>
        <w:numPr>
          <w:ilvl w:val="0"/>
          <w:numId w:val="0"/>
        </w:numPr>
        <w:ind w:left="1134" w:firstLine="567"/>
      </w:pPr>
      <w:r w:rsidRPr="005165C7">
        <w:rPr>
          <w:i/>
        </w:rPr>
        <w:lastRenderedPageBreak/>
        <w:t>Recallin</w:t>
      </w:r>
      <w:r w:rsidRPr="003D3F00">
        <w:rPr>
          <w:i/>
        </w:rPr>
        <w:t xml:space="preserve">g </w:t>
      </w:r>
      <w:r w:rsidR="005165C7" w:rsidRPr="005165C7">
        <w:t xml:space="preserve">paragraph 3 of </w:t>
      </w:r>
      <w:r w:rsidRPr="003D3F00">
        <w:t>Article</w:t>
      </w:r>
      <w:r w:rsidRPr="005165C7">
        <w:t xml:space="preserve"> 21 of the Convention</w:t>
      </w:r>
      <w:r w:rsidR="00004D83" w:rsidRPr="005165C7">
        <w:t xml:space="preserve"> on Biological Diversity</w:t>
      </w:r>
      <w:r w:rsidRPr="005165C7">
        <w:t>,</w:t>
      </w:r>
      <w:r w:rsidR="00F44395" w:rsidRPr="005165C7">
        <w:rPr>
          <w:rStyle w:val="FootnoteReference"/>
        </w:rPr>
        <w:footnoteReference w:id="10"/>
      </w:r>
      <w:r w:rsidRPr="005165C7">
        <w:t xml:space="preserve"> providing that the Conference of the Parties shall review the effectiveness of the financial mechanism,</w:t>
      </w:r>
    </w:p>
    <w:p w14:paraId="0669C78F" w14:textId="73315725" w:rsidR="00E30C11" w:rsidRPr="008001A3" w:rsidRDefault="00E30C11" w:rsidP="003D3F00">
      <w:pPr>
        <w:pStyle w:val="Para1"/>
        <w:numPr>
          <w:ilvl w:val="0"/>
          <w:numId w:val="0"/>
        </w:numPr>
        <w:ind w:left="1134" w:firstLine="567"/>
      </w:pPr>
      <w:r w:rsidRPr="00E30C11">
        <w:rPr>
          <w:i/>
        </w:rPr>
        <w:t xml:space="preserve">Reaffirming </w:t>
      </w:r>
      <w:r w:rsidRPr="00E30C11">
        <w:t xml:space="preserve">the commitment of the Conference of the Parties to periodically review the effectiveness of the financial mechanism as contained in the memorandum of </w:t>
      </w:r>
      <w:r w:rsidRPr="008001A3">
        <w:t xml:space="preserve">understanding with the Council of the </w:t>
      </w:r>
      <w:r w:rsidRPr="003D3F00">
        <w:t>Global Environment Facility</w:t>
      </w:r>
      <w:r w:rsidRPr="008001A3">
        <w:t xml:space="preserve"> adopted by </w:t>
      </w:r>
      <w:r w:rsidRPr="00271468">
        <w:t xml:space="preserve">its decision </w:t>
      </w:r>
      <w:r w:rsidRPr="00E90C26">
        <w:t>III/8</w:t>
      </w:r>
      <w:r w:rsidR="00271468" w:rsidRPr="00271468">
        <w:t xml:space="preserve"> of </w:t>
      </w:r>
      <w:r w:rsidR="00271468" w:rsidRPr="00271468">
        <w:t>15 November 1996</w:t>
      </w:r>
      <w:r w:rsidRPr="00271468">
        <w:t>,</w:t>
      </w:r>
    </w:p>
    <w:p w14:paraId="683EECE0" w14:textId="1219F971" w:rsidR="00E30C11" w:rsidRDefault="00E30C11" w:rsidP="003D3F00">
      <w:pPr>
        <w:pStyle w:val="Para1"/>
        <w:numPr>
          <w:ilvl w:val="0"/>
          <w:numId w:val="0"/>
        </w:numPr>
        <w:ind w:left="1134" w:firstLine="567"/>
      </w:pPr>
      <w:r w:rsidRPr="008001A3">
        <w:rPr>
          <w:i/>
        </w:rPr>
        <w:t>Reaffirming</w:t>
      </w:r>
      <w:r w:rsidRPr="008001A3">
        <w:t xml:space="preserve"> the importance of the review of the effectiveness of the financial mechanism in the implementation of the Convention and its Protocols, strategies and programmes,</w:t>
      </w:r>
    </w:p>
    <w:p w14:paraId="09831030" w14:textId="5AC34202" w:rsidR="00E30C11" w:rsidRPr="004527F6" w:rsidRDefault="00E30C11" w:rsidP="003D3F00">
      <w:pPr>
        <w:pStyle w:val="Para1"/>
        <w:numPr>
          <w:ilvl w:val="0"/>
          <w:numId w:val="0"/>
        </w:numPr>
        <w:ind w:left="1134" w:firstLine="567"/>
      </w:pPr>
      <w:r w:rsidRPr="00E30C11">
        <w:rPr>
          <w:i/>
        </w:rPr>
        <w:t xml:space="preserve">Taking </w:t>
      </w:r>
      <w:r w:rsidRPr="008001A3">
        <w:rPr>
          <w:i/>
        </w:rPr>
        <w:t xml:space="preserve">note </w:t>
      </w:r>
      <w:r w:rsidRPr="003D3F00">
        <w:rPr>
          <w:iCs/>
        </w:rPr>
        <w:t xml:space="preserve">of </w:t>
      </w:r>
      <w:r w:rsidRPr="008001A3">
        <w:t xml:space="preserve">the report of the Council of the </w:t>
      </w:r>
      <w:r w:rsidRPr="003D3F00">
        <w:t>Global Environment Facility</w:t>
      </w:r>
      <w:r w:rsidRPr="008001A3">
        <w:t xml:space="preserve"> to the </w:t>
      </w:r>
      <w:r w:rsidRPr="004527F6">
        <w:t>Conference of the Parties at its sixteenth meeting,</w:t>
      </w:r>
      <w:r w:rsidRPr="004527F6">
        <w:rPr>
          <w:rStyle w:val="FootnoteReference"/>
        </w:rPr>
        <w:footnoteReference w:id="11"/>
      </w:r>
    </w:p>
    <w:p w14:paraId="3076DB2E" w14:textId="745FAB1C" w:rsidR="00E30C11" w:rsidRDefault="00E30C11" w:rsidP="003D3F00">
      <w:pPr>
        <w:pStyle w:val="Para1"/>
        <w:numPr>
          <w:ilvl w:val="0"/>
          <w:numId w:val="0"/>
        </w:numPr>
        <w:ind w:left="1134" w:firstLine="567"/>
      </w:pPr>
      <w:r w:rsidRPr="004527F6">
        <w:rPr>
          <w:i/>
        </w:rPr>
        <w:t>Welcoming</w:t>
      </w:r>
      <w:r w:rsidRPr="004527F6">
        <w:t xml:space="preserve"> the actions by the </w:t>
      </w:r>
      <w:r w:rsidRPr="003D3F00">
        <w:t>Global Environment Facility</w:t>
      </w:r>
      <w:r w:rsidRPr="004527F6">
        <w:t xml:space="preserve"> to support developing country Parties and countries with economies in transition in the implementation of the objectives of the Convention, its Protocols and the </w:t>
      </w:r>
      <w:r w:rsidRPr="003D3F00">
        <w:t>Kunming-Montreal Global Biodiversity Framework</w:t>
      </w:r>
      <w:r w:rsidRPr="004527F6">
        <w:t>,</w:t>
      </w:r>
      <w:r w:rsidR="004527F6" w:rsidRPr="004527F6">
        <w:rPr>
          <w:rStyle w:val="FootnoteReference"/>
        </w:rPr>
        <w:footnoteReference w:id="12"/>
      </w:r>
      <w:r w:rsidRPr="004527F6">
        <w:t xml:space="preserve"> including through its programming associated with the seventh and eight</w:t>
      </w:r>
      <w:r w:rsidR="00882AAA">
        <w:t>h</w:t>
      </w:r>
      <w:r w:rsidRPr="004527F6">
        <w:t xml:space="preserve"> replenishments of its </w:t>
      </w:r>
      <w:r w:rsidRPr="003D3F00">
        <w:t>Trust Fund</w:t>
      </w:r>
      <w:r w:rsidRPr="004527F6">
        <w:t xml:space="preserve"> and the establishment and operationalization of the Global Biodiversity Framework Fund,</w:t>
      </w:r>
    </w:p>
    <w:p w14:paraId="1B5A6951" w14:textId="2FCFD2B1" w:rsidR="00E30C11" w:rsidRPr="00227B5C" w:rsidRDefault="00E30C11" w:rsidP="003D3F00">
      <w:pPr>
        <w:pStyle w:val="Para1"/>
        <w:numPr>
          <w:ilvl w:val="0"/>
          <w:numId w:val="0"/>
        </w:numPr>
        <w:ind w:left="1134" w:firstLine="567"/>
      </w:pPr>
      <w:r w:rsidRPr="00B30B3D">
        <w:rPr>
          <w:i/>
          <w:iCs/>
        </w:rPr>
        <w:t xml:space="preserve">Noting with concern </w:t>
      </w:r>
      <w:r w:rsidRPr="00B30B3D">
        <w:t xml:space="preserve">the lack of project proposals from </w:t>
      </w:r>
      <w:r w:rsidR="007972C4" w:rsidRPr="00B30B3D">
        <w:t>eligible</w:t>
      </w:r>
      <w:r w:rsidRPr="00B30B3D">
        <w:t xml:space="preserve"> countries to support implementation of the Cartagena Protocol on Biosafety</w:t>
      </w:r>
      <w:r w:rsidRPr="003D3F00">
        <w:t xml:space="preserve"> and</w:t>
      </w:r>
      <w:r w:rsidRPr="00B30B3D">
        <w:t xml:space="preserve"> the limited number of project proposals from </w:t>
      </w:r>
      <w:r w:rsidR="007972C4" w:rsidRPr="00B30B3D">
        <w:t>eligible</w:t>
      </w:r>
      <w:r w:rsidRPr="00B30B3D">
        <w:t xml:space="preserve"> countries to support implementation of the Nagoya Protocol on Access to Genetic Resources and the Fair and Equitable Sharing of Benefits arising from their </w:t>
      </w:r>
      <w:r w:rsidRPr="00227B5C">
        <w:t>Utilization,</w:t>
      </w:r>
    </w:p>
    <w:p w14:paraId="1A7F8BE0" w14:textId="051678D1" w:rsidR="00E30C11" w:rsidRPr="00227B5C" w:rsidRDefault="00E30C11" w:rsidP="003D3F00">
      <w:pPr>
        <w:pStyle w:val="Para1"/>
        <w:numPr>
          <w:ilvl w:val="0"/>
          <w:numId w:val="0"/>
        </w:numPr>
        <w:ind w:left="1134" w:firstLine="567"/>
      </w:pPr>
      <w:r w:rsidRPr="00227B5C">
        <w:rPr>
          <w:i/>
          <w:iCs/>
        </w:rPr>
        <w:t>Noting</w:t>
      </w:r>
      <w:r w:rsidRPr="00227B5C">
        <w:t xml:space="preserve"> the contributions of the </w:t>
      </w:r>
      <w:r w:rsidR="00227B5C" w:rsidRPr="00227B5C">
        <w:t xml:space="preserve">integrated </w:t>
      </w:r>
      <w:r w:rsidR="00227B5C" w:rsidRPr="003D3F00">
        <w:t>programmes</w:t>
      </w:r>
      <w:r w:rsidR="00227B5C" w:rsidRPr="00227B5C">
        <w:t xml:space="preserve"> of the </w:t>
      </w:r>
      <w:r w:rsidRPr="003D3F00">
        <w:t>Global Environment Facility</w:t>
      </w:r>
      <w:r w:rsidRPr="00227B5C">
        <w:t xml:space="preserve"> to the targets of the </w:t>
      </w:r>
      <w:r w:rsidRPr="003D3F00">
        <w:t>Kunming-Montreal Global Biodiversity Framework</w:t>
      </w:r>
      <w:r w:rsidRPr="00227B5C">
        <w:t xml:space="preserve"> and that all of the integrated programmes contribute to Targets 8, 10, 11, 20, 21, 22 and 23,</w:t>
      </w:r>
    </w:p>
    <w:p w14:paraId="52EC2793" w14:textId="5B98E093" w:rsidR="00E30C11" w:rsidRDefault="00E30C11" w:rsidP="003D3F00">
      <w:pPr>
        <w:pStyle w:val="Para1"/>
        <w:numPr>
          <w:ilvl w:val="0"/>
          <w:numId w:val="0"/>
        </w:numPr>
        <w:ind w:left="1134" w:firstLine="567"/>
      </w:pPr>
      <w:r w:rsidRPr="00227B5C">
        <w:rPr>
          <w:i/>
          <w:iCs/>
        </w:rPr>
        <w:t>Also noting</w:t>
      </w:r>
      <w:r w:rsidRPr="00227B5C">
        <w:t xml:space="preserve"> the significant portion of the </w:t>
      </w:r>
      <w:r w:rsidRPr="003D3F00">
        <w:t>Global Environment Facility</w:t>
      </w:r>
      <w:r w:rsidRPr="00227B5C">
        <w:t xml:space="preserve">’s </w:t>
      </w:r>
      <w:r w:rsidR="00395DAA" w:rsidRPr="00227B5C">
        <w:t>I</w:t>
      </w:r>
      <w:r w:rsidRPr="00227B5C">
        <w:t xml:space="preserve">nternational </w:t>
      </w:r>
      <w:r w:rsidR="00395DAA" w:rsidRPr="00227B5C">
        <w:t>W</w:t>
      </w:r>
      <w:r w:rsidRPr="00227B5C">
        <w:t xml:space="preserve">aters focal area resources that contributes to the implementation of the </w:t>
      </w:r>
      <w:r w:rsidRPr="003D3F00">
        <w:t>Kunming-Montreal Global Biodiversity Framework</w:t>
      </w:r>
      <w:r w:rsidRPr="00227B5C">
        <w:t>,</w:t>
      </w:r>
    </w:p>
    <w:p w14:paraId="6F9CEA9E" w14:textId="0EF87A45" w:rsidR="00E30C11" w:rsidRPr="00227B5C" w:rsidRDefault="00E30C11" w:rsidP="003D3F00">
      <w:pPr>
        <w:pStyle w:val="Para1"/>
        <w:numPr>
          <w:ilvl w:val="0"/>
          <w:numId w:val="0"/>
        </w:numPr>
        <w:ind w:left="1134" w:firstLine="567"/>
      </w:pPr>
      <w:r w:rsidRPr="00227B5C">
        <w:rPr>
          <w:i/>
          <w:iCs/>
        </w:rPr>
        <w:t xml:space="preserve">Noting with appreciation </w:t>
      </w:r>
      <w:r w:rsidRPr="00227B5C">
        <w:t xml:space="preserve">the enhanced support provided by the </w:t>
      </w:r>
      <w:r w:rsidRPr="003D3F00">
        <w:t>Global Environment Facility</w:t>
      </w:r>
      <w:r w:rsidRPr="00227B5C">
        <w:t xml:space="preserve"> to </w:t>
      </w:r>
      <w:r w:rsidRPr="003D3F00">
        <w:t>indigenous people</w:t>
      </w:r>
      <w:r w:rsidRPr="00227B5C">
        <w:t xml:space="preserve">s and local communities for the implementation of the </w:t>
      </w:r>
      <w:r w:rsidRPr="003D3F00">
        <w:t>Kunming-Montreal Global Biodiversity Framework</w:t>
      </w:r>
      <w:r w:rsidRPr="00227B5C">
        <w:t>,</w:t>
      </w:r>
    </w:p>
    <w:p w14:paraId="6D775E6A" w14:textId="11598462" w:rsidR="00E30C11" w:rsidRDefault="00483B71" w:rsidP="003D3F00">
      <w:pPr>
        <w:pStyle w:val="Para1"/>
        <w:numPr>
          <w:ilvl w:val="0"/>
          <w:numId w:val="0"/>
        </w:numPr>
        <w:ind w:left="1134" w:firstLine="567"/>
      </w:pPr>
      <w:r w:rsidRPr="00227B5C">
        <w:rPr>
          <w:i/>
          <w:iCs/>
        </w:rPr>
        <w:t>Welcoming</w:t>
      </w:r>
      <w:r w:rsidRPr="00227B5C">
        <w:t xml:space="preserve"> the efforts by the </w:t>
      </w:r>
      <w:r w:rsidRPr="003D3F00">
        <w:t>Global Environment Facility</w:t>
      </w:r>
      <w:r w:rsidRPr="00227B5C">
        <w:t xml:space="preserve"> to support policy coherence and streamlining measures,</w:t>
      </w:r>
    </w:p>
    <w:p w14:paraId="3AFA8D7B" w14:textId="2687572A" w:rsidR="00461434" w:rsidRPr="00395DAA" w:rsidRDefault="00833BC6" w:rsidP="003D3F00">
      <w:pPr>
        <w:pStyle w:val="Para1"/>
        <w:numPr>
          <w:ilvl w:val="0"/>
          <w:numId w:val="0"/>
        </w:numPr>
        <w:tabs>
          <w:tab w:val="clear" w:pos="1134"/>
          <w:tab w:val="left" w:pos="2268"/>
        </w:tabs>
        <w:ind w:left="1134" w:firstLine="567"/>
      </w:pPr>
      <w:r w:rsidRPr="00395DAA">
        <w:t>1.</w:t>
      </w:r>
      <w:r w:rsidRPr="00395DAA">
        <w:tab/>
      </w:r>
      <w:r w:rsidR="00483B71" w:rsidRPr="00D17E67">
        <w:rPr>
          <w:i/>
        </w:rPr>
        <w:t>Welcomes</w:t>
      </w:r>
      <w:r w:rsidR="00483B71" w:rsidRPr="00483B71">
        <w:t xml:space="preserve"> the report of the </w:t>
      </w:r>
      <w:r w:rsidR="00483B71" w:rsidRPr="003E6C51">
        <w:t xml:space="preserve">Council of the </w:t>
      </w:r>
      <w:r w:rsidR="00483B71" w:rsidRPr="003D3F00">
        <w:t>Global Environment Facility</w:t>
      </w:r>
      <w:r w:rsidR="00483B71" w:rsidRPr="003E6C51">
        <w:t xml:space="preserve"> to the Conference of the Parties at its sixteenth meeting;</w:t>
      </w:r>
    </w:p>
    <w:p w14:paraId="610EA30C" w14:textId="54B0FEF7" w:rsidR="00395DAA" w:rsidRPr="003D3F00" w:rsidRDefault="00395DAA" w:rsidP="003D3F00">
      <w:pPr>
        <w:pStyle w:val="Para1"/>
        <w:numPr>
          <w:ilvl w:val="0"/>
          <w:numId w:val="0"/>
        </w:numPr>
        <w:tabs>
          <w:tab w:val="clear" w:pos="1134"/>
          <w:tab w:val="left" w:pos="2268"/>
        </w:tabs>
        <w:ind w:left="1134"/>
        <w:rPr>
          <w:b/>
          <w:bCs/>
        </w:rPr>
      </w:pPr>
      <w:r w:rsidRPr="003D3F00">
        <w:rPr>
          <w:b/>
          <w:bCs/>
        </w:rPr>
        <w:t>G</w:t>
      </w:r>
      <w:r w:rsidR="00FC7F11" w:rsidRPr="003D3F00">
        <w:rPr>
          <w:b/>
          <w:bCs/>
        </w:rPr>
        <w:t xml:space="preserve">lobal Environment Facility </w:t>
      </w:r>
      <w:r w:rsidRPr="003D3F00">
        <w:rPr>
          <w:b/>
          <w:bCs/>
        </w:rPr>
        <w:t>Trust Fund</w:t>
      </w:r>
    </w:p>
    <w:p w14:paraId="2240230C" w14:textId="1D8207B5" w:rsidR="00483B71" w:rsidRPr="00483B71" w:rsidRDefault="00833BC6" w:rsidP="003D3F00">
      <w:pPr>
        <w:pStyle w:val="Para1"/>
        <w:numPr>
          <w:ilvl w:val="0"/>
          <w:numId w:val="0"/>
        </w:numPr>
        <w:tabs>
          <w:tab w:val="clear" w:pos="1134"/>
          <w:tab w:val="left" w:pos="2268"/>
        </w:tabs>
        <w:ind w:left="1134" w:firstLine="567"/>
      </w:pPr>
      <w:r w:rsidRPr="00483B71">
        <w:t>2.</w:t>
      </w:r>
      <w:r w:rsidRPr="00483B71">
        <w:tab/>
      </w:r>
      <w:r w:rsidR="00483B71" w:rsidRPr="00D17E67">
        <w:rPr>
          <w:i/>
          <w:iCs/>
        </w:rPr>
        <w:t>Invites</w:t>
      </w:r>
      <w:r w:rsidR="00483B71" w:rsidRPr="00483B71">
        <w:t xml:space="preserve"> the </w:t>
      </w:r>
      <w:r w:rsidR="00483B71" w:rsidRPr="003D3F00">
        <w:t>Global Environment Facility</w:t>
      </w:r>
      <w:r w:rsidR="00483B71" w:rsidRPr="00584FED">
        <w:t xml:space="preserve">, in collaboration with the Executive Secretary, to issue an open call for project proposals in support of the implementation of </w:t>
      </w:r>
      <w:r w:rsidR="00584FED" w:rsidRPr="00584FED">
        <w:t>T</w:t>
      </w:r>
      <w:r w:rsidR="00483B71" w:rsidRPr="00584FED">
        <w:t xml:space="preserve">arget 17 of the </w:t>
      </w:r>
      <w:r w:rsidR="00483B71" w:rsidRPr="003D3F00">
        <w:t>Framework</w:t>
      </w:r>
      <w:r w:rsidR="00483B71" w:rsidRPr="00584FED">
        <w:t>;</w:t>
      </w:r>
    </w:p>
    <w:p w14:paraId="7735B100" w14:textId="2B4AE526" w:rsidR="00483B71" w:rsidRDefault="00833BC6" w:rsidP="00285B44">
      <w:pPr>
        <w:pStyle w:val="Para1"/>
        <w:numPr>
          <w:ilvl w:val="0"/>
          <w:numId w:val="0"/>
        </w:numPr>
        <w:tabs>
          <w:tab w:val="clear" w:pos="1134"/>
          <w:tab w:val="left" w:pos="2268"/>
        </w:tabs>
        <w:ind w:left="1134" w:firstLine="567"/>
      </w:pPr>
      <w:r>
        <w:t>3.</w:t>
      </w:r>
      <w:r>
        <w:tab/>
      </w:r>
      <w:r w:rsidR="00483B71" w:rsidRPr="00D17E67">
        <w:rPr>
          <w:i/>
          <w:iCs/>
        </w:rPr>
        <w:t>Invites</w:t>
      </w:r>
      <w:r w:rsidR="00483B71" w:rsidRPr="00483B71">
        <w:t xml:space="preserve"> relevant Parties to the Cartagena Protocol on Biosafety to proactively access the notional allocations available </w:t>
      </w:r>
      <w:r w:rsidR="00285B44" w:rsidRPr="00285B44">
        <w:t xml:space="preserve">for the Protocol </w:t>
      </w:r>
      <w:r w:rsidR="00483B71" w:rsidRPr="00483B71">
        <w:t>from the eighth replenishment programming directions</w:t>
      </w:r>
      <w:r w:rsidR="00483B71">
        <w:t>;</w:t>
      </w:r>
    </w:p>
    <w:p w14:paraId="4062A1B2" w14:textId="4883082E" w:rsidR="00483B71" w:rsidRDefault="00833BC6" w:rsidP="003D3F00">
      <w:pPr>
        <w:pStyle w:val="Para1"/>
        <w:numPr>
          <w:ilvl w:val="0"/>
          <w:numId w:val="0"/>
        </w:numPr>
        <w:tabs>
          <w:tab w:val="clear" w:pos="1134"/>
          <w:tab w:val="left" w:pos="2268"/>
        </w:tabs>
        <w:ind w:left="1134" w:firstLine="567"/>
      </w:pPr>
      <w:r>
        <w:lastRenderedPageBreak/>
        <w:t>4.</w:t>
      </w:r>
      <w:r>
        <w:tab/>
      </w:r>
      <w:r w:rsidR="00483B71" w:rsidRPr="00D17E67">
        <w:rPr>
          <w:i/>
          <w:iCs/>
        </w:rPr>
        <w:t>Requests</w:t>
      </w:r>
      <w:r w:rsidR="00483B71" w:rsidRPr="00483B71">
        <w:t xml:space="preserve"> the Executive Secretary and the </w:t>
      </w:r>
      <w:r w:rsidR="00483B71" w:rsidRPr="003D3F00">
        <w:t>Global Environment Facility</w:t>
      </w:r>
      <w:r w:rsidR="00483B71" w:rsidRPr="00607338">
        <w:t xml:space="preserve">, to promote the sharing of experience and knowledge in project development and implementation in support of the implementation of </w:t>
      </w:r>
      <w:r w:rsidR="00607338" w:rsidRPr="00607338">
        <w:t>T</w:t>
      </w:r>
      <w:r w:rsidR="00483B71" w:rsidRPr="00607338">
        <w:t xml:space="preserve">arget 13 of the </w:t>
      </w:r>
      <w:r w:rsidR="00483B71" w:rsidRPr="003D3F00">
        <w:t>Framework</w:t>
      </w:r>
      <w:r w:rsidR="00483B71" w:rsidRPr="00607338">
        <w:t>;</w:t>
      </w:r>
    </w:p>
    <w:p w14:paraId="6F3B4B79" w14:textId="7345A843" w:rsidR="00483B71" w:rsidRPr="00483B71" w:rsidRDefault="00833BC6" w:rsidP="003D3F00">
      <w:pPr>
        <w:pStyle w:val="Para1"/>
        <w:numPr>
          <w:ilvl w:val="0"/>
          <w:numId w:val="0"/>
        </w:numPr>
        <w:tabs>
          <w:tab w:val="clear" w:pos="1134"/>
          <w:tab w:val="left" w:pos="2268"/>
        </w:tabs>
        <w:ind w:left="1134" w:firstLine="567"/>
      </w:pPr>
      <w:r w:rsidRPr="00483B71">
        <w:t>5.</w:t>
      </w:r>
      <w:r w:rsidRPr="00483B71">
        <w:tab/>
      </w:r>
      <w:r w:rsidR="00483B71" w:rsidRPr="00D17E67">
        <w:rPr>
          <w:i/>
          <w:iCs/>
          <w:lang w:val="en-US"/>
        </w:rPr>
        <w:t>Invites</w:t>
      </w:r>
      <w:r w:rsidR="00483B71" w:rsidRPr="00D17E67">
        <w:rPr>
          <w:lang w:val="en-US"/>
        </w:rPr>
        <w:t xml:space="preserve"> relevant Parties to the Nagoya Protocol on Access to Genetic Resources and the Fair and Equitable Sharing of Benefits arising from their Utilization to proactively access the notional allocations available </w:t>
      </w:r>
      <w:r w:rsidR="00285B44" w:rsidRPr="00285B44">
        <w:rPr>
          <w:lang w:val="en-US"/>
        </w:rPr>
        <w:t xml:space="preserve">for the Protocol </w:t>
      </w:r>
      <w:r w:rsidR="00483B71" w:rsidRPr="00D17E67">
        <w:rPr>
          <w:lang w:val="en-US"/>
        </w:rPr>
        <w:t>from the eighth replenishment programming directions;</w:t>
      </w:r>
    </w:p>
    <w:p w14:paraId="23AFC44E" w14:textId="65DD9949" w:rsidR="00483B71" w:rsidRPr="00566634" w:rsidRDefault="00833BC6" w:rsidP="003D3F00">
      <w:pPr>
        <w:pStyle w:val="Para1"/>
        <w:numPr>
          <w:ilvl w:val="0"/>
          <w:numId w:val="0"/>
        </w:numPr>
        <w:tabs>
          <w:tab w:val="clear" w:pos="1134"/>
          <w:tab w:val="left" w:pos="2268"/>
        </w:tabs>
        <w:ind w:left="1134" w:firstLine="567"/>
      </w:pPr>
      <w:r w:rsidRPr="00E901D7">
        <w:t>6.</w:t>
      </w:r>
      <w:r w:rsidRPr="00E901D7">
        <w:tab/>
      </w:r>
      <w:r w:rsidR="00E901D7" w:rsidRPr="00D17E67">
        <w:rPr>
          <w:i/>
          <w:iCs/>
        </w:rPr>
        <w:t>Encourages</w:t>
      </w:r>
      <w:r w:rsidR="00E901D7" w:rsidRPr="00E901D7">
        <w:t xml:space="preserve"> the </w:t>
      </w:r>
      <w:r w:rsidR="00E901D7" w:rsidRPr="003D3F00">
        <w:t>Global Environment Facility</w:t>
      </w:r>
      <w:r w:rsidR="00E901D7" w:rsidRPr="00607338">
        <w:t xml:space="preserve"> to continue to explore potential opportunities of maximizing the contribution of its integrated programmes to the implementation of the </w:t>
      </w:r>
      <w:r w:rsidR="00E901D7" w:rsidRPr="003D3F00">
        <w:t>Framework</w:t>
      </w:r>
      <w:r w:rsidR="00E901D7" w:rsidRPr="00566634">
        <w:t>;</w:t>
      </w:r>
    </w:p>
    <w:p w14:paraId="4ECC84B0" w14:textId="014E77CA" w:rsidR="00E901D7" w:rsidRPr="00395DAA" w:rsidRDefault="00833BC6" w:rsidP="003D3F00">
      <w:pPr>
        <w:pStyle w:val="Para1"/>
        <w:numPr>
          <w:ilvl w:val="0"/>
          <w:numId w:val="0"/>
        </w:numPr>
        <w:tabs>
          <w:tab w:val="clear" w:pos="1134"/>
          <w:tab w:val="left" w:pos="2268"/>
        </w:tabs>
        <w:ind w:left="1134" w:firstLine="567"/>
      </w:pPr>
      <w:r w:rsidRPr="00566634">
        <w:t>7.</w:t>
      </w:r>
      <w:r w:rsidRPr="00566634">
        <w:tab/>
      </w:r>
      <w:r w:rsidR="00E901D7" w:rsidRPr="00566634">
        <w:rPr>
          <w:i/>
          <w:iCs/>
        </w:rPr>
        <w:t>Also encourages</w:t>
      </w:r>
      <w:r w:rsidR="00E901D7" w:rsidRPr="00566634">
        <w:t xml:space="preserve"> the </w:t>
      </w:r>
      <w:r w:rsidR="00E901D7" w:rsidRPr="003D3F00">
        <w:t>Global Environment Facility</w:t>
      </w:r>
      <w:r w:rsidR="00E901D7" w:rsidRPr="00566634">
        <w:t xml:space="preserve"> and recipient countries to maintain the contribution of the international waters focal area to the implementation of the </w:t>
      </w:r>
      <w:r w:rsidR="00E901D7" w:rsidRPr="003D3F00">
        <w:t>Framework</w:t>
      </w:r>
      <w:r w:rsidR="00E901D7" w:rsidRPr="00566634">
        <w:t xml:space="preserve"> and to extend this practice into other focal areas, including those of climate change, land degradation</w:t>
      </w:r>
      <w:r w:rsidR="00E901D7" w:rsidRPr="003D3F00">
        <w:t>, and</w:t>
      </w:r>
      <w:r w:rsidR="00E901D7" w:rsidRPr="00566634">
        <w:t xml:space="preserve"> chemicals and waste;</w:t>
      </w:r>
    </w:p>
    <w:p w14:paraId="52225EFA" w14:textId="2355EC24" w:rsidR="00395DAA" w:rsidRPr="003D3F00" w:rsidRDefault="00395DAA" w:rsidP="003D3F00">
      <w:pPr>
        <w:pStyle w:val="Para1"/>
        <w:numPr>
          <w:ilvl w:val="0"/>
          <w:numId w:val="0"/>
        </w:numPr>
        <w:tabs>
          <w:tab w:val="clear" w:pos="1134"/>
          <w:tab w:val="left" w:pos="2268"/>
        </w:tabs>
        <w:ind w:left="1134"/>
        <w:rPr>
          <w:b/>
          <w:bCs/>
        </w:rPr>
      </w:pPr>
      <w:r w:rsidRPr="003D3F00">
        <w:rPr>
          <w:b/>
          <w:bCs/>
        </w:rPr>
        <w:t>Global Biodiversity Framework Fund</w:t>
      </w:r>
    </w:p>
    <w:p w14:paraId="5FBA796F" w14:textId="4141B09C" w:rsidR="00395DAA" w:rsidRPr="00395DAA" w:rsidRDefault="00833BC6" w:rsidP="003D3F00">
      <w:pPr>
        <w:pStyle w:val="Para1"/>
        <w:numPr>
          <w:ilvl w:val="0"/>
          <w:numId w:val="0"/>
        </w:numPr>
        <w:tabs>
          <w:tab w:val="clear" w:pos="1134"/>
          <w:tab w:val="left" w:pos="2268"/>
        </w:tabs>
        <w:ind w:left="1134" w:firstLine="567"/>
      </w:pPr>
      <w:r w:rsidRPr="00395DAA">
        <w:t>8.</w:t>
      </w:r>
      <w:r w:rsidRPr="00395DAA">
        <w:tab/>
      </w:r>
      <w:r w:rsidR="00395DAA" w:rsidRPr="00395DAA">
        <w:rPr>
          <w:i/>
          <w:iCs/>
        </w:rPr>
        <w:t xml:space="preserve">Expresses its </w:t>
      </w:r>
      <w:r w:rsidR="00395DAA" w:rsidRPr="00566634">
        <w:rPr>
          <w:i/>
          <w:iCs/>
        </w:rPr>
        <w:t xml:space="preserve">appreciation </w:t>
      </w:r>
      <w:r w:rsidR="00395DAA" w:rsidRPr="00566634">
        <w:t xml:space="preserve">to the </w:t>
      </w:r>
      <w:r w:rsidR="00395DAA" w:rsidRPr="003D3F00">
        <w:t>Global Environment Facility</w:t>
      </w:r>
      <w:r w:rsidR="00395DAA" w:rsidRPr="00566634">
        <w:t xml:space="preserve"> for its timely design, establishment and operationalization of the Global Biodiversity Framework Fund;</w:t>
      </w:r>
    </w:p>
    <w:p w14:paraId="0FD17390" w14:textId="479F31AE" w:rsidR="00395DAA" w:rsidRPr="00395DAA" w:rsidRDefault="00833BC6" w:rsidP="003D3F00">
      <w:pPr>
        <w:pStyle w:val="Para1"/>
        <w:numPr>
          <w:ilvl w:val="0"/>
          <w:numId w:val="0"/>
        </w:numPr>
        <w:tabs>
          <w:tab w:val="clear" w:pos="1134"/>
          <w:tab w:val="left" w:pos="2268"/>
        </w:tabs>
        <w:ind w:left="1134" w:firstLine="567"/>
      </w:pPr>
      <w:r w:rsidRPr="00395DAA">
        <w:t>9.</w:t>
      </w:r>
      <w:r w:rsidRPr="00395DAA">
        <w:tab/>
      </w:r>
      <w:r w:rsidR="00395DAA" w:rsidRPr="00395DAA">
        <w:rPr>
          <w:i/>
          <w:iCs/>
        </w:rPr>
        <w:t xml:space="preserve">Notes with appreciation </w:t>
      </w:r>
      <w:r w:rsidR="00395DAA" w:rsidRPr="00395DAA">
        <w:t xml:space="preserve">the contributions made to the capitalization of the Global Biodiversity </w:t>
      </w:r>
      <w:r w:rsidR="00395DAA" w:rsidRPr="00947174">
        <w:t xml:space="preserve">Framework </w:t>
      </w:r>
      <w:r w:rsidR="00395DAA" w:rsidRPr="003D3F00">
        <w:t xml:space="preserve">Fund </w:t>
      </w:r>
      <w:r w:rsidR="00395DAA" w:rsidRPr="00947174">
        <w:t>by several donor countries, including Canada, Germany, Japan, Luxembourg, Spain and the United Kingdom of Great Britain and Norther</w:t>
      </w:r>
      <w:r w:rsidR="00B077E7" w:rsidRPr="00947174">
        <w:t>n</w:t>
      </w:r>
      <w:r w:rsidR="00395DAA" w:rsidRPr="00947174">
        <w:t xml:space="preserve"> Ireland;</w:t>
      </w:r>
    </w:p>
    <w:p w14:paraId="714B25CA" w14:textId="5254FACA" w:rsidR="00395DAA" w:rsidRPr="00395DAA" w:rsidRDefault="00833BC6" w:rsidP="003D3F00">
      <w:pPr>
        <w:pStyle w:val="Para1"/>
        <w:numPr>
          <w:ilvl w:val="0"/>
          <w:numId w:val="0"/>
        </w:numPr>
        <w:tabs>
          <w:tab w:val="clear" w:pos="1134"/>
          <w:tab w:val="left" w:pos="2268"/>
        </w:tabs>
        <w:ind w:left="1134" w:firstLine="567"/>
      </w:pPr>
      <w:r w:rsidRPr="00395DAA">
        <w:t>10.</w:t>
      </w:r>
      <w:r w:rsidRPr="00395DAA">
        <w:tab/>
      </w:r>
      <w:r w:rsidR="00395DAA" w:rsidRPr="00395DAA">
        <w:rPr>
          <w:i/>
          <w:iCs/>
        </w:rPr>
        <w:t>Urges</w:t>
      </w:r>
      <w:r w:rsidR="00395DAA" w:rsidRPr="00395DAA">
        <w:t xml:space="preserve"> all Parties and other Governments that </w:t>
      </w:r>
      <w:r w:rsidR="00B077E7">
        <w:t xml:space="preserve">are </w:t>
      </w:r>
      <w:r w:rsidR="00395DAA" w:rsidRPr="00395DAA">
        <w:t xml:space="preserve">in a position to do so, to make </w:t>
      </w:r>
      <w:r w:rsidR="00E031C7">
        <w:t xml:space="preserve">contributions or </w:t>
      </w:r>
      <w:r w:rsidR="00395DAA" w:rsidRPr="00395DAA">
        <w:t xml:space="preserve">further contributions to the Global </w:t>
      </w:r>
      <w:r w:rsidR="00395DAA" w:rsidRPr="00AD7D9E">
        <w:t xml:space="preserve">Biodiversity Framework </w:t>
      </w:r>
      <w:r w:rsidR="00395DAA" w:rsidRPr="003D3F00">
        <w:t xml:space="preserve">Fund </w:t>
      </w:r>
      <w:r w:rsidR="00395DAA" w:rsidRPr="00AD7D9E">
        <w:t xml:space="preserve">in order to ensure its </w:t>
      </w:r>
      <w:r w:rsidR="00E031C7" w:rsidRPr="00AD7D9E">
        <w:t xml:space="preserve">rapid </w:t>
      </w:r>
      <w:r w:rsidR="00395DAA" w:rsidRPr="00AD7D9E">
        <w:t xml:space="preserve">capitalization </w:t>
      </w:r>
      <w:r w:rsidR="00B77470" w:rsidRPr="00AD7D9E">
        <w:t xml:space="preserve">commensurate with Target 19 such that it contributes to increasing the total biodiversity related international financial resources from developed countries to at least 20 billion </w:t>
      </w:r>
      <w:r w:rsidR="00223709" w:rsidRPr="00AD7D9E">
        <w:t xml:space="preserve">United States dollars </w:t>
      </w:r>
      <w:r w:rsidR="00B77470" w:rsidRPr="00AD7D9E">
        <w:t xml:space="preserve">per year by 2025, and to at least 30 billion </w:t>
      </w:r>
      <w:r w:rsidR="00AD7D9E" w:rsidRPr="00AD7D9E">
        <w:t xml:space="preserve">dollars </w:t>
      </w:r>
      <w:r w:rsidR="00B77470" w:rsidRPr="00AD7D9E">
        <w:t xml:space="preserve">per year by 2030 and provides effective support </w:t>
      </w:r>
      <w:r w:rsidR="00395DAA" w:rsidRPr="00AD7D9E">
        <w:t xml:space="preserve">to developing country Parties and countries with economies in transition for the implementation of the </w:t>
      </w:r>
      <w:r w:rsidR="00395DAA" w:rsidRPr="003D3F00">
        <w:t>Framework</w:t>
      </w:r>
      <w:r w:rsidR="00395DAA" w:rsidRPr="00AD7D9E">
        <w:t>;</w:t>
      </w:r>
    </w:p>
    <w:p w14:paraId="6AF5A559" w14:textId="2C323198" w:rsidR="00395DAA" w:rsidRPr="00395DAA" w:rsidRDefault="00833BC6" w:rsidP="003D3F00">
      <w:pPr>
        <w:pStyle w:val="Para1"/>
        <w:numPr>
          <w:ilvl w:val="0"/>
          <w:numId w:val="0"/>
        </w:numPr>
        <w:tabs>
          <w:tab w:val="clear" w:pos="1134"/>
          <w:tab w:val="left" w:pos="2268"/>
        </w:tabs>
        <w:ind w:left="1134" w:firstLine="567"/>
      </w:pPr>
      <w:r w:rsidRPr="00395DAA">
        <w:t>11.</w:t>
      </w:r>
      <w:r w:rsidRPr="00395DAA">
        <w:tab/>
      </w:r>
      <w:r w:rsidR="00395DAA" w:rsidRPr="003D3F00">
        <w:rPr>
          <w:i/>
          <w:iCs/>
        </w:rPr>
        <w:t>Emphasise</w:t>
      </w:r>
      <w:r w:rsidR="00395DAA" w:rsidRPr="00AD7D9E">
        <w:rPr>
          <w:i/>
          <w:iCs/>
        </w:rPr>
        <w:t>s</w:t>
      </w:r>
      <w:r w:rsidR="00395DAA" w:rsidRPr="00AD7D9E">
        <w:t xml:space="preserve"> that guidance from the Conference of the Parties in accordance with paragraph 1 o</w:t>
      </w:r>
      <w:r w:rsidR="00395DAA" w:rsidRPr="003D3F00">
        <w:t>f A</w:t>
      </w:r>
      <w:r w:rsidR="00395DAA" w:rsidRPr="00AD7D9E">
        <w:t>rticle 21 of the Convention is applicable to the Global Biodiversity Framework Fund;</w:t>
      </w:r>
    </w:p>
    <w:p w14:paraId="6C61D4E7" w14:textId="74594F54" w:rsidR="00FE541C" w:rsidRPr="003D3F00" w:rsidRDefault="00B640AF" w:rsidP="003D3F00">
      <w:pPr>
        <w:pStyle w:val="Para1"/>
        <w:numPr>
          <w:ilvl w:val="0"/>
          <w:numId w:val="0"/>
        </w:numPr>
        <w:tabs>
          <w:tab w:val="clear" w:pos="1134"/>
          <w:tab w:val="left" w:pos="2268"/>
        </w:tabs>
        <w:ind w:left="1134"/>
        <w:rPr>
          <w:b/>
          <w:bCs/>
        </w:rPr>
      </w:pPr>
      <w:bookmarkStart w:id="7" w:name="_Hlk164296833"/>
      <w:r w:rsidRPr="003D3F00">
        <w:rPr>
          <w:b/>
          <w:bCs/>
        </w:rPr>
        <w:t>Four-year outcome-oriented framework of programme priorities</w:t>
      </w:r>
    </w:p>
    <w:p w14:paraId="000F3071" w14:textId="2125F951" w:rsidR="00821B7B" w:rsidRPr="0071261C" w:rsidRDefault="00833BC6" w:rsidP="003D3F00">
      <w:pPr>
        <w:pStyle w:val="Para1"/>
        <w:numPr>
          <w:ilvl w:val="0"/>
          <w:numId w:val="0"/>
        </w:numPr>
        <w:tabs>
          <w:tab w:val="clear" w:pos="1134"/>
          <w:tab w:val="left" w:pos="2268"/>
        </w:tabs>
        <w:ind w:left="1134" w:firstLine="567"/>
      </w:pPr>
      <w:r w:rsidRPr="00821B7B">
        <w:t>12.</w:t>
      </w:r>
      <w:r w:rsidRPr="00821B7B">
        <w:tab/>
      </w:r>
      <w:r w:rsidR="00821B7B" w:rsidRPr="00821B7B">
        <w:rPr>
          <w:i/>
        </w:rPr>
        <w:t>Adopts</w:t>
      </w:r>
      <w:r w:rsidR="00821B7B" w:rsidRPr="00821B7B">
        <w:t xml:space="preserve"> the </w:t>
      </w:r>
      <w:bookmarkStart w:id="8" w:name="_Hlk163216087"/>
      <w:r w:rsidR="00821B7B" w:rsidRPr="00821B7B">
        <w:t xml:space="preserve">four-year outcome-oriented framework of biodiversity programming priorities for the </w:t>
      </w:r>
      <w:r w:rsidR="00821B7B" w:rsidRPr="00B052CC">
        <w:t xml:space="preserve">ninth replenishment period </w:t>
      </w:r>
      <w:bookmarkEnd w:id="8"/>
      <w:r w:rsidR="00821B7B" w:rsidRPr="00B052CC">
        <w:t xml:space="preserve">of the </w:t>
      </w:r>
      <w:r w:rsidR="00821B7B" w:rsidRPr="003D3F00">
        <w:t>Global Environment Facility</w:t>
      </w:r>
      <w:r w:rsidR="00821B7B" w:rsidRPr="00B052CC">
        <w:t xml:space="preserve"> </w:t>
      </w:r>
      <w:r w:rsidR="00821B7B" w:rsidRPr="003D3F00">
        <w:t>Trust Fund</w:t>
      </w:r>
      <w:r w:rsidR="00424608">
        <w:t xml:space="preserve"> </w:t>
      </w:r>
      <w:r w:rsidR="00424608" w:rsidRPr="00424608">
        <w:t>(July 2026 to June 2030)</w:t>
      </w:r>
      <w:r w:rsidR="00821B7B" w:rsidRPr="00B052CC">
        <w:t xml:space="preserve">, aligned with the </w:t>
      </w:r>
      <w:r w:rsidR="00821B7B" w:rsidRPr="003D3F00">
        <w:t>Kunming-Montreal Global Biodiversity Framework</w:t>
      </w:r>
      <w:r w:rsidR="00821B7B" w:rsidRPr="00B052CC">
        <w:t xml:space="preserve">, contained in </w:t>
      </w:r>
      <w:r w:rsidR="00164756" w:rsidRPr="0071261C">
        <w:t xml:space="preserve">the </w:t>
      </w:r>
      <w:r w:rsidR="00821B7B" w:rsidRPr="0071261C">
        <w:t>annex to the present decision;</w:t>
      </w:r>
    </w:p>
    <w:bookmarkEnd w:id="7"/>
    <w:p w14:paraId="6BC61587" w14:textId="65B83B50" w:rsidR="00821B7B" w:rsidRPr="00821B7B" w:rsidRDefault="00833BC6" w:rsidP="003D3F00">
      <w:pPr>
        <w:pStyle w:val="Para1"/>
        <w:numPr>
          <w:ilvl w:val="0"/>
          <w:numId w:val="0"/>
        </w:numPr>
        <w:tabs>
          <w:tab w:val="clear" w:pos="1134"/>
          <w:tab w:val="left" w:pos="2268"/>
        </w:tabs>
        <w:ind w:left="1134" w:firstLine="567"/>
      </w:pPr>
      <w:r w:rsidRPr="0071261C">
        <w:t>13.</w:t>
      </w:r>
      <w:r w:rsidRPr="0071261C">
        <w:tab/>
      </w:r>
      <w:r w:rsidR="00821B7B" w:rsidRPr="0071261C">
        <w:rPr>
          <w:i/>
          <w:iCs/>
          <w:lang w:val="en-US"/>
        </w:rPr>
        <w:t>Requests</w:t>
      </w:r>
      <w:r w:rsidR="00821B7B" w:rsidRPr="0071261C">
        <w:rPr>
          <w:lang w:val="en-US"/>
        </w:rPr>
        <w:t xml:space="preserve"> the </w:t>
      </w:r>
      <w:r w:rsidR="00821B7B" w:rsidRPr="003D3F00">
        <w:rPr>
          <w:lang w:val="en-US"/>
        </w:rPr>
        <w:t>Global Environment Facility</w:t>
      </w:r>
      <w:r w:rsidR="00821B7B" w:rsidRPr="0071261C">
        <w:rPr>
          <w:lang w:val="en-US"/>
        </w:rPr>
        <w:t xml:space="preserve"> to</w:t>
      </w:r>
      <w:r w:rsidR="00821B7B" w:rsidRPr="0071261C">
        <w:rPr>
          <w:bCs/>
          <w:lang w:val="en-US"/>
        </w:rPr>
        <w:t xml:space="preserve"> </w:t>
      </w:r>
      <w:r w:rsidR="00821B7B" w:rsidRPr="0071261C">
        <w:rPr>
          <w:bCs/>
        </w:rPr>
        <w:t xml:space="preserve">include in its report to the Conference of the Parties </w:t>
      </w:r>
      <w:r w:rsidR="00821B7B" w:rsidRPr="0071261C">
        <w:rPr>
          <w:lang w:val="en-US"/>
        </w:rPr>
        <w:t xml:space="preserve">how it responds to the four-year outcome-oriented framework of programming priorities of the </w:t>
      </w:r>
      <w:r w:rsidR="00821B7B" w:rsidRPr="003D3F00">
        <w:rPr>
          <w:lang w:val="en-US"/>
        </w:rPr>
        <w:t>Convention on Biological Diversity</w:t>
      </w:r>
      <w:r w:rsidR="00821B7B" w:rsidRPr="0071261C">
        <w:rPr>
          <w:lang w:val="en-US"/>
        </w:rPr>
        <w:t xml:space="preserve"> and its Protocols</w:t>
      </w:r>
      <w:r w:rsidR="00821B7B" w:rsidRPr="003D3F00">
        <w:rPr>
          <w:lang w:val="en-US"/>
        </w:rPr>
        <w:t>, and</w:t>
      </w:r>
      <w:r w:rsidR="00821B7B" w:rsidRPr="0071261C">
        <w:rPr>
          <w:lang w:val="en-US"/>
        </w:rPr>
        <w:t xml:space="preserve"> how its responses </w:t>
      </w:r>
      <w:r w:rsidR="00821B7B" w:rsidRPr="0071261C">
        <w:rPr>
          <w:bCs/>
        </w:rPr>
        <w:t xml:space="preserve">contribute to each target of the </w:t>
      </w:r>
      <w:r w:rsidR="00821B7B" w:rsidRPr="003D3F00">
        <w:rPr>
          <w:bCs/>
        </w:rPr>
        <w:t>Framework</w:t>
      </w:r>
      <w:r w:rsidR="00821B7B" w:rsidRPr="0071261C">
        <w:rPr>
          <w:bCs/>
        </w:rPr>
        <w:t xml:space="preserve"> and to the implementation of the objectives of the Convention and its Protocols;</w:t>
      </w:r>
    </w:p>
    <w:p w14:paraId="6B66FCAD" w14:textId="79408AA9" w:rsidR="00821B7B" w:rsidRDefault="00833BC6" w:rsidP="003D3F00">
      <w:pPr>
        <w:pStyle w:val="Para1"/>
        <w:numPr>
          <w:ilvl w:val="0"/>
          <w:numId w:val="0"/>
        </w:numPr>
        <w:tabs>
          <w:tab w:val="clear" w:pos="1134"/>
          <w:tab w:val="left" w:pos="2268"/>
        </w:tabs>
        <w:ind w:left="1134" w:firstLine="567"/>
      </w:pPr>
      <w:r>
        <w:t>14.</w:t>
      </w:r>
      <w:r>
        <w:tab/>
      </w:r>
      <w:r w:rsidR="00821B7B" w:rsidRPr="00821B7B">
        <w:rPr>
          <w:i/>
          <w:iCs/>
        </w:rPr>
        <w:t>Invites</w:t>
      </w:r>
      <w:r w:rsidR="00821B7B" w:rsidRPr="00821B7B">
        <w:t xml:space="preserve"> the governing bodies of the various biodiversity-related conventions to include a standing item on the agenda of their meetings for the provision of strategic advice, as </w:t>
      </w:r>
      <w:r w:rsidR="00821B7B" w:rsidRPr="00FE0D43">
        <w:t xml:space="preserve">appropriate, concerning synergistic national implementation with the objectives of the Convention and its Protocols and the </w:t>
      </w:r>
      <w:r w:rsidR="00821B7B" w:rsidRPr="003D3F00">
        <w:t>Kunming-Montreal Global Biodiversity Framework</w:t>
      </w:r>
      <w:r w:rsidR="00821B7B" w:rsidRPr="00FE0D43">
        <w:t xml:space="preserve">, that may be referred to the </w:t>
      </w:r>
      <w:r w:rsidR="00821B7B" w:rsidRPr="003D3F00">
        <w:t>Global Environment Facility</w:t>
      </w:r>
      <w:r w:rsidR="00821B7B" w:rsidRPr="00FE0D43">
        <w:t xml:space="preserve"> through the </w:t>
      </w:r>
      <w:r w:rsidR="00821B7B" w:rsidRPr="003D3F00">
        <w:t>Conference of the Parties to the Convention on Biological Diversity, and</w:t>
      </w:r>
      <w:r w:rsidR="00821B7B" w:rsidRPr="00FE0D43">
        <w:t xml:space="preserve"> to request their respective secretariats to </w:t>
      </w:r>
      <w:r w:rsidR="00821B7B" w:rsidRPr="00FE0D43">
        <w:lastRenderedPageBreak/>
        <w:t xml:space="preserve">communicate such advice to the Executive Secretary of the </w:t>
      </w:r>
      <w:r w:rsidR="00821B7B" w:rsidRPr="003D3F00">
        <w:t>Convention on Biological Diversity</w:t>
      </w:r>
      <w:r w:rsidR="00821B7B" w:rsidRPr="00FE0D43">
        <w:t>;</w:t>
      </w:r>
    </w:p>
    <w:p w14:paraId="78D0A456" w14:textId="4836CC18" w:rsidR="00821B7B" w:rsidRPr="00B640AF" w:rsidRDefault="00833BC6" w:rsidP="003D3F00">
      <w:pPr>
        <w:pStyle w:val="Para1"/>
        <w:numPr>
          <w:ilvl w:val="0"/>
          <w:numId w:val="0"/>
        </w:numPr>
        <w:tabs>
          <w:tab w:val="clear" w:pos="1134"/>
          <w:tab w:val="left" w:pos="2268"/>
        </w:tabs>
        <w:ind w:left="1134" w:firstLine="567"/>
      </w:pPr>
      <w:r w:rsidRPr="00B640AF">
        <w:t>15.</w:t>
      </w:r>
      <w:r w:rsidRPr="00B640AF">
        <w:tab/>
      </w:r>
      <w:r w:rsidR="00821B7B" w:rsidRPr="00821B7B">
        <w:rPr>
          <w:i/>
          <w:iCs/>
        </w:rPr>
        <w:t>Invites</w:t>
      </w:r>
      <w:r w:rsidR="00821B7B" w:rsidRPr="00821B7B">
        <w:t xml:space="preserve"> the secretariats of the biodiversity-related conventions to participate in and provide input to the inter-secretariat consultation to be convened by the Executive Secretary when developing the Secretariat’s inputs to draft programming directions and policy recommendations for the negotiations of the ninth replenishment of the Global Environment facility </w:t>
      </w:r>
      <w:r w:rsidR="00821B7B" w:rsidRPr="003D3F00">
        <w:t>Trust Fund</w:t>
      </w:r>
      <w:r w:rsidR="00821B7B" w:rsidRPr="00D37A02">
        <w:t xml:space="preserve">, in which it will participate in line with paragraph 7 of the Memorandum of Understanding between the </w:t>
      </w:r>
      <w:r w:rsidR="00821B7B" w:rsidRPr="003D3F00">
        <w:t>Conference of the Parties to the Convention on Biological Diversity</w:t>
      </w:r>
      <w:r w:rsidR="00821B7B" w:rsidRPr="00D37A02">
        <w:t xml:space="preserve"> and the Council of the </w:t>
      </w:r>
      <w:r w:rsidR="00821B7B" w:rsidRPr="003D3F00">
        <w:t>Global Environment Facility</w:t>
      </w:r>
      <w:r w:rsidR="006904F9" w:rsidRPr="00D37A02">
        <w:t>;</w:t>
      </w:r>
    </w:p>
    <w:p w14:paraId="1C5D0E22" w14:textId="6D35CDF0" w:rsidR="00B640AF" w:rsidRPr="003D3F00" w:rsidRDefault="00B640AF" w:rsidP="003D3F00">
      <w:pPr>
        <w:pStyle w:val="Para1"/>
        <w:numPr>
          <w:ilvl w:val="0"/>
          <w:numId w:val="0"/>
        </w:numPr>
        <w:tabs>
          <w:tab w:val="clear" w:pos="1134"/>
          <w:tab w:val="left" w:pos="2268"/>
        </w:tabs>
        <w:ind w:left="1134"/>
        <w:rPr>
          <w:b/>
          <w:bCs/>
        </w:rPr>
      </w:pPr>
      <w:r w:rsidRPr="003D3F00">
        <w:rPr>
          <w:b/>
          <w:bCs/>
        </w:rPr>
        <w:t>Funding needs assessment</w:t>
      </w:r>
    </w:p>
    <w:p w14:paraId="645EE676" w14:textId="1AE25058" w:rsidR="00821B7B" w:rsidRPr="00250F7E" w:rsidRDefault="00833BC6" w:rsidP="003D3F00">
      <w:pPr>
        <w:pStyle w:val="Para1"/>
        <w:numPr>
          <w:ilvl w:val="0"/>
          <w:numId w:val="0"/>
        </w:numPr>
        <w:tabs>
          <w:tab w:val="clear" w:pos="1134"/>
          <w:tab w:val="left" w:pos="2268"/>
        </w:tabs>
        <w:ind w:left="1134" w:firstLine="567"/>
      </w:pPr>
      <w:r>
        <w:t>16.</w:t>
      </w:r>
      <w:r>
        <w:tab/>
      </w:r>
      <w:r w:rsidR="00821B7B" w:rsidRPr="00821B7B">
        <w:rPr>
          <w:i/>
          <w:iCs/>
        </w:rPr>
        <w:t>Requests</w:t>
      </w:r>
      <w:r w:rsidR="00821B7B" w:rsidRPr="00821B7B">
        <w:t xml:space="preserve"> the </w:t>
      </w:r>
      <w:r w:rsidR="00821B7B" w:rsidRPr="00071CC9">
        <w:t>Executive Secretary to compile and transmit, on an ongoing basis, the information on funding needs received from recipient country Parties</w:t>
      </w:r>
      <w:r w:rsidR="00821B7B" w:rsidRPr="003D3F00">
        <w:t xml:space="preserve"> </w:t>
      </w:r>
      <w:r w:rsidR="00821B7B" w:rsidRPr="00071CC9">
        <w:t xml:space="preserve">to the </w:t>
      </w:r>
      <w:r w:rsidR="00821B7B" w:rsidRPr="003D3F00">
        <w:t>Global Environment Facility</w:t>
      </w:r>
      <w:r w:rsidR="00821B7B" w:rsidRPr="00071CC9">
        <w:t xml:space="preserve"> Secretariat and the participants in the negotiations of the ninth replenishment of </w:t>
      </w:r>
      <w:r w:rsidR="00821B7B" w:rsidRPr="00250F7E">
        <w:t xml:space="preserve">the </w:t>
      </w:r>
      <w:r w:rsidR="00821B7B" w:rsidRPr="003D3F00">
        <w:t>Global Environment Facility</w:t>
      </w:r>
      <w:r w:rsidR="00821B7B" w:rsidRPr="00250F7E">
        <w:t xml:space="preserve"> </w:t>
      </w:r>
      <w:r w:rsidR="00821B7B" w:rsidRPr="003D3F00">
        <w:t>Trust Fund</w:t>
      </w:r>
      <w:r w:rsidR="00821B7B" w:rsidRPr="00250F7E">
        <w:t>;</w:t>
      </w:r>
    </w:p>
    <w:p w14:paraId="167E22D0" w14:textId="35AE511E" w:rsidR="00821B7B" w:rsidRDefault="00833BC6" w:rsidP="003D3F00">
      <w:pPr>
        <w:pStyle w:val="Para1"/>
        <w:numPr>
          <w:ilvl w:val="0"/>
          <w:numId w:val="0"/>
        </w:numPr>
        <w:tabs>
          <w:tab w:val="clear" w:pos="1134"/>
          <w:tab w:val="left" w:pos="2268"/>
        </w:tabs>
        <w:ind w:left="1134" w:firstLine="567"/>
      </w:pPr>
      <w:r w:rsidRPr="00250F7E">
        <w:t>17.</w:t>
      </w:r>
      <w:r w:rsidRPr="00250F7E">
        <w:tab/>
      </w:r>
      <w:r w:rsidR="00821B7B" w:rsidRPr="00250F7E">
        <w:rPr>
          <w:i/>
          <w:iCs/>
        </w:rPr>
        <w:t>Requests</w:t>
      </w:r>
      <w:r w:rsidR="00821B7B" w:rsidRPr="00250F7E">
        <w:t xml:space="preserve"> the Executive Secretary to </w:t>
      </w:r>
      <w:r w:rsidR="00821B7B" w:rsidRPr="003D3F00">
        <w:t>draw upon</w:t>
      </w:r>
      <w:r w:rsidR="00821B7B" w:rsidRPr="00250F7E">
        <w:t xml:space="preserve"> the experience and lessons learned in implementing the terms of reference for the assessment of funding needs from the </w:t>
      </w:r>
      <w:r w:rsidR="00821B7B" w:rsidRPr="003D3F00">
        <w:t>Global Environment Facility</w:t>
      </w:r>
      <w:r w:rsidR="00821B7B" w:rsidRPr="00250F7E">
        <w:t xml:space="preserve"> for the implementation of the Convention and its Protocols</w:t>
      </w:r>
      <w:r w:rsidR="00821B7B" w:rsidRPr="003D3F00">
        <w:t>, and</w:t>
      </w:r>
      <w:r w:rsidR="00821B7B" w:rsidRPr="00250F7E">
        <w:t xml:space="preserve"> prepare draft terms of reference for conducting the fifth determination of funding needs for the period of the tenth replenishment of the </w:t>
      </w:r>
      <w:r w:rsidR="00821B7B" w:rsidRPr="003D3F00">
        <w:t>Global Environment Facility</w:t>
      </w:r>
      <w:r w:rsidR="00821B7B" w:rsidRPr="00250F7E">
        <w:t xml:space="preserve"> </w:t>
      </w:r>
      <w:r w:rsidR="00821B7B" w:rsidRPr="003D3F00">
        <w:t>Trust Fund</w:t>
      </w:r>
      <w:r w:rsidR="00821B7B" w:rsidRPr="00250F7E">
        <w:t xml:space="preserve">, July 2030 to June 2034, for consideration by the Subsidiary Body on Implementation at its </w:t>
      </w:r>
      <w:r w:rsidR="00B077E7" w:rsidRPr="00250F7E">
        <w:t xml:space="preserve">sixth </w:t>
      </w:r>
      <w:r w:rsidR="00821B7B" w:rsidRPr="00250F7E">
        <w:t>meeting and the Conference of the Parties at its seventeenth meeting;</w:t>
      </w:r>
    </w:p>
    <w:p w14:paraId="40F4CFC3" w14:textId="24F68A61" w:rsidR="007972C4" w:rsidRPr="003D3F00" w:rsidRDefault="007972C4" w:rsidP="003D3F00">
      <w:pPr>
        <w:pStyle w:val="Para1"/>
        <w:numPr>
          <w:ilvl w:val="0"/>
          <w:numId w:val="0"/>
        </w:numPr>
        <w:tabs>
          <w:tab w:val="clear" w:pos="1134"/>
          <w:tab w:val="left" w:pos="2268"/>
        </w:tabs>
        <w:ind w:left="1134"/>
        <w:rPr>
          <w:b/>
          <w:bCs/>
        </w:rPr>
      </w:pPr>
      <w:r w:rsidRPr="003D3F00">
        <w:rPr>
          <w:b/>
          <w:bCs/>
        </w:rPr>
        <w:t>Further guidance to the Global Environment Facility</w:t>
      </w:r>
    </w:p>
    <w:p w14:paraId="72417189" w14:textId="35D95A0E" w:rsidR="007972C4" w:rsidRDefault="002000B1" w:rsidP="003D3F00">
      <w:pPr>
        <w:pStyle w:val="Para1"/>
        <w:numPr>
          <w:ilvl w:val="0"/>
          <w:numId w:val="0"/>
        </w:numPr>
        <w:tabs>
          <w:tab w:val="clear" w:pos="1134"/>
          <w:tab w:val="left" w:pos="2268"/>
        </w:tabs>
        <w:ind w:left="1134" w:firstLine="567"/>
      </w:pPr>
      <w:r>
        <w:t>[</w:t>
      </w:r>
      <w:r w:rsidR="00833BC6">
        <w:t>18.</w:t>
      </w:r>
      <w:r w:rsidR="00833BC6">
        <w:tab/>
      </w:r>
      <w:r>
        <w:t>P</w:t>
      </w:r>
      <w:r w:rsidR="007972C4" w:rsidRPr="007972C4">
        <w:t>laceholder</w:t>
      </w:r>
      <w:r w:rsidR="00AF1233">
        <w:t>]</w:t>
      </w:r>
      <w:r w:rsidR="007972C4" w:rsidRPr="007972C4">
        <w:rPr>
          <w:vertAlign w:val="superscript"/>
        </w:rPr>
        <w:footnoteReference w:id="13"/>
      </w:r>
    </w:p>
    <w:p w14:paraId="082F7484" w14:textId="0AE4AA3D" w:rsidR="00B640AF" w:rsidRPr="003D3F00" w:rsidRDefault="00B640AF" w:rsidP="003D3F00">
      <w:pPr>
        <w:pStyle w:val="Para1"/>
        <w:numPr>
          <w:ilvl w:val="0"/>
          <w:numId w:val="0"/>
        </w:numPr>
        <w:tabs>
          <w:tab w:val="clear" w:pos="1134"/>
          <w:tab w:val="left" w:pos="2268"/>
        </w:tabs>
        <w:ind w:left="1134"/>
        <w:rPr>
          <w:b/>
          <w:bCs/>
        </w:rPr>
      </w:pPr>
      <w:r w:rsidRPr="003D3F00">
        <w:rPr>
          <w:b/>
          <w:bCs/>
        </w:rPr>
        <w:t>Review of the effectiveness of the financial mechanism</w:t>
      </w:r>
    </w:p>
    <w:p w14:paraId="2EC3A7C5" w14:textId="77777777" w:rsidR="00674005" w:rsidRDefault="00833BC6" w:rsidP="003D3F00">
      <w:pPr>
        <w:pStyle w:val="Para1"/>
        <w:numPr>
          <w:ilvl w:val="0"/>
          <w:numId w:val="0"/>
        </w:numPr>
        <w:tabs>
          <w:tab w:val="clear" w:pos="1134"/>
          <w:tab w:val="left" w:pos="2268"/>
        </w:tabs>
        <w:ind w:left="1134" w:firstLine="567"/>
        <w:sectPr w:rsidR="00674005" w:rsidSect="0017115E">
          <w:footnotePr>
            <w:numRestart w:val="eachSect"/>
          </w:footnotePr>
          <w:type w:val="continuous"/>
          <w:pgSz w:w="12240" w:h="15840"/>
          <w:pgMar w:top="1134" w:right="1440" w:bottom="1134" w:left="1440" w:header="709" w:footer="709" w:gutter="0"/>
          <w:cols w:space="708"/>
          <w:titlePg/>
          <w:docGrid w:linePitch="360"/>
        </w:sectPr>
      </w:pPr>
      <w:r w:rsidRPr="00821B7B">
        <w:t>19.</w:t>
      </w:r>
      <w:r w:rsidRPr="00821B7B">
        <w:tab/>
      </w:r>
      <w:r w:rsidR="00821B7B" w:rsidRPr="00821B7B">
        <w:rPr>
          <w:i/>
          <w:iCs/>
        </w:rPr>
        <w:t xml:space="preserve">Requests </w:t>
      </w:r>
      <w:r w:rsidR="00821B7B" w:rsidRPr="00821B7B">
        <w:t xml:space="preserve">the Executive Secretary to prepare draft terms of reference on the seventh review of the effectiveness of the financial mechanism, for consideration by the Subsidiary Body on Implementation at its </w:t>
      </w:r>
      <w:r w:rsidR="00B077E7">
        <w:t>sixth</w:t>
      </w:r>
      <w:r w:rsidR="00B077E7" w:rsidRPr="00821B7B">
        <w:t xml:space="preserve"> </w:t>
      </w:r>
      <w:r w:rsidR="00821B7B" w:rsidRPr="00821B7B">
        <w:t>meeting and the Conference of the Parties at its seventeenth</w:t>
      </w:r>
      <w:r w:rsidR="00B077E7">
        <w:t xml:space="preserve"> meeting</w:t>
      </w:r>
      <w:r w:rsidR="00973211">
        <w:t>.</w:t>
      </w:r>
    </w:p>
    <w:p w14:paraId="042474F5" w14:textId="39612418" w:rsidR="00B83802" w:rsidRPr="00301415" w:rsidRDefault="00B83802" w:rsidP="00AE0D79">
      <w:pPr>
        <w:keepNext/>
        <w:keepLines/>
        <w:suppressLineNumbers/>
        <w:suppressAutoHyphens/>
        <w:adjustRightInd w:val="0"/>
        <w:snapToGrid w:val="0"/>
        <w:spacing w:before="240" w:after="120"/>
        <w:ind w:left="1134"/>
        <w:jc w:val="left"/>
        <w:outlineLvl w:val="2"/>
        <w:rPr>
          <w:b/>
          <w:bCs/>
          <w:iCs/>
          <w:snapToGrid w:val="0"/>
          <w:kern w:val="22"/>
          <w:sz w:val="24"/>
        </w:rPr>
      </w:pPr>
      <w:bookmarkStart w:id="9" w:name="_Toc118354994"/>
      <w:r w:rsidRPr="00301415">
        <w:rPr>
          <w:b/>
          <w:bCs/>
          <w:iCs/>
          <w:snapToGrid w:val="0"/>
          <w:kern w:val="22"/>
          <w:sz w:val="24"/>
        </w:rPr>
        <w:t>Annex</w:t>
      </w:r>
      <w:bookmarkEnd w:id="9"/>
    </w:p>
    <w:p w14:paraId="05A79E98" w14:textId="5F48333B" w:rsidR="00B83802" w:rsidRPr="003D3F00" w:rsidRDefault="00A24235" w:rsidP="007843C1">
      <w:pPr>
        <w:keepNext/>
        <w:spacing w:before="240" w:after="120"/>
        <w:ind w:left="1134" w:right="571"/>
        <w:jc w:val="left"/>
        <w:outlineLvl w:val="0"/>
        <w:rPr>
          <w:rFonts w:ascii="Times New Roman Bold" w:hAnsi="Times New Roman Bold" w:cs="Times New Roman Bold"/>
          <w:b/>
          <w:bCs/>
          <w:caps/>
          <w:sz w:val="24"/>
          <w:lang w:val="en-US" w:eastAsia="en-CA"/>
        </w:rPr>
      </w:pPr>
      <w:bookmarkStart w:id="10" w:name="_Toc118354995"/>
      <w:r w:rsidRPr="003D3F00">
        <w:rPr>
          <w:rFonts w:ascii="Times New Roman Bold" w:hAnsi="Times New Roman Bold" w:cs="Times New Roman Bold"/>
          <w:b/>
          <w:bCs/>
          <w:sz w:val="24"/>
        </w:rPr>
        <w:t>Four</w:t>
      </w:r>
      <w:r w:rsidR="00B83802" w:rsidRPr="003D3F00">
        <w:rPr>
          <w:rFonts w:ascii="Times New Roman Bold" w:hAnsi="Times New Roman Bold" w:cs="Times New Roman Bold"/>
          <w:b/>
          <w:bCs/>
          <w:caps/>
          <w:sz w:val="24"/>
        </w:rPr>
        <w:t>-</w:t>
      </w:r>
      <w:r w:rsidRPr="003D3F00">
        <w:rPr>
          <w:rFonts w:ascii="Times New Roman Bold" w:hAnsi="Times New Roman Bold" w:cs="Times New Roman Bold"/>
          <w:b/>
          <w:bCs/>
          <w:sz w:val="24"/>
        </w:rPr>
        <w:t>year</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outcome</w:t>
      </w:r>
      <w:r w:rsidR="00B83802" w:rsidRPr="003D3F00">
        <w:rPr>
          <w:rFonts w:ascii="Times New Roman Bold" w:hAnsi="Times New Roman Bold" w:cs="Times New Roman Bold"/>
          <w:b/>
          <w:bCs/>
          <w:caps/>
          <w:sz w:val="24"/>
        </w:rPr>
        <w:t>-</w:t>
      </w:r>
      <w:r w:rsidRPr="003D3F00">
        <w:rPr>
          <w:rFonts w:ascii="Times New Roman Bold" w:hAnsi="Times New Roman Bold" w:cs="Times New Roman Bold"/>
          <w:b/>
          <w:bCs/>
          <w:sz w:val="24"/>
        </w:rPr>
        <w:t>oriented</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framework</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of</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programme</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priorities</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of</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the</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C</w:t>
      </w:r>
      <w:r w:rsidRPr="003D3F00">
        <w:rPr>
          <w:rFonts w:ascii="Times New Roman Bold" w:hAnsi="Times New Roman Bold" w:cs="Times New Roman Bold"/>
          <w:b/>
          <w:bCs/>
          <w:sz w:val="24"/>
        </w:rPr>
        <w:t>onvention</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on</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B</w:t>
      </w:r>
      <w:r w:rsidRPr="003D3F00">
        <w:rPr>
          <w:rFonts w:ascii="Times New Roman Bold" w:hAnsi="Times New Roman Bold" w:cs="Times New Roman Bold"/>
          <w:b/>
          <w:bCs/>
          <w:sz w:val="24"/>
        </w:rPr>
        <w:t>iological</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D</w:t>
      </w:r>
      <w:r w:rsidRPr="003D3F00">
        <w:rPr>
          <w:rFonts w:ascii="Times New Roman Bold" w:hAnsi="Times New Roman Bold" w:cs="Times New Roman Bold"/>
          <w:b/>
          <w:bCs/>
          <w:sz w:val="24"/>
        </w:rPr>
        <w:t>iversity</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for</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the ninth replenishment</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period</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of</w:t>
      </w:r>
      <w:r w:rsidR="00B83802" w:rsidRPr="003D3F00">
        <w:rPr>
          <w:rFonts w:ascii="Times New Roman Bold" w:hAnsi="Times New Roman Bold" w:cs="Times New Roman Bold"/>
          <w:b/>
          <w:bCs/>
          <w:caps/>
          <w:sz w:val="24"/>
        </w:rPr>
        <w:t xml:space="preserve"> </w:t>
      </w:r>
      <w:r w:rsidRPr="003D3F00">
        <w:rPr>
          <w:rFonts w:ascii="Times New Roman Bold" w:hAnsi="Times New Roman Bold" w:cs="Times New Roman Bold"/>
          <w:b/>
          <w:bCs/>
          <w:sz w:val="24"/>
        </w:rPr>
        <w:t>the</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G</w:t>
      </w:r>
      <w:r w:rsidRPr="003D3F00">
        <w:rPr>
          <w:rFonts w:ascii="Times New Roman Bold" w:hAnsi="Times New Roman Bold" w:cs="Times New Roman Bold"/>
          <w:b/>
          <w:bCs/>
          <w:sz w:val="24"/>
        </w:rPr>
        <w:t>lobal</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E</w:t>
      </w:r>
      <w:r w:rsidRPr="003D3F00">
        <w:rPr>
          <w:rFonts w:ascii="Times New Roman Bold" w:hAnsi="Times New Roman Bold" w:cs="Times New Roman Bold"/>
          <w:b/>
          <w:bCs/>
          <w:sz w:val="24"/>
        </w:rPr>
        <w:t>nvironment</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F</w:t>
      </w:r>
      <w:r w:rsidRPr="003D3F00">
        <w:rPr>
          <w:rFonts w:ascii="Times New Roman Bold" w:hAnsi="Times New Roman Bold" w:cs="Times New Roman Bold"/>
          <w:b/>
          <w:bCs/>
          <w:sz w:val="24"/>
        </w:rPr>
        <w:t>acility</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T</w:t>
      </w:r>
      <w:r w:rsidRPr="003D3F00">
        <w:rPr>
          <w:rFonts w:ascii="Times New Roman Bold" w:hAnsi="Times New Roman Bold" w:cs="Times New Roman Bold"/>
          <w:b/>
          <w:bCs/>
          <w:sz w:val="24"/>
        </w:rPr>
        <w:t>rust</w:t>
      </w:r>
      <w:r w:rsidR="00B83802" w:rsidRPr="003D3F00">
        <w:rPr>
          <w:rFonts w:ascii="Times New Roman Bold" w:hAnsi="Times New Roman Bold" w:cs="Times New Roman Bold"/>
          <w:b/>
          <w:bCs/>
          <w:caps/>
          <w:sz w:val="24"/>
        </w:rPr>
        <w:t xml:space="preserve"> </w:t>
      </w:r>
      <w:r w:rsidR="002C01D9" w:rsidRPr="003D3F00">
        <w:rPr>
          <w:rFonts w:ascii="Times New Roman Bold" w:hAnsi="Times New Roman Bold" w:cs="Times New Roman Bold"/>
          <w:b/>
          <w:bCs/>
          <w:sz w:val="24"/>
        </w:rPr>
        <w:t>F</w:t>
      </w:r>
      <w:r w:rsidRPr="003D3F00">
        <w:rPr>
          <w:rFonts w:ascii="Times New Roman Bold" w:hAnsi="Times New Roman Bold" w:cs="Times New Roman Bold"/>
          <w:b/>
          <w:bCs/>
          <w:sz w:val="24"/>
        </w:rPr>
        <w:t>und</w:t>
      </w:r>
      <w:bookmarkEnd w:id="10"/>
      <w:r w:rsidR="007843C1">
        <w:rPr>
          <w:rFonts w:ascii="Times New Roman Bold" w:hAnsi="Times New Roman Bold" w:cs="Times New Roman Bold"/>
          <w:b/>
          <w:bCs/>
          <w:sz w:val="24"/>
        </w:rPr>
        <w:t xml:space="preserve"> </w:t>
      </w:r>
      <w:r w:rsidR="007843C1" w:rsidRPr="007843C1">
        <w:rPr>
          <w:rFonts w:ascii="Times New Roman Bold" w:hAnsi="Times New Roman Bold" w:cs="Times New Roman Bold"/>
          <w:b/>
          <w:bCs/>
          <w:sz w:val="24"/>
        </w:rPr>
        <w:t>(2026–2030)</w:t>
      </w:r>
    </w:p>
    <w:p w14:paraId="0A7BDA8E" w14:textId="77777777" w:rsidR="00B83802" w:rsidRPr="00B83802" w:rsidRDefault="00B83802" w:rsidP="003D3F00">
      <w:pPr>
        <w:keepNext/>
        <w:tabs>
          <w:tab w:val="left" w:pos="567"/>
        </w:tabs>
        <w:spacing w:before="120" w:after="120"/>
        <w:ind w:left="1134" w:hanging="567"/>
        <w:jc w:val="left"/>
        <w:outlineLvl w:val="1"/>
        <w:rPr>
          <w:b/>
          <w:bCs/>
          <w:szCs w:val="22"/>
          <w:lang w:val="en-US"/>
        </w:rPr>
      </w:pPr>
      <w:r w:rsidRPr="00B83802">
        <w:rPr>
          <w:b/>
          <w:bCs/>
          <w:szCs w:val="22"/>
          <w:lang w:val="en-US"/>
        </w:rPr>
        <w:t>A.</w:t>
      </w:r>
      <w:r w:rsidRPr="00B83802">
        <w:rPr>
          <w:b/>
          <w:bCs/>
          <w:szCs w:val="22"/>
          <w:lang w:val="en-US"/>
        </w:rPr>
        <w:tab/>
        <w:t>Objective</w:t>
      </w:r>
    </w:p>
    <w:p w14:paraId="5F10B50E" w14:textId="4622BE2B" w:rsidR="00BD6A00" w:rsidRPr="00F41837" w:rsidRDefault="00B83802" w:rsidP="003D3F00">
      <w:pPr>
        <w:pStyle w:val="Para1"/>
        <w:numPr>
          <w:ilvl w:val="0"/>
          <w:numId w:val="35"/>
        </w:numPr>
        <w:tabs>
          <w:tab w:val="left" w:pos="1701"/>
        </w:tabs>
        <w:ind w:left="1134" w:firstLine="0"/>
      </w:pPr>
      <w:r w:rsidRPr="00D17E67">
        <w:rPr>
          <w:lang w:val="en-US"/>
        </w:rPr>
        <w:t>Th</w:t>
      </w:r>
      <w:r w:rsidR="00F86B60" w:rsidRPr="00D17E67">
        <w:rPr>
          <w:lang w:val="en-US"/>
        </w:rPr>
        <w:t>is</w:t>
      </w:r>
      <w:r w:rsidRPr="00D17E67">
        <w:rPr>
          <w:lang w:val="en-US"/>
        </w:rPr>
        <w:t xml:space="preserve"> </w:t>
      </w:r>
      <w:r w:rsidRPr="000F4A5A">
        <w:t>four</w:t>
      </w:r>
      <w:r w:rsidRPr="002A7352">
        <w:t xml:space="preserve">-year outcome-oriented framework of programme priorities </w:t>
      </w:r>
      <w:r w:rsidR="00215A5B" w:rsidRPr="002A7352">
        <w:t xml:space="preserve">serves as </w:t>
      </w:r>
      <w:r w:rsidRPr="002A7352">
        <w:t xml:space="preserve">guidance </w:t>
      </w:r>
      <w:r w:rsidR="00486166" w:rsidRPr="002A7352">
        <w:t>o</w:t>
      </w:r>
      <w:r w:rsidR="00485D45" w:rsidRPr="002A7352">
        <w:t>n</w:t>
      </w:r>
      <w:r w:rsidR="00486166" w:rsidRPr="002A7352">
        <w:t xml:space="preserve"> </w:t>
      </w:r>
      <w:r w:rsidR="00486166" w:rsidRPr="00F41837">
        <w:t xml:space="preserve">the </w:t>
      </w:r>
      <w:r w:rsidR="00486166" w:rsidRPr="003D3F00">
        <w:t>Convention on Biological Diversity</w:t>
      </w:r>
      <w:r w:rsidR="00486166" w:rsidRPr="00F41837">
        <w:t xml:space="preserve"> and its Protocols </w:t>
      </w:r>
      <w:r w:rsidRPr="00F41837">
        <w:t xml:space="preserve">to the </w:t>
      </w:r>
      <w:r w:rsidRPr="003D3F00">
        <w:t>Global Environment Facility</w:t>
      </w:r>
      <w:r w:rsidRPr="00F41837">
        <w:t xml:space="preserve"> for the ninth replenishment period </w:t>
      </w:r>
      <w:r w:rsidR="00BD6A00" w:rsidRPr="00F41837">
        <w:t xml:space="preserve">of the </w:t>
      </w:r>
      <w:r w:rsidR="00BD6A00" w:rsidRPr="003D3F00">
        <w:t>Global Environment Facility</w:t>
      </w:r>
      <w:r w:rsidR="00BD6A00" w:rsidRPr="00F41837">
        <w:t xml:space="preserve"> </w:t>
      </w:r>
      <w:r w:rsidR="00BD6A00" w:rsidRPr="003D3F00">
        <w:t>Trust Fund</w:t>
      </w:r>
      <w:r w:rsidRPr="00F41837">
        <w:t>, 2026</w:t>
      </w:r>
      <w:r w:rsidRPr="00F41837">
        <w:rPr>
          <w:b/>
          <w:bCs/>
        </w:rPr>
        <w:t>–</w:t>
      </w:r>
      <w:r w:rsidRPr="00F41837">
        <w:t>2030</w:t>
      </w:r>
      <w:r w:rsidR="00486166" w:rsidRPr="00F41837">
        <w:t>.</w:t>
      </w:r>
      <w:r w:rsidRPr="00F41837">
        <w:t xml:space="preserve"> </w:t>
      </w:r>
    </w:p>
    <w:p w14:paraId="5E2164F3" w14:textId="20D070D9" w:rsidR="00BD6A00" w:rsidRPr="00F41837" w:rsidRDefault="00486166" w:rsidP="003D3F00">
      <w:pPr>
        <w:pStyle w:val="Para1"/>
        <w:tabs>
          <w:tab w:val="clear" w:pos="1134"/>
          <w:tab w:val="left" w:pos="1701"/>
        </w:tabs>
        <w:ind w:left="1134"/>
      </w:pPr>
      <w:r w:rsidRPr="00F41837">
        <w:t>It is provided</w:t>
      </w:r>
      <w:r w:rsidR="00BD6A00" w:rsidRPr="00F41837">
        <w:t xml:space="preserve"> by the </w:t>
      </w:r>
      <w:r w:rsidR="00BD6A00" w:rsidRPr="003D3F00">
        <w:t>Conference of the Parties to the Convention on Biological Diversity</w:t>
      </w:r>
      <w:r w:rsidR="00BD6A00" w:rsidRPr="00F41837">
        <w:t xml:space="preserve"> on the expectation that it be used by the </w:t>
      </w:r>
      <w:r w:rsidR="00BD6A00" w:rsidRPr="003D3F00">
        <w:t>Secretariat of the Global Environment Facility</w:t>
      </w:r>
      <w:r w:rsidR="00BD6A00" w:rsidRPr="00F41837">
        <w:t xml:space="preserve"> and the Participants in the replenishment negotiations in determining the programming directions and policy recommendations for the ninth replenishment of the </w:t>
      </w:r>
      <w:r w:rsidR="00BD6A00" w:rsidRPr="003D3F00">
        <w:t>Global Environment Facility</w:t>
      </w:r>
      <w:r w:rsidR="00111914" w:rsidRPr="00F41837">
        <w:t xml:space="preserve"> </w:t>
      </w:r>
      <w:r w:rsidR="00111914" w:rsidRPr="003D3F00">
        <w:t>Trust Fund</w:t>
      </w:r>
      <w:r w:rsidR="00BD6A00" w:rsidRPr="00F41837">
        <w:t>.</w:t>
      </w:r>
    </w:p>
    <w:p w14:paraId="28E6461B" w14:textId="51FF7A16" w:rsidR="00BD6A00" w:rsidRPr="0061389D" w:rsidRDefault="00BD6A00" w:rsidP="003D3F00">
      <w:pPr>
        <w:pStyle w:val="Para1"/>
        <w:tabs>
          <w:tab w:val="clear" w:pos="1134"/>
          <w:tab w:val="left" w:pos="1701"/>
        </w:tabs>
        <w:ind w:left="1134"/>
      </w:pPr>
      <w:r>
        <w:lastRenderedPageBreak/>
        <w:t>It is provided</w:t>
      </w:r>
      <w:r w:rsidR="00486166">
        <w:t xml:space="preserve"> in</w:t>
      </w:r>
      <w:r w:rsidR="00B83802" w:rsidRPr="00B83802">
        <w:t xml:space="preserve"> the context of the mandate </w:t>
      </w:r>
      <w:r w:rsidR="00486166">
        <w:t xml:space="preserve">of </w:t>
      </w:r>
      <w:r w:rsidR="00486166" w:rsidRPr="0061389D">
        <w:t xml:space="preserve">the </w:t>
      </w:r>
      <w:r w:rsidRPr="003D3F00">
        <w:t>Global Environment Facility</w:t>
      </w:r>
      <w:r w:rsidR="00486166" w:rsidRPr="0061389D">
        <w:t xml:space="preserve"> </w:t>
      </w:r>
      <w:r w:rsidR="00B83802" w:rsidRPr="0061389D">
        <w:t xml:space="preserve">to provide resources to achieve global environmental benefits and the mandate provided to </w:t>
      </w:r>
      <w:r w:rsidRPr="0061389D">
        <w:t xml:space="preserve">the </w:t>
      </w:r>
      <w:r w:rsidRPr="003D3F00">
        <w:t>Global Environment Facility</w:t>
      </w:r>
      <w:r w:rsidR="00B83802" w:rsidRPr="0061389D">
        <w:t xml:space="preserve"> by the Conference of the Parties</w:t>
      </w:r>
      <w:r w:rsidRPr="0061389D">
        <w:t xml:space="preserve"> in the Memorandum of Understanding adopted by the Conference of the Parties by its decision </w:t>
      </w:r>
      <w:hyperlink r:id="rId20" w:history="1">
        <w:r w:rsidRPr="003D3F00">
          <w:rPr>
            <w:rStyle w:val="Hyperlink"/>
            <w:iCs/>
            <w:sz w:val="22"/>
            <w:szCs w:val="22"/>
          </w:rPr>
          <w:t>III/8</w:t>
        </w:r>
      </w:hyperlink>
      <w:r w:rsidR="00271468" w:rsidRPr="00E90C26">
        <w:rPr>
          <w:rStyle w:val="Hyperlink"/>
          <w:iCs/>
          <w:color w:val="auto"/>
          <w:sz w:val="22"/>
          <w:szCs w:val="22"/>
          <w:u w:val="none"/>
        </w:rPr>
        <w:t xml:space="preserve"> of </w:t>
      </w:r>
      <w:r w:rsidR="00271468" w:rsidRPr="00E90C26">
        <w:rPr>
          <w:rStyle w:val="Hyperlink"/>
          <w:iCs/>
          <w:color w:val="auto"/>
          <w:sz w:val="22"/>
          <w:szCs w:val="22"/>
          <w:u w:val="none"/>
        </w:rPr>
        <w:t>15 November 1996</w:t>
      </w:r>
      <w:r w:rsidR="00B83802" w:rsidRPr="0061389D">
        <w:t xml:space="preserve">. </w:t>
      </w:r>
    </w:p>
    <w:p w14:paraId="07B7C861" w14:textId="551BF81E" w:rsidR="00BD6A00" w:rsidRPr="0061389D" w:rsidRDefault="00B83802" w:rsidP="003D3F00">
      <w:pPr>
        <w:pStyle w:val="Para1"/>
        <w:tabs>
          <w:tab w:val="clear" w:pos="1134"/>
          <w:tab w:val="left" w:pos="1701"/>
        </w:tabs>
        <w:ind w:left="1134"/>
      </w:pPr>
      <w:r w:rsidRPr="0061389D">
        <w:t>It utilizes the Convention</w:t>
      </w:r>
      <w:r w:rsidR="00BD6A00" w:rsidRPr="0061389D">
        <w:t>,</w:t>
      </w:r>
      <w:r w:rsidRPr="0061389D">
        <w:t xml:space="preserve"> its Protocols and the </w:t>
      </w:r>
      <w:r w:rsidRPr="003D3F00">
        <w:rPr>
          <w:snapToGrid w:val="0"/>
          <w:kern w:val="22"/>
          <w:lang w:eastAsia="zh-CN"/>
        </w:rPr>
        <w:t>Kunming-Montreal Global Biodiversity Framework</w:t>
      </w:r>
      <w:r w:rsidRPr="0061389D">
        <w:rPr>
          <w:snapToGrid w:val="0"/>
          <w:kern w:val="22"/>
          <w:lang w:eastAsia="zh-CN"/>
        </w:rPr>
        <w:t xml:space="preserve"> </w:t>
      </w:r>
      <w:r w:rsidRPr="0061389D">
        <w:t xml:space="preserve">to set </w:t>
      </w:r>
      <w:r w:rsidR="009A098A" w:rsidRPr="0061389D">
        <w:t xml:space="preserve">the </w:t>
      </w:r>
      <w:r w:rsidR="00BD6A00" w:rsidRPr="0061389D">
        <w:t xml:space="preserve">strategic </w:t>
      </w:r>
      <w:r w:rsidRPr="0061389D">
        <w:t>priorities for the financial mechanism</w:t>
      </w:r>
      <w:r w:rsidR="009D4AAB" w:rsidRPr="0061389D">
        <w:t xml:space="preserve"> </w:t>
      </w:r>
      <w:r w:rsidR="00486166" w:rsidRPr="0061389D">
        <w:t>of the Convention</w:t>
      </w:r>
      <w:r w:rsidR="00BD6A00" w:rsidRPr="0061389D">
        <w:t>,</w:t>
      </w:r>
      <w:r w:rsidR="00486166" w:rsidRPr="0061389D">
        <w:t xml:space="preserve"> </w:t>
      </w:r>
      <w:r w:rsidR="00FB0E4A" w:rsidRPr="0061389D">
        <w:t>which</w:t>
      </w:r>
      <w:r w:rsidR="00215A5B" w:rsidRPr="0061389D">
        <w:t xml:space="preserve"> are expected </w:t>
      </w:r>
      <w:r w:rsidR="009D4AAB" w:rsidRPr="0061389D">
        <w:t xml:space="preserve">to be </w:t>
      </w:r>
      <w:r w:rsidR="00215A5B" w:rsidRPr="0061389D">
        <w:t xml:space="preserve">operationalized by the </w:t>
      </w:r>
      <w:r w:rsidR="00BD6A00" w:rsidRPr="003D3F00">
        <w:t>Global Environment Facility</w:t>
      </w:r>
      <w:r w:rsidR="00BD6A00" w:rsidRPr="0061389D">
        <w:t xml:space="preserve"> through</w:t>
      </w:r>
      <w:r w:rsidR="00215A5B" w:rsidRPr="0061389D">
        <w:t xml:space="preserve"> its programming directions for </w:t>
      </w:r>
      <w:r w:rsidR="00BD6A00" w:rsidRPr="0061389D">
        <w:t>the ninth replenishment period</w:t>
      </w:r>
      <w:r w:rsidRPr="0061389D">
        <w:t xml:space="preserve">. </w:t>
      </w:r>
    </w:p>
    <w:p w14:paraId="3CBF2588" w14:textId="47639ED8" w:rsidR="00807F4E" w:rsidRPr="0061389D" w:rsidRDefault="00807F4E" w:rsidP="003D3F00">
      <w:pPr>
        <w:pStyle w:val="Para1"/>
        <w:tabs>
          <w:tab w:val="clear" w:pos="1134"/>
          <w:tab w:val="left" w:pos="1701"/>
        </w:tabs>
        <w:ind w:left="1134"/>
      </w:pPr>
      <w:r w:rsidRPr="0061389D">
        <w:t xml:space="preserve">The four-year outcome-oriented framework of programme priorities recognizes that the </w:t>
      </w:r>
      <w:r w:rsidRPr="003D3F00">
        <w:t>Kunming-Montreal Global Biodiversity Framework</w:t>
      </w:r>
      <w:r w:rsidRPr="0061389D">
        <w:t xml:space="preserve"> should be used as a strategic plan for the implementation of the Convention and its Protocols over the period 2022–2030.</w:t>
      </w:r>
    </w:p>
    <w:p w14:paraId="4C7C28F1" w14:textId="79B3CDA9" w:rsidR="00B83802" w:rsidRPr="00B83802" w:rsidRDefault="00B83802" w:rsidP="003D3F00">
      <w:pPr>
        <w:pStyle w:val="Para1"/>
        <w:tabs>
          <w:tab w:val="clear" w:pos="1134"/>
          <w:tab w:val="left" w:pos="1701"/>
        </w:tabs>
        <w:ind w:left="1134"/>
      </w:pPr>
      <w:r w:rsidRPr="00B83802">
        <w:t>In particular, the goals and targets of the Framework</w:t>
      </w:r>
      <w:r w:rsidRPr="00B83802">
        <w:rPr>
          <w:snapToGrid w:val="0"/>
          <w:kern w:val="22"/>
          <w:lang w:eastAsia="zh-CN"/>
        </w:rPr>
        <w:t xml:space="preserve"> </w:t>
      </w:r>
      <w:r w:rsidRPr="00B83802">
        <w:t xml:space="preserve">provide </w:t>
      </w:r>
      <w:r w:rsidR="00BD6A00">
        <w:t xml:space="preserve">the </w:t>
      </w:r>
      <w:r w:rsidRPr="00B83802">
        <w:t xml:space="preserve">direction for the outcomes of this four-year framework, bearing in mind that </w:t>
      </w:r>
      <w:r w:rsidR="00BD6A00">
        <w:t xml:space="preserve">the ninth replenishment period coincides with the four year period leading up </w:t>
      </w:r>
      <w:r w:rsidRPr="00B83802">
        <w:t xml:space="preserve">to the 2030 deadlines of the targets, while </w:t>
      </w:r>
      <w:r w:rsidRPr="00A55CEC">
        <w:t xml:space="preserve">recognizing that </w:t>
      </w:r>
      <w:r w:rsidR="00BD6A00" w:rsidRPr="00A55CEC">
        <w:t xml:space="preserve">each of </w:t>
      </w:r>
      <w:r w:rsidRPr="00A55CEC">
        <w:t xml:space="preserve">the three objectives of the Convention should be </w:t>
      </w:r>
      <w:r w:rsidR="00BD6A00" w:rsidRPr="00A55CEC">
        <w:t xml:space="preserve">addressed </w:t>
      </w:r>
      <w:r w:rsidRPr="00A55CEC">
        <w:t xml:space="preserve">by </w:t>
      </w:r>
      <w:r w:rsidR="00BD6A00" w:rsidRPr="00A55CEC">
        <w:t xml:space="preserve">the </w:t>
      </w:r>
      <w:r w:rsidR="00BD6A00" w:rsidRPr="003D3F00">
        <w:t>Global Environment Facility</w:t>
      </w:r>
      <w:r w:rsidRPr="00A55CEC">
        <w:t xml:space="preserve"> when designing and implementing </w:t>
      </w:r>
      <w:r w:rsidR="00FB0E4A" w:rsidRPr="00A55CEC">
        <w:t xml:space="preserve">its </w:t>
      </w:r>
      <w:r w:rsidRPr="00A55CEC">
        <w:t>programming directions</w:t>
      </w:r>
      <w:r w:rsidR="00FB0E4A" w:rsidRPr="00A55CEC">
        <w:t xml:space="preserve"> </w:t>
      </w:r>
      <w:r w:rsidR="00F86B60" w:rsidRPr="00A55CEC">
        <w:t>and policy recommendations</w:t>
      </w:r>
      <w:r w:rsidR="00BD6A00" w:rsidRPr="00A55CEC">
        <w:t xml:space="preserve"> for the ninth replenishment</w:t>
      </w:r>
      <w:r w:rsidRPr="00A55CEC">
        <w:t>.</w:t>
      </w:r>
    </w:p>
    <w:p w14:paraId="4719119C" w14:textId="01E5CCC0" w:rsidR="00BD6A00" w:rsidRPr="00A55CEC" w:rsidRDefault="0065644B" w:rsidP="003D3F00">
      <w:pPr>
        <w:pStyle w:val="Para1"/>
        <w:tabs>
          <w:tab w:val="clear" w:pos="1134"/>
          <w:tab w:val="left" w:pos="1701"/>
        </w:tabs>
        <w:ind w:left="1134"/>
      </w:pPr>
      <w:r w:rsidRPr="0065644B">
        <w:t xml:space="preserve">The four-year outcome-oriented framework of programme priorities recognizes the </w:t>
      </w:r>
      <w:r>
        <w:t xml:space="preserve">integrated and indivisible nature of the components of the </w:t>
      </w:r>
      <w:r w:rsidRPr="0065644B">
        <w:t>Framework</w:t>
      </w:r>
      <w:r>
        <w:t xml:space="preserve">, </w:t>
      </w:r>
      <w:r w:rsidR="000A2005">
        <w:t>which include</w:t>
      </w:r>
      <w:r w:rsidR="000F6BD1" w:rsidRPr="000F6BD1">
        <w:t xml:space="preserve"> </w:t>
      </w:r>
      <w:r w:rsidR="000F6BD1" w:rsidRPr="00A55CEC">
        <w:t xml:space="preserve">considerations for </w:t>
      </w:r>
      <w:r w:rsidR="000A2005" w:rsidRPr="00A55CEC">
        <w:t>its</w:t>
      </w:r>
      <w:r w:rsidR="000F6BD1" w:rsidRPr="00A55CEC">
        <w:t xml:space="preserve"> implementation (section C)</w:t>
      </w:r>
      <w:r w:rsidRPr="00A55CEC">
        <w:t xml:space="preserve">, </w:t>
      </w:r>
      <w:r w:rsidR="000F6BD1" w:rsidRPr="00A55CEC">
        <w:t>implementation and support mechanism</w:t>
      </w:r>
      <w:r w:rsidR="000A2005" w:rsidRPr="00A55CEC">
        <w:t>s</w:t>
      </w:r>
      <w:r w:rsidR="000F6BD1" w:rsidRPr="00A55CEC">
        <w:t xml:space="preserve"> and enabling conditions (section I)</w:t>
      </w:r>
      <w:r w:rsidR="000A2005" w:rsidRPr="003D3F00">
        <w:t>,</w:t>
      </w:r>
      <w:r w:rsidRPr="003D3F00">
        <w:t xml:space="preserve"> and</w:t>
      </w:r>
      <w:r w:rsidRPr="00A55CEC">
        <w:t xml:space="preserve"> responsibility and transparency (section J).</w:t>
      </w:r>
    </w:p>
    <w:p w14:paraId="4E67FE73" w14:textId="67EC9B11" w:rsidR="00B83802" w:rsidRPr="00A55CEC" w:rsidRDefault="0094289D" w:rsidP="003D3F00">
      <w:pPr>
        <w:pStyle w:val="Para1"/>
        <w:tabs>
          <w:tab w:val="clear" w:pos="1134"/>
          <w:tab w:val="left" w:pos="1701"/>
        </w:tabs>
        <w:ind w:left="1134"/>
      </w:pPr>
      <w:r w:rsidRPr="00A55CEC">
        <w:rPr>
          <w:rFonts w:eastAsia="Calibri"/>
        </w:rPr>
        <w:t>R</w:t>
      </w:r>
      <w:r w:rsidR="00B83802" w:rsidRPr="00A55CEC">
        <w:rPr>
          <w:rFonts w:eastAsia="Calibri"/>
        </w:rPr>
        <w:t>ecogniz</w:t>
      </w:r>
      <w:r w:rsidR="00485D45" w:rsidRPr="00A55CEC">
        <w:rPr>
          <w:rFonts w:eastAsia="Calibri"/>
        </w:rPr>
        <w:t>ing</w:t>
      </w:r>
      <w:r w:rsidR="00B83802" w:rsidRPr="00A55CEC">
        <w:rPr>
          <w:rFonts w:eastAsia="Calibri"/>
        </w:rPr>
        <w:t xml:space="preserve"> that the </w:t>
      </w:r>
      <w:r w:rsidR="00B83802" w:rsidRPr="003D3F00">
        <w:rPr>
          <w:snapToGrid w:val="0"/>
          <w:kern w:val="22"/>
          <w:lang w:eastAsia="zh-CN"/>
        </w:rPr>
        <w:t xml:space="preserve">Kunming-Montreal Global Biodiversity </w:t>
      </w:r>
      <w:r w:rsidR="00B83802" w:rsidRPr="003D3F00">
        <w:rPr>
          <w:rFonts w:eastAsia="Calibri"/>
        </w:rPr>
        <w:t>Framework</w:t>
      </w:r>
      <w:r w:rsidR="00B83802" w:rsidRPr="00A55CEC">
        <w:rPr>
          <w:rFonts w:eastAsia="Calibri"/>
        </w:rPr>
        <w:t xml:space="preserve"> is relevan</w:t>
      </w:r>
      <w:r w:rsidR="00485D45" w:rsidRPr="00A55CEC">
        <w:rPr>
          <w:rFonts w:eastAsia="Calibri"/>
        </w:rPr>
        <w:t>t</w:t>
      </w:r>
      <w:r w:rsidR="00B83802" w:rsidRPr="00A55CEC">
        <w:rPr>
          <w:rFonts w:eastAsia="Calibri"/>
        </w:rPr>
        <w:t xml:space="preserve"> to all biodiversity</w:t>
      </w:r>
      <w:r w:rsidR="00B83802" w:rsidRPr="00A55CEC">
        <w:rPr>
          <w:rFonts w:eastAsia="Calibri"/>
        </w:rPr>
        <w:noBreakHyphen/>
      </w:r>
      <w:r w:rsidR="00B83802" w:rsidRPr="00A55CEC">
        <w:t>related</w:t>
      </w:r>
      <w:r w:rsidR="00B83802" w:rsidRPr="00A55CEC">
        <w:rPr>
          <w:rFonts w:eastAsia="Calibri"/>
        </w:rPr>
        <w:t xml:space="preserve"> conventions and </w:t>
      </w:r>
      <w:r w:rsidR="00486166" w:rsidRPr="00A55CEC">
        <w:rPr>
          <w:rFonts w:eastAsia="Calibri"/>
        </w:rPr>
        <w:t xml:space="preserve">multilateral </w:t>
      </w:r>
      <w:r w:rsidR="00B83802" w:rsidRPr="00A55CEC">
        <w:rPr>
          <w:rFonts w:eastAsia="Calibri"/>
        </w:rPr>
        <w:t xml:space="preserve">agreements, </w:t>
      </w:r>
      <w:r w:rsidR="00485D45" w:rsidRPr="00A55CEC">
        <w:rPr>
          <w:rFonts w:eastAsia="Calibri"/>
        </w:rPr>
        <w:t>this four-year outcome-oriented framework of programme priorities</w:t>
      </w:r>
      <w:r w:rsidR="000D5DD2" w:rsidRPr="00A55CEC">
        <w:rPr>
          <w:rFonts w:eastAsia="Calibri"/>
        </w:rPr>
        <w:t xml:space="preserve"> </w:t>
      </w:r>
      <w:r w:rsidR="00B83802" w:rsidRPr="00A55CEC">
        <w:rPr>
          <w:rFonts w:eastAsia="Calibri"/>
        </w:rPr>
        <w:t xml:space="preserve">seeks to promote the implementation of complementary measures that may enhance programmatic synergies and efficiencies among the Convention, its Protocols and other biodiversity-related conventions and </w:t>
      </w:r>
      <w:r w:rsidR="00486166" w:rsidRPr="00A55CEC">
        <w:rPr>
          <w:rFonts w:eastAsia="Calibri"/>
        </w:rPr>
        <w:t xml:space="preserve">multilateral </w:t>
      </w:r>
      <w:r w:rsidR="00B83802" w:rsidRPr="00A55CEC">
        <w:rPr>
          <w:rFonts w:eastAsia="Calibri"/>
        </w:rPr>
        <w:t xml:space="preserve">agreements, relevant to the Framework and the mandate of the </w:t>
      </w:r>
      <w:r w:rsidR="00B83802" w:rsidRPr="003D3F00">
        <w:rPr>
          <w:rFonts w:eastAsia="Calibri"/>
        </w:rPr>
        <w:t>Global Environment Facility</w:t>
      </w:r>
      <w:r w:rsidR="00B83802" w:rsidRPr="00A55CEC">
        <w:rPr>
          <w:rFonts w:eastAsia="Calibri"/>
        </w:rPr>
        <w:t>.</w:t>
      </w:r>
    </w:p>
    <w:p w14:paraId="069961C4" w14:textId="4A4F5657" w:rsidR="00B83802" w:rsidRPr="00FE541C" w:rsidRDefault="00B83802" w:rsidP="003D3F00">
      <w:pPr>
        <w:keepNext/>
        <w:tabs>
          <w:tab w:val="left" w:pos="567"/>
        </w:tabs>
        <w:spacing w:before="120" w:after="120"/>
        <w:ind w:left="1134" w:hanging="567"/>
        <w:jc w:val="left"/>
        <w:outlineLvl w:val="1"/>
        <w:rPr>
          <w:b/>
          <w:bCs/>
          <w:szCs w:val="22"/>
          <w:lang w:val="en-US"/>
        </w:rPr>
      </w:pPr>
      <w:r w:rsidRPr="00FE541C">
        <w:rPr>
          <w:b/>
          <w:bCs/>
          <w:szCs w:val="22"/>
          <w:lang w:val="en-US"/>
        </w:rPr>
        <w:t>B.</w:t>
      </w:r>
      <w:r w:rsidRPr="00FE541C">
        <w:rPr>
          <w:b/>
          <w:bCs/>
          <w:szCs w:val="22"/>
          <w:lang w:val="en-US"/>
        </w:rPr>
        <w:tab/>
        <w:t>Elements</w:t>
      </w:r>
    </w:p>
    <w:p w14:paraId="45484377" w14:textId="7B05D9A7" w:rsidR="00B83802" w:rsidRPr="00D56463" w:rsidRDefault="00B83802" w:rsidP="003D3F00">
      <w:pPr>
        <w:pStyle w:val="Para1"/>
        <w:tabs>
          <w:tab w:val="clear" w:pos="1134"/>
          <w:tab w:val="left" w:pos="1701"/>
        </w:tabs>
        <w:ind w:left="1134"/>
        <w:rPr>
          <w:lang w:val="en-US"/>
        </w:rPr>
      </w:pPr>
      <w:r w:rsidRPr="00FE541C">
        <w:rPr>
          <w:lang w:val="en-US"/>
        </w:rPr>
        <w:t>The four-year outcome-oriented framework of programme priorities for the period 202</w:t>
      </w:r>
      <w:r w:rsidR="00486166" w:rsidRPr="00FE541C">
        <w:rPr>
          <w:lang w:val="en-US"/>
        </w:rPr>
        <w:t>6</w:t>
      </w:r>
      <w:r w:rsidRPr="00FE541C">
        <w:rPr>
          <w:lang w:val="en-US"/>
        </w:rPr>
        <w:t>–20</w:t>
      </w:r>
      <w:r w:rsidR="00486166" w:rsidRPr="00FE541C">
        <w:rPr>
          <w:lang w:val="en-US"/>
        </w:rPr>
        <w:t>30</w:t>
      </w:r>
      <w:r w:rsidRPr="00FE541C">
        <w:rPr>
          <w:lang w:val="en-US"/>
        </w:rPr>
        <w:t xml:space="preserve"> </w:t>
      </w:r>
      <w:r w:rsidR="0094289D" w:rsidRPr="00FE541C">
        <w:rPr>
          <w:lang w:val="en-US"/>
        </w:rPr>
        <w:t>i</w:t>
      </w:r>
      <w:r w:rsidR="004B7388" w:rsidRPr="00FE541C">
        <w:rPr>
          <w:lang w:val="en-US"/>
        </w:rPr>
        <w:t>ncludes</w:t>
      </w:r>
      <w:r w:rsidR="0094289D" w:rsidRPr="00FE541C">
        <w:rPr>
          <w:lang w:val="en-US"/>
        </w:rPr>
        <w:t xml:space="preserve"> </w:t>
      </w:r>
      <w:r w:rsidRPr="00FE541C">
        <w:rPr>
          <w:lang w:val="en-US"/>
        </w:rPr>
        <w:t xml:space="preserve">the </w:t>
      </w:r>
      <w:r w:rsidRPr="002A7352">
        <w:t>following</w:t>
      </w:r>
      <w:r w:rsidRPr="00FE541C">
        <w:rPr>
          <w:lang w:val="en-US"/>
        </w:rPr>
        <w:t xml:space="preserve"> elements </w:t>
      </w:r>
      <w:r w:rsidR="0094289D" w:rsidRPr="00FE541C">
        <w:rPr>
          <w:lang w:val="en-US"/>
        </w:rPr>
        <w:t xml:space="preserve">under the Convention and its Protocols </w:t>
      </w:r>
      <w:r w:rsidRPr="00FE541C">
        <w:rPr>
          <w:lang w:val="en-US"/>
        </w:rPr>
        <w:t xml:space="preserve">to which </w:t>
      </w:r>
      <w:r w:rsidRPr="00D56463">
        <w:rPr>
          <w:lang w:val="en-US"/>
        </w:rPr>
        <w:t>effective implementation support is to be provided:</w:t>
      </w:r>
    </w:p>
    <w:p w14:paraId="00510CF8" w14:textId="4AD874BD" w:rsidR="00B83802" w:rsidRPr="00D56463" w:rsidRDefault="00FF5D3E" w:rsidP="003D3F00">
      <w:pPr>
        <w:pStyle w:val="Para2"/>
        <w:tabs>
          <w:tab w:val="clear" w:pos="1701"/>
          <w:tab w:val="left" w:pos="2268"/>
        </w:tabs>
        <w:ind w:left="1134" w:firstLine="564"/>
        <w:rPr>
          <w:iCs/>
          <w:szCs w:val="22"/>
          <w:lang w:val="en-US"/>
        </w:rPr>
      </w:pPr>
      <w:bookmarkStart w:id="11" w:name="_Hlk163904595"/>
      <w:r w:rsidRPr="00D56463">
        <w:rPr>
          <w:iCs/>
          <w:szCs w:val="22"/>
          <w:lang w:val="en-US"/>
        </w:rPr>
        <w:t>(a)</w:t>
      </w:r>
      <w:r w:rsidRPr="00D56463">
        <w:rPr>
          <w:iCs/>
          <w:szCs w:val="22"/>
          <w:lang w:val="en-US"/>
        </w:rPr>
        <w:tab/>
      </w:r>
      <w:r w:rsidR="00B83802" w:rsidRPr="00D56463">
        <w:rPr>
          <w:iCs/>
          <w:szCs w:val="22"/>
          <w:lang w:val="en-US"/>
        </w:rPr>
        <w:t xml:space="preserve">The </w:t>
      </w:r>
      <w:r w:rsidR="00B83802" w:rsidRPr="003D3F00">
        <w:rPr>
          <w:lang w:val="en-GB"/>
        </w:rPr>
        <w:t>Kunming</w:t>
      </w:r>
      <w:r w:rsidR="00B83802" w:rsidRPr="003D3F00">
        <w:rPr>
          <w:iCs/>
          <w:szCs w:val="22"/>
          <w:lang w:val="en-US"/>
        </w:rPr>
        <w:t>-Montreal Global Biodiversity Framework</w:t>
      </w:r>
      <w:r w:rsidR="00B83802" w:rsidRPr="00D56463">
        <w:rPr>
          <w:iCs/>
          <w:szCs w:val="22"/>
          <w:lang w:val="en-US"/>
        </w:rPr>
        <w:t xml:space="preserve">, including </w:t>
      </w:r>
      <w:r w:rsidR="00652B7C" w:rsidRPr="00D56463">
        <w:rPr>
          <w:iCs/>
          <w:szCs w:val="22"/>
          <w:lang w:val="en-US"/>
        </w:rPr>
        <w:t xml:space="preserve">each of </w:t>
      </w:r>
      <w:r w:rsidR="00B83802" w:rsidRPr="00D56463">
        <w:rPr>
          <w:iCs/>
          <w:szCs w:val="22"/>
          <w:lang w:val="en-US"/>
        </w:rPr>
        <w:t xml:space="preserve">its goals and </w:t>
      </w:r>
      <w:r w:rsidR="00652B7C" w:rsidRPr="00D56463">
        <w:rPr>
          <w:iCs/>
          <w:szCs w:val="22"/>
          <w:lang w:val="en-US"/>
        </w:rPr>
        <w:t xml:space="preserve">all of its </w:t>
      </w:r>
      <w:r w:rsidR="00B83802" w:rsidRPr="00D56463">
        <w:rPr>
          <w:iCs/>
          <w:szCs w:val="22"/>
          <w:lang w:val="en-US"/>
        </w:rPr>
        <w:t>targets which define the outcomes being sought;</w:t>
      </w:r>
    </w:p>
    <w:bookmarkEnd w:id="11"/>
    <w:p w14:paraId="406B2650" w14:textId="292D5311" w:rsidR="00B83802" w:rsidRPr="00D56463" w:rsidRDefault="00FF5D3E" w:rsidP="003D3F00">
      <w:pPr>
        <w:pStyle w:val="Para2"/>
        <w:tabs>
          <w:tab w:val="clear" w:pos="1701"/>
          <w:tab w:val="left" w:pos="2268"/>
        </w:tabs>
        <w:ind w:left="1134" w:firstLine="564"/>
        <w:rPr>
          <w:iCs/>
          <w:szCs w:val="22"/>
          <w:lang w:val="en-US"/>
        </w:rPr>
      </w:pPr>
      <w:r w:rsidRPr="00D56463">
        <w:rPr>
          <w:iCs/>
          <w:szCs w:val="22"/>
          <w:lang w:val="en-US"/>
        </w:rPr>
        <w:t>(b)</w:t>
      </w:r>
      <w:r w:rsidRPr="00D56463">
        <w:rPr>
          <w:iCs/>
          <w:szCs w:val="22"/>
          <w:lang w:val="en-US"/>
        </w:rPr>
        <w:tab/>
      </w:r>
      <w:r w:rsidR="00B83802" w:rsidRPr="00D56463">
        <w:rPr>
          <w:lang w:val="en-GB"/>
        </w:rPr>
        <w:t>National</w:t>
      </w:r>
      <w:r w:rsidR="00B83802" w:rsidRPr="00D56463">
        <w:rPr>
          <w:iCs/>
          <w:szCs w:val="22"/>
          <w:lang w:val="en-US"/>
        </w:rPr>
        <w:t xml:space="preserve"> biodiversity strategies and action plans; </w:t>
      </w:r>
    </w:p>
    <w:p w14:paraId="69A9A8F2" w14:textId="5F7BBDCD" w:rsidR="00B83802" w:rsidRPr="00D56463" w:rsidRDefault="00FF5D3E" w:rsidP="003D3F00">
      <w:pPr>
        <w:pStyle w:val="Para2"/>
        <w:tabs>
          <w:tab w:val="clear" w:pos="1701"/>
          <w:tab w:val="left" w:pos="2268"/>
        </w:tabs>
        <w:ind w:left="1134" w:firstLine="564"/>
        <w:rPr>
          <w:iCs/>
          <w:szCs w:val="22"/>
          <w:lang w:val="en-US"/>
        </w:rPr>
      </w:pPr>
      <w:r w:rsidRPr="00D56463">
        <w:rPr>
          <w:iCs/>
          <w:szCs w:val="22"/>
          <w:lang w:val="en-US"/>
        </w:rPr>
        <w:t>(c)</w:t>
      </w:r>
      <w:r w:rsidRPr="00D56463">
        <w:rPr>
          <w:iCs/>
          <w:szCs w:val="22"/>
          <w:lang w:val="en-US"/>
        </w:rPr>
        <w:tab/>
      </w:r>
      <w:r w:rsidR="00B83802" w:rsidRPr="00D56463">
        <w:rPr>
          <w:lang w:val="en-GB"/>
        </w:rPr>
        <w:t>National</w:t>
      </w:r>
      <w:r w:rsidR="00B83802" w:rsidRPr="00D56463">
        <w:rPr>
          <w:iCs/>
          <w:szCs w:val="22"/>
          <w:lang w:val="en-US"/>
        </w:rPr>
        <w:t xml:space="preserve"> biodiversity finance plans;</w:t>
      </w:r>
    </w:p>
    <w:p w14:paraId="2CC34AFE" w14:textId="59EC761B" w:rsidR="00B83802" w:rsidRPr="00D56463" w:rsidRDefault="00FF5D3E" w:rsidP="003D3F00">
      <w:pPr>
        <w:pStyle w:val="Para2"/>
        <w:tabs>
          <w:tab w:val="clear" w:pos="1701"/>
          <w:tab w:val="left" w:pos="2268"/>
        </w:tabs>
        <w:ind w:left="1134" w:firstLine="564"/>
        <w:rPr>
          <w:iCs/>
          <w:szCs w:val="22"/>
          <w:lang w:val="en-US"/>
        </w:rPr>
      </w:pPr>
      <w:r w:rsidRPr="00D56463">
        <w:rPr>
          <w:iCs/>
          <w:szCs w:val="22"/>
          <w:lang w:val="en-US"/>
        </w:rPr>
        <w:t>(d)</w:t>
      </w:r>
      <w:r w:rsidRPr="00D56463">
        <w:rPr>
          <w:iCs/>
          <w:szCs w:val="22"/>
          <w:lang w:val="en-US"/>
        </w:rPr>
        <w:tab/>
      </w:r>
      <w:r w:rsidR="00B83802" w:rsidRPr="00D56463">
        <w:rPr>
          <w:iCs/>
          <w:szCs w:val="22"/>
          <w:lang w:val="en-US"/>
        </w:rPr>
        <w:t xml:space="preserve">The </w:t>
      </w:r>
      <w:r w:rsidR="00B83802" w:rsidRPr="00D56463">
        <w:rPr>
          <w:lang w:val="en-GB"/>
        </w:rPr>
        <w:t>implementation</w:t>
      </w:r>
      <w:r w:rsidR="00B83802" w:rsidRPr="00D56463">
        <w:rPr>
          <w:iCs/>
          <w:szCs w:val="22"/>
          <w:lang w:val="en-US"/>
        </w:rPr>
        <w:t xml:space="preserve"> of the three objectives of the Convention;</w:t>
      </w:r>
    </w:p>
    <w:p w14:paraId="5B20CE82" w14:textId="5BBF6E04" w:rsidR="00B83802" w:rsidRPr="00B83802" w:rsidRDefault="00FF5D3E" w:rsidP="003D3F00">
      <w:pPr>
        <w:pStyle w:val="Para2"/>
        <w:tabs>
          <w:tab w:val="clear" w:pos="1701"/>
          <w:tab w:val="left" w:pos="2268"/>
        </w:tabs>
        <w:ind w:left="1134" w:firstLine="564"/>
        <w:rPr>
          <w:bCs/>
          <w:iCs/>
          <w:szCs w:val="22"/>
          <w:lang w:val="en-US"/>
        </w:rPr>
      </w:pPr>
      <w:r w:rsidRPr="00D56463">
        <w:rPr>
          <w:bCs/>
          <w:iCs/>
          <w:szCs w:val="22"/>
          <w:lang w:val="en-US"/>
        </w:rPr>
        <w:t>(e)</w:t>
      </w:r>
      <w:r w:rsidRPr="00D56463">
        <w:rPr>
          <w:bCs/>
          <w:iCs/>
          <w:szCs w:val="22"/>
          <w:lang w:val="en-US"/>
        </w:rPr>
        <w:tab/>
      </w:r>
      <w:r w:rsidR="00B83802" w:rsidRPr="00D56463">
        <w:rPr>
          <w:bCs/>
          <w:iCs/>
          <w:szCs w:val="22"/>
        </w:rPr>
        <w:t xml:space="preserve">The </w:t>
      </w:r>
      <w:r w:rsidR="00B83802" w:rsidRPr="00D56463">
        <w:rPr>
          <w:lang w:val="en-GB"/>
        </w:rPr>
        <w:t>mechanisms</w:t>
      </w:r>
      <w:r w:rsidR="00B83802" w:rsidRPr="00D56463">
        <w:rPr>
          <w:bCs/>
          <w:iCs/>
          <w:szCs w:val="22"/>
        </w:rPr>
        <w:t xml:space="preserve"> adopted under the Convention to</w:t>
      </w:r>
      <w:r w:rsidR="001C24F4" w:rsidRPr="00D56463">
        <w:rPr>
          <w:bCs/>
          <w:iCs/>
          <w:szCs w:val="22"/>
        </w:rPr>
        <w:t xml:space="preserve"> </w:t>
      </w:r>
      <w:r w:rsidR="003A3036" w:rsidRPr="00D56463">
        <w:rPr>
          <w:bCs/>
          <w:iCs/>
          <w:szCs w:val="22"/>
        </w:rPr>
        <w:t>strengthen</w:t>
      </w:r>
      <w:r w:rsidR="00093BD6" w:rsidRPr="00D56463">
        <w:rPr>
          <w:bCs/>
          <w:iCs/>
          <w:szCs w:val="22"/>
        </w:rPr>
        <w:t xml:space="preserve"> the </w:t>
      </w:r>
      <w:r w:rsidR="001C24F4" w:rsidRPr="00D56463">
        <w:rPr>
          <w:bCs/>
          <w:iCs/>
          <w:szCs w:val="22"/>
        </w:rPr>
        <w:t>means of implementation</w:t>
      </w:r>
      <w:r w:rsidR="00256D2F" w:rsidRPr="00D56463">
        <w:rPr>
          <w:bCs/>
          <w:iCs/>
          <w:szCs w:val="22"/>
        </w:rPr>
        <w:t xml:space="preserve"> of the </w:t>
      </w:r>
      <w:r w:rsidR="00256D2F" w:rsidRPr="003D3F00">
        <w:rPr>
          <w:bCs/>
          <w:iCs/>
          <w:szCs w:val="22"/>
          <w:lang w:val="en-US"/>
        </w:rPr>
        <w:t>Kunming-Montreal Global Biodiversity Framework</w:t>
      </w:r>
      <w:r w:rsidR="00B83802" w:rsidRPr="00D56463">
        <w:rPr>
          <w:bCs/>
          <w:iCs/>
          <w:szCs w:val="22"/>
        </w:rPr>
        <w:t>: mobilizing sufficient resources from all sources towards implementing the Framework and achieving its goals and targets; capacity</w:t>
      </w:r>
      <w:r w:rsidR="00B83802" w:rsidRPr="00D56463">
        <w:rPr>
          <w:bCs/>
          <w:iCs/>
          <w:szCs w:val="22"/>
        </w:rPr>
        <w:noBreakHyphen/>
        <w:t>building and development; generation, management and sharing of knowledge for effective biodiversity planning, policy development and coherence, decision</w:t>
      </w:r>
      <w:r w:rsidR="00B83802" w:rsidRPr="00D56463">
        <w:rPr>
          <w:bCs/>
          <w:iCs/>
          <w:szCs w:val="22"/>
        </w:rPr>
        <w:noBreakHyphen/>
        <w:t xml:space="preserve">making and implementation; and technical and scientific cooperation, technology transfer and innovation. </w:t>
      </w:r>
      <w:r w:rsidR="001C24F4" w:rsidRPr="00D56463">
        <w:rPr>
          <w:bCs/>
          <w:iCs/>
          <w:szCs w:val="22"/>
        </w:rPr>
        <w:t>In particular, the following</w:t>
      </w:r>
      <w:r w:rsidR="00B83802" w:rsidRPr="00D56463">
        <w:rPr>
          <w:bCs/>
          <w:iCs/>
          <w:szCs w:val="22"/>
        </w:rPr>
        <w:t>:</w:t>
      </w:r>
    </w:p>
    <w:p w14:paraId="149F4212" w14:textId="5BEAEBDC" w:rsidR="00B83802" w:rsidRPr="00B83802" w:rsidRDefault="00B83802" w:rsidP="003D3F00">
      <w:pPr>
        <w:snapToGrid w:val="0"/>
        <w:spacing w:before="120" w:after="120"/>
        <w:ind w:left="2268" w:hanging="567"/>
        <w:rPr>
          <w:bCs/>
          <w:iCs/>
          <w:szCs w:val="22"/>
        </w:rPr>
      </w:pPr>
      <w:r w:rsidRPr="00B83802">
        <w:rPr>
          <w:bCs/>
          <w:iCs/>
          <w:szCs w:val="22"/>
        </w:rPr>
        <w:lastRenderedPageBreak/>
        <w:t>(i)</w:t>
      </w:r>
      <w:r w:rsidRPr="00B83802">
        <w:rPr>
          <w:bCs/>
          <w:iCs/>
          <w:szCs w:val="22"/>
        </w:rPr>
        <w:tab/>
        <w:t xml:space="preserve">The strategy for resource mobilization, including the establishment </w:t>
      </w:r>
      <w:r w:rsidR="001C24F4">
        <w:rPr>
          <w:bCs/>
          <w:iCs/>
          <w:szCs w:val="22"/>
        </w:rPr>
        <w:t xml:space="preserve">and operation </w:t>
      </w:r>
      <w:r w:rsidRPr="00B83802">
        <w:rPr>
          <w:bCs/>
          <w:iCs/>
          <w:szCs w:val="22"/>
        </w:rPr>
        <w:t xml:space="preserve">of </w:t>
      </w:r>
      <w:r w:rsidR="0094289D">
        <w:rPr>
          <w:bCs/>
          <w:iCs/>
          <w:szCs w:val="22"/>
        </w:rPr>
        <w:t>the</w:t>
      </w:r>
      <w:r w:rsidRPr="00B83802">
        <w:rPr>
          <w:bCs/>
          <w:iCs/>
          <w:szCs w:val="22"/>
        </w:rPr>
        <w:t xml:space="preserve"> </w:t>
      </w:r>
      <w:r w:rsidR="008800D9">
        <w:rPr>
          <w:bCs/>
          <w:iCs/>
          <w:szCs w:val="22"/>
        </w:rPr>
        <w:t>G</w:t>
      </w:r>
      <w:r w:rsidRPr="00B83802">
        <w:rPr>
          <w:bCs/>
          <w:iCs/>
          <w:szCs w:val="22"/>
        </w:rPr>
        <w:t xml:space="preserve">lobal </w:t>
      </w:r>
      <w:r w:rsidR="008800D9">
        <w:rPr>
          <w:bCs/>
          <w:iCs/>
          <w:szCs w:val="22"/>
        </w:rPr>
        <w:t>B</w:t>
      </w:r>
      <w:r w:rsidRPr="00B83802">
        <w:rPr>
          <w:bCs/>
          <w:iCs/>
          <w:szCs w:val="22"/>
        </w:rPr>
        <w:t xml:space="preserve">iodiversity </w:t>
      </w:r>
      <w:r w:rsidR="008800D9">
        <w:rPr>
          <w:bCs/>
          <w:iCs/>
          <w:szCs w:val="22"/>
        </w:rPr>
        <w:t>F</w:t>
      </w:r>
      <w:r w:rsidRPr="00B83802">
        <w:rPr>
          <w:bCs/>
          <w:iCs/>
          <w:szCs w:val="22"/>
        </w:rPr>
        <w:t xml:space="preserve">ramework </w:t>
      </w:r>
      <w:r w:rsidR="008800D9">
        <w:rPr>
          <w:bCs/>
          <w:iCs/>
          <w:szCs w:val="22"/>
        </w:rPr>
        <w:t>F</w:t>
      </w:r>
      <w:r w:rsidRPr="00B83802">
        <w:rPr>
          <w:bCs/>
          <w:iCs/>
          <w:szCs w:val="22"/>
        </w:rPr>
        <w:t>und;</w:t>
      </w:r>
      <w:r w:rsidRPr="00B83802">
        <w:rPr>
          <w:bCs/>
          <w:iCs/>
          <w:szCs w:val="22"/>
          <w:vertAlign w:val="superscript"/>
        </w:rPr>
        <w:footnoteReference w:id="14"/>
      </w:r>
    </w:p>
    <w:p w14:paraId="3CB67525" w14:textId="4A42C4C3" w:rsidR="00B83802" w:rsidRDefault="00B83802" w:rsidP="003D3F00">
      <w:pPr>
        <w:snapToGrid w:val="0"/>
        <w:spacing w:before="120" w:after="120"/>
        <w:ind w:left="2268" w:hanging="567"/>
        <w:rPr>
          <w:bCs/>
          <w:iCs/>
          <w:szCs w:val="22"/>
        </w:rPr>
      </w:pPr>
      <w:r w:rsidRPr="00B83802">
        <w:rPr>
          <w:bCs/>
          <w:iCs/>
          <w:szCs w:val="22"/>
        </w:rPr>
        <w:t>(ii)</w:t>
      </w:r>
      <w:r w:rsidRPr="00B83802">
        <w:rPr>
          <w:bCs/>
          <w:iCs/>
          <w:szCs w:val="22"/>
        </w:rPr>
        <w:tab/>
        <w:t>The long-term strategic framework for capacity-building and development;</w:t>
      </w:r>
      <w:r w:rsidRPr="00B83802">
        <w:rPr>
          <w:bCs/>
          <w:iCs/>
          <w:szCs w:val="22"/>
          <w:vertAlign w:val="superscript"/>
        </w:rPr>
        <w:footnoteReference w:id="15"/>
      </w:r>
    </w:p>
    <w:p w14:paraId="7E833AB0" w14:textId="78C24C01" w:rsidR="00093BD6" w:rsidRDefault="00093BD6" w:rsidP="003D3F00">
      <w:pPr>
        <w:snapToGrid w:val="0"/>
        <w:spacing w:before="120" w:after="120"/>
        <w:ind w:left="2268" w:hanging="567"/>
        <w:rPr>
          <w:bCs/>
          <w:iCs/>
          <w:szCs w:val="22"/>
        </w:rPr>
      </w:pPr>
      <w:r>
        <w:rPr>
          <w:bCs/>
          <w:iCs/>
          <w:szCs w:val="22"/>
        </w:rPr>
        <w:t>(iii)</w:t>
      </w:r>
      <w:r>
        <w:rPr>
          <w:bCs/>
          <w:iCs/>
          <w:szCs w:val="22"/>
        </w:rPr>
        <w:tab/>
        <w:t>The technical and scientific cooperation mechanism;</w:t>
      </w:r>
      <w:r>
        <w:rPr>
          <w:rStyle w:val="FootnoteReference"/>
          <w:bCs/>
          <w:iCs/>
          <w:szCs w:val="22"/>
        </w:rPr>
        <w:footnoteReference w:id="16"/>
      </w:r>
    </w:p>
    <w:p w14:paraId="25AC25AC" w14:textId="4C87758F" w:rsidR="008C3AF8" w:rsidRPr="00B83802" w:rsidRDefault="008C3AF8" w:rsidP="003D3F00">
      <w:pPr>
        <w:snapToGrid w:val="0"/>
        <w:spacing w:before="120" w:after="120"/>
        <w:ind w:left="2268" w:hanging="567"/>
        <w:rPr>
          <w:bCs/>
          <w:iCs/>
          <w:szCs w:val="22"/>
        </w:rPr>
      </w:pPr>
      <w:r>
        <w:rPr>
          <w:bCs/>
          <w:iCs/>
          <w:szCs w:val="22"/>
        </w:rPr>
        <w:t>(i</w:t>
      </w:r>
      <w:r w:rsidR="00093BD6">
        <w:rPr>
          <w:bCs/>
          <w:iCs/>
          <w:szCs w:val="22"/>
        </w:rPr>
        <w:t>v</w:t>
      </w:r>
      <w:r>
        <w:rPr>
          <w:bCs/>
          <w:iCs/>
          <w:szCs w:val="22"/>
        </w:rPr>
        <w:t>)</w:t>
      </w:r>
      <w:r w:rsidR="00093BD6">
        <w:rPr>
          <w:bCs/>
          <w:iCs/>
          <w:szCs w:val="22"/>
        </w:rPr>
        <w:tab/>
        <w:t>The knowledge management strategy to support the implementation of the Framework;</w:t>
      </w:r>
      <w:r w:rsidR="00093BD6">
        <w:rPr>
          <w:rStyle w:val="FootnoteReference"/>
          <w:bCs/>
          <w:iCs/>
          <w:szCs w:val="22"/>
        </w:rPr>
        <w:footnoteReference w:id="17"/>
      </w:r>
    </w:p>
    <w:p w14:paraId="3474ECF1" w14:textId="70768798" w:rsidR="008C3AF8" w:rsidRPr="003D3F00" w:rsidRDefault="002B3056" w:rsidP="003D3F00">
      <w:pPr>
        <w:pStyle w:val="Para2"/>
        <w:tabs>
          <w:tab w:val="clear" w:pos="1701"/>
          <w:tab w:val="left" w:pos="2268"/>
        </w:tabs>
        <w:ind w:left="1134" w:firstLine="564"/>
        <w:rPr>
          <w:bCs/>
          <w:iCs/>
          <w:szCs w:val="22"/>
          <w:lang w:val="en-US"/>
        </w:rPr>
      </w:pPr>
      <w:r w:rsidRPr="003D3F00">
        <w:rPr>
          <w:bCs/>
          <w:iCs/>
          <w:szCs w:val="22"/>
          <w:lang w:val="en-US"/>
        </w:rPr>
        <w:t>(</w:t>
      </w:r>
      <w:r>
        <w:rPr>
          <w:bCs/>
          <w:iCs/>
          <w:szCs w:val="22"/>
          <w:lang w:val="en-US"/>
        </w:rPr>
        <w:t>f</w:t>
      </w:r>
      <w:r w:rsidRPr="003D3F00">
        <w:rPr>
          <w:bCs/>
          <w:iCs/>
          <w:szCs w:val="22"/>
          <w:lang w:val="en-US"/>
        </w:rPr>
        <w:t>)</w:t>
      </w:r>
      <w:r w:rsidRPr="003D3F00">
        <w:rPr>
          <w:bCs/>
          <w:iCs/>
          <w:szCs w:val="22"/>
          <w:lang w:val="en-US"/>
        </w:rPr>
        <w:tab/>
      </w:r>
      <w:r w:rsidR="008C3AF8" w:rsidRPr="003D3F00">
        <w:rPr>
          <w:bCs/>
          <w:iCs/>
          <w:szCs w:val="22"/>
          <w:lang w:val="en-US"/>
        </w:rPr>
        <w:t xml:space="preserve">The plans of action adopted under the Convention to support the </w:t>
      </w:r>
      <w:r w:rsidR="003A3036" w:rsidRPr="003D3F00">
        <w:rPr>
          <w:bCs/>
          <w:iCs/>
          <w:szCs w:val="22"/>
          <w:lang w:val="en-US"/>
        </w:rPr>
        <w:t xml:space="preserve">effective and inclusive </w:t>
      </w:r>
      <w:r w:rsidR="008C3AF8" w:rsidRPr="003D3F00">
        <w:rPr>
          <w:bCs/>
          <w:iCs/>
          <w:szCs w:val="22"/>
          <w:lang w:val="en-US"/>
        </w:rPr>
        <w:t>implementation of the Framework, including:</w:t>
      </w:r>
    </w:p>
    <w:p w14:paraId="3EB8E6A8" w14:textId="5E674D4F" w:rsidR="00B83802" w:rsidRPr="00D56463" w:rsidRDefault="00B83802" w:rsidP="003D3F00">
      <w:pPr>
        <w:snapToGrid w:val="0"/>
        <w:spacing w:before="120" w:after="120"/>
        <w:ind w:left="2268" w:hanging="567"/>
        <w:rPr>
          <w:bCs/>
          <w:iCs/>
          <w:szCs w:val="22"/>
        </w:rPr>
      </w:pPr>
      <w:r w:rsidRPr="00B83802">
        <w:rPr>
          <w:bCs/>
          <w:iCs/>
          <w:szCs w:val="22"/>
        </w:rPr>
        <w:t>(</w:t>
      </w:r>
      <w:r w:rsidR="008C3AF8">
        <w:rPr>
          <w:bCs/>
          <w:iCs/>
          <w:szCs w:val="22"/>
        </w:rPr>
        <w:t>i</w:t>
      </w:r>
      <w:r w:rsidRPr="00B83802">
        <w:rPr>
          <w:bCs/>
          <w:iCs/>
          <w:szCs w:val="22"/>
        </w:rPr>
        <w:t>)</w:t>
      </w:r>
      <w:r w:rsidRPr="00B83802">
        <w:rPr>
          <w:bCs/>
          <w:iCs/>
          <w:szCs w:val="22"/>
        </w:rPr>
        <w:tab/>
        <w:t xml:space="preserve">The Plan of Action on Subnational Governments, Cities and Other Local Authorities </w:t>
      </w:r>
      <w:r w:rsidRPr="00D56463">
        <w:rPr>
          <w:bCs/>
          <w:iCs/>
          <w:szCs w:val="22"/>
        </w:rPr>
        <w:t>for Biodiversity (2023–2030);</w:t>
      </w:r>
      <w:r w:rsidRPr="00D56463">
        <w:rPr>
          <w:bCs/>
          <w:iCs/>
          <w:szCs w:val="22"/>
          <w:vertAlign w:val="superscript"/>
        </w:rPr>
        <w:footnoteReference w:id="18"/>
      </w:r>
    </w:p>
    <w:p w14:paraId="5675892E" w14:textId="0E3CBECB" w:rsidR="00B83802" w:rsidRPr="00D56463" w:rsidRDefault="00B83802" w:rsidP="003D3F00">
      <w:pPr>
        <w:snapToGrid w:val="0"/>
        <w:spacing w:before="120" w:after="120"/>
        <w:ind w:left="2268" w:hanging="567"/>
        <w:rPr>
          <w:bCs/>
          <w:iCs/>
          <w:szCs w:val="22"/>
        </w:rPr>
      </w:pPr>
      <w:r w:rsidRPr="00D56463">
        <w:rPr>
          <w:bCs/>
          <w:iCs/>
          <w:szCs w:val="22"/>
        </w:rPr>
        <w:t>(i</w:t>
      </w:r>
      <w:r w:rsidR="008C3AF8" w:rsidRPr="00D56463">
        <w:rPr>
          <w:bCs/>
          <w:iCs/>
          <w:szCs w:val="22"/>
        </w:rPr>
        <w:t>i</w:t>
      </w:r>
      <w:r w:rsidRPr="00D56463">
        <w:rPr>
          <w:bCs/>
          <w:iCs/>
          <w:szCs w:val="22"/>
        </w:rPr>
        <w:t>)</w:t>
      </w:r>
      <w:r w:rsidRPr="00D56463">
        <w:rPr>
          <w:bCs/>
          <w:iCs/>
          <w:szCs w:val="22"/>
        </w:rPr>
        <w:tab/>
        <w:t>The Gender Plan of Action (202</w:t>
      </w:r>
      <w:r w:rsidRPr="003D3F00">
        <w:rPr>
          <w:bCs/>
          <w:iCs/>
          <w:szCs w:val="22"/>
        </w:rPr>
        <w:t>3</w:t>
      </w:r>
      <w:r w:rsidR="00882C05" w:rsidRPr="00D56463">
        <w:rPr>
          <w:bCs/>
          <w:iCs/>
          <w:szCs w:val="22"/>
        </w:rPr>
        <w:t>–</w:t>
      </w:r>
      <w:r w:rsidRPr="003D3F00">
        <w:rPr>
          <w:bCs/>
          <w:iCs/>
          <w:szCs w:val="22"/>
        </w:rPr>
        <w:t>2</w:t>
      </w:r>
      <w:r w:rsidRPr="00D56463">
        <w:rPr>
          <w:bCs/>
          <w:iCs/>
          <w:szCs w:val="22"/>
        </w:rPr>
        <w:t>030).</w:t>
      </w:r>
      <w:r w:rsidRPr="00D56463">
        <w:rPr>
          <w:bCs/>
          <w:iCs/>
          <w:szCs w:val="22"/>
          <w:vertAlign w:val="superscript"/>
        </w:rPr>
        <w:footnoteReference w:id="19"/>
      </w:r>
    </w:p>
    <w:p w14:paraId="761C94DB" w14:textId="4B702CDD" w:rsidR="00B83802" w:rsidRPr="00B83802" w:rsidRDefault="002B3056" w:rsidP="003D3F00">
      <w:pPr>
        <w:pStyle w:val="Para2"/>
        <w:tabs>
          <w:tab w:val="clear" w:pos="1701"/>
          <w:tab w:val="left" w:pos="2268"/>
        </w:tabs>
        <w:ind w:left="1134" w:firstLine="564"/>
        <w:rPr>
          <w:bCs/>
          <w:iCs/>
          <w:szCs w:val="22"/>
        </w:rPr>
      </w:pPr>
      <w:r w:rsidRPr="00D56463">
        <w:rPr>
          <w:bCs/>
          <w:iCs/>
          <w:szCs w:val="22"/>
        </w:rPr>
        <w:t>(g)</w:t>
      </w:r>
      <w:r w:rsidRPr="00D56463">
        <w:rPr>
          <w:bCs/>
          <w:iCs/>
          <w:szCs w:val="22"/>
        </w:rPr>
        <w:tab/>
      </w:r>
      <w:r w:rsidR="00B83802" w:rsidRPr="003D3F00">
        <w:rPr>
          <w:bCs/>
          <w:iCs/>
          <w:szCs w:val="22"/>
          <w:lang w:val="en-US"/>
        </w:rPr>
        <w:t>The</w:t>
      </w:r>
      <w:r w:rsidR="00B83802" w:rsidRPr="00D56463">
        <w:rPr>
          <w:bCs/>
          <w:iCs/>
          <w:szCs w:val="22"/>
        </w:rPr>
        <w:t xml:space="preserve"> </w:t>
      </w:r>
      <w:r w:rsidR="003E5848" w:rsidRPr="00D56463">
        <w:rPr>
          <w:lang w:val="en-GB"/>
        </w:rPr>
        <w:t>monitoring</w:t>
      </w:r>
      <w:r w:rsidR="003E5848" w:rsidRPr="00D56463">
        <w:rPr>
          <w:bCs/>
          <w:iCs/>
          <w:szCs w:val="22"/>
        </w:rPr>
        <w:t xml:space="preserve"> framework</w:t>
      </w:r>
      <w:r w:rsidR="003E5848" w:rsidRPr="00D56463">
        <w:rPr>
          <w:rStyle w:val="FootnoteReference"/>
          <w:bCs/>
          <w:iCs/>
          <w:szCs w:val="22"/>
        </w:rPr>
        <w:footnoteReference w:id="20"/>
      </w:r>
      <w:r w:rsidR="003E5848" w:rsidRPr="00D56463">
        <w:rPr>
          <w:bCs/>
          <w:iCs/>
          <w:szCs w:val="22"/>
        </w:rPr>
        <w:t xml:space="preserve"> and the </w:t>
      </w:r>
      <w:r w:rsidR="008800D9" w:rsidRPr="00D56463">
        <w:rPr>
          <w:bCs/>
          <w:iCs/>
          <w:szCs w:val="22"/>
        </w:rPr>
        <w:t>enhanced multidimensional approach to</w:t>
      </w:r>
      <w:r w:rsidR="00B83802" w:rsidRPr="00D56463">
        <w:rPr>
          <w:bCs/>
          <w:iCs/>
          <w:szCs w:val="22"/>
        </w:rPr>
        <w:t xml:space="preserve"> planning, monitoring, reporting and review</w:t>
      </w:r>
      <w:r w:rsidR="00B83802" w:rsidRPr="00D56463">
        <w:rPr>
          <w:bCs/>
          <w:iCs/>
          <w:szCs w:val="22"/>
          <w:lang w:val="en-US"/>
        </w:rPr>
        <w:t>;</w:t>
      </w:r>
      <w:r w:rsidR="00B83802" w:rsidRPr="00D56463">
        <w:rPr>
          <w:bCs/>
          <w:iCs/>
          <w:szCs w:val="22"/>
          <w:vertAlign w:val="superscript"/>
        </w:rPr>
        <w:footnoteReference w:id="21"/>
      </w:r>
    </w:p>
    <w:p w14:paraId="08137C67" w14:textId="29760030" w:rsidR="00B83802" w:rsidRPr="00B83802" w:rsidRDefault="002B3056" w:rsidP="003D3F00">
      <w:pPr>
        <w:pStyle w:val="Para2"/>
        <w:tabs>
          <w:tab w:val="clear" w:pos="1701"/>
          <w:tab w:val="left" w:pos="2268"/>
        </w:tabs>
        <w:ind w:left="1134" w:firstLine="564"/>
        <w:rPr>
          <w:iCs/>
          <w:szCs w:val="22"/>
          <w:lang w:val="en-US"/>
        </w:rPr>
      </w:pPr>
      <w:r w:rsidRPr="00B83802">
        <w:rPr>
          <w:iCs/>
          <w:szCs w:val="22"/>
          <w:lang w:val="en-US"/>
        </w:rPr>
        <w:t>(</w:t>
      </w:r>
      <w:r>
        <w:rPr>
          <w:iCs/>
          <w:szCs w:val="22"/>
          <w:lang w:val="en-US"/>
        </w:rPr>
        <w:t>h</w:t>
      </w:r>
      <w:r w:rsidRPr="00B83802">
        <w:rPr>
          <w:iCs/>
          <w:szCs w:val="22"/>
          <w:lang w:val="en-US"/>
        </w:rPr>
        <w:t>)</w:t>
      </w:r>
      <w:r w:rsidRPr="00B83802">
        <w:rPr>
          <w:iCs/>
          <w:szCs w:val="22"/>
          <w:lang w:val="en-US"/>
        </w:rPr>
        <w:tab/>
      </w:r>
      <w:r w:rsidR="00B83802" w:rsidRPr="003D3F00">
        <w:rPr>
          <w:bCs/>
          <w:iCs/>
          <w:szCs w:val="22"/>
          <w:lang w:val="en-US"/>
        </w:rPr>
        <w:t>The</w:t>
      </w:r>
      <w:r w:rsidR="00B83802" w:rsidRPr="00B83802">
        <w:rPr>
          <w:iCs/>
          <w:szCs w:val="22"/>
          <w:lang w:val="en-US"/>
        </w:rPr>
        <w:t xml:space="preserve"> </w:t>
      </w:r>
      <w:r w:rsidR="00B83802" w:rsidRPr="002A7352">
        <w:rPr>
          <w:lang w:val="en-GB"/>
        </w:rPr>
        <w:t>Implementation</w:t>
      </w:r>
      <w:r w:rsidR="00B83802" w:rsidRPr="00B83802">
        <w:rPr>
          <w:iCs/>
          <w:szCs w:val="22"/>
        </w:rPr>
        <w:t xml:space="preserve"> Plan for the Cartagena Protocol</w:t>
      </w:r>
      <w:r w:rsidR="00B83802" w:rsidRPr="00B83802">
        <w:rPr>
          <w:iCs/>
          <w:szCs w:val="22"/>
          <w:lang w:val="en-US"/>
        </w:rPr>
        <w:t xml:space="preserve"> on Biosafety</w:t>
      </w:r>
      <w:r w:rsidR="00B83802" w:rsidRPr="00B83802">
        <w:rPr>
          <w:iCs/>
          <w:szCs w:val="22"/>
          <w:vertAlign w:val="superscript"/>
          <w:lang w:val="en-US"/>
        </w:rPr>
        <w:footnoteReference w:id="22"/>
      </w:r>
      <w:r w:rsidR="00B83802" w:rsidRPr="00B83802">
        <w:rPr>
          <w:iCs/>
          <w:szCs w:val="22"/>
        </w:rPr>
        <w:t xml:space="preserve"> and the Capacity-building Action Plan for the Cartagena Protocol</w:t>
      </w:r>
      <w:r w:rsidR="00B83802" w:rsidRPr="00B83802">
        <w:rPr>
          <w:iCs/>
          <w:szCs w:val="22"/>
          <w:lang w:val="en-US"/>
        </w:rPr>
        <w:t xml:space="preserve"> on Biosafety;</w:t>
      </w:r>
      <w:r w:rsidR="00B83802" w:rsidRPr="00B83802">
        <w:rPr>
          <w:iCs/>
          <w:szCs w:val="22"/>
          <w:vertAlign w:val="superscript"/>
          <w:lang w:val="en-US"/>
        </w:rPr>
        <w:footnoteReference w:id="23"/>
      </w:r>
    </w:p>
    <w:p w14:paraId="6E983410" w14:textId="2EF20C7A" w:rsidR="008800D9" w:rsidRDefault="002B3056" w:rsidP="003D3F00">
      <w:pPr>
        <w:pStyle w:val="Para2"/>
        <w:tabs>
          <w:tab w:val="clear" w:pos="1701"/>
          <w:tab w:val="left" w:pos="2268"/>
        </w:tabs>
        <w:ind w:left="1134" w:firstLine="564"/>
        <w:rPr>
          <w:iCs/>
          <w:szCs w:val="22"/>
          <w:lang w:val="en-US"/>
        </w:rPr>
      </w:pPr>
      <w:r>
        <w:rPr>
          <w:iCs/>
          <w:szCs w:val="22"/>
          <w:lang w:val="en-US"/>
        </w:rPr>
        <w:t>(i)</w:t>
      </w:r>
      <w:r>
        <w:rPr>
          <w:iCs/>
          <w:szCs w:val="22"/>
          <w:lang w:val="en-US"/>
        </w:rPr>
        <w:tab/>
      </w:r>
      <w:r w:rsidR="008800D9" w:rsidRPr="003D3F00">
        <w:rPr>
          <w:bCs/>
          <w:iCs/>
          <w:szCs w:val="22"/>
          <w:lang w:val="en-US"/>
        </w:rPr>
        <w:t>The</w:t>
      </w:r>
      <w:r w:rsidR="008800D9">
        <w:rPr>
          <w:iCs/>
          <w:szCs w:val="22"/>
          <w:lang w:val="en-US"/>
        </w:rPr>
        <w:t xml:space="preserve"> </w:t>
      </w:r>
      <w:r w:rsidR="000F6BD1" w:rsidRPr="002A7352">
        <w:rPr>
          <w:lang w:val="en-GB"/>
        </w:rPr>
        <w:t>Capacity</w:t>
      </w:r>
      <w:r w:rsidR="000F6BD1" w:rsidRPr="000F6BD1">
        <w:rPr>
          <w:iCs/>
          <w:szCs w:val="22"/>
          <w:lang w:val="en-US"/>
        </w:rPr>
        <w:t>-building and Development Action Plan for the Nagoya Protocol</w:t>
      </w:r>
      <w:r w:rsidR="008800D9">
        <w:rPr>
          <w:iCs/>
          <w:szCs w:val="22"/>
          <w:lang w:val="en-US"/>
        </w:rPr>
        <w:t>;</w:t>
      </w:r>
      <w:r w:rsidR="000F6BD1">
        <w:rPr>
          <w:rStyle w:val="FootnoteReference"/>
          <w:iCs/>
          <w:szCs w:val="22"/>
          <w:lang w:val="en-US"/>
        </w:rPr>
        <w:footnoteReference w:id="24"/>
      </w:r>
    </w:p>
    <w:p w14:paraId="60122FF0" w14:textId="16D57266" w:rsidR="00B83802" w:rsidRPr="00B83802" w:rsidRDefault="002B3056" w:rsidP="003D3F00">
      <w:pPr>
        <w:pStyle w:val="Para2"/>
        <w:tabs>
          <w:tab w:val="clear" w:pos="1701"/>
          <w:tab w:val="left" w:pos="2268"/>
        </w:tabs>
        <w:ind w:left="1134" w:firstLine="564"/>
        <w:rPr>
          <w:iCs/>
          <w:szCs w:val="22"/>
          <w:lang w:val="en-US"/>
        </w:rPr>
      </w:pPr>
      <w:r w:rsidRPr="00B83802">
        <w:rPr>
          <w:iCs/>
          <w:szCs w:val="22"/>
          <w:lang w:val="en-US"/>
        </w:rPr>
        <w:t>(</w:t>
      </w:r>
      <w:r>
        <w:rPr>
          <w:iCs/>
          <w:szCs w:val="22"/>
          <w:lang w:val="en-US"/>
        </w:rPr>
        <w:t>j</w:t>
      </w:r>
      <w:r w:rsidRPr="00B83802">
        <w:rPr>
          <w:iCs/>
          <w:szCs w:val="22"/>
          <w:lang w:val="en-US"/>
        </w:rPr>
        <w:t>)</w:t>
      </w:r>
      <w:r w:rsidRPr="00B83802">
        <w:rPr>
          <w:iCs/>
          <w:szCs w:val="22"/>
          <w:lang w:val="en-US"/>
        </w:rPr>
        <w:tab/>
      </w:r>
      <w:r w:rsidR="00B83802" w:rsidRPr="003D3F00">
        <w:rPr>
          <w:bCs/>
          <w:iCs/>
          <w:szCs w:val="22"/>
          <w:lang w:val="en-US"/>
        </w:rPr>
        <w:t>The</w:t>
      </w:r>
      <w:r w:rsidR="00B83802" w:rsidRPr="00B83802">
        <w:rPr>
          <w:iCs/>
          <w:szCs w:val="22"/>
          <w:lang w:val="en-US"/>
        </w:rPr>
        <w:t xml:space="preserve"> </w:t>
      </w:r>
      <w:r w:rsidR="00B83802" w:rsidRPr="002A7352">
        <w:rPr>
          <w:lang w:val="en-GB"/>
        </w:rPr>
        <w:t>guidance</w:t>
      </w:r>
      <w:r w:rsidR="00B83802" w:rsidRPr="00B83802">
        <w:rPr>
          <w:iCs/>
          <w:szCs w:val="22"/>
          <w:lang w:val="en-US"/>
        </w:rPr>
        <w:t xml:space="preserve"> on programme priorities to support the implementation of the </w:t>
      </w:r>
      <w:r w:rsidR="003A3036">
        <w:rPr>
          <w:iCs/>
          <w:szCs w:val="22"/>
          <w:lang w:val="en-US"/>
        </w:rPr>
        <w:t>Protocols</w:t>
      </w:r>
      <w:r w:rsidR="00B83802" w:rsidRPr="00B83802">
        <w:rPr>
          <w:iCs/>
          <w:szCs w:val="22"/>
          <w:lang w:val="en-US"/>
        </w:rPr>
        <w:t xml:space="preserve"> adopted by the Conference of the Parties serving as the meeting of the Parties to the </w:t>
      </w:r>
      <w:r w:rsidR="003A3036">
        <w:rPr>
          <w:iCs/>
          <w:szCs w:val="22"/>
          <w:lang w:val="en-US"/>
        </w:rPr>
        <w:t xml:space="preserve">Nagoya </w:t>
      </w:r>
      <w:r w:rsidR="00B83802" w:rsidRPr="00B83802">
        <w:rPr>
          <w:iCs/>
          <w:szCs w:val="22"/>
          <w:lang w:val="en-US"/>
        </w:rPr>
        <w:t xml:space="preserve">Protocol at its </w:t>
      </w:r>
      <w:r w:rsidR="003A3036">
        <w:rPr>
          <w:iCs/>
          <w:szCs w:val="22"/>
          <w:lang w:val="en-US"/>
        </w:rPr>
        <w:t>fifth</w:t>
      </w:r>
      <w:r w:rsidR="00B83802" w:rsidRPr="00B83802">
        <w:rPr>
          <w:iCs/>
          <w:szCs w:val="22"/>
          <w:lang w:val="en-US"/>
        </w:rPr>
        <w:t xml:space="preserve"> </w:t>
      </w:r>
      <w:r w:rsidR="00B83802" w:rsidRPr="00D56463">
        <w:rPr>
          <w:iCs/>
          <w:szCs w:val="22"/>
          <w:lang w:val="en-US"/>
        </w:rPr>
        <w:t>meeting</w:t>
      </w:r>
      <w:r w:rsidR="003A3036" w:rsidRPr="00D56463">
        <w:rPr>
          <w:iCs/>
          <w:szCs w:val="22"/>
          <w:lang w:val="en-US"/>
        </w:rPr>
        <w:t xml:space="preserve"> and the Conference of the Parties serving as the meeting of the Parties to the Cartagena Protocol</w:t>
      </w:r>
      <w:r w:rsidR="003E5848" w:rsidRPr="00D56463">
        <w:rPr>
          <w:iCs/>
          <w:szCs w:val="22"/>
          <w:lang w:val="en-US"/>
        </w:rPr>
        <w:t xml:space="preserve"> at its eleventh meeting</w:t>
      </w:r>
      <w:r w:rsidR="00B83802" w:rsidRPr="00D56463">
        <w:rPr>
          <w:iCs/>
          <w:szCs w:val="22"/>
          <w:lang w:val="en-US"/>
        </w:rPr>
        <w:t>, containe</w:t>
      </w:r>
      <w:r w:rsidR="00B83802" w:rsidRPr="003D3F00">
        <w:rPr>
          <w:iCs/>
          <w:szCs w:val="22"/>
          <w:lang w:val="en-US"/>
        </w:rPr>
        <w:t xml:space="preserve">d </w:t>
      </w:r>
      <w:r w:rsidR="003A3036" w:rsidRPr="003D3F00">
        <w:rPr>
          <w:iCs/>
          <w:szCs w:val="22"/>
          <w:lang w:val="en-US"/>
        </w:rPr>
        <w:t>respectively</w:t>
      </w:r>
      <w:r w:rsidR="003A3036" w:rsidRPr="00D56463">
        <w:rPr>
          <w:iCs/>
          <w:szCs w:val="22"/>
          <w:lang w:val="en-US"/>
        </w:rPr>
        <w:t xml:space="preserve"> </w:t>
      </w:r>
      <w:r w:rsidR="00B83802" w:rsidRPr="00D56463">
        <w:rPr>
          <w:iCs/>
          <w:szCs w:val="22"/>
          <w:lang w:val="en-US"/>
        </w:rPr>
        <w:t xml:space="preserve">in </w:t>
      </w:r>
      <w:r w:rsidR="00F017B4" w:rsidRPr="00D56463">
        <w:rPr>
          <w:iCs/>
          <w:szCs w:val="22"/>
          <w:lang w:val="en-US"/>
        </w:rPr>
        <w:t>enclosure</w:t>
      </w:r>
      <w:r w:rsidR="00B83802" w:rsidRPr="00D56463">
        <w:rPr>
          <w:iCs/>
          <w:szCs w:val="22"/>
          <w:lang w:val="en-US"/>
        </w:rPr>
        <w:t xml:space="preserve"> I</w:t>
      </w:r>
      <w:r w:rsidR="00786D4E" w:rsidRPr="00D56463">
        <w:rPr>
          <w:iCs/>
          <w:szCs w:val="22"/>
          <w:lang w:val="en-US"/>
        </w:rPr>
        <w:t xml:space="preserve"> and </w:t>
      </w:r>
      <w:r w:rsidR="00F017B4" w:rsidRPr="00D56463">
        <w:rPr>
          <w:iCs/>
          <w:szCs w:val="22"/>
          <w:lang w:val="en-US"/>
        </w:rPr>
        <w:t>enclosure</w:t>
      </w:r>
      <w:r w:rsidR="00786D4E" w:rsidRPr="00D56463">
        <w:rPr>
          <w:iCs/>
          <w:szCs w:val="22"/>
          <w:lang w:val="en-US"/>
        </w:rPr>
        <w:t xml:space="preserve"> II</w:t>
      </w:r>
      <w:r w:rsidR="00B83802" w:rsidRPr="00D56463">
        <w:rPr>
          <w:iCs/>
          <w:szCs w:val="22"/>
          <w:lang w:val="en-US"/>
        </w:rPr>
        <w:t>.</w:t>
      </w:r>
      <w:r w:rsidR="003E5848" w:rsidRPr="00D56463">
        <w:rPr>
          <w:rStyle w:val="FootnoteReference"/>
          <w:iCs/>
          <w:szCs w:val="22"/>
          <w:lang w:val="en-US"/>
        </w:rPr>
        <w:footnoteReference w:id="25"/>
      </w:r>
    </w:p>
    <w:p w14:paraId="34C5FA35" w14:textId="7BE36B66" w:rsidR="00B83802" w:rsidRPr="00B83802" w:rsidRDefault="00B83802" w:rsidP="003D3F00">
      <w:pPr>
        <w:keepNext/>
        <w:tabs>
          <w:tab w:val="left" w:pos="567"/>
        </w:tabs>
        <w:spacing w:before="120" w:after="120"/>
        <w:ind w:left="1134" w:hanging="567"/>
        <w:jc w:val="left"/>
        <w:outlineLvl w:val="1"/>
        <w:rPr>
          <w:b/>
          <w:bCs/>
          <w:szCs w:val="22"/>
          <w:lang w:val="en-US"/>
        </w:rPr>
      </w:pPr>
      <w:bookmarkStart w:id="12" w:name="_Hlk163319639"/>
      <w:r w:rsidRPr="00B83802">
        <w:rPr>
          <w:b/>
          <w:bCs/>
          <w:szCs w:val="22"/>
          <w:lang w:val="en-US"/>
        </w:rPr>
        <w:t>C.</w:t>
      </w:r>
      <w:r w:rsidRPr="00B83802">
        <w:rPr>
          <w:b/>
          <w:bCs/>
          <w:szCs w:val="22"/>
          <w:lang w:val="en-US"/>
        </w:rPr>
        <w:tab/>
      </w:r>
      <w:r w:rsidR="00502415">
        <w:rPr>
          <w:b/>
          <w:bCs/>
          <w:szCs w:val="22"/>
          <w:lang w:val="en-US"/>
        </w:rPr>
        <w:t>S</w:t>
      </w:r>
      <w:r w:rsidRPr="00B83802">
        <w:rPr>
          <w:b/>
          <w:bCs/>
          <w:szCs w:val="22"/>
          <w:lang w:val="en-US"/>
        </w:rPr>
        <w:t>trategic considerations</w:t>
      </w:r>
    </w:p>
    <w:bookmarkEnd w:id="12"/>
    <w:p w14:paraId="74C9A4BE" w14:textId="2A7BE3E4" w:rsidR="00502415" w:rsidRDefault="00502415" w:rsidP="003D3F00">
      <w:pPr>
        <w:pStyle w:val="Para1"/>
        <w:tabs>
          <w:tab w:val="clear" w:pos="1134"/>
          <w:tab w:val="left" w:pos="1701"/>
        </w:tabs>
        <w:ind w:left="1134"/>
        <w:rPr>
          <w:lang w:val="en-US"/>
        </w:rPr>
      </w:pPr>
      <w:r>
        <w:rPr>
          <w:lang w:val="en-US"/>
        </w:rPr>
        <w:t xml:space="preserve">The </w:t>
      </w:r>
      <w:r w:rsidRPr="00054F5D">
        <w:rPr>
          <w:lang w:val="en-US"/>
        </w:rPr>
        <w:t xml:space="preserve">programming directions and the policy recommendations for the ninth replenishment of the </w:t>
      </w:r>
      <w:r w:rsidRPr="003D3F00">
        <w:rPr>
          <w:lang w:val="en-US"/>
        </w:rPr>
        <w:t>Global Environment Facility</w:t>
      </w:r>
      <w:r w:rsidRPr="00054F5D">
        <w:rPr>
          <w:lang w:val="en-US"/>
        </w:rPr>
        <w:t xml:space="preserve">, </w:t>
      </w:r>
      <w:r w:rsidR="00ED7A33" w:rsidRPr="00054F5D">
        <w:rPr>
          <w:lang w:val="en-US"/>
        </w:rPr>
        <w:t>as they relate</w:t>
      </w:r>
      <w:r w:rsidRPr="00054F5D">
        <w:rPr>
          <w:lang w:val="en-US"/>
        </w:rPr>
        <w:t xml:space="preserve"> to the </w:t>
      </w:r>
      <w:r w:rsidRPr="003D3F00">
        <w:rPr>
          <w:lang w:val="en-US"/>
        </w:rPr>
        <w:t>Convention on Biological Diversity</w:t>
      </w:r>
      <w:r w:rsidRPr="00054F5D">
        <w:rPr>
          <w:lang w:val="en-US"/>
        </w:rPr>
        <w:t>, its Protocols and the</w:t>
      </w:r>
      <w:r w:rsidR="00ED7A33" w:rsidRPr="00054F5D">
        <w:rPr>
          <w:lang w:val="en-US"/>
        </w:rPr>
        <w:t>ir</w:t>
      </w:r>
      <w:r w:rsidRPr="00054F5D">
        <w:rPr>
          <w:lang w:val="en-US"/>
        </w:rPr>
        <w:t xml:space="preserve"> financial mechanism established </w:t>
      </w:r>
      <w:r w:rsidR="007870DE" w:rsidRPr="00054F5D">
        <w:rPr>
          <w:lang w:val="en-US"/>
        </w:rPr>
        <w:t>b</w:t>
      </w:r>
      <w:r w:rsidR="007870DE" w:rsidRPr="003D3F00">
        <w:rPr>
          <w:lang w:val="en-US"/>
        </w:rPr>
        <w:t>y</w:t>
      </w:r>
      <w:r w:rsidRPr="003D3F00">
        <w:rPr>
          <w:lang w:val="en-US"/>
        </w:rPr>
        <w:t xml:space="preserve"> A</w:t>
      </w:r>
      <w:r w:rsidRPr="00054F5D">
        <w:rPr>
          <w:lang w:val="en-US"/>
        </w:rPr>
        <w:t>rticle 21 of the Convention, should:</w:t>
      </w:r>
      <w:r>
        <w:rPr>
          <w:lang w:val="en-US"/>
        </w:rPr>
        <w:t xml:space="preserve"> </w:t>
      </w:r>
    </w:p>
    <w:p w14:paraId="3A2E1893" w14:textId="159270E0" w:rsidR="00D73E6B" w:rsidRPr="00054F5D" w:rsidRDefault="00882C05" w:rsidP="003D3F00">
      <w:pPr>
        <w:pStyle w:val="Para2"/>
        <w:tabs>
          <w:tab w:val="clear" w:pos="1701"/>
          <w:tab w:val="left" w:pos="2268"/>
        </w:tabs>
        <w:ind w:left="1134" w:firstLine="564"/>
        <w:rPr>
          <w:iCs/>
          <w:szCs w:val="22"/>
          <w:lang w:val="en-US"/>
        </w:rPr>
      </w:pPr>
      <w:r w:rsidRPr="00B83802">
        <w:rPr>
          <w:iCs/>
          <w:szCs w:val="22"/>
          <w:lang w:val="en-US"/>
        </w:rPr>
        <w:t>(a</w:t>
      </w:r>
      <w:r w:rsidRPr="00054F5D">
        <w:rPr>
          <w:iCs/>
          <w:szCs w:val="22"/>
          <w:lang w:val="en-US"/>
        </w:rPr>
        <w:t>)</w:t>
      </w:r>
      <w:r w:rsidRPr="00054F5D">
        <w:rPr>
          <w:iCs/>
          <w:szCs w:val="22"/>
          <w:lang w:val="en-US"/>
        </w:rPr>
        <w:tab/>
      </w:r>
      <w:r w:rsidR="00D73E6B" w:rsidRPr="00054F5D">
        <w:rPr>
          <w:iCs/>
          <w:szCs w:val="22"/>
          <w:lang w:val="en-US"/>
        </w:rPr>
        <w:t xml:space="preserve">Be </w:t>
      </w:r>
      <w:r w:rsidR="00D73E6B" w:rsidRPr="00054F5D">
        <w:rPr>
          <w:lang w:val="en-GB"/>
        </w:rPr>
        <w:t>developed</w:t>
      </w:r>
      <w:r w:rsidR="00D73E6B" w:rsidRPr="00054F5D">
        <w:rPr>
          <w:iCs/>
          <w:szCs w:val="22"/>
          <w:lang w:val="en-US"/>
        </w:rPr>
        <w:t xml:space="preserve"> in a fully transparent and inclusive manner, with a view to ensuring that the projects funded by </w:t>
      </w:r>
      <w:r w:rsidR="007870DE" w:rsidRPr="00054F5D">
        <w:rPr>
          <w:iCs/>
          <w:szCs w:val="22"/>
          <w:lang w:val="en-US"/>
        </w:rPr>
        <w:t xml:space="preserve">the </w:t>
      </w:r>
      <w:r w:rsidR="007870DE" w:rsidRPr="003D3F00">
        <w:rPr>
          <w:iCs/>
          <w:szCs w:val="22"/>
          <w:lang w:val="en-US"/>
        </w:rPr>
        <w:t>Global Environment Facility</w:t>
      </w:r>
      <w:r w:rsidR="007870DE" w:rsidRPr="00054F5D">
        <w:rPr>
          <w:iCs/>
          <w:szCs w:val="22"/>
          <w:lang w:val="en-US"/>
        </w:rPr>
        <w:t xml:space="preserve"> </w:t>
      </w:r>
      <w:r w:rsidR="00D73E6B" w:rsidRPr="00054F5D">
        <w:rPr>
          <w:iCs/>
          <w:szCs w:val="22"/>
          <w:lang w:val="en-US"/>
        </w:rPr>
        <w:t>during its ninth replenishment period to support biodiversity objectives are developed on a context-specific and country-driven basis, addressing the priority needs of the recipient countries</w:t>
      </w:r>
      <w:r w:rsidRPr="00054F5D">
        <w:rPr>
          <w:iCs/>
          <w:szCs w:val="22"/>
          <w:lang w:val="en-US"/>
        </w:rPr>
        <w:t>;</w:t>
      </w:r>
    </w:p>
    <w:p w14:paraId="2A1C8BF0" w14:textId="2E00EF3C" w:rsidR="00B83802" w:rsidRPr="00753906" w:rsidRDefault="00882C05" w:rsidP="003D3F00">
      <w:pPr>
        <w:pStyle w:val="Para2"/>
        <w:tabs>
          <w:tab w:val="clear" w:pos="1701"/>
          <w:tab w:val="left" w:pos="2268"/>
        </w:tabs>
        <w:ind w:left="1134" w:firstLine="564"/>
        <w:rPr>
          <w:iCs/>
          <w:szCs w:val="22"/>
          <w:lang w:val="en-US"/>
        </w:rPr>
      </w:pPr>
      <w:r w:rsidRPr="00054F5D">
        <w:rPr>
          <w:iCs/>
          <w:szCs w:val="22"/>
          <w:lang w:val="en-US"/>
        </w:rPr>
        <w:t>(b)</w:t>
      </w:r>
      <w:r w:rsidRPr="00054F5D">
        <w:rPr>
          <w:iCs/>
          <w:szCs w:val="22"/>
          <w:lang w:val="en-US"/>
        </w:rPr>
        <w:tab/>
      </w:r>
      <w:r w:rsidR="00EF62D8" w:rsidRPr="00054F5D">
        <w:rPr>
          <w:lang w:val="en-GB"/>
        </w:rPr>
        <w:t>S</w:t>
      </w:r>
      <w:r w:rsidR="00B83802" w:rsidRPr="00054F5D">
        <w:rPr>
          <w:lang w:val="en-GB"/>
        </w:rPr>
        <w:t>upport</w:t>
      </w:r>
      <w:r w:rsidR="00B83802" w:rsidRPr="00054F5D">
        <w:rPr>
          <w:iCs/>
          <w:szCs w:val="22"/>
          <w:lang w:val="en-US"/>
        </w:rPr>
        <w:t xml:space="preserve"> the rapid </w:t>
      </w:r>
      <w:r w:rsidR="00B83802" w:rsidRPr="00054F5D">
        <w:rPr>
          <w:iCs/>
          <w:szCs w:val="22"/>
          <w:shd w:val="clear" w:color="auto" w:fill="FFFFFF"/>
          <w:lang w:val="en-US"/>
        </w:rPr>
        <w:t xml:space="preserve">and effective </w:t>
      </w:r>
      <w:r w:rsidR="00B83802" w:rsidRPr="00054F5D">
        <w:rPr>
          <w:iCs/>
          <w:szCs w:val="22"/>
          <w:lang w:val="en-US"/>
        </w:rPr>
        <w:t xml:space="preserve">implementation of the </w:t>
      </w:r>
      <w:r w:rsidR="00B83802" w:rsidRPr="003D3F00">
        <w:rPr>
          <w:kern w:val="22"/>
        </w:rPr>
        <w:t xml:space="preserve">Kunming-Montreal </w:t>
      </w:r>
      <w:r w:rsidR="00B83802" w:rsidRPr="003D3F00">
        <w:rPr>
          <w:bCs/>
          <w:snapToGrid w:val="0"/>
          <w:kern w:val="22"/>
          <w:szCs w:val="22"/>
        </w:rPr>
        <w:t>Global Biodiversity Framework</w:t>
      </w:r>
      <w:r w:rsidR="00032ED4" w:rsidRPr="00054F5D">
        <w:rPr>
          <w:bCs/>
          <w:snapToGrid w:val="0"/>
          <w:kern w:val="22"/>
          <w:szCs w:val="22"/>
        </w:rPr>
        <w:t>, including</w:t>
      </w:r>
      <w:r w:rsidR="00B83802" w:rsidRPr="00054F5D" w:rsidDel="00A24066">
        <w:rPr>
          <w:iCs/>
          <w:szCs w:val="22"/>
          <w:lang w:val="en-US"/>
        </w:rPr>
        <w:t xml:space="preserve"> </w:t>
      </w:r>
      <w:r w:rsidR="00B83802" w:rsidRPr="00054F5D">
        <w:rPr>
          <w:iCs/>
          <w:szCs w:val="22"/>
          <w:shd w:val="clear" w:color="auto" w:fill="FFFFFF"/>
          <w:lang w:val="en-US"/>
        </w:rPr>
        <w:t xml:space="preserve">by contributing to </w:t>
      </w:r>
      <w:r w:rsidR="00032ED4" w:rsidRPr="00054F5D">
        <w:rPr>
          <w:iCs/>
          <w:szCs w:val="22"/>
          <w:shd w:val="clear" w:color="auto" w:fill="FFFFFF"/>
          <w:lang w:val="en-US"/>
        </w:rPr>
        <w:t xml:space="preserve">a significantly enhanced mobilization of </w:t>
      </w:r>
      <w:r w:rsidR="00B83802" w:rsidRPr="00054F5D">
        <w:rPr>
          <w:iCs/>
          <w:szCs w:val="22"/>
          <w:shd w:val="clear" w:color="auto" w:fill="FFFFFF"/>
          <w:lang w:val="en-US"/>
        </w:rPr>
        <w:t>resource</w:t>
      </w:r>
      <w:r w:rsidR="00032ED4" w:rsidRPr="00054F5D">
        <w:rPr>
          <w:iCs/>
          <w:szCs w:val="22"/>
          <w:shd w:val="clear" w:color="auto" w:fill="FFFFFF"/>
          <w:lang w:val="en-US"/>
        </w:rPr>
        <w:t>s,</w:t>
      </w:r>
      <w:r w:rsidR="00B83802" w:rsidRPr="00054F5D">
        <w:rPr>
          <w:iCs/>
          <w:szCs w:val="22"/>
          <w:shd w:val="clear" w:color="auto" w:fill="FFFFFF"/>
          <w:lang w:val="en-US"/>
        </w:rPr>
        <w:t xml:space="preserve"> from all sources, including </w:t>
      </w:r>
      <w:r w:rsidR="00032ED4" w:rsidRPr="00054F5D">
        <w:rPr>
          <w:iCs/>
          <w:szCs w:val="22"/>
          <w:shd w:val="clear" w:color="auto" w:fill="FFFFFF"/>
          <w:lang w:val="en-US"/>
        </w:rPr>
        <w:t>by</w:t>
      </w:r>
      <w:r w:rsidR="00B83802" w:rsidRPr="00054F5D">
        <w:rPr>
          <w:iCs/>
          <w:szCs w:val="22"/>
          <w:shd w:val="clear" w:color="auto" w:fill="FFFFFF"/>
          <w:lang w:val="en-US"/>
        </w:rPr>
        <w:t xml:space="preserve"> </w:t>
      </w:r>
      <w:r w:rsidR="00032ED4" w:rsidRPr="00054F5D">
        <w:rPr>
          <w:iCs/>
          <w:szCs w:val="22"/>
          <w:shd w:val="clear" w:color="auto" w:fill="FFFFFF"/>
          <w:lang w:val="en-US"/>
        </w:rPr>
        <w:t xml:space="preserve">providing </w:t>
      </w:r>
      <w:r w:rsidR="00373385" w:rsidRPr="00054F5D">
        <w:rPr>
          <w:iCs/>
          <w:szCs w:val="22"/>
          <w:shd w:val="clear" w:color="auto" w:fill="FFFFFF"/>
          <w:lang w:val="en-US"/>
        </w:rPr>
        <w:t xml:space="preserve">an </w:t>
      </w:r>
      <w:r w:rsidR="00B83802" w:rsidRPr="00054F5D">
        <w:rPr>
          <w:iCs/>
          <w:szCs w:val="22"/>
          <w:shd w:val="clear" w:color="auto" w:fill="FFFFFF"/>
          <w:lang w:val="en-US"/>
        </w:rPr>
        <w:t>increase</w:t>
      </w:r>
      <w:r w:rsidR="00373385" w:rsidRPr="00054F5D">
        <w:rPr>
          <w:iCs/>
          <w:szCs w:val="22"/>
          <w:shd w:val="clear" w:color="auto" w:fill="FFFFFF"/>
          <w:lang w:val="en-US"/>
        </w:rPr>
        <w:t xml:space="preserve"> in</w:t>
      </w:r>
      <w:r w:rsidR="00B83802" w:rsidRPr="00054F5D">
        <w:rPr>
          <w:iCs/>
          <w:szCs w:val="22"/>
          <w:shd w:val="clear" w:color="auto" w:fill="FFFFFF"/>
          <w:lang w:val="en-US"/>
        </w:rPr>
        <w:t xml:space="preserve"> </w:t>
      </w:r>
      <w:r w:rsidR="00256D2F" w:rsidRPr="003D3F00">
        <w:rPr>
          <w:iCs/>
          <w:szCs w:val="22"/>
          <w:shd w:val="clear" w:color="auto" w:fill="FFFFFF"/>
          <w:lang w:val="en-US"/>
        </w:rPr>
        <w:t>Global Environment Facility</w:t>
      </w:r>
      <w:r w:rsidR="00256D2F" w:rsidRPr="00054F5D">
        <w:rPr>
          <w:iCs/>
          <w:szCs w:val="22"/>
          <w:shd w:val="clear" w:color="auto" w:fill="FFFFFF"/>
          <w:lang w:val="en-US"/>
        </w:rPr>
        <w:t xml:space="preserve"> </w:t>
      </w:r>
      <w:r w:rsidR="00B83802" w:rsidRPr="00054F5D">
        <w:rPr>
          <w:iCs/>
          <w:szCs w:val="22"/>
          <w:shd w:val="clear" w:color="auto" w:fill="FFFFFF"/>
          <w:lang w:val="en-US"/>
        </w:rPr>
        <w:t xml:space="preserve">funding </w:t>
      </w:r>
      <w:r w:rsidR="00032ED4" w:rsidRPr="00054F5D">
        <w:rPr>
          <w:iCs/>
          <w:szCs w:val="22"/>
          <w:shd w:val="clear" w:color="auto" w:fill="FFFFFF"/>
          <w:lang w:val="en-US"/>
        </w:rPr>
        <w:t>that</w:t>
      </w:r>
      <w:r w:rsidR="00B83802" w:rsidRPr="00054F5D">
        <w:rPr>
          <w:iCs/>
          <w:szCs w:val="22"/>
          <w:shd w:val="clear" w:color="auto" w:fill="FFFFFF"/>
          <w:lang w:val="en-US"/>
        </w:rPr>
        <w:t xml:space="preserve"> is adequate, predictable, sustainable, timely and accessible</w:t>
      </w:r>
      <w:r w:rsidR="00032ED4" w:rsidRPr="00054F5D">
        <w:rPr>
          <w:iCs/>
          <w:szCs w:val="22"/>
          <w:lang w:val="en-US"/>
        </w:rPr>
        <w:t xml:space="preserve"> to all Parties </w:t>
      </w:r>
      <w:r w:rsidR="00373385" w:rsidRPr="00054F5D">
        <w:rPr>
          <w:iCs/>
          <w:szCs w:val="22"/>
          <w:lang w:val="en-US"/>
        </w:rPr>
        <w:t xml:space="preserve">that are </w:t>
      </w:r>
      <w:r w:rsidR="00032ED4" w:rsidRPr="00054F5D">
        <w:rPr>
          <w:iCs/>
          <w:szCs w:val="22"/>
          <w:lang w:val="en-US"/>
        </w:rPr>
        <w:t xml:space="preserve">eligible to receive support </w:t>
      </w:r>
      <w:r w:rsidR="00373385" w:rsidRPr="00054F5D">
        <w:rPr>
          <w:iCs/>
          <w:szCs w:val="22"/>
          <w:lang w:val="en-US"/>
        </w:rPr>
        <w:t>through</w:t>
      </w:r>
      <w:r w:rsidR="00032ED4" w:rsidRPr="00054F5D">
        <w:rPr>
          <w:iCs/>
          <w:szCs w:val="22"/>
          <w:lang w:val="en-US"/>
        </w:rPr>
        <w:t xml:space="preserve"> the financial mechanism of the Convention and its </w:t>
      </w:r>
      <w:r w:rsidR="00032ED4" w:rsidRPr="00054F5D">
        <w:rPr>
          <w:iCs/>
          <w:szCs w:val="22"/>
          <w:lang w:val="en-US"/>
        </w:rPr>
        <w:lastRenderedPageBreak/>
        <w:t>Protocols</w:t>
      </w:r>
      <w:r w:rsidR="00373385" w:rsidRPr="00054F5D">
        <w:rPr>
          <w:iCs/>
          <w:szCs w:val="22"/>
          <w:lang w:val="en-US"/>
        </w:rPr>
        <w:t>, as determined by the Conference of the Parties to the Convention</w:t>
      </w:r>
      <w:r w:rsidR="00032ED4" w:rsidRPr="00054F5D">
        <w:rPr>
          <w:iCs/>
          <w:szCs w:val="22"/>
          <w:lang w:val="en-US"/>
        </w:rPr>
        <w:t>.</w:t>
      </w:r>
      <w:r w:rsidR="00B83802" w:rsidRPr="00054F5D">
        <w:rPr>
          <w:iCs/>
          <w:szCs w:val="22"/>
          <w:lang w:val="en-US"/>
        </w:rPr>
        <w:t xml:space="preserve"> </w:t>
      </w:r>
      <w:r w:rsidR="00373385" w:rsidRPr="00054F5D">
        <w:rPr>
          <w:iCs/>
          <w:szCs w:val="22"/>
          <w:lang w:val="en-US"/>
        </w:rPr>
        <w:t xml:space="preserve">This may be provided </w:t>
      </w:r>
      <w:r w:rsidR="003029DD" w:rsidRPr="00054F5D">
        <w:rPr>
          <w:iCs/>
          <w:szCs w:val="22"/>
          <w:lang w:val="en-US"/>
        </w:rPr>
        <w:t xml:space="preserve">to eligible Parties </w:t>
      </w:r>
      <w:r w:rsidR="00373385" w:rsidRPr="00054F5D">
        <w:rPr>
          <w:iCs/>
          <w:szCs w:val="22"/>
          <w:lang w:val="en-US"/>
        </w:rPr>
        <w:t xml:space="preserve">by the </w:t>
      </w:r>
      <w:r w:rsidR="00256D2F" w:rsidRPr="003D3F00">
        <w:rPr>
          <w:iCs/>
          <w:szCs w:val="22"/>
          <w:lang w:val="en-US"/>
        </w:rPr>
        <w:t>Global Environment Facility</w:t>
      </w:r>
      <w:r w:rsidR="00373385" w:rsidRPr="00054F5D">
        <w:rPr>
          <w:iCs/>
          <w:szCs w:val="22"/>
          <w:lang w:val="en-US"/>
        </w:rPr>
        <w:t xml:space="preserve"> through</w:t>
      </w:r>
      <w:r w:rsidR="00373385">
        <w:rPr>
          <w:iCs/>
          <w:szCs w:val="22"/>
          <w:lang w:val="en-US"/>
        </w:rPr>
        <w:t xml:space="preserve"> </w:t>
      </w:r>
      <w:r w:rsidR="00B83802" w:rsidRPr="00B83802">
        <w:rPr>
          <w:iCs/>
          <w:szCs w:val="22"/>
          <w:lang w:val="en-US"/>
        </w:rPr>
        <w:t xml:space="preserve">allocations </w:t>
      </w:r>
      <w:r w:rsidR="00373385">
        <w:rPr>
          <w:iCs/>
          <w:szCs w:val="22"/>
          <w:lang w:val="en-US"/>
        </w:rPr>
        <w:t xml:space="preserve">under programming directions </w:t>
      </w:r>
      <w:r w:rsidR="00B83802" w:rsidRPr="00B83802">
        <w:rPr>
          <w:iCs/>
          <w:szCs w:val="22"/>
          <w:lang w:val="en-US"/>
        </w:rPr>
        <w:t>dedicated to the biodiversity focal area</w:t>
      </w:r>
      <w:r w:rsidR="00373385">
        <w:rPr>
          <w:iCs/>
          <w:szCs w:val="22"/>
          <w:lang w:val="en-US"/>
        </w:rPr>
        <w:t>,</w:t>
      </w:r>
      <w:r w:rsidR="00B83802" w:rsidRPr="00B83802">
        <w:rPr>
          <w:iCs/>
          <w:szCs w:val="22"/>
          <w:lang w:val="en-US"/>
        </w:rPr>
        <w:t xml:space="preserve"> </w:t>
      </w:r>
      <w:r w:rsidR="00373385">
        <w:rPr>
          <w:iCs/>
          <w:szCs w:val="22"/>
          <w:lang w:val="en-US"/>
        </w:rPr>
        <w:t xml:space="preserve">through </w:t>
      </w:r>
      <w:r w:rsidR="00B83802" w:rsidRPr="00B83802">
        <w:rPr>
          <w:iCs/>
          <w:szCs w:val="22"/>
          <w:lang w:val="en-US"/>
        </w:rPr>
        <w:t xml:space="preserve">co-benefits for biodiversity </w:t>
      </w:r>
      <w:r w:rsidR="00D73E6B">
        <w:rPr>
          <w:iCs/>
          <w:szCs w:val="22"/>
          <w:lang w:val="en-US"/>
        </w:rPr>
        <w:t xml:space="preserve">arising </w:t>
      </w:r>
      <w:r w:rsidR="00373385">
        <w:rPr>
          <w:iCs/>
          <w:szCs w:val="22"/>
          <w:lang w:val="en-US"/>
        </w:rPr>
        <w:t>from</w:t>
      </w:r>
      <w:r w:rsidR="00B83802" w:rsidRPr="00B83802">
        <w:rPr>
          <w:iCs/>
          <w:szCs w:val="22"/>
          <w:lang w:val="en-US"/>
        </w:rPr>
        <w:t xml:space="preserve"> other focal areas and </w:t>
      </w:r>
      <w:r w:rsidR="00B83802" w:rsidRPr="00753906">
        <w:rPr>
          <w:iCs/>
          <w:szCs w:val="22"/>
          <w:lang w:val="en-US"/>
        </w:rPr>
        <w:t>global programmes</w:t>
      </w:r>
      <w:r w:rsidR="00B83802" w:rsidRPr="003D3F00">
        <w:rPr>
          <w:iCs/>
          <w:szCs w:val="22"/>
          <w:lang w:val="en-US"/>
        </w:rPr>
        <w:t xml:space="preserve">, </w:t>
      </w:r>
      <w:r w:rsidR="00373385" w:rsidRPr="003D3F00">
        <w:rPr>
          <w:iCs/>
          <w:szCs w:val="22"/>
          <w:lang w:val="en-US"/>
        </w:rPr>
        <w:t>and</w:t>
      </w:r>
      <w:r w:rsidR="00373385" w:rsidRPr="00753906">
        <w:rPr>
          <w:iCs/>
          <w:szCs w:val="22"/>
          <w:lang w:val="en-US"/>
        </w:rPr>
        <w:t xml:space="preserve"> through the</w:t>
      </w:r>
      <w:r w:rsidR="00B83802" w:rsidRPr="00753906">
        <w:rPr>
          <w:iCs/>
          <w:szCs w:val="22"/>
          <w:lang w:val="en-US"/>
        </w:rPr>
        <w:t xml:space="preserve"> integrated programmes, recognizing the need for streamlined programming and approval process </w:t>
      </w:r>
      <w:r w:rsidR="00D73E6B" w:rsidRPr="00753906">
        <w:rPr>
          <w:iCs/>
          <w:szCs w:val="22"/>
          <w:lang w:val="en-US"/>
        </w:rPr>
        <w:t>that</w:t>
      </w:r>
      <w:r w:rsidR="00B83802" w:rsidRPr="00753906">
        <w:rPr>
          <w:iCs/>
          <w:szCs w:val="22"/>
          <w:lang w:val="en-US"/>
        </w:rPr>
        <w:t xml:space="preserve"> enable</w:t>
      </w:r>
      <w:r w:rsidR="00D73E6B" w:rsidRPr="00753906">
        <w:rPr>
          <w:iCs/>
          <w:szCs w:val="22"/>
          <w:lang w:val="en-US"/>
        </w:rPr>
        <w:t>s</w:t>
      </w:r>
      <w:r w:rsidR="00B83802" w:rsidRPr="00753906">
        <w:rPr>
          <w:iCs/>
          <w:szCs w:val="22"/>
          <w:lang w:val="en-US"/>
        </w:rPr>
        <w:t xml:space="preserve"> timely disbursement of resources</w:t>
      </w:r>
      <w:r w:rsidRPr="00753906">
        <w:rPr>
          <w:iCs/>
          <w:szCs w:val="22"/>
          <w:lang w:val="en-US"/>
        </w:rPr>
        <w:t>;</w:t>
      </w:r>
    </w:p>
    <w:p w14:paraId="26AB867F" w14:textId="74E68A90" w:rsidR="007870DE" w:rsidRPr="00753906" w:rsidRDefault="00882C05" w:rsidP="003D3F00">
      <w:pPr>
        <w:pStyle w:val="Para2"/>
        <w:tabs>
          <w:tab w:val="clear" w:pos="1701"/>
          <w:tab w:val="left" w:pos="2268"/>
        </w:tabs>
        <w:ind w:left="1134" w:firstLine="564"/>
        <w:rPr>
          <w:iCs/>
          <w:szCs w:val="22"/>
          <w:lang w:val="en-US"/>
        </w:rPr>
      </w:pPr>
      <w:r w:rsidRPr="00753906">
        <w:rPr>
          <w:iCs/>
          <w:szCs w:val="22"/>
          <w:lang w:val="en-US"/>
        </w:rPr>
        <w:t>(c)</w:t>
      </w:r>
      <w:r w:rsidRPr="00753906">
        <w:rPr>
          <w:iCs/>
          <w:szCs w:val="22"/>
          <w:lang w:val="en-US"/>
        </w:rPr>
        <w:tab/>
      </w:r>
      <w:r w:rsidR="007870DE" w:rsidRPr="00753906">
        <w:rPr>
          <w:iCs/>
          <w:szCs w:val="22"/>
          <w:lang w:val="en-US"/>
        </w:rPr>
        <w:t xml:space="preserve">Build upon support being provided under the eighth replenishment of the </w:t>
      </w:r>
      <w:r w:rsidR="007870DE" w:rsidRPr="003D3F00">
        <w:rPr>
          <w:iCs/>
          <w:szCs w:val="22"/>
          <w:lang w:val="en-US"/>
        </w:rPr>
        <w:t>Global Environment Facility</w:t>
      </w:r>
      <w:r w:rsidRPr="00753906">
        <w:rPr>
          <w:iCs/>
          <w:szCs w:val="22"/>
          <w:lang w:val="en-US"/>
        </w:rPr>
        <w:t>;</w:t>
      </w:r>
    </w:p>
    <w:p w14:paraId="5E89D2A0" w14:textId="4B5EB83D" w:rsidR="00D73E6B" w:rsidRDefault="00882C05" w:rsidP="003D3F00">
      <w:pPr>
        <w:pStyle w:val="Para2"/>
        <w:tabs>
          <w:tab w:val="clear" w:pos="1701"/>
          <w:tab w:val="left" w:pos="2268"/>
        </w:tabs>
        <w:ind w:left="1134" w:firstLine="564"/>
        <w:rPr>
          <w:iCs/>
          <w:szCs w:val="22"/>
          <w:lang w:val="en-US"/>
        </w:rPr>
      </w:pPr>
      <w:r w:rsidRPr="00753906">
        <w:rPr>
          <w:iCs/>
          <w:szCs w:val="22"/>
          <w:lang w:val="en-US"/>
        </w:rPr>
        <w:t>(d)</w:t>
      </w:r>
      <w:r w:rsidRPr="00753906">
        <w:rPr>
          <w:iCs/>
          <w:szCs w:val="22"/>
          <w:lang w:val="en-US"/>
        </w:rPr>
        <w:tab/>
      </w:r>
      <w:r w:rsidR="00D73E6B" w:rsidRPr="00753906">
        <w:rPr>
          <w:iCs/>
          <w:szCs w:val="22"/>
          <w:lang w:val="en-US"/>
        </w:rPr>
        <w:t xml:space="preserve">Take into </w:t>
      </w:r>
      <w:r w:rsidR="00D73E6B" w:rsidRPr="00753906">
        <w:rPr>
          <w:lang w:val="en-GB"/>
        </w:rPr>
        <w:t>account</w:t>
      </w:r>
      <w:r w:rsidR="00D73E6B" w:rsidRPr="00753906">
        <w:rPr>
          <w:iCs/>
          <w:szCs w:val="22"/>
          <w:lang w:val="en-US"/>
        </w:rPr>
        <w:t xml:space="preserve"> coherence with</w:t>
      </w:r>
      <w:r w:rsidR="00D73E6B" w:rsidRPr="003D3F00">
        <w:rPr>
          <w:iCs/>
          <w:szCs w:val="22"/>
          <w:lang w:val="en-US"/>
        </w:rPr>
        <w:t>, and</w:t>
      </w:r>
      <w:r w:rsidR="00D73E6B" w:rsidRPr="00753906">
        <w:rPr>
          <w:iCs/>
          <w:szCs w:val="22"/>
          <w:lang w:val="en-US"/>
        </w:rPr>
        <w:t xml:space="preserve"> synergies among, country-driven programmes and priorities set out in national biodiversity strategies</w:t>
      </w:r>
      <w:r w:rsidR="00D73E6B" w:rsidRPr="00B83802">
        <w:rPr>
          <w:iCs/>
          <w:szCs w:val="22"/>
          <w:lang w:val="en-US"/>
        </w:rPr>
        <w:t xml:space="preserve"> and action plans to support implementation of the </w:t>
      </w:r>
      <w:r w:rsidR="00D73E6B" w:rsidRPr="00B83802">
        <w:rPr>
          <w:bCs/>
          <w:snapToGrid w:val="0"/>
          <w:kern w:val="22"/>
          <w:szCs w:val="22"/>
        </w:rPr>
        <w:t>Framework</w:t>
      </w:r>
      <w:r>
        <w:rPr>
          <w:iCs/>
          <w:szCs w:val="22"/>
          <w:lang w:val="en-US"/>
        </w:rPr>
        <w:t>;</w:t>
      </w:r>
    </w:p>
    <w:p w14:paraId="6F3D6687" w14:textId="0BCED4CE" w:rsidR="00D73E6B" w:rsidRDefault="00882C05" w:rsidP="003D3F00">
      <w:pPr>
        <w:pStyle w:val="Para2"/>
        <w:tabs>
          <w:tab w:val="clear" w:pos="1701"/>
          <w:tab w:val="left" w:pos="2268"/>
        </w:tabs>
        <w:ind w:left="1134" w:firstLine="564"/>
        <w:rPr>
          <w:szCs w:val="22"/>
          <w:lang w:val="en-US"/>
        </w:rPr>
      </w:pPr>
      <w:r>
        <w:rPr>
          <w:szCs w:val="22"/>
          <w:lang w:val="en-US"/>
        </w:rPr>
        <w:t>(e)</w:t>
      </w:r>
      <w:r>
        <w:rPr>
          <w:szCs w:val="22"/>
          <w:lang w:val="en-US"/>
        </w:rPr>
        <w:tab/>
      </w:r>
      <w:r w:rsidR="00D73E6B">
        <w:rPr>
          <w:iCs/>
          <w:szCs w:val="22"/>
          <w:lang w:val="en-US"/>
        </w:rPr>
        <w:t>P</w:t>
      </w:r>
      <w:r w:rsidR="00D73E6B" w:rsidRPr="00B83802">
        <w:rPr>
          <w:iCs/>
          <w:szCs w:val="22"/>
          <w:lang w:val="en-US"/>
        </w:rPr>
        <w:t xml:space="preserve">romote </w:t>
      </w:r>
      <w:r w:rsidR="00D73E6B" w:rsidRPr="00B83802">
        <w:rPr>
          <w:szCs w:val="22"/>
          <w:lang w:val="en-US"/>
        </w:rPr>
        <w:t xml:space="preserve">engagement with </w:t>
      </w:r>
      <w:r w:rsidR="00D73E6B">
        <w:rPr>
          <w:szCs w:val="22"/>
          <w:lang w:val="en-US"/>
        </w:rPr>
        <w:t xml:space="preserve">eligible </w:t>
      </w:r>
      <w:r w:rsidR="00D73E6B" w:rsidRPr="00B83802">
        <w:rPr>
          <w:szCs w:val="22"/>
          <w:lang w:val="en-US"/>
        </w:rPr>
        <w:t>recipient countries to support national resource mobilization and the development and implementation of national biodiversity finance plans</w:t>
      </w:r>
      <w:r>
        <w:rPr>
          <w:szCs w:val="22"/>
          <w:lang w:val="en-US"/>
        </w:rPr>
        <w:t>;</w:t>
      </w:r>
    </w:p>
    <w:p w14:paraId="2B8BC0E8" w14:textId="18C691BE" w:rsidR="00D73E6B" w:rsidRPr="00753906" w:rsidRDefault="00882C05" w:rsidP="003D3F00">
      <w:pPr>
        <w:pStyle w:val="Para2"/>
        <w:tabs>
          <w:tab w:val="clear" w:pos="1701"/>
          <w:tab w:val="left" w:pos="2268"/>
        </w:tabs>
        <w:ind w:left="1134" w:firstLine="564"/>
        <w:rPr>
          <w:iCs/>
          <w:szCs w:val="22"/>
          <w:lang w:val="en-US"/>
        </w:rPr>
      </w:pPr>
      <w:r>
        <w:rPr>
          <w:iCs/>
          <w:szCs w:val="22"/>
          <w:lang w:val="en-US"/>
        </w:rPr>
        <w:t>(f)</w:t>
      </w:r>
      <w:r>
        <w:rPr>
          <w:iCs/>
          <w:szCs w:val="22"/>
          <w:lang w:val="en-US"/>
        </w:rPr>
        <w:tab/>
      </w:r>
      <w:r w:rsidR="00D73E6B">
        <w:rPr>
          <w:iCs/>
          <w:szCs w:val="22"/>
          <w:lang w:val="en-US"/>
        </w:rPr>
        <w:t>P</w:t>
      </w:r>
      <w:r w:rsidR="00D73E6B" w:rsidRPr="00B83802">
        <w:rPr>
          <w:iCs/>
          <w:szCs w:val="22"/>
          <w:lang w:val="en-US"/>
        </w:rPr>
        <w:t>romote</w:t>
      </w:r>
      <w:r w:rsidR="00D73E6B" w:rsidRPr="00B83802">
        <w:rPr>
          <w:szCs w:val="22"/>
          <w:lang w:val="en-US"/>
        </w:rPr>
        <w:t xml:space="preserve"> </w:t>
      </w:r>
      <w:r w:rsidR="00D73E6B">
        <w:rPr>
          <w:szCs w:val="22"/>
          <w:lang w:val="en-US"/>
        </w:rPr>
        <w:t>the achievement of</w:t>
      </w:r>
      <w:r w:rsidR="00D73E6B" w:rsidRPr="00B83802">
        <w:rPr>
          <w:szCs w:val="22"/>
          <w:lang w:val="en-US"/>
        </w:rPr>
        <w:t xml:space="preserve"> global environmental benefits and </w:t>
      </w:r>
      <w:r w:rsidR="00D73E6B">
        <w:rPr>
          <w:szCs w:val="22"/>
          <w:lang w:val="en-US"/>
        </w:rPr>
        <w:t xml:space="preserve">sustainable </w:t>
      </w:r>
      <w:r w:rsidR="00D73E6B" w:rsidRPr="00B83802">
        <w:rPr>
          <w:iCs/>
          <w:szCs w:val="22"/>
          <w:lang w:val="en-US"/>
        </w:rPr>
        <w:t xml:space="preserve">development pathways </w:t>
      </w:r>
      <w:r w:rsidR="00D73E6B" w:rsidRPr="00753906">
        <w:rPr>
          <w:iCs/>
          <w:szCs w:val="22"/>
          <w:lang w:val="en-US"/>
        </w:rPr>
        <w:t xml:space="preserve">that ensure the conservation and sustainable use of biodiversity and the fair and equitable sharing of benefits arising from the utilization of genetic resources and that are also carbon-neutral and pollution-free, including through ensuring coherence and synergies among the </w:t>
      </w:r>
      <w:r w:rsidR="00533AE2" w:rsidRPr="003D3F00">
        <w:rPr>
          <w:iCs/>
          <w:szCs w:val="22"/>
          <w:lang w:val="en-US"/>
        </w:rPr>
        <w:t>Global Environment Facility</w:t>
      </w:r>
      <w:r w:rsidR="00533AE2" w:rsidRPr="00753906">
        <w:rPr>
          <w:iCs/>
          <w:szCs w:val="22"/>
          <w:lang w:val="en-US"/>
        </w:rPr>
        <w:t xml:space="preserve">’s </w:t>
      </w:r>
      <w:r w:rsidR="00D73E6B" w:rsidRPr="00753906">
        <w:rPr>
          <w:iCs/>
          <w:szCs w:val="22"/>
          <w:lang w:val="en-US"/>
        </w:rPr>
        <w:t>focal areas of biodiversity, land degradation, international waters, climate change mitigation and adaptation</w:t>
      </w:r>
      <w:r w:rsidR="00D73E6B" w:rsidRPr="003D3F00">
        <w:rPr>
          <w:iCs/>
          <w:szCs w:val="22"/>
          <w:lang w:val="en-US"/>
        </w:rPr>
        <w:t>, and</w:t>
      </w:r>
      <w:r w:rsidR="00D73E6B" w:rsidRPr="00753906">
        <w:rPr>
          <w:iCs/>
          <w:szCs w:val="22"/>
          <w:lang w:val="en-US"/>
        </w:rPr>
        <w:t xml:space="preserve"> chemicals and waste</w:t>
      </w:r>
      <w:r w:rsidR="00D73E6B" w:rsidRPr="003D3F00">
        <w:rPr>
          <w:iCs/>
          <w:szCs w:val="22"/>
          <w:lang w:val="en-US"/>
        </w:rPr>
        <w:t>, and</w:t>
      </w:r>
      <w:r w:rsidR="00D73E6B" w:rsidRPr="00753906">
        <w:rPr>
          <w:iCs/>
          <w:szCs w:val="22"/>
          <w:lang w:val="en-US"/>
        </w:rPr>
        <w:t xml:space="preserve"> its integrated programmes, within the context of country</w:t>
      </w:r>
      <w:r w:rsidR="00D73E6B" w:rsidRPr="00753906">
        <w:rPr>
          <w:iCs/>
          <w:szCs w:val="22"/>
          <w:lang w:val="en-US"/>
        </w:rPr>
        <w:noBreakHyphen/>
        <w:t>driven priorities and programmes</w:t>
      </w:r>
      <w:r w:rsidRPr="00753906">
        <w:rPr>
          <w:iCs/>
          <w:szCs w:val="22"/>
          <w:lang w:val="en-US"/>
        </w:rPr>
        <w:t>;</w:t>
      </w:r>
    </w:p>
    <w:p w14:paraId="5D79717D" w14:textId="14D1F4A0" w:rsidR="00D73E6B" w:rsidRDefault="00882C05" w:rsidP="003D3F00">
      <w:pPr>
        <w:pStyle w:val="Para2"/>
        <w:tabs>
          <w:tab w:val="clear" w:pos="1701"/>
          <w:tab w:val="left" w:pos="2268"/>
        </w:tabs>
        <w:ind w:left="1134" w:firstLine="564"/>
        <w:rPr>
          <w:iCs/>
          <w:szCs w:val="22"/>
          <w:lang w:val="en-US"/>
        </w:rPr>
      </w:pPr>
      <w:r w:rsidRPr="00753906">
        <w:rPr>
          <w:iCs/>
          <w:szCs w:val="22"/>
          <w:lang w:val="en-US"/>
        </w:rPr>
        <w:t>(g)</w:t>
      </w:r>
      <w:r w:rsidRPr="00753906">
        <w:rPr>
          <w:iCs/>
          <w:szCs w:val="22"/>
          <w:lang w:val="en-US"/>
        </w:rPr>
        <w:tab/>
      </w:r>
      <w:r w:rsidR="00D73E6B" w:rsidRPr="00753906">
        <w:rPr>
          <w:iCs/>
          <w:szCs w:val="22"/>
          <w:lang w:val="en-US"/>
        </w:rPr>
        <w:t xml:space="preserve">Recognize that the implementation of biodiversity-related conventions and multilateral agreements, in the </w:t>
      </w:r>
      <w:r w:rsidR="00D73E6B" w:rsidRPr="00753906">
        <w:rPr>
          <w:lang w:val="en-GB"/>
        </w:rPr>
        <w:t>context</w:t>
      </w:r>
      <w:r w:rsidR="00D73E6B" w:rsidRPr="00753906">
        <w:rPr>
          <w:iCs/>
          <w:szCs w:val="22"/>
          <w:lang w:val="en-US"/>
        </w:rPr>
        <w:t xml:space="preserve"> of national biodiversity priorities and strategies, will contribute to the three objectives of the Convention</w:t>
      </w:r>
      <w:r w:rsidR="005C5C07" w:rsidRPr="00753906">
        <w:rPr>
          <w:iCs/>
          <w:szCs w:val="22"/>
          <w:lang w:val="en-US"/>
        </w:rPr>
        <w:t>,</w:t>
      </w:r>
      <w:r w:rsidR="00D73E6B" w:rsidRPr="00753906">
        <w:rPr>
          <w:iCs/>
          <w:szCs w:val="22"/>
          <w:lang w:val="en-US"/>
        </w:rPr>
        <w:t xml:space="preserve"> </w:t>
      </w:r>
      <w:r w:rsidR="005C5C07" w:rsidRPr="00753906">
        <w:rPr>
          <w:iCs/>
          <w:szCs w:val="22"/>
          <w:lang w:val="en-US"/>
        </w:rPr>
        <w:t>objectives of</w:t>
      </w:r>
      <w:r w:rsidR="00D73E6B" w:rsidRPr="00753906">
        <w:rPr>
          <w:iCs/>
          <w:szCs w:val="22"/>
          <w:lang w:val="en-US"/>
        </w:rPr>
        <w:t xml:space="preserve"> its Protocols and the goals and targets of the</w:t>
      </w:r>
      <w:r w:rsidR="00D73E6B" w:rsidRPr="00753906">
        <w:rPr>
          <w:bCs/>
          <w:snapToGrid w:val="0"/>
          <w:kern w:val="22"/>
          <w:szCs w:val="22"/>
        </w:rPr>
        <w:t xml:space="preserve"> Framework</w:t>
      </w:r>
      <w:r w:rsidRPr="00753906">
        <w:rPr>
          <w:iCs/>
          <w:szCs w:val="22"/>
          <w:lang w:val="en-US"/>
        </w:rPr>
        <w:t>;</w:t>
      </w:r>
    </w:p>
    <w:p w14:paraId="3393D161" w14:textId="55A2665B" w:rsidR="00D73E6B" w:rsidRPr="00753906" w:rsidRDefault="00882C05" w:rsidP="003D3F00">
      <w:pPr>
        <w:pStyle w:val="Para2"/>
        <w:tabs>
          <w:tab w:val="clear" w:pos="1701"/>
          <w:tab w:val="left" w:pos="2268"/>
        </w:tabs>
        <w:ind w:left="1134" w:firstLine="564"/>
        <w:rPr>
          <w:iCs/>
          <w:szCs w:val="22"/>
          <w:lang w:val="en-US"/>
        </w:rPr>
      </w:pPr>
      <w:r>
        <w:rPr>
          <w:iCs/>
          <w:szCs w:val="22"/>
          <w:lang w:val="en-US"/>
        </w:rPr>
        <w:t>(h)</w:t>
      </w:r>
      <w:r>
        <w:rPr>
          <w:iCs/>
          <w:szCs w:val="22"/>
          <w:lang w:val="en-US"/>
        </w:rPr>
        <w:tab/>
      </w:r>
      <w:r w:rsidR="00D73E6B">
        <w:rPr>
          <w:iCs/>
          <w:szCs w:val="22"/>
          <w:lang w:val="en-US"/>
        </w:rPr>
        <w:t>P</w:t>
      </w:r>
      <w:r w:rsidR="00D73E6B" w:rsidRPr="00B83802">
        <w:rPr>
          <w:iCs/>
          <w:szCs w:val="22"/>
          <w:lang w:val="en-US"/>
        </w:rPr>
        <w:t xml:space="preserve">romote, </w:t>
      </w:r>
      <w:r w:rsidR="00D73E6B" w:rsidRPr="00753906">
        <w:rPr>
          <w:iCs/>
          <w:szCs w:val="22"/>
          <w:lang w:val="en-US"/>
        </w:rPr>
        <w:t xml:space="preserve">synergies, cooperation and complementarity in the implementation of the three objectives of the </w:t>
      </w:r>
      <w:r w:rsidR="00D73E6B" w:rsidRPr="00753906">
        <w:rPr>
          <w:lang w:val="en-GB"/>
        </w:rPr>
        <w:t>Convention</w:t>
      </w:r>
      <w:r w:rsidR="00D73E6B" w:rsidRPr="00753906">
        <w:rPr>
          <w:iCs/>
          <w:szCs w:val="22"/>
          <w:lang w:val="en-US"/>
        </w:rPr>
        <w:t xml:space="preserve"> and the </w:t>
      </w:r>
      <w:r w:rsidR="00F86B60" w:rsidRPr="00753906">
        <w:rPr>
          <w:iCs/>
          <w:szCs w:val="22"/>
          <w:lang w:val="en-US"/>
        </w:rPr>
        <w:t xml:space="preserve">related </w:t>
      </w:r>
      <w:r w:rsidR="00D73E6B" w:rsidRPr="00753906">
        <w:rPr>
          <w:iCs/>
          <w:szCs w:val="22"/>
          <w:lang w:val="en-US"/>
        </w:rPr>
        <w:t xml:space="preserve">objectives of the other conventions served by the </w:t>
      </w:r>
      <w:r w:rsidR="00BE656F" w:rsidRPr="003D3F00">
        <w:rPr>
          <w:iCs/>
          <w:szCs w:val="22"/>
          <w:lang w:val="en-US"/>
        </w:rPr>
        <w:t>Global Environment Facility</w:t>
      </w:r>
      <w:r w:rsidR="00D73E6B" w:rsidRPr="00753906">
        <w:rPr>
          <w:iCs/>
          <w:szCs w:val="22"/>
          <w:lang w:val="en-US"/>
        </w:rPr>
        <w:t xml:space="preserve">, </w:t>
      </w:r>
      <w:r w:rsidR="00434411" w:rsidRPr="00753906">
        <w:rPr>
          <w:iCs/>
          <w:szCs w:val="22"/>
          <w:lang w:val="en-US"/>
        </w:rPr>
        <w:t>as well as</w:t>
      </w:r>
      <w:r w:rsidR="00F86B60" w:rsidRPr="00753906">
        <w:rPr>
          <w:iCs/>
          <w:szCs w:val="22"/>
          <w:lang w:val="en-US"/>
        </w:rPr>
        <w:t xml:space="preserve"> </w:t>
      </w:r>
      <w:r w:rsidR="00D73E6B" w:rsidRPr="00753906">
        <w:rPr>
          <w:iCs/>
          <w:szCs w:val="22"/>
          <w:lang w:val="en-US"/>
        </w:rPr>
        <w:t>those of other biodiversity-related conventions and multilateral agreements, recognizing the important contributions of these instruments to the objectives of the Convention, its Protocols and the Framework</w:t>
      </w:r>
      <w:r w:rsidR="00D73E6B" w:rsidRPr="003D3F00">
        <w:rPr>
          <w:iCs/>
          <w:szCs w:val="22"/>
          <w:lang w:val="en-US"/>
        </w:rPr>
        <w:t>, and</w:t>
      </w:r>
      <w:r w:rsidR="00D73E6B" w:rsidRPr="00753906">
        <w:rPr>
          <w:iCs/>
          <w:szCs w:val="22"/>
          <w:lang w:val="en-US"/>
        </w:rPr>
        <w:t xml:space="preserve"> the reciproca</w:t>
      </w:r>
      <w:r w:rsidR="00F86B60" w:rsidRPr="00753906">
        <w:rPr>
          <w:iCs/>
          <w:szCs w:val="22"/>
          <w:lang w:val="en-US"/>
        </w:rPr>
        <w:t>ted</w:t>
      </w:r>
      <w:r w:rsidR="00D73E6B" w:rsidRPr="00753906">
        <w:rPr>
          <w:iCs/>
          <w:szCs w:val="22"/>
          <w:lang w:val="en-US"/>
        </w:rPr>
        <w:t xml:space="preserve"> contributions to their own objectives</w:t>
      </w:r>
      <w:r w:rsidRPr="00753906">
        <w:rPr>
          <w:iCs/>
          <w:szCs w:val="22"/>
          <w:lang w:val="en-US"/>
        </w:rPr>
        <w:t>;</w:t>
      </w:r>
    </w:p>
    <w:p w14:paraId="5C3CDDA6" w14:textId="5D99EBC6" w:rsidR="00D73E6B" w:rsidRPr="00753906" w:rsidRDefault="00882C05" w:rsidP="003D3F00">
      <w:pPr>
        <w:pStyle w:val="Para2"/>
        <w:tabs>
          <w:tab w:val="clear" w:pos="1701"/>
          <w:tab w:val="left" w:pos="2268"/>
        </w:tabs>
        <w:ind w:left="1134" w:firstLine="564"/>
        <w:rPr>
          <w:iCs/>
          <w:szCs w:val="22"/>
          <w:lang w:val="en-US"/>
        </w:rPr>
      </w:pPr>
      <w:r w:rsidRPr="00753906">
        <w:rPr>
          <w:iCs/>
          <w:szCs w:val="22"/>
          <w:lang w:val="en-US"/>
        </w:rPr>
        <w:t>(i)</w:t>
      </w:r>
      <w:r w:rsidRPr="00753906">
        <w:rPr>
          <w:iCs/>
          <w:szCs w:val="22"/>
          <w:lang w:val="en-US"/>
        </w:rPr>
        <w:tab/>
      </w:r>
      <w:r w:rsidR="00D73E6B" w:rsidRPr="00753906">
        <w:rPr>
          <w:iCs/>
          <w:szCs w:val="22"/>
          <w:lang w:val="en-US"/>
        </w:rPr>
        <w:t xml:space="preserve">Reinforce the </w:t>
      </w:r>
      <w:r w:rsidR="00753906" w:rsidRPr="00753906">
        <w:rPr>
          <w:iCs/>
          <w:szCs w:val="22"/>
          <w:lang w:val="en-US"/>
        </w:rPr>
        <w:t xml:space="preserve">efforts of the </w:t>
      </w:r>
      <w:r w:rsidR="00BE656F" w:rsidRPr="003D3F00">
        <w:rPr>
          <w:iCs/>
          <w:szCs w:val="22"/>
          <w:lang w:val="en-US"/>
        </w:rPr>
        <w:t>Global Environment Facility</w:t>
      </w:r>
      <w:r w:rsidR="00BE656F" w:rsidRPr="00753906">
        <w:rPr>
          <w:iCs/>
          <w:szCs w:val="22"/>
          <w:lang w:val="en-US"/>
        </w:rPr>
        <w:t xml:space="preserve"> </w:t>
      </w:r>
      <w:r w:rsidR="00D73E6B" w:rsidRPr="00753906">
        <w:rPr>
          <w:iCs/>
          <w:szCs w:val="22"/>
          <w:lang w:val="en-US"/>
        </w:rPr>
        <w:t>to mobilize and engage with all stakeholders, including the private sector</w:t>
      </w:r>
      <w:r w:rsidRPr="00753906">
        <w:rPr>
          <w:iCs/>
          <w:szCs w:val="22"/>
          <w:lang w:val="en-US"/>
        </w:rPr>
        <w:t>;</w:t>
      </w:r>
    </w:p>
    <w:p w14:paraId="24313102" w14:textId="3FE0FDA9" w:rsidR="00B83802" w:rsidRPr="00B83802" w:rsidRDefault="00882C05" w:rsidP="003D3F00">
      <w:pPr>
        <w:pStyle w:val="Para2"/>
        <w:tabs>
          <w:tab w:val="clear" w:pos="1701"/>
          <w:tab w:val="left" w:pos="2268"/>
        </w:tabs>
        <w:ind w:left="1134" w:firstLine="564"/>
        <w:rPr>
          <w:iCs/>
          <w:szCs w:val="22"/>
          <w:lang w:val="en-US"/>
        </w:rPr>
      </w:pPr>
      <w:r w:rsidRPr="00753906">
        <w:rPr>
          <w:iCs/>
          <w:szCs w:val="22"/>
          <w:lang w:val="en-US"/>
        </w:rPr>
        <w:t>(j)</w:t>
      </w:r>
      <w:r w:rsidRPr="00753906">
        <w:rPr>
          <w:iCs/>
          <w:szCs w:val="22"/>
          <w:lang w:val="en-US"/>
        </w:rPr>
        <w:tab/>
      </w:r>
      <w:r w:rsidR="00EF62D8" w:rsidRPr="00753906">
        <w:rPr>
          <w:iCs/>
          <w:szCs w:val="22"/>
          <w:lang w:val="en-US"/>
        </w:rPr>
        <w:t>R</w:t>
      </w:r>
      <w:r w:rsidR="00B83802" w:rsidRPr="00753906">
        <w:rPr>
          <w:iCs/>
          <w:szCs w:val="22"/>
          <w:lang w:val="en-US"/>
        </w:rPr>
        <w:t xml:space="preserve">ecognize the </w:t>
      </w:r>
      <w:r w:rsidR="00373385" w:rsidRPr="00753906">
        <w:rPr>
          <w:iCs/>
          <w:szCs w:val="22"/>
          <w:lang w:val="en-US"/>
        </w:rPr>
        <w:t xml:space="preserve">important </w:t>
      </w:r>
      <w:r w:rsidR="00B83802" w:rsidRPr="00753906">
        <w:rPr>
          <w:iCs/>
          <w:szCs w:val="22"/>
          <w:lang w:val="en-US"/>
        </w:rPr>
        <w:t xml:space="preserve">contribution </w:t>
      </w:r>
      <w:r w:rsidR="003029DD" w:rsidRPr="00753906">
        <w:rPr>
          <w:iCs/>
          <w:szCs w:val="22"/>
          <w:lang w:val="en-US"/>
        </w:rPr>
        <w:t>that can</w:t>
      </w:r>
      <w:r w:rsidR="003029DD">
        <w:rPr>
          <w:iCs/>
          <w:szCs w:val="22"/>
          <w:lang w:val="en-US"/>
        </w:rPr>
        <w:t xml:space="preserve"> be </w:t>
      </w:r>
      <w:r w:rsidR="00373385" w:rsidRPr="00B931D3">
        <w:rPr>
          <w:iCs/>
          <w:szCs w:val="22"/>
          <w:lang w:val="en-US"/>
        </w:rPr>
        <w:t>made by</w:t>
      </w:r>
      <w:r w:rsidR="00B83802" w:rsidRPr="00B931D3">
        <w:rPr>
          <w:iCs/>
          <w:szCs w:val="22"/>
          <w:lang w:val="en-US"/>
        </w:rPr>
        <w:t xml:space="preserve"> </w:t>
      </w:r>
      <w:r w:rsidR="00373385" w:rsidRPr="003D3F00">
        <w:rPr>
          <w:iCs/>
          <w:szCs w:val="22"/>
          <w:lang w:val="en-US"/>
        </w:rPr>
        <w:t>transboundary</w:t>
      </w:r>
      <w:r w:rsidR="00373385" w:rsidRPr="00B931D3">
        <w:rPr>
          <w:iCs/>
          <w:szCs w:val="22"/>
          <w:lang w:val="en-US"/>
        </w:rPr>
        <w:t xml:space="preserve">, </w:t>
      </w:r>
      <w:r w:rsidR="00B83802" w:rsidRPr="00B931D3">
        <w:rPr>
          <w:iCs/>
          <w:szCs w:val="22"/>
          <w:lang w:val="en-US"/>
        </w:rPr>
        <w:t>multi</w:t>
      </w:r>
      <w:r w:rsidR="00B83802" w:rsidRPr="00B83802">
        <w:rPr>
          <w:iCs/>
          <w:szCs w:val="22"/>
          <w:lang w:val="en-US"/>
        </w:rPr>
        <w:t xml:space="preserve">-country, regional and global projects to the implementation of the objectives of the Convention, its Protocols and the </w:t>
      </w:r>
      <w:r w:rsidR="00B83802" w:rsidRPr="00B83802">
        <w:rPr>
          <w:bCs/>
          <w:snapToGrid w:val="0"/>
          <w:kern w:val="22"/>
          <w:szCs w:val="22"/>
        </w:rPr>
        <w:t>Framework</w:t>
      </w:r>
      <w:r w:rsidR="00B83802" w:rsidRPr="00B83802">
        <w:rPr>
          <w:iCs/>
          <w:szCs w:val="22"/>
          <w:lang w:val="en-US"/>
        </w:rPr>
        <w:t>, including to</w:t>
      </w:r>
      <w:r w:rsidR="003029DD">
        <w:rPr>
          <w:iCs/>
          <w:szCs w:val="22"/>
          <w:lang w:val="en-US"/>
        </w:rPr>
        <w:t>wards</w:t>
      </w:r>
      <w:r w:rsidR="00B83802" w:rsidRPr="00B83802">
        <w:rPr>
          <w:iCs/>
          <w:szCs w:val="22"/>
          <w:lang w:val="en-US"/>
        </w:rPr>
        <w:t xml:space="preserve"> the implementation of global initiatives adopted under the Convention and its Protocols</w:t>
      </w:r>
      <w:r w:rsidR="00B83802" w:rsidRPr="003D3F00">
        <w:rPr>
          <w:iCs/>
          <w:szCs w:val="22"/>
          <w:lang w:val="en-US"/>
        </w:rPr>
        <w:t>, and</w:t>
      </w:r>
      <w:r w:rsidR="00B83802" w:rsidRPr="00B931D3">
        <w:rPr>
          <w:iCs/>
          <w:szCs w:val="22"/>
          <w:lang w:val="en-US"/>
        </w:rPr>
        <w:t xml:space="preserve"> </w:t>
      </w:r>
      <w:r w:rsidR="003029DD" w:rsidRPr="00B931D3">
        <w:rPr>
          <w:iCs/>
          <w:szCs w:val="22"/>
          <w:lang w:val="en-US"/>
        </w:rPr>
        <w:t>transboundary</w:t>
      </w:r>
      <w:r w:rsidR="003029DD">
        <w:rPr>
          <w:iCs/>
          <w:szCs w:val="22"/>
          <w:lang w:val="en-US"/>
        </w:rPr>
        <w:t xml:space="preserve">, </w:t>
      </w:r>
      <w:r w:rsidR="00B83802" w:rsidRPr="00B83802">
        <w:rPr>
          <w:iCs/>
          <w:szCs w:val="22"/>
          <w:lang w:val="en-US"/>
        </w:rPr>
        <w:t xml:space="preserve">multi-country, regional and global initiatives that leverage contributions from biodiversity-related conventions and </w:t>
      </w:r>
      <w:r w:rsidR="003029DD">
        <w:rPr>
          <w:iCs/>
          <w:szCs w:val="22"/>
          <w:lang w:val="en-US"/>
        </w:rPr>
        <w:t xml:space="preserve">multilateral </w:t>
      </w:r>
      <w:r w:rsidR="00B83802" w:rsidRPr="00B83802">
        <w:rPr>
          <w:iCs/>
          <w:szCs w:val="22"/>
          <w:lang w:val="en-US"/>
        </w:rPr>
        <w:t>agreements</w:t>
      </w:r>
      <w:r>
        <w:rPr>
          <w:iCs/>
          <w:szCs w:val="22"/>
          <w:lang w:val="en-US"/>
        </w:rPr>
        <w:t>;</w:t>
      </w:r>
    </w:p>
    <w:p w14:paraId="2C29FC38" w14:textId="6314F6D0" w:rsidR="00B83802" w:rsidRPr="00B83802" w:rsidRDefault="00882C05" w:rsidP="003D3F00">
      <w:pPr>
        <w:pStyle w:val="Para2"/>
        <w:tabs>
          <w:tab w:val="clear" w:pos="1701"/>
          <w:tab w:val="left" w:pos="2268"/>
        </w:tabs>
        <w:ind w:left="1134" w:firstLine="564"/>
        <w:rPr>
          <w:bCs/>
          <w:iCs/>
          <w:szCs w:val="22"/>
          <w:lang w:val="en-US"/>
        </w:rPr>
      </w:pPr>
      <w:bookmarkStart w:id="13" w:name="_Hlk122272289"/>
      <w:r w:rsidRPr="00B83802">
        <w:rPr>
          <w:bCs/>
          <w:iCs/>
          <w:szCs w:val="22"/>
          <w:lang w:val="en-US"/>
        </w:rPr>
        <w:t>(k)</w:t>
      </w:r>
      <w:r w:rsidRPr="00B83802">
        <w:rPr>
          <w:bCs/>
          <w:iCs/>
          <w:szCs w:val="22"/>
          <w:lang w:val="en-US"/>
        </w:rPr>
        <w:tab/>
      </w:r>
      <w:r w:rsidR="00EF62D8">
        <w:rPr>
          <w:bCs/>
          <w:iCs/>
          <w:szCs w:val="22"/>
          <w:lang w:val="en-US"/>
        </w:rPr>
        <w:t>P</w:t>
      </w:r>
      <w:r w:rsidR="00B83802" w:rsidRPr="00B83802">
        <w:rPr>
          <w:bCs/>
          <w:iCs/>
          <w:szCs w:val="22"/>
          <w:lang w:val="en-US"/>
        </w:rPr>
        <w:t xml:space="preserve">romote </w:t>
      </w:r>
      <w:bookmarkEnd w:id="13"/>
      <w:r w:rsidR="00B83802" w:rsidRPr="002A7352">
        <w:rPr>
          <w:lang w:val="en-GB"/>
        </w:rPr>
        <w:t>and</w:t>
      </w:r>
      <w:r w:rsidR="00B83802" w:rsidRPr="00B83802">
        <w:rPr>
          <w:bCs/>
          <w:iCs/>
          <w:szCs w:val="22"/>
          <w:lang w:val="en-US"/>
        </w:rPr>
        <w:t xml:space="preserve"> implement, </w:t>
      </w:r>
      <w:r w:rsidR="00B83802" w:rsidRPr="00B931D3">
        <w:rPr>
          <w:bCs/>
          <w:iCs/>
          <w:szCs w:val="22"/>
          <w:lang w:val="en-US"/>
        </w:rPr>
        <w:t>as appropriate, the ecosystem approach</w:t>
      </w:r>
      <w:r w:rsidR="00B83802" w:rsidRPr="00B931D3">
        <w:rPr>
          <w:bCs/>
          <w:iCs/>
          <w:szCs w:val="22"/>
          <w:vertAlign w:val="superscript"/>
          <w:lang w:val="en-US"/>
        </w:rPr>
        <w:footnoteReference w:id="26"/>
      </w:r>
      <w:r w:rsidR="00B83802" w:rsidRPr="00B931D3">
        <w:rPr>
          <w:bCs/>
          <w:iCs/>
          <w:szCs w:val="22"/>
          <w:lang w:val="en-US"/>
        </w:rPr>
        <w:t xml:space="preserve"> </w:t>
      </w:r>
      <w:r w:rsidR="00B83802" w:rsidRPr="003D3F00">
        <w:rPr>
          <w:bCs/>
          <w:iCs/>
          <w:szCs w:val="22"/>
          <w:lang w:val="en-US"/>
        </w:rPr>
        <w:t>and/or</w:t>
      </w:r>
      <w:r w:rsidR="00B83802" w:rsidRPr="00B931D3">
        <w:rPr>
          <w:bCs/>
          <w:iCs/>
          <w:szCs w:val="22"/>
          <w:lang w:val="en-US"/>
        </w:rPr>
        <w:t xml:space="preserve"> </w:t>
      </w:r>
      <w:r w:rsidR="000F14B4" w:rsidRPr="00B931D3">
        <w:rPr>
          <w:bCs/>
          <w:iCs/>
          <w:szCs w:val="22"/>
          <w:lang w:val="en-US"/>
        </w:rPr>
        <w:t>“</w:t>
      </w:r>
      <w:r w:rsidR="00B83802" w:rsidRPr="00B931D3">
        <w:rPr>
          <w:bCs/>
          <w:iCs/>
          <w:szCs w:val="22"/>
          <w:lang w:val="en-US"/>
        </w:rPr>
        <w:t>nature-based solutions</w:t>
      </w:r>
      <w:r w:rsidR="000F14B4" w:rsidRPr="00B931D3">
        <w:rPr>
          <w:bCs/>
          <w:iCs/>
          <w:szCs w:val="22"/>
          <w:lang w:val="en-US"/>
        </w:rPr>
        <w:t>”</w:t>
      </w:r>
      <w:r w:rsidR="00B83802" w:rsidRPr="00B931D3">
        <w:rPr>
          <w:bCs/>
          <w:iCs/>
          <w:szCs w:val="22"/>
          <w:lang w:val="en-US"/>
        </w:rPr>
        <w:t xml:space="preserve"> </w:t>
      </w:r>
      <w:r w:rsidR="00B83802" w:rsidRPr="00B931D3">
        <w:rPr>
          <w:bCs/>
          <w:szCs w:val="22"/>
        </w:rPr>
        <w:t xml:space="preserve">as defined by the </w:t>
      </w:r>
      <w:r w:rsidR="00B83802" w:rsidRPr="003D3F00">
        <w:rPr>
          <w:bCs/>
          <w:szCs w:val="22"/>
        </w:rPr>
        <w:t>United Nations Environment Assembly</w:t>
      </w:r>
      <w:r w:rsidR="00B83802" w:rsidRPr="00B931D3">
        <w:rPr>
          <w:bCs/>
          <w:szCs w:val="22"/>
        </w:rPr>
        <w:t xml:space="preserve"> at its</w:t>
      </w:r>
      <w:r w:rsidR="00B83802" w:rsidRPr="00B83802">
        <w:rPr>
          <w:bCs/>
          <w:szCs w:val="22"/>
        </w:rPr>
        <w:t xml:space="preserve"> fifth session.</w:t>
      </w:r>
      <w:r w:rsidR="00B83802" w:rsidRPr="00B83802">
        <w:rPr>
          <w:bCs/>
          <w:szCs w:val="22"/>
          <w:vertAlign w:val="superscript"/>
        </w:rPr>
        <w:footnoteReference w:id="27"/>
      </w:r>
    </w:p>
    <w:p w14:paraId="11C76087" w14:textId="4421ED63" w:rsidR="00B83802" w:rsidRPr="00B931D3" w:rsidRDefault="00B83802" w:rsidP="003D3F00">
      <w:pPr>
        <w:pStyle w:val="Para1"/>
        <w:tabs>
          <w:tab w:val="clear" w:pos="1134"/>
          <w:tab w:val="left" w:pos="1701"/>
        </w:tabs>
        <w:ind w:left="1134"/>
        <w:rPr>
          <w:lang w:val="en-US"/>
        </w:rPr>
      </w:pPr>
      <w:bookmarkStart w:id="14" w:name="_Hlk94282923"/>
      <w:r w:rsidRPr="00B83802">
        <w:rPr>
          <w:lang w:val="en-US"/>
        </w:rPr>
        <w:t xml:space="preserve">The outcome and impact </w:t>
      </w:r>
      <w:r w:rsidRPr="00B931D3">
        <w:rPr>
          <w:lang w:val="en-US"/>
        </w:rPr>
        <w:t xml:space="preserve">indicators </w:t>
      </w:r>
      <w:r w:rsidR="00B53987" w:rsidRPr="00B931D3">
        <w:rPr>
          <w:lang w:val="en-US"/>
        </w:rPr>
        <w:t xml:space="preserve">for the ninth replenishment of the </w:t>
      </w:r>
      <w:r w:rsidR="00B53987" w:rsidRPr="003D3F00">
        <w:rPr>
          <w:lang w:val="en-US"/>
        </w:rPr>
        <w:t>Global Environment Facility</w:t>
      </w:r>
      <w:r w:rsidR="00570BF7" w:rsidRPr="003D3F00">
        <w:rPr>
          <w:lang w:val="en-US"/>
        </w:rPr>
        <w:t>,</w:t>
      </w:r>
      <w:r w:rsidR="00B53987" w:rsidRPr="003D3F00">
        <w:rPr>
          <w:lang w:val="en-US"/>
        </w:rPr>
        <w:t xml:space="preserve"> </w:t>
      </w:r>
      <w:r w:rsidRPr="003D3F00">
        <w:rPr>
          <w:lang w:val="en-US"/>
        </w:rPr>
        <w:t>and</w:t>
      </w:r>
      <w:r w:rsidRPr="00B931D3">
        <w:rPr>
          <w:lang w:val="en-US"/>
        </w:rPr>
        <w:t xml:space="preserve"> associated monitoring processes</w:t>
      </w:r>
      <w:r w:rsidR="00570BF7" w:rsidRPr="00B931D3">
        <w:rPr>
          <w:lang w:val="en-US"/>
        </w:rPr>
        <w:t>,</w:t>
      </w:r>
      <w:r w:rsidRPr="00B931D3">
        <w:rPr>
          <w:lang w:val="en-US"/>
        </w:rPr>
        <w:t xml:space="preserve"> should be effective </w:t>
      </w:r>
      <w:r w:rsidR="00570BF7" w:rsidRPr="00B931D3">
        <w:rPr>
          <w:lang w:val="en-US"/>
        </w:rPr>
        <w:t xml:space="preserve">in their ability </w:t>
      </w:r>
      <w:r w:rsidRPr="00B931D3">
        <w:rPr>
          <w:lang w:val="en-US"/>
        </w:rPr>
        <w:t xml:space="preserve">to assess the contribution of </w:t>
      </w:r>
      <w:r w:rsidR="0017567C" w:rsidRPr="00B931D3">
        <w:rPr>
          <w:lang w:val="en-US"/>
        </w:rPr>
        <w:t xml:space="preserve">programming </w:t>
      </w:r>
      <w:r w:rsidRPr="00B931D3">
        <w:rPr>
          <w:lang w:val="en-US"/>
        </w:rPr>
        <w:t xml:space="preserve">to the </w:t>
      </w:r>
      <w:r w:rsidRPr="00B931D3">
        <w:t>implementation</w:t>
      </w:r>
      <w:r w:rsidRPr="00B931D3">
        <w:rPr>
          <w:lang w:val="en-US"/>
        </w:rPr>
        <w:t xml:space="preserve"> of </w:t>
      </w:r>
      <w:r w:rsidR="0017567C" w:rsidRPr="00B931D3">
        <w:rPr>
          <w:lang w:val="en-US"/>
        </w:rPr>
        <w:t xml:space="preserve">each of </w:t>
      </w:r>
      <w:r w:rsidRPr="00B931D3">
        <w:rPr>
          <w:lang w:val="en-US"/>
        </w:rPr>
        <w:t xml:space="preserve">the three objectives of the Convention, </w:t>
      </w:r>
      <w:r w:rsidR="0017567C" w:rsidRPr="00B931D3">
        <w:rPr>
          <w:lang w:val="en-US"/>
        </w:rPr>
        <w:t xml:space="preserve">the implementation of </w:t>
      </w:r>
      <w:r w:rsidRPr="00B931D3">
        <w:rPr>
          <w:lang w:val="en-US"/>
        </w:rPr>
        <w:t>its Protocols</w:t>
      </w:r>
      <w:r w:rsidRPr="003D3F00">
        <w:rPr>
          <w:lang w:val="en-US"/>
        </w:rPr>
        <w:t>, and</w:t>
      </w:r>
      <w:r w:rsidRPr="00B931D3">
        <w:rPr>
          <w:lang w:val="en-US"/>
        </w:rPr>
        <w:t xml:space="preserve"> the </w:t>
      </w:r>
      <w:r w:rsidR="0017567C" w:rsidRPr="00B931D3">
        <w:rPr>
          <w:lang w:val="en-US"/>
        </w:rPr>
        <w:t xml:space="preserve">implementation of the </w:t>
      </w:r>
      <w:r w:rsidRPr="003D3F00">
        <w:rPr>
          <w:kern w:val="22"/>
        </w:rPr>
        <w:lastRenderedPageBreak/>
        <w:t xml:space="preserve">Kunming-Montreal </w:t>
      </w:r>
      <w:r w:rsidRPr="003D3F00">
        <w:rPr>
          <w:bCs/>
          <w:snapToGrid w:val="0"/>
          <w:kern w:val="22"/>
        </w:rPr>
        <w:t>Global Biodiversity Framework</w:t>
      </w:r>
      <w:r w:rsidRPr="00B931D3">
        <w:rPr>
          <w:lang w:val="en-US"/>
        </w:rPr>
        <w:t xml:space="preserve">, including through measuring the co-benefits for biodiversity across all relevant </w:t>
      </w:r>
      <w:r w:rsidR="00BE656F" w:rsidRPr="003D3F00">
        <w:rPr>
          <w:lang w:val="en-US"/>
        </w:rPr>
        <w:t>Global Environment Facility</w:t>
      </w:r>
      <w:r w:rsidR="00BE656F" w:rsidRPr="00B931D3">
        <w:rPr>
          <w:lang w:val="en-US"/>
        </w:rPr>
        <w:t xml:space="preserve"> </w:t>
      </w:r>
      <w:r w:rsidRPr="00B931D3">
        <w:rPr>
          <w:lang w:val="en-US"/>
        </w:rPr>
        <w:t>activities.</w:t>
      </w:r>
      <w:bookmarkEnd w:id="14"/>
    </w:p>
    <w:p w14:paraId="2E0BBFB1" w14:textId="649CBFF6" w:rsidR="00B53987" w:rsidRPr="00B83802" w:rsidRDefault="00D71355" w:rsidP="003D3F00">
      <w:pPr>
        <w:pStyle w:val="Para1"/>
        <w:tabs>
          <w:tab w:val="clear" w:pos="1134"/>
          <w:tab w:val="left" w:pos="1701"/>
        </w:tabs>
        <w:ind w:left="1134"/>
        <w:rPr>
          <w:lang w:val="en-US"/>
        </w:rPr>
      </w:pPr>
      <w:r w:rsidRPr="00B931D3">
        <w:rPr>
          <w:lang w:val="en-US"/>
        </w:rPr>
        <w:t xml:space="preserve">The </w:t>
      </w:r>
      <w:r w:rsidRPr="003D3F00">
        <w:rPr>
          <w:lang w:val="en-US"/>
        </w:rPr>
        <w:t>Global Environment Facility</w:t>
      </w:r>
      <w:r w:rsidRPr="00B931D3">
        <w:rPr>
          <w:lang w:val="en-US"/>
        </w:rPr>
        <w:t>, in its ninth replenishment period, should</w:t>
      </w:r>
      <w:r>
        <w:rPr>
          <w:lang w:val="en-US"/>
        </w:rPr>
        <w:t>:</w:t>
      </w:r>
    </w:p>
    <w:p w14:paraId="28CEE347" w14:textId="35700B25" w:rsidR="00B83802" w:rsidRPr="00B83802" w:rsidRDefault="00882C05" w:rsidP="003D3F00">
      <w:pPr>
        <w:pStyle w:val="Para2"/>
        <w:tabs>
          <w:tab w:val="clear" w:pos="1701"/>
          <w:tab w:val="left" w:pos="2268"/>
        </w:tabs>
        <w:ind w:left="1134" w:firstLine="564"/>
        <w:rPr>
          <w:iCs/>
          <w:szCs w:val="22"/>
          <w:lang w:val="en-US"/>
        </w:rPr>
      </w:pPr>
      <w:r w:rsidRPr="00B83802">
        <w:rPr>
          <w:iCs/>
          <w:szCs w:val="22"/>
          <w:lang w:val="en-US"/>
        </w:rPr>
        <w:t>(a)</w:t>
      </w:r>
      <w:r w:rsidRPr="00B83802">
        <w:rPr>
          <w:iCs/>
          <w:szCs w:val="22"/>
          <w:lang w:val="en-US"/>
        </w:rPr>
        <w:tab/>
      </w:r>
      <w:r w:rsidR="00D71355" w:rsidRPr="002A7352">
        <w:rPr>
          <w:bCs/>
          <w:iCs/>
          <w:szCs w:val="22"/>
          <w:lang w:val="en-US"/>
        </w:rPr>
        <w:t>E</w:t>
      </w:r>
      <w:r w:rsidR="00B83802" w:rsidRPr="002A7352">
        <w:rPr>
          <w:bCs/>
          <w:iCs/>
          <w:szCs w:val="22"/>
          <w:lang w:val="en-US"/>
        </w:rPr>
        <w:t>xplore</w:t>
      </w:r>
      <w:r w:rsidR="00B83802" w:rsidRPr="00B83802">
        <w:rPr>
          <w:iCs/>
          <w:szCs w:val="22"/>
          <w:lang w:val="en-US"/>
        </w:rPr>
        <w:t xml:space="preserve"> ways to significantly improve the access to funding for all </w:t>
      </w:r>
      <w:r w:rsidR="0017567C">
        <w:rPr>
          <w:iCs/>
          <w:szCs w:val="22"/>
          <w:lang w:val="en-US"/>
        </w:rPr>
        <w:t xml:space="preserve">eligible </w:t>
      </w:r>
      <w:r w:rsidR="00B83802" w:rsidRPr="00B83802">
        <w:rPr>
          <w:iCs/>
          <w:szCs w:val="22"/>
          <w:lang w:val="en-US"/>
        </w:rPr>
        <w:t>recipient countries</w:t>
      </w:r>
      <w:r>
        <w:rPr>
          <w:iCs/>
          <w:szCs w:val="22"/>
          <w:lang w:val="en-US"/>
        </w:rPr>
        <w:t>;</w:t>
      </w:r>
    </w:p>
    <w:p w14:paraId="23F1D22B" w14:textId="2668609C" w:rsidR="00B83802" w:rsidRDefault="00882C05" w:rsidP="003D3F00">
      <w:pPr>
        <w:pStyle w:val="Para2"/>
        <w:tabs>
          <w:tab w:val="clear" w:pos="1701"/>
          <w:tab w:val="left" w:pos="2268"/>
        </w:tabs>
        <w:ind w:left="1134" w:firstLine="564"/>
        <w:rPr>
          <w:iCs/>
          <w:szCs w:val="22"/>
          <w:lang w:val="en-US"/>
        </w:rPr>
      </w:pPr>
      <w:r>
        <w:rPr>
          <w:iCs/>
          <w:szCs w:val="22"/>
          <w:lang w:val="en-US"/>
        </w:rPr>
        <w:t>(b)</w:t>
      </w:r>
      <w:r>
        <w:rPr>
          <w:iCs/>
          <w:szCs w:val="22"/>
          <w:lang w:val="en-US"/>
        </w:rPr>
        <w:tab/>
      </w:r>
      <w:r w:rsidR="00D71355">
        <w:rPr>
          <w:iCs/>
          <w:szCs w:val="22"/>
          <w:lang w:val="en-US"/>
        </w:rPr>
        <w:t>E</w:t>
      </w:r>
      <w:r w:rsidR="00B83802" w:rsidRPr="00B83802">
        <w:rPr>
          <w:iCs/>
          <w:szCs w:val="22"/>
          <w:lang w:val="en-US"/>
        </w:rPr>
        <w:t xml:space="preserve">xplore ways to </w:t>
      </w:r>
      <w:r w:rsidR="0017567C">
        <w:rPr>
          <w:iCs/>
          <w:szCs w:val="22"/>
          <w:lang w:val="en-US"/>
        </w:rPr>
        <w:t xml:space="preserve">further </w:t>
      </w:r>
      <w:r w:rsidR="00B83802" w:rsidRPr="00B83802">
        <w:rPr>
          <w:iCs/>
          <w:szCs w:val="22"/>
          <w:lang w:val="en-US"/>
        </w:rPr>
        <w:t xml:space="preserve">improve </w:t>
      </w:r>
      <w:r w:rsidR="00B83802" w:rsidRPr="001D5173">
        <w:rPr>
          <w:iCs/>
          <w:szCs w:val="22"/>
          <w:lang w:val="en-US"/>
        </w:rPr>
        <w:t xml:space="preserve">the access to funding for </w:t>
      </w:r>
      <w:r w:rsidR="00B83802" w:rsidRPr="003D3F00">
        <w:rPr>
          <w:iCs/>
          <w:szCs w:val="22"/>
          <w:lang w:val="en-US"/>
        </w:rPr>
        <w:t>indigenous people</w:t>
      </w:r>
      <w:r w:rsidR="00B83802" w:rsidRPr="001D5173">
        <w:rPr>
          <w:iCs/>
          <w:szCs w:val="22"/>
          <w:lang w:val="en-US"/>
        </w:rPr>
        <w:t>s and local communities</w:t>
      </w:r>
      <w:r w:rsidR="00FD2866" w:rsidRPr="001D5173">
        <w:rPr>
          <w:iCs/>
          <w:szCs w:val="22"/>
          <w:lang w:val="en-US"/>
        </w:rPr>
        <w:t xml:space="preserve"> </w:t>
      </w:r>
      <w:r w:rsidR="00FD2866" w:rsidRPr="001D5173">
        <w:rPr>
          <w:bCs/>
          <w:iCs/>
          <w:szCs w:val="22"/>
          <w:lang w:val="en-US"/>
        </w:rPr>
        <w:t>embodying</w:t>
      </w:r>
      <w:r w:rsidR="0017567C" w:rsidRPr="001D5173">
        <w:rPr>
          <w:iCs/>
          <w:szCs w:val="22"/>
          <w:lang w:val="en-US"/>
        </w:rPr>
        <w:t xml:space="preserve"> traditional lifestyles</w:t>
      </w:r>
      <w:r w:rsidR="00FD2866" w:rsidRPr="001D5173">
        <w:t xml:space="preserve"> and </w:t>
      </w:r>
      <w:r w:rsidR="00F86B60" w:rsidRPr="001D5173">
        <w:t xml:space="preserve">holding </w:t>
      </w:r>
      <w:r w:rsidR="00FD2866" w:rsidRPr="001D5173">
        <w:rPr>
          <w:iCs/>
          <w:szCs w:val="22"/>
          <w:lang w:val="en-US"/>
        </w:rPr>
        <w:t>traditional knowledge, innovations and practices relevant to the conservation of biological diversity and the sustainable use of its components</w:t>
      </w:r>
      <w:r w:rsidRPr="001D5173">
        <w:rPr>
          <w:iCs/>
          <w:szCs w:val="22"/>
          <w:lang w:val="en-US"/>
        </w:rPr>
        <w:t>;</w:t>
      </w:r>
    </w:p>
    <w:p w14:paraId="5032BD12" w14:textId="0D4F162B" w:rsidR="00B53987" w:rsidRPr="001D5173" w:rsidRDefault="00882C05" w:rsidP="003D3F00">
      <w:pPr>
        <w:pStyle w:val="Para2"/>
        <w:tabs>
          <w:tab w:val="clear" w:pos="1701"/>
          <w:tab w:val="left" w:pos="2268"/>
        </w:tabs>
        <w:ind w:left="1134" w:firstLine="564"/>
        <w:rPr>
          <w:iCs/>
          <w:szCs w:val="22"/>
          <w:lang w:val="en-US"/>
        </w:rPr>
      </w:pPr>
      <w:bookmarkStart w:id="15" w:name="_Hlk163335590"/>
      <w:r w:rsidRPr="00B83802">
        <w:rPr>
          <w:iCs/>
          <w:szCs w:val="22"/>
          <w:lang w:val="en-US"/>
        </w:rPr>
        <w:t>(c)</w:t>
      </w:r>
      <w:r w:rsidRPr="00B83802">
        <w:rPr>
          <w:iCs/>
          <w:szCs w:val="22"/>
          <w:lang w:val="en-US"/>
        </w:rPr>
        <w:tab/>
      </w:r>
      <w:r w:rsidR="00D71355">
        <w:rPr>
          <w:iCs/>
          <w:szCs w:val="22"/>
          <w:lang w:val="en-US"/>
        </w:rPr>
        <w:t>F</w:t>
      </w:r>
      <w:r w:rsidR="00B53987" w:rsidRPr="00B83802">
        <w:rPr>
          <w:iCs/>
          <w:szCs w:val="22"/>
          <w:lang w:val="en-US"/>
        </w:rPr>
        <w:t xml:space="preserve">urther interact and cooperate with multilateral development banks and other public and private financial </w:t>
      </w:r>
      <w:r w:rsidR="00B53987" w:rsidRPr="001D5173">
        <w:rPr>
          <w:iCs/>
          <w:szCs w:val="22"/>
          <w:lang w:val="en-US"/>
        </w:rPr>
        <w:t xml:space="preserve">institutions </w:t>
      </w:r>
      <w:r w:rsidR="00111914" w:rsidRPr="001D5173">
        <w:rPr>
          <w:iCs/>
          <w:szCs w:val="22"/>
          <w:lang w:val="en-US"/>
        </w:rPr>
        <w:t xml:space="preserve">with the </w:t>
      </w:r>
      <w:r w:rsidR="008A05D5" w:rsidRPr="001D5173">
        <w:rPr>
          <w:iCs/>
          <w:szCs w:val="22"/>
          <w:lang w:val="en-US"/>
        </w:rPr>
        <w:t>aim</w:t>
      </w:r>
      <w:r w:rsidR="00111914" w:rsidRPr="001D5173">
        <w:rPr>
          <w:iCs/>
          <w:szCs w:val="22"/>
          <w:lang w:val="en-US"/>
        </w:rPr>
        <w:t xml:space="preserve"> that they</w:t>
      </w:r>
      <w:r w:rsidR="00B53987" w:rsidRPr="001D5173">
        <w:rPr>
          <w:iCs/>
          <w:szCs w:val="22"/>
          <w:lang w:val="en-US"/>
        </w:rPr>
        <w:t xml:space="preserve"> integrate the objectives of the Convention</w:t>
      </w:r>
      <w:r w:rsidR="00F86B60" w:rsidRPr="001D5173">
        <w:rPr>
          <w:iCs/>
          <w:szCs w:val="22"/>
          <w:lang w:val="en-US"/>
        </w:rPr>
        <w:t>,</w:t>
      </w:r>
      <w:r w:rsidR="00B53987" w:rsidRPr="001D5173">
        <w:rPr>
          <w:iCs/>
          <w:szCs w:val="22"/>
          <w:lang w:val="en-US"/>
        </w:rPr>
        <w:t xml:space="preserve"> its Protocols and the </w:t>
      </w:r>
      <w:r w:rsidR="00B53987" w:rsidRPr="003D3F00">
        <w:rPr>
          <w:kern w:val="22"/>
        </w:rPr>
        <w:t xml:space="preserve">Kunming-Montreal </w:t>
      </w:r>
      <w:r w:rsidR="00B53987" w:rsidRPr="003D3F00">
        <w:rPr>
          <w:bCs/>
          <w:snapToGrid w:val="0"/>
          <w:kern w:val="22"/>
          <w:szCs w:val="22"/>
        </w:rPr>
        <w:t>Global Biodiversity Framework</w:t>
      </w:r>
      <w:r w:rsidR="00B53987" w:rsidRPr="003D3F00">
        <w:rPr>
          <w:iCs/>
          <w:szCs w:val="22"/>
          <w:lang w:val="en-US"/>
        </w:rPr>
        <w:t xml:space="preserve">, </w:t>
      </w:r>
      <w:r w:rsidR="008A05D5" w:rsidRPr="003D3F00">
        <w:rPr>
          <w:iCs/>
          <w:szCs w:val="22"/>
          <w:lang w:val="en-US"/>
        </w:rPr>
        <w:t>and</w:t>
      </w:r>
      <w:r w:rsidR="00B53987" w:rsidRPr="001D5173">
        <w:rPr>
          <w:iCs/>
          <w:szCs w:val="22"/>
          <w:lang w:val="en-US"/>
        </w:rPr>
        <w:t xml:space="preserve"> the contributions of other biodiversity-related conventions and multilateral agreements, </w:t>
      </w:r>
      <w:r w:rsidR="00111914" w:rsidRPr="001D5173">
        <w:rPr>
          <w:iCs/>
          <w:szCs w:val="22"/>
          <w:lang w:val="en-US"/>
        </w:rPr>
        <w:t xml:space="preserve">into </w:t>
      </w:r>
      <w:r w:rsidR="00B53987" w:rsidRPr="001D5173">
        <w:rPr>
          <w:iCs/>
          <w:szCs w:val="22"/>
          <w:lang w:val="en-US"/>
        </w:rPr>
        <w:t>their activities and report on funding contributing to the implementation</w:t>
      </w:r>
      <w:r w:rsidR="00111914" w:rsidRPr="001D5173">
        <w:rPr>
          <w:iCs/>
          <w:szCs w:val="22"/>
          <w:lang w:val="en-US"/>
        </w:rPr>
        <w:t xml:space="preserve"> of these objectives</w:t>
      </w:r>
      <w:r w:rsidRPr="001D5173">
        <w:rPr>
          <w:iCs/>
          <w:szCs w:val="22"/>
          <w:lang w:val="en-US"/>
        </w:rPr>
        <w:t>;</w:t>
      </w:r>
    </w:p>
    <w:bookmarkEnd w:id="15"/>
    <w:p w14:paraId="7E873737" w14:textId="6A94240D" w:rsidR="00215A5B" w:rsidRDefault="00882C05" w:rsidP="003D3F00">
      <w:pPr>
        <w:pStyle w:val="Para2"/>
        <w:tabs>
          <w:tab w:val="clear" w:pos="1701"/>
          <w:tab w:val="left" w:pos="2268"/>
        </w:tabs>
        <w:ind w:left="1134" w:firstLine="564"/>
        <w:rPr>
          <w:szCs w:val="22"/>
          <w:lang w:val="en-US"/>
        </w:rPr>
      </w:pPr>
      <w:r w:rsidRPr="001D5173">
        <w:rPr>
          <w:szCs w:val="22"/>
          <w:lang w:val="en-US"/>
        </w:rPr>
        <w:t>(d)</w:t>
      </w:r>
      <w:r w:rsidRPr="001D5173">
        <w:rPr>
          <w:szCs w:val="22"/>
          <w:lang w:val="en-US"/>
        </w:rPr>
        <w:tab/>
      </w:r>
      <w:r w:rsidR="00D71355" w:rsidRPr="001D5173">
        <w:rPr>
          <w:szCs w:val="22"/>
          <w:lang w:val="en-US"/>
        </w:rPr>
        <w:t>C</w:t>
      </w:r>
      <w:r w:rsidR="00B83802" w:rsidRPr="001D5173">
        <w:rPr>
          <w:szCs w:val="22"/>
          <w:lang w:val="en-US"/>
        </w:rPr>
        <w:t xml:space="preserve">ontinue to </w:t>
      </w:r>
      <w:r w:rsidR="00BC1368" w:rsidRPr="001D5173">
        <w:rPr>
          <w:szCs w:val="22"/>
          <w:lang w:val="en-US"/>
        </w:rPr>
        <w:t xml:space="preserve">enhance </w:t>
      </w:r>
      <w:r w:rsidR="00B83802" w:rsidRPr="001D5173">
        <w:rPr>
          <w:szCs w:val="22"/>
          <w:lang w:val="en-US"/>
        </w:rPr>
        <w:t xml:space="preserve">its policies regarding governance and the standards </w:t>
      </w:r>
      <w:r w:rsidR="00F86B60" w:rsidRPr="001D5173">
        <w:rPr>
          <w:szCs w:val="22"/>
          <w:lang w:val="en-US"/>
        </w:rPr>
        <w:t xml:space="preserve">that </w:t>
      </w:r>
      <w:r w:rsidR="00B83802" w:rsidRPr="001D5173">
        <w:rPr>
          <w:szCs w:val="22"/>
          <w:lang w:val="en-US"/>
        </w:rPr>
        <w:t xml:space="preserve">its implementing </w:t>
      </w:r>
      <w:r w:rsidR="00B83802" w:rsidRPr="001D5173">
        <w:rPr>
          <w:bCs/>
          <w:iCs/>
          <w:szCs w:val="22"/>
          <w:lang w:val="en-US"/>
        </w:rPr>
        <w:t>partners</w:t>
      </w:r>
      <w:r w:rsidR="00B83802" w:rsidRPr="001D5173">
        <w:rPr>
          <w:szCs w:val="22"/>
          <w:lang w:val="en-US"/>
        </w:rPr>
        <w:t xml:space="preserve"> are held to</w:t>
      </w:r>
      <w:r w:rsidR="00D71355" w:rsidRPr="001D5173">
        <w:rPr>
          <w:szCs w:val="22"/>
          <w:lang w:val="en-US"/>
        </w:rPr>
        <w:t>, in order to improve its efficiency and effectiveness in delivering sustainable results</w:t>
      </w:r>
      <w:r w:rsidR="00B83802" w:rsidRPr="001D5173">
        <w:rPr>
          <w:szCs w:val="22"/>
          <w:lang w:val="en-US"/>
        </w:rPr>
        <w:t>.</w:t>
      </w:r>
    </w:p>
    <w:p w14:paraId="245E2E05" w14:textId="77777777" w:rsidR="00215A5B" w:rsidRPr="00B83802" w:rsidRDefault="00215A5B" w:rsidP="003D3F00">
      <w:pPr>
        <w:keepNext/>
        <w:tabs>
          <w:tab w:val="left" w:pos="567"/>
        </w:tabs>
        <w:spacing w:before="120" w:after="120"/>
        <w:ind w:left="1134" w:hanging="567"/>
        <w:jc w:val="left"/>
        <w:outlineLvl w:val="1"/>
        <w:rPr>
          <w:b/>
          <w:bCs/>
          <w:szCs w:val="22"/>
          <w:lang w:val="en-US"/>
        </w:rPr>
      </w:pPr>
      <w:r>
        <w:rPr>
          <w:b/>
          <w:bCs/>
          <w:szCs w:val="22"/>
          <w:lang w:val="en-US"/>
        </w:rPr>
        <w:t>D</w:t>
      </w:r>
      <w:r w:rsidRPr="00B83802">
        <w:rPr>
          <w:b/>
          <w:bCs/>
          <w:szCs w:val="22"/>
          <w:lang w:val="en-US"/>
        </w:rPr>
        <w:t>.</w:t>
      </w:r>
      <w:r w:rsidRPr="00B83802">
        <w:rPr>
          <w:b/>
          <w:bCs/>
          <w:szCs w:val="22"/>
          <w:lang w:val="en-US"/>
        </w:rPr>
        <w:tab/>
      </w:r>
      <w:r>
        <w:rPr>
          <w:b/>
          <w:bCs/>
          <w:szCs w:val="22"/>
          <w:lang w:val="en-US"/>
        </w:rPr>
        <w:t>Reporting</w:t>
      </w:r>
    </w:p>
    <w:p w14:paraId="5A2243CF" w14:textId="1BBEBB36" w:rsidR="00215A5B" w:rsidRPr="001D5173" w:rsidRDefault="009F4ECA" w:rsidP="003D3F00">
      <w:pPr>
        <w:pStyle w:val="Para1"/>
        <w:tabs>
          <w:tab w:val="clear" w:pos="1134"/>
          <w:tab w:val="left" w:pos="1701"/>
        </w:tabs>
        <w:ind w:left="1134"/>
        <w:rPr>
          <w:rFonts w:eastAsia="Calibri"/>
          <w:b/>
          <w:bCs/>
        </w:rPr>
      </w:pPr>
      <w:r w:rsidRPr="001D5173">
        <w:t>F</w:t>
      </w:r>
      <w:r w:rsidR="00215A5B" w:rsidRPr="001D5173">
        <w:t xml:space="preserve">ollowing the conclusion of the </w:t>
      </w:r>
      <w:r w:rsidRPr="001D5173">
        <w:t>ninth</w:t>
      </w:r>
      <w:r w:rsidR="00215A5B" w:rsidRPr="001D5173">
        <w:t xml:space="preserve"> replenishment </w:t>
      </w:r>
      <w:r w:rsidRPr="001D5173">
        <w:t xml:space="preserve">of the </w:t>
      </w:r>
      <w:r w:rsidRPr="003D3F00">
        <w:t xml:space="preserve">Global Environment </w:t>
      </w:r>
      <w:r w:rsidR="00331DAF" w:rsidRPr="003D3F00">
        <w:t>F</w:t>
      </w:r>
      <w:r w:rsidRPr="003D3F00">
        <w:t>acility</w:t>
      </w:r>
      <w:r w:rsidRPr="001D5173">
        <w:t xml:space="preserve"> </w:t>
      </w:r>
      <w:r w:rsidRPr="003D3F00">
        <w:t>Trust Fund</w:t>
      </w:r>
      <w:r w:rsidR="00215A5B" w:rsidRPr="001D5173">
        <w:t xml:space="preserve">, </w:t>
      </w:r>
      <w:r w:rsidRPr="001D5173">
        <w:t xml:space="preserve">the </w:t>
      </w:r>
      <w:r w:rsidRPr="003D3F00">
        <w:t>Global Environment Facility</w:t>
      </w:r>
      <w:r w:rsidR="00215A5B" w:rsidRPr="001D5173">
        <w:rPr>
          <w:lang w:val="en-US"/>
        </w:rPr>
        <w:t xml:space="preserve"> will include in its report</w:t>
      </w:r>
      <w:r w:rsidR="0094289D" w:rsidRPr="001D5173">
        <w:rPr>
          <w:lang w:val="en-US"/>
        </w:rPr>
        <w:t>s</w:t>
      </w:r>
      <w:r w:rsidR="00215A5B" w:rsidRPr="001D5173">
        <w:rPr>
          <w:lang w:val="en-US"/>
        </w:rPr>
        <w:t xml:space="preserve"> to the Conference of the Parties an explanation on how </w:t>
      </w:r>
      <w:r w:rsidRPr="001D5173">
        <w:rPr>
          <w:lang w:val="en-US"/>
        </w:rPr>
        <w:t>the ninth replenishment</w:t>
      </w:r>
      <w:r w:rsidR="00331DAF" w:rsidRPr="001D5173">
        <w:t xml:space="preserve"> </w:t>
      </w:r>
      <w:r w:rsidR="00331DAF" w:rsidRPr="001D5173">
        <w:rPr>
          <w:lang w:val="en-US"/>
        </w:rPr>
        <w:t>has responded to the present four-year outcome-oriented framework of programme priorities and</w:t>
      </w:r>
      <w:r w:rsidR="00215A5B" w:rsidRPr="001D5173">
        <w:rPr>
          <w:lang w:val="en-US"/>
        </w:rPr>
        <w:t>, through the elements of its programming directions, is contributing</w:t>
      </w:r>
      <w:r w:rsidR="00215A5B" w:rsidRPr="001D5173">
        <w:t xml:space="preserve"> to the implementation of the Convention and its Protocols and to each goal and target of the Framework and its monitoring framework.</w:t>
      </w:r>
    </w:p>
    <w:p w14:paraId="71442731" w14:textId="49318235" w:rsidR="00B83802" w:rsidRPr="004B1CFE" w:rsidRDefault="00F017B4" w:rsidP="001E4995">
      <w:pPr>
        <w:keepNext/>
        <w:keepLines/>
        <w:suppressLineNumbers/>
        <w:suppressAutoHyphens/>
        <w:adjustRightInd w:val="0"/>
        <w:snapToGrid w:val="0"/>
        <w:spacing w:before="240" w:after="120"/>
        <w:ind w:left="1134" w:right="288"/>
        <w:jc w:val="left"/>
        <w:outlineLvl w:val="0"/>
        <w:rPr>
          <w:b/>
          <w:bCs/>
          <w:iCs/>
          <w:sz w:val="24"/>
          <w:lang w:val="en-US"/>
        </w:rPr>
      </w:pPr>
      <w:bookmarkStart w:id="16" w:name="_Hlk163323785"/>
      <w:r w:rsidRPr="004B1CFE">
        <w:rPr>
          <w:b/>
          <w:bCs/>
          <w:iCs/>
          <w:snapToGrid w:val="0"/>
          <w:kern w:val="22"/>
          <w:sz w:val="24"/>
        </w:rPr>
        <w:t>Enclosure</w:t>
      </w:r>
      <w:r w:rsidR="00B83802" w:rsidRPr="004B1CFE">
        <w:rPr>
          <w:b/>
          <w:bCs/>
          <w:iCs/>
          <w:sz w:val="24"/>
          <w:lang w:val="en-US"/>
        </w:rPr>
        <w:t xml:space="preserve"> I</w:t>
      </w:r>
      <w:r w:rsidR="004C54A3" w:rsidRPr="004B1CFE">
        <w:rPr>
          <w:rStyle w:val="FootnoteReference"/>
          <w:b/>
          <w:bCs/>
          <w:iCs/>
          <w:sz w:val="24"/>
          <w:lang w:val="en-US"/>
        </w:rPr>
        <w:footnoteReference w:id="28"/>
      </w:r>
    </w:p>
    <w:p w14:paraId="5EA07CA2" w14:textId="078B6AE5" w:rsidR="00B83802" w:rsidRPr="004B1CFE" w:rsidRDefault="00CF6C48" w:rsidP="003C4EFB">
      <w:pPr>
        <w:keepNext/>
        <w:keepLines/>
        <w:spacing w:before="240" w:after="120"/>
        <w:ind w:left="1134" w:right="996"/>
        <w:jc w:val="left"/>
        <w:outlineLvl w:val="0"/>
        <w:rPr>
          <w:b/>
          <w:iCs/>
          <w:snapToGrid w:val="0"/>
          <w:sz w:val="24"/>
          <w:lang w:val="en-US"/>
        </w:rPr>
      </w:pPr>
      <w:r w:rsidRPr="004B1CFE">
        <w:rPr>
          <w:b/>
          <w:snapToGrid w:val="0"/>
          <w:sz w:val="24"/>
        </w:rPr>
        <w:t>Additional elements for the four-year outcome-oriented framework of programme priorities for the ninth</w:t>
      </w:r>
      <w:r w:rsidR="009F4ECA" w:rsidRPr="004B1CFE">
        <w:rPr>
          <w:b/>
          <w:caps/>
          <w:snapToGrid w:val="0"/>
          <w:sz w:val="24"/>
        </w:rPr>
        <w:t xml:space="preserve"> </w:t>
      </w:r>
      <w:r w:rsidR="001B1CEB" w:rsidRPr="004B1CFE">
        <w:rPr>
          <w:b/>
          <w:snapToGrid w:val="0"/>
          <w:sz w:val="24"/>
        </w:rPr>
        <w:t>r</w:t>
      </w:r>
      <w:r w:rsidRPr="004B1CFE">
        <w:rPr>
          <w:b/>
          <w:snapToGrid w:val="0"/>
          <w:sz w:val="24"/>
        </w:rPr>
        <w:t>eplenishment period of the Global Environment Facility</w:t>
      </w:r>
      <w:r w:rsidR="00B83802" w:rsidRPr="004B1CFE">
        <w:rPr>
          <w:b/>
          <w:caps/>
          <w:snapToGrid w:val="0"/>
          <w:sz w:val="24"/>
        </w:rPr>
        <w:t xml:space="preserve"> </w:t>
      </w:r>
      <w:r w:rsidRPr="004B1CFE">
        <w:rPr>
          <w:b/>
          <w:snapToGrid w:val="0"/>
          <w:sz w:val="24"/>
        </w:rPr>
        <w:t>Trust Fund</w:t>
      </w:r>
      <w:r w:rsidR="00B83802" w:rsidRPr="004B1CFE">
        <w:rPr>
          <w:b/>
          <w:caps/>
          <w:snapToGrid w:val="0"/>
          <w:sz w:val="24"/>
        </w:rPr>
        <w:t xml:space="preserve"> (202</w:t>
      </w:r>
      <w:r w:rsidR="00460D9F" w:rsidRPr="004B1CFE">
        <w:rPr>
          <w:b/>
          <w:caps/>
          <w:snapToGrid w:val="0"/>
          <w:sz w:val="24"/>
        </w:rPr>
        <w:t>6</w:t>
      </w:r>
      <w:r w:rsidR="00B83802" w:rsidRPr="004B1CFE">
        <w:rPr>
          <w:b/>
          <w:bCs/>
          <w:iCs/>
          <w:caps/>
          <w:sz w:val="24"/>
        </w:rPr>
        <w:t>–</w:t>
      </w:r>
      <w:r w:rsidR="00B83802" w:rsidRPr="004B1CFE">
        <w:rPr>
          <w:b/>
          <w:caps/>
          <w:snapToGrid w:val="0"/>
          <w:sz w:val="24"/>
        </w:rPr>
        <w:t>20</w:t>
      </w:r>
      <w:r w:rsidR="00460D9F" w:rsidRPr="004B1CFE">
        <w:rPr>
          <w:b/>
          <w:caps/>
          <w:snapToGrid w:val="0"/>
          <w:sz w:val="24"/>
        </w:rPr>
        <w:t>30</w:t>
      </w:r>
      <w:r w:rsidR="00B83802" w:rsidRPr="004B1CFE">
        <w:rPr>
          <w:b/>
          <w:caps/>
          <w:snapToGrid w:val="0"/>
          <w:sz w:val="24"/>
        </w:rPr>
        <w:t xml:space="preserve">) </w:t>
      </w:r>
      <w:r w:rsidRPr="004B1CFE">
        <w:rPr>
          <w:b/>
          <w:iCs/>
          <w:snapToGrid w:val="0"/>
          <w:sz w:val="24"/>
          <w:lang w:val="en-US"/>
        </w:rPr>
        <w:t xml:space="preserve">to support the implementation of the Nagoya </w:t>
      </w:r>
      <w:r w:rsidR="00710341" w:rsidRPr="004B1CFE">
        <w:rPr>
          <w:b/>
          <w:iCs/>
          <w:snapToGrid w:val="0"/>
          <w:sz w:val="24"/>
          <w:lang w:val="en-US"/>
        </w:rPr>
        <w:t>P</w:t>
      </w:r>
      <w:r w:rsidRPr="004B1CFE">
        <w:rPr>
          <w:b/>
          <w:iCs/>
          <w:snapToGrid w:val="0"/>
          <w:sz w:val="24"/>
          <w:lang w:val="en-US"/>
        </w:rPr>
        <w:t xml:space="preserve">rotocol on </w:t>
      </w:r>
      <w:r w:rsidR="00710341" w:rsidRPr="004B1CFE">
        <w:rPr>
          <w:b/>
          <w:iCs/>
          <w:snapToGrid w:val="0"/>
          <w:sz w:val="24"/>
          <w:lang w:val="en-US"/>
        </w:rPr>
        <w:t>A</w:t>
      </w:r>
      <w:r w:rsidRPr="004B1CFE">
        <w:rPr>
          <w:b/>
          <w:iCs/>
          <w:snapToGrid w:val="0"/>
          <w:sz w:val="24"/>
          <w:lang w:val="en-US"/>
        </w:rPr>
        <w:t xml:space="preserve">ccess </w:t>
      </w:r>
      <w:r w:rsidR="00F152C6" w:rsidRPr="004B1CFE">
        <w:rPr>
          <w:b/>
          <w:iCs/>
          <w:snapToGrid w:val="0"/>
          <w:sz w:val="24"/>
          <w:lang w:val="en-US"/>
        </w:rPr>
        <w:t>to</w:t>
      </w:r>
      <w:r w:rsidR="002275FD" w:rsidRPr="004B1CFE">
        <w:rPr>
          <w:b/>
          <w:iCs/>
          <w:snapToGrid w:val="0"/>
          <w:sz w:val="24"/>
          <w:lang w:val="en-US"/>
        </w:rPr>
        <w:t xml:space="preserve"> Genetic Resources and the Fair and Equitable Sharing of Benefits Arising from their Utilization</w:t>
      </w:r>
    </w:p>
    <w:p w14:paraId="4DDA3A2D" w14:textId="2343238C" w:rsidR="00B83802" w:rsidRPr="003D3F00" w:rsidRDefault="00B83802" w:rsidP="003D3F00">
      <w:pPr>
        <w:tabs>
          <w:tab w:val="left" w:pos="2268"/>
        </w:tabs>
        <w:spacing w:before="120" w:after="120"/>
        <w:ind w:left="1134" w:firstLine="567"/>
        <w:rPr>
          <w:iCs/>
          <w:snapToGrid w:val="0"/>
          <w:kern w:val="22"/>
          <w:szCs w:val="22"/>
          <w:lang w:val="en-US"/>
        </w:rPr>
      </w:pPr>
      <w:r w:rsidRPr="00B83802">
        <w:rPr>
          <w:snapToGrid w:val="0"/>
          <w:kern w:val="22"/>
          <w:szCs w:val="22"/>
        </w:rPr>
        <w:t xml:space="preserve">Elements for the four-year outcome-oriented framework of programme priorities for the </w:t>
      </w:r>
      <w:r w:rsidR="009F4ECA">
        <w:rPr>
          <w:snapToGrid w:val="0"/>
          <w:kern w:val="22"/>
          <w:szCs w:val="22"/>
        </w:rPr>
        <w:t>ninth</w:t>
      </w:r>
      <w:r w:rsidR="009F4ECA" w:rsidRPr="00B83802">
        <w:rPr>
          <w:snapToGrid w:val="0"/>
          <w:kern w:val="22"/>
          <w:szCs w:val="22"/>
        </w:rPr>
        <w:t xml:space="preserve"> </w:t>
      </w:r>
      <w:r w:rsidRPr="00152CE6">
        <w:rPr>
          <w:snapToGrid w:val="0"/>
          <w:kern w:val="22"/>
          <w:szCs w:val="22"/>
        </w:rPr>
        <w:t xml:space="preserve">replenishment period of the </w:t>
      </w:r>
      <w:r w:rsidRPr="003D3F00">
        <w:rPr>
          <w:snapToGrid w:val="0"/>
          <w:kern w:val="22"/>
          <w:szCs w:val="22"/>
        </w:rPr>
        <w:t>Global Environment Facility</w:t>
      </w:r>
      <w:r w:rsidRPr="00152CE6">
        <w:rPr>
          <w:snapToGrid w:val="0"/>
          <w:kern w:val="22"/>
          <w:szCs w:val="22"/>
        </w:rPr>
        <w:t xml:space="preserve"> </w:t>
      </w:r>
      <w:r w:rsidRPr="003D3F00">
        <w:rPr>
          <w:snapToGrid w:val="0"/>
          <w:kern w:val="22"/>
          <w:szCs w:val="22"/>
        </w:rPr>
        <w:t>Trust Fund</w:t>
      </w:r>
      <w:r w:rsidRPr="00152CE6">
        <w:rPr>
          <w:snapToGrid w:val="0"/>
          <w:kern w:val="22"/>
          <w:szCs w:val="22"/>
        </w:rPr>
        <w:t xml:space="preserve"> (202</w:t>
      </w:r>
      <w:r w:rsidR="00460D9F" w:rsidRPr="00152CE6">
        <w:rPr>
          <w:snapToGrid w:val="0"/>
          <w:kern w:val="22"/>
          <w:szCs w:val="22"/>
        </w:rPr>
        <w:t>6</w:t>
      </w:r>
      <w:r w:rsidRPr="00152CE6">
        <w:rPr>
          <w:b/>
          <w:bCs/>
          <w:iCs/>
          <w:szCs w:val="22"/>
        </w:rPr>
        <w:t>–</w:t>
      </w:r>
      <w:r w:rsidRPr="00152CE6">
        <w:rPr>
          <w:snapToGrid w:val="0"/>
          <w:kern w:val="22"/>
          <w:szCs w:val="22"/>
        </w:rPr>
        <w:t>20</w:t>
      </w:r>
      <w:r w:rsidR="00460D9F" w:rsidRPr="00152CE6">
        <w:rPr>
          <w:snapToGrid w:val="0"/>
          <w:kern w:val="22"/>
          <w:szCs w:val="22"/>
        </w:rPr>
        <w:t>30</w:t>
      </w:r>
      <w:r w:rsidRPr="00152CE6">
        <w:rPr>
          <w:snapToGrid w:val="0"/>
          <w:kern w:val="22"/>
          <w:szCs w:val="22"/>
        </w:rPr>
        <w:t xml:space="preserve">) </w:t>
      </w:r>
      <w:r w:rsidRPr="00152CE6">
        <w:rPr>
          <w:iCs/>
          <w:snapToGrid w:val="0"/>
          <w:kern w:val="22"/>
          <w:szCs w:val="22"/>
          <w:lang w:val="en-US"/>
        </w:rPr>
        <w:t xml:space="preserve">to support the implementation of the Nagoya Protocol on Access </w:t>
      </w:r>
      <w:r w:rsidR="00F152C6">
        <w:rPr>
          <w:iCs/>
          <w:snapToGrid w:val="0"/>
          <w:kern w:val="22"/>
          <w:szCs w:val="22"/>
          <w:lang w:val="en-US"/>
        </w:rPr>
        <w:t>to</w:t>
      </w:r>
      <w:r w:rsidR="00F152C6" w:rsidRPr="00F152C6">
        <w:rPr>
          <w:iCs/>
          <w:snapToGrid w:val="0"/>
          <w:kern w:val="22"/>
          <w:szCs w:val="22"/>
          <w:lang w:val="en-US"/>
        </w:rPr>
        <w:t xml:space="preserve"> Genetic Resources and the Fair and Equitable</w:t>
      </w:r>
      <w:r w:rsidR="009D187F">
        <w:rPr>
          <w:iCs/>
          <w:snapToGrid w:val="0"/>
          <w:kern w:val="22"/>
          <w:szCs w:val="22"/>
          <w:lang w:val="en-US"/>
        </w:rPr>
        <w:t xml:space="preserve"> </w:t>
      </w:r>
      <w:r w:rsidR="00F152C6" w:rsidRPr="00F152C6">
        <w:rPr>
          <w:iCs/>
          <w:snapToGrid w:val="0"/>
          <w:kern w:val="22"/>
          <w:szCs w:val="22"/>
          <w:lang w:val="en-US"/>
        </w:rPr>
        <w:t>Sharing of Benefits Arising from their Utilization</w:t>
      </w:r>
      <w:r w:rsidRPr="00152CE6">
        <w:rPr>
          <w:iCs/>
          <w:snapToGrid w:val="0"/>
          <w:kern w:val="22"/>
          <w:szCs w:val="22"/>
          <w:lang w:val="en-US"/>
        </w:rPr>
        <w:t xml:space="preserve">, adopted by the Conference of the Parties serving as the meeting of the Parties to the Protocol at its </w:t>
      </w:r>
      <w:r w:rsidR="00460D9F" w:rsidRPr="00152CE6">
        <w:rPr>
          <w:iCs/>
          <w:snapToGrid w:val="0"/>
          <w:kern w:val="22"/>
          <w:szCs w:val="22"/>
          <w:lang w:val="en-US"/>
        </w:rPr>
        <w:t xml:space="preserve">fifth </w:t>
      </w:r>
      <w:r w:rsidRPr="00152CE6">
        <w:rPr>
          <w:iCs/>
          <w:snapToGrid w:val="0"/>
          <w:kern w:val="22"/>
          <w:szCs w:val="22"/>
          <w:lang w:val="en-US"/>
        </w:rPr>
        <w:t xml:space="preserve">meeting, </w:t>
      </w:r>
      <w:r w:rsidR="00460D9F" w:rsidRPr="00152CE6">
        <w:rPr>
          <w:iCs/>
          <w:snapToGrid w:val="0"/>
          <w:kern w:val="22"/>
          <w:szCs w:val="22"/>
          <w:lang w:val="en-US"/>
        </w:rPr>
        <w:t>comprise</w:t>
      </w:r>
      <w:r w:rsidRPr="00152CE6">
        <w:rPr>
          <w:snapToGrid w:val="0"/>
          <w:kern w:val="22"/>
          <w:szCs w:val="22"/>
        </w:rPr>
        <w:t>:</w:t>
      </w:r>
      <w:r w:rsidRPr="003D3F00">
        <w:rPr>
          <w:snapToGrid w:val="0"/>
          <w:kern w:val="22"/>
          <w:szCs w:val="22"/>
        </w:rPr>
        <w:t xml:space="preserve"> </w:t>
      </w:r>
    </w:p>
    <w:p w14:paraId="29490A1A" w14:textId="77777777" w:rsidR="00424608" w:rsidRPr="00E252EF" w:rsidRDefault="00424608" w:rsidP="00424608">
      <w:pPr>
        <w:spacing w:before="120" w:after="120"/>
        <w:ind w:left="1134" w:firstLine="567"/>
        <w:rPr>
          <w:snapToGrid w:val="0"/>
          <w:kern w:val="22"/>
          <w:szCs w:val="22"/>
        </w:rPr>
      </w:pPr>
      <w:r w:rsidRPr="006734D7">
        <w:rPr>
          <w:snapToGrid w:val="0"/>
          <w:szCs w:val="22"/>
        </w:rPr>
        <w:t>(</w:t>
      </w:r>
      <w:r>
        <w:rPr>
          <w:snapToGrid w:val="0"/>
          <w:szCs w:val="22"/>
        </w:rPr>
        <w:t>x</w:t>
      </w:r>
      <w:r w:rsidRPr="006734D7">
        <w:rPr>
          <w:snapToGrid w:val="0"/>
          <w:szCs w:val="22"/>
        </w:rPr>
        <w:t xml:space="preserve">) </w:t>
      </w:r>
      <w:r w:rsidRPr="006734D7">
        <w:rPr>
          <w:snapToGrid w:val="0"/>
          <w:szCs w:val="22"/>
        </w:rPr>
        <w:tab/>
      </w:r>
      <w:r w:rsidRPr="003D3F00">
        <w:rPr>
          <w:snapToGrid w:val="0"/>
          <w:szCs w:val="22"/>
        </w:rPr>
        <w:t>[Placeholder</w:t>
      </w:r>
      <w:r>
        <w:rPr>
          <w:snapToGrid w:val="0"/>
          <w:szCs w:val="22"/>
        </w:rPr>
        <w:t xml:space="preserve"> for elements of guidance</w:t>
      </w:r>
      <w:r w:rsidRPr="003D3F00">
        <w:rPr>
          <w:snapToGrid w:val="0"/>
          <w:szCs w:val="22"/>
        </w:rPr>
        <w:t>]</w:t>
      </w:r>
      <w:r w:rsidRPr="006734D7">
        <w:rPr>
          <w:snapToGrid w:val="0"/>
          <w:szCs w:val="22"/>
        </w:rPr>
        <w:t>;</w:t>
      </w:r>
      <w:r w:rsidRPr="003D3F00">
        <w:rPr>
          <w:snapToGrid w:val="0"/>
          <w:szCs w:val="22"/>
          <w:vertAlign w:val="superscript"/>
        </w:rPr>
        <w:t xml:space="preserve"> </w:t>
      </w:r>
    </w:p>
    <w:bookmarkEnd w:id="16"/>
    <w:p w14:paraId="54FA6E4B" w14:textId="156308E2" w:rsidR="00460D9F" w:rsidRPr="00F55D5C" w:rsidRDefault="00F017B4" w:rsidP="001E4995">
      <w:pPr>
        <w:keepNext/>
        <w:keepLines/>
        <w:suppressLineNumbers/>
        <w:suppressAutoHyphens/>
        <w:adjustRightInd w:val="0"/>
        <w:snapToGrid w:val="0"/>
        <w:spacing w:before="240" w:after="120"/>
        <w:ind w:left="1134" w:right="1138"/>
        <w:jc w:val="left"/>
        <w:outlineLvl w:val="0"/>
        <w:rPr>
          <w:b/>
          <w:bCs/>
          <w:iCs/>
          <w:sz w:val="24"/>
          <w:lang w:val="en-US"/>
        </w:rPr>
      </w:pPr>
      <w:r w:rsidRPr="00F55D5C">
        <w:rPr>
          <w:b/>
          <w:bCs/>
          <w:iCs/>
          <w:snapToGrid w:val="0"/>
          <w:kern w:val="22"/>
          <w:sz w:val="24"/>
        </w:rPr>
        <w:lastRenderedPageBreak/>
        <w:t>Enclosure</w:t>
      </w:r>
      <w:r w:rsidR="00460D9F" w:rsidRPr="00F55D5C">
        <w:rPr>
          <w:b/>
          <w:bCs/>
          <w:iCs/>
          <w:sz w:val="24"/>
          <w:lang w:val="en-US"/>
        </w:rPr>
        <w:t xml:space="preserve"> II</w:t>
      </w:r>
      <w:r w:rsidR="004C54A3" w:rsidRPr="00F55D5C">
        <w:rPr>
          <w:rStyle w:val="FootnoteReference"/>
          <w:b/>
          <w:bCs/>
          <w:iCs/>
          <w:sz w:val="24"/>
          <w:lang w:val="en-US"/>
        </w:rPr>
        <w:footnoteReference w:id="29"/>
      </w:r>
    </w:p>
    <w:p w14:paraId="26660F2F" w14:textId="2FD8F8BD" w:rsidR="00460D9F" w:rsidRPr="00F55D5C" w:rsidRDefault="00D95D56" w:rsidP="003C4EFB">
      <w:pPr>
        <w:keepNext/>
        <w:keepLines/>
        <w:spacing w:before="240" w:after="120"/>
        <w:ind w:left="1134" w:right="1138"/>
        <w:jc w:val="left"/>
        <w:outlineLvl w:val="0"/>
        <w:rPr>
          <w:b/>
          <w:i/>
          <w:iCs/>
          <w:caps/>
          <w:sz w:val="24"/>
          <w:lang w:val="en-US"/>
        </w:rPr>
      </w:pPr>
      <w:r w:rsidRPr="00F55D5C">
        <w:rPr>
          <w:b/>
          <w:snapToGrid w:val="0"/>
          <w:sz w:val="24"/>
        </w:rPr>
        <w:t xml:space="preserve">Additional elements for the four-year outcome-oriented framework of programme priorities for the ninth </w:t>
      </w:r>
      <w:r w:rsidR="00CB010A">
        <w:rPr>
          <w:b/>
          <w:snapToGrid w:val="0"/>
          <w:sz w:val="24"/>
        </w:rPr>
        <w:t>r</w:t>
      </w:r>
      <w:r w:rsidRPr="00F55D5C">
        <w:rPr>
          <w:b/>
          <w:snapToGrid w:val="0"/>
          <w:sz w:val="24"/>
        </w:rPr>
        <w:t>eplenishment period of the Global Environment Facility</w:t>
      </w:r>
      <w:r w:rsidR="00460D9F" w:rsidRPr="00F55D5C">
        <w:rPr>
          <w:b/>
          <w:caps/>
          <w:snapToGrid w:val="0"/>
          <w:sz w:val="24"/>
        </w:rPr>
        <w:t xml:space="preserve"> </w:t>
      </w:r>
      <w:r w:rsidRPr="00F55D5C">
        <w:rPr>
          <w:b/>
          <w:snapToGrid w:val="0"/>
          <w:sz w:val="24"/>
        </w:rPr>
        <w:t>Trust Fund</w:t>
      </w:r>
      <w:r w:rsidR="00460D9F" w:rsidRPr="00F55D5C">
        <w:rPr>
          <w:b/>
          <w:caps/>
          <w:snapToGrid w:val="0"/>
          <w:sz w:val="24"/>
        </w:rPr>
        <w:t xml:space="preserve"> (2026</w:t>
      </w:r>
      <w:r w:rsidR="00460D9F" w:rsidRPr="00F55D5C">
        <w:rPr>
          <w:b/>
          <w:bCs/>
          <w:iCs/>
          <w:caps/>
          <w:sz w:val="24"/>
        </w:rPr>
        <w:t>–</w:t>
      </w:r>
      <w:r w:rsidR="00460D9F" w:rsidRPr="00F55D5C">
        <w:rPr>
          <w:b/>
          <w:caps/>
          <w:snapToGrid w:val="0"/>
          <w:sz w:val="24"/>
        </w:rPr>
        <w:t xml:space="preserve">2030) </w:t>
      </w:r>
      <w:r w:rsidRPr="00F55D5C">
        <w:rPr>
          <w:b/>
          <w:iCs/>
          <w:snapToGrid w:val="0"/>
          <w:sz w:val="24"/>
          <w:lang w:val="en-US"/>
        </w:rPr>
        <w:t>to support the implementation of the Cartagena Protocol on Biosafety</w:t>
      </w:r>
    </w:p>
    <w:p w14:paraId="3461530B" w14:textId="38D6765F" w:rsidR="00460D9F" w:rsidRPr="006734D7" w:rsidRDefault="00460D9F" w:rsidP="003D3F00">
      <w:pPr>
        <w:spacing w:before="120" w:after="120"/>
        <w:ind w:left="1134"/>
        <w:rPr>
          <w:snapToGrid w:val="0"/>
          <w:kern w:val="22"/>
          <w:szCs w:val="22"/>
        </w:rPr>
      </w:pPr>
      <w:r w:rsidRPr="006734D7">
        <w:rPr>
          <w:snapToGrid w:val="0"/>
          <w:kern w:val="22"/>
          <w:szCs w:val="22"/>
        </w:rPr>
        <w:t xml:space="preserve">Elements for the four-year outcome-oriented framework of programme priorities for the </w:t>
      </w:r>
      <w:r w:rsidR="009F4ECA" w:rsidRPr="006734D7">
        <w:rPr>
          <w:snapToGrid w:val="0"/>
          <w:kern w:val="22"/>
          <w:szCs w:val="22"/>
        </w:rPr>
        <w:t>ninth</w:t>
      </w:r>
      <w:r w:rsidRPr="006734D7">
        <w:rPr>
          <w:snapToGrid w:val="0"/>
          <w:kern w:val="22"/>
          <w:szCs w:val="22"/>
        </w:rPr>
        <w:t xml:space="preserve"> replenishment period of the </w:t>
      </w:r>
      <w:r w:rsidRPr="003D3F00">
        <w:rPr>
          <w:snapToGrid w:val="0"/>
          <w:kern w:val="22"/>
          <w:szCs w:val="22"/>
        </w:rPr>
        <w:t>Global Environment Facility</w:t>
      </w:r>
      <w:r w:rsidRPr="006734D7">
        <w:rPr>
          <w:snapToGrid w:val="0"/>
          <w:kern w:val="22"/>
          <w:szCs w:val="22"/>
        </w:rPr>
        <w:t xml:space="preserve"> </w:t>
      </w:r>
      <w:r w:rsidRPr="003D3F00">
        <w:rPr>
          <w:snapToGrid w:val="0"/>
          <w:kern w:val="22"/>
          <w:szCs w:val="22"/>
        </w:rPr>
        <w:t>Trust Fund</w:t>
      </w:r>
      <w:r w:rsidRPr="006734D7">
        <w:rPr>
          <w:snapToGrid w:val="0"/>
          <w:kern w:val="22"/>
          <w:szCs w:val="22"/>
        </w:rPr>
        <w:t xml:space="preserve"> (2026</w:t>
      </w:r>
      <w:r w:rsidRPr="006734D7">
        <w:rPr>
          <w:b/>
          <w:bCs/>
          <w:iCs/>
          <w:szCs w:val="22"/>
        </w:rPr>
        <w:t>–</w:t>
      </w:r>
      <w:r w:rsidRPr="006734D7">
        <w:rPr>
          <w:snapToGrid w:val="0"/>
          <w:kern w:val="22"/>
          <w:szCs w:val="22"/>
        </w:rPr>
        <w:t xml:space="preserve">2030) </w:t>
      </w:r>
      <w:r w:rsidRPr="006734D7">
        <w:rPr>
          <w:iCs/>
          <w:snapToGrid w:val="0"/>
          <w:kern w:val="22"/>
          <w:szCs w:val="22"/>
          <w:lang w:val="en-US"/>
        </w:rPr>
        <w:t xml:space="preserve">to support the implementation of the Cartagena Protocol on Biosafety, adopted by the Conference of the Parties serving as the meeting of the Parties to the Protocol at its </w:t>
      </w:r>
      <w:r w:rsidR="009F4ECA" w:rsidRPr="006734D7">
        <w:rPr>
          <w:iCs/>
          <w:snapToGrid w:val="0"/>
          <w:kern w:val="22"/>
          <w:szCs w:val="22"/>
          <w:lang w:val="en-US"/>
        </w:rPr>
        <w:t>eleventh</w:t>
      </w:r>
      <w:r w:rsidRPr="006734D7">
        <w:rPr>
          <w:iCs/>
          <w:snapToGrid w:val="0"/>
          <w:kern w:val="22"/>
          <w:szCs w:val="22"/>
          <w:lang w:val="en-US"/>
        </w:rPr>
        <w:t xml:space="preserve"> meeting, include</w:t>
      </w:r>
      <w:r w:rsidRPr="006734D7">
        <w:rPr>
          <w:snapToGrid w:val="0"/>
          <w:kern w:val="22"/>
          <w:szCs w:val="22"/>
        </w:rPr>
        <w:t xml:space="preserve">: </w:t>
      </w:r>
    </w:p>
    <w:p w14:paraId="58FD5155" w14:textId="6AF3EF3A" w:rsidR="00B83802" w:rsidRPr="00E252EF" w:rsidRDefault="00460D9F" w:rsidP="00E252EF">
      <w:pPr>
        <w:spacing w:before="120" w:after="120"/>
        <w:ind w:left="1134" w:firstLine="567"/>
        <w:rPr>
          <w:snapToGrid w:val="0"/>
          <w:kern w:val="22"/>
          <w:szCs w:val="22"/>
        </w:rPr>
      </w:pPr>
      <w:bookmarkStart w:id="18" w:name="_Hlk164480057"/>
      <w:r w:rsidRPr="006734D7">
        <w:rPr>
          <w:snapToGrid w:val="0"/>
          <w:szCs w:val="22"/>
        </w:rPr>
        <w:t>(</w:t>
      </w:r>
      <w:r w:rsidR="002365A3">
        <w:rPr>
          <w:snapToGrid w:val="0"/>
          <w:szCs w:val="22"/>
        </w:rPr>
        <w:t>x</w:t>
      </w:r>
      <w:r w:rsidRPr="006734D7">
        <w:rPr>
          <w:snapToGrid w:val="0"/>
          <w:szCs w:val="22"/>
        </w:rPr>
        <w:t xml:space="preserve">) </w:t>
      </w:r>
      <w:r w:rsidRPr="006734D7">
        <w:rPr>
          <w:snapToGrid w:val="0"/>
          <w:szCs w:val="22"/>
        </w:rPr>
        <w:tab/>
      </w:r>
      <w:r w:rsidR="00E66F09" w:rsidRPr="003D3F00">
        <w:rPr>
          <w:snapToGrid w:val="0"/>
          <w:szCs w:val="22"/>
        </w:rPr>
        <w:t>[Placeholder</w:t>
      </w:r>
      <w:r w:rsidR="00B748A9">
        <w:rPr>
          <w:snapToGrid w:val="0"/>
          <w:szCs w:val="22"/>
        </w:rPr>
        <w:t xml:space="preserve"> for </w:t>
      </w:r>
      <w:r w:rsidR="00783828">
        <w:rPr>
          <w:snapToGrid w:val="0"/>
          <w:szCs w:val="22"/>
        </w:rPr>
        <w:t>elements of guidance</w:t>
      </w:r>
      <w:r w:rsidR="00E66F09" w:rsidRPr="003D3F00">
        <w:rPr>
          <w:snapToGrid w:val="0"/>
          <w:szCs w:val="22"/>
        </w:rPr>
        <w:t>]</w:t>
      </w:r>
      <w:r w:rsidRPr="006734D7">
        <w:rPr>
          <w:snapToGrid w:val="0"/>
          <w:szCs w:val="22"/>
        </w:rPr>
        <w:t>;</w:t>
      </w:r>
      <w:r w:rsidRPr="003D3F00">
        <w:rPr>
          <w:snapToGrid w:val="0"/>
          <w:szCs w:val="22"/>
          <w:vertAlign w:val="superscript"/>
        </w:rPr>
        <w:t xml:space="preserve"> </w:t>
      </w:r>
    </w:p>
    <w:bookmarkEnd w:id="18"/>
    <w:p w14:paraId="13D0CB5A" w14:textId="5542E935" w:rsidR="00B83802" w:rsidRPr="004701EE" w:rsidRDefault="00B83802" w:rsidP="00E252EF">
      <w:pPr>
        <w:pStyle w:val="Para1"/>
        <w:numPr>
          <w:ilvl w:val="0"/>
          <w:numId w:val="0"/>
        </w:numPr>
        <w:ind w:left="567"/>
        <w:jc w:val="center"/>
      </w:pPr>
      <w:r>
        <w:t>__________</w:t>
      </w:r>
    </w:p>
    <w:sectPr w:rsidR="00B83802" w:rsidRPr="004701EE" w:rsidSect="0017115E">
      <w:footnotePr>
        <w:numRestart w:val="eachSect"/>
      </w:footnotePr>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BB7E" w14:textId="77777777" w:rsidR="0017115E" w:rsidRDefault="0017115E" w:rsidP="00A96B21">
      <w:r>
        <w:separator/>
      </w:r>
    </w:p>
  </w:endnote>
  <w:endnote w:type="continuationSeparator" w:id="0">
    <w:p w14:paraId="71124E7E" w14:textId="77777777" w:rsidR="0017115E" w:rsidRDefault="0017115E"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2CBBADEC" w14:textId="77777777" w:rsidR="005325F2" w:rsidRDefault="005325F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540A4EF" w14:textId="77777777" w:rsidR="005325F2" w:rsidRDefault="005325F2"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1F4A" w14:textId="77777777" w:rsidR="0017115E" w:rsidRDefault="0017115E" w:rsidP="00A96B21">
      <w:r>
        <w:separator/>
      </w:r>
    </w:p>
  </w:footnote>
  <w:footnote w:type="continuationSeparator" w:id="0">
    <w:p w14:paraId="7825E9BC" w14:textId="77777777" w:rsidR="0017115E" w:rsidRDefault="0017115E" w:rsidP="00A96B21">
      <w:r>
        <w:continuationSeparator/>
      </w:r>
    </w:p>
  </w:footnote>
  <w:footnote w:id="1">
    <w:p w14:paraId="63D3E784" w14:textId="77777777" w:rsidR="005325F2" w:rsidRPr="00A96B21" w:rsidRDefault="005325F2" w:rsidP="00D71FFB">
      <w:pPr>
        <w:pStyle w:val="Footnote"/>
      </w:pPr>
      <w:r w:rsidRPr="00F003E8">
        <w:rPr>
          <w:rStyle w:val="FootnoteReference"/>
        </w:rPr>
        <w:t>*</w:t>
      </w:r>
      <w:r w:rsidRPr="00F003E8">
        <w:t xml:space="preserve"> </w:t>
      </w:r>
      <w:r w:rsidRPr="003D3F00">
        <w:t>CBD</w:t>
      </w:r>
      <w:r w:rsidRPr="00F003E8">
        <w:t>/</w:t>
      </w:r>
      <w:r w:rsidRPr="003D3F00">
        <w:t>SBI</w:t>
      </w:r>
      <w:r w:rsidRPr="00F003E8">
        <w:t>/4/1.</w:t>
      </w:r>
    </w:p>
  </w:footnote>
  <w:footnote w:id="2">
    <w:p w14:paraId="6BDB457A" w14:textId="77777777" w:rsidR="005325F2" w:rsidRPr="00FA32F9" w:rsidRDefault="005325F2" w:rsidP="00F57043">
      <w:pPr>
        <w:pStyle w:val="FootnoteText"/>
      </w:pPr>
      <w:r>
        <w:rPr>
          <w:rStyle w:val="FootnoteReference"/>
        </w:rPr>
        <w:footnoteRef/>
      </w:r>
      <w:r>
        <w:t xml:space="preserve"> </w:t>
      </w:r>
      <w:r w:rsidRPr="003D3F00">
        <w:rPr>
          <w:sz w:val="18"/>
          <w:szCs w:val="18"/>
        </w:rPr>
        <w:t>These elements of its decision 15/15 on the financial mechanism were also included in its decision 15/7 on resource mobilization.</w:t>
      </w:r>
    </w:p>
  </w:footnote>
  <w:footnote w:id="3">
    <w:p w14:paraId="4226BD70" w14:textId="5BBB39D8" w:rsidR="005325F2" w:rsidRPr="00200224" w:rsidRDefault="005325F2" w:rsidP="0051306C">
      <w:pPr>
        <w:pStyle w:val="FootnoteText"/>
        <w:jc w:val="left"/>
        <w:rPr>
          <w:lang w:val="en-US"/>
        </w:rPr>
      </w:pPr>
      <w:r>
        <w:rPr>
          <w:rStyle w:val="FootnoteReference"/>
        </w:rPr>
        <w:footnoteRef/>
      </w:r>
      <w:r>
        <w:t xml:space="preserve"> </w:t>
      </w:r>
      <w:hyperlink r:id="rId1" w:history="1">
        <w:r w:rsidRPr="00A8198C">
          <w:rPr>
            <w:rStyle w:val="Hyperlink"/>
            <w:szCs w:val="18"/>
            <w:lang w:val="en-US"/>
          </w:rPr>
          <w:t>GEF Council Decisions 2023</w:t>
        </w:r>
      </w:hyperlink>
      <w:r>
        <w:rPr>
          <w:sz w:val="18"/>
          <w:szCs w:val="18"/>
          <w:lang w:val="en-US"/>
        </w:rPr>
        <w:t xml:space="preserve">. </w:t>
      </w:r>
    </w:p>
  </w:footnote>
  <w:footnote w:id="4">
    <w:p w14:paraId="00810C54" w14:textId="3348A27C" w:rsidR="005325F2" w:rsidRPr="00F67EC6" w:rsidRDefault="005325F2">
      <w:pPr>
        <w:pStyle w:val="FootnoteText"/>
      </w:pPr>
      <w:r>
        <w:rPr>
          <w:rStyle w:val="FootnoteReference"/>
        </w:rPr>
        <w:footnoteRef/>
      </w:r>
      <w:r>
        <w:t xml:space="preserve"> </w:t>
      </w:r>
      <w:r w:rsidRPr="00F67EC6">
        <w:t>Decision 15/15, para. 5.</w:t>
      </w:r>
    </w:p>
  </w:footnote>
  <w:footnote w:id="5">
    <w:p w14:paraId="593AD53D" w14:textId="5A85F6C9" w:rsidR="005325F2" w:rsidRPr="00C7585B" w:rsidRDefault="005325F2">
      <w:pPr>
        <w:pStyle w:val="FootnoteText"/>
      </w:pPr>
      <w:r>
        <w:rPr>
          <w:rStyle w:val="FootnoteReference"/>
        </w:rPr>
        <w:footnoteRef/>
      </w:r>
      <w:r>
        <w:t xml:space="preserve"> </w:t>
      </w:r>
      <w:r w:rsidRPr="003D3F00">
        <w:rPr>
          <w:sz w:val="18"/>
          <w:szCs w:val="18"/>
        </w:rPr>
        <w:t>The Multilateral Organization Performance Assessment Network is currently undertaking a similar study, led by Australia and Sweden, on the Global Environment Facility’s organizational effectiveness (strategic, operational, relationship and performance) and results. However, the report of the ongoing study will not be published until December 2024.</w:t>
      </w:r>
    </w:p>
  </w:footnote>
  <w:footnote w:id="6">
    <w:p w14:paraId="25E840A5" w14:textId="69205D61" w:rsidR="005325F2" w:rsidRPr="003D3F00" w:rsidRDefault="005325F2">
      <w:pPr>
        <w:pStyle w:val="FootnoteText"/>
        <w:rPr>
          <w:sz w:val="18"/>
          <w:szCs w:val="18"/>
          <w:lang w:val="en-US"/>
        </w:rPr>
      </w:pPr>
      <w:r>
        <w:rPr>
          <w:rStyle w:val="FootnoteReference"/>
        </w:rPr>
        <w:footnoteRef/>
      </w:r>
      <w:r>
        <w:t xml:space="preserve"> </w:t>
      </w:r>
      <w:r w:rsidRPr="003D3F00">
        <w:rPr>
          <w:sz w:val="18"/>
          <w:szCs w:val="18"/>
        </w:rPr>
        <w:t>In its resolution 13/2023, the Governing Body also welcomed the establishment of the Global Biodiversity Framework Fund and requested the Secretary to follow developments in the implementation of the Fund (para. 7).</w:t>
      </w:r>
    </w:p>
  </w:footnote>
  <w:footnote w:id="7">
    <w:p w14:paraId="4EA1CABE" w14:textId="60E9DED4" w:rsidR="005325F2" w:rsidRPr="001C3BAA" w:rsidRDefault="005325F2">
      <w:pPr>
        <w:pStyle w:val="FootnoteText"/>
      </w:pPr>
      <w:r w:rsidRPr="003D3F00">
        <w:rPr>
          <w:rStyle w:val="FootnoteReference"/>
          <w:sz w:val="18"/>
          <w:szCs w:val="18"/>
        </w:rPr>
        <w:footnoteRef/>
      </w:r>
      <w:r w:rsidRPr="003D3F00">
        <w:rPr>
          <w:sz w:val="18"/>
          <w:szCs w:val="18"/>
        </w:rPr>
        <w:t xml:space="preserve"> </w:t>
      </w:r>
      <w:r w:rsidR="00CB010A">
        <w:rPr>
          <w:sz w:val="18"/>
          <w:szCs w:val="18"/>
        </w:rPr>
        <w:t>D</w:t>
      </w:r>
      <w:r w:rsidRPr="003D3F00">
        <w:rPr>
          <w:sz w:val="18"/>
          <w:szCs w:val="18"/>
        </w:rPr>
        <w:t>ecision 15/4, annex, paras. 6 and 7 (q).</w:t>
      </w:r>
    </w:p>
  </w:footnote>
  <w:footnote w:id="8">
    <w:p w14:paraId="120E9B9E" w14:textId="756B7DE4" w:rsidR="005325F2" w:rsidRPr="003D3F00" w:rsidRDefault="005325F2">
      <w:pPr>
        <w:pStyle w:val="FootnoteText"/>
        <w:rPr>
          <w:sz w:val="18"/>
          <w:szCs w:val="18"/>
          <w:lang w:val="en-US"/>
        </w:rPr>
      </w:pPr>
      <w:r w:rsidRPr="003D3F00">
        <w:rPr>
          <w:rStyle w:val="FootnoteReference"/>
          <w:sz w:val="18"/>
          <w:szCs w:val="18"/>
        </w:rPr>
        <w:footnoteRef/>
      </w:r>
      <w:r w:rsidRPr="003D3F00">
        <w:rPr>
          <w:sz w:val="18"/>
          <w:szCs w:val="18"/>
        </w:rPr>
        <w:t xml:space="preserve"> CBD/SBI/4/6/Add.1</w:t>
      </w:r>
      <w:r>
        <w:rPr>
          <w:sz w:val="18"/>
          <w:szCs w:val="18"/>
        </w:rPr>
        <w:t>.</w:t>
      </w:r>
    </w:p>
  </w:footnote>
  <w:footnote w:id="9">
    <w:p w14:paraId="7C834962" w14:textId="5AB07513" w:rsidR="005325F2" w:rsidRPr="00F44395" w:rsidRDefault="005325F2" w:rsidP="003D3F00">
      <w:pPr>
        <w:keepLines/>
        <w:suppressLineNumbers/>
        <w:suppressAutoHyphens/>
        <w:rPr>
          <w:kern w:val="18"/>
          <w:sz w:val="18"/>
          <w:szCs w:val="18"/>
        </w:rPr>
      </w:pPr>
      <w:r w:rsidRPr="003D3F00">
        <w:rPr>
          <w:rStyle w:val="FootnoteReference"/>
          <w:kern w:val="18"/>
          <w:sz w:val="18"/>
          <w:szCs w:val="18"/>
        </w:rPr>
        <w:footnoteRef/>
      </w:r>
      <w:r w:rsidRPr="00F44395">
        <w:rPr>
          <w:kern w:val="18"/>
          <w:sz w:val="18"/>
          <w:szCs w:val="18"/>
        </w:rPr>
        <w:t xml:space="preserve"> </w:t>
      </w:r>
      <w:r w:rsidRPr="00F44395">
        <w:rPr>
          <w:bCs/>
          <w:kern w:val="18"/>
          <w:sz w:val="18"/>
          <w:szCs w:val="18"/>
        </w:rPr>
        <w:t>Bearing in mind that additional elements for a draft decision will be elaborated prior to the sixteenth meeting of the Conference of the Parties.</w:t>
      </w:r>
    </w:p>
  </w:footnote>
  <w:footnote w:id="10">
    <w:p w14:paraId="179209CC" w14:textId="692D1707" w:rsidR="005325F2" w:rsidRPr="003D3F00" w:rsidRDefault="005325F2" w:rsidP="005165C7">
      <w:pPr>
        <w:pStyle w:val="FootnoteText"/>
        <w:rPr>
          <w:lang w:val="en-US"/>
        </w:rPr>
      </w:pPr>
      <w:r w:rsidRPr="003D3F00">
        <w:rPr>
          <w:rStyle w:val="FootnoteReference"/>
          <w:sz w:val="18"/>
          <w:szCs w:val="18"/>
        </w:rPr>
        <w:footnoteRef/>
      </w:r>
      <w:r w:rsidRPr="003D3F00">
        <w:rPr>
          <w:sz w:val="18"/>
          <w:szCs w:val="18"/>
        </w:rPr>
        <w:t xml:space="preserve"> United Nations, Treaty Series, vol. 1760, No. 30619.</w:t>
      </w:r>
    </w:p>
  </w:footnote>
  <w:footnote w:id="11">
    <w:p w14:paraId="0FC83FD0" w14:textId="4F26A548" w:rsidR="005325F2" w:rsidRPr="003D3F00" w:rsidRDefault="005325F2">
      <w:pPr>
        <w:pStyle w:val="FootnoteText"/>
        <w:rPr>
          <w:sz w:val="18"/>
          <w:szCs w:val="18"/>
          <w:lang w:val="en-US"/>
        </w:rPr>
      </w:pPr>
      <w:r w:rsidRPr="003D3F00">
        <w:rPr>
          <w:rStyle w:val="FootnoteReference"/>
          <w:sz w:val="18"/>
          <w:szCs w:val="18"/>
        </w:rPr>
        <w:footnoteRef/>
      </w:r>
      <w:r w:rsidRPr="003D3F00">
        <w:rPr>
          <w:sz w:val="18"/>
          <w:szCs w:val="18"/>
        </w:rPr>
        <w:t xml:space="preserve"> CBD/COP/16/--.</w:t>
      </w:r>
    </w:p>
  </w:footnote>
  <w:footnote w:id="12">
    <w:p w14:paraId="61B40930" w14:textId="24F82776" w:rsidR="005325F2" w:rsidRPr="003D3F00" w:rsidRDefault="005325F2">
      <w:pPr>
        <w:pStyle w:val="FootnoteText"/>
        <w:rPr>
          <w:lang w:val="en-US"/>
        </w:rPr>
      </w:pPr>
      <w:r w:rsidRPr="003D3F00">
        <w:rPr>
          <w:rStyle w:val="FootnoteReference"/>
          <w:sz w:val="18"/>
          <w:szCs w:val="18"/>
        </w:rPr>
        <w:footnoteRef/>
      </w:r>
      <w:r w:rsidRPr="003D3F00">
        <w:rPr>
          <w:sz w:val="18"/>
          <w:szCs w:val="18"/>
        </w:rPr>
        <w:t xml:space="preserve"> Decision 15/4, annex.</w:t>
      </w:r>
    </w:p>
  </w:footnote>
  <w:footnote w:id="13">
    <w:p w14:paraId="330CFCD4" w14:textId="6D113BB1" w:rsidR="005325F2" w:rsidRPr="003D3F00" w:rsidRDefault="005325F2" w:rsidP="007972C4">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This may include guidance to the Global Environment Facility developed in the light of consideration of agenda item 4</w:t>
      </w:r>
      <w:r w:rsidRPr="00A24235">
        <w:rPr>
          <w:sz w:val="18"/>
          <w:szCs w:val="18"/>
          <w:lang w:val="en-US"/>
        </w:rPr>
        <w:t> </w:t>
      </w:r>
      <w:r w:rsidRPr="003D3F00">
        <w:rPr>
          <w:sz w:val="18"/>
          <w:szCs w:val="18"/>
          <w:lang w:val="en-US"/>
        </w:rPr>
        <w:t>(a) of the fourth meeting of the Subsidiary Body on Implementation, including those related to the ninth replenishment process, as well as additional guidance developed in the light of the consideration of other agenda items of the sixteenth meeting of the Conference of the Parties.</w:t>
      </w:r>
    </w:p>
  </w:footnote>
  <w:footnote w:id="14">
    <w:p w14:paraId="53659E1A" w14:textId="189FA1F6" w:rsidR="005325F2" w:rsidRPr="003D3F00" w:rsidRDefault="005325F2" w:rsidP="00B83802">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Decisions 15/7 and 16/--.</w:t>
      </w:r>
    </w:p>
  </w:footnote>
  <w:footnote w:id="15">
    <w:p w14:paraId="7C6F1B8A" w14:textId="77777777" w:rsidR="005325F2" w:rsidRPr="003D3F00" w:rsidRDefault="005325F2" w:rsidP="00B83802">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Decision 15/8, annex I.</w:t>
      </w:r>
    </w:p>
  </w:footnote>
  <w:footnote w:id="16">
    <w:p w14:paraId="50EAB1B5" w14:textId="3F1515F0" w:rsidR="005325F2" w:rsidRPr="003D3F00" w:rsidRDefault="005325F2">
      <w:pPr>
        <w:pStyle w:val="FootnoteText"/>
        <w:rPr>
          <w:sz w:val="18"/>
          <w:szCs w:val="18"/>
        </w:rPr>
      </w:pPr>
      <w:r w:rsidRPr="003D3F00">
        <w:rPr>
          <w:rStyle w:val="FootnoteReference"/>
          <w:sz w:val="18"/>
          <w:szCs w:val="18"/>
        </w:rPr>
        <w:footnoteRef/>
      </w:r>
      <w:r w:rsidRPr="003D3F00">
        <w:rPr>
          <w:sz w:val="18"/>
          <w:szCs w:val="18"/>
        </w:rPr>
        <w:t xml:space="preserve"> </w:t>
      </w:r>
      <w:r w:rsidRPr="003D3F00">
        <w:rPr>
          <w:sz w:val="18"/>
          <w:szCs w:val="18"/>
          <w:lang w:val="en-US"/>
        </w:rPr>
        <w:t>Decisions 15/8 and 16/--.</w:t>
      </w:r>
    </w:p>
  </w:footnote>
  <w:footnote w:id="17">
    <w:p w14:paraId="2E8CA255" w14:textId="26F75B2D" w:rsidR="005325F2" w:rsidRPr="003D3F00" w:rsidRDefault="005325F2">
      <w:pPr>
        <w:pStyle w:val="FootnoteText"/>
        <w:rPr>
          <w:sz w:val="18"/>
          <w:szCs w:val="18"/>
        </w:rPr>
      </w:pPr>
      <w:r w:rsidRPr="003D3F00">
        <w:rPr>
          <w:rStyle w:val="FootnoteReference"/>
          <w:sz w:val="18"/>
          <w:szCs w:val="18"/>
        </w:rPr>
        <w:footnoteRef/>
      </w:r>
      <w:r w:rsidRPr="003D3F00">
        <w:rPr>
          <w:sz w:val="18"/>
          <w:szCs w:val="18"/>
        </w:rPr>
        <w:t xml:space="preserve"> </w:t>
      </w:r>
      <w:r w:rsidRPr="003D3F00">
        <w:rPr>
          <w:sz w:val="18"/>
          <w:szCs w:val="18"/>
          <w:lang w:val="en-US"/>
        </w:rPr>
        <w:t>Decision 16/--.</w:t>
      </w:r>
    </w:p>
  </w:footnote>
  <w:footnote w:id="18">
    <w:p w14:paraId="4D808401" w14:textId="77777777" w:rsidR="005325F2" w:rsidRPr="003D3F00" w:rsidRDefault="005325F2" w:rsidP="00B83802">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Decision 15/12, annex.</w:t>
      </w:r>
    </w:p>
  </w:footnote>
  <w:footnote w:id="19">
    <w:p w14:paraId="5654F267" w14:textId="77777777" w:rsidR="005325F2" w:rsidRPr="003D3F00" w:rsidRDefault="005325F2" w:rsidP="00B83802">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Decision 15/11, annex.</w:t>
      </w:r>
    </w:p>
  </w:footnote>
  <w:footnote w:id="20">
    <w:p w14:paraId="0AA37F73" w14:textId="7A718FA8" w:rsidR="005325F2" w:rsidRPr="003D3F00" w:rsidRDefault="005325F2">
      <w:pPr>
        <w:pStyle w:val="FootnoteText"/>
        <w:rPr>
          <w:sz w:val="18"/>
          <w:szCs w:val="18"/>
          <w:lang w:val="en-US"/>
        </w:rPr>
      </w:pPr>
      <w:r w:rsidRPr="003D3F00">
        <w:rPr>
          <w:rStyle w:val="FootnoteReference"/>
          <w:sz w:val="18"/>
          <w:szCs w:val="18"/>
        </w:rPr>
        <w:footnoteRef/>
      </w:r>
      <w:r w:rsidRPr="003D3F00">
        <w:rPr>
          <w:sz w:val="18"/>
          <w:szCs w:val="18"/>
        </w:rPr>
        <w:t xml:space="preserve"> </w:t>
      </w:r>
      <w:r w:rsidRPr="003D3F00">
        <w:rPr>
          <w:sz w:val="18"/>
          <w:szCs w:val="18"/>
          <w:lang w:val="en-US"/>
        </w:rPr>
        <w:t>Decisions 15/5 and 16/--.</w:t>
      </w:r>
    </w:p>
  </w:footnote>
  <w:footnote w:id="21">
    <w:p w14:paraId="13E443AB" w14:textId="71A116B7" w:rsidR="005325F2" w:rsidRPr="003D3F00" w:rsidRDefault="005325F2" w:rsidP="00B83802">
      <w:pPr>
        <w:pStyle w:val="FootnoteText"/>
        <w:rPr>
          <w:sz w:val="18"/>
          <w:szCs w:val="18"/>
          <w:lang w:val="en-US"/>
        </w:rPr>
      </w:pPr>
      <w:r w:rsidRPr="003D3F00">
        <w:rPr>
          <w:rStyle w:val="FootnoteReference"/>
          <w:sz w:val="18"/>
          <w:szCs w:val="18"/>
        </w:rPr>
        <w:footnoteRef/>
      </w:r>
      <w:r w:rsidRPr="003D3F00">
        <w:rPr>
          <w:sz w:val="18"/>
          <w:szCs w:val="18"/>
        </w:rPr>
        <w:t xml:space="preserve"> Decision 15/6.</w:t>
      </w:r>
    </w:p>
  </w:footnote>
  <w:footnote w:id="22">
    <w:p w14:paraId="3704C054" w14:textId="77777777" w:rsidR="005325F2" w:rsidRPr="003D3F00" w:rsidRDefault="005325F2" w:rsidP="00B83802">
      <w:pPr>
        <w:pStyle w:val="FootnoteText"/>
        <w:rPr>
          <w:sz w:val="18"/>
          <w:szCs w:val="18"/>
        </w:rPr>
      </w:pPr>
      <w:r w:rsidRPr="003D3F00">
        <w:rPr>
          <w:rStyle w:val="FootnoteReference"/>
          <w:sz w:val="18"/>
          <w:szCs w:val="18"/>
        </w:rPr>
        <w:footnoteRef/>
      </w:r>
      <w:r w:rsidRPr="003D3F00">
        <w:rPr>
          <w:sz w:val="18"/>
          <w:szCs w:val="18"/>
        </w:rPr>
        <w:t xml:space="preserve"> Decision CP-10/3, annex.</w:t>
      </w:r>
    </w:p>
  </w:footnote>
  <w:footnote w:id="23">
    <w:p w14:paraId="4C531BC0" w14:textId="77777777" w:rsidR="005325F2" w:rsidRPr="003D3F00" w:rsidRDefault="005325F2" w:rsidP="00B83802">
      <w:pPr>
        <w:pStyle w:val="FootnoteText"/>
        <w:rPr>
          <w:sz w:val="18"/>
          <w:szCs w:val="18"/>
        </w:rPr>
      </w:pPr>
      <w:r w:rsidRPr="003D3F00">
        <w:rPr>
          <w:rStyle w:val="FootnoteReference"/>
          <w:sz w:val="18"/>
          <w:szCs w:val="18"/>
        </w:rPr>
        <w:footnoteRef/>
      </w:r>
      <w:r w:rsidRPr="003D3F00">
        <w:rPr>
          <w:sz w:val="18"/>
          <w:szCs w:val="18"/>
        </w:rPr>
        <w:t xml:space="preserve"> Decision CP-10/4, annex.</w:t>
      </w:r>
    </w:p>
  </w:footnote>
  <w:footnote w:id="24">
    <w:p w14:paraId="4438294F" w14:textId="4BF15FE5" w:rsidR="005325F2" w:rsidRPr="003D3F00" w:rsidRDefault="005325F2">
      <w:pPr>
        <w:pStyle w:val="FootnoteText"/>
        <w:rPr>
          <w:sz w:val="18"/>
          <w:szCs w:val="18"/>
        </w:rPr>
      </w:pPr>
      <w:r w:rsidRPr="003D3F00">
        <w:rPr>
          <w:rStyle w:val="FootnoteReference"/>
          <w:sz w:val="18"/>
          <w:szCs w:val="18"/>
        </w:rPr>
        <w:footnoteRef/>
      </w:r>
      <w:r w:rsidRPr="003D3F00">
        <w:rPr>
          <w:sz w:val="18"/>
          <w:szCs w:val="18"/>
        </w:rPr>
        <w:t xml:space="preserve"> Decision NP-5/--.</w:t>
      </w:r>
    </w:p>
  </w:footnote>
  <w:footnote w:id="25">
    <w:p w14:paraId="7C846897" w14:textId="6C430367" w:rsidR="005325F2" w:rsidRPr="003E5848" w:rsidRDefault="005325F2">
      <w:pPr>
        <w:pStyle w:val="FootnoteText"/>
      </w:pPr>
      <w:r w:rsidRPr="003D3F00">
        <w:rPr>
          <w:rStyle w:val="FootnoteReference"/>
          <w:sz w:val="18"/>
          <w:szCs w:val="18"/>
        </w:rPr>
        <w:footnoteRef/>
      </w:r>
      <w:r w:rsidRPr="003D3F00">
        <w:rPr>
          <w:sz w:val="18"/>
          <w:szCs w:val="18"/>
        </w:rPr>
        <w:t xml:space="preserve"> Subject to any additional guidance on programme priorities for the ninth replenishment period of the Global Environment Facility being adopted by the meetings of the Parties to the Protocols.</w:t>
      </w:r>
    </w:p>
  </w:footnote>
  <w:footnote w:id="26">
    <w:p w14:paraId="5C031F6C" w14:textId="05F89FF3" w:rsidR="005325F2" w:rsidRPr="005A2FCC" w:rsidRDefault="005325F2" w:rsidP="00B83802">
      <w:pPr>
        <w:pStyle w:val="FootnoteText"/>
        <w:rPr>
          <w:sz w:val="18"/>
          <w:szCs w:val="18"/>
        </w:rPr>
      </w:pPr>
      <w:r w:rsidRPr="005A2FCC">
        <w:rPr>
          <w:rStyle w:val="FootnoteReference"/>
          <w:sz w:val="18"/>
          <w:szCs w:val="18"/>
        </w:rPr>
        <w:footnoteRef/>
      </w:r>
      <w:r w:rsidRPr="005A2FCC">
        <w:rPr>
          <w:sz w:val="18"/>
          <w:szCs w:val="18"/>
        </w:rPr>
        <w:t xml:space="preserve"> Defined in </w:t>
      </w:r>
      <w:hyperlink r:id="rId2" w:history="1">
        <w:r w:rsidRPr="005A2FCC">
          <w:rPr>
            <w:rStyle w:val="Hyperlink"/>
            <w:szCs w:val="18"/>
          </w:rPr>
          <w:t>decision V/6</w:t>
        </w:r>
      </w:hyperlink>
      <w:r w:rsidRPr="005A2FCC">
        <w:rPr>
          <w:rStyle w:val="Hyperlink"/>
          <w:szCs w:val="18"/>
        </w:rPr>
        <w:t>.</w:t>
      </w:r>
    </w:p>
  </w:footnote>
  <w:footnote w:id="27">
    <w:p w14:paraId="2AF21A56" w14:textId="2E1CD2E5" w:rsidR="005325F2" w:rsidRPr="00F121AC" w:rsidRDefault="005325F2" w:rsidP="00B83802">
      <w:pPr>
        <w:pStyle w:val="FootnoteText"/>
      </w:pPr>
      <w:r w:rsidRPr="005A2FCC">
        <w:rPr>
          <w:rStyle w:val="FootnoteReference"/>
          <w:sz w:val="18"/>
          <w:szCs w:val="18"/>
        </w:rPr>
        <w:footnoteRef/>
      </w:r>
      <w:r w:rsidRPr="005A2FCC">
        <w:rPr>
          <w:sz w:val="18"/>
          <w:szCs w:val="18"/>
        </w:rPr>
        <w:t xml:space="preserve"> Resolution UNEP/EA.5/Res.5. Nature-based solutions for supporting sustainable development), adopted by the United Nations Environment Assembly on 2 March 2022.</w:t>
      </w:r>
    </w:p>
  </w:footnote>
  <w:footnote w:id="28">
    <w:p w14:paraId="03E4A6CC" w14:textId="071666BA" w:rsidR="005325F2" w:rsidRPr="003D3F00" w:rsidRDefault="005325F2">
      <w:pPr>
        <w:pStyle w:val="FootnoteText"/>
        <w:rPr>
          <w:sz w:val="18"/>
          <w:szCs w:val="18"/>
        </w:rPr>
      </w:pPr>
      <w:r w:rsidRPr="003D3F00">
        <w:rPr>
          <w:rStyle w:val="FootnoteReference"/>
          <w:sz w:val="18"/>
          <w:szCs w:val="18"/>
        </w:rPr>
        <w:footnoteRef/>
      </w:r>
      <w:r w:rsidRPr="003D3F00">
        <w:rPr>
          <w:sz w:val="18"/>
          <w:szCs w:val="18"/>
        </w:rPr>
        <w:t xml:space="preserve"> </w:t>
      </w:r>
      <w:bookmarkStart w:id="17" w:name="_Hlk163987425"/>
      <w:r w:rsidRPr="003D3F00">
        <w:rPr>
          <w:sz w:val="18"/>
          <w:szCs w:val="18"/>
        </w:rPr>
        <w:t xml:space="preserve">Subject to </w:t>
      </w:r>
      <w:r>
        <w:rPr>
          <w:sz w:val="18"/>
          <w:szCs w:val="18"/>
        </w:rPr>
        <w:t xml:space="preserve">the adoption of </w:t>
      </w:r>
      <w:r w:rsidRPr="003D3F00">
        <w:rPr>
          <w:sz w:val="18"/>
          <w:szCs w:val="18"/>
        </w:rPr>
        <w:t>additional guidance on programme priorities for the ninth replenishment period of the Global Environment Facility by the Conference of the Parties serving as the meeting of the Parties to the Nagoya Protocol</w:t>
      </w:r>
      <w:bookmarkEnd w:id="17"/>
      <w:r w:rsidRPr="003D3F00">
        <w:rPr>
          <w:sz w:val="18"/>
          <w:szCs w:val="18"/>
        </w:rPr>
        <w:t>.</w:t>
      </w:r>
    </w:p>
  </w:footnote>
  <w:footnote w:id="29">
    <w:p w14:paraId="7C4B3012" w14:textId="31DE4267" w:rsidR="005325F2" w:rsidRPr="003D3F00" w:rsidRDefault="005325F2">
      <w:pPr>
        <w:pStyle w:val="FootnoteText"/>
        <w:rPr>
          <w:sz w:val="18"/>
          <w:szCs w:val="18"/>
          <w:lang w:val="en-US"/>
        </w:rPr>
      </w:pPr>
      <w:r w:rsidRPr="003D3F00">
        <w:rPr>
          <w:rStyle w:val="FootnoteReference"/>
          <w:sz w:val="18"/>
          <w:szCs w:val="18"/>
        </w:rPr>
        <w:footnoteRef/>
      </w:r>
      <w:r w:rsidRPr="003D3F00">
        <w:rPr>
          <w:sz w:val="18"/>
          <w:szCs w:val="18"/>
        </w:rPr>
        <w:t xml:space="preserve"> Subject to </w:t>
      </w:r>
      <w:r>
        <w:rPr>
          <w:sz w:val="18"/>
          <w:szCs w:val="18"/>
        </w:rPr>
        <w:t xml:space="preserve">the adoption of </w:t>
      </w:r>
      <w:r w:rsidRPr="003D3F00">
        <w:rPr>
          <w:sz w:val="18"/>
          <w:szCs w:val="18"/>
        </w:rPr>
        <w:t>additional guidance on programme priorities for the ninth replenishment period of the Global Environment Facility by the Conference of the Parties serving as the meeting of the Parties to the Cartagena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7802784"/>
  <w:bookmarkStart w:id="5" w:name="_Hlk137802785"/>
  <w:p w14:paraId="4C1F9D5C" w14:textId="4E749F2B" w:rsidR="005325F2"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5325F2" w:rsidRPr="002B559C">
          <w:rPr>
            <w:sz w:val="20"/>
            <w:szCs w:val="20"/>
            <w:lang w:val="fr-FR"/>
          </w:rPr>
          <w:t>CBD/</w:t>
        </w:r>
        <w:r w:rsidR="005325F2">
          <w:rPr>
            <w:sz w:val="20"/>
            <w:szCs w:val="20"/>
            <w:lang w:val="fr-FR"/>
          </w:rPr>
          <w:t>SBI/4/6</w:t>
        </w:r>
      </w:sdtContent>
    </w:sdt>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5A6040A" w14:textId="4EE4539B" w:rsidR="005325F2" w:rsidRPr="002B559C" w:rsidRDefault="005325F2" w:rsidP="002B559C">
        <w:pPr>
          <w:pStyle w:val="Header"/>
          <w:pBdr>
            <w:bottom w:val="single" w:sz="4" w:space="1" w:color="auto"/>
          </w:pBdr>
          <w:spacing w:after="240"/>
          <w:jc w:val="right"/>
          <w:rPr>
            <w:sz w:val="20"/>
            <w:szCs w:val="20"/>
            <w:lang w:val="fr-FR"/>
          </w:rPr>
        </w:pPr>
        <w:r>
          <w:rPr>
            <w:sz w:val="20"/>
            <w:szCs w:val="20"/>
            <w:lang w:val="fr-FR"/>
          </w:rPr>
          <w:t>CBD/SBI/4/6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A34"/>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A74EFB"/>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1B2163F"/>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E815CB"/>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0F21BD"/>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5E7C7E18"/>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8B70991"/>
    <w:multiLevelType w:val="hybridMultilevel"/>
    <w:tmpl w:val="9B34C9C2"/>
    <w:lvl w:ilvl="0" w:tplc="C6E003D2">
      <w:start w:val="1"/>
      <w:numFmt w:val="decimal"/>
      <w:pStyle w:val="Para1"/>
      <w:lvlText w:val="%1."/>
      <w:lvlJc w:val="left"/>
      <w:pPr>
        <w:ind w:left="927" w:hanging="360"/>
      </w:pPr>
      <w:rPr>
        <w:rFonts w:hint="default"/>
        <w:b w:val="0"/>
        <w:b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70787180"/>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4790F55"/>
    <w:multiLevelType w:val="hybridMultilevel"/>
    <w:tmpl w:val="B15225E2"/>
    <w:lvl w:ilvl="0" w:tplc="9AA05BFE">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5453A"/>
    <w:multiLevelType w:val="hybridMultilevel"/>
    <w:tmpl w:val="C1045E3A"/>
    <w:lvl w:ilvl="0" w:tplc="A1083DA8">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6989561">
    <w:abstractNumId w:val="8"/>
  </w:num>
  <w:num w:numId="2" w16cid:durableId="827595181">
    <w:abstractNumId w:val="17"/>
  </w:num>
  <w:num w:numId="3" w16cid:durableId="1399400309">
    <w:abstractNumId w:val="20"/>
  </w:num>
  <w:num w:numId="4" w16cid:durableId="1606576916">
    <w:abstractNumId w:val="1"/>
  </w:num>
  <w:num w:numId="5" w16cid:durableId="1077435949">
    <w:abstractNumId w:val="2"/>
  </w:num>
  <w:num w:numId="6" w16cid:durableId="1169370978">
    <w:abstractNumId w:val="2"/>
  </w:num>
  <w:num w:numId="7" w16cid:durableId="65537348">
    <w:abstractNumId w:val="4"/>
  </w:num>
  <w:num w:numId="8" w16cid:durableId="138772408">
    <w:abstractNumId w:val="11"/>
  </w:num>
  <w:num w:numId="9" w16cid:durableId="108478814">
    <w:abstractNumId w:val="16"/>
  </w:num>
  <w:num w:numId="10" w16cid:durableId="871040884">
    <w:abstractNumId w:val="15"/>
  </w:num>
  <w:num w:numId="11" w16cid:durableId="959145054">
    <w:abstractNumId w:val="10"/>
  </w:num>
  <w:num w:numId="12" w16cid:durableId="1096750511">
    <w:abstractNumId w:val="3"/>
  </w:num>
  <w:num w:numId="13" w16cid:durableId="86124158">
    <w:abstractNumId w:val="3"/>
    <w:lvlOverride w:ilvl="0">
      <w:startOverride w:val="1"/>
    </w:lvlOverride>
  </w:num>
  <w:num w:numId="14" w16cid:durableId="1723820508">
    <w:abstractNumId w:val="13"/>
  </w:num>
  <w:num w:numId="15" w16cid:durableId="1029334881">
    <w:abstractNumId w:val="13"/>
    <w:lvlOverride w:ilvl="0">
      <w:startOverride w:val="1"/>
    </w:lvlOverride>
  </w:num>
  <w:num w:numId="16" w16cid:durableId="133178099">
    <w:abstractNumId w:val="17"/>
    <w:lvlOverride w:ilvl="0">
      <w:startOverride w:val="1"/>
    </w:lvlOverride>
  </w:num>
  <w:num w:numId="17" w16cid:durableId="623855699">
    <w:abstractNumId w:val="13"/>
    <w:lvlOverride w:ilvl="0">
      <w:startOverride w:val="1"/>
    </w:lvlOverride>
  </w:num>
  <w:num w:numId="18" w16cid:durableId="1265071302">
    <w:abstractNumId w:val="23"/>
  </w:num>
  <w:num w:numId="19" w16cid:durableId="1941646059">
    <w:abstractNumId w:val="17"/>
    <w:lvlOverride w:ilvl="0">
      <w:startOverride w:val="1"/>
    </w:lvlOverride>
  </w:num>
  <w:num w:numId="20" w16cid:durableId="348143302">
    <w:abstractNumId w:val="17"/>
    <w:lvlOverride w:ilvl="0">
      <w:startOverride w:val="1"/>
    </w:lvlOverride>
  </w:num>
  <w:num w:numId="21" w16cid:durableId="28067101">
    <w:abstractNumId w:val="5"/>
  </w:num>
  <w:num w:numId="22" w16cid:durableId="1738937195">
    <w:abstractNumId w:val="21"/>
  </w:num>
  <w:num w:numId="23" w16cid:durableId="310520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327208">
    <w:abstractNumId w:val="6"/>
  </w:num>
  <w:num w:numId="25" w16cid:durableId="1998264852">
    <w:abstractNumId w:val="19"/>
  </w:num>
  <w:num w:numId="26" w16cid:durableId="585070553">
    <w:abstractNumId w:val="17"/>
    <w:lvlOverride w:ilvl="0">
      <w:startOverride w:val="1"/>
    </w:lvlOverride>
  </w:num>
  <w:num w:numId="27" w16cid:durableId="736057349">
    <w:abstractNumId w:val="17"/>
    <w:lvlOverride w:ilvl="0">
      <w:startOverride w:val="1"/>
    </w:lvlOverride>
  </w:num>
  <w:num w:numId="28" w16cid:durableId="2030060486">
    <w:abstractNumId w:val="7"/>
  </w:num>
  <w:num w:numId="29" w16cid:durableId="911626629">
    <w:abstractNumId w:val="17"/>
    <w:lvlOverride w:ilvl="0">
      <w:startOverride w:val="1"/>
    </w:lvlOverride>
  </w:num>
  <w:num w:numId="30" w16cid:durableId="1709645922">
    <w:abstractNumId w:val="9"/>
  </w:num>
  <w:num w:numId="31" w16cid:durableId="214508361">
    <w:abstractNumId w:val="12"/>
  </w:num>
  <w:num w:numId="32" w16cid:durableId="220944598">
    <w:abstractNumId w:val="14"/>
  </w:num>
  <w:num w:numId="33" w16cid:durableId="1190753895">
    <w:abstractNumId w:val="17"/>
  </w:num>
  <w:num w:numId="34" w16cid:durableId="415635673">
    <w:abstractNumId w:val="17"/>
  </w:num>
  <w:num w:numId="35" w16cid:durableId="1392576611">
    <w:abstractNumId w:val="17"/>
    <w:lvlOverride w:ilvl="0">
      <w:startOverride w:val="1"/>
    </w:lvlOverride>
  </w:num>
  <w:num w:numId="36" w16cid:durableId="1180310528">
    <w:abstractNumId w:val="17"/>
  </w:num>
  <w:num w:numId="37" w16cid:durableId="194730383">
    <w:abstractNumId w:val="17"/>
  </w:num>
  <w:num w:numId="38" w16cid:durableId="1171066538">
    <w:abstractNumId w:val="17"/>
  </w:num>
  <w:num w:numId="39" w16cid:durableId="268129388">
    <w:abstractNumId w:val="17"/>
  </w:num>
  <w:num w:numId="40" w16cid:durableId="140460605">
    <w:abstractNumId w:val="17"/>
  </w:num>
  <w:num w:numId="41" w16cid:durableId="631788766">
    <w:abstractNumId w:val="17"/>
  </w:num>
  <w:num w:numId="42" w16cid:durableId="834958114">
    <w:abstractNumId w:val="17"/>
  </w:num>
  <w:num w:numId="43" w16cid:durableId="62141754">
    <w:abstractNumId w:val="17"/>
  </w:num>
  <w:num w:numId="44" w16cid:durableId="185676179">
    <w:abstractNumId w:val="17"/>
  </w:num>
  <w:num w:numId="45" w16cid:durableId="1256087434">
    <w:abstractNumId w:val="17"/>
  </w:num>
  <w:num w:numId="46" w16cid:durableId="1861233629">
    <w:abstractNumId w:val="17"/>
  </w:num>
  <w:num w:numId="47" w16cid:durableId="544950286">
    <w:abstractNumId w:val="22"/>
  </w:num>
  <w:num w:numId="48" w16cid:durableId="188956026">
    <w:abstractNumId w:val="0"/>
  </w:num>
  <w:num w:numId="49" w16cid:durableId="14788390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02"/>
    <w:rsid w:val="000004E5"/>
    <w:rsid w:val="00001A37"/>
    <w:rsid w:val="00004D83"/>
    <w:rsid w:val="00007770"/>
    <w:rsid w:val="00020290"/>
    <w:rsid w:val="0002711C"/>
    <w:rsid w:val="000276A0"/>
    <w:rsid w:val="00032ED4"/>
    <w:rsid w:val="000376DF"/>
    <w:rsid w:val="00040598"/>
    <w:rsid w:val="00054D6B"/>
    <w:rsid w:val="00054F05"/>
    <w:rsid w:val="00054F5D"/>
    <w:rsid w:val="00065E39"/>
    <w:rsid w:val="00071CC9"/>
    <w:rsid w:val="000729AF"/>
    <w:rsid w:val="000729EF"/>
    <w:rsid w:val="0008087D"/>
    <w:rsid w:val="00093BD6"/>
    <w:rsid w:val="000A2005"/>
    <w:rsid w:val="000B3D8D"/>
    <w:rsid w:val="000B5D22"/>
    <w:rsid w:val="000C097D"/>
    <w:rsid w:val="000D5DD2"/>
    <w:rsid w:val="000D6BE7"/>
    <w:rsid w:val="000F14B4"/>
    <w:rsid w:val="000F4A5A"/>
    <w:rsid w:val="000F6563"/>
    <w:rsid w:val="000F6BD1"/>
    <w:rsid w:val="00100C4A"/>
    <w:rsid w:val="001108FB"/>
    <w:rsid w:val="00111914"/>
    <w:rsid w:val="00132581"/>
    <w:rsid w:val="00134F7B"/>
    <w:rsid w:val="00150351"/>
    <w:rsid w:val="00152CE6"/>
    <w:rsid w:val="00152D7C"/>
    <w:rsid w:val="001537C6"/>
    <w:rsid w:val="0015710E"/>
    <w:rsid w:val="00164756"/>
    <w:rsid w:val="00170904"/>
    <w:rsid w:val="0017115E"/>
    <w:rsid w:val="0017567C"/>
    <w:rsid w:val="001800FA"/>
    <w:rsid w:val="00182F03"/>
    <w:rsid w:val="00184909"/>
    <w:rsid w:val="001A1F6C"/>
    <w:rsid w:val="001B1CEB"/>
    <w:rsid w:val="001C24F4"/>
    <w:rsid w:val="001C3BAA"/>
    <w:rsid w:val="001D5173"/>
    <w:rsid w:val="001D7501"/>
    <w:rsid w:val="001E4995"/>
    <w:rsid w:val="001F261E"/>
    <w:rsid w:val="002000B1"/>
    <w:rsid w:val="0020111A"/>
    <w:rsid w:val="0020227B"/>
    <w:rsid w:val="00205D28"/>
    <w:rsid w:val="00213874"/>
    <w:rsid w:val="00215A5B"/>
    <w:rsid w:val="00223709"/>
    <w:rsid w:val="00226C41"/>
    <w:rsid w:val="002275FD"/>
    <w:rsid w:val="00227B5C"/>
    <w:rsid w:val="002365A3"/>
    <w:rsid w:val="00240A13"/>
    <w:rsid w:val="00250F7E"/>
    <w:rsid w:val="00255394"/>
    <w:rsid w:val="0025584A"/>
    <w:rsid w:val="00256D2F"/>
    <w:rsid w:val="00257607"/>
    <w:rsid w:val="00262A8C"/>
    <w:rsid w:val="00271468"/>
    <w:rsid w:val="00272FB4"/>
    <w:rsid w:val="00276C1B"/>
    <w:rsid w:val="00285B44"/>
    <w:rsid w:val="00286A5E"/>
    <w:rsid w:val="00291CB4"/>
    <w:rsid w:val="002A7352"/>
    <w:rsid w:val="002B00CA"/>
    <w:rsid w:val="002B3056"/>
    <w:rsid w:val="002B4A85"/>
    <w:rsid w:val="002B559C"/>
    <w:rsid w:val="002B75D3"/>
    <w:rsid w:val="002C01D9"/>
    <w:rsid w:val="002C5D38"/>
    <w:rsid w:val="002C61FD"/>
    <w:rsid w:val="002C622E"/>
    <w:rsid w:val="002E0FE6"/>
    <w:rsid w:val="002E4566"/>
    <w:rsid w:val="002E4A2E"/>
    <w:rsid w:val="00301415"/>
    <w:rsid w:val="003029DD"/>
    <w:rsid w:val="003036F9"/>
    <w:rsid w:val="00310608"/>
    <w:rsid w:val="003108C6"/>
    <w:rsid w:val="00315E9F"/>
    <w:rsid w:val="00315F89"/>
    <w:rsid w:val="00320211"/>
    <w:rsid w:val="00323F22"/>
    <w:rsid w:val="00331DAF"/>
    <w:rsid w:val="00335376"/>
    <w:rsid w:val="003400B0"/>
    <w:rsid w:val="003427E4"/>
    <w:rsid w:val="003476A9"/>
    <w:rsid w:val="0035405B"/>
    <w:rsid w:val="0035649B"/>
    <w:rsid w:val="0036026A"/>
    <w:rsid w:val="00360E8D"/>
    <w:rsid w:val="0036417F"/>
    <w:rsid w:val="00373385"/>
    <w:rsid w:val="00387105"/>
    <w:rsid w:val="00395DAA"/>
    <w:rsid w:val="003A3036"/>
    <w:rsid w:val="003C4EFB"/>
    <w:rsid w:val="003C6F10"/>
    <w:rsid w:val="003D3F00"/>
    <w:rsid w:val="003E0526"/>
    <w:rsid w:val="003E0A26"/>
    <w:rsid w:val="003E50E4"/>
    <w:rsid w:val="003E5848"/>
    <w:rsid w:val="003E60ED"/>
    <w:rsid w:val="003E6C51"/>
    <w:rsid w:val="003F6E77"/>
    <w:rsid w:val="0041746A"/>
    <w:rsid w:val="0042234A"/>
    <w:rsid w:val="00424608"/>
    <w:rsid w:val="004247B7"/>
    <w:rsid w:val="00426C94"/>
    <w:rsid w:val="00434411"/>
    <w:rsid w:val="00436167"/>
    <w:rsid w:val="00436348"/>
    <w:rsid w:val="0043656D"/>
    <w:rsid w:val="00440A87"/>
    <w:rsid w:val="00441498"/>
    <w:rsid w:val="0044652E"/>
    <w:rsid w:val="004527F6"/>
    <w:rsid w:val="00460D9F"/>
    <w:rsid w:val="00461434"/>
    <w:rsid w:val="00466F2D"/>
    <w:rsid w:val="004701EE"/>
    <w:rsid w:val="004769DA"/>
    <w:rsid w:val="00480A8D"/>
    <w:rsid w:val="00483B71"/>
    <w:rsid w:val="00485D45"/>
    <w:rsid w:val="00486166"/>
    <w:rsid w:val="00494646"/>
    <w:rsid w:val="004A2A2D"/>
    <w:rsid w:val="004A3713"/>
    <w:rsid w:val="004B1CFE"/>
    <w:rsid w:val="004B7388"/>
    <w:rsid w:val="004C54A3"/>
    <w:rsid w:val="004C702D"/>
    <w:rsid w:val="004C7033"/>
    <w:rsid w:val="004E6EDA"/>
    <w:rsid w:val="004E71C1"/>
    <w:rsid w:val="00500A9E"/>
    <w:rsid w:val="00502415"/>
    <w:rsid w:val="005077A8"/>
    <w:rsid w:val="0051306C"/>
    <w:rsid w:val="005131B0"/>
    <w:rsid w:val="005165C7"/>
    <w:rsid w:val="005325F2"/>
    <w:rsid w:val="00533AE2"/>
    <w:rsid w:val="00534350"/>
    <w:rsid w:val="00537248"/>
    <w:rsid w:val="00545CEC"/>
    <w:rsid w:val="00564D2C"/>
    <w:rsid w:val="00566634"/>
    <w:rsid w:val="00570BF7"/>
    <w:rsid w:val="00575F4A"/>
    <w:rsid w:val="00581921"/>
    <w:rsid w:val="00584FED"/>
    <w:rsid w:val="00585A9C"/>
    <w:rsid w:val="005A0BD2"/>
    <w:rsid w:val="005A206E"/>
    <w:rsid w:val="005A2FCC"/>
    <w:rsid w:val="005A4C4A"/>
    <w:rsid w:val="005B552E"/>
    <w:rsid w:val="005C3097"/>
    <w:rsid w:val="005C5A79"/>
    <w:rsid w:val="005C5C07"/>
    <w:rsid w:val="005D6BEC"/>
    <w:rsid w:val="005E2605"/>
    <w:rsid w:val="005F1D43"/>
    <w:rsid w:val="005F27CF"/>
    <w:rsid w:val="00601400"/>
    <w:rsid w:val="00603545"/>
    <w:rsid w:val="00607338"/>
    <w:rsid w:val="0061389D"/>
    <w:rsid w:val="00615E6B"/>
    <w:rsid w:val="006204B0"/>
    <w:rsid w:val="00640C77"/>
    <w:rsid w:val="00641794"/>
    <w:rsid w:val="006467B0"/>
    <w:rsid w:val="00652B7C"/>
    <w:rsid w:val="00653729"/>
    <w:rsid w:val="0065644B"/>
    <w:rsid w:val="00657ED6"/>
    <w:rsid w:val="00671A11"/>
    <w:rsid w:val="006725E6"/>
    <w:rsid w:val="006734D7"/>
    <w:rsid w:val="00674005"/>
    <w:rsid w:val="006766F1"/>
    <w:rsid w:val="006904F9"/>
    <w:rsid w:val="00693AB7"/>
    <w:rsid w:val="00695E8C"/>
    <w:rsid w:val="006A6B05"/>
    <w:rsid w:val="006B08B2"/>
    <w:rsid w:val="006B1AE9"/>
    <w:rsid w:val="006B293D"/>
    <w:rsid w:val="006D62DB"/>
    <w:rsid w:val="006D7FD7"/>
    <w:rsid w:val="006E1647"/>
    <w:rsid w:val="00701611"/>
    <w:rsid w:val="00710341"/>
    <w:rsid w:val="0071261C"/>
    <w:rsid w:val="00714BF3"/>
    <w:rsid w:val="0071641D"/>
    <w:rsid w:val="00721E86"/>
    <w:rsid w:val="00733F10"/>
    <w:rsid w:val="00736611"/>
    <w:rsid w:val="00741D30"/>
    <w:rsid w:val="007516BE"/>
    <w:rsid w:val="00753906"/>
    <w:rsid w:val="00757809"/>
    <w:rsid w:val="00764C9E"/>
    <w:rsid w:val="0076668C"/>
    <w:rsid w:val="0078060C"/>
    <w:rsid w:val="00783828"/>
    <w:rsid w:val="007843C1"/>
    <w:rsid w:val="00786412"/>
    <w:rsid w:val="00786D4E"/>
    <w:rsid w:val="007870DE"/>
    <w:rsid w:val="007922C0"/>
    <w:rsid w:val="00793DE0"/>
    <w:rsid w:val="007972C4"/>
    <w:rsid w:val="007977A8"/>
    <w:rsid w:val="007A0622"/>
    <w:rsid w:val="007A2964"/>
    <w:rsid w:val="007A6FE3"/>
    <w:rsid w:val="007A7E0B"/>
    <w:rsid w:val="007B54D9"/>
    <w:rsid w:val="007B7988"/>
    <w:rsid w:val="007B7D40"/>
    <w:rsid w:val="007C77BC"/>
    <w:rsid w:val="007D2FC8"/>
    <w:rsid w:val="007D63D1"/>
    <w:rsid w:val="007E4100"/>
    <w:rsid w:val="007F35AD"/>
    <w:rsid w:val="007F75CE"/>
    <w:rsid w:val="007F7C8D"/>
    <w:rsid w:val="008001A3"/>
    <w:rsid w:val="008063D0"/>
    <w:rsid w:val="00807F4E"/>
    <w:rsid w:val="00810B3E"/>
    <w:rsid w:val="00821B7B"/>
    <w:rsid w:val="00821F9A"/>
    <w:rsid w:val="00833BC6"/>
    <w:rsid w:val="00833E07"/>
    <w:rsid w:val="00835A7A"/>
    <w:rsid w:val="0084113C"/>
    <w:rsid w:val="00842E61"/>
    <w:rsid w:val="00865C0F"/>
    <w:rsid w:val="00867BA0"/>
    <w:rsid w:val="00870291"/>
    <w:rsid w:val="00874541"/>
    <w:rsid w:val="00875A8C"/>
    <w:rsid w:val="008800D9"/>
    <w:rsid w:val="00882AAA"/>
    <w:rsid w:val="00882C05"/>
    <w:rsid w:val="0088310E"/>
    <w:rsid w:val="00887004"/>
    <w:rsid w:val="00891D2A"/>
    <w:rsid w:val="0089575F"/>
    <w:rsid w:val="008A05D5"/>
    <w:rsid w:val="008A2FC9"/>
    <w:rsid w:val="008B6244"/>
    <w:rsid w:val="008C3AF8"/>
    <w:rsid w:val="008C7F9C"/>
    <w:rsid w:val="008E0581"/>
    <w:rsid w:val="008E33FC"/>
    <w:rsid w:val="008E6AEB"/>
    <w:rsid w:val="00905251"/>
    <w:rsid w:val="00914932"/>
    <w:rsid w:val="0092346F"/>
    <w:rsid w:val="009253B2"/>
    <w:rsid w:val="00935461"/>
    <w:rsid w:val="0093627A"/>
    <w:rsid w:val="0094289D"/>
    <w:rsid w:val="009459E3"/>
    <w:rsid w:val="00947174"/>
    <w:rsid w:val="009550CD"/>
    <w:rsid w:val="00971C1A"/>
    <w:rsid w:val="00973211"/>
    <w:rsid w:val="00980FEA"/>
    <w:rsid w:val="0099525A"/>
    <w:rsid w:val="00995DDC"/>
    <w:rsid w:val="00997CDD"/>
    <w:rsid w:val="009A098A"/>
    <w:rsid w:val="009B2E93"/>
    <w:rsid w:val="009C07D6"/>
    <w:rsid w:val="009C1114"/>
    <w:rsid w:val="009D187F"/>
    <w:rsid w:val="009D2C1C"/>
    <w:rsid w:val="009D4AAB"/>
    <w:rsid w:val="009F1EA7"/>
    <w:rsid w:val="009F3708"/>
    <w:rsid w:val="009F3AC9"/>
    <w:rsid w:val="009F4ECA"/>
    <w:rsid w:val="00A24235"/>
    <w:rsid w:val="00A2767F"/>
    <w:rsid w:val="00A34F3C"/>
    <w:rsid w:val="00A37B24"/>
    <w:rsid w:val="00A54FA0"/>
    <w:rsid w:val="00A55CEC"/>
    <w:rsid w:val="00A753CA"/>
    <w:rsid w:val="00A757C4"/>
    <w:rsid w:val="00A80D36"/>
    <w:rsid w:val="00A8198C"/>
    <w:rsid w:val="00A833CD"/>
    <w:rsid w:val="00A96B21"/>
    <w:rsid w:val="00AB7898"/>
    <w:rsid w:val="00AD13FD"/>
    <w:rsid w:val="00AD7D9E"/>
    <w:rsid w:val="00AE0D79"/>
    <w:rsid w:val="00AE1A95"/>
    <w:rsid w:val="00AF1233"/>
    <w:rsid w:val="00AF3C80"/>
    <w:rsid w:val="00B00B7D"/>
    <w:rsid w:val="00B014E1"/>
    <w:rsid w:val="00B01E80"/>
    <w:rsid w:val="00B052CC"/>
    <w:rsid w:val="00B074DA"/>
    <w:rsid w:val="00B077E7"/>
    <w:rsid w:val="00B24DD0"/>
    <w:rsid w:val="00B30B3D"/>
    <w:rsid w:val="00B36EA9"/>
    <w:rsid w:val="00B44F81"/>
    <w:rsid w:val="00B47A7E"/>
    <w:rsid w:val="00B5266C"/>
    <w:rsid w:val="00B53987"/>
    <w:rsid w:val="00B57508"/>
    <w:rsid w:val="00B615CE"/>
    <w:rsid w:val="00B61A73"/>
    <w:rsid w:val="00B640AF"/>
    <w:rsid w:val="00B748A9"/>
    <w:rsid w:val="00B77470"/>
    <w:rsid w:val="00B811CA"/>
    <w:rsid w:val="00B83802"/>
    <w:rsid w:val="00B853FD"/>
    <w:rsid w:val="00B9198C"/>
    <w:rsid w:val="00B931D3"/>
    <w:rsid w:val="00BA1E1F"/>
    <w:rsid w:val="00BA5F3F"/>
    <w:rsid w:val="00BB48A1"/>
    <w:rsid w:val="00BC1368"/>
    <w:rsid w:val="00BC33F5"/>
    <w:rsid w:val="00BC389A"/>
    <w:rsid w:val="00BC6947"/>
    <w:rsid w:val="00BC73F0"/>
    <w:rsid w:val="00BD3715"/>
    <w:rsid w:val="00BD6A00"/>
    <w:rsid w:val="00BE656F"/>
    <w:rsid w:val="00C04135"/>
    <w:rsid w:val="00C05A6E"/>
    <w:rsid w:val="00C2354A"/>
    <w:rsid w:val="00C26C81"/>
    <w:rsid w:val="00C600CA"/>
    <w:rsid w:val="00C7086F"/>
    <w:rsid w:val="00C7585B"/>
    <w:rsid w:val="00C90BE6"/>
    <w:rsid w:val="00C92644"/>
    <w:rsid w:val="00CA5886"/>
    <w:rsid w:val="00CA7444"/>
    <w:rsid w:val="00CB0013"/>
    <w:rsid w:val="00CB010A"/>
    <w:rsid w:val="00CC334B"/>
    <w:rsid w:val="00CD16D1"/>
    <w:rsid w:val="00CF6C48"/>
    <w:rsid w:val="00CF70AB"/>
    <w:rsid w:val="00D0201F"/>
    <w:rsid w:val="00D02640"/>
    <w:rsid w:val="00D04589"/>
    <w:rsid w:val="00D07449"/>
    <w:rsid w:val="00D15D83"/>
    <w:rsid w:val="00D17E67"/>
    <w:rsid w:val="00D23A02"/>
    <w:rsid w:val="00D3059B"/>
    <w:rsid w:val="00D31BE6"/>
    <w:rsid w:val="00D33C40"/>
    <w:rsid w:val="00D37A02"/>
    <w:rsid w:val="00D4293F"/>
    <w:rsid w:val="00D56463"/>
    <w:rsid w:val="00D60046"/>
    <w:rsid w:val="00D62831"/>
    <w:rsid w:val="00D71355"/>
    <w:rsid w:val="00D71FFB"/>
    <w:rsid w:val="00D73E6B"/>
    <w:rsid w:val="00D83ECE"/>
    <w:rsid w:val="00D90FA3"/>
    <w:rsid w:val="00D9366A"/>
    <w:rsid w:val="00D95D56"/>
    <w:rsid w:val="00D966BD"/>
    <w:rsid w:val="00D96CF9"/>
    <w:rsid w:val="00DB12B2"/>
    <w:rsid w:val="00DB34BC"/>
    <w:rsid w:val="00DB577D"/>
    <w:rsid w:val="00DB63B3"/>
    <w:rsid w:val="00DE6683"/>
    <w:rsid w:val="00DF1025"/>
    <w:rsid w:val="00DF2C69"/>
    <w:rsid w:val="00E01399"/>
    <w:rsid w:val="00E01736"/>
    <w:rsid w:val="00E031C7"/>
    <w:rsid w:val="00E11881"/>
    <w:rsid w:val="00E12E3E"/>
    <w:rsid w:val="00E1597C"/>
    <w:rsid w:val="00E252EF"/>
    <w:rsid w:val="00E30C11"/>
    <w:rsid w:val="00E451D9"/>
    <w:rsid w:val="00E4670F"/>
    <w:rsid w:val="00E56CA2"/>
    <w:rsid w:val="00E6179B"/>
    <w:rsid w:val="00E62BDF"/>
    <w:rsid w:val="00E66F09"/>
    <w:rsid w:val="00E73A27"/>
    <w:rsid w:val="00E901D7"/>
    <w:rsid w:val="00E90C26"/>
    <w:rsid w:val="00EA4653"/>
    <w:rsid w:val="00EB56CD"/>
    <w:rsid w:val="00EC1EE8"/>
    <w:rsid w:val="00EC4E36"/>
    <w:rsid w:val="00ED3849"/>
    <w:rsid w:val="00ED497E"/>
    <w:rsid w:val="00ED7A33"/>
    <w:rsid w:val="00EE33D5"/>
    <w:rsid w:val="00EE39DE"/>
    <w:rsid w:val="00EF56C3"/>
    <w:rsid w:val="00EF62D8"/>
    <w:rsid w:val="00EF76D8"/>
    <w:rsid w:val="00EF78D6"/>
    <w:rsid w:val="00F003E8"/>
    <w:rsid w:val="00F017B4"/>
    <w:rsid w:val="00F0573C"/>
    <w:rsid w:val="00F121F5"/>
    <w:rsid w:val="00F147DD"/>
    <w:rsid w:val="00F148AF"/>
    <w:rsid w:val="00F152C6"/>
    <w:rsid w:val="00F16F6F"/>
    <w:rsid w:val="00F175B5"/>
    <w:rsid w:val="00F207C1"/>
    <w:rsid w:val="00F23EE9"/>
    <w:rsid w:val="00F258FB"/>
    <w:rsid w:val="00F3555F"/>
    <w:rsid w:val="00F406BE"/>
    <w:rsid w:val="00F41837"/>
    <w:rsid w:val="00F434A1"/>
    <w:rsid w:val="00F44395"/>
    <w:rsid w:val="00F45062"/>
    <w:rsid w:val="00F515F6"/>
    <w:rsid w:val="00F55D5C"/>
    <w:rsid w:val="00F57043"/>
    <w:rsid w:val="00F63146"/>
    <w:rsid w:val="00F67EC6"/>
    <w:rsid w:val="00F75F90"/>
    <w:rsid w:val="00F86B60"/>
    <w:rsid w:val="00F9438E"/>
    <w:rsid w:val="00F954FF"/>
    <w:rsid w:val="00FA11FF"/>
    <w:rsid w:val="00FA18C9"/>
    <w:rsid w:val="00FB0E4A"/>
    <w:rsid w:val="00FB1C21"/>
    <w:rsid w:val="00FC071F"/>
    <w:rsid w:val="00FC46CF"/>
    <w:rsid w:val="00FC683E"/>
    <w:rsid w:val="00FC7F11"/>
    <w:rsid w:val="00FD11FA"/>
    <w:rsid w:val="00FD2866"/>
    <w:rsid w:val="00FE0D43"/>
    <w:rsid w:val="00FE541C"/>
    <w:rsid w:val="00FF5D3E"/>
    <w:rsid w:val="00FF71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107F"/>
  <w15:chartTrackingRefBased/>
  <w15:docId w15:val="{185CF906-E152-4637-8335-6881906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D17E67"/>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B8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02"/>
    <w:rPr>
      <w:rFonts w:ascii="Segoe UI" w:eastAsia="Times New Roman" w:hAnsi="Segoe UI" w:cs="Segoe UI"/>
      <w:kern w:val="0"/>
      <w:sz w:val="18"/>
      <w:szCs w:val="18"/>
      <w:lang w:val="en-GB"/>
      <w14:ligatures w14:val="none"/>
    </w:rPr>
  </w:style>
  <w:style w:type="character" w:styleId="Hyperlink">
    <w:name w:val="Hyperlink"/>
    <w:rsid w:val="00B83802"/>
    <w:rPr>
      <w:color w:val="0000FF"/>
      <w:sz w:val="18"/>
      <w:u w:val="single"/>
    </w:rPr>
  </w:style>
  <w:style w:type="character" w:styleId="UnresolvedMention">
    <w:name w:val="Unresolved Mention"/>
    <w:basedOn w:val="DefaultParagraphFont"/>
    <w:uiPriority w:val="99"/>
    <w:semiHidden/>
    <w:unhideWhenUsed/>
    <w:rsid w:val="00BD6A00"/>
    <w:rPr>
      <w:color w:val="605E5C"/>
      <w:shd w:val="clear" w:color="auto" w:fill="E1DFDD"/>
    </w:rPr>
  </w:style>
  <w:style w:type="paragraph" w:styleId="Revision">
    <w:name w:val="Revision"/>
    <w:hidden/>
    <w:uiPriority w:val="99"/>
    <w:semiHidden/>
    <w:rsid w:val="00BD6A00"/>
    <w:pPr>
      <w:spacing w:after="0" w:line="240" w:lineRule="auto"/>
    </w:pPr>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5/cop-15-dec-15-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ecision/cop/default.shtml?id=71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bd.int/doc/decisions/cop-12/cop-12-dec-30-en.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ecision/cop/default.shtml?id=7104"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cop/cop-05/official/cop-05-23-en.pdf" TargetMode="External"/><Relationship Id="rId1" Type="http://schemas.openxmlformats.org/officeDocument/2006/relationships/hyperlink" Target="http://www.thegef.org/sites/default/files/documents/2023-12/GEF%20Council%20Decisions%202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pratt\Desktop\Working%20from%20Home\SBI%204\DOCUMENTS\template-sbi-0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4689214C6146D6B651441A998F6915"/>
        <w:category>
          <w:name w:val="General"/>
          <w:gallery w:val="placeholder"/>
        </w:category>
        <w:types>
          <w:type w:val="bbPlcHdr"/>
        </w:types>
        <w:behaviors>
          <w:behavior w:val="content"/>
        </w:behaviors>
        <w:guid w:val="{3CE5141F-FFBD-49F2-8A9A-B86DFF07A0EE}"/>
      </w:docPartPr>
      <w:docPartBody>
        <w:p w:rsidR="00747585" w:rsidRDefault="00514F51">
          <w:pPr>
            <w:pStyle w:val="AE4689214C6146D6B651441A998F691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1"/>
    <w:rsid w:val="00161883"/>
    <w:rsid w:val="001A7626"/>
    <w:rsid w:val="003F0286"/>
    <w:rsid w:val="00514F51"/>
    <w:rsid w:val="00747585"/>
    <w:rsid w:val="00A67DDF"/>
    <w:rsid w:val="00A8515B"/>
    <w:rsid w:val="00C1040B"/>
    <w:rsid w:val="00FA4AA5"/>
    <w:rsid w:val="00FB23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4689214C6146D6B651441A998F6915">
    <w:name w:val="AE4689214C6146D6B651441A998F6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957A2-A5BD-40CC-8E27-FAB82C7F1954}">
  <ds:schemaRefs>
    <ds:schemaRef ds:uri="http://schemas.openxmlformats.org/officeDocument/2006/bibliography"/>
  </ds:schemaRefs>
</ds:datastoreItem>
</file>

<file path=customXml/itemProps2.xml><?xml version="1.0" encoding="utf-8"?>
<ds:datastoreItem xmlns:ds="http://schemas.openxmlformats.org/officeDocument/2006/customXml" ds:itemID="{6AD59198-7182-486C-A62B-35E72CD8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template-sbi-04.dotm</Template>
  <TotalTime>1</TotalTime>
  <Pages>17</Pages>
  <Words>8343</Words>
  <Characters>47558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Financial mechanism</vt:lpstr>
    </vt:vector>
  </TitlesOfParts>
  <Company/>
  <LinksUpToDate>false</LinksUpToDate>
  <CharactersWithSpaces>55790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CBD/SBI/4/6</dc:subject>
  <dc:creator>CBD</dc:creator>
  <cp:keywords/>
  <dc:description/>
  <cp:lastModifiedBy>Veronique Lefebvre</cp:lastModifiedBy>
  <cp:revision>3</cp:revision>
  <cp:lastPrinted>2024-04-18T23:02:00Z</cp:lastPrinted>
  <dcterms:created xsi:type="dcterms:W3CDTF">2024-04-20T20:54:00Z</dcterms:created>
  <dcterms:modified xsi:type="dcterms:W3CDTF">2024-04-20T20:55:00Z</dcterms:modified>
</cp:coreProperties>
</file>