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5141"/>
        <w:gridCol w:w="4090"/>
      </w:tblGrid>
      <w:tr w:rsidR="007A2B4D" w:rsidRPr="00C6457E" w:rsidTr="006F42F5">
        <w:trPr>
          <w:trHeight w:val="844"/>
        </w:trPr>
        <w:tc>
          <w:tcPr>
            <w:tcW w:w="976" w:type="dxa"/>
            <w:tcBorders>
              <w:bottom w:val="single" w:sz="12" w:space="0" w:color="auto"/>
            </w:tcBorders>
          </w:tcPr>
          <w:p w:rsidR="007A2B4D" w:rsidRPr="00C6457E" w:rsidRDefault="007A2B4D" w:rsidP="006F42F5">
            <w:bookmarkStart w:id="0" w:name="_GoBack"/>
            <w:bookmarkEnd w:id="0"/>
            <w:r w:rsidRPr="00C6457E">
              <w:rPr>
                <w:noProof/>
                <w:lang w:val="es-UY" w:eastAsia="es-UY"/>
              </w:rPr>
              <w:drawing>
                <wp:anchor distT="0" distB="0" distL="114300" distR="114300" simplePos="0" relativeHeight="251658241" behindDoc="0" locked="0" layoutInCell="1" allowOverlap="1">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7A2B4D" w:rsidRPr="00C6457E" w:rsidRDefault="00FC67E5" w:rsidP="006F42F5">
            <w:r w:rsidRPr="00FC67E5">
              <w:rPr>
                <w:noProof/>
                <w:lang w:val="es-UY" w:eastAsia="es-UY"/>
              </w:rPr>
              <w:drawing>
                <wp:anchor distT="0" distB="0" distL="114300" distR="114300" simplePos="0" relativeHeight="251659265" behindDoc="1" locked="0" layoutInCell="1" allowOverlap="1">
                  <wp:simplePos x="0" y="0"/>
                  <wp:positionH relativeFrom="column">
                    <wp:align>left</wp:align>
                  </wp:positionH>
                  <wp:positionV relativeFrom="paragraph">
                    <wp:posOffset>38735</wp:posOffset>
                  </wp:positionV>
                  <wp:extent cx="682625" cy="389255"/>
                  <wp:effectExtent l="19050" t="0" r="3175" b="0"/>
                  <wp:wrapTight wrapText="bothSides">
                    <wp:wrapPolygon edited="0">
                      <wp:start x="-603" y="0"/>
                      <wp:lineTo x="-603" y="20085"/>
                      <wp:lineTo x="21700" y="20085"/>
                      <wp:lineTo x="21098" y="16914"/>
                      <wp:lineTo x="21700" y="12685"/>
                      <wp:lineTo x="21700" y="0"/>
                      <wp:lineTo x="-603" y="0"/>
                    </wp:wrapPolygon>
                  </wp:wrapTight>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cstate="print"/>
                          <a:srcRect/>
                          <a:stretch>
                            <a:fillRect/>
                          </a:stretch>
                        </pic:blipFill>
                        <pic:spPr bwMode="auto">
                          <a:xfrm>
                            <a:off x="0" y="0"/>
                            <a:ext cx="682625" cy="389255"/>
                          </a:xfrm>
                          <a:prstGeom prst="rect">
                            <a:avLst/>
                          </a:prstGeom>
                          <a:noFill/>
                        </pic:spPr>
                      </pic:pic>
                    </a:graphicData>
                  </a:graphic>
                </wp:anchor>
              </w:drawing>
            </w:r>
          </w:p>
        </w:tc>
        <w:tc>
          <w:tcPr>
            <w:tcW w:w="4090" w:type="dxa"/>
            <w:tcBorders>
              <w:bottom w:val="single" w:sz="12" w:space="0" w:color="auto"/>
            </w:tcBorders>
          </w:tcPr>
          <w:p w:rsidR="007A2B4D" w:rsidRPr="00C6457E" w:rsidRDefault="007A2B4D" w:rsidP="006F42F5">
            <w:pPr>
              <w:jc w:val="right"/>
              <w:rPr>
                <w:rFonts w:ascii="Arial" w:hAnsi="Arial" w:cs="Arial"/>
                <w:b/>
                <w:sz w:val="32"/>
                <w:szCs w:val="32"/>
              </w:rPr>
            </w:pPr>
            <w:r w:rsidRPr="00C6457E">
              <w:rPr>
                <w:rFonts w:ascii="Arial" w:hAnsi="Arial" w:cs="Arial"/>
                <w:b/>
                <w:sz w:val="32"/>
                <w:szCs w:val="32"/>
              </w:rPr>
              <w:t>CBD</w:t>
            </w:r>
          </w:p>
        </w:tc>
      </w:tr>
      <w:tr w:rsidR="007A2B4D" w:rsidRPr="00236FCA" w:rsidTr="006F42F5">
        <w:tc>
          <w:tcPr>
            <w:tcW w:w="6117" w:type="dxa"/>
            <w:gridSpan w:val="2"/>
            <w:tcBorders>
              <w:top w:val="single" w:sz="12" w:space="0" w:color="auto"/>
              <w:bottom w:val="single" w:sz="36" w:space="0" w:color="auto"/>
            </w:tcBorders>
            <w:vAlign w:val="center"/>
          </w:tcPr>
          <w:p w:rsidR="007A2B4D" w:rsidRPr="00C6457E" w:rsidRDefault="00FC67E5" w:rsidP="006F42F5">
            <w:r>
              <w:rPr>
                <w:noProof/>
                <w:lang w:val="es-UY" w:eastAsia="es-UY"/>
              </w:rPr>
              <w:drawing>
                <wp:inline distT="0" distB="0" distL="0" distR="0">
                  <wp:extent cx="2904490" cy="1056005"/>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cstate="print"/>
                          <a:srcRect/>
                          <a:stretch>
                            <a:fillRect/>
                          </a:stretch>
                        </pic:blipFill>
                        <pic:spPr bwMode="auto">
                          <a:xfrm>
                            <a:off x="0" y="0"/>
                            <a:ext cx="2904490" cy="105600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7A2B4D" w:rsidRPr="00FC67E5" w:rsidRDefault="007A2B4D" w:rsidP="00AE2EC5">
            <w:pPr>
              <w:ind w:left="1215"/>
              <w:jc w:val="left"/>
              <w:rPr>
                <w:kern w:val="22"/>
                <w:szCs w:val="22"/>
                <w:lang w:val="es-ES"/>
              </w:rPr>
            </w:pPr>
            <w:r w:rsidRPr="00FC67E5">
              <w:rPr>
                <w:kern w:val="22"/>
                <w:szCs w:val="22"/>
                <w:lang w:val="es-ES"/>
              </w:rPr>
              <w:t>Distr.</w:t>
            </w:r>
          </w:p>
          <w:p w:rsidR="007A2B4D" w:rsidRPr="00FC67E5" w:rsidRDefault="00E613F4" w:rsidP="006E400B">
            <w:pPr>
              <w:ind w:left="1215"/>
              <w:jc w:val="left"/>
              <w:rPr>
                <w:kern w:val="22"/>
                <w:szCs w:val="22"/>
                <w:lang w:val="es-ES"/>
              </w:rPr>
            </w:pPr>
            <w:sdt>
              <w:sdtPr>
                <w:rPr>
                  <w:kern w:val="22"/>
                  <w:szCs w:val="22"/>
                  <w:lang w:val="es-ES"/>
                </w:rPr>
                <w:alias w:val="Status"/>
                <w:tag w:val=""/>
                <w:id w:val="307985777"/>
                <w:placeholder>
                  <w:docPart w:val="F1CF674C8D304F04AF0A90469B062127"/>
                </w:placeholder>
                <w:dataBinding w:prefixMappings="xmlns:ns0='http://purl.org/dc/elements/1.1/' xmlns:ns1='http://schemas.openxmlformats.org/package/2006/metadata/core-properties' " w:xpath="/ns1:coreProperties[1]/ns1:contentStatus[1]" w:storeItemID="{6C3C8BC8-F283-45AE-878A-BAB7291924A1}"/>
                <w:text/>
              </w:sdtPr>
              <w:sdtContent>
                <w:r w:rsidR="00AD29A9" w:rsidRPr="00FC67E5">
                  <w:rPr>
                    <w:kern w:val="22"/>
                    <w:szCs w:val="22"/>
                    <w:lang w:val="es-ES"/>
                  </w:rPr>
                  <w:t>GENERAL</w:t>
                </w:r>
              </w:sdtContent>
            </w:sdt>
          </w:p>
          <w:p w:rsidR="007A2B4D" w:rsidRPr="00FC67E5" w:rsidRDefault="007A2B4D" w:rsidP="00AE2EC5">
            <w:pPr>
              <w:ind w:left="1215"/>
              <w:jc w:val="left"/>
              <w:rPr>
                <w:kern w:val="22"/>
                <w:szCs w:val="22"/>
                <w:lang w:val="es-ES"/>
              </w:rPr>
            </w:pPr>
          </w:p>
          <w:p w:rsidR="007A2B4D" w:rsidRPr="00FC67E5" w:rsidRDefault="00E613F4" w:rsidP="00AE2EC5">
            <w:pPr>
              <w:ind w:left="1215"/>
              <w:jc w:val="left"/>
              <w:rPr>
                <w:kern w:val="22"/>
                <w:szCs w:val="22"/>
                <w:lang w:val="es-ES"/>
              </w:rPr>
            </w:pPr>
            <w:sdt>
              <w:sdtPr>
                <w:rPr>
                  <w:kern w:val="22"/>
                  <w:lang w:val="es-ES"/>
                </w:rPr>
                <w:alias w:val="Subject"/>
                <w:tag w:val=""/>
                <w:id w:val="2137136483"/>
                <w:placeholder>
                  <w:docPart w:val="494775356BAD4E51848B5A1E28261188"/>
                </w:placeholder>
                <w:dataBinding w:prefixMappings="xmlns:ns0='http://purl.org/dc/elements/1.1/' xmlns:ns1='http://schemas.openxmlformats.org/package/2006/metadata/core-properties' " w:xpath="/ns1:coreProperties[1]/ns0:subject[1]" w:storeItemID="{6C3C8BC8-F283-45AE-878A-BAB7291924A1}"/>
                <w:text/>
              </w:sdtPr>
              <w:sdtContent>
                <w:r w:rsidR="00AD29A9" w:rsidRPr="00FC67E5">
                  <w:rPr>
                    <w:kern w:val="22"/>
                    <w:lang w:val="es-ES"/>
                  </w:rPr>
                  <w:t>CBD/POST2020/PREP/2/1</w:t>
                </w:r>
              </w:sdtContent>
            </w:sdt>
          </w:p>
          <w:p w:rsidR="007A2B4D" w:rsidRPr="00FC67E5" w:rsidRDefault="00E613F4" w:rsidP="006E400B">
            <w:pPr>
              <w:ind w:left="1215"/>
              <w:jc w:val="left"/>
              <w:rPr>
                <w:kern w:val="22"/>
                <w:szCs w:val="22"/>
                <w:lang w:val="es-ES"/>
              </w:rPr>
            </w:pPr>
            <w:sdt>
              <w:sdtPr>
                <w:rPr>
                  <w:kern w:val="22"/>
                  <w:szCs w:val="22"/>
                  <w:lang w:val="es-ES"/>
                </w:rPr>
                <w:alias w:val="Publish Date"/>
                <w:tag w:val=""/>
                <w:id w:val="276757068"/>
                <w:placeholder>
                  <w:docPart w:val="A76D29C28F814AE3957080F565393BB2"/>
                </w:placeholder>
                <w:dataBinding w:prefixMappings="xmlns:ns0='http://schemas.microsoft.com/office/2006/coverPageProps' " w:xpath="/ns0:CoverPageProperties[1]/ns0:PublishDate[1]" w:storeItemID="{55AF091B-3C7A-41E3-B477-F2FDAA23CFDA}"/>
                <w:date>
                  <w:dateFormat w:val="d MMMM yyyy"/>
                  <w:lid w:val="en-US"/>
                  <w:storeMappedDataAs w:val="dateTime"/>
                  <w:calendar w:val="gregorian"/>
                </w:date>
              </w:sdtPr>
              <w:sdtContent>
                <w:r w:rsidR="00AD29A9" w:rsidRPr="00FC67E5">
                  <w:rPr>
                    <w:kern w:val="22"/>
                    <w:szCs w:val="22"/>
                    <w:lang w:val="es-ES"/>
                  </w:rPr>
                  <w:t xml:space="preserve">17 </w:t>
                </w:r>
                <w:r w:rsidR="00726825">
                  <w:rPr>
                    <w:kern w:val="22"/>
                    <w:szCs w:val="22"/>
                    <w:lang w:val="es-ES"/>
                  </w:rPr>
                  <w:t>de a</w:t>
                </w:r>
                <w:r w:rsidR="00AD29A9" w:rsidRPr="00FC67E5">
                  <w:rPr>
                    <w:kern w:val="22"/>
                    <w:szCs w:val="22"/>
                    <w:lang w:val="es-ES"/>
                  </w:rPr>
                  <w:t>g</w:t>
                </w:r>
                <w:r w:rsidR="00726825">
                  <w:rPr>
                    <w:kern w:val="22"/>
                    <w:szCs w:val="22"/>
                    <w:lang w:val="es-ES"/>
                  </w:rPr>
                  <w:t>o</w:t>
                </w:r>
                <w:r w:rsidR="00AD29A9" w:rsidRPr="00FC67E5">
                  <w:rPr>
                    <w:kern w:val="22"/>
                    <w:szCs w:val="22"/>
                    <w:lang w:val="es-ES"/>
                  </w:rPr>
                  <w:t>st</w:t>
                </w:r>
                <w:r w:rsidR="00726825">
                  <w:rPr>
                    <w:kern w:val="22"/>
                    <w:szCs w:val="22"/>
                    <w:lang w:val="es-ES"/>
                  </w:rPr>
                  <w:t>o de</w:t>
                </w:r>
                <w:r w:rsidR="00AD29A9" w:rsidRPr="00FC67E5">
                  <w:rPr>
                    <w:kern w:val="22"/>
                    <w:szCs w:val="22"/>
                    <w:lang w:val="es-ES"/>
                  </w:rPr>
                  <w:t xml:space="preserve"> 2020</w:t>
                </w:r>
              </w:sdtContent>
            </w:sdt>
          </w:p>
          <w:p w:rsidR="007A2B4D" w:rsidRPr="00FC67E5" w:rsidRDefault="007A2B4D" w:rsidP="00AE2EC5">
            <w:pPr>
              <w:ind w:left="1215"/>
              <w:jc w:val="left"/>
              <w:rPr>
                <w:kern w:val="22"/>
                <w:szCs w:val="22"/>
                <w:lang w:val="es-ES"/>
              </w:rPr>
            </w:pPr>
          </w:p>
          <w:p w:rsidR="00FC67E5" w:rsidRDefault="00FC67E5" w:rsidP="00AE2EC5">
            <w:pPr>
              <w:ind w:left="1215"/>
              <w:jc w:val="left"/>
              <w:rPr>
                <w:kern w:val="22"/>
                <w:szCs w:val="22"/>
                <w:lang w:val="es-ES"/>
              </w:rPr>
            </w:pPr>
            <w:r>
              <w:rPr>
                <w:kern w:val="22"/>
                <w:szCs w:val="22"/>
                <w:lang w:val="es-ES"/>
              </w:rPr>
              <w:t>ESPAÑOL</w:t>
            </w:r>
          </w:p>
          <w:p w:rsidR="007A2B4D" w:rsidRPr="00FC67E5" w:rsidRDefault="007A2B4D" w:rsidP="00AE2EC5">
            <w:pPr>
              <w:ind w:left="1215"/>
              <w:jc w:val="left"/>
              <w:rPr>
                <w:kern w:val="22"/>
                <w:szCs w:val="22"/>
                <w:lang w:val="es-ES"/>
              </w:rPr>
            </w:pPr>
            <w:r w:rsidRPr="00FC67E5">
              <w:rPr>
                <w:kern w:val="22"/>
                <w:szCs w:val="22"/>
                <w:lang w:val="es-ES"/>
              </w:rPr>
              <w:t xml:space="preserve">ORIGINAL: </w:t>
            </w:r>
            <w:r w:rsidR="00FC67E5">
              <w:rPr>
                <w:kern w:val="22"/>
                <w:szCs w:val="22"/>
                <w:lang w:val="es-ES"/>
              </w:rPr>
              <w:t>I</w:t>
            </w:r>
            <w:r w:rsidRPr="00FC67E5">
              <w:rPr>
                <w:kern w:val="22"/>
                <w:szCs w:val="22"/>
                <w:lang w:val="es-ES"/>
              </w:rPr>
              <w:t>NGL</w:t>
            </w:r>
            <w:r w:rsidR="00FC67E5">
              <w:rPr>
                <w:kern w:val="22"/>
                <w:szCs w:val="22"/>
                <w:lang w:val="es-ES"/>
              </w:rPr>
              <w:t>É</w:t>
            </w:r>
            <w:r w:rsidRPr="00FC67E5">
              <w:rPr>
                <w:kern w:val="22"/>
                <w:szCs w:val="22"/>
                <w:lang w:val="es-ES"/>
              </w:rPr>
              <w:t>S</w:t>
            </w:r>
          </w:p>
          <w:p w:rsidR="007A2B4D" w:rsidRPr="00236FCA" w:rsidRDefault="007A2B4D" w:rsidP="00AE2EC5">
            <w:pPr>
              <w:jc w:val="left"/>
              <w:rPr>
                <w:kern w:val="22"/>
                <w:lang w:val="fr-CA"/>
              </w:rPr>
            </w:pPr>
          </w:p>
        </w:tc>
      </w:tr>
    </w:tbl>
    <w:p w:rsidR="00B06671" w:rsidRDefault="00B06671" w:rsidP="00B06671">
      <w:pPr>
        <w:suppressLineNumbers/>
        <w:suppressAutoHyphens/>
        <w:spacing w:after="120"/>
        <w:ind w:left="142" w:right="5392" w:hanging="142"/>
        <w:jc w:val="left"/>
        <w:rPr>
          <w:b/>
          <w:caps/>
          <w:kern w:val="22"/>
          <w:highlight w:val="yellow"/>
        </w:rPr>
      </w:pPr>
      <w:r>
        <w:rPr>
          <w:lang w:val="es-ES"/>
        </w:rPr>
        <w:t>PREPARATIVOS PARA EL MARCO MUNDIAL DE LA DIVERSIDAD BIOLÓGICA POSTERIOR A 2020</w:t>
      </w:r>
    </w:p>
    <w:p w:rsidR="00B06671" w:rsidRDefault="00B06671" w:rsidP="00B06671">
      <w:pPr>
        <w:suppressLineNumbers/>
        <w:suppressAutoHyphens/>
        <w:spacing w:before="240" w:after="120"/>
        <w:jc w:val="center"/>
        <w:rPr>
          <w:b/>
          <w:caps/>
          <w:spacing w:val="-2"/>
          <w:kern w:val="22"/>
        </w:rPr>
      </w:pPr>
      <w:r>
        <w:rPr>
          <w:b/>
          <w:caps/>
          <w:spacing w:val="-2"/>
          <w:kern w:val="22"/>
          <w:lang w:val="es-ES"/>
        </w:rPr>
        <w:t>ACTUALIZACIÓN DEL BORRADOR PRELIMINAR del marco mundial de la diversidad biológica posterior a 2020</w:t>
      </w:r>
    </w:p>
    <w:p w:rsidR="00B06671" w:rsidRDefault="00B06671" w:rsidP="00B06671">
      <w:pPr>
        <w:pStyle w:val="Para1"/>
        <w:suppressLineNumbers/>
        <w:suppressAutoHyphens/>
        <w:jc w:val="center"/>
        <w:rPr>
          <w:i/>
          <w:kern w:val="22"/>
          <w:szCs w:val="24"/>
        </w:rPr>
      </w:pPr>
      <w:bookmarkStart w:id="1" w:name="_Hlk12534882"/>
      <w:r>
        <w:rPr>
          <w:i/>
          <w:kern w:val="22"/>
          <w:szCs w:val="24"/>
          <w:lang w:val="es-ES"/>
        </w:rPr>
        <w:t>Nota de los Copresidentes</w:t>
      </w:r>
    </w:p>
    <w:bookmarkEnd w:id="1"/>
    <w:p w:rsidR="00B06671" w:rsidRDefault="00B06671" w:rsidP="00B06671">
      <w:pPr>
        <w:pStyle w:val="Heading1"/>
        <w:numPr>
          <w:ilvl w:val="0"/>
          <w:numId w:val="32"/>
        </w:numPr>
        <w:suppressLineNumbers/>
        <w:tabs>
          <w:tab w:val="clear" w:pos="720"/>
          <w:tab w:val="left" w:pos="284"/>
        </w:tabs>
        <w:suppressAutoHyphens/>
        <w:spacing w:before="120"/>
        <w:ind w:left="0" w:firstLine="0"/>
        <w:rPr>
          <w:b w:val="0"/>
          <w:kern w:val="22"/>
        </w:rPr>
      </w:pPr>
      <w:r>
        <w:rPr>
          <w:kern w:val="22"/>
          <w:lang w:val="es-ES"/>
        </w:rPr>
        <w:t>ANTECEDENTES</w:t>
      </w:r>
    </w:p>
    <w:p w:rsidR="00B06671" w:rsidRPr="00236FCA" w:rsidRDefault="00B06671" w:rsidP="00B06671">
      <w:pPr>
        <w:pStyle w:val="Para1"/>
        <w:numPr>
          <w:ilvl w:val="0"/>
          <w:numId w:val="2"/>
        </w:numPr>
        <w:suppressLineNumbers/>
        <w:tabs>
          <w:tab w:val="clear" w:pos="360"/>
        </w:tabs>
        <w:suppressAutoHyphens/>
        <w:rPr>
          <w:szCs w:val="24"/>
          <w:lang w:val="fr-CA"/>
        </w:rPr>
      </w:pPr>
      <w:r>
        <w:rPr>
          <w:kern w:val="22"/>
          <w:szCs w:val="24"/>
          <w:lang w:val="es-ES"/>
        </w:rPr>
        <w:t xml:space="preserve">En la decisión </w:t>
      </w:r>
      <w:hyperlink r:id="rId15" w:history="1">
        <w:r>
          <w:rPr>
            <w:rStyle w:val="Hyperlink"/>
            <w:kern w:val="22"/>
            <w:szCs w:val="24"/>
            <w:lang w:val="es-ES"/>
          </w:rPr>
          <w:t>14/34</w:t>
        </w:r>
      </w:hyperlink>
      <w:r>
        <w:rPr>
          <w:kern w:val="22"/>
          <w:szCs w:val="24"/>
          <w:lang w:val="es-ES"/>
        </w:rPr>
        <w:t>, la Conferencia de las Partes definió el proceso para la elaboración de un marco mundial de la diversidad biológica posterior a 2020, estableció el Grupo de Trabajo de Composición Abierta sobre el Marco Mundial de la Diversidad Biológica posterior a 2020 para apoyar ese proceso y designó a sus Copresidentes.</w:t>
      </w:r>
      <w:r w:rsidRPr="00236FCA">
        <w:rPr>
          <w:kern w:val="22"/>
          <w:szCs w:val="24"/>
          <w:lang w:val="fr-CA"/>
        </w:rPr>
        <w:t xml:space="preserve"> </w:t>
      </w:r>
      <w:r>
        <w:rPr>
          <w:kern w:val="22"/>
          <w:szCs w:val="24"/>
          <w:lang w:val="es-ES"/>
        </w:rPr>
        <w:t>Posteriormente, en su primera reunión</w:t>
      </w:r>
      <w:r w:rsidR="00C57CDF">
        <w:rPr>
          <w:kern w:val="22"/>
          <w:szCs w:val="24"/>
          <w:lang w:val="es-ES"/>
        </w:rPr>
        <w:t>,</w:t>
      </w:r>
      <w:r>
        <w:rPr>
          <w:kern w:val="22"/>
          <w:szCs w:val="24"/>
          <w:lang w:val="es-ES"/>
        </w:rPr>
        <w:t xml:space="preserve"> el Grupo de Trabajo pidió a los Copresidentes y a la Secretaria Ejecutiva que, con la supervisión de la Mesa, continuaran con el proceso preparatorio de conformidad con las decisiones 14/34, </w:t>
      </w:r>
      <w:hyperlink r:id="rId16" w:history="1">
        <w:r>
          <w:rPr>
            <w:rStyle w:val="Hyperlink"/>
            <w:kern w:val="22"/>
            <w:szCs w:val="24"/>
            <w:lang w:val="es-ES"/>
          </w:rPr>
          <w:t>CP</w:t>
        </w:r>
        <w:r>
          <w:rPr>
            <w:rStyle w:val="Hyperlink"/>
            <w:kern w:val="22"/>
            <w:szCs w:val="24"/>
            <w:lang w:val="es-ES"/>
          </w:rPr>
          <w:noBreakHyphen/>
          <w:t>9/7</w:t>
        </w:r>
      </w:hyperlink>
      <w:r>
        <w:rPr>
          <w:kern w:val="22"/>
          <w:szCs w:val="24"/>
          <w:lang w:val="es-ES"/>
        </w:rPr>
        <w:t xml:space="preserve"> y </w:t>
      </w:r>
      <w:hyperlink r:id="rId17" w:history="1">
        <w:r>
          <w:rPr>
            <w:rStyle w:val="Hyperlink"/>
            <w:kern w:val="22"/>
            <w:szCs w:val="24"/>
            <w:lang w:val="es-ES"/>
          </w:rPr>
          <w:t>NP-3/15</w:t>
        </w:r>
      </w:hyperlink>
      <w:r>
        <w:rPr>
          <w:kern w:val="22"/>
          <w:szCs w:val="24"/>
          <w:lang w:val="es-ES"/>
        </w:rPr>
        <w:t>, y que prepararan documentación, incluido el texto de un borrador preliminar del marco mundial de la diversidad biológica posterior a 2020</w:t>
      </w:r>
      <w:r w:rsidRPr="00726825">
        <w:rPr>
          <w:rStyle w:val="FootnoteReference"/>
          <w:kern w:val="22"/>
          <w:sz w:val="22"/>
          <w:szCs w:val="22"/>
          <w:u w:val="none"/>
          <w:vertAlign w:val="superscript"/>
          <w:lang w:val="es-ES"/>
        </w:rPr>
        <w:footnoteReference w:id="2"/>
      </w:r>
      <w:r>
        <w:rPr>
          <w:kern w:val="22"/>
          <w:szCs w:val="24"/>
          <w:lang w:val="es-ES"/>
        </w:rPr>
        <w:t xml:space="preserve"> para consideración del Grupo de Trabajo en su segunda reunión.</w:t>
      </w:r>
      <w:r w:rsidRPr="00236FCA">
        <w:rPr>
          <w:kern w:val="22"/>
          <w:szCs w:val="24"/>
          <w:lang w:val="fr-CA"/>
        </w:rPr>
        <w:t xml:space="preserve"> </w:t>
      </w:r>
      <w:r>
        <w:rPr>
          <w:kern w:val="22"/>
          <w:szCs w:val="24"/>
          <w:lang w:val="es-ES"/>
        </w:rPr>
        <w:t xml:space="preserve">Conforme a estos pedidos, se publicó un borrador preliminar del marco mundial de la diversidad biológica posterior a 2020 para que fuera </w:t>
      </w:r>
      <w:r w:rsidR="00C57CDF">
        <w:rPr>
          <w:kern w:val="22"/>
          <w:szCs w:val="24"/>
          <w:lang w:val="es-ES"/>
        </w:rPr>
        <w:t>considerado</w:t>
      </w:r>
      <w:r>
        <w:rPr>
          <w:kern w:val="22"/>
          <w:szCs w:val="24"/>
          <w:lang w:val="es-ES"/>
        </w:rPr>
        <w:t xml:space="preserve"> por el Grupo de Trabajo en su segunda reunión (CBD/WG2020/2/3).</w:t>
      </w:r>
    </w:p>
    <w:p w:rsidR="00B06671" w:rsidRPr="00236FCA" w:rsidRDefault="00B06671" w:rsidP="00B06671">
      <w:pPr>
        <w:pStyle w:val="Para1"/>
        <w:numPr>
          <w:ilvl w:val="0"/>
          <w:numId w:val="2"/>
        </w:numPr>
        <w:suppressLineNumbers/>
        <w:tabs>
          <w:tab w:val="clear" w:pos="360"/>
        </w:tabs>
        <w:suppressAutoHyphens/>
        <w:rPr>
          <w:kern w:val="22"/>
          <w:szCs w:val="24"/>
          <w:lang w:val="fr-CA"/>
        </w:rPr>
      </w:pPr>
      <w:r>
        <w:rPr>
          <w:kern w:val="22"/>
          <w:szCs w:val="24"/>
          <w:lang w:val="es-ES"/>
        </w:rPr>
        <w:t xml:space="preserve">En su segunda reunión, el Grupo de Trabajo </w:t>
      </w:r>
      <w:r w:rsidR="00C57CDF">
        <w:rPr>
          <w:kern w:val="22"/>
          <w:szCs w:val="24"/>
          <w:lang w:val="es-ES"/>
        </w:rPr>
        <w:t>consider</w:t>
      </w:r>
      <w:r>
        <w:rPr>
          <w:kern w:val="22"/>
          <w:szCs w:val="24"/>
          <w:lang w:val="es-ES"/>
        </w:rPr>
        <w:t xml:space="preserve">ó el borrador preliminar del marco mundial de la diversidad biológica posterior a 2020 y pidió a los Copresidentes y a la Secretaria Ejecutiva que, bajo la supervisión de la Mesa, </w:t>
      </w:r>
      <w:r>
        <w:rPr>
          <w:szCs w:val="24"/>
          <w:lang w:val="es-ES"/>
        </w:rPr>
        <w:t>preparara un documento con la actualización de aquellos elementos del borrador del marco que hubieran sido examinados por el Grupo de Trabajo</w:t>
      </w:r>
      <w:r w:rsidRPr="00726825">
        <w:rPr>
          <w:rStyle w:val="FootnoteReference"/>
          <w:sz w:val="22"/>
          <w:szCs w:val="22"/>
          <w:u w:val="none"/>
          <w:vertAlign w:val="superscript"/>
          <w:lang w:val="es-ES"/>
        </w:rPr>
        <w:footnoteReference w:id="3"/>
      </w:r>
      <w:r>
        <w:rPr>
          <w:szCs w:val="24"/>
          <w:lang w:val="es-ES"/>
        </w:rPr>
        <w:t>,</w:t>
      </w:r>
      <w:r>
        <w:rPr>
          <w:position w:val="10"/>
          <w:szCs w:val="24"/>
          <w:lang w:val="es-ES"/>
        </w:rPr>
        <w:t xml:space="preserve"> </w:t>
      </w:r>
      <w:r>
        <w:rPr>
          <w:szCs w:val="24"/>
          <w:lang w:val="es-ES"/>
        </w:rPr>
        <w:t>tomando en cuenta el anexo del informe con los resultados de la reunión y los aportes recibidos en respuesta a la notificación 2019-108</w:t>
      </w:r>
      <w:r w:rsidRPr="009678F3">
        <w:rPr>
          <w:rStyle w:val="FootnoteReference"/>
          <w:sz w:val="22"/>
          <w:szCs w:val="22"/>
          <w:u w:val="none"/>
          <w:vertAlign w:val="superscript"/>
          <w:lang w:val="es-ES"/>
        </w:rPr>
        <w:footnoteReference w:id="4"/>
      </w:r>
      <w:r>
        <w:rPr>
          <w:szCs w:val="24"/>
          <w:lang w:val="es-ES"/>
        </w:rPr>
        <w:t>, y que lo tuvieran disponible por lo menos seis semanas antes de la 24</w:t>
      </w:r>
      <w:r>
        <w:rPr>
          <w:szCs w:val="24"/>
          <w:vertAlign w:val="superscript"/>
          <w:lang w:val="es-ES"/>
        </w:rPr>
        <w:t>a</w:t>
      </w:r>
      <w:r>
        <w:rPr>
          <w:szCs w:val="24"/>
          <w:lang w:val="es-ES"/>
        </w:rPr>
        <w:t> reunión del Órgano Subsidiario de Asesoramiento Científico, Técnico y Tecnológico.</w:t>
      </w:r>
    </w:p>
    <w:p w:rsidR="00B06671" w:rsidRPr="00236FCA" w:rsidRDefault="00B06671" w:rsidP="00B06671">
      <w:pPr>
        <w:pStyle w:val="Para1"/>
        <w:numPr>
          <w:ilvl w:val="0"/>
          <w:numId w:val="2"/>
        </w:numPr>
        <w:suppressLineNumbers/>
        <w:tabs>
          <w:tab w:val="clear" w:pos="360"/>
        </w:tabs>
        <w:suppressAutoHyphens/>
        <w:rPr>
          <w:rFonts w:ascii="Malgun Gothic" w:eastAsia="Malgun Gothic"/>
          <w:szCs w:val="24"/>
          <w:lang w:val="fr-CA"/>
        </w:rPr>
      </w:pPr>
      <w:r>
        <w:rPr>
          <w:kern w:val="22"/>
          <w:szCs w:val="24"/>
          <w:lang w:val="es-ES"/>
        </w:rPr>
        <w:t xml:space="preserve">En cumplimiento de este pedido, en el anexo del presente documento se brinda una actualización del borrador preliminar del marco mundial de la diversidad biológica posterior a 2020 </w:t>
      </w:r>
      <w:r w:rsidR="00C57CDF">
        <w:rPr>
          <w:kern w:val="22"/>
          <w:szCs w:val="24"/>
          <w:lang w:val="es-ES"/>
        </w:rPr>
        <w:t xml:space="preserve">en la </w:t>
      </w:r>
      <w:r>
        <w:rPr>
          <w:kern w:val="22"/>
          <w:szCs w:val="24"/>
          <w:lang w:val="es-ES"/>
        </w:rPr>
        <w:t xml:space="preserve">que </w:t>
      </w:r>
      <w:r w:rsidR="00C57CDF">
        <w:rPr>
          <w:kern w:val="22"/>
          <w:szCs w:val="24"/>
          <w:lang w:val="es-ES"/>
        </w:rPr>
        <w:t>se contemplan</w:t>
      </w:r>
      <w:r>
        <w:rPr>
          <w:kern w:val="22"/>
          <w:szCs w:val="24"/>
          <w:lang w:val="es-ES"/>
        </w:rPr>
        <w:t xml:space="preserve"> los resultados de la segunda reunión del Grupo de Trabajo así como los aportes recibidos en respuesta a la notificación antes señalada</w:t>
      </w:r>
      <w:r>
        <w:rPr>
          <w:i/>
          <w:kern w:val="22"/>
          <w:szCs w:val="24"/>
          <w:lang w:val="es-ES"/>
        </w:rPr>
        <w:t>.</w:t>
      </w:r>
      <w:r w:rsidR="002C3084" w:rsidRPr="002C3084">
        <w:rPr>
          <w:kern w:val="22"/>
          <w:szCs w:val="24"/>
          <w:lang w:val="es-ES_tradnl"/>
        </w:rPr>
        <w:t xml:space="preserve"> </w:t>
      </w:r>
      <w:r>
        <w:rPr>
          <w:kern w:val="22"/>
          <w:szCs w:val="24"/>
          <w:lang w:val="es-ES"/>
        </w:rPr>
        <w:t>Los marcos de seguimiento y el texto de decisión que figuran en los documentos CBD/WG2020/2/3 y Add.1 no fueron examinados en la segunda reunión del Grupo de Trabajo y por lo tanto no se incluyen en el presente documento.</w:t>
      </w:r>
      <w:r w:rsidRPr="00236FCA">
        <w:rPr>
          <w:kern w:val="22"/>
          <w:szCs w:val="24"/>
          <w:lang w:val="fr-CA"/>
        </w:rPr>
        <w:t xml:space="preserve"> </w:t>
      </w:r>
      <w:r>
        <w:rPr>
          <w:kern w:val="22"/>
          <w:szCs w:val="24"/>
          <w:lang w:val="es-ES"/>
        </w:rPr>
        <w:t xml:space="preserve">Este borrador se volverá a actualizar para </w:t>
      </w:r>
      <w:r w:rsidR="00C57CDF">
        <w:rPr>
          <w:kern w:val="22"/>
          <w:szCs w:val="24"/>
          <w:lang w:val="es-ES"/>
        </w:rPr>
        <w:t>c</w:t>
      </w:r>
      <w:r>
        <w:rPr>
          <w:kern w:val="22"/>
          <w:szCs w:val="24"/>
          <w:lang w:val="es-ES"/>
        </w:rPr>
        <w:t>o</w:t>
      </w:r>
      <w:r w:rsidR="00C57CDF">
        <w:rPr>
          <w:kern w:val="22"/>
          <w:szCs w:val="24"/>
          <w:lang w:val="es-ES"/>
        </w:rPr>
        <w:t>nte</w:t>
      </w:r>
      <w:r>
        <w:rPr>
          <w:kern w:val="22"/>
          <w:szCs w:val="24"/>
          <w:lang w:val="es-ES"/>
        </w:rPr>
        <w:t>m</w:t>
      </w:r>
      <w:r w:rsidR="00C57CDF">
        <w:rPr>
          <w:kern w:val="22"/>
          <w:szCs w:val="24"/>
          <w:lang w:val="es-ES"/>
        </w:rPr>
        <w:t>pl</w:t>
      </w:r>
      <w:r>
        <w:rPr>
          <w:kern w:val="22"/>
          <w:szCs w:val="24"/>
          <w:lang w:val="es-ES"/>
        </w:rPr>
        <w:t>ar los resultados de la 24</w:t>
      </w:r>
      <w:r>
        <w:rPr>
          <w:kern w:val="22"/>
          <w:szCs w:val="24"/>
          <w:vertAlign w:val="superscript"/>
          <w:lang w:val="es-ES"/>
        </w:rPr>
        <w:t>a</w:t>
      </w:r>
      <w:r>
        <w:rPr>
          <w:kern w:val="22"/>
          <w:szCs w:val="24"/>
          <w:lang w:val="es-ES"/>
        </w:rPr>
        <w:t> reunión del Órgano Subsidiario de Asesoramiento Científico, Técnico y Tecnológico y la 3</w:t>
      </w:r>
      <w:r>
        <w:rPr>
          <w:kern w:val="22"/>
          <w:szCs w:val="24"/>
          <w:vertAlign w:val="superscript"/>
          <w:lang w:val="es-ES"/>
        </w:rPr>
        <w:t>a</w:t>
      </w:r>
      <w:r>
        <w:rPr>
          <w:kern w:val="22"/>
          <w:szCs w:val="24"/>
          <w:lang w:val="es-ES"/>
        </w:rPr>
        <w:t xml:space="preserve"> reunión del Órgano Subsidiario sobre la Aplicación, así como el asesoramiento que </w:t>
      </w:r>
      <w:r>
        <w:rPr>
          <w:kern w:val="22"/>
          <w:szCs w:val="24"/>
          <w:lang w:val="es-ES"/>
        </w:rPr>
        <w:lastRenderedPageBreak/>
        <w:t>se brinde en consultas temáticas, y se publicará como Primer Borrador seis semanas antes de la 3</w:t>
      </w:r>
      <w:r>
        <w:rPr>
          <w:kern w:val="22"/>
          <w:szCs w:val="24"/>
          <w:vertAlign w:val="superscript"/>
          <w:lang w:val="es-ES"/>
        </w:rPr>
        <w:t>a</w:t>
      </w:r>
      <w:r w:rsidR="00C57CDF">
        <w:rPr>
          <w:kern w:val="22"/>
          <w:szCs w:val="24"/>
          <w:lang w:val="es-ES"/>
        </w:rPr>
        <w:t> </w:t>
      </w:r>
      <w:r>
        <w:rPr>
          <w:kern w:val="22"/>
          <w:szCs w:val="24"/>
          <w:lang w:val="es-ES"/>
        </w:rPr>
        <w:t>reunión del Grupo de Trabajo.</w:t>
      </w:r>
    </w:p>
    <w:p w:rsidR="00B06671" w:rsidRPr="00236FCA" w:rsidRDefault="00B06671" w:rsidP="00B06671">
      <w:pPr>
        <w:pStyle w:val="Para1"/>
        <w:suppressLineNumbers/>
        <w:suppressAutoHyphens/>
        <w:rPr>
          <w:rFonts w:ascii="Malgun Gothic" w:eastAsia="Malgun Gothic"/>
          <w:i/>
          <w:szCs w:val="24"/>
          <w:lang w:val="fr-CA"/>
        </w:rPr>
      </w:pPr>
      <w:r w:rsidRPr="00236FCA">
        <w:rPr>
          <w:rFonts w:ascii="Malgun Gothic" w:eastAsia="Malgun Gothic"/>
          <w:i/>
          <w:kern w:val="22"/>
          <w:szCs w:val="24"/>
          <w:lang w:val="fr-CA"/>
        </w:rPr>
        <w:br w:type="page"/>
      </w:r>
    </w:p>
    <w:p w:rsidR="00B06671" w:rsidRDefault="00B06671" w:rsidP="00B06671">
      <w:pPr>
        <w:suppressLineNumbers/>
        <w:suppressAutoHyphens/>
        <w:jc w:val="center"/>
        <w:outlineLvl w:val="2"/>
        <w:rPr>
          <w:i/>
          <w:kern w:val="22"/>
        </w:rPr>
      </w:pPr>
      <w:r>
        <w:rPr>
          <w:i/>
          <w:kern w:val="22"/>
          <w:lang w:val="es-ES"/>
        </w:rPr>
        <w:lastRenderedPageBreak/>
        <w:t>Anexo</w:t>
      </w:r>
    </w:p>
    <w:p w:rsidR="00B06671" w:rsidRDefault="00B06671" w:rsidP="00B06671">
      <w:pPr>
        <w:pStyle w:val="Heading1"/>
      </w:pPr>
      <w:r>
        <w:rPr>
          <w:lang w:val="es-ES"/>
        </w:rPr>
        <w:t>eL marco mundial de la diversidad biológica posterior a 2020</w:t>
      </w:r>
    </w:p>
    <w:p w:rsidR="00B06671" w:rsidRDefault="00B06671" w:rsidP="00B06671">
      <w:pPr>
        <w:pStyle w:val="Heading1"/>
        <w:numPr>
          <w:ilvl w:val="0"/>
          <w:numId w:val="3"/>
        </w:numPr>
        <w:suppressLineNumbers/>
        <w:suppressAutoHyphens/>
        <w:spacing w:before="0" w:after="0"/>
        <w:rPr>
          <w:kern w:val="22"/>
        </w:rPr>
      </w:pPr>
      <w:r>
        <w:rPr>
          <w:kern w:val="22"/>
          <w:lang w:val="es-ES"/>
        </w:rPr>
        <w:t>Introducción</w:t>
      </w:r>
    </w:p>
    <w:p w:rsidR="00B06671" w:rsidRDefault="00B06671" w:rsidP="00B06671">
      <w:pPr>
        <w:pStyle w:val="Heading2"/>
        <w:numPr>
          <w:ilvl w:val="0"/>
          <w:numId w:val="1"/>
        </w:numPr>
        <w:suppressLineNumbers/>
        <w:tabs>
          <w:tab w:val="clear" w:pos="720"/>
        </w:tabs>
        <w:suppressAutoHyphens/>
        <w:ind w:left="714" w:hanging="357"/>
        <w:rPr>
          <w:bCs w:val="0"/>
          <w:iCs w:val="0"/>
          <w:kern w:val="22"/>
        </w:rPr>
      </w:pPr>
      <w:r>
        <w:rPr>
          <w:bCs w:val="0"/>
          <w:iCs w:val="0"/>
          <w:kern w:val="22"/>
          <w:lang w:val="es-ES"/>
        </w:rPr>
        <w:t>Antecedentes</w:t>
      </w:r>
    </w:p>
    <w:p w:rsidR="00B06671" w:rsidRPr="00236FCA" w:rsidRDefault="00B06671" w:rsidP="00B06671">
      <w:pPr>
        <w:pStyle w:val="Para1"/>
        <w:numPr>
          <w:ilvl w:val="0"/>
          <w:numId w:val="5"/>
        </w:numPr>
        <w:suppressLineNumbers/>
        <w:tabs>
          <w:tab w:val="clear" w:pos="360"/>
        </w:tabs>
        <w:suppressAutoHyphens/>
        <w:rPr>
          <w:szCs w:val="24"/>
          <w:lang w:val="fr-CA"/>
        </w:rPr>
      </w:pPr>
      <w:r>
        <w:rPr>
          <w:kern w:val="22"/>
          <w:szCs w:val="24"/>
          <w:lang w:val="es-ES"/>
        </w:rPr>
        <w:t>La diversidad biológica y los beneficios que brinda son esenciales para el bienestar humano y para un planeta sano.</w:t>
      </w:r>
      <w:r w:rsidRPr="00236FCA">
        <w:rPr>
          <w:kern w:val="22"/>
          <w:szCs w:val="24"/>
          <w:lang w:val="fr-CA"/>
        </w:rPr>
        <w:t xml:space="preserve"> </w:t>
      </w:r>
      <w:r>
        <w:rPr>
          <w:kern w:val="22"/>
          <w:szCs w:val="24"/>
          <w:lang w:val="es-ES"/>
        </w:rPr>
        <w:t>A pesar de esfuerzos constantes para evitarlo, la diversidad biológica se está deteriorando en todo el mundo y se proyecta que en escenarios en los que todo sigue igual ese deterioro continuará e incluso empeorará.</w:t>
      </w:r>
      <w:r w:rsidRPr="00236FCA">
        <w:rPr>
          <w:kern w:val="22"/>
          <w:szCs w:val="24"/>
          <w:lang w:val="fr-CA"/>
        </w:rPr>
        <w:t xml:space="preserve"> </w:t>
      </w:r>
      <w:r>
        <w:rPr>
          <w:kern w:val="22"/>
          <w:szCs w:val="24"/>
          <w:lang w:val="es-ES"/>
        </w:rPr>
        <w:t>El marco mundial de la diversidad biológica posterior a 2020</w:t>
      </w:r>
      <w:r w:rsidRPr="009678F3">
        <w:rPr>
          <w:rStyle w:val="FootnoteReference"/>
          <w:kern w:val="22"/>
          <w:sz w:val="22"/>
          <w:szCs w:val="22"/>
          <w:u w:val="none"/>
          <w:vertAlign w:val="superscript"/>
          <w:lang w:val="es-ES"/>
        </w:rPr>
        <w:footnoteReference w:id="5"/>
      </w:r>
      <w:r>
        <w:rPr>
          <w:kern w:val="22"/>
          <w:szCs w:val="24"/>
          <w:lang w:val="es-ES"/>
        </w:rPr>
        <w:t xml:space="preserve"> se basa en el Plan Estratégico para la Diversidad Biológica 2011-2020 y plantea un plan ambicioso para aplicar medidas de amplio alcance tendientes a lograr una transformación en la relación de la sociedad con la diversidad biológica y a garantizar que para 2050 se haga realidad la visión compartida de vivir en armonía con la naturaleza.</w:t>
      </w:r>
    </w:p>
    <w:p w:rsidR="00B06671" w:rsidRPr="009678F3" w:rsidRDefault="00B06671" w:rsidP="00B06671">
      <w:pPr>
        <w:pStyle w:val="Heading2"/>
        <w:numPr>
          <w:ilvl w:val="0"/>
          <w:numId w:val="1"/>
        </w:numPr>
        <w:suppressLineNumbers/>
        <w:tabs>
          <w:tab w:val="clear" w:pos="720"/>
        </w:tabs>
        <w:suppressAutoHyphens/>
        <w:ind w:left="714" w:hanging="357"/>
        <w:rPr>
          <w:rFonts w:eastAsia="Malgun Gothic"/>
          <w:bCs w:val="0"/>
          <w:iCs w:val="0"/>
          <w:kern w:val="22"/>
        </w:rPr>
      </w:pPr>
      <w:r w:rsidRPr="009678F3">
        <w:rPr>
          <w:bCs w:val="0"/>
          <w:iCs w:val="0"/>
          <w:kern w:val="22"/>
          <w:lang w:val="es-ES"/>
        </w:rPr>
        <w:t xml:space="preserve">El objetivo </w:t>
      </w:r>
    </w:p>
    <w:p w:rsidR="00B06671" w:rsidRPr="00236FCA" w:rsidRDefault="00B06671" w:rsidP="00B06671">
      <w:pPr>
        <w:pStyle w:val="ListParagraph"/>
        <w:numPr>
          <w:ilvl w:val="0"/>
          <w:numId w:val="2"/>
        </w:numPr>
        <w:suppressLineNumbers/>
        <w:tabs>
          <w:tab w:val="clear" w:pos="360"/>
        </w:tabs>
        <w:suppressAutoHyphens/>
        <w:spacing w:before="120" w:after="120"/>
        <w:contextualSpacing w:val="0"/>
        <w:rPr>
          <w:kern w:val="22"/>
          <w:lang w:val="fr-CA"/>
        </w:rPr>
      </w:pPr>
      <w:r>
        <w:rPr>
          <w:kern w:val="22"/>
          <w:lang w:val="es-ES"/>
        </w:rPr>
        <w:t>El objetivo del marco es impulsar a los Gobiernos y a la sociedad en su conjunto, incluidos los pueblos indígenas y las comunidades locales, la sociedad civil y el sector empresarial, a adoptar medidas urgentes y transformadoras para lograr los resultados planteados en su visión, misión, objetivos y metas, y así contribuir a la consecución de los objetivos del Convenio sobre la Diversidad Biológica y de otros acuerdos multilaterales, procesos e instrumentos relacionados con la diversidad biológica.</w:t>
      </w:r>
    </w:p>
    <w:p w:rsidR="00B06671" w:rsidRPr="00236FCA" w:rsidRDefault="00B06671" w:rsidP="00B06671">
      <w:pPr>
        <w:pStyle w:val="ListParagraph"/>
        <w:numPr>
          <w:ilvl w:val="0"/>
          <w:numId w:val="2"/>
        </w:numPr>
        <w:suppressLineNumbers/>
        <w:tabs>
          <w:tab w:val="clear" w:pos="360"/>
        </w:tabs>
        <w:suppressAutoHyphens/>
        <w:spacing w:before="120" w:after="120"/>
        <w:contextualSpacing w:val="0"/>
        <w:rPr>
          <w:lang w:val="fr-CA"/>
        </w:rPr>
      </w:pPr>
      <w:r>
        <w:rPr>
          <w:kern w:val="22"/>
          <w:lang w:val="es-ES"/>
        </w:rPr>
        <w:t>El marco se implementará principalmente a través de actividades que se llevarán a cabo a nivel nacional, con medidas de apoyo a nivel subnacional, regional y mundial.</w:t>
      </w:r>
      <w:r w:rsidRPr="00236FCA">
        <w:rPr>
          <w:kern w:val="22"/>
          <w:lang w:val="fr-CA"/>
        </w:rPr>
        <w:t xml:space="preserve"> </w:t>
      </w:r>
      <w:r>
        <w:rPr>
          <w:kern w:val="22"/>
          <w:lang w:val="es-ES"/>
        </w:rPr>
        <w:t>Busca promover sinergias y coordinación con procesos pertinentes.</w:t>
      </w:r>
      <w:r w:rsidRPr="00236FCA">
        <w:rPr>
          <w:kern w:val="22"/>
          <w:lang w:val="fr-CA"/>
        </w:rPr>
        <w:t xml:space="preserve"> </w:t>
      </w:r>
      <w:r>
        <w:rPr>
          <w:kern w:val="22"/>
          <w:lang w:val="es-ES"/>
        </w:rPr>
        <w:t xml:space="preserve">Proporciona un marco mundial orientado a los resultados para la elaboración de objetivos y metas nacionales, y, </w:t>
      </w:r>
      <w:r w:rsidR="004F59E4">
        <w:rPr>
          <w:kern w:val="22"/>
          <w:lang w:val="es-ES"/>
        </w:rPr>
        <w:t>donde</w:t>
      </w:r>
      <w:r>
        <w:rPr>
          <w:kern w:val="22"/>
          <w:lang w:val="es-ES"/>
        </w:rPr>
        <w:t xml:space="preserve"> proceda, regionales, y para la actualización, según sea necesario, de las estrategias y planes de acción nacionales en materia de biodiversidad a fin de lograr esos objetivos y metas, y para facilitar el seguimiento y examen periódico de los progresos a nivel mundial.</w:t>
      </w:r>
    </w:p>
    <w:p w:rsidR="00B06671" w:rsidRPr="00236FCA" w:rsidRDefault="00B06671" w:rsidP="00B06671">
      <w:pPr>
        <w:pStyle w:val="ListParagraph"/>
        <w:numPr>
          <w:ilvl w:val="0"/>
          <w:numId w:val="2"/>
        </w:numPr>
        <w:suppressLineNumbers/>
        <w:tabs>
          <w:tab w:val="clear" w:pos="360"/>
        </w:tabs>
        <w:suppressAutoHyphens/>
        <w:spacing w:before="120" w:after="120"/>
        <w:contextualSpacing w:val="0"/>
        <w:rPr>
          <w:lang w:val="fr-CA"/>
        </w:rPr>
      </w:pPr>
      <w:r>
        <w:rPr>
          <w:kern w:val="22"/>
          <w:lang w:val="es-ES"/>
        </w:rPr>
        <w:t>El marco contribuirá a la implementación de la Agenda 2030 para el Desarrollo Sostenible.</w:t>
      </w:r>
      <w:r w:rsidRPr="00236FCA">
        <w:rPr>
          <w:kern w:val="22"/>
          <w:lang w:val="fr-CA"/>
        </w:rPr>
        <w:t xml:space="preserve"> </w:t>
      </w:r>
      <w:r>
        <w:rPr>
          <w:kern w:val="22"/>
          <w:lang w:val="es-ES"/>
        </w:rPr>
        <w:t>A su vez, los progresos en el logro de los Objetivos de Desarrollo Sostenible ayudarán a generar las condiciones necesarias para implementar el marco.</w:t>
      </w:r>
      <w:r w:rsidRPr="00236FCA">
        <w:rPr>
          <w:kern w:val="22"/>
          <w:lang w:val="fr-CA"/>
        </w:rPr>
        <w:t xml:space="preserve"> </w:t>
      </w:r>
    </w:p>
    <w:p w:rsidR="00B06671" w:rsidRPr="009678F3" w:rsidRDefault="00B06671" w:rsidP="00B06671">
      <w:pPr>
        <w:pStyle w:val="Heading2"/>
        <w:numPr>
          <w:ilvl w:val="0"/>
          <w:numId w:val="1"/>
        </w:numPr>
        <w:suppressLineNumbers/>
        <w:tabs>
          <w:tab w:val="clear" w:pos="720"/>
        </w:tabs>
        <w:suppressAutoHyphens/>
        <w:spacing w:before="240"/>
        <w:ind w:left="714" w:hanging="357"/>
        <w:rPr>
          <w:bCs w:val="0"/>
          <w:iCs w:val="0"/>
          <w:kern w:val="22"/>
        </w:rPr>
      </w:pPr>
      <w:r w:rsidRPr="009678F3">
        <w:rPr>
          <w:bCs w:val="0"/>
          <w:iCs w:val="0"/>
          <w:kern w:val="22"/>
          <w:lang w:val="es-ES"/>
        </w:rPr>
        <w:t>Teoría del cambio</w:t>
      </w:r>
    </w:p>
    <w:p w:rsidR="00B06671" w:rsidRPr="00236FCA" w:rsidRDefault="00B06671" w:rsidP="00B06671">
      <w:pPr>
        <w:pStyle w:val="ListParagraph"/>
        <w:numPr>
          <w:ilvl w:val="0"/>
          <w:numId w:val="2"/>
        </w:numPr>
        <w:suppressLineNumbers/>
        <w:tabs>
          <w:tab w:val="clear" w:pos="360"/>
        </w:tabs>
        <w:suppressAutoHyphens/>
        <w:spacing w:before="120" w:after="120"/>
        <w:contextualSpacing w:val="0"/>
        <w:rPr>
          <w:lang w:val="fr-CA"/>
        </w:rPr>
      </w:pPr>
      <w:r>
        <w:rPr>
          <w:color w:val="000000"/>
          <w:kern w:val="22"/>
          <w:lang w:val="es-ES"/>
        </w:rPr>
        <w:t xml:space="preserve">El marco está elaborado en torno a una teoría del cambio (véase la figura 1) que reconoce que se requieren medidas urgentes de políticas a nivel mundial, regional y nacional para transformar los modelos económicos, sociales y financieros de manera que las tendencias que han exacerbado la pérdida de diversidad biológica se estabilicen en los próximos 10 años (para 2030) y permitan una recuperación de los ecosistemas naturales en los siguientes 20 años, lográndose mejoras netas para 2050 a fin de </w:t>
      </w:r>
      <w:r w:rsidR="004F59E4">
        <w:rPr>
          <w:color w:val="000000"/>
          <w:kern w:val="22"/>
          <w:lang w:val="es-ES"/>
        </w:rPr>
        <w:t>hacer realidad</w:t>
      </w:r>
      <w:r>
        <w:rPr>
          <w:color w:val="000000"/>
          <w:kern w:val="22"/>
          <w:lang w:val="es-ES"/>
        </w:rPr>
        <w:t xml:space="preserve"> la visión del Convenio de “vivir en armonía con la naturaleza para 2050”.</w:t>
      </w:r>
      <w:r w:rsidRPr="00236FCA">
        <w:rPr>
          <w:color w:val="000000"/>
          <w:kern w:val="22"/>
          <w:lang w:val="fr-CA"/>
        </w:rPr>
        <w:t xml:space="preserve"> </w:t>
      </w:r>
      <w:r>
        <w:rPr>
          <w:color w:val="000000"/>
          <w:kern w:val="22"/>
          <w:lang w:val="es-ES"/>
        </w:rPr>
        <w:t xml:space="preserve">También supone que se necesita un enfoque de todo el gobierno y la sociedad para </w:t>
      </w:r>
      <w:r w:rsidR="004F59E4">
        <w:rPr>
          <w:color w:val="000000"/>
          <w:kern w:val="22"/>
          <w:lang w:val="es-ES"/>
        </w:rPr>
        <w:t>implementar</w:t>
      </w:r>
      <w:r>
        <w:rPr>
          <w:color w:val="000000"/>
          <w:kern w:val="22"/>
          <w:lang w:val="es-ES"/>
        </w:rPr>
        <w:t xml:space="preserve"> los cambios que se requieren en los próximos 10 años como paso intermedio hacia el logro de la Visión para 2050.</w:t>
      </w:r>
      <w:r w:rsidRPr="00236FCA">
        <w:rPr>
          <w:color w:val="000000"/>
          <w:kern w:val="22"/>
          <w:lang w:val="fr-CA"/>
        </w:rPr>
        <w:t xml:space="preserve"> </w:t>
      </w:r>
      <w:r>
        <w:rPr>
          <w:kern w:val="22"/>
          <w:lang w:val="es-ES"/>
        </w:rPr>
        <w:t>Por lo tanto, los Gobiernos y las sociedades deben establecer prioridades y asignar recursos financieros y de otro tipo, internalizar el valor de la naturaleza y reconocer el costo que tiene no tomar medidas.</w:t>
      </w:r>
    </w:p>
    <w:p w:rsidR="00B06671" w:rsidRPr="00236FCA" w:rsidRDefault="00B06671" w:rsidP="00B06671">
      <w:pPr>
        <w:pStyle w:val="ListParagraph"/>
        <w:numPr>
          <w:ilvl w:val="0"/>
          <w:numId w:val="2"/>
        </w:numPr>
        <w:suppressLineNumbers/>
        <w:tabs>
          <w:tab w:val="clear" w:pos="360"/>
        </w:tabs>
        <w:suppressAutoHyphens/>
        <w:contextualSpacing w:val="0"/>
        <w:rPr>
          <w:lang w:val="fr-CA"/>
        </w:rPr>
      </w:pPr>
      <w:r>
        <w:rPr>
          <w:color w:val="000000"/>
          <w:kern w:val="22"/>
          <w:lang w:val="es-ES"/>
        </w:rPr>
        <w:t xml:space="preserve">La teoría del cambio del marco supone que la adopción de medidas transformadoras se hace a fin de a) introducir herramientas y soluciones para la aplicación y la integración, b) reducir las amenazas a la </w:t>
      </w:r>
      <w:r>
        <w:rPr>
          <w:color w:val="000000"/>
          <w:kern w:val="22"/>
          <w:lang w:val="es-ES"/>
        </w:rPr>
        <w:lastRenderedPageBreak/>
        <w:t xml:space="preserve">diversidad biológica; y c) garantizar que la diversidad biológica se utilice de manera sostenible para satisfacer las necesidades de las personas, y que esas medidas estén respaldadas por i) condiciones </w:t>
      </w:r>
      <w:r w:rsidR="001F27F1">
        <w:rPr>
          <w:color w:val="000000"/>
          <w:kern w:val="22"/>
          <w:lang w:val="es-ES"/>
        </w:rPr>
        <w:t xml:space="preserve">de implementación </w:t>
      </w:r>
      <w:r>
        <w:rPr>
          <w:color w:val="000000"/>
          <w:kern w:val="22"/>
          <w:lang w:val="es-ES"/>
        </w:rPr>
        <w:t xml:space="preserve">y </w:t>
      </w:r>
      <w:proofErr w:type="spellStart"/>
      <w:r>
        <w:rPr>
          <w:color w:val="000000"/>
          <w:kern w:val="22"/>
          <w:lang w:val="es-ES"/>
        </w:rPr>
        <w:t>ii</w:t>
      </w:r>
      <w:proofErr w:type="spellEnd"/>
      <w:r>
        <w:rPr>
          <w:color w:val="000000"/>
          <w:kern w:val="22"/>
          <w:lang w:val="es-ES"/>
        </w:rPr>
        <w:t>) medios adecuados de implementación, incluidos recursos financieros, capacidad y tecnología.</w:t>
      </w:r>
      <w:r w:rsidRPr="00236FCA">
        <w:rPr>
          <w:color w:val="000000"/>
          <w:kern w:val="22"/>
          <w:lang w:val="fr-CA"/>
        </w:rPr>
        <w:t xml:space="preserve"> </w:t>
      </w:r>
      <w:r>
        <w:rPr>
          <w:color w:val="000000"/>
          <w:kern w:val="22"/>
          <w:lang w:val="es-ES"/>
        </w:rPr>
        <w:t xml:space="preserve">También supone que se </w:t>
      </w:r>
      <w:r w:rsidR="004F59E4">
        <w:rPr>
          <w:color w:val="000000"/>
          <w:kern w:val="22"/>
          <w:lang w:val="es-ES"/>
        </w:rPr>
        <w:t>hace</w:t>
      </w:r>
      <w:r>
        <w:rPr>
          <w:color w:val="000000"/>
          <w:kern w:val="22"/>
          <w:lang w:val="es-ES"/>
        </w:rPr>
        <w:t xml:space="preserve"> un seguimiento transparente y responsable de los progresos, con ejercicios de balance adecuados, a fin de garantizar que para 2030 el mundo esté encaminado hacia el logro de la Visión de la Diversidad Biológica para 2050.</w:t>
      </w:r>
    </w:p>
    <w:p w:rsidR="00B06671" w:rsidRPr="00236FCA" w:rsidRDefault="00B06671" w:rsidP="00B06671">
      <w:pPr>
        <w:pStyle w:val="ListParagraph"/>
        <w:numPr>
          <w:ilvl w:val="0"/>
          <w:numId w:val="2"/>
        </w:numPr>
        <w:suppressLineNumbers/>
        <w:tabs>
          <w:tab w:val="clear" w:pos="360"/>
        </w:tabs>
        <w:suppressAutoHyphens/>
        <w:spacing w:before="120" w:after="120"/>
        <w:contextualSpacing w:val="0"/>
        <w:rPr>
          <w:lang w:val="fr-CA"/>
        </w:rPr>
      </w:pPr>
      <w:r>
        <w:rPr>
          <w:kern w:val="22"/>
          <w:lang w:val="es-ES"/>
        </w:rPr>
        <w:t xml:space="preserve">La </w:t>
      </w:r>
      <w:r>
        <w:rPr>
          <w:color w:val="000000"/>
          <w:kern w:val="22"/>
          <w:lang w:val="es-ES"/>
        </w:rPr>
        <w:t>teoría del cambio para el marco admite la necesidad de un debido reconocimiento de la igualdad de género, el empoderamiento de las mujeres, los jóvenes, enfoques sensibles a cuestiones de género y la participación plena y efectiva de los pueblos indígenas y las comunidades locales en la implementación de este marco.</w:t>
      </w:r>
      <w:r w:rsidRPr="00236FCA">
        <w:rPr>
          <w:color w:val="000000"/>
          <w:kern w:val="22"/>
          <w:lang w:val="fr-CA"/>
        </w:rPr>
        <w:t xml:space="preserve"> </w:t>
      </w:r>
      <w:r>
        <w:rPr>
          <w:color w:val="000000"/>
          <w:kern w:val="22"/>
          <w:lang w:val="es-ES"/>
        </w:rPr>
        <w:t>Además, se basa en el reconocimiento de que su implementación se hará en colaboración con muchas organizaciones a nivel mundial, nacional y local a fin de aprovechar formas de generar impulso para lograrla.</w:t>
      </w:r>
      <w:r w:rsidRPr="00236FCA">
        <w:rPr>
          <w:color w:val="000000"/>
          <w:kern w:val="22"/>
          <w:lang w:val="fr-CA"/>
        </w:rPr>
        <w:t xml:space="preserve"> </w:t>
      </w:r>
      <w:r>
        <w:rPr>
          <w:color w:val="000000"/>
          <w:kern w:val="22"/>
          <w:lang w:val="es-ES"/>
        </w:rPr>
        <w:t>El marco se implementará con un enfoque basado en derechos y reconociendo el principio de equidad intergeneracional.</w:t>
      </w:r>
    </w:p>
    <w:p w:rsidR="00B06671" w:rsidRPr="00236FCA" w:rsidRDefault="00B06671" w:rsidP="00B06671">
      <w:pPr>
        <w:pStyle w:val="ListParagraph"/>
        <w:numPr>
          <w:ilvl w:val="0"/>
          <w:numId w:val="2"/>
        </w:numPr>
        <w:suppressLineNumbers/>
        <w:tabs>
          <w:tab w:val="clear" w:pos="360"/>
        </w:tabs>
        <w:suppressAutoHyphens/>
        <w:spacing w:before="120" w:after="120"/>
        <w:contextualSpacing w:val="0"/>
        <w:rPr>
          <w:color w:val="000000"/>
          <w:lang w:val="fr-CA"/>
        </w:rPr>
      </w:pPr>
      <w:r>
        <w:rPr>
          <w:color w:val="000000"/>
          <w:kern w:val="22"/>
          <w:lang w:val="es-ES"/>
        </w:rPr>
        <w:t>La teoría d</w:t>
      </w:r>
      <w:r w:rsidR="004F59E4">
        <w:rPr>
          <w:color w:val="000000"/>
          <w:kern w:val="22"/>
          <w:lang w:val="es-ES"/>
        </w:rPr>
        <w:t xml:space="preserve">el cambio complementa y apoya </w:t>
      </w:r>
      <w:r>
        <w:rPr>
          <w:color w:val="000000"/>
          <w:kern w:val="22"/>
          <w:lang w:val="es-ES"/>
        </w:rPr>
        <w:t>la Agenda 2030 para el Desarrollo Sostenible.</w:t>
      </w:r>
      <w:r w:rsidRPr="00236FCA">
        <w:rPr>
          <w:rStyle w:val="apple-converted-space"/>
          <w:color w:val="000000"/>
          <w:kern w:val="22"/>
          <w:lang w:val="fr-CA"/>
        </w:rPr>
        <w:t xml:space="preserve"> </w:t>
      </w:r>
      <w:r>
        <w:rPr>
          <w:kern w:val="22"/>
          <w:lang w:val="es-ES"/>
        </w:rPr>
        <w:t>También toma en cuenta las metas y estrategias a largo plazo de otros acuerdos ambienta</w:t>
      </w:r>
      <w:r>
        <w:rPr>
          <w:color w:val="000000"/>
          <w:kern w:val="22"/>
          <w:lang w:val="es-ES"/>
        </w:rPr>
        <w:t>les multilaterales, incluidos los convenios relacionados con la diversidad biológica y los convenios de Río, a fin de garantizar que todos los acuerdos logren beneficios para el planeta y para las personas de manera sinérgica.</w:t>
      </w:r>
    </w:p>
    <w:p w:rsidR="00B06671" w:rsidRPr="00236FCA" w:rsidRDefault="00B06671" w:rsidP="00B06671">
      <w:pPr>
        <w:pStyle w:val="ListParagraph"/>
        <w:suppressLineNumbers/>
        <w:suppressAutoHyphens/>
        <w:spacing w:before="120" w:after="120"/>
        <w:ind w:left="0"/>
        <w:contextualSpacing w:val="0"/>
        <w:rPr>
          <w:color w:val="000000"/>
          <w:kern w:val="22"/>
          <w:lang w:val="fr-CA"/>
        </w:rPr>
      </w:pPr>
    </w:p>
    <w:p w:rsidR="00B06671" w:rsidRDefault="00B06671" w:rsidP="00B06671">
      <w:pPr>
        <w:suppressLineNumbers/>
        <w:suppressAutoHyphens/>
        <w:spacing w:after="240"/>
        <w:rPr>
          <w:b/>
          <w:kern w:val="22"/>
        </w:rPr>
      </w:pPr>
      <w:r>
        <w:rPr>
          <w:b/>
          <w:kern w:val="22"/>
          <w:lang w:val="es-ES"/>
        </w:rPr>
        <w:t>Figura 1. Teoría del cambio del marco</w:t>
      </w:r>
    </w:p>
    <w:p w:rsidR="00B06671" w:rsidRDefault="00B06671" w:rsidP="00B06671">
      <w:pPr>
        <w:suppressLineNumbers/>
        <w:suppressAutoHyphens/>
        <w:spacing w:after="240"/>
        <w:rPr>
          <w:b/>
          <w:kern w:val="22"/>
        </w:rPr>
      </w:pPr>
      <w:r>
        <w:rPr>
          <w:b/>
          <w:noProof/>
          <w:kern w:val="22"/>
          <w:lang w:val="es-UY" w:eastAsia="es-UY"/>
        </w:rPr>
        <w:drawing>
          <wp:inline distT="0" distB="0" distL="0" distR="0">
            <wp:extent cx="5937250" cy="3554730"/>
            <wp:effectExtent l="19050" t="0" r="6350" b="0"/>
            <wp:docPr id="2" name="Picture 6" descr="A screenshot of a cell phon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screenshot of a cell phoneDescription automatically generated"/>
                    <pic:cNvPicPr>
                      <a:picLocks noChangeAspect="1" noChangeArrowheads="1"/>
                    </pic:cNvPicPr>
                  </pic:nvPicPr>
                  <pic:blipFill>
                    <a:blip r:embed="rId18" cstate="print"/>
                    <a:srcRect/>
                    <a:stretch>
                      <a:fillRect/>
                    </a:stretch>
                  </pic:blipFill>
                  <pic:spPr bwMode="auto">
                    <a:xfrm>
                      <a:off x="0" y="0"/>
                      <a:ext cx="5937250" cy="3554730"/>
                    </a:xfrm>
                    <a:prstGeom prst="rect">
                      <a:avLst/>
                    </a:prstGeom>
                    <a:noFill/>
                    <a:ln w="9525">
                      <a:noFill/>
                      <a:miter lim="800000"/>
                      <a:headEnd/>
                      <a:tailEnd/>
                    </a:ln>
                  </pic:spPr>
                </pic:pic>
              </a:graphicData>
            </a:graphic>
          </wp:inline>
        </w:drawing>
      </w:r>
    </w:p>
    <w:p w:rsidR="00B06671" w:rsidRDefault="00B06671" w:rsidP="00B06671">
      <w:pPr>
        <w:suppressLineNumbers/>
        <w:suppressAutoHyphens/>
        <w:spacing w:after="240"/>
        <w:rPr>
          <w:b/>
          <w:kern w:val="22"/>
        </w:rPr>
      </w:pPr>
    </w:p>
    <w:p w:rsidR="00B06671" w:rsidRDefault="00B06671" w:rsidP="00B06671">
      <w:pPr>
        <w:pStyle w:val="Heading1"/>
        <w:numPr>
          <w:ilvl w:val="0"/>
          <w:numId w:val="3"/>
        </w:numPr>
        <w:suppressLineNumbers/>
        <w:suppressAutoHyphens/>
        <w:spacing w:before="0" w:after="0"/>
      </w:pPr>
      <w:r>
        <w:rPr>
          <w:kern w:val="22"/>
          <w:lang w:val="es-ES"/>
        </w:rPr>
        <w:lastRenderedPageBreak/>
        <w:t>EL MARCO</w:t>
      </w:r>
    </w:p>
    <w:p w:rsidR="00B06671" w:rsidRDefault="00B06671" w:rsidP="00B06671">
      <w:pPr>
        <w:pStyle w:val="Heading2"/>
        <w:numPr>
          <w:ilvl w:val="0"/>
          <w:numId w:val="4"/>
        </w:numPr>
        <w:suppressLineNumbers/>
        <w:tabs>
          <w:tab w:val="clear" w:pos="720"/>
        </w:tabs>
        <w:suppressAutoHyphens/>
        <w:spacing w:before="360"/>
        <w:ind w:left="714" w:hanging="357"/>
        <w:rPr>
          <w:bCs w:val="0"/>
          <w:iCs w:val="0"/>
          <w:kern w:val="22"/>
        </w:rPr>
      </w:pPr>
      <w:r>
        <w:rPr>
          <w:bCs w:val="0"/>
          <w:iCs w:val="0"/>
          <w:kern w:val="22"/>
          <w:lang w:val="es-ES"/>
        </w:rPr>
        <w:t>Visión para 2050</w:t>
      </w:r>
    </w:p>
    <w:p w:rsidR="00B06671" w:rsidRPr="00236FCA" w:rsidRDefault="00B06671" w:rsidP="00B06671">
      <w:pPr>
        <w:pStyle w:val="Para1"/>
        <w:numPr>
          <w:ilvl w:val="0"/>
          <w:numId w:val="2"/>
        </w:numPr>
        <w:suppressLineNumbers/>
        <w:tabs>
          <w:tab w:val="clear" w:pos="360"/>
        </w:tabs>
        <w:suppressAutoHyphens/>
        <w:rPr>
          <w:szCs w:val="24"/>
          <w:lang w:val="fr-CA"/>
        </w:rPr>
      </w:pPr>
      <w:r>
        <w:rPr>
          <w:kern w:val="22"/>
          <w:szCs w:val="24"/>
          <w:lang w:val="es-ES"/>
        </w:rPr>
        <w:t>La visión del marco es la de un mundo en el que se vive en armonía con la naturaleza donde: “Para 2050, la diversidad biológica se valora, conserva, restaura y utiliza en forma racional, manteniendo los servicios de los ecosistemas, sosteniendo un planeta sano y brindando beneficios esenciales para todas las personas”.</w:t>
      </w:r>
    </w:p>
    <w:p w:rsidR="00B06671" w:rsidRPr="009678F3" w:rsidRDefault="00B06671" w:rsidP="00B06671">
      <w:pPr>
        <w:pStyle w:val="Heading2"/>
        <w:numPr>
          <w:ilvl w:val="0"/>
          <w:numId w:val="4"/>
        </w:numPr>
        <w:suppressLineNumbers/>
        <w:tabs>
          <w:tab w:val="clear" w:pos="720"/>
        </w:tabs>
        <w:suppressAutoHyphens/>
        <w:spacing w:before="240"/>
        <w:ind w:left="714" w:hanging="357"/>
        <w:rPr>
          <w:bCs w:val="0"/>
          <w:iCs w:val="0"/>
          <w:kern w:val="22"/>
        </w:rPr>
      </w:pPr>
      <w:r w:rsidRPr="009678F3">
        <w:rPr>
          <w:bCs w:val="0"/>
          <w:iCs w:val="0"/>
          <w:kern w:val="22"/>
          <w:lang w:val="es-ES"/>
        </w:rPr>
        <w:t>Objetivos para 2050</w:t>
      </w:r>
    </w:p>
    <w:p w:rsidR="00B06671" w:rsidRDefault="00B06671" w:rsidP="00B06671">
      <w:pPr>
        <w:pStyle w:val="Para1"/>
        <w:numPr>
          <w:ilvl w:val="0"/>
          <w:numId w:val="2"/>
        </w:numPr>
        <w:suppressLineNumbers/>
        <w:tabs>
          <w:tab w:val="clear" w:pos="360"/>
        </w:tabs>
        <w:suppressAutoHyphens/>
        <w:rPr>
          <w:szCs w:val="24"/>
        </w:rPr>
      </w:pPr>
      <w:r>
        <w:rPr>
          <w:kern w:val="22"/>
          <w:szCs w:val="24"/>
          <w:lang w:val="es-ES"/>
        </w:rPr>
        <w:t>El Marco tiene cuatro objetivos a largo plazo para 2050 relacionados con la Visión de la Diversidad Biológica para 2050</w:t>
      </w:r>
      <w:r w:rsidRPr="009678F3">
        <w:rPr>
          <w:rStyle w:val="FootnoteReference"/>
          <w:kern w:val="22"/>
          <w:sz w:val="22"/>
          <w:szCs w:val="22"/>
          <w:u w:val="none"/>
          <w:vertAlign w:val="superscript"/>
          <w:lang w:val="es-ES"/>
        </w:rPr>
        <w:footnoteReference w:id="6"/>
      </w:r>
      <w:r>
        <w:rPr>
          <w:kern w:val="22"/>
          <w:szCs w:val="24"/>
          <w:lang w:val="es-ES"/>
        </w:rPr>
        <w:t>.</w:t>
      </w:r>
      <w:r w:rsidRPr="00236FCA">
        <w:rPr>
          <w:kern w:val="22"/>
          <w:szCs w:val="24"/>
          <w:lang w:val="fr-CA"/>
        </w:rPr>
        <w:t xml:space="preserve"> </w:t>
      </w:r>
      <w:r w:rsidR="005E5458">
        <w:rPr>
          <w:kern w:val="22"/>
          <w:szCs w:val="24"/>
          <w:lang w:val="es-ES"/>
        </w:rPr>
        <w:t>Es</w:t>
      </w:r>
      <w:r>
        <w:rPr>
          <w:kern w:val="22"/>
          <w:szCs w:val="24"/>
          <w:lang w:val="es-ES"/>
        </w:rPr>
        <w:t>os cuatro objetivos son:</w:t>
      </w:r>
    </w:p>
    <w:p w:rsidR="00B06671" w:rsidRPr="00236FCA" w:rsidRDefault="00B06671" w:rsidP="009678F3">
      <w:pPr>
        <w:pStyle w:val="Para1"/>
        <w:numPr>
          <w:ilvl w:val="1"/>
          <w:numId w:val="41"/>
        </w:numPr>
        <w:suppressLineNumbers/>
        <w:suppressAutoHyphens/>
        <w:rPr>
          <w:kern w:val="22"/>
          <w:szCs w:val="24"/>
          <w:lang w:val="fr-CA"/>
        </w:rPr>
      </w:pPr>
      <w:r>
        <w:rPr>
          <w:szCs w:val="24"/>
          <w:lang w:val="es-ES"/>
        </w:rPr>
        <w:t xml:space="preserve">Un aumento de por lo menos </w:t>
      </w:r>
      <w:r w:rsidR="009678F3">
        <w:rPr>
          <w:szCs w:val="24"/>
          <w:lang w:val="es-ES"/>
        </w:rPr>
        <w:t>un</w:t>
      </w:r>
      <w:r w:rsidR="005E5458">
        <w:rPr>
          <w:szCs w:val="24"/>
          <w:lang w:val="es-ES"/>
        </w:rPr>
        <w:t xml:space="preserve"> </w:t>
      </w:r>
      <w:r>
        <w:rPr>
          <w:szCs w:val="24"/>
          <w:lang w:val="es-ES"/>
        </w:rPr>
        <w:t>[</w:t>
      </w:r>
      <w:r w:rsidR="005E5458">
        <w:rPr>
          <w:szCs w:val="24"/>
          <w:lang w:val="es-ES"/>
        </w:rPr>
        <w:t>X %]</w:t>
      </w:r>
      <w:r>
        <w:rPr>
          <w:szCs w:val="24"/>
          <w:lang w:val="es-ES"/>
        </w:rPr>
        <w:t xml:space="preserve"> </w:t>
      </w:r>
      <w:r w:rsidR="005E5458">
        <w:rPr>
          <w:szCs w:val="24"/>
          <w:lang w:val="es-ES"/>
        </w:rPr>
        <w:t xml:space="preserve">de la superficie, conectividad e integridad de los ecosistemas naturales, </w:t>
      </w:r>
      <w:r>
        <w:rPr>
          <w:szCs w:val="24"/>
          <w:lang w:val="es-ES"/>
        </w:rPr>
        <w:t>apoyando a poblaciones saludables y resilientes de todas las</w:t>
      </w:r>
      <w:r>
        <w:rPr>
          <w:rStyle w:val="msodel0"/>
          <w:szCs w:val="24"/>
          <w:lang w:val="es-ES"/>
        </w:rPr>
        <w:t xml:space="preserve"> e</w:t>
      </w:r>
      <w:r>
        <w:rPr>
          <w:szCs w:val="24"/>
          <w:lang w:val="es-ES"/>
        </w:rPr>
        <w:t xml:space="preserve">species a la vez que se reduce en </w:t>
      </w:r>
      <w:r w:rsidR="009678F3">
        <w:rPr>
          <w:rStyle w:val="msoins0"/>
          <w:szCs w:val="24"/>
          <w:lang w:val="es-ES"/>
        </w:rPr>
        <w:t>un</w:t>
      </w:r>
      <w:r w:rsidR="009678F3">
        <w:rPr>
          <w:szCs w:val="24"/>
          <w:lang w:val="es-ES"/>
        </w:rPr>
        <w:t xml:space="preserve"> </w:t>
      </w:r>
      <w:r>
        <w:rPr>
          <w:szCs w:val="24"/>
          <w:lang w:val="es-ES"/>
        </w:rPr>
        <w:t>[X %] el número de especies que están amenazadas y se mantiene la diversidad genética;</w:t>
      </w:r>
    </w:p>
    <w:p w:rsidR="00B06671" w:rsidRPr="00236FCA" w:rsidRDefault="00B06671" w:rsidP="009678F3">
      <w:pPr>
        <w:pStyle w:val="Para1"/>
        <w:numPr>
          <w:ilvl w:val="1"/>
          <w:numId w:val="41"/>
        </w:numPr>
        <w:suppressLineNumbers/>
        <w:suppressAutoHyphens/>
        <w:rPr>
          <w:kern w:val="22"/>
          <w:szCs w:val="24"/>
          <w:lang w:val="fr-CA"/>
        </w:rPr>
      </w:pPr>
      <w:r>
        <w:rPr>
          <w:szCs w:val="24"/>
          <w:lang w:val="es-ES"/>
        </w:rPr>
        <w:t>Las contribuciones de la naturaleza a las personas se han valorado, mantenido o mejorado mediante la conservación y la utilización sostenible, apoyando a la agenda de desarrollo mundial para beneficio de todas las personas;</w:t>
      </w:r>
    </w:p>
    <w:p w:rsidR="00B06671" w:rsidRPr="00236FCA" w:rsidRDefault="00B06671" w:rsidP="009678F3">
      <w:pPr>
        <w:pStyle w:val="Para1"/>
        <w:numPr>
          <w:ilvl w:val="1"/>
          <w:numId w:val="41"/>
        </w:numPr>
        <w:suppressLineNumbers/>
        <w:suppressAutoHyphens/>
        <w:rPr>
          <w:kern w:val="22"/>
          <w:szCs w:val="24"/>
          <w:lang w:val="fr-CA"/>
        </w:rPr>
      </w:pPr>
      <w:r>
        <w:rPr>
          <w:szCs w:val="24"/>
          <w:lang w:val="es-ES"/>
        </w:rPr>
        <w:t>Los beneficios derivados de la utilización de los recursos genéticos se comparten de manera justa y equitativa;</w:t>
      </w:r>
    </w:p>
    <w:p w:rsidR="00B06671" w:rsidRPr="00236FCA" w:rsidRDefault="00B06671" w:rsidP="009678F3">
      <w:pPr>
        <w:pStyle w:val="Para1"/>
        <w:numPr>
          <w:ilvl w:val="1"/>
          <w:numId w:val="41"/>
        </w:numPr>
        <w:suppressLineNumbers/>
        <w:suppressAutoHyphens/>
        <w:rPr>
          <w:kern w:val="22"/>
          <w:szCs w:val="24"/>
          <w:lang w:val="fr-CA"/>
        </w:rPr>
      </w:pPr>
      <w:r>
        <w:rPr>
          <w:szCs w:val="24"/>
          <w:lang w:val="es-ES"/>
        </w:rPr>
        <w:t>Se dispone de medios de implementación para lograr todos los objetivos y metas del marco.</w:t>
      </w:r>
    </w:p>
    <w:p w:rsidR="00B06671" w:rsidRPr="009678F3" w:rsidRDefault="00B06671" w:rsidP="00B06671">
      <w:pPr>
        <w:pStyle w:val="Heading2"/>
        <w:numPr>
          <w:ilvl w:val="0"/>
          <w:numId w:val="4"/>
        </w:numPr>
        <w:suppressLineNumbers/>
        <w:tabs>
          <w:tab w:val="clear" w:pos="720"/>
        </w:tabs>
        <w:suppressAutoHyphens/>
        <w:ind w:left="714" w:hanging="357"/>
        <w:rPr>
          <w:bCs w:val="0"/>
          <w:iCs w:val="0"/>
          <w:kern w:val="22"/>
        </w:rPr>
      </w:pPr>
      <w:r w:rsidRPr="009678F3">
        <w:rPr>
          <w:bCs w:val="0"/>
          <w:iCs w:val="0"/>
          <w:kern w:val="22"/>
          <w:lang w:val="es-ES"/>
        </w:rPr>
        <w:t>Misión para 2030</w:t>
      </w:r>
    </w:p>
    <w:p w:rsidR="00B06671" w:rsidRPr="00236FCA" w:rsidRDefault="00B06671" w:rsidP="00B06671">
      <w:pPr>
        <w:pStyle w:val="Para1"/>
        <w:numPr>
          <w:ilvl w:val="0"/>
          <w:numId w:val="2"/>
        </w:numPr>
        <w:suppressLineNumbers/>
        <w:tabs>
          <w:tab w:val="clear" w:pos="360"/>
        </w:tabs>
        <w:suppressAutoHyphens/>
        <w:rPr>
          <w:kern w:val="22"/>
          <w:szCs w:val="24"/>
          <w:lang w:val="fr-CA"/>
        </w:rPr>
      </w:pPr>
      <w:r>
        <w:rPr>
          <w:kern w:val="22"/>
          <w:szCs w:val="24"/>
          <w:lang w:val="es-ES"/>
        </w:rPr>
        <w:t>La Misión para 2030 de este marco es:</w:t>
      </w:r>
    </w:p>
    <w:p w:rsidR="00B06671" w:rsidRPr="00236FCA" w:rsidRDefault="00B06671" w:rsidP="00B06671">
      <w:pPr>
        <w:pStyle w:val="Para1"/>
        <w:suppressLineNumbers/>
        <w:suppressAutoHyphens/>
        <w:ind w:left="720"/>
        <w:rPr>
          <w:kern w:val="22"/>
          <w:szCs w:val="24"/>
          <w:lang w:val="fr-CA"/>
        </w:rPr>
      </w:pPr>
      <w:r>
        <w:rPr>
          <w:szCs w:val="24"/>
          <w:lang w:val="es-ES"/>
        </w:rPr>
        <w:t>Adoptar medidas urgentes en toda la sociedad para encauzar a la diversidad biológica en el camino hacia la recuperación para beneficio del planeta y de las personas</w:t>
      </w:r>
      <w:r w:rsidRPr="009678F3">
        <w:rPr>
          <w:rStyle w:val="FootnoteReference"/>
          <w:kern w:val="22"/>
          <w:sz w:val="22"/>
          <w:szCs w:val="22"/>
          <w:u w:val="none"/>
          <w:vertAlign w:val="superscript"/>
          <w:lang w:val="es-ES"/>
        </w:rPr>
        <w:footnoteReference w:id="7"/>
      </w:r>
      <w:r>
        <w:rPr>
          <w:kern w:val="22"/>
          <w:szCs w:val="24"/>
          <w:lang w:val="es-ES"/>
        </w:rPr>
        <w:t>.</w:t>
      </w:r>
    </w:p>
    <w:p w:rsidR="00B06671" w:rsidRDefault="00B06671" w:rsidP="00B06671">
      <w:pPr>
        <w:pStyle w:val="Heading2"/>
        <w:numPr>
          <w:ilvl w:val="0"/>
          <w:numId w:val="4"/>
        </w:numPr>
        <w:suppressLineNumbers/>
        <w:tabs>
          <w:tab w:val="clear" w:pos="720"/>
        </w:tabs>
        <w:suppressAutoHyphens/>
        <w:ind w:left="714" w:hanging="357"/>
        <w:rPr>
          <w:bCs w:val="0"/>
          <w:iCs w:val="0"/>
          <w:kern w:val="22"/>
        </w:rPr>
      </w:pPr>
      <w:r>
        <w:rPr>
          <w:bCs w:val="0"/>
          <w:iCs w:val="0"/>
          <w:kern w:val="22"/>
          <w:lang w:val="es-ES"/>
        </w:rPr>
        <w:t>Hitos para 2030</w:t>
      </w:r>
    </w:p>
    <w:p w:rsidR="00B06671" w:rsidRPr="00236FCA" w:rsidRDefault="00B06671" w:rsidP="00B06671">
      <w:pPr>
        <w:pStyle w:val="Para1"/>
        <w:suppressLineNumbers/>
        <w:suppressAutoHyphens/>
        <w:spacing w:before="0" w:after="0"/>
        <w:rPr>
          <w:szCs w:val="24"/>
          <w:lang w:val="fr-CA"/>
        </w:rPr>
      </w:pPr>
      <w:r>
        <w:rPr>
          <w:kern w:val="22"/>
          <w:szCs w:val="24"/>
          <w:lang w:val="es-ES"/>
        </w:rPr>
        <w:t>El marco tiene ocho hitos para evaluar en 2030 los progresos logrados hacia los objetivos para 2050:</w:t>
      </w:r>
      <w:r w:rsidRPr="00236FCA">
        <w:rPr>
          <w:kern w:val="22"/>
          <w:szCs w:val="24"/>
          <w:lang w:val="fr-CA"/>
        </w:rPr>
        <w:t xml:space="preserve"> </w:t>
      </w:r>
    </w:p>
    <w:p w:rsidR="00B06671" w:rsidRPr="00236FCA" w:rsidRDefault="00B06671" w:rsidP="00B06671">
      <w:pPr>
        <w:pStyle w:val="Para1"/>
        <w:suppressLineNumbers/>
        <w:suppressAutoHyphens/>
        <w:rPr>
          <w:b/>
          <w:kern w:val="22"/>
          <w:szCs w:val="24"/>
          <w:lang w:val="fr-CA"/>
        </w:rPr>
      </w:pPr>
      <w:r>
        <w:rPr>
          <w:b/>
          <w:kern w:val="22"/>
          <w:szCs w:val="24"/>
          <w:lang w:val="es-ES"/>
        </w:rPr>
        <w:t>Objetivo A</w:t>
      </w:r>
    </w:p>
    <w:p w:rsidR="00B06671" w:rsidRPr="00236FCA" w:rsidRDefault="00B06671" w:rsidP="00B06671">
      <w:pPr>
        <w:pStyle w:val="Para1"/>
        <w:suppressLineNumbers/>
        <w:suppressAutoHyphens/>
        <w:rPr>
          <w:kern w:val="22"/>
          <w:szCs w:val="24"/>
          <w:lang w:val="fr-CA"/>
        </w:rPr>
      </w:pPr>
      <w:r>
        <w:rPr>
          <w:kern w:val="22"/>
          <w:szCs w:val="24"/>
          <w:lang w:val="es-ES"/>
        </w:rPr>
        <w:t xml:space="preserve">A.1 La superficie, conectividad e integridad de los sistemas naturales aumentaron en por lo menos </w:t>
      </w:r>
      <w:r w:rsidR="009678F3">
        <w:rPr>
          <w:kern w:val="22"/>
          <w:szCs w:val="24"/>
          <w:lang w:val="es-ES"/>
        </w:rPr>
        <w:t xml:space="preserve">un </w:t>
      </w:r>
      <w:r>
        <w:rPr>
          <w:kern w:val="22"/>
          <w:szCs w:val="24"/>
          <w:lang w:val="es-ES"/>
        </w:rPr>
        <w:t>[5 %].</w:t>
      </w:r>
    </w:p>
    <w:p w:rsidR="00B06671" w:rsidRPr="00236FCA" w:rsidRDefault="00B06671" w:rsidP="00B06671">
      <w:pPr>
        <w:pStyle w:val="Para1"/>
        <w:suppressLineNumbers/>
        <w:suppressAutoHyphens/>
        <w:rPr>
          <w:kern w:val="22"/>
          <w:szCs w:val="24"/>
          <w:lang w:val="fr-CA"/>
        </w:rPr>
      </w:pPr>
      <w:r>
        <w:rPr>
          <w:kern w:val="22"/>
          <w:szCs w:val="24"/>
          <w:lang w:val="es-ES"/>
        </w:rPr>
        <w:lastRenderedPageBreak/>
        <w:t xml:space="preserve">A.2 El número de especies que están amenazadas se redujo en </w:t>
      </w:r>
      <w:r w:rsidR="009678F3">
        <w:rPr>
          <w:kern w:val="22"/>
          <w:szCs w:val="24"/>
          <w:lang w:val="es-ES"/>
        </w:rPr>
        <w:t>un</w:t>
      </w:r>
      <w:r w:rsidR="006551AC">
        <w:rPr>
          <w:kern w:val="22"/>
          <w:szCs w:val="24"/>
          <w:lang w:val="es-ES"/>
        </w:rPr>
        <w:t xml:space="preserve"> </w:t>
      </w:r>
      <w:r>
        <w:rPr>
          <w:kern w:val="22"/>
          <w:szCs w:val="24"/>
          <w:lang w:val="es-ES"/>
        </w:rPr>
        <w:t xml:space="preserve">[X %] y la abundancia de las especies aumentó en promedio en </w:t>
      </w:r>
      <w:r w:rsidR="009678F3">
        <w:rPr>
          <w:kern w:val="22"/>
          <w:szCs w:val="24"/>
          <w:lang w:val="es-ES"/>
        </w:rPr>
        <w:t xml:space="preserve">un </w:t>
      </w:r>
      <w:r>
        <w:rPr>
          <w:kern w:val="22"/>
          <w:szCs w:val="24"/>
          <w:lang w:val="es-ES"/>
        </w:rPr>
        <w:t>[X %].</w:t>
      </w:r>
    </w:p>
    <w:p w:rsidR="00B06671" w:rsidRPr="00236FCA" w:rsidRDefault="00B06671" w:rsidP="00B06671">
      <w:pPr>
        <w:pStyle w:val="Para1"/>
        <w:suppressLineNumbers/>
        <w:suppressAutoHyphens/>
        <w:rPr>
          <w:b/>
          <w:kern w:val="22"/>
          <w:szCs w:val="24"/>
          <w:lang w:val="fr-CA"/>
        </w:rPr>
      </w:pPr>
      <w:r>
        <w:rPr>
          <w:b/>
          <w:kern w:val="22"/>
          <w:szCs w:val="24"/>
          <w:lang w:val="es-ES"/>
        </w:rPr>
        <w:t>Objetivo B</w:t>
      </w:r>
    </w:p>
    <w:p w:rsidR="00B06671" w:rsidRPr="00236FCA" w:rsidRDefault="00B06671" w:rsidP="00B06671">
      <w:pPr>
        <w:pStyle w:val="Para1"/>
        <w:suppressLineNumbers/>
        <w:suppressAutoHyphens/>
        <w:rPr>
          <w:kern w:val="22"/>
          <w:szCs w:val="24"/>
          <w:lang w:val="fr-CA"/>
        </w:rPr>
      </w:pPr>
      <w:r>
        <w:rPr>
          <w:kern w:val="22"/>
          <w:szCs w:val="24"/>
          <w:lang w:val="es-ES"/>
        </w:rPr>
        <w:t>B.1 La naturaleza contribuye a dietas sostenibles y seguridad alimentaria, acceso a agua potable segura y resiliencia ante desastres naturales para por lo menos [X %] millón de personas.</w:t>
      </w:r>
    </w:p>
    <w:p w:rsidR="00B06671" w:rsidRPr="00236FCA" w:rsidRDefault="00B06671" w:rsidP="00B06671">
      <w:pPr>
        <w:pStyle w:val="Para1"/>
        <w:suppressLineNumbers/>
        <w:suppressAutoHyphens/>
        <w:rPr>
          <w:kern w:val="22"/>
          <w:szCs w:val="24"/>
          <w:lang w:val="fr-CA"/>
        </w:rPr>
      </w:pPr>
      <w:r>
        <w:rPr>
          <w:kern w:val="22"/>
          <w:szCs w:val="24"/>
          <w:lang w:val="es-ES"/>
        </w:rPr>
        <w:t>B.2 La naturaleza se valora a través de inversiones ecológicas, valoración de los servicios de los ecosistemas en las cuentas nacionales y declaraciones financieras de los sectores público y privado.</w:t>
      </w:r>
    </w:p>
    <w:p w:rsidR="00B06671" w:rsidRPr="00236FCA" w:rsidRDefault="00B06671" w:rsidP="00B06671">
      <w:pPr>
        <w:pStyle w:val="Para1"/>
        <w:suppressLineNumbers/>
        <w:suppressAutoHyphens/>
        <w:rPr>
          <w:b/>
          <w:kern w:val="22"/>
          <w:szCs w:val="24"/>
          <w:lang w:val="fr-CA"/>
        </w:rPr>
      </w:pPr>
      <w:r>
        <w:rPr>
          <w:b/>
          <w:kern w:val="22"/>
          <w:szCs w:val="24"/>
          <w:lang w:val="es-ES"/>
        </w:rPr>
        <w:t>Objetivo C</w:t>
      </w:r>
    </w:p>
    <w:p w:rsidR="00B06671" w:rsidRPr="00236FCA" w:rsidRDefault="00B06671" w:rsidP="00B06671">
      <w:pPr>
        <w:pStyle w:val="Para1"/>
        <w:suppressLineNumbers/>
        <w:suppressAutoHyphens/>
        <w:rPr>
          <w:kern w:val="22"/>
          <w:szCs w:val="24"/>
          <w:lang w:val="fr-CA"/>
        </w:rPr>
      </w:pPr>
      <w:r>
        <w:rPr>
          <w:kern w:val="22"/>
          <w:szCs w:val="24"/>
          <w:lang w:val="es-ES"/>
        </w:rPr>
        <w:t>C.1 Se han establecido mecanismos de acceso y participación en los beneficios en todos los países.</w:t>
      </w:r>
    </w:p>
    <w:p w:rsidR="00B06671" w:rsidRPr="00236FCA" w:rsidRDefault="00B06671" w:rsidP="00B06671">
      <w:pPr>
        <w:pStyle w:val="Para1"/>
        <w:suppressLineNumbers/>
        <w:suppressAutoHyphens/>
        <w:rPr>
          <w:kern w:val="22"/>
          <w:szCs w:val="24"/>
          <w:lang w:val="fr-CA"/>
        </w:rPr>
      </w:pPr>
      <w:r>
        <w:rPr>
          <w:kern w:val="22"/>
          <w:szCs w:val="24"/>
          <w:lang w:val="es-ES"/>
        </w:rPr>
        <w:t xml:space="preserve">C.2 Aumentaron en </w:t>
      </w:r>
      <w:r w:rsidR="009678F3">
        <w:rPr>
          <w:kern w:val="22"/>
          <w:szCs w:val="24"/>
          <w:lang w:val="es-ES"/>
        </w:rPr>
        <w:t xml:space="preserve">un </w:t>
      </w:r>
      <w:r>
        <w:rPr>
          <w:kern w:val="22"/>
          <w:szCs w:val="24"/>
          <w:lang w:val="es-ES"/>
        </w:rPr>
        <w:t>[X %] los beneficios compartidos.</w:t>
      </w:r>
    </w:p>
    <w:p w:rsidR="00B06671" w:rsidRPr="00236FCA" w:rsidRDefault="00B06671" w:rsidP="00B06671">
      <w:pPr>
        <w:pStyle w:val="Para1"/>
        <w:suppressLineNumbers/>
        <w:suppressAutoHyphens/>
        <w:rPr>
          <w:b/>
          <w:kern w:val="22"/>
          <w:szCs w:val="24"/>
          <w:lang w:val="fr-CA"/>
        </w:rPr>
      </w:pPr>
      <w:r>
        <w:rPr>
          <w:b/>
          <w:kern w:val="22"/>
          <w:szCs w:val="24"/>
          <w:lang w:val="es-ES"/>
        </w:rPr>
        <w:t>Objetivo D</w:t>
      </w:r>
    </w:p>
    <w:p w:rsidR="00B06671" w:rsidRPr="00236FCA" w:rsidRDefault="00B06671" w:rsidP="00B06671">
      <w:pPr>
        <w:pStyle w:val="Para1"/>
        <w:suppressLineNumbers/>
        <w:suppressAutoHyphens/>
        <w:rPr>
          <w:kern w:val="22"/>
          <w:szCs w:val="24"/>
          <w:lang w:val="fr-CA"/>
        </w:rPr>
      </w:pPr>
      <w:r>
        <w:rPr>
          <w:kern w:val="22"/>
          <w:szCs w:val="24"/>
          <w:lang w:val="es-ES"/>
        </w:rPr>
        <w:t>D.1 Para 2022, los medios para la implementación del marco para el período 2020 a 2030 están definidos y comprometidos.</w:t>
      </w:r>
    </w:p>
    <w:p w:rsidR="00B06671" w:rsidRPr="00236FCA" w:rsidRDefault="00B06671" w:rsidP="00B06671">
      <w:pPr>
        <w:pStyle w:val="Para1"/>
        <w:suppressLineNumbers/>
        <w:suppressAutoHyphens/>
        <w:rPr>
          <w:kern w:val="22"/>
          <w:szCs w:val="24"/>
          <w:lang w:val="fr-CA"/>
        </w:rPr>
      </w:pPr>
      <w:r>
        <w:rPr>
          <w:kern w:val="22"/>
          <w:szCs w:val="24"/>
          <w:lang w:val="es-ES"/>
        </w:rPr>
        <w:t>D.1 Para 2030, los medios para la implementación del marco para el período 2030 a 2040 están definidos y comprometidos.</w:t>
      </w:r>
    </w:p>
    <w:p w:rsidR="00B06671" w:rsidRDefault="00B06671" w:rsidP="00B06671">
      <w:pPr>
        <w:pStyle w:val="Heading2"/>
        <w:numPr>
          <w:ilvl w:val="0"/>
          <w:numId w:val="4"/>
        </w:numPr>
        <w:suppressLineNumbers/>
        <w:tabs>
          <w:tab w:val="clear" w:pos="720"/>
        </w:tabs>
        <w:suppressAutoHyphens/>
        <w:ind w:left="714" w:hanging="357"/>
        <w:rPr>
          <w:bCs w:val="0"/>
          <w:iCs w:val="0"/>
          <w:kern w:val="22"/>
        </w:rPr>
      </w:pPr>
      <w:r>
        <w:rPr>
          <w:bCs w:val="0"/>
          <w:iCs w:val="0"/>
          <w:kern w:val="22"/>
          <w:lang w:val="es-ES"/>
        </w:rPr>
        <w:t>Metas de acción para 2030</w:t>
      </w:r>
    </w:p>
    <w:p w:rsidR="00B06671" w:rsidRPr="00236FCA" w:rsidRDefault="00B06671" w:rsidP="00B06671">
      <w:pPr>
        <w:pStyle w:val="Para1"/>
        <w:numPr>
          <w:ilvl w:val="0"/>
          <w:numId w:val="2"/>
        </w:numPr>
        <w:suppressLineNumbers/>
        <w:tabs>
          <w:tab w:val="clear" w:pos="360"/>
        </w:tabs>
        <w:suppressAutoHyphens/>
        <w:rPr>
          <w:rFonts w:ascii="Malgun Gothic" w:eastAsia="Malgun Gothic"/>
          <w:szCs w:val="24"/>
          <w:lang w:val="fr-CA"/>
        </w:rPr>
      </w:pPr>
      <w:r>
        <w:rPr>
          <w:kern w:val="22"/>
          <w:szCs w:val="24"/>
          <w:lang w:val="es-ES"/>
        </w:rPr>
        <w:t xml:space="preserve">El marco tiene 20 metas para 2030 orientadas a la acción, que, si se logran, contribuirán a alcanzar los </w:t>
      </w:r>
      <w:r w:rsidR="005E5458">
        <w:rPr>
          <w:kern w:val="22"/>
          <w:szCs w:val="24"/>
          <w:lang w:val="es-ES"/>
        </w:rPr>
        <w:t>h</w:t>
      </w:r>
      <w:r>
        <w:rPr>
          <w:kern w:val="22"/>
          <w:szCs w:val="24"/>
          <w:lang w:val="es-ES"/>
        </w:rPr>
        <w:t>itos para 2030 y los objetivos para 2050 orientados a los resultados.</w:t>
      </w:r>
      <w:r>
        <w:rPr>
          <w:color w:val="000000"/>
          <w:kern w:val="22"/>
          <w:szCs w:val="24"/>
          <w:lang w:val="es-ES"/>
        </w:rPr>
        <w:t xml:space="preserve"> </w:t>
      </w:r>
      <w:r>
        <w:rPr>
          <w:kern w:val="22"/>
          <w:szCs w:val="24"/>
          <w:lang w:val="es-ES"/>
        </w:rPr>
        <w:t>Las medidas tendientes a alcanzar estas metas deberían implementarse en forma coherente y en armonía con el Convenio sobre la Diversidad Biológica y sus Protocolos, así como con otras obligaciones internacionales pertinentes, tomando en cuenta las condiciones socioeconómicas nacionales</w:t>
      </w:r>
      <w:r w:rsidRPr="009678F3">
        <w:rPr>
          <w:rStyle w:val="FootnoteReference"/>
          <w:kern w:val="22"/>
          <w:sz w:val="22"/>
          <w:szCs w:val="22"/>
          <w:u w:val="none"/>
          <w:vertAlign w:val="superscript"/>
          <w:lang w:val="es-ES"/>
        </w:rPr>
        <w:footnoteReference w:id="8"/>
      </w:r>
      <w:r>
        <w:rPr>
          <w:kern w:val="22"/>
          <w:szCs w:val="24"/>
          <w:lang w:val="es-ES"/>
        </w:rPr>
        <w:t>.</w:t>
      </w:r>
    </w:p>
    <w:p w:rsidR="00B06671" w:rsidRDefault="00B06671" w:rsidP="009678F3">
      <w:pPr>
        <w:pStyle w:val="Para1"/>
        <w:numPr>
          <w:ilvl w:val="1"/>
          <w:numId w:val="42"/>
        </w:numPr>
        <w:suppressLineNumbers/>
        <w:tabs>
          <w:tab w:val="clear" w:pos="1440"/>
        </w:tabs>
        <w:suppressAutoHyphens/>
        <w:ind w:firstLine="0"/>
        <w:jc w:val="left"/>
        <w:rPr>
          <w:rFonts w:ascii="Malgun Gothic" w:eastAsia="Malgun Gothic"/>
          <w:b/>
          <w:kern w:val="22"/>
          <w:szCs w:val="24"/>
        </w:rPr>
      </w:pPr>
      <w:r>
        <w:rPr>
          <w:b/>
          <w:kern w:val="22"/>
          <w:szCs w:val="24"/>
          <w:lang w:val="es-ES"/>
        </w:rPr>
        <w:t>Reducir las amenazas a la diversidad biológica</w:t>
      </w:r>
    </w:p>
    <w:p w:rsidR="00B06671" w:rsidRPr="00236FCA" w:rsidRDefault="00B06671" w:rsidP="009678F3">
      <w:pPr>
        <w:spacing w:before="120" w:after="120"/>
        <w:rPr>
          <w:rStyle w:val="FootnoteReference"/>
          <w:kern w:val="22"/>
          <w:lang w:val="fr-CA"/>
        </w:rPr>
      </w:pPr>
      <w:r>
        <w:rPr>
          <w:kern w:val="22"/>
          <w:lang w:val="es-ES"/>
        </w:rPr>
        <w:t xml:space="preserve">Meta 1. Para 2030, </w:t>
      </w:r>
      <w:r w:rsidR="009678F3">
        <w:rPr>
          <w:kern w:val="22"/>
          <w:lang w:val="es-ES"/>
        </w:rPr>
        <w:t xml:space="preserve">el </w:t>
      </w:r>
      <w:r>
        <w:rPr>
          <w:kern w:val="22"/>
          <w:lang w:val="es-ES"/>
        </w:rPr>
        <w:t xml:space="preserve">[50 %] de la superficie terrestre y marina del mundo está sujeto a una planificación espacial que aborda los cambios en el uso de la tierra/los océanos, reteniendo la mayoría de las zonas intactas y de naturaleza virgen existentes, y permitiendo que se restaure </w:t>
      </w:r>
      <w:r w:rsidR="009678F3">
        <w:rPr>
          <w:kern w:val="22"/>
          <w:lang w:val="es-ES"/>
        </w:rPr>
        <w:t xml:space="preserve">un </w:t>
      </w:r>
      <w:r>
        <w:rPr>
          <w:kern w:val="22"/>
          <w:lang w:val="es-ES"/>
        </w:rPr>
        <w:t>[X %] de los ecosistemas de agua dulce, marinos y terrestres naturales degradados, así como la conectividad entre ellos.</w:t>
      </w:r>
    </w:p>
    <w:p w:rsidR="00B06671" w:rsidRPr="00236FCA" w:rsidRDefault="00B06671" w:rsidP="009678F3">
      <w:pPr>
        <w:spacing w:before="120" w:after="120"/>
        <w:rPr>
          <w:lang w:val="fr-CA"/>
        </w:rPr>
      </w:pPr>
      <w:r>
        <w:rPr>
          <w:kern w:val="22"/>
          <w:lang w:val="es-ES"/>
        </w:rPr>
        <w:t xml:space="preserve">Meta 2. </w:t>
      </w:r>
      <w:r>
        <w:rPr>
          <w:lang w:val="es-ES"/>
        </w:rPr>
        <w:t>Para 2030, por lo menos el 30</w:t>
      </w:r>
      <w:r w:rsidR="000A419C">
        <w:rPr>
          <w:lang w:val="es-ES"/>
        </w:rPr>
        <w:t> </w:t>
      </w:r>
      <w:r>
        <w:rPr>
          <w:lang w:val="es-ES"/>
        </w:rPr>
        <w:t xml:space="preserve">% del planeta se protege y conserva a través de un sistema bien conectado y eficaz de áreas protegidas y otras medidas de conservación eficaces basadas en áreas, </w:t>
      </w:r>
      <w:r w:rsidR="000A419C">
        <w:rPr>
          <w:lang w:val="es-ES"/>
        </w:rPr>
        <w:t>con especial énfasis</w:t>
      </w:r>
      <w:r>
        <w:rPr>
          <w:lang w:val="es-ES"/>
        </w:rPr>
        <w:t xml:space="preserve"> en áreas de particular importancia para la diversidad biológica.</w:t>
      </w:r>
    </w:p>
    <w:p w:rsidR="00B06671" w:rsidRPr="00236FCA" w:rsidRDefault="00B06671" w:rsidP="00B06671">
      <w:pPr>
        <w:pStyle w:val="Para3"/>
        <w:numPr>
          <w:ilvl w:val="0"/>
          <w:numId w:val="0"/>
        </w:numPr>
        <w:suppressLineNumbers/>
        <w:tabs>
          <w:tab w:val="clear" w:pos="1980"/>
        </w:tabs>
        <w:suppressAutoHyphens/>
        <w:spacing w:before="120" w:after="120"/>
        <w:rPr>
          <w:rFonts w:ascii="Malgun Gothic" w:eastAsia="Malgun Gothic"/>
          <w:kern w:val="22"/>
          <w:szCs w:val="24"/>
          <w:lang w:val="fr-CA"/>
        </w:rPr>
      </w:pPr>
      <w:r>
        <w:rPr>
          <w:kern w:val="22"/>
          <w:szCs w:val="24"/>
          <w:lang w:val="es-ES"/>
        </w:rPr>
        <w:t xml:space="preserve">Meta 3. </w:t>
      </w:r>
      <w:r>
        <w:rPr>
          <w:szCs w:val="24"/>
          <w:lang w:val="es-ES"/>
        </w:rPr>
        <w:t>Para 2030, se garantiza la adopción de medidas de gestión activa para permitir que se recuperen y conserven especies silvestres de fauna y flora y se reduzca</w:t>
      </w:r>
      <w:r w:rsidR="000A419C">
        <w:rPr>
          <w:szCs w:val="24"/>
          <w:lang w:val="es-ES"/>
        </w:rPr>
        <w:t>n</w:t>
      </w:r>
      <w:r>
        <w:rPr>
          <w:szCs w:val="24"/>
          <w:lang w:val="es-ES"/>
        </w:rPr>
        <w:t xml:space="preserve"> </w:t>
      </w:r>
      <w:r w:rsidR="000A419C">
        <w:rPr>
          <w:szCs w:val="24"/>
          <w:lang w:val="es-ES"/>
        </w:rPr>
        <w:t>en un</w:t>
      </w:r>
      <w:r w:rsidR="006551AC">
        <w:rPr>
          <w:szCs w:val="24"/>
          <w:lang w:val="es-ES"/>
        </w:rPr>
        <w:t xml:space="preserve"> </w:t>
      </w:r>
      <w:r w:rsidR="000A419C">
        <w:rPr>
          <w:szCs w:val="24"/>
          <w:lang w:val="es-ES"/>
        </w:rPr>
        <w:t xml:space="preserve">[X %] </w:t>
      </w:r>
      <w:r>
        <w:rPr>
          <w:szCs w:val="24"/>
          <w:lang w:val="es-ES"/>
        </w:rPr>
        <w:t>l</w:t>
      </w:r>
      <w:r w:rsidR="000A419C">
        <w:rPr>
          <w:szCs w:val="24"/>
          <w:lang w:val="es-ES"/>
        </w:rPr>
        <w:t>os</w:t>
      </w:r>
      <w:r>
        <w:rPr>
          <w:szCs w:val="24"/>
          <w:lang w:val="es-ES"/>
        </w:rPr>
        <w:t xml:space="preserve"> conflicto</w:t>
      </w:r>
      <w:r w:rsidR="000A419C">
        <w:rPr>
          <w:szCs w:val="24"/>
          <w:lang w:val="es-ES"/>
        </w:rPr>
        <w:t>s</w:t>
      </w:r>
      <w:r>
        <w:rPr>
          <w:szCs w:val="24"/>
          <w:lang w:val="es-ES"/>
        </w:rPr>
        <w:t xml:space="preserve"> entre los seres humanos y la fauna y flora silvestres.</w:t>
      </w:r>
    </w:p>
    <w:p w:rsidR="00B06671" w:rsidRPr="00236FCA" w:rsidRDefault="00B06671" w:rsidP="00B06671">
      <w:pPr>
        <w:pStyle w:val="Para3"/>
        <w:numPr>
          <w:ilvl w:val="0"/>
          <w:numId w:val="0"/>
        </w:numPr>
        <w:suppressLineNumbers/>
        <w:tabs>
          <w:tab w:val="clear" w:pos="1980"/>
        </w:tabs>
        <w:suppressAutoHyphens/>
        <w:spacing w:before="120" w:after="120"/>
        <w:rPr>
          <w:rFonts w:ascii="Malgun Gothic" w:eastAsia="Malgun Gothic"/>
          <w:kern w:val="22"/>
          <w:szCs w:val="24"/>
          <w:lang w:val="fr-CA"/>
        </w:rPr>
      </w:pPr>
      <w:r>
        <w:rPr>
          <w:kern w:val="22"/>
          <w:szCs w:val="24"/>
          <w:lang w:val="es-ES"/>
        </w:rPr>
        <w:t xml:space="preserve">Meta 4. </w:t>
      </w:r>
      <w:r>
        <w:rPr>
          <w:color w:val="000000"/>
          <w:szCs w:val="24"/>
          <w:lang w:val="es-ES"/>
        </w:rPr>
        <w:t>Para 2030, se garantiza que la recolección, el comercio y la utilización de especies silvestres de fauna y flora sean legales y se hagan a niveles sostenibles y seguros.</w:t>
      </w:r>
    </w:p>
    <w:p w:rsidR="00B06671" w:rsidRPr="00236FCA" w:rsidRDefault="00B06671" w:rsidP="00B06671">
      <w:pPr>
        <w:pStyle w:val="Para3"/>
        <w:numPr>
          <w:ilvl w:val="0"/>
          <w:numId w:val="0"/>
        </w:numPr>
        <w:suppressLineNumbers/>
        <w:tabs>
          <w:tab w:val="clear" w:pos="1980"/>
        </w:tabs>
        <w:suppressAutoHyphens/>
        <w:spacing w:before="120" w:after="120"/>
        <w:rPr>
          <w:kern w:val="22"/>
          <w:szCs w:val="24"/>
          <w:lang w:val="fr-CA"/>
        </w:rPr>
      </w:pPr>
      <w:r>
        <w:rPr>
          <w:szCs w:val="24"/>
          <w:lang w:val="es-ES"/>
        </w:rPr>
        <w:t xml:space="preserve">Meta 5. Para 2030, se gestionan, y donde sea posible controlan, las vías de introducción de especies exóticas invasoras, logrando una reducción del [50 %] en la tasa de nuevas introducciones, y se controlan o erradican las especies exóticas invasoras </w:t>
      </w:r>
      <w:r w:rsidR="000A419C">
        <w:rPr>
          <w:szCs w:val="24"/>
          <w:lang w:val="es-ES"/>
        </w:rPr>
        <w:t>a fin de</w:t>
      </w:r>
      <w:r>
        <w:rPr>
          <w:szCs w:val="24"/>
          <w:lang w:val="es-ES"/>
        </w:rPr>
        <w:t xml:space="preserve"> eliminar o reducir sus impactos, incluido en por lo menos el [50 %] de los sitios prioritarios;</w:t>
      </w:r>
    </w:p>
    <w:p w:rsidR="00B06671" w:rsidRPr="00236FCA" w:rsidRDefault="00B06671" w:rsidP="00B06671">
      <w:pPr>
        <w:pStyle w:val="Para3"/>
        <w:numPr>
          <w:ilvl w:val="0"/>
          <w:numId w:val="0"/>
        </w:numPr>
        <w:suppressLineNumbers/>
        <w:tabs>
          <w:tab w:val="clear" w:pos="1980"/>
        </w:tabs>
        <w:suppressAutoHyphens/>
        <w:spacing w:before="120" w:after="120"/>
        <w:rPr>
          <w:szCs w:val="24"/>
          <w:lang w:val="fr-CA"/>
        </w:rPr>
      </w:pPr>
      <w:r>
        <w:rPr>
          <w:szCs w:val="24"/>
          <w:lang w:val="es-ES"/>
        </w:rPr>
        <w:lastRenderedPageBreak/>
        <w:t xml:space="preserve">Meta 6. Para 2030, se reduce la contaminación de todas las fuentes, incluido </w:t>
      </w:r>
      <w:r w:rsidR="000A419C">
        <w:rPr>
          <w:szCs w:val="24"/>
          <w:lang w:val="es-ES"/>
        </w:rPr>
        <w:t>disminuyendo</w:t>
      </w:r>
      <w:r>
        <w:rPr>
          <w:szCs w:val="24"/>
          <w:lang w:val="es-ES"/>
        </w:rPr>
        <w:t xml:space="preserve"> el exceso de nutrientes </w:t>
      </w:r>
      <w:r w:rsidR="009678F3">
        <w:rPr>
          <w:szCs w:val="24"/>
          <w:lang w:val="es-ES"/>
        </w:rPr>
        <w:t xml:space="preserve">en </w:t>
      </w:r>
      <w:r>
        <w:rPr>
          <w:szCs w:val="24"/>
          <w:lang w:val="es-ES"/>
        </w:rPr>
        <w:t xml:space="preserve">[x %], biocidas </w:t>
      </w:r>
      <w:r w:rsidR="009678F3">
        <w:rPr>
          <w:szCs w:val="24"/>
          <w:lang w:val="es-ES"/>
        </w:rPr>
        <w:t xml:space="preserve">en </w:t>
      </w:r>
      <w:r>
        <w:rPr>
          <w:szCs w:val="24"/>
          <w:lang w:val="es-ES"/>
        </w:rPr>
        <w:t>[x %]</w:t>
      </w:r>
      <w:r w:rsidR="000A419C">
        <w:rPr>
          <w:szCs w:val="24"/>
          <w:lang w:val="es-ES"/>
        </w:rPr>
        <w:t xml:space="preserve"> y</w:t>
      </w:r>
      <w:r>
        <w:rPr>
          <w:szCs w:val="24"/>
          <w:lang w:val="es-ES"/>
        </w:rPr>
        <w:t xml:space="preserve"> desechos plásticos </w:t>
      </w:r>
      <w:r w:rsidR="009678F3">
        <w:rPr>
          <w:szCs w:val="24"/>
          <w:lang w:val="es-ES"/>
        </w:rPr>
        <w:t xml:space="preserve">en </w:t>
      </w:r>
      <w:r>
        <w:rPr>
          <w:szCs w:val="24"/>
          <w:lang w:val="es-ES"/>
        </w:rPr>
        <w:t>[x %], a niveles que no sean perjudiciales para la diversidad biológica y las funciones de los ecosistemas y la salud humana.</w:t>
      </w:r>
    </w:p>
    <w:p w:rsidR="00B06671" w:rsidRPr="00236FCA" w:rsidRDefault="00B06671" w:rsidP="00B06671">
      <w:pPr>
        <w:pStyle w:val="Para3"/>
        <w:numPr>
          <w:ilvl w:val="0"/>
          <w:numId w:val="0"/>
        </w:numPr>
        <w:suppressLineNumbers/>
        <w:tabs>
          <w:tab w:val="clear" w:pos="1980"/>
        </w:tabs>
        <w:suppressAutoHyphens/>
        <w:spacing w:before="120" w:after="120"/>
        <w:rPr>
          <w:kern w:val="22"/>
          <w:szCs w:val="24"/>
          <w:lang w:val="fr-CA"/>
        </w:rPr>
      </w:pPr>
      <w:r>
        <w:rPr>
          <w:szCs w:val="24"/>
          <w:lang w:val="es-ES"/>
        </w:rPr>
        <w:t xml:space="preserve">Meta 7. Para 2030, </w:t>
      </w:r>
      <w:r w:rsidR="000A419C">
        <w:rPr>
          <w:szCs w:val="24"/>
          <w:lang w:val="es-ES"/>
        </w:rPr>
        <w:t xml:space="preserve">han </w:t>
      </w:r>
      <w:r>
        <w:rPr>
          <w:szCs w:val="24"/>
          <w:lang w:val="es-ES"/>
        </w:rPr>
        <w:t>aumenta</w:t>
      </w:r>
      <w:r w:rsidR="000A419C">
        <w:rPr>
          <w:szCs w:val="24"/>
          <w:lang w:val="es-ES"/>
        </w:rPr>
        <w:t>do</w:t>
      </w:r>
      <w:r>
        <w:rPr>
          <w:szCs w:val="24"/>
          <w:lang w:val="es-ES"/>
        </w:rPr>
        <w:t xml:space="preserve"> las contribuciones a la adaptación al cambio climático y su mitigación y la reducción del riesgo de desastres </w:t>
      </w:r>
      <w:r w:rsidR="000A419C">
        <w:rPr>
          <w:szCs w:val="24"/>
          <w:lang w:val="es-ES"/>
        </w:rPr>
        <w:t>aportadas por</w:t>
      </w:r>
      <w:r>
        <w:rPr>
          <w:szCs w:val="24"/>
          <w:lang w:val="es-ES"/>
        </w:rPr>
        <w:t xml:space="preserve"> soluciones basadas en la naturaleza y enfoques basados en los ecosistemas, asegurando la resiliencia y minimizando los impactos negativos en la diversidad biológica.</w:t>
      </w:r>
    </w:p>
    <w:p w:rsidR="00B06671" w:rsidRPr="00236FCA" w:rsidRDefault="00B06671" w:rsidP="00042D08">
      <w:pPr>
        <w:pStyle w:val="Para1"/>
        <w:numPr>
          <w:ilvl w:val="1"/>
          <w:numId w:val="44"/>
        </w:numPr>
        <w:suppressLineNumbers/>
        <w:tabs>
          <w:tab w:val="clear" w:pos="1440"/>
        </w:tabs>
        <w:suppressAutoHyphens/>
        <w:ind w:left="709" w:hanging="709"/>
        <w:rPr>
          <w:rFonts w:ascii="Malgun Gothic" w:eastAsia="Malgun Gothic"/>
          <w:kern w:val="22"/>
          <w:szCs w:val="24"/>
          <w:lang w:val="fr-CA"/>
        </w:rPr>
      </w:pPr>
      <w:r>
        <w:rPr>
          <w:b/>
          <w:kern w:val="22"/>
          <w:szCs w:val="24"/>
          <w:lang w:val="es-ES"/>
        </w:rPr>
        <w:t>Satisfacer las necesidades de las personas mediante la utilización sostenible y la participación en los beneficios</w:t>
      </w:r>
    </w:p>
    <w:p w:rsidR="00B06671" w:rsidRPr="00236FCA" w:rsidRDefault="00B06671" w:rsidP="00B06671">
      <w:pPr>
        <w:pStyle w:val="Para3"/>
        <w:numPr>
          <w:ilvl w:val="0"/>
          <w:numId w:val="0"/>
        </w:numPr>
        <w:suppressLineNumbers/>
        <w:tabs>
          <w:tab w:val="clear" w:pos="1980"/>
        </w:tabs>
        <w:suppressAutoHyphens/>
        <w:spacing w:before="120" w:after="120"/>
        <w:rPr>
          <w:kern w:val="22"/>
          <w:szCs w:val="24"/>
          <w:lang w:val="fr-CA"/>
        </w:rPr>
      </w:pPr>
      <w:r>
        <w:rPr>
          <w:szCs w:val="24"/>
          <w:lang w:val="es-ES"/>
        </w:rPr>
        <w:t>Meta 8. Para 2030, se garantizan beneficios, incluidos nutrición, seguridad alimentaria, medios de vida, salud y bienestar, para las personas, especialmente para los más vulnerables a través de la gestión sostenible de las especies silvestres de fauna y flora.</w:t>
      </w:r>
    </w:p>
    <w:p w:rsidR="00B06671" w:rsidRPr="00236FCA" w:rsidRDefault="00B06671" w:rsidP="00B06671">
      <w:pPr>
        <w:pStyle w:val="Para3"/>
        <w:numPr>
          <w:ilvl w:val="0"/>
          <w:numId w:val="0"/>
        </w:numPr>
        <w:suppressLineNumbers/>
        <w:tabs>
          <w:tab w:val="clear" w:pos="1980"/>
        </w:tabs>
        <w:suppressAutoHyphens/>
        <w:spacing w:before="120" w:after="120"/>
        <w:rPr>
          <w:kern w:val="22"/>
          <w:szCs w:val="24"/>
          <w:lang w:val="fr-CA"/>
        </w:rPr>
      </w:pPr>
      <w:r>
        <w:rPr>
          <w:szCs w:val="24"/>
          <w:lang w:val="es-ES"/>
        </w:rPr>
        <w:t>Meta 9. Para 2030, se apoya la productividad, sostenibilidad y resiliencia de la diversidad biológica en los ecosistemas agrícolas y otros ecosistemas gestionados</w:t>
      </w:r>
      <w:r w:rsidR="000A419C">
        <w:rPr>
          <w:szCs w:val="24"/>
          <w:lang w:val="es-ES"/>
        </w:rPr>
        <w:t>,</w:t>
      </w:r>
      <w:r>
        <w:rPr>
          <w:szCs w:val="24"/>
          <w:lang w:val="es-ES"/>
        </w:rPr>
        <w:t xml:space="preserve"> a través de la conservación y la utilización sostenible de dichos ecosistemas, reduciendo en por lo menos un [50 %] las carencias de productividad.</w:t>
      </w:r>
    </w:p>
    <w:p w:rsidR="00B06671" w:rsidRPr="00236FCA" w:rsidRDefault="00B06671" w:rsidP="00B06671">
      <w:pPr>
        <w:pStyle w:val="Para3"/>
        <w:numPr>
          <w:ilvl w:val="0"/>
          <w:numId w:val="0"/>
        </w:numPr>
        <w:suppressLineNumbers/>
        <w:tabs>
          <w:tab w:val="clear" w:pos="1980"/>
        </w:tabs>
        <w:suppressAutoHyphens/>
        <w:spacing w:before="120" w:after="120"/>
        <w:rPr>
          <w:kern w:val="22"/>
          <w:szCs w:val="24"/>
          <w:lang w:val="fr-CA"/>
        </w:rPr>
      </w:pPr>
      <w:r>
        <w:rPr>
          <w:kern w:val="22"/>
          <w:szCs w:val="24"/>
          <w:lang w:val="es-ES"/>
        </w:rPr>
        <w:t xml:space="preserve">Meta 10. </w:t>
      </w:r>
      <w:r>
        <w:rPr>
          <w:szCs w:val="24"/>
          <w:lang w:val="es-ES"/>
        </w:rPr>
        <w:t>Para 2030, se garantiza que las soluciones basadas en la naturaleza y el enfoque por ecosistemas contribuyen a la regulación de la calidad del aire, los riesgos y los fenómenos extremos y la calidad y la cantidad del agua para por lo menos [XXX millones] de personas.</w:t>
      </w:r>
    </w:p>
    <w:p w:rsidR="00B06671" w:rsidRPr="00236FCA" w:rsidRDefault="00B06671" w:rsidP="00B06671">
      <w:pPr>
        <w:pStyle w:val="Para3"/>
        <w:numPr>
          <w:ilvl w:val="0"/>
          <w:numId w:val="0"/>
        </w:numPr>
        <w:suppressLineNumbers/>
        <w:tabs>
          <w:tab w:val="clear" w:pos="1980"/>
        </w:tabs>
        <w:suppressAutoHyphens/>
        <w:spacing w:before="120" w:after="120"/>
        <w:rPr>
          <w:kern w:val="22"/>
          <w:szCs w:val="24"/>
          <w:lang w:val="fr-CA"/>
        </w:rPr>
      </w:pPr>
      <w:r>
        <w:rPr>
          <w:szCs w:val="24"/>
          <w:lang w:val="es-ES"/>
        </w:rPr>
        <w:t xml:space="preserve">Meta 11. Para 2030, </w:t>
      </w:r>
      <w:r w:rsidR="00F43D81">
        <w:rPr>
          <w:szCs w:val="24"/>
          <w:lang w:val="es-ES"/>
        </w:rPr>
        <w:t xml:space="preserve">han </w:t>
      </w:r>
      <w:r>
        <w:rPr>
          <w:szCs w:val="24"/>
          <w:lang w:val="es-ES"/>
        </w:rPr>
        <w:t>aumenta</w:t>
      </w:r>
      <w:r w:rsidR="00F43D81">
        <w:rPr>
          <w:szCs w:val="24"/>
          <w:lang w:val="es-ES"/>
        </w:rPr>
        <w:t>d</w:t>
      </w:r>
      <w:r>
        <w:rPr>
          <w:szCs w:val="24"/>
          <w:lang w:val="es-ES"/>
        </w:rPr>
        <w:t>o los beneficios que brindan la diversidad biológica y los espacios verdes/azules para la salud y el bienestar humanos, incluida la proporción de personas con acceso a tales espacios en por lo menos</w:t>
      </w:r>
      <w:r w:rsidR="00F43D81">
        <w:rPr>
          <w:szCs w:val="24"/>
          <w:lang w:val="es-ES"/>
        </w:rPr>
        <w:t xml:space="preserve"> un</w:t>
      </w:r>
      <w:r>
        <w:rPr>
          <w:szCs w:val="24"/>
          <w:lang w:val="es-ES"/>
        </w:rPr>
        <w:t xml:space="preserve"> [100 %], en especial para las poblaciones urbanas.</w:t>
      </w:r>
    </w:p>
    <w:p w:rsidR="00B06671" w:rsidRPr="00236FCA" w:rsidRDefault="00B06671" w:rsidP="00B06671">
      <w:pPr>
        <w:pStyle w:val="Para3"/>
        <w:numPr>
          <w:ilvl w:val="0"/>
          <w:numId w:val="0"/>
        </w:numPr>
        <w:suppressLineNumbers/>
        <w:suppressAutoHyphens/>
        <w:spacing w:before="120" w:after="120"/>
        <w:rPr>
          <w:kern w:val="22"/>
          <w:szCs w:val="24"/>
          <w:lang w:val="fr-CA"/>
        </w:rPr>
      </w:pPr>
      <w:r>
        <w:rPr>
          <w:szCs w:val="24"/>
          <w:lang w:val="es-ES"/>
        </w:rPr>
        <w:t xml:space="preserve">Meta 12. Para 2030, </w:t>
      </w:r>
      <w:r w:rsidR="00F43D81">
        <w:rPr>
          <w:szCs w:val="24"/>
          <w:lang w:val="es-ES"/>
        </w:rPr>
        <w:t xml:space="preserve">han </w:t>
      </w:r>
      <w:r>
        <w:rPr>
          <w:szCs w:val="24"/>
          <w:lang w:val="es-ES"/>
        </w:rPr>
        <w:t>aumenta</w:t>
      </w:r>
      <w:r w:rsidR="00F43D81">
        <w:rPr>
          <w:szCs w:val="24"/>
          <w:lang w:val="es-ES"/>
        </w:rPr>
        <w:t>d</w:t>
      </w:r>
      <w:r>
        <w:rPr>
          <w:szCs w:val="24"/>
          <w:lang w:val="es-ES"/>
        </w:rPr>
        <w:t>o en [X] los beneficios compartidos con fines de conservación y utilización sostenible de la diversidad biológica, y para lograr ese aumento se asegura el acceso y la participación justa y equitativa en los beneficios derivados de la utilización de los recursos genéticos y los conocimientos tradicionales asociados.</w:t>
      </w:r>
    </w:p>
    <w:p w:rsidR="00B06671" w:rsidRPr="00236FCA" w:rsidRDefault="00B06671" w:rsidP="00B06671">
      <w:pPr>
        <w:pStyle w:val="Para1"/>
        <w:numPr>
          <w:ilvl w:val="1"/>
          <w:numId w:val="2"/>
        </w:numPr>
        <w:suppressLineNumbers/>
        <w:tabs>
          <w:tab w:val="clear" w:pos="1440"/>
          <w:tab w:val="num" w:pos="540"/>
        </w:tabs>
        <w:suppressAutoHyphens/>
        <w:ind w:left="540" w:hanging="540"/>
        <w:jc w:val="left"/>
        <w:rPr>
          <w:b/>
          <w:kern w:val="22"/>
          <w:szCs w:val="24"/>
          <w:lang w:val="fr-CA"/>
        </w:rPr>
      </w:pPr>
      <w:r>
        <w:rPr>
          <w:b/>
          <w:kern w:val="22"/>
          <w:szCs w:val="24"/>
          <w:lang w:val="es-ES"/>
        </w:rPr>
        <w:t>Herramientas y soluciones para la implementación y la integración</w:t>
      </w:r>
    </w:p>
    <w:p w:rsidR="00B06671" w:rsidRPr="00236FCA" w:rsidRDefault="00B06671" w:rsidP="00B06671">
      <w:pPr>
        <w:pStyle w:val="Para3"/>
        <w:numPr>
          <w:ilvl w:val="0"/>
          <w:numId w:val="0"/>
        </w:numPr>
        <w:suppressLineNumbers/>
        <w:tabs>
          <w:tab w:val="clear" w:pos="1980"/>
        </w:tabs>
        <w:suppressAutoHyphens/>
        <w:spacing w:before="120" w:after="120"/>
        <w:rPr>
          <w:kern w:val="22"/>
          <w:szCs w:val="24"/>
          <w:lang w:val="fr-CA"/>
        </w:rPr>
      </w:pPr>
      <w:r>
        <w:rPr>
          <w:szCs w:val="24"/>
          <w:lang w:val="es-ES"/>
        </w:rPr>
        <w:t>Meta 13. Para 2030, se han integrado valores de diversidad biológica en las políticas, las reglamentaciones, la planificación, los procesos de desarrollo, las estrategias de reducción de la pobreza y las cuentas en todos los niveles, garantizando que se integren valores de diversidad biológica en todos los sectores y que se incorporen en las evaluaciones de impacto ambiental.</w:t>
      </w:r>
      <w:r w:rsidRPr="00236FCA">
        <w:rPr>
          <w:szCs w:val="24"/>
          <w:lang w:val="fr-CA"/>
        </w:rPr>
        <w:t xml:space="preserve"> </w:t>
      </w:r>
    </w:p>
    <w:p w:rsidR="00B06671" w:rsidRPr="00236FCA" w:rsidRDefault="00B06671" w:rsidP="00B06671">
      <w:pPr>
        <w:pStyle w:val="Para3"/>
        <w:numPr>
          <w:ilvl w:val="0"/>
          <w:numId w:val="0"/>
        </w:numPr>
        <w:suppressLineNumbers/>
        <w:tabs>
          <w:tab w:val="clear" w:pos="1980"/>
        </w:tabs>
        <w:suppressAutoHyphens/>
        <w:spacing w:before="120" w:after="120"/>
        <w:rPr>
          <w:szCs w:val="24"/>
          <w:lang w:val="fr-CA"/>
        </w:rPr>
      </w:pPr>
      <w:r>
        <w:rPr>
          <w:szCs w:val="24"/>
          <w:lang w:val="es-ES"/>
        </w:rPr>
        <w:t>Meta 14. Para 2030, se redujeron en por lo menos un [50 %] los impactos negativos en la diversidad biológica, asegurando para ello que las prácticas de producción y las cadenas de suministro sean sostenibles.</w:t>
      </w:r>
    </w:p>
    <w:p w:rsidR="00B06671" w:rsidRPr="00236FCA" w:rsidRDefault="00B06671" w:rsidP="00B06671">
      <w:pPr>
        <w:pStyle w:val="Para3"/>
        <w:numPr>
          <w:ilvl w:val="0"/>
          <w:numId w:val="0"/>
        </w:numPr>
        <w:suppressLineNumbers/>
        <w:tabs>
          <w:tab w:val="clear" w:pos="1980"/>
        </w:tabs>
        <w:suppressAutoHyphens/>
        <w:spacing w:before="120" w:after="120"/>
        <w:rPr>
          <w:szCs w:val="24"/>
          <w:lang w:val="fr-CA"/>
        </w:rPr>
      </w:pPr>
      <w:r>
        <w:rPr>
          <w:szCs w:val="24"/>
          <w:lang w:val="es-ES"/>
        </w:rPr>
        <w:t>Meta 15. Para 2030, se han eliminado patrones de consumo no sostenible, asegurando que las personas en tod</w:t>
      </w:r>
      <w:r w:rsidR="00F43D81">
        <w:rPr>
          <w:szCs w:val="24"/>
          <w:lang w:val="es-ES"/>
        </w:rPr>
        <w:t>a</w:t>
      </w:r>
      <w:r>
        <w:rPr>
          <w:szCs w:val="24"/>
          <w:lang w:val="es-ES"/>
        </w:rPr>
        <w:t xml:space="preserve">s </w:t>
      </w:r>
      <w:r w:rsidR="00F43D81">
        <w:rPr>
          <w:szCs w:val="24"/>
          <w:lang w:val="es-ES"/>
        </w:rPr>
        <w:t>p</w:t>
      </w:r>
      <w:r>
        <w:rPr>
          <w:szCs w:val="24"/>
          <w:lang w:val="es-ES"/>
        </w:rPr>
        <w:t>a</w:t>
      </w:r>
      <w:r w:rsidR="00F43D81">
        <w:rPr>
          <w:szCs w:val="24"/>
          <w:lang w:val="es-ES"/>
        </w:rPr>
        <w:t>rte</w:t>
      </w:r>
      <w:r>
        <w:rPr>
          <w:szCs w:val="24"/>
          <w:lang w:val="es-ES"/>
        </w:rPr>
        <w:t>s entiendan y aprecien el valor de la diversidad biológica y por lo tanto hagan elecciones responsables acordes con la visión de la diversidad biológica para 2050, teniendo en cuenta las condiciones socioeconómicas y culturales individuales y nacionales.</w:t>
      </w:r>
    </w:p>
    <w:p w:rsidR="00B06671" w:rsidRPr="00236FCA" w:rsidRDefault="00B06671" w:rsidP="00B06671">
      <w:pPr>
        <w:pStyle w:val="Para3"/>
        <w:numPr>
          <w:ilvl w:val="0"/>
          <w:numId w:val="0"/>
        </w:numPr>
        <w:suppressLineNumbers/>
        <w:tabs>
          <w:tab w:val="clear" w:pos="1980"/>
        </w:tabs>
        <w:suppressAutoHyphens/>
        <w:spacing w:before="120" w:after="120"/>
        <w:rPr>
          <w:color w:val="000000"/>
          <w:szCs w:val="24"/>
          <w:lang w:val="fr-CA"/>
        </w:rPr>
      </w:pPr>
      <w:r>
        <w:rPr>
          <w:szCs w:val="24"/>
          <w:lang w:val="es-ES"/>
        </w:rPr>
        <w:t>Meta16.</w:t>
      </w:r>
      <w:r w:rsidRPr="00236FCA">
        <w:rPr>
          <w:szCs w:val="24"/>
          <w:lang w:val="fr-CA"/>
        </w:rPr>
        <w:t xml:space="preserve"> </w:t>
      </w:r>
      <w:r>
        <w:rPr>
          <w:szCs w:val="24"/>
          <w:lang w:val="es-ES"/>
        </w:rPr>
        <w:t>Para 2030, se han establecido y se aplican medidas tendientes a prevenir, gestionar o controlar los impactos negativos que pud</w:t>
      </w:r>
      <w:r w:rsidR="00F43D81">
        <w:rPr>
          <w:szCs w:val="24"/>
          <w:lang w:val="es-ES"/>
        </w:rPr>
        <w:t>ier</w:t>
      </w:r>
      <w:r>
        <w:rPr>
          <w:szCs w:val="24"/>
          <w:lang w:val="es-ES"/>
        </w:rPr>
        <w:t>a tener la biotecnología en la diversidad biológica y la salud humana, reduciendo tales impactos en [X].</w:t>
      </w:r>
    </w:p>
    <w:p w:rsidR="00B06671" w:rsidRPr="00236FCA" w:rsidRDefault="00B06671" w:rsidP="00B06671">
      <w:pPr>
        <w:pStyle w:val="Para3"/>
        <w:numPr>
          <w:ilvl w:val="0"/>
          <w:numId w:val="0"/>
        </w:numPr>
        <w:suppressLineNumbers/>
        <w:tabs>
          <w:tab w:val="clear" w:pos="1980"/>
        </w:tabs>
        <w:suppressAutoHyphens/>
        <w:spacing w:before="120" w:after="120"/>
        <w:rPr>
          <w:kern w:val="22"/>
          <w:szCs w:val="24"/>
          <w:lang w:val="fr-CA"/>
        </w:rPr>
      </w:pPr>
      <w:r>
        <w:rPr>
          <w:szCs w:val="24"/>
          <w:lang w:val="es-ES"/>
        </w:rPr>
        <w:t>Meta 17. Para 2030, se redirigen, redestinan, reforman o eliminan incentivos perjudiciales para la diversidad biológica, incluida una reducción de [X] en los subsidios más perjudiciales, garantizando que los incentivos, entre ellos los incentivos económicos y regulatorios públicos y privados, tengan efectos ya sea positivos o neutros para la diversidad biológica.</w:t>
      </w:r>
    </w:p>
    <w:p w:rsidR="00B06671" w:rsidRPr="00236FCA" w:rsidRDefault="00B06671" w:rsidP="00B06671">
      <w:pPr>
        <w:pStyle w:val="Para3"/>
        <w:numPr>
          <w:ilvl w:val="0"/>
          <w:numId w:val="0"/>
        </w:numPr>
        <w:suppressLineNumbers/>
        <w:tabs>
          <w:tab w:val="clear" w:pos="1980"/>
        </w:tabs>
        <w:suppressAutoHyphens/>
        <w:spacing w:before="120" w:after="120"/>
        <w:rPr>
          <w:rFonts w:ascii="Malgun Gothic" w:eastAsia="Malgun Gothic"/>
          <w:b/>
          <w:kern w:val="22"/>
          <w:szCs w:val="24"/>
          <w:lang w:val="fr-CA"/>
        </w:rPr>
      </w:pPr>
      <w:r>
        <w:rPr>
          <w:szCs w:val="24"/>
          <w:lang w:val="es-ES"/>
        </w:rPr>
        <w:lastRenderedPageBreak/>
        <w:t>Meta 18. Para 2030, se ha aumentado en un [X %] los recursos financieros procedentes de todas las fuentes internacionales y nacionales, mediante recursos financieros nuevos, adicionales y efectivos acordes con el nivel de ambición de los objetivos y metas del marco, y se aplica la estrategia de creación de capacidad y transferencia de tecnología y cooperación científica para satisfacer las necesidades de implementación del marco mundial de la diversidad biológica posterior a 2020.</w:t>
      </w:r>
    </w:p>
    <w:p w:rsidR="00B06671" w:rsidRPr="00236FCA" w:rsidRDefault="00B06671" w:rsidP="00B06671">
      <w:pPr>
        <w:pStyle w:val="Para3"/>
        <w:numPr>
          <w:ilvl w:val="0"/>
          <w:numId w:val="0"/>
        </w:numPr>
        <w:suppressLineNumbers/>
        <w:suppressAutoHyphens/>
        <w:spacing w:before="120" w:after="120"/>
        <w:rPr>
          <w:szCs w:val="24"/>
          <w:lang w:val="fr-CA"/>
        </w:rPr>
      </w:pPr>
      <w:r>
        <w:rPr>
          <w:kern w:val="22"/>
          <w:szCs w:val="24"/>
          <w:lang w:val="es-ES"/>
        </w:rPr>
        <w:t>Meta 19.</w:t>
      </w:r>
      <w:r w:rsidRPr="00236FCA">
        <w:rPr>
          <w:kern w:val="22"/>
          <w:szCs w:val="24"/>
          <w:lang w:val="fr-CA"/>
        </w:rPr>
        <w:t xml:space="preserve"> </w:t>
      </w:r>
      <w:r>
        <w:rPr>
          <w:szCs w:val="24"/>
          <w:lang w:val="es-ES"/>
        </w:rPr>
        <w:t>Para 2030, se garantiza que los encargados de la toma de decisiones y el público dispongan de información de calidad, incluidos conocimientos tradicionales, para la gestión eficaz de la diversidad biológica mediante la concienciación y el fomento de la educación y la investigación.</w:t>
      </w:r>
    </w:p>
    <w:p w:rsidR="00B06671" w:rsidRPr="00236FCA" w:rsidRDefault="00B06671" w:rsidP="00B06671">
      <w:pPr>
        <w:pStyle w:val="Para3"/>
        <w:numPr>
          <w:ilvl w:val="0"/>
          <w:numId w:val="0"/>
        </w:numPr>
        <w:suppressLineNumbers/>
        <w:tabs>
          <w:tab w:val="clear" w:pos="1980"/>
        </w:tabs>
        <w:suppressAutoHyphens/>
        <w:spacing w:before="120" w:after="120"/>
        <w:rPr>
          <w:rFonts w:ascii="Malgun Gothic" w:eastAsia="Malgun Gothic"/>
          <w:b/>
          <w:i/>
          <w:kern w:val="22"/>
          <w:szCs w:val="24"/>
          <w:lang w:val="fr-CA"/>
        </w:rPr>
      </w:pPr>
      <w:r>
        <w:rPr>
          <w:szCs w:val="24"/>
          <w:lang w:val="es-ES"/>
        </w:rPr>
        <w:t>Meta 20.</w:t>
      </w:r>
      <w:r w:rsidRPr="00236FCA">
        <w:rPr>
          <w:szCs w:val="24"/>
          <w:lang w:val="fr-CA"/>
        </w:rPr>
        <w:t xml:space="preserve"> </w:t>
      </w:r>
      <w:r>
        <w:rPr>
          <w:szCs w:val="24"/>
          <w:lang w:val="es-ES"/>
        </w:rPr>
        <w:t>Para 2030, se garantiza la participación equitativa en la toma de decisiones relacionadas con la diversidad biológica y se garantiza a los pueblos indígenas y las comunidades locales, las mujeres y las ni</w:t>
      </w:r>
      <w:r w:rsidR="000F11AE">
        <w:rPr>
          <w:szCs w:val="24"/>
          <w:lang w:val="es-ES"/>
        </w:rPr>
        <w:t xml:space="preserve">ñas y los jóvenes sus derechos </w:t>
      </w:r>
      <w:r>
        <w:rPr>
          <w:szCs w:val="24"/>
          <w:lang w:val="es-ES"/>
        </w:rPr>
        <w:t>sobre los recursos pertinentes, de conformidad con las circunstancias nacionales.</w:t>
      </w:r>
    </w:p>
    <w:p w:rsidR="00B06671" w:rsidRPr="00236FCA" w:rsidRDefault="00B06671" w:rsidP="00B06671">
      <w:pPr>
        <w:pStyle w:val="Heading2"/>
        <w:numPr>
          <w:ilvl w:val="0"/>
          <w:numId w:val="4"/>
        </w:numPr>
        <w:suppressLineNumbers/>
        <w:tabs>
          <w:tab w:val="clear" w:pos="720"/>
        </w:tabs>
        <w:suppressAutoHyphens/>
        <w:spacing w:before="240"/>
        <w:ind w:left="714" w:hanging="357"/>
        <w:rPr>
          <w:bCs w:val="0"/>
          <w:iCs w:val="0"/>
          <w:kern w:val="22"/>
          <w:lang w:val="fr-CA"/>
        </w:rPr>
      </w:pPr>
      <w:r>
        <w:rPr>
          <w:bCs w:val="0"/>
          <w:iCs w:val="0"/>
          <w:kern w:val="22"/>
          <w:lang w:val="es-ES"/>
        </w:rPr>
        <w:t>Mecanismos de apoyo a la implementación</w:t>
      </w:r>
    </w:p>
    <w:p w:rsidR="00B06671" w:rsidRDefault="00B06671" w:rsidP="00B06671">
      <w:pPr>
        <w:pStyle w:val="Para1"/>
        <w:numPr>
          <w:ilvl w:val="0"/>
          <w:numId w:val="2"/>
        </w:numPr>
        <w:suppressLineNumbers/>
        <w:tabs>
          <w:tab w:val="clear" w:pos="360"/>
        </w:tabs>
        <w:suppressAutoHyphens/>
        <w:snapToGrid w:val="0"/>
        <w:rPr>
          <w:szCs w:val="24"/>
        </w:rPr>
      </w:pPr>
      <w:r>
        <w:rPr>
          <w:kern w:val="22"/>
          <w:szCs w:val="24"/>
          <w:lang w:val="es-ES"/>
        </w:rPr>
        <w:t>Para una implementación eficaz del marco se necesitan mecanismos de apoyo a la implementación acordes con el nivel de ambición planteado en los objetivos y metas del marco y con los cambios transformadores que se requieren para lograrlos.</w:t>
      </w:r>
      <w:r w:rsidRPr="00236FCA">
        <w:rPr>
          <w:kern w:val="22"/>
          <w:szCs w:val="24"/>
          <w:lang w:val="fr-CA"/>
        </w:rPr>
        <w:t xml:space="preserve"> </w:t>
      </w:r>
      <w:r w:rsidR="000F11AE">
        <w:rPr>
          <w:kern w:val="22"/>
          <w:szCs w:val="24"/>
          <w:lang w:val="es-ES"/>
        </w:rPr>
        <w:t>Esto incluye</w:t>
      </w:r>
      <w:r>
        <w:rPr>
          <w:kern w:val="22"/>
          <w:szCs w:val="24"/>
          <w:lang w:val="es-ES"/>
        </w:rPr>
        <w:t>:</w:t>
      </w:r>
    </w:p>
    <w:p w:rsidR="00B06671" w:rsidRPr="00236FCA" w:rsidRDefault="00B06671" w:rsidP="00042D08">
      <w:pPr>
        <w:pStyle w:val="paragraph"/>
        <w:numPr>
          <w:ilvl w:val="0"/>
          <w:numId w:val="45"/>
        </w:numPr>
        <w:spacing w:before="120" w:beforeAutospacing="0" w:after="120" w:afterAutospacing="0"/>
        <w:ind w:left="0" w:firstLine="698"/>
        <w:jc w:val="both"/>
        <w:textAlignment w:val="baseline"/>
        <w:rPr>
          <w:sz w:val="22"/>
          <w:lang w:val="fr-CA"/>
        </w:rPr>
      </w:pPr>
      <w:r>
        <w:rPr>
          <w:b/>
          <w:kern w:val="22"/>
          <w:sz w:val="22"/>
          <w:lang w:val="es-ES"/>
        </w:rPr>
        <w:t>Movilizar suficientes recursos</w:t>
      </w:r>
      <w:r>
        <w:rPr>
          <w:kern w:val="22"/>
          <w:sz w:val="22"/>
          <w:lang w:val="es-ES"/>
        </w:rPr>
        <w:t xml:space="preserve"> esenciales para lograr los objetivos del Convenio y para implementar el marco mundial de la diversidad biológica posterior a 2020 y alcanzar sus objetivos y metas.</w:t>
      </w:r>
      <w:r w:rsidRPr="00236FCA">
        <w:rPr>
          <w:kern w:val="22"/>
          <w:sz w:val="22"/>
          <w:lang w:val="fr-CA"/>
        </w:rPr>
        <w:t xml:space="preserve"> </w:t>
      </w:r>
      <w:r>
        <w:rPr>
          <w:kern w:val="22"/>
          <w:sz w:val="22"/>
          <w:lang w:val="es-ES"/>
        </w:rPr>
        <w:t xml:space="preserve">Una movilización eficaz de recursos requiere cambios transformadores, inclusivos y equitativos en todas las economías y </w:t>
      </w:r>
      <w:r w:rsidR="000F11AE">
        <w:rPr>
          <w:kern w:val="22"/>
          <w:sz w:val="22"/>
          <w:lang w:val="es-ES"/>
        </w:rPr>
        <w:t xml:space="preserve">el conjunto de </w:t>
      </w:r>
      <w:r>
        <w:rPr>
          <w:kern w:val="22"/>
          <w:sz w:val="22"/>
          <w:lang w:val="es-ES"/>
        </w:rPr>
        <w:t>la sociedad.</w:t>
      </w:r>
      <w:r w:rsidRPr="00236FCA">
        <w:rPr>
          <w:kern w:val="22"/>
          <w:sz w:val="22"/>
          <w:lang w:val="fr-CA"/>
        </w:rPr>
        <w:t xml:space="preserve"> </w:t>
      </w:r>
      <w:r>
        <w:rPr>
          <w:kern w:val="22"/>
          <w:sz w:val="22"/>
          <w:lang w:val="es-ES"/>
        </w:rPr>
        <w:t>Un enfoque estratégico para la movilización de recursos consta de cinco componentes vitales:</w:t>
      </w:r>
    </w:p>
    <w:p w:rsidR="00B06671" w:rsidRPr="00236FCA" w:rsidRDefault="00B06671" w:rsidP="00B06671">
      <w:pPr>
        <w:pStyle w:val="NormalWeb"/>
        <w:numPr>
          <w:ilvl w:val="0"/>
          <w:numId w:val="33"/>
        </w:numPr>
        <w:spacing w:before="120" w:beforeAutospacing="0" w:after="120" w:afterAutospacing="0"/>
        <w:ind w:left="1797" w:hanging="357"/>
        <w:jc w:val="both"/>
        <w:rPr>
          <w:kern w:val="22"/>
          <w:sz w:val="22"/>
          <w:lang w:val="fr-CA"/>
        </w:rPr>
      </w:pPr>
      <w:r>
        <w:rPr>
          <w:kern w:val="22"/>
          <w:sz w:val="22"/>
          <w:lang w:val="es-ES"/>
        </w:rPr>
        <w:t>Un mecanismo financiero mejorado que proporciona recursos a los países en desarrollo;</w:t>
      </w:r>
    </w:p>
    <w:p w:rsidR="00B06671" w:rsidRPr="00236FCA" w:rsidRDefault="000F11AE" w:rsidP="00B06671">
      <w:pPr>
        <w:pStyle w:val="NormalWeb"/>
        <w:numPr>
          <w:ilvl w:val="0"/>
          <w:numId w:val="33"/>
        </w:numPr>
        <w:spacing w:before="120" w:beforeAutospacing="0" w:after="120" w:afterAutospacing="0"/>
        <w:ind w:left="1797" w:hanging="357"/>
        <w:jc w:val="both"/>
        <w:rPr>
          <w:kern w:val="22"/>
          <w:sz w:val="22"/>
          <w:lang w:val="fr-CA"/>
        </w:rPr>
      </w:pPr>
      <w:r>
        <w:rPr>
          <w:kern w:val="22"/>
          <w:sz w:val="22"/>
          <w:lang w:val="es-ES"/>
        </w:rPr>
        <w:t>Una r</w:t>
      </w:r>
      <w:r w:rsidR="00B06671">
        <w:rPr>
          <w:kern w:val="22"/>
          <w:sz w:val="22"/>
          <w:lang w:val="es-ES"/>
        </w:rPr>
        <w:t>edu</w:t>
      </w:r>
      <w:r>
        <w:rPr>
          <w:kern w:val="22"/>
          <w:sz w:val="22"/>
          <w:lang w:val="es-ES"/>
        </w:rPr>
        <w:t>c</w:t>
      </w:r>
      <w:r w:rsidR="00B06671">
        <w:rPr>
          <w:kern w:val="22"/>
          <w:sz w:val="22"/>
          <w:lang w:val="es-ES"/>
        </w:rPr>
        <w:t>ci</w:t>
      </w:r>
      <w:r>
        <w:rPr>
          <w:kern w:val="22"/>
          <w:sz w:val="22"/>
          <w:lang w:val="es-ES"/>
        </w:rPr>
        <w:t>ón</w:t>
      </w:r>
      <w:r w:rsidR="00B06671">
        <w:rPr>
          <w:kern w:val="22"/>
          <w:sz w:val="22"/>
          <w:lang w:val="es-ES"/>
        </w:rPr>
        <w:t xml:space="preserve"> o redir</w:t>
      </w:r>
      <w:r>
        <w:rPr>
          <w:kern w:val="22"/>
          <w:sz w:val="22"/>
          <w:lang w:val="es-ES"/>
        </w:rPr>
        <w:t xml:space="preserve">eccionamiento de </w:t>
      </w:r>
      <w:r w:rsidR="00B06671">
        <w:rPr>
          <w:kern w:val="22"/>
          <w:sz w:val="22"/>
          <w:lang w:val="es-ES"/>
        </w:rPr>
        <w:t xml:space="preserve">los recursos que </w:t>
      </w:r>
      <w:r>
        <w:rPr>
          <w:kern w:val="22"/>
          <w:sz w:val="22"/>
          <w:lang w:val="es-ES"/>
        </w:rPr>
        <w:t>provoca</w:t>
      </w:r>
      <w:r w:rsidR="00B06671">
        <w:rPr>
          <w:kern w:val="22"/>
          <w:sz w:val="22"/>
          <w:lang w:val="es-ES"/>
        </w:rPr>
        <w:t>n daños</w:t>
      </w:r>
      <w:r>
        <w:rPr>
          <w:kern w:val="22"/>
          <w:sz w:val="22"/>
          <w:lang w:val="es-ES"/>
        </w:rPr>
        <w:t xml:space="preserve"> en</w:t>
      </w:r>
      <w:r w:rsidR="00B06671">
        <w:rPr>
          <w:kern w:val="22"/>
          <w:sz w:val="22"/>
          <w:lang w:val="es-ES"/>
        </w:rPr>
        <w:t xml:space="preserve"> la diversidad biológica;</w:t>
      </w:r>
    </w:p>
    <w:p w:rsidR="00B06671" w:rsidRPr="00236FCA" w:rsidRDefault="00B06671" w:rsidP="00B06671">
      <w:pPr>
        <w:pStyle w:val="NormalWeb"/>
        <w:numPr>
          <w:ilvl w:val="0"/>
          <w:numId w:val="33"/>
        </w:numPr>
        <w:spacing w:before="120" w:beforeAutospacing="0" w:after="120" w:afterAutospacing="0"/>
        <w:ind w:left="1797" w:hanging="357"/>
        <w:jc w:val="both"/>
        <w:rPr>
          <w:kern w:val="22"/>
          <w:sz w:val="22"/>
          <w:lang w:val="fr-CA"/>
        </w:rPr>
      </w:pPr>
      <w:r>
        <w:rPr>
          <w:kern w:val="22"/>
          <w:sz w:val="22"/>
          <w:lang w:val="es-ES"/>
        </w:rPr>
        <w:t>Generación de recursos financieros y no financieros adicionales procedentes de todas las fuentes, incluidas fuentes internacionales y nacionales y los sectores público y privado;</w:t>
      </w:r>
    </w:p>
    <w:p w:rsidR="00B06671" w:rsidRPr="00236FCA" w:rsidRDefault="00B06671" w:rsidP="00B06671">
      <w:pPr>
        <w:pStyle w:val="NormalWeb"/>
        <w:numPr>
          <w:ilvl w:val="0"/>
          <w:numId w:val="33"/>
        </w:numPr>
        <w:spacing w:before="120" w:beforeAutospacing="0" w:after="120" w:afterAutospacing="0"/>
        <w:ind w:left="1797" w:hanging="357"/>
        <w:jc w:val="both"/>
        <w:rPr>
          <w:kern w:val="22"/>
          <w:sz w:val="22"/>
          <w:lang w:val="fr-CA"/>
        </w:rPr>
      </w:pPr>
      <w:r>
        <w:rPr>
          <w:kern w:val="22"/>
          <w:sz w:val="22"/>
          <w:lang w:val="es-ES"/>
        </w:rPr>
        <w:t>Mejoramiento de la eficacia y la eficiencia en la utilización de recursos;</w:t>
      </w:r>
    </w:p>
    <w:p w:rsidR="00B06671" w:rsidRPr="00236FCA" w:rsidRDefault="00B06671" w:rsidP="00B06671">
      <w:pPr>
        <w:pStyle w:val="NormalWeb"/>
        <w:numPr>
          <w:ilvl w:val="0"/>
          <w:numId w:val="33"/>
        </w:numPr>
        <w:spacing w:before="120" w:beforeAutospacing="0" w:after="120" w:afterAutospacing="0"/>
        <w:ind w:left="1797" w:hanging="357"/>
        <w:jc w:val="both"/>
        <w:rPr>
          <w:sz w:val="22"/>
          <w:lang w:val="fr-CA"/>
        </w:rPr>
      </w:pPr>
      <w:r>
        <w:rPr>
          <w:kern w:val="22"/>
          <w:sz w:val="22"/>
          <w:lang w:val="es-ES"/>
        </w:rPr>
        <w:t>Planes financieros nacionales para apoyar la implementación.</w:t>
      </w:r>
      <w:r w:rsidRPr="00236FCA">
        <w:rPr>
          <w:kern w:val="22"/>
          <w:sz w:val="22"/>
          <w:lang w:val="fr-CA"/>
        </w:rPr>
        <w:t xml:space="preserve"> </w:t>
      </w:r>
    </w:p>
    <w:p w:rsidR="00B06671" w:rsidRPr="00236FCA" w:rsidRDefault="00B06671" w:rsidP="00B06671">
      <w:pPr>
        <w:pStyle w:val="paragraph"/>
        <w:numPr>
          <w:ilvl w:val="0"/>
          <w:numId w:val="7"/>
        </w:numPr>
        <w:tabs>
          <w:tab w:val="num" w:pos="0"/>
        </w:tabs>
        <w:spacing w:before="120" w:beforeAutospacing="0" w:after="120" w:afterAutospacing="0"/>
        <w:ind w:left="0" w:firstLine="697"/>
        <w:jc w:val="both"/>
        <w:textAlignment w:val="baseline"/>
        <w:rPr>
          <w:kern w:val="22"/>
          <w:sz w:val="22"/>
          <w:lang w:val="fr-CA"/>
        </w:rPr>
      </w:pPr>
      <w:r>
        <w:rPr>
          <w:b/>
          <w:kern w:val="22"/>
          <w:sz w:val="22"/>
          <w:lang w:val="es-ES"/>
        </w:rPr>
        <w:t>La creación de capacidad</w:t>
      </w:r>
      <w:r>
        <w:rPr>
          <w:kern w:val="22"/>
          <w:sz w:val="22"/>
          <w:lang w:val="es-ES"/>
        </w:rPr>
        <w:t xml:space="preserve"> es vital para la implementación del marco e incluye:</w:t>
      </w:r>
    </w:p>
    <w:p w:rsidR="00B06671" w:rsidRPr="00236FCA" w:rsidRDefault="00B06671" w:rsidP="00B06671">
      <w:pPr>
        <w:pStyle w:val="NormalWeb"/>
        <w:numPr>
          <w:ilvl w:val="0"/>
          <w:numId w:val="34"/>
        </w:numPr>
        <w:spacing w:before="120" w:beforeAutospacing="0" w:after="120" w:afterAutospacing="0"/>
        <w:ind w:left="1797" w:hanging="357"/>
        <w:jc w:val="both"/>
        <w:rPr>
          <w:kern w:val="22"/>
          <w:sz w:val="22"/>
          <w:lang w:val="fr-CA"/>
        </w:rPr>
      </w:pPr>
      <w:r>
        <w:rPr>
          <w:kern w:val="22"/>
          <w:sz w:val="22"/>
          <w:lang w:val="es-ES"/>
        </w:rPr>
        <w:t>Posibilitar la implementación sobre la base de datos empíricos a través de medidas determinadas a nivel nacional o impulsadas por los países, de conformidad con las prioridades nacionales;</w:t>
      </w:r>
    </w:p>
    <w:p w:rsidR="00B06671" w:rsidRPr="00236FCA" w:rsidRDefault="00B06671" w:rsidP="00B06671">
      <w:pPr>
        <w:pStyle w:val="NormalWeb"/>
        <w:numPr>
          <w:ilvl w:val="0"/>
          <w:numId w:val="34"/>
        </w:numPr>
        <w:spacing w:before="120" w:beforeAutospacing="0" w:after="120" w:afterAutospacing="0"/>
        <w:ind w:left="1797" w:hanging="357"/>
        <w:jc w:val="both"/>
        <w:rPr>
          <w:kern w:val="22"/>
          <w:sz w:val="22"/>
          <w:lang w:val="fr-CA"/>
        </w:rPr>
      </w:pPr>
      <w:r>
        <w:rPr>
          <w:kern w:val="22"/>
          <w:sz w:val="22"/>
          <w:lang w:val="es-ES"/>
        </w:rPr>
        <w:t xml:space="preserve">Apoyar a actores gubernamentales y no gubernamentales en todos los niveles, en particular en países en desarrollo y países con economías en transición, para que desarrollen, aprovechen y retengan las capacidades necesarias y para </w:t>
      </w:r>
      <w:r w:rsidR="000F11AE">
        <w:rPr>
          <w:kern w:val="22"/>
          <w:sz w:val="22"/>
          <w:lang w:val="es-ES"/>
        </w:rPr>
        <w:t>el</w:t>
      </w:r>
      <w:r>
        <w:rPr>
          <w:kern w:val="22"/>
          <w:sz w:val="22"/>
          <w:lang w:val="es-ES"/>
        </w:rPr>
        <w:t xml:space="preserve"> aprend</w:t>
      </w:r>
      <w:r w:rsidR="000F11AE">
        <w:rPr>
          <w:kern w:val="22"/>
          <w:sz w:val="22"/>
          <w:lang w:val="es-ES"/>
        </w:rPr>
        <w:t>iz</w:t>
      </w:r>
      <w:r>
        <w:rPr>
          <w:kern w:val="22"/>
          <w:sz w:val="22"/>
          <w:lang w:val="es-ES"/>
        </w:rPr>
        <w:t>a</w:t>
      </w:r>
      <w:r w:rsidR="000F11AE">
        <w:rPr>
          <w:kern w:val="22"/>
          <w:sz w:val="22"/>
          <w:lang w:val="es-ES"/>
        </w:rPr>
        <w:t>je</w:t>
      </w:r>
      <w:r>
        <w:rPr>
          <w:kern w:val="22"/>
          <w:sz w:val="22"/>
          <w:lang w:val="es-ES"/>
        </w:rPr>
        <w:t xml:space="preserve">, </w:t>
      </w:r>
      <w:r w:rsidR="000F11AE">
        <w:rPr>
          <w:kern w:val="22"/>
          <w:sz w:val="22"/>
          <w:lang w:val="es-ES"/>
        </w:rPr>
        <w:t>la</w:t>
      </w:r>
      <w:r>
        <w:rPr>
          <w:kern w:val="22"/>
          <w:sz w:val="22"/>
          <w:lang w:val="es-ES"/>
        </w:rPr>
        <w:t xml:space="preserve"> adapt</w:t>
      </w:r>
      <w:r w:rsidR="000F11AE">
        <w:rPr>
          <w:kern w:val="22"/>
          <w:sz w:val="22"/>
          <w:lang w:val="es-ES"/>
        </w:rPr>
        <w:t>ació</w:t>
      </w:r>
      <w:r>
        <w:rPr>
          <w:kern w:val="22"/>
          <w:sz w:val="22"/>
          <w:lang w:val="es-ES"/>
        </w:rPr>
        <w:t xml:space="preserve">n y </w:t>
      </w:r>
      <w:r w:rsidR="000F11AE">
        <w:rPr>
          <w:kern w:val="22"/>
          <w:sz w:val="22"/>
          <w:lang w:val="es-ES"/>
        </w:rPr>
        <w:t xml:space="preserve">la </w:t>
      </w:r>
      <w:r>
        <w:rPr>
          <w:kern w:val="22"/>
          <w:sz w:val="22"/>
          <w:lang w:val="es-ES"/>
        </w:rPr>
        <w:t>gesti</w:t>
      </w:r>
      <w:r w:rsidR="000F11AE">
        <w:rPr>
          <w:kern w:val="22"/>
          <w:sz w:val="22"/>
          <w:lang w:val="es-ES"/>
        </w:rPr>
        <w:t>ó</w:t>
      </w:r>
      <w:r>
        <w:rPr>
          <w:kern w:val="22"/>
          <w:sz w:val="22"/>
          <w:lang w:val="es-ES"/>
        </w:rPr>
        <w:t xml:space="preserve">n </w:t>
      </w:r>
      <w:r w:rsidR="000F11AE">
        <w:rPr>
          <w:kern w:val="22"/>
          <w:sz w:val="22"/>
          <w:lang w:val="es-ES"/>
        </w:rPr>
        <w:t>d</w:t>
      </w:r>
      <w:r>
        <w:rPr>
          <w:kern w:val="22"/>
          <w:sz w:val="22"/>
          <w:lang w:val="es-ES"/>
        </w:rPr>
        <w:t xml:space="preserve">el cambio; </w:t>
      </w:r>
    </w:p>
    <w:p w:rsidR="00B06671" w:rsidRPr="00236FCA" w:rsidRDefault="00B06671" w:rsidP="00B06671">
      <w:pPr>
        <w:pStyle w:val="NormalWeb"/>
        <w:numPr>
          <w:ilvl w:val="0"/>
          <w:numId w:val="34"/>
        </w:numPr>
        <w:spacing w:before="120" w:beforeAutospacing="0" w:after="120" w:afterAutospacing="0"/>
        <w:ind w:left="1797" w:hanging="357"/>
        <w:jc w:val="both"/>
        <w:rPr>
          <w:rStyle w:val="eop"/>
          <w:color w:val="000000"/>
          <w:sz w:val="22"/>
          <w:lang w:val="fr-CA"/>
        </w:rPr>
      </w:pPr>
      <w:r>
        <w:rPr>
          <w:sz w:val="22"/>
          <w:lang w:val="es-ES"/>
        </w:rPr>
        <w:t xml:space="preserve">Crear capacidades </w:t>
      </w:r>
      <w:r w:rsidR="000F11AE">
        <w:rPr>
          <w:sz w:val="22"/>
          <w:lang w:val="es-ES"/>
        </w:rPr>
        <w:t>a</w:t>
      </w:r>
      <w:r>
        <w:rPr>
          <w:sz w:val="22"/>
          <w:lang w:val="es-ES"/>
        </w:rPr>
        <w:t xml:space="preserve"> nivel individual, organizativo y de entorno propicio para facilitar la formulación eficaz de políticas, la integración de la diversidad biológica en todos los sectores, la implementación del marco y el establecimiento de sistemas y medidas nacionales de transparencia y presentación de informes.</w:t>
      </w:r>
      <w:r w:rsidRPr="00236FCA">
        <w:rPr>
          <w:sz w:val="22"/>
          <w:lang w:val="fr-CA"/>
        </w:rPr>
        <w:t xml:space="preserve"> </w:t>
      </w:r>
    </w:p>
    <w:p w:rsidR="00B06671" w:rsidRPr="00236FCA" w:rsidRDefault="00B06671" w:rsidP="00B06671">
      <w:pPr>
        <w:pStyle w:val="paragraph"/>
        <w:numPr>
          <w:ilvl w:val="0"/>
          <w:numId w:val="7"/>
        </w:numPr>
        <w:tabs>
          <w:tab w:val="num" w:pos="0"/>
        </w:tabs>
        <w:spacing w:before="120" w:beforeAutospacing="0" w:after="120" w:afterAutospacing="0"/>
        <w:ind w:left="0" w:firstLine="697"/>
        <w:jc w:val="both"/>
        <w:textAlignment w:val="baseline"/>
        <w:rPr>
          <w:sz w:val="22"/>
          <w:lang w:val="fr-CA"/>
        </w:rPr>
      </w:pPr>
      <w:r>
        <w:rPr>
          <w:b/>
          <w:sz w:val="22"/>
          <w:lang w:val="es-ES"/>
        </w:rPr>
        <w:lastRenderedPageBreak/>
        <w:t>Generación, gestión e intercambio de conocimientos</w:t>
      </w:r>
      <w:r>
        <w:rPr>
          <w:sz w:val="22"/>
          <w:lang w:val="es-ES"/>
        </w:rPr>
        <w:t xml:space="preserve"> para una eficaz planificación en materia de diversidad biológica, formulación de políticas, toma de decisiones, implementación y transparencia y responsabilidad, incluido lo siguiente:</w:t>
      </w:r>
      <w:r w:rsidRPr="00236FCA">
        <w:rPr>
          <w:sz w:val="22"/>
          <w:lang w:val="fr-CA"/>
        </w:rPr>
        <w:t xml:space="preserve"> </w:t>
      </w:r>
    </w:p>
    <w:p w:rsidR="00B06671" w:rsidRPr="00236FCA" w:rsidRDefault="00B06671" w:rsidP="00B06671">
      <w:pPr>
        <w:pStyle w:val="NormalWeb"/>
        <w:numPr>
          <w:ilvl w:val="0"/>
          <w:numId w:val="35"/>
        </w:numPr>
        <w:spacing w:before="120" w:beforeAutospacing="0" w:after="120" w:afterAutospacing="0"/>
        <w:ind w:left="1797" w:hanging="357"/>
        <w:rPr>
          <w:sz w:val="22"/>
          <w:lang w:val="fr-CA"/>
        </w:rPr>
      </w:pPr>
      <w:r>
        <w:rPr>
          <w:sz w:val="22"/>
          <w:lang w:val="es-ES"/>
        </w:rPr>
        <w:t>Mayor protección para los conocimientos tradicionales y reconocimiento de sus contribuciones a la conservación y la utilización sostenible de la diversidad biológica;</w:t>
      </w:r>
    </w:p>
    <w:p w:rsidR="00B06671" w:rsidRPr="00236FCA" w:rsidRDefault="00B06671" w:rsidP="00B06671">
      <w:pPr>
        <w:pStyle w:val="NormalWeb"/>
        <w:numPr>
          <w:ilvl w:val="0"/>
          <w:numId w:val="35"/>
        </w:numPr>
        <w:spacing w:before="120" w:beforeAutospacing="0" w:after="120" w:afterAutospacing="0"/>
        <w:ind w:left="1797" w:hanging="357"/>
        <w:rPr>
          <w:rStyle w:val="normaltextrun"/>
          <w:sz w:val="22"/>
          <w:lang w:val="fr-CA"/>
        </w:rPr>
      </w:pPr>
      <w:r>
        <w:rPr>
          <w:sz w:val="22"/>
          <w:lang w:val="es-ES"/>
        </w:rPr>
        <w:t>Promoción de la ciencia y la educación en materia de diversidad biológica y aprendizaje organizativo.</w:t>
      </w:r>
      <w:r w:rsidRPr="00236FCA">
        <w:rPr>
          <w:sz w:val="22"/>
          <w:lang w:val="fr-CA"/>
        </w:rPr>
        <w:t xml:space="preserve"> </w:t>
      </w:r>
    </w:p>
    <w:p w:rsidR="00B06671" w:rsidRPr="00236FCA" w:rsidRDefault="00B06671" w:rsidP="00B06671">
      <w:pPr>
        <w:pStyle w:val="paragraph"/>
        <w:numPr>
          <w:ilvl w:val="0"/>
          <w:numId w:val="7"/>
        </w:numPr>
        <w:tabs>
          <w:tab w:val="num" w:pos="0"/>
        </w:tabs>
        <w:spacing w:before="120" w:beforeAutospacing="0" w:after="120" w:afterAutospacing="0"/>
        <w:ind w:left="0" w:firstLine="697"/>
        <w:jc w:val="both"/>
        <w:textAlignment w:val="baseline"/>
        <w:rPr>
          <w:rStyle w:val="normaltextrun"/>
          <w:sz w:val="22"/>
          <w:lang w:val="fr-CA"/>
        </w:rPr>
      </w:pPr>
      <w:r>
        <w:rPr>
          <w:b/>
          <w:sz w:val="22"/>
          <w:lang w:val="es-ES"/>
        </w:rPr>
        <w:t>La cooperación científica y técnica, la transferencia de tecnología y la innovación</w:t>
      </w:r>
      <w:r>
        <w:rPr>
          <w:sz w:val="22"/>
          <w:lang w:val="es-ES"/>
        </w:rPr>
        <w:t xml:space="preserve"> son vitales para la implementación del marco, incluido lo siguiente:</w:t>
      </w:r>
    </w:p>
    <w:p w:rsidR="00B06671" w:rsidRPr="00236FCA" w:rsidRDefault="00B06671" w:rsidP="00B06671">
      <w:pPr>
        <w:pStyle w:val="paragraph"/>
        <w:numPr>
          <w:ilvl w:val="0"/>
          <w:numId w:val="36"/>
        </w:numPr>
        <w:spacing w:before="120" w:beforeAutospacing="0" w:after="120" w:afterAutospacing="0"/>
        <w:ind w:left="1797" w:hanging="357"/>
        <w:textAlignment w:val="baseline"/>
        <w:rPr>
          <w:sz w:val="22"/>
          <w:lang w:val="fr-CA"/>
        </w:rPr>
      </w:pPr>
      <w:r>
        <w:rPr>
          <w:rStyle w:val="normaltextrun"/>
          <w:sz w:val="22"/>
          <w:lang w:val="es-ES"/>
        </w:rPr>
        <w:t>Mecanismos de apoyo para la cooperación científica y técnica, la transferencia de tecnología y la innovación conforme a condiciones mutuamente acordadas;</w:t>
      </w:r>
      <w:r>
        <w:rPr>
          <w:sz w:val="22"/>
          <w:lang w:val="es-ES"/>
        </w:rPr>
        <w:t xml:space="preserve"> </w:t>
      </w:r>
    </w:p>
    <w:p w:rsidR="00B06671" w:rsidRPr="00236FCA" w:rsidRDefault="00B06671" w:rsidP="00B06671">
      <w:pPr>
        <w:pStyle w:val="paragraph"/>
        <w:numPr>
          <w:ilvl w:val="0"/>
          <w:numId w:val="36"/>
        </w:numPr>
        <w:spacing w:before="120" w:beforeAutospacing="0" w:after="120" w:afterAutospacing="0"/>
        <w:ind w:left="1797" w:hanging="357"/>
        <w:textAlignment w:val="baseline"/>
        <w:rPr>
          <w:sz w:val="22"/>
          <w:lang w:val="fr-CA"/>
        </w:rPr>
      </w:pPr>
      <w:r>
        <w:rPr>
          <w:rStyle w:val="normaltextrun"/>
          <w:sz w:val="22"/>
          <w:lang w:val="es-ES"/>
        </w:rPr>
        <w:t>Apoyo para la cooperación entre países en desarrollo y con países desarrollados.</w:t>
      </w:r>
    </w:p>
    <w:p w:rsidR="00B06671" w:rsidRPr="00236FCA" w:rsidRDefault="00B06671" w:rsidP="00B06671">
      <w:pPr>
        <w:pStyle w:val="Heading2"/>
        <w:numPr>
          <w:ilvl w:val="0"/>
          <w:numId w:val="4"/>
        </w:numPr>
        <w:suppressLineNumbers/>
        <w:tabs>
          <w:tab w:val="clear" w:pos="720"/>
        </w:tabs>
        <w:suppressAutoHyphens/>
        <w:spacing w:before="240"/>
        <w:ind w:left="714" w:hanging="357"/>
        <w:rPr>
          <w:bCs w:val="0"/>
          <w:iCs w:val="0"/>
          <w:kern w:val="22"/>
          <w:lang w:val="fr-CA"/>
        </w:rPr>
      </w:pPr>
      <w:r>
        <w:rPr>
          <w:bCs w:val="0"/>
          <w:iCs w:val="0"/>
          <w:kern w:val="22"/>
          <w:lang w:val="es-ES"/>
        </w:rPr>
        <w:t xml:space="preserve">Condiciones </w:t>
      </w:r>
      <w:r w:rsidR="00236FCA">
        <w:rPr>
          <w:bCs w:val="0"/>
          <w:iCs w:val="0"/>
          <w:kern w:val="22"/>
          <w:lang w:val="es-ES"/>
        </w:rPr>
        <w:t xml:space="preserve">de implementación </w:t>
      </w:r>
    </w:p>
    <w:p w:rsidR="00B06671" w:rsidRDefault="00B06671" w:rsidP="00B06671">
      <w:pPr>
        <w:pStyle w:val="Para1"/>
        <w:numPr>
          <w:ilvl w:val="0"/>
          <w:numId w:val="2"/>
        </w:numPr>
        <w:suppressLineNumbers/>
        <w:tabs>
          <w:tab w:val="clear" w:pos="360"/>
        </w:tabs>
        <w:suppressAutoHyphens/>
        <w:snapToGrid w:val="0"/>
        <w:rPr>
          <w:szCs w:val="24"/>
        </w:rPr>
      </w:pPr>
      <w:r>
        <w:rPr>
          <w:rStyle w:val="normaltextrun"/>
          <w:szCs w:val="24"/>
          <w:lang w:val="es-ES"/>
        </w:rPr>
        <w:t>La implementación del marco requerirá ciertas condiciones.</w:t>
      </w:r>
      <w:r w:rsidRPr="00236FCA">
        <w:rPr>
          <w:rStyle w:val="normaltextrun"/>
          <w:szCs w:val="24"/>
          <w:lang w:val="fr-CA"/>
        </w:rPr>
        <w:t xml:space="preserve"> </w:t>
      </w:r>
      <w:r>
        <w:rPr>
          <w:kern w:val="22"/>
          <w:szCs w:val="24"/>
          <w:lang w:val="es-ES"/>
        </w:rPr>
        <w:t xml:space="preserve">La adopción de medidas eficaces para generar esas condiciones </w:t>
      </w:r>
      <w:r w:rsidR="001F27F1">
        <w:rPr>
          <w:kern w:val="22"/>
          <w:szCs w:val="24"/>
          <w:lang w:val="es-ES"/>
        </w:rPr>
        <w:t xml:space="preserve">de implementación </w:t>
      </w:r>
      <w:r>
        <w:rPr>
          <w:kern w:val="22"/>
          <w:szCs w:val="24"/>
          <w:lang w:val="es-ES"/>
        </w:rPr>
        <w:t>contribuirá al logro de otros objetivos sociales.</w:t>
      </w:r>
      <w:r w:rsidRPr="00236FCA">
        <w:rPr>
          <w:kern w:val="22"/>
          <w:szCs w:val="24"/>
          <w:lang w:val="fr-CA"/>
        </w:rPr>
        <w:t xml:space="preserve"> </w:t>
      </w:r>
      <w:r w:rsidR="000F11AE">
        <w:rPr>
          <w:kern w:val="22"/>
          <w:szCs w:val="24"/>
          <w:lang w:val="es-ES"/>
        </w:rPr>
        <w:t>Dich</w:t>
      </w:r>
      <w:r>
        <w:rPr>
          <w:kern w:val="22"/>
          <w:szCs w:val="24"/>
          <w:lang w:val="es-ES"/>
        </w:rPr>
        <w:t>as condiciones son las siguientes:</w:t>
      </w:r>
    </w:p>
    <w:p w:rsidR="00B06671" w:rsidRPr="00236FCA" w:rsidRDefault="00B06671" w:rsidP="00042D08">
      <w:pPr>
        <w:pStyle w:val="paragraph"/>
        <w:numPr>
          <w:ilvl w:val="0"/>
          <w:numId w:val="46"/>
        </w:numPr>
        <w:spacing w:before="120" w:beforeAutospacing="0" w:after="120" w:afterAutospacing="0"/>
        <w:ind w:left="0" w:firstLine="675"/>
        <w:jc w:val="both"/>
        <w:textAlignment w:val="baseline"/>
        <w:rPr>
          <w:sz w:val="22"/>
          <w:lang w:val="fr-CA"/>
        </w:rPr>
      </w:pPr>
      <w:r>
        <w:rPr>
          <w:sz w:val="22"/>
          <w:lang w:val="es-ES"/>
        </w:rPr>
        <w:t>La participación de los pueblos indígenas y las comunidades locales y un reconocimiento de sus derechos en la implementación del marco;</w:t>
      </w:r>
    </w:p>
    <w:p w:rsidR="00B06671" w:rsidRPr="00236FCA" w:rsidRDefault="00B06671" w:rsidP="00042D08">
      <w:pPr>
        <w:pStyle w:val="paragraph"/>
        <w:numPr>
          <w:ilvl w:val="0"/>
          <w:numId w:val="46"/>
        </w:numPr>
        <w:spacing w:before="120" w:beforeAutospacing="0" w:after="120" w:afterAutospacing="0"/>
        <w:ind w:left="0" w:firstLine="675"/>
        <w:jc w:val="both"/>
        <w:textAlignment w:val="baseline"/>
        <w:rPr>
          <w:sz w:val="22"/>
          <w:lang w:val="fr-CA"/>
        </w:rPr>
      </w:pPr>
      <w:r>
        <w:rPr>
          <w:sz w:val="22"/>
          <w:lang w:val="es-ES"/>
        </w:rPr>
        <w:t>La participación de todos los interesados directos pertinentes, organizaciones no gubernamentales, los jóvenes, la sociedad civil, las autoridades locales y subnacionales, el sector privado, el sector académico y las instituciones científicas a través de un enfoque de toda la sociedad y mediante plataformas multisectoriales y de múltiples interesados directos inclusivas y representativas;</w:t>
      </w:r>
    </w:p>
    <w:p w:rsidR="00B06671" w:rsidRPr="00236FCA" w:rsidRDefault="00B06671" w:rsidP="00042D08">
      <w:pPr>
        <w:pStyle w:val="paragraph"/>
        <w:numPr>
          <w:ilvl w:val="0"/>
          <w:numId w:val="46"/>
        </w:numPr>
        <w:spacing w:before="120" w:beforeAutospacing="0" w:after="120" w:afterAutospacing="0"/>
        <w:ind w:left="0" w:firstLine="675"/>
        <w:jc w:val="both"/>
        <w:textAlignment w:val="baseline"/>
        <w:rPr>
          <w:rStyle w:val="eop"/>
          <w:sz w:val="22"/>
          <w:lang w:val="fr-CA"/>
        </w:rPr>
      </w:pPr>
      <w:r>
        <w:rPr>
          <w:sz w:val="22"/>
          <w:lang w:val="es-ES"/>
        </w:rPr>
        <w:t>Igualdad de género, enfoques que tengan en cuenta las cuestiones de género y empoderamiento de las mujeres y las niñas;</w:t>
      </w:r>
    </w:p>
    <w:p w:rsidR="00B06671" w:rsidRPr="00236FCA" w:rsidRDefault="00B06671" w:rsidP="00042D08">
      <w:pPr>
        <w:pStyle w:val="paragraph"/>
        <w:numPr>
          <w:ilvl w:val="0"/>
          <w:numId w:val="46"/>
        </w:numPr>
        <w:spacing w:before="120" w:beforeAutospacing="0" w:after="120" w:afterAutospacing="0"/>
        <w:ind w:left="0" w:firstLine="675"/>
        <w:jc w:val="both"/>
        <w:textAlignment w:val="baseline"/>
        <w:rPr>
          <w:sz w:val="22"/>
          <w:lang w:val="fr-CA"/>
        </w:rPr>
      </w:pPr>
      <w:r>
        <w:rPr>
          <w:sz w:val="22"/>
          <w:lang w:val="es-ES"/>
        </w:rPr>
        <w:t>Reconocimiento de la equidad intergeneracional, incluida la transmisión</w:t>
      </w:r>
      <w:r w:rsidR="006551AC">
        <w:rPr>
          <w:sz w:val="22"/>
          <w:lang w:val="es-ES"/>
        </w:rPr>
        <w:t xml:space="preserve"> </w:t>
      </w:r>
      <w:r>
        <w:rPr>
          <w:sz w:val="22"/>
          <w:lang w:val="es-ES"/>
        </w:rPr>
        <w:t>de conocimientos, idiomas y valores culturales asociados con la diversidad biológica, especialmente por los pueblos indígenas y las comunidades locales;</w:t>
      </w:r>
    </w:p>
    <w:p w:rsidR="00B06671" w:rsidRPr="00236FCA" w:rsidRDefault="00B06671" w:rsidP="00042D08">
      <w:pPr>
        <w:pStyle w:val="paragraph"/>
        <w:numPr>
          <w:ilvl w:val="0"/>
          <w:numId w:val="46"/>
        </w:numPr>
        <w:spacing w:before="120" w:beforeAutospacing="0" w:after="120" w:afterAutospacing="0"/>
        <w:ind w:left="0" w:firstLine="675"/>
        <w:jc w:val="both"/>
        <w:textAlignment w:val="baseline"/>
        <w:rPr>
          <w:rStyle w:val="normaltextrun"/>
          <w:sz w:val="22"/>
          <w:lang w:val="fr-CA"/>
        </w:rPr>
      </w:pPr>
      <w:r>
        <w:rPr>
          <w:kern w:val="22"/>
          <w:sz w:val="22"/>
          <w:lang w:val="es-ES"/>
        </w:rPr>
        <w:t xml:space="preserve">Sinergias entre los acuerdos ambientales multilaterales pertinentes y otros procesos internacionales pertinentes, incluida la Agenda 2030 para el Desarrollo Sostenible, e instrumentos a nivel mundial, regional y nacional, </w:t>
      </w:r>
      <w:r w:rsidR="000F11AE">
        <w:rPr>
          <w:kern w:val="22"/>
          <w:sz w:val="22"/>
          <w:lang w:val="es-ES"/>
        </w:rPr>
        <w:t>entre otras cosas</w:t>
      </w:r>
      <w:r>
        <w:rPr>
          <w:kern w:val="22"/>
          <w:sz w:val="22"/>
          <w:lang w:val="es-ES"/>
        </w:rPr>
        <w:t xml:space="preserve"> </w:t>
      </w:r>
      <w:r w:rsidR="000F11AE">
        <w:rPr>
          <w:kern w:val="22"/>
          <w:sz w:val="22"/>
          <w:lang w:val="es-ES"/>
        </w:rPr>
        <w:t xml:space="preserve">mediante </w:t>
      </w:r>
      <w:r>
        <w:rPr>
          <w:kern w:val="22"/>
          <w:sz w:val="22"/>
          <w:lang w:val="es-ES"/>
        </w:rPr>
        <w:t>el fortalecimiento o el establecimiento de mecanismos de cooperación;</w:t>
      </w:r>
    </w:p>
    <w:p w:rsidR="00B06671" w:rsidRDefault="00B06671" w:rsidP="00042D08">
      <w:pPr>
        <w:pStyle w:val="paragraph"/>
        <w:numPr>
          <w:ilvl w:val="0"/>
          <w:numId w:val="46"/>
        </w:numPr>
        <w:spacing w:before="120" w:beforeAutospacing="0" w:after="120" w:afterAutospacing="0"/>
        <w:ind w:left="0" w:firstLine="675"/>
        <w:jc w:val="both"/>
        <w:textAlignment w:val="baseline"/>
        <w:rPr>
          <w:kern w:val="22"/>
          <w:sz w:val="22"/>
        </w:rPr>
      </w:pPr>
      <w:r>
        <w:rPr>
          <w:rStyle w:val="normaltextrun"/>
          <w:sz w:val="22"/>
          <w:lang w:val="es-ES"/>
        </w:rPr>
        <w:t>Alianzas para impulsar actividades</w:t>
      </w:r>
      <w:r>
        <w:rPr>
          <w:kern w:val="22"/>
          <w:sz w:val="22"/>
          <w:lang w:val="es-ES"/>
        </w:rPr>
        <w:t xml:space="preserve"> y programas sostenibles a nivel local, nacional, regional y mundial;</w:t>
      </w:r>
    </w:p>
    <w:p w:rsidR="00B06671" w:rsidRPr="00236FCA" w:rsidRDefault="00B06671" w:rsidP="00042D08">
      <w:pPr>
        <w:pStyle w:val="paragraph"/>
        <w:numPr>
          <w:ilvl w:val="0"/>
          <w:numId w:val="46"/>
        </w:numPr>
        <w:spacing w:before="120" w:beforeAutospacing="0" w:after="120" w:afterAutospacing="0"/>
        <w:ind w:left="0" w:firstLine="675"/>
        <w:jc w:val="both"/>
        <w:textAlignment w:val="baseline"/>
        <w:rPr>
          <w:sz w:val="22"/>
          <w:lang w:val="fr-CA"/>
        </w:rPr>
      </w:pPr>
      <w:r>
        <w:rPr>
          <w:sz w:val="22"/>
          <w:lang w:val="es-ES"/>
        </w:rPr>
        <w:t>Gobernanza inclusiva e integradora y enfoques de todo el gobierno que garanticen la coherencia y la eficacia de las políticas para la implementación del marco;</w:t>
      </w:r>
    </w:p>
    <w:p w:rsidR="00B06671" w:rsidRPr="00236FCA" w:rsidRDefault="00B06671" w:rsidP="00042D08">
      <w:pPr>
        <w:pStyle w:val="paragraph"/>
        <w:numPr>
          <w:ilvl w:val="0"/>
          <w:numId w:val="46"/>
        </w:numPr>
        <w:spacing w:before="120" w:beforeAutospacing="0" w:after="120" w:afterAutospacing="0"/>
        <w:ind w:left="0" w:firstLine="675"/>
        <w:jc w:val="both"/>
        <w:textAlignment w:val="baseline"/>
        <w:rPr>
          <w:color w:val="000000"/>
          <w:sz w:val="22"/>
          <w:lang w:val="fr-CA"/>
        </w:rPr>
      </w:pPr>
      <w:r>
        <w:rPr>
          <w:color w:val="000000"/>
          <w:sz w:val="22"/>
          <w:lang w:val="es-ES"/>
        </w:rPr>
        <w:t>Integración de la diversidad biológica en todos los sectores;</w:t>
      </w:r>
    </w:p>
    <w:p w:rsidR="00B06671" w:rsidRDefault="00B06671" w:rsidP="00042D08">
      <w:pPr>
        <w:pStyle w:val="paragraph"/>
        <w:numPr>
          <w:ilvl w:val="0"/>
          <w:numId w:val="46"/>
        </w:numPr>
        <w:spacing w:before="120" w:beforeAutospacing="0" w:after="120" w:afterAutospacing="0"/>
        <w:ind w:left="0" w:firstLine="675"/>
        <w:jc w:val="both"/>
        <w:textAlignment w:val="baseline"/>
        <w:rPr>
          <w:color w:val="000000"/>
          <w:sz w:val="22"/>
        </w:rPr>
      </w:pPr>
      <w:r>
        <w:rPr>
          <w:rStyle w:val="normaltextrun"/>
          <w:color w:val="000000"/>
          <w:sz w:val="22"/>
          <w:lang w:val="es-ES"/>
        </w:rPr>
        <w:t>Implicación del sector privado, las instituciones académicas y las sociedades civiles;</w:t>
      </w:r>
    </w:p>
    <w:p w:rsidR="00B06671" w:rsidRPr="00236FCA" w:rsidRDefault="00B06671" w:rsidP="00042D08">
      <w:pPr>
        <w:pStyle w:val="paragraph"/>
        <w:numPr>
          <w:ilvl w:val="0"/>
          <w:numId w:val="46"/>
        </w:numPr>
        <w:spacing w:before="120" w:beforeAutospacing="0" w:after="120" w:afterAutospacing="0"/>
        <w:ind w:left="0" w:firstLine="675"/>
        <w:jc w:val="both"/>
        <w:textAlignment w:val="baseline"/>
        <w:rPr>
          <w:rStyle w:val="normaltextrun"/>
          <w:color w:val="000000"/>
          <w:sz w:val="22"/>
          <w:lang w:val="fr-CA"/>
        </w:rPr>
      </w:pPr>
      <w:r>
        <w:rPr>
          <w:rStyle w:val="normaltextrun"/>
          <w:sz w:val="22"/>
          <w:lang w:val="es-ES"/>
        </w:rPr>
        <w:t xml:space="preserve">Seguridad en la utilización de la diversidad biológica para prevenir </w:t>
      </w:r>
      <w:r>
        <w:rPr>
          <w:rStyle w:val="normaltextrun"/>
          <w:color w:val="000000"/>
          <w:sz w:val="22"/>
          <w:lang w:val="es-ES"/>
        </w:rPr>
        <w:t>el riesgo de efectos colaterales de las enfermedades zoonóticas, la propagación de especies exóticas invasoras y el comercio ilegal de fauna y flora silvestres;</w:t>
      </w:r>
    </w:p>
    <w:p w:rsidR="00B06671" w:rsidRPr="00236FCA" w:rsidRDefault="00B06671" w:rsidP="00042D08">
      <w:pPr>
        <w:pStyle w:val="paragraph"/>
        <w:numPr>
          <w:ilvl w:val="0"/>
          <w:numId w:val="46"/>
        </w:numPr>
        <w:spacing w:before="120" w:beforeAutospacing="0" w:after="120" w:afterAutospacing="0"/>
        <w:ind w:left="0" w:firstLine="675"/>
        <w:jc w:val="both"/>
        <w:textAlignment w:val="baseline"/>
        <w:rPr>
          <w:rStyle w:val="normaltextrun"/>
          <w:color w:val="000000"/>
          <w:sz w:val="22"/>
          <w:lang w:val="fr-CA"/>
        </w:rPr>
      </w:pPr>
      <w:r>
        <w:rPr>
          <w:rStyle w:val="normaltextrun"/>
          <w:sz w:val="22"/>
          <w:lang w:val="es-ES"/>
        </w:rPr>
        <w:t>Reconocimiento y voluntad política en los más altos niveles de gobierno respecto de la necesidad urgente de detener la pérdida de diversidad biológica;</w:t>
      </w:r>
    </w:p>
    <w:p w:rsidR="00B06671" w:rsidRPr="00236FCA" w:rsidRDefault="00B06671" w:rsidP="00042D08">
      <w:pPr>
        <w:pStyle w:val="paragraph"/>
        <w:numPr>
          <w:ilvl w:val="0"/>
          <w:numId w:val="46"/>
        </w:numPr>
        <w:spacing w:before="120" w:beforeAutospacing="0" w:after="120" w:afterAutospacing="0"/>
        <w:ind w:left="0" w:firstLine="675"/>
        <w:jc w:val="both"/>
        <w:textAlignment w:val="baseline"/>
        <w:rPr>
          <w:sz w:val="22"/>
          <w:lang w:val="fr-CA"/>
        </w:rPr>
      </w:pPr>
      <w:r>
        <w:rPr>
          <w:sz w:val="22"/>
          <w:lang w:val="es-ES"/>
        </w:rPr>
        <w:lastRenderedPageBreak/>
        <w:t>La participación activa de los gobiernos subnacionales, las ciudades y otras autoridades locales y reconocimiento de su competencia y funciones específicas para la implementación del marco;</w:t>
      </w:r>
    </w:p>
    <w:p w:rsidR="00B06671" w:rsidRPr="00236FCA" w:rsidRDefault="00B06671" w:rsidP="00042D08">
      <w:pPr>
        <w:pStyle w:val="paragraph"/>
        <w:numPr>
          <w:ilvl w:val="0"/>
          <w:numId w:val="46"/>
        </w:numPr>
        <w:spacing w:before="120" w:beforeAutospacing="0" w:after="120" w:afterAutospacing="0"/>
        <w:ind w:left="0" w:firstLine="675"/>
        <w:jc w:val="both"/>
        <w:textAlignment w:val="baseline"/>
        <w:rPr>
          <w:sz w:val="22"/>
          <w:lang w:val="fr-CA"/>
        </w:rPr>
      </w:pPr>
      <w:r>
        <w:rPr>
          <w:kern w:val="22"/>
          <w:sz w:val="22"/>
          <w:lang w:val="es-ES"/>
        </w:rPr>
        <w:t>Considerar y reconocer, donde corresponda, los derechos de la naturaleza.</w:t>
      </w:r>
    </w:p>
    <w:p w:rsidR="00B06671" w:rsidRPr="00FC67E5" w:rsidRDefault="00B06671" w:rsidP="00B06671">
      <w:pPr>
        <w:pStyle w:val="Heading2"/>
        <w:numPr>
          <w:ilvl w:val="0"/>
          <w:numId w:val="4"/>
        </w:numPr>
        <w:suppressLineNumbers/>
        <w:tabs>
          <w:tab w:val="clear" w:pos="720"/>
        </w:tabs>
        <w:suppressAutoHyphens/>
        <w:spacing w:before="0" w:after="0"/>
        <w:ind w:left="714" w:hanging="357"/>
        <w:rPr>
          <w:rFonts w:eastAsia="Malgun Gothic"/>
          <w:bCs w:val="0"/>
          <w:iCs w:val="0"/>
          <w:kern w:val="22"/>
          <w:szCs w:val="22"/>
        </w:rPr>
      </w:pPr>
      <w:r w:rsidRPr="00FC67E5">
        <w:rPr>
          <w:bCs w:val="0"/>
          <w:iCs w:val="0"/>
          <w:kern w:val="22"/>
          <w:szCs w:val="22"/>
          <w:lang w:val="es-ES"/>
        </w:rPr>
        <w:t>Responsabilidad y transparencia</w:t>
      </w:r>
      <w:r w:rsidR="006145F9" w:rsidRPr="006145F9">
        <w:rPr>
          <w:rStyle w:val="FootnoteReference"/>
          <w:bCs w:val="0"/>
          <w:iCs w:val="0"/>
          <w:kern w:val="22"/>
          <w:szCs w:val="22"/>
          <w:u w:val="none"/>
          <w:vertAlign w:val="superscript"/>
          <w:lang w:val="es-ES"/>
        </w:rPr>
        <w:footnoteReference w:id="9"/>
      </w:r>
    </w:p>
    <w:p w:rsidR="00B06671" w:rsidRPr="00236FCA" w:rsidRDefault="00B06671" w:rsidP="00B06671">
      <w:pPr>
        <w:pStyle w:val="Para1"/>
        <w:numPr>
          <w:ilvl w:val="0"/>
          <w:numId w:val="2"/>
        </w:numPr>
        <w:suppressLineNumbers/>
        <w:tabs>
          <w:tab w:val="clear" w:pos="360"/>
        </w:tabs>
        <w:suppressAutoHyphens/>
        <w:snapToGrid w:val="0"/>
        <w:rPr>
          <w:szCs w:val="24"/>
          <w:lang w:val="fr-CA"/>
        </w:rPr>
      </w:pPr>
      <w:r>
        <w:rPr>
          <w:kern w:val="22"/>
          <w:szCs w:val="24"/>
          <w:lang w:val="es-ES"/>
        </w:rPr>
        <w:t>La implementación exitosa del marco depende de la utilización de un sistema integral de planificación, presentación de informes y revisión.</w:t>
      </w:r>
      <w:r w:rsidRPr="00236FCA">
        <w:rPr>
          <w:kern w:val="22"/>
          <w:szCs w:val="24"/>
          <w:lang w:val="fr-CA"/>
        </w:rPr>
        <w:t xml:space="preserve"> </w:t>
      </w:r>
      <w:r>
        <w:rPr>
          <w:kern w:val="22"/>
          <w:szCs w:val="24"/>
          <w:lang w:val="es-ES"/>
        </w:rPr>
        <w:t xml:space="preserve">Ello permite comunicar a todos de manera transparente los progresos realizados, corregir rápidamente el rumbo y aportar </w:t>
      </w:r>
      <w:r w:rsidR="00180B99">
        <w:rPr>
          <w:kern w:val="22"/>
          <w:szCs w:val="24"/>
          <w:lang w:val="es-ES"/>
        </w:rPr>
        <w:t xml:space="preserve">oportunamente </w:t>
      </w:r>
      <w:r>
        <w:rPr>
          <w:kern w:val="22"/>
          <w:szCs w:val="24"/>
          <w:lang w:val="es-ES"/>
        </w:rPr>
        <w:t>insumos para la preparación del próximo marco mundial de la diversidad biológica.</w:t>
      </w:r>
    </w:p>
    <w:p w:rsidR="00B06671" w:rsidRPr="00236FCA" w:rsidRDefault="00B06671" w:rsidP="00B06671">
      <w:pPr>
        <w:pStyle w:val="Para1"/>
        <w:numPr>
          <w:ilvl w:val="0"/>
          <w:numId w:val="2"/>
        </w:numPr>
        <w:suppressLineNumbers/>
        <w:tabs>
          <w:tab w:val="clear" w:pos="360"/>
        </w:tabs>
        <w:suppressAutoHyphens/>
        <w:snapToGrid w:val="0"/>
        <w:rPr>
          <w:szCs w:val="24"/>
          <w:lang w:val="fr-CA"/>
        </w:rPr>
      </w:pPr>
      <w:r>
        <w:rPr>
          <w:kern w:val="22"/>
          <w:szCs w:val="24"/>
          <w:lang w:val="es-ES"/>
        </w:rPr>
        <w:t>Este sistema reduce al mínimo la carga para las Partes, la Secretaría y otras entidades.</w:t>
      </w:r>
      <w:r w:rsidRPr="00236FCA">
        <w:rPr>
          <w:kern w:val="22"/>
          <w:szCs w:val="24"/>
          <w:lang w:val="fr-CA"/>
        </w:rPr>
        <w:t xml:space="preserve"> </w:t>
      </w:r>
      <w:r>
        <w:rPr>
          <w:kern w:val="22"/>
          <w:szCs w:val="24"/>
          <w:lang w:val="es-ES"/>
        </w:rPr>
        <w:t>Está alineado con otros procesos y otros convenios multilaterales pertinentes, incluida la Agenda 2030 y los Objetivos de Desarrollo Sostenible</w:t>
      </w:r>
      <w:r w:rsidR="00180B99">
        <w:rPr>
          <w:kern w:val="22"/>
          <w:szCs w:val="24"/>
          <w:lang w:val="es-ES"/>
        </w:rPr>
        <w:t>, y donde corresponda integrado a ellos</w:t>
      </w:r>
      <w:r>
        <w:rPr>
          <w:kern w:val="22"/>
          <w:szCs w:val="24"/>
          <w:lang w:val="es-ES"/>
        </w:rPr>
        <w:t>.</w:t>
      </w:r>
    </w:p>
    <w:p w:rsidR="00B06671" w:rsidRPr="00236FCA" w:rsidRDefault="00B06671" w:rsidP="00B06671">
      <w:pPr>
        <w:pStyle w:val="Para1"/>
        <w:numPr>
          <w:ilvl w:val="0"/>
          <w:numId w:val="2"/>
        </w:numPr>
        <w:suppressLineNumbers/>
        <w:tabs>
          <w:tab w:val="clear" w:pos="360"/>
        </w:tabs>
        <w:suppressAutoHyphens/>
        <w:snapToGrid w:val="0"/>
        <w:rPr>
          <w:szCs w:val="24"/>
          <w:lang w:val="fr-CA"/>
        </w:rPr>
      </w:pPr>
      <w:r>
        <w:rPr>
          <w:kern w:val="22"/>
          <w:szCs w:val="24"/>
          <w:lang w:val="es-ES"/>
        </w:rPr>
        <w:t>El sistema se complementará con los sistemas de actores no estatales y se alienta a desarrollar nuevos sistemas o adaptar los existentes.</w:t>
      </w:r>
      <w:r w:rsidRPr="00236FCA">
        <w:rPr>
          <w:kern w:val="22"/>
          <w:szCs w:val="24"/>
          <w:lang w:val="fr-CA"/>
        </w:rPr>
        <w:t xml:space="preserve"> </w:t>
      </w:r>
    </w:p>
    <w:p w:rsidR="00B06671" w:rsidRPr="00236FCA" w:rsidRDefault="00B06671" w:rsidP="00B06671">
      <w:pPr>
        <w:pStyle w:val="Para1"/>
        <w:numPr>
          <w:ilvl w:val="0"/>
          <w:numId w:val="2"/>
        </w:numPr>
        <w:suppressLineNumbers/>
        <w:tabs>
          <w:tab w:val="clear" w:pos="360"/>
        </w:tabs>
        <w:suppressAutoHyphens/>
        <w:snapToGrid w:val="0"/>
        <w:rPr>
          <w:kern w:val="22"/>
          <w:szCs w:val="24"/>
          <w:lang w:val="fr-CA"/>
        </w:rPr>
      </w:pPr>
      <w:r>
        <w:rPr>
          <w:kern w:val="22"/>
          <w:szCs w:val="24"/>
          <w:lang w:val="es-ES"/>
        </w:rPr>
        <w:t>El sistema para la planificación, presentación de informes y revisión para las entidades gubernamentales nacionales incluye los siguientes elementos:</w:t>
      </w:r>
    </w:p>
    <w:p w:rsidR="00B06671" w:rsidRPr="00FC67E5" w:rsidRDefault="00B06671" w:rsidP="00042D08">
      <w:pPr>
        <w:pStyle w:val="Para1"/>
        <w:numPr>
          <w:ilvl w:val="0"/>
          <w:numId w:val="37"/>
        </w:numPr>
        <w:suppressLineNumbers/>
        <w:tabs>
          <w:tab w:val="clear" w:pos="1440"/>
        </w:tabs>
        <w:suppressAutoHyphens/>
        <w:ind w:left="0" w:firstLine="720"/>
        <w:rPr>
          <w:kern w:val="22"/>
          <w:szCs w:val="22"/>
        </w:rPr>
      </w:pPr>
      <w:r w:rsidRPr="00FC67E5">
        <w:rPr>
          <w:kern w:val="22"/>
          <w:szCs w:val="22"/>
          <w:lang w:val="es-ES"/>
        </w:rPr>
        <w:t>Planificación:</w:t>
      </w:r>
    </w:p>
    <w:p w:rsidR="00B06671" w:rsidRPr="00236FCA" w:rsidRDefault="00B06671" w:rsidP="00042D08">
      <w:pPr>
        <w:pStyle w:val="Para1"/>
        <w:numPr>
          <w:ilvl w:val="2"/>
          <w:numId w:val="47"/>
        </w:numPr>
        <w:suppressLineNumbers/>
        <w:suppressAutoHyphens/>
        <w:ind w:left="1985" w:hanging="567"/>
        <w:rPr>
          <w:szCs w:val="24"/>
          <w:lang w:val="fr-CA"/>
        </w:rPr>
      </w:pPr>
      <w:r>
        <w:rPr>
          <w:kern w:val="22"/>
          <w:szCs w:val="24"/>
          <w:lang w:val="es-ES"/>
        </w:rPr>
        <w:t>Estrategias y planes de acción nacionales:</w:t>
      </w:r>
      <w:r w:rsidRPr="00236FCA">
        <w:rPr>
          <w:kern w:val="22"/>
          <w:szCs w:val="24"/>
          <w:lang w:val="fr-CA"/>
        </w:rPr>
        <w:t xml:space="preserve"> </w:t>
      </w:r>
    </w:p>
    <w:p w:rsidR="00B06671" w:rsidRPr="00236FCA" w:rsidRDefault="00B06671" w:rsidP="00B06671">
      <w:pPr>
        <w:pStyle w:val="Para1"/>
        <w:numPr>
          <w:ilvl w:val="3"/>
          <w:numId w:val="28"/>
        </w:numPr>
        <w:suppressLineNumbers/>
        <w:suppressAutoHyphens/>
        <w:ind w:left="2552"/>
        <w:rPr>
          <w:kern w:val="22"/>
          <w:szCs w:val="24"/>
          <w:lang w:val="fr-CA"/>
        </w:rPr>
      </w:pPr>
      <w:r>
        <w:rPr>
          <w:kern w:val="22"/>
          <w:szCs w:val="24"/>
          <w:lang w:val="es-ES"/>
        </w:rPr>
        <w:t>Son los principales instrumentos para la definición de compromisos nacionales;</w:t>
      </w:r>
    </w:p>
    <w:p w:rsidR="00B06671" w:rsidRDefault="00B06671" w:rsidP="00B06671">
      <w:pPr>
        <w:pStyle w:val="Para1"/>
        <w:numPr>
          <w:ilvl w:val="3"/>
          <w:numId w:val="28"/>
        </w:numPr>
        <w:suppressLineNumbers/>
        <w:suppressAutoHyphens/>
        <w:ind w:left="2552"/>
        <w:rPr>
          <w:kern w:val="22"/>
          <w:szCs w:val="24"/>
        </w:rPr>
      </w:pPr>
      <w:r>
        <w:rPr>
          <w:kern w:val="22"/>
          <w:szCs w:val="24"/>
          <w:lang w:val="es-ES"/>
        </w:rPr>
        <w:t xml:space="preserve">Incluyen todas las metas y medidas; </w:t>
      </w:r>
    </w:p>
    <w:p w:rsidR="00B06671" w:rsidRDefault="00B06671" w:rsidP="00B06671">
      <w:pPr>
        <w:pStyle w:val="Para1"/>
        <w:numPr>
          <w:ilvl w:val="3"/>
          <w:numId w:val="28"/>
        </w:numPr>
        <w:suppressLineNumbers/>
        <w:suppressAutoHyphens/>
        <w:ind w:left="2552"/>
        <w:rPr>
          <w:kern w:val="22"/>
          <w:szCs w:val="24"/>
        </w:rPr>
      </w:pPr>
      <w:r>
        <w:rPr>
          <w:kern w:val="22"/>
          <w:szCs w:val="24"/>
          <w:lang w:val="es-ES"/>
        </w:rPr>
        <w:t xml:space="preserve">Abordan todos los indicadores de desempeño pertinentes para las metas definidas sobre la base del marco de seguimiento adjunto a este marco; </w:t>
      </w:r>
    </w:p>
    <w:p w:rsidR="00B06671" w:rsidRPr="00236FCA" w:rsidRDefault="00B06671" w:rsidP="00B06671">
      <w:pPr>
        <w:pStyle w:val="Para1"/>
        <w:numPr>
          <w:ilvl w:val="3"/>
          <w:numId w:val="28"/>
        </w:numPr>
        <w:suppressLineNumbers/>
        <w:suppressAutoHyphens/>
        <w:ind w:left="2552"/>
        <w:rPr>
          <w:kern w:val="22"/>
          <w:szCs w:val="24"/>
          <w:lang w:val="fr-CA"/>
        </w:rPr>
      </w:pPr>
      <w:r>
        <w:rPr>
          <w:kern w:val="22"/>
          <w:szCs w:val="24"/>
          <w:lang w:val="es-ES"/>
        </w:rPr>
        <w:t>Deberían incluir un plan de financiamiento;</w:t>
      </w:r>
    </w:p>
    <w:p w:rsidR="00B06671" w:rsidRDefault="00B06671" w:rsidP="00B06671">
      <w:pPr>
        <w:pStyle w:val="Para1"/>
        <w:numPr>
          <w:ilvl w:val="3"/>
          <w:numId w:val="28"/>
        </w:numPr>
        <w:suppressLineNumbers/>
        <w:suppressAutoHyphens/>
        <w:ind w:left="2552"/>
        <w:rPr>
          <w:kern w:val="22"/>
          <w:szCs w:val="24"/>
        </w:rPr>
      </w:pPr>
      <w:r>
        <w:rPr>
          <w:kern w:val="22"/>
          <w:szCs w:val="24"/>
          <w:lang w:val="es-ES"/>
        </w:rPr>
        <w:t xml:space="preserve">Deberían actualizarse rápidamente </w:t>
      </w:r>
      <w:r w:rsidR="00180B99">
        <w:rPr>
          <w:kern w:val="22"/>
          <w:szCs w:val="24"/>
          <w:lang w:val="es-ES"/>
        </w:rPr>
        <w:t>siguiendo</w:t>
      </w:r>
      <w:r>
        <w:rPr>
          <w:kern w:val="22"/>
          <w:szCs w:val="24"/>
          <w:lang w:val="es-ES"/>
        </w:rPr>
        <w:t xml:space="preserve"> un calendario acordado.</w:t>
      </w:r>
    </w:p>
    <w:p w:rsidR="00B06671" w:rsidRPr="00236FCA" w:rsidRDefault="00B06671" w:rsidP="00042D08">
      <w:pPr>
        <w:pStyle w:val="Para1"/>
        <w:numPr>
          <w:ilvl w:val="2"/>
          <w:numId w:val="47"/>
        </w:numPr>
        <w:suppressLineNumbers/>
        <w:tabs>
          <w:tab w:val="left" w:pos="2340"/>
        </w:tabs>
        <w:suppressAutoHyphens/>
        <w:ind w:left="1985" w:hanging="567"/>
        <w:rPr>
          <w:kern w:val="22"/>
          <w:szCs w:val="24"/>
          <w:lang w:val="fr-CA"/>
        </w:rPr>
      </w:pPr>
      <w:r>
        <w:rPr>
          <w:kern w:val="22"/>
          <w:szCs w:val="24"/>
          <w:lang w:val="es-ES"/>
        </w:rPr>
        <w:t>Los indicadores</w:t>
      </w:r>
      <w:r w:rsidR="00180B99">
        <w:rPr>
          <w:kern w:val="22"/>
          <w:szCs w:val="24"/>
          <w:lang w:val="es-ES"/>
        </w:rPr>
        <w:t>, incluidos indicadores de cabecera,</w:t>
      </w:r>
      <w:r>
        <w:rPr>
          <w:kern w:val="22"/>
          <w:szCs w:val="24"/>
          <w:lang w:val="es-ES"/>
        </w:rPr>
        <w:t xml:space="preserve"> serán una parte importante del proceso de planificación y presentación de informes; </w:t>
      </w:r>
    </w:p>
    <w:p w:rsidR="00B06671" w:rsidRPr="00236FCA" w:rsidRDefault="00B06671" w:rsidP="00042D08">
      <w:pPr>
        <w:pStyle w:val="Para1"/>
        <w:numPr>
          <w:ilvl w:val="2"/>
          <w:numId w:val="47"/>
        </w:numPr>
        <w:suppressLineNumbers/>
        <w:tabs>
          <w:tab w:val="num" w:pos="900"/>
        </w:tabs>
        <w:suppressAutoHyphens/>
        <w:ind w:left="1985" w:hanging="567"/>
        <w:rPr>
          <w:kern w:val="22"/>
          <w:szCs w:val="24"/>
          <w:lang w:val="fr-CA"/>
        </w:rPr>
      </w:pPr>
      <w:r>
        <w:rPr>
          <w:kern w:val="22"/>
          <w:szCs w:val="24"/>
          <w:lang w:val="es-ES"/>
        </w:rPr>
        <w:t>Los documentos de planificación se actualizarán continuamente.</w:t>
      </w:r>
    </w:p>
    <w:p w:rsidR="00B06671" w:rsidRDefault="00B06671" w:rsidP="00B06671">
      <w:pPr>
        <w:pStyle w:val="Para1"/>
        <w:numPr>
          <w:ilvl w:val="0"/>
          <w:numId w:val="37"/>
        </w:numPr>
        <w:suppressLineNumbers/>
        <w:suppressAutoHyphens/>
        <w:ind w:left="0" w:firstLine="720"/>
        <w:rPr>
          <w:kern w:val="22"/>
          <w:szCs w:val="24"/>
        </w:rPr>
      </w:pPr>
      <w:r>
        <w:rPr>
          <w:kern w:val="22"/>
          <w:szCs w:val="24"/>
          <w:lang w:val="es-ES"/>
        </w:rPr>
        <w:t>Presentación de informes:</w:t>
      </w:r>
    </w:p>
    <w:p w:rsidR="00B06671" w:rsidRDefault="00B06671" w:rsidP="00042D08">
      <w:pPr>
        <w:pStyle w:val="Para1"/>
        <w:numPr>
          <w:ilvl w:val="0"/>
          <w:numId w:val="39"/>
        </w:numPr>
        <w:suppressLineNumbers/>
        <w:suppressAutoHyphens/>
        <w:ind w:left="2127" w:hanging="426"/>
        <w:rPr>
          <w:szCs w:val="24"/>
        </w:rPr>
      </w:pPr>
      <w:r>
        <w:rPr>
          <w:kern w:val="22"/>
          <w:szCs w:val="24"/>
          <w:lang w:val="es-ES"/>
        </w:rPr>
        <w:t>Informes nacionales;</w:t>
      </w:r>
      <w:r>
        <w:rPr>
          <w:kern w:val="22"/>
          <w:szCs w:val="24"/>
        </w:rPr>
        <w:t xml:space="preserve"> </w:t>
      </w:r>
    </w:p>
    <w:p w:rsidR="00B06671" w:rsidRPr="00236FCA" w:rsidRDefault="00B06671" w:rsidP="00B12AA1">
      <w:pPr>
        <w:pStyle w:val="Para1"/>
        <w:numPr>
          <w:ilvl w:val="3"/>
          <w:numId w:val="29"/>
        </w:numPr>
        <w:suppressLineNumbers/>
        <w:suppressAutoHyphens/>
        <w:ind w:left="2552" w:hanging="425"/>
        <w:rPr>
          <w:kern w:val="22"/>
          <w:szCs w:val="24"/>
          <w:lang w:val="fr-CA"/>
        </w:rPr>
      </w:pPr>
      <w:r>
        <w:rPr>
          <w:kern w:val="22"/>
          <w:szCs w:val="24"/>
          <w:lang w:val="es-ES"/>
        </w:rPr>
        <w:t>En los informes nacionales se comunicarán todas las medidas definidas en las estrategias y planes de acción nacionales usando indicadores acordados, incluidos indicadores de cabecera;</w:t>
      </w:r>
    </w:p>
    <w:p w:rsidR="00B06671" w:rsidRPr="00236FCA" w:rsidRDefault="00B06671" w:rsidP="00B12AA1">
      <w:pPr>
        <w:pStyle w:val="Para1"/>
        <w:numPr>
          <w:ilvl w:val="3"/>
          <w:numId w:val="29"/>
        </w:numPr>
        <w:suppressLineNumbers/>
        <w:suppressAutoHyphens/>
        <w:ind w:left="2552" w:hanging="425"/>
        <w:rPr>
          <w:kern w:val="22"/>
          <w:szCs w:val="24"/>
          <w:lang w:val="fr-CA"/>
        </w:rPr>
      </w:pPr>
      <w:r>
        <w:rPr>
          <w:kern w:val="22"/>
          <w:szCs w:val="24"/>
          <w:lang w:val="es-ES"/>
        </w:rPr>
        <w:t xml:space="preserve">Los informes nacionales se emitirán periódicamente y dentro de los plazos, </w:t>
      </w:r>
      <w:r w:rsidR="00180B99">
        <w:rPr>
          <w:kern w:val="22"/>
          <w:szCs w:val="24"/>
          <w:lang w:val="es-ES"/>
        </w:rPr>
        <w:t>siguiendo</w:t>
      </w:r>
      <w:r>
        <w:rPr>
          <w:kern w:val="22"/>
          <w:szCs w:val="24"/>
          <w:lang w:val="es-ES"/>
        </w:rPr>
        <w:t xml:space="preserve"> el calendario acordado.</w:t>
      </w:r>
    </w:p>
    <w:p w:rsidR="00B06671" w:rsidRDefault="00B06671" w:rsidP="00B12AA1">
      <w:pPr>
        <w:pStyle w:val="Para1"/>
        <w:numPr>
          <w:ilvl w:val="0"/>
          <w:numId w:val="39"/>
        </w:numPr>
        <w:suppressLineNumbers/>
        <w:suppressAutoHyphens/>
        <w:ind w:left="2127" w:hanging="426"/>
        <w:rPr>
          <w:kern w:val="22"/>
          <w:szCs w:val="24"/>
        </w:rPr>
      </w:pPr>
      <w:r>
        <w:rPr>
          <w:kern w:val="22"/>
          <w:szCs w:val="24"/>
          <w:lang w:val="es-ES"/>
        </w:rPr>
        <w:t>Informes mundiales:</w:t>
      </w:r>
    </w:p>
    <w:p w:rsidR="00B06671" w:rsidRDefault="00B06671" w:rsidP="00B12AA1">
      <w:pPr>
        <w:pStyle w:val="Para1"/>
        <w:numPr>
          <w:ilvl w:val="3"/>
          <w:numId w:val="30"/>
        </w:numPr>
        <w:suppressLineNumbers/>
        <w:suppressAutoHyphens/>
        <w:ind w:left="2552" w:hanging="425"/>
        <w:rPr>
          <w:szCs w:val="24"/>
        </w:rPr>
      </w:pPr>
      <w:r>
        <w:rPr>
          <w:kern w:val="22"/>
          <w:szCs w:val="24"/>
          <w:lang w:val="es-ES"/>
        </w:rPr>
        <w:t>Balance mundial:</w:t>
      </w:r>
      <w:r>
        <w:rPr>
          <w:kern w:val="22"/>
          <w:szCs w:val="24"/>
        </w:rPr>
        <w:t xml:space="preserve"> </w:t>
      </w:r>
    </w:p>
    <w:p w:rsidR="00B06671" w:rsidRPr="00236FCA" w:rsidRDefault="00B06671" w:rsidP="00B12AA1">
      <w:pPr>
        <w:pStyle w:val="Para1"/>
        <w:numPr>
          <w:ilvl w:val="4"/>
          <w:numId w:val="31"/>
        </w:numPr>
        <w:suppressLineNumbers/>
        <w:suppressAutoHyphens/>
        <w:ind w:left="2977" w:hanging="283"/>
        <w:rPr>
          <w:kern w:val="22"/>
          <w:szCs w:val="24"/>
          <w:lang w:val="fr-CA"/>
        </w:rPr>
      </w:pPr>
      <w:r>
        <w:rPr>
          <w:kern w:val="22"/>
          <w:szCs w:val="24"/>
          <w:lang w:val="es-ES"/>
        </w:rPr>
        <w:t>Comparación mundial de información estadística;</w:t>
      </w:r>
    </w:p>
    <w:p w:rsidR="00B06671" w:rsidRPr="00236FCA" w:rsidRDefault="00B06671" w:rsidP="00B12AA1">
      <w:pPr>
        <w:pStyle w:val="Para1"/>
        <w:numPr>
          <w:ilvl w:val="4"/>
          <w:numId w:val="31"/>
        </w:numPr>
        <w:suppressLineNumbers/>
        <w:suppressAutoHyphens/>
        <w:ind w:left="2977" w:hanging="283"/>
        <w:rPr>
          <w:szCs w:val="24"/>
          <w:lang w:val="fr-CA"/>
        </w:rPr>
      </w:pPr>
      <w:r>
        <w:rPr>
          <w:kern w:val="22"/>
          <w:szCs w:val="24"/>
          <w:lang w:val="es-ES"/>
        </w:rPr>
        <w:lastRenderedPageBreak/>
        <w:t>Se realiza frecuentemente siguiendo un calendario acordado.</w:t>
      </w:r>
      <w:r w:rsidRPr="00236FCA">
        <w:rPr>
          <w:kern w:val="22"/>
          <w:szCs w:val="24"/>
          <w:lang w:val="fr-CA"/>
        </w:rPr>
        <w:t xml:space="preserve"> </w:t>
      </w:r>
    </w:p>
    <w:p w:rsidR="00B06671" w:rsidRPr="00236FCA" w:rsidRDefault="00B06671" w:rsidP="00B12AA1">
      <w:pPr>
        <w:pStyle w:val="Para1"/>
        <w:numPr>
          <w:ilvl w:val="0"/>
          <w:numId w:val="39"/>
        </w:numPr>
        <w:suppressLineNumbers/>
        <w:tabs>
          <w:tab w:val="clear" w:pos="900"/>
        </w:tabs>
        <w:suppressAutoHyphens/>
        <w:ind w:left="2127" w:hanging="426"/>
        <w:rPr>
          <w:kern w:val="22"/>
          <w:szCs w:val="24"/>
          <w:lang w:val="fr-CA"/>
        </w:rPr>
      </w:pPr>
      <w:r>
        <w:rPr>
          <w:kern w:val="22"/>
          <w:szCs w:val="24"/>
          <w:lang w:val="es-ES"/>
        </w:rPr>
        <w:t xml:space="preserve">Un calendario de presentación de informes </w:t>
      </w:r>
      <w:r w:rsidR="00180B99">
        <w:rPr>
          <w:kern w:val="22"/>
          <w:szCs w:val="24"/>
          <w:lang w:val="es-ES"/>
        </w:rPr>
        <w:t xml:space="preserve">que </w:t>
      </w:r>
      <w:r>
        <w:rPr>
          <w:kern w:val="22"/>
          <w:szCs w:val="24"/>
          <w:lang w:val="es-ES"/>
        </w:rPr>
        <w:t>utilizará</w:t>
      </w:r>
      <w:r w:rsidR="00180B99">
        <w:rPr>
          <w:kern w:val="22"/>
          <w:szCs w:val="24"/>
          <w:lang w:val="es-ES"/>
        </w:rPr>
        <w:t>n</w:t>
      </w:r>
      <w:r>
        <w:rPr>
          <w:kern w:val="22"/>
          <w:szCs w:val="24"/>
          <w:lang w:val="es-ES"/>
        </w:rPr>
        <w:t xml:space="preserve"> sistemáticamente todas las instituciones involucradas;</w:t>
      </w:r>
    </w:p>
    <w:p w:rsidR="00B06671" w:rsidRPr="00236FCA" w:rsidRDefault="00B06671" w:rsidP="00B12AA1">
      <w:pPr>
        <w:pStyle w:val="Para1"/>
        <w:numPr>
          <w:ilvl w:val="0"/>
          <w:numId w:val="39"/>
        </w:numPr>
        <w:suppressLineNumbers/>
        <w:tabs>
          <w:tab w:val="clear" w:pos="900"/>
          <w:tab w:val="num" w:pos="2127"/>
        </w:tabs>
        <w:suppressAutoHyphens/>
        <w:ind w:left="2127" w:hanging="426"/>
        <w:rPr>
          <w:kern w:val="22"/>
          <w:szCs w:val="24"/>
          <w:lang w:val="fr-CA"/>
        </w:rPr>
      </w:pPr>
      <w:r>
        <w:rPr>
          <w:kern w:val="22"/>
          <w:szCs w:val="24"/>
          <w:lang w:val="es-ES"/>
        </w:rPr>
        <w:t xml:space="preserve">Se examinará la eficacia y la complementariedad y oportunidad de los procesos de evaluación mundial, incluida la </w:t>
      </w:r>
      <w:r>
        <w:rPr>
          <w:i/>
          <w:kern w:val="22"/>
          <w:szCs w:val="24"/>
          <w:lang w:val="es-ES"/>
        </w:rPr>
        <w:t xml:space="preserve">Perspectiva Mundial sobre la Diversidad Biológica </w:t>
      </w:r>
      <w:r>
        <w:rPr>
          <w:kern w:val="22"/>
          <w:szCs w:val="24"/>
          <w:lang w:val="es-ES"/>
        </w:rPr>
        <w:t>y la Plataforma Intergubernamental Científico-Normativa sobre Diversidad Biológica y Servicios de los Ecosistemas.</w:t>
      </w:r>
    </w:p>
    <w:p w:rsidR="00B06671" w:rsidRDefault="00B06671" w:rsidP="00B12AA1">
      <w:pPr>
        <w:pStyle w:val="Para1"/>
        <w:numPr>
          <w:ilvl w:val="0"/>
          <w:numId w:val="37"/>
        </w:numPr>
        <w:suppressLineNumbers/>
        <w:suppressAutoHyphens/>
        <w:ind w:left="1440" w:hanging="731"/>
        <w:rPr>
          <w:szCs w:val="24"/>
        </w:rPr>
      </w:pPr>
      <w:r>
        <w:rPr>
          <w:kern w:val="22"/>
          <w:szCs w:val="24"/>
          <w:lang w:val="es-ES"/>
        </w:rPr>
        <w:t>Revisión:</w:t>
      </w:r>
    </w:p>
    <w:p w:rsidR="00B06671" w:rsidRPr="00236FCA" w:rsidRDefault="00B06671" w:rsidP="00B12AA1">
      <w:pPr>
        <w:pStyle w:val="Para1"/>
        <w:numPr>
          <w:ilvl w:val="0"/>
          <w:numId w:val="40"/>
        </w:numPr>
        <w:suppressLineNumbers/>
        <w:shd w:val="clear" w:color="auto" w:fill="FFFFFF"/>
        <w:tabs>
          <w:tab w:val="clear" w:pos="900"/>
        </w:tabs>
        <w:suppressAutoHyphens/>
        <w:ind w:left="2127" w:hanging="426"/>
        <w:rPr>
          <w:kern w:val="22"/>
          <w:szCs w:val="24"/>
          <w:lang w:val="fr-CA"/>
        </w:rPr>
      </w:pPr>
      <w:r>
        <w:rPr>
          <w:kern w:val="22"/>
          <w:szCs w:val="24"/>
          <w:lang w:val="es-ES"/>
        </w:rPr>
        <w:t>Análisis mundial de los progresos en los elementos objetivos/numéricos de las metas y progresos hacia los hitos y objetivos;</w:t>
      </w:r>
    </w:p>
    <w:p w:rsidR="00B06671" w:rsidRPr="00236FCA" w:rsidRDefault="00B06671" w:rsidP="00B12AA1">
      <w:pPr>
        <w:pStyle w:val="Para1"/>
        <w:numPr>
          <w:ilvl w:val="0"/>
          <w:numId w:val="40"/>
        </w:numPr>
        <w:suppressLineNumbers/>
        <w:shd w:val="clear" w:color="auto" w:fill="FFFFFF"/>
        <w:tabs>
          <w:tab w:val="clear" w:pos="900"/>
        </w:tabs>
        <w:suppressAutoHyphens/>
        <w:ind w:left="2127" w:hanging="426"/>
        <w:rPr>
          <w:kern w:val="22"/>
          <w:szCs w:val="24"/>
          <w:lang w:val="fr-CA"/>
        </w:rPr>
      </w:pPr>
      <w:r>
        <w:rPr>
          <w:kern w:val="22"/>
          <w:szCs w:val="24"/>
          <w:lang w:val="es-ES"/>
        </w:rPr>
        <w:t>[Foros de composición abierta] para la revisión de la implementación a nivel nacional y el intercambio de lecciones aprendidas y mejores prácticas;</w:t>
      </w:r>
    </w:p>
    <w:p w:rsidR="00B06671" w:rsidRPr="00236FCA" w:rsidRDefault="00B06671" w:rsidP="00B12AA1">
      <w:pPr>
        <w:pStyle w:val="Para1"/>
        <w:numPr>
          <w:ilvl w:val="0"/>
          <w:numId w:val="40"/>
        </w:numPr>
        <w:suppressLineNumbers/>
        <w:shd w:val="clear" w:color="auto" w:fill="FFFFFF"/>
        <w:tabs>
          <w:tab w:val="clear" w:pos="900"/>
        </w:tabs>
        <w:suppressAutoHyphens/>
        <w:ind w:left="2127" w:hanging="426"/>
        <w:rPr>
          <w:szCs w:val="24"/>
          <w:lang w:val="fr-CA"/>
        </w:rPr>
      </w:pPr>
      <w:r>
        <w:rPr>
          <w:kern w:val="22"/>
          <w:szCs w:val="24"/>
          <w:lang w:val="es-ES"/>
        </w:rPr>
        <w:t>Revisión por pares a fondo</w:t>
      </w:r>
      <w:r w:rsidR="00180B99">
        <w:rPr>
          <w:kern w:val="22"/>
          <w:szCs w:val="24"/>
          <w:lang w:val="es-ES"/>
        </w:rPr>
        <w:t xml:space="preserve"> y</w:t>
      </w:r>
      <w:r>
        <w:rPr>
          <w:kern w:val="22"/>
          <w:szCs w:val="24"/>
          <w:lang w:val="es-ES"/>
        </w:rPr>
        <w:t xml:space="preserve"> con carácter voluntario de la implementación nacional a cargo de expertos que pueden ser de otras Partes.</w:t>
      </w:r>
      <w:r w:rsidRPr="00236FCA">
        <w:rPr>
          <w:kern w:val="22"/>
          <w:szCs w:val="24"/>
          <w:lang w:val="fr-CA"/>
        </w:rPr>
        <w:t xml:space="preserve"> </w:t>
      </w:r>
    </w:p>
    <w:p w:rsidR="00B06671" w:rsidRPr="00B06671" w:rsidRDefault="00B06671" w:rsidP="00B12AA1">
      <w:pPr>
        <w:pStyle w:val="Heading2"/>
        <w:numPr>
          <w:ilvl w:val="0"/>
          <w:numId w:val="4"/>
        </w:numPr>
        <w:suppressLineNumbers/>
        <w:tabs>
          <w:tab w:val="clear" w:pos="720"/>
        </w:tabs>
        <w:suppressAutoHyphens/>
        <w:ind w:left="714" w:hanging="357"/>
        <w:rPr>
          <w:rFonts w:eastAsia="Malgun Gothic"/>
          <w:bCs w:val="0"/>
          <w:iCs w:val="0"/>
          <w:kern w:val="22"/>
        </w:rPr>
      </w:pPr>
      <w:r w:rsidRPr="00B06671">
        <w:rPr>
          <w:bCs w:val="0"/>
          <w:iCs w:val="0"/>
          <w:kern w:val="22"/>
          <w:lang w:val="es-ES"/>
        </w:rPr>
        <w:t xml:space="preserve">Divulgación, </w:t>
      </w:r>
      <w:r w:rsidR="00180B99">
        <w:rPr>
          <w:bCs w:val="0"/>
          <w:iCs w:val="0"/>
          <w:kern w:val="22"/>
          <w:lang w:val="es-ES"/>
        </w:rPr>
        <w:t>conocimiento</w:t>
      </w:r>
      <w:r w:rsidRPr="00B06671">
        <w:rPr>
          <w:bCs w:val="0"/>
          <w:iCs w:val="0"/>
          <w:kern w:val="22"/>
          <w:lang w:val="es-ES"/>
        </w:rPr>
        <w:t xml:space="preserve"> y a</w:t>
      </w:r>
      <w:r w:rsidR="00180B99">
        <w:rPr>
          <w:bCs w:val="0"/>
          <w:iCs w:val="0"/>
          <w:kern w:val="22"/>
          <w:lang w:val="es-ES"/>
        </w:rPr>
        <w:t>do</w:t>
      </w:r>
      <w:r w:rsidRPr="00B06671">
        <w:rPr>
          <w:bCs w:val="0"/>
          <w:iCs w:val="0"/>
          <w:kern w:val="22"/>
          <w:lang w:val="es-ES"/>
        </w:rPr>
        <w:t>pción</w:t>
      </w:r>
    </w:p>
    <w:p w:rsidR="00B06671" w:rsidRPr="00236FCA" w:rsidRDefault="00B06671" w:rsidP="00B06671">
      <w:pPr>
        <w:pStyle w:val="Para1"/>
        <w:numPr>
          <w:ilvl w:val="0"/>
          <w:numId w:val="2"/>
        </w:numPr>
        <w:suppressLineNumbers/>
        <w:tabs>
          <w:tab w:val="clear" w:pos="360"/>
        </w:tabs>
        <w:suppressAutoHyphens/>
        <w:snapToGrid w:val="0"/>
        <w:rPr>
          <w:rStyle w:val="normaltextrun"/>
          <w:kern w:val="22"/>
          <w:szCs w:val="24"/>
          <w:lang w:val="fr-CA"/>
        </w:rPr>
      </w:pPr>
      <w:r>
        <w:rPr>
          <w:rStyle w:val="normaltextrun"/>
          <w:szCs w:val="24"/>
          <w:lang w:val="es-ES"/>
        </w:rPr>
        <w:t xml:space="preserve">La divulgación, </w:t>
      </w:r>
      <w:r w:rsidR="00180B99">
        <w:rPr>
          <w:rStyle w:val="normaltextrun"/>
          <w:szCs w:val="24"/>
          <w:lang w:val="es-ES"/>
        </w:rPr>
        <w:t>conocimiento</w:t>
      </w:r>
      <w:r>
        <w:rPr>
          <w:rStyle w:val="normaltextrun"/>
          <w:szCs w:val="24"/>
          <w:lang w:val="es-ES"/>
        </w:rPr>
        <w:t xml:space="preserve"> y a</w:t>
      </w:r>
      <w:r w:rsidR="00180B99">
        <w:rPr>
          <w:rStyle w:val="normaltextrun"/>
          <w:szCs w:val="24"/>
          <w:lang w:val="es-ES"/>
        </w:rPr>
        <w:t>do</w:t>
      </w:r>
      <w:r>
        <w:rPr>
          <w:rStyle w:val="normaltextrun"/>
          <w:szCs w:val="24"/>
          <w:lang w:val="es-ES"/>
        </w:rPr>
        <w:t xml:space="preserve">pción del marco mundial de la diversidad biológica posterior a 2020 por todos los interesados directos es esencial para </w:t>
      </w:r>
      <w:r w:rsidR="00180B99">
        <w:rPr>
          <w:rStyle w:val="normaltextrun"/>
          <w:szCs w:val="24"/>
          <w:lang w:val="es-ES"/>
        </w:rPr>
        <w:t>su</w:t>
      </w:r>
      <w:r>
        <w:rPr>
          <w:rStyle w:val="normaltextrun"/>
          <w:szCs w:val="24"/>
          <w:lang w:val="es-ES"/>
        </w:rPr>
        <w:t xml:space="preserve"> implementación eficaz, entre otras cosas mediante lo siguiente:</w:t>
      </w:r>
    </w:p>
    <w:p w:rsidR="00B06671" w:rsidRPr="00236FCA" w:rsidRDefault="00B06671" w:rsidP="00B12AA1">
      <w:pPr>
        <w:pStyle w:val="Para1"/>
        <w:numPr>
          <w:ilvl w:val="0"/>
          <w:numId w:val="49"/>
        </w:numPr>
        <w:suppressLineNumbers/>
        <w:tabs>
          <w:tab w:val="clear" w:pos="1440"/>
        </w:tabs>
        <w:suppressAutoHyphens/>
        <w:ind w:left="0" w:firstLine="720"/>
        <w:rPr>
          <w:kern w:val="22"/>
          <w:szCs w:val="24"/>
          <w:lang w:val="fr-CA"/>
        </w:rPr>
      </w:pPr>
      <w:r>
        <w:rPr>
          <w:kern w:val="22"/>
          <w:szCs w:val="24"/>
          <w:lang w:val="es-ES"/>
        </w:rPr>
        <w:t>Aumentando la comprensión, la concienciación y la apreciación de los valores de la diversidad biológica, incluidos los conocimientos asociados, los valores y los enfoques usados por los pueblos indígenas y las comunidades locales;</w:t>
      </w:r>
    </w:p>
    <w:p w:rsidR="00B06671" w:rsidRPr="00236FCA" w:rsidRDefault="00B06671" w:rsidP="00B12AA1">
      <w:pPr>
        <w:pStyle w:val="Para1"/>
        <w:numPr>
          <w:ilvl w:val="0"/>
          <w:numId w:val="49"/>
        </w:numPr>
        <w:suppressLineNumbers/>
        <w:tabs>
          <w:tab w:val="clear" w:pos="1440"/>
        </w:tabs>
        <w:suppressAutoHyphens/>
        <w:ind w:left="0" w:firstLine="720"/>
        <w:rPr>
          <w:kern w:val="22"/>
          <w:szCs w:val="24"/>
          <w:lang w:val="fr-CA"/>
        </w:rPr>
      </w:pPr>
      <w:r>
        <w:rPr>
          <w:szCs w:val="24"/>
          <w:lang w:val="es-ES"/>
        </w:rPr>
        <w:t>Generando conciencia entre todos los actores sobre la existencia de los objetivos y las metas del marco mundial de la diversidad biológica posterior a 2020 y los progresos logrados en su consecución;</w:t>
      </w:r>
    </w:p>
    <w:p w:rsidR="00B06671" w:rsidRPr="00236FCA" w:rsidRDefault="00B06671" w:rsidP="00B12AA1">
      <w:pPr>
        <w:pStyle w:val="Para1"/>
        <w:numPr>
          <w:ilvl w:val="0"/>
          <w:numId w:val="49"/>
        </w:numPr>
        <w:suppressLineNumbers/>
        <w:tabs>
          <w:tab w:val="clear" w:pos="1440"/>
        </w:tabs>
        <w:suppressAutoHyphens/>
        <w:ind w:left="0" w:firstLine="720"/>
        <w:rPr>
          <w:kern w:val="22"/>
          <w:szCs w:val="24"/>
          <w:lang w:val="fr-CA"/>
        </w:rPr>
      </w:pPr>
      <w:r>
        <w:rPr>
          <w:kern w:val="22"/>
          <w:szCs w:val="24"/>
          <w:lang w:val="es-ES"/>
        </w:rPr>
        <w:t>Promoviendo o desarrollando plataformas y alianzas, incluido con los medios de comunicación y la sociedad civil, para compartir información sobre logros, lecciones aprendidas y experiencias en la adopción de medidas a favor de la diversidad biológica.</w:t>
      </w:r>
    </w:p>
    <w:p w:rsidR="0086586D" w:rsidRPr="00B12AA1" w:rsidRDefault="00B06671" w:rsidP="00651F8A">
      <w:pPr>
        <w:pStyle w:val="Heading2"/>
        <w:suppressLineNumbers/>
        <w:tabs>
          <w:tab w:val="clear" w:pos="720"/>
        </w:tabs>
        <w:suppressAutoHyphens/>
        <w:rPr>
          <w:bCs w:val="0"/>
          <w:iCs w:val="0"/>
        </w:rPr>
      </w:pPr>
      <w:r w:rsidRPr="00B12AA1">
        <w:rPr>
          <w:bCs w:val="0"/>
          <w:iCs w:val="0"/>
          <w:kern w:val="22"/>
          <w:lang w:val="es-ES"/>
        </w:rPr>
        <w:t>Apéndices</w:t>
      </w:r>
      <w:r w:rsidRPr="00B12AA1">
        <w:rPr>
          <w:rStyle w:val="FootnoteReference"/>
          <w:rFonts w:eastAsia="Malgun Gothic"/>
          <w:b w:val="0"/>
          <w:bCs w:val="0"/>
          <w:iCs w:val="0"/>
          <w:kern w:val="22"/>
          <w:sz w:val="22"/>
          <w:szCs w:val="22"/>
          <w:u w:val="none"/>
          <w:vertAlign w:val="superscript"/>
          <w:lang w:val="es-ES"/>
        </w:rPr>
        <w:footnoteReference w:id="10"/>
      </w:r>
    </w:p>
    <w:sectPr w:rsidR="0086586D" w:rsidRPr="00B12AA1" w:rsidSect="00AE2EC5">
      <w:headerReference w:type="even" r:id="rId19"/>
      <w:headerReference w:type="default" r:id="rId20"/>
      <w:pgSz w:w="12240" w:h="15840"/>
      <w:pgMar w:top="567"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E9C" w:rsidRDefault="00064E9C" w:rsidP="008B3424">
      <w:r>
        <w:separator/>
      </w:r>
    </w:p>
  </w:endnote>
  <w:endnote w:type="continuationSeparator" w:id="0">
    <w:p w:rsidR="00064E9C" w:rsidRDefault="00064E9C" w:rsidP="008B3424">
      <w:r>
        <w:continuationSeparator/>
      </w:r>
    </w:p>
  </w:endnote>
  <w:endnote w:type="continuationNotice" w:id="1">
    <w:p w:rsidR="00064E9C" w:rsidRDefault="00064E9C"/>
  </w:endnote>
</w:endnotes>
</file>

<file path=word/fontTable.xml><?xml version="1.0" encoding="utf-8"?>
<w:fonts xmlns:r="http://schemas.openxmlformats.org/officeDocument/2006/relationships" xmlns:w="http://schemas.openxmlformats.org/wordprocessingml/2006/main">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onar Bangl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E9C" w:rsidRDefault="00064E9C" w:rsidP="008B3424">
      <w:r>
        <w:separator/>
      </w:r>
    </w:p>
  </w:footnote>
  <w:footnote w:type="continuationSeparator" w:id="0">
    <w:p w:rsidR="00064E9C" w:rsidRDefault="00064E9C" w:rsidP="008B3424">
      <w:r>
        <w:continuationSeparator/>
      </w:r>
    </w:p>
  </w:footnote>
  <w:footnote w:type="continuationNotice" w:id="1">
    <w:p w:rsidR="00064E9C" w:rsidRDefault="00064E9C"/>
  </w:footnote>
  <w:footnote w:id="2">
    <w:p w:rsidR="00B06671" w:rsidRPr="006145F9" w:rsidRDefault="00B06671" w:rsidP="00B06671">
      <w:pPr>
        <w:pStyle w:val="FootnoteText"/>
        <w:suppressLineNumbers/>
        <w:suppressAutoHyphens/>
        <w:ind w:firstLine="0"/>
        <w:jc w:val="left"/>
        <w:rPr>
          <w:lang w:val="es-ES"/>
        </w:rPr>
      </w:pPr>
      <w:r w:rsidRPr="006145F9">
        <w:rPr>
          <w:rStyle w:val="FootnoteReference"/>
          <w:kern w:val="18"/>
          <w:u w:val="none"/>
          <w:vertAlign w:val="superscript"/>
          <w:lang w:val="es-ES"/>
        </w:rPr>
        <w:footnoteRef/>
      </w:r>
      <w:r w:rsidRPr="006145F9">
        <w:rPr>
          <w:kern w:val="18"/>
          <w:lang w:val="es-ES"/>
        </w:rPr>
        <w:t> La expresión “marco mundial de la diversidad biológica posterior a 2020” se utiliza en el presente documento de modo provisional, hasta que la Conferencia de las Partes adopte una decisión en su 15</w:t>
      </w:r>
      <w:r w:rsidRPr="006145F9">
        <w:rPr>
          <w:kern w:val="18"/>
          <w:vertAlign w:val="superscript"/>
          <w:lang w:val="es-ES"/>
        </w:rPr>
        <w:t>a</w:t>
      </w:r>
      <w:r w:rsidRPr="006145F9">
        <w:rPr>
          <w:kern w:val="18"/>
          <w:lang w:val="es-ES"/>
        </w:rPr>
        <w:t> reunión en la que se determine el nombre definitivo del marco. La palabra “marco” se utiliza a lo largo del texto también con carácter provisional.</w:t>
      </w:r>
    </w:p>
  </w:footnote>
  <w:footnote w:id="3">
    <w:p w:rsidR="00B06671" w:rsidRPr="006145F9" w:rsidRDefault="00B06671" w:rsidP="00B06671">
      <w:pPr>
        <w:pStyle w:val="FootnoteText"/>
        <w:suppressLineNumbers/>
        <w:suppressAutoHyphens/>
        <w:ind w:firstLine="0"/>
        <w:jc w:val="left"/>
        <w:rPr>
          <w:lang w:val="es-ES"/>
        </w:rPr>
      </w:pPr>
      <w:r w:rsidRPr="006145F9">
        <w:rPr>
          <w:rStyle w:val="FootnoteReference"/>
          <w:u w:val="none"/>
          <w:vertAlign w:val="superscript"/>
          <w:lang w:val="es-ES"/>
        </w:rPr>
        <w:footnoteRef/>
      </w:r>
      <w:r w:rsidRPr="006145F9">
        <w:rPr>
          <w:lang w:val="es-ES"/>
        </w:rPr>
        <w:t> Véase el documento CBD/WG2020/REC/2/1.</w:t>
      </w:r>
    </w:p>
  </w:footnote>
  <w:footnote w:id="4">
    <w:p w:rsidR="00B06671" w:rsidRPr="006145F9" w:rsidRDefault="00B06671" w:rsidP="00B06671">
      <w:pPr>
        <w:pStyle w:val="FootnoteText"/>
        <w:suppressLineNumbers/>
        <w:suppressAutoHyphens/>
        <w:ind w:firstLine="0"/>
        <w:jc w:val="left"/>
        <w:rPr>
          <w:lang w:val="es-ES"/>
        </w:rPr>
      </w:pPr>
      <w:r w:rsidRPr="00F31B2E">
        <w:rPr>
          <w:rStyle w:val="FootnoteReference"/>
          <w:u w:val="none"/>
          <w:vertAlign w:val="superscript"/>
          <w:lang w:val="es-ES"/>
        </w:rPr>
        <w:footnoteRef/>
      </w:r>
      <w:r w:rsidRPr="00F31B2E">
        <w:rPr>
          <w:lang w:val="es-ES"/>
        </w:rPr>
        <w:t> </w:t>
      </w:r>
      <w:r w:rsidRPr="006145F9">
        <w:rPr>
          <w:kern w:val="18"/>
          <w:lang w:val="es-ES"/>
        </w:rPr>
        <w:t xml:space="preserve">Los aportes recibidos están disponibles en: </w:t>
      </w:r>
      <w:hyperlink r:id="rId1" w:history="1">
        <w:r w:rsidR="001E6EBA" w:rsidRPr="00181D2D">
          <w:rPr>
            <w:rStyle w:val="Hyperlink"/>
            <w:lang w:val="es-ES"/>
          </w:rPr>
          <w:t>https://www.cbd.int/conferences/post2020/submissions/2019-108</w:t>
        </w:r>
      </w:hyperlink>
      <w:r w:rsidR="001E6EBA" w:rsidRPr="001E6EBA">
        <w:rPr>
          <w:rStyle w:val="Hyperlink"/>
          <w:kern w:val="18"/>
          <w:u w:val="none"/>
          <w:lang w:val="es-ES"/>
        </w:rPr>
        <w:t>.</w:t>
      </w:r>
    </w:p>
  </w:footnote>
  <w:footnote w:id="5">
    <w:p w:rsidR="00B06671" w:rsidRPr="006145F9" w:rsidRDefault="00B06671" w:rsidP="00B06671">
      <w:pPr>
        <w:pStyle w:val="FootnoteText"/>
        <w:suppressLineNumbers/>
        <w:suppressAutoHyphens/>
        <w:ind w:firstLine="0"/>
        <w:jc w:val="left"/>
        <w:rPr>
          <w:lang w:val="es-ES"/>
        </w:rPr>
      </w:pPr>
      <w:r w:rsidRPr="006145F9">
        <w:rPr>
          <w:rStyle w:val="FootnoteReference"/>
          <w:kern w:val="18"/>
          <w:u w:val="none"/>
          <w:vertAlign w:val="superscript"/>
          <w:lang w:val="es-ES"/>
        </w:rPr>
        <w:footnoteRef/>
      </w:r>
      <w:r w:rsidRPr="006145F9">
        <w:rPr>
          <w:kern w:val="18"/>
          <w:lang w:val="es-ES"/>
        </w:rPr>
        <w:t xml:space="preserve"> La expresión “marco mundial de la diversidad biológica posterior a 2020” se utiliza de modo provisional hasta que la Conferencia de las Partes adopte una decisión en su 15</w:t>
      </w:r>
      <w:r w:rsidRPr="006145F9">
        <w:rPr>
          <w:kern w:val="18"/>
          <w:vertAlign w:val="superscript"/>
          <w:lang w:val="es-ES"/>
        </w:rPr>
        <w:t>a</w:t>
      </w:r>
      <w:r w:rsidRPr="006145F9">
        <w:rPr>
          <w:kern w:val="18"/>
          <w:lang w:val="es-ES"/>
        </w:rPr>
        <w:t> reunión en la que se determine el nombre definitivo del marco. La palabra “marco” se utiliza a lo largo del texto también con carácter provisional.</w:t>
      </w:r>
    </w:p>
  </w:footnote>
  <w:footnote w:id="6">
    <w:p w:rsidR="00B06671" w:rsidRPr="006145F9" w:rsidRDefault="00B06671" w:rsidP="00B06671">
      <w:pPr>
        <w:pStyle w:val="FootnoteText"/>
        <w:suppressLineNumbers/>
        <w:suppressAutoHyphens/>
        <w:ind w:firstLine="0"/>
        <w:jc w:val="left"/>
        <w:rPr>
          <w:lang w:val="es-ES"/>
        </w:rPr>
      </w:pPr>
      <w:r w:rsidRPr="006145F9">
        <w:rPr>
          <w:rStyle w:val="FootnoteReference"/>
          <w:kern w:val="18"/>
          <w:u w:val="none"/>
          <w:vertAlign w:val="superscript"/>
          <w:lang w:val="es-ES"/>
        </w:rPr>
        <w:footnoteRef/>
      </w:r>
      <w:r w:rsidRPr="006145F9">
        <w:rPr>
          <w:kern w:val="18"/>
          <w:lang w:val="es-ES"/>
        </w:rPr>
        <w:t xml:space="preserve"> En un marco de seguimiento se brinda información adicional sobre valores de referencia e hitos para los componentes de los objetivos (véanse los documentos </w:t>
      </w:r>
      <w:r w:rsidRPr="006145F9">
        <w:rPr>
          <w:lang w:val="es-ES"/>
        </w:rPr>
        <w:t>CBD/SBSTTA/24/3 y</w:t>
      </w:r>
      <w:r w:rsidRPr="006145F9">
        <w:rPr>
          <w:kern w:val="18"/>
          <w:lang w:val="es-ES"/>
        </w:rPr>
        <w:t xml:space="preserve"> CBD/</w:t>
      </w:r>
      <w:r w:rsidRPr="006145F9">
        <w:rPr>
          <w:lang w:val="es-ES"/>
        </w:rPr>
        <w:t>SBSTTA</w:t>
      </w:r>
      <w:r w:rsidRPr="006145F9">
        <w:rPr>
          <w:kern w:val="18"/>
          <w:lang w:val="es-ES"/>
        </w:rPr>
        <w:t>/24/3/Add.1).</w:t>
      </w:r>
    </w:p>
  </w:footnote>
  <w:footnote w:id="7">
    <w:p w:rsidR="00B06671" w:rsidRPr="006145F9" w:rsidRDefault="00B06671" w:rsidP="00B06671">
      <w:pPr>
        <w:pStyle w:val="Para1"/>
        <w:keepLines/>
        <w:suppressLineNumbers/>
        <w:suppressAutoHyphens/>
        <w:spacing w:before="0" w:after="60"/>
        <w:jc w:val="left"/>
        <w:rPr>
          <w:lang w:val="es-ES"/>
        </w:rPr>
      </w:pPr>
      <w:r w:rsidRPr="006145F9">
        <w:rPr>
          <w:rStyle w:val="FootnoteReference"/>
          <w:kern w:val="18"/>
          <w:szCs w:val="24"/>
          <w:u w:val="none"/>
          <w:vertAlign w:val="superscript"/>
          <w:lang w:val="es-ES"/>
        </w:rPr>
        <w:footnoteRef/>
      </w:r>
      <w:r w:rsidRPr="006145F9">
        <w:rPr>
          <w:kern w:val="18"/>
          <w:sz w:val="18"/>
          <w:szCs w:val="24"/>
          <w:lang w:val="es-ES"/>
        </w:rPr>
        <w:t xml:space="preserve"> En la Misión para 2030 “adoptar medidas urgentes” refleja la necesidad de que se adopten medidas en este decenio para hacer frente a la crisis de la diversidad biológica. La frase “en toda la sociedad” refleja la necesidad de que todos los interesados directos adopten medidas y de que la integración se dé en todos los sectores de la sociedad y la economía. “Encauzar a la </w:t>
      </w:r>
      <w:r w:rsidR="005E5458" w:rsidRPr="006145F9">
        <w:rPr>
          <w:kern w:val="18"/>
          <w:sz w:val="18"/>
          <w:szCs w:val="24"/>
          <w:lang w:val="es-ES"/>
        </w:rPr>
        <w:t>diversidad biológica</w:t>
      </w:r>
      <w:r w:rsidRPr="006145F9">
        <w:rPr>
          <w:kern w:val="18"/>
          <w:sz w:val="18"/>
          <w:szCs w:val="24"/>
          <w:lang w:val="es-ES"/>
        </w:rPr>
        <w:t xml:space="preserve"> en el camino hacia la recuperación” </w:t>
      </w:r>
      <w:r w:rsidR="005E5458" w:rsidRPr="006145F9">
        <w:rPr>
          <w:kern w:val="18"/>
          <w:sz w:val="18"/>
          <w:szCs w:val="24"/>
          <w:lang w:val="es-ES"/>
        </w:rPr>
        <w:t>supone</w:t>
      </w:r>
      <w:r w:rsidRPr="006145F9">
        <w:rPr>
          <w:kern w:val="18"/>
          <w:sz w:val="18"/>
          <w:szCs w:val="24"/>
          <w:lang w:val="es-ES"/>
        </w:rPr>
        <w:t xml:space="preserve"> la necesidad de aplicar un enfoque positivo orientado hacia la acción y la necesidad de adoptar medidas concertadas y estratégicas en una variedad de temas. También </w:t>
      </w:r>
      <w:r w:rsidR="005E5458" w:rsidRPr="006145F9">
        <w:rPr>
          <w:kern w:val="18"/>
          <w:sz w:val="18"/>
          <w:szCs w:val="24"/>
          <w:lang w:val="es-ES"/>
        </w:rPr>
        <w:t>implica</w:t>
      </w:r>
      <w:r w:rsidRPr="006145F9">
        <w:rPr>
          <w:kern w:val="18"/>
          <w:sz w:val="18"/>
          <w:szCs w:val="24"/>
          <w:lang w:val="es-ES"/>
        </w:rPr>
        <w:t xml:space="preserve"> la necesidad de estabilizar la tasa de pérdida de diversidad biológica y mejorar la protección y la restauración a la vez que se reconoce que para 2030 no será posible detener totalmente la pérdida de ecosistemas, especies y diversidad genética. Con la frase “para beneficio del planeta y de las personas” se resaltan elementos de las contribuciones de la naturaleza a las personas, se establece un fuerte vínculo con el cumplimiento de la Agenda 2030 para el Desarrollo Sostenible y sus Objetivos de Desarrollo Sostenible y se reconoce a la vez la importancia existencial e intrínseca de la diversidad biológica. El plazo de 2030 expresa que esta misión es un hito en el camino hacia la Visión para 2050 de “vivir en armonía con la naturaleza” y refuerza la necesidad de tomar medidas urgentes en este decenio.</w:t>
      </w:r>
    </w:p>
  </w:footnote>
  <w:footnote w:id="8">
    <w:p w:rsidR="00B06671" w:rsidRPr="006145F9" w:rsidRDefault="00B06671" w:rsidP="00B06671">
      <w:pPr>
        <w:pStyle w:val="Para1"/>
        <w:keepLines/>
        <w:suppressLineNumbers/>
        <w:suppressAutoHyphens/>
        <w:spacing w:before="0" w:after="60"/>
        <w:jc w:val="left"/>
        <w:rPr>
          <w:lang w:val="es-ES"/>
        </w:rPr>
      </w:pPr>
      <w:r w:rsidRPr="006145F9">
        <w:rPr>
          <w:rStyle w:val="FootnoteReference"/>
          <w:kern w:val="18"/>
          <w:szCs w:val="24"/>
          <w:u w:val="none"/>
          <w:vertAlign w:val="superscript"/>
          <w:lang w:val="es-ES"/>
        </w:rPr>
        <w:footnoteRef/>
      </w:r>
      <w:r w:rsidRPr="006145F9">
        <w:rPr>
          <w:kern w:val="18"/>
          <w:sz w:val="18"/>
          <w:szCs w:val="24"/>
          <w:lang w:val="es-ES"/>
        </w:rPr>
        <w:t xml:space="preserve"> Los países fijarán metas/indicadores nacionales en consonancia con este marco y </w:t>
      </w:r>
      <w:r w:rsidR="000A419C" w:rsidRPr="006145F9">
        <w:rPr>
          <w:kern w:val="18"/>
          <w:sz w:val="18"/>
          <w:szCs w:val="24"/>
          <w:lang w:val="es-ES"/>
        </w:rPr>
        <w:t xml:space="preserve">se examinarán periódicamente </w:t>
      </w:r>
      <w:r w:rsidRPr="006145F9">
        <w:rPr>
          <w:kern w:val="18"/>
          <w:sz w:val="18"/>
          <w:szCs w:val="24"/>
          <w:lang w:val="es-ES"/>
        </w:rPr>
        <w:t xml:space="preserve">los progresos en el logro de las metas nacionales y mundiales. En un marco de seguimiento (véanse los documentos CBD/SBSTTA/24/3 y </w:t>
      </w:r>
      <w:r w:rsidR="000A419C" w:rsidRPr="006145F9">
        <w:rPr>
          <w:kern w:val="18"/>
          <w:sz w:val="18"/>
          <w:lang w:val="es-ES"/>
        </w:rPr>
        <w:t>CBD/SBSTTA/24/3/Add.1</w:t>
      </w:r>
      <w:r w:rsidRPr="006145F9">
        <w:rPr>
          <w:kern w:val="18"/>
          <w:sz w:val="18"/>
          <w:szCs w:val="24"/>
          <w:lang w:val="es-ES"/>
        </w:rPr>
        <w:t>) se brinda información adicional sobre indicadores de progresos hacia la metas.</w:t>
      </w:r>
    </w:p>
  </w:footnote>
  <w:footnote w:id="9">
    <w:p w:rsidR="006145F9" w:rsidRPr="006145F9" w:rsidRDefault="006145F9" w:rsidP="00F31B2E">
      <w:pPr>
        <w:pStyle w:val="FootnoteText"/>
        <w:ind w:firstLine="0"/>
        <w:jc w:val="left"/>
        <w:rPr>
          <w:lang w:val="es-ES"/>
        </w:rPr>
      </w:pPr>
      <w:r w:rsidRPr="006145F9">
        <w:rPr>
          <w:rStyle w:val="FootnoteReference"/>
          <w:u w:val="none"/>
          <w:vertAlign w:val="superscript"/>
          <w:lang w:val="es-ES"/>
        </w:rPr>
        <w:footnoteRef/>
      </w:r>
      <w:r>
        <w:rPr>
          <w:lang w:val="es-ES"/>
        </w:rPr>
        <w:t xml:space="preserve"> En la tercera reunión del Órgano Subsidiario sobre la Aplicación se tratarán cuestiones </w:t>
      </w:r>
      <w:r w:rsidRPr="006145F9">
        <w:rPr>
          <w:lang w:val="es-ES"/>
        </w:rPr>
        <w:t>rela</w:t>
      </w:r>
      <w:r>
        <w:rPr>
          <w:lang w:val="es-ES"/>
        </w:rPr>
        <w:t>ciona</w:t>
      </w:r>
      <w:r w:rsidRPr="006145F9">
        <w:rPr>
          <w:lang w:val="es-ES"/>
        </w:rPr>
        <w:t>d</w:t>
      </w:r>
      <w:r>
        <w:rPr>
          <w:lang w:val="es-ES"/>
        </w:rPr>
        <w:t xml:space="preserve">as con la </w:t>
      </w:r>
      <w:r w:rsidRPr="006145F9">
        <w:rPr>
          <w:lang w:val="es-ES"/>
        </w:rPr>
        <w:t>implementa</w:t>
      </w:r>
      <w:r>
        <w:rPr>
          <w:lang w:val="es-ES"/>
        </w:rPr>
        <w:t>c</w:t>
      </w:r>
      <w:r w:rsidRPr="006145F9">
        <w:rPr>
          <w:lang w:val="es-ES"/>
        </w:rPr>
        <w:t>i</w:t>
      </w:r>
      <w:r>
        <w:rPr>
          <w:lang w:val="es-ES"/>
        </w:rPr>
        <w:t>ó</w:t>
      </w:r>
      <w:r w:rsidRPr="006145F9">
        <w:rPr>
          <w:lang w:val="es-ES"/>
        </w:rPr>
        <w:t xml:space="preserve">n, </w:t>
      </w:r>
      <w:r>
        <w:rPr>
          <w:lang w:val="es-ES"/>
        </w:rPr>
        <w:t>el seguimiento</w:t>
      </w:r>
      <w:r w:rsidRPr="006145F9">
        <w:rPr>
          <w:lang w:val="es-ES"/>
        </w:rPr>
        <w:t>,</w:t>
      </w:r>
      <w:r>
        <w:rPr>
          <w:lang w:val="es-ES"/>
        </w:rPr>
        <w:t xml:space="preserve"> la</w:t>
      </w:r>
      <w:r w:rsidRPr="006145F9">
        <w:rPr>
          <w:lang w:val="es-ES"/>
        </w:rPr>
        <w:t xml:space="preserve"> </w:t>
      </w:r>
      <w:r>
        <w:rPr>
          <w:lang w:val="es-ES"/>
        </w:rPr>
        <w:t>p</w:t>
      </w:r>
      <w:r w:rsidRPr="006145F9">
        <w:rPr>
          <w:lang w:val="es-ES"/>
        </w:rPr>
        <w:t>re</w:t>
      </w:r>
      <w:r>
        <w:rPr>
          <w:lang w:val="es-ES"/>
        </w:rPr>
        <w:t>sentación de informes y</w:t>
      </w:r>
      <w:r w:rsidRPr="006145F9">
        <w:rPr>
          <w:lang w:val="es-ES"/>
        </w:rPr>
        <w:t xml:space="preserve"> </w:t>
      </w:r>
      <w:r>
        <w:rPr>
          <w:lang w:val="es-ES"/>
        </w:rPr>
        <w:t xml:space="preserve">la </w:t>
      </w:r>
      <w:r w:rsidRPr="006145F9">
        <w:rPr>
          <w:lang w:val="es-ES"/>
        </w:rPr>
        <w:t>revi</w:t>
      </w:r>
      <w:r>
        <w:rPr>
          <w:lang w:val="es-ES"/>
        </w:rPr>
        <w:t>sión transparentes del marco mundial de la diversidad biológica</w:t>
      </w:r>
      <w:r w:rsidRPr="006145F9">
        <w:rPr>
          <w:lang w:val="es-ES"/>
        </w:rPr>
        <w:t xml:space="preserve"> post</w:t>
      </w:r>
      <w:r>
        <w:rPr>
          <w:lang w:val="es-ES"/>
        </w:rPr>
        <w:t xml:space="preserve">erior a </w:t>
      </w:r>
      <w:r w:rsidRPr="006145F9">
        <w:rPr>
          <w:lang w:val="es-ES"/>
        </w:rPr>
        <w:t xml:space="preserve">2020. </w:t>
      </w:r>
      <w:r>
        <w:rPr>
          <w:lang w:val="es-ES"/>
        </w:rPr>
        <w:t>E</w:t>
      </w:r>
      <w:r w:rsidRPr="006145F9">
        <w:rPr>
          <w:lang w:val="es-ES"/>
        </w:rPr>
        <w:t>s</w:t>
      </w:r>
      <w:r>
        <w:rPr>
          <w:lang w:val="es-ES"/>
        </w:rPr>
        <w:t>ta</w:t>
      </w:r>
      <w:r w:rsidRPr="006145F9">
        <w:rPr>
          <w:lang w:val="es-ES"/>
        </w:rPr>
        <w:t xml:space="preserve"> sec</w:t>
      </w:r>
      <w:r>
        <w:rPr>
          <w:lang w:val="es-ES"/>
        </w:rPr>
        <w:t>c</w:t>
      </w:r>
      <w:r w:rsidRPr="006145F9">
        <w:rPr>
          <w:lang w:val="es-ES"/>
        </w:rPr>
        <w:t>i</w:t>
      </w:r>
      <w:r>
        <w:rPr>
          <w:lang w:val="es-ES"/>
        </w:rPr>
        <w:t>ó</w:t>
      </w:r>
      <w:r w:rsidRPr="006145F9">
        <w:rPr>
          <w:lang w:val="es-ES"/>
        </w:rPr>
        <w:t xml:space="preserve">n </w:t>
      </w:r>
      <w:r>
        <w:rPr>
          <w:lang w:val="es-ES"/>
        </w:rPr>
        <w:t>del marco se actualizará para contemplar los resultados de esos procesos.</w:t>
      </w:r>
    </w:p>
  </w:footnote>
  <w:footnote w:id="10">
    <w:p w:rsidR="00B06671" w:rsidRPr="006145F9" w:rsidRDefault="00B06671" w:rsidP="00B06671">
      <w:pPr>
        <w:pStyle w:val="FootnoteText"/>
        <w:suppressLineNumbers/>
        <w:suppressAutoHyphens/>
        <w:ind w:firstLine="0"/>
        <w:jc w:val="left"/>
        <w:rPr>
          <w:lang w:val="es-ES"/>
        </w:rPr>
      </w:pPr>
      <w:r w:rsidRPr="006145F9">
        <w:rPr>
          <w:rStyle w:val="FootnoteReference"/>
          <w:kern w:val="18"/>
          <w:u w:val="none"/>
          <w:vertAlign w:val="superscript"/>
          <w:lang w:val="es-ES"/>
        </w:rPr>
        <w:footnoteRef/>
      </w:r>
      <w:r w:rsidRPr="006145F9">
        <w:rPr>
          <w:noProof/>
          <w:kern w:val="18"/>
          <w:lang w:val="es-ES"/>
        </w:rPr>
        <w:t xml:space="preserve"> Véanse los documentos </w:t>
      </w:r>
      <w:r w:rsidRPr="006145F9">
        <w:rPr>
          <w:noProof/>
          <w:lang w:val="es-ES"/>
        </w:rPr>
        <w:t>CBD/SBSTTA/24/3 y CBD/SBSTTA/24/3/Add.1.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A63" w:rsidRPr="00FC67E5" w:rsidRDefault="001E7A63" w:rsidP="00AE2EC5">
    <w:pPr>
      <w:jc w:val="right"/>
      <w:rPr>
        <w:lang w:val="es-ES"/>
      </w:rPr>
    </w:pPr>
    <w:r w:rsidRPr="00FC67E5">
      <w:rPr>
        <w:lang w:val="es-ES"/>
      </w:rPr>
      <w:t>CBD/POST2020/PREP/2/1</w:t>
    </w:r>
  </w:p>
  <w:p w:rsidR="001E7A63" w:rsidRPr="00FC67E5" w:rsidRDefault="001E7A63" w:rsidP="00AE2EC5">
    <w:pPr>
      <w:pStyle w:val="Header"/>
      <w:spacing w:after="240"/>
      <w:jc w:val="right"/>
      <w:rPr>
        <w:lang w:val="es-ES"/>
      </w:rPr>
    </w:pPr>
    <w:r w:rsidRPr="00FC67E5">
      <w:rPr>
        <w:lang w:val="es-ES"/>
      </w:rPr>
      <w:t>P</w:t>
    </w:r>
    <w:r w:rsidR="00FC67E5">
      <w:rPr>
        <w:lang w:val="es-ES"/>
      </w:rPr>
      <w:t>á</w:t>
    </w:r>
    <w:r w:rsidRPr="00FC67E5">
      <w:rPr>
        <w:lang w:val="es-ES"/>
      </w:rPr>
      <w:t>g</w:t>
    </w:r>
    <w:r w:rsidR="00FC67E5">
      <w:rPr>
        <w:lang w:val="es-ES"/>
      </w:rPr>
      <w:t>ina</w:t>
    </w:r>
    <w:r w:rsidRPr="00FC67E5">
      <w:rPr>
        <w:lang w:val="es-ES"/>
      </w:rPr>
      <w:t xml:space="preserve"> </w:t>
    </w:r>
    <w:r w:rsidR="00E613F4" w:rsidRPr="00FC67E5">
      <w:rPr>
        <w:lang w:val="es-ES"/>
      </w:rPr>
      <w:fldChar w:fldCharType="begin"/>
    </w:r>
    <w:r w:rsidRPr="00FC67E5">
      <w:rPr>
        <w:lang w:val="es-ES"/>
      </w:rPr>
      <w:instrText xml:space="preserve"> PAGE   \* MERGEFORMAT </w:instrText>
    </w:r>
    <w:r w:rsidR="00E613F4" w:rsidRPr="00FC67E5">
      <w:rPr>
        <w:lang w:val="es-ES"/>
      </w:rPr>
      <w:fldChar w:fldCharType="separate"/>
    </w:r>
    <w:r w:rsidR="00181D2D">
      <w:rPr>
        <w:noProof/>
        <w:lang w:val="es-ES"/>
      </w:rPr>
      <w:t>2</w:t>
    </w:r>
    <w:r w:rsidR="00E613F4" w:rsidRPr="00FC67E5">
      <w:rPr>
        <w:lang w:val="es-E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45E" w:rsidRPr="00FC67E5" w:rsidRDefault="006B545E" w:rsidP="006B545E">
    <w:pPr>
      <w:rPr>
        <w:lang w:val="es-ES"/>
      </w:rPr>
    </w:pPr>
    <w:r w:rsidRPr="00FC67E5">
      <w:rPr>
        <w:lang w:val="es-ES"/>
      </w:rPr>
      <w:t>CBD/POST2020/PREP/2/1</w:t>
    </w:r>
  </w:p>
  <w:p w:rsidR="006B545E" w:rsidRPr="00FC67E5" w:rsidRDefault="001E7A63" w:rsidP="00AE2EC5">
    <w:pPr>
      <w:pStyle w:val="Header"/>
      <w:spacing w:after="240"/>
      <w:rPr>
        <w:lang w:val="es-ES"/>
      </w:rPr>
    </w:pPr>
    <w:r w:rsidRPr="00FC67E5">
      <w:rPr>
        <w:lang w:val="es-ES"/>
      </w:rPr>
      <w:t>P</w:t>
    </w:r>
    <w:r w:rsidR="00FC67E5">
      <w:rPr>
        <w:lang w:val="es-ES"/>
      </w:rPr>
      <w:t>á</w:t>
    </w:r>
    <w:r w:rsidRPr="00FC67E5">
      <w:rPr>
        <w:lang w:val="es-ES"/>
      </w:rPr>
      <w:t>g</w:t>
    </w:r>
    <w:r w:rsidR="00FC67E5">
      <w:rPr>
        <w:lang w:val="es-ES"/>
      </w:rPr>
      <w:t>ina</w:t>
    </w:r>
    <w:r w:rsidRPr="00FC67E5">
      <w:rPr>
        <w:lang w:val="es-ES"/>
      </w:rPr>
      <w:t xml:space="preserve"> </w:t>
    </w:r>
    <w:r w:rsidR="00E613F4" w:rsidRPr="00FC67E5">
      <w:rPr>
        <w:lang w:val="es-ES"/>
      </w:rPr>
      <w:fldChar w:fldCharType="begin"/>
    </w:r>
    <w:r w:rsidRPr="00FC67E5">
      <w:rPr>
        <w:lang w:val="es-ES"/>
      </w:rPr>
      <w:instrText xml:space="preserve"> PAGE   \* MERGEFORMAT </w:instrText>
    </w:r>
    <w:r w:rsidR="00E613F4" w:rsidRPr="00FC67E5">
      <w:rPr>
        <w:lang w:val="es-ES"/>
      </w:rPr>
      <w:fldChar w:fldCharType="separate"/>
    </w:r>
    <w:r w:rsidR="00181D2D">
      <w:rPr>
        <w:noProof/>
        <w:lang w:val="es-ES"/>
      </w:rPr>
      <w:t>11</w:t>
    </w:r>
    <w:r w:rsidR="00E613F4" w:rsidRPr="00FC67E5">
      <w:rPr>
        <w:lang w:val="es-E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981"/>
    <w:multiLevelType w:val="hybridMultilevel"/>
    <w:tmpl w:val="EBCEC50E"/>
    <w:lvl w:ilvl="0" w:tplc="776845C8">
      <w:start w:val="1"/>
      <w:numFmt w:val="lowerRoman"/>
      <w:lvlText w:val="%1)"/>
      <w:lvlJc w:val="right"/>
      <w:pPr>
        <w:tabs>
          <w:tab w:val="num" w:pos="900"/>
        </w:tabs>
        <w:ind w:left="2340" w:hanging="360"/>
      </w:pPr>
      <w:rPr>
        <w:rFonts w:ascii="Times New Roman Bold" w:hAnsi="Times New Roman Bold" w:cs="Segoe UI Black" w:hint="default"/>
        <w:b w:val="0"/>
        <w:i w:val="0"/>
        <w:strike w:val="0"/>
        <w:dstrike w:val="0"/>
        <w:color w:val="000000"/>
        <w:sz w:val="22"/>
        <w:u w:val="none"/>
        <w:vertAlign w:val="baseline"/>
      </w:rPr>
    </w:lvl>
    <w:lvl w:ilvl="1" w:tplc="0C0A0019" w:tentative="1">
      <w:start w:val="1"/>
      <w:numFmt w:val="lowerLetter"/>
      <w:lvlText w:val="%2."/>
      <w:lvlJc w:val="left"/>
      <w:pPr>
        <w:tabs>
          <w:tab w:val="num" w:pos="2340"/>
        </w:tabs>
        <w:ind w:left="2340" w:hanging="360"/>
      </w:pPr>
      <w:rPr>
        <w:rFonts w:cs="Times New Roman"/>
      </w:rPr>
    </w:lvl>
    <w:lvl w:ilvl="2" w:tplc="0C0A001B" w:tentative="1">
      <w:start w:val="1"/>
      <w:numFmt w:val="lowerRoman"/>
      <w:lvlText w:val="%3."/>
      <w:lvlJc w:val="right"/>
      <w:pPr>
        <w:tabs>
          <w:tab w:val="num" w:pos="3060"/>
        </w:tabs>
        <w:ind w:left="3060" w:hanging="180"/>
      </w:pPr>
      <w:rPr>
        <w:rFonts w:cs="Times New Roman"/>
      </w:rPr>
    </w:lvl>
    <w:lvl w:ilvl="3" w:tplc="0C0A000F" w:tentative="1">
      <w:start w:val="1"/>
      <w:numFmt w:val="decimal"/>
      <w:lvlText w:val="%4."/>
      <w:lvlJc w:val="left"/>
      <w:pPr>
        <w:tabs>
          <w:tab w:val="num" w:pos="3780"/>
        </w:tabs>
        <w:ind w:left="3780" w:hanging="360"/>
      </w:pPr>
      <w:rPr>
        <w:rFonts w:cs="Times New Roman"/>
      </w:rPr>
    </w:lvl>
    <w:lvl w:ilvl="4" w:tplc="0C0A0019" w:tentative="1">
      <w:start w:val="1"/>
      <w:numFmt w:val="lowerLetter"/>
      <w:lvlText w:val="%5."/>
      <w:lvlJc w:val="left"/>
      <w:pPr>
        <w:tabs>
          <w:tab w:val="num" w:pos="4500"/>
        </w:tabs>
        <w:ind w:left="4500" w:hanging="360"/>
      </w:pPr>
      <w:rPr>
        <w:rFonts w:cs="Times New Roman"/>
      </w:rPr>
    </w:lvl>
    <w:lvl w:ilvl="5" w:tplc="0C0A001B" w:tentative="1">
      <w:start w:val="1"/>
      <w:numFmt w:val="lowerRoman"/>
      <w:lvlText w:val="%6."/>
      <w:lvlJc w:val="right"/>
      <w:pPr>
        <w:tabs>
          <w:tab w:val="num" w:pos="5220"/>
        </w:tabs>
        <w:ind w:left="5220" w:hanging="180"/>
      </w:pPr>
      <w:rPr>
        <w:rFonts w:cs="Times New Roman"/>
      </w:rPr>
    </w:lvl>
    <w:lvl w:ilvl="6" w:tplc="0C0A000F" w:tentative="1">
      <w:start w:val="1"/>
      <w:numFmt w:val="decimal"/>
      <w:lvlText w:val="%7."/>
      <w:lvlJc w:val="left"/>
      <w:pPr>
        <w:tabs>
          <w:tab w:val="num" w:pos="5940"/>
        </w:tabs>
        <w:ind w:left="5940" w:hanging="360"/>
      </w:pPr>
      <w:rPr>
        <w:rFonts w:cs="Times New Roman"/>
      </w:rPr>
    </w:lvl>
    <w:lvl w:ilvl="7" w:tplc="0C0A0019" w:tentative="1">
      <w:start w:val="1"/>
      <w:numFmt w:val="lowerLetter"/>
      <w:lvlText w:val="%8."/>
      <w:lvlJc w:val="left"/>
      <w:pPr>
        <w:tabs>
          <w:tab w:val="num" w:pos="6660"/>
        </w:tabs>
        <w:ind w:left="6660" w:hanging="360"/>
      </w:pPr>
      <w:rPr>
        <w:rFonts w:cs="Times New Roman"/>
      </w:rPr>
    </w:lvl>
    <w:lvl w:ilvl="8" w:tplc="0C0A001B" w:tentative="1">
      <w:start w:val="1"/>
      <w:numFmt w:val="lowerRoman"/>
      <w:lvlText w:val="%9."/>
      <w:lvlJc w:val="right"/>
      <w:pPr>
        <w:tabs>
          <w:tab w:val="num" w:pos="7380"/>
        </w:tabs>
        <w:ind w:left="7380" w:hanging="180"/>
      </w:pPr>
      <w:rPr>
        <w:rFonts w:cs="Times New Roman"/>
      </w:rPr>
    </w:lvl>
  </w:abstractNum>
  <w:abstractNum w:abstractNumId="1">
    <w:nsid w:val="04D1727B"/>
    <w:multiLevelType w:val="hybridMultilevel"/>
    <w:tmpl w:val="4D0C365C"/>
    <w:lvl w:ilvl="0" w:tplc="776845C8">
      <w:start w:val="1"/>
      <w:numFmt w:val="lowerRoman"/>
      <w:lvlText w:val="%1)"/>
      <w:lvlJc w:val="right"/>
      <w:pPr>
        <w:tabs>
          <w:tab w:val="num" w:pos="0"/>
        </w:tabs>
        <w:ind w:left="1440" w:hanging="360"/>
      </w:pPr>
      <w:rPr>
        <w:rFonts w:ascii="Times New Roman Bold" w:hAnsi="Times New Roman Bold" w:cs="Segoe UI Black" w:hint="default"/>
        <w:b w:val="0"/>
        <w:i w:val="0"/>
        <w:strike w:val="0"/>
        <w:dstrike w:val="0"/>
        <w:color w:val="000000"/>
        <w:sz w:val="22"/>
        <w:u w:val="none"/>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54B372F"/>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5EF5127"/>
    <w:multiLevelType w:val="hybridMultilevel"/>
    <w:tmpl w:val="F47CF940"/>
    <w:lvl w:ilvl="0" w:tplc="776845C8">
      <w:start w:val="1"/>
      <w:numFmt w:val="lowerRoman"/>
      <w:lvlText w:val="%1)"/>
      <w:lvlJc w:val="right"/>
      <w:pPr>
        <w:tabs>
          <w:tab w:val="num" w:pos="0"/>
        </w:tabs>
        <w:ind w:left="1440" w:hanging="360"/>
      </w:pPr>
      <w:rPr>
        <w:rFonts w:ascii="Times New Roman Bold" w:hAnsi="Times New Roman Bold" w:cs="Segoe UI Black" w:hint="default"/>
        <w:b w:val="0"/>
        <w:i w:val="0"/>
        <w:strike w:val="0"/>
        <w:dstrike w:val="0"/>
        <w:color w:val="000000"/>
        <w:sz w:val="22"/>
        <w:u w:val="none"/>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B7068A6"/>
    <w:multiLevelType w:val="hybridMultilevel"/>
    <w:tmpl w:val="FC90BC1C"/>
    <w:lvl w:ilvl="0" w:tplc="B364AD24">
      <w:start w:val="1"/>
      <w:numFmt w:val="lowerLetter"/>
      <w:lvlText w:val="%1)"/>
      <w:lvlJc w:val="left"/>
      <w:pPr>
        <w:tabs>
          <w:tab w:val="num" w:pos="1440"/>
        </w:tabs>
        <w:ind w:left="2160" w:hanging="360"/>
      </w:pPr>
      <w:rPr>
        <w:rFonts w:ascii="Times New Roman" w:hAnsi="Times New Roman" w:cs="Times New Roman" w:hint="default"/>
        <w:b w:val="0"/>
        <w:bCs w:val="0"/>
        <w:i w:val="0"/>
        <w:iCs w:val="0"/>
        <w:caps w:val="0"/>
        <w:strike w:val="0"/>
        <w:dstrike w:val="0"/>
        <w:vanish w:val="0"/>
        <w:color w:val="auto"/>
        <w:sz w:val="22"/>
        <w:szCs w:val="22"/>
        <w:vertAlign w:val="baseline"/>
      </w:rPr>
    </w:lvl>
    <w:lvl w:ilvl="1" w:tplc="0C0A0019" w:tentative="1">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5">
    <w:nsid w:val="10234D48"/>
    <w:multiLevelType w:val="hybridMultilevel"/>
    <w:tmpl w:val="13C6FAC0"/>
    <w:lvl w:ilvl="0" w:tplc="776845C8">
      <w:start w:val="1"/>
      <w:numFmt w:val="lowerRoman"/>
      <w:lvlText w:val="%1)"/>
      <w:lvlJc w:val="right"/>
      <w:pPr>
        <w:tabs>
          <w:tab w:val="num" w:pos="0"/>
        </w:tabs>
        <w:ind w:left="1440" w:hanging="360"/>
      </w:pPr>
      <w:rPr>
        <w:rFonts w:ascii="Times New Roman Bold" w:hAnsi="Times New Roman Bold" w:cs="Segoe UI Black" w:hint="default"/>
        <w:b w:val="0"/>
        <w:i w:val="0"/>
        <w:strike w:val="0"/>
        <w:dstrike w:val="0"/>
        <w:color w:val="000000"/>
        <w:sz w:val="22"/>
        <w:u w:val="none"/>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12127574"/>
    <w:multiLevelType w:val="multilevel"/>
    <w:tmpl w:val="181C470E"/>
    <w:lvl w:ilvl="0">
      <w:start w:val="2"/>
      <w:numFmt w:val="lowerLetter"/>
      <w:lvlText w:val="%1)"/>
      <w:lvlJc w:val="left"/>
      <w:pPr>
        <w:ind w:left="720" w:hanging="360"/>
      </w:pPr>
      <w:rPr>
        <w:rFonts w:ascii="Times New Roman" w:hAnsi="Times New Roman" w:cs="Times New Roman" w:hint="default"/>
        <w:b w:val="0"/>
        <w:bCs w:val="0"/>
        <w:i w:val="0"/>
        <w:iCs w:val="0"/>
        <w:caps w:val="0"/>
        <w:strike w:val="0"/>
        <w:dstrike w:val="0"/>
        <w:vanish w:val="0"/>
        <w:color w:val="auto"/>
        <w:sz w:val="22"/>
        <w:szCs w:val="22"/>
        <w:vertAlign w:val="baseline"/>
      </w:rPr>
    </w:lvl>
    <w:lvl w:ilvl="1">
      <w:start w:val="1"/>
      <w:numFmt w:val="lowerLetter"/>
      <w:lvlText w:val="%2."/>
      <w:lvlJc w:val="left"/>
      <w:pPr>
        <w:ind w:left="1440" w:hanging="360"/>
      </w:pPr>
      <w:rPr>
        <w:rFonts w:hint="default"/>
      </w:rPr>
    </w:lvl>
    <w:lvl w:ilvl="2">
      <w:numFmt w:val="bullet"/>
      <w:lvlText w:val="•"/>
      <w:lvlJc w:val="left"/>
      <w:pPr>
        <w:ind w:left="2760" w:hanging="9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13AB3614"/>
    <w:multiLevelType w:val="multilevel"/>
    <w:tmpl w:val="98662DC4"/>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numFmt w:val="bullet"/>
      <w:lvlText w:val="•"/>
      <w:lvlJc w:val="left"/>
      <w:pPr>
        <w:ind w:left="2760" w:hanging="9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477439"/>
    <w:multiLevelType w:val="hybridMultilevel"/>
    <w:tmpl w:val="2098AE9A"/>
    <w:lvl w:ilvl="0" w:tplc="B4C8EFD4">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5D1389C"/>
    <w:multiLevelType w:val="multilevel"/>
    <w:tmpl w:val="F250B020"/>
    <w:lvl w:ilvl="0">
      <w:start w:val="1"/>
      <w:numFmt w:val="lowerLetter"/>
      <w:lvlText w:val="%1)"/>
      <w:lvlJc w:val="left"/>
      <w:pPr>
        <w:ind w:left="720" w:hanging="360"/>
      </w:pPr>
      <w:rPr>
        <w:rFonts w:ascii="Times New Roman" w:hAnsi="Times New Roman" w:cs="Times New Roman" w:hint="default"/>
        <w:b w:val="0"/>
        <w:bCs w:val="0"/>
        <w:i w:val="0"/>
        <w:iCs w:val="0"/>
        <w:caps w:val="0"/>
        <w:strike w:val="0"/>
        <w:dstrike w:val="0"/>
        <w:vanish w:val="0"/>
        <w:color w:val="auto"/>
        <w:sz w:val="22"/>
        <w:szCs w:val="22"/>
        <w:vertAlign w:val="baseline"/>
      </w:rPr>
    </w:lvl>
    <w:lvl w:ilvl="1">
      <w:start w:val="1"/>
      <w:numFmt w:val="lowerLetter"/>
      <w:lvlText w:val="%2."/>
      <w:lvlJc w:val="left"/>
      <w:pPr>
        <w:ind w:left="1440" w:hanging="360"/>
      </w:pPr>
    </w:lvl>
    <w:lvl w:ilvl="2">
      <w:numFmt w:val="bullet"/>
      <w:lvlText w:val="•"/>
      <w:lvlJc w:val="left"/>
      <w:pPr>
        <w:ind w:left="2760" w:hanging="9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0A43A4"/>
    <w:multiLevelType w:val="hybridMultilevel"/>
    <w:tmpl w:val="D694AE74"/>
    <w:lvl w:ilvl="0" w:tplc="D0D04D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311027"/>
    <w:multiLevelType w:val="hybridMultilevel"/>
    <w:tmpl w:val="D5722C06"/>
    <w:lvl w:ilvl="0" w:tplc="10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6F7387C"/>
    <w:multiLevelType w:val="hybridMultilevel"/>
    <w:tmpl w:val="3286C7C4"/>
    <w:lvl w:ilvl="0" w:tplc="B4C8EFD4">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7ED03D3"/>
    <w:multiLevelType w:val="hybridMultilevel"/>
    <w:tmpl w:val="E460DB82"/>
    <w:lvl w:ilvl="0" w:tplc="B364AD24">
      <w:start w:val="1"/>
      <w:numFmt w:val="lowerLetter"/>
      <w:lvlText w:val="%1)"/>
      <w:lvlJc w:val="left"/>
      <w:pPr>
        <w:ind w:left="2160" w:hanging="360"/>
      </w:pPr>
      <w:rPr>
        <w:rFonts w:ascii="Times New Roman" w:hAnsi="Times New Roman" w:cs="Times New Roman" w:hint="default"/>
        <w:b w:val="0"/>
        <w:bCs w:val="0"/>
        <w:i w:val="0"/>
        <w:iCs w:val="0"/>
        <w:caps w:val="0"/>
        <w:strike w:val="0"/>
        <w:dstrike w:val="0"/>
        <w:vanish w:val="0"/>
        <w:color w:val="auto"/>
        <w:sz w:val="22"/>
        <w:szCs w:val="22"/>
        <w:vertAlign w:val="baseline"/>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4">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1D5D2B5F"/>
    <w:multiLevelType w:val="hybridMultilevel"/>
    <w:tmpl w:val="1BCCD5D0"/>
    <w:lvl w:ilvl="0" w:tplc="B4C8EFD4">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26B1BE8"/>
    <w:multiLevelType w:val="hybridMultilevel"/>
    <w:tmpl w:val="D5722C06"/>
    <w:lvl w:ilvl="0" w:tplc="10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4173363"/>
    <w:multiLevelType w:val="hybridMultilevel"/>
    <w:tmpl w:val="D2884CCE"/>
    <w:lvl w:ilvl="0" w:tplc="B364AD24">
      <w:start w:val="1"/>
      <w:numFmt w:val="lowerLetter"/>
      <w:lvlText w:val="%1)"/>
      <w:lvlJc w:val="left"/>
      <w:pPr>
        <w:tabs>
          <w:tab w:val="num" w:pos="1440"/>
        </w:tabs>
        <w:ind w:left="2160" w:hanging="360"/>
      </w:pPr>
      <w:rPr>
        <w:rFonts w:ascii="Times New Roman" w:hAnsi="Times New Roman" w:cs="Times New Roman" w:hint="default"/>
        <w:b w:val="0"/>
        <w:bCs w:val="0"/>
        <w:i w:val="0"/>
        <w:iCs w:val="0"/>
        <w:caps w:val="0"/>
        <w:strike w:val="0"/>
        <w:dstrike w:val="0"/>
        <w:vanish w:val="0"/>
        <w:color w:val="auto"/>
        <w:sz w:val="22"/>
        <w:szCs w:val="22"/>
        <w:vertAlign w:val="baseline"/>
      </w:rPr>
    </w:lvl>
    <w:lvl w:ilvl="1" w:tplc="0C0A0019" w:tentative="1">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18">
    <w:nsid w:val="254924B9"/>
    <w:multiLevelType w:val="hybridMultilevel"/>
    <w:tmpl w:val="ED509F54"/>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0F">
      <w:start w:val="1"/>
      <w:numFmt w:val="decimal"/>
      <w:lvlText w:val="%4."/>
      <w:lvlJc w:val="left"/>
      <w:pPr>
        <w:ind w:left="2880" w:hanging="360"/>
      </w:pPr>
    </w:lvl>
    <w:lvl w:ilvl="4" w:tplc="1009001B">
      <w:start w:val="1"/>
      <w:numFmt w:val="lowerRoman"/>
      <w:lvlText w:val="%5."/>
      <w:lvlJc w:val="righ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D5F61F3"/>
    <w:multiLevelType w:val="multilevel"/>
    <w:tmpl w:val="CA4C54E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auto"/>
        <w:sz w:val="22"/>
        <w:szCs w:val="22"/>
        <w:vertAlign w:val="baseline"/>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E401006"/>
    <w:multiLevelType w:val="multilevel"/>
    <w:tmpl w:val="D3D4008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1860C75"/>
    <w:multiLevelType w:val="hybridMultilevel"/>
    <w:tmpl w:val="3766961C"/>
    <w:lvl w:ilvl="0" w:tplc="776845C8">
      <w:start w:val="1"/>
      <w:numFmt w:val="lowerRoman"/>
      <w:lvlText w:val="%1)"/>
      <w:lvlJc w:val="right"/>
      <w:pPr>
        <w:tabs>
          <w:tab w:val="num" w:pos="900"/>
        </w:tabs>
        <w:ind w:left="2340" w:hanging="360"/>
      </w:pPr>
      <w:rPr>
        <w:rFonts w:ascii="Times New Roman Bold" w:hAnsi="Times New Roman Bold" w:cs="Segoe UI Black" w:hint="default"/>
        <w:b w:val="0"/>
        <w:i w:val="0"/>
        <w:strike w:val="0"/>
        <w:dstrike w:val="0"/>
        <w:color w:val="000000"/>
        <w:sz w:val="22"/>
        <w:u w:val="none"/>
        <w:vertAlign w:val="baseline"/>
      </w:rPr>
    </w:lvl>
    <w:lvl w:ilvl="1" w:tplc="0C0A0019" w:tentative="1">
      <w:start w:val="1"/>
      <w:numFmt w:val="lowerLetter"/>
      <w:lvlText w:val="%2."/>
      <w:lvlJc w:val="left"/>
      <w:pPr>
        <w:tabs>
          <w:tab w:val="num" w:pos="2340"/>
        </w:tabs>
        <w:ind w:left="2340" w:hanging="360"/>
      </w:pPr>
      <w:rPr>
        <w:rFonts w:cs="Times New Roman"/>
      </w:rPr>
    </w:lvl>
    <w:lvl w:ilvl="2" w:tplc="0C0A001B" w:tentative="1">
      <w:start w:val="1"/>
      <w:numFmt w:val="lowerRoman"/>
      <w:lvlText w:val="%3."/>
      <w:lvlJc w:val="right"/>
      <w:pPr>
        <w:tabs>
          <w:tab w:val="num" w:pos="3060"/>
        </w:tabs>
        <w:ind w:left="3060" w:hanging="180"/>
      </w:pPr>
      <w:rPr>
        <w:rFonts w:cs="Times New Roman"/>
      </w:rPr>
    </w:lvl>
    <w:lvl w:ilvl="3" w:tplc="0C0A000F" w:tentative="1">
      <w:start w:val="1"/>
      <w:numFmt w:val="decimal"/>
      <w:lvlText w:val="%4."/>
      <w:lvlJc w:val="left"/>
      <w:pPr>
        <w:tabs>
          <w:tab w:val="num" w:pos="3780"/>
        </w:tabs>
        <w:ind w:left="3780" w:hanging="360"/>
      </w:pPr>
      <w:rPr>
        <w:rFonts w:cs="Times New Roman"/>
      </w:rPr>
    </w:lvl>
    <w:lvl w:ilvl="4" w:tplc="0C0A0019" w:tentative="1">
      <w:start w:val="1"/>
      <w:numFmt w:val="lowerLetter"/>
      <w:lvlText w:val="%5."/>
      <w:lvlJc w:val="left"/>
      <w:pPr>
        <w:tabs>
          <w:tab w:val="num" w:pos="4500"/>
        </w:tabs>
        <w:ind w:left="4500" w:hanging="360"/>
      </w:pPr>
      <w:rPr>
        <w:rFonts w:cs="Times New Roman"/>
      </w:rPr>
    </w:lvl>
    <w:lvl w:ilvl="5" w:tplc="0C0A001B" w:tentative="1">
      <w:start w:val="1"/>
      <w:numFmt w:val="lowerRoman"/>
      <w:lvlText w:val="%6."/>
      <w:lvlJc w:val="right"/>
      <w:pPr>
        <w:tabs>
          <w:tab w:val="num" w:pos="5220"/>
        </w:tabs>
        <w:ind w:left="5220" w:hanging="180"/>
      </w:pPr>
      <w:rPr>
        <w:rFonts w:cs="Times New Roman"/>
      </w:rPr>
    </w:lvl>
    <w:lvl w:ilvl="6" w:tplc="0C0A000F" w:tentative="1">
      <w:start w:val="1"/>
      <w:numFmt w:val="decimal"/>
      <w:lvlText w:val="%7."/>
      <w:lvlJc w:val="left"/>
      <w:pPr>
        <w:tabs>
          <w:tab w:val="num" w:pos="5940"/>
        </w:tabs>
        <w:ind w:left="5940" w:hanging="360"/>
      </w:pPr>
      <w:rPr>
        <w:rFonts w:cs="Times New Roman"/>
      </w:rPr>
    </w:lvl>
    <w:lvl w:ilvl="7" w:tplc="0C0A0019" w:tentative="1">
      <w:start w:val="1"/>
      <w:numFmt w:val="lowerLetter"/>
      <w:lvlText w:val="%8."/>
      <w:lvlJc w:val="left"/>
      <w:pPr>
        <w:tabs>
          <w:tab w:val="num" w:pos="6660"/>
        </w:tabs>
        <w:ind w:left="6660" w:hanging="360"/>
      </w:pPr>
      <w:rPr>
        <w:rFonts w:cs="Times New Roman"/>
      </w:rPr>
    </w:lvl>
    <w:lvl w:ilvl="8" w:tplc="0C0A001B" w:tentative="1">
      <w:start w:val="1"/>
      <w:numFmt w:val="lowerRoman"/>
      <w:lvlText w:val="%9."/>
      <w:lvlJc w:val="right"/>
      <w:pPr>
        <w:tabs>
          <w:tab w:val="num" w:pos="7380"/>
        </w:tabs>
        <w:ind w:left="7380" w:hanging="180"/>
      </w:pPr>
      <w:rPr>
        <w:rFonts w:cs="Times New Roman"/>
      </w:rPr>
    </w:lvl>
  </w:abstractNum>
  <w:abstractNum w:abstractNumId="22">
    <w:nsid w:val="36175622"/>
    <w:multiLevelType w:val="multilevel"/>
    <w:tmpl w:val="5D4EE0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366328DF"/>
    <w:multiLevelType w:val="multilevel"/>
    <w:tmpl w:val="4224B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36E47956"/>
    <w:multiLevelType w:val="hybridMultilevel"/>
    <w:tmpl w:val="DB34FE0A"/>
    <w:lvl w:ilvl="0" w:tplc="AD82FC8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4E57B8"/>
    <w:multiLevelType w:val="multilevel"/>
    <w:tmpl w:val="1026CA02"/>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3C6A67E0"/>
    <w:multiLevelType w:val="hybridMultilevel"/>
    <w:tmpl w:val="78F6FB4A"/>
    <w:lvl w:ilvl="0" w:tplc="2B3051E6">
      <w:start w:val="2"/>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05F44F5"/>
    <w:multiLevelType w:val="multilevel"/>
    <w:tmpl w:val="50E4A2B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41261098"/>
    <w:multiLevelType w:val="hybridMultilevel"/>
    <w:tmpl w:val="998E4A48"/>
    <w:lvl w:ilvl="0" w:tplc="73BC6636">
      <w:start w:val="1"/>
      <w:numFmt w:val="lowerLetter"/>
      <w:lvlText w:val="%1)"/>
      <w:lvlJc w:val="left"/>
      <w:pPr>
        <w:tabs>
          <w:tab w:val="num" w:pos="1440"/>
        </w:tabs>
        <w:ind w:left="2160" w:hanging="360"/>
      </w:pPr>
      <w:rPr>
        <w:rFonts w:ascii="Shonar Bangla" w:hAnsi="Shonar Bangla" w:cs="Times New Roman" w:hint="default"/>
        <w:b w:val="0"/>
        <w:bCs w:val="0"/>
        <w:i w:val="0"/>
        <w:iCs w:val="0"/>
        <w:caps w:val="0"/>
        <w:strike w:val="0"/>
        <w:dstrike w:val="0"/>
        <w:vanish w:val="0"/>
        <w:color w:val="auto"/>
        <w:sz w:val="22"/>
        <w:szCs w:val="22"/>
        <w:vertAlign w:val="baseline"/>
      </w:rPr>
    </w:lvl>
    <w:lvl w:ilvl="1" w:tplc="0C0A0019" w:tentative="1">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29">
    <w:nsid w:val="42667C11"/>
    <w:multiLevelType w:val="hybridMultilevel"/>
    <w:tmpl w:val="D5722C06"/>
    <w:lvl w:ilvl="0" w:tplc="10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30A0DD4"/>
    <w:multiLevelType w:val="multilevel"/>
    <w:tmpl w:val="50380B7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auto"/>
        <w:sz w:val="22"/>
        <w:szCs w:val="22"/>
        <w:vertAlign w:val="baseline"/>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454662F3"/>
    <w:multiLevelType w:val="hybridMultilevel"/>
    <w:tmpl w:val="D4289652"/>
    <w:lvl w:ilvl="0" w:tplc="41F268F0">
      <w:start w:val="1"/>
      <w:numFmt w:val="upperLetter"/>
      <w:lvlText w:val="%1."/>
      <w:lvlJc w:val="left"/>
      <w:pPr>
        <w:ind w:left="1260" w:hanging="180"/>
      </w:pPr>
      <w:rPr>
        <w:rFonts w:hint="default"/>
        <w:b/>
        <w:i w:val="0"/>
        <w:strike w:val="0"/>
        <w:dstrike w:val="0"/>
        <w:color w:val="000000"/>
        <w:sz w:val="22"/>
        <w:u w:val="none"/>
        <w:vertAlign w:val="baseline"/>
      </w:rPr>
    </w:lvl>
    <w:lvl w:ilvl="1" w:tplc="380A0019" w:tentative="1">
      <w:start w:val="1"/>
      <w:numFmt w:val="lowerLetter"/>
      <w:lvlText w:val="%2."/>
      <w:lvlJc w:val="left"/>
      <w:pPr>
        <w:ind w:left="1440" w:hanging="360"/>
      </w:pPr>
    </w:lvl>
    <w:lvl w:ilvl="2" w:tplc="405A463C">
      <w:start w:val="1"/>
      <w:numFmt w:val="lowerRoman"/>
      <w:lvlText w:val="%3)"/>
      <w:lvlJc w:val="right"/>
      <w:pPr>
        <w:ind w:left="2160" w:hanging="180"/>
      </w:pPr>
      <w:rPr>
        <w:rFonts w:ascii="Times New Roman Bold" w:hAnsi="Times New Roman Bold" w:cs="Segoe UI Black" w:hint="default"/>
        <w:b w:val="0"/>
        <w:i w:val="0"/>
        <w:strike w:val="0"/>
        <w:dstrike w:val="0"/>
        <w:color w:val="000000"/>
        <w:sz w:val="22"/>
        <w:u w:val="none"/>
        <w:vertAlign w:val="baseline"/>
      </w:r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2">
    <w:nsid w:val="45DF47FE"/>
    <w:multiLevelType w:val="hybridMultilevel"/>
    <w:tmpl w:val="23A84E88"/>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4CBA4747"/>
    <w:multiLevelType w:val="hybridMultilevel"/>
    <w:tmpl w:val="5062444A"/>
    <w:lvl w:ilvl="0" w:tplc="82E88802">
      <w:start w:val="2"/>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57B1846"/>
    <w:multiLevelType w:val="multilevel"/>
    <w:tmpl w:val="163C6966"/>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5">
    <w:nsid w:val="56245FA1"/>
    <w:multiLevelType w:val="multilevel"/>
    <w:tmpl w:val="5428E28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auto"/>
        <w:sz w:val="22"/>
        <w:szCs w:val="22"/>
        <w:vertAlign w:val="baseline"/>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574B1A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5F977315"/>
    <w:multiLevelType w:val="hybridMultilevel"/>
    <w:tmpl w:val="5C885A60"/>
    <w:lvl w:ilvl="0" w:tplc="776845C8">
      <w:start w:val="1"/>
      <w:numFmt w:val="lowerRoman"/>
      <w:lvlText w:val="%1)"/>
      <w:lvlJc w:val="right"/>
      <w:pPr>
        <w:tabs>
          <w:tab w:val="num" w:pos="0"/>
        </w:tabs>
        <w:ind w:left="1440" w:hanging="360"/>
      </w:pPr>
      <w:rPr>
        <w:rFonts w:ascii="Times New Roman Bold" w:hAnsi="Times New Roman Bold" w:cs="Segoe UI Black" w:hint="default"/>
        <w:b w:val="0"/>
        <w:i w:val="0"/>
        <w:strike w:val="0"/>
        <w:dstrike w:val="0"/>
        <w:color w:val="000000"/>
        <w:sz w:val="22"/>
        <w:u w:val="none"/>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nsid w:val="614C5C12"/>
    <w:multiLevelType w:val="hybridMultilevel"/>
    <w:tmpl w:val="EF424C16"/>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669220B"/>
    <w:multiLevelType w:val="hybridMultilevel"/>
    <w:tmpl w:val="42529B76"/>
    <w:lvl w:ilvl="0" w:tplc="41F268F0">
      <w:start w:val="1"/>
      <w:numFmt w:val="upperLetter"/>
      <w:lvlText w:val="%1."/>
      <w:lvlJc w:val="left"/>
      <w:pPr>
        <w:ind w:left="6881" w:hanging="360"/>
      </w:pPr>
      <w:rPr>
        <w:rFonts w:hint="default"/>
        <w:b/>
      </w:rPr>
    </w:lvl>
    <w:lvl w:ilvl="1" w:tplc="2B9086A0">
      <w:start w:val="1"/>
      <w:numFmt w:val="lowerLetter"/>
      <w:lvlText w:val="(%2)"/>
      <w:lvlJc w:val="left"/>
      <w:pPr>
        <w:ind w:left="7601" w:hanging="360"/>
      </w:pPr>
      <w:rPr>
        <w:rFonts w:hint="default"/>
      </w:rPr>
    </w:lvl>
    <w:lvl w:ilvl="2" w:tplc="776845C8">
      <w:start w:val="1"/>
      <w:numFmt w:val="lowerRoman"/>
      <w:lvlText w:val="%3)"/>
      <w:lvlJc w:val="right"/>
      <w:pPr>
        <w:ind w:left="8321" w:hanging="180"/>
      </w:pPr>
      <w:rPr>
        <w:rFonts w:ascii="Times New Roman Bold" w:hAnsi="Times New Roman Bold" w:cs="Segoe UI Black" w:hint="default"/>
        <w:b w:val="0"/>
        <w:i w:val="0"/>
        <w:strike w:val="0"/>
        <w:dstrike w:val="0"/>
        <w:color w:val="000000"/>
        <w:sz w:val="22"/>
        <w:u w:val="none"/>
        <w:vertAlign w:val="baseline"/>
      </w:rPr>
    </w:lvl>
    <w:lvl w:ilvl="3" w:tplc="1009000F">
      <w:start w:val="1"/>
      <w:numFmt w:val="decimal"/>
      <w:lvlText w:val="%4."/>
      <w:lvlJc w:val="left"/>
      <w:pPr>
        <w:ind w:left="9041" w:hanging="360"/>
      </w:pPr>
    </w:lvl>
    <w:lvl w:ilvl="4" w:tplc="10090019">
      <w:start w:val="1"/>
      <w:numFmt w:val="lowerLetter"/>
      <w:lvlText w:val="%5."/>
      <w:lvlJc w:val="left"/>
      <w:pPr>
        <w:ind w:left="9761" w:hanging="360"/>
      </w:pPr>
    </w:lvl>
    <w:lvl w:ilvl="5" w:tplc="1009001B" w:tentative="1">
      <w:start w:val="1"/>
      <w:numFmt w:val="lowerRoman"/>
      <w:lvlText w:val="%6."/>
      <w:lvlJc w:val="right"/>
      <w:pPr>
        <w:ind w:left="10481" w:hanging="180"/>
      </w:pPr>
    </w:lvl>
    <w:lvl w:ilvl="6" w:tplc="1009000F" w:tentative="1">
      <w:start w:val="1"/>
      <w:numFmt w:val="decimal"/>
      <w:lvlText w:val="%7."/>
      <w:lvlJc w:val="left"/>
      <w:pPr>
        <w:ind w:left="11201" w:hanging="360"/>
      </w:pPr>
    </w:lvl>
    <w:lvl w:ilvl="7" w:tplc="10090019" w:tentative="1">
      <w:start w:val="1"/>
      <w:numFmt w:val="lowerLetter"/>
      <w:lvlText w:val="%8."/>
      <w:lvlJc w:val="left"/>
      <w:pPr>
        <w:ind w:left="11921" w:hanging="360"/>
      </w:pPr>
    </w:lvl>
    <w:lvl w:ilvl="8" w:tplc="1009001B" w:tentative="1">
      <w:start w:val="1"/>
      <w:numFmt w:val="lowerRoman"/>
      <w:lvlText w:val="%9."/>
      <w:lvlJc w:val="right"/>
      <w:pPr>
        <w:ind w:left="12641" w:hanging="180"/>
      </w:pPr>
    </w:lvl>
  </w:abstractNum>
  <w:abstractNum w:abstractNumId="41">
    <w:nsid w:val="6CFA7C5A"/>
    <w:multiLevelType w:val="multilevel"/>
    <w:tmpl w:val="B15A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44B2CC8"/>
    <w:multiLevelType w:val="hybridMultilevel"/>
    <w:tmpl w:val="7CAC6584"/>
    <w:lvl w:ilvl="0" w:tplc="E3E464E0">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3">
    <w:nsid w:val="7CB6150D"/>
    <w:multiLevelType w:val="hybridMultilevel"/>
    <w:tmpl w:val="757C755A"/>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7F7B7680"/>
    <w:multiLevelType w:val="hybridMultilevel"/>
    <w:tmpl w:val="B0DC9450"/>
    <w:lvl w:ilvl="0" w:tplc="41F268F0">
      <w:start w:val="1"/>
      <w:numFmt w:val="upperLetter"/>
      <w:lvlText w:val="%1."/>
      <w:lvlJc w:val="left"/>
      <w:pPr>
        <w:ind w:left="6881" w:hanging="360"/>
      </w:pPr>
      <w:rPr>
        <w:rFonts w:hint="default"/>
        <w:b/>
      </w:rPr>
    </w:lvl>
    <w:lvl w:ilvl="1" w:tplc="2B9086A0">
      <w:start w:val="1"/>
      <w:numFmt w:val="lowerLetter"/>
      <w:lvlText w:val="(%2)"/>
      <w:lvlJc w:val="left"/>
      <w:pPr>
        <w:ind w:left="7601" w:hanging="360"/>
      </w:pPr>
      <w:rPr>
        <w:rFonts w:hint="default"/>
      </w:rPr>
    </w:lvl>
    <w:lvl w:ilvl="2" w:tplc="D0D04D16">
      <w:start w:val="1"/>
      <w:numFmt w:val="lowerRoman"/>
      <w:lvlText w:val="%3)"/>
      <w:lvlJc w:val="left"/>
      <w:pPr>
        <w:ind w:left="8321" w:hanging="180"/>
      </w:pPr>
      <w:rPr>
        <w:rFonts w:hint="default"/>
      </w:rPr>
    </w:lvl>
    <w:lvl w:ilvl="3" w:tplc="1009000F">
      <w:start w:val="1"/>
      <w:numFmt w:val="decimal"/>
      <w:lvlText w:val="%4."/>
      <w:lvlJc w:val="left"/>
      <w:pPr>
        <w:ind w:left="9041" w:hanging="360"/>
      </w:pPr>
    </w:lvl>
    <w:lvl w:ilvl="4" w:tplc="10090019">
      <w:start w:val="1"/>
      <w:numFmt w:val="lowerLetter"/>
      <w:lvlText w:val="%5."/>
      <w:lvlJc w:val="left"/>
      <w:pPr>
        <w:ind w:left="9761" w:hanging="360"/>
      </w:pPr>
    </w:lvl>
    <w:lvl w:ilvl="5" w:tplc="1009001B" w:tentative="1">
      <w:start w:val="1"/>
      <w:numFmt w:val="lowerRoman"/>
      <w:lvlText w:val="%6."/>
      <w:lvlJc w:val="right"/>
      <w:pPr>
        <w:ind w:left="10481" w:hanging="180"/>
      </w:pPr>
    </w:lvl>
    <w:lvl w:ilvl="6" w:tplc="1009000F" w:tentative="1">
      <w:start w:val="1"/>
      <w:numFmt w:val="decimal"/>
      <w:lvlText w:val="%7."/>
      <w:lvlJc w:val="left"/>
      <w:pPr>
        <w:ind w:left="11201" w:hanging="360"/>
      </w:pPr>
    </w:lvl>
    <w:lvl w:ilvl="7" w:tplc="10090019" w:tentative="1">
      <w:start w:val="1"/>
      <w:numFmt w:val="lowerLetter"/>
      <w:lvlText w:val="%8."/>
      <w:lvlJc w:val="left"/>
      <w:pPr>
        <w:ind w:left="11921" w:hanging="360"/>
      </w:pPr>
    </w:lvl>
    <w:lvl w:ilvl="8" w:tplc="1009001B" w:tentative="1">
      <w:start w:val="1"/>
      <w:numFmt w:val="lowerRoman"/>
      <w:lvlText w:val="%9."/>
      <w:lvlJc w:val="right"/>
      <w:pPr>
        <w:ind w:left="12641" w:hanging="180"/>
      </w:pPr>
    </w:lvl>
  </w:abstractNum>
  <w:num w:numId="1">
    <w:abstractNumId w:val="37"/>
  </w:num>
  <w:num w:numId="2">
    <w:abstractNumId w:val="35"/>
  </w:num>
  <w:num w:numId="3">
    <w:abstractNumId w:val="14"/>
  </w:num>
  <w:num w:numId="4">
    <w:abstractNumId w:val="40"/>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6"/>
  </w:num>
  <w:num w:numId="9">
    <w:abstractNumId w:val="11"/>
  </w:num>
  <w:num w:numId="10">
    <w:abstractNumId w:val="29"/>
  </w:num>
  <w:num w:numId="11">
    <w:abstractNumId w:val="23"/>
  </w:num>
  <w:num w:numId="12">
    <w:abstractNumId w:val="22"/>
  </w:num>
  <w:num w:numId="13">
    <w:abstractNumId w:val="36"/>
  </w:num>
  <w:num w:numId="14">
    <w:abstractNumId w:val="27"/>
  </w:num>
  <w:num w:numId="15">
    <w:abstractNumId w:val="20"/>
  </w:num>
  <w:num w:numId="16">
    <w:abstractNumId w:val="25"/>
  </w:num>
  <w:num w:numId="17">
    <w:abstractNumId w:val="10"/>
  </w:num>
  <w:num w:numId="18">
    <w:abstractNumId w:val="34"/>
  </w:num>
  <w:num w:numId="19">
    <w:abstractNumId w:val="41"/>
  </w:num>
  <w:num w:numId="20">
    <w:abstractNumId w:val="26"/>
  </w:num>
  <w:num w:numId="21">
    <w:abstractNumId w:val="33"/>
  </w:num>
  <w:num w:numId="22">
    <w:abstractNumId w:val="24"/>
  </w:num>
  <w:num w:numId="23">
    <w:abstractNumId w:val="8"/>
  </w:num>
  <w:num w:numId="24">
    <w:abstractNumId w:val="15"/>
  </w:num>
  <w:num w:numId="25">
    <w:abstractNumId w:val="12"/>
  </w:num>
  <w:num w:numId="26">
    <w:abstractNumId w:val="7"/>
  </w:num>
  <w:num w:numId="27">
    <w:abstractNumId w:val="42"/>
  </w:num>
  <w:num w:numId="28">
    <w:abstractNumId w:val="32"/>
  </w:num>
  <w:num w:numId="29">
    <w:abstractNumId w:val="43"/>
  </w:num>
  <w:num w:numId="30">
    <w:abstractNumId w:val="39"/>
  </w:num>
  <w:num w:numId="31">
    <w:abstractNumId w:val="18"/>
  </w:num>
  <w:num w:numId="32">
    <w:abstractNumId w:val="2"/>
  </w:num>
  <w:num w:numId="33">
    <w:abstractNumId w:val="3"/>
  </w:num>
  <w:num w:numId="34">
    <w:abstractNumId w:val="1"/>
  </w:num>
  <w:num w:numId="35">
    <w:abstractNumId w:val="5"/>
  </w:num>
  <w:num w:numId="36">
    <w:abstractNumId w:val="38"/>
  </w:num>
  <w:num w:numId="37">
    <w:abstractNumId w:val="17"/>
  </w:num>
  <w:num w:numId="38">
    <w:abstractNumId w:val="28"/>
  </w:num>
  <w:num w:numId="39">
    <w:abstractNumId w:val="0"/>
  </w:num>
  <w:num w:numId="40">
    <w:abstractNumId w:val="21"/>
  </w:num>
  <w:num w:numId="41">
    <w:abstractNumId w:val="30"/>
  </w:num>
  <w:num w:numId="42">
    <w:abstractNumId w:val="19"/>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13"/>
  </w:num>
  <w:num w:numId="47">
    <w:abstractNumId w:val="44"/>
  </w:num>
  <w:num w:numId="48">
    <w:abstractNumId w:val="31"/>
  </w:num>
  <w:num w:numId="4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tiana Zavarzina">
    <w15:presenceInfo w15:providerId="AD" w15:userId="S::tatiana.zavarzina@un.org::65a8a7e2-15b5-4f50-90f4-f33b54b1ecb5"/>
  </w15:person>
  <w15:person w15:author="Van Havre,Basile [NCR]">
    <w15:presenceInfo w15:providerId="AD" w15:userId="S-1-5-21-2086016090-1259623561-1170935872-355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proofState w:spelling="clean"/>
  <w:defaultTabStop w:val="720"/>
  <w:hyphenationZone w:val="425"/>
  <w:evenAndOddHeaders/>
  <w:characterSpacingControl w:val="doNotCompress"/>
  <w:hdrShapeDefaults>
    <o:shapedefaults v:ext="edit" spidmax="10242"/>
  </w:hdrShapeDefaults>
  <w:footnotePr>
    <w:footnote w:id="-1"/>
    <w:footnote w:id="0"/>
    <w:footnote w:id="1"/>
  </w:footnotePr>
  <w:endnotePr>
    <w:endnote w:id="-1"/>
    <w:endnote w:id="0"/>
    <w:endnote w:id="1"/>
  </w:endnotePr>
  <w:compat/>
  <w:rsids>
    <w:rsidRoot w:val="008B3424"/>
    <w:rsid w:val="00041437"/>
    <w:rsid w:val="000416C3"/>
    <w:rsid w:val="0004226F"/>
    <w:rsid w:val="00042D08"/>
    <w:rsid w:val="0004662C"/>
    <w:rsid w:val="000601B0"/>
    <w:rsid w:val="00064E9C"/>
    <w:rsid w:val="000669B0"/>
    <w:rsid w:val="0007126C"/>
    <w:rsid w:val="00090DE3"/>
    <w:rsid w:val="00094148"/>
    <w:rsid w:val="0009595C"/>
    <w:rsid w:val="0009777E"/>
    <w:rsid w:val="000A419C"/>
    <w:rsid w:val="000B3259"/>
    <w:rsid w:val="000B4396"/>
    <w:rsid w:val="000B5448"/>
    <w:rsid w:val="000B7777"/>
    <w:rsid w:val="000C0D88"/>
    <w:rsid w:val="000C10B0"/>
    <w:rsid w:val="000C3170"/>
    <w:rsid w:val="000C5510"/>
    <w:rsid w:val="000F11AE"/>
    <w:rsid w:val="000F3B01"/>
    <w:rsid w:val="00104208"/>
    <w:rsid w:val="001211DD"/>
    <w:rsid w:val="00136F74"/>
    <w:rsid w:val="00151032"/>
    <w:rsid w:val="001533E9"/>
    <w:rsid w:val="00156AD7"/>
    <w:rsid w:val="00180B99"/>
    <w:rsid w:val="00181D2D"/>
    <w:rsid w:val="001A2373"/>
    <w:rsid w:val="001A2D14"/>
    <w:rsid w:val="001B2150"/>
    <w:rsid w:val="001C0621"/>
    <w:rsid w:val="001D505E"/>
    <w:rsid w:val="001E6EBA"/>
    <w:rsid w:val="001E7A63"/>
    <w:rsid w:val="001F27F1"/>
    <w:rsid w:val="001F4D77"/>
    <w:rsid w:val="00213645"/>
    <w:rsid w:val="0022549D"/>
    <w:rsid w:val="0022758B"/>
    <w:rsid w:val="00235EEC"/>
    <w:rsid w:val="00236FCA"/>
    <w:rsid w:val="00240FF4"/>
    <w:rsid w:val="00255EC0"/>
    <w:rsid w:val="002833B4"/>
    <w:rsid w:val="002A66CF"/>
    <w:rsid w:val="002B51D1"/>
    <w:rsid w:val="002C3084"/>
    <w:rsid w:val="002D24DD"/>
    <w:rsid w:val="00323241"/>
    <w:rsid w:val="003406AB"/>
    <w:rsid w:val="00345238"/>
    <w:rsid w:val="00352585"/>
    <w:rsid w:val="00365D36"/>
    <w:rsid w:val="0039277E"/>
    <w:rsid w:val="003963F8"/>
    <w:rsid w:val="00396A7D"/>
    <w:rsid w:val="003C3750"/>
    <w:rsid w:val="003D2981"/>
    <w:rsid w:val="00403225"/>
    <w:rsid w:val="00434A6B"/>
    <w:rsid w:val="00442449"/>
    <w:rsid w:val="00450431"/>
    <w:rsid w:val="0046210B"/>
    <w:rsid w:val="00462AF0"/>
    <w:rsid w:val="004632EA"/>
    <w:rsid w:val="00465FD9"/>
    <w:rsid w:val="00475D8F"/>
    <w:rsid w:val="00483D51"/>
    <w:rsid w:val="00492FD1"/>
    <w:rsid w:val="004943AF"/>
    <w:rsid w:val="004967BA"/>
    <w:rsid w:val="004B0E5D"/>
    <w:rsid w:val="004E16E1"/>
    <w:rsid w:val="004E20E2"/>
    <w:rsid w:val="004F59E4"/>
    <w:rsid w:val="00510688"/>
    <w:rsid w:val="00516D7B"/>
    <w:rsid w:val="005346AB"/>
    <w:rsid w:val="00535352"/>
    <w:rsid w:val="00540F34"/>
    <w:rsid w:val="00550B2D"/>
    <w:rsid w:val="0058094E"/>
    <w:rsid w:val="00587D55"/>
    <w:rsid w:val="005900B0"/>
    <w:rsid w:val="00592839"/>
    <w:rsid w:val="00592983"/>
    <w:rsid w:val="00593624"/>
    <w:rsid w:val="005B0296"/>
    <w:rsid w:val="005B6DC1"/>
    <w:rsid w:val="005C2DE9"/>
    <w:rsid w:val="005D138E"/>
    <w:rsid w:val="005D2136"/>
    <w:rsid w:val="005D60BA"/>
    <w:rsid w:val="005E1A23"/>
    <w:rsid w:val="005E5458"/>
    <w:rsid w:val="00603393"/>
    <w:rsid w:val="006033B7"/>
    <w:rsid w:val="00605288"/>
    <w:rsid w:val="00612DE5"/>
    <w:rsid w:val="006145F9"/>
    <w:rsid w:val="00614B69"/>
    <w:rsid w:val="006160B1"/>
    <w:rsid w:val="00622461"/>
    <w:rsid w:val="00637714"/>
    <w:rsid w:val="00651F8A"/>
    <w:rsid w:val="006551AC"/>
    <w:rsid w:val="00657636"/>
    <w:rsid w:val="006954E7"/>
    <w:rsid w:val="0069636C"/>
    <w:rsid w:val="006B545E"/>
    <w:rsid w:val="006D0546"/>
    <w:rsid w:val="006D7705"/>
    <w:rsid w:val="006E400B"/>
    <w:rsid w:val="006F42F5"/>
    <w:rsid w:val="007008AC"/>
    <w:rsid w:val="00702446"/>
    <w:rsid w:val="007077AF"/>
    <w:rsid w:val="0072408B"/>
    <w:rsid w:val="00726825"/>
    <w:rsid w:val="007617E4"/>
    <w:rsid w:val="00766542"/>
    <w:rsid w:val="00771BBD"/>
    <w:rsid w:val="007752DB"/>
    <w:rsid w:val="00792720"/>
    <w:rsid w:val="007A1DF6"/>
    <w:rsid w:val="007A26FC"/>
    <w:rsid w:val="007A2B4D"/>
    <w:rsid w:val="007B31E3"/>
    <w:rsid w:val="007E268A"/>
    <w:rsid w:val="007F6642"/>
    <w:rsid w:val="00803A3F"/>
    <w:rsid w:val="008048B6"/>
    <w:rsid w:val="008051C4"/>
    <w:rsid w:val="0081014C"/>
    <w:rsid w:val="00826EDB"/>
    <w:rsid w:val="0083580B"/>
    <w:rsid w:val="008360E5"/>
    <w:rsid w:val="00841FAF"/>
    <w:rsid w:val="00855274"/>
    <w:rsid w:val="00861C99"/>
    <w:rsid w:val="00864F18"/>
    <w:rsid w:val="0086586D"/>
    <w:rsid w:val="00865D57"/>
    <w:rsid w:val="0086680C"/>
    <w:rsid w:val="00883AA7"/>
    <w:rsid w:val="0089664E"/>
    <w:rsid w:val="008A4923"/>
    <w:rsid w:val="008B3424"/>
    <w:rsid w:val="008E3EA4"/>
    <w:rsid w:val="008F3547"/>
    <w:rsid w:val="009001B2"/>
    <w:rsid w:val="00904EA5"/>
    <w:rsid w:val="0092602B"/>
    <w:rsid w:val="00932294"/>
    <w:rsid w:val="00937FD8"/>
    <w:rsid w:val="00942DBB"/>
    <w:rsid w:val="0095586E"/>
    <w:rsid w:val="0096283B"/>
    <w:rsid w:val="009678F3"/>
    <w:rsid w:val="009737C7"/>
    <w:rsid w:val="00992CA9"/>
    <w:rsid w:val="009948F4"/>
    <w:rsid w:val="009A2D3B"/>
    <w:rsid w:val="009A575C"/>
    <w:rsid w:val="009A6919"/>
    <w:rsid w:val="009C1D1E"/>
    <w:rsid w:val="009D7674"/>
    <w:rsid w:val="009E20CE"/>
    <w:rsid w:val="009E32C2"/>
    <w:rsid w:val="009E3E4B"/>
    <w:rsid w:val="009E75E7"/>
    <w:rsid w:val="00A06679"/>
    <w:rsid w:val="00A33185"/>
    <w:rsid w:val="00A334BD"/>
    <w:rsid w:val="00A503BE"/>
    <w:rsid w:val="00A5511C"/>
    <w:rsid w:val="00A57BDC"/>
    <w:rsid w:val="00A63EBE"/>
    <w:rsid w:val="00A86E19"/>
    <w:rsid w:val="00AB1A5E"/>
    <w:rsid w:val="00AB5695"/>
    <w:rsid w:val="00AC6D45"/>
    <w:rsid w:val="00AD29A9"/>
    <w:rsid w:val="00AE2EC5"/>
    <w:rsid w:val="00AF3070"/>
    <w:rsid w:val="00AF4EEA"/>
    <w:rsid w:val="00B06671"/>
    <w:rsid w:val="00B06DE3"/>
    <w:rsid w:val="00B11568"/>
    <w:rsid w:val="00B11E46"/>
    <w:rsid w:val="00B12AA1"/>
    <w:rsid w:val="00B144D7"/>
    <w:rsid w:val="00B15704"/>
    <w:rsid w:val="00B201C6"/>
    <w:rsid w:val="00B239F3"/>
    <w:rsid w:val="00B44566"/>
    <w:rsid w:val="00B52ECC"/>
    <w:rsid w:val="00B65D03"/>
    <w:rsid w:val="00B74DBB"/>
    <w:rsid w:val="00B87391"/>
    <w:rsid w:val="00BC18A5"/>
    <w:rsid w:val="00BC2BDE"/>
    <w:rsid w:val="00BC7F5D"/>
    <w:rsid w:val="00BE3E6E"/>
    <w:rsid w:val="00BE6A8B"/>
    <w:rsid w:val="00C2629D"/>
    <w:rsid w:val="00C2783C"/>
    <w:rsid w:val="00C4051B"/>
    <w:rsid w:val="00C46295"/>
    <w:rsid w:val="00C53785"/>
    <w:rsid w:val="00C57CDF"/>
    <w:rsid w:val="00C64719"/>
    <w:rsid w:val="00C65AC2"/>
    <w:rsid w:val="00C73172"/>
    <w:rsid w:val="00C7386C"/>
    <w:rsid w:val="00C968AB"/>
    <w:rsid w:val="00CC01DA"/>
    <w:rsid w:val="00CF60F1"/>
    <w:rsid w:val="00D01819"/>
    <w:rsid w:val="00D02738"/>
    <w:rsid w:val="00D04A3C"/>
    <w:rsid w:val="00D11A33"/>
    <w:rsid w:val="00D332D9"/>
    <w:rsid w:val="00D37B7B"/>
    <w:rsid w:val="00D42020"/>
    <w:rsid w:val="00D4632F"/>
    <w:rsid w:val="00D6410A"/>
    <w:rsid w:val="00D70385"/>
    <w:rsid w:val="00DA120F"/>
    <w:rsid w:val="00DB1CED"/>
    <w:rsid w:val="00DB77CB"/>
    <w:rsid w:val="00DE784D"/>
    <w:rsid w:val="00DF25D2"/>
    <w:rsid w:val="00E076E4"/>
    <w:rsid w:val="00E22E7B"/>
    <w:rsid w:val="00E24691"/>
    <w:rsid w:val="00E31EDD"/>
    <w:rsid w:val="00E32ABE"/>
    <w:rsid w:val="00E400F1"/>
    <w:rsid w:val="00E502D7"/>
    <w:rsid w:val="00E54548"/>
    <w:rsid w:val="00E613F4"/>
    <w:rsid w:val="00E72EFE"/>
    <w:rsid w:val="00E76108"/>
    <w:rsid w:val="00E83272"/>
    <w:rsid w:val="00E85CC4"/>
    <w:rsid w:val="00E87755"/>
    <w:rsid w:val="00E90E00"/>
    <w:rsid w:val="00E922E7"/>
    <w:rsid w:val="00E94187"/>
    <w:rsid w:val="00ED1A02"/>
    <w:rsid w:val="00ED23FA"/>
    <w:rsid w:val="00F03A3B"/>
    <w:rsid w:val="00F03A9E"/>
    <w:rsid w:val="00F30613"/>
    <w:rsid w:val="00F30672"/>
    <w:rsid w:val="00F31B2E"/>
    <w:rsid w:val="00F376AE"/>
    <w:rsid w:val="00F43D81"/>
    <w:rsid w:val="00F46A77"/>
    <w:rsid w:val="00F55BC7"/>
    <w:rsid w:val="00F6721A"/>
    <w:rsid w:val="00F76FC8"/>
    <w:rsid w:val="00F8056E"/>
    <w:rsid w:val="00FA7BCD"/>
    <w:rsid w:val="00FC67E5"/>
    <w:rsid w:val="00FD7A93"/>
    <w:rsid w:val="00FE7072"/>
    <w:rsid w:val="00FF4F7B"/>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24"/>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uiPriority w:val="99"/>
    <w:qFormat/>
    <w:rsid w:val="008B3424"/>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8B3424"/>
    <w:pPr>
      <w:keepNext/>
      <w:tabs>
        <w:tab w:val="left" w:pos="720"/>
      </w:tabs>
      <w:spacing w:before="120" w:after="120"/>
      <w:jc w:val="center"/>
      <w:outlineLvl w:val="1"/>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424"/>
    <w:rPr>
      <w:rFonts w:ascii="Times New Roman" w:eastAsia="Times New Roman" w:hAnsi="Times New Roman" w:cs="Times New Roman"/>
      <w:b/>
      <w:caps/>
      <w:sz w:val="22"/>
      <w:lang w:val="en-GB"/>
    </w:rPr>
  </w:style>
  <w:style w:type="character" w:customStyle="1" w:styleId="Heading2Char">
    <w:name w:val="Heading 2 Char"/>
    <w:basedOn w:val="DefaultParagraphFont"/>
    <w:link w:val="Heading2"/>
    <w:uiPriority w:val="9"/>
    <w:rsid w:val="008B3424"/>
    <w:rPr>
      <w:rFonts w:ascii="Times New Roman" w:eastAsia="Times New Roman" w:hAnsi="Times New Roman" w:cs="Times New Roman"/>
      <w:b/>
      <w:bCs/>
      <w:iCs/>
      <w:sz w:val="22"/>
      <w:lang w:val="en-GB"/>
    </w:rPr>
  </w:style>
  <w:style w:type="paragraph" w:customStyle="1" w:styleId="Para1">
    <w:name w:val="Para1"/>
    <w:basedOn w:val="Normal"/>
    <w:link w:val="Para1Char"/>
    <w:uiPriority w:val="99"/>
    <w:rsid w:val="008B3424"/>
    <w:p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8B3424"/>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8B3424"/>
    <w:rPr>
      <w:rFonts w:ascii="Times New Roman" w:eastAsia="Times New Roman" w:hAnsi="Times New Roman" w:cs="Times New Roman"/>
      <w:sz w:val="18"/>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8B3424"/>
    <w:rPr>
      <w:sz w:val="18"/>
      <w:u w:val="single"/>
    </w:rPr>
  </w:style>
  <w:style w:type="paragraph" w:customStyle="1" w:styleId="Para3">
    <w:name w:val="Para3"/>
    <w:basedOn w:val="Normal"/>
    <w:uiPriority w:val="99"/>
    <w:rsid w:val="008B3424"/>
    <w:pPr>
      <w:numPr>
        <w:ilvl w:val="2"/>
        <w:numId w:val="2"/>
      </w:numPr>
      <w:tabs>
        <w:tab w:val="left" w:pos="1980"/>
      </w:tabs>
      <w:spacing w:before="80" w:after="80"/>
    </w:pPr>
    <w:rPr>
      <w:szCs w:val="20"/>
    </w:rPr>
  </w:style>
  <w:style w:type="character" w:customStyle="1" w:styleId="apple-converted-space">
    <w:name w:val="apple-converted-space"/>
    <w:uiPriority w:val="99"/>
    <w:rsid w:val="008B3424"/>
  </w:style>
  <w:style w:type="paragraph" w:styleId="ListParagraph">
    <w:name w:val="List Paragraph"/>
    <w:aliases w:val="table bullets"/>
    <w:basedOn w:val="Normal"/>
    <w:link w:val="ListParagraphChar"/>
    <w:uiPriority w:val="99"/>
    <w:qFormat/>
    <w:rsid w:val="008B3424"/>
    <w:pPr>
      <w:ind w:left="720"/>
      <w:contextualSpacing/>
    </w:pPr>
  </w:style>
  <w:style w:type="character" w:customStyle="1" w:styleId="Para1Char">
    <w:name w:val="Para1 Char"/>
    <w:link w:val="Para1"/>
    <w:locked/>
    <w:rsid w:val="008B3424"/>
    <w:rPr>
      <w:rFonts w:ascii="Times New Roman" w:eastAsia="Times New Roman" w:hAnsi="Times New Roman" w:cs="Times New Roman"/>
      <w:snapToGrid w:val="0"/>
      <w:sz w:val="22"/>
      <w:szCs w:val="18"/>
      <w:lang w:val="en-GB"/>
    </w:rPr>
  </w:style>
  <w:style w:type="character" w:customStyle="1" w:styleId="ListParagraphChar">
    <w:name w:val="List Paragraph Char"/>
    <w:aliases w:val="table bullets Char"/>
    <w:link w:val="ListParagraph"/>
    <w:uiPriority w:val="34"/>
    <w:qFormat/>
    <w:locked/>
    <w:rsid w:val="008B3424"/>
    <w:rPr>
      <w:rFonts w:ascii="Times New Roman" w:eastAsia="Times New Roman" w:hAnsi="Times New Roman" w:cs="Times New Roman"/>
      <w:sz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8B3424"/>
    <w:pPr>
      <w:spacing w:after="160" w:line="240" w:lineRule="exact"/>
    </w:pPr>
    <w:rPr>
      <w:rFonts w:asciiTheme="minorHAnsi" w:eastAsiaTheme="minorHAnsi" w:hAnsiTheme="minorHAnsi" w:cstheme="minorBidi"/>
      <w:sz w:val="18"/>
      <w:u w:val="single"/>
      <w:lang w:val="en-CA"/>
    </w:rPr>
  </w:style>
  <w:style w:type="paragraph" w:styleId="NormalWeb">
    <w:name w:val="Normal (Web)"/>
    <w:basedOn w:val="Normal"/>
    <w:uiPriority w:val="99"/>
    <w:unhideWhenUsed/>
    <w:rsid w:val="008B3424"/>
    <w:pPr>
      <w:spacing w:before="100" w:beforeAutospacing="1" w:after="100" w:afterAutospacing="1"/>
      <w:jc w:val="left"/>
    </w:pPr>
    <w:rPr>
      <w:sz w:val="24"/>
      <w:lang w:val="en-CA"/>
    </w:rPr>
  </w:style>
  <w:style w:type="character" w:customStyle="1" w:styleId="msodel0">
    <w:name w:val="msodel"/>
    <w:basedOn w:val="DefaultParagraphFont"/>
    <w:uiPriority w:val="99"/>
    <w:rsid w:val="008B3424"/>
  </w:style>
  <w:style w:type="character" w:customStyle="1" w:styleId="msoins0">
    <w:name w:val="msoins"/>
    <w:basedOn w:val="DefaultParagraphFont"/>
    <w:uiPriority w:val="99"/>
    <w:rsid w:val="008B3424"/>
  </w:style>
  <w:style w:type="paragraph" w:customStyle="1" w:styleId="paragraph">
    <w:name w:val="paragraph"/>
    <w:basedOn w:val="Normal"/>
    <w:uiPriority w:val="99"/>
    <w:rsid w:val="008B3424"/>
    <w:pPr>
      <w:spacing w:before="100" w:beforeAutospacing="1" w:after="100" w:afterAutospacing="1"/>
      <w:jc w:val="left"/>
    </w:pPr>
    <w:rPr>
      <w:sz w:val="24"/>
      <w:lang w:val="en-CA"/>
    </w:rPr>
  </w:style>
  <w:style w:type="character" w:customStyle="1" w:styleId="normaltextrun">
    <w:name w:val="normaltextrun"/>
    <w:basedOn w:val="DefaultParagraphFont"/>
    <w:uiPriority w:val="99"/>
    <w:rsid w:val="008B3424"/>
  </w:style>
  <w:style w:type="character" w:customStyle="1" w:styleId="eop">
    <w:name w:val="eop"/>
    <w:basedOn w:val="DefaultParagraphFont"/>
    <w:uiPriority w:val="99"/>
    <w:rsid w:val="008B3424"/>
  </w:style>
  <w:style w:type="paragraph" w:styleId="BalloonText">
    <w:name w:val="Balloon Text"/>
    <w:basedOn w:val="Normal"/>
    <w:link w:val="BalloonTextChar"/>
    <w:uiPriority w:val="99"/>
    <w:semiHidden/>
    <w:unhideWhenUsed/>
    <w:rsid w:val="00B74DBB"/>
    <w:rPr>
      <w:sz w:val="18"/>
      <w:szCs w:val="18"/>
    </w:rPr>
  </w:style>
  <w:style w:type="character" w:customStyle="1" w:styleId="BalloonTextChar">
    <w:name w:val="Balloon Text Char"/>
    <w:basedOn w:val="DefaultParagraphFont"/>
    <w:link w:val="BalloonText"/>
    <w:uiPriority w:val="99"/>
    <w:semiHidden/>
    <w:rsid w:val="00B74DBB"/>
    <w:rPr>
      <w:rFonts w:ascii="Times New Roman" w:eastAsia="Times New Roman" w:hAnsi="Times New Roman" w:cs="Times New Roman"/>
      <w:sz w:val="18"/>
      <w:szCs w:val="18"/>
      <w:lang w:val="en-GB"/>
    </w:rPr>
  </w:style>
  <w:style w:type="character" w:styleId="CommentReference">
    <w:name w:val="annotation reference"/>
    <w:aliases w:val="Footnote Text Char1,Geneva 9 Char2,Font: Geneva 9 Char2,Boston 10 Char2,f Char2,ft Char2,Fotnotstext Char Char2,ft Char Char2,single space Char2,FOOTNOTES Char2,ADB Char2,single space1 Char2,footnote text1 Char2,FOOTNOTES1 Char2"/>
    <w:basedOn w:val="DefaultParagraphFont"/>
    <w:uiPriority w:val="99"/>
    <w:semiHidden/>
    <w:unhideWhenUsed/>
    <w:rsid w:val="005B0296"/>
    <w:rPr>
      <w:sz w:val="16"/>
      <w:szCs w:val="16"/>
    </w:rPr>
  </w:style>
  <w:style w:type="paragraph" w:styleId="CommentText">
    <w:name w:val="annotation text"/>
    <w:basedOn w:val="Normal"/>
    <w:link w:val="CommentTextChar"/>
    <w:uiPriority w:val="99"/>
    <w:semiHidden/>
    <w:unhideWhenUsed/>
    <w:rsid w:val="005B0296"/>
    <w:rPr>
      <w:sz w:val="20"/>
      <w:szCs w:val="20"/>
    </w:rPr>
  </w:style>
  <w:style w:type="character" w:customStyle="1" w:styleId="CommentTextChar">
    <w:name w:val="Comment Text Char"/>
    <w:basedOn w:val="DefaultParagraphFont"/>
    <w:link w:val="CommentText"/>
    <w:uiPriority w:val="99"/>
    <w:semiHidden/>
    <w:rsid w:val="005B029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B0296"/>
    <w:rPr>
      <w:b/>
      <w:bCs/>
    </w:rPr>
  </w:style>
  <w:style w:type="character" w:customStyle="1" w:styleId="CommentSubjectChar">
    <w:name w:val="Comment Subject Char"/>
    <w:basedOn w:val="CommentTextChar"/>
    <w:link w:val="CommentSubject"/>
    <w:uiPriority w:val="99"/>
    <w:semiHidden/>
    <w:rsid w:val="005B0296"/>
    <w:rPr>
      <w:rFonts w:ascii="Times New Roman" w:eastAsia="Times New Roman" w:hAnsi="Times New Roman" w:cs="Times New Roman"/>
      <w:b/>
      <w:bCs/>
      <w:sz w:val="20"/>
      <w:szCs w:val="20"/>
      <w:lang w:val="en-GB"/>
    </w:rPr>
  </w:style>
  <w:style w:type="paragraph" w:customStyle="1" w:styleId="para10">
    <w:name w:val="para1"/>
    <w:basedOn w:val="Normal"/>
    <w:rsid w:val="006D0546"/>
    <w:pPr>
      <w:spacing w:before="100" w:beforeAutospacing="1" w:after="100" w:afterAutospacing="1"/>
      <w:jc w:val="left"/>
    </w:pPr>
    <w:rPr>
      <w:sz w:val="24"/>
      <w:lang w:val="en-CA"/>
    </w:rPr>
  </w:style>
  <w:style w:type="paragraph" w:styleId="Header">
    <w:name w:val="header"/>
    <w:basedOn w:val="Normal"/>
    <w:link w:val="HeaderChar"/>
    <w:uiPriority w:val="99"/>
    <w:unhideWhenUsed/>
    <w:rsid w:val="006B545E"/>
    <w:pPr>
      <w:tabs>
        <w:tab w:val="center" w:pos="4680"/>
        <w:tab w:val="right" w:pos="9360"/>
      </w:tabs>
    </w:pPr>
  </w:style>
  <w:style w:type="character" w:customStyle="1" w:styleId="HeaderChar">
    <w:name w:val="Header Char"/>
    <w:basedOn w:val="DefaultParagraphFont"/>
    <w:link w:val="Header"/>
    <w:uiPriority w:val="99"/>
    <w:rsid w:val="006B545E"/>
    <w:rPr>
      <w:rFonts w:ascii="Times New Roman" w:eastAsia="Times New Roman" w:hAnsi="Times New Roman" w:cs="Times New Roman"/>
      <w:sz w:val="22"/>
      <w:lang w:val="en-GB"/>
    </w:rPr>
  </w:style>
  <w:style w:type="paragraph" w:styleId="Footer">
    <w:name w:val="footer"/>
    <w:basedOn w:val="Normal"/>
    <w:link w:val="FooterChar"/>
    <w:uiPriority w:val="99"/>
    <w:unhideWhenUsed/>
    <w:rsid w:val="006B545E"/>
    <w:pPr>
      <w:tabs>
        <w:tab w:val="center" w:pos="4680"/>
        <w:tab w:val="right" w:pos="9360"/>
      </w:tabs>
    </w:pPr>
  </w:style>
  <w:style w:type="character" w:customStyle="1" w:styleId="FooterChar">
    <w:name w:val="Footer Char"/>
    <w:basedOn w:val="DefaultParagraphFont"/>
    <w:link w:val="Footer"/>
    <w:uiPriority w:val="99"/>
    <w:rsid w:val="006B545E"/>
    <w:rPr>
      <w:rFonts w:ascii="Times New Roman" w:eastAsia="Times New Roman" w:hAnsi="Times New Roman" w:cs="Times New Roman"/>
      <w:sz w:val="22"/>
      <w:lang w:val="en-GB"/>
    </w:rPr>
  </w:style>
  <w:style w:type="character" w:styleId="Hyperlink">
    <w:name w:val="Hyperlink"/>
    <w:uiPriority w:val="99"/>
    <w:unhideWhenUsed/>
    <w:rsid w:val="00E94187"/>
    <w:rPr>
      <w:color w:val="0000FF"/>
      <w:u w:val="single"/>
    </w:rPr>
  </w:style>
  <w:style w:type="table" w:styleId="TableGrid">
    <w:name w:val="Table Grid"/>
    <w:basedOn w:val="TableNormal"/>
    <w:uiPriority w:val="59"/>
    <w:rsid w:val="007A2B4D"/>
    <w:rPr>
      <w:rFonts w:eastAsiaTheme="minorEastAsia"/>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67"/>
    <w:rsid w:val="007A2B4D"/>
    <w:rPr>
      <w:color w:val="808080"/>
    </w:rPr>
  </w:style>
</w:styles>
</file>

<file path=word/webSettings.xml><?xml version="1.0" encoding="utf-8"?>
<w:webSettings xmlns:r="http://schemas.openxmlformats.org/officeDocument/2006/relationships" xmlns:w="http://schemas.openxmlformats.org/wordprocessingml/2006/main">
  <w:divs>
    <w:div w:id="316955843">
      <w:bodyDiv w:val="1"/>
      <w:marLeft w:val="0"/>
      <w:marRight w:val="0"/>
      <w:marTop w:val="0"/>
      <w:marBottom w:val="0"/>
      <w:divBdr>
        <w:top w:val="none" w:sz="0" w:space="0" w:color="auto"/>
        <w:left w:val="none" w:sz="0" w:space="0" w:color="auto"/>
        <w:bottom w:val="none" w:sz="0" w:space="0" w:color="auto"/>
        <w:right w:val="none" w:sz="0" w:space="0" w:color="auto"/>
      </w:divBdr>
    </w:div>
    <w:div w:id="636957566">
      <w:bodyDiv w:val="1"/>
      <w:marLeft w:val="0"/>
      <w:marRight w:val="0"/>
      <w:marTop w:val="0"/>
      <w:marBottom w:val="0"/>
      <w:divBdr>
        <w:top w:val="none" w:sz="0" w:space="0" w:color="auto"/>
        <w:left w:val="none" w:sz="0" w:space="0" w:color="auto"/>
        <w:bottom w:val="none" w:sz="0" w:space="0" w:color="auto"/>
        <w:right w:val="none" w:sz="0" w:space="0" w:color="auto"/>
      </w:divBdr>
    </w:div>
    <w:div w:id="751001473">
      <w:bodyDiv w:val="1"/>
      <w:marLeft w:val="0"/>
      <w:marRight w:val="0"/>
      <w:marTop w:val="0"/>
      <w:marBottom w:val="0"/>
      <w:divBdr>
        <w:top w:val="none" w:sz="0" w:space="0" w:color="auto"/>
        <w:left w:val="none" w:sz="0" w:space="0" w:color="auto"/>
        <w:bottom w:val="none" w:sz="0" w:space="0" w:color="auto"/>
        <w:right w:val="none" w:sz="0" w:space="0" w:color="auto"/>
      </w:divBdr>
    </w:div>
    <w:div w:id="971253420">
      <w:bodyDiv w:val="1"/>
      <w:marLeft w:val="0"/>
      <w:marRight w:val="0"/>
      <w:marTop w:val="0"/>
      <w:marBottom w:val="0"/>
      <w:divBdr>
        <w:top w:val="none" w:sz="0" w:space="0" w:color="auto"/>
        <w:left w:val="none" w:sz="0" w:space="0" w:color="auto"/>
        <w:bottom w:val="none" w:sz="0" w:space="0" w:color="auto"/>
        <w:right w:val="none" w:sz="0" w:space="0" w:color="auto"/>
      </w:divBdr>
    </w:div>
    <w:div w:id="1069885235">
      <w:bodyDiv w:val="1"/>
      <w:marLeft w:val="0"/>
      <w:marRight w:val="0"/>
      <w:marTop w:val="0"/>
      <w:marBottom w:val="0"/>
      <w:divBdr>
        <w:top w:val="none" w:sz="0" w:space="0" w:color="auto"/>
        <w:left w:val="none" w:sz="0" w:space="0" w:color="auto"/>
        <w:bottom w:val="none" w:sz="0" w:space="0" w:color="auto"/>
        <w:right w:val="none" w:sz="0" w:space="0" w:color="auto"/>
      </w:divBdr>
    </w:div>
    <w:div w:id="1232815574">
      <w:bodyDiv w:val="1"/>
      <w:marLeft w:val="0"/>
      <w:marRight w:val="0"/>
      <w:marTop w:val="0"/>
      <w:marBottom w:val="0"/>
      <w:divBdr>
        <w:top w:val="none" w:sz="0" w:space="0" w:color="auto"/>
        <w:left w:val="none" w:sz="0" w:space="0" w:color="auto"/>
        <w:bottom w:val="none" w:sz="0" w:space="0" w:color="auto"/>
        <w:right w:val="none" w:sz="0" w:space="0" w:color="auto"/>
      </w:divBdr>
    </w:div>
    <w:div w:id="1605772039">
      <w:bodyDiv w:val="1"/>
      <w:marLeft w:val="0"/>
      <w:marRight w:val="0"/>
      <w:marTop w:val="0"/>
      <w:marBottom w:val="0"/>
      <w:divBdr>
        <w:top w:val="none" w:sz="0" w:space="0" w:color="auto"/>
        <w:left w:val="none" w:sz="0" w:space="0" w:color="auto"/>
        <w:bottom w:val="none" w:sz="0" w:space="0" w:color="auto"/>
        <w:right w:val="none" w:sz="0" w:space="0" w:color="auto"/>
      </w:divBdr>
    </w:div>
    <w:div w:id="1802652172">
      <w:bodyDiv w:val="1"/>
      <w:marLeft w:val="0"/>
      <w:marRight w:val="0"/>
      <w:marTop w:val="0"/>
      <w:marBottom w:val="0"/>
      <w:divBdr>
        <w:top w:val="none" w:sz="0" w:space="0" w:color="auto"/>
        <w:left w:val="none" w:sz="0" w:space="0" w:color="auto"/>
        <w:bottom w:val="none" w:sz="0" w:space="0" w:color="auto"/>
        <w:right w:val="none" w:sz="0" w:space="0" w:color="auto"/>
      </w:divBdr>
    </w:div>
    <w:div w:id="1863981605">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np-mop-03/np-mop-03-dec-15-es.pdf" TargetMode="External"/><Relationship Id="rId2" Type="http://schemas.openxmlformats.org/officeDocument/2006/relationships/customXml" Target="../customXml/item2.xml"/><Relationship Id="rId16" Type="http://schemas.openxmlformats.org/officeDocument/2006/relationships/hyperlink" Target="https://www.cbd.int/doc/decisions/cp-mop-09/cp-mop-09-dec-07-es.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cbd.int/doc/decisions/cop-14/cop-14-dec-34-es.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post2020/submissions/2019-10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CF674C8D304F04AF0A90469B062127"/>
        <w:category>
          <w:name w:val="General"/>
          <w:gallery w:val="placeholder"/>
        </w:category>
        <w:types>
          <w:type w:val="bbPlcHdr"/>
        </w:types>
        <w:behaviors>
          <w:behavior w:val="content"/>
        </w:behaviors>
        <w:guid w:val="{9A5C12C0-14BE-4E10-8512-A86B774CC869}"/>
      </w:docPartPr>
      <w:docPartBody>
        <w:p w:rsidR="00FC6387" w:rsidRDefault="00F170A1" w:rsidP="00F170A1">
          <w:pPr>
            <w:pStyle w:val="F1CF674C8D304F04AF0A90469B062127"/>
          </w:pPr>
          <w:r w:rsidRPr="007E02EB">
            <w:rPr>
              <w:rStyle w:val="PlaceholderText"/>
            </w:rPr>
            <w:t>[Status]</w:t>
          </w:r>
        </w:p>
      </w:docPartBody>
    </w:docPart>
    <w:docPart>
      <w:docPartPr>
        <w:name w:val="494775356BAD4E51848B5A1E28261188"/>
        <w:category>
          <w:name w:val="General"/>
          <w:gallery w:val="placeholder"/>
        </w:category>
        <w:types>
          <w:type w:val="bbPlcHdr"/>
        </w:types>
        <w:behaviors>
          <w:behavior w:val="content"/>
        </w:behaviors>
        <w:guid w:val="{7669757A-4EA7-48BC-966A-72D5FC062014}"/>
      </w:docPartPr>
      <w:docPartBody>
        <w:p w:rsidR="00FC6387" w:rsidRDefault="00F170A1" w:rsidP="00F170A1">
          <w:pPr>
            <w:pStyle w:val="494775356BAD4E51848B5A1E28261188"/>
          </w:pPr>
          <w:r w:rsidRPr="007E02EB">
            <w:rPr>
              <w:rStyle w:val="PlaceholderText"/>
            </w:rPr>
            <w:t>[Subject]</w:t>
          </w:r>
        </w:p>
      </w:docPartBody>
    </w:docPart>
    <w:docPart>
      <w:docPartPr>
        <w:name w:val="A76D29C28F814AE3957080F565393BB2"/>
        <w:category>
          <w:name w:val="General"/>
          <w:gallery w:val="placeholder"/>
        </w:category>
        <w:types>
          <w:type w:val="bbPlcHdr"/>
        </w:types>
        <w:behaviors>
          <w:behavior w:val="content"/>
        </w:behaviors>
        <w:guid w:val="{60B3EC3D-750C-4C67-9CAB-4FBCA1A7C408}"/>
      </w:docPartPr>
      <w:docPartBody>
        <w:p w:rsidR="00FC6387" w:rsidRDefault="00F170A1" w:rsidP="00F170A1">
          <w:pPr>
            <w:pStyle w:val="A76D29C28F814AE3957080F565393BB2"/>
          </w:pPr>
          <w:r w:rsidRPr="007E02EB">
            <w:rPr>
              <w:rStyle w:val="PlaceholderText"/>
            </w:rPr>
            <w:t>[Publish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onar Bangl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hyphenationZone w:val="425"/>
  <w:characterSpacingControl w:val="doNotCompress"/>
  <w:compat>
    <w:useFELayout/>
  </w:compat>
  <w:rsids>
    <w:rsidRoot w:val="00F170A1"/>
    <w:rsid w:val="001F1D9E"/>
    <w:rsid w:val="00581AB0"/>
    <w:rsid w:val="0070069D"/>
    <w:rsid w:val="007047CB"/>
    <w:rsid w:val="00D30A73"/>
    <w:rsid w:val="00D60A52"/>
    <w:rsid w:val="00DA3A70"/>
    <w:rsid w:val="00F170A1"/>
    <w:rsid w:val="00F71B3E"/>
    <w:rsid w:val="00FC6387"/>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F170A1"/>
    <w:rPr>
      <w:color w:val="808080"/>
    </w:rPr>
  </w:style>
  <w:style w:type="paragraph" w:customStyle="1" w:styleId="F1CF674C8D304F04AF0A90469B062127">
    <w:name w:val="F1CF674C8D304F04AF0A90469B062127"/>
    <w:rsid w:val="00F170A1"/>
  </w:style>
  <w:style w:type="paragraph" w:customStyle="1" w:styleId="494775356BAD4E51848B5A1E28261188">
    <w:name w:val="494775356BAD4E51848B5A1E28261188"/>
    <w:rsid w:val="00F170A1"/>
  </w:style>
  <w:style w:type="paragraph" w:customStyle="1" w:styleId="A76D29C28F814AE3957080F565393BB2">
    <w:name w:val="A76D29C28F814AE3957080F565393BB2"/>
    <w:rsid w:val="00F170A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17 de agosto de 2020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A25D93-D183-44A3-82E6-A8DD4EAFD3DB}">
  <ds:schemaRefs>
    <ds:schemaRef ds:uri="http://schemas.microsoft.com/sharepoint/v3/contenttype/forms"/>
  </ds:schemaRefs>
</ds:datastoreItem>
</file>

<file path=customXml/itemProps3.xml><?xml version="1.0" encoding="utf-8"?>
<ds:datastoreItem xmlns:ds="http://schemas.openxmlformats.org/officeDocument/2006/customXml" ds:itemID="{25F5A9D5-53CC-4C22-BF1A-DB6D1A4990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34FFDC-80C3-440E-AAAC-9387164E3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0EC1EE-27EE-4227-A8CE-13042F80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4184</Words>
  <Characters>23014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Update of the zero draft of the post-2020 global biodiversity framework</vt:lpstr>
    </vt:vector>
  </TitlesOfParts>
  <Company>Hewlett-Packard</Company>
  <LinksUpToDate>false</LinksUpToDate>
  <CharactersWithSpaces>27144</CharactersWithSpaces>
  <SharedDoc>false</SharedDoc>
  <HLinks>
    <vt:vector size="24" baseType="variant">
      <vt:variant>
        <vt:i4>7405616</vt:i4>
      </vt:variant>
      <vt:variant>
        <vt:i4>6</vt:i4>
      </vt:variant>
      <vt:variant>
        <vt:i4>0</vt:i4>
      </vt:variant>
      <vt:variant>
        <vt:i4>5</vt:i4>
      </vt:variant>
      <vt:variant>
        <vt:lpwstr>https://www.cbd.int/doc/decisions/np-mop-03/np-mop-03-dec-15-en.pdf</vt:lpwstr>
      </vt:variant>
      <vt:variant>
        <vt:lpwstr/>
      </vt:variant>
      <vt:variant>
        <vt:i4>7536689</vt:i4>
      </vt:variant>
      <vt:variant>
        <vt:i4>3</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524304</vt:i4>
      </vt:variant>
      <vt:variant>
        <vt:i4>0</vt:i4>
      </vt:variant>
      <vt:variant>
        <vt:i4>0</vt:i4>
      </vt:variant>
      <vt:variant>
        <vt:i4>5</vt:i4>
      </vt:variant>
      <vt:variant>
        <vt:lpwstr>https://www.cbd.int/conferences/post2020/submissions/2019-108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of the zero draft of the post-2020 global biodiversity framework</dc:title>
  <dc:subject>CBD/POST2020/PREP/2/1</dc:subject>
  <dc:creator>Co-Chairs of the Working Group on the Post-2020 Global Biodiversity Framework</dc:creator>
  <cp:keywords>Preparations for the post-2020 global biodiversity framework, Convention on Biological Diversity</cp:keywords>
  <cp:lastModifiedBy>Laura Perez</cp:lastModifiedBy>
  <cp:revision>3</cp:revision>
  <dcterms:created xsi:type="dcterms:W3CDTF">2020-08-31T15:52:00Z</dcterms:created>
  <dcterms:modified xsi:type="dcterms:W3CDTF">2020-08-31T15:56:00Z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