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0276F" w14:paraId="2E5A9A51" w14:textId="77777777" w:rsidTr="00CF1848">
        <w:trPr>
          <w:trHeight w:val="709"/>
        </w:trPr>
        <w:tc>
          <w:tcPr>
            <w:tcW w:w="976" w:type="dxa"/>
            <w:tcBorders>
              <w:bottom w:val="single" w:sz="12" w:space="0" w:color="auto"/>
            </w:tcBorders>
          </w:tcPr>
          <w:p w14:paraId="6ED839C1" w14:textId="77777777" w:rsidR="00C9161D" w:rsidRPr="00190CAF" w:rsidRDefault="00C9161D" w:rsidP="00190CAF">
            <w:pPr>
              <w:kinsoku w:val="0"/>
              <w:overflowPunct w:val="0"/>
              <w:autoSpaceDE w:val="0"/>
              <w:autoSpaceDN w:val="0"/>
              <w:rPr>
                <w:kern w:val="22"/>
              </w:rPr>
            </w:pPr>
            <w:bookmarkStart w:id="0" w:name="_Hlk505247837"/>
            <w:r w:rsidRPr="00190CAF">
              <w:rPr>
                <w:noProof/>
                <w:kern w:val="22"/>
                <w:lang w:val="en-CA" w:eastAsia="en-CA"/>
              </w:rPr>
              <w:drawing>
                <wp:inline distT="0" distB="0" distL="0" distR="0" wp14:anchorId="0ED1F2C2" wp14:editId="275ABFB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82C93AD" w14:textId="77777777" w:rsidR="00C9161D" w:rsidRPr="00190CAF" w:rsidRDefault="00C9161D" w:rsidP="00190CAF">
            <w:pPr>
              <w:kinsoku w:val="0"/>
              <w:overflowPunct w:val="0"/>
              <w:autoSpaceDE w:val="0"/>
              <w:autoSpaceDN w:val="0"/>
              <w:rPr>
                <w:kern w:val="22"/>
              </w:rPr>
            </w:pPr>
            <w:r w:rsidRPr="00190CAF">
              <w:rPr>
                <w:noProof/>
                <w:kern w:val="22"/>
                <w:lang w:val="en-CA" w:eastAsia="en-CA"/>
              </w:rPr>
              <w:drawing>
                <wp:inline distT="0" distB="0" distL="0" distR="0" wp14:anchorId="5F789A27" wp14:editId="30BEB47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12A49B5" w14:textId="77777777" w:rsidR="00C9161D" w:rsidRPr="00190CAF" w:rsidRDefault="00C9161D" w:rsidP="00190CAF">
            <w:pPr>
              <w:kinsoku w:val="0"/>
              <w:overflowPunct w:val="0"/>
              <w:autoSpaceDE w:val="0"/>
              <w:autoSpaceDN w:val="0"/>
              <w:jc w:val="right"/>
              <w:rPr>
                <w:rFonts w:ascii="Arial" w:hAnsi="Arial" w:cs="Arial"/>
                <w:b/>
                <w:kern w:val="22"/>
                <w:sz w:val="32"/>
                <w:szCs w:val="32"/>
              </w:rPr>
            </w:pPr>
            <w:r w:rsidRPr="00190CAF">
              <w:rPr>
                <w:rFonts w:ascii="Arial" w:hAnsi="Arial" w:cs="Arial"/>
                <w:b/>
                <w:kern w:val="22"/>
                <w:sz w:val="32"/>
                <w:szCs w:val="32"/>
              </w:rPr>
              <w:t>CBD</w:t>
            </w:r>
          </w:p>
        </w:tc>
      </w:tr>
      <w:bookmarkEnd w:id="0"/>
      <w:tr w:rsidR="00C9161D" w:rsidRPr="00B0276F" w14:paraId="77EE2F4A" w14:textId="77777777" w:rsidTr="00CF1848">
        <w:tc>
          <w:tcPr>
            <w:tcW w:w="6117" w:type="dxa"/>
            <w:gridSpan w:val="2"/>
            <w:tcBorders>
              <w:top w:val="single" w:sz="12" w:space="0" w:color="auto"/>
              <w:bottom w:val="single" w:sz="36" w:space="0" w:color="auto"/>
            </w:tcBorders>
            <w:vAlign w:val="center"/>
          </w:tcPr>
          <w:p w14:paraId="64DEEF0A" w14:textId="77777777" w:rsidR="00C9161D" w:rsidRPr="00190CAF" w:rsidRDefault="00C9161D" w:rsidP="00190CAF">
            <w:pPr>
              <w:kinsoku w:val="0"/>
              <w:overflowPunct w:val="0"/>
              <w:autoSpaceDE w:val="0"/>
              <w:autoSpaceDN w:val="0"/>
              <w:rPr>
                <w:kern w:val="22"/>
              </w:rPr>
            </w:pPr>
            <w:r w:rsidRPr="00190CAF">
              <w:rPr>
                <w:noProof/>
                <w:kern w:val="22"/>
                <w:lang w:val="en-CA" w:eastAsia="en-CA"/>
              </w:rPr>
              <w:drawing>
                <wp:inline distT="0" distB="0" distL="0" distR="0" wp14:anchorId="1F1F15F3" wp14:editId="0699CC6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78535C3" w14:textId="77777777" w:rsidR="00C9161D" w:rsidRPr="00D8563C" w:rsidRDefault="00C9161D" w:rsidP="00190CAF">
            <w:pPr>
              <w:kinsoku w:val="0"/>
              <w:overflowPunct w:val="0"/>
              <w:autoSpaceDE w:val="0"/>
              <w:autoSpaceDN w:val="0"/>
              <w:ind w:left="1215"/>
              <w:rPr>
                <w:kern w:val="22"/>
                <w:sz w:val="22"/>
                <w:szCs w:val="22"/>
              </w:rPr>
            </w:pPr>
            <w:r w:rsidRPr="00D8563C">
              <w:rPr>
                <w:kern w:val="22"/>
                <w:sz w:val="22"/>
                <w:szCs w:val="22"/>
              </w:rPr>
              <w:t>Distr.</w:t>
            </w:r>
          </w:p>
          <w:p w14:paraId="2C6C5F98" w14:textId="77777777" w:rsidR="00C9161D" w:rsidRPr="00D8563C" w:rsidRDefault="00D8563C" w:rsidP="00190CAF">
            <w:pPr>
              <w:kinsoku w:val="0"/>
              <w:overflowPunct w:val="0"/>
              <w:autoSpaceDE w:val="0"/>
              <w:autoSpaceDN w:val="0"/>
              <w:ind w:left="1215"/>
              <w:rPr>
                <w:kern w:val="22"/>
                <w:sz w:val="22"/>
                <w:szCs w:val="22"/>
              </w:rPr>
            </w:pPr>
            <w:sdt>
              <w:sdtPr>
                <w:rPr>
                  <w:kern w:val="22"/>
                  <w:sz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D8563C">
                  <w:rPr>
                    <w:kern w:val="22"/>
                    <w:sz w:val="22"/>
                    <w:szCs w:val="22"/>
                  </w:rPr>
                  <w:t>GENERAL</w:t>
                </w:r>
              </w:sdtContent>
            </w:sdt>
          </w:p>
          <w:p w14:paraId="549C1752" w14:textId="77777777" w:rsidR="00C9161D" w:rsidRPr="00D8563C" w:rsidRDefault="00C9161D" w:rsidP="00190CAF">
            <w:pPr>
              <w:kinsoku w:val="0"/>
              <w:overflowPunct w:val="0"/>
              <w:autoSpaceDE w:val="0"/>
              <w:autoSpaceDN w:val="0"/>
              <w:ind w:left="1215"/>
              <w:rPr>
                <w:kern w:val="22"/>
                <w:sz w:val="22"/>
                <w:szCs w:val="22"/>
              </w:rPr>
            </w:pPr>
          </w:p>
          <w:p w14:paraId="03377B1C" w14:textId="222D9FC6" w:rsidR="00C9161D" w:rsidRPr="00D8563C" w:rsidRDefault="00D8563C" w:rsidP="00190CAF">
            <w:pPr>
              <w:kinsoku w:val="0"/>
              <w:overflowPunct w:val="0"/>
              <w:autoSpaceDE w:val="0"/>
              <w:autoSpaceDN w:val="0"/>
              <w:ind w:left="1215"/>
              <w:rPr>
                <w:kern w:val="22"/>
                <w:sz w:val="22"/>
                <w:szCs w:val="22"/>
              </w:rPr>
            </w:pPr>
            <w:sdt>
              <w:sdtPr>
                <w:rPr>
                  <w:bCs/>
                  <w:kern w:val="22"/>
                  <w:sz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0370" w:rsidRPr="00D8563C">
                  <w:rPr>
                    <w:bCs/>
                    <w:kern w:val="22"/>
                    <w:sz w:val="22"/>
                    <w:szCs w:val="22"/>
                  </w:rPr>
                  <w:t>CBD/</w:t>
                </w:r>
                <w:r w:rsidR="009D131E" w:rsidRPr="00D8563C">
                  <w:rPr>
                    <w:bCs/>
                    <w:kern w:val="22"/>
                    <w:sz w:val="22"/>
                    <w:szCs w:val="22"/>
                  </w:rPr>
                  <w:t>SBSTTA/22/INF/15</w:t>
                </w:r>
              </w:sdtContent>
            </w:sdt>
          </w:p>
          <w:p w14:paraId="027A9E3E" w14:textId="334EBB3B" w:rsidR="00C9161D" w:rsidRPr="00D8563C" w:rsidRDefault="00D8563C" w:rsidP="00F63442">
            <w:pPr>
              <w:kinsoku w:val="0"/>
              <w:overflowPunct w:val="0"/>
              <w:autoSpaceDE w:val="0"/>
              <w:autoSpaceDN w:val="0"/>
              <w:ind w:left="1215"/>
              <w:rPr>
                <w:kern w:val="22"/>
                <w:sz w:val="22"/>
                <w:szCs w:val="22"/>
              </w:rPr>
            </w:pPr>
            <w:sdt>
              <w:sdtPr>
                <w:rPr>
                  <w:kern w:val="22"/>
                  <w:sz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13T00:00:00Z">
                  <w:dateFormat w:val="d MMMM yyyy"/>
                  <w:lid w:val="en-US"/>
                  <w:storeMappedDataAs w:val="dateTime"/>
                  <w:calendar w:val="gregorian"/>
                </w:date>
              </w:sdtPr>
              <w:sdtEndPr/>
              <w:sdtContent>
                <w:r w:rsidR="00F63442" w:rsidRPr="00D8563C">
                  <w:rPr>
                    <w:kern w:val="22"/>
                    <w:sz w:val="22"/>
                    <w:szCs w:val="22"/>
                  </w:rPr>
                  <w:t>13</w:t>
                </w:r>
                <w:r w:rsidR="00FC0E06" w:rsidRPr="00D8563C">
                  <w:rPr>
                    <w:kern w:val="22"/>
                    <w:sz w:val="22"/>
                    <w:szCs w:val="22"/>
                  </w:rPr>
                  <w:t xml:space="preserve"> June 2018</w:t>
                </w:r>
              </w:sdtContent>
            </w:sdt>
          </w:p>
          <w:p w14:paraId="3515656D" w14:textId="77777777" w:rsidR="00C9161D" w:rsidRPr="00D8563C" w:rsidRDefault="00C9161D" w:rsidP="00190CAF">
            <w:pPr>
              <w:kinsoku w:val="0"/>
              <w:overflowPunct w:val="0"/>
              <w:autoSpaceDE w:val="0"/>
              <w:autoSpaceDN w:val="0"/>
              <w:ind w:left="1215"/>
              <w:rPr>
                <w:kern w:val="22"/>
                <w:sz w:val="22"/>
                <w:szCs w:val="22"/>
              </w:rPr>
            </w:pPr>
          </w:p>
          <w:p w14:paraId="10E0DA37" w14:textId="56FF5682" w:rsidR="00C9161D" w:rsidRPr="00D8563C" w:rsidRDefault="00C9161D" w:rsidP="00190CAF">
            <w:pPr>
              <w:kinsoku w:val="0"/>
              <w:overflowPunct w:val="0"/>
              <w:autoSpaceDE w:val="0"/>
              <w:autoSpaceDN w:val="0"/>
              <w:ind w:left="1215"/>
              <w:rPr>
                <w:kern w:val="22"/>
                <w:sz w:val="22"/>
                <w:szCs w:val="22"/>
              </w:rPr>
            </w:pPr>
            <w:r w:rsidRPr="00D8563C">
              <w:rPr>
                <w:kern w:val="22"/>
                <w:sz w:val="22"/>
                <w:szCs w:val="22"/>
              </w:rPr>
              <w:t>ENGLISH</w:t>
            </w:r>
            <w:r w:rsidR="00172AF6" w:rsidRPr="00D8563C">
              <w:rPr>
                <w:kern w:val="22"/>
                <w:sz w:val="22"/>
                <w:szCs w:val="22"/>
              </w:rPr>
              <w:t xml:space="preserve"> </w:t>
            </w:r>
            <w:r w:rsidR="00767C8C" w:rsidRPr="00D8563C">
              <w:rPr>
                <w:kern w:val="22"/>
                <w:sz w:val="22"/>
                <w:szCs w:val="22"/>
              </w:rPr>
              <w:t>ONLY</w:t>
            </w:r>
          </w:p>
          <w:p w14:paraId="1D203717" w14:textId="77777777" w:rsidR="00C9161D" w:rsidRPr="00190CAF" w:rsidRDefault="00C9161D" w:rsidP="00190CAF">
            <w:pPr>
              <w:kinsoku w:val="0"/>
              <w:overflowPunct w:val="0"/>
              <w:autoSpaceDE w:val="0"/>
              <w:autoSpaceDN w:val="0"/>
              <w:rPr>
                <w:kern w:val="22"/>
              </w:rPr>
            </w:pPr>
          </w:p>
        </w:tc>
      </w:tr>
    </w:tbl>
    <w:p w14:paraId="07992418" w14:textId="551699FF" w:rsidR="00FC0E06" w:rsidRPr="00B0276F" w:rsidRDefault="00DF193A" w:rsidP="004C1F13">
      <w:pPr>
        <w:pStyle w:val="Cornernotation"/>
        <w:kinsoku w:val="0"/>
        <w:overflowPunct w:val="0"/>
        <w:autoSpaceDE w:val="0"/>
        <w:autoSpaceDN w:val="0"/>
        <w:ind w:left="227" w:right="4642" w:hanging="227"/>
        <w:rPr>
          <w:caps/>
          <w:kern w:val="22"/>
          <w:lang w:eastAsia="ko-KR"/>
        </w:rPr>
      </w:pPr>
      <w:r>
        <w:rPr>
          <w:caps/>
          <w:kern w:val="22"/>
          <w:lang w:eastAsia="ko-KR"/>
        </w:rPr>
        <w:t>subsidiary body on scientific, technical and technological advice</w:t>
      </w:r>
    </w:p>
    <w:p w14:paraId="5F1EBC67" w14:textId="4D401E35" w:rsidR="00DF193A" w:rsidRDefault="00DF193A" w:rsidP="00190CAF">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Twenty-second meeting</w:t>
      </w:r>
    </w:p>
    <w:p w14:paraId="2FD3A508" w14:textId="656EEC36" w:rsidR="00DF193A" w:rsidRDefault="00DF193A" w:rsidP="00190CAF">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Montreal, Canada, 2-7 July</w:t>
      </w:r>
    </w:p>
    <w:p w14:paraId="190A6A16" w14:textId="3AD4B7C3" w:rsidR="00C9161D" w:rsidRPr="00B0276F" w:rsidRDefault="00DF193A" w:rsidP="00DF193A">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Item 8 of the provisional agenda</w:t>
      </w:r>
    </w:p>
    <w:sdt>
      <w:sdtPr>
        <w:rPr>
          <w:b/>
          <w:caps/>
          <w:kern w:val="22"/>
          <w:sz w:val="22"/>
          <w:szCs w:val="22"/>
          <w:lang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p w14:paraId="3F949EC4" w14:textId="5278338D" w:rsidR="00176CEE" w:rsidRPr="00D8563C" w:rsidRDefault="00F63442" w:rsidP="00DF193A">
          <w:pPr>
            <w:kinsoku w:val="0"/>
            <w:overflowPunct w:val="0"/>
            <w:autoSpaceDE w:val="0"/>
            <w:autoSpaceDN w:val="0"/>
            <w:spacing w:before="240" w:after="120"/>
            <w:jc w:val="center"/>
            <w:rPr>
              <w:b/>
              <w:caps/>
              <w:kern w:val="22"/>
              <w:sz w:val="22"/>
              <w:szCs w:val="22"/>
            </w:rPr>
          </w:pPr>
          <w:r w:rsidRPr="00D8563C">
            <w:rPr>
              <w:b/>
              <w:caps/>
              <w:kern w:val="22"/>
              <w:sz w:val="22"/>
              <w:szCs w:val="22"/>
              <w:lang w:eastAsia="ko-KR"/>
            </w:rPr>
            <w:t>synthesis and COMPILATION OF SUBMISSIONS ON experiences in mainstreaming biodiversity in fisheries</w:t>
          </w:r>
        </w:p>
      </w:sdtContent>
    </w:sdt>
    <w:p w14:paraId="2913DB43" w14:textId="44D3EB63" w:rsidR="008A4B37" w:rsidRPr="008A4B37" w:rsidRDefault="008A4B37" w:rsidP="008A4B37">
      <w:pPr>
        <w:pStyle w:val="Para1"/>
        <w:numPr>
          <w:ilvl w:val="0"/>
          <w:numId w:val="0"/>
        </w:numPr>
        <w:kinsoku w:val="0"/>
        <w:overflowPunct w:val="0"/>
        <w:autoSpaceDE w:val="0"/>
        <w:autoSpaceDN w:val="0"/>
        <w:adjustRightInd w:val="0"/>
        <w:snapToGrid w:val="0"/>
        <w:jc w:val="center"/>
        <w:rPr>
          <w:i/>
          <w:snapToGrid/>
          <w:kern w:val="22"/>
        </w:rPr>
      </w:pPr>
      <w:r w:rsidRPr="008A4B37">
        <w:rPr>
          <w:i/>
          <w:snapToGrid/>
          <w:kern w:val="22"/>
        </w:rPr>
        <w:t>Note by the Executive Secretary</w:t>
      </w:r>
    </w:p>
    <w:p w14:paraId="0C08F802" w14:textId="4AD9103E" w:rsidR="008B4246" w:rsidRPr="008B4246" w:rsidRDefault="008A6014" w:rsidP="008B4246">
      <w:pPr>
        <w:pStyle w:val="Para1"/>
        <w:tabs>
          <w:tab w:val="clear" w:pos="1080"/>
        </w:tabs>
        <w:ind w:left="0"/>
        <w:rPr>
          <w:lang w:val="en-US"/>
        </w:rPr>
      </w:pPr>
      <w:r>
        <w:rPr>
          <w:lang w:val="en-US"/>
        </w:rPr>
        <w:t xml:space="preserve">In decision XIII/3, the </w:t>
      </w:r>
      <w:r w:rsidR="00477D5D">
        <w:rPr>
          <w:lang w:val="en-US"/>
        </w:rPr>
        <w:t xml:space="preserve">Conference of the Parties </w:t>
      </w:r>
      <w:r w:rsidR="008B4246" w:rsidRPr="008B4246">
        <w:rPr>
          <w:lang w:val="en-US"/>
        </w:rPr>
        <w:t>to the Convention on Biological Diversity outlined a number of specific actions and approaches to be taken by Parties, other Governments and relevant organizations to support mainstreaming biodiversity in fisheries and aquaculture.</w:t>
      </w:r>
      <w:r w:rsidR="008B4246">
        <w:rPr>
          <w:lang w:val="en-US"/>
        </w:rPr>
        <w:t xml:space="preserve"> </w:t>
      </w:r>
      <w:r w:rsidR="008B4246" w:rsidRPr="008B4246">
        <w:rPr>
          <w:lang w:val="en-US"/>
        </w:rPr>
        <w:t xml:space="preserve">In the same decision, the Conference of the Parties requested the Executive Secretary </w:t>
      </w:r>
      <w:r w:rsidR="008B4246">
        <w:rPr>
          <w:lang w:val="en-US"/>
        </w:rPr>
        <w:t>to compile</w:t>
      </w:r>
      <w:r w:rsidR="008B4246" w:rsidRPr="008B4246">
        <w:rPr>
          <w:lang w:val="en-US"/>
        </w:rPr>
        <w:t xml:space="preserve"> experiences in mainstreaming biodiversity in fisheries, including through the ecosystem approach to fisheries, and to make this compilation available prior to the fourteenth meeting of the Conference of the Parties to the Convention</w:t>
      </w:r>
      <w:r w:rsidR="004C1F13">
        <w:rPr>
          <w:lang w:val="en-US"/>
        </w:rPr>
        <w:t>.</w:t>
      </w:r>
    </w:p>
    <w:p w14:paraId="3B6C34D8" w14:textId="77777777" w:rsidR="00F02289" w:rsidRDefault="008B4246" w:rsidP="00F02289">
      <w:pPr>
        <w:pStyle w:val="Para1"/>
        <w:tabs>
          <w:tab w:val="clear" w:pos="1080"/>
        </w:tabs>
        <w:ind w:left="0"/>
        <w:rPr>
          <w:lang w:val="en-US"/>
        </w:rPr>
      </w:pPr>
      <w:r w:rsidRPr="008B4246">
        <w:rPr>
          <w:lang w:val="en-US"/>
        </w:rPr>
        <w:t>Pursuant to this request</w:t>
      </w:r>
      <w:r>
        <w:rPr>
          <w:lang w:val="en-US"/>
        </w:rPr>
        <w:t xml:space="preserve">, </w:t>
      </w:r>
      <w:r w:rsidRPr="008B4246">
        <w:rPr>
          <w:lang w:val="en-US"/>
        </w:rPr>
        <w:t>the Executive Se</w:t>
      </w:r>
      <w:r>
        <w:rPr>
          <w:lang w:val="en-US"/>
        </w:rPr>
        <w:t>cretary issued notification 2017-121</w:t>
      </w:r>
      <w:r w:rsidRPr="008B4246">
        <w:rPr>
          <w:lang w:val="en-US"/>
        </w:rPr>
        <w:t>,</w:t>
      </w:r>
      <w:r>
        <w:rPr>
          <w:lang w:val="en-US"/>
        </w:rPr>
        <w:t xml:space="preserve"> dated 16 November 2017, requesting information on experiences in</w:t>
      </w:r>
      <w:r w:rsidRPr="008B4246">
        <w:rPr>
          <w:lang w:val="en-US"/>
        </w:rPr>
        <w:t xml:space="preserve"> mainstreaming biodiversity in fisheries, including through the ecosystem approach to fisheries</w:t>
      </w:r>
      <w:r>
        <w:rPr>
          <w:lang w:val="en-US"/>
        </w:rPr>
        <w:t>.</w:t>
      </w:r>
    </w:p>
    <w:p w14:paraId="6B79186D" w14:textId="31BC193A" w:rsidR="00671B75" w:rsidRDefault="00F63442" w:rsidP="00F02289">
      <w:pPr>
        <w:pStyle w:val="Para1"/>
        <w:tabs>
          <w:tab w:val="clear" w:pos="1080"/>
        </w:tabs>
        <w:ind w:left="0"/>
      </w:pPr>
      <w:r>
        <w:t xml:space="preserve">Submissions were received in response to this notification from </w:t>
      </w:r>
      <w:r w:rsidRPr="00F63442">
        <w:t>Antigua and Barbuda</w:t>
      </w:r>
      <w:r>
        <w:t xml:space="preserve">, Argentina, Australia, Canada, Colombia, Costa Rica, Ecuador, Japan, Mexico, Norway, the United States of America, </w:t>
      </w:r>
      <w:r w:rsidR="00732B6B">
        <w:t xml:space="preserve">the Food and Agriculture Organization of the UN, </w:t>
      </w:r>
      <w:r>
        <w:t>the North-East Atlantic Fisheries Commission, the Northwest Atlantic Fisheries Organization, Birdlife International</w:t>
      </w:r>
      <w:r w:rsidR="00F02289">
        <w:t xml:space="preserve"> and the</w:t>
      </w:r>
      <w:r w:rsidR="00F02289" w:rsidRPr="00F02289">
        <w:t xml:space="preserve"> Strathclyde Centre for Environmental Law and Governance</w:t>
      </w:r>
      <w:r w:rsidR="00F02289">
        <w:t>.</w:t>
      </w:r>
      <w:r>
        <w:t xml:space="preserve"> </w:t>
      </w:r>
      <w:r w:rsidR="008B4246" w:rsidRPr="008B4246">
        <w:t xml:space="preserve">The submissions were collated, compiled and synthesized in the attached </w:t>
      </w:r>
      <w:r w:rsidR="003359D7">
        <w:t xml:space="preserve">synthesis and </w:t>
      </w:r>
      <w:r>
        <w:t>compilation</w:t>
      </w:r>
      <w:r w:rsidR="003359D7">
        <w:t xml:space="preserve">, in collaboration with the </w:t>
      </w:r>
      <w:r w:rsidR="00975317" w:rsidRPr="00F02289">
        <w:rPr>
          <w:lang w:val="en-US"/>
        </w:rPr>
        <w:t>Fisheries Experts Group of the IUCN Commission of Ecos</w:t>
      </w:r>
      <w:r w:rsidR="004C1F13">
        <w:rPr>
          <w:lang w:val="en-US"/>
        </w:rPr>
        <w:t>ystem Manag</w:t>
      </w:r>
      <w:bookmarkStart w:id="1" w:name="_GoBack"/>
      <w:bookmarkEnd w:id="1"/>
      <w:r w:rsidR="004C1F13">
        <w:rPr>
          <w:lang w:val="en-US"/>
        </w:rPr>
        <w:t>ement (IUCN/CEM/FEG).</w:t>
      </w:r>
      <w:r w:rsidR="00975317" w:rsidRPr="00F02289">
        <w:rPr>
          <w:lang w:val="en-US"/>
        </w:rPr>
        <w:t xml:space="preserve"> </w:t>
      </w:r>
      <w:r w:rsidR="004C1F13">
        <w:rPr>
          <w:lang w:val="en-US"/>
        </w:rPr>
        <w:t>They</w:t>
      </w:r>
      <w:r w:rsidR="00975317" w:rsidRPr="00F02289">
        <w:rPr>
          <w:lang w:val="en-US"/>
        </w:rPr>
        <w:t xml:space="preserve"> </w:t>
      </w:r>
      <w:r w:rsidR="00975317">
        <w:t>describe</w:t>
      </w:r>
      <w:r w:rsidR="008B4246" w:rsidRPr="008B4246">
        <w:t xml:space="preserve"> various </w:t>
      </w:r>
      <w:r w:rsidR="004C1F13">
        <w:t>activities undertaken by G</w:t>
      </w:r>
      <w:r>
        <w:t>overnments</w:t>
      </w:r>
      <w:r w:rsidR="008B4246" w:rsidRPr="008B4246">
        <w:t xml:space="preserve"> and relevant organizations related to </w:t>
      </w:r>
      <w:r w:rsidR="003359D7">
        <w:t>mainstreaming biodiversity in fisheries</w:t>
      </w:r>
      <w:r w:rsidR="00975317">
        <w:t>.</w:t>
      </w:r>
    </w:p>
    <w:p w14:paraId="304D3F81" w14:textId="77777777" w:rsidR="00732B6B" w:rsidRDefault="00732B6B" w:rsidP="00F02289">
      <w:pPr>
        <w:pStyle w:val="Para1"/>
        <w:tabs>
          <w:tab w:val="clear" w:pos="1080"/>
        </w:tabs>
        <w:ind w:left="0"/>
        <w:sectPr w:rsidR="00732B6B" w:rsidSect="00767C8C">
          <w:headerReference w:type="even" r:id="rId12"/>
          <w:headerReference w:type="default" r:id="rId13"/>
          <w:pgSz w:w="12240" w:h="15840"/>
          <w:pgMar w:top="567" w:right="1389" w:bottom="1134" w:left="1389" w:header="709" w:footer="709" w:gutter="0"/>
          <w:cols w:space="708"/>
          <w:titlePg/>
          <w:docGrid w:linePitch="360"/>
        </w:sectPr>
      </w:pPr>
    </w:p>
    <w:p w14:paraId="7661A627" w14:textId="686450B5" w:rsidR="008B4246" w:rsidRPr="00F02289" w:rsidRDefault="008B4246" w:rsidP="00671B75">
      <w:pPr>
        <w:pStyle w:val="Para1"/>
        <w:numPr>
          <w:ilvl w:val="0"/>
          <w:numId w:val="0"/>
        </w:numPr>
        <w:rPr>
          <w:lang w:val="en-US"/>
        </w:rPr>
      </w:pPr>
    </w:p>
    <w:p w14:paraId="0F7B44EE" w14:textId="77777777" w:rsidR="00130BB2" w:rsidRPr="008B4246" w:rsidRDefault="00130BB2" w:rsidP="008B4246">
      <w:pPr>
        <w:pStyle w:val="Para1"/>
        <w:numPr>
          <w:ilvl w:val="0"/>
          <w:numId w:val="0"/>
        </w:numPr>
        <w:rPr>
          <w:lang w:val="en-US"/>
        </w:rPr>
      </w:pPr>
    </w:p>
    <w:p w14:paraId="071013BD" w14:textId="41244DE5" w:rsidR="00671B75" w:rsidRDefault="00671B75" w:rsidP="00190CAF">
      <w:pPr>
        <w:kinsoku w:val="0"/>
        <w:overflowPunct w:val="0"/>
        <w:autoSpaceDE w:val="0"/>
        <w:autoSpaceDN w:val="0"/>
        <w:jc w:val="center"/>
        <w:rPr>
          <w:kern w:val="22"/>
        </w:rPr>
      </w:pPr>
      <w:r>
        <w:rPr>
          <w:kern w:val="22"/>
        </w:rPr>
        <w:br w:type="page"/>
      </w:r>
    </w:p>
    <w:p w14:paraId="6994CDBC" w14:textId="0DA4AA84" w:rsidR="00671B75" w:rsidRPr="00671B75" w:rsidRDefault="00671B75" w:rsidP="00671B75">
      <w:pPr>
        <w:jc w:val="center"/>
        <w:rPr>
          <w:b/>
          <w:sz w:val="22"/>
          <w:szCs w:val="22"/>
        </w:rPr>
      </w:pPr>
      <w:r w:rsidRPr="00671B75">
        <w:rPr>
          <w:b/>
          <w:sz w:val="22"/>
          <w:szCs w:val="22"/>
        </w:rPr>
        <w:lastRenderedPageBreak/>
        <w:t>SYNTHESIS OF SUBMISSIONS ON EXPERIENCES IN MAINSTREAMING BIODIVERSITY IN MARINE FISHERIES</w:t>
      </w:r>
      <w:r w:rsidRPr="00671B75">
        <w:rPr>
          <w:rStyle w:val="FootnoteReference"/>
          <w:sz w:val="32"/>
          <w:szCs w:val="32"/>
          <w:u w:val="none"/>
          <w:vertAlign w:val="superscript"/>
        </w:rPr>
        <w:footnoteReference w:id="1"/>
      </w:r>
    </w:p>
    <w:p w14:paraId="0CA58941" w14:textId="77777777" w:rsidR="00671B75" w:rsidRDefault="00671B75" w:rsidP="004005F2">
      <w:pPr>
        <w:rPr>
          <w:b/>
          <w:sz w:val="28"/>
          <w:szCs w:val="28"/>
        </w:rPr>
      </w:pPr>
      <w:r>
        <w:rPr>
          <w:b/>
          <w:sz w:val="28"/>
          <w:szCs w:val="28"/>
        </w:rPr>
        <w:t>Abstract</w:t>
      </w:r>
    </w:p>
    <w:p w14:paraId="458F41ED" w14:textId="77777777" w:rsidR="00671B75" w:rsidRPr="00622912" w:rsidRDefault="00671B75" w:rsidP="00767C8C">
      <w:pPr>
        <w:shd w:val="clear" w:color="auto" w:fill="F2F2F2" w:themeFill="background1" w:themeFillShade="F2"/>
        <w:ind w:right="4"/>
        <w:jc w:val="both"/>
      </w:pPr>
      <w:r w:rsidRPr="00622912">
        <w:t>The submissions received</w:t>
      </w:r>
      <w:r>
        <w:t xml:space="preserve"> in response to notification 2017-121</w:t>
      </w:r>
      <w:r w:rsidRPr="00622912">
        <w:t xml:space="preserve"> have been analysed</w:t>
      </w:r>
      <w:r>
        <w:t xml:space="preserve"> with a view to identifying the main actions taken to facilitate mainstreaming of biodiversity in fisheries. While the sample size and the reports do not allow for universal conclusions to be drawn, the submissions provide an overview of a very rich range of actions and measures. The progress in implementation is more advanced in some countries, and these experiences may be useful for those Parties still struggling to develop their implementation capacity with regard to mainstreaming biodiversity in fisheries.  </w:t>
      </w:r>
    </w:p>
    <w:p w14:paraId="23E10D99" w14:textId="77777777" w:rsidR="00671B75" w:rsidRPr="00B80760" w:rsidRDefault="00671B75" w:rsidP="00671B75">
      <w:pPr>
        <w:pStyle w:val="ListParagraph"/>
        <w:numPr>
          <w:ilvl w:val="0"/>
          <w:numId w:val="17"/>
        </w:numPr>
        <w:spacing w:before="240" w:after="240" w:line="240" w:lineRule="auto"/>
        <w:ind w:left="360"/>
        <w:jc w:val="both"/>
        <w:rPr>
          <w:b/>
          <w:smallCaps/>
          <w:sz w:val="28"/>
          <w:szCs w:val="28"/>
        </w:rPr>
      </w:pPr>
      <w:r w:rsidRPr="00B80760">
        <w:rPr>
          <w:b/>
          <w:smallCaps/>
          <w:sz w:val="28"/>
          <w:szCs w:val="28"/>
        </w:rPr>
        <w:t>Introduction</w:t>
      </w:r>
    </w:p>
    <w:p w14:paraId="0BD35AA9" w14:textId="544AC870" w:rsidR="00671B75" w:rsidRPr="00AD7FBF" w:rsidRDefault="00671B75" w:rsidP="00767C8C">
      <w:pPr>
        <w:jc w:val="both"/>
        <w:rPr>
          <w:b/>
          <w:bCs/>
        </w:rPr>
      </w:pPr>
      <w:r w:rsidRPr="00AD7FBF">
        <w:t xml:space="preserve">On 16 November 2017, the CBD Secretariat </w:t>
      </w:r>
      <w:r>
        <w:t xml:space="preserve">issued notification 2017-121, which </w:t>
      </w:r>
      <w:r w:rsidRPr="00AD7FBF">
        <w:t>invite</w:t>
      </w:r>
      <w:r>
        <w:t>d</w:t>
      </w:r>
      <w:r w:rsidRPr="00AD7FBF">
        <w:t xml:space="preserve"> Parties, other Governments and relevant organizations to </w:t>
      </w:r>
      <w:r w:rsidRPr="00C56103">
        <w:rPr>
          <w:iCs/>
        </w:rPr>
        <w:t>submit information on experiences in mainstreaming biodiversity in fisheries, including through the ecosystem approach to fisheries</w:t>
      </w:r>
      <w:r>
        <w:rPr>
          <w:i/>
        </w:rPr>
        <w:t>.</w:t>
      </w:r>
      <w:r>
        <w:t xml:space="preserve"> </w:t>
      </w:r>
      <w:r w:rsidRPr="00AD7FBF">
        <w:t xml:space="preserve">Responses were </w:t>
      </w:r>
      <w:r>
        <w:t>received</w:t>
      </w:r>
      <w:r w:rsidRPr="00AD7FBF">
        <w:t xml:space="preserve"> from: Argentina, Antigua and </w:t>
      </w:r>
      <w:r>
        <w:t>Barbuda, Australia</w:t>
      </w:r>
      <w:r w:rsidRPr="00AD7FBF">
        <w:t xml:space="preserve">, Canada, Colombia, Costa Rica, </w:t>
      </w:r>
      <w:r>
        <w:t xml:space="preserve">Ecuador, </w:t>
      </w:r>
      <w:r w:rsidRPr="00AD7FBF">
        <w:t>Japan, Mexico, Norway and the United St</w:t>
      </w:r>
      <w:r>
        <w:t xml:space="preserve">ates of America. In addition, responses were also received from the Northwest Atlantic Fisheries Organization (NAFO), the North-East Atlantic Fisheries Commission (NEAFC), Birdlife International and the </w:t>
      </w:r>
      <w:r w:rsidRPr="00AD7FBF">
        <w:t>Strathclyde</w:t>
      </w:r>
      <w:r>
        <w:t xml:space="preserve"> </w:t>
      </w:r>
      <w:r w:rsidRPr="00AD7FBF">
        <w:t>Centre</w:t>
      </w:r>
      <w:r>
        <w:t xml:space="preserve"> </w:t>
      </w:r>
      <w:r w:rsidRPr="00AD7FBF">
        <w:t>for</w:t>
      </w:r>
      <w:r>
        <w:t xml:space="preserve"> </w:t>
      </w:r>
      <w:r w:rsidRPr="00AD7FBF">
        <w:t>Environmental</w:t>
      </w:r>
      <w:r>
        <w:t xml:space="preserve"> </w:t>
      </w:r>
      <w:r w:rsidRPr="00AD7FBF">
        <w:t>Law</w:t>
      </w:r>
      <w:r>
        <w:t xml:space="preserve"> </w:t>
      </w:r>
      <w:r w:rsidRPr="00AD7FBF">
        <w:t>and</w:t>
      </w:r>
      <w:r>
        <w:t xml:space="preserve"> </w:t>
      </w:r>
      <w:r w:rsidRPr="00AD7FBF">
        <w:t>Governance</w:t>
      </w:r>
      <w:r>
        <w:t xml:space="preserve"> </w:t>
      </w:r>
      <w:r w:rsidRPr="00AD7FBF">
        <w:t>(SCELG)</w:t>
      </w:r>
      <w:r>
        <w:t>.</w:t>
      </w:r>
    </w:p>
    <w:p w14:paraId="4649C216" w14:textId="77777777" w:rsidR="00671B75" w:rsidRPr="00AD7FBF" w:rsidRDefault="00671B75" w:rsidP="00767C8C">
      <w:pPr>
        <w:jc w:val="both"/>
        <w:rPr>
          <w:rFonts w:cstheme="minorHAnsi"/>
          <w:b/>
        </w:rPr>
      </w:pPr>
      <w:r>
        <w:rPr>
          <w:rFonts w:cstheme="minorHAnsi"/>
        </w:rPr>
        <w:t xml:space="preserve">The following is a brief synthesis of the information contained in the submissions, with a focus on practical actions and their outcomes, when information was provided in the submissions. The sample of Parties and Other Governments (11), regional fisheries management organizations (2) and other institutions (2) that have responded is too small to lead to any universal conclusion. The responses also provide different degrees of detail, and some responses focus only on certain types of fisheries (i.e. inland, marine, fisheries, aquaculture). However, the primary focus of the submissions is on marine fisheries.  </w:t>
      </w:r>
      <w:r w:rsidRPr="00AD7FBF">
        <w:t xml:space="preserve"> </w:t>
      </w:r>
    </w:p>
    <w:p w14:paraId="16A7A4C8" w14:textId="77777777" w:rsidR="00671B75" w:rsidRDefault="00671B75" w:rsidP="00767C8C">
      <w:pPr>
        <w:jc w:val="both"/>
      </w:pPr>
      <w:r>
        <w:t>In general, the submissions included elements regarding l</w:t>
      </w:r>
      <w:r w:rsidRPr="00237AC2">
        <w:t>egislation, policies and management plans</w:t>
      </w:r>
      <w:r>
        <w:t xml:space="preserve">, </w:t>
      </w:r>
      <w:r w:rsidRPr="00237AC2">
        <w:t>specific measures taken</w:t>
      </w:r>
      <w:r>
        <w:t xml:space="preserve"> (including pilot projects) as well as </w:t>
      </w:r>
      <w:r w:rsidRPr="00237AC2">
        <w:t>tools</w:t>
      </w:r>
      <w:r>
        <w:t xml:space="preserve">, </w:t>
      </w:r>
      <w:r w:rsidRPr="00237AC2">
        <w:t>guidance</w:t>
      </w:r>
      <w:r>
        <w:t xml:space="preserve"> and </w:t>
      </w:r>
      <w:r w:rsidRPr="00237AC2">
        <w:t>other relevant scientific and technical information.</w:t>
      </w:r>
      <w:r>
        <w:t xml:space="preserve"> </w:t>
      </w:r>
    </w:p>
    <w:p w14:paraId="38693784" w14:textId="77777777" w:rsidR="00671B75" w:rsidRDefault="00671B75" w:rsidP="00767C8C">
      <w:pPr>
        <w:jc w:val="both"/>
      </w:pPr>
      <w:r>
        <w:t xml:space="preserve">In some cases, the information provided indicates mainly the commitments and initial measures taken to initiate or accelerate the process of mainstreaming. In others the information describes very well-developed legal and policy frames, implementation systems, outcomes and lessons learned that may prove useful for other Parties. </w:t>
      </w:r>
    </w:p>
    <w:p w14:paraId="378398E6" w14:textId="77777777" w:rsidR="00671B75" w:rsidRDefault="00671B75"/>
    <w:p w14:paraId="4E8D7024" w14:textId="77777777" w:rsidR="00671B75" w:rsidRDefault="00671B75"/>
    <w:p w14:paraId="231404F3" w14:textId="77777777" w:rsidR="00671B75" w:rsidRPr="00B80760" w:rsidRDefault="00671B75" w:rsidP="00671B75">
      <w:pPr>
        <w:pStyle w:val="ListParagraph"/>
        <w:numPr>
          <w:ilvl w:val="0"/>
          <w:numId w:val="17"/>
        </w:numPr>
        <w:spacing w:before="240" w:after="240" w:line="240" w:lineRule="auto"/>
        <w:ind w:left="360"/>
        <w:contextualSpacing w:val="0"/>
        <w:jc w:val="both"/>
        <w:rPr>
          <w:b/>
          <w:smallCaps/>
          <w:sz w:val="28"/>
          <w:szCs w:val="28"/>
        </w:rPr>
      </w:pPr>
      <w:r w:rsidRPr="00B80760">
        <w:rPr>
          <w:b/>
          <w:smallCaps/>
          <w:sz w:val="28"/>
          <w:szCs w:val="28"/>
        </w:rPr>
        <w:t>Action and outcomes at national level</w:t>
      </w:r>
    </w:p>
    <w:p w14:paraId="520E9905" w14:textId="77777777" w:rsidR="00671B75" w:rsidRPr="00B80760" w:rsidRDefault="00671B75" w:rsidP="00671B75">
      <w:pPr>
        <w:pStyle w:val="ListParagraph"/>
        <w:numPr>
          <w:ilvl w:val="1"/>
          <w:numId w:val="17"/>
        </w:numPr>
        <w:tabs>
          <w:tab w:val="left" w:pos="540"/>
        </w:tabs>
        <w:spacing w:before="120" w:after="0" w:line="240" w:lineRule="auto"/>
        <w:ind w:left="540" w:hanging="540"/>
        <w:jc w:val="both"/>
        <w:rPr>
          <w:b/>
          <w:sz w:val="28"/>
          <w:szCs w:val="28"/>
        </w:rPr>
      </w:pPr>
      <w:r>
        <w:rPr>
          <w:b/>
          <w:sz w:val="28"/>
          <w:szCs w:val="28"/>
        </w:rPr>
        <w:t xml:space="preserve"> </w:t>
      </w:r>
      <w:r w:rsidRPr="00B80760">
        <w:rPr>
          <w:b/>
          <w:sz w:val="28"/>
          <w:szCs w:val="28"/>
        </w:rPr>
        <w:t>Updating of legal frames</w:t>
      </w:r>
    </w:p>
    <w:p w14:paraId="15113E3E" w14:textId="77777777" w:rsidR="00671B75" w:rsidRDefault="00671B75" w:rsidP="00767C8C">
      <w:pPr>
        <w:jc w:val="both"/>
      </w:pPr>
      <w:r>
        <w:t xml:space="preserve">Several (but not all) countries report that their legal frame (e.g. fisheries acts, marine resources act, environment and biodiversity conservation act) have been modified or additional legislation were elaborated in order to better (1) </w:t>
      </w:r>
      <w:r w:rsidRPr="00C7343D">
        <w:t xml:space="preserve">integrate the </w:t>
      </w:r>
      <w:r>
        <w:t>e</w:t>
      </w:r>
      <w:r w:rsidRPr="00C7343D">
        <w:t xml:space="preserve">cosystem </w:t>
      </w:r>
      <w:r>
        <w:t>a</w:t>
      </w:r>
      <w:r w:rsidRPr="00C7343D">
        <w:t xml:space="preserve">pproach </w:t>
      </w:r>
      <w:r>
        <w:t xml:space="preserve">and the precautionary </w:t>
      </w:r>
      <w:r>
        <w:lastRenderedPageBreak/>
        <w:t xml:space="preserve">approach </w:t>
      </w:r>
      <w:r w:rsidRPr="00C7343D">
        <w:t>into fisheries policy</w:t>
      </w:r>
      <w:r>
        <w:t>, (2) c</w:t>
      </w:r>
      <w:r w:rsidRPr="00C7343D">
        <w:t>onserve and sustainably utili</w:t>
      </w:r>
      <w:r>
        <w:t>z</w:t>
      </w:r>
      <w:r w:rsidRPr="00C7343D">
        <w:t>e resources</w:t>
      </w:r>
      <w:r>
        <w:t xml:space="preserve"> and (3) c</w:t>
      </w:r>
      <w:r w:rsidRPr="00C7343D">
        <w:t>onserve marine and coastal water ecosystems</w:t>
      </w:r>
      <w:r>
        <w:t>, minimizing and mitigating impacts on biodiversity</w:t>
      </w:r>
      <w:r w:rsidRPr="00C7343D">
        <w:t>.</w:t>
      </w:r>
      <w:r>
        <w:t xml:space="preserve"> </w:t>
      </w:r>
    </w:p>
    <w:p w14:paraId="518D99CD" w14:textId="77777777" w:rsidR="00671B75" w:rsidRDefault="00671B75" w:rsidP="00767C8C">
      <w:pPr>
        <w:jc w:val="both"/>
      </w:pPr>
      <w:r>
        <w:t xml:space="preserve">These modifications generally aimed to formalize the implementation of the ecosystem approach to fisheries. The more advanced developments reflect a paradigm shift in fisheries management from a focus on target species and stocks of major economic value, to a broader range of stocks (including data-poor stocks), explicitly considering impacts on non-target species, threatened species, habitats and ecosystem structure and function. </w:t>
      </w:r>
    </w:p>
    <w:p w14:paraId="4052400A" w14:textId="77777777" w:rsidR="00671B75" w:rsidRPr="00C56103" w:rsidRDefault="00671B75" w:rsidP="00767C8C">
      <w:pPr>
        <w:jc w:val="both"/>
        <w:rPr>
          <w:rFonts w:cstheme="minorHAnsi"/>
          <w:iCs/>
        </w:rPr>
      </w:pPr>
      <w:r>
        <w:t xml:space="preserve">In these legislation, or in addition to them, specific </w:t>
      </w:r>
      <w:r w:rsidRPr="00C56103">
        <w:t xml:space="preserve">trade regulations </w:t>
      </w:r>
      <w:r>
        <w:t xml:space="preserve">have been introduced in some countries to control extraction and export of aquatic resources, making the environmental performance of the fishery as a condition to export its products. For example, in Australia, the 1999 Environmental Protection and Biodiversity Conservation (EPBC) </w:t>
      </w:r>
      <w:r w:rsidRPr="00EE782C">
        <w:rPr>
          <w:rFonts w:cstheme="minorHAnsi"/>
        </w:rPr>
        <w:t xml:space="preserve">Act </w:t>
      </w:r>
      <w:r w:rsidRPr="00C56103">
        <w:rPr>
          <w:rFonts w:cstheme="minorHAnsi"/>
          <w:iCs/>
        </w:rPr>
        <w:t>requires that fisheries ‘take all reasonable steps’ to ensure that EPBC Act listed species—cetaceans, marine, migratory and threatened species</w:t>
      </w:r>
      <w:r>
        <w:rPr>
          <w:rFonts w:cstheme="minorHAnsi"/>
          <w:iCs/>
        </w:rPr>
        <w:t xml:space="preserve"> (</w:t>
      </w:r>
      <w:r w:rsidRPr="00C56103">
        <w:rPr>
          <w:rFonts w:cstheme="minorHAnsi"/>
          <w:iCs/>
        </w:rPr>
        <w:t>other than conservation-dependent)—are not killed or injured as a result of the fishing; and the fishery does not, or is not likely to, adversely affect the survival or recovery of the species.</w:t>
      </w:r>
    </w:p>
    <w:p w14:paraId="2E6F8F0F" w14:textId="77777777" w:rsidR="00671B75" w:rsidRPr="00C20AB5" w:rsidRDefault="00671B75" w:rsidP="00671B75">
      <w:pPr>
        <w:pStyle w:val="ListParagraph"/>
        <w:numPr>
          <w:ilvl w:val="1"/>
          <w:numId w:val="17"/>
        </w:numPr>
        <w:tabs>
          <w:tab w:val="left" w:pos="540"/>
        </w:tabs>
        <w:spacing w:before="120" w:after="0" w:line="240" w:lineRule="auto"/>
        <w:ind w:left="540" w:hanging="540"/>
        <w:jc w:val="both"/>
        <w:rPr>
          <w:b/>
          <w:sz w:val="28"/>
          <w:szCs w:val="28"/>
        </w:rPr>
      </w:pPr>
      <w:r>
        <w:rPr>
          <w:b/>
          <w:sz w:val="28"/>
          <w:szCs w:val="28"/>
        </w:rPr>
        <w:t xml:space="preserve"> Updating of policies</w:t>
      </w:r>
    </w:p>
    <w:p w14:paraId="08CFFA9C" w14:textId="77777777" w:rsidR="00671B75" w:rsidRDefault="00671B75" w:rsidP="00767C8C">
      <w:pPr>
        <w:jc w:val="both"/>
      </w:pPr>
      <w:r>
        <w:t xml:space="preserve">Updating of policies is often easier and more sustainable in countries where the legal framework has been also updated towards the same intention/objectives, offering a guarantee of lawfulness to the actors. </w:t>
      </w:r>
    </w:p>
    <w:p w14:paraId="2DCDE314" w14:textId="77777777" w:rsidR="00671B75" w:rsidRDefault="00671B75" w:rsidP="00767C8C">
      <w:pPr>
        <w:jc w:val="both"/>
      </w:pPr>
      <w:r>
        <w:t xml:space="preserve">The effective implementation of the ecosystem approach to fisheries (EAF) requires the redefinition of fisheries management objectives and a re-balancing of goals regarding the bioeconomic and ecological performance of the fisheries, with due regard to target stocks but also to the collateral impact on non-target species (reducing bycatch of mammals, seabirds and turtles) and habitats. The long-term economic and social performance (and equity) remain fundamental conditions to sustainability. </w:t>
      </w:r>
    </w:p>
    <w:p w14:paraId="4E8D36C7" w14:textId="77777777" w:rsidR="00671B75" w:rsidRDefault="00671B75" w:rsidP="00767C8C">
      <w:pPr>
        <w:jc w:val="both"/>
      </w:pPr>
      <w:r>
        <w:t xml:space="preserve">Nonetheless, while all submissions refer to the legal framework underpinning their efforts towards mainstreaming, few of them refer explicitly to an updated policy framework to facilitate it.  Exceptions are in Colombia where a national policy for integrated management of biodiversity and ecosystem services was adopted in 2012 and in Australia where the ESD framework has been adopted in the late 1990s and has been supported by ESD Guidelines, and </w:t>
      </w:r>
      <w:r w:rsidRPr="00536FDF">
        <w:t>Commonwealth</w:t>
      </w:r>
      <w:r>
        <w:t>-level policies on harvest strategies and on bycatch impact minimization.</w:t>
      </w:r>
    </w:p>
    <w:p w14:paraId="1A7B5932" w14:textId="77777777" w:rsidR="00671B75" w:rsidRDefault="00671B75" w:rsidP="00767C8C">
      <w:pPr>
        <w:jc w:val="both"/>
      </w:pPr>
      <w:r>
        <w:t xml:space="preserve">Increasing participative governance and use of local knowledge is seen as important in coastal community fisheries to promote stewardship for sustainable fisheries and conservation. </w:t>
      </w:r>
    </w:p>
    <w:p w14:paraId="09199208" w14:textId="77777777" w:rsidR="00671B75" w:rsidRPr="00C20AB5" w:rsidRDefault="00671B75" w:rsidP="00671B75">
      <w:pPr>
        <w:pStyle w:val="ListParagraph"/>
        <w:numPr>
          <w:ilvl w:val="1"/>
          <w:numId w:val="17"/>
        </w:numPr>
        <w:tabs>
          <w:tab w:val="left" w:pos="540"/>
        </w:tabs>
        <w:spacing w:before="120" w:after="0" w:line="240" w:lineRule="auto"/>
        <w:ind w:left="540" w:hanging="540"/>
        <w:jc w:val="both"/>
        <w:rPr>
          <w:b/>
          <w:sz w:val="28"/>
          <w:szCs w:val="28"/>
        </w:rPr>
      </w:pPr>
      <w:r>
        <w:rPr>
          <w:b/>
          <w:sz w:val="28"/>
          <w:szCs w:val="28"/>
        </w:rPr>
        <w:t>Updating of management plans</w:t>
      </w:r>
    </w:p>
    <w:p w14:paraId="3503FF98" w14:textId="77777777" w:rsidR="00671B75" w:rsidRDefault="00671B75" w:rsidP="00767C8C">
      <w:pPr>
        <w:keepNext/>
        <w:jc w:val="both"/>
      </w:pPr>
      <w:r>
        <w:t xml:space="preserve">The submissions indicate that that all respondents, independently of whether they updated formally their legal and policy frames, have established plans to facilitate the implementation of the ecosystem approach to fisheries (EAF), an approach which is clearly referred to as underpinning the actions undertaken by all respondents (national or regional) to promote effective mainstreaming of biodiversity in fisheries. </w:t>
      </w:r>
    </w:p>
    <w:p w14:paraId="75713704" w14:textId="77777777" w:rsidR="00671B75" w:rsidRDefault="00671B75" w:rsidP="00767C8C">
      <w:pPr>
        <w:jc w:val="both"/>
      </w:pPr>
      <w:r>
        <w:t xml:space="preserve">For example, </w:t>
      </w:r>
      <w:r w:rsidRPr="00C56103">
        <w:t>National Plans of Action</w:t>
      </w:r>
      <w:r>
        <w:t xml:space="preserve"> (NPOAs) have been adopted </w:t>
      </w:r>
      <w:r w:rsidRPr="00806585">
        <w:t xml:space="preserve">and </w:t>
      </w:r>
      <w:r>
        <w:t>are being implemented, apparently following the framework of the FAO International Plans of Action (IPOA) established at FAO such as:</w:t>
      </w:r>
    </w:p>
    <w:p w14:paraId="13589BA0" w14:textId="77777777" w:rsidR="00671B75" w:rsidRDefault="00671B75" w:rsidP="00767C8C">
      <w:pPr>
        <w:pStyle w:val="ListParagraph"/>
        <w:numPr>
          <w:ilvl w:val="0"/>
          <w:numId w:val="16"/>
        </w:numPr>
        <w:spacing w:before="120" w:after="0" w:line="240" w:lineRule="auto"/>
        <w:jc w:val="both"/>
        <w:rPr>
          <w:szCs w:val="24"/>
        </w:rPr>
      </w:pPr>
      <w:r>
        <w:rPr>
          <w:szCs w:val="24"/>
          <w:u w:val="single"/>
        </w:rPr>
        <w:t>NPOA-</w:t>
      </w:r>
      <w:r w:rsidRPr="000E6310">
        <w:rPr>
          <w:szCs w:val="24"/>
          <w:u w:val="single"/>
        </w:rPr>
        <w:t>IUU</w:t>
      </w:r>
      <w:r>
        <w:rPr>
          <w:szCs w:val="24"/>
        </w:rPr>
        <w:t xml:space="preserve">: </w:t>
      </w:r>
      <w:r w:rsidRPr="000E6310">
        <w:rPr>
          <w:szCs w:val="24"/>
        </w:rPr>
        <w:t xml:space="preserve">to deter and eliminate IUU </w:t>
      </w:r>
      <w:r>
        <w:rPr>
          <w:szCs w:val="24"/>
        </w:rPr>
        <w:t>and that include action to</w:t>
      </w:r>
      <w:r w:rsidRPr="000E6310">
        <w:rPr>
          <w:szCs w:val="24"/>
        </w:rPr>
        <w:t xml:space="preserve">: (i) </w:t>
      </w:r>
      <w:r>
        <w:rPr>
          <w:szCs w:val="24"/>
        </w:rPr>
        <w:t xml:space="preserve">improve </w:t>
      </w:r>
      <w:r w:rsidRPr="000E6310">
        <w:rPr>
          <w:szCs w:val="24"/>
        </w:rPr>
        <w:t>fishers’ education and outreach</w:t>
      </w:r>
      <w:r>
        <w:rPr>
          <w:szCs w:val="24"/>
        </w:rPr>
        <w:t xml:space="preserve"> on ecological matters</w:t>
      </w:r>
      <w:r w:rsidRPr="000E6310">
        <w:rPr>
          <w:szCs w:val="24"/>
        </w:rPr>
        <w:t xml:space="preserve">; </w:t>
      </w:r>
      <w:r>
        <w:rPr>
          <w:szCs w:val="24"/>
        </w:rPr>
        <w:t xml:space="preserve">(ii) improve surveillance and </w:t>
      </w:r>
      <w:r w:rsidRPr="000E6310">
        <w:rPr>
          <w:szCs w:val="24"/>
        </w:rPr>
        <w:t>enforcement</w:t>
      </w:r>
      <w:r>
        <w:rPr>
          <w:szCs w:val="24"/>
        </w:rPr>
        <w:t xml:space="preserve">, </w:t>
      </w:r>
      <w:r w:rsidRPr="000E6310">
        <w:rPr>
          <w:szCs w:val="24"/>
        </w:rPr>
        <w:t>including</w:t>
      </w:r>
      <w:r>
        <w:rPr>
          <w:szCs w:val="24"/>
        </w:rPr>
        <w:t xml:space="preserve"> through the use of Automatic Identification Systems (AIS), </w:t>
      </w:r>
      <w:r w:rsidRPr="000E6310">
        <w:rPr>
          <w:szCs w:val="24"/>
        </w:rPr>
        <w:t>on-board video cameras</w:t>
      </w:r>
      <w:r>
        <w:rPr>
          <w:szCs w:val="24"/>
        </w:rPr>
        <w:t xml:space="preserve"> (to check landings and bycatch)</w:t>
      </w:r>
      <w:r w:rsidRPr="000E6310">
        <w:rPr>
          <w:szCs w:val="24"/>
        </w:rPr>
        <w:t>;</w:t>
      </w:r>
      <w:r>
        <w:rPr>
          <w:szCs w:val="24"/>
        </w:rPr>
        <w:t xml:space="preserve"> and (iii) </w:t>
      </w:r>
      <w:r w:rsidRPr="000E6310">
        <w:rPr>
          <w:szCs w:val="24"/>
        </w:rPr>
        <w:t>spot checks on markets and retail outlets</w:t>
      </w:r>
      <w:r>
        <w:rPr>
          <w:szCs w:val="24"/>
        </w:rPr>
        <w:t xml:space="preserve">. </w:t>
      </w:r>
    </w:p>
    <w:p w14:paraId="495716AD" w14:textId="77777777" w:rsidR="00671B75" w:rsidRPr="00734FEF" w:rsidRDefault="00671B75" w:rsidP="00767C8C">
      <w:pPr>
        <w:pStyle w:val="ListParagraph"/>
        <w:numPr>
          <w:ilvl w:val="0"/>
          <w:numId w:val="16"/>
        </w:numPr>
        <w:spacing w:before="120" w:after="0" w:line="240" w:lineRule="auto"/>
        <w:jc w:val="both"/>
        <w:rPr>
          <w:szCs w:val="24"/>
        </w:rPr>
      </w:pPr>
      <w:r>
        <w:rPr>
          <w:szCs w:val="24"/>
          <w:u w:val="single"/>
        </w:rPr>
        <w:lastRenderedPageBreak/>
        <w:t>NPOA-Sharks</w:t>
      </w:r>
      <w:r>
        <w:rPr>
          <w:szCs w:val="24"/>
        </w:rPr>
        <w:t xml:space="preserve"> for the management and conservation of cartilaginous fish (sharks, rays, and chimeras) particularly threatened species. </w:t>
      </w:r>
      <w:r w:rsidRPr="000E6310">
        <w:rPr>
          <w:szCs w:val="24"/>
        </w:rPr>
        <w:t xml:space="preserve"> </w:t>
      </w:r>
    </w:p>
    <w:p w14:paraId="2D0DC49D" w14:textId="77777777" w:rsidR="00671B75" w:rsidRDefault="00671B75" w:rsidP="00767C8C">
      <w:pPr>
        <w:pStyle w:val="ListParagraph"/>
        <w:numPr>
          <w:ilvl w:val="0"/>
          <w:numId w:val="16"/>
        </w:numPr>
        <w:spacing w:before="120" w:after="0" w:line="240" w:lineRule="auto"/>
        <w:jc w:val="both"/>
        <w:rPr>
          <w:szCs w:val="24"/>
        </w:rPr>
      </w:pPr>
      <w:r>
        <w:rPr>
          <w:szCs w:val="24"/>
          <w:u w:val="single"/>
        </w:rPr>
        <w:t>NPOA-</w:t>
      </w:r>
      <w:r w:rsidRPr="00773F19">
        <w:rPr>
          <w:szCs w:val="24"/>
        </w:rPr>
        <w:t>Seabirds</w:t>
      </w:r>
      <w:r>
        <w:rPr>
          <w:szCs w:val="24"/>
        </w:rPr>
        <w:t xml:space="preserve"> for the protection of </w:t>
      </w:r>
      <w:r w:rsidRPr="00773F19">
        <w:rPr>
          <w:szCs w:val="24"/>
        </w:rPr>
        <w:t xml:space="preserve">seabirds </w:t>
      </w:r>
      <w:r>
        <w:rPr>
          <w:szCs w:val="24"/>
        </w:rPr>
        <w:t>from threats in in long line fisheries.</w:t>
      </w:r>
    </w:p>
    <w:p w14:paraId="043C85BE" w14:textId="77777777" w:rsidR="00671B75" w:rsidRDefault="00671B75" w:rsidP="00767C8C">
      <w:pPr>
        <w:pStyle w:val="ListParagraph"/>
        <w:numPr>
          <w:ilvl w:val="0"/>
          <w:numId w:val="16"/>
        </w:numPr>
        <w:spacing w:before="120" w:after="0" w:line="240" w:lineRule="auto"/>
        <w:jc w:val="both"/>
        <w:rPr>
          <w:szCs w:val="24"/>
        </w:rPr>
      </w:pPr>
      <w:r>
        <w:rPr>
          <w:szCs w:val="24"/>
          <w:u w:val="single"/>
        </w:rPr>
        <w:t>Protection of marine mammal</w:t>
      </w:r>
      <w:r w:rsidRPr="000E6310">
        <w:rPr>
          <w:szCs w:val="24"/>
        </w:rPr>
        <w:t xml:space="preserve"> </w:t>
      </w:r>
      <w:r>
        <w:rPr>
          <w:szCs w:val="24"/>
        </w:rPr>
        <w:t>in their interactions with fisheries.</w:t>
      </w:r>
    </w:p>
    <w:p w14:paraId="20E3812C" w14:textId="77777777" w:rsidR="00671B75" w:rsidRPr="000E6310" w:rsidRDefault="00671B75" w:rsidP="00767C8C">
      <w:pPr>
        <w:pStyle w:val="ListParagraph"/>
        <w:numPr>
          <w:ilvl w:val="0"/>
          <w:numId w:val="16"/>
        </w:numPr>
        <w:spacing w:before="120" w:after="0" w:line="240" w:lineRule="auto"/>
        <w:jc w:val="both"/>
        <w:rPr>
          <w:szCs w:val="24"/>
        </w:rPr>
      </w:pPr>
      <w:r>
        <w:rPr>
          <w:szCs w:val="24"/>
          <w:u w:val="single"/>
        </w:rPr>
        <w:t>Protection of sea turtles</w:t>
      </w:r>
    </w:p>
    <w:p w14:paraId="52DF42D6" w14:textId="77777777" w:rsidR="00671B75" w:rsidRDefault="00671B75" w:rsidP="00767C8C">
      <w:pPr>
        <w:jc w:val="both"/>
      </w:pPr>
      <w:r>
        <w:t xml:space="preserve">These plans have often been jointly elaborated by the authorities in charge of fisheries and of the environment and biodiversity. </w:t>
      </w:r>
    </w:p>
    <w:p w14:paraId="5A13DB04" w14:textId="77777777" w:rsidR="00671B75" w:rsidRDefault="00671B75" w:rsidP="00767C8C">
      <w:pPr>
        <w:jc w:val="both"/>
      </w:pPr>
      <w:r w:rsidRPr="00CB43E2">
        <w:rPr>
          <w:u w:val="single"/>
        </w:rPr>
        <w:t>Stock rebuilding plans</w:t>
      </w:r>
      <w:r>
        <w:t xml:space="preserve"> have also become a priority in many advanced countries. These plans tend to cover first the most economically important depleted resources but in a few countries more attention is also being progressively paid to resources of minor importance, using low-cost approaches.</w:t>
      </w:r>
    </w:p>
    <w:p w14:paraId="46C60909" w14:textId="77777777" w:rsidR="00671B75" w:rsidRDefault="00671B75" w:rsidP="00767C8C">
      <w:pPr>
        <w:jc w:val="both"/>
      </w:pPr>
      <w:r w:rsidRPr="00CB43E2">
        <w:rPr>
          <w:u w:val="single"/>
        </w:rPr>
        <w:t xml:space="preserve">Integrated </w:t>
      </w:r>
      <w:r>
        <w:rPr>
          <w:u w:val="single"/>
        </w:rPr>
        <w:t>m</w:t>
      </w:r>
      <w:r w:rsidRPr="00CB43E2">
        <w:rPr>
          <w:u w:val="single"/>
        </w:rPr>
        <w:t>anagement plans</w:t>
      </w:r>
      <w:r>
        <w:t xml:space="preserve"> have been developed, providing a framework for mainstreaming of sustainable use of marine resources and ecosystem services (e.g. in all Norwegian seas), integrating economic and ecological objectives in a single instrument. </w:t>
      </w:r>
    </w:p>
    <w:p w14:paraId="36557D48" w14:textId="77777777" w:rsidR="00671B75" w:rsidRDefault="00671B75" w:rsidP="00767C8C">
      <w:pPr>
        <w:jc w:val="both"/>
      </w:pPr>
      <w:r w:rsidRPr="000A1523">
        <w:rPr>
          <w:u w:val="single"/>
        </w:rPr>
        <w:t xml:space="preserve">Voluntary </w:t>
      </w:r>
      <w:r>
        <w:rPr>
          <w:u w:val="single"/>
        </w:rPr>
        <w:t>f</w:t>
      </w:r>
      <w:r w:rsidRPr="000A1523">
        <w:rPr>
          <w:u w:val="single"/>
        </w:rPr>
        <w:t>ishery resources management plans</w:t>
      </w:r>
      <w:r>
        <w:t xml:space="preserve"> have been developed in Japan by Industry and fishing cooperatives, as a vehicle for shared management and enforcement responsibility.</w:t>
      </w:r>
    </w:p>
    <w:p w14:paraId="08B3F2ED" w14:textId="77777777" w:rsidR="00671B75" w:rsidRDefault="00671B75" w:rsidP="00767C8C">
      <w:pPr>
        <w:jc w:val="both"/>
      </w:pPr>
      <w:r w:rsidRPr="00C56103">
        <w:t>In Japan,</w:t>
      </w:r>
      <w:r>
        <w:rPr>
          <w:u w:val="single"/>
        </w:rPr>
        <w:t xml:space="preserve"> </w:t>
      </w:r>
      <w:r w:rsidRPr="00A54235">
        <w:rPr>
          <w:u w:val="single"/>
        </w:rPr>
        <w:t>Planning assistance</w:t>
      </w:r>
      <w:r>
        <w:t xml:space="preserve"> has been provided to developing countries to develop plans of action for sustainable use of fisheries resources and conservation of marine ecosystems</w:t>
      </w:r>
    </w:p>
    <w:p w14:paraId="7A7B1150" w14:textId="77777777" w:rsidR="00671B75" w:rsidRPr="00A54235" w:rsidRDefault="00671B75" w:rsidP="00671B75">
      <w:pPr>
        <w:pStyle w:val="ListParagraph"/>
        <w:numPr>
          <w:ilvl w:val="1"/>
          <w:numId w:val="17"/>
        </w:numPr>
        <w:tabs>
          <w:tab w:val="left" w:pos="540"/>
        </w:tabs>
        <w:spacing w:before="120" w:after="0" w:line="240" w:lineRule="auto"/>
        <w:ind w:left="540" w:hanging="540"/>
        <w:jc w:val="both"/>
        <w:rPr>
          <w:b/>
          <w:sz w:val="28"/>
          <w:szCs w:val="28"/>
        </w:rPr>
      </w:pPr>
      <w:r w:rsidRPr="00A54235">
        <w:rPr>
          <w:b/>
          <w:sz w:val="28"/>
          <w:szCs w:val="28"/>
        </w:rPr>
        <w:t xml:space="preserve">Measures, </w:t>
      </w:r>
      <w:r>
        <w:rPr>
          <w:b/>
          <w:sz w:val="28"/>
          <w:szCs w:val="28"/>
        </w:rPr>
        <w:t>i</w:t>
      </w:r>
      <w:r w:rsidRPr="00A54235">
        <w:rPr>
          <w:b/>
          <w:sz w:val="28"/>
          <w:szCs w:val="28"/>
        </w:rPr>
        <w:t>nstruments and tools</w:t>
      </w:r>
    </w:p>
    <w:p w14:paraId="5E541223" w14:textId="77777777" w:rsidR="00671B75" w:rsidRDefault="00671B75" w:rsidP="00767C8C">
      <w:pPr>
        <w:jc w:val="both"/>
      </w:pPr>
      <w:r>
        <w:t xml:space="preserve">The submissions provide information on a wide range of technical measures that have been taken to effectively implement the ecosystem approach to fisheries, including </w:t>
      </w:r>
      <w:r w:rsidRPr="00C56103">
        <w:t>conventional measures to promote sustainable utilisation and new ecological measures t</w:t>
      </w:r>
      <w:r>
        <w:t>o further integrate ecosystem-wide considerations into fisheries management.</w:t>
      </w:r>
    </w:p>
    <w:p w14:paraId="5A48AE17" w14:textId="77777777" w:rsidR="00671B75" w:rsidRDefault="00671B75"/>
    <w:p w14:paraId="314B9F58" w14:textId="77777777" w:rsidR="00671B75" w:rsidRPr="00B80760" w:rsidRDefault="00671B75" w:rsidP="00671B75">
      <w:pPr>
        <w:pStyle w:val="ListParagraph"/>
        <w:numPr>
          <w:ilvl w:val="2"/>
          <w:numId w:val="17"/>
        </w:numPr>
        <w:spacing w:before="120" w:after="0" w:line="240" w:lineRule="auto"/>
        <w:jc w:val="both"/>
        <w:rPr>
          <w:b/>
          <w:szCs w:val="24"/>
        </w:rPr>
      </w:pPr>
      <w:r w:rsidRPr="00B80760">
        <w:rPr>
          <w:b/>
          <w:szCs w:val="24"/>
        </w:rPr>
        <w:t>Conventional measures</w:t>
      </w:r>
    </w:p>
    <w:p w14:paraId="3D2CB787" w14:textId="77777777" w:rsidR="00671B75" w:rsidRDefault="00671B75" w:rsidP="00767C8C">
      <w:pPr>
        <w:jc w:val="both"/>
      </w:pPr>
      <w:r>
        <w:t xml:space="preserve">The FAO Code of Conduct for Responsible Fisheries (CCRF) provides a framework and a range of conventional measures aiming at controlling </w:t>
      </w:r>
      <w:r w:rsidRPr="00C56103">
        <w:t>fishing pattern</w:t>
      </w:r>
      <w:r>
        <w:t xml:space="preserve">s (i.e. the distribution of fishing pressure on species and sizes). Measures include: (i) Mesh size regulations; (ii) </w:t>
      </w:r>
      <w:r w:rsidRPr="00CA3D24">
        <w:t>Closed areas</w:t>
      </w:r>
      <w:r>
        <w:t xml:space="preserve">, to protect juveniles, including real-time closures; </w:t>
      </w:r>
      <w:r>
        <w:rPr>
          <w:sz w:val="22"/>
        </w:rPr>
        <w:t>(iii) C</w:t>
      </w:r>
      <w:r>
        <w:t xml:space="preserve">losed seasons, to protect spawners; (iv) use of biodegradable materials and retrieval of lost gear to reduce/avoid “ghost fishing” by lost pots or nets; </w:t>
      </w:r>
    </w:p>
    <w:p w14:paraId="77899799" w14:textId="77777777" w:rsidR="00671B75" w:rsidRDefault="00671B75" w:rsidP="00767C8C">
      <w:pPr>
        <w:jc w:val="both"/>
      </w:pPr>
      <w:r>
        <w:t xml:space="preserve">Overall </w:t>
      </w:r>
      <w:r w:rsidRPr="00C56103">
        <w:t>fishing pressure</w:t>
      </w:r>
      <w:r>
        <w:t xml:space="preserve"> can be controlled using: (i) Catch limits (to limit the pressure); (ii) Harvest Control Rules (HCRs), to fine tune the pressure using pre-agreed decision rules; (iii) Economic incentives, including exclusive use rights are used to promote longer-term stewardship.</w:t>
      </w:r>
    </w:p>
    <w:p w14:paraId="7489B573" w14:textId="77777777" w:rsidR="00671B75" w:rsidRPr="007642DE" w:rsidRDefault="00671B75" w:rsidP="00767C8C">
      <w:pPr>
        <w:jc w:val="both"/>
      </w:pPr>
      <w:r w:rsidRPr="007642DE">
        <w:t>Reduction of Illegal Unreported and Unregulated (IUU) Fishing has been a growing concern for the last few decades</w:t>
      </w:r>
      <w:r>
        <w:t>, including through: (i) I</w:t>
      </w:r>
      <w:r w:rsidRPr="007642DE">
        <w:t xml:space="preserve">mproved enforcement; </w:t>
      </w:r>
      <w:r>
        <w:t>(ii) Generalization of satellite Vessel Monitoring Systems on commercial-size fleets; (iii) O</w:t>
      </w:r>
      <w:r w:rsidRPr="007642DE">
        <w:t>n-board video</w:t>
      </w:r>
      <w:r>
        <w:t xml:space="preserve"> sets to control catches and bycatch; (iv) Port-States measures to control landings and trade, based on the binding FAO Port-States Measures Agreement (PSMA); (v) C</w:t>
      </w:r>
      <w:r w:rsidRPr="007642DE">
        <w:t>atch certification and traceability)</w:t>
      </w:r>
      <w:r>
        <w:t xml:space="preserve">; and (vi) improved control of national fleets operating in the high seas. </w:t>
      </w:r>
    </w:p>
    <w:p w14:paraId="6202FA21" w14:textId="77777777" w:rsidR="00671B75" w:rsidRPr="003310CE" w:rsidRDefault="00671B75" w:rsidP="00671B75">
      <w:pPr>
        <w:pStyle w:val="ListParagraph"/>
        <w:numPr>
          <w:ilvl w:val="2"/>
          <w:numId w:val="17"/>
        </w:numPr>
        <w:spacing w:before="120" w:after="0" w:line="240" w:lineRule="auto"/>
        <w:jc w:val="both"/>
        <w:rPr>
          <w:b/>
          <w:szCs w:val="24"/>
        </w:rPr>
      </w:pPr>
      <w:r w:rsidRPr="003310CE">
        <w:rPr>
          <w:b/>
          <w:szCs w:val="24"/>
        </w:rPr>
        <w:t>Ecological measures</w:t>
      </w:r>
    </w:p>
    <w:p w14:paraId="2742BFD9" w14:textId="77777777" w:rsidR="00671B75" w:rsidRPr="00EB34BF" w:rsidRDefault="00671B75" w:rsidP="00767C8C">
      <w:pPr>
        <w:jc w:val="both"/>
      </w:pPr>
      <w:r w:rsidRPr="004F790F">
        <w:t xml:space="preserve">These measures reflect concerns </w:t>
      </w:r>
      <w:r>
        <w:t xml:space="preserve">that are broader than </w:t>
      </w:r>
      <w:r w:rsidRPr="004F790F">
        <w:t>conventional fisheries management. Some are similar to conventional measures, but their objective is to reduce collateral impact</w:t>
      </w:r>
      <w:r>
        <w:t>. They tend to be specific to the fisheries and species of concern and include</w:t>
      </w:r>
      <w:r w:rsidRPr="004F790F">
        <w:t xml:space="preserve">: (i) Marine protected </w:t>
      </w:r>
      <w:r>
        <w:t>a</w:t>
      </w:r>
      <w:r w:rsidRPr="004F790F">
        <w:t xml:space="preserve">reas; (ii) Areas designated for sustainable fisheries and conservation; (iii) Prohibitions of certain gears </w:t>
      </w:r>
      <w:r>
        <w:t xml:space="preserve">(bans) </w:t>
      </w:r>
      <w:r w:rsidRPr="004F790F">
        <w:t>in certain areas to protect endangered species from bycatch</w:t>
      </w:r>
      <w:r>
        <w:t xml:space="preserve">, focusing on species most at </w:t>
      </w:r>
      <w:r>
        <w:lastRenderedPageBreak/>
        <w:t xml:space="preserve">risk </w:t>
      </w:r>
      <w:r w:rsidRPr="004F790F">
        <w:t>(e.g. turtles</w:t>
      </w:r>
      <w:r>
        <w:t>, sharks, birds</w:t>
      </w:r>
      <w:r w:rsidRPr="004F790F">
        <w:t xml:space="preserve">), or to protect entire vulnerable habitats (e.g. trawls in coral reefs or </w:t>
      </w:r>
      <w:r>
        <w:t>v</w:t>
      </w:r>
      <w:r w:rsidRPr="004F790F">
        <w:t xml:space="preserve">ulnerable </w:t>
      </w:r>
      <w:r>
        <w:t>m</w:t>
      </w:r>
      <w:r w:rsidRPr="004F790F">
        <w:t xml:space="preserve">arine </w:t>
      </w:r>
      <w:r>
        <w:t>e</w:t>
      </w:r>
      <w:r w:rsidRPr="004F790F">
        <w:t xml:space="preserve">cosystems (VMEs); (iv) use of bycatch excluder devices </w:t>
      </w:r>
      <w:r>
        <w:t>(</w:t>
      </w:r>
      <w:r w:rsidRPr="004F790F">
        <w:t>e.g. selection grids, circle hooks, birds scarring lines</w:t>
      </w:r>
      <w:r>
        <w:t>)</w:t>
      </w:r>
      <w:r w:rsidRPr="004F790F">
        <w:t>; (v) Catch documentation schemes controlling exports; (vi) Making exports of national fisheries conditional to fleets being certified for ecological performance</w:t>
      </w:r>
      <w:r>
        <w:t xml:space="preserve">; (vii) </w:t>
      </w:r>
      <w:r>
        <w:rPr>
          <w:rFonts w:cstheme="minorHAnsi"/>
        </w:rPr>
        <w:t>Compulsory reporting of interactions of fisheries with species of concern; (viii) Systematic use of Ecol</w:t>
      </w:r>
      <w:r w:rsidRPr="00EE782C">
        <w:rPr>
          <w:rFonts w:cstheme="minorHAnsi"/>
        </w:rPr>
        <w:t xml:space="preserve">ogical Rick Assessment </w:t>
      </w:r>
      <w:r>
        <w:rPr>
          <w:rFonts w:cstheme="minorHAnsi"/>
        </w:rPr>
        <w:t xml:space="preserve">(ERA) and management to develop improved management strategies; (ix) Production of Guidelines for EAF implementation; (x) </w:t>
      </w:r>
      <w:r w:rsidRPr="00EE782C">
        <w:rPr>
          <w:rFonts w:cstheme="minorHAnsi"/>
        </w:rPr>
        <w:t xml:space="preserve">Identification, declaration and protection of critical </w:t>
      </w:r>
      <w:r>
        <w:rPr>
          <w:rFonts w:cstheme="minorHAnsi"/>
        </w:rPr>
        <w:t xml:space="preserve">(vulnerable) </w:t>
      </w:r>
      <w:r w:rsidRPr="00EE782C">
        <w:rPr>
          <w:rFonts w:cstheme="minorHAnsi"/>
        </w:rPr>
        <w:t>ecosystems</w:t>
      </w:r>
      <w:r>
        <w:rPr>
          <w:rFonts w:cstheme="minorHAnsi"/>
        </w:rPr>
        <w:t xml:space="preserve"> (e.g. VMEs); (xi) </w:t>
      </w:r>
      <w:r w:rsidRPr="00EE782C">
        <w:rPr>
          <w:rFonts w:cstheme="minorHAnsi"/>
        </w:rPr>
        <w:t>Ban of bottom-contact gears</w:t>
      </w:r>
      <w:r>
        <w:t xml:space="preserve"> in VMEs; (xii) </w:t>
      </w:r>
      <w:r w:rsidRPr="00073FBC">
        <w:t xml:space="preserve">Provision of </w:t>
      </w:r>
      <w:r>
        <w:t xml:space="preserve">prey </w:t>
      </w:r>
      <w:r w:rsidRPr="00073FBC">
        <w:t>quotas for top predators</w:t>
      </w:r>
      <w:r>
        <w:t xml:space="preserve">; (xiii) Voluntary codes of conduct developed by the fishing industry; (xiv) </w:t>
      </w:r>
      <w:r w:rsidRPr="00622F7A">
        <w:t xml:space="preserve">Systematic use of the Red List as a yardstick for </w:t>
      </w:r>
      <w:r>
        <w:t xml:space="preserve">low-cost </w:t>
      </w:r>
      <w:r w:rsidRPr="00622F7A">
        <w:t>management of the less economically important species</w:t>
      </w:r>
      <w:r>
        <w:t xml:space="preserve">, including through the development of National Red Lists; (xv) special precautionary measures are taken to control fisheries exploration and development in pristine areas; (xvi) </w:t>
      </w:r>
      <w:r w:rsidRPr="00EB34BF">
        <w:t xml:space="preserve">Improving information on </w:t>
      </w:r>
      <w:r>
        <w:t xml:space="preserve">the </w:t>
      </w:r>
      <w:r w:rsidRPr="00EB34BF">
        <w:t>use of threatened species (</w:t>
      </w:r>
      <w:r>
        <w:t>e.g. s</w:t>
      </w:r>
      <w:r w:rsidRPr="00EB34BF">
        <w:t>ea turtles)</w:t>
      </w:r>
      <w:r>
        <w:t xml:space="preserve">; (xvii) </w:t>
      </w:r>
      <w:r w:rsidRPr="00EB34BF">
        <w:t xml:space="preserve">Restoration of critical habitats (seagrass beds; </w:t>
      </w:r>
      <w:r>
        <w:t>t</w:t>
      </w:r>
      <w:r w:rsidRPr="00EB34BF">
        <w:t>idal flats</w:t>
      </w:r>
      <w:r>
        <w:t>, m</w:t>
      </w:r>
      <w:r w:rsidRPr="00EB34BF">
        <w:t>angroves</w:t>
      </w:r>
      <w:r>
        <w:t>).</w:t>
      </w:r>
    </w:p>
    <w:p w14:paraId="46C6A4F9" w14:textId="77777777" w:rsidR="00671B75" w:rsidRDefault="00671B75" w:rsidP="003936E1">
      <w:r w:rsidRPr="00EB34BF">
        <w:rPr>
          <w:b/>
        </w:rPr>
        <w:t>Figure 1</w:t>
      </w:r>
      <w:r>
        <w:t xml:space="preserve"> gives an example of “stock table” used to produce a synoptic view of ecological issues affecting fisheries in a country or region</w:t>
      </w:r>
    </w:p>
    <w:p w14:paraId="4DB3C6B0" w14:textId="77777777" w:rsidR="00671B75" w:rsidRDefault="00671B75" w:rsidP="004F790F">
      <w:r w:rsidRPr="00CA6807">
        <w:rPr>
          <w:noProof/>
          <w:lang w:val="en-CA" w:eastAsia="en-CA"/>
        </w:rPr>
        <w:drawing>
          <wp:inline distT="0" distB="0" distL="0" distR="0" wp14:anchorId="44DD3E85" wp14:editId="76B44C6E">
            <wp:extent cx="5657850" cy="30380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40087" cy="3082231"/>
                    </a:xfrm>
                    <a:prstGeom prst="rect">
                      <a:avLst/>
                    </a:prstGeom>
                  </pic:spPr>
                </pic:pic>
              </a:graphicData>
            </a:graphic>
          </wp:inline>
        </w:drawing>
      </w:r>
    </w:p>
    <w:p w14:paraId="04DA2CCD" w14:textId="77777777" w:rsidR="00671B75" w:rsidRPr="00901D81" w:rsidRDefault="00671B75" w:rsidP="00767C8C">
      <w:pPr>
        <w:rPr>
          <w:b/>
          <w:sz w:val="20"/>
          <w:szCs w:val="20"/>
        </w:rPr>
      </w:pPr>
      <w:r w:rsidRPr="00901D81">
        <w:rPr>
          <w:b/>
          <w:sz w:val="20"/>
          <w:szCs w:val="20"/>
        </w:rPr>
        <w:t xml:space="preserve">Figure 1: Example of colour-coded </w:t>
      </w:r>
      <w:r>
        <w:rPr>
          <w:b/>
          <w:sz w:val="20"/>
          <w:szCs w:val="20"/>
        </w:rPr>
        <w:t xml:space="preserve">“stock table” </w:t>
      </w:r>
      <w:r w:rsidRPr="00901D81">
        <w:rPr>
          <w:b/>
          <w:sz w:val="20"/>
          <w:szCs w:val="20"/>
        </w:rPr>
        <w:t>on state of stocks used to provide a synoptic view of the state of resources at ecosystem level and prioritize management action (In Norway)</w:t>
      </w:r>
      <w:r>
        <w:rPr>
          <w:b/>
          <w:sz w:val="20"/>
          <w:szCs w:val="20"/>
        </w:rPr>
        <w:t>. Stocks are in rows. Issues are in columns.</w:t>
      </w:r>
      <w:r w:rsidRPr="00901D81">
        <w:rPr>
          <w:b/>
          <w:sz w:val="20"/>
          <w:szCs w:val="20"/>
        </w:rPr>
        <w:t xml:space="preserve"> </w:t>
      </w:r>
      <w:r>
        <w:rPr>
          <w:b/>
          <w:sz w:val="20"/>
          <w:szCs w:val="20"/>
        </w:rPr>
        <w:t xml:space="preserve">A similar table lists fisheries, their status and issues, regarding </w:t>
      </w:r>
      <w:r w:rsidRPr="00FC34F5">
        <w:rPr>
          <w:b/>
          <w:i/>
          <w:sz w:val="20"/>
          <w:szCs w:val="20"/>
        </w:rPr>
        <w:t>inter alia</w:t>
      </w:r>
      <w:r>
        <w:rPr>
          <w:b/>
          <w:sz w:val="20"/>
          <w:szCs w:val="20"/>
        </w:rPr>
        <w:t xml:space="preserve"> discards, incidental mortality on species of concern, impact on seabed, etc. </w:t>
      </w:r>
      <w:r w:rsidRPr="00901D81">
        <w:rPr>
          <w:b/>
          <w:sz w:val="20"/>
          <w:szCs w:val="20"/>
        </w:rPr>
        <w:t>(Gullestad et al., 2017)</w:t>
      </w:r>
      <w:r>
        <w:rPr>
          <w:rStyle w:val="FootnoteReference"/>
          <w:b/>
          <w:sz w:val="20"/>
          <w:szCs w:val="20"/>
        </w:rPr>
        <w:footnoteReference w:id="2"/>
      </w:r>
    </w:p>
    <w:p w14:paraId="40F5664D" w14:textId="77777777" w:rsidR="00671B75" w:rsidRDefault="00671B75" w:rsidP="00CA6807">
      <w:pPr>
        <w:autoSpaceDE w:val="0"/>
        <w:autoSpaceDN w:val="0"/>
        <w:adjustRightInd w:val="0"/>
        <w:rPr>
          <w:rFonts w:cstheme="minorHAnsi"/>
        </w:rPr>
      </w:pPr>
    </w:p>
    <w:p w14:paraId="216269CC" w14:textId="77777777" w:rsidR="00671B75" w:rsidRDefault="00671B75" w:rsidP="00671B75">
      <w:pPr>
        <w:pStyle w:val="ListParagraph"/>
        <w:numPr>
          <w:ilvl w:val="2"/>
          <w:numId w:val="17"/>
        </w:numPr>
        <w:spacing w:before="120" w:after="0" w:line="240" w:lineRule="auto"/>
        <w:jc w:val="both"/>
        <w:rPr>
          <w:b/>
          <w:szCs w:val="24"/>
        </w:rPr>
      </w:pPr>
      <w:r>
        <w:rPr>
          <w:b/>
          <w:szCs w:val="24"/>
        </w:rPr>
        <w:t>Other s</w:t>
      </w:r>
      <w:r w:rsidRPr="007642DE">
        <w:rPr>
          <w:b/>
          <w:szCs w:val="24"/>
        </w:rPr>
        <w:t>upporting measures</w:t>
      </w:r>
    </w:p>
    <w:p w14:paraId="57817812" w14:textId="77777777" w:rsidR="00671B75" w:rsidRPr="00CE2649" w:rsidRDefault="00671B75" w:rsidP="00767C8C">
      <w:pPr>
        <w:jc w:val="both"/>
      </w:pPr>
      <w:r>
        <w:t xml:space="preserve">These types of measures are aimed at enhancing and facilitating the use of the measures mentioned above. They include: (i) Education of fishers regarding ecological risks related to fisheries; (ii) Awareness-raising with consumers; (iii) Aquaculture development for stock enhancement; (iv) Training courses (such as on disentanglement of marine mammals from fishing </w:t>
      </w:r>
      <w:r>
        <w:lastRenderedPageBreak/>
        <w:t xml:space="preserve">gear); (v) </w:t>
      </w:r>
      <w:r w:rsidRPr="00073FBC">
        <w:t>Integrated management of inland fisheries at watershed level</w:t>
      </w:r>
      <w:r>
        <w:t>; (vi) Allowing p</w:t>
      </w:r>
      <w:r w:rsidRPr="006D3BD2">
        <w:t>ublic access to information on stock assessment data of all stocks</w:t>
      </w:r>
      <w:r>
        <w:t xml:space="preserve">; (vii) Control of invasive species; (viii) Involvement in international cooperation to promote the mainstreaming of biodiversity values at regional or global level; and (ix) increased cooperation between fisheries and conservation agencies. </w:t>
      </w:r>
    </w:p>
    <w:p w14:paraId="1CE836E3" w14:textId="77777777" w:rsidR="00671B75" w:rsidRDefault="00671B75" w:rsidP="00767C8C">
      <w:pPr>
        <w:jc w:val="both"/>
      </w:pPr>
      <w:r w:rsidRPr="00C56103">
        <w:t>Projects</w:t>
      </w:r>
      <w:r w:rsidRPr="00EB34BF">
        <w:t xml:space="preserve"> are being implemented, sometimes with external funding</w:t>
      </w:r>
      <w:r>
        <w:t>,</w:t>
      </w:r>
      <w:r w:rsidRPr="00EB34BF">
        <w:t xml:space="preserve"> to develop</w:t>
      </w:r>
      <w:r>
        <w:t xml:space="preserve"> a</w:t>
      </w:r>
      <w:r w:rsidRPr="00EB34BF">
        <w:t xml:space="preserve"> more ecological approaches to fisheries, including legal and policy frames, institutional capacity-building, biodiversity impact mitigation reduction, and ecosystem-based, cross-sectoral spatial planning.</w:t>
      </w:r>
    </w:p>
    <w:p w14:paraId="138E6EF8" w14:textId="77777777" w:rsidR="00671B75" w:rsidRPr="00073FBC" w:rsidRDefault="00671B75" w:rsidP="00767C8C">
      <w:pPr>
        <w:jc w:val="both"/>
        <w:rPr>
          <w:rFonts w:cstheme="minorHAnsi"/>
        </w:rPr>
      </w:pPr>
      <w:r w:rsidRPr="00C56103">
        <w:t xml:space="preserve">Science is an essential </w:t>
      </w:r>
      <w:r>
        <w:t xml:space="preserve">aspect of </w:t>
      </w:r>
      <w:r w:rsidRPr="00C56103">
        <w:t>support</w:t>
      </w:r>
      <w:r>
        <w:t>ing management</w:t>
      </w:r>
      <w:r w:rsidRPr="00EB34BF">
        <w:t>. Examples given</w:t>
      </w:r>
      <w:r>
        <w:t xml:space="preserve"> in the submissions</w:t>
      </w:r>
      <w:r w:rsidRPr="00EB34BF">
        <w:t xml:space="preserve"> include: (i)</w:t>
      </w:r>
      <w:r>
        <w:t xml:space="preserve"> </w:t>
      </w:r>
      <w:r w:rsidRPr="00EB34BF">
        <w:t>Use of best available science</w:t>
      </w:r>
      <w:r>
        <w:t xml:space="preserve"> for stock assessment and policy development; (ii) Research on biodegradable materials; (iii) Research on prediction of climate change impacts on resources and fisheries; (iv) Targeted research on management effectiveness; (v) Systematic </w:t>
      </w:r>
      <w:r w:rsidRPr="00073FBC">
        <w:rPr>
          <w:rFonts w:cstheme="minorHAnsi"/>
        </w:rPr>
        <w:t xml:space="preserve">research on by-catch </w:t>
      </w:r>
      <w:r>
        <w:rPr>
          <w:rFonts w:cstheme="minorHAnsi"/>
        </w:rPr>
        <w:t xml:space="preserve">and other impacts on </w:t>
      </w:r>
      <w:r w:rsidRPr="00073FBC">
        <w:rPr>
          <w:rFonts w:cstheme="minorHAnsi"/>
        </w:rPr>
        <w:t xml:space="preserve">various </w:t>
      </w:r>
      <w:r>
        <w:rPr>
          <w:rFonts w:cstheme="minorHAnsi"/>
        </w:rPr>
        <w:t xml:space="preserve">high-risk </w:t>
      </w:r>
      <w:r w:rsidRPr="00073FBC">
        <w:rPr>
          <w:rFonts w:cstheme="minorHAnsi"/>
        </w:rPr>
        <w:t>marine species</w:t>
      </w:r>
      <w:r>
        <w:rPr>
          <w:rFonts w:cstheme="minorHAnsi"/>
        </w:rPr>
        <w:t xml:space="preserve"> by high-risk fisheries; (vi) Systematic assessment of biodiversity potentially affected by fisheries, e.g. target, non-target, bycatch and threatened species as well as on the surrounding ecosystem; (vii) generalization of Ecological Risk Assessment, and (viii) National marine science plans.    </w:t>
      </w:r>
    </w:p>
    <w:p w14:paraId="5A43E507" w14:textId="77777777" w:rsidR="00671B75" w:rsidRPr="00B80760" w:rsidRDefault="00671B75" w:rsidP="00671B75">
      <w:pPr>
        <w:pStyle w:val="ListParagraph"/>
        <w:numPr>
          <w:ilvl w:val="0"/>
          <w:numId w:val="17"/>
        </w:numPr>
        <w:spacing w:before="240" w:after="240" w:line="240" w:lineRule="auto"/>
        <w:ind w:left="360"/>
        <w:contextualSpacing w:val="0"/>
        <w:jc w:val="both"/>
        <w:rPr>
          <w:b/>
          <w:smallCaps/>
          <w:sz w:val="28"/>
          <w:szCs w:val="28"/>
        </w:rPr>
      </w:pPr>
      <w:r>
        <w:rPr>
          <w:b/>
          <w:smallCaps/>
          <w:sz w:val="28"/>
          <w:szCs w:val="28"/>
        </w:rPr>
        <w:t xml:space="preserve">Action and outcomes in regional </w:t>
      </w:r>
      <w:r w:rsidRPr="00B80760">
        <w:rPr>
          <w:b/>
          <w:smallCaps/>
          <w:sz w:val="28"/>
          <w:szCs w:val="28"/>
        </w:rPr>
        <w:t>organizations</w:t>
      </w:r>
    </w:p>
    <w:p w14:paraId="79B61B93" w14:textId="77777777" w:rsidR="00671B75" w:rsidRDefault="00671B75" w:rsidP="00767C8C">
      <w:pPr>
        <w:jc w:val="both"/>
      </w:pPr>
      <w:r>
        <w:t>At the regional level, submissions were provided by the Northwest Atlantic Fisheries Organization (NAFO) and the North-East Atlantic Fisheries Commission (NEAFC).</w:t>
      </w:r>
    </w:p>
    <w:p w14:paraId="5A4CD508" w14:textId="77777777" w:rsidR="00671B75" w:rsidRPr="006357D1" w:rsidRDefault="00671B75" w:rsidP="00767C8C">
      <w:pPr>
        <w:jc w:val="both"/>
      </w:pPr>
      <w:r>
        <w:t xml:space="preserve">Both organizations have modified their Conventions—NEAFC in 2006 (amendments in force in 2013) and NAFO in 2007 (amendments in force in 2017)—to formalize the use of the ecosystem approach to fisheries, extending the scope of the organizations </w:t>
      </w:r>
      <w:r>
        <w:rPr>
          <w:rFonts w:cstheme="minorHAnsi"/>
        </w:rPr>
        <w:t xml:space="preserve">beyond target stocks to also </w:t>
      </w:r>
      <w:r w:rsidRPr="001E60BD">
        <w:rPr>
          <w:rFonts w:cstheme="minorHAnsi"/>
        </w:rPr>
        <w:t>minimis</w:t>
      </w:r>
      <w:r>
        <w:rPr>
          <w:rFonts w:cstheme="minorHAnsi"/>
        </w:rPr>
        <w:t xml:space="preserve">e </w:t>
      </w:r>
      <w:r w:rsidRPr="001E60BD">
        <w:rPr>
          <w:rFonts w:cstheme="minorHAnsi"/>
        </w:rPr>
        <w:t>harmful impacts on other parts of the marine ecosystem and t</w:t>
      </w:r>
      <w:r>
        <w:rPr>
          <w:rFonts w:cstheme="minorHAnsi"/>
        </w:rPr>
        <w:t>o</w:t>
      </w:r>
      <w:r w:rsidRPr="001E60BD">
        <w:rPr>
          <w:rFonts w:cstheme="minorHAnsi"/>
        </w:rPr>
        <w:t xml:space="preserve"> conserv</w:t>
      </w:r>
      <w:r>
        <w:rPr>
          <w:rFonts w:cstheme="minorHAnsi"/>
        </w:rPr>
        <w:t>e</w:t>
      </w:r>
      <w:r w:rsidRPr="001E60BD">
        <w:rPr>
          <w:rFonts w:cstheme="minorHAnsi"/>
        </w:rPr>
        <w:t xml:space="preserve"> marine biodiversity.</w:t>
      </w:r>
      <w:r>
        <w:rPr>
          <w:rFonts w:cstheme="minorHAnsi"/>
        </w:rPr>
        <w:t xml:space="preserve"> NEAFC, which is supported with scientific advice by the International Council for the Exploration of the Sea (ICES), has pioneered the consideration of ecosystem issues in fisheries in the 1990s and developed a specific deep-sea fisheries focus since 1999.  </w:t>
      </w:r>
    </w:p>
    <w:p w14:paraId="50956CD8" w14:textId="77777777" w:rsidR="00671B75" w:rsidRDefault="00671B75" w:rsidP="00767C8C">
      <w:pPr>
        <w:jc w:val="both"/>
      </w:pPr>
      <w:r>
        <w:t>In terms of measures to mainstream biodiversity into fisheries management, both organisations have closed areas containing vulnerable marine ecosystems (VMEs), to protect mainly the very vulnerable cold soft corals and sponge reefs. NAFO has closed 21 areas covering 10% of its regulatory area. It has produced a list of VME indicator species and has mapped the VMES in its regulatory area. NEAFC has closed 7 areas. It has also identified “existing bottom fishing areas” in 2014, severely restricting exploratory fishing outside these boundaries. It has also developed encounter protocols and lists of VMEs indicator species. It has put in place special protections on sharks, rays and chimaeras and, since 2016, has closed certain fisheries and prohibited the bycatch of some species. Practically all VME areas have been closed to fishing.</w:t>
      </w:r>
    </w:p>
    <w:p w14:paraId="0F7D8B9D" w14:textId="77777777" w:rsidR="00671B75" w:rsidRPr="005E4B02" w:rsidRDefault="00671B75" w:rsidP="00767C8C">
      <w:pPr>
        <w:jc w:val="both"/>
      </w:pPr>
      <w:r>
        <w:t xml:space="preserve">In terms of management-support science, these organisations have focussed on: (i) </w:t>
      </w:r>
      <w:r w:rsidRPr="005E4B02">
        <w:t xml:space="preserve">improvement of their scientific infrastructure in support of EAF implementation, NAFO established a working group on ecosystem science and management and developed a Roadmap for  EAF.  </w:t>
      </w:r>
    </w:p>
    <w:p w14:paraId="5E61C426" w14:textId="77777777" w:rsidR="00671B75" w:rsidRPr="00C46D6E" w:rsidRDefault="00671B75" w:rsidP="00767C8C">
      <w:pPr>
        <w:jc w:val="both"/>
      </w:pPr>
      <w:r w:rsidRPr="005E4B02">
        <w:t xml:space="preserve">Collaboration with institutions with complementary mandates is also essential. </w:t>
      </w:r>
      <w:r w:rsidRPr="00C56103">
        <w:t>T</w:t>
      </w:r>
      <w:r w:rsidRPr="005E4B02">
        <w:t>he functional relationship between NEAFC and ICES</w:t>
      </w:r>
      <w:r w:rsidRPr="00C56103">
        <w:t xml:space="preserve"> has been noted above</w:t>
      </w:r>
      <w:r w:rsidRPr="005E4B02">
        <w:t xml:space="preserve">. NEAFC has also strengthened its cooperation with </w:t>
      </w:r>
      <w:r w:rsidRPr="00C56103">
        <w:t xml:space="preserve">the </w:t>
      </w:r>
      <w:r w:rsidRPr="005E4B02">
        <w:t>OSPAR</w:t>
      </w:r>
      <w:r w:rsidRPr="00C56103">
        <w:t xml:space="preserve"> Commission (the regional seas convention for </w:t>
      </w:r>
      <w:r w:rsidRPr="005E4B02">
        <w:t>the N</w:t>
      </w:r>
      <w:r w:rsidRPr="00C56103">
        <w:t>orth-</w:t>
      </w:r>
      <w:r w:rsidRPr="005E4B02">
        <w:t>E</w:t>
      </w:r>
      <w:r w:rsidRPr="00C56103">
        <w:t>ast</w:t>
      </w:r>
      <w:r w:rsidRPr="005E4B02">
        <w:t xml:space="preserve"> Atlantic</w:t>
      </w:r>
      <w:r w:rsidRPr="00C56103">
        <w:t>)</w:t>
      </w:r>
      <w:r w:rsidRPr="005E4B02">
        <w:t>,</w:t>
      </w:r>
      <w:r w:rsidRPr="00C56103">
        <w:t xml:space="preserve"> on areas of mutual interest with regard to management of impacts on the marine environment.</w:t>
      </w:r>
    </w:p>
    <w:p w14:paraId="67AED5E5" w14:textId="77777777" w:rsidR="00671B75" w:rsidRPr="00555017" w:rsidRDefault="00671B75" w:rsidP="00767C8C">
      <w:pPr>
        <w:pStyle w:val="ListParagraph"/>
        <w:keepNext/>
        <w:numPr>
          <w:ilvl w:val="0"/>
          <w:numId w:val="17"/>
        </w:numPr>
        <w:spacing w:before="240" w:after="240" w:line="240" w:lineRule="auto"/>
        <w:ind w:left="357" w:hanging="357"/>
        <w:contextualSpacing w:val="0"/>
        <w:jc w:val="both"/>
        <w:rPr>
          <w:b/>
          <w:smallCaps/>
          <w:sz w:val="28"/>
          <w:szCs w:val="28"/>
        </w:rPr>
      </w:pPr>
      <w:r w:rsidRPr="00555017">
        <w:rPr>
          <w:b/>
          <w:smallCaps/>
          <w:sz w:val="28"/>
          <w:szCs w:val="28"/>
        </w:rPr>
        <w:lastRenderedPageBreak/>
        <w:t>Conclusions</w:t>
      </w:r>
    </w:p>
    <w:p w14:paraId="3950A834" w14:textId="77777777" w:rsidR="00671B75" w:rsidRDefault="00671B75" w:rsidP="00767C8C">
      <w:pPr>
        <w:jc w:val="both"/>
      </w:pPr>
      <w:r w:rsidRPr="00BA030F">
        <w:t xml:space="preserve">Even though the sample of submissions available </w:t>
      </w:r>
      <w:r>
        <w:t>cannot be considered as a r</w:t>
      </w:r>
      <w:r w:rsidRPr="00BA030F">
        <w:t>epresentative sample</w:t>
      </w:r>
      <w:r>
        <w:t>, it reveals a very large range of actions, in legal, policy and management frameworks and measures.</w:t>
      </w:r>
    </w:p>
    <w:p w14:paraId="6651AFF3" w14:textId="77777777" w:rsidR="00671B75" w:rsidRDefault="00671B75" w:rsidP="00767C8C">
      <w:pPr>
        <w:jc w:val="both"/>
      </w:pPr>
      <w:r>
        <w:t xml:space="preserve">The submissions differ in comprehensiveness and detail and this may reflect differences in the degree of advancement in the mainstreaming process and its implementation. </w:t>
      </w:r>
    </w:p>
    <w:p w14:paraId="66D7EE0B" w14:textId="77777777" w:rsidR="00671B75" w:rsidRDefault="00671B75" w:rsidP="00767C8C">
      <w:pPr>
        <w:jc w:val="both"/>
      </w:pPr>
      <w:r>
        <w:t>The submissions generally lack information on the results and outcomes of their efforts in mainstreaming. Performance assessment in that respect might not be easy, as the objectives of mainstreaming against which performance could be measured are broad and not easily materialized in indicators.</w:t>
      </w:r>
    </w:p>
    <w:p w14:paraId="04D40400" w14:textId="77777777" w:rsidR="00671B75" w:rsidRPr="008E0354" w:rsidRDefault="00671B75" w:rsidP="00767C8C">
      <w:pPr>
        <w:jc w:val="both"/>
      </w:pPr>
      <w:r>
        <w:t xml:space="preserve">If the central objective of mainstreaming biodiversity in fisheries is to minimize significant adverse impact of fishing activities on biodiversity, the degree of implementation of Aichi Biodiversity Target 6 could be a useful measure of mainstreaming performance. </w:t>
      </w:r>
    </w:p>
    <w:p w14:paraId="54AA2BF8" w14:textId="77777777" w:rsidR="00671B75" w:rsidRPr="00707F8F" w:rsidRDefault="00671B75" w:rsidP="00707F8F">
      <w:pPr>
        <w:autoSpaceDE w:val="0"/>
        <w:autoSpaceDN w:val="0"/>
        <w:adjustRightInd w:val="0"/>
        <w:ind w:left="540" w:hanging="540"/>
        <w:rPr>
          <w:rFonts w:cstheme="minorHAnsi"/>
          <w:sz w:val="22"/>
        </w:rPr>
      </w:pPr>
    </w:p>
    <w:p w14:paraId="76DE73F6" w14:textId="213A6C29" w:rsidR="00671B75" w:rsidRDefault="00671B75" w:rsidP="00767C8C">
      <w:pPr>
        <w:autoSpaceDE w:val="0"/>
        <w:autoSpaceDN w:val="0"/>
        <w:adjustRightInd w:val="0"/>
        <w:rPr>
          <w:rFonts w:cstheme="minorHAnsi"/>
        </w:rPr>
      </w:pPr>
    </w:p>
    <w:p w14:paraId="4F13A2EC" w14:textId="77777777" w:rsidR="00671B75" w:rsidRDefault="00671B75">
      <w:pPr>
        <w:spacing w:after="160" w:line="259" w:lineRule="auto"/>
        <w:rPr>
          <w:rFonts w:cstheme="minorHAnsi"/>
        </w:rPr>
      </w:pPr>
      <w:r>
        <w:rPr>
          <w:rFonts w:cstheme="minorHAnsi"/>
        </w:rPr>
        <w:br w:type="page"/>
      </w:r>
    </w:p>
    <w:p w14:paraId="3F5E09A2" w14:textId="77777777" w:rsidR="00671B75" w:rsidRDefault="00671B75" w:rsidP="00355F02">
      <w:pPr>
        <w:autoSpaceDE w:val="0"/>
        <w:autoSpaceDN w:val="0"/>
        <w:adjustRightInd w:val="0"/>
        <w:ind w:left="547" w:hanging="547"/>
        <w:jc w:val="center"/>
        <w:rPr>
          <w:rFonts w:cstheme="minorHAnsi"/>
          <w:b/>
          <w:sz w:val="32"/>
          <w:szCs w:val="32"/>
        </w:rPr>
        <w:sectPr w:rsidR="00671B75" w:rsidSect="00671B75">
          <w:type w:val="continuous"/>
          <w:pgSz w:w="12240" w:h="15840"/>
          <w:pgMar w:top="567" w:right="1389" w:bottom="1134" w:left="1389" w:header="709" w:footer="709" w:gutter="0"/>
          <w:cols w:space="708"/>
          <w:docGrid w:linePitch="360"/>
        </w:sectPr>
      </w:pPr>
    </w:p>
    <w:p w14:paraId="15A453C9" w14:textId="77777777" w:rsidR="00671B75" w:rsidRDefault="00671B75" w:rsidP="00355F02">
      <w:pPr>
        <w:autoSpaceDE w:val="0"/>
        <w:autoSpaceDN w:val="0"/>
        <w:adjustRightInd w:val="0"/>
        <w:ind w:left="547" w:hanging="547"/>
        <w:rPr>
          <w:rFonts w:cstheme="minorHAnsi"/>
          <w:b/>
          <w:sz w:val="32"/>
          <w:szCs w:val="32"/>
        </w:rPr>
      </w:pPr>
      <w:r>
        <w:rPr>
          <w:rFonts w:cstheme="minorHAnsi"/>
          <w:b/>
          <w:sz w:val="32"/>
          <w:szCs w:val="32"/>
        </w:rPr>
        <w:lastRenderedPageBreak/>
        <w:t>Compilation of submissions received in response to notification 2017-121</w:t>
      </w:r>
    </w:p>
    <w:tbl>
      <w:tblPr>
        <w:tblStyle w:val="TableGrid"/>
        <w:tblpPr w:leftFromText="180" w:rightFromText="180" w:vertAnchor="page" w:horzAnchor="margin" w:tblpX="-486" w:tblpY="3016"/>
        <w:tblW w:w="14355" w:type="dxa"/>
        <w:tblLayout w:type="fixed"/>
        <w:tblLook w:val="04A0" w:firstRow="1" w:lastRow="0" w:firstColumn="1" w:lastColumn="0" w:noHBand="0" w:noVBand="1"/>
      </w:tblPr>
      <w:tblGrid>
        <w:gridCol w:w="1415"/>
        <w:gridCol w:w="133"/>
        <w:gridCol w:w="1396"/>
        <w:gridCol w:w="134"/>
        <w:gridCol w:w="11277"/>
      </w:tblGrid>
      <w:tr w:rsidR="00671B75" w:rsidRPr="00042F17" w14:paraId="66EC7A02" w14:textId="77777777" w:rsidTr="00052A4A">
        <w:trPr>
          <w:trHeight w:val="530"/>
        </w:trPr>
        <w:tc>
          <w:tcPr>
            <w:tcW w:w="1415" w:type="dxa"/>
            <w:tcBorders>
              <w:bottom w:val="single" w:sz="4" w:space="0" w:color="auto"/>
            </w:tcBorders>
            <w:shd w:val="clear" w:color="auto" w:fill="D9D9D9" w:themeFill="background1" w:themeFillShade="D9"/>
          </w:tcPr>
          <w:p w14:paraId="5C2F07E1" w14:textId="77777777" w:rsidR="00671B75" w:rsidRPr="00C56103" w:rsidRDefault="00671B75" w:rsidP="00052A4A">
            <w:pPr>
              <w:autoSpaceDE w:val="0"/>
              <w:autoSpaceDN w:val="0"/>
              <w:adjustRightInd w:val="0"/>
              <w:jc w:val="center"/>
              <w:rPr>
                <w:rFonts w:cstheme="minorHAnsi"/>
                <w:b/>
              </w:rPr>
            </w:pPr>
            <w:r w:rsidRPr="00C56103">
              <w:rPr>
                <w:rFonts w:cstheme="minorHAnsi"/>
                <w:b/>
              </w:rPr>
              <w:t>Submitter</w:t>
            </w:r>
          </w:p>
        </w:tc>
        <w:tc>
          <w:tcPr>
            <w:tcW w:w="1529" w:type="dxa"/>
            <w:gridSpan w:val="2"/>
            <w:tcBorders>
              <w:bottom w:val="single" w:sz="4" w:space="0" w:color="auto"/>
            </w:tcBorders>
            <w:shd w:val="clear" w:color="auto" w:fill="D9D9D9" w:themeFill="background1" w:themeFillShade="D9"/>
          </w:tcPr>
          <w:p w14:paraId="134E35FB" w14:textId="77777777" w:rsidR="00671B75" w:rsidRPr="00C56103" w:rsidRDefault="00671B75" w:rsidP="00052A4A">
            <w:pPr>
              <w:autoSpaceDE w:val="0"/>
              <w:autoSpaceDN w:val="0"/>
              <w:adjustRightInd w:val="0"/>
              <w:jc w:val="center"/>
              <w:rPr>
                <w:rFonts w:cstheme="minorHAnsi"/>
                <w:b/>
              </w:rPr>
            </w:pPr>
            <w:r w:rsidRPr="00C56103">
              <w:rPr>
                <w:rFonts w:cstheme="minorHAnsi"/>
                <w:b/>
              </w:rPr>
              <w:t>Instruments described in submission</w:t>
            </w:r>
          </w:p>
        </w:tc>
        <w:tc>
          <w:tcPr>
            <w:tcW w:w="11411" w:type="dxa"/>
            <w:gridSpan w:val="2"/>
            <w:tcBorders>
              <w:bottom w:val="single" w:sz="4" w:space="0" w:color="auto"/>
            </w:tcBorders>
            <w:shd w:val="clear" w:color="auto" w:fill="D9D9D9" w:themeFill="background1" w:themeFillShade="D9"/>
          </w:tcPr>
          <w:p w14:paraId="3A799F99" w14:textId="77777777" w:rsidR="00671B75" w:rsidRPr="00C56103" w:rsidRDefault="00671B75" w:rsidP="00052A4A">
            <w:pPr>
              <w:autoSpaceDE w:val="0"/>
              <w:autoSpaceDN w:val="0"/>
              <w:adjustRightInd w:val="0"/>
              <w:jc w:val="center"/>
              <w:rPr>
                <w:rFonts w:cstheme="minorHAnsi"/>
                <w:b/>
              </w:rPr>
            </w:pPr>
            <w:r w:rsidRPr="00C56103">
              <w:rPr>
                <w:rFonts w:cstheme="minorHAnsi"/>
                <w:b/>
              </w:rPr>
              <w:t>Specific measures/actions described in submission</w:t>
            </w:r>
          </w:p>
        </w:tc>
      </w:tr>
      <w:tr w:rsidR="00671B75" w:rsidRPr="00042F17" w14:paraId="5416619D" w14:textId="77777777" w:rsidTr="00052A4A">
        <w:trPr>
          <w:trHeight w:val="623"/>
        </w:trPr>
        <w:tc>
          <w:tcPr>
            <w:tcW w:w="14355" w:type="dxa"/>
            <w:gridSpan w:val="5"/>
            <w:shd w:val="pct12" w:color="auto" w:fill="auto"/>
          </w:tcPr>
          <w:p w14:paraId="19119F3B" w14:textId="77777777" w:rsidR="00671B75" w:rsidRPr="00C56103" w:rsidRDefault="00671B75" w:rsidP="00052A4A">
            <w:pPr>
              <w:autoSpaceDE w:val="0"/>
              <w:autoSpaceDN w:val="0"/>
              <w:adjustRightInd w:val="0"/>
              <w:jc w:val="center"/>
              <w:rPr>
                <w:rFonts w:cstheme="minorHAnsi"/>
                <w:b/>
                <w:bCs/>
              </w:rPr>
            </w:pPr>
            <w:r w:rsidRPr="00C56103">
              <w:rPr>
                <w:rFonts w:cstheme="minorHAnsi"/>
                <w:b/>
              </w:rPr>
              <w:t>PARTIES AND OTHER GOVERNMENTS</w:t>
            </w:r>
          </w:p>
        </w:tc>
      </w:tr>
      <w:tr w:rsidR="00671B75" w:rsidRPr="00042F17" w14:paraId="60F6F313" w14:textId="77777777" w:rsidTr="00052A4A">
        <w:trPr>
          <w:trHeight w:val="2873"/>
        </w:trPr>
        <w:tc>
          <w:tcPr>
            <w:tcW w:w="1548" w:type="dxa"/>
            <w:gridSpan w:val="2"/>
          </w:tcPr>
          <w:p w14:paraId="79ABB34D"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Antigua and Barbuda</w:t>
            </w:r>
          </w:p>
        </w:tc>
        <w:tc>
          <w:tcPr>
            <w:tcW w:w="1530" w:type="dxa"/>
            <w:gridSpan w:val="2"/>
          </w:tcPr>
          <w:p w14:paraId="4B0A870F" w14:textId="77777777" w:rsidR="00671B75" w:rsidRPr="00C56103" w:rsidRDefault="00671B75" w:rsidP="00052A4A">
            <w:pPr>
              <w:autoSpaceDE w:val="0"/>
              <w:autoSpaceDN w:val="0"/>
              <w:adjustRightInd w:val="0"/>
              <w:rPr>
                <w:rFonts w:cstheme="minorHAnsi"/>
                <w:b/>
                <w:sz w:val="22"/>
              </w:rPr>
            </w:pPr>
            <w:r w:rsidRPr="00C56103">
              <w:rPr>
                <w:rFonts w:cstheme="minorHAnsi"/>
                <w:sz w:val="22"/>
              </w:rPr>
              <w:t>Fisheries Act (2006, modified 2013): promotes fisheries sustainability, including strategies to reduce IUU fishing</w:t>
            </w:r>
          </w:p>
        </w:tc>
        <w:tc>
          <w:tcPr>
            <w:tcW w:w="11277" w:type="dxa"/>
          </w:tcPr>
          <w:p w14:paraId="6DEC2E7A" w14:textId="77777777" w:rsidR="00671B75" w:rsidRPr="00C56103" w:rsidRDefault="00671B75" w:rsidP="00052A4A">
            <w:pPr>
              <w:pStyle w:val="ListParagraph"/>
              <w:numPr>
                <w:ilvl w:val="0"/>
                <w:numId w:val="18"/>
              </w:numPr>
              <w:autoSpaceDE w:val="0"/>
              <w:autoSpaceDN w:val="0"/>
              <w:adjustRightInd w:val="0"/>
              <w:spacing w:after="0" w:line="240" w:lineRule="auto"/>
              <w:ind w:left="121" w:hanging="180"/>
              <w:rPr>
                <w:rFonts w:cstheme="minorHAnsi"/>
                <w:lang w:val="en-US"/>
              </w:rPr>
            </w:pPr>
            <w:r w:rsidRPr="00C56103">
              <w:rPr>
                <w:rFonts w:cstheme="minorHAnsi"/>
                <w:b/>
                <w:bCs/>
                <w:lang w:val="en-US"/>
              </w:rPr>
              <w:t>Conventional measures</w:t>
            </w:r>
            <w:r w:rsidRPr="00C56103">
              <w:rPr>
                <w:rFonts w:cstheme="minorHAnsi"/>
                <w:bCs/>
                <w:lang w:val="en-US"/>
              </w:rPr>
              <w:t xml:space="preserve">: (i) Closed seasons for vulnerable, highly valued, and/or ecologically important species; (ii) Protection of juveniles and/or critical life stages for some species; (iii) </w:t>
            </w:r>
            <w:r w:rsidRPr="00C56103">
              <w:rPr>
                <w:rFonts w:cstheme="minorHAnsi"/>
                <w:lang w:val="en-US"/>
              </w:rPr>
              <w:t>Pro</w:t>
            </w:r>
            <w:r w:rsidRPr="00C56103">
              <w:rPr>
                <w:rFonts w:cstheme="minorHAnsi"/>
                <w:bCs/>
                <w:lang w:val="en-US"/>
              </w:rPr>
              <w:t>hibiting harvesting of critically endangered, endangered or threatened species; (iv) Prohibiting destructive gear and setting limits on others.</w:t>
            </w:r>
          </w:p>
          <w:p w14:paraId="18BFEAF8" w14:textId="77777777" w:rsidR="00671B75" w:rsidRPr="00C56103" w:rsidRDefault="00671B75" w:rsidP="00052A4A">
            <w:pPr>
              <w:pStyle w:val="ListParagraph"/>
              <w:numPr>
                <w:ilvl w:val="0"/>
                <w:numId w:val="18"/>
              </w:numPr>
              <w:autoSpaceDE w:val="0"/>
              <w:autoSpaceDN w:val="0"/>
              <w:adjustRightInd w:val="0"/>
              <w:spacing w:after="0" w:line="240" w:lineRule="auto"/>
              <w:ind w:left="121" w:hanging="180"/>
              <w:rPr>
                <w:rFonts w:cstheme="minorHAnsi"/>
                <w:lang w:val="en-US"/>
              </w:rPr>
            </w:pPr>
            <w:r w:rsidRPr="00C56103">
              <w:rPr>
                <w:rFonts w:cstheme="minorHAnsi"/>
                <w:b/>
                <w:bCs/>
                <w:lang w:val="en-US"/>
              </w:rPr>
              <w:t>Combatting IUU</w:t>
            </w:r>
            <w:r w:rsidRPr="00C56103">
              <w:rPr>
                <w:rFonts w:cstheme="minorHAnsi"/>
                <w:lang w:val="en-US"/>
              </w:rPr>
              <w:t xml:space="preserve">: </w:t>
            </w:r>
            <w:r w:rsidRPr="00C56103">
              <w:rPr>
                <w:rFonts w:eastAsia="SymbolMT" w:cstheme="minorHAnsi"/>
                <w:lang w:val="en-US"/>
              </w:rPr>
              <w:t>(i) Education and outreach to fishers; (ii) Enforcements patrols; (iii) spot checks at local markets and retail outlets; (iv) Surveillance through installation of a coastal radar system and provision of automatic identification systems.</w:t>
            </w:r>
          </w:p>
          <w:p w14:paraId="15A5EE42" w14:textId="77777777" w:rsidR="00671B75" w:rsidRPr="00C56103" w:rsidRDefault="00671B75" w:rsidP="00052A4A">
            <w:pPr>
              <w:pStyle w:val="ListParagraph"/>
              <w:numPr>
                <w:ilvl w:val="0"/>
                <w:numId w:val="18"/>
              </w:numPr>
              <w:autoSpaceDE w:val="0"/>
              <w:autoSpaceDN w:val="0"/>
              <w:adjustRightInd w:val="0"/>
              <w:spacing w:after="0" w:line="240" w:lineRule="auto"/>
              <w:ind w:left="121" w:hanging="180"/>
              <w:rPr>
                <w:rFonts w:cstheme="minorHAnsi"/>
                <w:lang w:val="en-US"/>
              </w:rPr>
            </w:pPr>
            <w:r w:rsidRPr="00C56103">
              <w:rPr>
                <w:rFonts w:cstheme="minorHAnsi"/>
                <w:b/>
                <w:bCs/>
                <w:lang w:val="en-US"/>
              </w:rPr>
              <w:t>Ecological measures:</w:t>
            </w:r>
            <w:r w:rsidRPr="00C56103">
              <w:rPr>
                <w:rFonts w:cstheme="minorHAnsi"/>
                <w:lang w:val="en-US"/>
              </w:rPr>
              <w:t xml:space="preserve"> Declaration and protection of ecosystems under the Fisheries Act. Establishment of MPAs.</w:t>
            </w:r>
          </w:p>
          <w:p w14:paraId="19B21C5E" w14:textId="77777777" w:rsidR="00671B75" w:rsidRPr="00C56103" w:rsidRDefault="00671B75" w:rsidP="00052A4A">
            <w:pPr>
              <w:pStyle w:val="ListParagraph"/>
              <w:numPr>
                <w:ilvl w:val="0"/>
                <w:numId w:val="18"/>
              </w:numPr>
              <w:autoSpaceDE w:val="0"/>
              <w:autoSpaceDN w:val="0"/>
              <w:adjustRightInd w:val="0"/>
              <w:spacing w:after="0" w:line="240" w:lineRule="auto"/>
              <w:ind w:left="121" w:hanging="180"/>
              <w:rPr>
                <w:rFonts w:cstheme="minorHAnsi"/>
                <w:lang w:val="en-US"/>
              </w:rPr>
            </w:pPr>
            <w:r w:rsidRPr="00C56103">
              <w:rPr>
                <w:rFonts w:cstheme="minorHAnsi"/>
                <w:b/>
                <w:bCs/>
                <w:lang w:val="en-US"/>
              </w:rPr>
              <w:t>Research</w:t>
            </w:r>
            <w:r w:rsidRPr="00C56103">
              <w:rPr>
                <w:rFonts w:cstheme="minorHAnsi"/>
                <w:bCs/>
                <w:lang w:val="en-US"/>
              </w:rPr>
              <w:t xml:space="preserve"> on biodegradable panels for fish traps.</w:t>
            </w:r>
          </w:p>
        </w:tc>
      </w:tr>
      <w:tr w:rsidR="00671B75" w:rsidRPr="00042F17" w14:paraId="496C7BA6" w14:textId="77777777" w:rsidTr="00052A4A">
        <w:trPr>
          <w:trHeight w:val="563"/>
        </w:trPr>
        <w:tc>
          <w:tcPr>
            <w:tcW w:w="1548" w:type="dxa"/>
            <w:gridSpan w:val="2"/>
            <w:vMerge w:val="restart"/>
          </w:tcPr>
          <w:p w14:paraId="7CD81131"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 xml:space="preserve">Argentina </w:t>
            </w:r>
          </w:p>
        </w:tc>
        <w:tc>
          <w:tcPr>
            <w:tcW w:w="1530" w:type="dxa"/>
            <w:gridSpan w:val="2"/>
          </w:tcPr>
          <w:p w14:paraId="08187738" w14:textId="77777777" w:rsidR="00671B75" w:rsidRPr="00C56103" w:rsidRDefault="00671B75" w:rsidP="00052A4A">
            <w:pPr>
              <w:autoSpaceDE w:val="0"/>
              <w:autoSpaceDN w:val="0"/>
              <w:adjustRightInd w:val="0"/>
              <w:rPr>
                <w:rFonts w:cstheme="minorHAnsi"/>
                <w:sz w:val="22"/>
              </w:rPr>
            </w:pPr>
            <w:r w:rsidRPr="00C56103">
              <w:rPr>
                <w:rFonts w:cstheme="minorHAnsi"/>
                <w:bCs/>
                <w:sz w:val="22"/>
              </w:rPr>
              <w:t>Aquaculture regulation: Law</w:t>
            </w:r>
            <w:r w:rsidRPr="00C56103">
              <w:rPr>
                <w:rFonts w:cstheme="minorHAnsi"/>
                <w:sz w:val="22"/>
              </w:rPr>
              <w:t xml:space="preserve"> N° 27.231 of 2015</w:t>
            </w:r>
          </w:p>
        </w:tc>
        <w:tc>
          <w:tcPr>
            <w:tcW w:w="11277" w:type="dxa"/>
          </w:tcPr>
          <w:p w14:paraId="2DA260E8" w14:textId="77777777" w:rsidR="00671B75" w:rsidRPr="00C56103" w:rsidRDefault="00671B75" w:rsidP="00052A4A">
            <w:pPr>
              <w:autoSpaceDE w:val="0"/>
              <w:autoSpaceDN w:val="0"/>
              <w:adjustRightInd w:val="0"/>
              <w:rPr>
                <w:rFonts w:eastAsia="SymbolMT" w:cstheme="minorHAnsi"/>
                <w:sz w:val="22"/>
              </w:rPr>
            </w:pPr>
            <w:r w:rsidRPr="00C56103">
              <w:rPr>
                <w:rFonts w:cstheme="minorHAnsi"/>
                <w:sz w:val="22"/>
              </w:rPr>
              <w:t>Promotes sustainable socioeconomic development of aquaculture in a science-based ecosystem framework, including for stock enhancement (rebuilding), territorial coordination, collection of statistics, capacity-building, support to distribution and trade (traceability); and food safety control.</w:t>
            </w:r>
          </w:p>
        </w:tc>
      </w:tr>
      <w:tr w:rsidR="00671B75" w:rsidRPr="00042F17" w14:paraId="37AF44C9" w14:textId="77777777" w:rsidTr="00052A4A">
        <w:trPr>
          <w:trHeight w:val="3536"/>
        </w:trPr>
        <w:tc>
          <w:tcPr>
            <w:tcW w:w="1548" w:type="dxa"/>
            <w:gridSpan w:val="2"/>
            <w:vMerge/>
          </w:tcPr>
          <w:p w14:paraId="61D06133" w14:textId="77777777" w:rsidR="00671B75" w:rsidRPr="00C56103" w:rsidRDefault="00671B75" w:rsidP="00052A4A">
            <w:pPr>
              <w:autoSpaceDE w:val="0"/>
              <w:autoSpaceDN w:val="0"/>
              <w:adjustRightInd w:val="0"/>
              <w:jc w:val="center"/>
              <w:rPr>
                <w:rFonts w:cstheme="minorHAnsi"/>
                <w:b/>
                <w:sz w:val="22"/>
              </w:rPr>
            </w:pPr>
          </w:p>
        </w:tc>
        <w:tc>
          <w:tcPr>
            <w:tcW w:w="1530" w:type="dxa"/>
            <w:gridSpan w:val="2"/>
          </w:tcPr>
          <w:p w14:paraId="122DCFD3" w14:textId="77777777" w:rsidR="00671B75" w:rsidRPr="00C56103" w:rsidRDefault="00671B75" w:rsidP="00052A4A">
            <w:pPr>
              <w:autoSpaceDE w:val="0"/>
              <w:autoSpaceDN w:val="0"/>
              <w:adjustRightInd w:val="0"/>
              <w:rPr>
                <w:rFonts w:cstheme="minorHAnsi"/>
                <w:bCs/>
                <w:sz w:val="22"/>
              </w:rPr>
            </w:pPr>
            <w:r w:rsidRPr="00C56103">
              <w:rPr>
                <w:rFonts w:cstheme="minorHAnsi"/>
                <w:bCs/>
                <w:sz w:val="22"/>
              </w:rPr>
              <w:t>Inland fisheries regulation</w:t>
            </w:r>
          </w:p>
          <w:p w14:paraId="028A9385" w14:textId="77777777" w:rsidR="00671B75" w:rsidRPr="00C56103" w:rsidRDefault="00671B75" w:rsidP="00052A4A">
            <w:pPr>
              <w:autoSpaceDE w:val="0"/>
              <w:autoSpaceDN w:val="0"/>
              <w:adjustRightInd w:val="0"/>
              <w:rPr>
                <w:rFonts w:cstheme="minorHAnsi"/>
                <w:sz w:val="22"/>
              </w:rPr>
            </w:pPr>
          </w:p>
        </w:tc>
        <w:tc>
          <w:tcPr>
            <w:tcW w:w="11277" w:type="dxa"/>
          </w:tcPr>
          <w:p w14:paraId="1949FBD5"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lang w:val="en-US"/>
              </w:rPr>
              <w:t>The Commission on inland fisheries and aquaculture</w:t>
            </w:r>
            <w:r w:rsidRPr="00C56103">
              <w:rPr>
                <w:rFonts w:cstheme="minorHAnsi"/>
                <w:lang w:val="en-US"/>
              </w:rPr>
              <w:t xml:space="preserve"> (2005) promotes integrated management of fisheries and aquaculture at watershed level (fishery registries; improved control, gear regulations, stock assessment, inter-institutional agreements).</w:t>
            </w:r>
          </w:p>
          <w:p w14:paraId="464EDBCB"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lang w:val="en-US"/>
              </w:rPr>
              <w:t>Extraction and export</w:t>
            </w:r>
            <w:r w:rsidRPr="00C56103">
              <w:rPr>
                <w:rFonts w:cstheme="minorHAnsi"/>
                <w:lang w:val="en-US"/>
              </w:rPr>
              <w:t xml:space="preserve"> of inland fish resources is regulated through various laws and decrees since 2007, including through caps on exports by species.</w:t>
            </w:r>
          </w:p>
          <w:p w14:paraId="5A52DB2D"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lang w:val="en-US"/>
              </w:rPr>
              <w:t>Projects and research</w:t>
            </w:r>
            <w:r w:rsidRPr="00C56103">
              <w:rPr>
                <w:rFonts w:cstheme="minorHAnsi"/>
                <w:lang w:val="en-US"/>
              </w:rPr>
              <w:t xml:space="preserve"> on: (i) Assessments of stocks of interest for recreational and commercial fisheries of Rio Paranà (EBIPES) (2005-); (ii) Fisheries management and biodiversity conservation in Rio Parana and Rio Paraguay, towards a harmonized ecosystem approach, management capacity-building; reduction of biodiversity impact, cross-sectoral space-based management; (iii) Regional fisheries management plan in the Rio de la Plata Argentinian watershed; (iv) Various projects for the evaluation, conservation and management of river fisheries in the Uruguay, de la Plata and Paranà rivers.</w:t>
            </w:r>
          </w:p>
        </w:tc>
      </w:tr>
      <w:tr w:rsidR="00671B75" w:rsidRPr="00042F17" w14:paraId="119604F9" w14:textId="77777777" w:rsidTr="00052A4A">
        <w:trPr>
          <w:trHeight w:val="547"/>
        </w:trPr>
        <w:tc>
          <w:tcPr>
            <w:tcW w:w="1548" w:type="dxa"/>
            <w:gridSpan w:val="2"/>
            <w:vMerge/>
          </w:tcPr>
          <w:p w14:paraId="59EE9B06" w14:textId="77777777" w:rsidR="00671B75" w:rsidRPr="00C56103" w:rsidRDefault="00671B75" w:rsidP="00052A4A">
            <w:pPr>
              <w:autoSpaceDE w:val="0"/>
              <w:autoSpaceDN w:val="0"/>
              <w:adjustRightInd w:val="0"/>
              <w:jc w:val="center"/>
              <w:rPr>
                <w:rFonts w:cstheme="minorHAnsi"/>
                <w:b/>
                <w:sz w:val="22"/>
              </w:rPr>
            </w:pPr>
          </w:p>
        </w:tc>
        <w:tc>
          <w:tcPr>
            <w:tcW w:w="1530" w:type="dxa"/>
            <w:gridSpan w:val="2"/>
          </w:tcPr>
          <w:p w14:paraId="31BE2460" w14:textId="77777777" w:rsidR="00671B75" w:rsidRPr="00C56103" w:rsidRDefault="00671B75" w:rsidP="00052A4A">
            <w:pPr>
              <w:autoSpaceDE w:val="0"/>
              <w:autoSpaceDN w:val="0"/>
              <w:adjustRightInd w:val="0"/>
              <w:rPr>
                <w:rFonts w:cstheme="minorHAnsi"/>
                <w:bCs/>
                <w:sz w:val="22"/>
              </w:rPr>
            </w:pPr>
            <w:r w:rsidRPr="00C56103">
              <w:rPr>
                <w:rFonts w:cstheme="minorHAnsi"/>
                <w:bCs/>
                <w:sz w:val="22"/>
              </w:rPr>
              <w:t>Marine fisheries regulation: Law N° 24.922 (1997)</w:t>
            </w:r>
          </w:p>
        </w:tc>
        <w:tc>
          <w:tcPr>
            <w:tcW w:w="11277" w:type="dxa"/>
          </w:tcPr>
          <w:p w14:paraId="66863FA1"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Target and bycatch species-oriented policies</w:t>
            </w:r>
            <w:r w:rsidRPr="00C56103">
              <w:rPr>
                <w:rFonts w:cstheme="minorHAnsi"/>
                <w:lang w:val="en-US"/>
              </w:rPr>
              <w:t xml:space="preserve"> have been adopted, regulating fishing areas, gears, minimum landing sizes, closed seasons, Total Allowable Catches (TACs) for the main species.</w:t>
            </w:r>
          </w:p>
          <w:p w14:paraId="4743EBA3"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lang w:val="en-US"/>
              </w:rPr>
              <w:t>Bi-national management plans</w:t>
            </w:r>
            <w:r w:rsidRPr="00C56103">
              <w:rPr>
                <w:rFonts w:cstheme="minorHAnsi"/>
                <w:lang w:val="en-US"/>
              </w:rPr>
              <w:t xml:space="preserve"> have been established within the framework of the Comisión Técnica mixta del Frente Marítimo including closed seasons, TACs, trip-limits and considerations on environmental impact.</w:t>
            </w:r>
          </w:p>
          <w:p w14:paraId="13B3B87D"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lang w:val="en-US"/>
              </w:rPr>
              <w:t xml:space="preserve">National Plans of Action (NPOA) </w:t>
            </w:r>
            <w:r w:rsidRPr="00C56103">
              <w:rPr>
                <w:rFonts w:cstheme="minorHAnsi"/>
                <w:lang w:val="en-US"/>
              </w:rPr>
              <w:t xml:space="preserve">have been jointly developed between the authorities in charge of fisheries and environment on cartilaginous fish (2015) and to reduce interaction with sea-birds (2016), marine mammals (2016) and turtles, putting observers on board fishing vessels, improving data and mitigation measures on bycatch in several important fisheries. The NPOA-IUU, since 2008, focused on catch traceability, legal certification of fishing activities, on-board video systems to check the fishing activity and catch composition (the data is geo-referenced and transferred by satellite. </w:t>
            </w:r>
          </w:p>
          <w:p w14:paraId="70B958F1"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lang w:val="en-US"/>
              </w:rPr>
              <w:t>Projects</w:t>
            </w:r>
            <w:r w:rsidRPr="00C56103">
              <w:rPr>
                <w:rFonts w:cstheme="minorHAnsi"/>
                <w:lang w:val="en-US"/>
              </w:rPr>
              <w:t xml:space="preserve"> to strengthen the management and protection of marine coastal biodiversity in Key Ecological Areas and EAF. </w:t>
            </w:r>
          </w:p>
        </w:tc>
      </w:tr>
      <w:tr w:rsidR="00671B75" w:rsidRPr="00042F17" w14:paraId="72F46229" w14:textId="77777777" w:rsidTr="00052A4A">
        <w:trPr>
          <w:trHeight w:val="547"/>
        </w:trPr>
        <w:tc>
          <w:tcPr>
            <w:tcW w:w="1548" w:type="dxa"/>
            <w:gridSpan w:val="2"/>
            <w:vMerge w:val="restart"/>
          </w:tcPr>
          <w:p w14:paraId="43497BD4" w14:textId="77777777" w:rsidR="00671B75" w:rsidRPr="00C56103" w:rsidRDefault="00671B75" w:rsidP="00052A4A">
            <w:pPr>
              <w:tabs>
                <w:tab w:val="left" w:pos="345"/>
              </w:tabs>
              <w:autoSpaceDE w:val="0"/>
              <w:autoSpaceDN w:val="0"/>
              <w:adjustRightInd w:val="0"/>
              <w:jc w:val="center"/>
              <w:rPr>
                <w:rFonts w:cstheme="minorHAnsi"/>
                <w:b/>
                <w:sz w:val="22"/>
              </w:rPr>
            </w:pPr>
            <w:r w:rsidRPr="00C56103">
              <w:rPr>
                <w:rFonts w:cstheme="minorHAnsi"/>
                <w:b/>
                <w:sz w:val="22"/>
              </w:rPr>
              <w:t>Australia</w:t>
            </w:r>
          </w:p>
        </w:tc>
        <w:tc>
          <w:tcPr>
            <w:tcW w:w="1530" w:type="dxa"/>
            <w:gridSpan w:val="2"/>
          </w:tcPr>
          <w:p w14:paraId="752056C5" w14:textId="77777777" w:rsidR="00671B75" w:rsidRPr="00C56103" w:rsidRDefault="00671B75" w:rsidP="00052A4A">
            <w:pPr>
              <w:autoSpaceDE w:val="0"/>
              <w:autoSpaceDN w:val="0"/>
              <w:adjustRightInd w:val="0"/>
              <w:rPr>
                <w:rFonts w:cstheme="minorHAnsi"/>
                <w:sz w:val="22"/>
              </w:rPr>
            </w:pPr>
            <w:r w:rsidRPr="00C56103">
              <w:rPr>
                <w:rFonts w:cstheme="minorHAnsi"/>
                <w:sz w:val="22"/>
              </w:rPr>
              <w:t>1991 Fisheries Management Act and 1999 Environment Protection and Biodiversity Conservation Act (EPBC)</w:t>
            </w:r>
          </w:p>
        </w:tc>
        <w:tc>
          <w:tcPr>
            <w:tcW w:w="11277" w:type="dxa"/>
          </w:tcPr>
          <w:p w14:paraId="74ADACD6"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t xml:space="preserve">Promote </w:t>
            </w:r>
            <w:r w:rsidRPr="00C56103">
              <w:rPr>
                <w:rFonts w:cstheme="minorHAnsi"/>
                <w:b/>
                <w:bCs/>
                <w:lang w:val="en-US"/>
              </w:rPr>
              <w:t>ecologically sustainable development</w:t>
            </w:r>
            <w:r w:rsidRPr="00C56103">
              <w:rPr>
                <w:rFonts w:cstheme="minorHAnsi"/>
                <w:lang w:val="en-US"/>
              </w:rPr>
              <w:t xml:space="preserve"> (ESD).   Guidelines published for mainstreaming of ESD, consistent with the Precautionary Approach and the Ecosystem Approach.  </w:t>
            </w:r>
          </w:p>
          <w:p w14:paraId="45CC95E3"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Independent performance evaluation</w:t>
            </w:r>
            <w:r w:rsidRPr="00C56103">
              <w:rPr>
                <w:rFonts w:cstheme="minorHAnsi"/>
                <w:lang w:val="en-US"/>
              </w:rPr>
              <w:t xml:space="preserve"> every 3, 5 or 10 years. 130 fisheries are under EPBC approval process. Approval needed for export.</w:t>
            </w:r>
          </w:p>
          <w:p w14:paraId="549F00F4"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t xml:space="preserve">EPBC requires: </w:t>
            </w:r>
            <w:r w:rsidRPr="00C56103">
              <w:rPr>
                <w:rFonts w:cs="Calibri"/>
                <w:color w:val="000000"/>
                <w:lang w:val="en-US"/>
              </w:rPr>
              <w:t xml:space="preserve">all reasonable steps’ to ensure that EPBC-listed species (cetaceans, migratory and threatened species –other than conservation dependent species– are not killed, or likely to be adversely affect in their survival or recover, by fishing. </w:t>
            </w:r>
          </w:p>
        </w:tc>
      </w:tr>
      <w:tr w:rsidR="00671B75" w:rsidRPr="00042F17" w14:paraId="01642A78" w14:textId="77777777" w:rsidTr="00052A4A">
        <w:trPr>
          <w:trHeight w:val="547"/>
        </w:trPr>
        <w:tc>
          <w:tcPr>
            <w:tcW w:w="1548" w:type="dxa"/>
            <w:gridSpan w:val="2"/>
            <w:vMerge/>
          </w:tcPr>
          <w:p w14:paraId="2466B0B6" w14:textId="77777777" w:rsidR="00671B75" w:rsidRPr="00C56103" w:rsidRDefault="00671B75" w:rsidP="00052A4A">
            <w:pPr>
              <w:autoSpaceDE w:val="0"/>
              <w:autoSpaceDN w:val="0"/>
              <w:adjustRightInd w:val="0"/>
              <w:jc w:val="center"/>
              <w:rPr>
                <w:rFonts w:cstheme="minorHAnsi"/>
                <w:b/>
                <w:sz w:val="22"/>
              </w:rPr>
            </w:pPr>
          </w:p>
        </w:tc>
        <w:tc>
          <w:tcPr>
            <w:tcW w:w="1530" w:type="dxa"/>
            <w:gridSpan w:val="2"/>
          </w:tcPr>
          <w:p w14:paraId="12960CAA" w14:textId="77777777" w:rsidR="00671B75" w:rsidRPr="00C56103" w:rsidRDefault="00671B75" w:rsidP="00052A4A">
            <w:pPr>
              <w:autoSpaceDE w:val="0"/>
              <w:autoSpaceDN w:val="0"/>
              <w:adjustRightInd w:val="0"/>
              <w:rPr>
                <w:rFonts w:cstheme="minorHAnsi"/>
                <w:sz w:val="22"/>
              </w:rPr>
            </w:pPr>
            <w:r w:rsidRPr="00C56103">
              <w:rPr>
                <w:rFonts w:cstheme="minorHAnsi"/>
                <w:sz w:val="22"/>
              </w:rPr>
              <w:t xml:space="preserve">Commonwealth Fisheries </w:t>
            </w:r>
            <w:r w:rsidRPr="00C56103">
              <w:rPr>
                <w:rFonts w:cstheme="minorHAnsi"/>
                <w:sz w:val="22"/>
              </w:rPr>
              <w:lastRenderedPageBreak/>
              <w:t>Harvest Strategy Policy</w:t>
            </w:r>
          </w:p>
        </w:tc>
        <w:tc>
          <w:tcPr>
            <w:tcW w:w="11277" w:type="dxa"/>
          </w:tcPr>
          <w:p w14:paraId="2170815E"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lastRenderedPageBreak/>
              <w:t>Introduces certainty in the fishery management and operations processes</w:t>
            </w:r>
          </w:p>
          <w:p w14:paraId="741FC20C"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t xml:space="preserve">Establishes a </w:t>
            </w:r>
            <w:r w:rsidRPr="00C56103">
              <w:rPr>
                <w:rFonts w:cstheme="minorHAnsi"/>
                <w:b/>
                <w:bCs/>
                <w:lang w:val="en-US"/>
              </w:rPr>
              <w:t>science-based strategic approach</w:t>
            </w:r>
            <w:r w:rsidRPr="00C56103">
              <w:rPr>
                <w:rFonts w:cstheme="minorHAnsi"/>
                <w:lang w:val="en-US"/>
              </w:rPr>
              <w:t xml:space="preserve"> to fishery management and achievement of biological and </w:t>
            </w:r>
            <w:r w:rsidRPr="00C56103">
              <w:rPr>
                <w:rFonts w:cstheme="minorHAnsi"/>
                <w:lang w:val="en-US"/>
              </w:rPr>
              <w:lastRenderedPageBreak/>
              <w:t>economic goals</w:t>
            </w:r>
          </w:p>
        </w:tc>
      </w:tr>
      <w:tr w:rsidR="00671B75" w:rsidRPr="00042F17" w14:paraId="1972B991" w14:textId="77777777" w:rsidTr="00052A4A">
        <w:trPr>
          <w:trHeight w:val="547"/>
        </w:trPr>
        <w:tc>
          <w:tcPr>
            <w:tcW w:w="1548" w:type="dxa"/>
            <w:gridSpan w:val="2"/>
            <w:vMerge/>
          </w:tcPr>
          <w:p w14:paraId="7ABDE47A" w14:textId="77777777" w:rsidR="00671B75" w:rsidRPr="00C56103" w:rsidRDefault="00671B75" w:rsidP="00052A4A">
            <w:pPr>
              <w:autoSpaceDE w:val="0"/>
              <w:autoSpaceDN w:val="0"/>
              <w:adjustRightInd w:val="0"/>
              <w:jc w:val="center"/>
              <w:rPr>
                <w:rFonts w:cstheme="minorHAnsi"/>
                <w:b/>
                <w:sz w:val="22"/>
              </w:rPr>
            </w:pPr>
          </w:p>
        </w:tc>
        <w:tc>
          <w:tcPr>
            <w:tcW w:w="1530" w:type="dxa"/>
            <w:gridSpan w:val="2"/>
          </w:tcPr>
          <w:p w14:paraId="61F326F0" w14:textId="77777777" w:rsidR="00671B75" w:rsidRPr="00C56103" w:rsidRDefault="00671B75" w:rsidP="00052A4A">
            <w:pPr>
              <w:autoSpaceDE w:val="0"/>
              <w:autoSpaceDN w:val="0"/>
              <w:adjustRightInd w:val="0"/>
              <w:rPr>
                <w:rFonts w:cstheme="minorHAnsi"/>
                <w:sz w:val="22"/>
              </w:rPr>
            </w:pPr>
            <w:r w:rsidRPr="00C56103">
              <w:rPr>
                <w:rFonts w:cstheme="minorHAnsi"/>
                <w:sz w:val="22"/>
              </w:rPr>
              <w:t>Commonwealth fisheries bycatch policy</w:t>
            </w:r>
          </w:p>
        </w:tc>
        <w:tc>
          <w:tcPr>
            <w:tcW w:w="11277" w:type="dxa"/>
          </w:tcPr>
          <w:p w14:paraId="4829ABEA" w14:textId="77777777" w:rsidR="00671B75" w:rsidRPr="00C56103" w:rsidRDefault="00671B75" w:rsidP="00052A4A">
            <w:pPr>
              <w:pStyle w:val="ListParagraph"/>
              <w:numPr>
                <w:ilvl w:val="0"/>
                <w:numId w:val="18"/>
              </w:numPr>
              <w:autoSpaceDE w:val="0"/>
              <w:autoSpaceDN w:val="0"/>
              <w:adjustRightInd w:val="0"/>
              <w:spacing w:after="0" w:line="240" w:lineRule="auto"/>
              <w:ind w:left="168" w:hanging="192"/>
              <w:rPr>
                <w:rFonts w:cstheme="minorHAnsi"/>
                <w:lang w:val="en-US"/>
              </w:rPr>
            </w:pPr>
            <w:r w:rsidRPr="00C56103">
              <w:rPr>
                <w:rFonts w:cstheme="minorHAnsi"/>
                <w:lang w:val="en-US"/>
              </w:rPr>
              <w:t xml:space="preserve">Aims to </w:t>
            </w:r>
            <w:r w:rsidRPr="00C56103">
              <w:rPr>
                <w:rFonts w:cstheme="minorHAnsi"/>
                <w:b/>
                <w:bCs/>
                <w:lang w:val="en-US"/>
              </w:rPr>
              <w:t>avoid/minimize fisheries-related impact on bycatch species</w:t>
            </w:r>
            <w:r w:rsidRPr="00C56103">
              <w:rPr>
                <w:rFonts w:cstheme="minorHAnsi"/>
                <w:lang w:val="en-US"/>
              </w:rPr>
              <w:t xml:space="preserve"> through gear selectivity controls, bycatch excluder devices, education programmes, etc. </w:t>
            </w:r>
            <w:r w:rsidRPr="00C56103">
              <w:t xml:space="preserve"> </w:t>
            </w:r>
            <w:r w:rsidRPr="00C56103">
              <w:rPr>
                <w:rFonts w:cstheme="minorHAnsi"/>
                <w:lang w:val="en-US"/>
              </w:rPr>
              <w:t>Interactions of fisheries with bycatch species are reported quarterly by AFMA</w:t>
            </w:r>
          </w:p>
          <w:p w14:paraId="01B50AFA"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t xml:space="preserve">Application of </w:t>
            </w:r>
            <w:r w:rsidRPr="00C56103">
              <w:rPr>
                <w:rFonts w:cstheme="minorHAnsi"/>
                <w:b/>
                <w:bCs/>
                <w:lang w:val="en-US"/>
              </w:rPr>
              <w:t>Ecological Risk Assessment</w:t>
            </w:r>
            <w:r w:rsidRPr="00C56103">
              <w:rPr>
                <w:rFonts w:cstheme="minorHAnsi"/>
                <w:lang w:val="en-US"/>
              </w:rPr>
              <w:t xml:space="preserve"> (ERA), focusing on high-risk issues</w:t>
            </w:r>
          </w:p>
        </w:tc>
      </w:tr>
      <w:tr w:rsidR="00671B75" w:rsidRPr="00042F17" w14:paraId="22F9BF01" w14:textId="77777777" w:rsidTr="00052A4A">
        <w:trPr>
          <w:trHeight w:val="547"/>
        </w:trPr>
        <w:tc>
          <w:tcPr>
            <w:tcW w:w="1548" w:type="dxa"/>
            <w:gridSpan w:val="2"/>
            <w:vMerge/>
          </w:tcPr>
          <w:p w14:paraId="6145B19D" w14:textId="77777777" w:rsidR="00671B75" w:rsidRPr="00C56103" w:rsidRDefault="00671B75" w:rsidP="00052A4A">
            <w:pPr>
              <w:autoSpaceDE w:val="0"/>
              <w:autoSpaceDN w:val="0"/>
              <w:adjustRightInd w:val="0"/>
              <w:jc w:val="center"/>
              <w:rPr>
                <w:rFonts w:cstheme="minorHAnsi"/>
                <w:b/>
                <w:sz w:val="22"/>
              </w:rPr>
            </w:pPr>
          </w:p>
        </w:tc>
        <w:tc>
          <w:tcPr>
            <w:tcW w:w="1530" w:type="dxa"/>
            <w:gridSpan w:val="2"/>
          </w:tcPr>
          <w:p w14:paraId="49BBBEE2" w14:textId="77777777" w:rsidR="00671B75" w:rsidRPr="00C56103" w:rsidRDefault="00671B75" w:rsidP="00052A4A">
            <w:pPr>
              <w:autoSpaceDE w:val="0"/>
              <w:autoSpaceDN w:val="0"/>
              <w:adjustRightInd w:val="0"/>
              <w:rPr>
                <w:rFonts w:cstheme="minorHAnsi"/>
                <w:sz w:val="22"/>
              </w:rPr>
            </w:pPr>
            <w:r w:rsidRPr="00C56103">
              <w:rPr>
                <w:rFonts w:cstheme="minorHAnsi"/>
                <w:sz w:val="22"/>
              </w:rPr>
              <w:t>National Plans of Action (NPOAs)</w:t>
            </w:r>
          </w:p>
        </w:tc>
        <w:tc>
          <w:tcPr>
            <w:tcW w:w="11277" w:type="dxa"/>
          </w:tcPr>
          <w:p w14:paraId="4296BEB1"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t>Part of the FAO CCRF implementation and reporting framework</w:t>
            </w:r>
          </w:p>
          <w:p w14:paraId="2C1E56EE"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t>NPOAs on sharks, IUU, seabirds</w:t>
            </w:r>
          </w:p>
        </w:tc>
      </w:tr>
      <w:tr w:rsidR="00671B75" w:rsidRPr="00042F17" w14:paraId="5507E268" w14:textId="77777777" w:rsidTr="00052A4A">
        <w:trPr>
          <w:trHeight w:val="773"/>
        </w:trPr>
        <w:tc>
          <w:tcPr>
            <w:tcW w:w="1548" w:type="dxa"/>
            <w:gridSpan w:val="2"/>
            <w:vMerge/>
          </w:tcPr>
          <w:p w14:paraId="62215B55" w14:textId="77777777" w:rsidR="00671B75" w:rsidRPr="00C56103" w:rsidRDefault="00671B75" w:rsidP="00052A4A">
            <w:pPr>
              <w:autoSpaceDE w:val="0"/>
              <w:autoSpaceDN w:val="0"/>
              <w:adjustRightInd w:val="0"/>
              <w:jc w:val="center"/>
              <w:rPr>
                <w:rFonts w:cstheme="minorHAnsi"/>
                <w:b/>
                <w:sz w:val="22"/>
              </w:rPr>
            </w:pPr>
          </w:p>
        </w:tc>
        <w:tc>
          <w:tcPr>
            <w:tcW w:w="1530" w:type="dxa"/>
            <w:gridSpan w:val="2"/>
          </w:tcPr>
          <w:p w14:paraId="34B9C125" w14:textId="77777777" w:rsidR="00671B75" w:rsidRPr="00C56103" w:rsidRDefault="00671B75" w:rsidP="00052A4A">
            <w:pPr>
              <w:autoSpaceDE w:val="0"/>
              <w:autoSpaceDN w:val="0"/>
              <w:adjustRightInd w:val="0"/>
              <w:rPr>
                <w:rFonts w:cs="Calibri"/>
                <w:color w:val="000000"/>
                <w:sz w:val="22"/>
              </w:rPr>
            </w:pPr>
            <w:r w:rsidRPr="00C56103">
              <w:rPr>
                <w:rFonts w:cs="Calibri"/>
                <w:iCs/>
                <w:color w:val="000000"/>
                <w:sz w:val="22"/>
              </w:rPr>
              <w:t>Fishing &amp; Aquaculture Research Development &amp; Extension (RR&amp;E) Strategy</w:t>
            </w:r>
            <w:r w:rsidRPr="00C56103">
              <w:rPr>
                <w:rFonts w:cs="Calibri"/>
                <w:i/>
                <w:iCs/>
                <w:color w:val="000000"/>
                <w:sz w:val="22"/>
              </w:rPr>
              <w:t xml:space="preserve"> </w:t>
            </w:r>
          </w:p>
        </w:tc>
        <w:tc>
          <w:tcPr>
            <w:tcW w:w="11277" w:type="dxa"/>
          </w:tcPr>
          <w:p w14:paraId="5533662E"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Calibri"/>
                <w:color w:val="000000"/>
                <w:lang w:val="en-US"/>
              </w:rPr>
              <w:t xml:space="preserve">Sets out a </w:t>
            </w:r>
            <w:r w:rsidRPr="00C56103">
              <w:rPr>
                <w:rFonts w:cs="Calibri"/>
                <w:b/>
                <w:bCs/>
                <w:color w:val="000000"/>
                <w:lang w:val="en-US"/>
              </w:rPr>
              <w:t>RD&amp;E Plan</w:t>
            </w:r>
            <w:r w:rsidRPr="00C56103">
              <w:rPr>
                <w:rFonts w:cs="Calibri"/>
                <w:color w:val="000000"/>
                <w:lang w:val="en-US"/>
              </w:rPr>
              <w:t xml:space="preserve"> for more focused, efficient and effective fisheries.</w:t>
            </w:r>
          </w:p>
          <w:p w14:paraId="2FE3E654"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Calibri"/>
                <w:iCs/>
                <w:color w:val="000000"/>
                <w:lang w:val="en-US"/>
              </w:rPr>
              <w:t>The Marine Science Plan</w:t>
            </w:r>
            <w:r w:rsidRPr="00C56103">
              <w:rPr>
                <w:rFonts w:cs="Calibri"/>
                <w:i/>
                <w:iCs/>
                <w:color w:val="000000"/>
                <w:lang w:val="en-US"/>
              </w:rPr>
              <w:t xml:space="preserve"> </w:t>
            </w:r>
            <w:r w:rsidRPr="00C56103">
              <w:rPr>
                <w:rFonts w:cs="Calibri"/>
                <w:iCs/>
                <w:color w:val="000000"/>
                <w:lang w:val="en-US"/>
              </w:rPr>
              <w:t>2015-2025</w:t>
            </w:r>
            <w:r w:rsidRPr="00C56103">
              <w:rPr>
                <w:rFonts w:cs="Calibri"/>
                <w:color w:val="000000"/>
                <w:lang w:val="en-US"/>
              </w:rPr>
              <w:t xml:space="preserve"> outlines the research, infrastructure and skills needed</w:t>
            </w:r>
          </w:p>
        </w:tc>
      </w:tr>
      <w:tr w:rsidR="00671B75" w:rsidRPr="00437C57" w14:paraId="19F6B111" w14:textId="77777777" w:rsidTr="00052A4A">
        <w:trPr>
          <w:trHeight w:val="773"/>
        </w:trPr>
        <w:tc>
          <w:tcPr>
            <w:tcW w:w="1548" w:type="dxa"/>
            <w:gridSpan w:val="2"/>
            <w:vMerge/>
          </w:tcPr>
          <w:p w14:paraId="2A858AF8" w14:textId="77777777" w:rsidR="00671B75" w:rsidRPr="00C56103" w:rsidRDefault="00671B75" w:rsidP="00052A4A">
            <w:pPr>
              <w:autoSpaceDE w:val="0"/>
              <w:autoSpaceDN w:val="0"/>
              <w:adjustRightInd w:val="0"/>
              <w:jc w:val="center"/>
              <w:rPr>
                <w:rFonts w:cstheme="minorHAnsi"/>
                <w:b/>
                <w:sz w:val="22"/>
              </w:rPr>
            </w:pPr>
          </w:p>
        </w:tc>
        <w:tc>
          <w:tcPr>
            <w:tcW w:w="1530" w:type="dxa"/>
            <w:gridSpan w:val="2"/>
          </w:tcPr>
          <w:p w14:paraId="6031281B" w14:textId="77777777" w:rsidR="00671B75" w:rsidRPr="00C56103" w:rsidRDefault="00671B75" w:rsidP="00052A4A">
            <w:pPr>
              <w:autoSpaceDE w:val="0"/>
              <w:autoSpaceDN w:val="0"/>
              <w:adjustRightInd w:val="0"/>
              <w:rPr>
                <w:rFonts w:cs="Calibri"/>
                <w:iCs/>
                <w:color w:val="000000"/>
                <w:sz w:val="22"/>
              </w:rPr>
            </w:pPr>
            <w:r w:rsidRPr="00C56103">
              <w:rPr>
                <w:rFonts w:cs="Calibri"/>
                <w:iCs/>
                <w:color w:val="000000"/>
                <w:sz w:val="22"/>
              </w:rPr>
              <w:t>Other mainstreaming instruments</w:t>
            </w:r>
          </w:p>
        </w:tc>
        <w:tc>
          <w:tcPr>
            <w:tcW w:w="11277" w:type="dxa"/>
          </w:tcPr>
          <w:p w14:paraId="58DC6FBF"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color w:val="000000"/>
              </w:rPr>
            </w:pPr>
            <w:r w:rsidRPr="00C56103">
              <w:rPr>
                <w:rFonts w:cstheme="minorHAnsi"/>
                <w:b/>
                <w:bCs/>
                <w:color w:val="000000"/>
              </w:rPr>
              <w:t>Regulatory (command &amp; Control)</w:t>
            </w:r>
            <w:r w:rsidRPr="00C56103">
              <w:rPr>
                <w:rFonts w:cstheme="minorHAnsi"/>
                <w:color w:val="000000"/>
              </w:rPr>
              <w:t xml:space="preserve">: Fishing closures to protect threatened, endangered or protected species; Gear specifications; Size restrictions; Independent monitoring; Bag limits; Limited entry; TACs; fines. </w:t>
            </w:r>
          </w:p>
          <w:p w14:paraId="1BB7C75C"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color w:val="000000"/>
              </w:rPr>
            </w:pPr>
            <w:r w:rsidRPr="00C56103">
              <w:rPr>
                <w:rFonts w:cstheme="minorHAnsi"/>
                <w:b/>
                <w:bCs/>
                <w:color w:val="000000"/>
              </w:rPr>
              <w:t>Economic instruments</w:t>
            </w:r>
            <w:r w:rsidRPr="00C56103">
              <w:rPr>
                <w:rFonts w:cstheme="minorHAnsi"/>
                <w:color w:val="000000"/>
              </w:rPr>
              <w:t xml:space="preserve"> (Charges, fees, statutory fishing rights; Tradable Effort Units (TEU); Transferable gear units; ITQs; Performance bonds</w:t>
            </w:r>
          </w:p>
          <w:p w14:paraId="7467C725"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b/>
                <w:bCs/>
                <w:color w:val="000000"/>
                <w:lang w:val="fr-FR"/>
              </w:rPr>
            </w:pPr>
            <w:r w:rsidRPr="00C56103">
              <w:rPr>
                <w:rFonts w:cstheme="minorHAnsi"/>
                <w:b/>
                <w:bCs/>
                <w:color w:val="000000"/>
              </w:rPr>
              <w:t>Environmental Impact Assessment (EIA); Environmental Strategic Evaluation (ESE); Territorial planning.</w:t>
            </w:r>
          </w:p>
          <w:p w14:paraId="4C4FD585" w14:textId="77777777" w:rsidR="00671B75" w:rsidRPr="00C56103" w:rsidRDefault="00671B75" w:rsidP="00052A4A">
            <w:pPr>
              <w:pStyle w:val="Default"/>
              <w:numPr>
                <w:ilvl w:val="0"/>
                <w:numId w:val="18"/>
              </w:numPr>
              <w:ind w:left="166" w:hanging="180"/>
              <w:rPr>
                <w:rFonts w:asciiTheme="minorHAnsi" w:hAnsiTheme="minorHAnsi" w:cstheme="minorHAnsi"/>
                <w:sz w:val="22"/>
                <w:szCs w:val="22"/>
              </w:rPr>
            </w:pPr>
            <w:r w:rsidRPr="00C56103">
              <w:rPr>
                <w:rFonts w:asciiTheme="minorHAnsi" w:hAnsiTheme="minorHAnsi" w:cstheme="minorHAnsi"/>
                <w:b/>
                <w:bCs/>
                <w:sz w:val="22"/>
                <w:szCs w:val="22"/>
              </w:rPr>
              <w:t>Intervention in international conventions</w:t>
            </w:r>
            <w:r w:rsidRPr="00C56103">
              <w:rPr>
                <w:rFonts w:asciiTheme="minorHAnsi" w:hAnsiTheme="minorHAnsi" w:cstheme="minorHAnsi"/>
                <w:sz w:val="22"/>
                <w:szCs w:val="22"/>
              </w:rPr>
              <w:t> : CITES, CBD, CMS, SIOFA, CCMALR; World Organisation for Animal Health, to avoid/minimize impact, including through trade controls, catch documentation schemes;</w:t>
            </w:r>
          </w:p>
          <w:p w14:paraId="2DBF2B8E"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color w:val="000000"/>
                <w:lang w:val="en-US"/>
              </w:rPr>
            </w:pPr>
            <w:r w:rsidRPr="00C56103">
              <w:rPr>
                <w:rFonts w:cstheme="minorHAnsi"/>
                <w:b/>
                <w:bCs/>
                <w:color w:val="000000"/>
                <w:lang w:val="en-US"/>
              </w:rPr>
              <w:t>Implementation of the FAO Agreement on Port State Measures</w:t>
            </w:r>
            <w:r w:rsidRPr="00C56103">
              <w:rPr>
                <w:rFonts w:cstheme="minorHAnsi"/>
                <w:color w:val="000000"/>
                <w:lang w:val="en-US"/>
              </w:rPr>
              <w:t xml:space="preserve"> to Prevent, Deter and Eliminate Illegal, Unreported and Unregulated (IUU) Fishing (PSMA). </w:t>
            </w:r>
          </w:p>
        </w:tc>
      </w:tr>
      <w:tr w:rsidR="00671B75" w:rsidRPr="00042F17" w14:paraId="4786CC0B" w14:textId="77777777" w:rsidTr="00052A4A">
        <w:tc>
          <w:tcPr>
            <w:tcW w:w="1548" w:type="dxa"/>
            <w:gridSpan w:val="2"/>
          </w:tcPr>
          <w:p w14:paraId="27F3A1C8"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Canada</w:t>
            </w:r>
          </w:p>
        </w:tc>
        <w:tc>
          <w:tcPr>
            <w:tcW w:w="1530" w:type="dxa"/>
            <w:gridSpan w:val="2"/>
          </w:tcPr>
          <w:p w14:paraId="48924FDF" w14:textId="77777777" w:rsidR="00671B75" w:rsidRPr="00C56103" w:rsidRDefault="00671B75" w:rsidP="00052A4A">
            <w:pPr>
              <w:autoSpaceDE w:val="0"/>
              <w:autoSpaceDN w:val="0"/>
              <w:adjustRightInd w:val="0"/>
              <w:rPr>
                <w:rFonts w:cstheme="minorHAnsi"/>
                <w:sz w:val="22"/>
              </w:rPr>
            </w:pPr>
            <w:r w:rsidRPr="00C56103">
              <w:rPr>
                <w:rFonts w:cstheme="minorHAnsi"/>
                <w:sz w:val="22"/>
              </w:rPr>
              <w:t>N/A</w:t>
            </w:r>
          </w:p>
        </w:tc>
        <w:tc>
          <w:tcPr>
            <w:tcW w:w="11277" w:type="dxa"/>
          </w:tcPr>
          <w:p w14:paraId="300EEC2A" w14:textId="77777777" w:rsidR="00671B75" w:rsidRPr="00C56103" w:rsidRDefault="00671B75" w:rsidP="00052A4A">
            <w:pPr>
              <w:pStyle w:val="ListParagraph"/>
              <w:numPr>
                <w:ilvl w:val="0"/>
                <w:numId w:val="19"/>
              </w:numPr>
              <w:autoSpaceDE w:val="0"/>
              <w:autoSpaceDN w:val="0"/>
              <w:adjustRightInd w:val="0"/>
              <w:spacing w:after="0" w:line="240" w:lineRule="auto"/>
              <w:ind w:left="166" w:hanging="166"/>
              <w:rPr>
                <w:rFonts w:cstheme="minorHAnsi"/>
                <w:lang w:val="en-US"/>
              </w:rPr>
            </w:pPr>
            <w:r w:rsidRPr="00C56103">
              <w:rPr>
                <w:rFonts w:cstheme="minorHAnsi"/>
                <w:b/>
                <w:bCs/>
                <w:lang w:val="en-US"/>
              </w:rPr>
              <w:t>International Governance Strategy Science Program</w:t>
            </w:r>
            <w:r w:rsidRPr="00C56103">
              <w:rPr>
                <w:rFonts w:cstheme="minorHAnsi"/>
                <w:lang w:val="en-US"/>
              </w:rPr>
              <w:t>. Targeted research on the effectiveness of management measures in providing conservation &amp; biodiversity benefit. Monitoring, research, and stock assessment to inform management on stock status, TACs, and ecosystem impacts of fisheries on species-at-risk. Information on bycatch of species at risk. Protection of key concentration areas of corals and sponges (VMEs) including in areas beyond national Jurisdiction.</w:t>
            </w:r>
          </w:p>
        </w:tc>
      </w:tr>
      <w:tr w:rsidR="00671B75" w:rsidRPr="00042F17" w14:paraId="0B16BC80" w14:textId="77777777" w:rsidTr="00052A4A">
        <w:trPr>
          <w:trHeight w:val="872"/>
        </w:trPr>
        <w:tc>
          <w:tcPr>
            <w:tcW w:w="1548" w:type="dxa"/>
            <w:gridSpan w:val="2"/>
            <w:vMerge w:val="restart"/>
          </w:tcPr>
          <w:p w14:paraId="194E9219"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Colombia</w:t>
            </w:r>
          </w:p>
        </w:tc>
        <w:tc>
          <w:tcPr>
            <w:tcW w:w="1530" w:type="dxa"/>
            <w:gridSpan w:val="2"/>
          </w:tcPr>
          <w:p w14:paraId="76478339" w14:textId="77777777" w:rsidR="00671B75" w:rsidRPr="00C56103" w:rsidRDefault="00671B75" w:rsidP="00052A4A">
            <w:pPr>
              <w:autoSpaceDE w:val="0"/>
              <w:autoSpaceDN w:val="0"/>
              <w:adjustRightInd w:val="0"/>
              <w:rPr>
                <w:rFonts w:cstheme="minorHAnsi"/>
                <w:sz w:val="22"/>
              </w:rPr>
            </w:pPr>
            <w:r w:rsidRPr="00C56103">
              <w:rPr>
                <w:rFonts w:cstheme="minorHAnsi"/>
                <w:sz w:val="22"/>
              </w:rPr>
              <w:t>Plans for the management of species-at-risk</w:t>
            </w:r>
          </w:p>
        </w:tc>
        <w:tc>
          <w:tcPr>
            <w:tcW w:w="11277" w:type="dxa"/>
          </w:tcPr>
          <w:p w14:paraId="3082201D"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National plans of action</w:t>
            </w:r>
            <w:r w:rsidRPr="00C56103">
              <w:rPr>
                <w:rFonts w:cstheme="minorHAnsi"/>
                <w:lang w:val="en-US"/>
              </w:rPr>
              <w:t xml:space="preserve"> on: (i) invasive species; (ii) integrated management of biodiversity and ecosystem services; (iii) Marine mammals; (iv) use and conservation of aquatic resources (and committees for their implementation)</w:t>
            </w:r>
          </w:p>
        </w:tc>
      </w:tr>
      <w:tr w:rsidR="00671B75" w:rsidRPr="00042F17" w14:paraId="7A165DFD" w14:textId="77777777" w:rsidTr="00052A4A">
        <w:trPr>
          <w:trHeight w:val="3284"/>
        </w:trPr>
        <w:tc>
          <w:tcPr>
            <w:tcW w:w="1548" w:type="dxa"/>
            <w:gridSpan w:val="2"/>
            <w:vMerge/>
          </w:tcPr>
          <w:p w14:paraId="024A2450" w14:textId="77777777" w:rsidR="00671B75" w:rsidRPr="00C56103" w:rsidRDefault="00671B75" w:rsidP="00052A4A">
            <w:pPr>
              <w:autoSpaceDE w:val="0"/>
              <w:autoSpaceDN w:val="0"/>
              <w:adjustRightInd w:val="0"/>
              <w:jc w:val="center"/>
              <w:rPr>
                <w:rFonts w:cstheme="minorHAnsi"/>
                <w:b/>
                <w:sz w:val="22"/>
              </w:rPr>
            </w:pPr>
          </w:p>
        </w:tc>
        <w:tc>
          <w:tcPr>
            <w:tcW w:w="1530" w:type="dxa"/>
            <w:gridSpan w:val="2"/>
          </w:tcPr>
          <w:p w14:paraId="715FD22C" w14:textId="77777777" w:rsidR="00671B75" w:rsidRPr="00C56103" w:rsidRDefault="00671B75" w:rsidP="00052A4A">
            <w:pPr>
              <w:pStyle w:val="BodyText"/>
              <w:ind w:left="-14" w:right="1" w:firstLine="0"/>
              <w:rPr>
                <w:rFonts w:asciiTheme="minorHAnsi" w:eastAsiaTheme="minorEastAsia" w:hAnsiTheme="minorHAnsi" w:cs="Arial"/>
                <w:u w:color="000000"/>
                <w:lang w:eastAsia="es-CO"/>
              </w:rPr>
            </w:pPr>
            <w:r w:rsidRPr="00C56103">
              <w:rPr>
                <w:rFonts w:asciiTheme="minorHAnsi" w:eastAsiaTheme="minorEastAsia" w:hAnsiTheme="minorHAnsi" w:cs="Arial"/>
                <w:u w:color="000000"/>
                <w:lang w:eastAsia="es-CO"/>
              </w:rPr>
              <w:t>National policies on: (i) Biodiversity (1995); Integrated management of biodiversity and economic services (2012); (iii)   Sustainable development of ocean space, and coastal and insular areas (2000)</w:t>
            </w:r>
          </w:p>
          <w:p w14:paraId="040EDC46" w14:textId="77777777" w:rsidR="00671B75" w:rsidRPr="00C56103" w:rsidRDefault="00671B75" w:rsidP="00052A4A">
            <w:pPr>
              <w:autoSpaceDE w:val="0"/>
              <w:autoSpaceDN w:val="0"/>
              <w:adjustRightInd w:val="0"/>
              <w:rPr>
                <w:rFonts w:cstheme="minorHAnsi"/>
                <w:sz w:val="22"/>
              </w:rPr>
            </w:pPr>
          </w:p>
        </w:tc>
        <w:tc>
          <w:tcPr>
            <w:tcW w:w="11277" w:type="dxa"/>
          </w:tcPr>
          <w:p w14:paraId="49251E67"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Listing of species at risk</w:t>
            </w:r>
            <w:r w:rsidRPr="00C56103">
              <w:rPr>
                <w:rFonts w:cstheme="minorHAnsi"/>
                <w:lang w:val="en-US"/>
              </w:rPr>
              <w:t>. Key species of concern (including in CTES, such as: (i) sharks, rays and chimeras; queen conch (</w:t>
            </w:r>
            <w:r w:rsidRPr="00C56103">
              <w:rPr>
                <w:rFonts w:cstheme="minorHAnsi"/>
                <w:i/>
                <w:lang w:val="en-US"/>
              </w:rPr>
              <w:t>Strombus gigas)</w:t>
            </w:r>
            <w:r w:rsidRPr="00C56103">
              <w:rPr>
                <w:rFonts w:cstheme="minorHAnsi"/>
                <w:lang w:val="en-US"/>
              </w:rPr>
              <w:t>;</w:t>
            </w:r>
            <w:r w:rsidRPr="00C56103">
              <w:rPr>
                <w:rFonts w:cstheme="minorHAnsi"/>
                <w:i/>
                <w:lang w:val="en-US"/>
              </w:rPr>
              <w:t xml:space="preserve"> </w:t>
            </w:r>
            <w:r w:rsidRPr="00C56103">
              <w:rPr>
                <w:rFonts w:cstheme="minorHAnsi"/>
                <w:lang w:val="en-US"/>
              </w:rPr>
              <w:t>Parrot fish</w:t>
            </w:r>
            <w:r w:rsidRPr="00C56103">
              <w:rPr>
                <w:rFonts w:cstheme="minorHAnsi"/>
                <w:i/>
                <w:lang w:val="en-US"/>
              </w:rPr>
              <w:t xml:space="preserve"> (Scarus coeruleus, and S. Guacamala</w:t>
            </w:r>
            <w:r w:rsidRPr="00C56103">
              <w:rPr>
                <w:rFonts w:cstheme="minorHAnsi"/>
                <w:lang w:val="en-US"/>
              </w:rPr>
              <w:t>).</w:t>
            </w:r>
            <w:r w:rsidRPr="00C56103">
              <w:rPr>
                <w:rFonts w:cstheme="minorHAnsi"/>
                <w:i/>
                <w:lang w:val="en-US"/>
              </w:rPr>
              <w:t xml:space="preserve"> </w:t>
            </w:r>
          </w:p>
          <w:p w14:paraId="300C3F5E"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National Red List</w:t>
            </w:r>
            <w:r w:rsidRPr="00C56103">
              <w:rPr>
                <w:rFonts w:cstheme="minorHAnsi"/>
                <w:lang w:val="en-US"/>
              </w:rPr>
              <w:t xml:space="preserve"> of marine fish has been updated and re-assessed.</w:t>
            </w:r>
          </w:p>
          <w:p w14:paraId="60E7CCD7"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Workshop on entanglement of marine mammals</w:t>
            </w:r>
            <w:r w:rsidRPr="00C56103">
              <w:rPr>
                <w:rFonts w:cstheme="minorHAnsi"/>
                <w:lang w:val="en-US"/>
              </w:rPr>
              <w:t xml:space="preserve"> on the Pacific Coast of Colombia</w:t>
            </w:r>
          </w:p>
          <w:p w14:paraId="37AA5030"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Participatory workshops</w:t>
            </w:r>
            <w:r w:rsidRPr="00C56103">
              <w:rPr>
                <w:rFonts w:cstheme="minorHAnsi"/>
                <w:lang w:val="en-US"/>
              </w:rPr>
              <w:t xml:space="preserve"> on use, and conservation of marine turtles. Improved monitoring</w:t>
            </w:r>
          </w:p>
          <w:p w14:paraId="1BD3137D"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Declaration of protected areas</w:t>
            </w:r>
            <w:r w:rsidRPr="00C56103">
              <w:rPr>
                <w:rFonts w:cstheme="minorHAnsi"/>
                <w:lang w:val="en-US"/>
              </w:rPr>
              <w:t xml:space="preserve"> and areas of integrated management for conservation and sustainable use of straddling and highly migratory species (Malpelo) and mangroves (Cabo manglares, Tumaco)</w:t>
            </w:r>
          </w:p>
          <w:p w14:paraId="0B9F51EB"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t>Control of invasive species</w:t>
            </w:r>
            <w:r w:rsidRPr="00C56103">
              <w:rPr>
                <w:rFonts w:cstheme="minorHAnsi"/>
                <w:lang w:val="en-US"/>
              </w:rPr>
              <w:t xml:space="preserve">: </w:t>
            </w:r>
            <w:r w:rsidRPr="00C56103">
              <w:rPr>
                <w:rFonts w:cstheme="minorHAnsi"/>
                <w:i/>
                <w:lang w:val="en-US"/>
              </w:rPr>
              <w:t>Carijoa riisei; Pterois volitans; Penaeus monodon</w:t>
            </w:r>
            <w:r w:rsidRPr="00C56103">
              <w:rPr>
                <w:rFonts w:cstheme="minorHAnsi"/>
                <w:lang w:val="en-US"/>
              </w:rPr>
              <w:t xml:space="preserve">; </w:t>
            </w:r>
            <w:r w:rsidRPr="00C56103">
              <w:rPr>
                <w:rFonts w:cstheme="minorHAnsi"/>
                <w:i/>
                <w:lang w:val="en-US"/>
              </w:rPr>
              <w:t>Kappaphycus alvarezii</w:t>
            </w:r>
            <w:r w:rsidRPr="00C56103">
              <w:rPr>
                <w:rFonts w:cstheme="minorHAnsi"/>
                <w:lang w:val="en-US"/>
              </w:rPr>
              <w:t xml:space="preserve"> </w:t>
            </w:r>
          </w:p>
        </w:tc>
      </w:tr>
      <w:tr w:rsidR="00671B75" w:rsidRPr="00042F17" w14:paraId="05AA90B2" w14:textId="77777777" w:rsidTr="00052A4A">
        <w:trPr>
          <w:trHeight w:val="2897"/>
        </w:trPr>
        <w:tc>
          <w:tcPr>
            <w:tcW w:w="1548" w:type="dxa"/>
            <w:gridSpan w:val="2"/>
          </w:tcPr>
          <w:p w14:paraId="4720A6E6"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Costa Rica</w:t>
            </w:r>
          </w:p>
        </w:tc>
        <w:tc>
          <w:tcPr>
            <w:tcW w:w="1530" w:type="dxa"/>
            <w:gridSpan w:val="2"/>
          </w:tcPr>
          <w:p w14:paraId="4AAFA649" w14:textId="77777777" w:rsidR="00671B75" w:rsidRPr="00C56103" w:rsidRDefault="00671B75" w:rsidP="00052A4A">
            <w:pPr>
              <w:autoSpaceDE w:val="0"/>
              <w:autoSpaceDN w:val="0"/>
              <w:adjustRightInd w:val="0"/>
              <w:rPr>
                <w:rFonts w:cstheme="minorHAnsi"/>
                <w:sz w:val="22"/>
              </w:rPr>
            </w:pPr>
            <w:r w:rsidRPr="00C56103">
              <w:rPr>
                <w:rFonts w:cstheme="minorHAnsi"/>
                <w:sz w:val="22"/>
              </w:rPr>
              <w:t>Executive Decree N° 35502-MAG (2009) on AMPRs and shared governance.</w:t>
            </w:r>
          </w:p>
          <w:p w14:paraId="4F8B2B77" w14:textId="77777777" w:rsidR="00671B75" w:rsidRPr="00C56103" w:rsidRDefault="00671B75" w:rsidP="00052A4A">
            <w:pPr>
              <w:autoSpaceDE w:val="0"/>
              <w:autoSpaceDN w:val="0"/>
              <w:adjustRightInd w:val="0"/>
              <w:rPr>
                <w:rFonts w:cstheme="minorHAnsi"/>
                <w:sz w:val="22"/>
              </w:rPr>
            </w:pPr>
          </w:p>
          <w:p w14:paraId="290F521E" w14:textId="77777777" w:rsidR="00671B75" w:rsidRPr="00C56103" w:rsidRDefault="00671B75" w:rsidP="00052A4A">
            <w:pPr>
              <w:autoSpaceDE w:val="0"/>
              <w:autoSpaceDN w:val="0"/>
              <w:adjustRightInd w:val="0"/>
              <w:rPr>
                <w:rFonts w:cstheme="minorHAnsi"/>
                <w:sz w:val="22"/>
              </w:rPr>
            </w:pPr>
            <w:r w:rsidRPr="00C56103">
              <w:rPr>
                <w:rFonts w:cstheme="minorHAnsi"/>
                <w:sz w:val="22"/>
              </w:rPr>
              <w:t xml:space="preserve">Executive Decree N° 39.195-MAG.MINAE-MTSS on application of the FAO SSF </w:t>
            </w:r>
            <w:r w:rsidRPr="00C56103">
              <w:rPr>
                <w:rFonts w:cstheme="minorHAnsi"/>
                <w:sz w:val="22"/>
              </w:rPr>
              <w:lastRenderedPageBreak/>
              <w:t>Guidelines</w:t>
            </w:r>
          </w:p>
        </w:tc>
        <w:tc>
          <w:tcPr>
            <w:tcW w:w="11277" w:type="dxa"/>
          </w:tcPr>
          <w:p w14:paraId="4BCE133A"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bCs/>
                <w:lang w:val="en-US"/>
              </w:rPr>
              <w:lastRenderedPageBreak/>
              <w:t>Shared governance systems</w:t>
            </w:r>
            <w:r w:rsidRPr="00C56103">
              <w:rPr>
                <w:rFonts w:cstheme="minorHAnsi"/>
                <w:lang w:val="en-US"/>
              </w:rPr>
              <w:t xml:space="preserve"> with the civil society in voluntary Marine Areas for Responsible Fisheries (AMPRs). These areas, requested by the fishery sector, are recognized “of public interest” and may include totally or partially closed areas and seasons. Mangrove reforestation is undertaken (Blue carbon program). Participative program of the use of clams in these mangroves. Development of participative resources assessments using local knowledge (small-scale shrimp fisheries).</w:t>
            </w:r>
          </w:p>
          <w:p w14:paraId="3BC4791A"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t xml:space="preserve">Focus on </w:t>
            </w:r>
            <w:r w:rsidRPr="00C56103">
              <w:rPr>
                <w:rFonts w:cstheme="minorHAnsi"/>
                <w:b/>
                <w:bCs/>
                <w:lang w:val="en-US"/>
              </w:rPr>
              <w:t>EAF and equitable distribution of benefits</w:t>
            </w:r>
          </w:p>
          <w:p w14:paraId="7B66BCE6"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outlineLvl w:val="2"/>
              <w:rPr>
                <w:rFonts w:cstheme="minorHAnsi"/>
                <w:lang w:val="en-US"/>
              </w:rPr>
            </w:pPr>
            <w:r w:rsidRPr="00C56103">
              <w:rPr>
                <w:rFonts w:cstheme="minorHAnsi"/>
                <w:lang w:val="en-US"/>
              </w:rPr>
              <w:t xml:space="preserve">Application of the 2010 </w:t>
            </w:r>
            <w:r w:rsidRPr="00C56103">
              <w:rPr>
                <w:rFonts w:cstheme="minorHAnsi"/>
                <w:b/>
                <w:bCs/>
                <w:lang w:val="en-US"/>
              </w:rPr>
              <w:t>FAO Voluntary Guidelines for Securing Sustainable Small-Scale Fisheries</w:t>
            </w:r>
            <w:r w:rsidRPr="00C56103">
              <w:rPr>
                <w:rFonts w:cstheme="minorHAnsi"/>
                <w:lang w:val="en-US"/>
              </w:rPr>
              <w:t xml:space="preserve"> in the Context of Food Security and Poverty Eradication with a focus on human rights and vulnerable communities;</w:t>
            </w:r>
          </w:p>
          <w:p w14:paraId="2F69B752"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outlineLvl w:val="2"/>
              <w:rPr>
                <w:rFonts w:cstheme="minorHAnsi"/>
                <w:lang w:val="en-US"/>
              </w:rPr>
            </w:pPr>
            <w:r w:rsidRPr="00C56103">
              <w:rPr>
                <w:rFonts w:cstheme="minorHAnsi"/>
                <w:lang w:val="en-US"/>
              </w:rPr>
              <w:t xml:space="preserve">New law being prepared to </w:t>
            </w:r>
            <w:r w:rsidRPr="00C56103">
              <w:rPr>
                <w:rFonts w:cstheme="minorHAnsi"/>
                <w:b/>
                <w:bCs/>
                <w:lang w:val="en-US"/>
              </w:rPr>
              <w:t>strengthen AMPRs closely linked to SDGs implementation</w:t>
            </w:r>
            <w:r w:rsidRPr="00C56103">
              <w:rPr>
                <w:rFonts w:cstheme="minorHAnsi"/>
                <w:lang w:val="en-US"/>
              </w:rPr>
              <w:t>.</w:t>
            </w:r>
          </w:p>
        </w:tc>
      </w:tr>
      <w:tr w:rsidR="00671B75" w:rsidRPr="00042F17" w14:paraId="6F36D958" w14:textId="77777777" w:rsidTr="00052A4A">
        <w:tc>
          <w:tcPr>
            <w:tcW w:w="1548" w:type="dxa"/>
            <w:gridSpan w:val="2"/>
          </w:tcPr>
          <w:p w14:paraId="7B7DB036"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Ecuador</w:t>
            </w:r>
          </w:p>
        </w:tc>
        <w:tc>
          <w:tcPr>
            <w:tcW w:w="1530" w:type="dxa"/>
            <w:gridSpan w:val="2"/>
          </w:tcPr>
          <w:p w14:paraId="1FDE069F" w14:textId="77777777" w:rsidR="00671B75" w:rsidRPr="00C56103" w:rsidRDefault="00671B75" w:rsidP="00052A4A">
            <w:pPr>
              <w:autoSpaceDE w:val="0"/>
              <w:autoSpaceDN w:val="0"/>
              <w:adjustRightInd w:val="0"/>
              <w:rPr>
                <w:rFonts w:cstheme="minorHAnsi"/>
                <w:sz w:val="22"/>
              </w:rPr>
            </w:pPr>
            <w:r w:rsidRPr="00C56103">
              <w:rPr>
                <w:rFonts w:cstheme="minorHAnsi"/>
                <w:sz w:val="22"/>
              </w:rPr>
              <w:t>N/A</w:t>
            </w:r>
          </w:p>
        </w:tc>
        <w:tc>
          <w:tcPr>
            <w:tcW w:w="11277" w:type="dxa"/>
          </w:tcPr>
          <w:p w14:paraId="23B0D71B" w14:textId="77777777" w:rsidR="00671B75" w:rsidRPr="00C56103" w:rsidRDefault="00671B75" w:rsidP="00052A4A">
            <w:pPr>
              <w:pStyle w:val="ListParagraph"/>
              <w:widowControl w:val="0"/>
              <w:numPr>
                <w:ilvl w:val="0"/>
                <w:numId w:val="18"/>
              </w:numPr>
              <w:spacing w:after="0" w:line="240" w:lineRule="auto"/>
              <w:ind w:left="168" w:hanging="192"/>
              <w:contextualSpacing w:val="0"/>
              <w:jc w:val="both"/>
              <w:rPr>
                <w:rFonts w:cstheme="minorHAnsi"/>
              </w:rPr>
            </w:pPr>
            <w:r w:rsidRPr="00C56103">
              <w:rPr>
                <w:rFonts w:cstheme="minorHAnsi"/>
                <w:b/>
                <w:bCs/>
              </w:rPr>
              <w:t>Monitoring, including for both fishery-related and biodiversity aspects</w:t>
            </w:r>
            <w:r w:rsidRPr="00C56103">
              <w:rPr>
                <w:rFonts w:cstheme="minorHAnsi"/>
              </w:rPr>
              <w:t xml:space="preserve">, of the green lobster (Panulirus gracilis), Pomada shrimp (Protrachypene precipua), Corvina de Roca (Brotula clarkae), octopus, Pseudocurimata boulengeri (Characiformes: Curimatidae), and </w:t>
            </w:r>
            <w:r w:rsidRPr="00C56103">
              <w:t xml:space="preserve"> </w:t>
            </w:r>
            <w:r w:rsidRPr="00C56103">
              <w:rPr>
                <w:rFonts w:cstheme="minorHAnsi"/>
              </w:rPr>
              <w:t>fish of province of Los Rios</w:t>
            </w:r>
          </w:p>
          <w:p w14:paraId="5238FC60" w14:textId="77777777" w:rsidR="00671B75" w:rsidRPr="00C56103" w:rsidRDefault="00671B75" w:rsidP="00052A4A">
            <w:pPr>
              <w:pStyle w:val="ListParagraph"/>
              <w:widowControl w:val="0"/>
              <w:numPr>
                <w:ilvl w:val="0"/>
                <w:numId w:val="18"/>
              </w:numPr>
              <w:spacing w:after="0" w:line="240" w:lineRule="auto"/>
              <w:ind w:left="168" w:hanging="192"/>
              <w:contextualSpacing w:val="0"/>
              <w:jc w:val="both"/>
              <w:rPr>
                <w:rFonts w:cstheme="minorHAnsi"/>
              </w:rPr>
            </w:pPr>
            <w:r w:rsidRPr="00C56103">
              <w:rPr>
                <w:rFonts w:cstheme="minorHAnsi"/>
                <w:b/>
                <w:bCs/>
              </w:rPr>
              <w:t>Proposed fisheries management plan</w:t>
            </w:r>
            <w:r w:rsidRPr="00C56103">
              <w:rPr>
                <w:rFonts w:cstheme="minorHAnsi"/>
              </w:rPr>
              <w:t xml:space="preserve"> for the exploited populations of spiny lobster, rock corvina and octopus in the Galera San Francisco Marine Reserve</w:t>
            </w:r>
          </w:p>
        </w:tc>
      </w:tr>
      <w:tr w:rsidR="00671B75" w:rsidRPr="00042F17" w14:paraId="3821FF3C" w14:textId="77777777" w:rsidTr="00052A4A">
        <w:tc>
          <w:tcPr>
            <w:tcW w:w="1548" w:type="dxa"/>
            <w:gridSpan w:val="2"/>
          </w:tcPr>
          <w:p w14:paraId="263D0972"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Japan</w:t>
            </w:r>
          </w:p>
        </w:tc>
        <w:tc>
          <w:tcPr>
            <w:tcW w:w="1530" w:type="dxa"/>
            <w:gridSpan w:val="2"/>
          </w:tcPr>
          <w:p w14:paraId="0EA0134A" w14:textId="77777777" w:rsidR="00671B75" w:rsidRPr="00C56103" w:rsidRDefault="00671B75" w:rsidP="00052A4A">
            <w:pPr>
              <w:autoSpaceDE w:val="0"/>
              <w:autoSpaceDN w:val="0"/>
              <w:adjustRightInd w:val="0"/>
              <w:rPr>
                <w:rFonts w:cstheme="minorHAnsi"/>
                <w:sz w:val="22"/>
              </w:rPr>
            </w:pPr>
            <w:r w:rsidRPr="00C56103">
              <w:rPr>
                <w:rFonts w:cstheme="minorHAnsi"/>
                <w:sz w:val="22"/>
              </w:rPr>
              <w:t>N/A</w:t>
            </w:r>
          </w:p>
        </w:tc>
        <w:tc>
          <w:tcPr>
            <w:tcW w:w="11277" w:type="dxa"/>
          </w:tcPr>
          <w:p w14:paraId="2E10AC31" w14:textId="77777777" w:rsidR="00671B75" w:rsidRPr="00C56103" w:rsidRDefault="00671B75" w:rsidP="00052A4A">
            <w:pPr>
              <w:pStyle w:val="ListParagraph"/>
              <w:widowControl w:val="0"/>
              <w:numPr>
                <w:ilvl w:val="0"/>
                <w:numId w:val="18"/>
              </w:numPr>
              <w:spacing w:after="0" w:line="240" w:lineRule="auto"/>
              <w:ind w:left="166" w:hanging="166"/>
              <w:contextualSpacing w:val="0"/>
              <w:jc w:val="both"/>
              <w:rPr>
                <w:rFonts w:cstheme="minorHAnsi"/>
              </w:rPr>
            </w:pPr>
            <w:r w:rsidRPr="00C56103">
              <w:rPr>
                <w:rFonts w:cstheme="minorHAnsi"/>
              </w:rPr>
              <w:t xml:space="preserve">Development and implementation of </w:t>
            </w:r>
            <w:r w:rsidRPr="00C56103">
              <w:rPr>
                <w:rFonts w:cstheme="minorHAnsi"/>
                <w:b/>
                <w:bCs/>
              </w:rPr>
              <w:t>voluntary resources management plans</w:t>
            </w:r>
            <w:r w:rsidRPr="00C56103">
              <w:rPr>
                <w:rFonts w:cstheme="minorHAnsi"/>
                <w:highlight w:val="yellow"/>
              </w:rPr>
              <w:t xml:space="preserve"> </w:t>
            </w:r>
          </w:p>
          <w:p w14:paraId="50AA9104" w14:textId="77777777" w:rsidR="00671B75" w:rsidRPr="00C56103" w:rsidRDefault="00671B75" w:rsidP="00052A4A">
            <w:pPr>
              <w:pStyle w:val="ListParagraph"/>
              <w:widowControl w:val="0"/>
              <w:numPr>
                <w:ilvl w:val="0"/>
                <w:numId w:val="18"/>
              </w:numPr>
              <w:spacing w:after="0" w:line="240" w:lineRule="auto"/>
              <w:ind w:left="166" w:hanging="166"/>
              <w:contextualSpacing w:val="0"/>
              <w:jc w:val="both"/>
              <w:rPr>
                <w:rFonts w:cstheme="minorHAnsi"/>
              </w:rPr>
            </w:pPr>
            <w:r w:rsidRPr="00C56103">
              <w:rPr>
                <w:rFonts w:cstheme="minorHAnsi"/>
              </w:rPr>
              <w:t xml:space="preserve">Development and improvement of measures to </w:t>
            </w:r>
            <w:r w:rsidRPr="00C56103">
              <w:rPr>
                <w:rFonts w:cstheme="minorHAnsi"/>
                <w:b/>
                <w:bCs/>
              </w:rPr>
              <w:t>mitigate and reduce bycatch of seabirds and marine turtles</w:t>
            </w:r>
            <w:r w:rsidRPr="00C56103">
              <w:rPr>
                <w:rFonts w:cstheme="minorHAnsi"/>
              </w:rPr>
              <w:t xml:space="preserve">, including through awareness raising. </w:t>
            </w:r>
          </w:p>
          <w:p w14:paraId="3A8A2FA7" w14:textId="77777777" w:rsidR="00671B75" w:rsidRPr="00C56103" w:rsidRDefault="00671B75" w:rsidP="00052A4A">
            <w:pPr>
              <w:pStyle w:val="ListParagraph"/>
              <w:widowControl w:val="0"/>
              <w:numPr>
                <w:ilvl w:val="0"/>
                <w:numId w:val="18"/>
              </w:numPr>
              <w:spacing w:after="0" w:line="240" w:lineRule="auto"/>
              <w:ind w:left="166" w:hanging="166"/>
              <w:contextualSpacing w:val="0"/>
              <w:jc w:val="both"/>
              <w:rPr>
                <w:rFonts w:cstheme="minorHAnsi"/>
              </w:rPr>
            </w:pPr>
            <w:r w:rsidRPr="00C56103">
              <w:rPr>
                <w:rFonts w:cstheme="minorHAnsi"/>
              </w:rPr>
              <w:t>Through FAO Trust Fund projects, support to developing countries in: i) drafting and implementing national PoAs for sustainable fisheries and conservation of marine ecosystems; and ii) capacity-building on catch traceability.</w:t>
            </w:r>
          </w:p>
          <w:p w14:paraId="6252F468" w14:textId="77777777" w:rsidR="00671B75" w:rsidRPr="00C56103" w:rsidRDefault="00671B75" w:rsidP="00052A4A">
            <w:pPr>
              <w:pStyle w:val="ListParagraph"/>
              <w:widowControl w:val="0"/>
              <w:numPr>
                <w:ilvl w:val="0"/>
                <w:numId w:val="18"/>
              </w:numPr>
              <w:spacing w:after="0" w:line="240" w:lineRule="auto"/>
              <w:ind w:left="166" w:hanging="166"/>
              <w:contextualSpacing w:val="0"/>
              <w:jc w:val="both"/>
              <w:rPr>
                <w:rFonts w:cstheme="minorHAnsi"/>
              </w:rPr>
            </w:pPr>
            <w:r w:rsidRPr="00C56103">
              <w:rPr>
                <w:rFonts w:cstheme="minorHAnsi"/>
                <w:b/>
                <w:bCs/>
              </w:rPr>
              <w:t>National Red List for marine species</w:t>
            </w:r>
            <w:r w:rsidRPr="00C56103">
              <w:rPr>
                <w:rFonts w:cstheme="minorHAnsi"/>
              </w:rPr>
              <w:t xml:space="preserve"> published (2017).</w:t>
            </w:r>
          </w:p>
          <w:p w14:paraId="23771259" w14:textId="77777777" w:rsidR="00671B75" w:rsidRPr="00C56103" w:rsidRDefault="00671B75" w:rsidP="00052A4A">
            <w:pPr>
              <w:pStyle w:val="ListParagraph"/>
              <w:widowControl w:val="0"/>
              <w:numPr>
                <w:ilvl w:val="0"/>
                <w:numId w:val="18"/>
              </w:numPr>
              <w:spacing w:after="0" w:line="240" w:lineRule="auto"/>
              <w:ind w:left="166" w:hanging="166"/>
              <w:contextualSpacing w:val="0"/>
              <w:jc w:val="both"/>
              <w:rPr>
                <w:rFonts w:cstheme="minorHAnsi"/>
              </w:rPr>
            </w:pPr>
            <w:r w:rsidRPr="00C56103">
              <w:rPr>
                <w:rFonts w:cstheme="minorHAnsi"/>
              </w:rPr>
              <w:t xml:space="preserve">Promotion of </w:t>
            </w:r>
            <w:r w:rsidRPr="00C56103">
              <w:rPr>
                <w:rFonts w:cstheme="minorHAnsi"/>
                <w:b/>
                <w:bCs/>
              </w:rPr>
              <w:t>consumer awareness of eco-labels</w:t>
            </w:r>
            <w:r w:rsidRPr="00C56103">
              <w:rPr>
                <w:rFonts w:cstheme="minorHAnsi"/>
              </w:rPr>
              <w:t xml:space="preserve"> for products from sustainable fisheries</w:t>
            </w:r>
          </w:p>
          <w:p w14:paraId="2A07AEA2" w14:textId="77777777" w:rsidR="00671B75" w:rsidRPr="00C56103" w:rsidRDefault="00671B75" w:rsidP="00052A4A">
            <w:pPr>
              <w:pStyle w:val="ListParagraph"/>
              <w:widowControl w:val="0"/>
              <w:numPr>
                <w:ilvl w:val="0"/>
                <w:numId w:val="18"/>
              </w:numPr>
              <w:spacing w:after="0" w:line="240" w:lineRule="auto"/>
              <w:ind w:left="166" w:hanging="166"/>
              <w:contextualSpacing w:val="0"/>
              <w:jc w:val="both"/>
              <w:rPr>
                <w:rFonts w:cstheme="minorHAnsi"/>
              </w:rPr>
            </w:pPr>
            <w:r w:rsidRPr="00C56103">
              <w:rPr>
                <w:rFonts w:cstheme="minorHAnsi"/>
                <w:b/>
                <w:bCs/>
              </w:rPr>
              <w:t xml:space="preserve">Accession to FAO </w:t>
            </w:r>
            <w:r w:rsidRPr="00C56103">
              <w:rPr>
                <w:rFonts w:cstheme="minorHAnsi"/>
                <w:b/>
                <w:bCs/>
                <w:iCs/>
              </w:rPr>
              <w:t>Agreement on Port State Measures</w:t>
            </w:r>
            <w:r w:rsidRPr="00C56103">
              <w:rPr>
                <w:rFonts w:cstheme="minorHAnsi"/>
                <w:iCs/>
              </w:rPr>
              <w:t xml:space="preserve"> to Prevent, Deter and Eliminate Illegal, Unreported and Unregulated Fishing</w:t>
            </w:r>
            <w:r w:rsidRPr="00C56103">
              <w:rPr>
                <w:rFonts w:cstheme="minorHAnsi"/>
              </w:rPr>
              <w:t xml:space="preserve"> in 2017.</w:t>
            </w:r>
          </w:p>
          <w:p w14:paraId="03C34F94" w14:textId="77777777" w:rsidR="00671B75" w:rsidRPr="00C56103" w:rsidRDefault="00671B75" w:rsidP="00052A4A">
            <w:pPr>
              <w:pStyle w:val="ListParagraph"/>
              <w:widowControl w:val="0"/>
              <w:numPr>
                <w:ilvl w:val="0"/>
                <w:numId w:val="18"/>
              </w:numPr>
              <w:spacing w:after="0" w:line="240" w:lineRule="auto"/>
              <w:ind w:left="166" w:hanging="166"/>
              <w:contextualSpacing w:val="0"/>
              <w:jc w:val="both"/>
              <w:rPr>
                <w:rFonts w:cstheme="minorHAnsi"/>
              </w:rPr>
            </w:pPr>
            <w:r w:rsidRPr="00C56103">
              <w:rPr>
                <w:rFonts w:cstheme="minorHAnsi"/>
              </w:rPr>
              <w:t xml:space="preserve">Several statutory regulations including an </w:t>
            </w:r>
            <w:r w:rsidRPr="00C56103">
              <w:rPr>
                <w:rFonts w:cstheme="minorHAnsi"/>
                <w:b/>
                <w:bCs/>
              </w:rPr>
              <w:t>area-based conservation measure</w:t>
            </w:r>
            <w:r w:rsidRPr="00C56103">
              <w:rPr>
                <w:rFonts w:cstheme="minorHAnsi"/>
              </w:rPr>
              <w:t xml:space="preserve"> to protect and enhance fisheries stocks, based on scientific stock assessments</w:t>
            </w:r>
          </w:p>
          <w:p w14:paraId="76D08241" w14:textId="77777777" w:rsidR="00671B75" w:rsidRPr="00C56103" w:rsidRDefault="00671B75" w:rsidP="00052A4A">
            <w:pPr>
              <w:pStyle w:val="ListParagraph"/>
              <w:widowControl w:val="0"/>
              <w:numPr>
                <w:ilvl w:val="0"/>
                <w:numId w:val="18"/>
              </w:numPr>
              <w:spacing w:after="0" w:line="240" w:lineRule="auto"/>
              <w:ind w:left="166" w:hanging="166"/>
              <w:contextualSpacing w:val="0"/>
              <w:jc w:val="both"/>
              <w:rPr>
                <w:rFonts w:cstheme="minorHAnsi"/>
              </w:rPr>
            </w:pPr>
            <w:r w:rsidRPr="00C56103">
              <w:rPr>
                <w:rFonts w:cstheme="minorHAnsi"/>
              </w:rPr>
              <w:t xml:space="preserve">Effective </w:t>
            </w:r>
            <w:r w:rsidRPr="00C56103">
              <w:rPr>
                <w:rFonts w:cstheme="minorHAnsi"/>
                <w:b/>
                <w:bCs/>
              </w:rPr>
              <w:t>conservation and restoration of seagrass beds and tidal flats</w:t>
            </w:r>
          </w:p>
        </w:tc>
      </w:tr>
      <w:tr w:rsidR="00671B75" w:rsidRPr="0006009D" w14:paraId="4FB2FBFB" w14:textId="77777777" w:rsidTr="00052A4A">
        <w:tc>
          <w:tcPr>
            <w:tcW w:w="1548" w:type="dxa"/>
            <w:gridSpan w:val="2"/>
          </w:tcPr>
          <w:p w14:paraId="0B4971F3"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Mexico</w:t>
            </w:r>
          </w:p>
        </w:tc>
        <w:tc>
          <w:tcPr>
            <w:tcW w:w="1530" w:type="dxa"/>
            <w:gridSpan w:val="2"/>
          </w:tcPr>
          <w:p w14:paraId="1BA51FE4" w14:textId="77777777" w:rsidR="00671B75" w:rsidRPr="00C56103" w:rsidRDefault="00671B75" w:rsidP="00052A4A">
            <w:pPr>
              <w:autoSpaceDE w:val="0"/>
              <w:autoSpaceDN w:val="0"/>
              <w:adjustRightInd w:val="0"/>
              <w:rPr>
                <w:sz w:val="22"/>
              </w:rPr>
            </w:pPr>
            <w:r w:rsidRPr="00C56103">
              <w:rPr>
                <w:rFonts w:cstheme="minorHAnsi"/>
                <w:sz w:val="22"/>
              </w:rPr>
              <w:t>Regulations:</w:t>
            </w:r>
            <w:r w:rsidRPr="00C56103">
              <w:rPr>
                <w:sz w:val="22"/>
              </w:rPr>
              <w:t xml:space="preserve"> NOM-046-SAG/PESC-2017 and NOM-044-SAG/PESC-2017</w:t>
            </w:r>
          </w:p>
          <w:p w14:paraId="28C5328A" w14:textId="77777777" w:rsidR="00671B75" w:rsidRPr="00C56103" w:rsidRDefault="00671B75" w:rsidP="00052A4A">
            <w:pPr>
              <w:autoSpaceDE w:val="0"/>
              <w:autoSpaceDN w:val="0"/>
              <w:adjustRightInd w:val="0"/>
              <w:ind w:left="166" w:hanging="180"/>
              <w:rPr>
                <w:sz w:val="22"/>
              </w:rPr>
            </w:pPr>
          </w:p>
          <w:p w14:paraId="3030A144" w14:textId="77777777" w:rsidR="00671B75" w:rsidRPr="00C56103" w:rsidRDefault="00671B75" w:rsidP="00052A4A">
            <w:pPr>
              <w:autoSpaceDE w:val="0"/>
              <w:autoSpaceDN w:val="0"/>
              <w:adjustRightInd w:val="0"/>
              <w:rPr>
                <w:sz w:val="22"/>
              </w:rPr>
            </w:pPr>
            <w:r w:rsidRPr="00C56103">
              <w:rPr>
                <w:sz w:val="22"/>
              </w:rPr>
              <w:t>Strategy for the conservation and sustainable use of biodiversity</w:t>
            </w:r>
          </w:p>
          <w:p w14:paraId="54A76BF8" w14:textId="77777777" w:rsidR="00671B75" w:rsidRPr="00C56103" w:rsidRDefault="00671B75" w:rsidP="00052A4A">
            <w:pPr>
              <w:autoSpaceDE w:val="0"/>
              <w:autoSpaceDN w:val="0"/>
              <w:adjustRightInd w:val="0"/>
              <w:ind w:left="166" w:hanging="180"/>
              <w:rPr>
                <w:rFonts w:cstheme="minorHAnsi"/>
                <w:sz w:val="22"/>
              </w:rPr>
            </w:pPr>
          </w:p>
          <w:p w14:paraId="35E5E0C3" w14:textId="77777777" w:rsidR="00671B75" w:rsidRPr="00C56103" w:rsidRDefault="00671B75" w:rsidP="00052A4A">
            <w:pPr>
              <w:autoSpaceDE w:val="0"/>
              <w:autoSpaceDN w:val="0"/>
              <w:adjustRightInd w:val="0"/>
              <w:rPr>
                <w:rFonts w:cstheme="minorHAnsi"/>
                <w:sz w:val="22"/>
              </w:rPr>
            </w:pPr>
            <w:r w:rsidRPr="00C56103">
              <w:rPr>
                <w:rFonts w:cstheme="minorHAnsi"/>
                <w:sz w:val="22"/>
              </w:rPr>
              <w:t>Other regulations are being prepared</w:t>
            </w:r>
          </w:p>
        </w:tc>
        <w:tc>
          <w:tcPr>
            <w:tcW w:w="11277" w:type="dxa"/>
          </w:tcPr>
          <w:p w14:paraId="4EEC603F" w14:textId="77777777" w:rsidR="00671B75" w:rsidRPr="00C56103" w:rsidRDefault="00671B75" w:rsidP="00052A4A">
            <w:pPr>
              <w:pStyle w:val="ListParagraph"/>
              <w:numPr>
                <w:ilvl w:val="0"/>
                <w:numId w:val="18"/>
              </w:numPr>
              <w:spacing w:after="0" w:line="240" w:lineRule="auto"/>
              <w:ind w:left="166" w:hanging="180"/>
              <w:jc w:val="both"/>
              <w:rPr>
                <w:rFonts w:eastAsia="Times New Roman"/>
                <w:lang w:val="en-US"/>
              </w:rPr>
            </w:pPr>
            <w:r w:rsidRPr="00C56103">
              <w:rPr>
                <w:rFonts w:eastAsia="Times New Roman"/>
                <w:color w:val="000000"/>
                <w:lang w:val="en-US"/>
              </w:rPr>
              <w:lastRenderedPageBreak/>
              <w:t>Gulf of Mexico:</w:t>
            </w:r>
            <w:r w:rsidRPr="00C56103">
              <w:rPr>
                <w:rFonts w:eastAsia="Times New Roman"/>
                <w:bCs/>
                <w:color w:val="000000"/>
                <w:lang w:val="en-US"/>
              </w:rPr>
              <w:t xml:space="preserve"> </w:t>
            </w:r>
            <w:r w:rsidRPr="00C56103">
              <w:rPr>
                <w:rFonts w:eastAsia="Times New Roman"/>
                <w:b/>
                <w:color w:val="000000"/>
                <w:lang w:val="en-US"/>
              </w:rPr>
              <w:t>Closure of all fisheries</w:t>
            </w:r>
            <w:r w:rsidRPr="00C56103">
              <w:rPr>
                <w:rFonts w:eastAsia="Times New Roman"/>
                <w:bCs/>
                <w:color w:val="000000"/>
                <w:lang w:val="en-US"/>
              </w:rPr>
              <w:t xml:space="preserve"> on groupers; </w:t>
            </w:r>
            <w:r w:rsidRPr="00C56103">
              <w:rPr>
                <w:rFonts w:eastAsia="Times New Roman"/>
                <w:lang w:val="en-US"/>
              </w:rPr>
              <w:t xml:space="preserve">Closed areas and seasons on all species of shrimp in marine and estuarine areas; Regulation of tuna </w:t>
            </w:r>
            <w:r w:rsidRPr="00C56103">
              <w:rPr>
                <w:rFonts w:eastAsia="Times New Roman"/>
                <w:bCs/>
                <w:color w:val="000000"/>
                <w:lang w:val="en-US"/>
              </w:rPr>
              <w:t xml:space="preserve">fishing in Mazatlan (Sinaloa): an example of highly selective fishing with lowest bycatch and reference on best fishing practices; Seasonal closures on queen conch (Quintana Roo); Seasons and area closures on coffee sea-cucumber </w:t>
            </w:r>
            <w:r w:rsidRPr="00C56103">
              <w:rPr>
                <w:rFonts w:eastAsia="Times New Roman"/>
                <w:bCs/>
                <w:i/>
                <w:color w:val="000000"/>
                <w:lang w:val="en-US"/>
              </w:rPr>
              <w:t>(Isostichopus badionatus</w:t>
            </w:r>
            <w:r w:rsidRPr="00C56103">
              <w:rPr>
                <w:rFonts w:eastAsia="Times New Roman"/>
                <w:bCs/>
                <w:color w:val="000000"/>
                <w:lang w:val="en-US"/>
              </w:rPr>
              <w:t>). Fishery refugia established in Quintana Roo.</w:t>
            </w:r>
          </w:p>
          <w:p w14:paraId="5D352EB2" w14:textId="77777777" w:rsidR="00671B75" w:rsidRPr="00C56103" w:rsidRDefault="00671B75" w:rsidP="00052A4A">
            <w:pPr>
              <w:pStyle w:val="ListParagraph"/>
              <w:numPr>
                <w:ilvl w:val="0"/>
                <w:numId w:val="18"/>
              </w:numPr>
              <w:spacing w:after="0" w:line="240" w:lineRule="auto"/>
              <w:ind w:left="166" w:hanging="180"/>
              <w:jc w:val="both"/>
              <w:rPr>
                <w:rFonts w:eastAsia="Times New Roman"/>
                <w:lang w:val="en-US"/>
              </w:rPr>
            </w:pPr>
            <w:r w:rsidRPr="00C56103">
              <w:rPr>
                <w:rFonts w:eastAsia="Times New Roman"/>
                <w:color w:val="000000"/>
                <w:lang w:val="en-US"/>
              </w:rPr>
              <w:t>Pacific Ocean</w:t>
            </w:r>
            <w:r w:rsidRPr="00C56103">
              <w:rPr>
                <w:rFonts w:eastAsia="Times New Roman"/>
                <w:lang w:val="en-US"/>
              </w:rPr>
              <w:t xml:space="preserve">: </w:t>
            </w:r>
            <w:r w:rsidRPr="00C56103">
              <w:rPr>
                <w:rFonts w:eastAsia="Times New Roman"/>
                <w:b/>
                <w:bCs/>
                <w:lang w:val="en-US"/>
              </w:rPr>
              <w:t>Closed seasons</w:t>
            </w:r>
            <w:r w:rsidRPr="00C56103">
              <w:rPr>
                <w:rFonts w:eastAsia="Times New Roman"/>
                <w:lang w:val="en-US"/>
              </w:rPr>
              <w:t xml:space="preserve"> introduced in the fisheries for: (i) shrimps, including the Gulf of California); (ii) tuna (</w:t>
            </w:r>
            <w:r w:rsidRPr="00C56103">
              <w:rPr>
                <w:rFonts w:eastAsia="Times New Roman"/>
                <w:i/>
                <w:lang w:val="en-US"/>
              </w:rPr>
              <w:t>T. Albacares; T. obesus; K. Pelamis</w:t>
            </w:r>
            <w:r w:rsidRPr="00C56103">
              <w:rPr>
                <w:rFonts w:eastAsia="Times New Roman"/>
                <w:lang w:val="en-US"/>
              </w:rPr>
              <w:t xml:space="preserve">). Closed season for purse-seining in the IATTC regulatory area; (iii) Abalone, with stock enhancement; Octopus, Baja California; Chocolate clam, Baja California; Catch limits implemented for </w:t>
            </w:r>
            <w:r w:rsidRPr="00C56103">
              <w:rPr>
                <w:rFonts w:eastAsia="Times New Roman"/>
                <w:lang w:val="en-US"/>
              </w:rPr>
              <w:lastRenderedPageBreak/>
              <w:t>croackers (</w:t>
            </w:r>
            <w:r w:rsidRPr="00C56103">
              <w:rPr>
                <w:rFonts w:eastAsia="Times New Roman"/>
                <w:i/>
                <w:lang w:val="en-US"/>
              </w:rPr>
              <w:t>Cynoscion orthonopterus</w:t>
            </w:r>
            <w:r w:rsidRPr="00C56103">
              <w:rPr>
                <w:rFonts w:eastAsia="Times New Roman"/>
                <w:lang w:val="en-US"/>
              </w:rPr>
              <w:t>) Gulf of California; Bluefin tuna (</w:t>
            </w:r>
            <w:r w:rsidRPr="00C56103">
              <w:rPr>
                <w:rFonts w:eastAsia="Times New Roman"/>
                <w:i/>
                <w:lang w:val="en-US"/>
              </w:rPr>
              <w:t>T, Orientalis</w:t>
            </w:r>
            <w:r w:rsidRPr="00C56103">
              <w:rPr>
                <w:rFonts w:eastAsia="Times New Roman"/>
                <w:lang w:val="en-US"/>
              </w:rPr>
              <w:t>) in the IATTC area; Fishery refugia established in the States of Sonora, Baja California; T</w:t>
            </w:r>
            <w:r w:rsidRPr="00C56103">
              <w:rPr>
                <w:rFonts w:eastAsia="Times New Roman"/>
                <w:bCs/>
                <w:color w:val="000000"/>
                <w:lang w:val="en-US"/>
              </w:rPr>
              <w:t>emporary p</w:t>
            </w:r>
            <w:r w:rsidRPr="00C56103">
              <w:rPr>
                <w:rFonts w:eastAsia="Times New Roman"/>
                <w:lang w:val="en-US"/>
              </w:rPr>
              <w:t xml:space="preserve">rohibition of gillnets and longlines in the Gulf of California; Control of small-scale fisheries in the Gulf of California; </w:t>
            </w:r>
            <w:r w:rsidRPr="00C56103">
              <w:rPr>
                <w:rFonts w:eastAsia="Times New Roman"/>
                <w:bCs/>
                <w:color w:val="000000"/>
                <w:lang w:val="en-US"/>
              </w:rPr>
              <w:t>Ef</w:t>
            </w:r>
            <w:r w:rsidRPr="00C56103">
              <w:rPr>
                <w:lang w:val="en-US"/>
              </w:rPr>
              <w:t>forts to obtain MSC certification of the Sardine fishery in the Pacific Ocean.</w:t>
            </w:r>
          </w:p>
          <w:p w14:paraId="5C4D4C63" w14:textId="77777777" w:rsidR="00671B75" w:rsidRPr="00C56103" w:rsidRDefault="00671B75" w:rsidP="00052A4A">
            <w:pPr>
              <w:pStyle w:val="ListParagraph"/>
              <w:numPr>
                <w:ilvl w:val="0"/>
                <w:numId w:val="18"/>
              </w:numPr>
              <w:spacing w:after="0" w:line="240" w:lineRule="auto"/>
              <w:ind w:left="166" w:hanging="180"/>
              <w:jc w:val="both"/>
              <w:rPr>
                <w:rFonts w:eastAsia="Times New Roman"/>
                <w:lang w:val="en-US"/>
              </w:rPr>
            </w:pPr>
            <w:r w:rsidRPr="00C56103">
              <w:rPr>
                <w:rFonts w:eastAsia="Times New Roman"/>
                <w:b/>
                <w:bCs/>
                <w:color w:val="000000"/>
                <w:lang w:val="en-US"/>
              </w:rPr>
              <w:t xml:space="preserve">Other regulations, </w:t>
            </w:r>
            <w:r w:rsidRPr="00C56103">
              <w:rPr>
                <w:rFonts w:eastAsia="Times New Roman"/>
                <w:color w:val="000000"/>
                <w:lang w:val="en-US"/>
              </w:rPr>
              <w:t>including</w:t>
            </w:r>
            <w:r w:rsidRPr="00C56103">
              <w:rPr>
                <w:rFonts w:eastAsia="Times New Roman"/>
                <w:b/>
                <w:bCs/>
                <w:color w:val="000000"/>
                <w:lang w:val="en-US"/>
              </w:rPr>
              <w:t xml:space="preserve"> </w:t>
            </w:r>
            <w:r w:rsidRPr="00C56103">
              <w:rPr>
                <w:rFonts w:eastAsia="Times New Roman"/>
                <w:bCs/>
                <w:color w:val="000000"/>
                <w:lang w:val="en-US"/>
              </w:rPr>
              <w:t>prohibition of retention of lobster catch on trawlers.</w:t>
            </w:r>
          </w:p>
          <w:p w14:paraId="1C78571F" w14:textId="77777777" w:rsidR="00671B75" w:rsidRPr="00C56103" w:rsidRDefault="00671B75" w:rsidP="00052A4A">
            <w:pPr>
              <w:pStyle w:val="ListParagraph"/>
              <w:numPr>
                <w:ilvl w:val="0"/>
                <w:numId w:val="18"/>
              </w:numPr>
              <w:spacing w:after="0" w:line="240" w:lineRule="auto"/>
              <w:ind w:left="166" w:hanging="180"/>
              <w:jc w:val="both"/>
              <w:rPr>
                <w:rFonts w:eastAsia="Times New Roman"/>
                <w:lang w:val="en-US"/>
              </w:rPr>
            </w:pPr>
            <w:r w:rsidRPr="00C56103">
              <w:rPr>
                <w:rFonts w:eastAsia="Times New Roman"/>
                <w:b/>
                <w:bCs/>
                <w:color w:val="000000"/>
                <w:lang w:val="en-US"/>
              </w:rPr>
              <w:t>Monitoring projects</w:t>
            </w:r>
            <w:r w:rsidRPr="00C56103">
              <w:rPr>
                <w:rFonts w:eastAsia="Times New Roman"/>
                <w:lang w:val="en-US"/>
              </w:rPr>
              <w:t xml:space="preserve"> for </w:t>
            </w:r>
            <w:r w:rsidRPr="00C56103">
              <w:rPr>
                <w:rFonts w:eastAsia="Times New Roman"/>
                <w:i/>
                <w:lang w:val="en-US"/>
              </w:rPr>
              <w:t xml:space="preserve">Curvina golfina; </w:t>
            </w:r>
            <w:r w:rsidRPr="00C56103">
              <w:rPr>
                <w:rFonts w:eastAsia="Times New Roman"/>
                <w:lang w:val="en-US"/>
              </w:rPr>
              <w:t>Fishing operations in the Upper Gulf of California (Pelagic data system).</w:t>
            </w:r>
          </w:p>
        </w:tc>
      </w:tr>
      <w:tr w:rsidR="00671B75" w:rsidRPr="0006009D" w14:paraId="0BD76958" w14:textId="77777777" w:rsidTr="00052A4A">
        <w:tc>
          <w:tcPr>
            <w:tcW w:w="1548" w:type="dxa"/>
            <w:gridSpan w:val="2"/>
          </w:tcPr>
          <w:p w14:paraId="20799D1C"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lastRenderedPageBreak/>
              <w:t>Norway</w:t>
            </w:r>
          </w:p>
        </w:tc>
        <w:tc>
          <w:tcPr>
            <w:tcW w:w="1530" w:type="dxa"/>
            <w:gridSpan w:val="2"/>
          </w:tcPr>
          <w:p w14:paraId="748CF53D" w14:textId="77777777" w:rsidR="00671B75" w:rsidRPr="00C56103" w:rsidRDefault="00671B75" w:rsidP="00052A4A">
            <w:pPr>
              <w:rPr>
                <w:sz w:val="22"/>
              </w:rPr>
            </w:pPr>
            <w:r w:rsidRPr="00C56103">
              <w:rPr>
                <w:rFonts w:cstheme="minorHAnsi"/>
                <w:sz w:val="22"/>
              </w:rPr>
              <w:t>New Marine Resources Act (2009)</w:t>
            </w:r>
            <w:r w:rsidRPr="00C56103">
              <w:rPr>
                <w:sz w:val="22"/>
              </w:rPr>
              <w:t xml:space="preserve"> </w:t>
            </w:r>
          </w:p>
          <w:p w14:paraId="5EA91C98" w14:textId="77777777" w:rsidR="00671B75" w:rsidRPr="00C56103" w:rsidRDefault="00671B75" w:rsidP="00052A4A">
            <w:pPr>
              <w:rPr>
                <w:sz w:val="22"/>
              </w:rPr>
            </w:pPr>
            <w:r w:rsidRPr="00C56103">
              <w:rPr>
                <w:sz w:val="22"/>
              </w:rPr>
              <w:t xml:space="preserve">Integrated (cross-sectoral) management plans for all Norwegian sea areas developed (2006-2013). </w:t>
            </w:r>
          </w:p>
          <w:p w14:paraId="18BAE1BE" w14:textId="77777777" w:rsidR="00671B75" w:rsidRPr="00C56103" w:rsidRDefault="00671B75" w:rsidP="00052A4A">
            <w:pPr>
              <w:rPr>
                <w:rFonts w:cstheme="minorHAnsi"/>
                <w:sz w:val="22"/>
              </w:rPr>
            </w:pPr>
          </w:p>
        </w:tc>
        <w:tc>
          <w:tcPr>
            <w:tcW w:w="11277" w:type="dxa"/>
          </w:tcPr>
          <w:p w14:paraId="5472E66D" w14:textId="77777777" w:rsidR="00671B75" w:rsidRPr="00C56103" w:rsidRDefault="00671B75" w:rsidP="00052A4A">
            <w:pPr>
              <w:pStyle w:val="ListParagraph"/>
              <w:numPr>
                <w:ilvl w:val="0"/>
                <w:numId w:val="18"/>
              </w:numPr>
              <w:spacing w:after="0" w:line="240" w:lineRule="auto"/>
              <w:ind w:left="166" w:hanging="180"/>
              <w:jc w:val="both"/>
              <w:rPr>
                <w:rFonts w:eastAsia="Times New Roman"/>
                <w:bCs/>
                <w:color w:val="000000"/>
                <w:lang w:val="en-US"/>
              </w:rPr>
            </w:pPr>
            <w:r w:rsidRPr="00C56103">
              <w:rPr>
                <w:rFonts w:eastAsia="Times New Roman"/>
                <w:b/>
                <w:color w:val="000000"/>
                <w:lang w:val="en-US"/>
              </w:rPr>
              <w:t>Integration of conservation and sustainable use</w:t>
            </w:r>
            <w:r w:rsidRPr="00C56103">
              <w:rPr>
                <w:rFonts w:eastAsia="Times New Roman"/>
                <w:bCs/>
                <w:color w:val="000000"/>
                <w:lang w:val="en-US"/>
              </w:rPr>
              <w:t>, and involvement of all</w:t>
            </w:r>
            <w:r w:rsidRPr="00C56103">
              <w:rPr>
                <w:rFonts w:cstheme="minorHAnsi"/>
                <w:lang w:val="en-US"/>
              </w:rPr>
              <w:t xml:space="preserve"> competent agencies in the planning process.</w:t>
            </w:r>
          </w:p>
          <w:p w14:paraId="56FECA79" w14:textId="77777777" w:rsidR="00671B75" w:rsidRPr="00C56103" w:rsidRDefault="00671B75" w:rsidP="00052A4A">
            <w:pPr>
              <w:pStyle w:val="ListParagraph"/>
              <w:numPr>
                <w:ilvl w:val="0"/>
                <w:numId w:val="18"/>
              </w:numPr>
              <w:spacing w:after="0" w:line="240" w:lineRule="auto"/>
              <w:ind w:left="166" w:hanging="180"/>
              <w:jc w:val="both"/>
              <w:rPr>
                <w:rFonts w:eastAsia="Times New Roman"/>
                <w:bCs/>
                <w:color w:val="000000"/>
                <w:lang w:val="en-US"/>
              </w:rPr>
            </w:pPr>
            <w:r w:rsidRPr="00C56103">
              <w:rPr>
                <w:rFonts w:eastAsia="Times New Roman"/>
                <w:bCs/>
                <w:color w:val="000000"/>
                <w:lang w:val="en-US"/>
              </w:rPr>
              <w:t xml:space="preserve">Confers to the Ministry an </w:t>
            </w:r>
            <w:r w:rsidRPr="00C56103">
              <w:rPr>
                <w:rFonts w:eastAsia="Times New Roman"/>
                <w:b/>
                <w:color w:val="000000"/>
                <w:lang w:val="en-US"/>
              </w:rPr>
              <w:t>obligation to evaluate whether continued fishing at the present scale is justifiable</w:t>
            </w:r>
            <w:r w:rsidRPr="00C56103">
              <w:rPr>
                <w:rFonts w:eastAsia="Times New Roman"/>
                <w:bCs/>
                <w:color w:val="000000"/>
                <w:lang w:val="en-US"/>
              </w:rPr>
              <w:t>, or whether improved management is required.</w:t>
            </w:r>
          </w:p>
          <w:p w14:paraId="07AA6CDC" w14:textId="77777777" w:rsidR="00671B75" w:rsidRPr="00C56103" w:rsidRDefault="00671B75" w:rsidP="00052A4A">
            <w:pPr>
              <w:pStyle w:val="ListParagraph"/>
              <w:numPr>
                <w:ilvl w:val="0"/>
                <w:numId w:val="18"/>
              </w:numPr>
              <w:spacing w:after="0" w:line="240" w:lineRule="auto"/>
              <w:ind w:left="166" w:hanging="180"/>
              <w:jc w:val="both"/>
              <w:rPr>
                <w:rFonts w:eastAsia="Times New Roman"/>
                <w:bCs/>
                <w:color w:val="000000"/>
                <w:lang w:val="en-US"/>
              </w:rPr>
            </w:pPr>
            <w:r w:rsidRPr="00C56103">
              <w:rPr>
                <w:rFonts w:eastAsia="Times New Roman"/>
                <w:b/>
                <w:color w:val="000000"/>
                <w:lang w:val="en-US"/>
              </w:rPr>
              <w:t>Mandatory application of the ecosystem approach</w:t>
            </w:r>
            <w:r w:rsidRPr="00C56103">
              <w:rPr>
                <w:rFonts w:eastAsia="Times New Roman"/>
                <w:bCs/>
                <w:color w:val="000000"/>
                <w:lang w:val="en-US"/>
              </w:rPr>
              <w:t xml:space="preserve"> for fisheries management, taking into account habitats and biodiversity (Art. 7)</w:t>
            </w:r>
          </w:p>
          <w:p w14:paraId="301EF2CA" w14:textId="77777777" w:rsidR="00671B75" w:rsidRPr="00C56103" w:rsidRDefault="00671B75" w:rsidP="00052A4A">
            <w:pPr>
              <w:pStyle w:val="ListParagraph"/>
              <w:numPr>
                <w:ilvl w:val="0"/>
                <w:numId w:val="18"/>
              </w:numPr>
              <w:spacing w:after="0" w:line="240" w:lineRule="auto"/>
              <w:ind w:left="166" w:hanging="180"/>
              <w:jc w:val="both"/>
              <w:rPr>
                <w:rFonts w:eastAsia="Times New Roman"/>
                <w:bCs/>
                <w:color w:val="000000"/>
                <w:lang w:val="en-US"/>
              </w:rPr>
            </w:pPr>
            <w:r w:rsidRPr="00C56103">
              <w:rPr>
                <w:rFonts w:eastAsia="Times New Roman"/>
                <w:b/>
                <w:color w:val="000000"/>
                <w:lang w:val="en-US"/>
              </w:rPr>
              <w:t>Objectives</w:t>
            </w:r>
            <w:r w:rsidRPr="00C56103">
              <w:rPr>
                <w:rFonts w:eastAsia="Times New Roman"/>
                <w:bCs/>
                <w:color w:val="000000"/>
                <w:lang w:val="en-US"/>
              </w:rPr>
              <w:t>: increase and optimize long-term economic output; Integrate species interactions, bycatch, habitats impact; Control fishing capacity</w:t>
            </w:r>
          </w:p>
          <w:p w14:paraId="2E54F212" w14:textId="77777777" w:rsidR="00671B75" w:rsidRPr="00C56103" w:rsidRDefault="00671B75" w:rsidP="00052A4A">
            <w:pPr>
              <w:pStyle w:val="ListParagraph"/>
              <w:numPr>
                <w:ilvl w:val="0"/>
                <w:numId w:val="18"/>
              </w:numPr>
              <w:spacing w:after="0" w:line="240" w:lineRule="auto"/>
              <w:ind w:left="166" w:hanging="180"/>
              <w:jc w:val="both"/>
              <w:rPr>
                <w:rFonts w:eastAsia="Times New Roman"/>
                <w:bCs/>
                <w:color w:val="000000"/>
                <w:lang w:val="en-US"/>
              </w:rPr>
            </w:pPr>
            <w:r w:rsidRPr="00C56103">
              <w:rPr>
                <w:rFonts w:eastAsia="Times New Roman"/>
                <w:b/>
                <w:color w:val="000000"/>
                <w:lang w:val="en-US"/>
              </w:rPr>
              <w:t>Measures include</w:t>
            </w:r>
            <w:r w:rsidRPr="00C56103">
              <w:rPr>
                <w:rFonts w:eastAsia="Times New Roman"/>
                <w:bCs/>
                <w:color w:val="000000"/>
                <w:lang w:val="en-US"/>
              </w:rPr>
              <w:t xml:space="preserve">: Stakeholders’ participation; Harvest control Riles (HCRs); depleted stocks rebuilding; Improvement of fishing patterns; reduction of discards; Stock and fisheries synoptic tables; efforts on data-poor stocks (using IUCN Red List); </w:t>
            </w:r>
          </w:p>
        </w:tc>
      </w:tr>
      <w:tr w:rsidR="00671B75" w:rsidRPr="00042F17" w14:paraId="70360ED3" w14:textId="77777777" w:rsidTr="00052A4A">
        <w:tc>
          <w:tcPr>
            <w:tcW w:w="1548" w:type="dxa"/>
            <w:gridSpan w:val="2"/>
            <w:vMerge w:val="restart"/>
          </w:tcPr>
          <w:p w14:paraId="61F10F69"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USA</w:t>
            </w:r>
          </w:p>
          <w:p w14:paraId="77E9230E" w14:textId="77777777" w:rsidR="00671B75" w:rsidRPr="00C56103" w:rsidRDefault="00671B75" w:rsidP="00052A4A">
            <w:pPr>
              <w:autoSpaceDE w:val="0"/>
              <w:autoSpaceDN w:val="0"/>
              <w:adjustRightInd w:val="0"/>
              <w:jc w:val="center"/>
              <w:rPr>
                <w:rFonts w:cstheme="minorHAnsi"/>
                <w:b/>
                <w:sz w:val="22"/>
              </w:rPr>
            </w:pPr>
          </w:p>
        </w:tc>
        <w:tc>
          <w:tcPr>
            <w:tcW w:w="1530" w:type="dxa"/>
            <w:gridSpan w:val="2"/>
            <w:vMerge w:val="restart"/>
          </w:tcPr>
          <w:p w14:paraId="45F2D037" w14:textId="77777777" w:rsidR="00671B75" w:rsidRPr="00C56103" w:rsidRDefault="00671B75" w:rsidP="00052A4A">
            <w:pPr>
              <w:autoSpaceDE w:val="0"/>
              <w:autoSpaceDN w:val="0"/>
              <w:adjustRightInd w:val="0"/>
              <w:rPr>
                <w:rFonts w:cstheme="minorHAnsi"/>
                <w:sz w:val="22"/>
              </w:rPr>
            </w:pPr>
            <w:r w:rsidRPr="00C56103">
              <w:rPr>
                <w:rFonts w:cstheme="minorHAnsi"/>
                <w:sz w:val="22"/>
              </w:rPr>
              <w:t>N/A</w:t>
            </w:r>
          </w:p>
        </w:tc>
        <w:tc>
          <w:tcPr>
            <w:tcW w:w="11277" w:type="dxa"/>
          </w:tcPr>
          <w:p w14:paraId="0F2A98D6"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b/>
                <w:lang w:val="en-US"/>
              </w:rPr>
              <w:t>Ecological measures</w:t>
            </w:r>
            <w:r w:rsidRPr="00C56103">
              <w:rPr>
                <w:rFonts w:cstheme="minorHAnsi"/>
                <w:lang w:val="en-US"/>
              </w:rPr>
              <w:t>: To reduce conflict between double-crested cormorants conservation and aquaculture production.</w:t>
            </w:r>
          </w:p>
        </w:tc>
      </w:tr>
      <w:tr w:rsidR="00671B75" w:rsidRPr="00042F17" w14:paraId="7C35AF05" w14:textId="77777777" w:rsidTr="00052A4A">
        <w:tc>
          <w:tcPr>
            <w:tcW w:w="1548" w:type="dxa"/>
            <w:gridSpan w:val="2"/>
            <w:vMerge/>
            <w:tcBorders>
              <w:bottom w:val="single" w:sz="4" w:space="0" w:color="auto"/>
            </w:tcBorders>
          </w:tcPr>
          <w:p w14:paraId="64E3A09F" w14:textId="77777777" w:rsidR="00671B75" w:rsidRPr="00C56103" w:rsidRDefault="00671B75" w:rsidP="00052A4A">
            <w:pPr>
              <w:autoSpaceDE w:val="0"/>
              <w:autoSpaceDN w:val="0"/>
              <w:adjustRightInd w:val="0"/>
              <w:jc w:val="center"/>
              <w:rPr>
                <w:rFonts w:cstheme="minorHAnsi"/>
                <w:b/>
                <w:sz w:val="22"/>
              </w:rPr>
            </w:pPr>
          </w:p>
        </w:tc>
        <w:tc>
          <w:tcPr>
            <w:tcW w:w="1530" w:type="dxa"/>
            <w:gridSpan w:val="2"/>
            <w:vMerge/>
            <w:tcBorders>
              <w:bottom w:val="single" w:sz="4" w:space="0" w:color="auto"/>
            </w:tcBorders>
          </w:tcPr>
          <w:p w14:paraId="0B95EA3A" w14:textId="77777777" w:rsidR="00671B75" w:rsidRPr="00C56103" w:rsidRDefault="00671B75" w:rsidP="00052A4A">
            <w:pPr>
              <w:autoSpaceDE w:val="0"/>
              <w:autoSpaceDN w:val="0"/>
              <w:adjustRightInd w:val="0"/>
              <w:rPr>
                <w:rFonts w:cstheme="minorHAnsi"/>
                <w:sz w:val="22"/>
              </w:rPr>
            </w:pPr>
          </w:p>
        </w:tc>
        <w:tc>
          <w:tcPr>
            <w:tcW w:w="11277" w:type="dxa"/>
            <w:tcBorders>
              <w:bottom w:val="single" w:sz="4" w:space="0" w:color="auto"/>
            </w:tcBorders>
          </w:tcPr>
          <w:p w14:paraId="11476D38" w14:textId="77777777" w:rsidR="00671B75" w:rsidRPr="00C56103" w:rsidRDefault="00671B75" w:rsidP="00052A4A">
            <w:pPr>
              <w:pStyle w:val="ListParagraph"/>
              <w:numPr>
                <w:ilvl w:val="0"/>
                <w:numId w:val="18"/>
              </w:numPr>
              <w:autoSpaceDE w:val="0"/>
              <w:autoSpaceDN w:val="0"/>
              <w:adjustRightInd w:val="0"/>
              <w:spacing w:after="0" w:line="240" w:lineRule="auto"/>
              <w:ind w:left="166" w:hanging="166"/>
              <w:rPr>
                <w:rFonts w:cstheme="minorHAnsi"/>
                <w:lang w:val="en-US"/>
              </w:rPr>
            </w:pPr>
            <w:r w:rsidRPr="00C56103">
              <w:rPr>
                <w:rFonts w:cstheme="minorHAnsi"/>
                <w:b/>
                <w:lang w:val="en-US"/>
              </w:rPr>
              <w:t>Research:</w:t>
            </w:r>
            <w:r w:rsidRPr="00C56103">
              <w:rPr>
                <w:rFonts w:cstheme="minorHAnsi"/>
                <w:lang w:val="en-US"/>
              </w:rPr>
              <w:t xml:space="preserve"> (i) Predicting climate change impacts on river ecosystems and salmonids across the Pacific Northwest; (ii) </w:t>
            </w:r>
            <w:r w:rsidRPr="00C56103">
              <w:rPr>
                <w:bCs/>
              </w:rPr>
              <w:t xml:space="preserve">Developing fish trophic interaction indicators of climate change for the great lakes; (iii) </w:t>
            </w:r>
            <w:r w:rsidRPr="00C56103">
              <w:rPr>
                <w:rFonts w:cstheme="minorHAnsi"/>
                <w:lang w:val="en-US"/>
              </w:rPr>
              <w:t>Linking river management to species conservation; (iv) Connecting food-web dynamics to changes in multispecies assemblages to inform fisheries management; (v) promotion of Ecosystem-Based Fisheries Management (EBFM); (vi) Incorporating climate change considerations into fisheries management.</w:t>
            </w:r>
          </w:p>
        </w:tc>
      </w:tr>
      <w:tr w:rsidR="00671B75" w:rsidRPr="00042F17" w14:paraId="2F9B7E88" w14:textId="77777777" w:rsidTr="00052A4A">
        <w:trPr>
          <w:trHeight w:val="512"/>
        </w:trPr>
        <w:tc>
          <w:tcPr>
            <w:tcW w:w="14355" w:type="dxa"/>
            <w:gridSpan w:val="5"/>
            <w:shd w:val="pct12" w:color="auto" w:fill="auto"/>
          </w:tcPr>
          <w:p w14:paraId="32883D11" w14:textId="77777777" w:rsidR="00671B75" w:rsidRPr="00C56103" w:rsidRDefault="00671B75" w:rsidP="00052A4A">
            <w:pPr>
              <w:autoSpaceDE w:val="0"/>
              <w:autoSpaceDN w:val="0"/>
              <w:adjustRightInd w:val="0"/>
              <w:jc w:val="center"/>
              <w:rPr>
                <w:rFonts w:cstheme="minorHAnsi"/>
              </w:rPr>
            </w:pPr>
            <w:r w:rsidRPr="00C56103">
              <w:rPr>
                <w:rFonts w:cstheme="minorHAnsi"/>
                <w:b/>
              </w:rPr>
              <w:t>ORGANIZATIONS</w:t>
            </w:r>
          </w:p>
        </w:tc>
      </w:tr>
      <w:tr w:rsidR="00A474F2" w:rsidRPr="00042F17" w14:paraId="308B4AE6" w14:textId="77777777" w:rsidTr="00052A4A">
        <w:trPr>
          <w:trHeight w:val="395"/>
        </w:trPr>
        <w:tc>
          <w:tcPr>
            <w:tcW w:w="1548" w:type="dxa"/>
            <w:gridSpan w:val="2"/>
          </w:tcPr>
          <w:p w14:paraId="5DC82C2B" w14:textId="77777777" w:rsidR="00A474F2" w:rsidRDefault="00A474F2" w:rsidP="00052A4A">
            <w:pPr>
              <w:autoSpaceDE w:val="0"/>
              <w:autoSpaceDN w:val="0"/>
              <w:adjustRightInd w:val="0"/>
              <w:jc w:val="center"/>
              <w:rPr>
                <w:rFonts w:cstheme="minorHAnsi"/>
                <w:b/>
                <w:sz w:val="22"/>
              </w:rPr>
            </w:pPr>
            <w:r>
              <w:rPr>
                <w:rFonts w:cstheme="minorHAnsi"/>
                <w:b/>
                <w:sz w:val="22"/>
              </w:rPr>
              <w:t xml:space="preserve">United Nations Food </w:t>
            </w:r>
            <w:r>
              <w:rPr>
                <w:rFonts w:cstheme="minorHAnsi"/>
                <w:b/>
                <w:sz w:val="22"/>
              </w:rPr>
              <w:lastRenderedPageBreak/>
              <w:t xml:space="preserve">and Agriculture Organization </w:t>
            </w:r>
          </w:p>
          <w:p w14:paraId="3F92AE62" w14:textId="63534F67" w:rsidR="00A474F2" w:rsidRPr="00C56103" w:rsidRDefault="00A474F2" w:rsidP="00052A4A">
            <w:pPr>
              <w:autoSpaceDE w:val="0"/>
              <w:autoSpaceDN w:val="0"/>
              <w:adjustRightInd w:val="0"/>
              <w:jc w:val="center"/>
              <w:rPr>
                <w:rFonts w:cstheme="minorHAnsi"/>
                <w:b/>
                <w:sz w:val="22"/>
              </w:rPr>
            </w:pPr>
            <w:r>
              <w:rPr>
                <w:rFonts w:cstheme="minorHAnsi"/>
                <w:b/>
                <w:sz w:val="22"/>
              </w:rPr>
              <w:t>(FAO)</w:t>
            </w:r>
          </w:p>
        </w:tc>
        <w:tc>
          <w:tcPr>
            <w:tcW w:w="1530" w:type="dxa"/>
            <w:gridSpan w:val="2"/>
          </w:tcPr>
          <w:p w14:paraId="7938ACC8" w14:textId="0E19FDD5" w:rsidR="00A474F2" w:rsidRPr="00C56103" w:rsidRDefault="00A474F2" w:rsidP="00052A4A">
            <w:pPr>
              <w:autoSpaceDE w:val="0"/>
              <w:autoSpaceDN w:val="0"/>
              <w:adjustRightInd w:val="0"/>
              <w:rPr>
                <w:rFonts w:cstheme="minorHAnsi"/>
                <w:sz w:val="22"/>
              </w:rPr>
            </w:pPr>
            <w:r>
              <w:rPr>
                <w:rFonts w:cstheme="minorHAnsi"/>
                <w:sz w:val="22"/>
              </w:rPr>
              <w:lastRenderedPageBreak/>
              <w:t xml:space="preserve">Publication of a review of </w:t>
            </w:r>
            <w:r>
              <w:rPr>
                <w:rFonts w:cstheme="minorHAnsi"/>
                <w:sz w:val="22"/>
              </w:rPr>
              <w:lastRenderedPageBreak/>
              <w:t>Mainstreaming of Biodiversity in Fisheries</w:t>
            </w:r>
          </w:p>
        </w:tc>
        <w:tc>
          <w:tcPr>
            <w:tcW w:w="11277" w:type="dxa"/>
          </w:tcPr>
          <w:p w14:paraId="162B9EEF" w14:textId="77777777" w:rsidR="00A474F2" w:rsidRPr="00534338" w:rsidRDefault="00A474F2" w:rsidP="00052A4A">
            <w:pPr>
              <w:pStyle w:val="ListParagraph"/>
              <w:numPr>
                <w:ilvl w:val="0"/>
                <w:numId w:val="18"/>
              </w:numPr>
              <w:autoSpaceDE w:val="0"/>
              <w:autoSpaceDN w:val="0"/>
              <w:adjustRightInd w:val="0"/>
              <w:spacing w:after="0" w:line="240" w:lineRule="auto"/>
              <w:ind w:left="166" w:hanging="180"/>
              <w:rPr>
                <w:color w:val="000000" w:themeColor="text1"/>
              </w:rPr>
            </w:pPr>
            <w:r w:rsidRPr="00534338">
              <w:rPr>
                <w:rFonts w:cstheme="minorHAnsi"/>
                <w:lang w:val="en-US"/>
              </w:rPr>
              <w:lastRenderedPageBreak/>
              <w:t xml:space="preserve">The Food and Agriculture Organization of the UN, in order to describe the historical and current consideration of biodiversity across fisheries, collaborated with the International Union for Conservation of Nature - Commission on </w:t>
            </w:r>
            <w:r w:rsidRPr="00534338">
              <w:rPr>
                <w:rFonts w:cstheme="minorHAnsi"/>
                <w:lang w:val="en-US"/>
              </w:rPr>
              <w:lastRenderedPageBreak/>
              <w:t>Ecosystem Management - Fisheries Expert Group (IUCN/CEM/FEG) to prepare a journal article on the subject of “Mainstreaming Biodiversity in Fisheries”. This journal article was been published in Marine Policy.</w:t>
            </w:r>
            <w:r>
              <w:rPr>
                <w:rFonts w:cstheme="minorHAnsi"/>
                <w:lang w:val="en-US"/>
              </w:rPr>
              <w:t xml:space="preserve"> </w:t>
            </w:r>
            <w:r w:rsidRPr="00534338">
              <w:rPr>
                <w:rFonts w:cstheme="minorHAnsi"/>
                <w:lang w:val="en-US"/>
              </w:rPr>
              <w:t xml:space="preserve">The journal article highlights the journey that the fisheries sector has taken in conserving biodiversity, its successes, on-going deficiencies and gaps. The publication also suggests what further work is needed to realize full coherence of legal frameworks, policies and practices across fisheries (and environment) streams. Within the article, real examples are given with suggestions of how to further strengthen cross-sectoral collaboration in mainstreaming. </w:t>
            </w:r>
          </w:p>
          <w:p w14:paraId="0E4963EE" w14:textId="227D0666" w:rsidR="00A474F2" w:rsidRPr="00C56103" w:rsidRDefault="00A474F2" w:rsidP="00052A4A">
            <w:pPr>
              <w:pStyle w:val="ListParagraph"/>
              <w:numPr>
                <w:ilvl w:val="0"/>
                <w:numId w:val="18"/>
              </w:numPr>
              <w:autoSpaceDE w:val="0"/>
              <w:autoSpaceDN w:val="0"/>
              <w:adjustRightInd w:val="0"/>
              <w:spacing w:after="0" w:line="240" w:lineRule="auto"/>
              <w:ind w:left="166" w:hanging="180"/>
              <w:rPr>
                <w:rFonts w:cstheme="minorHAnsi"/>
                <w:lang w:val="en-US"/>
              </w:rPr>
            </w:pPr>
            <w:r>
              <w:rPr>
                <w:rFonts w:cstheme="minorHAnsi"/>
                <w:lang w:val="en-US"/>
              </w:rPr>
              <w:t xml:space="preserve">Reference: </w:t>
            </w:r>
            <w:r w:rsidRPr="00534338">
              <w:rPr>
                <w:rFonts w:cstheme="minorHAnsi"/>
                <w:lang w:val="en-US"/>
              </w:rPr>
              <w:t xml:space="preserve">Friedman, K., Garcia, S., Rice, J. 2018 Mainstreaming biodiversity in fisheries. Marine Policy. </w:t>
            </w:r>
            <w:hyperlink r:id="rId15" w:history="1">
              <w:r w:rsidRPr="00762A94">
                <w:rPr>
                  <w:rStyle w:val="Hyperlink"/>
                  <w:rFonts w:cstheme="minorHAnsi"/>
                  <w:sz w:val="22"/>
                  <w:lang w:val="en-US"/>
                </w:rPr>
                <w:t>https://doi.org/10.1016/j.marpol.2018.03.001</w:t>
              </w:r>
            </w:hyperlink>
            <w:r>
              <w:rPr>
                <w:rFonts w:cstheme="minorHAnsi"/>
                <w:lang w:val="en-US"/>
              </w:rPr>
              <w:t xml:space="preserve">, </w:t>
            </w:r>
            <w:r w:rsidRPr="00534338">
              <w:rPr>
                <w:rFonts w:cstheme="minorHAnsi"/>
                <w:lang w:val="en-US"/>
              </w:rPr>
              <w:t xml:space="preserve">(https://www.iucn.org/sites/dev/files/content/documents/2018._friedman_et_al._mainstreaming_biodiversity_concerns_in_fisheries_0.pdf). </w:t>
            </w:r>
          </w:p>
        </w:tc>
      </w:tr>
      <w:tr w:rsidR="00671B75" w:rsidRPr="00042F17" w14:paraId="24E82D45" w14:textId="77777777" w:rsidTr="00052A4A">
        <w:trPr>
          <w:trHeight w:val="395"/>
        </w:trPr>
        <w:tc>
          <w:tcPr>
            <w:tcW w:w="1548" w:type="dxa"/>
            <w:gridSpan w:val="2"/>
          </w:tcPr>
          <w:p w14:paraId="7B51FA93"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lastRenderedPageBreak/>
              <w:t>North-East Atlantic Fisheries Commission (NEAFC)</w:t>
            </w:r>
          </w:p>
        </w:tc>
        <w:tc>
          <w:tcPr>
            <w:tcW w:w="1530" w:type="dxa"/>
            <w:gridSpan w:val="2"/>
          </w:tcPr>
          <w:p w14:paraId="1306CB12" w14:textId="77777777" w:rsidR="00671B75" w:rsidRPr="00C56103" w:rsidRDefault="00671B75" w:rsidP="00052A4A">
            <w:pPr>
              <w:autoSpaceDE w:val="0"/>
              <w:autoSpaceDN w:val="0"/>
              <w:adjustRightInd w:val="0"/>
              <w:rPr>
                <w:rFonts w:cstheme="minorHAnsi"/>
                <w:sz w:val="22"/>
              </w:rPr>
            </w:pPr>
            <w:r w:rsidRPr="00C56103">
              <w:rPr>
                <w:rFonts w:cstheme="minorHAnsi"/>
                <w:sz w:val="22"/>
              </w:rPr>
              <w:t>Convention amended in 2006 to broaden the mandate from target stocks to other parts of the ecosystem and biodiversity;</w:t>
            </w:r>
          </w:p>
          <w:p w14:paraId="06A93A26" w14:textId="77777777" w:rsidR="00671B75" w:rsidRPr="00C56103" w:rsidRDefault="00671B75" w:rsidP="00052A4A">
            <w:pPr>
              <w:autoSpaceDE w:val="0"/>
              <w:autoSpaceDN w:val="0"/>
              <w:adjustRightInd w:val="0"/>
              <w:ind w:left="166" w:hanging="180"/>
              <w:rPr>
                <w:rFonts w:cstheme="minorHAnsi"/>
                <w:sz w:val="22"/>
              </w:rPr>
            </w:pPr>
          </w:p>
          <w:p w14:paraId="252877A8" w14:textId="77777777" w:rsidR="00671B75" w:rsidRPr="00C56103" w:rsidRDefault="00671B75" w:rsidP="00052A4A">
            <w:pPr>
              <w:autoSpaceDE w:val="0"/>
              <w:autoSpaceDN w:val="0"/>
              <w:adjustRightInd w:val="0"/>
              <w:rPr>
                <w:rFonts w:cstheme="minorHAnsi"/>
                <w:sz w:val="22"/>
              </w:rPr>
            </w:pPr>
            <w:r w:rsidRPr="00C56103">
              <w:rPr>
                <w:rFonts w:cstheme="minorHAnsi"/>
                <w:sz w:val="22"/>
              </w:rPr>
              <w:t xml:space="preserve">2008 Recommendation on bottom fishing </w:t>
            </w:r>
          </w:p>
          <w:p w14:paraId="1C83362F" w14:textId="77777777" w:rsidR="00671B75" w:rsidRPr="00C56103" w:rsidRDefault="00671B75" w:rsidP="00052A4A">
            <w:pPr>
              <w:autoSpaceDE w:val="0"/>
              <w:autoSpaceDN w:val="0"/>
              <w:adjustRightInd w:val="0"/>
              <w:ind w:left="166" w:hanging="180"/>
              <w:rPr>
                <w:rFonts w:cstheme="minorHAnsi"/>
                <w:sz w:val="22"/>
              </w:rPr>
            </w:pPr>
          </w:p>
          <w:p w14:paraId="70C26DDB" w14:textId="77777777" w:rsidR="00671B75" w:rsidRPr="00C56103" w:rsidRDefault="00671B75" w:rsidP="00052A4A">
            <w:pPr>
              <w:autoSpaceDE w:val="0"/>
              <w:autoSpaceDN w:val="0"/>
              <w:adjustRightInd w:val="0"/>
              <w:rPr>
                <w:rFonts w:cstheme="minorHAnsi"/>
                <w:sz w:val="22"/>
              </w:rPr>
            </w:pPr>
            <w:r w:rsidRPr="00C56103">
              <w:rPr>
                <w:rFonts w:cstheme="minorHAnsi"/>
                <w:sz w:val="22"/>
              </w:rPr>
              <w:t>Agreement with ICES to produce scientific advice (2015)</w:t>
            </w:r>
          </w:p>
        </w:tc>
        <w:tc>
          <w:tcPr>
            <w:tcW w:w="11277" w:type="dxa"/>
          </w:tcPr>
          <w:p w14:paraId="6DFD6105" w14:textId="77777777" w:rsidR="00671B75" w:rsidRPr="00C56103" w:rsidRDefault="00671B75" w:rsidP="00052A4A">
            <w:pPr>
              <w:pStyle w:val="ListParagraph"/>
              <w:numPr>
                <w:ilvl w:val="0"/>
                <w:numId w:val="18"/>
              </w:numPr>
              <w:autoSpaceDE w:val="0"/>
              <w:autoSpaceDN w:val="0"/>
              <w:adjustRightInd w:val="0"/>
              <w:spacing w:after="0" w:line="240" w:lineRule="auto"/>
              <w:ind w:left="166" w:hanging="180"/>
              <w:rPr>
                <w:color w:val="000000" w:themeColor="text1"/>
              </w:rPr>
            </w:pPr>
            <w:r w:rsidRPr="00C56103">
              <w:rPr>
                <w:rFonts w:cstheme="minorHAnsi"/>
                <w:lang w:val="en-US"/>
              </w:rPr>
              <w:t xml:space="preserve">Focus on </w:t>
            </w:r>
            <w:r w:rsidRPr="00C56103">
              <w:rPr>
                <w:rFonts w:cstheme="minorHAnsi"/>
                <w:b/>
                <w:bCs/>
                <w:lang w:val="en-US"/>
              </w:rPr>
              <w:t>species interactions, habitats</w:t>
            </w:r>
            <w:r w:rsidRPr="00C56103">
              <w:rPr>
                <w:rFonts w:cstheme="minorHAnsi"/>
                <w:lang w:val="en-US"/>
              </w:rPr>
              <w:t xml:space="preserve"> and </w:t>
            </w:r>
            <w:r w:rsidRPr="00C56103">
              <w:rPr>
                <w:rFonts w:cstheme="minorHAnsi"/>
                <w:b/>
                <w:bCs/>
                <w:lang w:val="en-US"/>
              </w:rPr>
              <w:t>climate change</w:t>
            </w:r>
            <w:r w:rsidRPr="00C56103">
              <w:rPr>
                <w:rFonts w:cstheme="minorHAnsi"/>
                <w:lang w:val="en-US"/>
              </w:rPr>
              <w:t xml:space="preserve"> impacts. </w:t>
            </w:r>
          </w:p>
          <w:p w14:paraId="2C7FDD67" w14:textId="77777777" w:rsidR="00671B75" w:rsidRPr="00C56103" w:rsidRDefault="00671B75" w:rsidP="00052A4A">
            <w:pPr>
              <w:pStyle w:val="ListParagraph"/>
              <w:numPr>
                <w:ilvl w:val="0"/>
                <w:numId w:val="18"/>
              </w:numPr>
              <w:autoSpaceDE w:val="0"/>
              <w:autoSpaceDN w:val="0"/>
              <w:adjustRightInd w:val="0"/>
              <w:spacing w:after="0" w:line="240" w:lineRule="auto"/>
              <w:ind w:left="166" w:hanging="180"/>
              <w:rPr>
                <w:color w:val="000000" w:themeColor="text1"/>
              </w:rPr>
            </w:pPr>
            <w:r w:rsidRPr="00C56103">
              <w:rPr>
                <w:color w:val="000000" w:themeColor="text1"/>
              </w:rPr>
              <w:t xml:space="preserve">Most of NEAFC regulatory area is subject to either a </w:t>
            </w:r>
            <w:r w:rsidRPr="00C56103">
              <w:rPr>
                <w:b/>
                <w:bCs/>
                <w:color w:val="000000" w:themeColor="text1"/>
              </w:rPr>
              <w:t xml:space="preserve">prohibition or severe restrictions on bottom fishing </w:t>
            </w:r>
            <w:r w:rsidRPr="00C56103">
              <w:rPr>
                <w:color w:val="000000" w:themeColor="text1"/>
              </w:rPr>
              <w:t>as well as restrictions to fisheries of certain deep-sea stocks and vulnerable species such as sharks.</w:t>
            </w:r>
          </w:p>
          <w:p w14:paraId="405D7124" w14:textId="77777777" w:rsidR="00671B75" w:rsidRPr="00C56103" w:rsidRDefault="00671B75" w:rsidP="00052A4A">
            <w:pPr>
              <w:pStyle w:val="ListParagraph"/>
              <w:numPr>
                <w:ilvl w:val="0"/>
                <w:numId w:val="18"/>
              </w:numPr>
              <w:autoSpaceDE w:val="0"/>
              <w:autoSpaceDN w:val="0"/>
              <w:adjustRightInd w:val="0"/>
              <w:spacing w:after="0" w:line="240" w:lineRule="auto"/>
              <w:ind w:left="166" w:hanging="180"/>
              <w:rPr>
                <w:rFonts w:cstheme="minorHAnsi"/>
                <w:lang w:val="en-US"/>
              </w:rPr>
            </w:pPr>
            <w:r w:rsidRPr="00C56103">
              <w:rPr>
                <w:rFonts w:cstheme="minorHAnsi"/>
                <w:lang w:val="en-US"/>
              </w:rPr>
              <w:t>Increased attention to deep-sea resources in late 1990s and 200s.</w:t>
            </w:r>
          </w:p>
          <w:p w14:paraId="5BCA38CF" w14:textId="77777777" w:rsidR="00671B75" w:rsidRPr="00C56103" w:rsidRDefault="00671B75" w:rsidP="00052A4A">
            <w:pPr>
              <w:pStyle w:val="ListParagraph"/>
              <w:numPr>
                <w:ilvl w:val="0"/>
                <w:numId w:val="18"/>
              </w:numPr>
              <w:autoSpaceDE w:val="0"/>
              <w:autoSpaceDN w:val="0"/>
              <w:adjustRightInd w:val="0"/>
              <w:spacing w:after="0" w:line="240" w:lineRule="auto"/>
              <w:ind w:left="166" w:hanging="180"/>
              <w:rPr>
                <w:rFonts w:cstheme="minorHAnsi"/>
                <w:lang w:val="en-US"/>
              </w:rPr>
            </w:pPr>
            <w:r w:rsidRPr="00C56103">
              <w:rPr>
                <w:rFonts w:cstheme="minorHAnsi"/>
                <w:lang w:val="en-US"/>
              </w:rPr>
              <w:t xml:space="preserve">Closure of </w:t>
            </w:r>
            <w:r w:rsidRPr="00C56103">
              <w:rPr>
                <w:rFonts w:cstheme="minorHAnsi"/>
                <w:b/>
                <w:bCs/>
                <w:lang w:val="en-US"/>
              </w:rPr>
              <w:t>vulnerable marine ecosystems</w:t>
            </w:r>
            <w:r w:rsidRPr="00C56103">
              <w:rPr>
                <w:rFonts w:cstheme="minorHAnsi"/>
                <w:lang w:val="en-US"/>
              </w:rPr>
              <w:t xml:space="preserve"> to fishing</w:t>
            </w:r>
          </w:p>
          <w:p w14:paraId="77F24905" w14:textId="77777777" w:rsidR="00671B75" w:rsidRPr="00C56103" w:rsidRDefault="00671B75" w:rsidP="00052A4A">
            <w:pPr>
              <w:pStyle w:val="ListParagraph"/>
              <w:numPr>
                <w:ilvl w:val="0"/>
                <w:numId w:val="18"/>
              </w:numPr>
              <w:autoSpaceDE w:val="0"/>
              <w:autoSpaceDN w:val="0"/>
              <w:adjustRightInd w:val="0"/>
              <w:spacing w:after="0" w:line="240" w:lineRule="auto"/>
              <w:ind w:left="166" w:hanging="180"/>
              <w:rPr>
                <w:rFonts w:cstheme="minorHAnsi"/>
                <w:lang w:val="en-US"/>
              </w:rPr>
            </w:pPr>
            <w:r w:rsidRPr="00C56103">
              <w:rPr>
                <w:rFonts w:cstheme="minorHAnsi"/>
                <w:b/>
                <w:bCs/>
                <w:lang w:val="en-US"/>
              </w:rPr>
              <w:t>Policy on deep-sea exploratory fishing and encounter protocols</w:t>
            </w:r>
            <w:r w:rsidRPr="00C56103">
              <w:rPr>
                <w:rFonts w:cstheme="minorHAnsi"/>
                <w:lang w:val="en-US"/>
              </w:rPr>
              <w:t xml:space="preserve">. Recommendation on protection of VMEs (2014): regulating bottom fisheries in the deep-sea; defining existing fishing areas; closing 13 VMEs; Regulating exploratory bottom fishing and assessment of proposed exploratory fishing; defining bycatch threshold levels; Identifying VME indicator species. </w:t>
            </w:r>
          </w:p>
        </w:tc>
      </w:tr>
      <w:tr w:rsidR="00671B75" w:rsidRPr="00042F17" w14:paraId="04E7CABC" w14:textId="77777777" w:rsidTr="00052A4A">
        <w:trPr>
          <w:trHeight w:val="1322"/>
        </w:trPr>
        <w:tc>
          <w:tcPr>
            <w:tcW w:w="1548" w:type="dxa"/>
            <w:gridSpan w:val="2"/>
          </w:tcPr>
          <w:p w14:paraId="7A1D6BA2"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Northwest Atlantic Fisheries Organization (NAFO)</w:t>
            </w:r>
          </w:p>
        </w:tc>
        <w:tc>
          <w:tcPr>
            <w:tcW w:w="1530" w:type="dxa"/>
            <w:gridSpan w:val="2"/>
          </w:tcPr>
          <w:p w14:paraId="55B70F33" w14:textId="77777777" w:rsidR="00671B75" w:rsidRPr="00C56103" w:rsidRDefault="00671B75" w:rsidP="00052A4A">
            <w:pPr>
              <w:autoSpaceDE w:val="0"/>
              <w:autoSpaceDN w:val="0"/>
              <w:adjustRightInd w:val="0"/>
              <w:rPr>
                <w:rFonts w:cstheme="minorHAnsi"/>
                <w:sz w:val="22"/>
              </w:rPr>
            </w:pPr>
            <w:r w:rsidRPr="00C56103">
              <w:rPr>
                <w:rFonts w:cstheme="minorHAnsi"/>
                <w:sz w:val="22"/>
              </w:rPr>
              <w:t>Convention amended (2007)</w:t>
            </w:r>
          </w:p>
        </w:tc>
        <w:tc>
          <w:tcPr>
            <w:tcW w:w="11277" w:type="dxa"/>
          </w:tcPr>
          <w:p w14:paraId="6ACF005A"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lang w:val="en-US"/>
              </w:rPr>
              <w:t xml:space="preserve">To </w:t>
            </w:r>
            <w:r w:rsidRPr="00C56103">
              <w:rPr>
                <w:rFonts w:cstheme="minorHAnsi"/>
                <w:b/>
                <w:bCs/>
                <w:lang w:val="en-US"/>
              </w:rPr>
              <w:t>incorporate the ecosystem approach</w:t>
            </w:r>
            <w:r w:rsidRPr="00C56103">
              <w:rPr>
                <w:rFonts w:cstheme="minorHAnsi"/>
                <w:lang w:val="en-US"/>
              </w:rPr>
              <w:t xml:space="preserve"> in order to minimize risks of long-term effects of fishing on biodiversity and the ecosystem</w:t>
            </w:r>
          </w:p>
          <w:p w14:paraId="224D5AF5"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rPr>
            </w:pPr>
            <w:r w:rsidRPr="00C56103">
              <w:rPr>
                <w:rFonts w:cstheme="minorHAnsi"/>
                <w:lang w:val="en-US"/>
              </w:rPr>
              <w:t xml:space="preserve">Closure of VMEs (21 areas) following FAO Guidelines. </w:t>
            </w:r>
          </w:p>
          <w:p w14:paraId="0CA72FF7" w14:textId="77777777" w:rsidR="00671B75" w:rsidRPr="00C56103" w:rsidRDefault="00671B75" w:rsidP="00052A4A">
            <w:pPr>
              <w:pStyle w:val="ListParagraph"/>
              <w:numPr>
                <w:ilvl w:val="0"/>
                <w:numId w:val="18"/>
              </w:numPr>
              <w:autoSpaceDE w:val="0"/>
              <w:autoSpaceDN w:val="0"/>
              <w:adjustRightInd w:val="0"/>
              <w:spacing w:after="0" w:line="240" w:lineRule="auto"/>
              <w:ind w:left="151" w:hanging="180"/>
              <w:rPr>
                <w:rFonts w:cstheme="minorHAnsi"/>
                <w:lang w:val="en-US"/>
              </w:rPr>
            </w:pPr>
            <w:r w:rsidRPr="00C56103">
              <w:rPr>
                <w:rFonts w:cstheme="minorHAnsi"/>
              </w:rPr>
              <w:t xml:space="preserve">NAFO Scientific Council has implemented measures for mainstreaming biodiversity such as Kernel Density Analysis and an </w:t>
            </w:r>
            <w:r w:rsidRPr="00C56103">
              <w:rPr>
                <w:rFonts w:cstheme="minorHAnsi"/>
                <w:b/>
                <w:bCs/>
              </w:rPr>
              <w:t>Ecosystem Roadmap</w:t>
            </w:r>
            <w:r w:rsidRPr="00C56103">
              <w:rPr>
                <w:rFonts w:cstheme="minorHAnsi"/>
              </w:rPr>
              <w:t xml:space="preserve">. </w:t>
            </w:r>
          </w:p>
        </w:tc>
      </w:tr>
      <w:tr w:rsidR="00671B75" w:rsidRPr="00042F17" w14:paraId="6B719A8C" w14:textId="77777777" w:rsidTr="00052A4A">
        <w:tc>
          <w:tcPr>
            <w:tcW w:w="1548" w:type="dxa"/>
            <w:gridSpan w:val="2"/>
          </w:tcPr>
          <w:p w14:paraId="4B594405" w14:textId="77777777" w:rsidR="00671B75" w:rsidRPr="00C56103" w:rsidRDefault="00671B75" w:rsidP="00052A4A">
            <w:pPr>
              <w:autoSpaceDE w:val="0"/>
              <w:autoSpaceDN w:val="0"/>
              <w:adjustRightInd w:val="0"/>
              <w:jc w:val="center"/>
              <w:rPr>
                <w:rFonts w:cstheme="minorHAnsi"/>
                <w:b/>
                <w:bCs/>
                <w:sz w:val="22"/>
              </w:rPr>
            </w:pPr>
            <w:r w:rsidRPr="00C56103">
              <w:rPr>
                <w:b/>
                <w:bCs/>
                <w:sz w:val="22"/>
              </w:rPr>
              <w:lastRenderedPageBreak/>
              <w:t>Birdlife International</w:t>
            </w:r>
          </w:p>
        </w:tc>
        <w:tc>
          <w:tcPr>
            <w:tcW w:w="1530" w:type="dxa"/>
            <w:gridSpan w:val="2"/>
          </w:tcPr>
          <w:p w14:paraId="3A9356B9" w14:textId="77777777" w:rsidR="00671B75" w:rsidRPr="00C56103" w:rsidRDefault="00671B75" w:rsidP="00052A4A">
            <w:pPr>
              <w:autoSpaceDE w:val="0"/>
              <w:autoSpaceDN w:val="0"/>
              <w:adjustRightInd w:val="0"/>
              <w:rPr>
                <w:rFonts w:cstheme="minorHAnsi"/>
                <w:sz w:val="22"/>
              </w:rPr>
            </w:pPr>
            <w:r w:rsidRPr="00C56103">
              <w:rPr>
                <w:sz w:val="22"/>
              </w:rPr>
              <w:t>N/A</w:t>
            </w:r>
          </w:p>
        </w:tc>
        <w:tc>
          <w:tcPr>
            <w:tcW w:w="11277" w:type="dxa"/>
          </w:tcPr>
          <w:p w14:paraId="4172C80E" w14:textId="77777777" w:rsidR="00671B75" w:rsidRPr="00C56103" w:rsidRDefault="00671B75"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sidRPr="00C56103">
              <w:t>Work of the Albatross Task Force to reduce seabird bycatch in fisheries.</w:t>
            </w:r>
          </w:p>
        </w:tc>
      </w:tr>
      <w:tr w:rsidR="00671B75" w:rsidRPr="00042F17" w14:paraId="1CDF65E3" w14:textId="77777777" w:rsidTr="00052A4A">
        <w:tc>
          <w:tcPr>
            <w:tcW w:w="1548" w:type="dxa"/>
            <w:gridSpan w:val="2"/>
          </w:tcPr>
          <w:p w14:paraId="0042E86C" w14:textId="77777777" w:rsidR="00671B75" w:rsidRPr="00C56103" w:rsidRDefault="00671B75" w:rsidP="00052A4A">
            <w:pPr>
              <w:autoSpaceDE w:val="0"/>
              <w:autoSpaceDN w:val="0"/>
              <w:adjustRightInd w:val="0"/>
              <w:jc w:val="center"/>
              <w:rPr>
                <w:rFonts w:cstheme="minorHAnsi"/>
                <w:b/>
                <w:sz w:val="22"/>
              </w:rPr>
            </w:pPr>
            <w:r w:rsidRPr="00C56103">
              <w:rPr>
                <w:rFonts w:cstheme="minorHAnsi"/>
                <w:b/>
                <w:sz w:val="22"/>
              </w:rPr>
              <w:t>Strathclyde Centre for Environmental Law and Governance</w:t>
            </w:r>
          </w:p>
        </w:tc>
        <w:tc>
          <w:tcPr>
            <w:tcW w:w="1530" w:type="dxa"/>
            <w:gridSpan w:val="2"/>
          </w:tcPr>
          <w:p w14:paraId="21DB1894" w14:textId="77777777" w:rsidR="00671B75" w:rsidRPr="00C56103" w:rsidRDefault="00671B75" w:rsidP="00052A4A">
            <w:pPr>
              <w:autoSpaceDE w:val="0"/>
              <w:autoSpaceDN w:val="0"/>
              <w:adjustRightInd w:val="0"/>
              <w:rPr>
                <w:rFonts w:cstheme="minorHAnsi"/>
                <w:sz w:val="22"/>
              </w:rPr>
            </w:pPr>
            <w:r w:rsidRPr="00C56103">
              <w:rPr>
                <w:rFonts w:cstheme="minorHAnsi"/>
                <w:sz w:val="22"/>
              </w:rPr>
              <w:t>N/A</w:t>
            </w:r>
          </w:p>
        </w:tc>
        <w:tc>
          <w:tcPr>
            <w:tcW w:w="11277" w:type="dxa"/>
          </w:tcPr>
          <w:p w14:paraId="6D4AB916" w14:textId="35AFA928" w:rsidR="00671B75" w:rsidRPr="00C56103" w:rsidRDefault="00671B75"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sidRPr="00C56103">
              <w:rPr>
                <w:rFonts w:cstheme="minorHAnsi"/>
                <w:lang w:val="en-US"/>
              </w:rPr>
              <w:t xml:space="preserve">Synthesis on research on mainstreaming biodiversity and ecosystem services into the fisheries sector for sustainable development, based on findings from </w:t>
            </w:r>
            <w:r w:rsidRPr="00C56103">
              <w:t xml:space="preserve"> </w:t>
            </w:r>
            <w:r w:rsidRPr="00C56103">
              <w:rPr>
                <w:rFonts w:cstheme="minorHAnsi"/>
                <w:lang w:val="en-US"/>
              </w:rPr>
              <w:t>relevant findings</w:t>
            </w:r>
            <w:r>
              <w:rPr>
                <w:rFonts w:cstheme="minorHAnsi"/>
                <w:lang w:val="en-US"/>
              </w:rPr>
              <w:t xml:space="preserve"> </w:t>
            </w:r>
            <w:r w:rsidRPr="00C56103">
              <w:rPr>
                <w:rFonts w:cstheme="minorHAnsi"/>
                <w:lang w:val="en-US"/>
              </w:rPr>
              <w:t>from</w:t>
            </w:r>
            <w:r w:rsidRPr="00C56103">
              <w:rPr>
                <w:rFonts w:cstheme="minorHAnsi"/>
                <w:lang w:val="en-US"/>
              </w:rPr>
              <w:tab/>
              <w:t xml:space="preserve">fisheries-related projects  under the </w:t>
            </w:r>
            <w:r w:rsidRPr="00C56103">
              <w:rPr>
                <w:rFonts w:cstheme="minorHAnsi"/>
                <w:b/>
                <w:bCs/>
                <w:lang w:val="en-US"/>
              </w:rPr>
              <w:t>Ecosystem Services  for Pover</w:t>
            </w:r>
            <w:r w:rsidR="00767C8C">
              <w:rPr>
                <w:rFonts w:cstheme="minorHAnsi"/>
                <w:b/>
                <w:bCs/>
                <w:lang w:val="en-US"/>
              </w:rPr>
              <w:t>ty Alleviation (ESPA) programme</w:t>
            </w:r>
          </w:p>
          <w:p w14:paraId="66AB689E" w14:textId="77777777" w:rsidR="00671B75" w:rsidRPr="00C56103" w:rsidRDefault="00671B75"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sidRPr="00C56103">
              <w:rPr>
                <w:rFonts w:cstheme="minorHAnsi"/>
                <w:lang w:val="en-US"/>
              </w:rPr>
              <w:t>Key</w:t>
            </w:r>
            <w:r w:rsidRPr="00C56103">
              <w:rPr>
                <w:rFonts w:cstheme="minorHAnsi"/>
                <w:lang w:val="en-US"/>
              </w:rPr>
              <w:tab/>
              <w:t xml:space="preserve">findings as follows: </w:t>
            </w:r>
          </w:p>
          <w:p w14:paraId="58D95754" w14:textId="29A93804" w:rsidR="00671B75" w:rsidRPr="00C56103" w:rsidRDefault="00767C8C"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Pr>
                <w:rFonts w:cstheme="minorHAnsi"/>
                <w:lang w:val="en-US"/>
              </w:rPr>
              <w:t xml:space="preserve">Methodologies for identifying </w:t>
            </w:r>
            <w:r w:rsidR="00671B75" w:rsidRPr="00C56103">
              <w:rPr>
                <w:rFonts w:cstheme="minorHAnsi"/>
                <w:lang w:val="en-US"/>
              </w:rPr>
              <w:t>“</w:t>
            </w:r>
            <w:r w:rsidR="00671B75" w:rsidRPr="00C56103">
              <w:rPr>
                <w:rFonts w:cstheme="minorHAnsi"/>
                <w:b/>
                <w:bCs/>
                <w:lang w:val="en-US"/>
              </w:rPr>
              <w:t>ecosystem</w:t>
            </w:r>
            <w:r w:rsidR="00671B75">
              <w:rPr>
                <w:rFonts w:cstheme="minorHAnsi"/>
                <w:b/>
                <w:bCs/>
                <w:lang w:val="en-US"/>
              </w:rPr>
              <w:t xml:space="preserve"> </w:t>
            </w:r>
            <w:r w:rsidR="00671B75" w:rsidRPr="00C56103">
              <w:rPr>
                <w:rFonts w:cstheme="minorHAnsi"/>
                <w:b/>
                <w:bCs/>
                <w:lang w:val="en-US"/>
              </w:rPr>
              <w:t>management units</w:t>
            </w:r>
            <w:r w:rsidR="00671B75" w:rsidRPr="00C56103">
              <w:rPr>
                <w:rFonts w:cstheme="minorHAnsi"/>
                <w:lang w:val="en-US"/>
              </w:rPr>
              <w:t>”, productivity scenarios and sustainable catch</w:t>
            </w:r>
            <w:r w:rsidR="00671B75">
              <w:rPr>
                <w:rFonts w:cstheme="minorHAnsi"/>
                <w:lang w:val="en-US"/>
              </w:rPr>
              <w:t xml:space="preserve"> </w:t>
            </w:r>
            <w:r w:rsidR="00671B75" w:rsidRPr="00C56103">
              <w:rPr>
                <w:rFonts w:cstheme="minorHAnsi"/>
                <w:lang w:val="en-US"/>
              </w:rPr>
              <w:t>levels can be applied also in data-poor contexts</w:t>
            </w:r>
          </w:p>
          <w:p w14:paraId="24F81ADE" w14:textId="164D3704" w:rsidR="00671B75" w:rsidRPr="00C56103" w:rsidRDefault="00671B75"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sidRPr="00C56103">
              <w:rPr>
                <w:rFonts w:cstheme="minorHAnsi"/>
                <w:lang w:val="en-US"/>
              </w:rPr>
              <w:t xml:space="preserve">Ecosystems are better managed within </w:t>
            </w:r>
            <w:r w:rsidRPr="00C56103">
              <w:rPr>
                <w:rFonts w:cstheme="minorHAnsi"/>
                <w:b/>
                <w:bCs/>
                <w:lang w:val="en-US"/>
              </w:rPr>
              <w:t>appropriate biogeographical</w:t>
            </w:r>
            <w:r w:rsidRPr="00C56103">
              <w:rPr>
                <w:rFonts w:cstheme="minorHAnsi"/>
                <w:b/>
                <w:bCs/>
                <w:lang w:val="en-US"/>
              </w:rPr>
              <w:tab/>
              <w:t>scales</w:t>
            </w:r>
            <w:r w:rsidRPr="00C56103">
              <w:rPr>
                <w:rFonts w:cstheme="minorHAnsi"/>
                <w:lang w:val="en-US"/>
              </w:rPr>
              <w:t xml:space="preserve"> within which</w:t>
            </w:r>
            <w:r w:rsidR="00767C8C">
              <w:rPr>
                <w:rFonts w:cstheme="minorHAnsi"/>
                <w:lang w:val="en-US"/>
              </w:rPr>
              <w:t xml:space="preserve"> multiple pressures (cumulative impacts) should</w:t>
            </w:r>
            <w:r w:rsidRPr="00C56103">
              <w:rPr>
                <w:rFonts w:cstheme="minorHAnsi"/>
                <w:lang w:val="en-US"/>
              </w:rPr>
              <w:t xml:space="preserve"> be assessed</w:t>
            </w:r>
          </w:p>
          <w:p w14:paraId="5D2B78F5" w14:textId="77777777" w:rsidR="00671B75" w:rsidRPr="00C56103" w:rsidRDefault="00671B75"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sidRPr="00C56103">
              <w:rPr>
                <w:rFonts w:cstheme="minorHAnsi"/>
                <w:lang w:val="en-US"/>
              </w:rPr>
              <w:t xml:space="preserve">Early </w:t>
            </w:r>
            <w:r w:rsidRPr="00C56103">
              <w:rPr>
                <w:rFonts w:cstheme="minorHAnsi"/>
                <w:b/>
                <w:bCs/>
                <w:lang w:val="en-US"/>
              </w:rPr>
              <w:t>integration of livelihoods  considerations</w:t>
            </w:r>
            <w:r w:rsidRPr="00C56103">
              <w:rPr>
                <w:rFonts w:cstheme="minorHAnsi"/>
                <w:lang w:val="en-US"/>
              </w:rPr>
              <w:t xml:space="preserve"> in conservation measures is key to equitable and effective outcomes</w:t>
            </w:r>
          </w:p>
          <w:p w14:paraId="67CC45B0" w14:textId="76AC0F73" w:rsidR="00671B75" w:rsidRPr="00C56103" w:rsidRDefault="00767C8C"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Pr>
                <w:rFonts w:cstheme="minorHAnsi"/>
                <w:b/>
                <w:bCs/>
                <w:lang w:val="en-US"/>
              </w:rPr>
              <w:t>Social safety nets and capacity-</w:t>
            </w:r>
            <w:r w:rsidR="00671B75" w:rsidRPr="00C56103">
              <w:rPr>
                <w:rFonts w:cstheme="minorHAnsi"/>
                <w:b/>
                <w:bCs/>
                <w:lang w:val="en-US"/>
              </w:rPr>
              <w:t>building</w:t>
            </w:r>
            <w:r>
              <w:rPr>
                <w:rFonts w:cstheme="minorHAnsi"/>
                <w:lang w:val="en-US"/>
              </w:rPr>
              <w:t xml:space="preserve"> need to complement </w:t>
            </w:r>
            <w:r w:rsidR="00671B75" w:rsidRPr="00C56103">
              <w:rPr>
                <w:rFonts w:cstheme="minorHAnsi"/>
                <w:lang w:val="en-US"/>
              </w:rPr>
              <w:t xml:space="preserve">conservation </w:t>
            </w:r>
            <w:r>
              <w:rPr>
                <w:rFonts w:cstheme="minorHAnsi"/>
                <w:lang w:val="en-US"/>
              </w:rPr>
              <w:t xml:space="preserve">and management </w:t>
            </w:r>
            <w:r w:rsidR="00671B75" w:rsidRPr="00C56103">
              <w:rPr>
                <w:rFonts w:cstheme="minorHAnsi"/>
                <w:lang w:val="en-US"/>
              </w:rPr>
              <w:t>measures</w:t>
            </w:r>
          </w:p>
          <w:p w14:paraId="229A665A" w14:textId="4B64E2A5" w:rsidR="00671B75" w:rsidRPr="00C56103" w:rsidRDefault="00671B75"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sidRPr="00C56103">
              <w:rPr>
                <w:rFonts w:cstheme="minorHAnsi"/>
                <w:lang w:val="en-US"/>
              </w:rPr>
              <w:t xml:space="preserve">Inclusive </w:t>
            </w:r>
            <w:r w:rsidR="00767C8C">
              <w:rPr>
                <w:rFonts w:cstheme="minorHAnsi"/>
                <w:b/>
                <w:bCs/>
                <w:lang w:val="en-US"/>
              </w:rPr>
              <w:t>Payment</w:t>
            </w:r>
            <w:r w:rsidRPr="00C56103">
              <w:rPr>
                <w:rFonts w:cstheme="minorHAnsi"/>
                <w:b/>
                <w:bCs/>
                <w:lang w:val="en-US"/>
              </w:rPr>
              <w:t xml:space="preserve"> for Ecosystem Services</w:t>
            </w:r>
            <w:r w:rsidR="00767C8C">
              <w:rPr>
                <w:rFonts w:cstheme="minorHAnsi"/>
                <w:lang w:val="en-US"/>
              </w:rPr>
              <w:t xml:space="preserve"> schemes, that</w:t>
            </w:r>
            <w:r w:rsidRPr="00C56103">
              <w:rPr>
                <w:rFonts w:cstheme="minorHAnsi"/>
                <w:lang w:val="en-US"/>
              </w:rPr>
              <w:t xml:space="preserve"> integrate traditiona</w:t>
            </w:r>
            <w:r>
              <w:rPr>
                <w:rFonts w:cstheme="minorHAnsi"/>
                <w:lang w:val="en-US"/>
              </w:rPr>
              <w:t>l</w:t>
            </w:r>
            <w:r w:rsidRPr="00C56103">
              <w:rPr>
                <w:rFonts w:cstheme="minorHAnsi"/>
                <w:lang w:val="en-US"/>
              </w:rPr>
              <w:t xml:space="preserve"> knowledge, c</w:t>
            </w:r>
            <w:r w:rsidR="00767C8C">
              <w:rPr>
                <w:rFonts w:cstheme="minorHAnsi"/>
                <w:lang w:val="en-US"/>
              </w:rPr>
              <w:t xml:space="preserve">an incentivize conservation and </w:t>
            </w:r>
            <w:r w:rsidRPr="00C56103">
              <w:rPr>
                <w:rFonts w:cstheme="minorHAnsi"/>
                <w:lang w:val="en-US"/>
              </w:rPr>
              <w:t>improve livelihoods</w:t>
            </w:r>
          </w:p>
          <w:p w14:paraId="18555660" w14:textId="5FA4F5FD" w:rsidR="00671B75" w:rsidRPr="00C56103" w:rsidRDefault="00671B75" w:rsidP="00052A4A">
            <w:pPr>
              <w:pStyle w:val="ListParagraph"/>
              <w:numPr>
                <w:ilvl w:val="0"/>
                <w:numId w:val="20"/>
              </w:numPr>
              <w:autoSpaceDE w:val="0"/>
              <w:autoSpaceDN w:val="0"/>
              <w:adjustRightInd w:val="0"/>
              <w:spacing w:after="0" w:line="240" w:lineRule="auto"/>
              <w:ind w:left="168" w:hanging="192"/>
              <w:jc w:val="both"/>
              <w:rPr>
                <w:rFonts w:cstheme="minorHAnsi"/>
                <w:lang w:val="en-US"/>
              </w:rPr>
            </w:pPr>
            <w:r>
              <w:rPr>
                <w:rFonts w:cstheme="minorHAnsi"/>
                <w:lang w:val="en-US"/>
              </w:rPr>
              <w:t>I</w:t>
            </w:r>
            <w:r w:rsidR="00767C8C">
              <w:rPr>
                <w:rFonts w:cstheme="minorHAnsi"/>
                <w:lang w:val="en-US"/>
              </w:rPr>
              <w:t xml:space="preserve">ncorporating </w:t>
            </w:r>
            <w:r w:rsidRPr="00C56103">
              <w:rPr>
                <w:rFonts w:cstheme="minorHAnsi"/>
                <w:b/>
                <w:bCs/>
                <w:lang w:val="en-US"/>
              </w:rPr>
              <w:t>consideration of ecosystem services and benefit-sharing</w:t>
            </w:r>
            <w:r w:rsidRPr="00C56103">
              <w:rPr>
                <w:rFonts w:cstheme="minorHAnsi"/>
                <w:b/>
                <w:bCs/>
                <w:lang w:val="en-US"/>
              </w:rPr>
              <w:tab/>
              <w:t xml:space="preserve"> in integrated impact assessments </w:t>
            </w:r>
            <w:r w:rsidRPr="00C56103">
              <w:rPr>
                <w:rFonts w:cstheme="minorHAnsi"/>
                <w:lang w:val="en-US"/>
              </w:rPr>
              <w:t>and planning processes can support sustainable</w:t>
            </w:r>
            <w:r>
              <w:rPr>
                <w:rFonts w:cstheme="minorHAnsi"/>
                <w:lang w:val="en-US"/>
              </w:rPr>
              <w:t xml:space="preserve"> </w:t>
            </w:r>
            <w:r w:rsidR="00767C8C">
              <w:rPr>
                <w:rFonts w:cstheme="minorHAnsi"/>
                <w:lang w:val="en-US"/>
              </w:rPr>
              <w:t xml:space="preserve">and equitable fisheries </w:t>
            </w:r>
            <w:r w:rsidRPr="00C56103">
              <w:rPr>
                <w:rFonts w:cstheme="minorHAnsi"/>
                <w:lang w:val="en-US"/>
              </w:rPr>
              <w:t>management</w:t>
            </w:r>
          </w:p>
        </w:tc>
      </w:tr>
    </w:tbl>
    <w:p w14:paraId="4154741B" w14:textId="77777777" w:rsidR="00671B75" w:rsidRDefault="00671B75" w:rsidP="00355F02">
      <w:pPr>
        <w:autoSpaceDE w:val="0"/>
        <w:autoSpaceDN w:val="0"/>
        <w:adjustRightInd w:val="0"/>
        <w:ind w:left="547" w:hanging="547"/>
        <w:rPr>
          <w:rFonts w:cstheme="minorHAnsi"/>
          <w:b/>
          <w:sz w:val="32"/>
          <w:szCs w:val="32"/>
        </w:rPr>
      </w:pPr>
    </w:p>
    <w:p w14:paraId="5FF703F4" w14:textId="77777777" w:rsidR="00671B75" w:rsidRPr="0079710C" w:rsidRDefault="00671B75" w:rsidP="00355F02">
      <w:pPr>
        <w:autoSpaceDE w:val="0"/>
        <w:autoSpaceDN w:val="0"/>
        <w:adjustRightInd w:val="0"/>
        <w:ind w:left="547" w:hanging="547"/>
        <w:rPr>
          <w:rFonts w:cstheme="minorHAnsi"/>
          <w:b/>
          <w:sz w:val="28"/>
          <w:szCs w:val="28"/>
        </w:rPr>
      </w:pPr>
    </w:p>
    <w:p w14:paraId="225F80CF" w14:textId="77777777" w:rsidR="00671B75" w:rsidRPr="00355F02" w:rsidRDefault="00671B75" w:rsidP="00C56103">
      <w:pPr>
        <w:autoSpaceDE w:val="0"/>
        <w:autoSpaceDN w:val="0"/>
        <w:adjustRightInd w:val="0"/>
        <w:rPr>
          <w:rFonts w:cstheme="minorHAnsi"/>
          <w:b/>
          <w:sz w:val="32"/>
          <w:szCs w:val="32"/>
        </w:rPr>
      </w:pPr>
    </w:p>
    <w:p w14:paraId="28CD1F3D" w14:textId="5BC12DB1" w:rsidR="00B3369F" w:rsidRDefault="00B3369F" w:rsidP="00190CAF">
      <w:pPr>
        <w:kinsoku w:val="0"/>
        <w:overflowPunct w:val="0"/>
        <w:autoSpaceDE w:val="0"/>
        <w:autoSpaceDN w:val="0"/>
        <w:jc w:val="center"/>
        <w:rPr>
          <w:kern w:val="22"/>
        </w:rPr>
      </w:pPr>
    </w:p>
    <w:p w14:paraId="1D02D743" w14:textId="77777777" w:rsidR="00767C8C" w:rsidRPr="00190CAF" w:rsidRDefault="00767C8C" w:rsidP="00190CAF">
      <w:pPr>
        <w:kinsoku w:val="0"/>
        <w:overflowPunct w:val="0"/>
        <w:autoSpaceDE w:val="0"/>
        <w:autoSpaceDN w:val="0"/>
        <w:jc w:val="center"/>
        <w:rPr>
          <w:kern w:val="22"/>
        </w:rPr>
      </w:pPr>
    </w:p>
    <w:sectPr w:rsidR="00767C8C" w:rsidRPr="00190CAF" w:rsidSect="00767C8C">
      <w:headerReference w:type="even" r:id="rId16"/>
      <w:headerReference w:type="default" r:id="rId17"/>
      <w:pgSz w:w="15840" w:h="12240" w:orient="landscape"/>
      <w:pgMar w:top="1389" w:right="567" w:bottom="138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A3B32" w14:textId="77777777" w:rsidR="00BC71B1" w:rsidRDefault="00BC71B1" w:rsidP="00CF1848">
      <w:r>
        <w:separator/>
      </w:r>
    </w:p>
  </w:endnote>
  <w:endnote w:type="continuationSeparator" w:id="0">
    <w:p w14:paraId="05C874B3" w14:textId="77777777" w:rsidR="00BC71B1" w:rsidRDefault="00BC71B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modern"/>
    <w:pitch w:val="fixed"/>
    <w:sig w:usb0="00000287" w:usb1="08070000" w:usb2="00000010"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12ADA" w14:textId="77777777" w:rsidR="00BC71B1" w:rsidRDefault="00BC71B1" w:rsidP="00CF1848">
      <w:r>
        <w:separator/>
      </w:r>
    </w:p>
  </w:footnote>
  <w:footnote w:type="continuationSeparator" w:id="0">
    <w:p w14:paraId="3A5971FE" w14:textId="77777777" w:rsidR="00BC71B1" w:rsidRDefault="00BC71B1" w:rsidP="00CF1848">
      <w:r>
        <w:continuationSeparator/>
      </w:r>
    </w:p>
  </w:footnote>
  <w:footnote w:id="1">
    <w:p w14:paraId="7DE5092D" w14:textId="77777777" w:rsidR="00671B75" w:rsidRPr="00622912" w:rsidRDefault="00671B75" w:rsidP="00671B75">
      <w:pPr>
        <w:pStyle w:val="FootnoteText"/>
        <w:ind w:firstLine="0"/>
        <w:rPr>
          <w:lang w:val="en-US"/>
        </w:rPr>
      </w:pPr>
      <w:r>
        <w:rPr>
          <w:rStyle w:val="FootnoteReference"/>
        </w:rPr>
        <w:footnoteRef/>
      </w:r>
      <w:r>
        <w:t xml:space="preserve"> </w:t>
      </w:r>
      <w:r>
        <w:rPr>
          <w:lang w:val="en-US"/>
        </w:rPr>
        <w:t>An overview provided by the Fisheries Expert Group of the IUCN Commission on Ecosystem Management (IUCN-CEM-FEG), as commission by the Secretariat of the Convention on Biological Diversity.</w:t>
      </w:r>
    </w:p>
  </w:footnote>
  <w:footnote w:id="2">
    <w:p w14:paraId="569DEEDE" w14:textId="77777777" w:rsidR="00671B75" w:rsidRPr="00C56103" w:rsidRDefault="00671B75" w:rsidP="00767C8C">
      <w:pPr>
        <w:pStyle w:val="FootnoteText"/>
        <w:ind w:firstLine="0"/>
        <w:rPr>
          <w:lang w:val="en-US"/>
        </w:rPr>
      </w:pPr>
      <w:r>
        <w:rPr>
          <w:rStyle w:val="FootnoteReference"/>
        </w:rPr>
        <w:footnoteRef/>
      </w:r>
      <w:r>
        <w:t xml:space="preserve"> </w:t>
      </w:r>
      <w:r w:rsidRPr="0056647D">
        <w:t>Gullestad, P.; Abotnes, A.M.; Gunnstein, B.; Skern-Mauritzen, M.; Nedreaas, K. &amp; Søvik, G. 2017. Towards ecosystem-based fisheries management in Norway – Practical tools for keeping track of relevant issues and prioritising management efforts. Marine Policy, 77: 104-110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979270136"/>
      <w:placeholder>
        <w:docPart w:val="D59E2735C9D241668043E8EA13E27A56"/>
      </w:placeholder>
      <w:dataBinding w:prefixMappings="xmlns:ns0='http://purl.org/dc/elements/1.1/' xmlns:ns1='http://schemas.openxmlformats.org/package/2006/metadata/core-properties' " w:xpath="/ns1:coreProperties[1]/ns0:subject[1]" w:storeItemID="{6C3C8BC8-F283-45AE-878A-BAB7291924A1}"/>
      <w:text/>
    </w:sdtPr>
    <w:sdtEndPr/>
    <w:sdtContent>
      <w:p w14:paraId="49267530" w14:textId="3535C7F7" w:rsidR="00671B75" w:rsidRDefault="00671B75">
        <w:pPr>
          <w:pStyle w:val="Header"/>
        </w:pPr>
        <w:r>
          <w:t>CBD/SBSTTA/22/INF/15</w:t>
        </w:r>
      </w:p>
    </w:sdtContent>
  </w:sdt>
  <w:p w14:paraId="6B451D07" w14:textId="102CBD84" w:rsidR="00671B75" w:rsidRDefault="00671B75" w:rsidP="00671B75">
    <w:pPr>
      <w:pStyle w:val="Header"/>
      <w:spacing w:after="240"/>
    </w:pPr>
    <w:r>
      <w:t xml:space="preserve">Page </w:t>
    </w:r>
    <w:r>
      <w:fldChar w:fldCharType="begin"/>
    </w:r>
    <w:r>
      <w:instrText xml:space="preserve"> PAGE   \* MERGEFORMAT </w:instrText>
    </w:r>
    <w:r>
      <w:fldChar w:fldCharType="separate"/>
    </w:r>
    <w:r w:rsidR="00D8563C">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16044677"/>
      <w:placeholder>
        <w:docPart w:val="D434E694D3BB457AA542AF8B61AA1630"/>
      </w:placeholder>
      <w:dataBinding w:prefixMappings="xmlns:ns0='http://purl.org/dc/elements/1.1/' xmlns:ns1='http://schemas.openxmlformats.org/package/2006/metadata/core-properties' " w:xpath="/ns1:coreProperties[1]/ns0:subject[1]" w:storeItemID="{6C3C8BC8-F283-45AE-878A-BAB7291924A1}"/>
      <w:text/>
    </w:sdtPr>
    <w:sdtEndPr/>
    <w:sdtContent>
      <w:p w14:paraId="522F6A52" w14:textId="77777777" w:rsidR="00671B75" w:rsidRDefault="00671B75" w:rsidP="00671B75">
        <w:pPr>
          <w:pStyle w:val="Header"/>
          <w:jc w:val="right"/>
        </w:pPr>
        <w:r>
          <w:t>CBD/SBSTTA/22/INF/15</w:t>
        </w:r>
      </w:p>
    </w:sdtContent>
  </w:sdt>
  <w:p w14:paraId="2CFCA824" w14:textId="5E3D1784" w:rsidR="00671B75" w:rsidRDefault="00671B75" w:rsidP="00671B75">
    <w:pPr>
      <w:pStyle w:val="Header"/>
      <w:spacing w:after="240"/>
      <w:jc w:val="right"/>
    </w:pPr>
    <w:r>
      <w:t xml:space="preserve">Page </w:t>
    </w:r>
    <w:r>
      <w:fldChar w:fldCharType="begin"/>
    </w:r>
    <w:r>
      <w:instrText xml:space="preserve"> PAGE   \* MERGEFORMAT </w:instrText>
    </w:r>
    <w:r>
      <w:fldChar w:fldCharType="separate"/>
    </w:r>
    <w:r w:rsidR="00D8563C">
      <w:rPr>
        <w:noProof/>
      </w:rPr>
      <w:t>7</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A461A86" w14:textId="2F0CEFF3" w:rsidR="00534681" w:rsidRDefault="009D131E" w:rsidP="00534681">
        <w:pPr>
          <w:pStyle w:val="Header"/>
        </w:pPr>
        <w:r>
          <w:rPr>
            <w:lang w:val="en-US"/>
          </w:rPr>
          <w:t>CBD/SBSTTA/22/INF/15</w:t>
        </w:r>
      </w:p>
    </w:sdtContent>
  </w:sdt>
  <w:p w14:paraId="2E746B03" w14:textId="205B9301" w:rsidR="00534681" w:rsidRDefault="00534681" w:rsidP="00534681">
    <w:pPr>
      <w:pStyle w:val="Header"/>
    </w:pPr>
    <w:r>
      <w:t xml:space="preserve">Page </w:t>
    </w:r>
    <w:r>
      <w:fldChar w:fldCharType="begin"/>
    </w:r>
    <w:r>
      <w:instrText xml:space="preserve"> PAGE   \* MERGEFORMAT </w:instrText>
    </w:r>
    <w:r>
      <w:fldChar w:fldCharType="separate"/>
    </w:r>
    <w:r w:rsidR="00D8563C">
      <w:rPr>
        <w:noProof/>
      </w:rPr>
      <w:t>14</w:t>
    </w:r>
    <w:r>
      <w:rPr>
        <w:noProof/>
      </w:rPr>
      <w:fldChar w:fldCharType="end"/>
    </w:r>
  </w:p>
  <w:p w14:paraId="433A0DE2" w14:textId="77777777" w:rsidR="00534681" w:rsidRDefault="005346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135E296" w14:textId="0CEBE261" w:rsidR="009505C9" w:rsidRDefault="009D131E" w:rsidP="009505C9">
        <w:pPr>
          <w:pStyle w:val="Header"/>
          <w:jc w:val="right"/>
        </w:pPr>
        <w:r>
          <w:rPr>
            <w:lang w:val="en-US"/>
          </w:rPr>
          <w:t>CBD/SBSTTA/22/INF/15</w:t>
        </w:r>
      </w:p>
    </w:sdtContent>
  </w:sdt>
  <w:p w14:paraId="4B4265F0" w14:textId="0991F1BA" w:rsidR="009505C9" w:rsidRDefault="009505C9" w:rsidP="009505C9">
    <w:pPr>
      <w:pStyle w:val="Header"/>
      <w:jc w:val="right"/>
    </w:pPr>
    <w:r>
      <w:t xml:space="preserve">Page </w:t>
    </w:r>
    <w:r>
      <w:fldChar w:fldCharType="begin"/>
    </w:r>
    <w:r>
      <w:instrText xml:space="preserve"> PAGE   \* MERGEFORMAT </w:instrText>
    </w:r>
    <w:r>
      <w:fldChar w:fldCharType="separate"/>
    </w:r>
    <w:r w:rsidR="00D8563C">
      <w:rPr>
        <w:noProof/>
      </w:rPr>
      <w:t>15</w:t>
    </w:r>
    <w:r>
      <w:rPr>
        <w:noProof/>
      </w:rPr>
      <w:fldChar w:fldCharType="end"/>
    </w:r>
  </w:p>
  <w:p w14:paraId="4D4D9309" w14:textId="77777777"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54ED1"/>
    <w:multiLevelType w:val="hybridMultilevel"/>
    <w:tmpl w:val="6E789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A5F5F1A"/>
    <w:multiLevelType w:val="hybridMultilevel"/>
    <w:tmpl w:val="72D4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8E73AF2"/>
    <w:multiLevelType w:val="multilevel"/>
    <w:tmpl w:val="1FB818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57C26FB5"/>
    <w:multiLevelType w:val="hybridMultilevel"/>
    <w:tmpl w:val="89DEA18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5BFA51F7"/>
    <w:multiLevelType w:val="hybridMultilevel"/>
    <w:tmpl w:val="6602E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180661"/>
    <w:multiLevelType w:val="hybridMultilevel"/>
    <w:tmpl w:val="EB8A9D96"/>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8"/>
  </w:num>
  <w:num w:numId="3">
    <w:abstractNumId w:val="6"/>
  </w:num>
  <w:num w:numId="4">
    <w:abstractNumId w:val="8"/>
  </w:num>
  <w:num w:numId="5">
    <w:abstractNumId w:val="7"/>
  </w:num>
  <w:num w:numId="6">
    <w:abstractNumId w:val="1"/>
  </w:num>
  <w:num w:numId="7">
    <w:abstractNumId w:val="2"/>
  </w:num>
  <w:num w:numId="8">
    <w:abstractNumId w:val="6"/>
    <w:lvlOverride w:ilvl="0">
      <w:startOverride w:val="1"/>
    </w:lvlOverride>
  </w:num>
  <w:num w:numId="9">
    <w:abstractNumId w:val="12"/>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8"/>
  </w:num>
  <w:num w:numId="15">
    <w:abstractNumId w:val="11"/>
  </w:num>
  <w:num w:numId="16">
    <w:abstractNumId w:val="9"/>
  </w:num>
  <w:num w:numId="17">
    <w:abstractNumId w:val="5"/>
  </w:num>
  <w:num w:numId="18">
    <w:abstractNumId w:val="0"/>
  </w:num>
  <w:num w:numId="19">
    <w:abstractNumId w:val="3"/>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0070"/>
    <w:rsid w:val="000459E5"/>
    <w:rsid w:val="00047F7B"/>
    <w:rsid w:val="00052A4A"/>
    <w:rsid w:val="00071CB0"/>
    <w:rsid w:val="000A0AC1"/>
    <w:rsid w:val="000E673A"/>
    <w:rsid w:val="000F74F5"/>
    <w:rsid w:val="00102268"/>
    <w:rsid w:val="00105372"/>
    <w:rsid w:val="00130BB2"/>
    <w:rsid w:val="00131E7A"/>
    <w:rsid w:val="00172AF6"/>
    <w:rsid w:val="00176CEE"/>
    <w:rsid w:val="00190CAF"/>
    <w:rsid w:val="001C083C"/>
    <w:rsid w:val="001E0223"/>
    <w:rsid w:val="001F3F36"/>
    <w:rsid w:val="00231AC3"/>
    <w:rsid w:val="002A7349"/>
    <w:rsid w:val="003359D7"/>
    <w:rsid w:val="00355810"/>
    <w:rsid w:val="0036713E"/>
    <w:rsid w:val="00372F74"/>
    <w:rsid w:val="00375458"/>
    <w:rsid w:val="00393EA7"/>
    <w:rsid w:val="00415390"/>
    <w:rsid w:val="004273C9"/>
    <w:rsid w:val="00434C02"/>
    <w:rsid w:val="004644C2"/>
    <w:rsid w:val="00477D5D"/>
    <w:rsid w:val="004C1F13"/>
    <w:rsid w:val="004C56D6"/>
    <w:rsid w:val="00534681"/>
    <w:rsid w:val="005C623F"/>
    <w:rsid w:val="00660370"/>
    <w:rsid w:val="00671B75"/>
    <w:rsid w:val="006F1961"/>
    <w:rsid w:val="00717D88"/>
    <w:rsid w:val="00732B6B"/>
    <w:rsid w:val="00767C8C"/>
    <w:rsid w:val="00775DE7"/>
    <w:rsid w:val="007942D3"/>
    <w:rsid w:val="007A3152"/>
    <w:rsid w:val="007B1D86"/>
    <w:rsid w:val="007B6C09"/>
    <w:rsid w:val="007E09DA"/>
    <w:rsid w:val="008178B6"/>
    <w:rsid w:val="008A4B37"/>
    <w:rsid w:val="008A6014"/>
    <w:rsid w:val="008B4246"/>
    <w:rsid w:val="00912E60"/>
    <w:rsid w:val="009505C9"/>
    <w:rsid w:val="00975317"/>
    <w:rsid w:val="009D131E"/>
    <w:rsid w:val="009E11A5"/>
    <w:rsid w:val="00A009D0"/>
    <w:rsid w:val="00A474F2"/>
    <w:rsid w:val="00AE51AE"/>
    <w:rsid w:val="00B0276F"/>
    <w:rsid w:val="00B15FEF"/>
    <w:rsid w:val="00B3369F"/>
    <w:rsid w:val="00BC71B1"/>
    <w:rsid w:val="00C9161D"/>
    <w:rsid w:val="00CA69C8"/>
    <w:rsid w:val="00CB16BB"/>
    <w:rsid w:val="00CF1848"/>
    <w:rsid w:val="00CF4C5B"/>
    <w:rsid w:val="00D76A18"/>
    <w:rsid w:val="00D8563C"/>
    <w:rsid w:val="00DA6845"/>
    <w:rsid w:val="00DC7D76"/>
    <w:rsid w:val="00DD118C"/>
    <w:rsid w:val="00DE2CAB"/>
    <w:rsid w:val="00DF193A"/>
    <w:rsid w:val="00E02E86"/>
    <w:rsid w:val="00E20ACF"/>
    <w:rsid w:val="00E46FA6"/>
    <w:rsid w:val="00E65370"/>
    <w:rsid w:val="00E66235"/>
    <w:rsid w:val="00E83C24"/>
    <w:rsid w:val="00EE1719"/>
    <w:rsid w:val="00F02289"/>
    <w:rsid w:val="00F63442"/>
    <w:rsid w:val="00F94774"/>
    <w:rsid w:val="00FC0E06"/>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8EB402D"/>
  <w15:docId w15:val="{B6642EC3-F74C-41BA-B550-B523A4F4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246"/>
    <w:rPr>
      <w:rFonts w:ascii="Times New Roman" w:hAnsi="Times New Roman" w:cs="Times New Roman"/>
      <w:lang w:val="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rFonts w:eastAsia="Times New Roman"/>
      <w:b/>
      <w:caps/>
      <w:sz w:val="22"/>
      <w:lang w:val="en-GB"/>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rFonts w:eastAsia="Times New Roman"/>
      <w:b/>
      <w:bCs/>
      <w:i/>
      <w:iCs/>
      <w:sz w:val="22"/>
      <w:lang w:val="en-GB"/>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rFonts w:eastAsia="Times New Roman"/>
      <w:i/>
      <w:iCs/>
      <w:sz w:val="22"/>
      <w:lang w:val="en-GB"/>
    </w:rPr>
  </w:style>
  <w:style w:type="paragraph" w:styleId="Heading4">
    <w:name w:val="heading 4"/>
    <w:basedOn w:val="Normal"/>
    <w:link w:val="Heading4Char"/>
    <w:qFormat/>
    <w:rsid w:val="007E09DA"/>
    <w:pPr>
      <w:keepNext/>
      <w:spacing w:before="120" w:after="120"/>
      <w:jc w:val="both"/>
      <w:outlineLvl w:val="3"/>
    </w:pPr>
    <w:rPr>
      <w:rFonts w:ascii="Times New Roman Bold" w:eastAsia="Arial Unicode MS" w:hAnsi="Times New Roman Bold" w:cs="Arial"/>
      <w:b/>
      <w:bCs/>
      <w:i/>
      <w:sz w:val="22"/>
      <w:lang w:val="en-GB"/>
    </w:rPr>
  </w:style>
  <w:style w:type="paragraph" w:styleId="Heading5">
    <w:name w:val="heading 5"/>
    <w:basedOn w:val="Normal"/>
    <w:next w:val="Normal"/>
    <w:link w:val="Heading5Char"/>
    <w:qFormat/>
    <w:rsid w:val="007E09DA"/>
    <w:pPr>
      <w:keepNext/>
      <w:numPr>
        <w:ilvl w:val="4"/>
        <w:numId w:val="1"/>
      </w:numPr>
      <w:spacing w:before="120" w:after="120"/>
      <w:outlineLvl w:val="4"/>
    </w:pPr>
    <w:rPr>
      <w:rFonts w:eastAsia="Times New Roman"/>
      <w:bCs/>
      <w:i/>
      <w:sz w:val="22"/>
      <w:szCs w:val="26"/>
      <w:lang w:val="en-CA"/>
    </w:rPr>
  </w:style>
  <w:style w:type="paragraph" w:styleId="Heading6">
    <w:name w:val="heading 6"/>
    <w:basedOn w:val="Normal"/>
    <w:next w:val="Normal"/>
    <w:link w:val="Heading6Char"/>
    <w:qFormat/>
    <w:rsid w:val="007E09DA"/>
    <w:pPr>
      <w:keepNext/>
      <w:spacing w:after="240" w:line="240" w:lineRule="exact"/>
      <w:ind w:left="720"/>
      <w:jc w:val="both"/>
      <w:outlineLvl w:val="5"/>
    </w:pPr>
    <w:rPr>
      <w:rFonts w:eastAsia="Times New Roman"/>
      <w:sz w:val="22"/>
      <w:u w:val="single"/>
      <w:lang w:val="en-GB"/>
    </w:rPr>
  </w:style>
  <w:style w:type="paragraph" w:styleId="Heading7">
    <w:name w:val="heading 7"/>
    <w:basedOn w:val="Normal"/>
    <w:next w:val="Normal"/>
    <w:link w:val="Heading7Char"/>
    <w:rsid w:val="007E09DA"/>
    <w:pPr>
      <w:keepNext/>
      <w:jc w:val="right"/>
      <w:outlineLvl w:val="6"/>
    </w:pPr>
    <w:rPr>
      <w:rFonts w:ascii="Univers" w:eastAsia="Times New Roman" w:hAnsi="Univers"/>
      <w:b/>
      <w:sz w:val="28"/>
      <w:lang w:val="en-GB"/>
    </w:rPr>
  </w:style>
  <w:style w:type="paragraph" w:styleId="Heading8">
    <w:name w:val="heading 8"/>
    <w:basedOn w:val="Normal"/>
    <w:next w:val="Normal"/>
    <w:link w:val="Heading8Char"/>
    <w:qFormat/>
    <w:rsid w:val="007E09DA"/>
    <w:pPr>
      <w:keepNext/>
      <w:jc w:val="right"/>
      <w:outlineLvl w:val="7"/>
    </w:pPr>
    <w:rPr>
      <w:rFonts w:ascii="Univers" w:eastAsia="Times New Roman" w:hAnsi="Univers"/>
      <w:b/>
      <w:sz w:val="32"/>
      <w:lang w:val="en-GB"/>
    </w:rPr>
  </w:style>
  <w:style w:type="paragraph" w:styleId="Heading9">
    <w:name w:val="heading 9"/>
    <w:basedOn w:val="Normal"/>
    <w:next w:val="Normal"/>
    <w:link w:val="Heading9Char"/>
    <w:rsid w:val="007E09DA"/>
    <w:pPr>
      <w:keepNext/>
      <w:spacing w:before="100" w:beforeAutospacing="1" w:after="120"/>
      <w:jc w:val="both"/>
      <w:outlineLvl w:val="8"/>
    </w:pPr>
    <w:rPr>
      <w:rFonts w:eastAsia="Times New Roman"/>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pPr>
      <w:jc w:val="both"/>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jc w:val="both"/>
    </w:pPr>
    <w:rPr>
      <w:rFonts w:eastAsia="Times New Roman"/>
      <w:sz w:val="22"/>
      <w:lang w:val="en-GB"/>
    </w:r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rPr>
      <w:rFonts w:eastAsia="Times New Roman"/>
      <w:sz w:val="22"/>
      <w:lang w:val="en-GB"/>
    </w:r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jc w:val="both"/>
    </w:pPr>
    <w:rPr>
      <w:rFonts w:eastAsia="Times New Roman"/>
      <w:caps/>
      <w:sz w:val="22"/>
      <w:szCs w:val="22"/>
      <w:lang w:val="en-GB"/>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jc w:val="both"/>
    </w:pPr>
    <w:rPr>
      <w:rFonts w:asciiTheme="majorHAnsi" w:eastAsiaTheme="majorEastAsia" w:hAnsiTheme="majorHAnsi" w:cstheme="majorBidi"/>
      <w:i/>
      <w:iCs/>
      <w:color w:val="4F81BD" w:themeColor="accent1"/>
      <w:spacing w:val="15"/>
      <w:lang w:val="en-GB"/>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uiPriority w:val="1"/>
    <w:qFormat/>
    <w:rsid w:val="007E09DA"/>
    <w:pPr>
      <w:spacing w:before="120" w:after="120"/>
      <w:ind w:firstLine="720"/>
      <w:jc w:val="both"/>
    </w:pPr>
    <w:rPr>
      <w:rFonts w:eastAsia="Times New Roman"/>
      <w:iCs/>
      <w:sz w:val="22"/>
      <w:lang w:val="en-GB"/>
    </w:rPr>
  </w:style>
  <w:style w:type="character" w:customStyle="1" w:styleId="BodyTextChar">
    <w:name w:val="Body Text Char"/>
    <w:basedOn w:val="DefaultParagraphFont"/>
    <w:link w:val="BodyText"/>
    <w:uiPriority w:val="1"/>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rPr>
      <w:rFonts w:eastAsia="Times New Roman"/>
      <w:sz w:val="22"/>
      <w:lang w:val="en-GB"/>
    </w:r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jc w:val="both"/>
    </w:pPr>
    <w:rPr>
      <w:rFonts w:eastAsia="Times New Roman"/>
      <w:sz w:val="22"/>
      <w:lang w:val="en-GB"/>
    </w:r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rPr>
      <w:rFonts w:eastAsia="Times New Roman"/>
      <w:sz w:val="22"/>
      <w:lang w:val="en-GB"/>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jc w:val="both"/>
    </w:pPr>
    <w:rPr>
      <w:rFonts w:ascii="Courier New" w:eastAsia="Times New Roman" w:hAnsi="Courier New"/>
      <w:sz w:val="22"/>
      <w:lang w:val="en-GB"/>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7E09DA"/>
    <w:rPr>
      <w:sz w:val="18"/>
      <w:u w:val="single"/>
      <w:vertAlign w:val="baseline"/>
    </w:rPr>
  </w:style>
  <w:style w:type="paragraph" w:styleId="FootnoteText">
    <w:name w:val="footnote text"/>
    <w:basedOn w:val="Normal"/>
    <w:link w:val="FootnoteTextChar"/>
    <w:uiPriority w:val="99"/>
    <w:semiHidden/>
    <w:rsid w:val="007E09DA"/>
    <w:pPr>
      <w:keepLines/>
      <w:spacing w:after="60"/>
      <w:ind w:firstLine="720"/>
      <w:jc w:val="both"/>
    </w:pPr>
    <w:rPr>
      <w:rFonts w:eastAsia="Times New Roman"/>
      <w:sz w:val="18"/>
      <w:lang w:val="en-GB"/>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rFonts w:eastAsia="Times New Roman"/>
      <w:b/>
      <w:bCs/>
      <w:caps/>
      <w:sz w:val="22"/>
      <w:lang w:val="en-GB"/>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jc w:val="both"/>
    </w:pPr>
    <w:rPr>
      <w:rFonts w:eastAsia="Times New Roman"/>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jc w:val="both"/>
    </w:pPr>
    <w:rPr>
      <w:rFonts w:eastAsia="Times New Roman"/>
      <w:sz w:val="22"/>
      <w:szCs w:val="20"/>
      <w:lang w:val="en-GB"/>
    </w:rPr>
  </w:style>
  <w:style w:type="paragraph" w:customStyle="1" w:styleId="para4">
    <w:name w:val="para4"/>
    <w:basedOn w:val="Normal"/>
    <w:rsid w:val="007E09DA"/>
    <w:pPr>
      <w:overflowPunct w:val="0"/>
      <w:autoSpaceDE w:val="0"/>
      <w:autoSpaceDN w:val="0"/>
      <w:adjustRightInd w:val="0"/>
      <w:spacing w:after="120" w:line="240" w:lineRule="atLeast"/>
      <w:jc w:val="both"/>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Times New Roman"/>
      <w:color w:val="000000"/>
      <w:sz w:val="22"/>
      <w:lang w:val="en-GB"/>
    </w:rPr>
  </w:style>
  <w:style w:type="paragraph" w:customStyle="1" w:styleId="Quotationtextindented">
    <w:name w:val="Quotation text (indented)"/>
    <w:basedOn w:val="Normal"/>
    <w:qFormat/>
    <w:rsid w:val="007E09DA"/>
    <w:pPr>
      <w:spacing w:before="120" w:after="120"/>
      <w:ind w:left="720" w:right="720"/>
      <w:jc w:val="both"/>
    </w:pPr>
    <w:rPr>
      <w:rFonts w:eastAsia="Times New Roman"/>
      <w:bCs/>
      <w:sz w:val="22"/>
      <w:lang w:val="en-GB"/>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jc w:val="both"/>
    </w:pPr>
    <w:rPr>
      <w:rFonts w:eastAsia="Times New Roman" w:cs="Arial"/>
      <w:b/>
      <w:bCs/>
      <w:lang w:val="en-GB"/>
    </w:rPr>
  </w:style>
  <w:style w:type="paragraph" w:styleId="TOC1">
    <w:name w:val="toc 1"/>
    <w:basedOn w:val="Normal"/>
    <w:next w:val="Normal"/>
    <w:autoRedefine/>
    <w:semiHidden/>
    <w:rsid w:val="007E09DA"/>
    <w:pPr>
      <w:ind w:left="720" w:hanging="720"/>
      <w:jc w:val="both"/>
    </w:pPr>
    <w:rPr>
      <w:rFonts w:eastAsia="Times New Roman"/>
      <w:caps/>
      <w:sz w:val="22"/>
      <w:lang w:val="en-GB"/>
    </w:rPr>
  </w:style>
  <w:style w:type="paragraph" w:styleId="TOC2">
    <w:name w:val="toc 2"/>
    <w:basedOn w:val="Normal"/>
    <w:next w:val="Normal"/>
    <w:autoRedefine/>
    <w:semiHidden/>
    <w:rsid w:val="007E09DA"/>
    <w:pPr>
      <w:tabs>
        <w:tab w:val="right" w:leader="dot" w:pos="9356"/>
      </w:tabs>
      <w:ind w:left="1440" w:hanging="720"/>
      <w:jc w:val="both"/>
    </w:pPr>
    <w:rPr>
      <w:rFonts w:eastAsia="Times New Roman"/>
      <w:noProof/>
      <w:sz w:val="22"/>
      <w:szCs w:val="22"/>
      <w:lang w:val="en-GB"/>
    </w:rPr>
  </w:style>
  <w:style w:type="paragraph" w:styleId="TOC3">
    <w:name w:val="toc 3"/>
    <w:basedOn w:val="Normal"/>
    <w:next w:val="Normal"/>
    <w:autoRedefine/>
    <w:semiHidden/>
    <w:rsid w:val="007E09DA"/>
    <w:pPr>
      <w:ind w:left="2160" w:hanging="720"/>
      <w:jc w:val="both"/>
    </w:pPr>
    <w:rPr>
      <w:rFonts w:eastAsia="Times New Roman"/>
      <w:sz w:val="22"/>
      <w:lang w:val="en-GB"/>
    </w:rPr>
  </w:style>
  <w:style w:type="paragraph" w:styleId="TOC4">
    <w:name w:val="toc 4"/>
    <w:basedOn w:val="Normal"/>
    <w:next w:val="Normal"/>
    <w:autoRedefine/>
    <w:semiHidden/>
    <w:rsid w:val="007E09DA"/>
    <w:pPr>
      <w:spacing w:before="120" w:after="120"/>
      <w:ind w:left="660"/>
    </w:pPr>
    <w:rPr>
      <w:rFonts w:eastAsia="Times New Roman"/>
      <w:sz w:val="22"/>
      <w:lang w:val="en-GB"/>
    </w:rPr>
  </w:style>
  <w:style w:type="paragraph" w:styleId="TOC5">
    <w:name w:val="toc 5"/>
    <w:basedOn w:val="Normal"/>
    <w:next w:val="Normal"/>
    <w:autoRedefine/>
    <w:semiHidden/>
    <w:rsid w:val="007E09DA"/>
    <w:pPr>
      <w:spacing w:before="120" w:after="120"/>
      <w:ind w:left="880"/>
    </w:pPr>
    <w:rPr>
      <w:rFonts w:eastAsia="Times New Roman"/>
      <w:sz w:val="22"/>
      <w:lang w:val="en-GB"/>
    </w:rPr>
  </w:style>
  <w:style w:type="paragraph" w:styleId="TOC6">
    <w:name w:val="toc 6"/>
    <w:basedOn w:val="Normal"/>
    <w:next w:val="Normal"/>
    <w:autoRedefine/>
    <w:semiHidden/>
    <w:rsid w:val="007E09DA"/>
    <w:pPr>
      <w:spacing w:before="120" w:after="120"/>
      <w:ind w:left="1100"/>
    </w:pPr>
    <w:rPr>
      <w:rFonts w:eastAsia="Times New Roman"/>
      <w:sz w:val="22"/>
      <w:lang w:val="en-GB"/>
    </w:rPr>
  </w:style>
  <w:style w:type="paragraph" w:styleId="TOC7">
    <w:name w:val="toc 7"/>
    <w:basedOn w:val="Normal"/>
    <w:next w:val="Normal"/>
    <w:autoRedefine/>
    <w:semiHidden/>
    <w:rsid w:val="007E09DA"/>
    <w:pPr>
      <w:spacing w:before="120" w:after="120"/>
      <w:ind w:left="1320"/>
    </w:pPr>
    <w:rPr>
      <w:rFonts w:eastAsia="Times New Roman"/>
      <w:sz w:val="22"/>
      <w:lang w:val="en-GB"/>
    </w:rPr>
  </w:style>
  <w:style w:type="paragraph" w:styleId="TOC8">
    <w:name w:val="toc 8"/>
    <w:basedOn w:val="Normal"/>
    <w:next w:val="Normal"/>
    <w:autoRedefine/>
    <w:semiHidden/>
    <w:rsid w:val="007E09DA"/>
    <w:pPr>
      <w:spacing w:before="120" w:after="120"/>
      <w:ind w:left="1540"/>
    </w:pPr>
    <w:rPr>
      <w:rFonts w:eastAsia="Times New Roman"/>
      <w:sz w:val="22"/>
      <w:lang w:val="en-GB"/>
    </w:rPr>
  </w:style>
  <w:style w:type="paragraph" w:styleId="TOC9">
    <w:name w:val="toc 9"/>
    <w:basedOn w:val="Normal"/>
    <w:next w:val="Normal"/>
    <w:autoRedefine/>
    <w:semiHidden/>
    <w:rsid w:val="007E09DA"/>
    <w:pPr>
      <w:spacing w:before="120" w:after="120"/>
      <w:ind w:left="1760"/>
    </w:pPr>
    <w:rPr>
      <w:rFonts w:eastAsia="Times New Roman"/>
      <w:sz w:val="22"/>
      <w:lang w:val="en-GB"/>
    </w:r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jc w:val="both"/>
    </w:pPr>
    <w:rPr>
      <w:rFonts w:eastAsia="Times New Roman" w:cs="Angsana New"/>
      <w:b/>
      <w:i/>
      <w:lang w:val="en-GB"/>
    </w:rPr>
  </w:style>
  <w:style w:type="paragraph" w:customStyle="1" w:styleId="CBD-Doc">
    <w:name w:val="CBD-Doc"/>
    <w:basedOn w:val="Normal"/>
    <w:rsid w:val="00172AF6"/>
    <w:pPr>
      <w:keepLines/>
      <w:numPr>
        <w:numId w:val="9"/>
      </w:numPr>
      <w:spacing w:after="120"/>
      <w:jc w:val="both"/>
    </w:pPr>
    <w:rPr>
      <w:rFonts w:eastAsia="Times New Roman" w:cs="Angsana New"/>
      <w:sz w:val="22"/>
      <w:lang w:val="en-GB"/>
    </w:rPr>
  </w:style>
  <w:style w:type="paragraph" w:styleId="ListParagraph">
    <w:name w:val="List Paragraph"/>
    <w:basedOn w:val="Normal"/>
    <w:uiPriority w:val="34"/>
    <w:qFormat/>
    <w:rsid w:val="00130BB2"/>
    <w:pPr>
      <w:spacing w:after="200" w:line="276" w:lineRule="auto"/>
      <w:ind w:left="720"/>
      <w:contextualSpacing/>
    </w:pPr>
    <w:rPr>
      <w:rFonts w:asciiTheme="minorHAnsi" w:hAnsiTheme="minorHAnsi" w:cstheme="minorBidi"/>
      <w:sz w:val="22"/>
      <w:szCs w:val="22"/>
      <w:lang w:val="en-CA" w:eastAsia="ja-JP"/>
    </w:rPr>
  </w:style>
  <w:style w:type="paragraph" w:customStyle="1" w:styleId="Default">
    <w:name w:val="Default"/>
    <w:rsid w:val="00671B75"/>
    <w:pPr>
      <w:autoSpaceDE w:val="0"/>
      <w:autoSpaceDN w:val="0"/>
      <w:adjustRightInd w:val="0"/>
    </w:pPr>
    <w:rPr>
      <w:rFonts w:ascii="Times New Roman" w:eastAsiaTheme="minorHAnsi"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644">
      <w:bodyDiv w:val="1"/>
      <w:marLeft w:val="0"/>
      <w:marRight w:val="0"/>
      <w:marTop w:val="0"/>
      <w:marBottom w:val="0"/>
      <w:divBdr>
        <w:top w:val="none" w:sz="0" w:space="0" w:color="auto"/>
        <w:left w:val="none" w:sz="0" w:space="0" w:color="auto"/>
        <w:bottom w:val="none" w:sz="0" w:space="0" w:color="auto"/>
        <w:right w:val="none" w:sz="0" w:space="0" w:color="auto"/>
      </w:divBdr>
    </w:div>
    <w:div w:id="63187348">
      <w:bodyDiv w:val="1"/>
      <w:marLeft w:val="0"/>
      <w:marRight w:val="0"/>
      <w:marTop w:val="0"/>
      <w:marBottom w:val="0"/>
      <w:divBdr>
        <w:top w:val="none" w:sz="0" w:space="0" w:color="auto"/>
        <w:left w:val="none" w:sz="0" w:space="0" w:color="auto"/>
        <w:bottom w:val="none" w:sz="0" w:space="0" w:color="auto"/>
        <w:right w:val="none" w:sz="0" w:space="0" w:color="auto"/>
      </w:divBdr>
    </w:div>
    <w:div w:id="115612619">
      <w:bodyDiv w:val="1"/>
      <w:marLeft w:val="0"/>
      <w:marRight w:val="0"/>
      <w:marTop w:val="0"/>
      <w:marBottom w:val="0"/>
      <w:divBdr>
        <w:top w:val="none" w:sz="0" w:space="0" w:color="auto"/>
        <w:left w:val="none" w:sz="0" w:space="0" w:color="auto"/>
        <w:bottom w:val="none" w:sz="0" w:space="0" w:color="auto"/>
        <w:right w:val="none" w:sz="0" w:space="0" w:color="auto"/>
      </w:divBdr>
    </w:div>
    <w:div w:id="265965333">
      <w:bodyDiv w:val="1"/>
      <w:marLeft w:val="0"/>
      <w:marRight w:val="0"/>
      <w:marTop w:val="0"/>
      <w:marBottom w:val="0"/>
      <w:divBdr>
        <w:top w:val="none" w:sz="0" w:space="0" w:color="auto"/>
        <w:left w:val="none" w:sz="0" w:space="0" w:color="auto"/>
        <w:bottom w:val="none" w:sz="0" w:space="0" w:color="auto"/>
        <w:right w:val="none" w:sz="0" w:space="0" w:color="auto"/>
      </w:divBdr>
    </w:div>
    <w:div w:id="958682745">
      <w:bodyDiv w:val="1"/>
      <w:marLeft w:val="0"/>
      <w:marRight w:val="0"/>
      <w:marTop w:val="0"/>
      <w:marBottom w:val="0"/>
      <w:divBdr>
        <w:top w:val="none" w:sz="0" w:space="0" w:color="auto"/>
        <w:left w:val="none" w:sz="0" w:space="0" w:color="auto"/>
        <w:bottom w:val="none" w:sz="0" w:space="0" w:color="auto"/>
        <w:right w:val="none" w:sz="0" w:space="0" w:color="auto"/>
      </w:divBdr>
    </w:div>
    <w:div w:id="1039282499">
      <w:bodyDiv w:val="1"/>
      <w:marLeft w:val="0"/>
      <w:marRight w:val="0"/>
      <w:marTop w:val="0"/>
      <w:marBottom w:val="0"/>
      <w:divBdr>
        <w:top w:val="none" w:sz="0" w:space="0" w:color="auto"/>
        <w:left w:val="none" w:sz="0" w:space="0" w:color="auto"/>
        <w:bottom w:val="none" w:sz="0" w:space="0" w:color="auto"/>
        <w:right w:val="none" w:sz="0" w:space="0" w:color="auto"/>
      </w:divBdr>
    </w:div>
    <w:div w:id="1083798493">
      <w:bodyDiv w:val="1"/>
      <w:marLeft w:val="0"/>
      <w:marRight w:val="0"/>
      <w:marTop w:val="0"/>
      <w:marBottom w:val="0"/>
      <w:divBdr>
        <w:top w:val="none" w:sz="0" w:space="0" w:color="auto"/>
        <w:left w:val="none" w:sz="0" w:space="0" w:color="auto"/>
        <w:bottom w:val="none" w:sz="0" w:space="0" w:color="auto"/>
        <w:right w:val="none" w:sz="0" w:space="0" w:color="auto"/>
      </w:divBdr>
    </w:div>
    <w:div w:id="1306855721">
      <w:bodyDiv w:val="1"/>
      <w:marLeft w:val="0"/>
      <w:marRight w:val="0"/>
      <w:marTop w:val="0"/>
      <w:marBottom w:val="0"/>
      <w:divBdr>
        <w:top w:val="none" w:sz="0" w:space="0" w:color="auto"/>
        <w:left w:val="none" w:sz="0" w:space="0" w:color="auto"/>
        <w:bottom w:val="none" w:sz="0" w:space="0" w:color="auto"/>
        <w:right w:val="none" w:sz="0" w:space="0" w:color="auto"/>
      </w:divBdr>
    </w:div>
    <w:div w:id="1306885948">
      <w:bodyDiv w:val="1"/>
      <w:marLeft w:val="0"/>
      <w:marRight w:val="0"/>
      <w:marTop w:val="0"/>
      <w:marBottom w:val="0"/>
      <w:divBdr>
        <w:top w:val="none" w:sz="0" w:space="0" w:color="auto"/>
        <w:left w:val="none" w:sz="0" w:space="0" w:color="auto"/>
        <w:bottom w:val="none" w:sz="0" w:space="0" w:color="auto"/>
        <w:right w:val="none" w:sz="0" w:space="0" w:color="auto"/>
      </w:divBdr>
    </w:div>
    <w:div w:id="17532413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s://doi.org/10.1016/j.marpol.2018.03.001" TargetMode="Externa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59E2735C9D241668043E8EA13E27A56"/>
        <w:category>
          <w:name w:val="General"/>
          <w:gallery w:val="placeholder"/>
        </w:category>
        <w:types>
          <w:type w:val="bbPlcHdr"/>
        </w:types>
        <w:behaviors>
          <w:behavior w:val="content"/>
        </w:behaviors>
        <w:guid w:val="{6F830B6C-AADA-469C-BD15-7C460DEBB05B}"/>
      </w:docPartPr>
      <w:docPartBody>
        <w:p w:rsidR="00351DED" w:rsidRDefault="00935FFC">
          <w:r w:rsidRPr="007935A7">
            <w:rPr>
              <w:rStyle w:val="PlaceholderText"/>
            </w:rPr>
            <w:t>[Subject]</w:t>
          </w:r>
        </w:p>
      </w:docPartBody>
    </w:docPart>
    <w:docPart>
      <w:docPartPr>
        <w:name w:val="D434E694D3BB457AA542AF8B61AA1630"/>
        <w:category>
          <w:name w:val="General"/>
          <w:gallery w:val="placeholder"/>
        </w:category>
        <w:types>
          <w:type w:val="bbPlcHdr"/>
        </w:types>
        <w:behaviors>
          <w:behavior w:val="content"/>
        </w:behaviors>
        <w:guid w:val="{0913B898-D2A0-4158-A842-50A9F7282B76}"/>
      </w:docPartPr>
      <w:docPartBody>
        <w:p w:rsidR="00351DED" w:rsidRDefault="00935FFC" w:rsidP="00935FFC">
          <w:pPr>
            <w:pStyle w:val="D434E694D3BB457AA542AF8B61AA1630"/>
          </w:pPr>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modern"/>
    <w:pitch w:val="fixed"/>
    <w:sig w:usb0="00000287" w:usb1="08070000" w:usb2="00000010"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4DF1"/>
    <w:rsid w:val="00204ED8"/>
    <w:rsid w:val="00351DED"/>
    <w:rsid w:val="003F457C"/>
    <w:rsid w:val="00432F80"/>
    <w:rsid w:val="00500A2B"/>
    <w:rsid w:val="0058288D"/>
    <w:rsid w:val="005E1DAB"/>
    <w:rsid w:val="0061507A"/>
    <w:rsid w:val="006801B3"/>
    <w:rsid w:val="00810A55"/>
    <w:rsid w:val="008C13C3"/>
    <w:rsid w:val="008C6619"/>
    <w:rsid w:val="008D420E"/>
    <w:rsid w:val="00935FFC"/>
    <w:rsid w:val="0098642F"/>
    <w:rsid w:val="00CA730E"/>
    <w:rsid w:val="00CC38FE"/>
    <w:rsid w:val="00DE20A3"/>
    <w:rsid w:val="00E138F1"/>
    <w:rsid w:val="00EE6D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35FFC"/>
    <w:rPr>
      <w:color w:val="808080"/>
    </w:rPr>
  </w:style>
  <w:style w:type="paragraph" w:customStyle="1" w:styleId="D434E694D3BB457AA542AF8B61AA1630">
    <w:name w:val="D434E694D3BB457AA542AF8B61AA1630"/>
    <w:rsid w:val="00935FFC"/>
    <w:pPr>
      <w:spacing w:after="160" w:line="259" w:lineRule="auto"/>
    </w:pPr>
  </w:style>
  <w:style w:type="paragraph" w:customStyle="1" w:styleId="CDDB6628835E4DE78E375F0D926501F7">
    <w:name w:val="CDDB6628835E4DE78E375F0D926501F7"/>
    <w:rsid w:val="00935FF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E5BF86-0037-45F3-B445-DA3B8C7C9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5482</Words>
  <Characters>31253</Characters>
  <Application>Microsoft Office Word</Application>
  <DocSecurity>4</DocSecurity>
  <Lines>260</Lines>
  <Paragraphs>73</Paragraphs>
  <ScaleCrop>false</ScaleCrop>
  <HeadingPairs>
    <vt:vector size="2" baseType="variant">
      <vt:variant>
        <vt:lpstr>Title</vt:lpstr>
      </vt:variant>
      <vt:variant>
        <vt:i4>1</vt:i4>
      </vt:variant>
    </vt:vector>
  </HeadingPairs>
  <TitlesOfParts>
    <vt:vector size="1" baseType="lpstr">
      <vt:lpstr>synthesis and COMPILATION OF SUBMISSIONS ON experiences in mainstreaming biodiversity in fisheries</vt:lpstr>
    </vt:vector>
  </TitlesOfParts>
  <Company>SCBD</Company>
  <LinksUpToDate>false</LinksUpToDate>
  <CharactersWithSpaces>36662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and COMPILATION OF SUBMISSIONS ON experiences in mainstreaming biodiversity in fisheries</dc:title>
  <dc:subject>CBD/SBSTTA/22/INF/15</dc:subject>
  <dc:creator>JLEE</dc:creator>
  <cp:lastModifiedBy>veronique lefebvre</cp:lastModifiedBy>
  <cp:revision>2</cp:revision>
  <dcterms:created xsi:type="dcterms:W3CDTF">2018-07-03T18:23:00Z</dcterms:created>
  <dcterms:modified xsi:type="dcterms:W3CDTF">2018-07-03T18:23:00Z</dcterms:modified>
  <cp:contentStatus>GENERAL</cp:contentStatus>
</cp:coreProperties>
</file>